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269E" w14:textId="77777777" w:rsidR="00731025" w:rsidRPr="005C6A52" w:rsidRDefault="00731025" w:rsidP="008C068C">
      <w:pPr>
        <w:pStyle w:val="Heading1"/>
      </w:pPr>
      <w:r w:rsidRPr="005C6A52">
        <w:t>HIGH COURT OF AUSTRALIA</w:t>
      </w:r>
    </w:p>
    <w:p w14:paraId="41086C51" w14:textId="77777777" w:rsidR="00840B46" w:rsidRPr="008C068C" w:rsidRDefault="00731025" w:rsidP="008C068C">
      <w:pPr>
        <w:pStyle w:val="Heading2"/>
      </w:pPr>
      <w:r w:rsidRPr="008C068C">
        <w:t>Information regarding making an application for</w:t>
      </w:r>
      <w:r w:rsidR="00841F48" w:rsidRPr="008C068C">
        <w:t xml:space="preserve"> a constitutional or other writ</w:t>
      </w:r>
    </w:p>
    <w:p w14:paraId="7B302F12" w14:textId="77777777" w:rsidR="008C068C" w:rsidRDefault="008C068C" w:rsidP="008C068C"/>
    <w:p w14:paraId="028AC8F8" w14:textId="77777777" w:rsidR="00D51C00" w:rsidRPr="005C6A52" w:rsidRDefault="00840B46" w:rsidP="00DA2E05">
      <w:pPr>
        <w:jc w:val="both"/>
        <w:rPr>
          <w:rFonts w:cs="Arial"/>
          <w:szCs w:val="23"/>
        </w:rPr>
      </w:pPr>
      <w:r w:rsidRPr="005C6A52">
        <w:rPr>
          <w:rFonts w:cs="Arial"/>
          <w:szCs w:val="23"/>
        </w:rPr>
        <w:t xml:space="preserve">The High Court’s </w:t>
      </w:r>
      <w:r w:rsidR="00D51C00" w:rsidRPr="005C6A52">
        <w:rPr>
          <w:rFonts w:cs="Arial"/>
          <w:szCs w:val="23"/>
        </w:rPr>
        <w:t xml:space="preserve">original </w:t>
      </w:r>
      <w:r w:rsidRPr="005C6A52">
        <w:rPr>
          <w:rFonts w:cs="Arial"/>
          <w:szCs w:val="23"/>
        </w:rPr>
        <w:t>jurisdiction to grant a constitutional or other writ is set out in section 75(v) of the Const</w:t>
      </w:r>
      <w:r w:rsidR="00BC4C69" w:rsidRPr="005C6A52">
        <w:rPr>
          <w:rFonts w:cs="Arial"/>
          <w:szCs w:val="23"/>
        </w:rPr>
        <w:t>itution and sections 30 to 33 of</w:t>
      </w:r>
      <w:r w:rsidRPr="005C6A52">
        <w:rPr>
          <w:rFonts w:cs="Arial"/>
          <w:szCs w:val="23"/>
        </w:rPr>
        <w:t xml:space="preserve"> the </w:t>
      </w:r>
      <w:r w:rsidRPr="005C6A52">
        <w:rPr>
          <w:rFonts w:cs="Arial"/>
          <w:i/>
          <w:szCs w:val="23"/>
        </w:rPr>
        <w:t>Judiciary Act 1903</w:t>
      </w:r>
      <w:r w:rsidRPr="005C6A52">
        <w:rPr>
          <w:rFonts w:cs="Arial"/>
          <w:szCs w:val="23"/>
        </w:rPr>
        <w:t xml:space="preserve"> (</w:t>
      </w:r>
      <w:proofErr w:type="spellStart"/>
      <w:r w:rsidRPr="005C6A52">
        <w:rPr>
          <w:rFonts w:cs="Arial"/>
          <w:szCs w:val="23"/>
        </w:rPr>
        <w:t>Cth</w:t>
      </w:r>
      <w:proofErr w:type="spellEnd"/>
      <w:r w:rsidRPr="005C6A52">
        <w:rPr>
          <w:rFonts w:cs="Arial"/>
          <w:szCs w:val="23"/>
        </w:rPr>
        <w:t>).</w:t>
      </w:r>
      <w:r w:rsidR="006F313D" w:rsidRPr="005C6A52">
        <w:rPr>
          <w:rFonts w:cs="Arial"/>
          <w:szCs w:val="23"/>
        </w:rPr>
        <w:t xml:space="preserve"> </w:t>
      </w:r>
      <w:r w:rsidR="00D51C00" w:rsidRPr="005C6A52">
        <w:rPr>
          <w:rFonts w:cs="Arial"/>
          <w:szCs w:val="23"/>
        </w:rPr>
        <w:t>Such writs comprise writs of mandamus, prohibition, certiorari, habeas corpus and quo warranto.</w:t>
      </w:r>
    </w:p>
    <w:p w14:paraId="214C7649" w14:textId="77777777" w:rsidR="005C6A52" w:rsidRPr="005C6A52" w:rsidRDefault="005C6A52" w:rsidP="00DA2E05">
      <w:pPr>
        <w:jc w:val="both"/>
        <w:rPr>
          <w:rFonts w:cs="Arial"/>
          <w:szCs w:val="23"/>
        </w:rPr>
      </w:pPr>
    </w:p>
    <w:p w14:paraId="0D629E19" w14:textId="0F448775" w:rsidR="00D51C00" w:rsidRPr="005C6A52" w:rsidRDefault="00D51C00" w:rsidP="00DA2E05">
      <w:pPr>
        <w:jc w:val="both"/>
        <w:rPr>
          <w:rFonts w:cs="Arial"/>
          <w:szCs w:val="23"/>
        </w:rPr>
      </w:pPr>
      <w:r w:rsidRPr="005C6A52">
        <w:rPr>
          <w:rFonts w:cs="Arial"/>
          <w:szCs w:val="23"/>
        </w:rPr>
        <w:t>A</w:t>
      </w:r>
      <w:r w:rsidR="006F313D" w:rsidRPr="005C6A52">
        <w:rPr>
          <w:rFonts w:cs="Arial"/>
          <w:szCs w:val="23"/>
        </w:rPr>
        <w:t xml:space="preserve"> writ of mandamus, prohibition or an injunction is limited to being sought against an officer of the Commonwealth (section 75(v) of the Constitution). This jurisdiction is concurrent with the jurisdiction of the Federal Court under section 39B of the </w:t>
      </w:r>
      <w:r w:rsidR="006F313D" w:rsidRPr="005C6A52">
        <w:rPr>
          <w:rFonts w:cs="Arial"/>
          <w:i/>
          <w:szCs w:val="23"/>
        </w:rPr>
        <w:t>Judiciary Act 1903</w:t>
      </w:r>
      <w:r w:rsidR="006F313D" w:rsidRPr="005C6A52">
        <w:rPr>
          <w:rFonts w:cs="Arial"/>
          <w:szCs w:val="23"/>
        </w:rPr>
        <w:t xml:space="preserve">, </w:t>
      </w:r>
      <w:r w:rsidRPr="005C6A52">
        <w:rPr>
          <w:rFonts w:cs="Arial"/>
          <w:szCs w:val="23"/>
        </w:rPr>
        <w:t>although</w:t>
      </w:r>
      <w:r w:rsidR="006F313D" w:rsidRPr="005C6A52">
        <w:rPr>
          <w:rFonts w:cs="Arial"/>
          <w:szCs w:val="23"/>
        </w:rPr>
        <w:t xml:space="preserve"> there are limitations on the jurisdiction of the Federal Court</w:t>
      </w:r>
      <w:r w:rsidRPr="005C6A52">
        <w:rPr>
          <w:rFonts w:cs="Arial"/>
          <w:szCs w:val="23"/>
        </w:rPr>
        <w:t xml:space="preserve">. Applicants should be aware </w:t>
      </w:r>
      <w:r w:rsidR="006F313D" w:rsidRPr="005C6A52">
        <w:rPr>
          <w:rFonts w:cs="Arial"/>
          <w:szCs w:val="23"/>
        </w:rPr>
        <w:t xml:space="preserve">of this as an application made to the </w:t>
      </w:r>
      <w:r w:rsidRPr="005C6A52">
        <w:rPr>
          <w:rFonts w:cs="Arial"/>
          <w:szCs w:val="23"/>
        </w:rPr>
        <w:t>High</w:t>
      </w:r>
      <w:r w:rsidR="006F313D" w:rsidRPr="005C6A52">
        <w:rPr>
          <w:rFonts w:cs="Arial"/>
          <w:szCs w:val="23"/>
        </w:rPr>
        <w:t xml:space="preserve"> Court </w:t>
      </w:r>
      <w:r w:rsidRPr="005C6A52">
        <w:rPr>
          <w:rFonts w:cs="Arial"/>
          <w:szCs w:val="23"/>
        </w:rPr>
        <w:t>which could have been made to the F</w:t>
      </w:r>
      <w:r w:rsidR="006F313D" w:rsidRPr="005C6A52">
        <w:rPr>
          <w:rFonts w:cs="Arial"/>
          <w:szCs w:val="23"/>
        </w:rPr>
        <w:t xml:space="preserve">ederal Court may be remitted </w:t>
      </w:r>
      <w:r w:rsidRPr="005C6A52">
        <w:rPr>
          <w:rFonts w:cs="Arial"/>
          <w:szCs w:val="23"/>
        </w:rPr>
        <w:t xml:space="preserve">for hearing to the Federal Court with costs consequences. An “officer of the Commonwealth” includes Commonwealth bodies as well as individuals holding Commonwealth office, public servants, </w:t>
      </w:r>
      <w:r w:rsidR="00DA2E05" w:rsidRPr="005C6A52">
        <w:rPr>
          <w:rFonts w:cs="Arial"/>
          <w:szCs w:val="23"/>
        </w:rPr>
        <w:t>Commonwealth police, Commonwealth Ministers, J</w:t>
      </w:r>
      <w:r w:rsidRPr="005C6A52">
        <w:rPr>
          <w:rFonts w:cs="Arial"/>
          <w:szCs w:val="23"/>
        </w:rPr>
        <w:t xml:space="preserve">udges of the </w:t>
      </w:r>
      <w:r w:rsidR="00DA2E05" w:rsidRPr="005C6A52">
        <w:rPr>
          <w:rFonts w:cs="Arial"/>
          <w:szCs w:val="23"/>
        </w:rPr>
        <w:t>Federal</w:t>
      </w:r>
      <w:r w:rsidRPr="005C6A52">
        <w:rPr>
          <w:rFonts w:cs="Arial"/>
          <w:szCs w:val="23"/>
        </w:rPr>
        <w:t xml:space="preserve"> Court</w:t>
      </w:r>
      <w:r w:rsidR="00DA2E05" w:rsidRPr="005C6A52">
        <w:rPr>
          <w:rFonts w:cs="Arial"/>
          <w:szCs w:val="23"/>
        </w:rPr>
        <w:t xml:space="preserve"> and the </w:t>
      </w:r>
      <w:r w:rsidR="003213B8">
        <w:rPr>
          <w:rFonts w:cs="Arial"/>
          <w:szCs w:val="23"/>
        </w:rPr>
        <w:t xml:space="preserve">Federal Circuit and </w:t>
      </w:r>
      <w:r w:rsidR="00DA2E05" w:rsidRPr="005C6A52">
        <w:rPr>
          <w:rFonts w:cs="Arial"/>
          <w:szCs w:val="23"/>
        </w:rPr>
        <w:t>Family Court but not Judges of the State or Territory Courts or bodies corporate.</w:t>
      </w:r>
    </w:p>
    <w:p w14:paraId="1B57EBD1" w14:textId="77777777" w:rsidR="005C6A52" w:rsidRPr="005C6A52" w:rsidRDefault="005C6A52" w:rsidP="00DA2E05">
      <w:pPr>
        <w:jc w:val="both"/>
        <w:rPr>
          <w:rFonts w:cs="Arial"/>
          <w:szCs w:val="23"/>
        </w:rPr>
      </w:pPr>
    </w:p>
    <w:p w14:paraId="16FE7663" w14:textId="77777777" w:rsidR="00731025" w:rsidRPr="005C6A52" w:rsidRDefault="00731025" w:rsidP="00DA2E05">
      <w:pPr>
        <w:jc w:val="both"/>
        <w:rPr>
          <w:rFonts w:cs="Arial"/>
          <w:szCs w:val="23"/>
        </w:rPr>
      </w:pPr>
      <w:r w:rsidRPr="005C6A52">
        <w:rPr>
          <w:rFonts w:cs="Arial"/>
          <w:szCs w:val="23"/>
        </w:rPr>
        <w:t xml:space="preserve">Rule 25 of the </w:t>
      </w:r>
      <w:r w:rsidRPr="005C6A52">
        <w:rPr>
          <w:rFonts w:cs="Arial"/>
          <w:i/>
          <w:szCs w:val="23"/>
        </w:rPr>
        <w:t xml:space="preserve">High Court Rules 2004 </w:t>
      </w:r>
      <w:r w:rsidRPr="005C6A52">
        <w:rPr>
          <w:rFonts w:cs="Arial"/>
          <w:szCs w:val="23"/>
        </w:rPr>
        <w:t xml:space="preserve">deals with applications for </w:t>
      </w:r>
      <w:r w:rsidR="00D51C00" w:rsidRPr="005C6A52">
        <w:rPr>
          <w:rFonts w:cs="Arial"/>
          <w:szCs w:val="23"/>
        </w:rPr>
        <w:t>a constitutional or other writ.</w:t>
      </w:r>
      <w:r w:rsidRPr="005C6A52">
        <w:rPr>
          <w:rFonts w:cs="Arial"/>
          <w:szCs w:val="23"/>
        </w:rPr>
        <w:t xml:space="preserve"> </w:t>
      </w:r>
      <w:r w:rsidR="00E75EFA" w:rsidRPr="005C6A52">
        <w:rPr>
          <w:rFonts w:cs="Arial"/>
          <w:szCs w:val="23"/>
        </w:rPr>
        <w:t>Rule 25</w:t>
      </w:r>
      <w:r w:rsidRPr="005C6A52">
        <w:rPr>
          <w:rFonts w:cs="Arial"/>
          <w:szCs w:val="23"/>
        </w:rPr>
        <w:t xml:space="preserve">.01.1 provides that an application </w:t>
      </w:r>
      <w:r w:rsidR="00E75EFA" w:rsidRPr="005C6A52">
        <w:rPr>
          <w:rFonts w:cs="Arial"/>
          <w:szCs w:val="23"/>
        </w:rPr>
        <w:t>must be in Form 12 and must be accompanied by one or more affidavits in support. Rule 25.05 sets out the requirements for affidavits.</w:t>
      </w:r>
    </w:p>
    <w:p w14:paraId="3B10760D" w14:textId="77777777" w:rsidR="005C6A52" w:rsidRPr="005C6A52" w:rsidRDefault="005C6A52" w:rsidP="00DA2E05">
      <w:pPr>
        <w:jc w:val="both"/>
        <w:rPr>
          <w:rFonts w:cs="Arial"/>
          <w:szCs w:val="23"/>
        </w:rPr>
      </w:pPr>
    </w:p>
    <w:p w14:paraId="018DB282" w14:textId="77777777" w:rsidR="00E75EFA" w:rsidRPr="005C6A52" w:rsidRDefault="00E75EFA" w:rsidP="00DA2E05">
      <w:pPr>
        <w:jc w:val="both"/>
        <w:rPr>
          <w:rFonts w:cs="Arial"/>
          <w:szCs w:val="23"/>
        </w:rPr>
      </w:pPr>
      <w:r w:rsidRPr="005C6A52">
        <w:rPr>
          <w:rFonts w:cs="Arial"/>
          <w:szCs w:val="23"/>
        </w:rPr>
        <w:t>Rule 25.02 sets out the time limits for filing an application for a writ of mandamus or certiorari. Rule 25.03 provides that an application, together with affidavits in support must be served within 7 days of filing.</w:t>
      </w:r>
    </w:p>
    <w:p w14:paraId="3405DA47" w14:textId="77777777" w:rsidR="005C6A52" w:rsidRPr="005C6A52" w:rsidRDefault="005C6A52" w:rsidP="00DA2E05">
      <w:pPr>
        <w:jc w:val="both"/>
        <w:rPr>
          <w:rFonts w:cs="Arial"/>
          <w:szCs w:val="23"/>
        </w:rPr>
      </w:pPr>
    </w:p>
    <w:p w14:paraId="5F93A059" w14:textId="77777777" w:rsidR="00E75EFA" w:rsidRPr="005C6A52" w:rsidRDefault="00E75EFA" w:rsidP="00DA2E05">
      <w:pPr>
        <w:jc w:val="both"/>
        <w:rPr>
          <w:rFonts w:cs="Arial"/>
          <w:szCs w:val="23"/>
        </w:rPr>
      </w:pPr>
      <w:r w:rsidRPr="005C6A52">
        <w:rPr>
          <w:rFonts w:cs="Arial"/>
          <w:szCs w:val="23"/>
        </w:rPr>
        <w:t>Rule 25.04 provides that the party who makes the application is a “plaintiff” and each other party is a “defendant</w:t>
      </w:r>
      <w:r w:rsidR="006F313D" w:rsidRPr="005C6A52">
        <w:rPr>
          <w:rFonts w:cs="Arial"/>
          <w:szCs w:val="23"/>
        </w:rPr>
        <w:t>” and sets out the requirements for naming of the defendant in the title of the proceeding.</w:t>
      </w:r>
    </w:p>
    <w:p w14:paraId="3D7B5168" w14:textId="77777777" w:rsidR="005C6A52" w:rsidRDefault="005C6A52" w:rsidP="00DA2E05">
      <w:pPr>
        <w:jc w:val="both"/>
        <w:rPr>
          <w:rFonts w:cs="Arial"/>
          <w:szCs w:val="23"/>
        </w:rPr>
      </w:pPr>
    </w:p>
    <w:p w14:paraId="3EEEE77C" w14:textId="77777777" w:rsidR="008F1AE8" w:rsidRDefault="008F1AE8" w:rsidP="008F1AE8">
      <w:pPr>
        <w:pStyle w:val="Heading3"/>
      </w:pPr>
      <w:r>
        <w:t>Filing the documents</w:t>
      </w:r>
    </w:p>
    <w:p w14:paraId="6E335EAE" w14:textId="77777777" w:rsidR="008F1AE8" w:rsidRDefault="008F1AE8" w:rsidP="008F1AE8">
      <w:pPr>
        <w:numPr>
          <w:ilvl w:val="0"/>
          <w:numId w:val="1"/>
        </w:numPr>
        <w:ind w:hanging="720"/>
        <w:jc w:val="both"/>
        <w:rPr>
          <w:rFonts w:cs="Arial"/>
        </w:rPr>
      </w:pPr>
      <w:r>
        <w:rPr>
          <w:rFonts w:cs="Arial"/>
        </w:rPr>
        <w:t xml:space="preserve">All documents are to be filed using the High Court’s Digital Lodgement System Portal which is available at dls.hcourt.gov.au.  </w:t>
      </w:r>
    </w:p>
    <w:p w14:paraId="43C422DC" w14:textId="77777777" w:rsidR="008F1AE8" w:rsidRDefault="008F1AE8" w:rsidP="008F1AE8">
      <w:pPr>
        <w:rPr>
          <w:rFonts w:cs="Arial"/>
        </w:rPr>
      </w:pPr>
    </w:p>
    <w:p w14:paraId="567A3041" w14:textId="77777777" w:rsidR="008F1AE8" w:rsidRDefault="008F1AE8" w:rsidP="008F1AE8">
      <w:pPr>
        <w:numPr>
          <w:ilvl w:val="0"/>
          <w:numId w:val="1"/>
        </w:numPr>
        <w:ind w:hanging="720"/>
        <w:jc w:val="both"/>
        <w:rPr>
          <w:rFonts w:cs="Arial"/>
        </w:rPr>
      </w:pPr>
      <w:r>
        <w:rPr>
          <w:rFonts w:cs="Arial"/>
        </w:rPr>
        <w:t>You will need to register, using a valid email address, so that you may file your application.</w:t>
      </w:r>
    </w:p>
    <w:p w14:paraId="289A21C1" w14:textId="77777777" w:rsidR="008F1AE8" w:rsidRDefault="008F1AE8" w:rsidP="008F1AE8">
      <w:pPr>
        <w:rPr>
          <w:rFonts w:cs="Arial"/>
        </w:rPr>
      </w:pPr>
    </w:p>
    <w:p w14:paraId="3C0DB16B" w14:textId="77777777" w:rsidR="008F1AE8" w:rsidRDefault="008F1AE8" w:rsidP="008F1AE8">
      <w:pPr>
        <w:numPr>
          <w:ilvl w:val="0"/>
          <w:numId w:val="1"/>
        </w:numPr>
        <w:ind w:hanging="720"/>
        <w:jc w:val="both"/>
        <w:rPr>
          <w:rFonts w:cs="Arial"/>
        </w:rPr>
      </w:pPr>
      <w:r>
        <w:rPr>
          <w:rFonts w:cs="Arial"/>
        </w:rPr>
        <w:t>The Court will communicate with you using the email address you use to register.</w:t>
      </w:r>
    </w:p>
    <w:p w14:paraId="745C3A92" w14:textId="77777777" w:rsidR="008F1AE8" w:rsidRDefault="008F1AE8" w:rsidP="008F1AE8">
      <w:pPr>
        <w:rPr>
          <w:rFonts w:cs="Arial"/>
        </w:rPr>
      </w:pPr>
    </w:p>
    <w:p w14:paraId="113FF80A" w14:textId="77777777" w:rsidR="008F1AE8" w:rsidRDefault="008F1AE8" w:rsidP="008F1AE8">
      <w:pPr>
        <w:numPr>
          <w:ilvl w:val="0"/>
          <w:numId w:val="1"/>
        </w:numPr>
        <w:ind w:hanging="720"/>
        <w:jc w:val="both"/>
        <w:rPr>
          <w:rFonts w:cs="Arial"/>
        </w:rPr>
      </w:pPr>
      <w:r>
        <w:rPr>
          <w:rFonts w:cs="Arial"/>
        </w:rPr>
        <w:t>Information on how to file is available through the Digital Lodgement System Portal once you have registered.</w:t>
      </w:r>
    </w:p>
    <w:p w14:paraId="5E1B5AFE" w14:textId="77777777" w:rsidR="00EB7613" w:rsidRDefault="00EB7613" w:rsidP="00EB7613"/>
    <w:p w14:paraId="5A7EA76D" w14:textId="645207C0" w:rsidR="00EB7613" w:rsidRDefault="00EB7613" w:rsidP="00EB7613">
      <w:pPr>
        <w:numPr>
          <w:ilvl w:val="0"/>
          <w:numId w:val="1"/>
        </w:numPr>
        <w:ind w:hanging="720"/>
        <w:jc w:val="both"/>
        <w:rPr>
          <w:rFonts w:cs="Arial"/>
        </w:rPr>
      </w:pPr>
      <w:r w:rsidRPr="005C6A52">
        <w:rPr>
          <w:rFonts w:cs="Arial"/>
          <w:szCs w:val="23"/>
        </w:rPr>
        <w:t xml:space="preserve">When filing an application for a constitutional or other writ the application must be accompanied by the relevant filing fees (or application for fee exemption or for fee reduction based on financial hardship). </w:t>
      </w:r>
      <w:r>
        <w:rPr>
          <w:rFonts w:cs="Arial"/>
          <w:szCs w:val="23"/>
        </w:rPr>
        <w:t xml:space="preserve">If the matter is listed for hearing a hearing fee may be collected.  </w:t>
      </w:r>
      <w:r w:rsidRPr="005C6A52">
        <w:rPr>
          <w:rFonts w:cs="Arial"/>
          <w:szCs w:val="23"/>
        </w:rPr>
        <w:t xml:space="preserve">The current </w:t>
      </w:r>
      <w:r w:rsidR="00465E41">
        <w:rPr>
          <w:rFonts w:cs="Arial"/>
          <w:szCs w:val="23"/>
        </w:rPr>
        <w:t>f</w:t>
      </w:r>
      <w:r w:rsidRPr="005C6A52">
        <w:rPr>
          <w:rFonts w:cs="Arial"/>
          <w:szCs w:val="23"/>
        </w:rPr>
        <w:t xml:space="preserve">iling fee </w:t>
      </w:r>
      <w:r w:rsidR="00465E41">
        <w:rPr>
          <w:rFonts w:cs="Arial"/>
          <w:szCs w:val="23"/>
        </w:rPr>
        <w:t xml:space="preserve">is </w:t>
      </w:r>
      <w:r w:rsidR="0033404D" w:rsidRPr="0033404D">
        <w:rPr>
          <w:rFonts w:cs="Arial"/>
          <w:szCs w:val="23"/>
        </w:rPr>
        <w:t>$3,</w:t>
      </w:r>
      <w:r w:rsidR="00936781">
        <w:rPr>
          <w:rFonts w:cs="Arial"/>
          <w:szCs w:val="23"/>
        </w:rPr>
        <w:t>910</w:t>
      </w:r>
      <w:r w:rsidR="0033404D" w:rsidRPr="0033404D">
        <w:rPr>
          <w:rFonts w:cs="Arial"/>
          <w:szCs w:val="23"/>
        </w:rPr>
        <w:t xml:space="preserve"> </w:t>
      </w:r>
      <w:r w:rsidRPr="005C6A52">
        <w:rPr>
          <w:rFonts w:cs="Arial"/>
          <w:szCs w:val="23"/>
        </w:rPr>
        <w:t xml:space="preserve">(or </w:t>
      </w:r>
      <w:r w:rsidR="0033404D" w:rsidRPr="0033404D">
        <w:rPr>
          <w:rFonts w:cs="Arial"/>
          <w:szCs w:val="23"/>
        </w:rPr>
        <w:t>$1,</w:t>
      </w:r>
      <w:r w:rsidR="00936781">
        <w:rPr>
          <w:rFonts w:cs="Arial"/>
          <w:szCs w:val="23"/>
        </w:rPr>
        <w:t>300</w:t>
      </w:r>
      <w:r w:rsidR="0033404D">
        <w:rPr>
          <w:rFonts w:cs="Arial"/>
          <w:szCs w:val="23"/>
        </w:rPr>
        <w:t xml:space="preserve"> </w:t>
      </w:r>
      <w:r w:rsidRPr="005C6A52">
        <w:rPr>
          <w:rFonts w:cs="Arial"/>
          <w:szCs w:val="23"/>
        </w:rPr>
        <w:t>for hardship)</w:t>
      </w:r>
      <w:r w:rsidR="00465E41">
        <w:rPr>
          <w:rFonts w:cs="Arial"/>
          <w:szCs w:val="23"/>
        </w:rPr>
        <w:t xml:space="preserve"> and a </w:t>
      </w:r>
      <w:r w:rsidRPr="005C6A52">
        <w:rPr>
          <w:rFonts w:cs="Arial"/>
          <w:szCs w:val="23"/>
        </w:rPr>
        <w:t xml:space="preserve">hearing fee </w:t>
      </w:r>
      <w:r w:rsidR="00465E41">
        <w:rPr>
          <w:rFonts w:cs="Arial"/>
          <w:szCs w:val="23"/>
        </w:rPr>
        <w:t xml:space="preserve">may be collected if the matter is listed of </w:t>
      </w:r>
      <w:r w:rsidR="0033404D" w:rsidRPr="0033404D">
        <w:rPr>
          <w:rFonts w:cs="Arial"/>
          <w:szCs w:val="23"/>
        </w:rPr>
        <w:t>$</w:t>
      </w:r>
      <w:r w:rsidR="00936781">
        <w:rPr>
          <w:rFonts w:cs="Arial"/>
          <w:szCs w:val="23"/>
        </w:rPr>
        <w:t>740</w:t>
      </w:r>
      <w:r w:rsidR="0033404D" w:rsidRPr="0033404D">
        <w:rPr>
          <w:rFonts w:cs="Arial"/>
          <w:szCs w:val="23"/>
        </w:rPr>
        <w:t xml:space="preserve"> </w:t>
      </w:r>
      <w:r w:rsidRPr="005C6A52">
        <w:rPr>
          <w:rFonts w:cs="Arial"/>
          <w:szCs w:val="23"/>
        </w:rPr>
        <w:t xml:space="preserve">(or </w:t>
      </w:r>
      <w:r w:rsidR="0033404D" w:rsidRPr="0033404D">
        <w:rPr>
          <w:rFonts w:cs="Arial"/>
          <w:szCs w:val="23"/>
        </w:rPr>
        <w:t>$</w:t>
      </w:r>
      <w:r w:rsidR="00936781">
        <w:rPr>
          <w:rFonts w:cs="Arial"/>
          <w:szCs w:val="23"/>
        </w:rPr>
        <w:t>245</w:t>
      </w:r>
      <w:r w:rsidR="0033404D">
        <w:rPr>
          <w:rFonts w:cs="Arial"/>
          <w:szCs w:val="23"/>
        </w:rPr>
        <w:t xml:space="preserve"> </w:t>
      </w:r>
      <w:r w:rsidRPr="005C6A52">
        <w:rPr>
          <w:rFonts w:cs="Arial"/>
          <w:szCs w:val="23"/>
        </w:rPr>
        <w:t>for hardship).</w:t>
      </w:r>
      <w:r w:rsidRPr="00EB7613">
        <w:rPr>
          <w:rFonts w:cs="Arial"/>
        </w:rPr>
        <w:t xml:space="preserve"> </w:t>
      </w:r>
    </w:p>
    <w:p w14:paraId="47E9E2AE" w14:textId="77777777" w:rsidR="00EB7613" w:rsidRPr="005C6A52" w:rsidRDefault="00EB7613" w:rsidP="00EB7613">
      <w:pPr>
        <w:jc w:val="both"/>
        <w:rPr>
          <w:rFonts w:cs="Arial"/>
          <w:szCs w:val="23"/>
        </w:rPr>
      </w:pPr>
    </w:p>
    <w:p w14:paraId="72A9FE21" w14:textId="77777777" w:rsidR="00EB7613" w:rsidRDefault="00EB7613" w:rsidP="00EB7613">
      <w:pPr>
        <w:numPr>
          <w:ilvl w:val="0"/>
          <w:numId w:val="1"/>
        </w:numPr>
        <w:ind w:hanging="720"/>
        <w:jc w:val="both"/>
        <w:rPr>
          <w:rFonts w:cs="Arial"/>
        </w:rPr>
      </w:pPr>
      <w:r w:rsidRPr="005C6A52">
        <w:rPr>
          <w:rFonts w:cs="Arial"/>
          <w:szCs w:val="23"/>
        </w:rPr>
        <w:t>The grounds for fee exemption include the applicant holding a current Commonwealth concession card, being in receipt of a grant of legal aid, being in prison or being under the age of 18 years.</w:t>
      </w:r>
    </w:p>
    <w:p w14:paraId="7E873EC8" w14:textId="77777777" w:rsidR="008F1AE8" w:rsidRPr="00C15498" w:rsidRDefault="008F1AE8" w:rsidP="008F1AE8">
      <w:pPr>
        <w:jc w:val="both"/>
        <w:rPr>
          <w:rFonts w:cs="Arial"/>
        </w:rPr>
      </w:pPr>
    </w:p>
    <w:p w14:paraId="2580762B" w14:textId="77777777" w:rsidR="008F1AE8" w:rsidRPr="004175BA" w:rsidRDefault="008F1AE8" w:rsidP="008F1AE8">
      <w:pPr>
        <w:pStyle w:val="Heading3"/>
      </w:pPr>
      <w:r>
        <w:lastRenderedPageBreak/>
        <w:t>Serving the documents</w:t>
      </w:r>
    </w:p>
    <w:p w14:paraId="4C421EAC" w14:textId="77777777" w:rsidR="008F1AE8" w:rsidRDefault="008F1AE8" w:rsidP="008F1AE8">
      <w:pPr>
        <w:rPr>
          <w:rFonts w:cs="Arial"/>
        </w:rPr>
      </w:pPr>
      <w:r w:rsidRPr="004175BA">
        <w:t>Once your application has been accepted for filing, you must</w:t>
      </w:r>
      <w:r>
        <w:t xml:space="preserve"> </w:t>
      </w:r>
      <w:r w:rsidRPr="008F1AE8">
        <w:t>serve your application (along with a copy of the accompanying documents) on each defendant within 7 days of it being filed</w:t>
      </w:r>
      <w:r>
        <w:t>.</w:t>
      </w:r>
    </w:p>
    <w:p w14:paraId="1F9F782A" w14:textId="77777777" w:rsidR="00EB7613" w:rsidRDefault="00EB7613" w:rsidP="00EB7613"/>
    <w:p w14:paraId="43D1A844" w14:textId="77777777" w:rsidR="00EB7613" w:rsidRPr="004175BA" w:rsidRDefault="00EB7613" w:rsidP="00EB7613">
      <w:pPr>
        <w:pStyle w:val="Heading3"/>
      </w:pPr>
      <w:r>
        <w:t>What happens once the application has been filed.</w:t>
      </w:r>
    </w:p>
    <w:p w14:paraId="5D311DB4" w14:textId="77777777" w:rsidR="00E75EFA" w:rsidRPr="005C6A52" w:rsidRDefault="00E75EFA" w:rsidP="00DA2E05">
      <w:pPr>
        <w:jc w:val="both"/>
        <w:rPr>
          <w:rFonts w:cs="Arial"/>
          <w:szCs w:val="23"/>
        </w:rPr>
      </w:pPr>
      <w:r w:rsidRPr="005C6A52">
        <w:rPr>
          <w:rFonts w:cs="Arial"/>
          <w:szCs w:val="23"/>
        </w:rPr>
        <w:t>A defendant to an application must file an appearance within 14 days of service (Rule 25.06) and a response within 28 days of service (Rule 25.07.1).  Rule 25.07 provides that a response must be in Form 12A.</w:t>
      </w:r>
    </w:p>
    <w:p w14:paraId="404D7CE6" w14:textId="77777777" w:rsidR="005C6A52" w:rsidRPr="005C6A52" w:rsidRDefault="005C6A52" w:rsidP="00DA2E05">
      <w:pPr>
        <w:jc w:val="both"/>
        <w:rPr>
          <w:rFonts w:cs="Arial"/>
          <w:szCs w:val="23"/>
        </w:rPr>
      </w:pPr>
    </w:p>
    <w:p w14:paraId="77BD5CB7" w14:textId="77777777" w:rsidR="00751C45" w:rsidRDefault="00751C45" w:rsidP="005C6A52">
      <w:pPr>
        <w:jc w:val="both"/>
        <w:rPr>
          <w:rFonts w:cs="Arial"/>
          <w:szCs w:val="23"/>
        </w:rPr>
      </w:pPr>
      <w:r w:rsidRPr="005C6A52">
        <w:rPr>
          <w:rFonts w:cs="Arial"/>
          <w:szCs w:val="23"/>
        </w:rPr>
        <w:t>A plaintiff may file a reply within 7 days from service of a response (Rule 25.08.1).</w:t>
      </w:r>
    </w:p>
    <w:p w14:paraId="369ADE87" w14:textId="77777777" w:rsidR="005C6A52" w:rsidRPr="005C6A52" w:rsidRDefault="005C6A52" w:rsidP="005C6A52">
      <w:pPr>
        <w:jc w:val="both"/>
        <w:rPr>
          <w:rFonts w:cs="Arial"/>
          <w:szCs w:val="23"/>
        </w:rPr>
      </w:pPr>
    </w:p>
    <w:p w14:paraId="6E57B93B" w14:textId="77777777" w:rsidR="00731025" w:rsidRPr="005C6A52" w:rsidRDefault="00841F48" w:rsidP="00EB7613">
      <w:pPr>
        <w:pStyle w:val="Heading4"/>
      </w:pPr>
      <w:r w:rsidRPr="005C6A52">
        <w:t xml:space="preserve">IMPORTANT </w:t>
      </w:r>
    </w:p>
    <w:p w14:paraId="366A049F" w14:textId="77777777" w:rsidR="005C6A52" w:rsidRPr="005C6A52" w:rsidRDefault="00841F48" w:rsidP="005C6A52">
      <w:pPr>
        <w:jc w:val="both"/>
        <w:rPr>
          <w:rFonts w:cs="Arial"/>
          <w:szCs w:val="23"/>
        </w:rPr>
      </w:pPr>
      <w:r w:rsidRPr="005C6A52">
        <w:rPr>
          <w:rFonts w:cs="Arial"/>
          <w:szCs w:val="23"/>
        </w:rPr>
        <w:t xml:space="preserve">The above information is intended only as a procedural guide. It is recommended that intending applicants seek legal advice before commencing proceedings. In any event, intending applicants should familiarise themselves with the requirements of the </w:t>
      </w:r>
      <w:r w:rsidRPr="005C6A52">
        <w:rPr>
          <w:rFonts w:cs="Arial"/>
          <w:i/>
          <w:szCs w:val="23"/>
        </w:rPr>
        <w:t>High Court Rules 2004</w:t>
      </w:r>
      <w:r w:rsidRPr="005C6A52">
        <w:rPr>
          <w:rFonts w:cs="Arial"/>
          <w:szCs w:val="23"/>
        </w:rPr>
        <w:t xml:space="preserve">, in particular with Rule 25 and the relevant legislation relating to their application. </w:t>
      </w:r>
    </w:p>
    <w:sectPr w:rsidR="005C6A52" w:rsidRPr="005C6A52" w:rsidSect="005C6A52">
      <w:footerReference w:type="default" r:id="rId8"/>
      <w:pgSz w:w="11906" w:h="16838"/>
      <w:pgMar w:top="992" w:right="1418" w:bottom="709" w:left="1418" w:header="709" w:footer="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D64EB" w14:textId="77777777" w:rsidR="005B4041" w:rsidRDefault="005B4041" w:rsidP="005C6A52">
      <w:r>
        <w:separator/>
      </w:r>
    </w:p>
  </w:endnote>
  <w:endnote w:type="continuationSeparator" w:id="0">
    <w:p w14:paraId="177C3D02" w14:textId="77777777" w:rsidR="005B4041" w:rsidRDefault="005B4041" w:rsidP="005C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5A42" w14:textId="36A6677E" w:rsidR="00CA3255" w:rsidRPr="00425883" w:rsidRDefault="00CA3255" w:rsidP="00CA3255">
    <w:pPr>
      <w:pStyle w:val="Header"/>
      <w:rPr>
        <w:sz w:val="16"/>
        <w:szCs w:val="16"/>
      </w:rPr>
    </w:pPr>
    <w:r w:rsidRPr="00425883">
      <w:rPr>
        <w:sz w:val="16"/>
        <w:szCs w:val="16"/>
      </w:rPr>
      <w:t xml:space="preserve">Last updated </w:t>
    </w:r>
    <w:r w:rsidRPr="00425883">
      <w:rPr>
        <w:sz w:val="16"/>
        <w:szCs w:val="16"/>
      </w:rPr>
      <w:fldChar w:fldCharType="begin"/>
    </w:r>
    <w:r w:rsidRPr="00425883">
      <w:rPr>
        <w:sz w:val="16"/>
        <w:szCs w:val="16"/>
      </w:rPr>
      <w:instrText xml:space="preserve"> DATE \@ "d/MM/yyyy" </w:instrText>
    </w:r>
    <w:r w:rsidRPr="00425883">
      <w:rPr>
        <w:sz w:val="16"/>
        <w:szCs w:val="16"/>
      </w:rPr>
      <w:fldChar w:fldCharType="separate"/>
    </w:r>
    <w:r w:rsidR="003213B8">
      <w:rPr>
        <w:noProof/>
        <w:sz w:val="16"/>
        <w:szCs w:val="16"/>
      </w:rPr>
      <w:t>20/03/2024</w:t>
    </w:r>
    <w:r w:rsidRPr="0042588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008BA" w14:textId="77777777" w:rsidR="005B4041" w:rsidRDefault="005B4041" w:rsidP="005C6A52">
      <w:r>
        <w:separator/>
      </w:r>
    </w:p>
  </w:footnote>
  <w:footnote w:type="continuationSeparator" w:id="0">
    <w:p w14:paraId="6D924D16" w14:textId="77777777" w:rsidR="005B4041" w:rsidRDefault="005B4041" w:rsidP="005C6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E25B8"/>
    <w:multiLevelType w:val="hybridMultilevel"/>
    <w:tmpl w:val="71D4689A"/>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45DA7BA1"/>
    <w:multiLevelType w:val="hybridMultilevel"/>
    <w:tmpl w:val="7AB027D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16cid:durableId="827752160">
    <w:abstractNumId w:val="1"/>
  </w:num>
  <w:num w:numId="2" w16cid:durableId="449127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25"/>
    <w:rsid w:val="000D237F"/>
    <w:rsid w:val="00130782"/>
    <w:rsid w:val="001762E1"/>
    <w:rsid w:val="001925ED"/>
    <w:rsid w:val="002D0308"/>
    <w:rsid w:val="002E6CDE"/>
    <w:rsid w:val="003213B8"/>
    <w:rsid w:val="0033404D"/>
    <w:rsid w:val="004175BA"/>
    <w:rsid w:val="00425883"/>
    <w:rsid w:val="00465E41"/>
    <w:rsid w:val="00490262"/>
    <w:rsid w:val="005B4041"/>
    <w:rsid w:val="005C6A52"/>
    <w:rsid w:val="00674EE6"/>
    <w:rsid w:val="006F313D"/>
    <w:rsid w:val="00731025"/>
    <w:rsid w:val="00751C45"/>
    <w:rsid w:val="00840B46"/>
    <w:rsid w:val="00841F48"/>
    <w:rsid w:val="008C068C"/>
    <w:rsid w:val="008F1AE8"/>
    <w:rsid w:val="008F4B59"/>
    <w:rsid w:val="00936781"/>
    <w:rsid w:val="00A00427"/>
    <w:rsid w:val="00A5744B"/>
    <w:rsid w:val="00B24EF9"/>
    <w:rsid w:val="00BC4C69"/>
    <w:rsid w:val="00BD0BE2"/>
    <w:rsid w:val="00C008F7"/>
    <w:rsid w:val="00C15498"/>
    <w:rsid w:val="00C84858"/>
    <w:rsid w:val="00CA3255"/>
    <w:rsid w:val="00D51C00"/>
    <w:rsid w:val="00D64C1C"/>
    <w:rsid w:val="00D90D1A"/>
    <w:rsid w:val="00DA2E05"/>
    <w:rsid w:val="00DC49E1"/>
    <w:rsid w:val="00E75EFA"/>
    <w:rsid w:val="00EB76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81246E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68C"/>
    <w:rPr>
      <w:rFonts w:ascii="Times New Roman" w:hAnsi="Times New Roman" w:cs="Times New Roman"/>
      <w:sz w:val="24"/>
      <w:szCs w:val="22"/>
      <w:lang w:eastAsia="en-US"/>
    </w:rPr>
  </w:style>
  <w:style w:type="paragraph" w:styleId="Heading1">
    <w:name w:val="heading 1"/>
    <w:basedOn w:val="Normal"/>
    <w:next w:val="Normal"/>
    <w:link w:val="Heading1Char"/>
    <w:uiPriority w:val="9"/>
    <w:qFormat/>
    <w:rsid w:val="008C068C"/>
    <w:pPr>
      <w:keepNext/>
      <w:spacing w:before="240" w:after="60"/>
      <w:jc w:val="center"/>
      <w:outlineLvl w:val="0"/>
    </w:pPr>
    <w:rPr>
      <w:rFonts w:eastAsiaTheme="majorEastAsia"/>
      <w:bCs/>
      <w:smallCaps/>
      <w:color w:val="2E74B5" w:themeColor="accent1" w:themeShade="BF"/>
      <w:kern w:val="32"/>
      <w:sz w:val="32"/>
      <w:szCs w:val="32"/>
    </w:rPr>
  </w:style>
  <w:style w:type="paragraph" w:styleId="Heading2">
    <w:name w:val="heading 2"/>
    <w:basedOn w:val="Normal"/>
    <w:next w:val="Normal"/>
    <w:link w:val="Heading2Char"/>
    <w:uiPriority w:val="9"/>
    <w:unhideWhenUsed/>
    <w:qFormat/>
    <w:rsid w:val="008C068C"/>
    <w:pPr>
      <w:keepNext/>
      <w:spacing w:before="120"/>
      <w:outlineLvl w:val="1"/>
    </w:pPr>
    <w:rPr>
      <w:rFonts w:eastAsiaTheme="majorEastAsia"/>
      <w:bCs/>
      <w:iCs/>
      <w:color w:val="2E74B5" w:themeColor="accent1" w:themeShade="BF"/>
      <w:sz w:val="26"/>
      <w:szCs w:val="28"/>
    </w:rPr>
  </w:style>
  <w:style w:type="paragraph" w:styleId="Heading3">
    <w:name w:val="heading 3"/>
    <w:basedOn w:val="Normal"/>
    <w:next w:val="Normal"/>
    <w:link w:val="Heading3Char"/>
    <w:uiPriority w:val="9"/>
    <w:unhideWhenUsed/>
    <w:qFormat/>
    <w:rsid w:val="008C068C"/>
    <w:pPr>
      <w:keepNext/>
      <w:outlineLvl w:val="2"/>
    </w:pPr>
    <w:rPr>
      <w:rFonts w:eastAsiaTheme="majorEastAsia"/>
      <w:b/>
      <w:bCs/>
      <w:color w:val="1F3864" w:themeColor="accent5" w:themeShade="80"/>
      <w:szCs w:val="26"/>
    </w:rPr>
  </w:style>
  <w:style w:type="paragraph" w:styleId="Heading4">
    <w:name w:val="heading 4"/>
    <w:basedOn w:val="Normal"/>
    <w:next w:val="Normal"/>
    <w:link w:val="Heading4Char"/>
    <w:uiPriority w:val="9"/>
    <w:unhideWhenUsed/>
    <w:qFormat/>
    <w:rsid w:val="00EB7613"/>
    <w:pPr>
      <w:keepNext/>
      <w:spacing w:before="120"/>
      <w:outlineLvl w:val="3"/>
    </w:pPr>
    <w:rPr>
      <w:rFonts w:eastAsiaTheme="minorEastAsia"/>
      <w:bCs/>
      <w:color w:val="9CC2E5" w:themeColor="accent1" w:themeTint="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068C"/>
    <w:rPr>
      <w:rFonts w:ascii="Times New Roman" w:eastAsiaTheme="majorEastAsia" w:hAnsi="Times New Roman" w:cs="Times New Roman"/>
      <w:bCs/>
      <w:smallCaps/>
      <w:color w:val="2E74B5" w:themeColor="accent1" w:themeShade="BF"/>
      <w:kern w:val="32"/>
      <w:sz w:val="32"/>
      <w:szCs w:val="32"/>
      <w:lang w:val="x-none" w:eastAsia="en-US"/>
    </w:rPr>
  </w:style>
  <w:style w:type="character" w:customStyle="1" w:styleId="Heading2Char">
    <w:name w:val="Heading 2 Char"/>
    <w:basedOn w:val="DefaultParagraphFont"/>
    <w:link w:val="Heading2"/>
    <w:uiPriority w:val="9"/>
    <w:locked/>
    <w:rsid w:val="008C068C"/>
    <w:rPr>
      <w:rFonts w:ascii="Times New Roman" w:eastAsiaTheme="majorEastAsia" w:hAnsi="Times New Roman" w:cs="Times New Roman"/>
      <w:bCs/>
      <w:iCs/>
      <w:color w:val="2E74B5" w:themeColor="accent1" w:themeShade="BF"/>
      <w:sz w:val="28"/>
      <w:szCs w:val="28"/>
      <w:lang w:val="x-none" w:eastAsia="en-US"/>
    </w:rPr>
  </w:style>
  <w:style w:type="character" w:customStyle="1" w:styleId="Heading3Char">
    <w:name w:val="Heading 3 Char"/>
    <w:basedOn w:val="DefaultParagraphFont"/>
    <w:link w:val="Heading3"/>
    <w:uiPriority w:val="9"/>
    <w:locked/>
    <w:rsid w:val="008C068C"/>
    <w:rPr>
      <w:rFonts w:ascii="Times New Roman" w:eastAsiaTheme="majorEastAsia" w:hAnsi="Times New Roman" w:cs="Times New Roman"/>
      <w:b/>
      <w:bCs/>
      <w:color w:val="1F3864" w:themeColor="accent5" w:themeShade="80"/>
      <w:sz w:val="26"/>
      <w:szCs w:val="26"/>
      <w:lang w:val="x-none" w:eastAsia="en-US"/>
    </w:rPr>
  </w:style>
  <w:style w:type="character" w:customStyle="1" w:styleId="Heading4Char">
    <w:name w:val="Heading 4 Char"/>
    <w:basedOn w:val="DefaultParagraphFont"/>
    <w:link w:val="Heading4"/>
    <w:uiPriority w:val="9"/>
    <w:locked/>
    <w:rsid w:val="00EB7613"/>
    <w:rPr>
      <w:rFonts w:ascii="Times New Roman" w:eastAsiaTheme="minorEastAsia" w:hAnsi="Times New Roman" w:cs="Times New Roman"/>
      <w:bCs/>
      <w:color w:val="9CC2E5" w:themeColor="accent1" w:themeTint="99"/>
      <w:sz w:val="28"/>
      <w:szCs w:val="28"/>
      <w:lang w:val="x-none" w:eastAsia="en-US"/>
    </w:rPr>
  </w:style>
  <w:style w:type="paragraph" w:styleId="Header">
    <w:name w:val="header"/>
    <w:basedOn w:val="Normal"/>
    <w:link w:val="HeaderChar"/>
    <w:uiPriority w:val="99"/>
    <w:unhideWhenUsed/>
    <w:rsid w:val="005C6A52"/>
    <w:pPr>
      <w:tabs>
        <w:tab w:val="center" w:pos="4513"/>
        <w:tab w:val="right" w:pos="9026"/>
      </w:tabs>
    </w:pPr>
  </w:style>
  <w:style w:type="character" w:customStyle="1" w:styleId="HeaderChar">
    <w:name w:val="Header Char"/>
    <w:basedOn w:val="DefaultParagraphFont"/>
    <w:link w:val="Header"/>
    <w:uiPriority w:val="99"/>
    <w:locked/>
    <w:rsid w:val="005C6A52"/>
    <w:rPr>
      <w:rFonts w:cs="Times New Roman"/>
      <w:sz w:val="22"/>
      <w:szCs w:val="22"/>
      <w:lang w:val="x-none" w:eastAsia="en-US"/>
    </w:rPr>
  </w:style>
  <w:style w:type="paragraph" w:styleId="Footer">
    <w:name w:val="footer"/>
    <w:basedOn w:val="Normal"/>
    <w:link w:val="FooterChar"/>
    <w:uiPriority w:val="99"/>
    <w:unhideWhenUsed/>
    <w:rsid w:val="005C6A52"/>
    <w:pPr>
      <w:tabs>
        <w:tab w:val="center" w:pos="4513"/>
        <w:tab w:val="right" w:pos="9026"/>
      </w:tabs>
    </w:pPr>
  </w:style>
  <w:style w:type="character" w:customStyle="1" w:styleId="FooterChar">
    <w:name w:val="Footer Char"/>
    <w:basedOn w:val="DefaultParagraphFont"/>
    <w:link w:val="Footer"/>
    <w:uiPriority w:val="99"/>
    <w:locked/>
    <w:rsid w:val="005C6A52"/>
    <w:rPr>
      <w:rFonts w:cs="Times New Roman"/>
      <w:sz w:val="22"/>
      <w:szCs w:val="22"/>
      <w:lang w:val="x-none" w:eastAsia="en-US"/>
    </w:rPr>
  </w:style>
  <w:style w:type="paragraph" w:styleId="ListParagraph">
    <w:name w:val="List Paragraph"/>
    <w:basedOn w:val="Normal"/>
    <w:uiPriority w:val="34"/>
    <w:qFormat/>
    <w:rsid w:val="008F1A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973E4-4ED1-4573-AF7C-627D422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3284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2024-03-19T04:00:00Z</dcterms:created>
  <dcterms:modified xsi:type="dcterms:W3CDTF">2024-03-20T01:29:00Z</dcterms:modified>
</cp:coreProperties>
</file>