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65" w:rsidRPr="005762A4" w:rsidRDefault="00C73065" w:rsidP="00C73065">
      <w:pPr>
        <w:pStyle w:val="BodyText"/>
        <w:spacing w:before="240"/>
        <w:jc w:val="center"/>
        <w:rPr>
          <w:rFonts w:ascii="Arial" w:eastAsia="Times New Roman" w:hAnsi="Arial" w:cs="Arial"/>
          <w:b/>
          <w:bCs/>
          <w:smallCaps/>
          <w:color w:val="000000"/>
          <w:w w:val="0"/>
          <w:sz w:val="32"/>
          <w:szCs w:val="32"/>
          <w:lang w:val="en-AU"/>
        </w:rPr>
      </w:pPr>
      <w:bookmarkStart w:id="0" w:name="_GoBack"/>
      <w:bookmarkEnd w:id="0"/>
      <w:r>
        <w:rPr>
          <w:rFonts w:ascii="Arial" w:eastAsia="Times New Roman" w:hAnsi="Arial" w:cs="Arial"/>
          <w:b/>
          <w:bCs/>
          <w:smallCaps/>
          <w:color w:val="000000"/>
          <w:w w:val="0"/>
          <w:sz w:val="32"/>
          <w:szCs w:val="32"/>
          <w:lang w:val="en-AU"/>
        </w:rPr>
        <w:t>High Court of Australia</w:t>
      </w:r>
    </w:p>
    <w:p w:rsidR="00C73065" w:rsidRPr="005762A4" w:rsidRDefault="00C73065" w:rsidP="00C73065">
      <w:pPr>
        <w:pStyle w:val="BodyText"/>
        <w:spacing w:before="240"/>
        <w:jc w:val="center"/>
        <w:rPr>
          <w:rFonts w:ascii="Arial" w:eastAsia="Times New Roman" w:hAnsi="Arial" w:cs="Arial"/>
          <w:b/>
          <w:bCs/>
          <w:smallCaps/>
          <w:color w:val="000000"/>
          <w:w w:val="0"/>
          <w:sz w:val="32"/>
          <w:szCs w:val="32"/>
          <w:lang w:val="en-AU"/>
        </w:rPr>
      </w:pPr>
      <w:bookmarkStart w:id="1" w:name="_DV_M756"/>
      <w:bookmarkEnd w:id="1"/>
      <w:r w:rsidRPr="005762A4">
        <w:rPr>
          <w:rFonts w:ascii="Arial" w:eastAsia="Times New Roman" w:hAnsi="Arial" w:cs="Arial"/>
          <w:b/>
          <w:bCs/>
          <w:smallCaps/>
          <w:color w:val="000000"/>
          <w:w w:val="0"/>
          <w:sz w:val="32"/>
          <w:szCs w:val="32"/>
          <w:lang w:val="en-AU"/>
        </w:rPr>
        <w:t>Request for Quotation (RFQ)</w:t>
      </w:r>
    </w:p>
    <w:p w:rsidR="00C73065" w:rsidRDefault="00C73065" w:rsidP="00C73065">
      <w:pPr>
        <w:pStyle w:val="BodyText"/>
        <w:keepNext/>
        <w:pBdr>
          <w:bottom w:val="single" w:sz="12" w:space="1" w:color="auto"/>
        </w:pBdr>
        <w:rPr>
          <w:rFonts w:ascii="Arial" w:eastAsia="Times New Roman" w:hAnsi="Arial" w:cs="Arial"/>
          <w:b/>
          <w:bCs/>
          <w:color w:val="000000"/>
          <w:w w:val="0"/>
          <w:sz w:val="22"/>
          <w:szCs w:val="22"/>
          <w:lang w:val="en-AU"/>
        </w:rPr>
      </w:pPr>
    </w:p>
    <w:p w:rsidR="00C73065" w:rsidRPr="00CC370D"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2"/>
          <w:szCs w:val="22"/>
          <w:lang w:val="en-AU"/>
        </w:rPr>
      </w:pPr>
      <w:r w:rsidRPr="00CC370D">
        <w:rPr>
          <w:rFonts w:ascii="Arial" w:eastAsia="Times New Roman" w:hAnsi="Arial" w:cs="Arial"/>
          <w:b/>
          <w:bCs/>
          <w:color w:val="000000"/>
          <w:w w:val="0"/>
          <w:sz w:val="22"/>
          <w:szCs w:val="22"/>
          <w:lang w:val="en-AU"/>
        </w:rPr>
        <w:t>INTRODUCTION</w:t>
      </w:r>
    </w:p>
    <w:p w:rsidR="00ED589E" w:rsidRDefault="00ED589E" w:rsidP="00C73065">
      <w:pPr>
        <w:keepNext/>
        <w:ind w:left="360"/>
        <w:rPr>
          <w:rFonts w:ascii="Arial" w:eastAsia="Times New Roman" w:hAnsi="Arial" w:cs="Arial"/>
          <w:color w:val="000000"/>
          <w:w w:val="0"/>
          <w:sz w:val="24"/>
          <w:szCs w:val="24"/>
        </w:rPr>
      </w:pPr>
      <w:bookmarkStart w:id="2" w:name="_DV_M760"/>
      <w:bookmarkStart w:id="3" w:name="_DV_M761"/>
      <w:bookmarkEnd w:id="2"/>
      <w:bookmarkEnd w:id="3"/>
    </w:p>
    <w:p w:rsidR="00C73065" w:rsidRPr="00815FCB" w:rsidRDefault="00C73065" w:rsidP="00C73065">
      <w:pPr>
        <w:keepNext/>
        <w:ind w:left="360"/>
        <w:rPr>
          <w:rFonts w:ascii="Arial" w:eastAsia="Times New Roman" w:hAnsi="Arial" w:cs="Arial"/>
          <w:w w:val="0"/>
          <w:sz w:val="24"/>
          <w:szCs w:val="24"/>
        </w:rPr>
      </w:pPr>
      <w:r w:rsidRPr="00815FCB">
        <w:rPr>
          <w:rFonts w:ascii="Arial" w:eastAsia="Times New Roman" w:hAnsi="Arial" w:cs="Arial"/>
          <w:w w:val="0"/>
          <w:sz w:val="24"/>
          <w:szCs w:val="24"/>
        </w:rPr>
        <w:t>The purpose of this RFQ is for the High Court of Australia (the Court) to obtain quotations from Service Providers for the creation of an oral history project to celebrate the 40</w:t>
      </w:r>
      <w:r w:rsidRPr="00815FCB">
        <w:rPr>
          <w:rFonts w:ascii="Arial" w:eastAsia="Times New Roman" w:hAnsi="Arial" w:cs="Arial"/>
          <w:w w:val="0"/>
          <w:sz w:val="24"/>
          <w:szCs w:val="24"/>
          <w:vertAlign w:val="superscript"/>
        </w:rPr>
        <w:t>th</w:t>
      </w:r>
      <w:r w:rsidRPr="00815FCB">
        <w:rPr>
          <w:rFonts w:ascii="Arial" w:eastAsia="Times New Roman" w:hAnsi="Arial" w:cs="Arial"/>
          <w:w w:val="0"/>
          <w:sz w:val="24"/>
          <w:szCs w:val="24"/>
        </w:rPr>
        <w:t xml:space="preserve"> anniversary of opening of the building of the High Court in Canberra.  The High Court is a unique and </w:t>
      </w:r>
      <w:r w:rsidR="00D540B2" w:rsidRPr="00815FCB">
        <w:rPr>
          <w:rFonts w:ascii="Arial" w:eastAsia="Times New Roman" w:hAnsi="Arial" w:cs="Arial"/>
          <w:w w:val="0"/>
          <w:sz w:val="24"/>
          <w:szCs w:val="24"/>
        </w:rPr>
        <w:t>architecturally</w:t>
      </w:r>
      <w:r w:rsidRPr="00815FCB">
        <w:rPr>
          <w:rFonts w:ascii="Arial" w:eastAsia="Times New Roman" w:hAnsi="Arial" w:cs="Arial"/>
          <w:w w:val="0"/>
          <w:sz w:val="24"/>
          <w:szCs w:val="24"/>
        </w:rPr>
        <w:t xml:space="preserve"> significant building.  Its design was the </w:t>
      </w:r>
      <w:r w:rsidR="00D540B2" w:rsidRPr="00815FCB">
        <w:rPr>
          <w:rFonts w:ascii="Arial" w:eastAsia="Times New Roman" w:hAnsi="Arial" w:cs="Arial"/>
          <w:w w:val="0"/>
          <w:sz w:val="24"/>
          <w:szCs w:val="24"/>
        </w:rPr>
        <w:t>culmination</w:t>
      </w:r>
      <w:r w:rsidRPr="00815FCB">
        <w:rPr>
          <w:rFonts w:ascii="Arial" w:eastAsia="Times New Roman" w:hAnsi="Arial" w:cs="Arial"/>
          <w:w w:val="0"/>
          <w:sz w:val="24"/>
          <w:szCs w:val="24"/>
        </w:rPr>
        <w:t xml:space="preserve"> of a national competition and its construction took place between 1976 and 1980.  Its interior design, artworks and </w:t>
      </w:r>
      <w:r w:rsidR="00D540B2" w:rsidRPr="00815FCB">
        <w:rPr>
          <w:rFonts w:ascii="Arial" w:eastAsia="Times New Roman" w:hAnsi="Arial" w:cs="Arial"/>
          <w:w w:val="0"/>
          <w:sz w:val="24"/>
          <w:szCs w:val="24"/>
        </w:rPr>
        <w:t>furnishings</w:t>
      </w:r>
      <w:r w:rsidRPr="00815FCB">
        <w:rPr>
          <w:rFonts w:ascii="Arial" w:eastAsia="Times New Roman" w:hAnsi="Arial" w:cs="Arial"/>
          <w:w w:val="0"/>
          <w:sz w:val="24"/>
          <w:szCs w:val="24"/>
        </w:rPr>
        <w:t xml:space="preserve"> were also integral to the project to construct a building for the nation which reflected the significance of the High Court at the apex of the judicial branch of government.</w:t>
      </w:r>
    </w:p>
    <w:p w:rsidR="00C73065" w:rsidRPr="00815FCB" w:rsidRDefault="00C73065" w:rsidP="00C73065">
      <w:pPr>
        <w:keepNext/>
        <w:ind w:left="360"/>
        <w:rPr>
          <w:rFonts w:ascii="Arial" w:eastAsia="Times New Roman" w:hAnsi="Arial" w:cs="Arial"/>
          <w:w w:val="0"/>
          <w:sz w:val="24"/>
          <w:szCs w:val="24"/>
        </w:rPr>
      </w:pPr>
      <w:r w:rsidRPr="00815FCB">
        <w:rPr>
          <w:rFonts w:ascii="Arial" w:eastAsia="Times New Roman" w:hAnsi="Arial" w:cs="Arial"/>
          <w:w w:val="0"/>
          <w:sz w:val="24"/>
          <w:szCs w:val="24"/>
        </w:rPr>
        <w:t>The Court seeks expressions of interests and quotations from historians, particularly historians with experience and skills in oral history and with an interest in design and architecture</w:t>
      </w:r>
      <w:r w:rsidR="006F29F6" w:rsidRPr="00815FCB">
        <w:rPr>
          <w:rFonts w:ascii="Arial" w:eastAsia="Times New Roman" w:hAnsi="Arial" w:cs="Arial"/>
          <w:w w:val="0"/>
          <w:sz w:val="24"/>
          <w:szCs w:val="24"/>
        </w:rPr>
        <w:t>.</w:t>
      </w:r>
      <w:r w:rsidRPr="00815FCB">
        <w:rPr>
          <w:rFonts w:ascii="Arial" w:eastAsia="Times New Roman" w:hAnsi="Arial" w:cs="Arial"/>
          <w:w w:val="0"/>
          <w:sz w:val="24"/>
          <w:szCs w:val="24"/>
        </w:rPr>
        <w:t xml:space="preserve"> The Court will select one Service Provider and enter into an Official Order for Services.</w:t>
      </w:r>
    </w:p>
    <w:p w:rsidR="002735FA" w:rsidRPr="00815FCB" w:rsidRDefault="00ED589E" w:rsidP="002735FA">
      <w:pPr>
        <w:spacing w:after="180" w:line="270" w:lineRule="atLeast"/>
        <w:ind w:left="360"/>
        <w:rPr>
          <w:rFonts w:ascii="Arial" w:eastAsia="Times New Roman" w:hAnsi="Arial" w:cs="Arial"/>
          <w:sz w:val="24"/>
          <w:szCs w:val="24"/>
          <w:lang w:eastAsia="en-AU"/>
        </w:rPr>
      </w:pPr>
      <w:r w:rsidRPr="00815FCB">
        <w:rPr>
          <w:rFonts w:ascii="Arial" w:eastAsia="Times New Roman" w:hAnsi="Arial" w:cs="Arial"/>
          <w:sz w:val="24"/>
          <w:szCs w:val="24"/>
          <w:lang w:eastAsia="en-AU"/>
        </w:rPr>
        <w:t>The building’s design fe</w:t>
      </w:r>
      <w:r w:rsidR="006F29F6" w:rsidRPr="00815FCB">
        <w:rPr>
          <w:rFonts w:ascii="Arial" w:eastAsia="Times New Roman" w:hAnsi="Arial" w:cs="Arial"/>
          <w:sz w:val="24"/>
          <w:szCs w:val="24"/>
          <w:lang w:eastAsia="en-AU"/>
        </w:rPr>
        <w:t xml:space="preserve">atures and genesis are </w:t>
      </w:r>
      <w:r w:rsidR="00D27337" w:rsidRPr="00815FCB">
        <w:rPr>
          <w:rFonts w:ascii="Arial" w:eastAsia="Times New Roman" w:hAnsi="Arial" w:cs="Arial"/>
          <w:sz w:val="24"/>
          <w:szCs w:val="24"/>
          <w:lang w:eastAsia="en-AU"/>
        </w:rPr>
        <w:t>well documented</w:t>
      </w:r>
      <w:r w:rsidRPr="00815FCB">
        <w:rPr>
          <w:rFonts w:ascii="Arial" w:eastAsia="Times New Roman" w:hAnsi="Arial" w:cs="Arial"/>
          <w:sz w:val="24"/>
          <w:szCs w:val="24"/>
          <w:lang w:eastAsia="en-AU"/>
        </w:rPr>
        <w:t>.  What is less known is the construction phase of the building</w:t>
      </w:r>
      <w:r w:rsidR="006F29F6" w:rsidRPr="00815FCB">
        <w:rPr>
          <w:rFonts w:ascii="Arial" w:eastAsia="Times New Roman" w:hAnsi="Arial" w:cs="Arial"/>
          <w:sz w:val="24"/>
          <w:szCs w:val="24"/>
          <w:lang w:eastAsia="en-AU"/>
        </w:rPr>
        <w:t>, its fit-out with artworks and furnishings,</w:t>
      </w:r>
      <w:r w:rsidRPr="00815FCB">
        <w:rPr>
          <w:rFonts w:ascii="Arial" w:eastAsia="Times New Roman" w:hAnsi="Arial" w:cs="Arial"/>
          <w:sz w:val="24"/>
          <w:szCs w:val="24"/>
          <w:lang w:eastAsia="en-AU"/>
        </w:rPr>
        <w:t xml:space="preserve"> and the experiences of and challenges faced by those involved in that phase of the building’s history. </w:t>
      </w:r>
      <w:r w:rsidR="006F29F6" w:rsidRPr="00815FCB">
        <w:rPr>
          <w:rFonts w:ascii="Arial" w:eastAsia="Times New Roman" w:hAnsi="Arial" w:cs="Arial"/>
          <w:sz w:val="24"/>
          <w:szCs w:val="24"/>
          <w:lang w:eastAsia="en-AU"/>
        </w:rPr>
        <w:t xml:space="preserve">It is these which that the oral history project will seek to capture.  </w:t>
      </w:r>
      <w:r w:rsidRPr="00815FCB">
        <w:rPr>
          <w:rFonts w:ascii="Arial" w:eastAsia="Times New Roman" w:hAnsi="Arial" w:cs="Arial"/>
          <w:sz w:val="24"/>
          <w:szCs w:val="24"/>
          <w:lang w:eastAsia="en-AU"/>
        </w:rPr>
        <w:t xml:space="preserve">Given the passage of time, it is considered that there will be fewer opportunities to record the experiences of those involved in the design and construction of the building and that it is timely to record such things where possible. </w:t>
      </w:r>
    </w:p>
    <w:p w:rsidR="00C73065" w:rsidRPr="00F920C9" w:rsidRDefault="00C73065" w:rsidP="00C73065">
      <w:pPr>
        <w:keepNext/>
        <w:numPr>
          <w:ilvl w:val="0"/>
          <w:numId w:val="1"/>
        </w:numPr>
        <w:pBdr>
          <w:bottom w:val="single" w:sz="12" w:space="1" w:color="auto"/>
        </w:pBdr>
        <w:autoSpaceDE w:val="0"/>
        <w:autoSpaceDN w:val="0"/>
        <w:adjustRightInd w:val="0"/>
        <w:spacing w:before="240" w:after="0" w:line="240" w:lineRule="auto"/>
        <w:rPr>
          <w:rFonts w:ascii="Arial" w:eastAsia="Times New Roman" w:hAnsi="Arial" w:cs="Arial"/>
          <w:b/>
          <w:color w:val="000000"/>
          <w:w w:val="0"/>
        </w:rPr>
      </w:pPr>
      <w:r w:rsidRPr="00F920C9">
        <w:rPr>
          <w:rFonts w:ascii="Arial" w:eastAsia="Times New Roman" w:hAnsi="Arial" w:cs="Arial"/>
          <w:b/>
          <w:color w:val="000000"/>
          <w:w w:val="0"/>
        </w:rPr>
        <w:t>RFQ PROCESS</w:t>
      </w:r>
    </w:p>
    <w:p w:rsidR="00C73065" w:rsidRPr="00815FCB" w:rsidRDefault="00C73065" w:rsidP="00C73065">
      <w:pPr>
        <w:keepNext/>
        <w:numPr>
          <w:ilvl w:val="1"/>
          <w:numId w:val="2"/>
        </w:numPr>
        <w:autoSpaceDE w:val="0"/>
        <w:autoSpaceDN w:val="0"/>
        <w:adjustRightInd w:val="0"/>
        <w:spacing w:before="240" w:after="0" w:line="240" w:lineRule="auto"/>
        <w:ind w:left="426" w:hanging="426"/>
        <w:rPr>
          <w:rFonts w:ascii="Arial" w:eastAsia="Times New Roman" w:hAnsi="Arial" w:cs="Arial"/>
          <w:i/>
          <w:iCs/>
          <w:color w:val="000000"/>
          <w:w w:val="0"/>
          <w:sz w:val="24"/>
          <w:szCs w:val="24"/>
        </w:rPr>
      </w:pPr>
      <w:r w:rsidRPr="00815FCB">
        <w:rPr>
          <w:rFonts w:ascii="Arial" w:eastAsia="Times New Roman" w:hAnsi="Arial" w:cs="Arial"/>
          <w:color w:val="000000"/>
          <w:w w:val="0"/>
          <w:sz w:val="24"/>
          <w:szCs w:val="24"/>
        </w:rPr>
        <w:t xml:space="preserve">Responses to this RFQ must be sent to the following e-mail address </w:t>
      </w:r>
      <w:hyperlink r:id="rId7" w:history="1">
        <w:r w:rsidRPr="00815FCB">
          <w:rPr>
            <w:rStyle w:val="Hyperlink"/>
            <w:rFonts w:ascii="Arial" w:eastAsia="Times New Roman" w:hAnsi="Arial" w:cs="Arial"/>
            <w:w w:val="0"/>
            <w:sz w:val="24"/>
            <w:szCs w:val="24"/>
          </w:rPr>
          <w:t>bwickham@hcourt.gov.au</w:t>
        </w:r>
      </w:hyperlink>
    </w:p>
    <w:p w:rsidR="00C73065" w:rsidRPr="00815FCB" w:rsidRDefault="00C73065" w:rsidP="00C73065">
      <w:pPr>
        <w:keepNext/>
        <w:numPr>
          <w:ilvl w:val="1"/>
          <w:numId w:val="2"/>
        </w:numPr>
        <w:autoSpaceDE w:val="0"/>
        <w:autoSpaceDN w:val="0"/>
        <w:adjustRightInd w:val="0"/>
        <w:spacing w:before="240" w:after="0" w:line="240" w:lineRule="auto"/>
        <w:ind w:left="426" w:hanging="426"/>
        <w:rPr>
          <w:rFonts w:ascii="Arial" w:eastAsia="Times New Roman" w:hAnsi="Arial" w:cs="Arial"/>
          <w:color w:val="000000"/>
          <w:w w:val="0"/>
          <w:sz w:val="24"/>
          <w:szCs w:val="24"/>
        </w:rPr>
      </w:pPr>
      <w:r w:rsidRPr="00815FCB">
        <w:rPr>
          <w:rFonts w:ascii="Arial" w:eastAsia="Times New Roman" w:hAnsi="Arial" w:cs="Arial"/>
          <w:color w:val="000000"/>
          <w:w w:val="0"/>
          <w:sz w:val="24"/>
          <w:szCs w:val="24"/>
        </w:rPr>
        <w:t>In providing a response to this RFQ, Service Providers should address the Selection Criteria detailed in section 9 of this RFQ.</w:t>
      </w:r>
    </w:p>
    <w:p w:rsidR="00C73065" w:rsidRPr="00815FCB" w:rsidRDefault="00C73065" w:rsidP="00C73065">
      <w:pPr>
        <w:keepNext/>
        <w:numPr>
          <w:ilvl w:val="1"/>
          <w:numId w:val="2"/>
        </w:numPr>
        <w:autoSpaceDE w:val="0"/>
        <w:autoSpaceDN w:val="0"/>
        <w:adjustRightInd w:val="0"/>
        <w:spacing w:before="240" w:after="240" w:line="240" w:lineRule="auto"/>
        <w:ind w:left="426" w:hanging="426"/>
        <w:rPr>
          <w:rFonts w:ascii="Arial" w:eastAsia="Times New Roman" w:hAnsi="Arial" w:cs="Arial"/>
          <w:bCs/>
          <w:iCs/>
          <w:w w:val="0"/>
          <w:sz w:val="24"/>
          <w:szCs w:val="24"/>
        </w:rPr>
      </w:pPr>
      <w:r w:rsidRPr="00815FCB">
        <w:rPr>
          <w:rFonts w:ascii="Arial" w:eastAsia="Times New Roman" w:hAnsi="Arial" w:cs="Arial"/>
          <w:bCs/>
          <w:iCs/>
          <w:w w:val="0"/>
          <w:sz w:val="24"/>
          <w:szCs w:val="24"/>
        </w:rPr>
        <w:t xml:space="preserve">The </w:t>
      </w:r>
      <w:r w:rsidRPr="00815FCB">
        <w:rPr>
          <w:rFonts w:ascii="Arial" w:eastAsia="Times New Roman" w:hAnsi="Arial" w:cs="Arial"/>
          <w:color w:val="000000"/>
          <w:w w:val="0"/>
          <w:sz w:val="24"/>
          <w:szCs w:val="24"/>
        </w:rPr>
        <w:t>RFQ</w:t>
      </w:r>
      <w:r w:rsidRPr="00815FCB">
        <w:rPr>
          <w:rFonts w:ascii="Arial" w:eastAsia="Times New Roman" w:hAnsi="Arial" w:cs="Arial"/>
          <w:bCs/>
          <w:iCs/>
          <w:w w:val="0"/>
          <w:sz w:val="24"/>
          <w:szCs w:val="24"/>
        </w:rPr>
        <w:t xml:space="preserve"> timetable is as follows:</w:t>
      </w:r>
    </w:p>
    <w:tbl>
      <w:tblPr>
        <w:tblW w:w="79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3878"/>
      </w:tblGrid>
      <w:tr w:rsidR="00C73065" w:rsidRPr="005762A4" w:rsidTr="00566835">
        <w:tc>
          <w:tcPr>
            <w:tcW w:w="4110" w:type="dxa"/>
          </w:tcPr>
          <w:p w:rsidR="00C73065" w:rsidRPr="005762A4" w:rsidRDefault="00C73065" w:rsidP="00566835">
            <w:pPr>
              <w:pStyle w:val="BodyText"/>
              <w:spacing w:before="240"/>
              <w:rPr>
                <w:rFonts w:ascii="Arial" w:eastAsia="Times New Roman" w:hAnsi="Arial" w:cs="Arial"/>
                <w:b/>
                <w:bCs/>
                <w:iCs/>
                <w:color w:val="000000"/>
                <w:w w:val="0"/>
                <w:sz w:val="22"/>
                <w:szCs w:val="22"/>
                <w:lang w:val="en-AU"/>
              </w:rPr>
            </w:pPr>
            <w:r w:rsidRPr="005762A4">
              <w:rPr>
                <w:rFonts w:ascii="Arial" w:eastAsia="Times New Roman" w:hAnsi="Arial" w:cs="Arial"/>
                <w:b/>
                <w:bCs/>
                <w:iCs/>
                <w:color w:val="000000"/>
                <w:w w:val="0"/>
                <w:sz w:val="22"/>
                <w:szCs w:val="22"/>
                <w:lang w:val="en-AU"/>
              </w:rPr>
              <w:t>Date</w:t>
            </w:r>
          </w:p>
        </w:tc>
        <w:tc>
          <w:tcPr>
            <w:tcW w:w="3878" w:type="dxa"/>
          </w:tcPr>
          <w:p w:rsidR="00C73065" w:rsidRPr="005762A4" w:rsidRDefault="00C73065" w:rsidP="00566835">
            <w:pPr>
              <w:pStyle w:val="BodyText"/>
              <w:spacing w:before="240"/>
              <w:rPr>
                <w:rFonts w:ascii="Arial" w:eastAsia="Times New Roman" w:hAnsi="Arial" w:cs="Arial"/>
                <w:b/>
                <w:bCs/>
                <w:iCs/>
                <w:color w:val="000000"/>
                <w:w w:val="0"/>
                <w:sz w:val="22"/>
                <w:szCs w:val="22"/>
                <w:lang w:val="en-AU"/>
              </w:rPr>
            </w:pPr>
            <w:r w:rsidRPr="005762A4">
              <w:rPr>
                <w:rFonts w:ascii="Arial" w:eastAsia="Times New Roman" w:hAnsi="Arial" w:cs="Arial"/>
                <w:b/>
                <w:bCs/>
                <w:iCs/>
                <w:color w:val="000000"/>
                <w:w w:val="0"/>
                <w:sz w:val="22"/>
                <w:szCs w:val="22"/>
                <w:lang w:val="en-AU"/>
              </w:rPr>
              <w:t>Activity</w:t>
            </w:r>
          </w:p>
        </w:tc>
      </w:tr>
      <w:tr w:rsidR="00C73065" w:rsidRPr="007473E8" w:rsidTr="00566835">
        <w:tc>
          <w:tcPr>
            <w:tcW w:w="4110" w:type="dxa"/>
          </w:tcPr>
          <w:p w:rsidR="00C73065" w:rsidRPr="007473E8" w:rsidRDefault="00815FCB" w:rsidP="00815FCB">
            <w:pPr>
              <w:pStyle w:val="BodyText"/>
              <w:spacing w:before="240"/>
              <w:rPr>
                <w:rFonts w:ascii="Arial" w:eastAsia="Times New Roman" w:hAnsi="Arial" w:cs="Arial"/>
                <w:bCs/>
                <w:iCs/>
                <w:color w:val="000000"/>
                <w:w w:val="0"/>
                <w:sz w:val="24"/>
                <w:szCs w:val="24"/>
                <w:highlight w:val="yellow"/>
                <w:lang w:val="en-AU"/>
              </w:rPr>
            </w:pPr>
            <w:r>
              <w:rPr>
                <w:rFonts w:ascii="Arial" w:eastAsia="Times New Roman" w:hAnsi="Arial" w:cs="Arial"/>
                <w:bCs/>
                <w:iCs/>
                <w:color w:val="000000"/>
                <w:w w:val="0"/>
                <w:sz w:val="24"/>
                <w:szCs w:val="24"/>
                <w:lang w:val="en-AU"/>
              </w:rPr>
              <w:t>Friday 13 September 2019</w:t>
            </w:r>
          </w:p>
        </w:tc>
        <w:tc>
          <w:tcPr>
            <w:tcW w:w="3878" w:type="dxa"/>
          </w:tcPr>
          <w:p w:rsidR="00C73065" w:rsidRPr="007473E8" w:rsidRDefault="00C73065" w:rsidP="00566835">
            <w:pPr>
              <w:pStyle w:val="BodyText"/>
              <w:spacing w:before="240"/>
              <w:rPr>
                <w:rFonts w:ascii="Arial" w:eastAsia="Times New Roman" w:hAnsi="Arial" w:cs="Arial"/>
                <w:bCs/>
                <w:iCs/>
                <w:color w:val="000000"/>
                <w:w w:val="0"/>
                <w:sz w:val="24"/>
                <w:szCs w:val="24"/>
                <w:lang w:val="en-AU"/>
              </w:rPr>
            </w:pPr>
            <w:r w:rsidRPr="007473E8">
              <w:rPr>
                <w:rFonts w:ascii="Arial" w:eastAsia="Times New Roman" w:hAnsi="Arial" w:cs="Arial"/>
                <w:bCs/>
                <w:iCs/>
                <w:color w:val="000000"/>
                <w:w w:val="0"/>
                <w:sz w:val="24"/>
                <w:szCs w:val="24"/>
                <w:lang w:val="en-AU"/>
              </w:rPr>
              <w:t>RFQ Release</w:t>
            </w:r>
          </w:p>
        </w:tc>
      </w:tr>
      <w:tr w:rsidR="00C73065" w:rsidRPr="007473E8" w:rsidTr="00566835">
        <w:tc>
          <w:tcPr>
            <w:tcW w:w="4110" w:type="dxa"/>
          </w:tcPr>
          <w:p w:rsidR="00C73065" w:rsidRPr="007473E8" w:rsidRDefault="006F29F6" w:rsidP="006F29F6">
            <w:pPr>
              <w:pStyle w:val="BodyText"/>
              <w:spacing w:before="240"/>
              <w:rPr>
                <w:rFonts w:ascii="Arial" w:eastAsia="Times New Roman" w:hAnsi="Arial" w:cs="Arial"/>
                <w:bCs/>
                <w:iCs/>
                <w:color w:val="000000"/>
                <w:w w:val="0"/>
                <w:sz w:val="24"/>
                <w:szCs w:val="24"/>
                <w:highlight w:val="yellow"/>
                <w:lang w:val="en-AU"/>
              </w:rPr>
            </w:pPr>
            <w:r>
              <w:rPr>
                <w:rFonts w:ascii="Arial" w:eastAsia="Times New Roman" w:hAnsi="Arial" w:cs="Arial"/>
                <w:bCs/>
                <w:iCs/>
                <w:color w:val="000000"/>
                <w:w w:val="0"/>
                <w:sz w:val="24"/>
                <w:szCs w:val="24"/>
                <w:lang w:val="en-AU"/>
              </w:rPr>
              <w:t xml:space="preserve">Friday </w:t>
            </w:r>
            <w:r w:rsidR="00815FCB">
              <w:rPr>
                <w:rFonts w:ascii="Arial" w:eastAsia="Times New Roman" w:hAnsi="Arial" w:cs="Arial"/>
                <w:bCs/>
                <w:iCs/>
                <w:color w:val="000000"/>
                <w:w w:val="0"/>
                <w:sz w:val="24"/>
                <w:szCs w:val="24"/>
                <w:lang w:val="en-AU"/>
              </w:rPr>
              <w:t>11 October 2019</w:t>
            </w:r>
          </w:p>
        </w:tc>
        <w:tc>
          <w:tcPr>
            <w:tcW w:w="3878" w:type="dxa"/>
          </w:tcPr>
          <w:p w:rsidR="00C73065" w:rsidRPr="007473E8" w:rsidRDefault="00C73065" w:rsidP="00566835">
            <w:pPr>
              <w:pStyle w:val="BodyText"/>
              <w:spacing w:before="240"/>
              <w:rPr>
                <w:rFonts w:ascii="Arial" w:eastAsia="Times New Roman" w:hAnsi="Arial" w:cs="Arial"/>
                <w:bCs/>
                <w:iCs/>
                <w:color w:val="000000"/>
                <w:w w:val="0"/>
                <w:sz w:val="24"/>
                <w:szCs w:val="24"/>
                <w:lang w:val="en-AU"/>
              </w:rPr>
            </w:pPr>
            <w:r w:rsidRPr="007473E8">
              <w:rPr>
                <w:rFonts w:ascii="Arial" w:eastAsia="Times New Roman" w:hAnsi="Arial" w:cs="Arial"/>
                <w:bCs/>
                <w:iCs/>
                <w:color w:val="000000"/>
                <w:w w:val="0"/>
                <w:sz w:val="24"/>
                <w:szCs w:val="24"/>
                <w:lang w:val="en-AU"/>
              </w:rPr>
              <w:t>RFQ Closure</w:t>
            </w:r>
          </w:p>
        </w:tc>
      </w:tr>
      <w:tr w:rsidR="00C73065" w:rsidRPr="007473E8" w:rsidTr="00566835">
        <w:tc>
          <w:tcPr>
            <w:tcW w:w="4110" w:type="dxa"/>
          </w:tcPr>
          <w:p w:rsidR="00C73065" w:rsidRPr="007473E8" w:rsidRDefault="006F29F6" w:rsidP="00057995">
            <w:pPr>
              <w:pStyle w:val="BodyText"/>
              <w:spacing w:before="240"/>
              <w:rPr>
                <w:rFonts w:ascii="Arial" w:eastAsia="Times New Roman" w:hAnsi="Arial" w:cs="Arial"/>
                <w:bCs/>
                <w:iCs/>
                <w:color w:val="000000"/>
                <w:w w:val="0"/>
                <w:sz w:val="24"/>
                <w:szCs w:val="24"/>
                <w:highlight w:val="yellow"/>
                <w:lang w:val="en-AU"/>
              </w:rPr>
            </w:pPr>
            <w:r>
              <w:rPr>
                <w:rFonts w:ascii="Arial" w:eastAsia="Times New Roman" w:hAnsi="Arial" w:cs="Arial"/>
                <w:bCs/>
                <w:iCs/>
                <w:color w:val="000000"/>
                <w:w w:val="0"/>
                <w:sz w:val="24"/>
                <w:szCs w:val="24"/>
                <w:lang w:val="en-AU"/>
              </w:rPr>
              <w:t>Friday</w:t>
            </w:r>
            <w:r w:rsidR="00815FCB">
              <w:rPr>
                <w:rFonts w:ascii="Arial" w:eastAsia="Times New Roman" w:hAnsi="Arial" w:cs="Arial"/>
                <w:bCs/>
                <w:iCs/>
                <w:color w:val="000000"/>
                <w:w w:val="0"/>
                <w:sz w:val="24"/>
                <w:szCs w:val="24"/>
                <w:lang w:val="en-AU"/>
              </w:rPr>
              <w:t xml:space="preserve"> 18 October 2019</w:t>
            </w:r>
          </w:p>
        </w:tc>
        <w:tc>
          <w:tcPr>
            <w:tcW w:w="3878" w:type="dxa"/>
          </w:tcPr>
          <w:p w:rsidR="00C73065" w:rsidRPr="007473E8" w:rsidRDefault="00C73065" w:rsidP="00566835">
            <w:pPr>
              <w:pStyle w:val="BodyText"/>
              <w:spacing w:before="240"/>
              <w:rPr>
                <w:rFonts w:ascii="Arial" w:eastAsia="Times New Roman" w:hAnsi="Arial" w:cs="Arial"/>
                <w:bCs/>
                <w:iCs/>
                <w:color w:val="000000"/>
                <w:w w:val="0"/>
                <w:sz w:val="24"/>
                <w:szCs w:val="24"/>
                <w:lang w:val="en-AU"/>
              </w:rPr>
            </w:pPr>
            <w:r w:rsidRPr="007473E8">
              <w:rPr>
                <w:rFonts w:ascii="Arial" w:eastAsia="Times New Roman" w:hAnsi="Arial" w:cs="Arial"/>
                <w:bCs/>
                <w:iCs/>
                <w:color w:val="000000"/>
                <w:w w:val="0"/>
                <w:sz w:val="24"/>
                <w:szCs w:val="24"/>
                <w:lang w:val="en-AU"/>
              </w:rPr>
              <w:t>RFQ Evaluation Completed; commencement</w:t>
            </w:r>
          </w:p>
        </w:tc>
      </w:tr>
    </w:tbl>
    <w:p w:rsidR="00C73065" w:rsidRPr="007473E8" w:rsidRDefault="00C73065" w:rsidP="00C73065">
      <w:pPr>
        <w:keepNext/>
        <w:ind w:left="360"/>
        <w:rPr>
          <w:rFonts w:ascii="Arial" w:eastAsia="Times New Roman" w:hAnsi="Arial" w:cs="Arial"/>
          <w:color w:val="000000"/>
          <w:w w:val="0"/>
          <w:sz w:val="24"/>
          <w:szCs w:val="24"/>
        </w:rPr>
      </w:pPr>
      <w:bookmarkStart w:id="4" w:name="_DV_M757"/>
      <w:bookmarkStart w:id="5" w:name="_DV_M758"/>
      <w:bookmarkEnd w:id="4"/>
      <w:bookmarkEnd w:id="5"/>
    </w:p>
    <w:p w:rsidR="00C73065" w:rsidRPr="007473E8" w:rsidRDefault="00C73065" w:rsidP="00C73065">
      <w:pPr>
        <w:pStyle w:val="BodyText"/>
        <w:numPr>
          <w:ilvl w:val="0"/>
          <w:numId w:val="1"/>
        </w:numPr>
        <w:pBdr>
          <w:bottom w:val="single" w:sz="12" w:space="1" w:color="auto"/>
        </w:pBdr>
        <w:tabs>
          <w:tab w:val="clear" w:pos="360"/>
          <w:tab w:val="num" w:pos="709"/>
        </w:tabs>
        <w:spacing w:before="240" w:after="120"/>
        <w:ind w:left="357" w:hanging="357"/>
        <w:rPr>
          <w:rFonts w:ascii="Arial" w:eastAsia="Times New Roman" w:hAnsi="Arial" w:cs="Arial"/>
          <w:b/>
          <w:bCs/>
          <w:color w:val="000000"/>
          <w:w w:val="0"/>
          <w:sz w:val="24"/>
          <w:szCs w:val="24"/>
          <w:lang w:val="en-AU"/>
        </w:rPr>
      </w:pPr>
      <w:r w:rsidRPr="007473E8">
        <w:rPr>
          <w:rFonts w:ascii="Arial" w:eastAsia="Times New Roman" w:hAnsi="Arial" w:cs="Arial"/>
          <w:b/>
          <w:bCs/>
          <w:color w:val="000000"/>
          <w:w w:val="0"/>
          <w:sz w:val="24"/>
          <w:szCs w:val="24"/>
          <w:lang w:val="en-AU"/>
        </w:rPr>
        <w:t>THIS RFQ IS ISSUED BY:</w:t>
      </w:r>
    </w:p>
    <w:p w:rsidR="00C73065" w:rsidRPr="007473E8" w:rsidRDefault="00C73065" w:rsidP="00C73065">
      <w:pPr>
        <w:pStyle w:val="BodyText"/>
        <w:spacing w:after="120"/>
        <w:ind w:left="357"/>
        <w:rPr>
          <w:rFonts w:ascii="Arial" w:eastAsia="Times New Roman" w:hAnsi="Arial" w:cs="Arial"/>
          <w:b/>
          <w:bCs/>
          <w:color w:val="000000"/>
          <w:w w:val="0"/>
          <w:sz w:val="24"/>
          <w:szCs w:val="24"/>
          <w:lang w:val="en-A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4867"/>
      </w:tblGrid>
      <w:tr w:rsidR="00C73065" w:rsidRPr="007473E8" w:rsidTr="00566835">
        <w:tc>
          <w:tcPr>
            <w:tcW w:w="3213" w:type="dxa"/>
            <w:tcBorders>
              <w:top w:val="single" w:sz="4" w:space="0" w:color="auto"/>
              <w:left w:val="single" w:sz="4" w:space="0" w:color="auto"/>
              <w:bottom w:val="single" w:sz="4" w:space="0" w:color="auto"/>
              <w:right w:val="single" w:sz="4" w:space="0" w:color="auto"/>
            </w:tcBorders>
          </w:tcPr>
          <w:p w:rsidR="00C73065" w:rsidRPr="007473E8" w:rsidRDefault="00C73065" w:rsidP="00566835">
            <w:pPr>
              <w:pStyle w:val="BodyText"/>
              <w:tabs>
                <w:tab w:val="num" w:pos="709"/>
              </w:tabs>
              <w:spacing w:before="120" w:after="120"/>
              <w:rPr>
                <w:rFonts w:ascii="Arial" w:eastAsia="Times New Roman" w:hAnsi="Arial" w:cs="Arial"/>
                <w:b/>
                <w:bCs/>
                <w:color w:val="000000"/>
                <w:w w:val="0"/>
                <w:sz w:val="24"/>
                <w:szCs w:val="24"/>
                <w:lang w:val="en-AU"/>
              </w:rPr>
            </w:pPr>
            <w:r w:rsidRPr="007473E8">
              <w:rPr>
                <w:rFonts w:ascii="Arial" w:eastAsia="Times New Roman" w:hAnsi="Arial" w:cs="Arial"/>
                <w:b/>
                <w:bCs/>
                <w:color w:val="000000"/>
                <w:w w:val="0"/>
                <w:sz w:val="24"/>
                <w:szCs w:val="24"/>
                <w:lang w:val="en-AU"/>
              </w:rPr>
              <w:t>Agency:</w:t>
            </w:r>
          </w:p>
        </w:tc>
        <w:tc>
          <w:tcPr>
            <w:tcW w:w="4867" w:type="dxa"/>
            <w:tcBorders>
              <w:top w:val="single" w:sz="4" w:space="0" w:color="auto"/>
              <w:left w:val="single" w:sz="4" w:space="0" w:color="auto"/>
              <w:bottom w:val="single" w:sz="4" w:space="0" w:color="auto"/>
              <w:right w:val="single" w:sz="4" w:space="0" w:color="auto"/>
            </w:tcBorders>
          </w:tcPr>
          <w:p w:rsidR="00C73065" w:rsidRPr="007473E8" w:rsidRDefault="00C73065" w:rsidP="00566835">
            <w:pPr>
              <w:pStyle w:val="BodyText"/>
              <w:tabs>
                <w:tab w:val="num" w:pos="709"/>
              </w:tabs>
              <w:spacing w:before="120" w:after="120"/>
              <w:rPr>
                <w:rFonts w:ascii="Arial" w:eastAsia="Times New Roman" w:hAnsi="Arial" w:cs="Arial"/>
                <w:bCs/>
                <w:color w:val="000000"/>
                <w:w w:val="0"/>
                <w:sz w:val="24"/>
                <w:szCs w:val="24"/>
                <w:lang w:val="en-AU"/>
              </w:rPr>
            </w:pPr>
            <w:bookmarkStart w:id="6" w:name="OLE_LINK1"/>
            <w:bookmarkStart w:id="7" w:name="OLE_LINK2"/>
            <w:r w:rsidRPr="007473E8">
              <w:rPr>
                <w:rFonts w:ascii="Arial" w:eastAsia="Times New Roman" w:hAnsi="Arial" w:cs="Arial"/>
                <w:bCs/>
                <w:color w:val="000000"/>
                <w:w w:val="0"/>
                <w:sz w:val="24"/>
                <w:szCs w:val="24"/>
                <w:lang w:val="en-AU"/>
              </w:rPr>
              <w:t>High Court of Australia</w:t>
            </w:r>
            <w:bookmarkEnd w:id="6"/>
            <w:bookmarkEnd w:id="7"/>
          </w:p>
        </w:tc>
      </w:tr>
      <w:tr w:rsidR="00C73065" w:rsidRPr="007473E8" w:rsidTr="00566835">
        <w:tc>
          <w:tcPr>
            <w:tcW w:w="3213" w:type="dxa"/>
            <w:tcBorders>
              <w:top w:val="single" w:sz="4" w:space="0" w:color="auto"/>
              <w:left w:val="single" w:sz="4" w:space="0" w:color="auto"/>
              <w:bottom w:val="single" w:sz="4" w:space="0" w:color="auto"/>
              <w:right w:val="single" w:sz="4" w:space="0" w:color="auto"/>
            </w:tcBorders>
          </w:tcPr>
          <w:p w:rsidR="00C73065" w:rsidRPr="007473E8" w:rsidRDefault="00C73065" w:rsidP="00566835">
            <w:pPr>
              <w:pStyle w:val="BodyText"/>
              <w:tabs>
                <w:tab w:val="num" w:pos="709"/>
              </w:tabs>
              <w:spacing w:before="120" w:after="120"/>
              <w:rPr>
                <w:rFonts w:ascii="Arial" w:eastAsia="Times New Roman" w:hAnsi="Arial" w:cs="Arial"/>
                <w:b/>
                <w:bCs/>
                <w:color w:val="000000"/>
                <w:w w:val="0"/>
                <w:sz w:val="24"/>
                <w:szCs w:val="24"/>
                <w:lang w:val="en-AU"/>
              </w:rPr>
            </w:pPr>
            <w:r w:rsidRPr="007473E8">
              <w:rPr>
                <w:rFonts w:ascii="Arial" w:eastAsia="Times New Roman" w:hAnsi="Arial" w:cs="Arial"/>
                <w:b/>
                <w:bCs/>
                <w:color w:val="000000"/>
                <w:w w:val="0"/>
                <w:sz w:val="24"/>
                <w:szCs w:val="24"/>
                <w:lang w:val="en-AU"/>
              </w:rPr>
              <w:t>Branch</w:t>
            </w:r>
          </w:p>
        </w:tc>
        <w:tc>
          <w:tcPr>
            <w:tcW w:w="4867" w:type="dxa"/>
            <w:tcBorders>
              <w:top w:val="single" w:sz="4" w:space="0" w:color="auto"/>
              <w:left w:val="single" w:sz="4" w:space="0" w:color="auto"/>
              <w:bottom w:val="single" w:sz="4" w:space="0" w:color="auto"/>
              <w:right w:val="single" w:sz="4" w:space="0" w:color="auto"/>
            </w:tcBorders>
          </w:tcPr>
          <w:p w:rsidR="00C73065" w:rsidRPr="007473E8" w:rsidRDefault="00057995" w:rsidP="00566835">
            <w:pPr>
              <w:pStyle w:val="BodyText"/>
              <w:tabs>
                <w:tab w:val="num" w:pos="709"/>
              </w:tabs>
              <w:spacing w:before="120" w:after="120"/>
              <w:rPr>
                <w:rFonts w:ascii="Arial" w:eastAsia="Times New Roman" w:hAnsi="Arial" w:cs="Arial"/>
                <w:bCs/>
                <w:color w:val="000000"/>
                <w:w w:val="0"/>
                <w:sz w:val="24"/>
                <w:szCs w:val="24"/>
                <w:highlight w:val="yellow"/>
                <w:lang w:val="en-AU"/>
              </w:rPr>
            </w:pPr>
            <w:r w:rsidRPr="007473E8">
              <w:rPr>
                <w:rFonts w:ascii="Arial" w:eastAsia="Times New Roman" w:hAnsi="Arial" w:cs="Arial"/>
                <w:bCs/>
                <w:color w:val="000000"/>
                <w:w w:val="0"/>
                <w:sz w:val="24"/>
                <w:szCs w:val="24"/>
                <w:lang w:val="en-AU"/>
              </w:rPr>
              <w:t>Chief Executive &amp; Principal Registrar</w:t>
            </w:r>
          </w:p>
        </w:tc>
      </w:tr>
      <w:tr w:rsidR="00C73065" w:rsidRPr="007473E8" w:rsidTr="00566835">
        <w:tc>
          <w:tcPr>
            <w:tcW w:w="3213" w:type="dxa"/>
            <w:tcBorders>
              <w:top w:val="single" w:sz="4" w:space="0" w:color="auto"/>
              <w:left w:val="single" w:sz="4" w:space="0" w:color="auto"/>
              <w:bottom w:val="single" w:sz="4" w:space="0" w:color="auto"/>
              <w:right w:val="single" w:sz="4" w:space="0" w:color="auto"/>
            </w:tcBorders>
          </w:tcPr>
          <w:p w:rsidR="00C73065" w:rsidRPr="007473E8" w:rsidRDefault="00C73065" w:rsidP="00566835">
            <w:pPr>
              <w:pStyle w:val="BodyText"/>
              <w:tabs>
                <w:tab w:val="num" w:pos="709"/>
              </w:tabs>
              <w:spacing w:before="120" w:after="120"/>
              <w:rPr>
                <w:rFonts w:ascii="Arial" w:eastAsia="Times New Roman" w:hAnsi="Arial" w:cs="Arial"/>
                <w:b/>
                <w:bCs/>
                <w:color w:val="000000"/>
                <w:w w:val="0"/>
                <w:sz w:val="24"/>
                <w:szCs w:val="24"/>
                <w:lang w:val="en-AU"/>
              </w:rPr>
            </w:pPr>
            <w:r w:rsidRPr="007473E8">
              <w:rPr>
                <w:rFonts w:ascii="Arial" w:eastAsia="Times New Roman" w:hAnsi="Arial" w:cs="Arial"/>
                <w:b/>
                <w:bCs/>
                <w:color w:val="000000"/>
                <w:w w:val="0"/>
                <w:sz w:val="24"/>
                <w:szCs w:val="24"/>
                <w:lang w:val="en-AU"/>
              </w:rPr>
              <w:t>Contact Officer Name</w:t>
            </w:r>
          </w:p>
        </w:tc>
        <w:tc>
          <w:tcPr>
            <w:tcW w:w="4867" w:type="dxa"/>
            <w:tcBorders>
              <w:top w:val="single" w:sz="4" w:space="0" w:color="auto"/>
              <w:left w:val="single" w:sz="4" w:space="0" w:color="auto"/>
              <w:bottom w:val="single" w:sz="4" w:space="0" w:color="auto"/>
              <w:right w:val="single" w:sz="4" w:space="0" w:color="auto"/>
            </w:tcBorders>
          </w:tcPr>
          <w:p w:rsidR="00C73065" w:rsidRPr="007473E8" w:rsidRDefault="00057995" w:rsidP="00566835">
            <w:pPr>
              <w:pStyle w:val="BodyText"/>
              <w:tabs>
                <w:tab w:val="num" w:pos="709"/>
              </w:tabs>
              <w:spacing w:before="120" w:after="120"/>
              <w:rPr>
                <w:rFonts w:ascii="Arial" w:eastAsia="Times New Roman" w:hAnsi="Arial" w:cs="Arial"/>
                <w:bCs/>
                <w:color w:val="000000"/>
                <w:w w:val="0"/>
                <w:sz w:val="24"/>
                <w:szCs w:val="24"/>
                <w:highlight w:val="yellow"/>
                <w:lang w:val="en-AU"/>
              </w:rPr>
            </w:pPr>
            <w:r w:rsidRPr="007473E8">
              <w:rPr>
                <w:rFonts w:ascii="Arial" w:eastAsia="Times New Roman" w:hAnsi="Arial" w:cs="Arial"/>
                <w:bCs/>
                <w:color w:val="000000"/>
                <w:w w:val="0"/>
                <w:sz w:val="24"/>
                <w:szCs w:val="24"/>
                <w:lang w:val="en-AU"/>
              </w:rPr>
              <w:t>Ben Wickham</w:t>
            </w:r>
          </w:p>
        </w:tc>
      </w:tr>
      <w:tr w:rsidR="00C73065" w:rsidRPr="007473E8" w:rsidTr="00566835">
        <w:tc>
          <w:tcPr>
            <w:tcW w:w="3213" w:type="dxa"/>
            <w:tcBorders>
              <w:top w:val="single" w:sz="4" w:space="0" w:color="auto"/>
              <w:left w:val="single" w:sz="4" w:space="0" w:color="auto"/>
              <w:bottom w:val="single" w:sz="4" w:space="0" w:color="auto"/>
              <w:right w:val="single" w:sz="4" w:space="0" w:color="auto"/>
            </w:tcBorders>
          </w:tcPr>
          <w:p w:rsidR="00C73065" w:rsidRPr="007473E8" w:rsidRDefault="00C73065" w:rsidP="00566835">
            <w:pPr>
              <w:pStyle w:val="BodyText"/>
              <w:tabs>
                <w:tab w:val="num" w:pos="709"/>
              </w:tabs>
              <w:spacing w:before="120" w:after="120"/>
              <w:rPr>
                <w:rFonts w:ascii="Arial" w:eastAsia="Times New Roman" w:hAnsi="Arial" w:cs="Arial"/>
                <w:b/>
                <w:bCs/>
                <w:color w:val="000000"/>
                <w:w w:val="0"/>
                <w:sz w:val="24"/>
                <w:szCs w:val="24"/>
                <w:lang w:val="en-AU"/>
              </w:rPr>
            </w:pPr>
            <w:r w:rsidRPr="007473E8">
              <w:rPr>
                <w:rFonts w:ascii="Arial" w:eastAsia="Times New Roman" w:hAnsi="Arial" w:cs="Arial"/>
                <w:b/>
                <w:bCs/>
                <w:color w:val="000000"/>
                <w:w w:val="0"/>
                <w:sz w:val="24"/>
                <w:szCs w:val="24"/>
                <w:lang w:val="en-AU"/>
              </w:rPr>
              <w:t>Contact Officer Details</w:t>
            </w:r>
          </w:p>
        </w:tc>
        <w:tc>
          <w:tcPr>
            <w:tcW w:w="4867" w:type="dxa"/>
            <w:tcBorders>
              <w:top w:val="single" w:sz="4" w:space="0" w:color="auto"/>
              <w:left w:val="single" w:sz="4" w:space="0" w:color="auto"/>
              <w:bottom w:val="single" w:sz="4" w:space="0" w:color="auto"/>
              <w:right w:val="single" w:sz="4" w:space="0" w:color="auto"/>
            </w:tcBorders>
          </w:tcPr>
          <w:p w:rsidR="00C73065" w:rsidRPr="007473E8" w:rsidRDefault="00057995" w:rsidP="00566835">
            <w:pPr>
              <w:pStyle w:val="BodyText"/>
              <w:tabs>
                <w:tab w:val="num" w:pos="709"/>
              </w:tabs>
              <w:spacing w:before="120" w:after="120"/>
              <w:rPr>
                <w:rFonts w:ascii="Arial" w:eastAsia="Times New Roman" w:hAnsi="Arial" w:cs="Arial"/>
                <w:bCs/>
                <w:color w:val="000000"/>
                <w:w w:val="0"/>
                <w:sz w:val="24"/>
                <w:szCs w:val="24"/>
                <w:lang w:val="en-AU"/>
              </w:rPr>
            </w:pPr>
            <w:r w:rsidRPr="007473E8">
              <w:rPr>
                <w:rFonts w:ascii="Arial" w:eastAsia="Times New Roman" w:hAnsi="Arial" w:cs="Arial"/>
                <w:bCs/>
                <w:color w:val="000000"/>
                <w:w w:val="0"/>
                <w:sz w:val="24"/>
                <w:szCs w:val="24"/>
                <w:lang w:val="en-AU"/>
              </w:rPr>
              <w:t>Senior Executive Deputy Registrar</w:t>
            </w:r>
          </w:p>
          <w:p w:rsidR="00C73065" w:rsidRPr="007473E8" w:rsidRDefault="00C73065" w:rsidP="00566835">
            <w:pPr>
              <w:pStyle w:val="BodyText"/>
              <w:tabs>
                <w:tab w:val="num" w:pos="709"/>
              </w:tabs>
              <w:spacing w:before="120" w:after="120"/>
              <w:rPr>
                <w:rFonts w:ascii="Arial" w:eastAsia="Times New Roman" w:hAnsi="Arial" w:cs="Arial"/>
                <w:bCs/>
                <w:color w:val="000000"/>
                <w:w w:val="0"/>
                <w:sz w:val="24"/>
                <w:szCs w:val="24"/>
                <w:lang w:val="en-AU"/>
              </w:rPr>
            </w:pPr>
            <w:r w:rsidRPr="007473E8">
              <w:rPr>
                <w:rFonts w:ascii="Arial" w:eastAsia="Times New Roman" w:hAnsi="Arial" w:cs="Arial"/>
                <w:bCs/>
                <w:color w:val="000000"/>
                <w:w w:val="0"/>
                <w:sz w:val="24"/>
                <w:szCs w:val="24"/>
                <w:lang w:val="en-AU"/>
              </w:rPr>
              <w:t>Phone: (02)</w:t>
            </w:r>
            <w:r w:rsidR="00057995" w:rsidRPr="007473E8">
              <w:rPr>
                <w:rFonts w:ascii="Arial" w:eastAsia="Times New Roman" w:hAnsi="Arial" w:cs="Arial"/>
                <w:bCs/>
                <w:color w:val="000000"/>
                <w:w w:val="0"/>
                <w:sz w:val="24"/>
                <w:szCs w:val="24"/>
                <w:lang w:val="en-AU"/>
              </w:rPr>
              <w:t xml:space="preserve"> 6270 6893</w:t>
            </w:r>
          </w:p>
          <w:p w:rsidR="00C73065" w:rsidRPr="007473E8" w:rsidRDefault="00C73065" w:rsidP="00566835">
            <w:pPr>
              <w:pStyle w:val="BodyText"/>
              <w:tabs>
                <w:tab w:val="num" w:pos="709"/>
              </w:tabs>
              <w:spacing w:before="120" w:after="120"/>
              <w:rPr>
                <w:rFonts w:ascii="Arial" w:eastAsia="Times New Roman" w:hAnsi="Arial" w:cs="Arial"/>
                <w:bCs/>
                <w:color w:val="000000"/>
                <w:w w:val="0"/>
                <w:sz w:val="24"/>
                <w:szCs w:val="24"/>
                <w:lang w:val="en-AU"/>
              </w:rPr>
            </w:pPr>
            <w:r w:rsidRPr="007473E8">
              <w:rPr>
                <w:rFonts w:ascii="Arial" w:eastAsia="Times New Roman" w:hAnsi="Arial" w:cs="Arial"/>
                <w:bCs/>
                <w:color w:val="000000"/>
                <w:w w:val="0"/>
                <w:sz w:val="24"/>
                <w:szCs w:val="24"/>
                <w:lang w:val="en-AU"/>
              </w:rPr>
              <w:t>Mobile: 04</w:t>
            </w:r>
            <w:r w:rsidR="00057995" w:rsidRPr="007473E8">
              <w:rPr>
                <w:rFonts w:ascii="Arial" w:eastAsia="Times New Roman" w:hAnsi="Arial" w:cs="Arial"/>
                <w:bCs/>
                <w:color w:val="000000"/>
                <w:w w:val="0"/>
                <w:sz w:val="24"/>
                <w:szCs w:val="24"/>
                <w:lang w:val="en-AU"/>
              </w:rPr>
              <w:t>32 626 171</w:t>
            </w:r>
          </w:p>
          <w:p w:rsidR="00C73065" w:rsidRPr="007473E8" w:rsidRDefault="00C73065" w:rsidP="00566835">
            <w:pPr>
              <w:pStyle w:val="BodyText"/>
              <w:tabs>
                <w:tab w:val="num" w:pos="709"/>
              </w:tabs>
              <w:spacing w:before="120" w:after="120"/>
              <w:rPr>
                <w:rFonts w:ascii="Arial" w:eastAsia="Times New Roman" w:hAnsi="Arial" w:cs="Arial"/>
                <w:color w:val="000000"/>
                <w:w w:val="0"/>
                <w:sz w:val="24"/>
                <w:szCs w:val="24"/>
                <w:lang w:val="en-AU"/>
              </w:rPr>
            </w:pPr>
            <w:r w:rsidRPr="007473E8">
              <w:rPr>
                <w:rFonts w:ascii="Arial" w:eastAsia="Times New Roman" w:hAnsi="Arial" w:cs="Arial"/>
                <w:bCs/>
                <w:color w:val="000000"/>
                <w:w w:val="0"/>
                <w:sz w:val="24"/>
                <w:szCs w:val="24"/>
                <w:lang w:val="en-AU"/>
              </w:rPr>
              <w:t>Email:</w:t>
            </w:r>
            <w:r w:rsidR="00057995" w:rsidRPr="007473E8">
              <w:rPr>
                <w:rFonts w:ascii="Arial" w:eastAsia="Times New Roman" w:hAnsi="Arial" w:cs="Arial"/>
                <w:color w:val="000000"/>
                <w:w w:val="0"/>
                <w:sz w:val="24"/>
                <w:szCs w:val="24"/>
                <w:lang w:val="en-AU"/>
              </w:rPr>
              <w:t xml:space="preserve"> bwickham</w:t>
            </w:r>
            <w:r w:rsidRPr="007473E8">
              <w:rPr>
                <w:rFonts w:ascii="Arial" w:eastAsia="Times New Roman" w:hAnsi="Arial" w:cs="Arial"/>
                <w:color w:val="000000"/>
                <w:w w:val="0"/>
                <w:sz w:val="24"/>
                <w:szCs w:val="24"/>
                <w:lang w:val="en-AU"/>
              </w:rPr>
              <w:t>@hcourt.gov.au</w:t>
            </w:r>
          </w:p>
          <w:p w:rsidR="00C73065" w:rsidRPr="007473E8" w:rsidRDefault="00C73065" w:rsidP="00566835">
            <w:pPr>
              <w:pStyle w:val="BodyText"/>
              <w:tabs>
                <w:tab w:val="num" w:pos="709"/>
              </w:tabs>
              <w:spacing w:before="120" w:after="120"/>
              <w:rPr>
                <w:rFonts w:ascii="Arial" w:eastAsia="Times New Roman" w:hAnsi="Arial" w:cs="Arial"/>
                <w:bCs/>
                <w:color w:val="000000"/>
                <w:w w:val="0"/>
                <w:sz w:val="24"/>
                <w:szCs w:val="24"/>
                <w:lang w:val="en-AU"/>
              </w:rPr>
            </w:pPr>
            <w:r w:rsidRPr="007473E8">
              <w:rPr>
                <w:rFonts w:ascii="Arial" w:eastAsia="Times New Roman" w:hAnsi="Arial" w:cs="Arial"/>
                <w:bCs/>
                <w:color w:val="000000"/>
                <w:w w:val="0"/>
                <w:sz w:val="24"/>
                <w:szCs w:val="24"/>
                <w:lang w:val="en-AU"/>
              </w:rPr>
              <w:t>Address: PO Box 6309</w:t>
            </w:r>
          </w:p>
          <w:p w:rsidR="00C73065" w:rsidRPr="007473E8" w:rsidRDefault="00C73065" w:rsidP="00566835">
            <w:pPr>
              <w:pStyle w:val="BodyText"/>
              <w:tabs>
                <w:tab w:val="num" w:pos="709"/>
              </w:tabs>
              <w:spacing w:before="120" w:after="120"/>
              <w:rPr>
                <w:rFonts w:ascii="Arial" w:eastAsia="Times New Roman" w:hAnsi="Arial" w:cs="Arial"/>
                <w:bCs/>
                <w:color w:val="000000"/>
                <w:w w:val="0"/>
                <w:sz w:val="24"/>
                <w:szCs w:val="24"/>
                <w:highlight w:val="yellow"/>
                <w:lang w:val="en-AU"/>
              </w:rPr>
            </w:pPr>
            <w:r w:rsidRPr="007473E8">
              <w:rPr>
                <w:rFonts w:ascii="Arial" w:eastAsia="Times New Roman" w:hAnsi="Arial" w:cs="Arial"/>
                <w:bCs/>
                <w:color w:val="000000"/>
                <w:w w:val="0"/>
                <w:sz w:val="24"/>
                <w:szCs w:val="24"/>
                <w:lang w:val="en-AU"/>
              </w:rPr>
              <w:t xml:space="preserve">               Kingston ACT 2604</w:t>
            </w:r>
          </w:p>
        </w:tc>
      </w:tr>
    </w:tbl>
    <w:p w:rsidR="00C73065" w:rsidRPr="007473E8" w:rsidRDefault="0005799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bookmarkStart w:id="8" w:name="_DV_M759"/>
      <w:bookmarkEnd w:id="8"/>
      <w:r w:rsidRPr="007473E8">
        <w:rPr>
          <w:rFonts w:ascii="Arial" w:eastAsia="Times New Roman" w:hAnsi="Arial" w:cs="Arial"/>
          <w:b/>
          <w:bCs/>
          <w:color w:val="000000"/>
          <w:w w:val="0"/>
          <w:sz w:val="24"/>
          <w:szCs w:val="24"/>
          <w:lang w:val="en-AU"/>
        </w:rPr>
        <w:t>HIGH COURT OF AUSTRALIA BUILDING</w:t>
      </w:r>
    </w:p>
    <w:p w:rsidR="00057995" w:rsidRPr="007473E8" w:rsidRDefault="00057995" w:rsidP="00C73065">
      <w:pPr>
        <w:rPr>
          <w:rFonts w:ascii="Arial" w:hAnsi="Arial" w:cs="Arial"/>
          <w:color w:val="443924"/>
          <w:sz w:val="24"/>
          <w:szCs w:val="24"/>
        </w:rPr>
      </w:pPr>
    </w:p>
    <w:p w:rsidR="00ED589E" w:rsidRDefault="00057995" w:rsidP="00C73065">
      <w:pPr>
        <w:rPr>
          <w:rFonts w:ascii="Arial" w:hAnsi="Arial" w:cs="Arial"/>
          <w:color w:val="443924"/>
          <w:sz w:val="24"/>
          <w:szCs w:val="24"/>
        </w:rPr>
      </w:pPr>
      <w:r w:rsidRPr="007473E8">
        <w:rPr>
          <w:rFonts w:ascii="Arial" w:hAnsi="Arial" w:cs="Arial"/>
          <w:color w:val="443924"/>
          <w:sz w:val="24"/>
          <w:szCs w:val="24"/>
        </w:rPr>
        <w:t xml:space="preserve">The High Court building is an outstanding example of late modern Brutalist architecture. It has light-filled, bold geometric shapes and spaces, raw massed concrete, dynamic internal movement, and strong links with neighbouring buildings and landscape. It is monumental and asymmetrical, but also functional. </w:t>
      </w:r>
      <w:r w:rsidRPr="007473E8">
        <w:rPr>
          <w:rFonts w:ascii="Arial" w:hAnsi="Arial" w:cs="Arial"/>
          <w:color w:val="443924"/>
          <w:sz w:val="24"/>
          <w:szCs w:val="24"/>
        </w:rPr>
        <w:br/>
      </w:r>
    </w:p>
    <w:p w:rsidR="006F29F6" w:rsidRPr="00057995" w:rsidRDefault="00D27337" w:rsidP="006F29F6">
      <w:pPr>
        <w:spacing w:after="180" w:line="270" w:lineRule="atLeast"/>
        <w:rPr>
          <w:rFonts w:ascii="Arial" w:eastAsia="Times New Roman" w:hAnsi="Arial" w:cs="Arial"/>
          <w:color w:val="443924"/>
          <w:sz w:val="24"/>
          <w:szCs w:val="24"/>
          <w:lang w:eastAsia="en-AU"/>
        </w:rPr>
      </w:pPr>
      <w:r>
        <w:rPr>
          <w:rFonts w:ascii="Arial" w:eastAsia="Times New Roman" w:hAnsi="Arial" w:cs="Arial"/>
          <w:color w:val="443924"/>
          <w:sz w:val="24"/>
          <w:szCs w:val="24"/>
          <w:lang w:eastAsia="en-AU"/>
        </w:rPr>
        <w:t>The</w:t>
      </w:r>
      <w:r w:rsidR="006F29F6">
        <w:rPr>
          <w:rFonts w:ascii="Arial" w:eastAsia="Times New Roman" w:hAnsi="Arial" w:cs="Arial"/>
          <w:color w:val="443924"/>
          <w:sz w:val="24"/>
          <w:szCs w:val="24"/>
          <w:lang w:eastAsia="en-AU"/>
        </w:rPr>
        <w:t xml:space="preserve"> building’s design was the culmination of a nationwide competition.  </w:t>
      </w:r>
      <w:r w:rsidR="006F29F6" w:rsidRPr="00057995">
        <w:rPr>
          <w:rFonts w:ascii="Arial" w:eastAsia="Times New Roman" w:hAnsi="Arial" w:cs="Arial"/>
          <w:color w:val="443924"/>
          <w:sz w:val="24"/>
          <w:szCs w:val="24"/>
          <w:lang w:eastAsia="en-AU"/>
        </w:rPr>
        <w:t>The original architectural competition conditions for the High Court building stated the following:</w:t>
      </w:r>
    </w:p>
    <w:p w:rsidR="006F29F6" w:rsidRPr="00057995" w:rsidRDefault="006F29F6" w:rsidP="006F29F6">
      <w:pPr>
        <w:spacing w:after="0" w:line="270" w:lineRule="atLeast"/>
        <w:rPr>
          <w:rFonts w:ascii="Arial" w:eastAsia="Times New Roman" w:hAnsi="Arial" w:cs="Arial"/>
          <w:i/>
          <w:iCs/>
          <w:color w:val="443924"/>
          <w:sz w:val="24"/>
          <w:szCs w:val="24"/>
          <w:lang w:eastAsia="en-AU"/>
        </w:rPr>
      </w:pPr>
      <w:r w:rsidRPr="007473E8">
        <w:rPr>
          <w:rFonts w:ascii="Arial" w:eastAsia="Times New Roman" w:hAnsi="Arial" w:cs="Arial"/>
          <w:i/>
          <w:iCs/>
          <w:color w:val="443924"/>
          <w:sz w:val="24"/>
          <w:szCs w:val="24"/>
          <w:bdr w:val="none" w:sz="0" w:space="0" w:color="auto" w:frame="1"/>
          <w:lang w:eastAsia="en-AU"/>
        </w:rPr>
        <w:t xml:space="preserve">"The national functions of both the High Court and the Parliament are strongly related. In simple terms, the former interprets Federal law established by the latter. </w:t>
      </w:r>
    </w:p>
    <w:p w:rsidR="006F29F6" w:rsidRDefault="006F29F6" w:rsidP="006F29F6">
      <w:pPr>
        <w:spacing w:after="0" w:line="270" w:lineRule="atLeast"/>
        <w:rPr>
          <w:rFonts w:ascii="Arial" w:eastAsia="Times New Roman" w:hAnsi="Arial" w:cs="Arial"/>
          <w:i/>
          <w:iCs/>
          <w:color w:val="443924"/>
          <w:sz w:val="24"/>
          <w:szCs w:val="24"/>
          <w:bdr w:val="none" w:sz="0" w:space="0" w:color="auto" w:frame="1"/>
          <w:lang w:eastAsia="en-AU"/>
        </w:rPr>
      </w:pPr>
      <w:r w:rsidRPr="007473E8">
        <w:rPr>
          <w:rFonts w:ascii="Arial" w:eastAsia="Times New Roman" w:hAnsi="Arial" w:cs="Arial"/>
          <w:i/>
          <w:iCs/>
          <w:color w:val="443924"/>
          <w:sz w:val="24"/>
          <w:szCs w:val="24"/>
          <w:bdr w:val="none" w:sz="0" w:space="0" w:color="auto" w:frame="1"/>
          <w:lang w:eastAsia="en-AU"/>
        </w:rPr>
        <w:t xml:space="preserve">The locating of both the High Court and the Parliament in proximity to one another in the Federal Capital has strong symbolic significance. Together they represent the basis of government and justice at the national level. </w:t>
      </w:r>
    </w:p>
    <w:p w:rsidR="006F29F6" w:rsidRPr="00057995" w:rsidRDefault="006F29F6" w:rsidP="006F29F6">
      <w:pPr>
        <w:spacing w:after="0" w:line="270" w:lineRule="atLeast"/>
        <w:rPr>
          <w:rFonts w:ascii="Arial" w:eastAsia="Times New Roman" w:hAnsi="Arial" w:cs="Arial"/>
          <w:i/>
          <w:iCs/>
          <w:color w:val="443924"/>
          <w:sz w:val="24"/>
          <w:szCs w:val="24"/>
          <w:lang w:eastAsia="en-AU"/>
        </w:rPr>
      </w:pPr>
    </w:p>
    <w:p w:rsidR="006F29F6" w:rsidRDefault="006F29F6" w:rsidP="006F29F6">
      <w:pPr>
        <w:spacing w:after="0" w:line="270" w:lineRule="atLeast"/>
        <w:rPr>
          <w:rFonts w:ascii="Arial" w:eastAsia="Times New Roman" w:hAnsi="Arial" w:cs="Arial"/>
          <w:i/>
          <w:iCs/>
          <w:color w:val="443924"/>
          <w:sz w:val="24"/>
          <w:szCs w:val="24"/>
          <w:bdr w:val="none" w:sz="0" w:space="0" w:color="auto" w:frame="1"/>
          <w:lang w:eastAsia="en-AU"/>
        </w:rPr>
      </w:pPr>
      <w:r w:rsidRPr="007473E8">
        <w:rPr>
          <w:rFonts w:ascii="Arial" w:eastAsia="Times New Roman" w:hAnsi="Arial" w:cs="Arial"/>
          <w:i/>
          <w:iCs/>
          <w:color w:val="443924"/>
          <w:sz w:val="24"/>
          <w:szCs w:val="24"/>
          <w:bdr w:val="none" w:sz="0" w:space="0" w:color="auto" w:frame="1"/>
          <w:lang w:eastAsia="en-AU"/>
        </w:rPr>
        <w:t xml:space="preserve">The High Court building, in one sense, is visually related to the Parliament but at the same time must be seen to stand separate from, and independent of, the Parliament. In its constitutional independence, its objectivity of deliberation and freedom from political influence, the High Court can be seen as a powerful influence within this relationship. An expression of both the unity of purpose and the independence of status is the essence of the physical symbolism that has been achieved. </w:t>
      </w:r>
    </w:p>
    <w:p w:rsidR="006F29F6" w:rsidRPr="00057995" w:rsidRDefault="006F29F6" w:rsidP="006F29F6">
      <w:pPr>
        <w:spacing w:after="0" w:line="270" w:lineRule="atLeast"/>
        <w:rPr>
          <w:rFonts w:ascii="Arial" w:eastAsia="Times New Roman" w:hAnsi="Arial" w:cs="Arial"/>
          <w:i/>
          <w:iCs/>
          <w:color w:val="443924"/>
          <w:sz w:val="24"/>
          <w:szCs w:val="24"/>
          <w:lang w:eastAsia="en-AU"/>
        </w:rPr>
      </w:pPr>
    </w:p>
    <w:p w:rsidR="006F29F6" w:rsidRDefault="006F29F6" w:rsidP="006F29F6">
      <w:pPr>
        <w:spacing w:after="0" w:line="270" w:lineRule="atLeast"/>
        <w:rPr>
          <w:rFonts w:ascii="Arial" w:eastAsia="Times New Roman" w:hAnsi="Arial" w:cs="Arial"/>
          <w:i/>
          <w:iCs/>
          <w:color w:val="443924"/>
          <w:sz w:val="24"/>
          <w:szCs w:val="24"/>
          <w:bdr w:val="none" w:sz="0" w:space="0" w:color="auto" w:frame="1"/>
          <w:lang w:eastAsia="en-AU"/>
        </w:rPr>
      </w:pPr>
      <w:r w:rsidRPr="007473E8">
        <w:rPr>
          <w:rFonts w:ascii="Arial" w:eastAsia="Times New Roman" w:hAnsi="Arial" w:cs="Arial"/>
          <w:i/>
          <w:iCs/>
          <w:color w:val="443924"/>
          <w:sz w:val="24"/>
          <w:szCs w:val="24"/>
          <w:bdr w:val="none" w:sz="0" w:space="0" w:color="auto" w:frame="1"/>
          <w:lang w:eastAsia="en-AU"/>
        </w:rPr>
        <w:t>In its siting and in its form, the High Court building imparts a sense of strength and security. The visitor is made to feel aware of the rights, privileges and responsibilities of the Australian judicial system."</w:t>
      </w:r>
    </w:p>
    <w:p w:rsidR="006F29F6" w:rsidRDefault="006F29F6" w:rsidP="00C73065">
      <w:pPr>
        <w:rPr>
          <w:rFonts w:ascii="Arial" w:hAnsi="Arial" w:cs="Arial"/>
          <w:color w:val="443924"/>
          <w:sz w:val="24"/>
          <w:szCs w:val="24"/>
        </w:rPr>
      </w:pPr>
    </w:p>
    <w:p w:rsidR="00057995" w:rsidRPr="007473E8" w:rsidRDefault="006F29F6" w:rsidP="00C73065">
      <w:pPr>
        <w:rPr>
          <w:rFonts w:ascii="Arial" w:hAnsi="Arial" w:cs="Arial"/>
          <w:color w:val="443924"/>
          <w:sz w:val="24"/>
          <w:szCs w:val="24"/>
        </w:rPr>
      </w:pPr>
      <w:r>
        <w:rPr>
          <w:rFonts w:ascii="Arial" w:hAnsi="Arial" w:cs="Arial"/>
          <w:color w:val="443924"/>
          <w:sz w:val="24"/>
          <w:szCs w:val="24"/>
        </w:rPr>
        <w:lastRenderedPageBreak/>
        <w:t>The</w:t>
      </w:r>
      <w:r w:rsidR="00057995" w:rsidRPr="007473E8">
        <w:rPr>
          <w:rFonts w:ascii="Arial" w:hAnsi="Arial" w:cs="Arial"/>
          <w:color w:val="443924"/>
          <w:sz w:val="24"/>
          <w:szCs w:val="24"/>
        </w:rPr>
        <w:t xml:space="preserve"> national design competition for the building announced in May 1972 was won by the architectural firm of Edwards Madigan Torzillo and Briggs (EMTB). EMTB was also responsible for the adjacent Australian National Gallery (as it was then) and links. EMTB Director and architect Christopher Kringas led the design of the High Court, working closely with Feiko Bouman and Rod Lawrence. Kringas died in 1975, just prior to construction. Colin Madigan, who was the team leader for the National Gallery, and Hans Marelli, oversaw the construction phase of the High Court building.</w:t>
      </w:r>
    </w:p>
    <w:p w:rsidR="006F29F6" w:rsidRDefault="00057995" w:rsidP="006F29F6">
      <w:pPr>
        <w:spacing w:after="180" w:line="270" w:lineRule="atLeast"/>
        <w:rPr>
          <w:rFonts w:ascii="Arial" w:eastAsia="Times New Roman" w:hAnsi="Arial" w:cs="Arial"/>
          <w:i/>
          <w:iCs/>
          <w:color w:val="443924"/>
          <w:sz w:val="24"/>
          <w:szCs w:val="24"/>
          <w:bdr w:val="none" w:sz="0" w:space="0" w:color="auto" w:frame="1"/>
          <w:lang w:eastAsia="en-AU"/>
        </w:rPr>
      </w:pPr>
      <w:r w:rsidRPr="007473E8">
        <w:rPr>
          <w:rFonts w:ascii="Arial" w:hAnsi="Arial" w:cs="Arial"/>
          <w:color w:val="443924"/>
          <w:sz w:val="24"/>
          <w:szCs w:val="24"/>
        </w:rPr>
        <w:t>The assessment panel for the design competition entries comprised Chief Justice Sir Garfield Barwick GCMG, the Commissioner of the National Capital Development Commission Sir John Overall, the chair of the Australian Universities Commission, Peter Karmel, New South Wales Government Architect, EH Farmer, and Mel</w:t>
      </w:r>
      <w:r w:rsidR="006F29F6">
        <w:rPr>
          <w:rFonts w:ascii="Arial" w:hAnsi="Arial" w:cs="Arial"/>
          <w:color w:val="443924"/>
          <w:sz w:val="24"/>
          <w:szCs w:val="24"/>
        </w:rPr>
        <w:t>bourne architect Daryl Jackson.</w:t>
      </w:r>
      <w:r w:rsidRPr="007473E8">
        <w:rPr>
          <w:rFonts w:ascii="Arial" w:hAnsi="Arial" w:cs="Arial"/>
          <w:color w:val="443924"/>
          <w:sz w:val="24"/>
          <w:szCs w:val="24"/>
        </w:rPr>
        <w:t xml:space="preserve"> More than 150 designs w</w:t>
      </w:r>
      <w:r w:rsidR="006F29F6">
        <w:rPr>
          <w:rFonts w:ascii="Arial" w:hAnsi="Arial" w:cs="Arial"/>
          <w:color w:val="443924"/>
          <w:sz w:val="24"/>
          <w:szCs w:val="24"/>
        </w:rPr>
        <w:t>ere entered in the competition.</w:t>
      </w:r>
    </w:p>
    <w:p w:rsidR="006F29F6" w:rsidRPr="00057995" w:rsidRDefault="006F29F6" w:rsidP="006F29F6">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Thus the overall concept for the building was framed. At the time Edwards Madigan Torzillo and Briggs (EMTB) were chosen as the winners of the design competition, the firm was already involved in the design and construction of the National Gallery building next door. The design process for both buildings was carried out using a "collaborative design method", which involved a team of architects establishing a "design law" to guide the evolution of the buildings.</w:t>
      </w:r>
    </w:p>
    <w:p w:rsidR="006F29F6" w:rsidRPr="00057995" w:rsidRDefault="006F29F6" w:rsidP="006F29F6">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The design of the High Court building was continually refined during the documentation phase. The EMTB design was aimed at emphasising a feeling of spaciousness within the building. The primary materials used (ie. the concrete, glass and wood) are exposed in order to enhance the nobility of the building and to "include" visitors in the way the building works.</w:t>
      </w:r>
    </w:p>
    <w:p w:rsidR="006F29F6" w:rsidRPr="00057995" w:rsidRDefault="006F29F6" w:rsidP="006F29F6">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The form of the building expresses both its symbolic nature and its working functions. The public areas within and around the High Court, for instance, give a distinct sense of it being a National Place, but transitional areas within the building allow the visitor a smooth perceptual change from the exterior towards the judicial character of the courtrooms within.</w:t>
      </w:r>
    </w:p>
    <w:p w:rsidR="006F29F6" w:rsidRDefault="006F29F6" w:rsidP="006F29F6">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In the end, the design complements the vision expressed in the competition conditions, providing the High Court with a grand building, visibly and emphatically relating to the democratic base from which the Law emanates within the context of the surrounding spaces and adjacent buildings.</w:t>
      </w:r>
    </w:p>
    <w:p w:rsidR="00C73065" w:rsidRPr="007473E8" w:rsidRDefault="00057995" w:rsidP="00C73065">
      <w:pPr>
        <w:rPr>
          <w:rFonts w:ascii="Arial" w:hAnsi="Arial" w:cs="Arial"/>
          <w:color w:val="443924"/>
          <w:sz w:val="24"/>
          <w:szCs w:val="24"/>
        </w:rPr>
      </w:pPr>
      <w:r w:rsidRPr="007473E8">
        <w:rPr>
          <w:rFonts w:ascii="Arial" w:hAnsi="Arial" w:cs="Arial"/>
          <w:color w:val="443924"/>
          <w:sz w:val="24"/>
          <w:szCs w:val="24"/>
        </w:rPr>
        <w:t>The builder, PDC Constructions (ACT) Pty Ltd, began construction of the building in 1975, and it was completed in 1980 at a total cost of $46.5 million. It was officially opened by Her Majesty Queen Elizabeth II on 26 May 1980.</w:t>
      </w:r>
    </w:p>
    <w:p w:rsidR="00057995" w:rsidRPr="00057995" w:rsidRDefault="00057995" w:rsidP="00057995">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The 40-metre tall building is essentially one of concrete and glass comprising a number of major functional elements, namely a large public hall, three courtrooms, an administrative wing, and Justices</w:t>
      </w:r>
      <w:r w:rsidR="00ED589E">
        <w:rPr>
          <w:rFonts w:ascii="Arial" w:eastAsia="Times New Roman" w:hAnsi="Arial" w:cs="Arial"/>
          <w:color w:val="443924"/>
          <w:sz w:val="24"/>
          <w:szCs w:val="24"/>
          <w:lang w:eastAsia="en-AU"/>
        </w:rPr>
        <w:t>’</w:t>
      </w:r>
      <w:r w:rsidRPr="00057995">
        <w:rPr>
          <w:rFonts w:ascii="Arial" w:eastAsia="Times New Roman" w:hAnsi="Arial" w:cs="Arial"/>
          <w:color w:val="443924"/>
          <w:sz w:val="24"/>
          <w:szCs w:val="24"/>
          <w:lang w:eastAsia="en-AU"/>
        </w:rPr>
        <w:t xml:space="preserve"> chambers.</w:t>
      </w:r>
    </w:p>
    <w:p w:rsidR="00057995" w:rsidRPr="00057995" w:rsidRDefault="00057995" w:rsidP="00057995">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The forecourt and main entrance of the building are approached via a long, paved ceremonial ramp underneath which is a car park, warehouse and machinery rooms. A waterfall, designed by Robert Woodward and constructed of South Australian speckled granite, runs the full length of one side of the ramp.</w:t>
      </w:r>
    </w:p>
    <w:p w:rsidR="00057995" w:rsidRPr="00057995" w:rsidRDefault="00057995" w:rsidP="00057995">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 xml:space="preserve">Most of the external and internal walls created by the 18,400 cubic metres of concrete used in the construction have been subjected to a process known as "bush </w:t>
      </w:r>
      <w:r w:rsidRPr="00057995">
        <w:rPr>
          <w:rFonts w:ascii="Arial" w:eastAsia="Times New Roman" w:hAnsi="Arial" w:cs="Arial"/>
          <w:color w:val="443924"/>
          <w:sz w:val="24"/>
          <w:szCs w:val="24"/>
          <w:lang w:eastAsia="en-AU"/>
        </w:rPr>
        <w:lastRenderedPageBreak/>
        <w:t>hammering", carried out with a percussion instrument, which has flaked the surface and exposed the aggregate within the concrete.</w:t>
      </w:r>
    </w:p>
    <w:p w:rsidR="00057995" w:rsidRPr="00057995" w:rsidRDefault="00057995" w:rsidP="00057995">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The glazed areas total some 4,000 square metres and these are mainly on the northern and southern faces of the building. The use of steel frame supports for the glazed areas has meant that generous expansion allowances have had to be provided to cope with Canberra's relatively wide temperature range. A system was devised so that the glass in the walls can "creep" up or down according to the temperature changes and any movement in the concrete structure.</w:t>
      </w:r>
    </w:p>
    <w:p w:rsidR="00057995" w:rsidRPr="00057995" w:rsidRDefault="00057995" w:rsidP="00057995">
      <w:pPr>
        <w:spacing w:after="180" w:line="270" w:lineRule="atLeast"/>
        <w:rPr>
          <w:rFonts w:ascii="Arial" w:eastAsia="Times New Roman" w:hAnsi="Arial" w:cs="Arial"/>
          <w:color w:val="443924"/>
          <w:sz w:val="24"/>
          <w:szCs w:val="24"/>
          <w:lang w:eastAsia="en-AU"/>
        </w:rPr>
      </w:pPr>
      <w:r w:rsidRPr="00057995">
        <w:rPr>
          <w:rFonts w:ascii="Arial" w:eastAsia="Times New Roman" w:hAnsi="Arial" w:cs="Arial"/>
          <w:color w:val="443924"/>
          <w:sz w:val="24"/>
          <w:szCs w:val="24"/>
          <w:lang w:eastAsia="en-AU"/>
        </w:rPr>
        <w:t>The internal floor area of the building is approximately 18,515 square metres. The building itself covers 0.32 hectares (0.8 acres) and is surrounded by nearly 1 hectare (2.5 acres) of quarry tiles.</w:t>
      </w:r>
    </w:p>
    <w:p w:rsidR="006F29F6" w:rsidRDefault="006F29F6" w:rsidP="006F29F6">
      <w:pPr>
        <w:rPr>
          <w:rFonts w:ascii="Arial" w:hAnsi="Arial" w:cs="Arial"/>
          <w:color w:val="443924"/>
          <w:sz w:val="24"/>
          <w:szCs w:val="24"/>
        </w:rPr>
      </w:pPr>
      <w:r w:rsidRPr="007473E8">
        <w:rPr>
          <w:rFonts w:ascii="Arial" w:hAnsi="Arial" w:cs="Arial"/>
          <w:color w:val="443924"/>
          <w:sz w:val="24"/>
          <w:szCs w:val="24"/>
        </w:rPr>
        <w:t>The High Court–National Gallery Precinct was entered on the National Heritage List in 2007. The High Court building is also listed on the World Register of Significant 20th Century Architecture. In 2007 it received the Royal Australian Institute of Architects National ‘25 Year Award for Enduring Architecture’.</w:t>
      </w:r>
      <w:r>
        <w:rPr>
          <w:rFonts w:ascii="Arial" w:hAnsi="Arial" w:cs="Arial"/>
          <w:color w:val="443924"/>
          <w:sz w:val="24"/>
          <w:szCs w:val="24"/>
        </w:rPr>
        <w:t xml:space="preserve"> </w:t>
      </w:r>
      <w:r w:rsidRPr="007473E8">
        <w:rPr>
          <w:rFonts w:ascii="Arial" w:hAnsi="Arial" w:cs="Arial"/>
          <w:color w:val="443924"/>
          <w:sz w:val="24"/>
          <w:szCs w:val="24"/>
        </w:rPr>
        <w:t>It is situated on 3.4 hectares (8.4 acres) of land in the Parliamentary Triangle, on the shores of Lake Burley Griffin between the National Science and Technology Centre and the</w:t>
      </w:r>
      <w:r>
        <w:rPr>
          <w:rFonts w:ascii="Arial" w:hAnsi="Arial" w:cs="Arial"/>
          <w:color w:val="443924"/>
          <w:sz w:val="24"/>
          <w:szCs w:val="24"/>
        </w:rPr>
        <w:t xml:space="preserve"> National Gallery of Australia.</w:t>
      </w:r>
    </w:p>
    <w:p w:rsidR="004479C9" w:rsidRPr="006F29F6" w:rsidRDefault="004479C9" w:rsidP="006F29F6">
      <w:pPr>
        <w:rPr>
          <w:rFonts w:ascii="Arial" w:hAnsi="Arial" w:cs="Arial"/>
          <w:color w:val="443924"/>
          <w:sz w:val="24"/>
          <w:szCs w:val="24"/>
        </w:rPr>
      </w:pPr>
      <w:r>
        <w:rPr>
          <w:rFonts w:ascii="Arial" w:hAnsi="Arial" w:cs="Arial"/>
          <w:color w:val="443924"/>
          <w:sz w:val="24"/>
          <w:szCs w:val="24"/>
        </w:rPr>
        <w:t xml:space="preserve">Further detail on the High Court building can be found at: </w:t>
      </w:r>
      <w:r w:rsidRPr="004479C9">
        <w:rPr>
          <w:rFonts w:ascii="Arial" w:hAnsi="Arial" w:cs="Arial"/>
          <w:color w:val="443924"/>
          <w:sz w:val="24"/>
          <w:szCs w:val="24"/>
        </w:rPr>
        <w:t>http://www.hcourt.gov.au/assets/corporate/heritage/HCA-CMP-May2011.pdf</w:t>
      </w:r>
    </w:p>
    <w:p w:rsidR="00057995" w:rsidRPr="00057995" w:rsidRDefault="00057995" w:rsidP="00C73065">
      <w:pPr>
        <w:rPr>
          <w:rFonts w:ascii="Arial" w:eastAsia="Times New Roman" w:hAnsi="Arial" w:cs="Arial"/>
          <w:bCs/>
          <w:color w:val="000000"/>
          <w:w w:val="0"/>
          <w:sz w:val="24"/>
          <w:szCs w:val="24"/>
          <w:highlight w:val="yellow"/>
        </w:rPr>
      </w:pPr>
    </w:p>
    <w:p w:rsidR="00C73065" w:rsidRPr="00EB437A"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2"/>
          <w:szCs w:val="22"/>
          <w:lang w:val="en-AU"/>
        </w:rPr>
      </w:pPr>
      <w:r w:rsidRPr="00EB437A">
        <w:rPr>
          <w:rFonts w:ascii="Arial" w:eastAsia="Times New Roman" w:hAnsi="Arial" w:cs="Arial"/>
          <w:b/>
          <w:bCs/>
          <w:color w:val="000000"/>
          <w:w w:val="0"/>
          <w:sz w:val="22"/>
          <w:szCs w:val="22"/>
          <w:lang w:val="en-AU"/>
        </w:rPr>
        <w:t>SCOPE OF THE REQUIREMENT</w:t>
      </w:r>
    </w:p>
    <w:p w:rsidR="00E73423" w:rsidRPr="00ED589E" w:rsidRDefault="00E73423" w:rsidP="00C73065">
      <w:pPr>
        <w:tabs>
          <w:tab w:val="num" w:pos="709"/>
        </w:tabs>
        <w:ind w:left="360"/>
        <w:rPr>
          <w:rFonts w:ascii="Arial" w:eastAsia="Times New Roman" w:hAnsi="Arial" w:cs="Arial"/>
          <w:bCs/>
          <w:iCs/>
          <w:color w:val="000000"/>
          <w:w w:val="0"/>
          <w:sz w:val="24"/>
          <w:szCs w:val="24"/>
        </w:rPr>
      </w:pPr>
      <w:bookmarkStart w:id="9" w:name="_DV_M762"/>
      <w:bookmarkEnd w:id="9"/>
    </w:p>
    <w:p w:rsidR="00C73065" w:rsidRPr="00ED589E" w:rsidRDefault="00C73065" w:rsidP="00C73065">
      <w:pPr>
        <w:tabs>
          <w:tab w:val="num" w:pos="709"/>
        </w:tabs>
        <w:ind w:left="360"/>
        <w:rPr>
          <w:rFonts w:ascii="Arial" w:eastAsia="Times New Roman" w:hAnsi="Arial" w:cs="Arial"/>
          <w:bCs/>
          <w:iCs/>
          <w:color w:val="000000"/>
          <w:w w:val="0"/>
          <w:sz w:val="24"/>
          <w:szCs w:val="24"/>
        </w:rPr>
      </w:pPr>
      <w:r w:rsidRPr="00ED589E">
        <w:rPr>
          <w:rFonts w:ascii="Arial" w:eastAsia="Times New Roman" w:hAnsi="Arial" w:cs="Arial"/>
          <w:bCs/>
          <w:iCs/>
          <w:color w:val="000000"/>
          <w:w w:val="0"/>
          <w:sz w:val="24"/>
          <w:szCs w:val="24"/>
        </w:rPr>
        <w:t xml:space="preserve">The Court is seeking a Service Provider to </w:t>
      </w:r>
      <w:r w:rsidR="00E73423" w:rsidRPr="00ED589E">
        <w:rPr>
          <w:rFonts w:ascii="Arial" w:eastAsia="Times New Roman" w:hAnsi="Arial" w:cs="Arial"/>
          <w:bCs/>
          <w:iCs/>
          <w:color w:val="000000"/>
          <w:w w:val="0"/>
          <w:sz w:val="24"/>
          <w:szCs w:val="24"/>
        </w:rPr>
        <w:t>compile an oral history, which can also be presented and developed into written and visual forms.</w:t>
      </w:r>
    </w:p>
    <w:p w:rsidR="00C73065" w:rsidRPr="00ED589E" w:rsidRDefault="00C73065" w:rsidP="00C73065">
      <w:pPr>
        <w:pStyle w:val="NormalWeb"/>
        <w:ind w:left="360"/>
        <w:rPr>
          <w:rFonts w:ascii="Arial" w:hAnsi="Arial" w:cs="Arial"/>
        </w:rPr>
      </w:pPr>
      <w:r w:rsidRPr="00ED589E">
        <w:rPr>
          <w:rFonts w:ascii="Arial" w:hAnsi="Arial" w:cs="Arial"/>
        </w:rPr>
        <w:t>The Service Provider will be required to:</w:t>
      </w:r>
    </w:p>
    <w:p w:rsidR="00C73065" w:rsidRPr="00ED589E" w:rsidRDefault="004479C9" w:rsidP="00E73423">
      <w:pPr>
        <w:pStyle w:val="NormalWeb"/>
        <w:numPr>
          <w:ilvl w:val="0"/>
          <w:numId w:val="6"/>
        </w:numPr>
        <w:spacing w:before="0" w:beforeAutospacing="0"/>
        <w:rPr>
          <w:rFonts w:ascii="Arial" w:hAnsi="Arial" w:cs="Arial"/>
        </w:rPr>
      </w:pPr>
      <w:r>
        <w:rPr>
          <w:rFonts w:ascii="Arial" w:hAnsi="Arial" w:cs="Arial"/>
        </w:rPr>
        <w:t>With the assistance of High Court Staff, identify, l</w:t>
      </w:r>
      <w:r w:rsidR="00E73423" w:rsidRPr="00ED589E">
        <w:rPr>
          <w:rFonts w:ascii="Arial" w:hAnsi="Arial" w:cs="Arial"/>
        </w:rPr>
        <w:t xml:space="preserve">ocate and interview people </w:t>
      </w:r>
      <w:r w:rsidR="00815FCB">
        <w:rPr>
          <w:rFonts w:ascii="Arial" w:hAnsi="Arial" w:cs="Arial"/>
        </w:rPr>
        <w:t xml:space="preserve">(approx. 15) </w:t>
      </w:r>
      <w:r w:rsidR="00E73423" w:rsidRPr="00ED589E">
        <w:rPr>
          <w:rFonts w:ascii="Arial" w:hAnsi="Arial" w:cs="Arial"/>
        </w:rPr>
        <w:t>involved in the design</w:t>
      </w:r>
      <w:r>
        <w:rPr>
          <w:rFonts w:ascii="Arial" w:hAnsi="Arial" w:cs="Arial"/>
        </w:rPr>
        <w:t>, construction and fit-out</w:t>
      </w:r>
      <w:r w:rsidR="00E73423" w:rsidRPr="00ED589E">
        <w:rPr>
          <w:rFonts w:ascii="Arial" w:hAnsi="Arial" w:cs="Arial"/>
        </w:rPr>
        <w:t xml:space="preserve"> of the High Court building;</w:t>
      </w:r>
    </w:p>
    <w:p w:rsidR="00C73065" w:rsidRDefault="00E73423" w:rsidP="00C73065">
      <w:pPr>
        <w:pStyle w:val="NormalWeb"/>
        <w:numPr>
          <w:ilvl w:val="0"/>
          <w:numId w:val="6"/>
        </w:numPr>
        <w:spacing w:before="240" w:beforeAutospacing="0"/>
        <w:rPr>
          <w:rFonts w:ascii="Arial" w:hAnsi="Arial" w:cs="Arial"/>
        </w:rPr>
      </w:pPr>
      <w:r w:rsidRPr="00ED589E">
        <w:rPr>
          <w:rFonts w:ascii="Arial" w:hAnsi="Arial" w:cs="Arial"/>
        </w:rPr>
        <w:t>Understand the architectural, design and artistic qualities of the High Court building</w:t>
      </w:r>
      <w:r w:rsidR="004479C9">
        <w:rPr>
          <w:rFonts w:ascii="Arial" w:hAnsi="Arial" w:cs="Arial"/>
        </w:rPr>
        <w:t xml:space="preserve"> and its contents,</w:t>
      </w:r>
      <w:r w:rsidRPr="00ED589E">
        <w:rPr>
          <w:rFonts w:ascii="Arial" w:hAnsi="Arial" w:cs="Arial"/>
        </w:rPr>
        <w:t xml:space="preserve"> and the political and cultural context in which this occurred</w:t>
      </w:r>
      <w:r w:rsidR="00C73065" w:rsidRPr="00ED589E">
        <w:rPr>
          <w:rFonts w:ascii="Arial" w:hAnsi="Arial" w:cs="Arial"/>
        </w:rPr>
        <w:t>;</w:t>
      </w:r>
    </w:p>
    <w:p w:rsidR="00D540B2" w:rsidRPr="00ED589E" w:rsidRDefault="00D540B2" w:rsidP="00C73065">
      <w:pPr>
        <w:pStyle w:val="NormalWeb"/>
        <w:numPr>
          <w:ilvl w:val="0"/>
          <w:numId w:val="6"/>
        </w:numPr>
        <w:spacing w:before="240" w:beforeAutospacing="0"/>
        <w:rPr>
          <w:rFonts w:ascii="Arial" w:hAnsi="Arial" w:cs="Arial"/>
        </w:rPr>
      </w:pPr>
      <w:r>
        <w:rPr>
          <w:rFonts w:ascii="Arial" w:hAnsi="Arial" w:cs="Arial"/>
        </w:rPr>
        <w:t>Integrate the existing archival footage, including drawings and photos into the finished product</w:t>
      </w:r>
      <w:r w:rsidR="004479C9">
        <w:rPr>
          <w:rFonts w:ascii="Arial" w:hAnsi="Arial" w:cs="Arial"/>
        </w:rPr>
        <w:t>;</w:t>
      </w:r>
    </w:p>
    <w:p w:rsidR="00C73065" w:rsidRPr="00ED589E" w:rsidRDefault="00E73423" w:rsidP="00C73065">
      <w:pPr>
        <w:pStyle w:val="NormalWeb"/>
        <w:numPr>
          <w:ilvl w:val="0"/>
          <w:numId w:val="6"/>
        </w:numPr>
        <w:spacing w:before="240" w:beforeAutospacing="0"/>
        <w:rPr>
          <w:rFonts w:ascii="Arial" w:hAnsi="Arial" w:cs="Arial"/>
        </w:rPr>
      </w:pPr>
      <w:r w:rsidRPr="00ED589E">
        <w:rPr>
          <w:rFonts w:ascii="Arial" w:hAnsi="Arial" w:cs="Arial"/>
        </w:rPr>
        <w:t xml:space="preserve">Compile and curate an oral history which incorporates </w:t>
      </w:r>
      <w:r w:rsidR="00D27337">
        <w:rPr>
          <w:rFonts w:ascii="Arial" w:hAnsi="Arial" w:cs="Arial"/>
        </w:rPr>
        <w:t>all</w:t>
      </w:r>
      <w:r w:rsidRPr="00ED589E">
        <w:rPr>
          <w:rFonts w:ascii="Arial" w:hAnsi="Arial" w:cs="Arial"/>
        </w:rPr>
        <w:t xml:space="preserve"> of the above</w:t>
      </w:r>
      <w:r w:rsidR="004479C9">
        <w:rPr>
          <w:rFonts w:ascii="Arial" w:hAnsi="Arial" w:cs="Arial"/>
        </w:rPr>
        <w:t>.</w:t>
      </w:r>
    </w:p>
    <w:p w:rsidR="00C73065" w:rsidRPr="00ED589E" w:rsidRDefault="00C73065" w:rsidP="00E73423">
      <w:pPr>
        <w:tabs>
          <w:tab w:val="num" w:pos="709"/>
        </w:tabs>
        <w:ind w:left="360"/>
        <w:rPr>
          <w:rFonts w:ascii="Arial" w:eastAsia="Times New Roman" w:hAnsi="Arial" w:cs="Arial"/>
          <w:bCs/>
          <w:iCs/>
          <w:color w:val="000000"/>
          <w:w w:val="0"/>
          <w:sz w:val="24"/>
          <w:szCs w:val="24"/>
        </w:rPr>
      </w:pPr>
      <w:r w:rsidRPr="00ED589E">
        <w:rPr>
          <w:rFonts w:ascii="Arial" w:eastAsia="Times New Roman" w:hAnsi="Arial" w:cs="Arial"/>
          <w:bCs/>
          <w:iCs/>
          <w:color w:val="000000"/>
          <w:w w:val="0"/>
          <w:sz w:val="24"/>
          <w:szCs w:val="24"/>
        </w:rPr>
        <w:t xml:space="preserve">The </w:t>
      </w:r>
      <w:r w:rsidR="00E73423" w:rsidRPr="00ED589E">
        <w:rPr>
          <w:rFonts w:ascii="Arial" w:eastAsia="Times New Roman" w:hAnsi="Arial" w:cs="Arial"/>
          <w:bCs/>
          <w:iCs/>
          <w:color w:val="000000"/>
          <w:w w:val="0"/>
          <w:sz w:val="24"/>
          <w:szCs w:val="24"/>
        </w:rPr>
        <w:t xml:space="preserve">oral history is to </w:t>
      </w:r>
      <w:r w:rsidR="004479C9">
        <w:rPr>
          <w:rFonts w:ascii="Arial" w:eastAsia="Times New Roman" w:hAnsi="Arial" w:cs="Arial"/>
          <w:bCs/>
          <w:iCs/>
          <w:color w:val="000000"/>
          <w:w w:val="0"/>
          <w:sz w:val="24"/>
          <w:szCs w:val="24"/>
        </w:rPr>
        <w:t>coincide with an</w:t>
      </w:r>
      <w:r w:rsidR="00E73423" w:rsidRPr="00ED589E">
        <w:rPr>
          <w:rFonts w:ascii="Arial" w:eastAsia="Times New Roman" w:hAnsi="Arial" w:cs="Arial"/>
          <w:bCs/>
          <w:iCs/>
          <w:color w:val="000000"/>
          <w:w w:val="0"/>
          <w:sz w:val="24"/>
          <w:szCs w:val="24"/>
        </w:rPr>
        <w:t xml:space="preserve"> official ceremony of the Court on its 40</w:t>
      </w:r>
      <w:r w:rsidR="00E73423" w:rsidRPr="00ED589E">
        <w:rPr>
          <w:rFonts w:ascii="Arial" w:eastAsia="Times New Roman" w:hAnsi="Arial" w:cs="Arial"/>
          <w:bCs/>
          <w:iCs/>
          <w:color w:val="000000"/>
          <w:w w:val="0"/>
          <w:sz w:val="24"/>
          <w:szCs w:val="24"/>
          <w:vertAlign w:val="superscript"/>
        </w:rPr>
        <w:t>th</w:t>
      </w:r>
      <w:r w:rsidR="004479C9">
        <w:rPr>
          <w:rFonts w:ascii="Arial" w:eastAsia="Times New Roman" w:hAnsi="Arial" w:cs="Arial"/>
          <w:bCs/>
          <w:iCs/>
          <w:color w:val="000000"/>
          <w:w w:val="0"/>
          <w:sz w:val="24"/>
          <w:szCs w:val="24"/>
        </w:rPr>
        <w:t xml:space="preserve"> anniversary on Tuesday 26 May 2020</w:t>
      </w:r>
      <w:r w:rsidR="00E73423" w:rsidRPr="00ED589E">
        <w:rPr>
          <w:rFonts w:ascii="Arial" w:eastAsia="Times New Roman" w:hAnsi="Arial" w:cs="Arial"/>
          <w:bCs/>
          <w:iCs/>
          <w:color w:val="000000"/>
          <w:w w:val="0"/>
          <w:sz w:val="24"/>
          <w:szCs w:val="24"/>
        </w:rPr>
        <w:t>.</w:t>
      </w:r>
    </w:p>
    <w:p w:rsidR="00ED1C43" w:rsidRPr="00ED589E" w:rsidRDefault="00ED1C43" w:rsidP="00E73423">
      <w:pPr>
        <w:tabs>
          <w:tab w:val="num" w:pos="709"/>
        </w:tabs>
        <w:ind w:left="360"/>
        <w:rPr>
          <w:rFonts w:ascii="Arial" w:eastAsia="Times New Roman" w:hAnsi="Arial" w:cs="Arial"/>
          <w:bCs/>
          <w:iCs/>
          <w:color w:val="000000"/>
          <w:w w:val="0"/>
          <w:sz w:val="24"/>
          <w:szCs w:val="24"/>
        </w:rPr>
      </w:pPr>
      <w:r w:rsidRPr="00ED589E">
        <w:rPr>
          <w:rFonts w:ascii="Arial" w:eastAsia="Times New Roman" w:hAnsi="Arial" w:cs="Arial"/>
          <w:bCs/>
          <w:iCs/>
          <w:color w:val="000000"/>
          <w:w w:val="0"/>
          <w:sz w:val="24"/>
          <w:szCs w:val="24"/>
        </w:rPr>
        <w:t xml:space="preserve">It is anticipated that the oral history will be presented in a short ‘pod-cast’ </w:t>
      </w:r>
      <w:r w:rsidR="00815FCB">
        <w:rPr>
          <w:rFonts w:ascii="Arial" w:eastAsia="Times New Roman" w:hAnsi="Arial" w:cs="Arial"/>
          <w:bCs/>
          <w:iCs/>
          <w:color w:val="000000"/>
          <w:w w:val="0"/>
          <w:sz w:val="24"/>
          <w:szCs w:val="24"/>
        </w:rPr>
        <w:t xml:space="preserve">or ‘vod-cast’ </w:t>
      </w:r>
      <w:r w:rsidRPr="00ED589E">
        <w:rPr>
          <w:rFonts w:ascii="Arial" w:eastAsia="Times New Roman" w:hAnsi="Arial" w:cs="Arial"/>
          <w:bCs/>
          <w:iCs/>
          <w:color w:val="000000"/>
          <w:w w:val="0"/>
          <w:sz w:val="24"/>
          <w:szCs w:val="24"/>
        </w:rPr>
        <w:t xml:space="preserve">type format </w:t>
      </w:r>
      <w:r w:rsidR="00ED589E" w:rsidRPr="00ED589E">
        <w:rPr>
          <w:rFonts w:ascii="Arial" w:eastAsia="Times New Roman" w:hAnsi="Arial" w:cs="Arial"/>
          <w:bCs/>
          <w:iCs/>
          <w:color w:val="000000"/>
          <w:w w:val="0"/>
          <w:sz w:val="24"/>
          <w:szCs w:val="24"/>
        </w:rPr>
        <w:t xml:space="preserve">of 10 to 15 </w:t>
      </w:r>
      <w:r w:rsidR="00D540B2" w:rsidRPr="00ED589E">
        <w:rPr>
          <w:rFonts w:ascii="Arial" w:eastAsia="Times New Roman" w:hAnsi="Arial" w:cs="Arial"/>
          <w:bCs/>
          <w:iCs/>
          <w:color w:val="000000"/>
          <w:w w:val="0"/>
          <w:sz w:val="24"/>
          <w:szCs w:val="24"/>
        </w:rPr>
        <w:t>minutes</w:t>
      </w:r>
      <w:r w:rsidR="00815FCB">
        <w:rPr>
          <w:rFonts w:ascii="Arial" w:eastAsia="Times New Roman" w:hAnsi="Arial" w:cs="Arial"/>
          <w:bCs/>
          <w:iCs/>
          <w:color w:val="000000"/>
          <w:w w:val="0"/>
          <w:sz w:val="24"/>
          <w:szCs w:val="24"/>
        </w:rPr>
        <w:t>,</w:t>
      </w:r>
      <w:r w:rsidR="00ED589E" w:rsidRPr="00ED589E">
        <w:rPr>
          <w:rFonts w:ascii="Arial" w:eastAsia="Times New Roman" w:hAnsi="Arial" w:cs="Arial"/>
          <w:bCs/>
          <w:iCs/>
          <w:color w:val="000000"/>
          <w:w w:val="0"/>
          <w:sz w:val="24"/>
          <w:szCs w:val="24"/>
        </w:rPr>
        <w:t xml:space="preserve"> and a long</w:t>
      </w:r>
      <w:r w:rsidRPr="00ED589E">
        <w:rPr>
          <w:rFonts w:ascii="Arial" w:eastAsia="Times New Roman" w:hAnsi="Arial" w:cs="Arial"/>
          <w:bCs/>
          <w:iCs/>
          <w:color w:val="000000"/>
          <w:w w:val="0"/>
          <w:sz w:val="24"/>
          <w:szCs w:val="24"/>
        </w:rPr>
        <w:t xml:space="preserve">er </w:t>
      </w:r>
      <w:r w:rsidR="00ED589E" w:rsidRPr="00ED589E">
        <w:rPr>
          <w:rFonts w:ascii="Arial" w:eastAsia="Times New Roman" w:hAnsi="Arial" w:cs="Arial"/>
          <w:bCs/>
          <w:iCs/>
          <w:color w:val="000000"/>
          <w:w w:val="0"/>
          <w:sz w:val="24"/>
          <w:szCs w:val="24"/>
        </w:rPr>
        <w:t xml:space="preserve">format for those with a deeper </w:t>
      </w:r>
      <w:r w:rsidR="00ED589E" w:rsidRPr="00ED589E">
        <w:rPr>
          <w:rFonts w:ascii="Arial" w:eastAsia="Times New Roman" w:hAnsi="Arial" w:cs="Arial"/>
          <w:bCs/>
          <w:iCs/>
          <w:color w:val="000000"/>
          <w:w w:val="0"/>
          <w:sz w:val="24"/>
          <w:szCs w:val="24"/>
        </w:rPr>
        <w:lastRenderedPageBreak/>
        <w:t>interest in the subject.</w:t>
      </w:r>
      <w:r w:rsidR="004479C9">
        <w:rPr>
          <w:rFonts w:ascii="Arial" w:eastAsia="Times New Roman" w:hAnsi="Arial" w:cs="Arial"/>
          <w:bCs/>
          <w:iCs/>
          <w:color w:val="000000"/>
          <w:w w:val="0"/>
          <w:sz w:val="24"/>
          <w:szCs w:val="24"/>
        </w:rPr>
        <w:t xml:space="preserve">  It is anticipated that this pod-cast will be made available on the High Court’s web-site and within the building itself.  </w:t>
      </w:r>
    </w:p>
    <w:p w:rsidR="00C73065" w:rsidRPr="00ED589E" w:rsidRDefault="00C73065" w:rsidP="00C73065">
      <w:pPr>
        <w:tabs>
          <w:tab w:val="num" w:pos="709"/>
        </w:tabs>
        <w:spacing w:before="120" w:after="120"/>
        <w:ind w:left="360"/>
        <w:rPr>
          <w:rFonts w:ascii="Arial" w:eastAsia="Times New Roman" w:hAnsi="Arial" w:cs="Arial"/>
          <w:color w:val="000000"/>
          <w:w w:val="0"/>
          <w:sz w:val="24"/>
          <w:szCs w:val="24"/>
        </w:rPr>
      </w:pPr>
    </w:p>
    <w:p w:rsidR="00C73065" w:rsidRPr="00ED589E"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bookmarkStart w:id="10" w:name="_DV_M777"/>
      <w:bookmarkStart w:id="11" w:name="_DV_M779"/>
      <w:bookmarkEnd w:id="10"/>
      <w:bookmarkEnd w:id="11"/>
      <w:r w:rsidRPr="00ED589E">
        <w:rPr>
          <w:rFonts w:ascii="Arial" w:eastAsia="Times New Roman" w:hAnsi="Arial" w:cs="Arial"/>
          <w:b/>
          <w:bCs/>
          <w:color w:val="000000"/>
          <w:w w:val="0"/>
          <w:sz w:val="24"/>
          <w:szCs w:val="24"/>
          <w:lang w:val="en-AU"/>
        </w:rPr>
        <w:t>SELECTION CRITERIA</w:t>
      </w:r>
    </w:p>
    <w:p w:rsidR="00C73065" w:rsidRPr="00ED589E" w:rsidRDefault="00C73065" w:rsidP="00C73065">
      <w:pPr>
        <w:tabs>
          <w:tab w:val="num" w:pos="709"/>
        </w:tabs>
        <w:spacing w:before="120" w:after="120"/>
        <w:ind w:left="360"/>
        <w:rPr>
          <w:rFonts w:ascii="Arial" w:eastAsia="Times New Roman" w:hAnsi="Arial" w:cs="Arial"/>
          <w:color w:val="000000"/>
          <w:w w:val="0"/>
          <w:sz w:val="24"/>
          <w:szCs w:val="24"/>
        </w:rPr>
      </w:pPr>
      <w:bookmarkStart w:id="12" w:name="_DV_M780"/>
      <w:bookmarkStart w:id="13" w:name="_DV_M782"/>
      <w:bookmarkStart w:id="14" w:name="_DV_M783"/>
      <w:bookmarkEnd w:id="12"/>
      <w:bookmarkEnd w:id="13"/>
      <w:bookmarkEnd w:id="14"/>
      <w:r w:rsidRPr="00ED589E">
        <w:rPr>
          <w:rFonts w:ascii="Arial" w:eastAsia="Times New Roman" w:hAnsi="Arial" w:cs="Arial"/>
          <w:color w:val="000000"/>
          <w:w w:val="0"/>
          <w:sz w:val="24"/>
          <w:szCs w:val="24"/>
        </w:rPr>
        <w:t>When preparing their proposals Service Providers should address each of the selection criteria listed below</w:t>
      </w:r>
      <w:r w:rsidR="00E73423" w:rsidRPr="00ED589E">
        <w:rPr>
          <w:rFonts w:ascii="Arial" w:eastAsia="Times New Roman" w:hAnsi="Arial" w:cs="Arial"/>
          <w:color w:val="000000"/>
          <w:w w:val="0"/>
          <w:sz w:val="24"/>
          <w:szCs w:val="24"/>
        </w:rPr>
        <w:t>:</w:t>
      </w:r>
    </w:p>
    <w:p w:rsidR="00C73065" w:rsidRPr="00ED589E" w:rsidRDefault="00C73065" w:rsidP="00C73065">
      <w:pPr>
        <w:tabs>
          <w:tab w:val="num" w:pos="709"/>
        </w:tabs>
        <w:ind w:left="360"/>
        <w:rPr>
          <w:rFonts w:ascii="Arial" w:eastAsia="Times New Roman" w:hAnsi="Arial" w:cs="Arial"/>
          <w:color w:val="000000"/>
          <w:w w:val="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8080"/>
      </w:tblGrid>
      <w:tr w:rsidR="00C73065" w:rsidRPr="00ED589E" w:rsidTr="00566835">
        <w:tc>
          <w:tcPr>
            <w:tcW w:w="425" w:type="dxa"/>
          </w:tcPr>
          <w:p w:rsidR="00C73065" w:rsidRPr="00ED589E" w:rsidRDefault="00C73065" w:rsidP="00C73065">
            <w:pPr>
              <w:numPr>
                <w:ilvl w:val="0"/>
                <w:numId w:val="4"/>
              </w:numPr>
              <w:autoSpaceDE w:val="0"/>
              <w:autoSpaceDN w:val="0"/>
              <w:adjustRightInd w:val="0"/>
              <w:spacing w:before="120" w:after="120" w:line="240" w:lineRule="auto"/>
              <w:rPr>
                <w:rFonts w:ascii="Arial" w:eastAsia="Times New Roman" w:hAnsi="Arial" w:cs="Arial"/>
                <w:color w:val="000000"/>
                <w:w w:val="0"/>
                <w:sz w:val="24"/>
                <w:szCs w:val="24"/>
              </w:rPr>
            </w:pPr>
          </w:p>
        </w:tc>
        <w:tc>
          <w:tcPr>
            <w:tcW w:w="8080" w:type="dxa"/>
          </w:tcPr>
          <w:p w:rsidR="00C73065" w:rsidRPr="00ED589E" w:rsidRDefault="006F5020" w:rsidP="00566835">
            <w:pPr>
              <w:tabs>
                <w:tab w:val="num" w:pos="709"/>
              </w:tabs>
              <w:spacing w:before="120" w:after="12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 xml:space="preserve">Demonstrated experience in </w:t>
            </w:r>
            <w:r w:rsidR="003B671A" w:rsidRPr="00ED589E">
              <w:rPr>
                <w:rFonts w:ascii="Arial" w:eastAsia="Times New Roman" w:hAnsi="Arial" w:cs="Arial"/>
                <w:color w:val="000000"/>
                <w:w w:val="0"/>
                <w:sz w:val="24"/>
                <w:szCs w:val="24"/>
              </w:rPr>
              <w:t xml:space="preserve">completing an oral history project </w:t>
            </w:r>
            <w:r w:rsidR="00727EA7" w:rsidRPr="00ED589E">
              <w:rPr>
                <w:rFonts w:ascii="Arial" w:eastAsia="Times New Roman" w:hAnsi="Arial" w:cs="Arial"/>
                <w:color w:val="000000"/>
                <w:w w:val="0"/>
                <w:sz w:val="24"/>
                <w:szCs w:val="24"/>
              </w:rPr>
              <w:t xml:space="preserve">on a discrete topic from inception to </w:t>
            </w:r>
            <w:r w:rsidR="00903635" w:rsidRPr="00ED589E">
              <w:rPr>
                <w:rFonts w:ascii="Arial" w:eastAsia="Times New Roman" w:hAnsi="Arial" w:cs="Arial"/>
                <w:color w:val="000000"/>
                <w:w w:val="0"/>
                <w:sz w:val="24"/>
                <w:szCs w:val="24"/>
              </w:rPr>
              <w:t>presentation</w:t>
            </w:r>
          </w:p>
          <w:p w:rsidR="00C73065" w:rsidRPr="00ED589E" w:rsidRDefault="00C73065" w:rsidP="00903635">
            <w:pPr>
              <w:tabs>
                <w:tab w:val="num" w:pos="709"/>
              </w:tabs>
              <w:spacing w:before="120" w:after="120"/>
              <w:rPr>
                <w:rFonts w:ascii="Arial" w:eastAsia="Times New Roman" w:hAnsi="Arial" w:cs="Arial"/>
                <w:color w:val="000000"/>
                <w:w w:val="0"/>
                <w:sz w:val="24"/>
                <w:szCs w:val="24"/>
              </w:rPr>
            </w:pPr>
          </w:p>
        </w:tc>
      </w:tr>
      <w:tr w:rsidR="00C73065" w:rsidRPr="00ED589E" w:rsidTr="00566835">
        <w:tc>
          <w:tcPr>
            <w:tcW w:w="425" w:type="dxa"/>
          </w:tcPr>
          <w:p w:rsidR="00C73065" w:rsidRPr="00ED589E" w:rsidRDefault="00C73065" w:rsidP="00C73065">
            <w:pPr>
              <w:numPr>
                <w:ilvl w:val="0"/>
                <w:numId w:val="4"/>
              </w:numPr>
              <w:autoSpaceDE w:val="0"/>
              <w:autoSpaceDN w:val="0"/>
              <w:adjustRightInd w:val="0"/>
              <w:spacing w:before="120" w:after="120" w:line="240" w:lineRule="auto"/>
              <w:rPr>
                <w:rFonts w:ascii="Arial" w:eastAsia="Times New Roman" w:hAnsi="Arial" w:cs="Arial"/>
                <w:color w:val="000000"/>
                <w:w w:val="0"/>
                <w:sz w:val="24"/>
                <w:szCs w:val="24"/>
              </w:rPr>
            </w:pPr>
          </w:p>
        </w:tc>
        <w:tc>
          <w:tcPr>
            <w:tcW w:w="8080" w:type="dxa"/>
          </w:tcPr>
          <w:p w:rsidR="00C73065" w:rsidRPr="00ED589E" w:rsidRDefault="004479C9" w:rsidP="00D70C4B">
            <w:pPr>
              <w:pStyle w:val="ListParagraph"/>
              <w:tabs>
                <w:tab w:val="num" w:pos="709"/>
              </w:tabs>
              <w:spacing w:before="120" w:after="120"/>
              <w:ind w:left="0"/>
              <w:rPr>
                <w:rFonts w:ascii="Arial" w:eastAsia="Times New Roman" w:hAnsi="Arial" w:cs="Arial"/>
                <w:color w:val="000000"/>
                <w:w w:val="0"/>
                <w:sz w:val="24"/>
                <w:szCs w:val="24"/>
              </w:rPr>
            </w:pPr>
            <w:r>
              <w:rPr>
                <w:rFonts w:ascii="Arial" w:eastAsia="Times New Roman" w:hAnsi="Arial" w:cs="Arial"/>
                <w:color w:val="000000"/>
                <w:w w:val="0"/>
                <w:sz w:val="24"/>
                <w:szCs w:val="24"/>
              </w:rPr>
              <w:t>It would be desirable to have a b</w:t>
            </w:r>
            <w:r w:rsidR="00D70C4B" w:rsidRPr="00ED589E">
              <w:rPr>
                <w:rFonts w:ascii="Arial" w:eastAsia="Times New Roman" w:hAnsi="Arial" w:cs="Arial"/>
                <w:color w:val="000000"/>
                <w:w w:val="0"/>
                <w:sz w:val="24"/>
                <w:szCs w:val="24"/>
              </w:rPr>
              <w:t>ackground or experience in architecture, art and design</w:t>
            </w:r>
          </w:p>
          <w:p w:rsidR="00C73065" w:rsidRPr="00ED589E" w:rsidRDefault="00C73065" w:rsidP="00566835">
            <w:pPr>
              <w:tabs>
                <w:tab w:val="num" w:pos="709"/>
              </w:tabs>
              <w:spacing w:before="120" w:after="12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 xml:space="preserve"> </w:t>
            </w:r>
          </w:p>
        </w:tc>
      </w:tr>
      <w:tr w:rsidR="00C73065" w:rsidRPr="00ED589E" w:rsidTr="00566835">
        <w:tc>
          <w:tcPr>
            <w:tcW w:w="425" w:type="dxa"/>
          </w:tcPr>
          <w:p w:rsidR="00C73065" w:rsidRPr="00ED589E" w:rsidRDefault="00C73065" w:rsidP="00C73065">
            <w:pPr>
              <w:numPr>
                <w:ilvl w:val="0"/>
                <w:numId w:val="4"/>
              </w:numPr>
              <w:autoSpaceDE w:val="0"/>
              <w:autoSpaceDN w:val="0"/>
              <w:adjustRightInd w:val="0"/>
              <w:spacing w:before="120" w:after="120" w:line="240" w:lineRule="auto"/>
              <w:rPr>
                <w:rFonts w:ascii="Arial" w:eastAsia="Times New Roman" w:hAnsi="Arial" w:cs="Arial"/>
                <w:color w:val="000000"/>
                <w:w w:val="0"/>
                <w:sz w:val="24"/>
                <w:szCs w:val="24"/>
              </w:rPr>
            </w:pPr>
          </w:p>
        </w:tc>
        <w:tc>
          <w:tcPr>
            <w:tcW w:w="8080" w:type="dxa"/>
          </w:tcPr>
          <w:p w:rsidR="00052129" w:rsidRPr="00ED589E" w:rsidRDefault="00052129" w:rsidP="007473E8">
            <w:pPr>
              <w:tabs>
                <w:tab w:val="num" w:pos="709"/>
              </w:tabs>
              <w:spacing w:before="120" w:after="12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Skills and experience in presenting oral history in different formats</w:t>
            </w:r>
          </w:p>
          <w:p w:rsidR="00C73065" w:rsidRPr="00ED589E" w:rsidRDefault="00C73065" w:rsidP="007473E8">
            <w:pPr>
              <w:tabs>
                <w:tab w:val="num" w:pos="709"/>
              </w:tabs>
              <w:spacing w:before="120" w:after="120"/>
              <w:rPr>
                <w:rFonts w:ascii="Arial" w:eastAsia="Times New Roman" w:hAnsi="Arial" w:cs="Arial"/>
                <w:color w:val="000000"/>
                <w:w w:val="0"/>
                <w:sz w:val="24"/>
                <w:szCs w:val="24"/>
              </w:rPr>
            </w:pPr>
          </w:p>
        </w:tc>
      </w:tr>
      <w:tr w:rsidR="005615AF" w:rsidRPr="00ED589E" w:rsidTr="00566835">
        <w:tc>
          <w:tcPr>
            <w:tcW w:w="425" w:type="dxa"/>
          </w:tcPr>
          <w:p w:rsidR="005615AF" w:rsidRPr="00ED589E" w:rsidRDefault="005615AF" w:rsidP="00C73065">
            <w:pPr>
              <w:numPr>
                <w:ilvl w:val="0"/>
                <w:numId w:val="4"/>
              </w:numPr>
              <w:autoSpaceDE w:val="0"/>
              <w:autoSpaceDN w:val="0"/>
              <w:adjustRightInd w:val="0"/>
              <w:spacing w:before="120" w:after="120" w:line="240" w:lineRule="auto"/>
              <w:rPr>
                <w:rFonts w:ascii="Arial" w:eastAsia="Times New Roman" w:hAnsi="Arial" w:cs="Arial"/>
                <w:color w:val="000000"/>
                <w:w w:val="0"/>
                <w:sz w:val="24"/>
                <w:szCs w:val="24"/>
              </w:rPr>
            </w:pPr>
          </w:p>
        </w:tc>
        <w:tc>
          <w:tcPr>
            <w:tcW w:w="8080" w:type="dxa"/>
          </w:tcPr>
          <w:p w:rsidR="005615AF" w:rsidRPr="00ED589E" w:rsidRDefault="005615AF" w:rsidP="00566835">
            <w:pPr>
              <w:tabs>
                <w:tab w:val="num" w:pos="709"/>
              </w:tabs>
              <w:spacing w:before="120" w:after="12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Cost and value for money of the services (how will providers provide cost total, hourly rates</w:t>
            </w:r>
            <w:r w:rsidR="00861209">
              <w:rPr>
                <w:rFonts w:ascii="Arial" w:eastAsia="Times New Roman" w:hAnsi="Arial" w:cs="Arial"/>
                <w:color w:val="000000"/>
                <w:w w:val="0"/>
                <w:sz w:val="24"/>
                <w:szCs w:val="24"/>
              </w:rPr>
              <w:t>, disbursements, travel</w:t>
            </w:r>
            <w:r w:rsidRPr="00ED589E">
              <w:rPr>
                <w:rFonts w:ascii="Arial" w:eastAsia="Times New Roman" w:hAnsi="Arial" w:cs="Arial"/>
                <w:color w:val="000000"/>
                <w:w w:val="0"/>
                <w:sz w:val="24"/>
                <w:szCs w:val="24"/>
              </w:rPr>
              <w:t>?)</w:t>
            </w:r>
          </w:p>
        </w:tc>
      </w:tr>
      <w:tr w:rsidR="00C73065" w:rsidRPr="00ED589E" w:rsidTr="00566835">
        <w:tc>
          <w:tcPr>
            <w:tcW w:w="425" w:type="dxa"/>
          </w:tcPr>
          <w:p w:rsidR="00C73065" w:rsidRPr="00ED589E" w:rsidRDefault="00C73065" w:rsidP="00C73065">
            <w:pPr>
              <w:numPr>
                <w:ilvl w:val="0"/>
                <w:numId w:val="4"/>
              </w:numPr>
              <w:autoSpaceDE w:val="0"/>
              <w:autoSpaceDN w:val="0"/>
              <w:adjustRightInd w:val="0"/>
              <w:spacing w:before="120" w:after="120" w:line="240" w:lineRule="auto"/>
              <w:rPr>
                <w:rFonts w:ascii="Arial" w:eastAsia="Times New Roman" w:hAnsi="Arial" w:cs="Arial"/>
                <w:color w:val="000000"/>
                <w:w w:val="0"/>
                <w:sz w:val="24"/>
                <w:szCs w:val="24"/>
              </w:rPr>
            </w:pPr>
          </w:p>
        </w:tc>
        <w:tc>
          <w:tcPr>
            <w:tcW w:w="8080" w:type="dxa"/>
          </w:tcPr>
          <w:p w:rsidR="00C73065" w:rsidRPr="00ED589E" w:rsidRDefault="00C73065" w:rsidP="00566835">
            <w:pPr>
              <w:tabs>
                <w:tab w:val="num" w:pos="709"/>
              </w:tabs>
              <w:spacing w:before="120" w:after="12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Referees</w:t>
            </w:r>
          </w:p>
          <w:p w:rsidR="00C73065" w:rsidRPr="00ED589E" w:rsidRDefault="00C73065" w:rsidP="00566835">
            <w:pPr>
              <w:tabs>
                <w:tab w:val="num" w:pos="709"/>
              </w:tabs>
              <w:spacing w:before="120" w:after="12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(as requested in section 11))</w:t>
            </w:r>
          </w:p>
        </w:tc>
      </w:tr>
    </w:tbl>
    <w:p w:rsidR="00C73065" w:rsidRPr="00ED589E"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bookmarkStart w:id="15" w:name="_DV_C316"/>
      <w:bookmarkStart w:id="16" w:name="OLE_LINK5"/>
      <w:r w:rsidRPr="00ED589E">
        <w:rPr>
          <w:rFonts w:ascii="Arial" w:eastAsia="Times New Roman" w:hAnsi="Arial" w:cs="Arial"/>
          <w:b/>
          <w:bCs/>
          <w:color w:val="000000"/>
          <w:w w:val="0"/>
          <w:sz w:val="24"/>
          <w:szCs w:val="24"/>
          <w:lang w:val="en-AU"/>
        </w:rPr>
        <w:t>TIME FRAMES</w:t>
      </w:r>
    </w:p>
    <w:tbl>
      <w:tblPr>
        <w:tblW w:w="79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3878"/>
      </w:tblGrid>
      <w:tr w:rsidR="00861209" w:rsidRPr="005762A4" w:rsidTr="00F55D51">
        <w:tc>
          <w:tcPr>
            <w:tcW w:w="4110" w:type="dxa"/>
          </w:tcPr>
          <w:p w:rsidR="00861209" w:rsidRPr="005762A4" w:rsidRDefault="00861209" w:rsidP="00F55D51">
            <w:pPr>
              <w:pStyle w:val="BodyText"/>
              <w:spacing w:before="240"/>
              <w:rPr>
                <w:rFonts w:ascii="Arial" w:eastAsia="Times New Roman" w:hAnsi="Arial" w:cs="Arial"/>
                <w:b/>
                <w:bCs/>
                <w:iCs/>
                <w:color w:val="000000"/>
                <w:w w:val="0"/>
                <w:sz w:val="22"/>
                <w:szCs w:val="22"/>
                <w:lang w:val="en-AU"/>
              </w:rPr>
            </w:pPr>
            <w:bookmarkStart w:id="17" w:name="_DV_M763"/>
            <w:bookmarkStart w:id="18" w:name="_DV_M764"/>
            <w:bookmarkEnd w:id="17"/>
            <w:bookmarkEnd w:id="18"/>
            <w:r w:rsidRPr="005762A4">
              <w:rPr>
                <w:rFonts w:ascii="Arial" w:eastAsia="Times New Roman" w:hAnsi="Arial" w:cs="Arial"/>
                <w:b/>
                <w:bCs/>
                <w:iCs/>
                <w:color w:val="000000"/>
                <w:w w:val="0"/>
                <w:sz w:val="22"/>
                <w:szCs w:val="22"/>
                <w:lang w:val="en-AU"/>
              </w:rPr>
              <w:t>Date</w:t>
            </w:r>
          </w:p>
        </w:tc>
        <w:tc>
          <w:tcPr>
            <w:tcW w:w="3878" w:type="dxa"/>
          </w:tcPr>
          <w:p w:rsidR="00861209" w:rsidRPr="005762A4" w:rsidRDefault="00861209" w:rsidP="00F55D51">
            <w:pPr>
              <w:pStyle w:val="BodyText"/>
              <w:spacing w:before="240"/>
              <w:rPr>
                <w:rFonts w:ascii="Arial" w:eastAsia="Times New Roman" w:hAnsi="Arial" w:cs="Arial"/>
                <w:b/>
                <w:bCs/>
                <w:iCs/>
                <w:color w:val="000000"/>
                <w:w w:val="0"/>
                <w:sz w:val="22"/>
                <w:szCs w:val="22"/>
                <w:lang w:val="en-AU"/>
              </w:rPr>
            </w:pPr>
            <w:r w:rsidRPr="005762A4">
              <w:rPr>
                <w:rFonts w:ascii="Arial" w:eastAsia="Times New Roman" w:hAnsi="Arial" w:cs="Arial"/>
                <w:b/>
                <w:bCs/>
                <w:iCs/>
                <w:color w:val="000000"/>
                <w:w w:val="0"/>
                <w:sz w:val="22"/>
                <w:szCs w:val="22"/>
                <w:lang w:val="en-AU"/>
              </w:rPr>
              <w:t>Activity</w:t>
            </w:r>
          </w:p>
        </w:tc>
      </w:tr>
      <w:tr w:rsidR="00861209" w:rsidRPr="007473E8" w:rsidTr="00F55D51">
        <w:tc>
          <w:tcPr>
            <w:tcW w:w="4110" w:type="dxa"/>
          </w:tcPr>
          <w:p w:rsidR="00861209" w:rsidRPr="007473E8" w:rsidRDefault="00861209" w:rsidP="00F55D51">
            <w:pPr>
              <w:pStyle w:val="BodyText"/>
              <w:spacing w:before="240"/>
              <w:rPr>
                <w:rFonts w:ascii="Arial" w:eastAsia="Times New Roman" w:hAnsi="Arial" w:cs="Arial"/>
                <w:bCs/>
                <w:iCs/>
                <w:color w:val="000000"/>
                <w:w w:val="0"/>
                <w:sz w:val="24"/>
                <w:szCs w:val="24"/>
                <w:highlight w:val="yellow"/>
                <w:lang w:val="en-AU"/>
              </w:rPr>
            </w:pPr>
            <w:r>
              <w:rPr>
                <w:rFonts w:ascii="Arial" w:eastAsia="Times New Roman" w:hAnsi="Arial" w:cs="Arial"/>
                <w:bCs/>
                <w:iCs/>
                <w:color w:val="000000"/>
                <w:w w:val="0"/>
                <w:sz w:val="24"/>
                <w:szCs w:val="24"/>
                <w:lang w:val="en-AU"/>
              </w:rPr>
              <w:t>Friday 13 September 2019</w:t>
            </w:r>
          </w:p>
        </w:tc>
        <w:tc>
          <w:tcPr>
            <w:tcW w:w="3878" w:type="dxa"/>
          </w:tcPr>
          <w:p w:rsidR="00861209" w:rsidRPr="007473E8" w:rsidRDefault="00861209" w:rsidP="00F55D51">
            <w:pPr>
              <w:pStyle w:val="BodyText"/>
              <w:spacing w:before="240"/>
              <w:rPr>
                <w:rFonts w:ascii="Arial" w:eastAsia="Times New Roman" w:hAnsi="Arial" w:cs="Arial"/>
                <w:bCs/>
                <w:iCs/>
                <w:color w:val="000000"/>
                <w:w w:val="0"/>
                <w:sz w:val="24"/>
                <w:szCs w:val="24"/>
                <w:lang w:val="en-AU"/>
              </w:rPr>
            </w:pPr>
            <w:r w:rsidRPr="007473E8">
              <w:rPr>
                <w:rFonts w:ascii="Arial" w:eastAsia="Times New Roman" w:hAnsi="Arial" w:cs="Arial"/>
                <w:bCs/>
                <w:iCs/>
                <w:color w:val="000000"/>
                <w:w w:val="0"/>
                <w:sz w:val="24"/>
                <w:szCs w:val="24"/>
                <w:lang w:val="en-AU"/>
              </w:rPr>
              <w:t>RFQ Release</w:t>
            </w:r>
          </w:p>
        </w:tc>
      </w:tr>
      <w:tr w:rsidR="00861209" w:rsidRPr="007473E8" w:rsidTr="00F55D51">
        <w:tc>
          <w:tcPr>
            <w:tcW w:w="4110" w:type="dxa"/>
          </w:tcPr>
          <w:p w:rsidR="00861209" w:rsidRPr="007473E8" w:rsidRDefault="00861209" w:rsidP="00F55D51">
            <w:pPr>
              <w:pStyle w:val="BodyText"/>
              <w:spacing w:before="240"/>
              <w:rPr>
                <w:rFonts w:ascii="Arial" w:eastAsia="Times New Roman" w:hAnsi="Arial" w:cs="Arial"/>
                <w:bCs/>
                <w:iCs/>
                <w:color w:val="000000"/>
                <w:w w:val="0"/>
                <w:sz w:val="24"/>
                <w:szCs w:val="24"/>
                <w:highlight w:val="yellow"/>
                <w:lang w:val="en-AU"/>
              </w:rPr>
            </w:pPr>
            <w:r>
              <w:rPr>
                <w:rFonts w:ascii="Arial" w:eastAsia="Times New Roman" w:hAnsi="Arial" w:cs="Arial"/>
                <w:bCs/>
                <w:iCs/>
                <w:color w:val="000000"/>
                <w:w w:val="0"/>
                <w:sz w:val="24"/>
                <w:szCs w:val="24"/>
                <w:lang w:val="en-AU"/>
              </w:rPr>
              <w:t>Friday 11 October 2019</w:t>
            </w:r>
          </w:p>
        </w:tc>
        <w:tc>
          <w:tcPr>
            <w:tcW w:w="3878" w:type="dxa"/>
          </w:tcPr>
          <w:p w:rsidR="00861209" w:rsidRPr="007473E8" w:rsidRDefault="00861209" w:rsidP="00F55D51">
            <w:pPr>
              <w:pStyle w:val="BodyText"/>
              <w:spacing w:before="240"/>
              <w:rPr>
                <w:rFonts w:ascii="Arial" w:eastAsia="Times New Roman" w:hAnsi="Arial" w:cs="Arial"/>
                <w:bCs/>
                <w:iCs/>
                <w:color w:val="000000"/>
                <w:w w:val="0"/>
                <w:sz w:val="24"/>
                <w:szCs w:val="24"/>
                <w:lang w:val="en-AU"/>
              </w:rPr>
            </w:pPr>
            <w:r w:rsidRPr="007473E8">
              <w:rPr>
                <w:rFonts w:ascii="Arial" w:eastAsia="Times New Roman" w:hAnsi="Arial" w:cs="Arial"/>
                <w:bCs/>
                <w:iCs/>
                <w:color w:val="000000"/>
                <w:w w:val="0"/>
                <w:sz w:val="24"/>
                <w:szCs w:val="24"/>
                <w:lang w:val="en-AU"/>
              </w:rPr>
              <w:t>RFQ Closure</w:t>
            </w:r>
          </w:p>
        </w:tc>
      </w:tr>
      <w:tr w:rsidR="00861209" w:rsidRPr="007473E8" w:rsidTr="00F55D51">
        <w:tc>
          <w:tcPr>
            <w:tcW w:w="4110" w:type="dxa"/>
          </w:tcPr>
          <w:p w:rsidR="00861209" w:rsidRPr="007473E8" w:rsidRDefault="00861209" w:rsidP="00F55D51">
            <w:pPr>
              <w:pStyle w:val="BodyText"/>
              <w:spacing w:before="240"/>
              <w:rPr>
                <w:rFonts w:ascii="Arial" w:eastAsia="Times New Roman" w:hAnsi="Arial" w:cs="Arial"/>
                <w:bCs/>
                <w:iCs/>
                <w:color w:val="000000"/>
                <w:w w:val="0"/>
                <w:sz w:val="24"/>
                <w:szCs w:val="24"/>
                <w:highlight w:val="yellow"/>
                <w:lang w:val="en-AU"/>
              </w:rPr>
            </w:pPr>
            <w:r>
              <w:rPr>
                <w:rFonts w:ascii="Arial" w:eastAsia="Times New Roman" w:hAnsi="Arial" w:cs="Arial"/>
                <w:bCs/>
                <w:iCs/>
                <w:color w:val="000000"/>
                <w:w w:val="0"/>
                <w:sz w:val="24"/>
                <w:szCs w:val="24"/>
                <w:lang w:val="en-AU"/>
              </w:rPr>
              <w:t>Friday 18 October 2019</w:t>
            </w:r>
          </w:p>
        </w:tc>
        <w:tc>
          <w:tcPr>
            <w:tcW w:w="3878" w:type="dxa"/>
          </w:tcPr>
          <w:p w:rsidR="00861209" w:rsidRPr="007473E8" w:rsidRDefault="00861209" w:rsidP="00F55D51">
            <w:pPr>
              <w:pStyle w:val="BodyText"/>
              <w:spacing w:before="240"/>
              <w:rPr>
                <w:rFonts w:ascii="Arial" w:eastAsia="Times New Roman" w:hAnsi="Arial" w:cs="Arial"/>
                <w:bCs/>
                <w:iCs/>
                <w:color w:val="000000"/>
                <w:w w:val="0"/>
                <w:sz w:val="24"/>
                <w:szCs w:val="24"/>
                <w:lang w:val="en-AU"/>
              </w:rPr>
            </w:pPr>
            <w:r w:rsidRPr="007473E8">
              <w:rPr>
                <w:rFonts w:ascii="Arial" w:eastAsia="Times New Roman" w:hAnsi="Arial" w:cs="Arial"/>
                <w:bCs/>
                <w:iCs/>
                <w:color w:val="000000"/>
                <w:w w:val="0"/>
                <w:sz w:val="24"/>
                <w:szCs w:val="24"/>
                <w:lang w:val="en-AU"/>
              </w:rPr>
              <w:t>RFQ Evaluation Completed; commencement</w:t>
            </w:r>
          </w:p>
        </w:tc>
      </w:tr>
      <w:tr w:rsidR="00861209" w:rsidRPr="007473E8" w:rsidTr="00F55D51">
        <w:tc>
          <w:tcPr>
            <w:tcW w:w="4110" w:type="dxa"/>
          </w:tcPr>
          <w:p w:rsidR="00861209" w:rsidRDefault="00861209" w:rsidP="00F55D51">
            <w:pPr>
              <w:pStyle w:val="BodyText"/>
              <w:spacing w:before="240"/>
              <w:rPr>
                <w:rFonts w:ascii="Arial" w:eastAsia="Times New Roman" w:hAnsi="Arial" w:cs="Arial"/>
                <w:bCs/>
                <w:iCs/>
                <w:color w:val="000000"/>
                <w:w w:val="0"/>
                <w:sz w:val="24"/>
                <w:szCs w:val="24"/>
                <w:lang w:val="en-AU"/>
              </w:rPr>
            </w:pPr>
            <w:r>
              <w:rPr>
                <w:rFonts w:ascii="Arial" w:eastAsia="Times New Roman" w:hAnsi="Arial" w:cs="Arial"/>
                <w:bCs/>
                <w:iCs/>
                <w:color w:val="000000"/>
                <w:w w:val="0"/>
                <w:sz w:val="24"/>
                <w:szCs w:val="24"/>
                <w:lang w:val="en-AU"/>
              </w:rPr>
              <w:t>Monday 6 April 2020</w:t>
            </w:r>
          </w:p>
        </w:tc>
        <w:tc>
          <w:tcPr>
            <w:tcW w:w="3878" w:type="dxa"/>
          </w:tcPr>
          <w:p w:rsidR="00861209" w:rsidRPr="007473E8" w:rsidRDefault="00861209" w:rsidP="00F55D51">
            <w:pPr>
              <w:pStyle w:val="BodyText"/>
              <w:spacing w:before="240"/>
              <w:rPr>
                <w:rFonts w:ascii="Arial" w:eastAsia="Times New Roman" w:hAnsi="Arial" w:cs="Arial"/>
                <w:bCs/>
                <w:iCs/>
                <w:color w:val="000000"/>
                <w:w w:val="0"/>
                <w:sz w:val="24"/>
                <w:szCs w:val="24"/>
                <w:lang w:val="en-AU"/>
              </w:rPr>
            </w:pPr>
            <w:r>
              <w:rPr>
                <w:rFonts w:ascii="Arial" w:eastAsia="Times New Roman" w:hAnsi="Arial" w:cs="Arial"/>
                <w:bCs/>
                <w:iCs/>
                <w:color w:val="000000"/>
                <w:w w:val="0"/>
                <w:sz w:val="24"/>
                <w:szCs w:val="24"/>
                <w:lang w:val="en-AU"/>
              </w:rPr>
              <w:t>Final draft to be produced</w:t>
            </w:r>
          </w:p>
        </w:tc>
      </w:tr>
      <w:tr w:rsidR="00861209" w:rsidRPr="007473E8" w:rsidTr="00F55D51">
        <w:tc>
          <w:tcPr>
            <w:tcW w:w="4110" w:type="dxa"/>
          </w:tcPr>
          <w:p w:rsidR="00861209" w:rsidRDefault="00861209" w:rsidP="00F55D51">
            <w:pPr>
              <w:pStyle w:val="BodyText"/>
              <w:spacing w:before="240"/>
              <w:rPr>
                <w:rFonts w:ascii="Arial" w:eastAsia="Times New Roman" w:hAnsi="Arial" w:cs="Arial"/>
                <w:bCs/>
                <w:iCs/>
                <w:color w:val="000000"/>
                <w:w w:val="0"/>
                <w:sz w:val="24"/>
                <w:szCs w:val="24"/>
                <w:lang w:val="en-AU"/>
              </w:rPr>
            </w:pPr>
            <w:r>
              <w:rPr>
                <w:rFonts w:ascii="Arial" w:eastAsia="Times New Roman" w:hAnsi="Arial" w:cs="Arial"/>
                <w:bCs/>
                <w:iCs/>
                <w:color w:val="000000"/>
                <w:w w:val="0"/>
                <w:sz w:val="24"/>
                <w:szCs w:val="24"/>
                <w:lang w:val="en-AU"/>
              </w:rPr>
              <w:t>Tuesday 26 May 2020</w:t>
            </w:r>
          </w:p>
        </w:tc>
        <w:tc>
          <w:tcPr>
            <w:tcW w:w="3878" w:type="dxa"/>
          </w:tcPr>
          <w:p w:rsidR="00861209" w:rsidRDefault="00861209" w:rsidP="00F55D51">
            <w:pPr>
              <w:pStyle w:val="BodyText"/>
              <w:spacing w:before="240"/>
              <w:rPr>
                <w:rFonts w:ascii="Arial" w:eastAsia="Times New Roman" w:hAnsi="Arial" w:cs="Arial"/>
                <w:bCs/>
                <w:iCs/>
                <w:color w:val="000000"/>
                <w:w w:val="0"/>
                <w:sz w:val="24"/>
                <w:szCs w:val="24"/>
                <w:lang w:val="en-AU"/>
              </w:rPr>
            </w:pPr>
            <w:r>
              <w:rPr>
                <w:rFonts w:ascii="Arial" w:eastAsia="Times New Roman" w:hAnsi="Arial" w:cs="Arial"/>
                <w:bCs/>
                <w:iCs/>
                <w:color w:val="000000"/>
                <w:w w:val="0"/>
                <w:sz w:val="24"/>
                <w:szCs w:val="24"/>
                <w:lang w:val="en-AU"/>
              </w:rPr>
              <w:t>Launch at High Court</w:t>
            </w:r>
          </w:p>
        </w:tc>
      </w:tr>
    </w:tbl>
    <w:p w:rsidR="00C73065" w:rsidRPr="00ED589E" w:rsidRDefault="00C73065" w:rsidP="00C73065">
      <w:pPr>
        <w:tabs>
          <w:tab w:val="num" w:pos="709"/>
        </w:tabs>
        <w:ind w:left="360"/>
        <w:rPr>
          <w:rFonts w:ascii="Arial" w:eastAsia="Times New Roman" w:hAnsi="Arial" w:cs="Arial"/>
          <w:bCs/>
          <w:iCs/>
          <w:color w:val="000000"/>
          <w:w w:val="0"/>
          <w:sz w:val="24"/>
          <w:szCs w:val="24"/>
        </w:rPr>
      </w:pPr>
    </w:p>
    <w:p w:rsidR="00C73065" w:rsidRPr="00ED589E"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bookmarkStart w:id="19" w:name="_DV_M765"/>
      <w:bookmarkStart w:id="20" w:name="_DV_M773"/>
      <w:bookmarkEnd w:id="19"/>
      <w:bookmarkEnd w:id="20"/>
      <w:r w:rsidRPr="00ED589E">
        <w:rPr>
          <w:rFonts w:ascii="Arial" w:eastAsia="Times New Roman" w:hAnsi="Arial" w:cs="Arial"/>
          <w:b/>
          <w:bCs/>
          <w:color w:val="000000"/>
          <w:w w:val="0"/>
          <w:sz w:val="24"/>
          <w:szCs w:val="24"/>
          <w:lang w:val="en-AU"/>
        </w:rPr>
        <w:t>CONTACT DETAILS</w:t>
      </w:r>
      <w:bookmarkStart w:id="21" w:name="_DV_M774"/>
      <w:bookmarkEnd w:id="21"/>
    </w:p>
    <w:p w:rsidR="00D540B2" w:rsidRDefault="00D540B2" w:rsidP="00C73065">
      <w:pPr>
        <w:shd w:val="clear" w:color="auto" w:fill="FFFFFF"/>
        <w:spacing w:before="120"/>
        <w:ind w:left="360"/>
        <w:rPr>
          <w:rFonts w:ascii="Arial" w:eastAsia="Times New Roman" w:hAnsi="Arial" w:cs="Arial"/>
          <w:color w:val="000000"/>
          <w:w w:val="0"/>
          <w:sz w:val="24"/>
          <w:szCs w:val="24"/>
        </w:rPr>
      </w:pPr>
      <w:bookmarkStart w:id="22" w:name="_DV_M775"/>
      <w:bookmarkEnd w:id="22"/>
    </w:p>
    <w:p w:rsidR="00C73065" w:rsidRPr="00ED589E" w:rsidRDefault="00C73065" w:rsidP="00C73065">
      <w:pPr>
        <w:shd w:val="clear" w:color="auto" w:fill="FFFFFF"/>
        <w:spacing w:before="120"/>
        <w:ind w:left="36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Enquiries and requests for additional information or clarification relating to this RFQ should be made to the Contact Officer at section 3.</w:t>
      </w:r>
    </w:p>
    <w:p w:rsidR="00C73065" w:rsidRPr="00ED589E" w:rsidRDefault="00C73065" w:rsidP="00C73065">
      <w:pPr>
        <w:tabs>
          <w:tab w:val="num" w:pos="709"/>
        </w:tabs>
        <w:ind w:left="360"/>
        <w:rPr>
          <w:rFonts w:ascii="Arial" w:eastAsia="Times New Roman" w:hAnsi="Arial" w:cs="Arial"/>
          <w:bCs/>
          <w:iCs/>
          <w:color w:val="000000"/>
          <w:w w:val="0"/>
          <w:sz w:val="24"/>
          <w:szCs w:val="24"/>
        </w:rPr>
      </w:pPr>
    </w:p>
    <w:p w:rsidR="00C73065" w:rsidRPr="00ED589E"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r w:rsidRPr="00ED589E">
        <w:rPr>
          <w:rFonts w:ascii="Arial" w:eastAsia="Times New Roman" w:hAnsi="Arial" w:cs="Arial"/>
          <w:b/>
          <w:bCs/>
          <w:color w:val="000000"/>
          <w:w w:val="0"/>
          <w:sz w:val="24"/>
          <w:szCs w:val="24"/>
          <w:lang w:val="en-AU"/>
        </w:rPr>
        <w:t>CONFLICT OF INTEREST</w:t>
      </w:r>
    </w:p>
    <w:p w:rsidR="00D540B2" w:rsidRDefault="00D540B2" w:rsidP="00C73065">
      <w:pPr>
        <w:tabs>
          <w:tab w:val="num" w:pos="709"/>
        </w:tabs>
        <w:spacing w:before="120" w:after="120"/>
        <w:ind w:left="360"/>
        <w:rPr>
          <w:rFonts w:ascii="Arial" w:eastAsia="Times New Roman" w:hAnsi="Arial" w:cs="Arial"/>
          <w:color w:val="000000"/>
          <w:w w:val="0"/>
          <w:sz w:val="24"/>
          <w:szCs w:val="24"/>
        </w:rPr>
      </w:pPr>
      <w:bookmarkStart w:id="23" w:name="_DV_M776"/>
      <w:bookmarkEnd w:id="23"/>
    </w:p>
    <w:p w:rsidR="00C73065" w:rsidRPr="00ED589E" w:rsidRDefault="00C73065" w:rsidP="00C73065">
      <w:pPr>
        <w:tabs>
          <w:tab w:val="num" w:pos="709"/>
        </w:tabs>
        <w:spacing w:before="120" w:after="120"/>
        <w:ind w:left="36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The Service Provider is required to notify the Court</w:t>
      </w:r>
      <w:bookmarkStart w:id="24" w:name="OLE_LINK3"/>
      <w:bookmarkStart w:id="25" w:name="OLE_LINK4"/>
      <w:r w:rsidRPr="00ED589E">
        <w:rPr>
          <w:rFonts w:ascii="Arial" w:eastAsia="Times New Roman" w:hAnsi="Arial" w:cs="Arial"/>
          <w:b/>
          <w:i/>
          <w:color w:val="000000"/>
          <w:w w:val="0"/>
          <w:sz w:val="24"/>
          <w:szCs w:val="24"/>
        </w:rPr>
        <w:t xml:space="preserve"> </w:t>
      </w:r>
      <w:bookmarkEnd w:id="24"/>
      <w:bookmarkEnd w:id="25"/>
      <w:r w:rsidRPr="00ED589E">
        <w:rPr>
          <w:rFonts w:ascii="Arial" w:eastAsia="Times New Roman" w:hAnsi="Arial" w:cs="Arial"/>
          <w:color w:val="000000"/>
          <w:w w:val="0"/>
          <w:sz w:val="24"/>
          <w:szCs w:val="24"/>
        </w:rPr>
        <w:t>of any actual, potential or perceived conflict of interest (a perceived conflict of interest is one in which a reasonable person would think that the person’s judgement is likely to be compromised).</w:t>
      </w:r>
    </w:p>
    <w:p w:rsidR="00C73065" w:rsidRPr="00ED589E" w:rsidRDefault="00C73065" w:rsidP="00C73065">
      <w:pPr>
        <w:tabs>
          <w:tab w:val="num" w:pos="709"/>
        </w:tabs>
        <w:ind w:left="360"/>
        <w:rPr>
          <w:rFonts w:ascii="Arial" w:eastAsia="Times New Roman" w:hAnsi="Arial" w:cs="Arial"/>
          <w:bCs/>
          <w:iCs/>
          <w:color w:val="000000"/>
          <w:w w:val="0"/>
          <w:sz w:val="24"/>
          <w:szCs w:val="24"/>
        </w:rPr>
      </w:pPr>
    </w:p>
    <w:p w:rsidR="00C73065" w:rsidRPr="00ED589E"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r w:rsidRPr="00ED589E">
        <w:rPr>
          <w:rFonts w:ascii="Arial" w:eastAsia="Times New Roman" w:hAnsi="Arial" w:cs="Arial"/>
          <w:b/>
          <w:bCs/>
          <w:color w:val="000000"/>
          <w:w w:val="0"/>
          <w:sz w:val="24"/>
          <w:szCs w:val="24"/>
          <w:lang w:val="en-AU"/>
        </w:rPr>
        <w:t>CONFIDENTIALITY AND PROTECTION OF PERSONAL INFORMATION</w:t>
      </w:r>
      <w:bookmarkEnd w:id="15"/>
    </w:p>
    <w:p w:rsidR="00D540B2" w:rsidRDefault="00D540B2" w:rsidP="00ED589E">
      <w:pPr>
        <w:spacing w:before="120" w:after="120"/>
        <w:ind w:left="360"/>
        <w:rPr>
          <w:rFonts w:ascii="Arial" w:eastAsia="Times New Roman" w:hAnsi="Arial" w:cs="Arial"/>
          <w:color w:val="000000"/>
          <w:w w:val="0"/>
          <w:sz w:val="24"/>
          <w:szCs w:val="24"/>
        </w:rPr>
      </w:pPr>
      <w:bookmarkStart w:id="26" w:name="_DV_C317"/>
    </w:p>
    <w:p w:rsidR="00C73065" w:rsidRPr="00ED589E" w:rsidRDefault="00C73065" w:rsidP="00ED589E">
      <w:pPr>
        <w:spacing w:before="120" w:after="120"/>
        <w:ind w:left="360"/>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 xml:space="preserve">If a Service Provider wishes for information contained in their RFQ response to be protected as Confidential Information, </w:t>
      </w:r>
      <w:r w:rsidR="00ED589E" w:rsidRPr="00ED589E">
        <w:rPr>
          <w:rFonts w:ascii="Arial" w:eastAsia="Times New Roman" w:hAnsi="Arial" w:cs="Arial"/>
          <w:color w:val="000000"/>
          <w:w w:val="0"/>
          <w:sz w:val="24"/>
          <w:szCs w:val="24"/>
        </w:rPr>
        <w:t xml:space="preserve">they should clearly identify </w:t>
      </w:r>
      <w:r w:rsidRPr="00ED589E">
        <w:rPr>
          <w:rFonts w:ascii="Arial" w:eastAsia="Times New Roman" w:hAnsi="Arial" w:cs="Arial"/>
          <w:color w:val="000000"/>
          <w:w w:val="0"/>
          <w:sz w:val="24"/>
          <w:szCs w:val="24"/>
        </w:rPr>
        <w:t>the information they consider should be protected as confidential information.  The Customer will only consider a request for confidentiality where:</w:t>
      </w:r>
    </w:p>
    <w:p w:rsidR="00C73065" w:rsidRPr="00ED589E" w:rsidRDefault="00C73065" w:rsidP="00C73065">
      <w:pPr>
        <w:numPr>
          <w:ilvl w:val="1"/>
          <w:numId w:val="3"/>
        </w:numPr>
        <w:autoSpaceDE w:val="0"/>
        <w:autoSpaceDN w:val="0"/>
        <w:adjustRightInd w:val="0"/>
        <w:spacing w:before="120" w:after="120" w:line="240" w:lineRule="auto"/>
        <w:ind w:left="1134" w:hanging="425"/>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the information is to be protected is identified in specific rather than global terms;</w:t>
      </w:r>
    </w:p>
    <w:p w:rsidR="00C73065" w:rsidRPr="00ED589E" w:rsidRDefault="00C73065" w:rsidP="00C73065">
      <w:pPr>
        <w:numPr>
          <w:ilvl w:val="1"/>
          <w:numId w:val="3"/>
        </w:numPr>
        <w:autoSpaceDE w:val="0"/>
        <w:autoSpaceDN w:val="0"/>
        <w:adjustRightInd w:val="0"/>
        <w:spacing w:before="120" w:after="120" w:line="240" w:lineRule="auto"/>
        <w:ind w:left="1134" w:hanging="425"/>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the information is by its nature confidential; and</w:t>
      </w:r>
    </w:p>
    <w:p w:rsidR="00C73065" w:rsidRPr="00ED589E" w:rsidRDefault="00C73065" w:rsidP="00C73065">
      <w:pPr>
        <w:numPr>
          <w:ilvl w:val="1"/>
          <w:numId w:val="3"/>
        </w:numPr>
        <w:autoSpaceDE w:val="0"/>
        <w:autoSpaceDN w:val="0"/>
        <w:adjustRightInd w:val="0"/>
        <w:spacing w:before="120" w:after="120" w:line="240" w:lineRule="auto"/>
        <w:ind w:left="1134" w:hanging="425"/>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disclosure would cause detriment to the parties concerned.</w:t>
      </w:r>
    </w:p>
    <w:p w:rsidR="00C73065" w:rsidRPr="00ED589E" w:rsidRDefault="00C73065" w:rsidP="00C73065">
      <w:pPr>
        <w:tabs>
          <w:tab w:val="num" w:pos="709"/>
        </w:tabs>
        <w:ind w:left="360"/>
        <w:rPr>
          <w:rFonts w:ascii="Arial" w:eastAsia="Times New Roman" w:hAnsi="Arial" w:cs="Arial"/>
          <w:bCs/>
          <w:iCs/>
          <w:color w:val="000000"/>
          <w:w w:val="0"/>
          <w:sz w:val="24"/>
          <w:szCs w:val="24"/>
        </w:rPr>
      </w:pPr>
    </w:p>
    <w:bookmarkEnd w:id="26"/>
    <w:p w:rsidR="00C73065" w:rsidRPr="00ED589E" w:rsidRDefault="00C73065" w:rsidP="00C73065">
      <w:pPr>
        <w:pStyle w:val="BodyText"/>
        <w:keepNext/>
        <w:numPr>
          <w:ilvl w:val="0"/>
          <w:numId w:val="1"/>
        </w:numPr>
        <w:pBdr>
          <w:bottom w:val="single" w:sz="12" w:space="1" w:color="auto"/>
        </w:pBdr>
        <w:tabs>
          <w:tab w:val="clear" w:pos="360"/>
          <w:tab w:val="num" w:pos="709"/>
        </w:tabs>
        <w:spacing w:before="240"/>
        <w:rPr>
          <w:rFonts w:ascii="Arial" w:eastAsia="Times New Roman" w:hAnsi="Arial" w:cs="Arial"/>
          <w:b/>
          <w:bCs/>
          <w:color w:val="000000"/>
          <w:w w:val="0"/>
          <w:sz w:val="24"/>
          <w:szCs w:val="24"/>
          <w:lang w:val="en-AU"/>
        </w:rPr>
      </w:pPr>
      <w:r w:rsidRPr="00ED589E">
        <w:rPr>
          <w:rFonts w:ascii="Arial" w:eastAsia="Times New Roman" w:hAnsi="Arial" w:cs="Arial"/>
          <w:b/>
          <w:bCs/>
          <w:color w:val="000000"/>
          <w:w w:val="0"/>
          <w:sz w:val="24"/>
          <w:szCs w:val="24"/>
          <w:lang w:val="en-AU"/>
        </w:rPr>
        <w:t>REFEREES</w:t>
      </w:r>
    </w:p>
    <w:p w:rsidR="00D540B2" w:rsidRDefault="00D540B2" w:rsidP="00C73065">
      <w:pPr>
        <w:tabs>
          <w:tab w:val="num" w:pos="426"/>
        </w:tabs>
        <w:spacing w:before="120" w:after="120"/>
        <w:ind w:left="426"/>
        <w:rPr>
          <w:rFonts w:ascii="Arial" w:eastAsia="Times New Roman" w:hAnsi="Arial" w:cs="Arial"/>
          <w:color w:val="000000"/>
          <w:w w:val="0"/>
          <w:sz w:val="24"/>
          <w:szCs w:val="24"/>
        </w:rPr>
      </w:pPr>
      <w:bookmarkStart w:id="27" w:name="_DV_M788"/>
      <w:bookmarkEnd w:id="16"/>
      <w:bookmarkEnd w:id="27"/>
    </w:p>
    <w:p w:rsidR="00C73065" w:rsidRPr="00ED589E" w:rsidRDefault="00C73065" w:rsidP="00C73065">
      <w:pPr>
        <w:tabs>
          <w:tab w:val="num" w:pos="426"/>
        </w:tabs>
        <w:spacing w:before="120" w:after="120"/>
        <w:ind w:left="426"/>
        <w:rPr>
          <w:rFonts w:ascii="Arial" w:eastAsia="Times New Roman" w:hAnsi="Arial" w:cs="Arial"/>
          <w:color w:val="000000"/>
          <w:w w:val="0"/>
          <w:sz w:val="24"/>
          <w:szCs w:val="24"/>
        </w:rPr>
      </w:pPr>
      <w:r w:rsidRPr="00ED589E">
        <w:rPr>
          <w:rFonts w:ascii="Arial" w:eastAsia="Times New Roman" w:hAnsi="Arial" w:cs="Arial"/>
          <w:color w:val="000000"/>
          <w:w w:val="0"/>
          <w:sz w:val="24"/>
          <w:szCs w:val="24"/>
        </w:rPr>
        <w:t xml:space="preserve">The Service Provider must provide the name and contact details of at least </w:t>
      </w:r>
      <w:r w:rsidR="00D540B2">
        <w:rPr>
          <w:rFonts w:ascii="Arial" w:eastAsia="Times New Roman" w:hAnsi="Arial" w:cs="Arial"/>
          <w:color w:val="000000"/>
          <w:w w:val="0"/>
          <w:sz w:val="24"/>
          <w:szCs w:val="24"/>
        </w:rPr>
        <w:t>three</w:t>
      </w:r>
      <w:r w:rsidRPr="00ED589E">
        <w:rPr>
          <w:rFonts w:ascii="Arial" w:eastAsia="Times New Roman" w:hAnsi="Arial" w:cs="Arial"/>
          <w:color w:val="000000"/>
          <w:w w:val="0"/>
          <w:sz w:val="24"/>
          <w:szCs w:val="24"/>
        </w:rPr>
        <w:t xml:space="preserve"> referees who can be contacted by the Court if required, noting that the Court may, at its sole discretion, contact other referees who have not been nominated. </w:t>
      </w:r>
    </w:p>
    <w:p w:rsidR="00C73065" w:rsidRDefault="00C73065" w:rsidP="00C73065">
      <w:pPr>
        <w:tabs>
          <w:tab w:val="num" w:pos="426"/>
        </w:tabs>
        <w:spacing w:before="120" w:after="120"/>
        <w:ind w:left="426"/>
        <w:rPr>
          <w:rFonts w:ascii="Arial" w:eastAsia="Times New Roman" w:hAnsi="Arial" w:cs="Arial"/>
          <w:color w:val="000000"/>
          <w:w w:val="0"/>
        </w:rPr>
      </w:pPr>
    </w:p>
    <w:p w:rsidR="00916AAD" w:rsidRDefault="00916AAD"/>
    <w:sectPr w:rsidR="00916AAD" w:rsidSect="00566835">
      <w:headerReference w:type="even" r:id="rId8"/>
      <w:footerReference w:type="even" r:id="rId9"/>
      <w:headerReference w:type="first" r:id="rId10"/>
      <w:footerReference w:type="first" r:id="rId11"/>
      <w:pgSz w:w="11906" w:h="16838"/>
      <w:pgMar w:top="1134"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91" w:rsidRDefault="00804A91" w:rsidP="00ED589E">
      <w:pPr>
        <w:spacing w:after="0" w:line="240" w:lineRule="auto"/>
      </w:pPr>
      <w:r>
        <w:separator/>
      </w:r>
    </w:p>
  </w:endnote>
  <w:endnote w:type="continuationSeparator" w:id="0">
    <w:p w:rsidR="00804A91" w:rsidRDefault="00804A91" w:rsidP="00ED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35" w:rsidRDefault="00566835">
    <w:pPr>
      <w:pStyle w:val="Footer"/>
    </w:pPr>
    <w:fldSimple w:instr=" DOCVARIABLE  CUFooterText \* MERGEFORMAT " w:fldLock="1">
      <w:r>
        <w:t>Legal\301461488.1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35" w:rsidRDefault="00566835">
    <w:pPr>
      <w:pStyle w:val="Footer"/>
    </w:pPr>
    <w:fldSimple w:instr=" DOCVARIABLE  CUFooterText \* MERGEFORMAT " w:fldLock="1">
      <w:r>
        <w:t>Legal\301461488.1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91" w:rsidRDefault="00804A91" w:rsidP="00ED589E">
      <w:pPr>
        <w:spacing w:after="0" w:line="240" w:lineRule="auto"/>
      </w:pPr>
      <w:r>
        <w:separator/>
      </w:r>
    </w:p>
  </w:footnote>
  <w:footnote w:type="continuationSeparator" w:id="0">
    <w:p w:rsidR="00804A91" w:rsidRDefault="00804A91" w:rsidP="00ED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35" w:rsidRDefault="00566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59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Palatin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35" w:rsidRDefault="00566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59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Palatin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413640D4"/>
    <w:lvl w:ilvl="0" w:tplc="0C09000F">
      <w:start w:val="1"/>
      <w:numFmt w:val="decimal"/>
      <w:lvlText w:val="%1."/>
      <w:lvlJc w:val="left"/>
      <w:pPr>
        <w:tabs>
          <w:tab w:val="num" w:pos="360"/>
        </w:tabs>
        <w:ind w:left="360" w:hanging="360"/>
      </w:pPr>
      <w:rPr>
        <w:rFonts w:hint="eastAsia"/>
      </w:rPr>
    </w:lvl>
    <w:lvl w:ilvl="1" w:tplc="0C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E77590B"/>
    <w:multiLevelType w:val="hybridMultilevel"/>
    <w:tmpl w:val="95DCB2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1FF4B00"/>
    <w:multiLevelType w:val="hybridMultilevel"/>
    <w:tmpl w:val="B6C41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163E2"/>
    <w:multiLevelType w:val="hybridMultilevel"/>
    <w:tmpl w:val="F6501A88"/>
    <w:lvl w:ilvl="0" w:tplc="0C09000F">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E63884"/>
    <w:multiLevelType w:val="hybridMultilevel"/>
    <w:tmpl w:val="C366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6F6343"/>
    <w:multiLevelType w:val="hybridMultilevel"/>
    <w:tmpl w:val="9A1A8398"/>
    <w:lvl w:ilvl="0" w:tplc="AFA843D4">
      <w:start w:val="1"/>
      <w:numFmt w:val="lowerLetter"/>
      <w:lvlText w:val="(%1)"/>
      <w:lvlJc w:val="right"/>
      <w:pPr>
        <w:ind w:left="1429" w:hanging="360"/>
      </w:pPr>
      <w:rPr>
        <w:rFonts w:hint="eastAsia"/>
        <w:color w:val="auto"/>
        <w:spacing w:val="0"/>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75192474"/>
    <w:multiLevelType w:val="multilevel"/>
    <w:tmpl w:val="7AA80D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65"/>
    <w:rsid w:val="00033595"/>
    <w:rsid w:val="00052129"/>
    <w:rsid w:val="00057995"/>
    <w:rsid w:val="002735FA"/>
    <w:rsid w:val="003B5C67"/>
    <w:rsid w:val="003B671A"/>
    <w:rsid w:val="004479C9"/>
    <w:rsid w:val="004C2BFA"/>
    <w:rsid w:val="005615AF"/>
    <w:rsid w:val="00566835"/>
    <w:rsid w:val="006F29F6"/>
    <w:rsid w:val="006F5020"/>
    <w:rsid w:val="00727EA7"/>
    <w:rsid w:val="007473E8"/>
    <w:rsid w:val="00804A91"/>
    <w:rsid w:val="00815FCB"/>
    <w:rsid w:val="00861209"/>
    <w:rsid w:val="00865AB1"/>
    <w:rsid w:val="00903635"/>
    <w:rsid w:val="00916AAD"/>
    <w:rsid w:val="00B71722"/>
    <w:rsid w:val="00B95E4E"/>
    <w:rsid w:val="00BC6B1C"/>
    <w:rsid w:val="00C73065"/>
    <w:rsid w:val="00D27337"/>
    <w:rsid w:val="00D540B2"/>
    <w:rsid w:val="00D70C4B"/>
    <w:rsid w:val="00DB142A"/>
    <w:rsid w:val="00DE6CE2"/>
    <w:rsid w:val="00E475EB"/>
    <w:rsid w:val="00E73423"/>
    <w:rsid w:val="00ED1C43"/>
    <w:rsid w:val="00ED589E"/>
    <w:rsid w:val="00F55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DD6CD51-0181-4A07-B17B-BFCB7EDB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065"/>
    <w:pPr>
      <w:autoSpaceDE w:val="0"/>
      <w:autoSpaceDN w:val="0"/>
      <w:adjustRightInd w:val="0"/>
      <w:spacing w:before="240" w:after="0" w:line="240" w:lineRule="auto"/>
      <w:jc w:val="center"/>
    </w:pPr>
    <w:rPr>
      <w:rFonts w:ascii="Palatino" w:eastAsia="SimSun" w:hAnsi="Palatino" w:cs="Palatino"/>
      <w:lang w:eastAsia="zh-CN"/>
    </w:rPr>
  </w:style>
  <w:style w:type="character" w:customStyle="1" w:styleId="HeaderChar">
    <w:name w:val="Header Char"/>
    <w:link w:val="Header"/>
    <w:rsid w:val="00C73065"/>
    <w:rPr>
      <w:rFonts w:ascii="Palatino" w:eastAsia="SimSun" w:hAnsi="Palatino" w:cs="Palatino"/>
      <w:sz w:val="22"/>
      <w:szCs w:val="22"/>
      <w:lang w:eastAsia="zh-CN"/>
    </w:rPr>
  </w:style>
  <w:style w:type="paragraph" w:customStyle="1" w:styleId="Level1">
    <w:name w:val="Level 1."/>
    <w:basedOn w:val="Normal"/>
    <w:next w:val="Normal"/>
    <w:rsid w:val="00C73065"/>
    <w:pPr>
      <w:keepNext/>
      <w:autoSpaceDE w:val="0"/>
      <w:autoSpaceDN w:val="0"/>
      <w:adjustRightInd w:val="0"/>
      <w:spacing w:before="240" w:after="0" w:line="240" w:lineRule="auto"/>
      <w:outlineLvl w:val="1"/>
    </w:pPr>
    <w:rPr>
      <w:rFonts w:ascii="Frutiger 45 Light" w:eastAsia="SimSun" w:hAnsi="Frutiger 45 Light" w:cs="Frutiger 45 Light"/>
      <w:b/>
      <w:bCs/>
      <w:lang w:eastAsia="zh-CN"/>
    </w:rPr>
  </w:style>
  <w:style w:type="paragraph" w:styleId="BodyText">
    <w:name w:val="Body Text"/>
    <w:aliases w:val="bt,ändrad,body text,body text1,bt1,body text2,bt2,body text11,bt11,body text3,bt3,paragraph 2,paragraph 21,EHPT,Body Text2,b,body text4,body text5,body text6,body text7,body text8,body text9,body text21,body text31,body text41"/>
    <w:basedOn w:val="Normal"/>
    <w:link w:val="BodyTextChar"/>
    <w:rsid w:val="00C73065"/>
    <w:pPr>
      <w:autoSpaceDE w:val="0"/>
      <w:autoSpaceDN w:val="0"/>
      <w:adjustRightInd w:val="0"/>
      <w:spacing w:after="0" w:line="240" w:lineRule="auto"/>
    </w:pPr>
    <w:rPr>
      <w:rFonts w:ascii="Times New Roman" w:eastAsia="SimSun" w:hAnsi="Times New Roman"/>
      <w:sz w:val="18"/>
      <w:szCs w:val="18"/>
      <w:lang w:val="en-US" w:eastAsia="zh-CN"/>
    </w:rPr>
  </w:style>
  <w:style w:type="character" w:customStyle="1" w:styleId="BodyTextChar">
    <w:name w:val="Body Text Char"/>
    <w:aliases w:val="bt Char,ändrad Char,body text Char,body text1 Char,bt1 Char,body text2 Char,bt2 Char,body text11 Char,bt11 Char,body text3 Char,bt3 Char,paragraph 2 Char,paragraph 21 Char,EHPT Char,Body Text2 Char,b Char,body text4 Char,body text5 Char"/>
    <w:link w:val="BodyText"/>
    <w:rsid w:val="00C73065"/>
    <w:rPr>
      <w:rFonts w:ascii="Times New Roman" w:eastAsia="SimSun" w:hAnsi="Times New Roman"/>
      <w:sz w:val="18"/>
      <w:szCs w:val="18"/>
      <w:lang w:val="en-US" w:eastAsia="zh-CN"/>
    </w:rPr>
  </w:style>
  <w:style w:type="paragraph" w:styleId="Footer">
    <w:name w:val="footer"/>
    <w:basedOn w:val="Normal"/>
    <w:link w:val="FooterChar"/>
    <w:uiPriority w:val="99"/>
    <w:rsid w:val="00C73065"/>
    <w:pPr>
      <w:tabs>
        <w:tab w:val="center" w:pos="4153"/>
        <w:tab w:val="right" w:pos="8306"/>
      </w:tabs>
      <w:autoSpaceDE w:val="0"/>
      <w:autoSpaceDN w:val="0"/>
      <w:adjustRightInd w:val="0"/>
      <w:spacing w:before="240" w:after="0" w:line="240" w:lineRule="auto"/>
    </w:pPr>
    <w:rPr>
      <w:rFonts w:ascii="Palatino" w:eastAsia="SimSun" w:hAnsi="Palatino" w:cs="Palatino"/>
      <w:lang w:eastAsia="zh-CN"/>
    </w:rPr>
  </w:style>
  <w:style w:type="character" w:customStyle="1" w:styleId="FooterChar">
    <w:name w:val="Footer Char"/>
    <w:link w:val="Footer"/>
    <w:uiPriority w:val="99"/>
    <w:rsid w:val="00C73065"/>
    <w:rPr>
      <w:rFonts w:ascii="Palatino" w:eastAsia="SimSun" w:hAnsi="Palatino" w:cs="Palatino"/>
      <w:sz w:val="22"/>
      <w:szCs w:val="22"/>
      <w:lang w:eastAsia="zh-CN"/>
    </w:rPr>
  </w:style>
  <w:style w:type="paragraph" w:styleId="ListParagraph">
    <w:name w:val="List Paragraph"/>
    <w:basedOn w:val="Normal"/>
    <w:uiPriority w:val="34"/>
    <w:qFormat/>
    <w:rsid w:val="00C73065"/>
    <w:pPr>
      <w:autoSpaceDE w:val="0"/>
      <w:autoSpaceDN w:val="0"/>
      <w:adjustRightInd w:val="0"/>
      <w:spacing w:before="240" w:after="0" w:line="240" w:lineRule="auto"/>
      <w:ind w:left="720"/>
      <w:contextualSpacing/>
    </w:pPr>
    <w:rPr>
      <w:rFonts w:ascii="Palatino" w:eastAsia="SimSun" w:hAnsi="Palatino" w:cs="Palatino"/>
      <w:lang w:eastAsia="zh-CN"/>
    </w:rPr>
  </w:style>
  <w:style w:type="character" w:styleId="Hyperlink">
    <w:name w:val="Hyperlink"/>
    <w:rsid w:val="00C73065"/>
    <w:rPr>
      <w:color w:val="0000FF"/>
      <w:u w:val="single"/>
    </w:rPr>
  </w:style>
  <w:style w:type="paragraph" w:styleId="NormalWeb">
    <w:name w:val="Normal (Web)"/>
    <w:basedOn w:val="Normal"/>
    <w:uiPriority w:val="99"/>
    <w:unhideWhenUsed/>
    <w:rsid w:val="00C7306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20"/>
    <w:qFormat/>
    <w:rsid w:val="00057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73888">
      <w:bodyDiv w:val="1"/>
      <w:marLeft w:val="0"/>
      <w:marRight w:val="0"/>
      <w:marTop w:val="0"/>
      <w:marBottom w:val="0"/>
      <w:divBdr>
        <w:top w:val="none" w:sz="0" w:space="0" w:color="auto"/>
        <w:left w:val="none" w:sz="0" w:space="0" w:color="auto"/>
        <w:bottom w:val="none" w:sz="0" w:space="0" w:color="auto"/>
        <w:right w:val="none" w:sz="0" w:space="0" w:color="auto"/>
      </w:divBdr>
    </w:div>
    <w:div w:id="1567107089">
      <w:bodyDiv w:val="1"/>
      <w:marLeft w:val="0"/>
      <w:marRight w:val="0"/>
      <w:marTop w:val="0"/>
      <w:marBottom w:val="0"/>
      <w:divBdr>
        <w:top w:val="none" w:sz="0" w:space="0" w:color="auto"/>
        <w:left w:val="none" w:sz="0" w:space="0" w:color="auto"/>
        <w:bottom w:val="none" w:sz="0" w:space="0" w:color="auto"/>
        <w:right w:val="none" w:sz="0" w:space="0" w:color="auto"/>
      </w:divBdr>
      <w:divsChild>
        <w:div w:id="170687265">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wickham@hcour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11984</CharactersWithSpaces>
  <SharedDoc>false</SharedDoc>
  <HLinks>
    <vt:vector size="6" baseType="variant">
      <vt:variant>
        <vt:i4>3211329</vt:i4>
      </vt:variant>
      <vt:variant>
        <vt:i4>0</vt:i4>
      </vt:variant>
      <vt:variant>
        <vt:i4>0</vt:i4>
      </vt:variant>
      <vt:variant>
        <vt:i4>5</vt:i4>
      </vt:variant>
      <vt:variant>
        <vt:lpwstr>mailto:bwickham@hcourt.gov.au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of Australia</dc:creator>
  <cp:keywords/>
  <dc:description/>
  <cp:lastModifiedBy>High Court of Australia</cp:lastModifiedBy>
  <cp:revision>2</cp:revision>
  <dcterms:created xsi:type="dcterms:W3CDTF">2019-09-13T00:48:00Z</dcterms:created>
  <dcterms:modified xsi:type="dcterms:W3CDTF">2019-09-13T00:48:00Z</dcterms:modified>
</cp:coreProperties>
</file>