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B18B" w14:textId="77777777" w:rsidR="009D0CE8" w:rsidRPr="00B546B2" w:rsidRDefault="00197E0F" w:rsidP="009D0CE8">
      <w:pPr>
        <w:jc w:val="left"/>
      </w:pPr>
      <w:bookmarkStart w:id="0" w:name="_GoBack"/>
      <w:bookmarkEnd w:id="0"/>
      <w:r>
        <w:rPr>
          <w:noProof/>
        </w:rPr>
        <w:drawing>
          <wp:anchor distT="0" distB="0" distL="114300" distR="114300" simplePos="0" relativeHeight="251658240" behindDoc="0" locked="0" layoutInCell="1" allowOverlap="1" wp14:anchorId="7E804551" wp14:editId="19F034DB">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5758E9F3" w14:textId="77777777" w:rsidR="009D0CE8" w:rsidRPr="00B546B2" w:rsidRDefault="009D0CE8" w:rsidP="009D0CE8">
      <w:pPr>
        <w:jc w:val="center"/>
      </w:pPr>
    </w:p>
    <w:p w14:paraId="091401EC" w14:textId="77777777" w:rsidR="009D0CE8" w:rsidRPr="00B546B2" w:rsidRDefault="009D0CE8" w:rsidP="009D0CE8">
      <w:pPr>
        <w:pStyle w:val="BullTitle1"/>
      </w:pPr>
      <w:bookmarkStart w:id="1" w:name="Top"/>
      <w:r w:rsidRPr="00B546B2">
        <w:t xml:space="preserve">Overseas </w:t>
      </w:r>
      <w:bookmarkStart w:id="2" w:name="Home"/>
      <w:r w:rsidRPr="00B546B2">
        <w:t xml:space="preserve">Decisions </w:t>
      </w:r>
      <w:bookmarkEnd w:id="2"/>
      <w:r w:rsidRPr="00B546B2">
        <w:t>Bulletin</w:t>
      </w:r>
    </w:p>
    <w:bookmarkEnd w:id="1"/>
    <w:p w14:paraId="5F9A6AC3" w14:textId="77777777" w:rsidR="009D0CE8" w:rsidRPr="00B546B2" w:rsidRDefault="009D0CE8" w:rsidP="009D0CE8"/>
    <w:p w14:paraId="41FEA53D"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6115EC4D" w14:textId="77777777" w:rsidR="009D0CE8" w:rsidRPr="00B546B2" w:rsidRDefault="009D0CE8" w:rsidP="009D0CE8">
      <w:pPr>
        <w:pStyle w:val="BullTitle3"/>
      </w:pPr>
    </w:p>
    <w:p w14:paraId="21172954" w14:textId="77777777" w:rsidR="009D0CE8" w:rsidRPr="007203D3" w:rsidRDefault="009D0CE8" w:rsidP="009D0CE8">
      <w:pPr>
        <w:pStyle w:val="BullTitle3"/>
      </w:pPr>
      <w:r w:rsidRPr="007203D3">
        <w:t>Volume 1</w:t>
      </w:r>
      <w:r w:rsidR="002936F6" w:rsidRPr="007203D3">
        <w:t>8</w:t>
      </w:r>
      <w:r w:rsidRPr="007203D3">
        <w:t xml:space="preserve"> Number </w:t>
      </w:r>
      <w:r w:rsidR="007203D3" w:rsidRPr="007203D3">
        <w:t>6</w:t>
      </w:r>
      <w:r w:rsidRPr="007203D3">
        <w:t xml:space="preserve"> (</w:t>
      </w:r>
      <w:r w:rsidR="00A7097D" w:rsidRPr="007203D3">
        <w:t xml:space="preserve">1 </w:t>
      </w:r>
      <w:r w:rsidR="007203D3" w:rsidRPr="007203D3">
        <w:t>November</w:t>
      </w:r>
      <w:r w:rsidR="007E4E01" w:rsidRPr="007203D3">
        <w:t xml:space="preserve"> –</w:t>
      </w:r>
      <w:r w:rsidR="00727206" w:rsidRPr="007203D3">
        <w:t xml:space="preserve"> </w:t>
      </w:r>
      <w:r w:rsidR="007203D3" w:rsidRPr="007203D3">
        <w:t>31 December</w:t>
      </w:r>
      <w:r w:rsidR="002B1A95" w:rsidRPr="007203D3">
        <w:t xml:space="preserve"> 20</w:t>
      </w:r>
      <w:r w:rsidR="00CE0463" w:rsidRPr="007203D3">
        <w:t>2</w:t>
      </w:r>
      <w:r w:rsidR="00725F4B" w:rsidRPr="007203D3">
        <w:t>1</w:t>
      </w:r>
      <w:r w:rsidRPr="007203D3">
        <w:t>)</w:t>
      </w:r>
    </w:p>
    <w:p w14:paraId="10994FD0" w14:textId="77777777" w:rsidR="009D0CE8" w:rsidRPr="00B546B2" w:rsidRDefault="009D0CE8" w:rsidP="009D0CE8"/>
    <w:p w14:paraId="64979F4C" w14:textId="77777777" w:rsidR="00AE777D" w:rsidRDefault="009D0CE8" w:rsidP="000F35BD">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14:paraId="27C7246A" w14:textId="77777777" w:rsidR="00BC4126" w:rsidRPr="00784EDC" w:rsidRDefault="00BC4126" w:rsidP="00BC4126">
      <w:pPr>
        <w:pBdr>
          <w:bottom w:val="double" w:sz="6" w:space="1" w:color="auto"/>
        </w:pBdr>
        <w:rPr>
          <w:rFonts w:cs="Arial"/>
          <w:szCs w:val="20"/>
          <w:highlight w:val="yellow"/>
          <w:lang w:eastAsia="en-AU"/>
        </w:rPr>
      </w:pPr>
    </w:p>
    <w:p w14:paraId="1DCCCF60" w14:textId="77777777" w:rsidR="00BC4126" w:rsidRPr="00784EDC" w:rsidRDefault="00BC4126" w:rsidP="00BC4126"/>
    <w:p w14:paraId="553C59AF" w14:textId="77777777" w:rsidR="00BC4126" w:rsidRPr="00784EDC" w:rsidRDefault="00BC4126" w:rsidP="00BC4126">
      <w:pPr>
        <w:tabs>
          <w:tab w:val="left" w:pos="5375"/>
        </w:tabs>
        <w:outlineLvl w:val="0"/>
        <w:rPr>
          <w:rFonts w:ascii="Garamond" w:hAnsi="Garamond"/>
          <w:b/>
          <w:sz w:val="44"/>
          <w:szCs w:val="24"/>
          <w:lang w:eastAsia="en-AU"/>
        </w:rPr>
      </w:pPr>
      <w:r>
        <w:rPr>
          <w:rFonts w:ascii="Garamond" w:hAnsi="Garamond"/>
          <w:b/>
          <w:sz w:val="44"/>
          <w:szCs w:val="24"/>
          <w:lang w:eastAsia="en-AU"/>
        </w:rPr>
        <w:t>Administrative</w:t>
      </w:r>
      <w:r w:rsidRPr="00784EDC">
        <w:rPr>
          <w:rFonts w:ascii="Garamond" w:hAnsi="Garamond"/>
          <w:b/>
          <w:sz w:val="44"/>
          <w:szCs w:val="24"/>
          <w:lang w:eastAsia="en-AU"/>
        </w:rPr>
        <w:t xml:space="preserve"> Law</w:t>
      </w:r>
    </w:p>
    <w:p w14:paraId="0749772E" w14:textId="77777777" w:rsidR="00BC4126" w:rsidRPr="00784EDC" w:rsidRDefault="00BC4126" w:rsidP="00BC4126">
      <w:pPr>
        <w:rPr>
          <w:lang w:eastAsia="en-AU"/>
        </w:rPr>
      </w:pPr>
    </w:p>
    <w:p w14:paraId="286DC2B4" w14:textId="77777777" w:rsidR="00066E88" w:rsidRDefault="00BC4126" w:rsidP="00BC4126">
      <w:pPr>
        <w:pStyle w:val="Heading2"/>
      </w:pPr>
      <w:r w:rsidRPr="00784EDC">
        <w:t>R (on the application of Association of Independent</w:t>
      </w:r>
      <w:r>
        <w:rPr>
          <w:i w:val="0"/>
          <w:iCs w:val="0"/>
        </w:rPr>
        <w:t xml:space="preserve"> </w:t>
      </w:r>
      <w:r w:rsidRPr="00784EDC">
        <w:t>Meat Suppliers and another) v Food</w:t>
      </w:r>
      <w:r>
        <w:rPr>
          <w:i w:val="0"/>
          <w:iCs w:val="0"/>
        </w:rPr>
        <w:t xml:space="preserve"> </w:t>
      </w:r>
      <w:r w:rsidRPr="00784EDC">
        <w:t>Standards Agency</w:t>
      </w:r>
    </w:p>
    <w:p w14:paraId="15D34690" w14:textId="77777777" w:rsidR="00BC4126" w:rsidRPr="00784EDC" w:rsidRDefault="00BC4126" w:rsidP="00066E88">
      <w:pPr>
        <w:rPr>
          <w:b/>
          <w:bCs/>
          <w:i/>
          <w:iCs/>
        </w:rPr>
      </w:pPr>
      <w:r w:rsidRPr="00066E88">
        <w:rPr>
          <w:b/>
          <w:lang w:eastAsia="en-AU"/>
        </w:rPr>
        <w:t>Supre</w:t>
      </w:r>
      <w:r w:rsidRPr="00866165">
        <w:rPr>
          <w:b/>
          <w:lang w:eastAsia="en-AU"/>
        </w:rPr>
        <w:t>me</w:t>
      </w:r>
      <w:r w:rsidRPr="00866165">
        <w:rPr>
          <w:b/>
          <w:bCs/>
        </w:rPr>
        <w:t xml:space="preserve"> Court of the United Kingdom: </w:t>
      </w:r>
      <w:hyperlink r:id="rId9" w:history="1">
        <w:r w:rsidRPr="00866165">
          <w:rPr>
            <w:rStyle w:val="Hyperlink"/>
          </w:rPr>
          <w:t>[2021] UKSC 54</w:t>
        </w:r>
      </w:hyperlink>
    </w:p>
    <w:p w14:paraId="6546CD9D" w14:textId="77777777" w:rsidR="00BC4126" w:rsidRPr="00784EDC" w:rsidRDefault="00BC4126" w:rsidP="00BC4126">
      <w:pPr>
        <w:rPr>
          <w:lang w:eastAsia="en-AU"/>
        </w:rPr>
      </w:pPr>
    </w:p>
    <w:p w14:paraId="684AEEED" w14:textId="77777777" w:rsidR="00BC4126" w:rsidRPr="00784EDC" w:rsidRDefault="00BC4126" w:rsidP="00BC4126">
      <w:pPr>
        <w:rPr>
          <w:lang w:eastAsia="en-AU"/>
        </w:rPr>
      </w:pPr>
      <w:r w:rsidRPr="00784EDC">
        <w:rPr>
          <w:b/>
          <w:lang w:eastAsia="en-AU"/>
        </w:rPr>
        <w:t>Judgment delivered:</w:t>
      </w:r>
      <w:r w:rsidRPr="00784EDC">
        <w:rPr>
          <w:lang w:eastAsia="en-AU"/>
        </w:rPr>
        <w:t xml:space="preserve"> </w:t>
      </w:r>
      <w:r>
        <w:rPr>
          <w:lang w:eastAsia="en-AU"/>
        </w:rPr>
        <w:t>8 December</w:t>
      </w:r>
      <w:r w:rsidRPr="00784EDC">
        <w:rPr>
          <w:lang w:eastAsia="en-AU"/>
        </w:rPr>
        <w:t xml:space="preserve"> 2021</w:t>
      </w:r>
    </w:p>
    <w:p w14:paraId="1DBCF3B5" w14:textId="77777777" w:rsidR="00BC4126" w:rsidRPr="00784EDC" w:rsidRDefault="00BC4126" w:rsidP="00BC4126">
      <w:pPr>
        <w:rPr>
          <w:lang w:eastAsia="en-AU"/>
        </w:rPr>
      </w:pPr>
    </w:p>
    <w:p w14:paraId="74DE3906" w14:textId="77777777" w:rsidR="00BC4126" w:rsidRPr="00784EDC" w:rsidRDefault="00BC4126" w:rsidP="00BC4126">
      <w:pPr>
        <w:rPr>
          <w:lang w:eastAsia="en-AU"/>
        </w:rPr>
      </w:pPr>
      <w:r w:rsidRPr="00784EDC">
        <w:rPr>
          <w:b/>
          <w:lang w:eastAsia="en-AU"/>
        </w:rPr>
        <w:t xml:space="preserve">Coram: </w:t>
      </w:r>
      <w:r w:rsidRPr="00784EDC">
        <w:t>Lady Hale, Lord Hodge, Lady Black, Lord Lloyd-Jones</w:t>
      </w:r>
      <w:r>
        <w:t xml:space="preserve"> and</w:t>
      </w:r>
      <w:r w:rsidRPr="00784EDC">
        <w:t xml:space="preserve"> Lord Sales</w:t>
      </w:r>
    </w:p>
    <w:p w14:paraId="0C3E85F5" w14:textId="77777777" w:rsidR="00BC4126" w:rsidRPr="00784EDC" w:rsidRDefault="00BC4126" w:rsidP="00BC4126">
      <w:pPr>
        <w:rPr>
          <w:lang w:eastAsia="en-AU"/>
        </w:rPr>
      </w:pPr>
    </w:p>
    <w:p w14:paraId="55A5B556" w14:textId="77777777" w:rsidR="00BC4126" w:rsidRPr="00784EDC" w:rsidRDefault="00BC4126" w:rsidP="00BC4126">
      <w:pPr>
        <w:rPr>
          <w:b/>
          <w:lang w:eastAsia="en-AU"/>
        </w:rPr>
      </w:pPr>
      <w:r w:rsidRPr="00784EDC">
        <w:rPr>
          <w:b/>
          <w:lang w:eastAsia="en-AU"/>
        </w:rPr>
        <w:t>Catchwords:</w:t>
      </w:r>
    </w:p>
    <w:p w14:paraId="512A79F6" w14:textId="77777777" w:rsidR="00BC4126" w:rsidRPr="00784EDC" w:rsidRDefault="00BC4126" w:rsidP="00BC4126">
      <w:pPr>
        <w:rPr>
          <w:b/>
          <w:highlight w:val="yellow"/>
          <w:lang w:eastAsia="en-AU"/>
        </w:rPr>
      </w:pPr>
    </w:p>
    <w:p w14:paraId="6595A469" w14:textId="47A6ED39" w:rsidR="00BC4126" w:rsidRPr="00784EDC" w:rsidRDefault="00BC4126" w:rsidP="00DD2509">
      <w:pPr>
        <w:ind w:left="720"/>
        <w:rPr>
          <w:lang w:eastAsia="en-AU"/>
        </w:rPr>
      </w:pPr>
      <w:r>
        <w:rPr>
          <w:lang w:eastAsia="en-AU"/>
        </w:rPr>
        <w:t xml:space="preserve">Administrative law – Judicial review – Health and safety – </w:t>
      </w:r>
      <w:r w:rsidR="0072515B">
        <w:rPr>
          <w:lang w:eastAsia="en-AU"/>
        </w:rPr>
        <w:t xml:space="preserve">Food safety – </w:t>
      </w:r>
      <w:r>
        <w:rPr>
          <w:lang w:eastAsia="en-AU"/>
        </w:rPr>
        <w:t xml:space="preserve">Where meat declared unfit for human consumption by Official Veterinarian (OV) – Where argued OV had to seize carcass under s 9 of </w:t>
      </w:r>
      <w:r w:rsidRPr="005C34ED">
        <w:rPr>
          <w:i/>
          <w:iCs/>
          <w:lang w:eastAsia="en-AU"/>
        </w:rPr>
        <w:t>Food Safety Act 1990</w:t>
      </w:r>
      <w:r>
        <w:rPr>
          <w:lang w:eastAsia="en-AU"/>
        </w:rPr>
        <w:t xml:space="preserve"> – Where argued, having been declared unfit for human consumption, carcass should be disposed of as animal by-product </w:t>
      </w:r>
      <w:r w:rsidR="005D6F06">
        <w:rPr>
          <w:lang w:eastAsia="en-AU"/>
        </w:rPr>
        <w:t xml:space="preserve">– Where questions referred to </w:t>
      </w:r>
      <w:r w:rsidR="005D6F06" w:rsidRPr="005D6F06">
        <w:rPr>
          <w:lang w:eastAsia="en-AU"/>
        </w:rPr>
        <w:t>Court of Justice of European Union</w:t>
      </w:r>
      <w:r w:rsidR="00DD2509">
        <w:rPr>
          <w:lang w:eastAsia="en-AU"/>
        </w:rPr>
        <w:t xml:space="preserve"> </w:t>
      </w:r>
      <w:r w:rsidR="005D6F06">
        <w:rPr>
          <w:lang w:eastAsia="en-AU"/>
        </w:rPr>
        <w:t xml:space="preserve">– </w:t>
      </w:r>
      <w:r w:rsidR="00DD2509">
        <w:rPr>
          <w:lang w:eastAsia="en-AU"/>
        </w:rPr>
        <w:t>Whether</w:t>
      </w:r>
      <w:r w:rsidR="005D6F06">
        <w:rPr>
          <w:lang w:eastAsia="en-AU"/>
        </w:rPr>
        <w:t xml:space="preserve"> s 9 procedure incompatible with EU food safety regime</w:t>
      </w:r>
      <w:r w:rsidR="00DD2509">
        <w:rPr>
          <w:lang w:eastAsia="en-AU"/>
        </w:rPr>
        <w:t>, specifically Regulation</w:t>
      </w:r>
      <w:r w:rsidR="00593789">
        <w:rPr>
          <w:lang w:eastAsia="en-AU"/>
        </w:rPr>
        <w:t xml:space="preserve"> </w:t>
      </w:r>
      <w:r w:rsidR="00DD2509">
        <w:rPr>
          <w:lang w:eastAsia="en-AU"/>
        </w:rPr>
        <w:t>(EC) No 854/2004 and Regulation (EC) No 882/2004</w:t>
      </w:r>
      <w:r w:rsidR="005D6F06">
        <w:rPr>
          <w:lang w:eastAsia="en-AU"/>
        </w:rPr>
        <w:t xml:space="preserve"> – </w:t>
      </w:r>
      <w:r w:rsidR="00DD2509">
        <w:rPr>
          <w:lang w:eastAsia="en-AU"/>
        </w:rPr>
        <w:t>Whether appeal procedure required by article 54(3) of Regulation (EC) No 882/2004 capable of challenging OV</w:t>
      </w:r>
      <w:r w:rsidR="00DA6539">
        <w:rPr>
          <w:lang w:eastAsia="en-AU"/>
        </w:rPr>
        <w:t>'</w:t>
      </w:r>
      <w:r w:rsidR="00DD2509">
        <w:rPr>
          <w:lang w:eastAsia="en-AU"/>
        </w:rPr>
        <w:t xml:space="preserve">s decision on full factual merits or whether more limited judicial review challenge required – Whether </w:t>
      </w:r>
      <w:r w:rsidR="00593789">
        <w:rPr>
          <w:lang w:eastAsia="en-AU"/>
        </w:rPr>
        <w:t xml:space="preserve">United Kingdom provides </w:t>
      </w:r>
      <w:r w:rsidR="00DD2509">
        <w:rPr>
          <w:lang w:eastAsia="en-AU"/>
        </w:rPr>
        <w:t>appropriate means to challenge decisions</w:t>
      </w:r>
      <w:r w:rsidR="00593789" w:rsidRPr="00593789">
        <w:rPr>
          <w:lang w:eastAsia="en-AU"/>
        </w:rPr>
        <w:t xml:space="preserve"> </w:t>
      </w:r>
      <w:r w:rsidR="00593789">
        <w:rPr>
          <w:lang w:eastAsia="en-AU"/>
        </w:rPr>
        <w:t>of OV</w:t>
      </w:r>
      <w:r w:rsidR="00DD2509">
        <w:rPr>
          <w:lang w:eastAsia="en-AU"/>
        </w:rPr>
        <w:t xml:space="preserve">. </w:t>
      </w:r>
    </w:p>
    <w:p w14:paraId="38D14C60" w14:textId="77777777" w:rsidR="00BC4126" w:rsidRPr="00784EDC" w:rsidRDefault="00BC4126" w:rsidP="00BC4126">
      <w:pPr>
        <w:ind w:left="720"/>
        <w:rPr>
          <w:highlight w:val="yellow"/>
          <w:lang w:eastAsia="en-AU"/>
        </w:rPr>
      </w:pPr>
    </w:p>
    <w:p w14:paraId="506BDEDC" w14:textId="77777777" w:rsidR="00DB35B7" w:rsidRDefault="00BC4126" w:rsidP="00DB35B7">
      <w:pPr>
        <w:rPr>
          <w:lang w:eastAsia="en-AU"/>
        </w:rPr>
      </w:pPr>
      <w:r w:rsidRPr="00784EDC">
        <w:rPr>
          <w:b/>
          <w:lang w:eastAsia="en-AU"/>
        </w:rPr>
        <w:t xml:space="preserve">Held (5:0): </w:t>
      </w:r>
      <w:r w:rsidR="00DD2509">
        <w:rPr>
          <w:lang w:eastAsia="en-AU"/>
        </w:rPr>
        <w:t xml:space="preserve">Appeal dismissed. </w:t>
      </w:r>
      <w:r>
        <w:rPr>
          <w:lang w:eastAsia="en-AU"/>
        </w:rPr>
        <w:t xml:space="preserve">  </w:t>
      </w:r>
    </w:p>
    <w:p w14:paraId="55516B8C" w14:textId="77777777" w:rsidR="009D0CE8" w:rsidRPr="00B546B2" w:rsidRDefault="009D0CE8" w:rsidP="009D0CE8">
      <w:pPr>
        <w:pStyle w:val="BullDivider2"/>
        <w:rPr>
          <w:rFonts w:cs="Arial"/>
          <w:highlight w:val="yellow"/>
        </w:rPr>
      </w:pPr>
    </w:p>
    <w:p w14:paraId="2F97BA98" w14:textId="77777777" w:rsidR="00A462DE" w:rsidRDefault="00A462DE" w:rsidP="00A462DE"/>
    <w:p w14:paraId="6ADE1FCD" w14:textId="77777777" w:rsidR="00A462DE" w:rsidRPr="00B20BAC" w:rsidRDefault="00A462DE" w:rsidP="00A462DE">
      <w:pPr>
        <w:pStyle w:val="Heading1"/>
      </w:pPr>
      <w:r>
        <w:lastRenderedPageBreak/>
        <w:t xml:space="preserve">Admiralty </w:t>
      </w:r>
    </w:p>
    <w:p w14:paraId="6676D95B" w14:textId="77777777" w:rsidR="00A462DE" w:rsidRPr="00856E9C" w:rsidRDefault="00A462DE" w:rsidP="00A462DE">
      <w:pPr>
        <w:rPr>
          <w:highlight w:val="yellow"/>
          <w:lang w:eastAsia="en-AU"/>
        </w:rPr>
      </w:pPr>
    </w:p>
    <w:p w14:paraId="787D68D3" w14:textId="77777777" w:rsidR="00A462DE" w:rsidRPr="002F4F7E" w:rsidRDefault="00A462DE" w:rsidP="00A462DE">
      <w:pPr>
        <w:pStyle w:val="Heading2"/>
      </w:pPr>
      <w:r>
        <w:t xml:space="preserve">Alize 1954 &amp; Anor v Allianz Elementar </w:t>
      </w:r>
      <w:r w:rsidR="00AB5B8F">
        <w:t>Versicherungs AG &amp; Ors</w:t>
      </w:r>
    </w:p>
    <w:p w14:paraId="7E2B4EA6" w14:textId="77777777" w:rsidR="00A462DE" w:rsidRPr="002F4F7E" w:rsidRDefault="00AB5B8F" w:rsidP="00A462DE">
      <w:pPr>
        <w:rPr>
          <w:lang w:eastAsia="en-AU"/>
        </w:rPr>
      </w:pPr>
      <w:r>
        <w:rPr>
          <w:b/>
          <w:lang w:eastAsia="en-AU"/>
        </w:rPr>
        <w:t>Supreme Court of the United Kingdom</w:t>
      </w:r>
      <w:r w:rsidR="00A462DE" w:rsidRPr="002F4F7E">
        <w:rPr>
          <w:b/>
          <w:lang w:eastAsia="en-AU"/>
        </w:rPr>
        <w:t>:</w:t>
      </w:r>
      <w:r w:rsidR="00A462DE">
        <w:rPr>
          <w:b/>
          <w:lang w:eastAsia="en-AU"/>
        </w:rPr>
        <w:t xml:space="preserve"> </w:t>
      </w:r>
      <w:hyperlink r:id="rId10" w:history="1">
        <w:r w:rsidRPr="00AB5B8F">
          <w:rPr>
            <w:rStyle w:val="Hyperlink"/>
            <w:lang w:eastAsia="en-AU"/>
          </w:rPr>
          <w:t>[2021] UKSC 51</w:t>
        </w:r>
      </w:hyperlink>
    </w:p>
    <w:p w14:paraId="5E753B00" w14:textId="77777777" w:rsidR="00A462DE" w:rsidRPr="002F4F7E" w:rsidRDefault="00A462DE" w:rsidP="00A462DE">
      <w:pPr>
        <w:rPr>
          <w:lang w:eastAsia="en-AU"/>
        </w:rPr>
      </w:pPr>
    </w:p>
    <w:p w14:paraId="52656337" w14:textId="77777777" w:rsidR="00A462DE" w:rsidRPr="002F4F7E" w:rsidRDefault="00A462DE" w:rsidP="00A462DE">
      <w:pPr>
        <w:rPr>
          <w:lang w:eastAsia="en-AU"/>
        </w:rPr>
      </w:pPr>
      <w:r w:rsidRPr="002F4F7E">
        <w:rPr>
          <w:b/>
          <w:lang w:eastAsia="en-AU"/>
        </w:rPr>
        <w:t>Judgment delivered:</w:t>
      </w:r>
      <w:r w:rsidRPr="002F4F7E">
        <w:rPr>
          <w:lang w:eastAsia="en-AU"/>
        </w:rPr>
        <w:t xml:space="preserve"> </w:t>
      </w:r>
      <w:r>
        <w:rPr>
          <w:lang w:eastAsia="en-AU"/>
        </w:rPr>
        <w:t>1</w:t>
      </w:r>
      <w:r w:rsidR="00AB5B8F">
        <w:rPr>
          <w:lang w:eastAsia="en-AU"/>
        </w:rPr>
        <w:t>0</w:t>
      </w:r>
      <w:r>
        <w:rPr>
          <w:lang w:eastAsia="en-AU"/>
        </w:rPr>
        <w:t xml:space="preserve"> November 2021</w:t>
      </w:r>
    </w:p>
    <w:p w14:paraId="169C0442" w14:textId="77777777" w:rsidR="00A462DE" w:rsidRPr="002F4F7E" w:rsidRDefault="00A462DE" w:rsidP="00A462DE">
      <w:pPr>
        <w:rPr>
          <w:lang w:eastAsia="en-AU"/>
        </w:rPr>
      </w:pPr>
    </w:p>
    <w:p w14:paraId="7A5C1231" w14:textId="77777777" w:rsidR="00A462DE" w:rsidRPr="002F4F7E" w:rsidRDefault="00A462DE" w:rsidP="00A462DE">
      <w:pPr>
        <w:rPr>
          <w:lang w:eastAsia="en-AU"/>
        </w:rPr>
      </w:pPr>
      <w:r w:rsidRPr="002F4F7E">
        <w:rPr>
          <w:b/>
          <w:lang w:eastAsia="en-AU"/>
        </w:rPr>
        <w:t xml:space="preserve">Coram: </w:t>
      </w:r>
      <w:r w:rsidR="00AB5B8F">
        <w:rPr>
          <w:lang w:eastAsia="en-AU"/>
        </w:rPr>
        <w:t>Lord Reed, Lord Briggs, Lady Arden, Lord Hamblen and Lord Leggatt</w:t>
      </w:r>
      <w:r>
        <w:rPr>
          <w:lang w:eastAsia="en-AU"/>
        </w:rPr>
        <w:t xml:space="preserve"> </w:t>
      </w:r>
    </w:p>
    <w:p w14:paraId="3932E72D" w14:textId="77777777" w:rsidR="00A462DE" w:rsidRPr="002F4F7E" w:rsidRDefault="00A462DE" w:rsidP="00A462DE">
      <w:pPr>
        <w:rPr>
          <w:lang w:eastAsia="en-AU"/>
        </w:rPr>
      </w:pPr>
    </w:p>
    <w:p w14:paraId="70DB691C" w14:textId="77777777" w:rsidR="00A462DE" w:rsidRPr="002F4F7E" w:rsidRDefault="00A462DE" w:rsidP="00A462DE">
      <w:pPr>
        <w:rPr>
          <w:b/>
          <w:lang w:eastAsia="en-AU"/>
        </w:rPr>
      </w:pPr>
      <w:r>
        <w:rPr>
          <w:b/>
          <w:lang w:eastAsia="en-AU"/>
        </w:rPr>
        <w:t>Catchwords:</w:t>
      </w:r>
    </w:p>
    <w:p w14:paraId="2C5C471E" w14:textId="77777777" w:rsidR="00A462DE" w:rsidRPr="00856E9C" w:rsidRDefault="00A462DE" w:rsidP="00A462DE">
      <w:pPr>
        <w:rPr>
          <w:b/>
          <w:highlight w:val="yellow"/>
          <w:lang w:eastAsia="en-AU"/>
        </w:rPr>
      </w:pPr>
    </w:p>
    <w:p w14:paraId="6B210BC2" w14:textId="77777777" w:rsidR="00A462DE" w:rsidRPr="00AB5B8F" w:rsidRDefault="00AB5B8F" w:rsidP="00A462DE">
      <w:pPr>
        <w:ind w:left="720"/>
        <w:rPr>
          <w:lang w:eastAsia="en-AU"/>
        </w:rPr>
      </w:pPr>
      <w:r>
        <w:rPr>
          <w:lang w:eastAsia="en-AU"/>
        </w:rPr>
        <w:t xml:space="preserve">Admiralty – Unseaworthiness – Negligence – Due diligence – Navigational errors – Defective passage plan – Where appellants owners of cargo ship </w:t>
      </w:r>
      <w:r>
        <w:rPr>
          <w:i/>
          <w:lang w:eastAsia="en-AU"/>
        </w:rPr>
        <w:t>CAM CGM LIBRA</w:t>
      </w:r>
      <w:r>
        <w:rPr>
          <w:lang w:eastAsia="en-AU"/>
        </w:rPr>
        <w:t xml:space="preserve"> and respondents cargo interests – Where </w:t>
      </w:r>
      <w:r w:rsidR="005C34ED">
        <w:rPr>
          <w:lang w:eastAsia="en-AU"/>
        </w:rPr>
        <w:t>a</w:t>
      </w:r>
      <w:r>
        <w:rPr>
          <w:lang w:eastAsia="en-AU"/>
        </w:rPr>
        <w:t>rt</w:t>
      </w:r>
      <w:r w:rsidR="005C34ED">
        <w:rPr>
          <w:lang w:eastAsia="en-AU"/>
        </w:rPr>
        <w:t>icle</w:t>
      </w:r>
      <w:r>
        <w:rPr>
          <w:lang w:eastAsia="en-AU"/>
        </w:rPr>
        <w:t xml:space="preserve"> III rule 1 of </w:t>
      </w:r>
      <w:r>
        <w:rPr>
          <w:i/>
          <w:lang w:eastAsia="en-AU"/>
        </w:rPr>
        <w:t>Hague-Visby Rules</w:t>
      </w:r>
      <w:r>
        <w:rPr>
          <w:lang w:eastAsia="en-AU"/>
        </w:rPr>
        <w:t xml:space="preserve"> required ship owner to make vessel seaworthy – Where ship ran aground due to navigational errors by ship Master following defective passage plan made before voyage – Where primary judge held appellants liable for errors made in passage plan and for resulting loss and damage – Where Court of Appeal dismissed appeal – Whether defective passage plan renders ship unseaworthy – Whether negligent navigation or management renders ship unseaworthy – Whether failure of Master to exercise due diligence can be imputed to ship owner.  </w:t>
      </w:r>
    </w:p>
    <w:p w14:paraId="6DCD04B7" w14:textId="77777777" w:rsidR="00A462DE" w:rsidRPr="00856E9C" w:rsidRDefault="00A462DE" w:rsidP="00A462DE">
      <w:pPr>
        <w:ind w:left="720"/>
        <w:rPr>
          <w:highlight w:val="yellow"/>
          <w:lang w:eastAsia="en-AU"/>
        </w:rPr>
      </w:pPr>
    </w:p>
    <w:p w14:paraId="6D3AC867" w14:textId="77777777" w:rsidR="00A462DE" w:rsidRPr="000D3E8D" w:rsidRDefault="00A462DE" w:rsidP="00A462DE">
      <w:pPr>
        <w:rPr>
          <w:lang w:eastAsia="en-AU"/>
        </w:rPr>
      </w:pPr>
      <w:r w:rsidRPr="002F4F7E">
        <w:rPr>
          <w:b/>
          <w:lang w:eastAsia="en-AU"/>
        </w:rPr>
        <w:t>Held (</w:t>
      </w:r>
      <w:r w:rsidR="002E2518">
        <w:rPr>
          <w:b/>
          <w:lang w:eastAsia="en-AU"/>
        </w:rPr>
        <w:t>5</w:t>
      </w:r>
      <w:r>
        <w:rPr>
          <w:b/>
          <w:lang w:eastAsia="en-AU"/>
        </w:rPr>
        <w:t>:0</w:t>
      </w:r>
      <w:r w:rsidRPr="002F4F7E">
        <w:rPr>
          <w:b/>
          <w:lang w:eastAsia="en-AU"/>
        </w:rPr>
        <w:t xml:space="preserve">): </w:t>
      </w:r>
      <w:r>
        <w:rPr>
          <w:lang w:eastAsia="en-AU"/>
        </w:rPr>
        <w:t xml:space="preserve">Appeal dismissed. </w:t>
      </w:r>
    </w:p>
    <w:p w14:paraId="0327153A" w14:textId="77777777" w:rsidR="00A462DE" w:rsidRPr="00B546B2" w:rsidRDefault="00A462DE" w:rsidP="00A462DE">
      <w:pPr>
        <w:pStyle w:val="BullDivider2"/>
        <w:rPr>
          <w:rFonts w:cs="Arial"/>
          <w:highlight w:val="yellow"/>
        </w:rPr>
      </w:pPr>
    </w:p>
    <w:p w14:paraId="66BB6C78" w14:textId="77777777" w:rsidR="00BA2C1C" w:rsidRPr="00BA2C1C" w:rsidRDefault="00BA2C1C" w:rsidP="00BA2C1C">
      <w:pPr>
        <w:rPr>
          <w:highlight w:val="yellow"/>
          <w:lang w:eastAsia="en-AU"/>
        </w:rPr>
      </w:pPr>
    </w:p>
    <w:p w14:paraId="3F3D2883" w14:textId="77777777" w:rsidR="00BA2C1C" w:rsidRPr="00BA2C1C" w:rsidRDefault="00BA2C1C" w:rsidP="00BA2C1C">
      <w:pPr>
        <w:tabs>
          <w:tab w:val="left" w:pos="5375"/>
        </w:tabs>
        <w:outlineLvl w:val="0"/>
        <w:rPr>
          <w:rFonts w:ascii="Garamond" w:hAnsi="Garamond"/>
          <w:b/>
          <w:sz w:val="44"/>
          <w:szCs w:val="24"/>
          <w:lang w:eastAsia="en-AU"/>
        </w:rPr>
      </w:pPr>
      <w:r>
        <w:rPr>
          <w:rFonts w:ascii="Garamond" w:hAnsi="Garamond"/>
          <w:b/>
          <w:sz w:val="44"/>
          <w:szCs w:val="24"/>
          <w:lang w:eastAsia="en-AU"/>
        </w:rPr>
        <w:t>Bankruptcy and Insolvency</w:t>
      </w:r>
    </w:p>
    <w:p w14:paraId="2847F92A" w14:textId="77777777" w:rsidR="00BA2C1C" w:rsidRPr="00BA2C1C" w:rsidRDefault="00BA2C1C" w:rsidP="00BA2C1C">
      <w:pPr>
        <w:rPr>
          <w:highlight w:val="yellow"/>
          <w:lang w:eastAsia="en-AU"/>
        </w:rPr>
      </w:pPr>
    </w:p>
    <w:p w14:paraId="6C2E9659" w14:textId="77777777" w:rsidR="00BA2C1C" w:rsidRPr="00BA2C1C" w:rsidRDefault="00BA2C1C" w:rsidP="00BA2C1C">
      <w:pPr>
        <w:keepNext/>
        <w:outlineLvl w:val="1"/>
        <w:rPr>
          <w:rFonts w:ascii="Arial" w:hAnsi="Arial" w:cs="Arial"/>
          <w:bCs/>
          <w:i/>
          <w:iCs/>
          <w:sz w:val="28"/>
          <w:szCs w:val="28"/>
          <w:lang w:eastAsia="en-AU"/>
        </w:rPr>
      </w:pPr>
      <w:r w:rsidRPr="00BA2C1C">
        <w:rPr>
          <w:rFonts w:ascii="Arial" w:hAnsi="Arial" w:cs="Arial"/>
          <w:bCs/>
          <w:i/>
          <w:iCs/>
          <w:sz w:val="28"/>
          <w:szCs w:val="28"/>
          <w:lang w:eastAsia="en-AU"/>
        </w:rPr>
        <w:t>Montréal (City) v Deloitte Restructuring Inc.</w:t>
      </w:r>
    </w:p>
    <w:p w14:paraId="524AC938" w14:textId="77777777" w:rsidR="00BA2C1C" w:rsidRPr="00BA2C1C" w:rsidRDefault="00BA2C1C" w:rsidP="00BA2C1C">
      <w:pPr>
        <w:rPr>
          <w:lang w:eastAsia="en-AU"/>
        </w:rPr>
      </w:pPr>
      <w:r>
        <w:rPr>
          <w:b/>
          <w:lang w:eastAsia="en-AU"/>
        </w:rPr>
        <w:t>Supreme Court of Canada</w:t>
      </w:r>
      <w:r w:rsidRPr="00BA2C1C">
        <w:rPr>
          <w:b/>
          <w:lang w:eastAsia="en-AU"/>
        </w:rPr>
        <w:t xml:space="preserve">: </w:t>
      </w:r>
      <w:hyperlink r:id="rId11" w:history="1">
        <w:r w:rsidRPr="00BA2C1C">
          <w:rPr>
            <w:rStyle w:val="Hyperlink"/>
            <w:lang w:eastAsia="en-AU"/>
          </w:rPr>
          <w:t>[2021] SCC 53</w:t>
        </w:r>
      </w:hyperlink>
    </w:p>
    <w:p w14:paraId="1A1650F9" w14:textId="77777777" w:rsidR="00BA2C1C" w:rsidRPr="00BA2C1C" w:rsidRDefault="00BA2C1C" w:rsidP="00BA2C1C">
      <w:pPr>
        <w:rPr>
          <w:lang w:eastAsia="en-AU"/>
        </w:rPr>
      </w:pPr>
    </w:p>
    <w:p w14:paraId="652D1BF3" w14:textId="77777777" w:rsidR="00BA2C1C" w:rsidRPr="00BA2C1C" w:rsidRDefault="00BA2C1C" w:rsidP="00BA2C1C">
      <w:pPr>
        <w:rPr>
          <w:lang w:eastAsia="en-AU"/>
        </w:rPr>
      </w:pPr>
      <w:r w:rsidRPr="00BA2C1C">
        <w:rPr>
          <w:b/>
          <w:lang w:eastAsia="en-AU"/>
        </w:rPr>
        <w:t>Judgment delivered:</w:t>
      </w:r>
      <w:r w:rsidRPr="00BA2C1C">
        <w:rPr>
          <w:lang w:eastAsia="en-AU"/>
        </w:rPr>
        <w:t xml:space="preserve"> </w:t>
      </w:r>
      <w:r>
        <w:rPr>
          <w:lang w:eastAsia="en-AU"/>
        </w:rPr>
        <w:t>10 December</w:t>
      </w:r>
      <w:r w:rsidRPr="00BA2C1C">
        <w:rPr>
          <w:lang w:eastAsia="en-AU"/>
        </w:rPr>
        <w:t xml:space="preserve"> 2021</w:t>
      </w:r>
    </w:p>
    <w:p w14:paraId="0E961BA9" w14:textId="77777777" w:rsidR="00BA2C1C" w:rsidRPr="00BA2C1C" w:rsidRDefault="00BA2C1C" w:rsidP="00BA2C1C">
      <w:pPr>
        <w:rPr>
          <w:lang w:eastAsia="en-AU"/>
        </w:rPr>
      </w:pPr>
    </w:p>
    <w:p w14:paraId="2FAFE8D4" w14:textId="77777777" w:rsidR="00BA2C1C" w:rsidRPr="00BA2C1C" w:rsidRDefault="00BA2C1C" w:rsidP="00BA2C1C">
      <w:pPr>
        <w:rPr>
          <w:lang w:eastAsia="en-AU"/>
        </w:rPr>
      </w:pPr>
      <w:r w:rsidRPr="00BA2C1C">
        <w:rPr>
          <w:b/>
          <w:lang w:eastAsia="en-AU"/>
        </w:rPr>
        <w:t xml:space="preserve">Coram: </w:t>
      </w:r>
      <w:r w:rsidRPr="00BA2C1C">
        <w:rPr>
          <w:lang w:eastAsia="en-AU"/>
        </w:rPr>
        <w:t>Wagner CJ and Moldaver, Karakatsanis, Côté, Brown, Rowe and Martin JJ</w:t>
      </w:r>
    </w:p>
    <w:p w14:paraId="0A83DCF8" w14:textId="77777777" w:rsidR="00BA2C1C" w:rsidRPr="00BA2C1C" w:rsidRDefault="00BA2C1C" w:rsidP="00BA2C1C">
      <w:pPr>
        <w:rPr>
          <w:lang w:eastAsia="en-AU"/>
        </w:rPr>
      </w:pPr>
    </w:p>
    <w:p w14:paraId="7FC0C24C" w14:textId="77777777" w:rsidR="00BA2C1C" w:rsidRPr="00BA2C1C" w:rsidRDefault="00BA2C1C" w:rsidP="00BA2C1C">
      <w:pPr>
        <w:rPr>
          <w:b/>
          <w:lang w:eastAsia="en-AU"/>
        </w:rPr>
      </w:pPr>
      <w:r w:rsidRPr="00BA2C1C">
        <w:rPr>
          <w:b/>
          <w:lang w:eastAsia="en-AU"/>
        </w:rPr>
        <w:t>Catchwords:</w:t>
      </w:r>
    </w:p>
    <w:p w14:paraId="20EAE442" w14:textId="77777777" w:rsidR="00BA2C1C" w:rsidRPr="00BA2C1C" w:rsidRDefault="00BA2C1C" w:rsidP="00BA2C1C">
      <w:pPr>
        <w:rPr>
          <w:b/>
          <w:highlight w:val="yellow"/>
          <w:lang w:eastAsia="en-AU"/>
        </w:rPr>
      </w:pPr>
    </w:p>
    <w:p w14:paraId="6E437B2F" w14:textId="77777777" w:rsidR="00BA2C1C" w:rsidRPr="00BA2C1C" w:rsidRDefault="00BA2C1C" w:rsidP="00BA2C1C">
      <w:pPr>
        <w:ind w:left="720"/>
        <w:rPr>
          <w:lang w:eastAsia="en-AU"/>
        </w:rPr>
      </w:pPr>
      <w:r w:rsidRPr="00BA2C1C">
        <w:rPr>
          <w:lang w:eastAsia="en-AU"/>
        </w:rPr>
        <w:t>Bankruptcy and insolvency — Stay of creditors</w:t>
      </w:r>
      <w:r w:rsidR="00DA6539">
        <w:rPr>
          <w:lang w:eastAsia="en-AU"/>
        </w:rPr>
        <w:t>'</w:t>
      </w:r>
      <w:r w:rsidRPr="00BA2C1C">
        <w:rPr>
          <w:lang w:eastAsia="en-AU"/>
        </w:rPr>
        <w:t xml:space="preserve"> rights and remedies — Claims that may be dealt with by compromise or arrangement — Compensation between debt arising before and debt arising after initial order — Quebec Voluntary Reimbursement Program — Whether claim arising from agreement entered into under Quebec Voluntary Reimbursement Program is necessarily claim that relates to debt or liability resulting from obtaining property or services by false pretences or fraudulent misrepresentation pursuant to s 19(2)(d) of </w:t>
      </w:r>
      <w:r w:rsidRPr="005176FF">
        <w:rPr>
          <w:i/>
          <w:iCs/>
          <w:lang w:eastAsia="en-AU"/>
        </w:rPr>
        <w:t>Companies</w:t>
      </w:r>
      <w:r w:rsidR="00DA6539">
        <w:rPr>
          <w:i/>
          <w:iCs/>
          <w:lang w:eastAsia="en-AU"/>
        </w:rPr>
        <w:t>'</w:t>
      </w:r>
      <w:r w:rsidRPr="005176FF">
        <w:rPr>
          <w:i/>
          <w:iCs/>
          <w:lang w:eastAsia="en-AU"/>
        </w:rPr>
        <w:t xml:space="preserve"> Creditors Arrangement Act</w:t>
      </w:r>
      <w:r w:rsidRPr="00BA2C1C">
        <w:rPr>
          <w:lang w:eastAsia="en-AU"/>
        </w:rPr>
        <w:t xml:space="preserve"> — Whether supervising judge</w:t>
      </w:r>
      <w:r w:rsidR="00DA6539">
        <w:rPr>
          <w:lang w:eastAsia="en-AU"/>
        </w:rPr>
        <w:t>'</w:t>
      </w:r>
      <w:r w:rsidRPr="00BA2C1C">
        <w:rPr>
          <w:lang w:eastAsia="en-AU"/>
        </w:rPr>
        <w:t xml:space="preserve">s discretion in restructuring context allows judge to stay right invoked by creditor to effect compensation between debt arising before and debt arising after </w:t>
      </w:r>
      <w:r w:rsidRPr="00BA2C1C">
        <w:rPr>
          <w:lang w:eastAsia="en-AU"/>
        </w:rPr>
        <w:lastRenderedPageBreak/>
        <w:t xml:space="preserve">initial order — </w:t>
      </w:r>
      <w:r w:rsidRPr="005176FF">
        <w:rPr>
          <w:i/>
          <w:iCs/>
          <w:lang w:eastAsia="en-AU"/>
        </w:rPr>
        <w:t>Companies</w:t>
      </w:r>
      <w:r w:rsidR="00DA6539">
        <w:rPr>
          <w:i/>
          <w:iCs/>
          <w:lang w:eastAsia="en-AU"/>
        </w:rPr>
        <w:t>'</w:t>
      </w:r>
      <w:r w:rsidRPr="005176FF">
        <w:rPr>
          <w:i/>
          <w:iCs/>
          <w:lang w:eastAsia="en-AU"/>
        </w:rPr>
        <w:t xml:space="preserve"> Creditors Arrangement Act</w:t>
      </w:r>
      <w:r w:rsidRPr="00BA2C1C">
        <w:rPr>
          <w:lang w:eastAsia="en-AU"/>
        </w:rPr>
        <w:t>, R.S.C. 1985, c. C</w:t>
      </w:r>
      <w:r w:rsidRPr="00BA2C1C">
        <w:rPr>
          <w:rFonts w:ascii="Cambria Math" w:hAnsi="Cambria Math" w:cs="Cambria Math"/>
          <w:lang w:eastAsia="en-AU"/>
        </w:rPr>
        <w:t>‑</w:t>
      </w:r>
      <w:r w:rsidRPr="00BA2C1C">
        <w:rPr>
          <w:lang w:eastAsia="en-AU"/>
        </w:rPr>
        <w:t xml:space="preserve">36, ss. 11, 11.02, 19(2)(d), 21 </w:t>
      </w:r>
      <w:r w:rsidRPr="00BA2C1C">
        <w:rPr>
          <w:rFonts w:cs="Verdana"/>
          <w:lang w:eastAsia="en-AU"/>
        </w:rPr>
        <w:t>—</w:t>
      </w:r>
      <w:r w:rsidRPr="00BA2C1C">
        <w:rPr>
          <w:lang w:eastAsia="en-AU"/>
        </w:rPr>
        <w:t xml:space="preserve"> Act to ensure mainly recovery of amounts improperly paid as a result of fraud or fraudulent tactics in connection with public contracts, CQLR, c. R</w:t>
      </w:r>
      <w:r w:rsidRPr="00BA2C1C">
        <w:rPr>
          <w:rFonts w:ascii="Cambria Math" w:hAnsi="Cambria Math" w:cs="Cambria Math"/>
          <w:lang w:eastAsia="en-AU"/>
        </w:rPr>
        <w:t>‑</w:t>
      </w:r>
      <w:r w:rsidRPr="00BA2C1C">
        <w:rPr>
          <w:lang w:eastAsia="en-AU"/>
        </w:rPr>
        <w:t xml:space="preserve">2.2.0.0.3 </w:t>
      </w:r>
      <w:r w:rsidRPr="00BA2C1C">
        <w:rPr>
          <w:rFonts w:cs="Verdana"/>
          <w:lang w:eastAsia="en-AU"/>
        </w:rPr>
        <w:t>—</w:t>
      </w:r>
      <w:r w:rsidRPr="00BA2C1C">
        <w:rPr>
          <w:lang w:eastAsia="en-AU"/>
        </w:rPr>
        <w:t xml:space="preserve"> Voluntary Reimbursement Program, CQLR, c. R</w:t>
      </w:r>
      <w:r w:rsidRPr="00BA2C1C">
        <w:rPr>
          <w:rFonts w:ascii="Cambria Math" w:hAnsi="Cambria Math" w:cs="Cambria Math"/>
          <w:lang w:eastAsia="en-AU"/>
        </w:rPr>
        <w:t>‑</w:t>
      </w:r>
      <w:r w:rsidRPr="00BA2C1C">
        <w:rPr>
          <w:lang w:eastAsia="en-AU"/>
        </w:rPr>
        <w:t>2.2.0.0.3, r. 1.</w:t>
      </w:r>
    </w:p>
    <w:p w14:paraId="2DD9B7A8" w14:textId="77777777" w:rsidR="00BA2C1C" w:rsidRPr="00BA2C1C" w:rsidRDefault="00BA2C1C" w:rsidP="00BA2C1C">
      <w:pPr>
        <w:ind w:left="720"/>
        <w:rPr>
          <w:highlight w:val="yellow"/>
          <w:lang w:eastAsia="en-AU"/>
        </w:rPr>
      </w:pPr>
    </w:p>
    <w:p w14:paraId="14676BFF" w14:textId="77777777" w:rsidR="00BA2C1C" w:rsidRPr="00BA2C1C" w:rsidRDefault="00BA2C1C" w:rsidP="00BA2C1C">
      <w:pPr>
        <w:rPr>
          <w:lang w:eastAsia="en-AU"/>
        </w:rPr>
      </w:pPr>
      <w:r w:rsidRPr="00BA2C1C">
        <w:rPr>
          <w:b/>
          <w:lang w:eastAsia="en-AU"/>
        </w:rPr>
        <w:t>Held (</w:t>
      </w:r>
      <w:r w:rsidR="007B5D52">
        <w:rPr>
          <w:b/>
          <w:lang w:eastAsia="en-AU"/>
        </w:rPr>
        <w:t>6</w:t>
      </w:r>
      <w:r w:rsidRPr="00BA2C1C">
        <w:rPr>
          <w:b/>
          <w:lang w:eastAsia="en-AU"/>
        </w:rPr>
        <w:t>:</w:t>
      </w:r>
      <w:r w:rsidR="007B5D52">
        <w:rPr>
          <w:b/>
          <w:lang w:eastAsia="en-AU"/>
        </w:rPr>
        <w:t>1</w:t>
      </w:r>
      <w:r w:rsidRPr="00BA2C1C">
        <w:rPr>
          <w:b/>
          <w:lang w:eastAsia="en-AU"/>
        </w:rPr>
        <w:t xml:space="preserve">): </w:t>
      </w:r>
      <w:r w:rsidRPr="00BA2C1C">
        <w:rPr>
          <w:lang w:eastAsia="en-AU"/>
        </w:rPr>
        <w:t xml:space="preserve">Appeals dismissed. </w:t>
      </w:r>
    </w:p>
    <w:p w14:paraId="5EA6BF72" w14:textId="77777777" w:rsidR="00BA2C1C" w:rsidRPr="00BA2C1C" w:rsidRDefault="00BA2C1C" w:rsidP="00BA2C1C">
      <w:pPr>
        <w:pBdr>
          <w:bottom w:val="double" w:sz="6" w:space="1" w:color="auto"/>
        </w:pBdr>
        <w:rPr>
          <w:rFonts w:cs="Arial"/>
          <w:szCs w:val="20"/>
          <w:highlight w:val="yellow"/>
          <w:lang w:eastAsia="en-AU"/>
        </w:rPr>
      </w:pPr>
    </w:p>
    <w:p w14:paraId="3E0B5FE4" w14:textId="77777777" w:rsidR="00BA2C1C" w:rsidRPr="00BA2C1C" w:rsidRDefault="00BA2C1C" w:rsidP="00BA2C1C">
      <w:pPr>
        <w:rPr>
          <w:highlight w:val="yellow"/>
        </w:rPr>
      </w:pPr>
    </w:p>
    <w:p w14:paraId="556A81BF" w14:textId="77777777" w:rsidR="008656C4" w:rsidRPr="00B20BAC" w:rsidRDefault="008656C4" w:rsidP="008656C4">
      <w:pPr>
        <w:pStyle w:val="Heading1"/>
      </w:pPr>
      <w:r>
        <w:t>Constitutional Law</w:t>
      </w:r>
    </w:p>
    <w:p w14:paraId="72006702" w14:textId="77777777" w:rsidR="008656C4" w:rsidRDefault="008656C4" w:rsidP="00FA0788"/>
    <w:p w14:paraId="147CA3C7" w14:textId="77777777" w:rsidR="00FA0788" w:rsidRPr="002F4F7E" w:rsidRDefault="00FA0788" w:rsidP="00FA0788">
      <w:pPr>
        <w:pStyle w:val="Heading2"/>
      </w:pPr>
      <w:r>
        <w:t xml:space="preserve">Kwok Cheuk Kin v </w:t>
      </w:r>
      <w:r w:rsidR="007A5E89">
        <w:t>Director of Lands &amp; Ors</w:t>
      </w:r>
    </w:p>
    <w:p w14:paraId="0CA3BA13" w14:textId="77777777" w:rsidR="00FA0788" w:rsidRPr="002F4F7E" w:rsidRDefault="002267EA" w:rsidP="00FA0788">
      <w:pPr>
        <w:rPr>
          <w:lang w:eastAsia="en-AU"/>
        </w:rPr>
      </w:pPr>
      <w:r>
        <w:rPr>
          <w:b/>
          <w:lang w:eastAsia="en-AU"/>
        </w:rPr>
        <w:t>Hong Kong Court of Final Appeal</w:t>
      </w:r>
      <w:r w:rsidR="00FA0788" w:rsidRPr="002F4F7E">
        <w:rPr>
          <w:b/>
          <w:lang w:eastAsia="en-AU"/>
        </w:rPr>
        <w:t xml:space="preserve">: </w:t>
      </w:r>
      <w:hyperlink r:id="rId12" w:history="1">
        <w:r w:rsidRPr="002267EA">
          <w:rPr>
            <w:rStyle w:val="Hyperlink"/>
            <w:lang w:eastAsia="en-AU"/>
          </w:rPr>
          <w:t>[2021] HKFCA 38</w:t>
        </w:r>
      </w:hyperlink>
    </w:p>
    <w:p w14:paraId="002627E6" w14:textId="77777777" w:rsidR="00FA0788" w:rsidRPr="002F4F7E" w:rsidRDefault="00FA0788" w:rsidP="00FA0788">
      <w:pPr>
        <w:rPr>
          <w:lang w:eastAsia="en-AU"/>
        </w:rPr>
      </w:pPr>
    </w:p>
    <w:p w14:paraId="52D5507C" w14:textId="77777777" w:rsidR="00FA0788" w:rsidRPr="002F4F7E" w:rsidRDefault="00FA0788" w:rsidP="00FA0788">
      <w:pPr>
        <w:rPr>
          <w:lang w:eastAsia="en-AU"/>
        </w:rPr>
      </w:pPr>
      <w:r w:rsidRPr="002F4F7E">
        <w:rPr>
          <w:b/>
          <w:lang w:eastAsia="en-AU"/>
        </w:rPr>
        <w:t>Judgment delivered:</w:t>
      </w:r>
      <w:r w:rsidRPr="002F4F7E">
        <w:rPr>
          <w:lang w:eastAsia="en-AU"/>
        </w:rPr>
        <w:t xml:space="preserve"> </w:t>
      </w:r>
      <w:r w:rsidR="007A5E89">
        <w:rPr>
          <w:lang w:eastAsia="en-AU"/>
        </w:rPr>
        <w:t>5</w:t>
      </w:r>
      <w:r>
        <w:rPr>
          <w:lang w:eastAsia="en-AU"/>
        </w:rPr>
        <w:t xml:space="preserve"> November 2021</w:t>
      </w:r>
    </w:p>
    <w:p w14:paraId="5C7D8C26" w14:textId="77777777" w:rsidR="00FA0788" w:rsidRPr="002F4F7E" w:rsidRDefault="00FA0788" w:rsidP="00FA0788">
      <w:pPr>
        <w:rPr>
          <w:lang w:eastAsia="en-AU"/>
        </w:rPr>
      </w:pPr>
    </w:p>
    <w:p w14:paraId="577673A2" w14:textId="77777777" w:rsidR="00FA0788" w:rsidRDefault="00FA0788" w:rsidP="00FA0788">
      <w:pPr>
        <w:rPr>
          <w:lang w:eastAsia="en-AU"/>
        </w:rPr>
      </w:pPr>
      <w:r w:rsidRPr="002F4F7E">
        <w:rPr>
          <w:b/>
          <w:lang w:eastAsia="en-AU"/>
        </w:rPr>
        <w:t xml:space="preserve">Coram: </w:t>
      </w:r>
      <w:r w:rsidR="007A5E89">
        <w:rPr>
          <w:lang w:eastAsia="en-AU"/>
        </w:rPr>
        <w:t>Cheung CJ, Riberio, Fok PJJ, Chan and Lord Sumption NPJJ</w:t>
      </w:r>
    </w:p>
    <w:p w14:paraId="763EE1EB" w14:textId="77777777" w:rsidR="00FA0788" w:rsidRPr="002F4F7E" w:rsidRDefault="00FA0788" w:rsidP="00FA0788">
      <w:pPr>
        <w:rPr>
          <w:lang w:eastAsia="en-AU"/>
        </w:rPr>
      </w:pPr>
    </w:p>
    <w:p w14:paraId="656DECEE" w14:textId="77777777" w:rsidR="00FA0788" w:rsidRPr="002F4F7E" w:rsidRDefault="00FA0788" w:rsidP="00FA0788">
      <w:pPr>
        <w:rPr>
          <w:b/>
          <w:lang w:eastAsia="en-AU"/>
        </w:rPr>
      </w:pPr>
      <w:r>
        <w:rPr>
          <w:b/>
          <w:lang w:eastAsia="en-AU"/>
        </w:rPr>
        <w:t>Catchwords:</w:t>
      </w:r>
    </w:p>
    <w:p w14:paraId="45274A57" w14:textId="77777777" w:rsidR="00FA0788" w:rsidRPr="00856E9C" w:rsidRDefault="00FA0788" w:rsidP="00FA0788">
      <w:pPr>
        <w:rPr>
          <w:b/>
          <w:highlight w:val="yellow"/>
          <w:lang w:eastAsia="en-AU"/>
        </w:rPr>
      </w:pPr>
    </w:p>
    <w:p w14:paraId="0F5BCA51" w14:textId="77777777" w:rsidR="00FA0788" w:rsidRPr="00C878DC" w:rsidRDefault="00FA0788" w:rsidP="00FA0788">
      <w:pPr>
        <w:ind w:left="720"/>
        <w:rPr>
          <w:lang w:eastAsia="en-AU"/>
        </w:rPr>
      </w:pPr>
      <w:r w:rsidRPr="00F149EA">
        <w:rPr>
          <w:lang w:eastAsia="en-AU"/>
        </w:rPr>
        <w:t>Constitutional law —</w:t>
      </w:r>
      <w:r w:rsidR="007A5E89">
        <w:rPr>
          <w:lang w:eastAsia="en-AU"/>
        </w:rPr>
        <w:t xml:space="preserve"> New Territories Indigenous Inhabitants – </w:t>
      </w:r>
      <w:r w:rsidR="007A5E89">
        <w:rPr>
          <w:i/>
          <w:lang w:eastAsia="en-AU"/>
        </w:rPr>
        <w:t xml:space="preserve">Ding </w:t>
      </w:r>
      <w:r w:rsidR="007A5E89">
        <w:rPr>
          <w:lang w:eastAsia="en-AU"/>
        </w:rPr>
        <w:t xml:space="preserve">rights – Sex discrimination – Discrimination on basis of birth and social origin – Where New Territories Small House Policy provided male New Territories Indigenous Inhabitant may apply for grant to erect small house within own village – Where Policy provided for three kinds of grants: free building licence, private treaty grant, and exchanges – Where </w:t>
      </w:r>
      <w:r w:rsidR="005C34ED">
        <w:rPr>
          <w:lang w:eastAsia="en-AU"/>
        </w:rPr>
        <w:t>a</w:t>
      </w:r>
      <w:r w:rsidR="007A5E89">
        <w:rPr>
          <w:lang w:eastAsia="en-AU"/>
        </w:rPr>
        <w:t xml:space="preserve">rticle 40 of Basic Law provided </w:t>
      </w:r>
      <w:r w:rsidR="00DA6539">
        <w:rPr>
          <w:lang w:eastAsia="en-AU"/>
        </w:rPr>
        <w:t>"</w:t>
      </w:r>
      <w:r w:rsidR="007A5E89">
        <w:rPr>
          <w:lang w:eastAsia="en-AU"/>
        </w:rPr>
        <w:t>lawful traditional rights and interests of indigenous inhabitants of New Territories shall be protected</w:t>
      </w:r>
      <w:r w:rsidR="00DA6539">
        <w:rPr>
          <w:lang w:eastAsia="en-AU"/>
        </w:rPr>
        <w:t>"</w:t>
      </w:r>
      <w:r w:rsidR="007A5E89">
        <w:rPr>
          <w:lang w:eastAsia="en-AU"/>
        </w:rPr>
        <w:t xml:space="preserve"> – Where male New Territories Indigenous Inhabitants</w:t>
      </w:r>
      <w:r w:rsidR="002267EA">
        <w:rPr>
          <w:lang w:eastAsia="en-AU"/>
        </w:rPr>
        <w:t>,</w:t>
      </w:r>
      <w:r w:rsidR="007A5E89">
        <w:rPr>
          <w:lang w:eastAsia="en-AU"/>
        </w:rPr>
        <w:t xml:space="preserve"> prior to 1898 </w:t>
      </w:r>
      <w:r w:rsidR="00C878DC">
        <w:rPr>
          <w:lang w:eastAsia="en-AU"/>
        </w:rPr>
        <w:t>(when New Territories leased to British Empire)</w:t>
      </w:r>
      <w:r w:rsidR="002267EA">
        <w:rPr>
          <w:lang w:eastAsia="en-AU"/>
        </w:rPr>
        <w:t>,</w:t>
      </w:r>
      <w:r w:rsidR="00C878DC">
        <w:rPr>
          <w:lang w:eastAsia="en-AU"/>
        </w:rPr>
        <w:t xml:space="preserve"> enjoyed </w:t>
      </w:r>
      <w:r w:rsidR="00C878DC">
        <w:rPr>
          <w:i/>
          <w:lang w:eastAsia="en-AU"/>
        </w:rPr>
        <w:t xml:space="preserve">Ding </w:t>
      </w:r>
      <w:r w:rsidR="00C878DC">
        <w:rPr>
          <w:lang w:eastAsia="en-AU"/>
        </w:rPr>
        <w:t>traditional property rights to erect small house in own village and</w:t>
      </w:r>
      <w:r w:rsidR="002267EA">
        <w:rPr>
          <w:lang w:eastAsia="en-AU"/>
        </w:rPr>
        <w:t>, prior to 1990 (when Basic Law promulgated),</w:t>
      </w:r>
      <w:r w:rsidR="00C878DC">
        <w:rPr>
          <w:lang w:eastAsia="en-AU"/>
        </w:rPr>
        <w:t xml:space="preserve"> enjoyed rights of private treaty and exchange</w:t>
      </w:r>
      <w:r w:rsidR="002267EA">
        <w:rPr>
          <w:lang w:eastAsia="en-AU"/>
        </w:rPr>
        <w:t xml:space="preserve"> </w:t>
      </w:r>
      <w:r w:rsidR="00C878DC">
        <w:rPr>
          <w:lang w:eastAsia="en-AU"/>
        </w:rPr>
        <w:t xml:space="preserve">– </w:t>
      </w:r>
      <w:r w:rsidR="007A5E89">
        <w:rPr>
          <w:lang w:eastAsia="en-AU"/>
        </w:rPr>
        <w:t xml:space="preserve">Where </w:t>
      </w:r>
      <w:r w:rsidR="005C34ED">
        <w:rPr>
          <w:lang w:eastAsia="en-AU"/>
        </w:rPr>
        <w:t>a</w:t>
      </w:r>
      <w:r w:rsidR="007A5E89">
        <w:rPr>
          <w:lang w:eastAsia="en-AU"/>
        </w:rPr>
        <w:t>rt</w:t>
      </w:r>
      <w:r w:rsidR="00455298">
        <w:rPr>
          <w:lang w:eastAsia="en-AU"/>
        </w:rPr>
        <w:t>icles</w:t>
      </w:r>
      <w:r w:rsidR="007A5E89">
        <w:rPr>
          <w:lang w:eastAsia="en-AU"/>
        </w:rPr>
        <w:t xml:space="preserve"> 25 and 39 of Basic Law and </w:t>
      </w:r>
      <w:r w:rsidR="005C34ED">
        <w:rPr>
          <w:lang w:eastAsia="en-AU"/>
        </w:rPr>
        <w:t>a</w:t>
      </w:r>
      <w:r w:rsidR="007A5E89">
        <w:rPr>
          <w:lang w:eastAsia="en-AU"/>
        </w:rPr>
        <w:t>rt</w:t>
      </w:r>
      <w:r w:rsidR="00455298">
        <w:rPr>
          <w:lang w:eastAsia="en-AU"/>
        </w:rPr>
        <w:t>icle</w:t>
      </w:r>
      <w:r w:rsidR="007A5E89">
        <w:rPr>
          <w:lang w:eastAsia="en-AU"/>
        </w:rPr>
        <w:t xml:space="preserve"> 22 of Bill of Rights pro</w:t>
      </w:r>
      <w:r w:rsidR="002267EA">
        <w:rPr>
          <w:lang w:eastAsia="en-AU"/>
        </w:rPr>
        <w:t xml:space="preserve">hibited </w:t>
      </w:r>
      <w:r w:rsidR="007A5E89">
        <w:rPr>
          <w:lang w:eastAsia="en-AU"/>
        </w:rPr>
        <w:t xml:space="preserve">discrimination on basis of sex, birth and social origin – Where appellant unsuccessfully challenged constitutionality of Policy in Court of First Instance on basis of discrimination but succeeded </w:t>
      </w:r>
      <w:r w:rsidR="00C878DC">
        <w:rPr>
          <w:lang w:eastAsia="en-AU"/>
        </w:rPr>
        <w:t xml:space="preserve">in part on basis private treaty grants and exchanges not traditionally part of </w:t>
      </w:r>
      <w:r w:rsidR="00C878DC">
        <w:rPr>
          <w:i/>
          <w:lang w:eastAsia="en-AU"/>
        </w:rPr>
        <w:t xml:space="preserve">Ding </w:t>
      </w:r>
      <w:r w:rsidR="00C878DC">
        <w:rPr>
          <w:lang w:eastAsia="en-AU"/>
        </w:rPr>
        <w:t xml:space="preserve">rights prior to 1898 – Where Court of Appeal on appeal held Policy constitutional in entirety – Whether </w:t>
      </w:r>
      <w:r w:rsidR="00DA6539">
        <w:rPr>
          <w:lang w:eastAsia="en-AU"/>
        </w:rPr>
        <w:t>"</w:t>
      </w:r>
      <w:r w:rsidR="00C878DC">
        <w:rPr>
          <w:lang w:eastAsia="en-AU"/>
        </w:rPr>
        <w:t>lawful</w:t>
      </w:r>
      <w:r w:rsidR="00DA6539">
        <w:rPr>
          <w:lang w:eastAsia="en-AU"/>
        </w:rPr>
        <w:t>"</w:t>
      </w:r>
      <w:r w:rsidR="00C878DC">
        <w:rPr>
          <w:lang w:eastAsia="en-AU"/>
        </w:rPr>
        <w:t xml:space="preserve"> rights in </w:t>
      </w:r>
      <w:r w:rsidR="005C34ED">
        <w:rPr>
          <w:lang w:eastAsia="en-AU"/>
        </w:rPr>
        <w:t>a</w:t>
      </w:r>
      <w:r w:rsidR="00C878DC">
        <w:rPr>
          <w:lang w:eastAsia="en-AU"/>
        </w:rPr>
        <w:t>rt</w:t>
      </w:r>
      <w:r w:rsidR="00455298">
        <w:rPr>
          <w:lang w:eastAsia="en-AU"/>
        </w:rPr>
        <w:t>icle</w:t>
      </w:r>
      <w:r w:rsidR="00C878DC">
        <w:rPr>
          <w:lang w:eastAsia="en-AU"/>
        </w:rPr>
        <w:t xml:space="preserve"> 40 should be interpreted to be consistent with anti-discrimination provisions – Whether </w:t>
      </w:r>
      <w:r w:rsidR="00DA6539">
        <w:rPr>
          <w:lang w:eastAsia="en-AU"/>
        </w:rPr>
        <w:t>"</w:t>
      </w:r>
      <w:r w:rsidR="00C878DC">
        <w:rPr>
          <w:lang w:eastAsia="en-AU"/>
        </w:rPr>
        <w:t>traditional</w:t>
      </w:r>
      <w:r w:rsidR="00DA6539">
        <w:rPr>
          <w:lang w:eastAsia="en-AU"/>
        </w:rPr>
        <w:t>"</w:t>
      </w:r>
      <w:r w:rsidR="00C878DC">
        <w:rPr>
          <w:lang w:eastAsia="en-AU"/>
        </w:rPr>
        <w:t xml:space="preserve"> rights refers to pre-1898 or to pre-1990 rights – Whether Policy constitutional in entirety. </w:t>
      </w:r>
    </w:p>
    <w:p w14:paraId="4F6D4FAE" w14:textId="77777777" w:rsidR="007A5E89" w:rsidRPr="00856E9C" w:rsidRDefault="007A5E89" w:rsidP="00FA0788">
      <w:pPr>
        <w:ind w:left="720"/>
        <w:rPr>
          <w:highlight w:val="yellow"/>
          <w:lang w:eastAsia="en-AU"/>
        </w:rPr>
      </w:pPr>
    </w:p>
    <w:p w14:paraId="2F96A047" w14:textId="77777777" w:rsidR="00FA0788" w:rsidRPr="00A63EE9" w:rsidRDefault="00FA0788" w:rsidP="00A63EE9">
      <w:pPr>
        <w:rPr>
          <w:lang w:eastAsia="en-AU"/>
        </w:rPr>
      </w:pPr>
      <w:r w:rsidRPr="002F4F7E">
        <w:rPr>
          <w:b/>
          <w:lang w:eastAsia="en-AU"/>
        </w:rPr>
        <w:t>Held (</w:t>
      </w:r>
      <w:r w:rsidR="00C878DC">
        <w:rPr>
          <w:b/>
          <w:lang w:eastAsia="en-AU"/>
        </w:rPr>
        <w:t>5</w:t>
      </w:r>
      <w:r>
        <w:rPr>
          <w:b/>
          <w:lang w:eastAsia="en-AU"/>
        </w:rPr>
        <w:t>:</w:t>
      </w:r>
      <w:r w:rsidR="00C878DC">
        <w:rPr>
          <w:b/>
          <w:lang w:eastAsia="en-AU"/>
        </w:rPr>
        <w:t>0</w:t>
      </w:r>
      <w:r w:rsidRPr="002F4F7E">
        <w:rPr>
          <w:b/>
          <w:lang w:eastAsia="en-AU"/>
        </w:rPr>
        <w:t xml:space="preserve">): </w:t>
      </w:r>
      <w:r>
        <w:rPr>
          <w:lang w:eastAsia="en-AU"/>
        </w:rPr>
        <w:t xml:space="preserve">Appeal dismissed. </w:t>
      </w:r>
    </w:p>
    <w:p w14:paraId="408F8402" w14:textId="77777777" w:rsidR="00FA0EBE" w:rsidRPr="00FA0EBE" w:rsidRDefault="00FA0EBE" w:rsidP="00FA0EBE">
      <w:pPr>
        <w:pBdr>
          <w:bottom w:val="dotted" w:sz="4" w:space="0" w:color="auto"/>
        </w:pBdr>
        <w:rPr>
          <w:szCs w:val="20"/>
          <w:lang w:eastAsia="en-AU"/>
        </w:rPr>
      </w:pPr>
    </w:p>
    <w:p w14:paraId="5CC80DC0" w14:textId="77777777" w:rsidR="00FA0EBE" w:rsidRPr="00FA0EBE" w:rsidRDefault="00FA0EBE" w:rsidP="00FA0EBE"/>
    <w:p w14:paraId="01C47477" w14:textId="77777777" w:rsidR="00866165" w:rsidRPr="002F4F7E" w:rsidRDefault="00866165" w:rsidP="00866165">
      <w:pPr>
        <w:pStyle w:val="Heading2"/>
      </w:pPr>
      <w:r>
        <w:t>R v Albashir</w:t>
      </w:r>
    </w:p>
    <w:p w14:paraId="68B4BA6A" w14:textId="77777777" w:rsidR="00866165" w:rsidRPr="002F4F7E" w:rsidRDefault="00866165" w:rsidP="00866165">
      <w:pPr>
        <w:rPr>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 xml:space="preserve">: </w:t>
      </w:r>
      <w:hyperlink r:id="rId13" w:history="1">
        <w:r w:rsidRPr="00F149EA">
          <w:rPr>
            <w:rStyle w:val="Hyperlink"/>
            <w:lang w:eastAsia="en-AU"/>
          </w:rPr>
          <w:t>[2021] SCC 48</w:t>
        </w:r>
      </w:hyperlink>
    </w:p>
    <w:p w14:paraId="786075C2" w14:textId="77777777" w:rsidR="00866165" w:rsidRPr="002F4F7E" w:rsidRDefault="00866165" w:rsidP="00866165">
      <w:pPr>
        <w:rPr>
          <w:lang w:eastAsia="en-AU"/>
        </w:rPr>
      </w:pPr>
    </w:p>
    <w:p w14:paraId="279290FC" w14:textId="77777777" w:rsidR="00866165" w:rsidRPr="002F4F7E" w:rsidRDefault="00866165" w:rsidP="00866165">
      <w:pPr>
        <w:rPr>
          <w:lang w:eastAsia="en-AU"/>
        </w:rPr>
      </w:pPr>
      <w:r w:rsidRPr="002F4F7E">
        <w:rPr>
          <w:b/>
          <w:lang w:eastAsia="en-AU"/>
        </w:rPr>
        <w:t>Judgment delivered:</w:t>
      </w:r>
      <w:r w:rsidRPr="002F4F7E">
        <w:rPr>
          <w:lang w:eastAsia="en-AU"/>
        </w:rPr>
        <w:t xml:space="preserve"> </w:t>
      </w:r>
      <w:r>
        <w:rPr>
          <w:lang w:eastAsia="en-AU"/>
        </w:rPr>
        <w:t>19 November 2021</w:t>
      </w:r>
    </w:p>
    <w:p w14:paraId="3CD0D09D" w14:textId="77777777" w:rsidR="00866165" w:rsidRPr="002F4F7E" w:rsidRDefault="00866165" w:rsidP="00866165">
      <w:pPr>
        <w:rPr>
          <w:lang w:eastAsia="en-AU"/>
        </w:rPr>
      </w:pPr>
    </w:p>
    <w:p w14:paraId="31DFF24D" w14:textId="77777777" w:rsidR="00866165" w:rsidRDefault="00866165" w:rsidP="00866165">
      <w:pPr>
        <w:rPr>
          <w:lang w:eastAsia="en-AU"/>
        </w:rPr>
      </w:pPr>
      <w:r w:rsidRPr="002F4F7E">
        <w:rPr>
          <w:b/>
          <w:lang w:eastAsia="en-AU"/>
        </w:rPr>
        <w:t xml:space="preserve">Coram: </w:t>
      </w:r>
      <w:r w:rsidRPr="00F149EA">
        <w:rPr>
          <w:lang w:eastAsia="en-AU"/>
        </w:rPr>
        <w:t>Wagner CJ and Abella, Moldaver, Karakatsanis, Côté, Brown, Rowe, Martin and Kasirer J</w:t>
      </w:r>
      <w:r>
        <w:rPr>
          <w:lang w:eastAsia="en-AU"/>
        </w:rPr>
        <w:t>J</w:t>
      </w:r>
    </w:p>
    <w:p w14:paraId="775F3096" w14:textId="77777777" w:rsidR="00866165" w:rsidRPr="002F4F7E" w:rsidRDefault="00866165" w:rsidP="00866165">
      <w:pPr>
        <w:rPr>
          <w:lang w:eastAsia="en-AU"/>
        </w:rPr>
      </w:pPr>
    </w:p>
    <w:p w14:paraId="19D7E8AD" w14:textId="77777777" w:rsidR="00866165" w:rsidRPr="002F4F7E" w:rsidRDefault="00866165" w:rsidP="00866165">
      <w:pPr>
        <w:rPr>
          <w:b/>
          <w:lang w:eastAsia="en-AU"/>
        </w:rPr>
      </w:pPr>
      <w:r>
        <w:rPr>
          <w:b/>
          <w:lang w:eastAsia="en-AU"/>
        </w:rPr>
        <w:t>Catchwords:</w:t>
      </w:r>
    </w:p>
    <w:p w14:paraId="0B05E3D5" w14:textId="77777777" w:rsidR="00866165" w:rsidRPr="00856E9C" w:rsidRDefault="00866165" w:rsidP="00866165">
      <w:pPr>
        <w:rPr>
          <w:b/>
          <w:highlight w:val="yellow"/>
          <w:lang w:eastAsia="en-AU"/>
        </w:rPr>
      </w:pPr>
    </w:p>
    <w:p w14:paraId="7C021195" w14:textId="77777777" w:rsidR="00866165" w:rsidRDefault="00866165" w:rsidP="00866165">
      <w:pPr>
        <w:ind w:left="720"/>
        <w:rPr>
          <w:lang w:eastAsia="en-AU"/>
        </w:rPr>
      </w:pPr>
      <w:r w:rsidRPr="00F149EA">
        <w:rPr>
          <w:lang w:eastAsia="en-AU"/>
        </w:rPr>
        <w:t xml:space="preserve">Constitutional law — Declaration of invalidity — Temporal nature of declaration of invalidity — </w:t>
      </w:r>
      <w:r>
        <w:rPr>
          <w:lang w:eastAsia="en-AU"/>
        </w:rPr>
        <w:t xml:space="preserve">Where </w:t>
      </w:r>
      <w:r w:rsidRPr="00F149EA">
        <w:rPr>
          <w:lang w:eastAsia="en-AU"/>
        </w:rPr>
        <w:t xml:space="preserve">Supreme Court of Canada in </w:t>
      </w:r>
      <w:r w:rsidRPr="00F149EA">
        <w:rPr>
          <w:i/>
          <w:lang w:eastAsia="en-AU"/>
        </w:rPr>
        <w:t xml:space="preserve">Bedford </w:t>
      </w:r>
      <w:r w:rsidRPr="00F149EA">
        <w:rPr>
          <w:lang w:eastAsia="en-AU"/>
        </w:rPr>
        <w:t>declar</w:t>
      </w:r>
      <w:r>
        <w:rPr>
          <w:lang w:eastAsia="en-AU"/>
        </w:rPr>
        <w:t>ed</w:t>
      </w:r>
      <w:r w:rsidRPr="00F149EA">
        <w:rPr>
          <w:lang w:eastAsia="en-AU"/>
        </w:rPr>
        <w:t xml:space="preserve"> void offence of living on avails of sex work and suspend</w:t>
      </w:r>
      <w:r>
        <w:rPr>
          <w:lang w:eastAsia="en-AU"/>
        </w:rPr>
        <w:t>ed</w:t>
      </w:r>
      <w:r w:rsidRPr="00F149EA">
        <w:rPr>
          <w:lang w:eastAsia="en-AU"/>
        </w:rPr>
        <w:t xml:space="preserve"> declaration of invalidity for one year — </w:t>
      </w:r>
      <w:r>
        <w:rPr>
          <w:lang w:eastAsia="en-AU"/>
        </w:rPr>
        <w:t>Where a</w:t>
      </w:r>
      <w:r w:rsidRPr="00F149EA">
        <w:rPr>
          <w:lang w:eastAsia="en-AU"/>
        </w:rPr>
        <w:t xml:space="preserve">ccused charged after expiry of suspension period for committing offence of living on avails of sex work while declaration suspended — </w:t>
      </w:r>
      <w:r>
        <w:rPr>
          <w:lang w:eastAsia="en-AU"/>
        </w:rPr>
        <w:t>Where t</w:t>
      </w:r>
      <w:r w:rsidRPr="00F149EA">
        <w:rPr>
          <w:lang w:eastAsia="en-AU"/>
        </w:rPr>
        <w:t>rial judge quash</w:t>
      </w:r>
      <w:r>
        <w:rPr>
          <w:lang w:eastAsia="en-AU"/>
        </w:rPr>
        <w:t xml:space="preserve">ed </w:t>
      </w:r>
      <w:r w:rsidRPr="00F149EA">
        <w:rPr>
          <w:lang w:eastAsia="en-AU"/>
        </w:rPr>
        <w:t xml:space="preserve">charges on basis offence unconstitutional when committed — </w:t>
      </w:r>
      <w:r>
        <w:rPr>
          <w:lang w:eastAsia="en-AU"/>
        </w:rPr>
        <w:t xml:space="preserve">Where </w:t>
      </w:r>
      <w:r w:rsidRPr="00F149EA">
        <w:rPr>
          <w:lang w:eastAsia="en-AU"/>
        </w:rPr>
        <w:t>Court of Appeal h</w:t>
      </w:r>
      <w:r>
        <w:rPr>
          <w:lang w:eastAsia="en-AU"/>
        </w:rPr>
        <w:t>eld</w:t>
      </w:r>
      <w:r w:rsidRPr="00F149EA">
        <w:rPr>
          <w:lang w:eastAsia="en-AU"/>
        </w:rPr>
        <w:t xml:space="preserve"> remedial legislation enacted by Parliament prior to expiry of suspension period pre</w:t>
      </w:r>
      <w:r w:rsidRPr="00F149EA">
        <w:rPr>
          <w:rFonts w:ascii="Cambria Math" w:hAnsi="Cambria Math" w:cs="Cambria Math"/>
          <w:lang w:eastAsia="en-AU"/>
        </w:rPr>
        <w:t>‑</w:t>
      </w:r>
      <w:r w:rsidRPr="00F149EA">
        <w:rPr>
          <w:lang w:eastAsia="en-AU"/>
        </w:rPr>
        <w:t xml:space="preserve">empted retroactive effect of declaration of invalidity </w:t>
      </w:r>
      <w:r w:rsidRPr="00F149EA">
        <w:rPr>
          <w:rFonts w:cs="Verdana"/>
          <w:lang w:eastAsia="en-AU"/>
        </w:rPr>
        <w:t>—</w:t>
      </w:r>
      <w:r w:rsidRPr="00F149EA">
        <w:rPr>
          <w:lang w:eastAsia="en-AU"/>
        </w:rPr>
        <w:t xml:space="preserve"> Whether provision prohibiting living on avails of sex work retroactively invalid such that it cannot ground conviction for offence committed prior to declaration taking effect — </w:t>
      </w:r>
      <w:r w:rsidRPr="00F149EA">
        <w:rPr>
          <w:i/>
          <w:lang w:eastAsia="en-AU"/>
        </w:rPr>
        <w:t>Canadian Charter of Rights and Freedoms</w:t>
      </w:r>
      <w:r w:rsidRPr="00F149EA">
        <w:rPr>
          <w:lang w:eastAsia="en-AU"/>
        </w:rPr>
        <w:t xml:space="preserve">, s 24(1) — </w:t>
      </w:r>
      <w:r w:rsidRPr="00F149EA">
        <w:rPr>
          <w:i/>
          <w:lang w:eastAsia="en-AU"/>
        </w:rPr>
        <w:t>Constitution Act</w:t>
      </w:r>
      <w:r w:rsidRPr="00F149EA">
        <w:rPr>
          <w:lang w:eastAsia="en-AU"/>
        </w:rPr>
        <w:t xml:space="preserve">, 1982, s 52(1) — </w:t>
      </w:r>
      <w:r w:rsidRPr="00F149EA">
        <w:rPr>
          <w:i/>
          <w:lang w:eastAsia="en-AU"/>
        </w:rPr>
        <w:t>Criminal Code</w:t>
      </w:r>
      <w:r w:rsidRPr="00F149EA">
        <w:rPr>
          <w:lang w:eastAsia="en-AU"/>
        </w:rPr>
        <w:t xml:space="preserve">, RSC 1985, </w:t>
      </w:r>
      <w:r>
        <w:rPr>
          <w:lang w:eastAsia="en-AU"/>
        </w:rPr>
        <w:t>c</w:t>
      </w:r>
      <w:r w:rsidRPr="00F149EA">
        <w:rPr>
          <w:lang w:eastAsia="en-AU"/>
        </w:rPr>
        <w:t xml:space="preserve"> C</w:t>
      </w:r>
      <w:r w:rsidRPr="00F149EA">
        <w:rPr>
          <w:rFonts w:ascii="Cambria Math" w:hAnsi="Cambria Math" w:cs="Cambria Math"/>
          <w:lang w:eastAsia="en-AU"/>
        </w:rPr>
        <w:t>‑</w:t>
      </w:r>
      <w:r w:rsidRPr="00F149EA">
        <w:rPr>
          <w:lang w:eastAsia="en-AU"/>
        </w:rPr>
        <w:t>46, s 212(1)(j).</w:t>
      </w:r>
    </w:p>
    <w:p w14:paraId="76696B99" w14:textId="77777777" w:rsidR="00866165" w:rsidRPr="00856E9C" w:rsidRDefault="00866165" w:rsidP="00866165">
      <w:pPr>
        <w:ind w:left="720"/>
        <w:rPr>
          <w:highlight w:val="yellow"/>
          <w:lang w:eastAsia="en-AU"/>
        </w:rPr>
      </w:pPr>
    </w:p>
    <w:p w14:paraId="4551D121" w14:textId="77777777" w:rsidR="00866165" w:rsidRDefault="00866165" w:rsidP="00866165">
      <w:pPr>
        <w:rPr>
          <w:lang w:eastAsia="en-AU"/>
        </w:rPr>
      </w:pPr>
      <w:r w:rsidRPr="002F4F7E">
        <w:rPr>
          <w:b/>
          <w:lang w:eastAsia="en-AU"/>
        </w:rPr>
        <w:t>Held (</w:t>
      </w:r>
      <w:r>
        <w:rPr>
          <w:b/>
          <w:lang w:eastAsia="en-AU"/>
        </w:rPr>
        <w:t>7:2</w:t>
      </w:r>
      <w:r w:rsidRPr="002F4F7E">
        <w:rPr>
          <w:b/>
          <w:lang w:eastAsia="en-AU"/>
        </w:rPr>
        <w:t xml:space="preserve">): </w:t>
      </w:r>
      <w:r>
        <w:rPr>
          <w:lang w:eastAsia="en-AU"/>
        </w:rPr>
        <w:t xml:space="preserve">Appeal dismissed. </w:t>
      </w:r>
    </w:p>
    <w:p w14:paraId="6ED0C543" w14:textId="77777777" w:rsidR="00866165" w:rsidRPr="00181993" w:rsidRDefault="00866165" w:rsidP="00866165">
      <w:pPr>
        <w:pStyle w:val="BullDivider1"/>
        <w:pBdr>
          <w:bottom w:val="dotted" w:sz="4" w:space="0" w:color="auto"/>
        </w:pBdr>
      </w:pPr>
    </w:p>
    <w:p w14:paraId="5A2C9938" w14:textId="77777777" w:rsidR="00866165" w:rsidRDefault="00866165" w:rsidP="00866165"/>
    <w:p w14:paraId="7BFED92C" w14:textId="77777777" w:rsidR="00FA0EBE" w:rsidRDefault="00FA0EBE" w:rsidP="00FA0EBE">
      <w:pPr>
        <w:keepNext/>
        <w:outlineLvl w:val="1"/>
        <w:rPr>
          <w:rFonts w:ascii="Arial" w:hAnsi="Arial" w:cs="Arial"/>
          <w:bCs/>
          <w:i/>
          <w:iCs/>
          <w:sz w:val="28"/>
          <w:szCs w:val="28"/>
          <w:lang w:eastAsia="en-AU"/>
        </w:rPr>
      </w:pPr>
      <w:r w:rsidRPr="00FA0EBE">
        <w:rPr>
          <w:rFonts w:ascii="Arial" w:hAnsi="Arial" w:cs="Arial"/>
          <w:bCs/>
          <w:i/>
          <w:iCs/>
          <w:sz w:val="28"/>
          <w:szCs w:val="28"/>
          <w:lang w:eastAsia="en-AU"/>
        </w:rPr>
        <w:t xml:space="preserve">Thubakgale </w:t>
      </w:r>
      <w:r>
        <w:rPr>
          <w:rFonts w:ascii="Arial" w:hAnsi="Arial" w:cs="Arial"/>
          <w:bCs/>
          <w:i/>
          <w:iCs/>
          <w:sz w:val="28"/>
          <w:szCs w:val="28"/>
          <w:lang w:eastAsia="en-AU"/>
        </w:rPr>
        <w:t>&amp;</w:t>
      </w:r>
      <w:r w:rsidRPr="00FA0EBE">
        <w:rPr>
          <w:rFonts w:ascii="Arial" w:hAnsi="Arial" w:cs="Arial"/>
          <w:bCs/>
          <w:i/>
          <w:iCs/>
          <w:sz w:val="28"/>
          <w:szCs w:val="28"/>
          <w:lang w:eastAsia="en-AU"/>
        </w:rPr>
        <w:t xml:space="preserve"> </w:t>
      </w:r>
      <w:r>
        <w:rPr>
          <w:rFonts w:ascii="Arial" w:hAnsi="Arial" w:cs="Arial"/>
          <w:bCs/>
          <w:i/>
          <w:iCs/>
          <w:sz w:val="28"/>
          <w:szCs w:val="28"/>
          <w:lang w:eastAsia="en-AU"/>
        </w:rPr>
        <w:t>Ors</w:t>
      </w:r>
      <w:r w:rsidRPr="00FA0EBE">
        <w:rPr>
          <w:rFonts w:ascii="Arial" w:hAnsi="Arial" w:cs="Arial"/>
          <w:bCs/>
          <w:i/>
          <w:iCs/>
          <w:sz w:val="28"/>
          <w:szCs w:val="28"/>
          <w:lang w:eastAsia="en-AU"/>
        </w:rPr>
        <w:t xml:space="preserve"> v Ekurhuleni Metropolitan Municipality </w:t>
      </w:r>
      <w:r>
        <w:rPr>
          <w:rFonts w:ascii="Arial" w:hAnsi="Arial" w:cs="Arial"/>
          <w:bCs/>
          <w:i/>
          <w:iCs/>
          <w:sz w:val="28"/>
          <w:szCs w:val="28"/>
          <w:lang w:eastAsia="en-AU"/>
        </w:rPr>
        <w:t>&amp; Ors</w:t>
      </w:r>
    </w:p>
    <w:p w14:paraId="7ADE7966" w14:textId="77777777" w:rsidR="00FA0EBE" w:rsidRPr="002F4F7E" w:rsidRDefault="00FA0EBE" w:rsidP="00FA0EBE">
      <w:pPr>
        <w:rPr>
          <w:lang w:eastAsia="en-AU"/>
        </w:rPr>
      </w:pPr>
      <w:r>
        <w:rPr>
          <w:b/>
          <w:lang w:eastAsia="en-AU"/>
        </w:rPr>
        <w:t>Constitutional Court of South Africa</w:t>
      </w:r>
      <w:r w:rsidRPr="002F4F7E">
        <w:rPr>
          <w:b/>
          <w:lang w:eastAsia="en-AU"/>
        </w:rPr>
        <w:t xml:space="preserve">: </w:t>
      </w:r>
      <w:hyperlink r:id="rId14" w:history="1">
        <w:r>
          <w:rPr>
            <w:rStyle w:val="Hyperlink"/>
            <w:lang w:eastAsia="en-AU"/>
          </w:rPr>
          <w:t>[2021] ZACC 45</w:t>
        </w:r>
      </w:hyperlink>
    </w:p>
    <w:p w14:paraId="43E4272E" w14:textId="77777777" w:rsidR="00FA0EBE" w:rsidRPr="00FA0EBE" w:rsidRDefault="00FA0EBE" w:rsidP="00FA0EBE">
      <w:pPr>
        <w:rPr>
          <w:lang w:eastAsia="en-AU"/>
        </w:rPr>
      </w:pPr>
    </w:p>
    <w:p w14:paraId="22BFE38F" w14:textId="77777777" w:rsidR="00FA0EBE" w:rsidRPr="00FA0EBE" w:rsidRDefault="00FA0EBE" w:rsidP="00FA0EBE">
      <w:pPr>
        <w:rPr>
          <w:lang w:eastAsia="en-AU"/>
        </w:rPr>
      </w:pPr>
      <w:r w:rsidRPr="00FA0EBE">
        <w:rPr>
          <w:b/>
          <w:lang w:eastAsia="en-AU"/>
        </w:rPr>
        <w:t>Judgment delivered:</w:t>
      </w:r>
      <w:r w:rsidRPr="00FA0EBE">
        <w:rPr>
          <w:lang w:eastAsia="en-AU"/>
        </w:rPr>
        <w:t xml:space="preserve"> </w:t>
      </w:r>
      <w:r w:rsidR="00455298">
        <w:rPr>
          <w:lang w:eastAsia="en-AU"/>
        </w:rPr>
        <w:t>7 December</w:t>
      </w:r>
      <w:r w:rsidRPr="00FA0EBE">
        <w:rPr>
          <w:lang w:eastAsia="en-AU"/>
        </w:rPr>
        <w:t xml:space="preserve"> 2021</w:t>
      </w:r>
    </w:p>
    <w:p w14:paraId="3689A23E" w14:textId="77777777" w:rsidR="00FA0EBE" w:rsidRPr="00FA0EBE" w:rsidRDefault="00FA0EBE" w:rsidP="00FA0EBE">
      <w:pPr>
        <w:rPr>
          <w:lang w:eastAsia="en-AU"/>
        </w:rPr>
      </w:pPr>
    </w:p>
    <w:p w14:paraId="5921EE54" w14:textId="77777777" w:rsidR="00FA0EBE" w:rsidRPr="00FA0EBE" w:rsidRDefault="00FA0EBE" w:rsidP="00FA0EBE">
      <w:pPr>
        <w:rPr>
          <w:lang w:eastAsia="en-AU"/>
        </w:rPr>
      </w:pPr>
      <w:r w:rsidRPr="00FA0EBE">
        <w:rPr>
          <w:b/>
          <w:lang w:eastAsia="en-AU"/>
        </w:rPr>
        <w:t xml:space="preserve">Coram: </w:t>
      </w:r>
      <w:r w:rsidR="00BF7F59" w:rsidRPr="00BF7F59">
        <w:rPr>
          <w:bCs/>
          <w:lang w:eastAsia="en-AU"/>
        </w:rPr>
        <w:t xml:space="preserve">Mogoeng CJ, Jafta, Khampepe, Madlanga, Majiedt, Mhlantla, Theron </w:t>
      </w:r>
      <w:r w:rsidR="000A1BDC">
        <w:rPr>
          <w:bCs/>
          <w:lang w:eastAsia="en-AU"/>
        </w:rPr>
        <w:t>J</w:t>
      </w:r>
      <w:r w:rsidR="00BF7F59" w:rsidRPr="00BF7F59">
        <w:rPr>
          <w:bCs/>
          <w:lang w:eastAsia="en-AU"/>
        </w:rPr>
        <w:t>J, Tlaletsi AJ and Tshiqi J</w:t>
      </w:r>
    </w:p>
    <w:p w14:paraId="05C0E323" w14:textId="77777777" w:rsidR="00FA0EBE" w:rsidRPr="00FA0EBE" w:rsidRDefault="00FA0EBE" w:rsidP="00FA0EBE">
      <w:pPr>
        <w:rPr>
          <w:lang w:eastAsia="en-AU"/>
        </w:rPr>
      </w:pPr>
    </w:p>
    <w:p w14:paraId="53D6684A" w14:textId="77777777" w:rsidR="00FA0EBE" w:rsidRPr="00FA0EBE" w:rsidRDefault="00FA0EBE" w:rsidP="00FA0EBE">
      <w:pPr>
        <w:rPr>
          <w:b/>
          <w:lang w:eastAsia="en-AU"/>
        </w:rPr>
      </w:pPr>
      <w:r w:rsidRPr="00FA0EBE">
        <w:rPr>
          <w:b/>
          <w:lang w:eastAsia="en-AU"/>
        </w:rPr>
        <w:t>Catchwords:</w:t>
      </w:r>
    </w:p>
    <w:p w14:paraId="636BD006" w14:textId="77777777" w:rsidR="00FA0EBE" w:rsidRPr="00FA0EBE" w:rsidRDefault="00FA0EBE" w:rsidP="00FA0EBE">
      <w:pPr>
        <w:rPr>
          <w:b/>
          <w:highlight w:val="yellow"/>
          <w:lang w:eastAsia="en-AU"/>
        </w:rPr>
      </w:pPr>
    </w:p>
    <w:p w14:paraId="3A185AA9" w14:textId="769722CC" w:rsidR="00FA0EBE" w:rsidRDefault="00FA0EBE" w:rsidP="00FA0EBE">
      <w:pPr>
        <w:ind w:left="720"/>
        <w:rPr>
          <w:lang w:eastAsia="en-AU"/>
        </w:rPr>
      </w:pPr>
      <w:r w:rsidRPr="00FA0EBE">
        <w:rPr>
          <w:lang w:eastAsia="en-AU"/>
        </w:rPr>
        <w:t xml:space="preserve">Constitutional law — </w:t>
      </w:r>
      <w:r>
        <w:rPr>
          <w:lang w:eastAsia="en-AU"/>
        </w:rPr>
        <w:t xml:space="preserve">Socio-economic rights – Right of access to adequate housing </w:t>
      </w:r>
      <w:r w:rsidR="002839D9">
        <w:rPr>
          <w:lang w:eastAsia="en-AU"/>
        </w:rPr>
        <w:t xml:space="preserve">– Constitutional damages – Where </w:t>
      </w:r>
      <w:r w:rsidR="002839D9" w:rsidRPr="002839D9">
        <w:rPr>
          <w:lang w:eastAsia="en-AU"/>
        </w:rPr>
        <w:t>applicants allocated housing subsidy and site</w:t>
      </w:r>
      <w:r w:rsidR="00FA3FFB">
        <w:rPr>
          <w:lang w:eastAsia="en-AU"/>
        </w:rPr>
        <w:t>s</w:t>
      </w:r>
      <w:r w:rsidR="002839D9" w:rsidRPr="002839D9">
        <w:rPr>
          <w:lang w:eastAsia="en-AU"/>
        </w:rPr>
        <w:t xml:space="preserve"> on which house</w:t>
      </w:r>
      <w:r w:rsidR="00FA3FFB">
        <w:rPr>
          <w:lang w:eastAsia="en-AU"/>
        </w:rPr>
        <w:t>s</w:t>
      </w:r>
      <w:r w:rsidR="002839D9" w:rsidRPr="002839D9">
        <w:rPr>
          <w:lang w:eastAsia="en-AU"/>
        </w:rPr>
        <w:t xml:space="preserve"> to be built</w:t>
      </w:r>
      <w:r w:rsidR="002839D9">
        <w:rPr>
          <w:lang w:eastAsia="en-AU"/>
        </w:rPr>
        <w:t xml:space="preserve"> – Where houses not handed over – Where municipality ordered to provide each applicant with house – Where municipality subsequently sought variation to order and applicants lodged counter-application seeking constitutional damages from municipality</w:t>
      </w:r>
      <w:r w:rsidR="00DA6539">
        <w:rPr>
          <w:lang w:eastAsia="en-AU"/>
        </w:rPr>
        <w:t>'</w:t>
      </w:r>
      <w:r w:rsidR="002839D9">
        <w:rPr>
          <w:lang w:eastAsia="en-AU"/>
        </w:rPr>
        <w:t xml:space="preserve">s failure to comply with order – Whether </w:t>
      </w:r>
      <w:r w:rsidR="00FA3FFB">
        <w:rPr>
          <w:lang w:eastAsia="en-AU"/>
        </w:rPr>
        <w:t xml:space="preserve">socio-economic rights enforceable by constitutional damages – </w:t>
      </w:r>
      <w:r w:rsidR="004056FE">
        <w:rPr>
          <w:lang w:eastAsia="en-AU"/>
        </w:rPr>
        <w:t xml:space="preserve">Whether award of constitutional damages appropriate relief – </w:t>
      </w:r>
      <w:r w:rsidR="00FA3FFB">
        <w:rPr>
          <w:lang w:eastAsia="en-AU"/>
        </w:rPr>
        <w:t>Proper amount of constitutional damages for breach of socio-economic rights.</w:t>
      </w:r>
    </w:p>
    <w:p w14:paraId="535ACF20" w14:textId="77777777" w:rsidR="002839D9" w:rsidRPr="00FA0EBE" w:rsidRDefault="002839D9" w:rsidP="00FA0EBE">
      <w:pPr>
        <w:ind w:left="720"/>
        <w:rPr>
          <w:lang w:eastAsia="en-AU"/>
        </w:rPr>
      </w:pPr>
    </w:p>
    <w:p w14:paraId="5DC8CE46" w14:textId="77777777" w:rsidR="00FA0EBE" w:rsidRPr="00FA0EBE" w:rsidRDefault="00FA0EBE" w:rsidP="00FA0EBE">
      <w:pPr>
        <w:rPr>
          <w:lang w:eastAsia="en-AU"/>
        </w:rPr>
      </w:pPr>
      <w:r w:rsidRPr="00FA0EBE">
        <w:rPr>
          <w:b/>
          <w:lang w:eastAsia="en-AU"/>
        </w:rPr>
        <w:t>Held (</w:t>
      </w:r>
      <w:r w:rsidR="002839D9" w:rsidRPr="00FA3FFB">
        <w:rPr>
          <w:b/>
          <w:lang w:eastAsia="en-AU"/>
        </w:rPr>
        <w:t xml:space="preserve">9:0; </w:t>
      </w:r>
      <w:r w:rsidRPr="00FA0EBE">
        <w:rPr>
          <w:b/>
          <w:lang w:eastAsia="en-AU"/>
        </w:rPr>
        <w:t>5:</w:t>
      </w:r>
      <w:r w:rsidRPr="00FA3FFB">
        <w:rPr>
          <w:b/>
          <w:lang w:eastAsia="en-AU"/>
        </w:rPr>
        <w:t>4</w:t>
      </w:r>
      <w:r w:rsidRPr="00FA0EBE">
        <w:rPr>
          <w:b/>
          <w:lang w:eastAsia="en-AU"/>
        </w:rPr>
        <w:t xml:space="preserve">): </w:t>
      </w:r>
      <w:r w:rsidR="004E43DD">
        <w:rPr>
          <w:bCs/>
          <w:lang w:eastAsia="en-AU"/>
        </w:rPr>
        <w:t>L</w:t>
      </w:r>
      <w:r w:rsidR="002839D9">
        <w:rPr>
          <w:lang w:eastAsia="en-AU"/>
        </w:rPr>
        <w:t>eave to appeal granted; a</w:t>
      </w:r>
      <w:r w:rsidRPr="00FA0EBE">
        <w:rPr>
          <w:lang w:eastAsia="en-AU"/>
        </w:rPr>
        <w:t xml:space="preserve">ppeal dismissed. </w:t>
      </w:r>
    </w:p>
    <w:p w14:paraId="7B9E307D" w14:textId="77777777" w:rsidR="00866165" w:rsidRPr="00181993" w:rsidRDefault="00866165" w:rsidP="00866165">
      <w:pPr>
        <w:pStyle w:val="BullDivider1"/>
        <w:pBdr>
          <w:bottom w:val="dotted" w:sz="4" w:space="0" w:color="auto"/>
        </w:pBdr>
      </w:pPr>
    </w:p>
    <w:p w14:paraId="7EB71C2C" w14:textId="77777777" w:rsidR="00170099" w:rsidRDefault="00170099" w:rsidP="00170099"/>
    <w:p w14:paraId="51C0D26C" w14:textId="77777777" w:rsidR="00866165" w:rsidRPr="002F4F7E" w:rsidRDefault="00866165" w:rsidP="00866165">
      <w:pPr>
        <w:pStyle w:val="Heading2"/>
      </w:pPr>
      <w:r>
        <w:t>Whole Woman</w:t>
      </w:r>
      <w:r w:rsidR="00DA6539">
        <w:t>'</w:t>
      </w:r>
      <w:r>
        <w:t>s Health &amp; Ors v Jackson &amp; Ors</w:t>
      </w:r>
    </w:p>
    <w:p w14:paraId="6D555E9C" w14:textId="77777777" w:rsidR="00866165" w:rsidRPr="002F4F7E" w:rsidRDefault="00866165" w:rsidP="00866165">
      <w:pPr>
        <w:rPr>
          <w:lang w:eastAsia="en-AU"/>
        </w:rPr>
      </w:pPr>
      <w:r>
        <w:rPr>
          <w:b/>
          <w:lang w:eastAsia="en-AU"/>
        </w:rPr>
        <w:t xml:space="preserve">Supreme </w:t>
      </w:r>
      <w:r w:rsidRPr="002F4F7E">
        <w:rPr>
          <w:b/>
          <w:lang w:eastAsia="en-AU"/>
        </w:rPr>
        <w:t>Court</w:t>
      </w:r>
      <w:r>
        <w:rPr>
          <w:b/>
          <w:lang w:eastAsia="en-AU"/>
        </w:rPr>
        <w:t xml:space="preserve"> of the United States</w:t>
      </w:r>
      <w:r w:rsidRPr="002F4F7E">
        <w:rPr>
          <w:b/>
          <w:lang w:eastAsia="en-AU"/>
        </w:rPr>
        <w:t xml:space="preserve">: </w:t>
      </w:r>
      <w:hyperlink r:id="rId15" w:history="1">
        <w:r w:rsidRPr="008656C4">
          <w:rPr>
            <w:rStyle w:val="Hyperlink"/>
            <w:lang w:eastAsia="en-AU"/>
          </w:rPr>
          <w:t>Docket No. 21-463</w:t>
        </w:r>
      </w:hyperlink>
    </w:p>
    <w:p w14:paraId="7F1B7DA8" w14:textId="77777777" w:rsidR="00866165" w:rsidRPr="002F4F7E" w:rsidRDefault="00866165" w:rsidP="00866165">
      <w:pPr>
        <w:rPr>
          <w:lang w:eastAsia="en-AU"/>
        </w:rPr>
      </w:pPr>
    </w:p>
    <w:p w14:paraId="5CB080F4" w14:textId="77777777" w:rsidR="00866165" w:rsidRPr="002F4F7E" w:rsidRDefault="00866165" w:rsidP="00866165">
      <w:pPr>
        <w:rPr>
          <w:lang w:eastAsia="en-AU"/>
        </w:rPr>
      </w:pPr>
      <w:r w:rsidRPr="002F4F7E">
        <w:rPr>
          <w:b/>
          <w:lang w:eastAsia="en-AU"/>
        </w:rPr>
        <w:lastRenderedPageBreak/>
        <w:t>Judgment delivered:</w:t>
      </w:r>
      <w:r w:rsidRPr="002F4F7E">
        <w:rPr>
          <w:lang w:eastAsia="en-AU"/>
        </w:rPr>
        <w:t xml:space="preserve"> </w:t>
      </w:r>
      <w:r>
        <w:rPr>
          <w:lang w:eastAsia="en-AU"/>
        </w:rPr>
        <w:t>12 December 2021</w:t>
      </w:r>
    </w:p>
    <w:p w14:paraId="7A4FF245" w14:textId="77777777" w:rsidR="00866165" w:rsidRPr="002F4F7E" w:rsidRDefault="00866165" w:rsidP="00866165">
      <w:pPr>
        <w:rPr>
          <w:lang w:eastAsia="en-AU"/>
        </w:rPr>
      </w:pPr>
    </w:p>
    <w:p w14:paraId="680E34E7" w14:textId="77777777" w:rsidR="00866165" w:rsidRPr="002F4F7E" w:rsidRDefault="00866165" w:rsidP="00866165">
      <w:pPr>
        <w:rPr>
          <w:lang w:eastAsia="en-AU"/>
        </w:rPr>
      </w:pPr>
      <w:r w:rsidRPr="002F4F7E">
        <w:rPr>
          <w:b/>
          <w:lang w:eastAsia="en-AU"/>
        </w:rPr>
        <w:t xml:space="preserve">Coram: </w:t>
      </w:r>
      <w:r>
        <w:rPr>
          <w:lang w:eastAsia="en-AU"/>
        </w:rPr>
        <w:t>Roberts CJ, Thomas, Breyer, Alito, Sotomayor, Kagan, Gorsuch, Kavanaugh and Barrett JJ</w:t>
      </w:r>
    </w:p>
    <w:p w14:paraId="04107B3B" w14:textId="77777777" w:rsidR="00866165" w:rsidRPr="002F4F7E" w:rsidRDefault="00866165" w:rsidP="00866165">
      <w:pPr>
        <w:rPr>
          <w:lang w:eastAsia="en-AU"/>
        </w:rPr>
      </w:pPr>
    </w:p>
    <w:p w14:paraId="07543CD6" w14:textId="77777777" w:rsidR="00866165" w:rsidRPr="002F4F7E" w:rsidRDefault="00866165" w:rsidP="00866165">
      <w:pPr>
        <w:rPr>
          <w:b/>
          <w:lang w:eastAsia="en-AU"/>
        </w:rPr>
      </w:pPr>
      <w:r>
        <w:rPr>
          <w:b/>
          <w:lang w:eastAsia="en-AU"/>
        </w:rPr>
        <w:t>Catchwords:</w:t>
      </w:r>
    </w:p>
    <w:p w14:paraId="45AE8C46" w14:textId="77777777" w:rsidR="00866165" w:rsidRPr="00856E9C" w:rsidRDefault="00866165" w:rsidP="00866165">
      <w:pPr>
        <w:rPr>
          <w:b/>
          <w:highlight w:val="yellow"/>
          <w:lang w:eastAsia="en-AU"/>
        </w:rPr>
      </w:pPr>
    </w:p>
    <w:p w14:paraId="54482B8D" w14:textId="77777777" w:rsidR="00866165" w:rsidRPr="002F4F7E" w:rsidRDefault="00866165" w:rsidP="00866165">
      <w:pPr>
        <w:ind w:left="720"/>
        <w:rPr>
          <w:lang w:eastAsia="en-AU"/>
        </w:rPr>
      </w:pPr>
      <w:r>
        <w:rPr>
          <w:lang w:eastAsia="en-AU"/>
        </w:rPr>
        <w:t xml:space="preserve">Constitutional law – Sovereign immunity – Pre-enforcement judicial review – Private civil enforcement – Abortion – Where Texas Act outlaws abortions after detectable foetal heartbeat – Where, to evade pre-enforcement judicial review, state officials prohibited from enforcing Act but authorised private individuals to enforce Act by civil suit – Where petitioners abortion providers sought pre-enforcement judicial review of Act by suing certain Texas state officials, including judge, court clerk, Attorney-General and medical licensing officials – Where defendants moved to dismiss – Where District Court denied motions and Fifth Circuit allowed appeal – Whether any of state court judge, court clerk, Attorney-General and medical licensing officials proper defendants – Whether petitioners entitled to continue pre-enforcement judicial review lawsuit against state officials. </w:t>
      </w:r>
    </w:p>
    <w:p w14:paraId="6FBB9D0E" w14:textId="77777777" w:rsidR="00866165" w:rsidRPr="00856E9C" w:rsidRDefault="00866165" w:rsidP="00866165">
      <w:pPr>
        <w:ind w:left="720"/>
        <w:rPr>
          <w:highlight w:val="yellow"/>
          <w:lang w:eastAsia="en-AU"/>
        </w:rPr>
      </w:pPr>
    </w:p>
    <w:p w14:paraId="0B852451" w14:textId="77777777" w:rsidR="00866165" w:rsidRDefault="00866165" w:rsidP="00866165">
      <w:pPr>
        <w:rPr>
          <w:lang w:eastAsia="en-AU"/>
        </w:rPr>
      </w:pPr>
      <w:r w:rsidRPr="002F4F7E">
        <w:rPr>
          <w:b/>
          <w:lang w:eastAsia="en-AU"/>
        </w:rPr>
        <w:t>Held (</w:t>
      </w:r>
      <w:r>
        <w:rPr>
          <w:b/>
          <w:lang w:eastAsia="en-AU"/>
        </w:rPr>
        <w:t>8:1, 5:4</w:t>
      </w:r>
      <w:r w:rsidRPr="002F4F7E">
        <w:rPr>
          <w:b/>
          <w:lang w:eastAsia="en-AU"/>
        </w:rPr>
        <w:t xml:space="preserve">): </w:t>
      </w:r>
      <w:r>
        <w:rPr>
          <w:lang w:eastAsia="en-AU"/>
        </w:rPr>
        <w:t xml:space="preserve">Affirmed in part; reversed in part; case remanded. </w:t>
      </w:r>
    </w:p>
    <w:p w14:paraId="0DCEDF37" w14:textId="77777777" w:rsidR="00866165" w:rsidRPr="00B546B2" w:rsidRDefault="00866165" w:rsidP="00866165">
      <w:pPr>
        <w:pStyle w:val="BullDivider2"/>
        <w:rPr>
          <w:rFonts w:cs="Arial"/>
          <w:highlight w:val="yellow"/>
        </w:rPr>
      </w:pPr>
    </w:p>
    <w:p w14:paraId="545605C4" w14:textId="77777777" w:rsidR="00866165" w:rsidRDefault="00866165" w:rsidP="00866165"/>
    <w:p w14:paraId="0328004E" w14:textId="77777777" w:rsidR="00170099" w:rsidRDefault="00170099" w:rsidP="00170099">
      <w:pPr>
        <w:pStyle w:val="Heading1"/>
      </w:pPr>
      <w:r>
        <w:t>Criminal Law</w:t>
      </w:r>
    </w:p>
    <w:p w14:paraId="30A06A7B" w14:textId="77777777" w:rsidR="009A7227" w:rsidRPr="009A7227" w:rsidRDefault="009A7227" w:rsidP="009A7227">
      <w:pPr>
        <w:rPr>
          <w:lang w:eastAsia="en-AU"/>
        </w:rPr>
      </w:pPr>
    </w:p>
    <w:p w14:paraId="1521C8BB" w14:textId="77777777" w:rsidR="00A64B41" w:rsidRPr="00A64B41" w:rsidRDefault="00A64B41" w:rsidP="00A64B41">
      <w:pPr>
        <w:keepNext/>
        <w:outlineLvl w:val="1"/>
        <w:rPr>
          <w:rFonts w:ascii="Arial" w:hAnsi="Arial" w:cs="Arial"/>
          <w:bCs/>
          <w:i/>
          <w:iCs/>
          <w:sz w:val="28"/>
          <w:szCs w:val="28"/>
          <w:lang w:eastAsia="en-AU"/>
        </w:rPr>
      </w:pPr>
      <w:r w:rsidRPr="00A64B41">
        <w:rPr>
          <w:rFonts w:ascii="Arial" w:hAnsi="Arial" w:cs="Arial"/>
          <w:bCs/>
          <w:i/>
          <w:iCs/>
          <w:sz w:val="28"/>
          <w:szCs w:val="28"/>
          <w:lang w:eastAsia="en-AU"/>
        </w:rPr>
        <w:t xml:space="preserve">HKSAR v </w:t>
      </w:r>
      <w:r>
        <w:rPr>
          <w:rFonts w:ascii="Arial" w:hAnsi="Arial" w:cs="Arial"/>
          <w:bCs/>
          <w:i/>
          <w:iCs/>
          <w:sz w:val="28"/>
          <w:szCs w:val="28"/>
          <w:lang w:eastAsia="en-AU"/>
        </w:rPr>
        <w:t xml:space="preserve">Chan Hon Wing </w:t>
      </w:r>
      <w:r w:rsidRPr="00A64B41">
        <w:rPr>
          <w:rFonts w:ascii="Arial" w:hAnsi="Arial" w:cs="Arial"/>
          <w:bCs/>
          <w:i/>
          <w:iCs/>
          <w:sz w:val="28"/>
          <w:szCs w:val="28"/>
          <w:lang w:eastAsia="en-AU"/>
        </w:rPr>
        <w:t xml:space="preserve"> </w:t>
      </w:r>
    </w:p>
    <w:p w14:paraId="4C1E6275" w14:textId="77777777" w:rsidR="00A64B41" w:rsidRPr="00A64B41" w:rsidRDefault="00A64B41" w:rsidP="00A64B41">
      <w:pPr>
        <w:rPr>
          <w:lang w:eastAsia="en-AU"/>
        </w:rPr>
      </w:pPr>
      <w:r w:rsidRPr="00A64B41">
        <w:rPr>
          <w:b/>
          <w:lang w:eastAsia="en-AU"/>
        </w:rPr>
        <w:t xml:space="preserve">Hong Kong Court of Final Appeal: </w:t>
      </w:r>
      <w:hyperlink r:id="rId16" w:history="1">
        <w:r>
          <w:rPr>
            <w:color w:val="0000FF"/>
            <w:u w:val="single"/>
            <w:lang w:eastAsia="en-AU"/>
          </w:rPr>
          <w:t>[2021] HKCFA 45</w:t>
        </w:r>
      </w:hyperlink>
    </w:p>
    <w:p w14:paraId="44B40901" w14:textId="77777777" w:rsidR="00A64B41" w:rsidRPr="00A64B41" w:rsidRDefault="00A64B41" w:rsidP="00A64B41">
      <w:pPr>
        <w:rPr>
          <w:lang w:eastAsia="en-AU"/>
        </w:rPr>
      </w:pPr>
    </w:p>
    <w:p w14:paraId="49CA57C9" w14:textId="77777777" w:rsidR="00A64B41" w:rsidRPr="00A64B41" w:rsidRDefault="00A64B41" w:rsidP="00A64B41">
      <w:pPr>
        <w:rPr>
          <w:lang w:eastAsia="en-AU"/>
        </w:rPr>
      </w:pPr>
      <w:r w:rsidRPr="00A64B41">
        <w:rPr>
          <w:b/>
          <w:lang w:eastAsia="en-AU"/>
        </w:rPr>
        <w:t>Judgment delivered:</w:t>
      </w:r>
      <w:r w:rsidRPr="00A64B41">
        <w:rPr>
          <w:lang w:eastAsia="en-AU"/>
        </w:rPr>
        <w:t xml:space="preserve"> </w:t>
      </w:r>
      <w:r>
        <w:rPr>
          <w:lang w:eastAsia="en-AU"/>
        </w:rPr>
        <w:t>23 December</w:t>
      </w:r>
      <w:r w:rsidRPr="00A64B41">
        <w:rPr>
          <w:lang w:eastAsia="en-AU"/>
        </w:rPr>
        <w:t xml:space="preserve"> 2021</w:t>
      </w:r>
    </w:p>
    <w:p w14:paraId="72968D7D" w14:textId="77777777" w:rsidR="00A64B41" w:rsidRPr="00A64B41" w:rsidRDefault="00A64B41" w:rsidP="00A64B41">
      <w:pPr>
        <w:rPr>
          <w:lang w:eastAsia="en-AU"/>
        </w:rPr>
      </w:pPr>
    </w:p>
    <w:p w14:paraId="14BEDB97" w14:textId="77777777" w:rsidR="00A64B41" w:rsidRPr="00A64B41" w:rsidRDefault="00A64B41" w:rsidP="00A64B41">
      <w:pPr>
        <w:rPr>
          <w:lang w:eastAsia="en-AU"/>
        </w:rPr>
      </w:pPr>
      <w:r w:rsidRPr="00A64B41">
        <w:rPr>
          <w:b/>
          <w:lang w:eastAsia="en-AU"/>
        </w:rPr>
        <w:t xml:space="preserve">Coram: </w:t>
      </w:r>
      <w:r w:rsidRPr="00A64B41">
        <w:rPr>
          <w:lang w:eastAsia="en-AU"/>
        </w:rPr>
        <w:t>Cheung CJ, Ribeiro, Fok, Lam PJJ and Lord Hodge NPJ</w:t>
      </w:r>
    </w:p>
    <w:p w14:paraId="78FAE7F9" w14:textId="77777777" w:rsidR="00A64B41" w:rsidRPr="00A64B41" w:rsidRDefault="00A64B41" w:rsidP="00A64B41">
      <w:pPr>
        <w:rPr>
          <w:lang w:eastAsia="en-AU"/>
        </w:rPr>
      </w:pPr>
    </w:p>
    <w:p w14:paraId="4CA23D88" w14:textId="77777777" w:rsidR="00A64B41" w:rsidRPr="00A64B41" w:rsidRDefault="00A64B41" w:rsidP="00A64B41">
      <w:pPr>
        <w:rPr>
          <w:b/>
          <w:lang w:eastAsia="en-AU"/>
        </w:rPr>
      </w:pPr>
      <w:r w:rsidRPr="00A64B41">
        <w:rPr>
          <w:b/>
          <w:lang w:eastAsia="en-AU"/>
        </w:rPr>
        <w:t>Catchwords:</w:t>
      </w:r>
    </w:p>
    <w:p w14:paraId="071F70D6" w14:textId="77777777" w:rsidR="00A64B41" w:rsidRPr="00A64B41" w:rsidRDefault="00A64B41" w:rsidP="00A64B41">
      <w:pPr>
        <w:rPr>
          <w:b/>
          <w:highlight w:val="yellow"/>
          <w:lang w:eastAsia="en-AU"/>
        </w:rPr>
      </w:pPr>
    </w:p>
    <w:p w14:paraId="5C3880D5" w14:textId="206DF3C1" w:rsidR="00A64B41" w:rsidRPr="00A64B41" w:rsidRDefault="00A64B41" w:rsidP="00A64B41">
      <w:pPr>
        <w:ind w:left="720"/>
        <w:rPr>
          <w:lang w:eastAsia="en-AU"/>
        </w:rPr>
      </w:pPr>
      <w:r w:rsidRPr="00A64B41">
        <w:rPr>
          <w:lang w:eastAsia="en-AU"/>
        </w:rPr>
        <w:t xml:space="preserve">Criminal law – </w:t>
      </w:r>
      <w:r>
        <w:rPr>
          <w:lang w:eastAsia="en-AU"/>
        </w:rPr>
        <w:t>Jury</w:t>
      </w:r>
      <w:r w:rsidRPr="00A64B41">
        <w:rPr>
          <w:lang w:eastAsia="en-AU"/>
        </w:rPr>
        <w:t xml:space="preserve"> – </w:t>
      </w:r>
      <w:r>
        <w:rPr>
          <w:lang w:eastAsia="en-AU"/>
        </w:rPr>
        <w:t>Jurors</w:t>
      </w:r>
      <w:r w:rsidRPr="00A64B41">
        <w:rPr>
          <w:lang w:eastAsia="en-AU"/>
        </w:rPr>
        <w:t xml:space="preserve"> – </w:t>
      </w:r>
      <w:r w:rsidR="00F65A30">
        <w:rPr>
          <w:lang w:eastAsia="en-AU"/>
        </w:rPr>
        <w:t>Translation</w:t>
      </w:r>
      <w:r>
        <w:rPr>
          <w:lang w:eastAsia="en-AU"/>
        </w:rPr>
        <w:t xml:space="preserve"> – Where trial conducted in English, </w:t>
      </w:r>
      <w:r w:rsidR="00F65A30">
        <w:rPr>
          <w:lang w:eastAsia="en-AU"/>
        </w:rPr>
        <w:t>with</w:t>
      </w:r>
      <w:r>
        <w:rPr>
          <w:lang w:eastAsia="en-AU"/>
        </w:rPr>
        <w:t xml:space="preserve"> evidence in Chinese translated to English – Where</w:t>
      </w:r>
      <w:r w:rsidR="00F65A30">
        <w:rPr>
          <w:lang w:eastAsia="en-AU"/>
        </w:rPr>
        <w:t>,</w:t>
      </w:r>
      <w:r>
        <w:rPr>
          <w:lang w:eastAsia="en-AU"/>
        </w:rPr>
        <w:t xml:space="preserve"> during trial, jury foreman sent note to judge requesting Cantonese translator for closing statements </w:t>
      </w:r>
      <w:r w:rsidR="00DA6539">
        <w:rPr>
          <w:lang w:eastAsia="en-AU"/>
        </w:rPr>
        <w:t>"</w:t>
      </w:r>
      <w:r>
        <w:rPr>
          <w:lang w:eastAsia="en-AU"/>
        </w:rPr>
        <w:t>to ensure no misunderstanding</w:t>
      </w:r>
      <w:r w:rsidR="00DA6539">
        <w:rPr>
          <w:lang w:eastAsia="en-AU"/>
        </w:rPr>
        <w:t>"</w:t>
      </w:r>
      <w:r>
        <w:rPr>
          <w:lang w:eastAsia="en-AU"/>
        </w:rPr>
        <w:t xml:space="preserve"> – Where headsets provided</w:t>
      </w:r>
      <w:r w:rsidR="00F65A30">
        <w:rPr>
          <w:lang w:eastAsia="en-AU"/>
        </w:rPr>
        <w:t xml:space="preserve"> to jurors</w:t>
      </w:r>
      <w:r>
        <w:rPr>
          <w:lang w:eastAsia="en-AU"/>
        </w:rPr>
        <w:t xml:space="preserve"> for interpretation during closing submissions and summing up – Where </w:t>
      </w:r>
      <w:r w:rsidR="00DA6539">
        <w:rPr>
          <w:lang w:eastAsia="en-AU"/>
        </w:rPr>
        <w:t>"</w:t>
      </w:r>
      <w:r>
        <w:rPr>
          <w:lang w:eastAsia="en-AU"/>
        </w:rPr>
        <w:t>few</w:t>
      </w:r>
      <w:r w:rsidR="00DA6539">
        <w:rPr>
          <w:lang w:eastAsia="en-AU"/>
        </w:rPr>
        <w:t>"</w:t>
      </w:r>
      <w:r>
        <w:rPr>
          <w:lang w:eastAsia="en-AU"/>
        </w:rPr>
        <w:t xml:space="preserve"> or </w:t>
      </w:r>
      <w:r w:rsidR="00DA6539">
        <w:rPr>
          <w:lang w:eastAsia="en-AU"/>
        </w:rPr>
        <w:t>"</w:t>
      </w:r>
      <w:r>
        <w:rPr>
          <w:lang w:eastAsia="en-AU"/>
        </w:rPr>
        <w:t>some</w:t>
      </w:r>
      <w:r w:rsidR="00DA6539">
        <w:rPr>
          <w:lang w:eastAsia="en-AU"/>
        </w:rPr>
        <w:t>"</w:t>
      </w:r>
      <w:r>
        <w:rPr>
          <w:lang w:eastAsia="en-AU"/>
        </w:rPr>
        <w:t xml:space="preserve"> </w:t>
      </w:r>
      <w:r w:rsidR="00F65A30">
        <w:rPr>
          <w:lang w:eastAsia="en-AU"/>
        </w:rPr>
        <w:t xml:space="preserve">jurors </w:t>
      </w:r>
      <w:r>
        <w:rPr>
          <w:lang w:eastAsia="en-AU"/>
        </w:rPr>
        <w:t>used headsets –</w:t>
      </w:r>
      <w:r w:rsidR="00241A1B">
        <w:rPr>
          <w:lang w:eastAsia="en-AU"/>
        </w:rPr>
        <w:t xml:space="preserve"> </w:t>
      </w:r>
      <w:r>
        <w:rPr>
          <w:lang w:eastAsia="en-AU"/>
        </w:rPr>
        <w:t>Whether continuing duty on trial judge imposed by section 4(2) of the Jury Ordinance (Cap.3) or otherwise to be satisfied members of jury understand proceedings in language they are being conducted</w:t>
      </w:r>
      <w:r w:rsidR="000F35BD">
        <w:rPr>
          <w:lang w:eastAsia="en-AU"/>
        </w:rPr>
        <w:t xml:space="preserve"> – Proper approach</w:t>
      </w:r>
      <w:r w:rsidR="00241A1B">
        <w:rPr>
          <w:lang w:eastAsia="en-AU"/>
        </w:rPr>
        <w:t xml:space="preserve"> to be</w:t>
      </w:r>
      <w:r w:rsidR="000F35BD">
        <w:rPr>
          <w:lang w:eastAsia="en-AU"/>
        </w:rPr>
        <w:t xml:space="preserve"> taken by trial judge </w:t>
      </w:r>
      <w:r>
        <w:rPr>
          <w:lang w:eastAsia="en-AU"/>
        </w:rPr>
        <w:t xml:space="preserve">to ensure sufficient comprehension </w:t>
      </w:r>
      <w:r w:rsidR="000F35BD">
        <w:rPr>
          <w:lang w:eastAsia="en-AU"/>
        </w:rPr>
        <w:t>by</w:t>
      </w:r>
      <w:r>
        <w:rPr>
          <w:lang w:eastAsia="en-AU"/>
        </w:rPr>
        <w:t xml:space="preserve"> jury of proceedings in language they are being conducted</w:t>
      </w:r>
      <w:r w:rsidR="000F35BD">
        <w:rPr>
          <w:lang w:eastAsia="en-AU"/>
        </w:rPr>
        <w:t xml:space="preserve">. </w:t>
      </w:r>
    </w:p>
    <w:p w14:paraId="7EB342F7" w14:textId="77777777" w:rsidR="00A64B41" w:rsidRPr="00A64B41" w:rsidRDefault="00A64B41" w:rsidP="00A64B41">
      <w:pPr>
        <w:ind w:left="720"/>
        <w:rPr>
          <w:highlight w:val="yellow"/>
          <w:lang w:eastAsia="en-AU"/>
        </w:rPr>
      </w:pPr>
    </w:p>
    <w:p w14:paraId="3E1D0AE5" w14:textId="77777777" w:rsidR="00A64B41" w:rsidRPr="00A64B41" w:rsidRDefault="00A64B41" w:rsidP="00A64B41">
      <w:pPr>
        <w:rPr>
          <w:lang w:eastAsia="en-AU"/>
        </w:rPr>
      </w:pPr>
      <w:r w:rsidRPr="00A64B41">
        <w:rPr>
          <w:b/>
          <w:lang w:eastAsia="en-AU"/>
        </w:rPr>
        <w:t xml:space="preserve">Held (5:0): </w:t>
      </w:r>
      <w:r w:rsidRPr="00A64B41">
        <w:rPr>
          <w:lang w:eastAsia="en-AU"/>
        </w:rPr>
        <w:t xml:space="preserve">Appeal </w:t>
      </w:r>
      <w:r>
        <w:rPr>
          <w:lang w:eastAsia="en-AU"/>
        </w:rPr>
        <w:t>allowed</w:t>
      </w:r>
      <w:r w:rsidRPr="00A64B41">
        <w:rPr>
          <w:lang w:eastAsia="en-AU"/>
        </w:rPr>
        <w:t xml:space="preserve">. </w:t>
      </w:r>
    </w:p>
    <w:p w14:paraId="7B37D51F" w14:textId="77777777" w:rsidR="00977220" w:rsidRPr="00181993" w:rsidRDefault="00977220" w:rsidP="00977220">
      <w:pPr>
        <w:pStyle w:val="BullDivider1"/>
        <w:pBdr>
          <w:bottom w:val="dotted" w:sz="4" w:space="0" w:color="auto"/>
        </w:pBdr>
      </w:pPr>
    </w:p>
    <w:p w14:paraId="27F7EF9D" w14:textId="77777777" w:rsidR="00977220" w:rsidRDefault="00977220" w:rsidP="00977220"/>
    <w:p w14:paraId="2F6582C1" w14:textId="77777777" w:rsidR="00F415C0" w:rsidRPr="002F4F7E" w:rsidRDefault="00F415C0" w:rsidP="00F415C0">
      <w:pPr>
        <w:pStyle w:val="Heading2"/>
      </w:pPr>
      <w:r>
        <w:lastRenderedPageBreak/>
        <w:t>HKSAR v Tong Wai Hung</w:t>
      </w:r>
      <w:r w:rsidR="00977827">
        <w:t xml:space="preserve"> &amp; Ors; HKSAR v Lo Kin Man &amp; Ors</w:t>
      </w:r>
    </w:p>
    <w:p w14:paraId="6455E68D" w14:textId="77777777" w:rsidR="00F415C0" w:rsidRPr="002F4F7E" w:rsidRDefault="00977827" w:rsidP="00F415C0">
      <w:pPr>
        <w:rPr>
          <w:lang w:eastAsia="en-AU"/>
        </w:rPr>
      </w:pPr>
      <w:r>
        <w:rPr>
          <w:b/>
          <w:lang w:eastAsia="en-AU"/>
        </w:rPr>
        <w:t>Hong Kong Court of Final Appeal</w:t>
      </w:r>
      <w:r w:rsidR="00F415C0" w:rsidRPr="002F4F7E">
        <w:rPr>
          <w:b/>
          <w:lang w:eastAsia="en-AU"/>
        </w:rPr>
        <w:t xml:space="preserve">: </w:t>
      </w:r>
      <w:hyperlink r:id="rId17" w:history="1">
        <w:r w:rsidRPr="00977827">
          <w:rPr>
            <w:rStyle w:val="Hyperlink"/>
            <w:lang w:eastAsia="en-AU"/>
          </w:rPr>
          <w:t>[2021] HKCFA 37</w:t>
        </w:r>
      </w:hyperlink>
    </w:p>
    <w:p w14:paraId="4E7A9127" w14:textId="77777777" w:rsidR="00F415C0" w:rsidRPr="002F4F7E" w:rsidRDefault="00F415C0" w:rsidP="00F415C0">
      <w:pPr>
        <w:rPr>
          <w:lang w:eastAsia="en-AU"/>
        </w:rPr>
      </w:pPr>
    </w:p>
    <w:p w14:paraId="4F1F6E84" w14:textId="77777777" w:rsidR="00F415C0" w:rsidRPr="002F4F7E" w:rsidRDefault="00F415C0" w:rsidP="00F415C0">
      <w:pPr>
        <w:rPr>
          <w:lang w:eastAsia="en-AU"/>
        </w:rPr>
      </w:pPr>
      <w:r w:rsidRPr="002F4F7E">
        <w:rPr>
          <w:b/>
          <w:lang w:eastAsia="en-AU"/>
        </w:rPr>
        <w:t>Judgment delivered:</w:t>
      </w:r>
      <w:r w:rsidRPr="002F4F7E">
        <w:rPr>
          <w:lang w:eastAsia="en-AU"/>
        </w:rPr>
        <w:t xml:space="preserve"> </w:t>
      </w:r>
      <w:r w:rsidR="00977827">
        <w:rPr>
          <w:lang w:eastAsia="en-AU"/>
        </w:rPr>
        <w:t>4</w:t>
      </w:r>
      <w:r>
        <w:rPr>
          <w:lang w:eastAsia="en-AU"/>
        </w:rPr>
        <w:t xml:space="preserve"> November 2021</w:t>
      </w:r>
    </w:p>
    <w:p w14:paraId="03DFA6A2" w14:textId="77777777" w:rsidR="00F415C0" w:rsidRPr="002F4F7E" w:rsidRDefault="00F415C0" w:rsidP="00F415C0">
      <w:pPr>
        <w:rPr>
          <w:lang w:eastAsia="en-AU"/>
        </w:rPr>
      </w:pPr>
    </w:p>
    <w:p w14:paraId="36083ED0" w14:textId="77777777" w:rsidR="00F415C0" w:rsidRPr="002F4F7E" w:rsidRDefault="00F415C0" w:rsidP="00F415C0">
      <w:pPr>
        <w:rPr>
          <w:lang w:eastAsia="en-AU"/>
        </w:rPr>
      </w:pPr>
      <w:r w:rsidRPr="002F4F7E">
        <w:rPr>
          <w:b/>
          <w:lang w:eastAsia="en-AU"/>
        </w:rPr>
        <w:t xml:space="preserve">Coram: </w:t>
      </w:r>
      <w:r w:rsidR="00977827">
        <w:rPr>
          <w:lang w:eastAsia="en-AU"/>
        </w:rPr>
        <w:t>Cheung CJ, Ribeiro, Fok, Lam PJJ and Lord Sumption NPJ</w:t>
      </w:r>
    </w:p>
    <w:p w14:paraId="755E809C" w14:textId="77777777" w:rsidR="00F415C0" w:rsidRPr="002F4F7E" w:rsidRDefault="00F415C0" w:rsidP="00F415C0">
      <w:pPr>
        <w:rPr>
          <w:lang w:eastAsia="en-AU"/>
        </w:rPr>
      </w:pPr>
    </w:p>
    <w:p w14:paraId="4578D2B6" w14:textId="77777777" w:rsidR="00F415C0" w:rsidRPr="002F4F7E" w:rsidRDefault="00F415C0" w:rsidP="00F415C0">
      <w:pPr>
        <w:rPr>
          <w:b/>
          <w:lang w:eastAsia="en-AU"/>
        </w:rPr>
      </w:pPr>
      <w:r>
        <w:rPr>
          <w:b/>
          <w:lang w:eastAsia="en-AU"/>
        </w:rPr>
        <w:t>Catchwords:</w:t>
      </w:r>
    </w:p>
    <w:p w14:paraId="47387BA4" w14:textId="77777777" w:rsidR="00F415C0" w:rsidRPr="00856E9C" w:rsidRDefault="00F415C0" w:rsidP="00F415C0">
      <w:pPr>
        <w:rPr>
          <w:b/>
          <w:highlight w:val="yellow"/>
          <w:lang w:eastAsia="en-AU"/>
        </w:rPr>
      </w:pPr>
    </w:p>
    <w:p w14:paraId="5CEC0F27" w14:textId="77777777" w:rsidR="00F415C0" w:rsidRDefault="00F415C0" w:rsidP="00977827">
      <w:pPr>
        <w:ind w:left="720"/>
        <w:rPr>
          <w:lang w:eastAsia="en-AU"/>
        </w:rPr>
      </w:pPr>
      <w:r>
        <w:rPr>
          <w:lang w:eastAsia="en-AU"/>
        </w:rPr>
        <w:t>Crimina</w:t>
      </w:r>
      <w:r w:rsidR="00977827">
        <w:rPr>
          <w:lang w:eastAsia="en-AU"/>
        </w:rPr>
        <w:t xml:space="preserve">l law – Unlawful assembly and riot – Complicity – Common purpose – Joint enterprise – Accessorial liability – Where Lo charged with and convicted of taking part in riot – Where Tong charged with and acquitted of taking part in riot – Where Secretary of Justice referred questions of law to Court of Appeal – </w:t>
      </w:r>
      <w:r w:rsidR="00822F97">
        <w:rPr>
          <w:lang w:eastAsia="en-AU"/>
        </w:rPr>
        <w:t xml:space="preserve">Where defendants appealed to Court of Final Appeal – </w:t>
      </w:r>
      <w:r w:rsidR="00977827">
        <w:rPr>
          <w:lang w:eastAsia="en-AU"/>
        </w:rPr>
        <w:t xml:space="preserve">Whether requirement for proof of common purposes shared by defendant and other persons taking part in unlawful assembly or riot – Whether doctrine of joint enterprise applies to offence of unlawful assembly or riot – Whether liability may be established without defendant being present at scene – Whether defendant may be found guilty on basis of mere presence at scene – </w:t>
      </w:r>
      <w:r w:rsidR="00822F97">
        <w:rPr>
          <w:lang w:eastAsia="en-AU"/>
        </w:rPr>
        <w:t xml:space="preserve">Whether defendants aiding, abetting or encouraging unlawful assembly or riot liable to same extent as principal offenders – </w:t>
      </w:r>
      <w:r w:rsidR="00977827">
        <w:rPr>
          <w:lang w:eastAsia="en-AU"/>
        </w:rPr>
        <w:t xml:space="preserve">Whether defects in indictment of Lo and Tong.  </w:t>
      </w:r>
    </w:p>
    <w:p w14:paraId="670E3D6E" w14:textId="77777777" w:rsidR="00F415C0" w:rsidRPr="00856E9C" w:rsidRDefault="00F415C0" w:rsidP="00F415C0">
      <w:pPr>
        <w:ind w:left="720"/>
        <w:rPr>
          <w:highlight w:val="yellow"/>
          <w:lang w:eastAsia="en-AU"/>
        </w:rPr>
      </w:pPr>
    </w:p>
    <w:p w14:paraId="2857A53D" w14:textId="77777777" w:rsidR="00866165" w:rsidRDefault="00F415C0" w:rsidP="00170099">
      <w:pPr>
        <w:rPr>
          <w:lang w:eastAsia="en-AU"/>
        </w:rPr>
      </w:pPr>
      <w:r w:rsidRPr="002F4F7E">
        <w:rPr>
          <w:b/>
          <w:lang w:eastAsia="en-AU"/>
        </w:rPr>
        <w:t>Held (</w:t>
      </w:r>
      <w:r>
        <w:rPr>
          <w:b/>
          <w:lang w:eastAsia="en-AU"/>
        </w:rPr>
        <w:t>5:</w:t>
      </w:r>
      <w:r w:rsidR="00977827">
        <w:rPr>
          <w:b/>
          <w:lang w:eastAsia="en-AU"/>
        </w:rPr>
        <w:t>0</w:t>
      </w:r>
      <w:r w:rsidRPr="002F4F7E">
        <w:rPr>
          <w:b/>
          <w:lang w:eastAsia="en-AU"/>
        </w:rPr>
        <w:t xml:space="preserve">): </w:t>
      </w:r>
      <w:r w:rsidR="00977827">
        <w:rPr>
          <w:lang w:eastAsia="en-AU"/>
        </w:rPr>
        <w:t>Appeal</w:t>
      </w:r>
      <w:r w:rsidR="00FA0788">
        <w:rPr>
          <w:lang w:eastAsia="en-AU"/>
        </w:rPr>
        <w:t>s</w:t>
      </w:r>
      <w:r w:rsidR="00977827">
        <w:rPr>
          <w:lang w:eastAsia="en-AU"/>
        </w:rPr>
        <w:t xml:space="preserve"> dismissed.</w:t>
      </w:r>
      <w:r>
        <w:rPr>
          <w:lang w:eastAsia="en-AU"/>
        </w:rPr>
        <w:t xml:space="preserve"> </w:t>
      </w:r>
    </w:p>
    <w:p w14:paraId="456AEDCD" w14:textId="77777777" w:rsidR="00866165" w:rsidRPr="00181993" w:rsidRDefault="00866165" w:rsidP="00866165">
      <w:pPr>
        <w:pStyle w:val="BullDivider1"/>
        <w:pBdr>
          <w:bottom w:val="dotted" w:sz="4" w:space="0" w:color="auto"/>
        </w:pBdr>
      </w:pPr>
    </w:p>
    <w:p w14:paraId="3231A6BE" w14:textId="77777777" w:rsidR="00866165" w:rsidRPr="00A63EE9" w:rsidRDefault="00866165" w:rsidP="00170099">
      <w:pPr>
        <w:rPr>
          <w:lang w:eastAsia="en-AU"/>
        </w:rPr>
      </w:pPr>
    </w:p>
    <w:p w14:paraId="35D695A0" w14:textId="77777777" w:rsidR="00866165" w:rsidRPr="002F4F7E" w:rsidRDefault="00866165" w:rsidP="00866165">
      <w:pPr>
        <w:pStyle w:val="Heading2"/>
      </w:pPr>
      <w:r>
        <w:t>R v Cowan</w:t>
      </w:r>
    </w:p>
    <w:p w14:paraId="0436E35C" w14:textId="77777777" w:rsidR="00866165" w:rsidRPr="002F4F7E" w:rsidRDefault="00866165" w:rsidP="00866165">
      <w:pPr>
        <w:rPr>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 xml:space="preserve">: </w:t>
      </w:r>
      <w:hyperlink r:id="rId18" w:history="1">
        <w:r w:rsidRPr="00170099">
          <w:rPr>
            <w:rStyle w:val="Hyperlink"/>
            <w:lang w:eastAsia="en-AU"/>
          </w:rPr>
          <w:t>[2021] SCC 45</w:t>
        </w:r>
      </w:hyperlink>
    </w:p>
    <w:p w14:paraId="48BCF7CB" w14:textId="77777777" w:rsidR="00866165" w:rsidRPr="002F4F7E" w:rsidRDefault="00866165" w:rsidP="00866165">
      <w:pPr>
        <w:rPr>
          <w:lang w:eastAsia="en-AU"/>
        </w:rPr>
      </w:pPr>
    </w:p>
    <w:p w14:paraId="147B0981" w14:textId="77777777" w:rsidR="00866165" w:rsidRPr="002F4F7E" w:rsidRDefault="00866165" w:rsidP="00866165">
      <w:pPr>
        <w:rPr>
          <w:lang w:eastAsia="en-AU"/>
        </w:rPr>
      </w:pPr>
      <w:r w:rsidRPr="002F4F7E">
        <w:rPr>
          <w:b/>
          <w:lang w:eastAsia="en-AU"/>
        </w:rPr>
        <w:t>Judgment delivered:</w:t>
      </w:r>
      <w:r w:rsidRPr="002F4F7E">
        <w:rPr>
          <w:lang w:eastAsia="en-AU"/>
        </w:rPr>
        <w:t xml:space="preserve"> </w:t>
      </w:r>
      <w:r>
        <w:rPr>
          <w:lang w:eastAsia="en-AU"/>
        </w:rPr>
        <w:t>5 November 2021</w:t>
      </w:r>
    </w:p>
    <w:p w14:paraId="4F285CC6" w14:textId="77777777" w:rsidR="00866165" w:rsidRPr="002F4F7E" w:rsidRDefault="00866165" w:rsidP="00866165">
      <w:pPr>
        <w:rPr>
          <w:lang w:eastAsia="en-AU"/>
        </w:rPr>
      </w:pPr>
    </w:p>
    <w:p w14:paraId="5A7BF9A3" w14:textId="77777777" w:rsidR="00866165" w:rsidRPr="002F4F7E" w:rsidRDefault="00866165" w:rsidP="00866165">
      <w:pPr>
        <w:rPr>
          <w:lang w:eastAsia="en-AU"/>
        </w:rPr>
      </w:pPr>
      <w:r w:rsidRPr="002F4F7E">
        <w:rPr>
          <w:b/>
          <w:lang w:eastAsia="en-AU"/>
        </w:rPr>
        <w:t xml:space="preserve">Coram: </w:t>
      </w:r>
      <w:r w:rsidRPr="00170099">
        <w:rPr>
          <w:lang w:eastAsia="en-AU"/>
        </w:rPr>
        <w:t>Wagner CJ and Moldaver, Côté, Brown, Rowe, Martin and Kasirer JJ</w:t>
      </w:r>
    </w:p>
    <w:p w14:paraId="6124B6A8" w14:textId="77777777" w:rsidR="00866165" w:rsidRPr="002F4F7E" w:rsidRDefault="00866165" w:rsidP="00866165">
      <w:pPr>
        <w:rPr>
          <w:lang w:eastAsia="en-AU"/>
        </w:rPr>
      </w:pPr>
    </w:p>
    <w:p w14:paraId="58804011" w14:textId="77777777" w:rsidR="00866165" w:rsidRPr="002F4F7E" w:rsidRDefault="00866165" w:rsidP="00866165">
      <w:pPr>
        <w:rPr>
          <w:b/>
          <w:lang w:eastAsia="en-AU"/>
        </w:rPr>
      </w:pPr>
      <w:r>
        <w:rPr>
          <w:b/>
          <w:lang w:eastAsia="en-AU"/>
        </w:rPr>
        <w:t>Catchwords:</w:t>
      </w:r>
    </w:p>
    <w:p w14:paraId="4B26C1BD" w14:textId="77777777" w:rsidR="00866165" w:rsidRPr="00856E9C" w:rsidRDefault="00866165" w:rsidP="00866165">
      <w:pPr>
        <w:rPr>
          <w:b/>
          <w:highlight w:val="yellow"/>
          <w:lang w:eastAsia="en-AU"/>
        </w:rPr>
      </w:pPr>
    </w:p>
    <w:p w14:paraId="28E34947" w14:textId="77777777" w:rsidR="00866165" w:rsidRDefault="00866165" w:rsidP="00866165">
      <w:pPr>
        <w:ind w:left="720"/>
        <w:rPr>
          <w:lang w:eastAsia="en-AU"/>
        </w:rPr>
      </w:pPr>
      <w:r>
        <w:rPr>
          <w:lang w:eastAsia="en-AU"/>
        </w:rPr>
        <w:t>Criminal law — Parties to offence — Abetting — Counselling — Where accused acquitted of armed robbery as party or principal — Where Court of Appeal held trial judge erred in law in assessing accused</w:t>
      </w:r>
      <w:r w:rsidR="00DA6539">
        <w:rPr>
          <w:lang w:eastAsia="en-AU"/>
        </w:rPr>
        <w:t>'</w:t>
      </w:r>
      <w:r>
        <w:rPr>
          <w:lang w:eastAsia="en-AU"/>
        </w:rPr>
        <w:t>s liability as party for having abetted or counselled commission of offence by requiring Crown to prove two specific individuals were principal offenders — Where Court of Appeal determined error had material bearing on acquittal, setting aside acquittal and ordering new trial limited to theory of party liability — Whether trial judge erred in assessment of accused</w:t>
      </w:r>
      <w:r w:rsidR="00DA6539">
        <w:rPr>
          <w:lang w:eastAsia="en-AU"/>
        </w:rPr>
        <w:t>'</w:t>
      </w:r>
      <w:r>
        <w:rPr>
          <w:lang w:eastAsia="en-AU"/>
        </w:rPr>
        <w:t xml:space="preserve">s guilt as party on basis of abetting or counselling — If so, whether error had material bearing on acquittal such that new trial warranted — </w:t>
      </w:r>
      <w:r w:rsidRPr="00CE143B">
        <w:rPr>
          <w:i/>
          <w:lang w:eastAsia="en-AU"/>
        </w:rPr>
        <w:t>Criminal Code</w:t>
      </w:r>
      <w:r>
        <w:rPr>
          <w:lang w:eastAsia="en-AU"/>
        </w:rPr>
        <w:t>, RSC 1985, c C</w:t>
      </w:r>
      <w:r>
        <w:rPr>
          <w:rFonts w:ascii="Cambria Math" w:hAnsi="Cambria Math" w:cs="Cambria Math"/>
          <w:lang w:eastAsia="en-AU"/>
        </w:rPr>
        <w:t>‑</w:t>
      </w:r>
      <w:r>
        <w:rPr>
          <w:lang w:eastAsia="en-AU"/>
        </w:rPr>
        <w:t>46, ss 21(1)(c), 22(1).</w:t>
      </w:r>
    </w:p>
    <w:p w14:paraId="327EE590" w14:textId="77777777" w:rsidR="00866165" w:rsidRDefault="00866165" w:rsidP="00866165">
      <w:pPr>
        <w:ind w:left="720"/>
        <w:rPr>
          <w:lang w:eastAsia="en-AU"/>
        </w:rPr>
      </w:pPr>
    </w:p>
    <w:p w14:paraId="493984B4" w14:textId="77777777" w:rsidR="00866165" w:rsidRDefault="00866165" w:rsidP="00866165">
      <w:pPr>
        <w:ind w:left="720"/>
        <w:rPr>
          <w:lang w:eastAsia="en-AU"/>
        </w:rPr>
      </w:pPr>
      <w:r>
        <w:rPr>
          <w:lang w:eastAsia="en-AU"/>
        </w:rPr>
        <w:t xml:space="preserve">Criminal law — Appeals — Powers of Court of Appeal — Where accused acquitted of armed robbery as party or principal — Where Court of Appeal set aside acquittal and ordered new trial limited to theory of party liability — Whether Court of Appeal erred in restricting scope of new trial to </w:t>
      </w:r>
      <w:r>
        <w:rPr>
          <w:lang w:eastAsia="en-AU"/>
        </w:rPr>
        <w:lastRenderedPageBreak/>
        <w:t xml:space="preserve">question of whether accused guilty as party on basis of abetting or counselling — </w:t>
      </w:r>
      <w:r w:rsidRPr="00CE143B">
        <w:rPr>
          <w:i/>
          <w:lang w:eastAsia="en-AU"/>
        </w:rPr>
        <w:t>Criminal Code</w:t>
      </w:r>
      <w:r>
        <w:rPr>
          <w:lang w:eastAsia="en-AU"/>
        </w:rPr>
        <w:t>, RSC 1985, c C</w:t>
      </w:r>
      <w:r>
        <w:rPr>
          <w:rFonts w:ascii="Cambria Math" w:hAnsi="Cambria Math" w:cs="Cambria Math"/>
          <w:lang w:eastAsia="en-AU"/>
        </w:rPr>
        <w:t>‑</w:t>
      </w:r>
      <w:r>
        <w:rPr>
          <w:lang w:eastAsia="en-AU"/>
        </w:rPr>
        <w:t>46, s 686(8).</w:t>
      </w:r>
    </w:p>
    <w:p w14:paraId="3EA4BA7E" w14:textId="77777777" w:rsidR="00866165" w:rsidRPr="00856E9C" w:rsidRDefault="00866165" w:rsidP="00866165">
      <w:pPr>
        <w:ind w:left="720"/>
        <w:rPr>
          <w:highlight w:val="yellow"/>
          <w:lang w:eastAsia="en-AU"/>
        </w:rPr>
      </w:pPr>
    </w:p>
    <w:p w14:paraId="50934A17" w14:textId="77777777" w:rsidR="00866165" w:rsidRDefault="00866165" w:rsidP="00866165">
      <w:pPr>
        <w:rPr>
          <w:lang w:eastAsia="en-AU"/>
        </w:rPr>
      </w:pPr>
      <w:r w:rsidRPr="002F4F7E">
        <w:rPr>
          <w:b/>
          <w:lang w:eastAsia="en-AU"/>
        </w:rPr>
        <w:t>Held (</w:t>
      </w:r>
      <w:r>
        <w:rPr>
          <w:b/>
          <w:lang w:eastAsia="en-AU"/>
        </w:rPr>
        <w:t>5:2</w:t>
      </w:r>
      <w:r w:rsidRPr="002F4F7E">
        <w:rPr>
          <w:b/>
          <w:lang w:eastAsia="en-AU"/>
        </w:rPr>
        <w:t xml:space="preserve">): </w:t>
      </w:r>
      <w:r>
        <w:rPr>
          <w:lang w:eastAsia="en-AU"/>
        </w:rPr>
        <w:t xml:space="preserve">Crown appeal allowed; defendant appeal dismissed. </w:t>
      </w:r>
    </w:p>
    <w:p w14:paraId="3D8E37C9" w14:textId="77777777" w:rsidR="00866165" w:rsidRPr="00A64B41" w:rsidRDefault="00866165" w:rsidP="00866165">
      <w:pPr>
        <w:pBdr>
          <w:bottom w:val="dotted" w:sz="4" w:space="0" w:color="auto"/>
        </w:pBdr>
        <w:rPr>
          <w:szCs w:val="20"/>
          <w:lang w:eastAsia="en-AU"/>
        </w:rPr>
      </w:pPr>
    </w:p>
    <w:p w14:paraId="13FEF549" w14:textId="77777777" w:rsidR="00866165" w:rsidRPr="00A64B41" w:rsidRDefault="00866165" w:rsidP="00866165"/>
    <w:p w14:paraId="3714AE23" w14:textId="77777777" w:rsidR="00866165" w:rsidRPr="002F4F7E" w:rsidRDefault="00866165" w:rsidP="00866165">
      <w:pPr>
        <w:pStyle w:val="Heading2"/>
      </w:pPr>
      <w:r>
        <w:t>R v Parranto</w:t>
      </w:r>
    </w:p>
    <w:p w14:paraId="2F694C88" w14:textId="77777777" w:rsidR="00866165" w:rsidRPr="00990E6E" w:rsidRDefault="00866165" w:rsidP="00866165">
      <w:pPr>
        <w:rPr>
          <w:lang w:eastAsia="en-AU"/>
        </w:rPr>
      </w:pPr>
      <w:r>
        <w:rPr>
          <w:b/>
          <w:lang w:eastAsia="en-AU"/>
        </w:rPr>
        <w:t>Supreme Court of Canada:</w:t>
      </w:r>
      <w:r>
        <w:rPr>
          <w:lang w:eastAsia="en-AU"/>
        </w:rPr>
        <w:t xml:space="preserve"> </w:t>
      </w:r>
      <w:hyperlink r:id="rId19" w:history="1">
        <w:r w:rsidRPr="00990E6E">
          <w:rPr>
            <w:rStyle w:val="Hyperlink"/>
            <w:lang w:eastAsia="en-AU"/>
          </w:rPr>
          <w:t>[2021] SCC 46</w:t>
        </w:r>
      </w:hyperlink>
    </w:p>
    <w:p w14:paraId="75A9D2BF" w14:textId="77777777" w:rsidR="00866165" w:rsidRPr="002F4F7E" w:rsidRDefault="00866165" w:rsidP="00866165">
      <w:pPr>
        <w:rPr>
          <w:lang w:eastAsia="en-AU"/>
        </w:rPr>
      </w:pPr>
    </w:p>
    <w:p w14:paraId="0F06E552" w14:textId="77777777" w:rsidR="00866165" w:rsidRPr="002F4F7E" w:rsidRDefault="00866165" w:rsidP="00866165">
      <w:pPr>
        <w:rPr>
          <w:lang w:eastAsia="en-AU"/>
        </w:rPr>
      </w:pPr>
      <w:r w:rsidRPr="002F4F7E">
        <w:rPr>
          <w:b/>
          <w:lang w:eastAsia="en-AU"/>
        </w:rPr>
        <w:t>Judgment delivered:</w:t>
      </w:r>
      <w:r w:rsidRPr="002F4F7E">
        <w:rPr>
          <w:lang w:eastAsia="en-AU"/>
        </w:rPr>
        <w:t xml:space="preserve"> </w:t>
      </w:r>
      <w:r>
        <w:rPr>
          <w:lang w:eastAsia="en-AU"/>
        </w:rPr>
        <w:t>12 November 2021</w:t>
      </w:r>
    </w:p>
    <w:p w14:paraId="16983F0D" w14:textId="77777777" w:rsidR="00866165" w:rsidRPr="002F4F7E" w:rsidRDefault="00866165" w:rsidP="00866165">
      <w:pPr>
        <w:rPr>
          <w:lang w:eastAsia="en-AU"/>
        </w:rPr>
      </w:pPr>
    </w:p>
    <w:p w14:paraId="69B79B67" w14:textId="77777777" w:rsidR="00866165" w:rsidRPr="002F4F7E" w:rsidRDefault="00866165" w:rsidP="00866165">
      <w:pPr>
        <w:rPr>
          <w:lang w:eastAsia="en-AU"/>
        </w:rPr>
      </w:pPr>
      <w:r w:rsidRPr="002F4F7E">
        <w:rPr>
          <w:b/>
          <w:lang w:eastAsia="en-AU"/>
        </w:rPr>
        <w:t xml:space="preserve">Coram: </w:t>
      </w:r>
      <w:r w:rsidRPr="00990E6E">
        <w:rPr>
          <w:lang w:eastAsia="en-AU"/>
        </w:rPr>
        <w:t>Wagner CJ and Abella, Moldaver, Karakatsanis, Côté, Brown, Rowe, Martin and Kasirer JJ</w:t>
      </w:r>
    </w:p>
    <w:p w14:paraId="43D1BBC6" w14:textId="77777777" w:rsidR="00866165" w:rsidRPr="002F4F7E" w:rsidRDefault="00866165" w:rsidP="00866165">
      <w:pPr>
        <w:rPr>
          <w:lang w:eastAsia="en-AU"/>
        </w:rPr>
      </w:pPr>
    </w:p>
    <w:p w14:paraId="601D7059" w14:textId="77777777" w:rsidR="00866165" w:rsidRPr="002F4F7E" w:rsidRDefault="00866165" w:rsidP="00866165">
      <w:pPr>
        <w:rPr>
          <w:b/>
          <w:lang w:eastAsia="en-AU"/>
        </w:rPr>
      </w:pPr>
      <w:r>
        <w:rPr>
          <w:b/>
          <w:lang w:eastAsia="en-AU"/>
        </w:rPr>
        <w:t>Catchwords:</w:t>
      </w:r>
    </w:p>
    <w:p w14:paraId="646BE2DE" w14:textId="77777777" w:rsidR="00866165" w:rsidRPr="00856E9C" w:rsidRDefault="00866165" w:rsidP="00866165">
      <w:pPr>
        <w:rPr>
          <w:b/>
          <w:highlight w:val="yellow"/>
          <w:lang w:eastAsia="en-AU"/>
        </w:rPr>
      </w:pPr>
    </w:p>
    <w:p w14:paraId="19EB4501" w14:textId="77777777" w:rsidR="00866165" w:rsidRDefault="00866165" w:rsidP="00866165">
      <w:pPr>
        <w:ind w:left="720"/>
        <w:rPr>
          <w:lang w:eastAsia="en-AU"/>
        </w:rPr>
      </w:pPr>
      <w:r w:rsidRPr="00990E6E">
        <w:rPr>
          <w:lang w:eastAsia="en-AU"/>
        </w:rPr>
        <w:t xml:space="preserve">Criminal law — Sentencing — Starting points — Sentencing ranges — Standard of review in sentencing appeals — </w:t>
      </w:r>
      <w:r>
        <w:rPr>
          <w:lang w:eastAsia="en-AU"/>
        </w:rPr>
        <w:t>Where a</w:t>
      </w:r>
      <w:r w:rsidRPr="00990E6E">
        <w:rPr>
          <w:lang w:eastAsia="en-AU"/>
        </w:rPr>
        <w:t xml:space="preserve">ccused sentenced for offence of wholesale trafficking in fentanyl — </w:t>
      </w:r>
      <w:r>
        <w:rPr>
          <w:lang w:eastAsia="en-AU"/>
        </w:rPr>
        <w:t xml:space="preserve">Where </w:t>
      </w:r>
      <w:r w:rsidRPr="00990E6E">
        <w:rPr>
          <w:lang w:eastAsia="en-AU"/>
        </w:rPr>
        <w:t>Crown appeal</w:t>
      </w:r>
      <w:r>
        <w:rPr>
          <w:lang w:eastAsia="en-AU"/>
        </w:rPr>
        <w:t xml:space="preserve">ed </w:t>
      </w:r>
      <w:r w:rsidRPr="00990E6E">
        <w:rPr>
          <w:lang w:eastAsia="en-AU"/>
        </w:rPr>
        <w:t xml:space="preserve">sentences — </w:t>
      </w:r>
      <w:r>
        <w:rPr>
          <w:lang w:eastAsia="en-AU"/>
        </w:rPr>
        <w:t xml:space="preserve">Where </w:t>
      </w:r>
      <w:r w:rsidRPr="00990E6E">
        <w:rPr>
          <w:lang w:eastAsia="en-AU"/>
        </w:rPr>
        <w:t xml:space="preserve">Court of Appeal set starting point for sentence for offence and increasing sentences — </w:t>
      </w:r>
      <w:r>
        <w:rPr>
          <w:lang w:eastAsia="en-AU"/>
        </w:rPr>
        <w:t>Whether Court of Appeal applied proper role of</w:t>
      </w:r>
      <w:r w:rsidRPr="00990E6E">
        <w:rPr>
          <w:lang w:eastAsia="en-AU"/>
        </w:rPr>
        <w:t xml:space="preserve"> starting points and sentencing ranges in appellate review of sentences — Whether accused</w:t>
      </w:r>
      <w:r w:rsidR="00DA6539">
        <w:rPr>
          <w:lang w:eastAsia="en-AU"/>
        </w:rPr>
        <w:t>'</w:t>
      </w:r>
      <w:r w:rsidRPr="00990E6E">
        <w:rPr>
          <w:lang w:eastAsia="en-AU"/>
        </w:rPr>
        <w:t>s sentences demonstrably unfit.</w:t>
      </w:r>
    </w:p>
    <w:p w14:paraId="71C2EF7B" w14:textId="77777777" w:rsidR="00866165" w:rsidRPr="00856E9C" w:rsidRDefault="00866165" w:rsidP="00866165">
      <w:pPr>
        <w:ind w:left="720"/>
        <w:rPr>
          <w:highlight w:val="yellow"/>
          <w:lang w:eastAsia="en-AU"/>
        </w:rPr>
      </w:pPr>
    </w:p>
    <w:p w14:paraId="5E6A43C2" w14:textId="77777777" w:rsidR="00866165" w:rsidRPr="000D3E8D" w:rsidRDefault="00866165" w:rsidP="00866165">
      <w:pPr>
        <w:rPr>
          <w:lang w:eastAsia="en-AU"/>
        </w:rPr>
      </w:pPr>
      <w:r w:rsidRPr="002F4F7E">
        <w:rPr>
          <w:b/>
          <w:lang w:eastAsia="en-AU"/>
        </w:rPr>
        <w:t>Held (</w:t>
      </w:r>
      <w:r>
        <w:rPr>
          <w:b/>
          <w:lang w:eastAsia="en-AU"/>
        </w:rPr>
        <w:t>7:2</w:t>
      </w:r>
      <w:r w:rsidRPr="002F4F7E">
        <w:rPr>
          <w:b/>
          <w:lang w:eastAsia="en-AU"/>
        </w:rPr>
        <w:t xml:space="preserve">): </w:t>
      </w:r>
      <w:r>
        <w:rPr>
          <w:lang w:eastAsia="en-AU"/>
        </w:rPr>
        <w:t>Appeal dismissed.</w:t>
      </w:r>
    </w:p>
    <w:p w14:paraId="2DB64FE8" w14:textId="77777777" w:rsidR="00866165" w:rsidRPr="00596966" w:rsidRDefault="00866165" w:rsidP="00866165">
      <w:pPr>
        <w:pBdr>
          <w:bottom w:val="double" w:sz="6" w:space="1" w:color="auto"/>
        </w:pBdr>
        <w:rPr>
          <w:rFonts w:cs="Arial"/>
          <w:szCs w:val="20"/>
          <w:highlight w:val="yellow"/>
          <w:lang w:eastAsia="en-AU"/>
        </w:rPr>
      </w:pPr>
    </w:p>
    <w:p w14:paraId="4624365F" w14:textId="77777777" w:rsidR="00866165" w:rsidRDefault="00866165" w:rsidP="00866165"/>
    <w:p w14:paraId="7646B21A" w14:textId="77777777" w:rsidR="00596966" w:rsidRPr="00596966" w:rsidRDefault="00596966" w:rsidP="00596966">
      <w:pPr>
        <w:tabs>
          <w:tab w:val="left" w:pos="5375"/>
        </w:tabs>
        <w:outlineLvl w:val="0"/>
        <w:rPr>
          <w:rFonts w:ascii="Garamond" w:hAnsi="Garamond"/>
          <w:b/>
          <w:sz w:val="44"/>
          <w:szCs w:val="24"/>
          <w:lang w:eastAsia="en-AU"/>
        </w:rPr>
      </w:pPr>
      <w:r>
        <w:rPr>
          <w:rFonts w:ascii="Garamond" w:hAnsi="Garamond"/>
          <w:b/>
          <w:sz w:val="44"/>
          <w:szCs w:val="24"/>
          <w:lang w:eastAsia="en-AU"/>
        </w:rPr>
        <w:t>Discrimination</w:t>
      </w:r>
      <w:r w:rsidRPr="00596966">
        <w:rPr>
          <w:rFonts w:ascii="Garamond" w:hAnsi="Garamond"/>
          <w:b/>
          <w:sz w:val="44"/>
          <w:szCs w:val="24"/>
          <w:lang w:eastAsia="en-AU"/>
        </w:rPr>
        <w:t xml:space="preserve"> </w:t>
      </w:r>
    </w:p>
    <w:p w14:paraId="112B7640" w14:textId="77777777" w:rsidR="00596966" w:rsidRPr="00596966" w:rsidRDefault="00596966" w:rsidP="00596966"/>
    <w:p w14:paraId="4B6430D1" w14:textId="77777777" w:rsidR="00596966" w:rsidRPr="00596966" w:rsidRDefault="00596966" w:rsidP="00596966">
      <w:pPr>
        <w:keepNext/>
        <w:outlineLvl w:val="1"/>
        <w:rPr>
          <w:rFonts w:ascii="Arial" w:hAnsi="Arial" w:cs="Arial"/>
          <w:i/>
          <w:iCs/>
          <w:sz w:val="28"/>
          <w:szCs w:val="28"/>
          <w:lang w:eastAsia="en-AU"/>
        </w:rPr>
      </w:pPr>
      <w:r w:rsidRPr="00596966">
        <w:rPr>
          <w:rFonts w:ascii="Arial" w:hAnsi="Arial" w:cs="Arial"/>
          <w:i/>
          <w:iCs/>
          <w:sz w:val="28"/>
          <w:szCs w:val="28"/>
          <w:lang w:eastAsia="en-AU"/>
        </w:rPr>
        <w:t xml:space="preserve">Fratila and another v Secretary of State for Work and Pensions </w:t>
      </w:r>
    </w:p>
    <w:p w14:paraId="5DB1AB46" w14:textId="77777777" w:rsidR="00596966" w:rsidRPr="00596966" w:rsidRDefault="00596966" w:rsidP="00596966">
      <w:pPr>
        <w:rPr>
          <w:b/>
          <w:lang w:eastAsia="en-AU"/>
        </w:rPr>
      </w:pPr>
      <w:r w:rsidRPr="00596966">
        <w:rPr>
          <w:b/>
          <w:lang w:eastAsia="en-AU"/>
        </w:rPr>
        <w:t xml:space="preserve">Supreme Court of the United Kingdom: </w:t>
      </w:r>
      <w:hyperlink r:id="rId20" w:history="1">
        <w:r w:rsidRPr="00596966">
          <w:rPr>
            <w:color w:val="0000FF"/>
            <w:u w:val="single"/>
            <w:lang w:eastAsia="en-AU"/>
          </w:rPr>
          <w:t>[2021] UKSC 53</w:t>
        </w:r>
      </w:hyperlink>
    </w:p>
    <w:p w14:paraId="0404851C" w14:textId="77777777" w:rsidR="00596966" w:rsidRPr="00596966" w:rsidRDefault="00596966" w:rsidP="00596966">
      <w:pPr>
        <w:rPr>
          <w:lang w:eastAsia="en-AU"/>
        </w:rPr>
      </w:pPr>
    </w:p>
    <w:p w14:paraId="3C732D22" w14:textId="77777777" w:rsidR="00596966" w:rsidRPr="00596966" w:rsidRDefault="00596966" w:rsidP="00596966">
      <w:pPr>
        <w:rPr>
          <w:lang w:eastAsia="en-AU"/>
        </w:rPr>
      </w:pPr>
      <w:r w:rsidRPr="00596966">
        <w:rPr>
          <w:b/>
          <w:lang w:eastAsia="en-AU"/>
        </w:rPr>
        <w:t>Judgment delivered:</w:t>
      </w:r>
      <w:r w:rsidRPr="00596966">
        <w:rPr>
          <w:lang w:eastAsia="en-AU"/>
        </w:rPr>
        <w:t xml:space="preserve"> 1 December 2021</w:t>
      </w:r>
    </w:p>
    <w:p w14:paraId="29974067" w14:textId="77777777" w:rsidR="00596966" w:rsidRPr="00596966" w:rsidRDefault="00596966" w:rsidP="00596966">
      <w:pPr>
        <w:rPr>
          <w:lang w:eastAsia="en-AU"/>
        </w:rPr>
      </w:pPr>
    </w:p>
    <w:p w14:paraId="2A8E7B19" w14:textId="77777777" w:rsidR="00596966" w:rsidRPr="00596966" w:rsidRDefault="00596966" w:rsidP="00596966">
      <w:pPr>
        <w:rPr>
          <w:lang w:eastAsia="en-AU"/>
        </w:rPr>
      </w:pPr>
      <w:r w:rsidRPr="00596966">
        <w:rPr>
          <w:b/>
          <w:lang w:eastAsia="en-AU"/>
        </w:rPr>
        <w:t xml:space="preserve">Coram: </w:t>
      </w:r>
      <w:r w:rsidRPr="00596966">
        <w:rPr>
          <w:lang w:eastAsia="en-AU"/>
        </w:rPr>
        <w:t>Lord Reed, Lord Hodge, Lord Lloyd-Jones, Lord Sales and Lord Hamblen</w:t>
      </w:r>
    </w:p>
    <w:p w14:paraId="37153318" w14:textId="77777777" w:rsidR="00596966" w:rsidRPr="00596966" w:rsidRDefault="00596966" w:rsidP="00596966">
      <w:pPr>
        <w:rPr>
          <w:lang w:eastAsia="en-AU"/>
        </w:rPr>
      </w:pPr>
    </w:p>
    <w:p w14:paraId="4355DE5C" w14:textId="77777777" w:rsidR="00596966" w:rsidRPr="00596966" w:rsidRDefault="00596966" w:rsidP="00596966">
      <w:pPr>
        <w:rPr>
          <w:b/>
          <w:lang w:eastAsia="en-AU"/>
        </w:rPr>
      </w:pPr>
      <w:r w:rsidRPr="00596966">
        <w:rPr>
          <w:b/>
          <w:lang w:eastAsia="en-AU"/>
        </w:rPr>
        <w:t>Catchwords:</w:t>
      </w:r>
    </w:p>
    <w:p w14:paraId="50404391" w14:textId="77777777" w:rsidR="00596966" w:rsidRPr="00596966" w:rsidRDefault="00596966" w:rsidP="00596966">
      <w:pPr>
        <w:rPr>
          <w:b/>
          <w:highlight w:val="yellow"/>
          <w:lang w:eastAsia="en-AU"/>
        </w:rPr>
      </w:pPr>
    </w:p>
    <w:p w14:paraId="4C6CEAD7" w14:textId="77777777" w:rsidR="00596966" w:rsidRPr="00596966" w:rsidRDefault="00596966" w:rsidP="001E3306">
      <w:pPr>
        <w:ind w:left="720"/>
        <w:rPr>
          <w:lang w:eastAsia="en-AU"/>
        </w:rPr>
      </w:pPr>
      <w:r>
        <w:rPr>
          <w:lang w:eastAsia="en-AU"/>
        </w:rPr>
        <w:t>Discrimination</w:t>
      </w:r>
      <w:r w:rsidRPr="00596966">
        <w:rPr>
          <w:lang w:eastAsia="en-AU"/>
        </w:rPr>
        <w:t xml:space="preserve"> – </w:t>
      </w:r>
      <w:r>
        <w:rPr>
          <w:lang w:eastAsia="en-AU"/>
        </w:rPr>
        <w:t>Social security</w:t>
      </w:r>
      <w:r w:rsidRPr="00596966">
        <w:rPr>
          <w:lang w:eastAsia="en-AU"/>
        </w:rPr>
        <w:t xml:space="preserve"> – </w:t>
      </w:r>
      <w:r w:rsidR="003E027B">
        <w:rPr>
          <w:lang w:eastAsia="en-AU"/>
        </w:rPr>
        <w:t xml:space="preserve">Benefits – </w:t>
      </w:r>
      <w:r>
        <w:rPr>
          <w:lang w:eastAsia="en-AU"/>
        </w:rPr>
        <w:t xml:space="preserve">Where </w:t>
      </w:r>
      <w:r w:rsidRPr="005C34ED">
        <w:rPr>
          <w:i/>
          <w:iCs/>
          <w:lang w:eastAsia="en-AU"/>
        </w:rPr>
        <w:t>Social Security (Income-related Benefits) (Updating and Amendment) (EU Exit) Regulations 2019</w:t>
      </w:r>
      <w:r>
        <w:rPr>
          <w:lang w:eastAsia="en-AU"/>
        </w:rPr>
        <w:t xml:space="preserve"> (2019 Regulations) prevent</w:t>
      </w:r>
      <w:r w:rsidR="003E027B">
        <w:rPr>
          <w:lang w:eastAsia="en-AU"/>
        </w:rPr>
        <w:t>ed</w:t>
      </w:r>
      <w:r>
        <w:rPr>
          <w:lang w:eastAsia="en-AU"/>
        </w:rPr>
        <w:t xml:space="preserve"> leave to remain in United Kingdom arising from pre-settled status granted under EU Settlement Scheme from constituting right of residence for purposes of eligibility for relevant benefits – Where </w:t>
      </w:r>
      <w:r w:rsidR="005C34ED">
        <w:rPr>
          <w:lang w:eastAsia="en-AU"/>
        </w:rPr>
        <w:t>a</w:t>
      </w:r>
      <w:r>
        <w:rPr>
          <w:lang w:eastAsia="en-AU"/>
        </w:rPr>
        <w:t xml:space="preserve">rticle 18 </w:t>
      </w:r>
      <w:r w:rsidR="003E027B">
        <w:rPr>
          <w:lang w:eastAsia="en-AU"/>
        </w:rPr>
        <w:t xml:space="preserve">of </w:t>
      </w:r>
      <w:r w:rsidR="003E027B" w:rsidRPr="003E027B">
        <w:rPr>
          <w:lang w:eastAsia="en-AU"/>
        </w:rPr>
        <w:t>Treaty on the Functioning of the European Union</w:t>
      </w:r>
      <w:r w:rsidR="003E027B">
        <w:rPr>
          <w:lang w:eastAsia="en-AU"/>
        </w:rPr>
        <w:t xml:space="preserve"> (</w:t>
      </w:r>
      <w:r>
        <w:rPr>
          <w:lang w:eastAsia="en-AU"/>
        </w:rPr>
        <w:t>TFEU</w:t>
      </w:r>
      <w:r w:rsidR="003E027B">
        <w:rPr>
          <w:lang w:eastAsia="en-AU"/>
        </w:rPr>
        <w:t>)</w:t>
      </w:r>
      <w:r>
        <w:rPr>
          <w:lang w:eastAsia="en-AU"/>
        </w:rPr>
        <w:t xml:space="preserve"> prohibits discrimination on grounds of nationality </w:t>
      </w:r>
      <w:r w:rsidR="001E3306">
        <w:rPr>
          <w:lang w:eastAsia="en-AU"/>
        </w:rPr>
        <w:t>–</w:t>
      </w:r>
      <w:r>
        <w:rPr>
          <w:lang w:eastAsia="en-AU"/>
        </w:rPr>
        <w:t xml:space="preserve"> </w:t>
      </w:r>
      <w:r w:rsidR="001E3306">
        <w:rPr>
          <w:lang w:eastAsia="en-AU"/>
        </w:rPr>
        <w:t xml:space="preserve">Where respondents, Romanian nationals whose right to reside in United Kingdom arose from their pre-settled status, made applications for Universal Credit which were refused – Whether respondents are entitled to rely on </w:t>
      </w:r>
      <w:r w:rsidR="005C34ED">
        <w:rPr>
          <w:lang w:eastAsia="en-AU"/>
        </w:rPr>
        <w:t>a</w:t>
      </w:r>
      <w:r w:rsidR="001E3306">
        <w:rPr>
          <w:lang w:eastAsia="en-AU"/>
        </w:rPr>
        <w:t xml:space="preserve">rticle 18 </w:t>
      </w:r>
      <w:r w:rsidR="003E027B">
        <w:rPr>
          <w:lang w:eastAsia="en-AU"/>
        </w:rPr>
        <w:t xml:space="preserve">of </w:t>
      </w:r>
      <w:r w:rsidR="001E3306">
        <w:rPr>
          <w:lang w:eastAsia="en-AU"/>
        </w:rPr>
        <w:t xml:space="preserve">TFEU by virtue of pre-settled status – Whether </w:t>
      </w:r>
      <w:r w:rsidR="001E3306" w:rsidRPr="001E3306">
        <w:rPr>
          <w:lang w:eastAsia="en-AU"/>
        </w:rPr>
        <w:t xml:space="preserve">2019 Regulations breach </w:t>
      </w:r>
      <w:r w:rsidR="005C34ED">
        <w:rPr>
          <w:lang w:eastAsia="en-AU"/>
        </w:rPr>
        <w:t>a</w:t>
      </w:r>
      <w:r w:rsidR="001E3306" w:rsidRPr="001E3306">
        <w:rPr>
          <w:lang w:eastAsia="en-AU"/>
        </w:rPr>
        <w:t>rticle 18</w:t>
      </w:r>
      <w:r w:rsidR="003E027B">
        <w:rPr>
          <w:lang w:eastAsia="en-AU"/>
        </w:rPr>
        <w:t xml:space="preserve"> of</w:t>
      </w:r>
      <w:r w:rsidR="001E3306" w:rsidRPr="001E3306">
        <w:rPr>
          <w:lang w:eastAsia="en-AU"/>
        </w:rPr>
        <w:t xml:space="preserve"> TFEU</w:t>
      </w:r>
      <w:r w:rsidRPr="00596966">
        <w:rPr>
          <w:lang w:eastAsia="en-AU"/>
        </w:rPr>
        <w:t xml:space="preserve">. </w:t>
      </w:r>
    </w:p>
    <w:p w14:paraId="097A19CB" w14:textId="77777777" w:rsidR="00596966" w:rsidRPr="00596966" w:rsidRDefault="00596966" w:rsidP="00596966">
      <w:pPr>
        <w:ind w:left="720"/>
        <w:rPr>
          <w:highlight w:val="yellow"/>
          <w:lang w:eastAsia="en-AU"/>
        </w:rPr>
      </w:pPr>
    </w:p>
    <w:p w14:paraId="2C3C3280" w14:textId="77777777" w:rsidR="00596966" w:rsidRPr="00596966" w:rsidRDefault="00596966" w:rsidP="00596966">
      <w:pPr>
        <w:rPr>
          <w:lang w:eastAsia="en-AU"/>
        </w:rPr>
      </w:pPr>
      <w:r w:rsidRPr="00596966">
        <w:rPr>
          <w:b/>
          <w:lang w:eastAsia="en-AU"/>
        </w:rPr>
        <w:t xml:space="preserve">Held (5:0): </w:t>
      </w:r>
      <w:r w:rsidRPr="00596966">
        <w:rPr>
          <w:lang w:eastAsia="en-AU"/>
        </w:rPr>
        <w:t>Appeal allowed.</w:t>
      </w:r>
    </w:p>
    <w:p w14:paraId="1C6A235B" w14:textId="77777777" w:rsidR="00A72756" w:rsidRPr="00596966" w:rsidRDefault="00A72756" w:rsidP="00A72756">
      <w:pPr>
        <w:pBdr>
          <w:bottom w:val="double" w:sz="6" w:space="1" w:color="auto"/>
        </w:pBdr>
        <w:rPr>
          <w:rFonts w:cs="Arial"/>
          <w:szCs w:val="20"/>
          <w:highlight w:val="yellow"/>
          <w:lang w:eastAsia="en-AU"/>
        </w:rPr>
      </w:pPr>
    </w:p>
    <w:p w14:paraId="2EDB1F25" w14:textId="77777777" w:rsidR="00A72756" w:rsidRPr="00B546B2" w:rsidRDefault="00A72756" w:rsidP="00A72756">
      <w:pPr>
        <w:rPr>
          <w:highlight w:val="yellow"/>
        </w:rPr>
      </w:pPr>
    </w:p>
    <w:p w14:paraId="2746940D" w14:textId="77777777" w:rsidR="00A72756" w:rsidRPr="00B20BAC" w:rsidRDefault="00A72756" w:rsidP="00A72756">
      <w:pPr>
        <w:pStyle w:val="Heading1"/>
      </w:pPr>
      <w:r>
        <w:t>Employment and Labour Law</w:t>
      </w:r>
    </w:p>
    <w:p w14:paraId="59AA86BF" w14:textId="77777777" w:rsidR="00A72756" w:rsidRDefault="00A72756" w:rsidP="00A72756"/>
    <w:p w14:paraId="7E0026EC" w14:textId="77777777" w:rsidR="00A72756" w:rsidRPr="002F4F7E" w:rsidRDefault="00251B4F" w:rsidP="00A72756">
      <w:pPr>
        <w:pStyle w:val="Heading2"/>
      </w:pPr>
      <w:r w:rsidRPr="00251B4F">
        <w:t>National Union of Metalworkers of South Africa v Commission for Conciliation, Mediation and Arbitration</w:t>
      </w:r>
      <w:r>
        <w:t xml:space="preserve"> &amp; Ors</w:t>
      </w:r>
    </w:p>
    <w:p w14:paraId="66E22E42" w14:textId="77777777" w:rsidR="00251B4F" w:rsidRPr="002F4F7E" w:rsidRDefault="00251B4F" w:rsidP="00251B4F">
      <w:pPr>
        <w:rPr>
          <w:lang w:eastAsia="en-AU"/>
        </w:rPr>
      </w:pPr>
      <w:r>
        <w:rPr>
          <w:b/>
          <w:lang w:eastAsia="en-AU"/>
        </w:rPr>
        <w:t>Constitutional Court of South Africa</w:t>
      </w:r>
      <w:r w:rsidRPr="002F4F7E">
        <w:rPr>
          <w:b/>
          <w:lang w:eastAsia="en-AU"/>
        </w:rPr>
        <w:t xml:space="preserve">: </w:t>
      </w:r>
      <w:hyperlink r:id="rId21" w:history="1">
        <w:r>
          <w:rPr>
            <w:rStyle w:val="Hyperlink"/>
            <w:lang w:eastAsia="en-AU"/>
          </w:rPr>
          <w:t>[2021] ZACC 47</w:t>
        </w:r>
      </w:hyperlink>
    </w:p>
    <w:p w14:paraId="0E158401" w14:textId="77777777" w:rsidR="00251B4F" w:rsidRPr="002F4F7E" w:rsidRDefault="00251B4F" w:rsidP="00251B4F">
      <w:pPr>
        <w:rPr>
          <w:lang w:eastAsia="en-AU"/>
        </w:rPr>
      </w:pPr>
    </w:p>
    <w:p w14:paraId="6A75CEA9" w14:textId="77777777" w:rsidR="00251B4F" w:rsidRPr="002F4F7E" w:rsidRDefault="00251B4F" w:rsidP="00251B4F">
      <w:pPr>
        <w:rPr>
          <w:lang w:eastAsia="en-AU"/>
        </w:rPr>
      </w:pPr>
      <w:r w:rsidRPr="002F4F7E">
        <w:rPr>
          <w:b/>
          <w:lang w:eastAsia="en-AU"/>
        </w:rPr>
        <w:t>Judgment delivered:</w:t>
      </w:r>
      <w:r w:rsidRPr="002F4F7E">
        <w:rPr>
          <w:lang w:eastAsia="en-AU"/>
        </w:rPr>
        <w:t xml:space="preserve"> </w:t>
      </w:r>
      <w:r>
        <w:rPr>
          <w:lang w:eastAsia="en-AU"/>
        </w:rPr>
        <w:t>10 December 2021</w:t>
      </w:r>
    </w:p>
    <w:p w14:paraId="4486215B" w14:textId="77777777" w:rsidR="00251B4F" w:rsidRPr="002F4F7E" w:rsidRDefault="00251B4F" w:rsidP="00251B4F">
      <w:pPr>
        <w:rPr>
          <w:lang w:eastAsia="en-AU"/>
        </w:rPr>
      </w:pPr>
    </w:p>
    <w:p w14:paraId="68BA727A" w14:textId="77777777" w:rsidR="00251B4F" w:rsidRDefault="00251B4F" w:rsidP="00251B4F">
      <w:pPr>
        <w:rPr>
          <w:lang w:eastAsia="en-AU"/>
        </w:rPr>
      </w:pPr>
      <w:r w:rsidRPr="002F4F7E">
        <w:rPr>
          <w:b/>
          <w:lang w:eastAsia="en-AU"/>
        </w:rPr>
        <w:t xml:space="preserve">Coram: </w:t>
      </w:r>
      <w:r w:rsidRPr="00251B4F">
        <w:rPr>
          <w:lang w:eastAsia="en-AU"/>
        </w:rPr>
        <w:t>Khampepe ADCJ, Jafta, Madlanga, Majiedt, Mhlantla J</w:t>
      </w:r>
      <w:r w:rsidR="000A1BDC">
        <w:rPr>
          <w:lang w:eastAsia="en-AU"/>
        </w:rPr>
        <w:t>J</w:t>
      </w:r>
      <w:r w:rsidRPr="00251B4F">
        <w:rPr>
          <w:lang w:eastAsia="en-AU"/>
        </w:rPr>
        <w:t>, Pillay AJ, Theron J, Tlaletsi AJ and Tshiqi J</w:t>
      </w:r>
    </w:p>
    <w:p w14:paraId="53C6AB07" w14:textId="77777777" w:rsidR="00A72756" w:rsidRPr="002F4F7E" w:rsidRDefault="00A72756" w:rsidP="00A72756">
      <w:pPr>
        <w:rPr>
          <w:lang w:eastAsia="en-AU"/>
        </w:rPr>
      </w:pPr>
    </w:p>
    <w:p w14:paraId="079C1D4A" w14:textId="77777777" w:rsidR="00A72756" w:rsidRPr="002F4F7E" w:rsidRDefault="00A72756" w:rsidP="00A72756">
      <w:pPr>
        <w:rPr>
          <w:b/>
          <w:lang w:eastAsia="en-AU"/>
        </w:rPr>
      </w:pPr>
      <w:r>
        <w:rPr>
          <w:b/>
          <w:lang w:eastAsia="en-AU"/>
        </w:rPr>
        <w:t>Catchwords:</w:t>
      </w:r>
    </w:p>
    <w:p w14:paraId="0B1C4906" w14:textId="77777777" w:rsidR="00A72756" w:rsidRPr="00856E9C" w:rsidRDefault="00A72756" w:rsidP="00A72756">
      <w:pPr>
        <w:rPr>
          <w:b/>
          <w:highlight w:val="yellow"/>
          <w:lang w:eastAsia="en-AU"/>
        </w:rPr>
      </w:pPr>
    </w:p>
    <w:p w14:paraId="572A13F1" w14:textId="77777777" w:rsidR="00A72756" w:rsidRPr="002F4F7E" w:rsidRDefault="00251B4F" w:rsidP="00991AA0">
      <w:pPr>
        <w:ind w:left="720"/>
        <w:rPr>
          <w:lang w:eastAsia="en-AU"/>
        </w:rPr>
      </w:pPr>
      <w:r>
        <w:rPr>
          <w:lang w:eastAsia="en-AU"/>
        </w:rPr>
        <w:t>Employment and labour</w:t>
      </w:r>
      <w:r w:rsidR="00A72756">
        <w:rPr>
          <w:lang w:eastAsia="en-AU"/>
        </w:rPr>
        <w:t xml:space="preserve"> law </w:t>
      </w:r>
      <w:r w:rsidR="00A72756" w:rsidRPr="002F4F7E">
        <w:rPr>
          <w:lang w:eastAsia="en-AU"/>
        </w:rPr>
        <w:t>–</w:t>
      </w:r>
      <w:r w:rsidR="00A72756">
        <w:rPr>
          <w:lang w:eastAsia="en-AU"/>
        </w:rPr>
        <w:t xml:space="preserve"> </w:t>
      </w:r>
      <w:r>
        <w:rPr>
          <w:lang w:eastAsia="en-AU"/>
        </w:rPr>
        <w:t xml:space="preserve">Demarcation </w:t>
      </w:r>
      <w:r w:rsidR="00991AA0">
        <w:rPr>
          <w:lang w:eastAsia="en-AU"/>
        </w:rPr>
        <w:t>dispute</w:t>
      </w:r>
      <w:r>
        <w:rPr>
          <w:lang w:eastAsia="en-AU"/>
        </w:rPr>
        <w:t xml:space="preserve"> </w:t>
      </w:r>
      <w:r w:rsidR="00991AA0">
        <w:rPr>
          <w:lang w:eastAsia="en-AU"/>
        </w:rPr>
        <w:t xml:space="preserve">– Leave to appeal from judgment of Labour Appeal Court </w:t>
      </w:r>
      <w:r w:rsidR="00C126F4">
        <w:rPr>
          <w:lang w:eastAsia="en-AU"/>
        </w:rPr>
        <w:t>–</w:t>
      </w:r>
      <w:r w:rsidR="00991AA0">
        <w:rPr>
          <w:lang w:eastAsia="en-AU"/>
        </w:rPr>
        <w:t xml:space="preserve"> </w:t>
      </w:r>
      <w:r w:rsidR="00BE6F44">
        <w:rPr>
          <w:lang w:eastAsia="en-AU"/>
        </w:rPr>
        <w:t xml:space="preserve">Where commissioner of Commission for Conciliation, Mediation and Arbitration (CCMA) issued demarcation award concerning whether certain respondents fell within </w:t>
      </w:r>
      <w:r w:rsidR="00BE6F44" w:rsidRPr="00BE6F44">
        <w:rPr>
          <w:lang w:eastAsia="en-AU"/>
        </w:rPr>
        <w:t>jurisdiction of Motor Industry Bargaining Council (MIBCO) or Metal and Engineering Industries Bargaining Council (MEIBC)</w:t>
      </w:r>
      <w:r w:rsidR="00BE6F44">
        <w:rPr>
          <w:lang w:eastAsia="en-AU"/>
        </w:rPr>
        <w:t xml:space="preserve"> – Where Labour Court reviewed and set aside demarcation award – </w:t>
      </w:r>
      <w:r w:rsidR="00C126F4">
        <w:rPr>
          <w:lang w:eastAsia="en-AU"/>
        </w:rPr>
        <w:t>W</w:t>
      </w:r>
      <w:r w:rsidR="00991AA0">
        <w:rPr>
          <w:lang w:eastAsia="en-AU"/>
        </w:rPr>
        <w:t>hether Labour Court has authority to determine demarcation disputes</w:t>
      </w:r>
      <w:r w:rsidR="00C126F4">
        <w:rPr>
          <w:lang w:eastAsia="en-AU"/>
        </w:rPr>
        <w:t xml:space="preserve"> – W</w:t>
      </w:r>
      <w:r w:rsidR="00991AA0">
        <w:rPr>
          <w:lang w:eastAsia="en-AU"/>
        </w:rPr>
        <w:t xml:space="preserve">hether matter should be remitted to CCMA or whether Labour Court </w:t>
      </w:r>
      <w:r w:rsidR="00BE6F44">
        <w:rPr>
          <w:lang w:eastAsia="en-AU"/>
        </w:rPr>
        <w:t>can</w:t>
      </w:r>
      <w:r w:rsidR="00991AA0">
        <w:rPr>
          <w:lang w:eastAsia="en-AU"/>
        </w:rPr>
        <w:t xml:space="preserve"> substitute its decision for that of commissioner</w:t>
      </w:r>
      <w:r w:rsidR="00BE6F44">
        <w:rPr>
          <w:lang w:eastAsia="en-AU"/>
        </w:rPr>
        <w:t xml:space="preserve"> – W</w:t>
      </w:r>
      <w:r w:rsidR="00991AA0">
        <w:rPr>
          <w:lang w:eastAsia="en-AU"/>
        </w:rPr>
        <w:t>hether judgment of Labour Appeal Court can be faulted</w:t>
      </w:r>
      <w:r w:rsidR="00BE6F44">
        <w:rPr>
          <w:lang w:eastAsia="en-AU"/>
        </w:rPr>
        <w:t>.</w:t>
      </w:r>
    </w:p>
    <w:p w14:paraId="044BD733" w14:textId="77777777" w:rsidR="00A72756" w:rsidRPr="00856E9C" w:rsidRDefault="00A72756" w:rsidP="00A72756">
      <w:pPr>
        <w:ind w:left="720"/>
        <w:rPr>
          <w:highlight w:val="yellow"/>
          <w:lang w:eastAsia="en-AU"/>
        </w:rPr>
      </w:pPr>
    </w:p>
    <w:p w14:paraId="6C8B806A" w14:textId="77777777" w:rsidR="00A72756" w:rsidRPr="000D3E8D" w:rsidRDefault="00A72756" w:rsidP="00A72756">
      <w:pPr>
        <w:rPr>
          <w:lang w:eastAsia="en-AU"/>
        </w:rPr>
      </w:pPr>
      <w:r w:rsidRPr="002F4F7E">
        <w:rPr>
          <w:b/>
          <w:lang w:eastAsia="en-AU"/>
        </w:rPr>
        <w:t>Held (</w:t>
      </w:r>
      <w:r w:rsidR="00251B4F">
        <w:rPr>
          <w:b/>
          <w:lang w:eastAsia="en-AU"/>
        </w:rPr>
        <w:t>9:0; 8</w:t>
      </w:r>
      <w:r>
        <w:rPr>
          <w:b/>
          <w:lang w:eastAsia="en-AU"/>
        </w:rPr>
        <w:t>:</w:t>
      </w:r>
      <w:r w:rsidR="00251B4F">
        <w:rPr>
          <w:b/>
          <w:lang w:eastAsia="en-AU"/>
        </w:rPr>
        <w:t>1</w:t>
      </w:r>
      <w:r w:rsidRPr="002F4F7E">
        <w:rPr>
          <w:b/>
          <w:lang w:eastAsia="en-AU"/>
        </w:rPr>
        <w:t>):</w:t>
      </w:r>
      <w:r w:rsidR="00251B4F">
        <w:rPr>
          <w:lang w:eastAsia="en-AU"/>
        </w:rPr>
        <w:t xml:space="preserve"> </w:t>
      </w:r>
      <w:r w:rsidR="004E43DD">
        <w:rPr>
          <w:lang w:eastAsia="en-AU"/>
        </w:rPr>
        <w:t>L</w:t>
      </w:r>
      <w:r w:rsidR="00251B4F">
        <w:rPr>
          <w:lang w:eastAsia="en-AU"/>
        </w:rPr>
        <w:t>eave to appeal granted; appeal dismissed</w:t>
      </w:r>
      <w:r>
        <w:rPr>
          <w:lang w:eastAsia="en-AU"/>
        </w:rPr>
        <w:t>.</w:t>
      </w:r>
    </w:p>
    <w:p w14:paraId="3ECA47E3" w14:textId="77777777" w:rsidR="00C84221" w:rsidRDefault="00C84221" w:rsidP="00C84221">
      <w:pPr>
        <w:pStyle w:val="BullDivider1"/>
        <w:pBdr>
          <w:bottom w:val="dotted" w:sz="4" w:space="0" w:color="auto"/>
        </w:pBdr>
      </w:pPr>
    </w:p>
    <w:p w14:paraId="7134A029" w14:textId="77777777" w:rsidR="00C84221" w:rsidRPr="00066E88" w:rsidRDefault="00C84221" w:rsidP="00C84221">
      <w:pPr>
        <w:rPr>
          <w:lang w:eastAsia="en-AU"/>
        </w:rPr>
      </w:pPr>
    </w:p>
    <w:p w14:paraId="0AF136CA" w14:textId="77777777" w:rsidR="00C84221" w:rsidRPr="00066E88" w:rsidRDefault="00C84221" w:rsidP="00C84221">
      <w:pPr>
        <w:keepNext/>
        <w:outlineLvl w:val="1"/>
        <w:rPr>
          <w:rFonts w:ascii="Arial" w:hAnsi="Arial" w:cs="Arial"/>
          <w:i/>
          <w:iCs/>
          <w:sz w:val="28"/>
          <w:szCs w:val="28"/>
          <w:lang w:eastAsia="en-AU"/>
        </w:rPr>
      </w:pPr>
      <w:r w:rsidRPr="00C84221">
        <w:rPr>
          <w:rFonts w:ascii="Arial" w:hAnsi="Arial" w:cs="Arial"/>
          <w:i/>
          <w:iCs/>
          <w:sz w:val="28"/>
          <w:szCs w:val="28"/>
          <w:lang w:eastAsia="en-AU"/>
        </w:rPr>
        <w:t>Pizza Limited v A Labour Inspector (Ministry of Business, Innovation and Employment)</w:t>
      </w:r>
    </w:p>
    <w:p w14:paraId="62CF9A74" w14:textId="77777777" w:rsidR="00C84221" w:rsidRPr="00066E88" w:rsidRDefault="00C84221" w:rsidP="00C84221">
      <w:pPr>
        <w:rPr>
          <w:bCs/>
          <w:lang w:eastAsia="en-AU"/>
        </w:rPr>
      </w:pPr>
      <w:r>
        <w:rPr>
          <w:b/>
          <w:lang w:eastAsia="en-AU"/>
        </w:rPr>
        <w:t>Supreme Court of New Zealand</w:t>
      </w:r>
      <w:r w:rsidRPr="00066E88">
        <w:rPr>
          <w:b/>
          <w:lang w:eastAsia="en-AU"/>
        </w:rPr>
        <w:t>:</w:t>
      </w:r>
      <w:r>
        <w:rPr>
          <w:b/>
          <w:lang w:eastAsia="en-AU"/>
        </w:rPr>
        <w:t xml:space="preserve"> </w:t>
      </w:r>
      <w:hyperlink r:id="rId22" w:history="1">
        <w:r w:rsidRPr="00C84221">
          <w:rPr>
            <w:rStyle w:val="Hyperlink"/>
            <w:bCs/>
            <w:lang w:eastAsia="en-AU"/>
          </w:rPr>
          <w:t>[2021] NZSC 184</w:t>
        </w:r>
      </w:hyperlink>
    </w:p>
    <w:p w14:paraId="51654163" w14:textId="77777777" w:rsidR="00C84221" w:rsidRPr="00066E88" w:rsidRDefault="00C84221" w:rsidP="00C84221">
      <w:pPr>
        <w:rPr>
          <w:lang w:eastAsia="en-AU"/>
        </w:rPr>
      </w:pPr>
    </w:p>
    <w:p w14:paraId="348A465C" w14:textId="77777777" w:rsidR="00C84221" w:rsidRPr="00066E88" w:rsidRDefault="00C84221" w:rsidP="00C84221">
      <w:pPr>
        <w:rPr>
          <w:lang w:eastAsia="en-AU"/>
        </w:rPr>
      </w:pPr>
      <w:r w:rsidRPr="00066E88">
        <w:rPr>
          <w:b/>
          <w:lang w:eastAsia="en-AU"/>
        </w:rPr>
        <w:t>Judgment delivered:</w:t>
      </w:r>
      <w:r w:rsidRPr="00066E88">
        <w:rPr>
          <w:lang w:eastAsia="en-AU"/>
        </w:rPr>
        <w:t xml:space="preserve"> </w:t>
      </w:r>
      <w:r>
        <w:rPr>
          <w:lang w:eastAsia="en-AU"/>
        </w:rPr>
        <w:t>21</w:t>
      </w:r>
      <w:r w:rsidRPr="00066E88">
        <w:rPr>
          <w:lang w:eastAsia="en-AU"/>
        </w:rPr>
        <w:t xml:space="preserve"> December 2021</w:t>
      </w:r>
    </w:p>
    <w:p w14:paraId="37BA17A1" w14:textId="77777777" w:rsidR="00C84221" w:rsidRPr="00066E88" w:rsidRDefault="00C84221" w:rsidP="00C84221">
      <w:pPr>
        <w:rPr>
          <w:lang w:eastAsia="en-AU"/>
        </w:rPr>
      </w:pPr>
    </w:p>
    <w:p w14:paraId="79295E04" w14:textId="77777777" w:rsidR="00C84221" w:rsidRDefault="00C84221" w:rsidP="00C84221">
      <w:pPr>
        <w:rPr>
          <w:lang w:eastAsia="en-AU"/>
        </w:rPr>
      </w:pPr>
      <w:r w:rsidRPr="00066E88">
        <w:rPr>
          <w:b/>
          <w:lang w:eastAsia="en-AU"/>
        </w:rPr>
        <w:t xml:space="preserve">Coram: </w:t>
      </w:r>
      <w:r>
        <w:rPr>
          <w:lang w:eastAsia="en-AU"/>
        </w:rPr>
        <w:t>William Young, Glazebrook, O</w:t>
      </w:r>
      <w:r w:rsidR="00DA6539">
        <w:rPr>
          <w:lang w:eastAsia="en-AU"/>
        </w:rPr>
        <w:t>'</w:t>
      </w:r>
      <w:r>
        <w:rPr>
          <w:lang w:eastAsia="en-AU"/>
        </w:rPr>
        <w:t>Regan, Ellen France and Williams JJ</w:t>
      </w:r>
    </w:p>
    <w:p w14:paraId="4308BA30" w14:textId="77777777" w:rsidR="00C84221" w:rsidRPr="00066E88" w:rsidRDefault="00C84221" w:rsidP="00C84221">
      <w:pPr>
        <w:rPr>
          <w:lang w:eastAsia="en-AU"/>
        </w:rPr>
      </w:pPr>
    </w:p>
    <w:p w14:paraId="40DB8B4B" w14:textId="77777777" w:rsidR="00C84221" w:rsidRPr="00066E88" w:rsidRDefault="00C84221" w:rsidP="00C84221">
      <w:pPr>
        <w:rPr>
          <w:b/>
          <w:lang w:eastAsia="en-AU"/>
        </w:rPr>
      </w:pPr>
      <w:r w:rsidRPr="00066E88">
        <w:rPr>
          <w:b/>
          <w:lang w:eastAsia="en-AU"/>
        </w:rPr>
        <w:t>Catchwords:</w:t>
      </w:r>
    </w:p>
    <w:p w14:paraId="417B9D81" w14:textId="77777777" w:rsidR="00C84221" w:rsidRPr="00066E88" w:rsidRDefault="00C84221" w:rsidP="00C84221">
      <w:pPr>
        <w:rPr>
          <w:b/>
          <w:highlight w:val="yellow"/>
          <w:lang w:eastAsia="en-AU"/>
        </w:rPr>
      </w:pPr>
    </w:p>
    <w:p w14:paraId="3E562EDC" w14:textId="77777777" w:rsidR="00C84221" w:rsidRPr="00066E88" w:rsidRDefault="00C84221" w:rsidP="0077597A">
      <w:pPr>
        <w:ind w:left="720"/>
        <w:rPr>
          <w:lang w:eastAsia="en-AU"/>
        </w:rPr>
      </w:pPr>
      <w:r>
        <w:rPr>
          <w:lang w:eastAsia="en-AU"/>
        </w:rPr>
        <w:t>Employment and labour</w:t>
      </w:r>
      <w:r w:rsidRPr="00066E88">
        <w:rPr>
          <w:lang w:eastAsia="en-AU"/>
        </w:rPr>
        <w:t xml:space="preserve"> law </w:t>
      </w:r>
      <w:r>
        <w:rPr>
          <w:lang w:eastAsia="en-AU"/>
        </w:rPr>
        <w:t>– Employment status –</w:t>
      </w:r>
      <w:r w:rsidR="0077597A">
        <w:rPr>
          <w:lang w:eastAsia="en-AU"/>
        </w:rPr>
        <w:t xml:space="preserve"> Jurisdiction </w:t>
      </w:r>
      <w:r w:rsidR="007C3A3F">
        <w:rPr>
          <w:lang w:eastAsia="en-AU"/>
        </w:rPr>
        <w:t>–</w:t>
      </w:r>
      <w:r w:rsidR="0077597A">
        <w:rPr>
          <w:lang w:eastAsia="en-AU"/>
        </w:rPr>
        <w:t>Employment Court –</w:t>
      </w:r>
      <w:r w:rsidR="007C3A3F">
        <w:rPr>
          <w:lang w:eastAsia="en-AU"/>
        </w:rPr>
        <w:t xml:space="preserve"> </w:t>
      </w:r>
      <w:r w:rsidR="0077597A">
        <w:rPr>
          <w:lang w:eastAsia="en-AU"/>
        </w:rPr>
        <w:t xml:space="preserve">Employment Relations Authority (Authority) – </w:t>
      </w:r>
      <w:r>
        <w:rPr>
          <w:lang w:eastAsia="en-AU"/>
        </w:rPr>
        <w:t xml:space="preserve">Where Labour Inspector commenced action in Authority </w:t>
      </w:r>
      <w:r w:rsidR="0077597A">
        <w:rPr>
          <w:lang w:eastAsia="en-AU"/>
        </w:rPr>
        <w:t xml:space="preserve">to </w:t>
      </w:r>
      <w:r>
        <w:rPr>
          <w:lang w:eastAsia="en-AU"/>
        </w:rPr>
        <w:t xml:space="preserve">recover wages and holiday pay entitlements said to be </w:t>
      </w:r>
      <w:r w:rsidR="0077597A">
        <w:rPr>
          <w:lang w:eastAsia="en-AU"/>
        </w:rPr>
        <w:t>owed</w:t>
      </w:r>
      <w:r>
        <w:rPr>
          <w:lang w:eastAsia="en-AU"/>
        </w:rPr>
        <w:t xml:space="preserve"> by two Pizza Hut</w:t>
      </w:r>
      <w:r w:rsidR="0077597A">
        <w:rPr>
          <w:lang w:eastAsia="en-AU"/>
        </w:rPr>
        <w:t xml:space="preserve"> </w:t>
      </w:r>
      <w:r>
        <w:rPr>
          <w:lang w:eastAsia="en-AU"/>
        </w:rPr>
        <w:t>franchisees</w:t>
      </w:r>
      <w:r w:rsidR="0077597A">
        <w:rPr>
          <w:lang w:eastAsia="en-AU"/>
        </w:rPr>
        <w:t xml:space="preserve"> – Where appellants argued Authority did not have jurisdiction to determine whether delivery drivers were employees; rather, issue had to be determined by Employment Court under s 6(5) of </w:t>
      </w:r>
      <w:r w:rsidR="007C3A3F" w:rsidRPr="005C34ED">
        <w:rPr>
          <w:i/>
          <w:iCs/>
          <w:lang w:eastAsia="en-AU"/>
        </w:rPr>
        <w:t>Employment Relations Act 2000</w:t>
      </w:r>
      <w:r w:rsidR="0010659C">
        <w:rPr>
          <w:lang w:eastAsia="en-AU"/>
        </w:rPr>
        <w:t xml:space="preserve"> </w:t>
      </w:r>
      <w:r w:rsidR="007C3A3F">
        <w:rPr>
          <w:lang w:eastAsia="en-AU"/>
        </w:rPr>
        <w:t xml:space="preserve">– Where s 6(5) provided Court may declare whether persons are </w:t>
      </w:r>
      <w:r w:rsidR="007C3A3F">
        <w:rPr>
          <w:lang w:eastAsia="en-AU"/>
        </w:rPr>
        <w:lastRenderedPageBreak/>
        <w:t xml:space="preserve">employees upon application </w:t>
      </w:r>
      <w:r w:rsidR="0077597A">
        <w:rPr>
          <w:lang w:eastAsia="en-AU"/>
        </w:rPr>
        <w:t>– Whether, if defendant asserts no</w:t>
      </w:r>
      <w:r w:rsidR="007C3A3F">
        <w:rPr>
          <w:lang w:eastAsia="en-AU"/>
        </w:rPr>
        <w:t xml:space="preserve"> </w:t>
      </w:r>
      <w:r w:rsidR="0077597A">
        <w:rPr>
          <w:lang w:eastAsia="en-AU"/>
        </w:rPr>
        <w:t>employment relationship, Labour Inspector must first seek a declaration</w:t>
      </w:r>
      <w:r w:rsidR="007C3A3F">
        <w:rPr>
          <w:lang w:eastAsia="en-AU"/>
        </w:rPr>
        <w:t xml:space="preserve"> </w:t>
      </w:r>
      <w:r w:rsidR="0077597A">
        <w:rPr>
          <w:lang w:eastAsia="en-AU"/>
        </w:rPr>
        <w:t>of employment status from Employment Court under s 6(5)</w:t>
      </w:r>
      <w:r w:rsidR="007C3A3F">
        <w:rPr>
          <w:lang w:eastAsia="en-AU"/>
        </w:rPr>
        <w:t xml:space="preserve">. </w:t>
      </w:r>
    </w:p>
    <w:p w14:paraId="0B509554" w14:textId="77777777" w:rsidR="00C84221" w:rsidRPr="00066E88" w:rsidRDefault="00C84221" w:rsidP="00C84221">
      <w:pPr>
        <w:ind w:left="720"/>
        <w:rPr>
          <w:highlight w:val="yellow"/>
          <w:lang w:eastAsia="en-AU"/>
        </w:rPr>
      </w:pPr>
    </w:p>
    <w:p w14:paraId="2D7D5E1B" w14:textId="77777777" w:rsidR="00C84221" w:rsidRPr="00066E88" w:rsidRDefault="00C84221" w:rsidP="00C84221">
      <w:pPr>
        <w:rPr>
          <w:lang w:eastAsia="en-AU"/>
        </w:rPr>
      </w:pPr>
      <w:r w:rsidRPr="00066E88">
        <w:rPr>
          <w:b/>
          <w:lang w:eastAsia="en-AU"/>
        </w:rPr>
        <w:t>Held (</w:t>
      </w:r>
      <w:r w:rsidR="007C3A3F">
        <w:rPr>
          <w:b/>
          <w:lang w:eastAsia="en-AU"/>
        </w:rPr>
        <w:t>5:0</w:t>
      </w:r>
      <w:r w:rsidRPr="00066E88">
        <w:rPr>
          <w:b/>
          <w:lang w:eastAsia="en-AU"/>
        </w:rPr>
        <w:t xml:space="preserve">): </w:t>
      </w:r>
      <w:r w:rsidR="007C3A3F">
        <w:rPr>
          <w:bCs/>
          <w:lang w:eastAsia="en-AU"/>
        </w:rPr>
        <w:t>Appeal dismissed.</w:t>
      </w:r>
    </w:p>
    <w:p w14:paraId="3D8FFA31" w14:textId="77777777" w:rsidR="00A72756" w:rsidRPr="00B546B2" w:rsidRDefault="00A72756" w:rsidP="00A72756">
      <w:pPr>
        <w:pStyle w:val="BullDivider2"/>
        <w:rPr>
          <w:rFonts w:cs="Arial"/>
          <w:highlight w:val="yellow"/>
        </w:rPr>
      </w:pPr>
    </w:p>
    <w:p w14:paraId="577DEF1C" w14:textId="77777777" w:rsidR="00C920EA" w:rsidRPr="00B546B2" w:rsidRDefault="00C920EA" w:rsidP="00C920EA">
      <w:pPr>
        <w:rPr>
          <w:highlight w:val="yellow"/>
        </w:rPr>
      </w:pPr>
    </w:p>
    <w:p w14:paraId="154ADFB0" w14:textId="77777777" w:rsidR="00310EE6" w:rsidRPr="00B20BAC" w:rsidRDefault="00310EE6" w:rsidP="00310EE6">
      <w:pPr>
        <w:pStyle w:val="Heading1"/>
      </w:pPr>
      <w:r>
        <w:t>Environmental Law</w:t>
      </w:r>
    </w:p>
    <w:p w14:paraId="74742698" w14:textId="77777777" w:rsidR="00310EE6" w:rsidRDefault="00310EE6" w:rsidP="00FA0788"/>
    <w:p w14:paraId="26F9963F" w14:textId="77777777" w:rsidR="002B1A95" w:rsidRPr="002F4F7E" w:rsidRDefault="003A3C15" w:rsidP="002B1A95">
      <w:pPr>
        <w:pStyle w:val="Heading2"/>
      </w:pPr>
      <w:r>
        <w:t xml:space="preserve">Mississippi v Tennessee </w:t>
      </w:r>
    </w:p>
    <w:p w14:paraId="5005C0A2" w14:textId="77777777" w:rsidR="002B1A95" w:rsidRPr="002F4F7E" w:rsidRDefault="003A3C15" w:rsidP="002B1A95">
      <w:pPr>
        <w:rPr>
          <w:lang w:eastAsia="en-AU"/>
        </w:rPr>
      </w:pPr>
      <w:r>
        <w:rPr>
          <w:b/>
          <w:lang w:eastAsia="en-AU"/>
        </w:rPr>
        <w:t xml:space="preserve">Supreme </w:t>
      </w:r>
      <w:r w:rsidR="002B1A95" w:rsidRPr="002F4F7E">
        <w:rPr>
          <w:b/>
          <w:lang w:eastAsia="en-AU"/>
        </w:rPr>
        <w:t>Court</w:t>
      </w:r>
      <w:r>
        <w:rPr>
          <w:b/>
          <w:lang w:eastAsia="en-AU"/>
        </w:rPr>
        <w:t xml:space="preserve"> of the United States</w:t>
      </w:r>
      <w:r w:rsidR="002B1A95" w:rsidRPr="002F4F7E">
        <w:rPr>
          <w:b/>
          <w:lang w:eastAsia="en-AU"/>
        </w:rPr>
        <w:t xml:space="preserve">: </w:t>
      </w:r>
      <w:hyperlink r:id="rId23" w:history="1">
        <w:r w:rsidRPr="003A3C15">
          <w:rPr>
            <w:rStyle w:val="Hyperlink"/>
            <w:lang w:eastAsia="en-AU"/>
          </w:rPr>
          <w:t>Docket No. 143 Orig</w:t>
        </w:r>
      </w:hyperlink>
    </w:p>
    <w:p w14:paraId="07BBE737" w14:textId="77777777" w:rsidR="002B1A95" w:rsidRPr="002F4F7E" w:rsidRDefault="002B1A95" w:rsidP="002B1A95">
      <w:pPr>
        <w:rPr>
          <w:lang w:eastAsia="en-AU"/>
        </w:rPr>
      </w:pPr>
    </w:p>
    <w:p w14:paraId="4EA1CCB8" w14:textId="77777777" w:rsidR="002B1A95" w:rsidRPr="002F4F7E" w:rsidRDefault="002B1A95" w:rsidP="002B1A95">
      <w:pPr>
        <w:rPr>
          <w:lang w:eastAsia="en-AU"/>
        </w:rPr>
      </w:pPr>
      <w:r w:rsidRPr="002F4F7E">
        <w:rPr>
          <w:b/>
          <w:lang w:eastAsia="en-AU"/>
        </w:rPr>
        <w:t>Judgment delivered:</w:t>
      </w:r>
      <w:r w:rsidRPr="002F4F7E">
        <w:rPr>
          <w:lang w:eastAsia="en-AU"/>
        </w:rPr>
        <w:t xml:space="preserve"> </w:t>
      </w:r>
      <w:r w:rsidR="003A3C15">
        <w:rPr>
          <w:lang w:eastAsia="en-AU"/>
        </w:rPr>
        <w:t>22 November 2021</w:t>
      </w:r>
    </w:p>
    <w:p w14:paraId="3037A156" w14:textId="77777777" w:rsidR="002B1A95" w:rsidRPr="002F4F7E" w:rsidRDefault="002B1A95" w:rsidP="002B1A95">
      <w:pPr>
        <w:rPr>
          <w:lang w:eastAsia="en-AU"/>
        </w:rPr>
      </w:pPr>
    </w:p>
    <w:p w14:paraId="613528B2" w14:textId="77777777" w:rsidR="002B1A95" w:rsidRPr="002F4F7E" w:rsidRDefault="002B1A95" w:rsidP="002B1A95">
      <w:pPr>
        <w:rPr>
          <w:lang w:eastAsia="en-AU"/>
        </w:rPr>
      </w:pPr>
      <w:r w:rsidRPr="002F4F7E">
        <w:rPr>
          <w:b/>
          <w:lang w:eastAsia="en-AU"/>
        </w:rPr>
        <w:t xml:space="preserve">Coram: </w:t>
      </w:r>
      <w:r w:rsidR="003A3C15">
        <w:rPr>
          <w:lang w:eastAsia="en-AU"/>
        </w:rPr>
        <w:t>Roberts CJ, Thomas, Breyer, Alito, Sotomayor, Kagan, Gorsuch, Kavanaugh and Barrett JJ</w:t>
      </w:r>
    </w:p>
    <w:p w14:paraId="4F67274E" w14:textId="77777777" w:rsidR="002B1A95" w:rsidRPr="002F4F7E" w:rsidRDefault="002B1A95" w:rsidP="002B1A95">
      <w:pPr>
        <w:rPr>
          <w:lang w:eastAsia="en-AU"/>
        </w:rPr>
      </w:pPr>
    </w:p>
    <w:p w14:paraId="435BB1BA" w14:textId="77777777" w:rsidR="002B1A95" w:rsidRPr="002F4F7E" w:rsidRDefault="002B1A95" w:rsidP="002B1A95">
      <w:pPr>
        <w:rPr>
          <w:b/>
          <w:lang w:eastAsia="en-AU"/>
        </w:rPr>
      </w:pPr>
      <w:r>
        <w:rPr>
          <w:b/>
          <w:lang w:eastAsia="en-AU"/>
        </w:rPr>
        <w:t>Catchwords:</w:t>
      </w:r>
    </w:p>
    <w:p w14:paraId="2FBE16F8" w14:textId="77777777" w:rsidR="002B1A95" w:rsidRPr="00856E9C" w:rsidRDefault="002B1A95" w:rsidP="002B1A95">
      <w:pPr>
        <w:rPr>
          <w:b/>
          <w:highlight w:val="yellow"/>
          <w:lang w:eastAsia="en-AU"/>
        </w:rPr>
      </w:pPr>
    </w:p>
    <w:p w14:paraId="2A83FF3D" w14:textId="77777777" w:rsidR="002B1A95" w:rsidRPr="002F4F7E" w:rsidRDefault="003A3C15" w:rsidP="002B1A95">
      <w:pPr>
        <w:ind w:left="720"/>
        <w:rPr>
          <w:lang w:eastAsia="en-AU"/>
        </w:rPr>
      </w:pPr>
      <w:r>
        <w:rPr>
          <w:lang w:eastAsia="en-AU"/>
        </w:rPr>
        <w:t xml:space="preserve">Environmental law </w:t>
      </w:r>
      <w:r w:rsidR="002B1A95" w:rsidRPr="002F4F7E">
        <w:rPr>
          <w:lang w:eastAsia="en-AU"/>
        </w:rPr>
        <w:t>–</w:t>
      </w:r>
      <w:r w:rsidR="002B1A95">
        <w:rPr>
          <w:lang w:eastAsia="en-AU"/>
        </w:rPr>
        <w:t xml:space="preserve"> </w:t>
      </w:r>
      <w:r>
        <w:rPr>
          <w:lang w:eastAsia="en-AU"/>
        </w:rPr>
        <w:t>Water resources – Equitable apportionment – Interstate aquifer – Where Tennessee pumped water from underground aquifer that runs beneath several States – Where Mississippi argued Tennessee</w:t>
      </w:r>
      <w:r w:rsidR="00DA6539">
        <w:rPr>
          <w:lang w:eastAsia="en-AU"/>
        </w:rPr>
        <w:t>'</w:t>
      </w:r>
      <w:r>
        <w:rPr>
          <w:lang w:eastAsia="en-AU"/>
        </w:rPr>
        <w:t xml:space="preserve">s pumping of groundwater amounted to tortious taking of water owned by Mississippi – Where Mississippi expressly disclaimed equitable apportionment remedy – Where Special Master appointed by </w:t>
      </w:r>
      <w:r w:rsidR="001B44B0">
        <w:rPr>
          <w:lang w:eastAsia="en-AU"/>
        </w:rPr>
        <w:t xml:space="preserve">Supreme </w:t>
      </w:r>
      <w:r>
        <w:rPr>
          <w:lang w:eastAsia="en-AU"/>
        </w:rPr>
        <w:t xml:space="preserve">Court to assess claim found Tennessee unlawfully took interstate water resource but held equitable apportionment exclusive judicial remedy – Where Special Master recommended </w:t>
      </w:r>
      <w:r w:rsidR="001B44B0">
        <w:rPr>
          <w:lang w:eastAsia="en-AU"/>
        </w:rPr>
        <w:t xml:space="preserve">Supreme </w:t>
      </w:r>
      <w:r>
        <w:rPr>
          <w:lang w:eastAsia="en-AU"/>
        </w:rPr>
        <w:t xml:space="preserve">Court dismiss complaint but grant Mississippi leave to amend complaint – Whether Mississippi and Tennessee challenged recommendation – Whether equitable apportionment exclusive judicial remedy for taking of interstate water resources – Whether leave to amend should be given. </w:t>
      </w:r>
    </w:p>
    <w:p w14:paraId="24E38427" w14:textId="77777777" w:rsidR="002B1A95" w:rsidRPr="00856E9C" w:rsidRDefault="002B1A95" w:rsidP="002B1A95">
      <w:pPr>
        <w:ind w:left="720"/>
        <w:rPr>
          <w:highlight w:val="yellow"/>
          <w:lang w:eastAsia="en-AU"/>
        </w:rPr>
      </w:pPr>
    </w:p>
    <w:p w14:paraId="4751A076" w14:textId="77777777" w:rsidR="002B1A95" w:rsidRPr="000D3E8D" w:rsidRDefault="002B1A95" w:rsidP="002B1A95">
      <w:pPr>
        <w:rPr>
          <w:lang w:eastAsia="en-AU"/>
        </w:rPr>
      </w:pPr>
      <w:r w:rsidRPr="002F4F7E">
        <w:rPr>
          <w:b/>
          <w:lang w:eastAsia="en-AU"/>
        </w:rPr>
        <w:t>Held (</w:t>
      </w:r>
      <w:r w:rsidR="003A3C15">
        <w:rPr>
          <w:b/>
          <w:lang w:eastAsia="en-AU"/>
        </w:rPr>
        <w:t>9</w:t>
      </w:r>
      <w:r>
        <w:rPr>
          <w:b/>
          <w:lang w:eastAsia="en-AU"/>
        </w:rPr>
        <w:t>:</w:t>
      </w:r>
      <w:r w:rsidR="003A3C15">
        <w:rPr>
          <w:b/>
          <w:lang w:eastAsia="en-AU"/>
        </w:rPr>
        <w:t>0</w:t>
      </w:r>
      <w:r w:rsidRPr="002F4F7E">
        <w:rPr>
          <w:b/>
          <w:lang w:eastAsia="en-AU"/>
        </w:rPr>
        <w:t xml:space="preserve">): </w:t>
      </w:r>
      <w:r w:rsidR="003A3C15">
        <w:rPr>
          <w:lang w:eastAsia="en-AU"/>
        </w:rPr>
        <w:t>Exceptions overruled in part and sustained in part; case dismissed.</w:t>
      </w:r>
    </w:p>
    <w:p w14:paraId="2185B5F8" w14:textId="77777777" w:rsidR="00620F1A" w:rsidRPr="00B546B2" w:rsidRDefault="00620F1A" w:rsidP="00620F1A">
      <w:pPr>
        <w:pStyle w:val="BullDivider2"/>
        <w:rPr>
          <w:rFonts w:cs="Arial"/>
          <w:highlight w:val="yellow"/>
        </w:rPr>
      </w:pPr>
    </w:p>
    <w:p w14:paraId="21A2C28A" w14:textId="77777777" w:rsidR="00A80B66" w:rsidRDefault="00A80B66" w:rsidP="00A80B66"/>
    <w:p w14:paraId="7C0DDAA2" w14:textId="77777777" w:rsidR="00A80B66" w:rsidRPr="00B20BAC" w:rsidRDefault="00A80B66" w:rsidP="00A80B66">
      <w:pPr>
        <w:pStyle w:val="Heading1"/>
      </w:pPr>
      <w:r>
        <w:t>Equity</w:t>
      </w:r>
    </w:p>
    <w:p w14:paraId="3A896307" w14:textId="77777777" w:rsidR="00A80B66" w:rsidRDefault="00A80B66" w:rsidP="00FA0788"/>
    <w:p w14:paraId="43A8C5DB" w14:textId="77777777" w:rsidR="00A80B66" w:rsidRPr="002F4F7E" w:rsidRDefault="00A80B66" w:rsidP="00A80B66">
      <w:pPr>
        <w:pStyle w:val="Heading2"/>
      </w:pPr>
      <w:r>
        <w:t>Crown Prosecution Service v Aquila Advisory Ltd</w:t>
      </w:r>
    </w:p>
    <w:p w14:paraId="3CBB32E2" w14:textId="77777777" w:rsidR="00A80B66" w:rsidRPr="002F4F7E" w:rsidRDefault="00A80B66" w:rsidP="00A80B66">
      <w:pPr>
        <w:rPr>
          <w:lang w:eastAsia="en-AU"/>
        </w:rPr>
      </w:pPr>
      <w:r>
        <w:rPr>
          <w:b/>
          <w:lang w:eastAsia="en-AU"/>
        </w:rPr>
        <w:t xml:space="preserve">Supreme </w:t>
      </w:r>
      <w:r w:rsidRPr="002F4F7E">
        <w:rPr>
          <w:b/>
          <w:lang w:eastAsia="en-AU"/>
        </w:rPr>
        <w:t>Court</w:t>
      </w:r>
      <w:r>
        <w:rPr>
          <w:b/>
          <w:lang w:eastAsia="en-AU"/>
        </w:rPr>
        <w:t xml:space="preserve"> of the United Kingdom</w:t>
      </w:r>
      <w:r w:rsidRPr="002F4F7E">
        <w:rPr>
          <w:b/>
          <w:lang w:eastAsia="en-AU"/>
        </w:rPr>
        <w:t xml:space="preserve">: </w:t>
      </w:r>
      <w:hyperlink r:id="rId24" w:history="1">
        <w:r w:rsidR="00622208" w:rsidRPr="00622208">
          <w:rPr>
            <w:rStyle w:val="Hyperlink"/>
            <w:lang w:eastAsia="en-AU"/>
          </w:rPr>
          <w:t>[2021] UKSC 49</w:t>
        </w:r>
      </w:hyperlink>
    </w:p>
    <w:p w14:paraId="749BD726" w14:textId="77777777" w:rsidR="00A80B66" w:rsidRPr="002F4F7E" w:rsidRDefault="00A80B66" w:rsidP="00A80B66">
      <w:pPr>
        <w:rPr>
          <w:lang w:eastAsia="en-AU"/>
        </w:rPr>
      </w:pPr>
    </w:p>
    <w:p w14:paraId="1999BED9" w14:textId="77777777" w:rsidR="00A80B66" w:rsidRPr="002F4F7E" w:rsidRDefault="00A80B66" w:rsidP="00A80B66">
      <w:pPr>
        <w:rPr>
          <w:lang w:eastAsia="en-AU"/>
        </w:rPr>
      </w:pPr>
      <w:r w:rsidRPr="002F4F7E">
        <w:rPr>
          <w:b/>
          <w:lang w:eastAsia="en-AU"/>
        </w:rPr>
        <w:t>Judgment delivered:</w:t>
      </w:r>
      <w:r w:rsidRPr="002F4F7E">
        <w:rPr>
          <w:lang w:eastAsia="en-AU"/>
        </w:rPr>
        <w:t xml:space="preserve"> </w:t>
      </w:r>
      <w:r w:rsidR="00622208">
        <w:rPr>
          <w:lang w:eastAsia="en-AU"/>
        </w:rPr>
        <w:t>3</w:t>
      </w:r>
      <w:r>
        <w:rPr>
          <w:lang w:eastAsia="en-AU"/>
        </w:rPr>
        <w:t xml:space="preserve"> November 2021</w:t>
      </w:r>
    </w:p>
    <w:p w14:paraId="3A3B4FFE" w14:textId="77777777" w:rsidR="00A80B66" w:rsidRPr="002F4F7E" w:rsidRDefault="00A80B66" w:rsidP="00A80B66">
      <w:pPr>
        <w:rPr>
          <w:lang w:eastAsia="en-AU"/>
        </w:rPr>
      </w:pPr>
    </w:p>
    <w:p w14:paraId="10788FDA" w14:textId="77777777" w:rsidR="00A80B66" w:rsidRPr="002F4F7E" w:rsidRDefault="00A80B66" w:rsidP="00A80B66">
      <w:pPr>
        <w:rPr>
          <w:lang w:eastAsia="en-AU"/>
        </w:rPr>
      </w:pPr>
      <w:r w:rsidRPr="002F4F7E">
        <w:rPr>
          <w:b/>
          <w:lang w:eastAsia="en-AU"/>
        </w:rPr>
        <w:t xml:space="preserve">Coram: </w:t>
      </w:r>
      <w:r w:rsidR="00622208">
        <w:rPr>
          <w:lang w:eastAsia="en-AU"/>
        </w:rPr>
        <w:t>Lord Lloyd-Jones, Lord Sales, Lord Burrows, Lord Stephens and Lady Rose</w:t>
      </w:r>
    </w:p>
    <w:p w14:paraId="7C336A18" w14:textId="77777777" w:rsidR="00A80B66" w:rsidRPr="002F4F7E" w:rsidRDefault="00A80B66" w:rsidP="00A80B66">
      <w:pPr>
        <w:rPr>
          <w:lang w:eastAsia="en-AU"/>
        </w:rPr>
      </w:pPr>
    </w:p>
    <w:p w14:paraId="5B7A1AFF" w14:textId="77777777" w:rsidR="00A80B66" w:rsidRPr="002F4F7E" w:rsidRDefault="00A80B66" w:rsidP="00A80B66">
      <w:pPr>
        <w:rPr>
          <w:b/>
          <w:lang w:eastAsia="en-AU"/>
        </w:rPr>
      </w:pPr>
      <w:r>
        <w:rPr>
          <w:b/>
          <w:lang w:eastAsia="en-AU"/>
        </w:rPr>
        <w:t>Catchwords:</w:t>
      </w:r>
    </w:p>
    <w:p w14:paraId="766A8146" w14:textId="77777777" w:rsidR="00A80B66" w:rsidRPr="00856E9C" w:rsidRDefault="00A80B66" w:rsidP="00A80B66">
      <w:pPr>
        <w:rPr>
          <w:b/>
          <w:highlight w:val="yellow"/>
          <w:lang w:eastAsia="en-AU"/>
        </w:rPr>
      </w:pPr>
    </w:p>
    <w:p w14:paraId="6EEE560F" w14:textId="77777777" w:rsidR="00A80B66" w:rsidRDefault="00622208" w:rsidP="00A80B66">
      <w:pPr>
        <w:ind w:left="720"/>
        <w:rPr>
          <w:lang w:eastAsia="en-AU"/>
        </w:rPr>
      </w:pPr>
      <w:r>
        <w:rPr>
          <w:lang w:eastAsia="en-AU"/>
        </w:rPr>
        <w:lastRenderedPageBreak/>
        <w:t xml:space="preserve">Equity – Remedies – Constructive trust – Breach of fiduciary duty – Priority – Interaction with proceeds of crime – Confiscation order – Where directors of company used company to commit criminal offence and also breached fiduciary duty by obtaining secret profit – Where directors prosecuted and subject to confiscation orders </w:t>
      </w:r>
      <w:r w:rsidR="00194719">
        <w:rPr>
          <w:lang w:eastAsia="en-AU"/>
        </w:rPr>
        <w:t xml:space="preserve">over assets proceeds of crime </w:t>
      </w:r>
      <w:r>
        <w:rPr>
          <w:lang w:eastAsia="en-AU"/>
        </w:rPr>
        <w:t>– Where respondent assignee of company</w:t>
      </w:r>
      <w:r w:rsidR="00DA6539">
        <w:rPr>
          <w:lang w:eastAsia="en-AU"/>
        </w:rPr>
        <w:t>'</w:t>
      </w:r>
      <w:r>
        <w:rPr>
          <w:lang w:eastAsia="en-AU"/>
        </w:rPr>
        <w:t xml:space="preserve">s rights – Where constructive trust over </w:t>
      </w:r>
      <w:r w:rsidR="00194719">
        <w:rPr>
          <w:lang w:eastAsia="en-AU"/>
        </w:rPr>
        <w:t xml:space="preserve">same </w:t>
      </w:r>
      <w:r>
        <w:rPr>
          <w:lang w:eastAsia="en-AU"/>
        </w:rPr>
        <w:t>assets in favour of respondent because of breach of fiduciary duty – Where primary judge ordered transfer of assets under confiscation orders to respondent and Court of Appeal dismissed appellant</w:t>
      </w:r>
      <w:r w:rsidR="00DA6539">
        <w:rPr>
          <w:lang w:eastAsia="en-AU"/>
        </w:rPr>
        <w:t>'</w:t>
      </w:r>
      <w:r>
        <w:rPr>
          <w:lang w:eastAsia="en-AU"/>
        </w:rPr>
        <w:t xml:space="preserve">s appeal – Whether constructive trust </w:t>
      </w:r>
      <w:r w:rsidR="00194719">
        <w:rPr>
          <w:lang w:eastAsia="en-AU"/>
        </w:rPr>
        <w:t xml:space="preserve">has </w:t>
      </w:r>
      <w:r>
        <w:rPr>
          <w:lang w:eastAsia="en-AU"/>
        </w:rPr>
        <w:t xml:space="preserve">priority over confiscation order – Whether illegality of directors can be attributed to company so as to render constructive trust unenforceable. </w:t>
      </w:r>
    </w:p>
    <w:p w14:paraId="48687290" w14:textId="77777777" w:rsidR="00622208" w:rsidRPr="00856E9C" w:rsidRDefault="00622208" w:rsidP="00A80B66">
      <w:pPr>
        <w:ind w:left="720"/>
        <w:rPr>
          <w:highlight w:val="yellow"/>
          <w:lang w:eastAsia="en-AU"/>
        </w:rPr>
      </w:pPr>
    </w:p>
    <w:p w14:paraId="69FFD48D" w14:textId="77777777" w:rsidR="00A80B66" w:rsidRPr="000D3E8D" w:rsidRDefault="00A80B66" w:rsidP="00A80B66">
      <w:pPr>
        <w:rPr>
          <w:lang w:eastAsia="en-AU"/>
        </w:rPr>
      </w:pPr>
      <w:r w:rsidRPr="002F4F7E">
        <w:rPr>
          <w:b/>
          <w:lang w:eastAsia="en-AU"/>
        </w:rPr>
        <w:t>Held (</w:t>
      </w:r>
      <w:r w:rsidR="00622208">
        <w:rPr>
          <w:b/>
          <w:lang w:eastAsia="en-AU"/>
        </w:rPr>
        <w:t>5</w:t>
      </w:r>
      <w:r>
        <w:rPr>
          <w:b/>
          <w:lang w:eastAsia="en-AU"/>
        </w:rPr>
        <w:t>:0</w:t>
      </w:r>
      <w:r w:rsidRPr="002F4F7E">
        <w:rPr>
          <w:b/>
          <w:lang w:eastAsia="en-AU"/>
        </w:rPr>
        <w:t xml:space="preserve">): </w:t>
      </w:r>
      <w:r w:rsidR="00622208">
        <w:rPr>
          <w:lang w:eastAsia="en-AU"/>
        </w:rPr>
        <w:t xml:space="preserve">Appeal dismissed. </w:t>
      </w:r>
    </w:p>
    <w:p w14:paraId="168A280D" w14:textId="77777777" w:rsidR="00A80B66" w:rsidRPr="00B546B2" w:rsidRDefault="00A80B66" w:rsidP="00A80B66">
      <w:pPr>
        <w:pStyle w:val="BullDivider2"/>
        <w:rPr>
          <w:rFonts w:cs="Arial"/>
          <w:highlight w:val="yellow"/>
        </w:rPr>
      </w:pPr>
      <w:bookmarkStart w:id="3" w:name="_Hlk95146896"/>
    </w:p>
    <w:p w14:paraId="4D2F33BE" w14:textId="77777777" w:rsidR="00A5353A" w:rsidRDefault="00A5353A" w:rsidP="00A5353A"/>
    <w:bookmarkEnd w:id="3"/>
    <w:p w14:paraId="16A73E5A" w14:textId="47D9C322" w:rsidR="00241A1B" w:rsidRDefault="00241A1B" w:rsidP="00A5353A">
      <w:pPr>
        <w:pStyle w:val="Heading1"/>
      </w:pPr>
      <w:r>
        <w:t xml:space="preserve">Evidence </w:t>
      </w:r>
    </w:p>
    <w:p w14:paraId="79AA4E7A" w14:textId="159196F5" w:rsidR="00241A1B" w:rsidRDefault="00241A1B" w:rsidP="00241A1B">
      <w:pPr>
        <w:rPr>
          <w:lang w:eastAsia="en-AU"/>
        </w:rPr>
      </w:pPr>
    </w:p>
    <w:p w14:paraId="421673EA" w14:textId="77777777" w:rsidR="00241A1B" w:rsidRPr="00241A1B" w:rsidRDefault="00241A1B" w:rsidP="00241A1B">
      <w:pPr>
        <w:keepNext/>
        <w:outlineLvl w:val="1"/>
        <w:rPr>
          <w:rFonts w:ascii="Arial" w:hAnsi="Arial" w:cs="Arial"/>
          <w:bCs/>
          <w:i/>
          <w:iCs/>
          <w:sz w:val="28"/>
          <w:szCs w:val="28"/>
          <w:lang w:eastAsia="en-AU"/>
        </w:rPr>
      </w:pPr>
      <w:r w:rsidRPr="00241A1B">
        <w:rPr>
          <w:rFonts w:ascii="Arial" w:hAnsi="Arial" w:cs="Arial"/>
          <w:bCs/>
          <w:i/>
          <w:iCs/>
          <w:sz w:val="28"/>
          <w:szCs w:val="28"/>
          <w:lang w:eastAsia="en-AU"/>
        </w:rPr>
        <w:t xml:space="preserve">HKSAR v Ng Fan Ying </w:t>
      </w:r>
    </w:p>
    <w:p w14:paraId="7269B4D7" w14:textId="77777777" w:rsidR="00241A1B" w:rsidRPr="00241A1B" w:rsidRDefault="00241A1B" w:rsidP="00241A1B">
      <w:pPr>
        <w:rPr>
          <w:lang w:eastAsia="en-AU"/>
        </w:rPr>
      </w:pPr>
      <w:r w:rsidRPr="00241A1B">
        <w:rPr>
          <w:b/>
          <w:lang w:eastAsia="en-AU"/>
        </w:rPr>
        <w:t xml:space="preserve">Hong Kong Court of Final Appeal: </w:t>
      </w:r>
      <w:hyperlink r:id="rId25" w:history="1">
        <w:r w:rsidRPr="00241A1B">
          <w:rPr>
            <w:color w:val="0000FF"/>
            <w:u w:val="single"/>
            <w:lang w:eastAsia="en-AU"/>
          </w:rPr>
          <w:t>[2021] HKCFA 44</w:t>
        </w:r>
      </w:hyperlink>
    </w:p>
    <w:p w14:paraId="5C4B9E54" w14:textId="77777777" w:rsidR="00241A1B" w:rsidRPr="00241A1B" w:rsidRDefault="00241A1B" w:rsidP="00241A1B">
      <w:pPr>
        <w:rPr>
          <w:lang w:eastAsia="en-AU"/>
        </w:rPr>
      </w:pPr>
    </w:p>
    <w:p w14:paraId="5C05F107" w14:textId="77777777" w:rsidR="00241A1B" w:rsidRPr="00241A1B" w:rsidRDefault="00241A1B" w:rsidP="00241A1B">
      <w:pPr>
        <w:rPr>
          <w:lang w:eastAsia="en-AU"/>
        </w:rPr>
      </w:pPr>
      <w:r w:rsidRPr="00241A1B">
        <w:rPr>
          <w:b/>
          <w:lang w:eastAsia="en-AU"/>
        </w:rPr>
        <w:t>Judgment delivered:</w:t>
      </w:r>
      <w:r w:rsidRPr="00241A1B">
        <w:rPr>
          <w:lang w:eastAsia="en-AU"/>
        </w:rPr>
        <w:t xml:space="preserve"> 17 December 2021</w:t>
      </w:r>
    </w:p>
    <w:p w14:paraId="6AFC84B0" w14:textId="77777777" w:rsidR="00241A1B" w:rsidRPr="00241A1B" w:rsidRDefault="00241A1B" w:rsidP="00241A1B">
      <w:pPr>
        <w:rPr>
          <w:lang w:eastAsia="en-AU"/>
        </w:rPr>
      </w:pPr>
    </w:p>
    <w:p w14:paraId="747B4A65" w14:textId="77777777" w:rsidR="00241A1B" w:rsidRPr="00241A1B" w:rsidRDefault="00241A1B" w:rsidP="00241A1B">
      <w:pPr>
        <w:rPr>
          <w:lang w:eastAsia="en-AU"/>
        </w:rPr>
      </w:pPr>
      <w:r w:rsidRPr="00241A1B">
        <w:rPr>
          <w:b/>
          <w:lang w:eastAsia="en-AU"/>
        </w:rPr>
        <w:t xml:space="preserve">Coram: </w:t>
      </w:r>
      <w:r w:rsidRPr="00241A1B">
        <w:rPr>
          <w:lang w:eastAsia="en-AU"/>
        </w:rPr>
        <w:t>Cheung CJ, Ribeiro, Fok, Lam PJJ and Lord Hodge NPJ</w:t>
      </w:r>
    </w:p>
    <w:p w14:paraId="38E20BA3" w14:textId="77777777" w:rsidR="00241A1B" w:rsidRPr="00241A1B" w:rsidRDefault="00241A1B" w:rsidP="00241A1B">
      <w:pPr>
        <w:rPr>
          <w:lang w:eastAsia="en-AU"/>
        </w:rPr>
      </w:pPr>
    </w:p>
    <w:p w14:paraId="52E54B4C" w14:textId="77777777" w:rsidR="00241A1B" w:rsidRPr="00241A1B" w:rsidRDefault="00241A1B" w:rsidP="00241A1B">
      <w:pPr>
        <w:rPr>
          <w:b/>
          <w:lang w:eastAsia="en-AU"/>
        </w:rPr>
      </w:pPr>
      <w:r w:rsidRPr="00241A1B">
        <w:rPr>
          <w:b/>
          <w:lang w:eastAsia="en-AU"/>
        </w:rPr>
        <w:t>Catchwords:</w:t>
      </w:r>
    </w:p>
    <w:p w14:paraId="41868FB5" w14:textId="77777777" w:rsidR="00241A1B" w:rsidRPr="00241A1B" w:rsidRDefault="00241A1B" w:rsidP="00241A1B">
      <w:pPr>
        <w:rPr>
          <w:b/>
          <w:highlight w:val="yellow"/>
          <w:lang w:eastAsia="en-AU"/>
        </w:rPr>
      </w:pPr>
    </w:p>
    <w:p w14:paraId="6243D836" w14:textId="44EC6031" w:rsidR="00241A1B" w:rsidRPr="00241A1B" w:rsidRDefault="00241A1B" w:rsidP="00241A1B">
      <w:pPr>
        <w:ind w:left="720"/>
        <w:rPr>
          <w:lang w:eastAsia="en-AU"/>
        </w:rPr>
      </w:pPr>
      <w:r>
        <w:rPr>
          <w:lang w:eastAsia="en-AU"/>
        </w:rPr>
        <w:t>Evidence</w:t>
      </w:r>
      <w:r w:rsidR="006A22C8">
        <w:rPr>
          <w:lang w:eastAsia="en-AU"/>
        </w:rPr>
        <w:t xml:space="preserve"> </w:t>
      </w:r>
      <w:r w:rsidRPr="00241A1B">
        <w:rPr>
          <w:lang w:eastAsia="en-AU"/>
        </w:rPr>
        <w:t>– Cross-examination – Credibility – Where appellant convicted of two charges of aiding, abetting, counselling, or procuring the breach of conditions of stay by foreign domestic helper employed by her – Where domestic helper, under conditions of stay, could only perform work at specific address – Where, during cross-examination of helper, it emerged helper was instructed by appellant to work at non-domestic locations – Where counsel sought to cross-examin</w:t>
      </w:r>
      <w:r>
        <w:rPr>
          <w:lang w:eastAsia="en-AU"/>
        </w:rPr>
        <w:t>e</w:t>
      </w:r>
      <w:r w:rsidRPr="00241A1B">
        <w:rPr>
          <w:lang w:eastAsia="en-AU"/>
        </w:rPr>
        <w:t xml:space="preserve"> on non-domestic work to explore credibility of helper and show allegations were fabricated – Where magistrate ruled it unnecessary for counsel to go into details of non-domestic work – Whether magistrate unduly restricted defence in cross-examination on non-domestic work – Whether appellant suffered injustice resulting from restrictions – Proper distinction between cross-examination on primary issue and on credit. </w:t>
      </w:r>
    </w:p>
    <w:p w14:paraId="5FCA7811" w14:textId="77777777" w:rsidR="00241A1B" w:rsidRPr="00241A1B" w:rsidRDefault="00241A1B" w:rsidP="00241A1B">
      <w:pPr>
        <w:ind w:left="720"/>
        <w:rPr>
          <w:highlight w:val="yellow"/>
          <w:lang w:eastAsia="en-AU"/>
        </w:rPr>
      </w:pPr>
    </w:p>
    <w:p w14:paraId="756D05F4" w14:textId="77777777" w:rsidR="00241A1B" w:rsidRPr="00241A1B" w:rsidRDefault="00241A1B" w:rsidP="00241A1B">
      <w:pPr>
        <w:rPr>
          <w:lang w:eastAsia="en-AU"/>
        </w:rPr>
      </w:pPr>
      <w:r w:rsidRPr="00241A1B">
        <w:rPr>
          <w:b/>
          <w:lang w:eastAsia="en-AU"/>
        </w:rPr>
        <w:t xml:space="preserve">Held (5:0): </w:t>
      </w:r>
      <w:r w:rsidRPr="00241A1B">
        <w:rPr>
          <w:lang w:eastAsia="en-AU"/>
        </w:rPr>
        <w:t xml:space="preserve">Appeal dismissed. </w:t>
      </w:r>
    </w:p>
    <w:p w14:paraId="5F62B0F3" w14:textId="77777777" w:rsidR="00241A1B" w:rsidRPr="00B546B2" w:rsidRDefault="00241A1B" w:rsidP="00241A1B">
      <w:pPr>
        <w:pStyle w:val="BullDivider2"/>
        <w:rPr>
          <w:rFonts w:cs="Arial"/>
          <w:highlight w:val="yellow"/>
        </w:rPr>
      </w:pPr>
    </w:p>
    <w:p w14:paraId="0D58F991" w14:textId="77777777" w:rsidR="00241A1B" w:rsidRPr="00241A1B" w:rsidRDefault="00241A1B" w:rsidP="00241A1B">
      <w:pPr>
        <w:rPr>
          <w:lang w:eastAsia="en-AU"/>
        </w:rPr>
      </w:pPr>
    </w:p>
    <w:p w14:paraId="26E0E2A2" w14:textId="371AB53A" w:rsidR="00A5353A" w:rsidRPr="00B20BAC" w:rsidRDefault="00A5353A" w:rsidP="00A5353A">
      <w:pPr>
        <w:pStyle w:val="Heading1"/>
      </w:pPr>
      <w:r>
        <w:t>Family Law</w:t>
      </w:r>
    </w:p>
    <w:p w14:paraId="1C6315D4" w14:textId="77777777" w:rsidR="00A5353A" w:rsidRDefault="00A5353A" w:rsidP="00A5353A"/>
    <w:p w14:paraId="2049299A" w14:textId="77777777" w:rsidR="005176FF" w:rsidRPr="00B842BB" w:rsidRDefault="005176FF" w:rsidP="005176FF">
      <w:pPr>
        <w:pStyle w:val="Heading2"/>
        <w:rPr>
          <w:bCs w:val="0"/>
        </w:rPr>
      </w:pPr>
      <w:r w:rsidRPr="005176FF">
        <w:rPr>
          <w:bCs w:val="0"/>
        </w:rPr>
        <w:t>Association de médiation familiale du Québec v Bouvier</w:t>
      </w:r>
    </w:p>
    <w:p w14:paraId="31CDCCA4" w14:textId="77777777" w:rsidR="005176FF" w:rsidRPr="00863B33" w:rsidRDefault="005176FF" w:rsidP="005176FF">
      <w:pPr>
        <w:rPr>
          <w:b/>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 xml:space="preserve">: </w:t>
      </w:r>
      <w:hyperlink r:id="rId26" w:history="1">
        <w:r w:rsidRPr="005176FF">
          <w:rPr>
            <w:rStyle w:val="Hyperlink"/>
            <w:lang w:eastAsia="en-AU"/>
          </w:rPr>
          <w:t>[2021] SCC 54</w:t>
        </w:r>
      </w:hyperlink>
    </w:p>
    <w:p w14:paraId="3F30854C" w14:textId="77777777" w:rsidR="005176FF" w:rsidRPr="002F4F7E" w:rsidRDefault="005176FF" w:rsidP="005176FF">
      <w:pPr>
        <w:rPr>
          <w:lang w:eastAsia="en-AU"/>
        </w:rPr>
      </w:pPr>
    </w:p>
    <w:p w14:paraId="437686A8" w14:textId="77777777" w:rsidR="005176FF" w:rsidRPr="002F4F7E" w:rsidRDefault="005176FF" w:rsidP="005176FF">
      <w:pPr>
        <w:rPr>
          <w:lang w:eastAsia="en-AU"/>
        </w:rPr>
      </w:pPr>
      <w:r w:rsidRPr="002F4F7E">
        <w:rPr>
          <w:b/>
          <w:lang w:eastAsia="en-AU"/>
        </w:rPr>
        <w:lastRenderedPageBreak/>
        <w:t>Judgment delivered:</w:t>
      </w:r>
      <w:r w:rsidRPr="002F4F7E">
        <w:rPr>
          <w:lang w:eastAsia="en-AU"/>
        </w:rPr>
        <w:t xml:space="preserve"> </w:t>
      </w:r>
      <w:r>
        <w:rPr>
          <w:lang w:eastAsia="en-AU"/>
        </w:rPr>
        <w:t>17 December 2021</w:t>
      </w:r>
    </w:p>
    <w:p w14:paraId="3518B0E6" w14:textId="77777777" w:rsidR="005176FF" w:rsidRPr="002F4F7E" w:rsidRDefault="005176FF" w:rsidP="005176FF">
      <w:pPr>
        <w:rPr>
          <w:lang w:eastAsia="en-AU"/>
        </w:rPr>
      </w:pPr>
    </w:p>
    <w:p w14:paraId="0F47478B" w14:textId="77777777" w:rsidR="005176FF" w:rsidRDefault="005176FF" w:rsidP="005176FF">
      <w:pPr>
        <w:rPr>
          <w:lang w:eastAsia="en-AU"/>
        </w:rPr>
      </w:pPr>
      <w:r w:rsidRPr="002F4F7E">
        <w:rPr>
          <w:b/>
          <w:lang w:eastAsia="en-AU"/>
        </w:rPr>
        <w:t xml:space="preserve">Coram: </w:t>
      </w:r>
      <w:r w:rsidRPr="005176FF">
        <w:rPr>
          <w:lang w:eastAsia="en-AU"/>
        </w:rPr>
        <w:t>Wagner CJ and Abella, Moldaver, Karakatsanis, Côté, Brown, Rowe, Martin and Kasirer JJ</w:t>
      </w:r>
    </w:p>
    <w:p w14:paraId="3C9046C2" w14:textId="77777777" w:rsidR="005176FF" w:rsidRPr="002F4F7E" w:rsidRDefault="005176FF" w:rsidP="005176FF">
      <w:pPr>
        <w:rPr>
          <w:lang w:eastAsia="en-AU"/>
        </w:rPr>
      </w:pPr>
    </w:p>
    <w:p w14:paraId="05F76136" w14:textId="77777777" w:rsidR="005176FF" w:rsidRPr="002F4F7E" w:rsidRDefault="005176FF" w:rsidP="005176FF">
      <w:pPr>
        <w:rPr>
          <w:b/>
          <w:lang w:eastAsia="en-AU"/>
        </w:rPr>
      </w:pPr>
      <w:r>
        <w:rPr>
          <w:b/>
          <w:lang w:eastAsia="en-AU"/>
        </w:rPr>
        <w:t>Catchwords:</w:t>
      </w:r>
    </w:p>
    <w:p w14:paraId="7E591B32" w14:textId="77777777" w:rsidR="005176FF" w:rsidRPr="00856E9C" w:rsidRDefault="005176FF" w:rsidP="005176FF">
      <w:pPr>
        <w:rPr>
          <w:b/>
          <w:highlight w:val="yellow"/>
          <w:lang w:eastAsia="en-AU"/>
        </w:rPr>
      </w:pPr>
    </w:p>
    <w:p w14:paraId="3B75516A" w14:textId="77777777" w:rsidR="005176FF" w:rsidRDefault="005176FF" w:rsidP="005176FF">
      <w:pPr>
        <w:ind w:left="720"/>
        <w:rPr>
          <w:lang w:eastAsia="en-AU"/>
        </w:rPr>
      </w:pPr>
      <w:r w:rsidRPr="005176FF">
        <w:rPr>
          <w:lang w:eastAsia="en-AU"/>
        </w:rPr>
        <w:t xml:space="preserve">Family law — Mediation — Confidentiality — Summary of mediated agreements — Proof of settlement — Exception to settlement privilege — </w:t>
      </w:r>
      <w:r>
        <w:rPr>
          <w:lang w:eastAsia="en-AU"/>
        </w:rPr>
        <w:t>Where f</w:t>
      </w:r>
      <w:r w:rsidRPr="005176FF">
        <w:rPr>
          <w:lang w:eastAsia="en-AU"/>
        </w:rPr>
        <w:t>ormer spouses undert</w:t>
      </w:r>
      <w:r>
        <w:rPr>
          <w:lang w:eastAsia="en-AU"/>
        </w:rPr>
        <w:t>ook</w:t>
      </w:r>
      <w:r w:rsidRPr="005176FF">
        <w:rPr>
          <w:lang w:eastAsia="en-AU"/>
        </w:rPr>
        <w:t xml:space="preserve"> family mediation process — </w:t>
      </w:r>
      <w:r>
        <w:rPr>
          <w:lang w:eastAsia="en-AU"/>
        </w:rPr>
        <w:t>Where m</w:t>
      </w:r>
      <w:r w:rsidRPr="005176FF">
        <w:rPr>
          <w:lang w:eastAsia="en-AU"/>
        </w:rPr>
        <w:t>ediator prepar</w:t>
      </w:r>
      <w:r>
        <w:rPr>
          <w:lang w:eastAsia="en-AU"/>
        </w:rPr>
        <w:t>ed</w:t>
      </w:r>
      <w:r w:rsidRPr="005176FF">
        <w:rPr>
          <w:lang w:eastAsia="en-AU"/>
        </w:rPr>
        <w:t xml:space="preserve"> summary of agreements arising from mediation — </w:t>
      </w:r>
      <w:r>
        <w:rPr>
          <w:lang w:eastAsia="en-AU"/>
        </w:rPr>
        <w:t>Where s</w:t>
      </w:r>
      <w:r w:rsidRPr="005176FF">
        <w:rPr>
          <w:lang w:eastAsia="en-AU"/>
        </w:rPr>
        <w:t xml:space="preserve">ummary of mediated agreements relied on in subsequent judicial proceedings to prove existence of settlement — </w:t>
      </w:r>
      <w:r>
        <w:rPr>
          <w:lang w:eastAsia="en-AU"/>
        </w:rPr>
        <w:t>Where a</w:t>
      </w:r>
      <w:r w:rsidRPr="005176FF">
        <w:rPr>
          <w:lang w:eastAsia="en-AU"/>
        </w:rPr>
        <w:t xml:space="preserve">dmissibility of summary of mediated agreements and other mediation communications challenged on ground that they were protected by confidentiality of mediation process — </w:t>
      </w:r>
      <w:r w:rsidR="00CF7D91">
        <w:rPr>
          <w:lang w:eastAsia="en-AU"/>
        </w:rPr>
        <w:t>Proper l</w:t>
      </w:r>
      <w:r w:rsidRPr="005176FF">
        <w:rPr>
          <w:lang w:eastAsia="en-AU"/>
        </w:rPr>
        <w:t>egal status of summary of mediated agreements — Whether exception to settlement privilege that allows existence or scope of settlement to be proved applies in family mediation context.</w:t>
      </w:r>
    </w:p>
    <w:p w14:paraId="1EC119EA" w14:textId="77777777" w:rsidR="005176FF" w:rsidRPr="00856E9C" w:rsidRDefault="005176FF" w:rsidP="005176FF">
      <w:pPr>
        <w:ind w:left="720"/>
        <w:rPr>
          <w:highlight w:val="yellow"/>
          <w:lang w:eastAsia="en-AU"/>
        </w:rPr>
      </w:pPr>
    </w:p>
    <w:p w14:paraId="710BE7A4" w14:textId="77777777" w:rsidR="005176FF" w:rsidRDefault="005176FF" w:rsidP="005176FF">
      <w:pPr>
        <w:rPr>
          <w:lang w:eastAsia="en-AU"/>
        </w:rPr>
      </w:pPr>
      <w:r w:rsidRPr="002F4F7E">
        <w:rPr>
          <w:b/>
          <w:lang w:eastAsia="en-AU"/>
        </w:rPr>
        <w:t>Held (</w:t>
      </w:r>
      <w:r>
        <w:rPr>
          <w:b/>
          <w:lang w:eastAsia="en-AU"/>
        </w:rPr>
        <w:t>9:0</w:t>
      </w:r>
      <w:r w:rsidRPr="002F4F7E">
        <w:rPr>
          <w:b/>
          <w:lang w:eastAsia="en-AU"/>
        </w:rPr>
        <w:t xml:space="preserve">): </w:t>
      </w:r>
      <w:r>
        <w:rPr>
          <w:lang w:eastAsia="en-AU"/>
        </w:rPr>
        <w:t>Appeal dismissed.</w:t>
      </w:r>
    </w:p>
    <w:p w14:paraId="70C28346" w14:textId="77777777" w:rsidR="005176FF" w:rsidRDefault="005176FF" w:rsidP="005176FF">
      <w:pPr>
        <w:pStyle w:val="BullDivider1"/>
        <w:pBdr>
          <w:bottom w:val="dotted" w:sz="4" w:space="0" w:color="auto"/>
        </w:pBdr>
      </w:pPr>
    </w:p>
    <w:p w14:paraId="713308A4" w14:textId="77777777" w:rsidR="00066E88" w:rsidRPr="00066E88" w:rsidRDefault="00066E88" w:rsidP="00066E88">
      <w:pPr>
        <w:rPr>
          <w:lang w:eastAsia="en-AU"/>
        </w:rPr>
      </w:pPr>
    </w:p>
    <w:p w14:paraId="4DDF714A" w14:textId="77777777" w:rsidR="00066E88" w:rsidRPr="00066E88" w:rsidRDefault="00066E88" w:rsidP="00066E88">
      <w:pPr>
        <w:keepNext/>
        <w:outlineLvl w:val="1"/>
        <w:rPr>
          <w:rFonts w:ascii="Arial" w:hAnsi="Arial" w:cs="Arial"/>
          <w:i/>
          <w:iCs/>
          <w:sz w:val="28"/>
          <w:szCs w:val="28"/>
          <w:lang w:eastAsia="en-AU"/>
        </w:rPr>
      </w:pPr>
      <w:r w:rsidRPr="00066E88">
        <w:rPr>
          <w:rFonts w:ascii="Arial" w:hAnsi="Arial" w:cs="Arial"/>
          <w:i/>
          <w:iCs/>
          <w:sz w:val="28"/>
          <w:szCs w:val="28"/>
          <w:lang w:eastAsia="en-AU"/>
        </w:rPr>
        <w:t>Bwanya v Master of the High Court, Cape Town</w:t>
      </w:r>
      <w:r>
        <w:rPr>
          <w:rFonts w:ascii="Arial" w:hAnsi="Arial" w:cs="Arial"/>
          <w:i/>
          <w:iCs/>
          <w:sz w:val="28"/>
          <w:szCs w:val="28"/>
          <w:lang w:eastAsia="en-AU"/>
        </w:rPr>
        <w:t xml:space="preserve"> &amp; Ors</w:t>
      </w:r>
    </w:p>
    <w:p w14:paraId="100A0B83" w14:textId="77777777" w:rsidR="00066E88" w:rsidRPr="00066E88" w:rsidRDefault="00066E88" w:rsidP="00066E88">
      <w:pPr>
        <w:rPr>
          <w:b/>
          <w:lang w:eastAsia="en-AU"/>
        </w:rPr>
      </w:pPr>
      <w:r>
        <w:rPr>
          <w:b/>
          <w:lang w:eastAsia="en-AU"/>
        </w:rPr>
        <w:t>Constitutional Court of South Africa</w:t>
      </w:r>
      <w:r w:rsidRPr="00066E88">
        <w:rPr>
          <w:b/>
          <w:lang w:eastAsia="en-AU"/>
        </w:rPr>
        <w:t>:</w:t>
      </w:r>
      <w:r>
        <w:rPr>
          <w:b/>
          <w:lang w:eastAsia="en-AU"/>
        </w:rPr>
        <w:t xml:space="preserve"> </w:t>
      </w:r>
      <w:hyperlink r:id="rId27" w:history="1">
        <w:r w:rsidRPr="00066E88">
          <w:rPr>
            <w:rStyle w:val="Hyperlink"/>
            <w:bCs/>
            <w:lang w:eastAsia="en-AU"/>
          </w:rPr>
          <w:t>[2021] ZACC 51</w:t>
        </w:r>
      </w:hyperlink>
    </w:p>
    <w:p w14:paraId="6C685C15" w14:textId="77777777" w:rsidR="00066E88" w:rsidRPr="00066E88" w:rsidRDefault="00066E88" w:rsidP="00066E88">
      <w:pPr>
        <w:rPr>
          <w:lang w:eastAsia="en-AU"/>
        </w:rPr>
      </w:pPr>
    </w:p>
    <w:p w14:paraId="7AA17402" w14:textId="77777777" w:rsidR="00066E88" w:rsidRPr="00066E88" w:rsidRDefault="00066E88" w:rsidP="00066E88">
      <w:pPr>
        <w:rPr>
          <w:lang w:eastAsia="en-AU"/>
        </w:rPr>
      </w:pPr>
      <w:r w:rsidRPr="00066E88">
        <w:rPr>
          <w:b/>
          <w:lang w:eastAsia="en-AU"/>
        </w:rPr>
        <w:t>Judgment delivered:</w:t>
      </w:r>
      <w:r w:rsidRPr="00066E88">
        <w:rPr>
          <w:lang w:eastAsia="en-AU"/>
        </w:rPr>
        <w:t xml:space="preserve"> 17 December 2021</w:t>
      </w:r>
    </w:p>
    <w:p w14:paraId="1EEC5D9A" w14:textId="77777777" w:rsidR="00066E88" w:rsidRPr="00066E88" w:rsidRDefault="00066E88" w:rsidP="00066E88">
      <w:pPr>
        <w:rPr>
          <w:lang w:eastAsia="en-AU"/>
        </w:rPr>
      </w:pPr>
    </w:p>
    <w:p w14:paraId="6CCF8D92" w14:textId="77777777" w:rsidR="00066E88" w:rsidRDefault="00066E88" w:rsidP="00066E88">
      <w:pPr>
        <w:rPr>
          <w:lang w:eastAsia="en-AU"/>
        </w:rPr>
      </w:pPr>
      <w:r w:rsidRPr="00066E88">
        <w:rPr>
          <w:b/>
          <w:lang w:eastAsia="en-AU"/>
        </w:rPr>
        <w:t xml:space="preserve">Coram: </w:t>
      </w:r>
      <w:r w:rsidRPr="00066E88">
        <w:rPr>
          <w:lang w:eastAsia="en-AU"/>
        </w:rPr>
        <w:t>Mogoeng CJ, Jafta, Khampepe, Madlanga, Majiedt, Mhlantla J</w:t>
      </w:r>
      <w:r w:rsidR="000A1BDC">
        <w:rPr>
          <w:lang w:eastAsia="en-AU"/>
        </w:rPr>
        <w:t>J</w:t>
      </w:r>
      <w:r w:rsidRPr="00066E88">
        <w:rPr>
          <w:lang w:eastAsia="en-AU"/>
        </w:rPr>
        <w:t>, Pillay AJ, Theron J, Tlaletsi AJ and Tshiqi J</w:t>
      </w:r>
    </w:p>
    <w:p w14:paraId="717715D1" w14:textId="77777777" w:rsidR="00066E88" w:rsidRPr="00066E88" w:rsidRDefault="00066E88" w:rsidP="00066E88">
      <w:pPr>
        <w:rPr>
          <w:lang w:eastAsia="en-AU"/>
        </w:rPr>
      </w:pPr>
    </w:p>
    <w:p w14:paraId="008CF5D4" w14:textId="77777777" w:rsidR="00066E88" w:rsidRPr="00066E88" w:rsidRDefault="00066E88" w:rsidP="00066E88">
      <w:pPr>
        <w:rPr>
          <w:b/>
          <w:lang w:eastAsia="en-AU"/>
        </w:rPr>
      </w:pPr>
      <w:r w:rsidRPr="00066E88">
        <w:rPr>
          <w:b/>
          <w:lang w:eastAsia="en-AU"/>
        </w:rPr>
        <w:t>Catchwords:</w:t>
      </w:r>
    </w:p>
    <w:p w14:paraId="3ABF8614" w14:textId="77777777" w:rsidR="00066E88" w:rsidRPr="00066E88" w:rsidRDefault="00066E88" w:rsidP="00066E88">
      <w:pPr>
        <w:rPr>
          <w:b/>
          <w:highlight w:val="yellow"/>
          <w:lang w:eastAsia="en-AU"/>
        </w:rPr>
      </w:pPr>
    </w:p>
    <w:p w14:paraId="608792B8" w14:textId="77777777" w:rsidR="00066E88" w:rsidRPr="00066E88" w:rsidRDefault="00066E88" w:rsidP="00066E88">
      <w:pPr>
        <w:ind w:left="720"/>
        <w:rPr>
          <w:lang w:eastAsia="en-AU"/>
        </w:rPr>
      </w:pPr>
      <w:r w:rsidRPr="00066E88">
        <w:rPr>
          <w:lang w:eastAsia="en-AU"/>
        </w:rPr>
        <w:t xml:space="preserve">Family law </w:t>
      </w:r>
      <w:r w:rsidR="00DB286E">
        <w:rPr>
          <w:lang w:eastAsia="en-AU"/>
        </w:rPr>
        <w:t xml:space="preserve">– Succession – Definition of </w:t>
      </w:r>
      <w:r w:rsidR="00DA6539">
        <w:rPr>
          <w:lang w:eastAsia="en-AU"/>
        </w:rPr>
        <w:t>"</w:t>
      </w:r>
      <w:r w:rsidR="00DB286E">
        <w:rPr>
          <w:lang w:eastAsia="en-AU"/>
        </w:rPr>
        <w:t>survivor</w:t>
      </w:r>
      <w:r w:rsidR="00DA6539">
        <w:rPr>
          <w:lang w:eastAsia="en-AU"/>
        </w:rPr>
        <w:t>"</w:t>
      </w:r>
      <w:r w:rsidR="00DB286E">
        <w:rPr>
          <w:lang w:eastAsia="en-AU"/>
        </w:rPr>
        <w:t xml:space="preserve">, </w:t>
      </w:r>
      <w:r w:rsidR="00DA6539">
        <w:rPr>
          <w:lang w:eastAsia="en-AU"/>
        </w:rPr>
        <w:t>"</w:t>
      </w:r>
      <w:r w:rsidR="00DB286E">
        <w:rPr>
          <w:lang w:eastAsia="en-AU"/>
        </w:rPr>
        <w:t>spouse</w:t>
      </w:r>
      <w:r w:rsidR="00DA6539">
        <w:rPr>
          <w:lang w:eastAsia="en-AU"/>
        </w:rPr>
        <w:t>"</w:t>
      </w:r>
      <w:r w:rsidR="00DB286E">
        <w:rPr>
          <w:lang w:eastAsia="en-AU"/>
        </w:rPr>
        <w:t xml:space="preserve"> and </w:t>
      </w:r>
      <w:r w:rsidR="00DA6539">
        <w:rPr>
          <w:lang w:eastAsia="en-AU"/>
        </w:rPr>
        <w:t>"</w:t>
      </w:r>
      <w:r w:rsidR="00DB286E">
        <w:rPr>
          <w:lang w:eastAsia="en-AU"/>
        </w:rPr>
        <w:t>marriage</w:t>
      </w:r>
      <w:r w:rsidR="00DA6539">
        <w:rPr>
          <w:lang w:eastAsia="en-AU"/>
        </w:rPr>
        <w:t>"</w:t>
      </w:r>
      <w:r w:rsidR="00DB286E">
        <w:rPr>
          <w:lang w:eastAsia="en-AU"/>
        </w:rPr>
        <w:t xml:space="preserve"> – </w:t>
      </w:r>
      <w:r w:rsidR="004E43DD">
        <w:rPr>
          <w:lang w:eastAsia="en-AU"/>
        </w:rPr>
        <w:t xml:space="preserve">Where Ms </w:t>
      </w:r>
      <w:r w:rsidR="004E43DD" w:rsidRPr="004E43DD">
        <w:rPr>
          <w:lang w:eastAsia="en-AU"/>
        </w:rPr>
        <w:t>Bwanya and Mr Ruch</w:t>
      </w:r>
      <w:r w:rsidR="004E43DD">
        <w:rPr>
          <w:lang w:eastAsia="en-AU"/>
        </w:rPr>
        <w:t xml:space="preserve"> were in relationship with most characteristics of marriage – Where Mr Ruch passed away –</w:t>
      </w:r>
      <w:r w:rsidR="004E43DD" w:rsidRPr="004E43DD">
        <w:rPr>
          <w:lang w:eastAsia="en-AU"/>
        </w:rPr>
        <w:t xml:space="preserve"> </w:t>
      </w:r>
      <w:r w:rsidR="004E43DD">
        <w:rPr>
          <w:lang w:eastAsia="en-AU"/>
        </w:rPr>
        <w:t xml:space="preserve">Where Ms Bwanya sought </w:t>
      </w:r>
      <w:r w:rsidR="004E43DD" w:rsidRPr="004E43DD">
        <w:rPr>
          <w:lang w:eastAsia="en-AU"/>
        </w:rPr>
        <w:t xml:space="preserve">maintenance in terms of </w:t>
      </w:r>
      <w:r w:rsidR="004E43DD" w:rsidRPr="005C34ED">
        <w:rPr>
          <w:i/>
          <w:iCs/>
          <w:lang w:eastAsia="en-AU"/>
        </w:rPr>
        <w:t>Maintenance of Surviving Spouses Act</w:t>
      </w:r>
      <w:r w:rsidR="005C34ED">
        <w:rPr>
          <w:i/>
          <w:iCs/>
          <w:lang w:eastAsia="en-AU"/>
        </w:rPr>
        <w:t xml:space="preserve"> 27 of 1990</w:t>
      </w:r>
      <w:r w:rsidR="004E43DD" w:rsidRPr="004E43DD">
        <w:rPr>
          <w:lang w:eastAsia="en-AU"/>
        </w:rPr>
        <w:t xml:space="preserve"> and inheritance in terms of </w:t>
      </w:r>
      <w:r w:rsidR="004E43DD" w:rsidRPr="005C34ED">
        <w:rPr>
          <w:i/>
          <w:iCs/>
          <w:lang w:eastAsia="en-AU"/>
        </w:rPr>
        <w:t>Intestate Succession Act</w:t>
      </w:r>
      <w:r w:rsidR="005C34ED">
        <w:rPr>
          <w:i/>
          <w:iCs/>
          <w:lang w:eastAsia="en-AU"/>
        </w:rPr>
        <w:t xml:space="preserve"> 91 of 1987</w:t>
      </w:r>
      <w:r w:rsidR="004E43DD">
        <w:rPr>
          <w:lang w:eastAsia="en-AU"/>
        </w:rPr>
        <w:t xml:space="preserve"> – </w:t>
      </w:r>
      <w:r w:rsidR="00A9649F">
        <w:rPr>
          <w:lang w:eastAsia="en-AU"/>
        </w:rPr>
        <w:t>Where</w:t>
      </w:r>
      <w:r w:rsidR="004E43DD">
        <w:rPr>
          <w:lang w:eastAsia="en-AU"/>
        </w:rPr>
        <w:t xml:space="preserve"> </w:t>
      </w:r>
      <w:r w:rsidR="00A9649F">
        <w:rPr>
          <w:lang w:eastAsia="en-AU"/>
        </w:rPr>
        <w:t xml:space="preserve">Court held in </w:t>
      </w:r>
      <w:r w:rsidR="00A9649F" w:rsidRPr="00A9649F">
        <w:rPr>
          <w:i/>
          <w:iCs/>
          <w:lang w:eastAsia="en-AU"/>
        </w:rPr>
        <w:t>Volks N.O. v Robinson</w:t>
      </w:r>
      <w:r w:rsidR="00A9649F" w:rsidRPr="00A9649F">
        <w:rPr>
          <w:lang w:eastAsia="en-AU"/>
        </w:rPr>
        <w:t xml:space="preserve"> [2005] ZACC 2</w:t>
      </w:r>
      <w:r w:rsidR="00A9649F">
        <w:rPr>
          <w:lang w:eastAsia="en-AU"/>
        </w:rPr>
        <w:t xml:space="preserve"> that exclusion of p</w:t>
      </w:r>
      <w:r w:rsidR="00A9649F" w:rsidRPr="00A9649F">
        <w:rPr>
          <w:lang w:eastAsia="en-AU"/>
        </w:rPr>
        <w:t xml:space="preserve">ermanent heterosexual life partners from benefit afforded by section 2(1) </w:t>
      </w:r>
      <w:r w:rsidR="004E43DD">
        <w:rPr>
          <w:lang w:eastAsia="en-AU"/>
        </w:rPr>
        <w:t xml:space="preserve">of </w:t>
      </w:r>
      <w:r w:rsidR="004E43DD" w:rsidRPr="005C34ED">
        <w:rPr>
          <w:i/>
          <w:iCs/>
          <w:lang w:eastAsia="en-AU"/>
        </w:rPr>
        <w:t xml:space="preserve">Maintenance of Surviving Spouses Act </w:t>
      </w:r>
      <w:r w:rsidR="007D5C60">
        <w:rPr>
          <w:lang w:eastAsia="en-AU"/>
        </w:rPr>
        <w:t xml:space="preserve">did not constitute unfair discrimination and </w:t>
      </w:r>
      <w:r w:rsidR="00A9649F">
        <w:rPr>
          <w:lang w:eastAsia="en-AU"/>
        </w:rPr>
        <w:t>was</w:t>
      </w:r>
      <w:r w:rsidR="00A9649F" w:rsidRPr="00A9649F">
        <w:rPr>
          <w:lang w:eastAsia="en-AU"/>
        </w:rPr>
        <w:t xml:space="preserve"> not un</w:t>
      </w:r>
      <w:r w:rsidR="00A9649F">
        <w:rPr>
          <w:lang w:eastAsia="en-AU"/>
        </w:rPr>
        <w:t xml:space="preserve">constitutional – </w:t>
      </w:r>
      <w:r w:rsidR="00DB286E">
        <w:rPr>
          <w:lang w:eastAsia="en-AU"/>
        </w:rPr>
        <w:t>Whether</w:t>
      </w:r>
      <w:r w:rsidR="00DB286E" w:rsidRPr="00DB286E">
        <w:rPr>
          <w:lang w:eastAsia="en-AU"/>
        </w:rPr>
        <w:t xml:space="preserve"> surviving partner in permanent heterosexual life partnership</w:t>
      </w:r>
      <w:r w:rsidR="00DB286E">
        <w:rPr>
          <w:lang w:eastAsia="en-AU"/>
        </w:rPr>
        <w:t xml:space="preserve"> </w:t>
      </w:r>
      <w:r w:rsidR="00DB286E" w:rsidRPr="00DB286E">
        <w:rPr>
          <w:lang w:eastAsia="en-AU"/>
        </w:rPr>
        <w:t xml:space="preserve">is entitled to claim maintenance under </w:t>
      </w:r>
      <w:r w:rsidR="00DB286E" w:rsidRPr="005C34ED">
        <w:rPr>
          <w:i/>
          <w:iCs/>
          <w:lang w:eastAsia="en-AU"/>
        </w:rPr>
        <w:t>Maintenance of Surviving Spouses Act</w:t>
      </w:r>
      <w:r w:rsidR="00DB286E">
        <w:rPr>
          <w:lang w:eastAsia="en-AU"/>
        </w:rPr>
        <w:t xml:space="preserve"> – Whether </w:t>
      </w:r>
      <w:r w:rsidR="00DB286E" w:rsidRPr="00DB286E">
        <w:rPr>
          <w:lang w:eastAsia="en-AU"/>
        </w:rPr>
        <w:t>surviving partner of</w:t>
      </w:r>
      <w:r w:rsidR="00DB286E">
        <w:rPr>
          <w:lang w:eastAsia="en-AU"/>
        </w:rPr>
        <w:t xml:space="preserve"> </w:t>
      </w:r>
      <w:r w:rsidR="00DB286E" w:rsidRPr="00DB286E">
        <w:rPr>
          <w:lang w:eastAsia="en-AU"/>
        </w:rPr>
        <w:t xml:space="preserve">permanent opposite-sex life partnership is entitled to inherit from estate of deceased partner under </w:t>
      </w:r>
      <w:r w:rsidR="00DB286E" w:rsidRPr="005C34ED">
        <w:rPr>
          <w:i/>
          <w:iCs/>
          <w:lang w:eastAsia="en-AU"/>
        </w:rPr>
        <w:t>Intestate Succession Act</w:t>
      </w:r>
      <w:r w:rsidR="00A9649F">
        <w:rPr>
          <w:lang w:eastAsia="en-AU"/>
        </w:rPr>
        <w:t xml:space="preserve"> – Whether decision in </w:t>
      </w:r>
      <w:r w:rsidR="00A9649F">
        <w:rPr>
          <w:i/>
          <w:iCs/>
          <w:lang w:eastAsia="en-AU"/>
        </w:rPr>
        <w:t>Volks</w:t>
      </w:r>
      <w:r w:rsidR="007D5C60">
        <w:rPr>
          <w:lang w:eastAsia="en-AU"/>
        </w:rPr>
        <w:t xml:space="preserve"> </w:t>
      </w:r>
      <w:r w:rsidR="00A9649F" w:rsidRPr="00A9649F">
        <w:rPr>
          <w:lang w:eastAsia="en-AU"/>
        </w:rPr>
        <w:t>is clearly wrong</w:t>
      </w:r>
      <w:r w:rsidR="00A9649F">
        <w:rPr>
          <w:lang w:eastAsia="en-AU"/>
        </w:rPr>
        <w:t>.</w:t>
      </w:r>
    </w:p>
    <w:p w14:paraId="4C147FE6" w14:textId="77777777" w:rsidR="00066E88" w:rsidRPr="00066E88" w:rsidRDefault="00066E88" w:rsidP="00066E88">
      <w:pPr>
        <w:ind w:left="720"/>
        <w:rPr>
          <w:highlight w:val="yellow"/>
          <w:lang w:eastAsia="en-AU"/>
        </w:rPr>
      </w:pPr>
    </w:p>
    <w:p w14:paraId="497B7957" w14:textId="77777777" w:rsidR="00066E88" w:rsidRPr="00066E88" w:rsidRDefault="00066E88" w:rsidP="00066E88">
      <w:pPr>
        <w:rPr>
          <w:lang w:eastAsia="en-AU"/>
        </w:rPr>
      </w:pPr>
      <w:r w:rsidRPr="00066E88">
        <w:rPr>
          <w:b/>
          <w:lang w:eastAsia="en-AU"/>
        </w:rPr>
        <w:t>Held (</w:t>
      </w:r>
      <w:r w:rsidR="00DB286E">
        <w:rPr>
          <w:b/>
          <w:lang w:eastAsia="en-AU"/>
        </w:rPr>
        <w:t>6</w:t>
      </w:r>
      <w:r w:rsidRPr="00066E88">
        <w:rPr>
          <w:b/>
          <w:lang w:eastAsia="en-AU"/>
        </w:rPr>
        <w:t>:</w:t>
      </w:r>
      <w:r w:rsidR="00DB286E">
        <w:rPr>
          <w:b/>
          <w:lang w:eastAsia="en-AU"/>
        </w:rPr>
        <w:t>4</w:t>
      </w:r>
      <w:r w:rsidRPr="00066E88">
        <w:rPr>
          <w:b/>
          <w:lang w:eastAsia="en-AU"/>
        </w:rPr>
        <w:t xml:space="preserve">): </w:t>
      </w:r>
      <w:r w:rsidR="003D1498">
        <w:rPr>
          <w:bCs/>
          <w:lang w:eastAsia="en-AU"/>
        </w:rPr>
        <w:t>A</w:t>
      </w:r>
      <w:r w:rsidR="003D1498" w:rsidRPr="003D1498">
        <w:rPr>
          <w:lang w:eastAsia="en-AU"/>
        </w:rPr>
        <w:t>pplication for confirmation of an order of constitutional invalidity granted</w:t>
      </w:r>
      <w:r w:rsidRPr="00066E88">
        <w:rPr>
          <w:lang w:eastAsia="en-AU"/>
        </w:rPr>
        <w:t>.</w:t>
      </w:r>
    </w:p>
    <w:p w14:paraId="20EACFD4" w14:textId="77777777" w:rsidR="00066E88" w:rsidRPr="00066E88" w:rsidRDefault="00066E88" w:rsidP="00066E88">
      <w:pPr>
        <w:pBdr>
          <w:bottom w:val="dotted" w:sz="4" w:space="0" w:color="auto"/>
        </w:pBdr>
        <w:rPr>
          <w:szCs w:val="20"/>
          <w:lang w:eastAsia="en-AU"/>
        </w:rPr>
      </w:pPr>
    </w:p>
    <w:p w14:paraId="6B33CDF5" w14:textId="77777777" w:rsidR="005176FF" w:rsidRDefault="005176FF" w:rsidP="00A5353A"/>
    <w:p w14:paraId="3D7116F5" w14:textId="77777777" w:rsidR="00A5353A" w:rsidRPr="002F4F7E" w:rsidRDefault="00A5353A" w:rsidP="00A5353A">
      <w:pPr>
        <w:pStyle w:val="Heading2"/>
      </w:pPr>
      <w:r>
        <w:t xml:space="preserve">Preston v Preston &amp; Anor </w:t>
      </w:r>
    </w:p>
    <w:p w14:paraId="368A7EA9" w14:textId="77777777" w:rsidR="00A5353A" w:rsidRPr="002F4F7E" w:rsidRDefault="00A5353A" w:rsidP="00A5353A">
      <w:pPr>
        <w:rPr>
          <w:lang w:eastAsia="en-AU"/>
        </w:rPr>
      </w:pPr>
      <w:r>
        <w:rPr>
          <w:b/>
          <w:lang w:eastAsia="en-AU"/>
        </w:rPr>
        <w:t xml:space="preserve">Supreme </w:t>
      </w:r>
      <w:r w:rsidRPr="002F4F7E">
        <w:rPr>
          <w:b/>
          <w:lang w:eastAsia="en-AU"/>
        </w:rPr>
        <w:t>Court</w:t>
      </w:r>
      <w:r>
        <w:rPr>
          <w:b/>
          <w:lang w:eastAsia="en-AU"/>
        </w:rPr>
        <w:t xml:space="preserve"> of New Zealand</w:t>
      </w:r>
      <w:r w:rsidRPr="002F4F7E">
        <w:rPr>
          <w:b/>
          <w:lang w:eastAsia="en-AU"/>
        </w:rPr>
        <w:t xml:space="preserve">: </w:t>
      </w:r>
      <w:hyperlink r:id="rId28" w:history="1">
        <w:r w:rsidRPr="00A5353A">
          <w:rPr>
            <w:rStyle w:val="Hyperlink"/>
            <w:lang w:eastAsia="en-AU"/>
          </w:rPr>
          <w:t>[2021] NZSC 154</w:t>
        </w:r>
      </w:hyperlink>
    </w:p>
    <w:p w14:paraId="7A29E212" w14:textId="77777777" w:rsidR="00A5353A" w:rsidRPr="002F4F7E" w:rsidRDefault="00A5353A" w:rsidP="00A5353A">
      <w:pPr>
        <w:rPr>
          <w:lang w:eastAsia="en-AU"/>
        </w:rPr>
      </w:pPr>
    </w:p>
    <w:p w14:paraId="33D2D416" w14:textId="77777777" w:rsidR="00A5353A" w:rsidRPr="002F4F7E" w:rsidRDefault="00A5353A" w:rsidP="00A5353A">
      <w:pPr>
        <w:rPr>
          <w:lang w:eastAsia="en-AU"/>
        </w:rPr>
      </w:pPr>
      <w:r w:rsidRPr="002F4F7E">
        <w:rPr>
          <w:b/>
          <w:lang w:eastAsia="en-AU"/>
        </w:rPr>
        <w:t>Judgment delivered:</w:t>
      </w:r>
      <w:r w:rsidRPr="002F4F7E">
        <w:rPr>
          <w:lang w:eastAsia="en-AU"/>
        </w:rPr>
        <w:t xml:space="preserve"> </w:t>
      </w:r>
      <w:r>
        <w:rPr>
          <w:lang w:eastAsia="en-AU"/>
        </w:rPr>
        <w:t>9 November 2021</w:t>
      </w:r>
    </w:p>
    <w:p w14:paraId="3A1F1A19" w14:textId="77777777" w:rsidR="00A5353A" w:rsidRPr="002F4F7E" w:rsidRDefault="00A5353A" w:rsidP="00A5353A">
      <w:pPr>
        <w:rPr>
          <w:lang w:eastAsia="en-AU"/>
        </w:rPr>
      </w:pPr>
    </w:p>
    <w:p w14:paraId="5638FD35" w14:textId="77777777" w:rsidR="00A5353A" w:rsidRDefault="00A5353A" w:rsidP="00A5353A">
      <w:pPr>
        <w:rPr>
          <w:lang w:eastAsia="en-AU"/>
        </w:rPr>
      </w:pPr>
      <w:r w:rsidRPr="002F4F7E">
        <w:rPr>
          <w:b/>
          <w:lang w:eastAsia="en-AU"/>
        </w:rPr>
        <w:t xml:space="preserve">Coram: </w:t>
      </w:r>
      <w:r>
        <w:rPr>
          <w:lang w:eastAsia="en-AU"/>
        </w:rPr>
        <w:t>Winkelmann CJ, Glazebrook, O</w:t>
      </w:r>
      <w:r w:rsidR="00DA6539">
        <w:rPr>
          <w:lang w:eastAsia="en-AU"/>
        </w:rPr>
        <w:t>'</w:t>
      </w:r>
      <w:r>
        <w:rPr>
          <w:lang w:eastAsia="en-AU"/>
        </w:rPr>
        <w:t xml:space="preserve">Regan, Ellen France and </w:t>
      </w:r>
    </w:p>
    <w:p w14:paraId="6356C912" w14:textId="77777777" w:rsidR="00A5353A" w:rsidRDefault="00A5353A" w:rsidP="00A5353A">
      <w:pPr>
        <w:rPr>
          <w:lang w:eastAsia="en-AU"/>
        </w:rPr>
      </w:pPr>
      <w:r>
        <w:rPr>
          <w:lang w:eastAsia="en-AU"/>
        </w:rPr>
        <w:t>Williams JJ</w:t>
      </w:r>
    </w:p>
    <w:p w14:paraId="136CAA2F" w14:textId="77777777" w:rsidR="00A5353A" w:rsidRPr="002F4F7E" w:rsidRDefault="00A5353A" w:rsidP="00A5353A">
      <w:pPr>
        <w:rPr>
          <w:lang w:eastAsia="en-AU"/>
        </w:rPr>
      </w:pPr>
    </w:p>
    <w:p w14:paraId="4AC97D1A" w14:textId="77777777" w:rsidR="00A5353A" w:rsidRPr="002F4F7E" w:rsidRDefault="00A5353A" w:rsidP="00A5353A">
      <w:pPr>
        <w:rPr>
          <w:b/>
          <w:lang w:eastAsia="en-AU"/>
        </w:rPr>
      </w:pPr>
      <w:r>
        <w:rPr>
          <w:b/>
          <w:lang w:eastAsia="en-AU"/>
        </w:rPr>
        <w:t>Catchwords:</w:t>
      </w:r>
    </w:p>
    <w:p w14:paraId="2ED138D8" w14:textId="77777777" w:rsidR="00A5353A" w:rsidRPr="00856E9C" w:rsidRDefault="00A5353A" w:rsidP="00A5353A">
      <w:pPr>
        <w:rPr>
          <w:b/>
          <w:highlight w:val="yellow"/>
          <w:lang w:eastAsia="en-AU"/>
        </w:rPr>
      </w:pPr>
    </w:p>
    <w:p w14:paraId="2B7E8D9D" w14:textId="77777777" w:rsidR="00A5353A" w:rsidRPr="00A5353A" w:rsidRDefault="00A5353A" w:rsidP="00A5353A">
      <w:pPr>
        <w:ind w:left="720"/>
        <w:rPr>
          <w:lang w:eastAsia="en-AU"/>
        </w:rPr>
      </w:pPr>
      <w:r>
        <w:rPr>
          <w:lang w:eastAsia="en-AU"/>
        </w:rPr>
        <w:t>Family law – Divorce</w:t>
      </w:r>
      <w:r w:rsidR="002D134E">
        <w:rPr>
          <w:lang w:eastAsia="en-AU"/>
        </w:rPr>
        <w:t xml:space="preserve"> settlement</w:t>
      </w:r>
      <w:r>
        <w:rPr>
          <w:lang w:eastAsia="en-AU"/>
        </w:rPr>
        <w:t xml:space="preserve"> – Nuptial settlement – Trusts – Where s 182 of </w:t>
      </w:r>
      <w:r w:rsidRPr="005C34ED">
        <w:rPr>
          <w:i/>
          <w:lang w:eastAsia="en-AU"/>
        </w:rPr>
        <w:t>Family Proceedings Act 1980</w:t>
      </w:r>
      <w:r>
        <w:rPr>
          <w:i/>
          <w:lang w:eastAsia="en-AU"/>
        </w:rPr>
        <w:t xml:space="preserve"> </w:t>
      </w:r>
      <w:r>
        <w:rPr>
          <w:lang w:eastAsia="en-AU"/>
        </w:rPr>
        <w:t>provided court may vary terms of nuptial settlement when marriage comes to end – Where, in 2010, Mr Preston amended trust deed for Grant Preston Family Trust</w:t>
      </w:r>
      <w:r w:rsidR="002D134E">
        <w:rPr>
          <w:lang w:eastAsia="en-AU"/>
        </w:rPr>
        <w:t xml:space="preserve"> to add Mrs Preston as discretionary beneficiary soon after marriage – Where marriage broke down after five years, Mr and Mrs Preston had no children together but each had children from previous relationships, and Trust assets settled prior to marriage with primary beneficiaries being Mr Preston</w:t>
      </w:r>
      <w:r w:rsidR="00DA6539">
        <w:rPr>
          <w:lang w:eastAsia="en-AU"/>
        </w:rPr>
        <w:t>'</w:t>
      </w:r>
      <w:r w:rsidR="002D134E">
        <w:rPr>
          <w:lang w:eastAsia="en-AU"/>
        </w:rPr>
        <w:t xml:space="preserve">s children – </w:t>
      </w:r>
      <w:r>
        <w:rPr>
          <w:lang w:eastAsia="en-AU"/>
        </w:rPr>
        <w:t xml:space="preserve">Where Mrs Preston sought orders under s 182 for share of assets owed by Trust </w:t>
      </w:r>
      <w:r w:rsidR="002D134E">
        <w:rPr>
          <w:lang w:eastAsia="en-AU"/>
        </w:rPr>
        <w:t>– Where Court of Appeal held 2010 amendment nuptial settlement for purposes of s 182, but exercised discretion not to make s 182 order due to countervailing factors – Proper test for determining respective contributions – Whether Court of Appeal erred in exercise of discretion</w:t>
      </w:r>
      <w:r w:rsidR="0064033F">
        <w:rPr>
          <w:lang w:eastAsia="en-AU"/>
        </w:rPr>
        <w:t xml:space="preserve">. </w:t>
      </w:r>
    </w:p>
    <w:p w14:paraId="310B7D07" w14:textId="77777777" w:rsidR="00A5353A" w:rsidRPr="00856E9C" w:rsidRDefault="00A5353A" w:rsidP="00A5353A">
      <w:pPr>
        <w:ind w:left="720"/>
        <w:rPr>
          <w:highlight w:val="yellow"/>
          <w:lang w:eastAsia="en-AU"/>
        </w:rPr>
      </w:pPr>
    </w:p>
    <w:p w14:paraId="20C849D7" w14:textId="77777777" w:rsidR="00A5353A" w:rsidRPr="000D3E8D" w:rsidRDefault="00A5353A" w:rsidP="00A5353A">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allowed. </w:t>
      </w:r>
    </w:p>
    <w:p w14:paraId="3EC57DD8" w14:textId="77777777" w:rsidR="00A5353A" w:rsidRPr="00B546B2" w:rsidRDefault="00A5353A" w:rsidP="00A5353A">
      <w:pPr>
        <w:pStyle w:val="BullDivider2"/>
        <w:rPr>
          <w:rFonts w:cs="Arial"/>
          <w:highlight w:val="yellow"/>
        </w:rPr>
      </w:pPr>
    </w:p>
    <w:p w14:paraId="39799EE9" w14:textId="77777777" w:rsidR="00863B33" w:rsidRDefault="00863B33" w:rsidP="00863B33"/>
    <w:p w14:paraId="09D22983" w14:textId="77777777" w:rsidR="00863B33" w:rsidRPr="00B20BAC" w:rsidRDefault="00863B33" w:rsidP="00863B33">
      <w:pPr>
        <w:pStyle w:val="Heading1"/>
      </w:pPr>
      <w:r>
        <w:t>Guardianship and Protection</w:t>
      </w:r>
    </w:p>
    <w:p w14:paraId="5E8F4A66" w14:textId="77777777" w:rsidR="00863B33" w:rsidRDefault="00863B33" w:rsidP="00FA0788"/>
    <w:p w14:paraId="3A2613A8" w14:textId="77777777" w:rsidR="00863B33" w:rsidRPr="00B842BB" w:rsidRDefault="00863B33" w:rsidP="00B842BB">
      <w:pPr>
        <w:pStyle w:val="Heading2"/>
        <w:rPr>
          <w:bCs w:val="0"/>
        </w:rPr>
      </w:pPr>
      <w:r w:rsidRPr="00B842BB">
        <w:rPr>
          <w:bCs w:val="0"/>
        </w:rPr>
        <w:t>A Local Authority v JB (by his Litigation Friend, the Official Solicitor)</w:t>
      </w:r>
    </w:p>
    <w:p w14:paraId="61CCDD62" w14:textId="77777777" w:rsidR="00863B33" w:rsidRPr="00863B33" w:rsidRDefault="00863B33" w:rsidP="00863B33">
      <w:pPr>
        <w:rPr>
          <w:b/>
          <w:lang w:eastAsia="en-AU"/>
        </w:rPr>
      </w:pPr>
      <w:r>
        <w:rPr>
          <w:b/>
          <w:lang w:eastAsia="en-AU"/>
        </w:rPr>
        <w:t xml:space="preserve">Supreme </w:t>
      </w:r>
      <w:r w:rsidRPr="002F4F7E">
        <w:rPr>
          <w:b/>
          <w:lang w:eastAsia="en-AU"/>
        </w:rPr>
        <w:t>Court</w:t>
      </w:r>
      <w:r>
        <w:rPr>
          <w:b/>
          <w:lang w:eastAsia="en-AU"/>
        </w:rPr>
        <w:t xml:space="preserve"> of the United Kingdom</w:t>
      </w:r>
      <w:r w:rsidRPr="002F4F7E">
        <w:rPr>
          <w:b/>
          <w:lang w:eastAsia="en-AU"/>
        </w:rPr>
        <w:t xml:space="preserve">: </w:t>
      </w:r>
      <w:hyperlink r:id="rId29" w:history="1">
        <w:r w:rsidRPr="00863B33">
          <w:rPr>
            <w:rStyle w:val="Hyperlink"/>
            <w:lang w:eastAsia="en-AU"/>
          </w:rPr>
          <w:t>[2021] UKSC 52</w:t>
        </w:r>
      </w:hyperlink>
    </w:p>
    <w:p w14:paraId="0B55F224" w14:textId="77777777" w:rsidR="00863B33" w:rsidRPr="002F4F7E" w:rsidRDefault="00863B33" w:rsidP="00863B33">
      <w:pPr>
        <w:rPr>
          <w:lang w:eastAsia="en-AU"/>
        </w:rPr>
      </w:pPr>
    </w:p>
    <w:p w14:paraId="7B36F404" w14:textId="77777777" w:rsidR="00863B33" w:rsidRPr="002F4F7E" w:rsidRDefault="00863B33" w:rsidP="00863B33">
      <w:pPr>
        <w:rPr>
          <w:lang w:eastAsia="en-AU"/>
        </w:rPr>
      </w:pPr>
      <w:r w:rsidRPr="002F4F7E">
        <w:rPr>
          <w:b/>
          <w:lang w:eastAsia="en-AU"/>
        </w:rPr>
        <w:t>Judgment delivered:</w:t>
      </w:r>
      <w:r w:rsidRPr="002F4F7E">
        <w:rPr>
          <w:lang w:eastAsia="en-AU"/>
        </w:rPr>
        <w:t xml:space="preserve"> </w:t>
      </w:r>
      <w:r>
        <w:rPr>
          <w:lang w:eastAsia="en-AU"/>
        </w:rPr>
        <w:t>24 November 2021</w:t>
      </w:r>
    </w:p>
    <w:p w14:paraId="063C2C5A" w14:textId="77777777" w:rsidR="00863B33" w:rsidRPr="002F4F7E" w:rsidRDefault="00863B33" w:rsidP="00863B33">
      <w:pPr>
        <w:rPr>
          <w:lang w:eastAsia="en-AU"/>
        </w:rPr>
      </w:pPr>
    </w:p>
    <w:p w14:paraId="4D7E2594" w14:textId="77777777" w:rsidR="00863B33" w:rsidRDefault="00863B33" w:rsidP="00863B33">
      <w:pPr>
        <w:rPr>
          <w:lang w:eastAsia="en-AU"/>
        </w:rPr>
      </w:pPr>
      <w:r w:rsidRPr="002F4F7E">
        <w:rPr>
          <w:b/>
          <w:lang w:eastAsia="en-AU"/>
        </w:rPr>
        <w:t xml:space="preserve">Coram: </w:t>
      </w:r>
      <w:r>
        <w:rPr>
          <w:lang w:eastAsia="en-AU"/>
        </w:rPr>
        <w:t>Lord Briggs, Lady Arden, Lord Burrows, Lord Stephens and Lady Rose</w:t>
      </w:r>
    </w:p>
    <w:p w14:paraId="7B747109" w14:textId="77777777" w:rsidR="00863B33" w:rsidRPr="002F4F7E" w:rsidRDefault="00863B33" w:rsidP="00863B33">
      <w:pPr>
        <w:rPr>
          <w:lang w:eastAsia="en-AU"/>
        </w:rPr>
      </w:pPr>
    </w:p>
    <w:p w14:paraId="3D21510B" w14:textId="77777777" w:rsidR="00863B33" w:rsidRPr="002F4F7E" w:rsidRDefault="00863B33" w:rsidP="00863B33">
      <w:pPr>
        <w:rPr>
          <w:b/>
          <w:lang w:eastAsia="en-AU"/>
        </w:rPr>
      </w:pPr>
      <w:r>
        <w:rPr>
          <w:b/>
          <w:lang w:eastAsia="en-AU"/>
        </w:rPr>
        <w:t>Catchwords:</w:t>
      </w:r>
    </w:p>
    <w:p w14:paraId="422EE6B1" w14:textId="77777777" w:rsidR="00863B33" w:rsidRPr="00856E9C" w:rsidRDefault="00863B33" w:rsidP="00863B33">
      <w:pPr>
        <w:rPr>
          <w:b/>
          <w:highlight w:val="yellow"/>
          <w:lang w:eastAsia="en-AU"/>
        </w:rPr>
      </w:pPr>
    </w:p>
    <w:p w14:paraId="1C54EA05" w14:textId="77777777" w:rsidR="00863B33" w:rsidRDefault="00863B33" w:rsidP="00863B33">
      <w:pPr>
        <w:ind w:left="720"/>
        <w:rPr>
          <w:lang w:eastAsia="en-AU"/>
        </w:rPr>
      </w:pPr>
      <w:r>
        <w:rPr>
          <w:lang w:eastAsia="en-AU"/>
        </w:rPr>
        <w:t xml:space="preserve">Guardianship and protection – Mental capacity – Sexual relations – Capacity to consent – Consent – Where Local Authority commenced proceedings in Court of Protection seeking declaration JB lacked capacity to consent to sexual relations – Where evidence showed JB lacked capacity to understand </w:t>
      </w:r>
      <w:r w:rsidR="0091587B">
        <w:rPr>
          <w:lang w:eastAsia="en-AU"/>
        </w:rPr>
        <w:t xml:space="preserve">that partner must consent to sexual activity – Where primary judge held this not relevant information for purposes of determining whether JB had capacity to consent – Where Court of Appeal allowed appeal – Whether, in determining whether individual has capacity to consent to sexual relations, individual needs to understand other person must have capacity to consent to sexual activity and must in fact consent. </w:t>
      </w:r>
    </w:p>
    <w:p w14:paraId="00A293DE" w14:textId="77777777" w:rsidR="00863B33" w:rsidRPr="00856E9C" w:rsidRDefault="00863B33" w:rsidP="00863B33">
      <w:pPr>
        <w:ind w:left="720"/>
        <w:rPr>
          <w:highlight w:val="yellow"/>
          <w:lang w:eastAsia="en-AU"/>
        </w:rPr>
      </w:pPr>
    </w:p>
    <w:p w14:paraId="780F5B26" w14:textId="77777777" w:rsidR="0048654B" w:rsidRDefault="00863B33" w:rsidP="00863B33">
      <w:pPr>
        <w:rPr>
          <w:lang w:eastAsia="en-AU"/>
        </w:rPr>
      </w:pPr>
      <w:r w:rsidRPr="002F4F7E">
        <w:rPr>
          <w:b/>
          <w:lang w:eastAsia="en-AU"/>
        </w:rPr>
        <w:t>Held (</w:t>
      </w:r>
      <w:r>
        <w:rPr>
          <w:b/>
          <w:lang w:eastAsia="en-AU"/>
        </w:rPr>
        <w:t>5:0</w:t>
      </w:r>
      <w:r w:rsidRPr="002F4F7E">
        <w:rPr>
          <w:b/>
          <w:lang w:eastAsia="en-AU"/>
        </w:rPr>
        <w:t xml:space="preserve">): </w:t>
      </w:r>
      <w:r>
        <w:rPr>
          <w:lang w:eastAsia="en-AU"/>
        </w:rPr>
        <w:t>Appeal dismissed.</w:t>
      </w:r>
    </w:p>
    <w:p w14:paraId="0028C728" w14:textId="77777777" w:rsidR="0048654B" w:rsidRPr="00181993" w:rsidRDefault="0048654B" w:rsidP="0048654B">
      <w:pPr>
        <w:pStyle w:val="BullDivider1"/>
        <w:pBdr>
          <w:bottom w:val="dotted" w:sz="4" w:space="0" w:color="auto"/>
        </w:pBdr>
      </w:pPr>
    </w:p>
    <w:p w14:paraId="376CFC69" w14:textId="77777777" w:rsidR="0048654B" w:rsidRDefault="0048654B" w:rsidP="0048654B"/>
    <w:p w14:paraId="6B1C086F" w14:textId="77777777" w:rsidR="0048654B" w:rsidRPr="002F4F7E" w:rsidRDefault="005561AE" w:rsidP="0048654B">
      <w:pPr>
        <w:pStyle w:val="Heading2"/>
      </w:pPr>
      <w:r>
        <w:t>Van Zyl NO v Road Accident Fund</w:t>
      </w:r>
    </w:p>
    <w:p w14:paraId="2D7C6CB5" w14:textId="77777777" w:rsidR="0048654B" w:rsidRPr="002F4F7E" w:rsidRDefault="0048654B" w:rsidP="0048654B">
      <w:pPr>
        <w:rPr>
          <w:lang w:eastAsia="en-AU"/>
        </w:rPr>
      </w:pPr>
      <w:r>
        <w:rPr>
          <w:b/>
          <w:lang w:eastAsia="en-AU"/>
        </w:rPr>
        <w:t>Constitutional Court of South Africa</w:t>
      </w:r>
      <w:r w:rsidRPr="002F4F7E">
        <w:rPr>
          <w:b/>
          <w:lang w:eastAsia="en-AU"/>
        </w:rPr>
        <w:t xml:space="preserve">: </w:t>
      </w:r>
      <w:hyperlink r:id="rId30" w:history="1">
        <w:r w:rsidR="005561AE" w:rsidRPr="005561AE">
          <w:rPr>
            <w:rStyle w:val="Hyperlink"/>
            <w:lang w:eastAsia="en-AU"/>
          </w:rPr>
          <w:t>[2021] ZACC 44</w:t>
        </w:r>
      </w:hyperlink>
    </w:p>
    <w:p w14:paraId="19632244" w14:textId="77777777" w:rsidR="0048654B" w:rsidRPr="002F4F7E" w:rsidRDefault="0048654B" w:rsidP="0048654B">
      <w:pPr>
        <w:rPr>
          <w:lang w:eastAsia="en-AU"/>
        </w:rPr>
      </w:pPr>
    </w:p>
    <w:p w14:paraId="0B263B43" w14:textId="77777777" w:rsidR="0048654B" w:rsidRPr="002F4F7E" w:rsidRDefault="0048654B" w:rsidP="0048654B">
      <w:pPr>
        <w:rPr>
          <w:lang w:eastAsia="en-AU"/>
        </w:rPr>
      </w:pPr>
      <w:r w:rsidRPr="002F4F7E">
        <w:rPr>
          <w:b/>
          <w:lang w:eastAsia="en-AU"/>
        </w:rPr>
        <w:t>Judgment delivered:</w:t>
      </w:r>
      <w:r w:rsidRPr="002F4F7E">
        <w:rPr>
          <w:lang w:eastAsia="en-AU"/>
        </w:rPr>
        <w:t xml:space="preserve"> </w:t>
      </w:r>
      <w:r w:rsidR="005561AE">
        <w:rPr>
          <w:lang w:eastAsia="en-AU"/>
        </w:rPr>
        <w:t>19</w:t>
      </w:r>
      <w:r>
        <w:rPr>
          <w:lang w:eastAsia="en-AU"/>
        </w:rPr>
        <w:t xml:space="preserve"> November 2021</w:t>
      </w:r>
    </w:p>
    <w:p w14:paraId="54BC216D" w14:textId="77777777" w:rsidR="0048654B" w:rsidRPr="002F4F7E" w:rsidRDefault="0048654B" w:rsidP="0048654B">
      <w:pPr>
        <w:rPr>
          <w:lang w:eastAsia="en-AU"/>
        </w:rPr>
      </w:pPr>
    </w:p>
    <w:p w14:paraId="505B3341" w14:textId="77777777" w:rsidR="0048654B" w:rsidRPr="002F4F7E" w:rsidRDefault="0048654B" w:rsidP="0048654B">
      <w:pPr>
        <w:rPr>
          <w:lang w:eastAsia="en-AU"/>
        </w:rPr>
      </w:pPr>
      <w:r w:rsidRPr="002F4F7E">
        <w:rPr>
          <w:b/>
          <w:lang w:eastAsia="en-AU"/>
        </w:rPr>
        <w:t xml:space="preserve">Coram: </w:t>
      </w:r>
      <w:r w:rsidR="005561AE" w:rsidRPr="005561AE">
        <w:rPr>
          <w:lang w:eastAsia="en-AU"/>
        </w:rPr>
        <w:t>Mogoeng CJ, Jafta, Khampepe, Madlanga, Majiedt, Mhlantla J</w:t>
      </w:r>
      <w:r w:rsidR="005561AE">
        <w:rPr>
          <w:lang w:eastAsia="en-AU"/>
        </w:rPr>
        <w:t>J</w:t>
      </w:r>
      <w:r w:rsidR="005561AE" w:rsidRPr="005561AE">
        <w:rPr>
          <w:lang w:eastAsia="en-AU"/>
        </w:rPr>
        <w:t>, Pillay AJ, Theron J, Tlaletsi AJ and Tshiqi J</w:t>
      </w:r>
    </w:p>
    <w:p w14:paraId="55CA2A97" w14:textId="77777777" w:rsidR="0048654B" w:rsidRPr="002F4F7E" w:rsidRDefault="0048654B" w:rsidP="0048654B">
      <w:pPr>
        <w:rPr>
          <w:lang w:eastAsia="en-AU"/>
        </w:rPr>
      </w:pPr>
    </w:p>
    <w:p w14:paraId="47D0C4DD" w14:textId="77777777" w:rsidR="0048654B" w:rsidRPr="002F4F7E" w:rsidRDefault="0048654B" w:rsidP="0048654B">
      <w:pPr>
        <w:rPr>
          <w:b/>
          <w:lang w:eastAsia="en-AU"/>
        </w:rPr>
      </w:pPr>
      <w:r>
        <w:rPr>
          <w:b/>
          <w:lang w:eastAsia="en-AU"/>
        </w:rPr>
        <w:t>Catchwords:</w:t>
      </w:r>
    </w:p>
    <w:p w14:paraId="2F1D1C3E" w14:textId="77777777" w:rsidR="0048654B" w:rsidRPr="00856E9C" w:rsidRDefault="0048654B" w:rsidP="0048654B">
      <w:pPr>
        <w:rPr>
          <w:b/>
          <w:highlight w:val="yellow"/>
          <w:lang w:eastAsia="en-AU"/>
        </w:rPr>
      </w:pPr>
    </w:p>
    <w:p w14:paraId="0AD134B8" w14:textId="77777777" w:rsidR="0048654B" w:rsidRPr="005561AE" w:rsidRDefault="005561AE" w:rsidP="0048654B">
      <w:pPr>
        <w:ind w:left="720"/>
        <w:rPr>
          <w:i/>
          <w:lang w:eastAsia="en-AU"/>
        </w:rPr>
      </w:pPr>
      <w:r>
        <w:rPr>
          <w:lang w:eastAsia="en-AU"/>
        </w:rPr>
        <w:t xml:space="preserve">Guardianship and protection – Curatorship – Unsound mind – Statute of limitations – Prescription – </w:t>
      </w:r>
      <w:r w:rsidR="00C36EAB">
        <w:rPr>
          <w:lang w:eastAsia="en-AU"/>
        </w:rPr>
        <w:t>Statutory interpretation – Inconsistent statutes</w:t>
      </w:r>
      <w:r>
        <w:rPr>
          <w:lang w:eastAsia="en-AU"/>
        </w:rPr>
        <w:t xml:space="preserve"> – Where Jacobs injured in motor vehicle collision and sustained severe head injuries rendering him of unsound mind – Where mother lodged claim for compensation with respondent seven years after incident – Where respondent dismissed claim because s 23(1) of </w:t>
      </w:r>
      <w:r>
        <w:rPr>
          <w:i/>
          <w:lang w:eastAsia="en-AU"/>
        </w:rPr>
        <w:t>Road Accident Fund Act 56 of 1996</w:t>
      </w:r>
      <w:r>
        <w:rPr>
          <w:lang w:eastAsia="en-AU"/>
        </w:rPr>
        <w:t xml:space="preserve"> prescribed claims lodged after three years after incident – Where s 23(1) allowed exception only if person detained pursuant to mental health legislation or placed under curatorship – Where applicant Jacobs</w:t>
      </w:r>
      <w:r w:rsidR="00DA6539">
        <w:rPr>
          <w:lang w:eastAsia="en-AU"/>
        </w:rPr>
        <w:t>'</w:t>
      </w:r>
      <w:r>
        <w:rPr>
          <w:lang w:eastAsia="en-AU"/>
        </w:rPr>
        <w:t xml:space="preserve"> curator appointed seven years after incident because Jacobs</w:t>
      </w:r>
      <w:r w:rsidR="00DA6539">
        <w:rPr>
          <w:lang w:eastAsia="en-AU"/>
        </w:rPr>
        <w:t>'</w:t>
      </w:r>
      <w:r>
        <w:rPr>
          <w:lang w:eastAsia="en-AU"/>
        </w:rPr>
        <w:t xml:space="preserve"> disability did not allow for earlier appointment – Where s 13(1)(a) of </w:t>
      </w:r>
      <w:r>
        <w:rPr>
          <w:i/>
          <w:lang w:eastAsia="en-AU"/>
        </w:rPr>
        <w:t xml:space="preserve">Prescription Act 68 of 1969 </w:t>
      </w:r>
      <w:r>
        <w:rPr>
          <w:lang w:eastAsia="en-AU"/>
        </w:rPr>
        <w:t xml:space="preserve">provided exception in cases of incapacity such that claims prescribed one year after impediment ceases to exist – Where High Court and Supreme Court of Appeal held s 13 of </w:t>
      </w:r>
      <w:r>
        <w:rPr>
          <w:i/>
          <w:lang w:eastAsia="en-AU"/>
        </w:rPr>
        <w:t xml:space="preserve">Prescription Act </w:t>
      </w:r>
      <w:r w:rsidR="00C36EAB">
        <w:rPr>
          <w:lang w:eastAsia="en-AU"/>
        </w:rPr>
        <w:t xml:space="preserve">inconsistent with s 23 of </w:t>
      </w:r>
      <w:r w:rsidR="00C36EAB">
        <w:rPr>
          <w:i/>
          <w:lang w:eastAsia="en-AU"/>
        </w:rPr>
        <w:t xml:space="preserve">Road Accident Fund Act </w:t>
      </w:r>
      <w:r w:rsidR="00C36EAB">
        <w:rPr>
          <w:lang w:eastAsia="en-AU"/>
        </w:rPr>
        <w:t>and held latter Act prevailed and Jacobs</w:t>
      </w:r>
      <w:r w:rsidR="00DA6539">
        <w:rPr>
          <w:lang w:eastAsia="en-AU"/>
        </w:rPr>
        <w:t>'</w:t>
      </w:r>
      <w:r w:rsidR="00C36EAB">
        <w:rPr>
          <w:lang w:eastAsia="en-AU"/>
        </w:rPr>
        <w:t xml:space="preserve"> </w:t>
      </w:r>
      <w:r>
        <w:rPr>
          <w:lang w:eastAsia="en-AU"/>
        </w:rPr>
        <w:t xml:space="preserve">claim time barred – </w:t>
      </w:r>
      <w:r w:rsidR="00C36EAB">
        <w:rPr>
          <w:lang w:eastAsia="en-AU"/>
        </w:rPr>
        <w:t xml:space="preserve">Whether Jacobs could have brought claim earlier – Whether prescription runs from time of appointment of curatorship – Whether s 13 of </w:t>
      </w:r>
      <w:r w:rsidR="00C36EAB">
        <w:rPr>
          <w:i/>
          <w:lang w:eastAsia="en-AU"/>
        </w:rPr>
        <w:t xml:space="preserve">Prescription Act </w:t>
      </w:r>
      <w:r w:rsidR="00C36EAB">
        <w:rPr>
          <w:lang w:eastAsia="en-AU"/>
        </w:rPr>
        <w:t xml:space="preserve">and s 23 of </w:t>
      </w:r>
      <w:r w:rsidR="00C36EAB">
        <w:rPr>
          <w:i/>
          <w:lang w:eastAsia="en-AU"/>
        </w:rPr>
        <w:t xml:space="preserve">Road Accident Fund Act </w:t>
      </w:r>
      <w:r w:rsidR="00C36EAB">
        <w:rPr>
          <w:lang w:eastAsia="en-AU"/>
        </w:rPr>
        <w:t xml:space="preserve">can be reconciled – </w:t>
      </w:r>
      <w:r>
        <w:rPr>
          <w:lang w:eastAsia="en-AU"/>
        </w:rPr>
        <w:t xml:space="preserve">Whether </w:t>
      </w:r>
      <w:r w:rsidR="00C36EAB">
        <w:rPr>
          <w:lang w:eastAsia="en-AU"/>
        </w:rPr>
        <w:t>Jacobs</w:t>
      </w:r>
      <w:r w:rsidR="00DA6539">
        <w:rPr>
          <w:lang w:eastAsia="en-AU"/>
        </w:rPr>
        <w:t>'</w:t>
      </w:r>
      <w:r w:rsidR="00C36EAB">
        <w:rPr>
          <w:lang w:eastAsia="en-AU"/>
        </w:rPr>
        <w:t xml:space="preserve">s claim time barred. </w:t>
      </w:r>
    </w:p>
    <w:p w14:paraId="16E0212E" w14:textId="77777777" w:rsidR="0048654B" w:rsidRPr="00856E9C" w:rsidRDefault="0048654B" w:rsidP="0048654B">
      <w:pPr>
        <w:ind w:left="720"/>
        <w:rPr>
          <w:highlight w:val="yellow"/>
          <w:lang w:eastAsia="en-AU"/>
        </w:rPr>
      </w:pPr>
    </w:p>
    <w:p w14:paraId="2F65AD3D" w14:textId="77777777" w:rsidR="0048654B" w:rsidRPr="000D3E8D" w:rsidRDefault="0048654B" w:rsidP="00863B33">
      <w:pPr>
        <w:rPr>
          <w:lang w:eastAsia="en-AU"/>
        </w:rPr>
      </w:pPr>
      <w:r w:rsidRPr="002F4F7E">
        <w:rPr>
          <w:b/>
          <w:lang w:eastAsia="en-AU"/>
        </w:rPr>
        <w:t>Held (</w:t>
      </w:r>
      <w:r>
        <w:rPr>
          <w:b/>
          <w:lang w:eastAsia="en-AU"/>
        </w:rPr>
        <w:t>8:0</w:t>
      </w:r>
      <w:r w:rsidRPr="002F4F7E">
        <w:rPr>
          <w:b/>
          <w:lang w:eastAsia="en-AU"/>
        </w:rPr>
        <w:t xml:space="preserve">): </w:t>
      </w:r>
      <w:r>
        <w:rPr>
          <w:lang w:eastAsia="en-AU"/>
        </w:rPr>
        <w:t>Leave to appeal granted; appeal allowed.</w:t>
      </w:r>
    </w:p>
    <w:p w14:paraId="6AB3DA98" w14:textId="77777777" w:rsidR="00F217CC" w:rsidRPr="00B546B2" w:rsidRDefault="00F217CC" w:rsidP="00F217CC">
      <w:pPr>
        <w:pStyle w:val="BullDivider2"/>
        <w:rPr>
          <w:rFonts w:cs="Arial"/>
          <w:highlight w:val="yellow"/>
        </w:rPr>
      </w:pPr>
    </w:p>
    <w:p w14:paraId="10D5E678" w14:textId="77777777" w:rsidR="00F217CC" w:rsidRDefault="00F217CC" w:rsidP="00F217CC"/>
    <w:p w14:paraId="78F7369F" w14:textId="77777777" w:rsidR="00F217CC" w:rsidRDefault="00F217CC" w:rsidP="00F217CC">
      <w:pPr>
        <w:pStyle w:val="Heading1"/>
      </w:pPr>
      <w:r>
        <w:t>Human Rights</w:t>
      </w:r>
    </w:p>
    <w:p w14:paraId="3EF77855" w14:textId="77777777" w:rsidR="004D5C54" w:rsidRPr="004D5C54" w:rsidRDefault="004D5C54" w:rsidP="004D5C54">
      <w:pPr>
        <w:rPr>
          <w:lang w:eastAsia="en-AU"/>
        </w:rPr>
      </w:pPr>
    </w:p>
    <w:p w14:paraId="36D03769" w14:textId="77777777" w:rsidR="004D5C54" w:rsidRDefault="004D5C54" w:rsidP="004D5C54">
      <w:pPr>
        <w:pStyle w:val="Heading2"/>
        <w:rPr>
          <w:i w:val="0"/>
          <w:iCs w:val="0"/>
        </w:rPr>
      </w:pPr>
      <w:r w:rsidRPr="004D5C54">
        <w:rPr>
          <w:bCs w:val="0"/>
        </w:rPr>
        <w:t>Abore</w:t>
      </w:r>
      <w:r w:rsidRPr="004D5C54">
        <w:t xml:space="preserve"> v Minister of Home Affairs</w:t>
      </w:r>
      <w:r>
        <w:rPr>
          <w:i w:val="0"/>
          <w:iCs w:val="0"/>
        </w:rPr>
        <w:t xml:space="preserve"> &amp; Anor</w:t>
      </w:r>
    </w:p>
    <w:p w14:paraId="6CEA8B83" w14:textId="77777777" w:rsidR="00B44229" w:rsidRPr="00B44229" w:rsidRDefault="004D5C54" w:rsidP="00B44229">
      <w:pPr>
        <w:rPr>
          <w:b/>
          <w:lang w:eastAsia="en-AU"/>
        </w:rPr>
      </w:pPr>
      <w:r>
        <w:rPr>
          <w:b/>
          <w:lang w:eastAsia="en-AU"/>
        </w:rPr>
        <w:t>Constitutional Court of South Africa</w:t>
      </w:r>
      <w:r w:rsidR="00B44229" w:rsidRPr="00B44229">
        <w:rPr>
          <w:b/>
          <w:lang w:eastAsia="en-AU"/>
        </w:rPr>
        <w:t>:</w:t>
      </w:r>
      <w:r>
        <w:rPr>
          <w:b/>
          <w:lang w:eastAsia="en-AU"/>
        </w:rPr>
        <w:t xml:space="preserve"> </w:t>
      </w:r>
      <w:hyperlink r:id="rId31" w:history="1">
        <w:r w:rsidRPr="004D5C54">
          <w:rPr>
            <w:rStyle w:val="Hyperlink"/>
            <w:lang w:eastAsia="en-AU"/>
          </w:rPr>
          <w:t>[2021] ZACC 50</w:t>
        </w:r>
      </w:hyperlink>
    </w:p>
    <w:p w14:paraId="7CF70EA8" w14:textId="77777777" w:rsidR="00B44229" w:rsidRPr="00B44229" w:rsidRDefault="00B44229" w:rsidP="00B44229">
      <w:pPr>
        <w:rPr>
          <w:lang w:eastAsia="en-AU"/>
        </w:rPr>
      </w:pPr>
    </w:p>
    <w:p w14:paraId="2CFA3CCB" w14:textId="77777777" w:rsidR="00B44229" w:rsidRPr="00B44229" w:rsidRDefault="00B44229" w:rsidP="00B44229">
      <w:pPr>
        <w:rPr>
          <w:lang w:eastAsia="en-AU"/>
        </w:rPr>
      </w:pPr>
      <w:r w:rsidRPr="00B44229">
        <w:rPr>
          <w:b/>
          <w:lang w:eastAsia="en-AU"/>
        </w:rPr>
        <w:t>Judgment delivered:</w:t>
      </w:r>
      <w:r w:rsidRPr="00B44229">
        <w:rPr>
          <w:lang w:eastAsia="en-AU"/>
        </w:rPr>
        <w:t xml:space="preserve"> </w:t>
      </w:r>
      <w:r w:rsidR="004D5C54">
        <w:rPr>
          <w:lang w:eastAsia="en-AU"/>
        </w:rPr>
        <w:t>30</w:t>
      </w:r>
      <w:r w:rsidRPr="00B44229">
        <w:rPr>
          <w:lang w:eastAsia="en-AU"/>
        </w:rPr>
        <w:t xml:space="preserve"> December 2021</w:t>
      </w:r>
    </w:p>
    <w:p w14:paraId="16FAF1AB" w14:textId="77777777" w:rsidR="00B44229" w:rsidRPr="00B44229" w:rsidRDefault="00B44229" w:rsidP="00B44229">
      <w:pPr>
        <w:rPr>
          <w:lang w:eastAsia="en-AU"/>
        </w:rPr>
      </w:pPr>
    </w:p>
    <w:p w14:paraId="3415F042" w14:textId="77777777" w:rsidR="00B44229" w:rsidRPr="00B44229" w:rsidRDefault="00B44229" w:rsidP="00B44229">
      <w:pPr>
        <w:rPr>
          <w:lang w:eastAsia="en-AU"/>
        </w:rPr>
      </w:pPr>
      <w:r w:rsidRPr="00B44229">
        <w:rPr>
          <w:b/>
          <w:lang w:eastAsia="en-AU"/>
        </w:rPr>
        <w:t xml:space="preserve">Coram: </w:t>
      </w:r>
      <w:r w:rsidR="004D5C54" w:rsidRPr="004D5C54">
        <w:t xml:space="preserve">Zondo ACJ, Madlanga J, Madondo AJ, Majiedt, Mhlantla </w:t>
      </w:r>
      <w:r w:rsidR="000A1BDC">
        <w:t>J</w:t>
      </w:r>
      <w:r w:rsidR="004D5C54" w:rsidRPr="004D5C54">
        <w:t>J, Pillay, Rogers A</w:t>
      </w:r>
      <w:r w:rsidR="000A1BDC">
        <w:t>J</w:t>
      </w:r>
      <w:r w:rsidR="004D5C54" w:rsidRPr="004D5C54">
        <w:t>J, Theron J, Tlaletsi AJ and Tshiqi J</w:t>
      </w:r>
    </w:p>
    <w:p w14:paraId="48AEE439" w14:textId="77777777" w:rsidR="00B44229" w:rsidRPr="00B44229" w:rsidRDefault="00B44229" w:rsidP="00B44229">
      <w:pPr>
        <w:rPr>
          <w:lang w:eastAsia="en-AU"/>
        </w:rPr>
      </w:pPr>
    </w:p>
    <w:p w14:paraId="78764D26" w14:textId="77777777" w:rsidR="00B44229" w:rsidRPr="00B44229" w:rsidRDefault="00B44229" w:rsidP="00B44229">
      <w:pPr>
        <w:rPr>
          <w:b/>
          <w:lang w:eastAsia="en-AU"/>
        </w:rPr>
      </w:pPr>
      <w:r w:rsidRPr="00B44229">
        <w:rPr>
          <w:b/>
          <w:lang w:eastAsia="en-AU"/>
        </w:rPr>
        <w:t>Catchwords:</w:t>
      </w:r>
    </w:p>
    <w:p w14:paraId="6D7AA0F7" w14:textId="77777777" w:rsidR="00B44229" w:rsidRPr="00B44229" w:rsidRDefault="00B44229" w:rsidP="00B44229">
      <w:pPr>
        <w:rPr>
          <w:b/>
          <w:highlight w:val="yellow"/>
          <w:lang w:eastAsia="en-AU"/>
        </w:rPr>
      </w:pPr>
    </w:p>
    <w:p w14:paraId="147E0ECE" w14:textId="3A3162E0" w:rsidR="00B44229" w:rsidRPr="00B44229" w:rsidRDefault="00B44229" w:rsidP="009B3DA0">
      <w:pPr>
        <w:ind w:left="720"/>
        <w:rPr>
          <w:lang w:eastAsia="en-AU"/>
        </w:rPr>
      </w:pPr>
      <w:r w:rsidRPr="00B44229">
        <w:rPr>
          <w:lang w:eastAsia="en-AU"/>
        </w:rPr>
        <w:lastRenderedPageBreak/>
        <w:t xml:space="preserve">Human rights – </w:t>
      </w:r>
      <w:r w:rsidR="00D74A04">
        <w:rPr>
          <w:lang w:eastAsia="en-AU"/>
        </w:rPr>
        <w:t>Refugee law – A</w:t>
      </w:r>
      <w:r w:rsidR="00D74A04" w:rsidRPr="00D74A04">
        <w:rPr>
          <w:lang w:eastAsia="en-AU"/>
        </w:rPr>
        <w:t xml:space="preserve">pplication for leave to appeal directly against order of High Court </w:t>
      </w:r>
      <w:r w:rsidR="00D74A04">
        <w:rPr>
          <w:lang w:eastAsia="en-AU"/>
        </w:rPr>
        <w:t xml:space="preserve">– Where High Court </w:t>
      </w:r>
      <w:r w:rsidR="00D74A04" w:rsidRPr="00D74A04">
        <w:rPr>
          <w:lang w:eastAsia="en-AU"/>
        </w:rPr>
        <w:t>dismissed applicant</w:t>
      </w:r>
      <w:r w:rsidR="00DA6539">
        <w:rPr>
          <w:lang w:eastAsia="en-AU"/>
        </w:rPr>
        <w:t>'</w:t>
      </w:r>
      <w:r w:rsidR="00D74A04" w:rsidRPr="00D74A04">
        <w:rPr>
          <w:lang w:eastAsia="en-AU"/>
        </w:rPr>
        <w:t xml:space="preserve">s application </w:t>
      </w:r>
      <w:r w:rsidR="00D74A04">
        <w:rPr>
          <w:lang w:eastAsia="en-AU"/>
        </w:rPr>
        <w:t>for order</w:t>
      </w:r>
      <w:r w:rsidR="00D74A04" w:rsidRPr="00D74A04">
        <w:rPr>
          <w:lang w:eastAsia="en-AU"/>
        </w:rPr>
        <w:t xml:space="preserve"> interdicting respondents from deporting applicant until status under </w:t>
      </w:r>
      <w:r w:rsidR="00D74A04" w:rsidRPr="005C34ED">
        <w:rPr>
          <w:i/>
          <w:iCs/>
          <w:lang w:eastAsia="en-AU"/>
        </w:rPr>
        <w:t>Refugees Act</w:t>
      </w:r>
      <w:r w:rsidR="005C34ED">
        <w:rPr>
          <w:i/>
          <w:iCs/>
          <w:lang w:eastAsia="en-AU"/>
        </w:rPr>
        <w:t xml:space="preserve"> 130 of 1998</w:t>
      </w:r>
      <w:r w:rsidR="00D74A04" w:rsidRPr="00D74A04">
        <w:rPr>
          <w:lang w:eastAsia="en-AU"/>
        </w:rPr>
        <w:t>,</w:t>
      </w:r>
      <w:r w:rsidR="00D74A04">
        <w:rPr>
          <w:lang w:eastAsia="en-AU"/>
        </w:rPr>
        <w:t xml:space="preserve"> </w:t>
      </w:r>
      <w:r w:rsidR="00D74A04" w:rsidRPr="00D74A04">
        <w:rPr>
          <w:lang w:eastAsia="en-AU"/>
        </w:rPr>
        <w:t xml:space="preserve">alternatively under </w:t>
      </w:r>
      <w:r w:rsidR="00D74A04" w:rsidRPr="005C34ED">
        <w:rPr>
          <w:i/>
          <w:iCs/>
          <w:lang w:eastAsia="en-AU"/>
        </w:rPr>
        <w:t>Refugees Amendment Act</w:t>
      </w:r>
      <w:r w:rsidR="005C34ED">
        <w:rPr>
          <w:i/>
          <w:iCs/>
          <w:lang w:eastAsia="en-AU"/>
        </w:rPr>
        <w:t xml:space="preserve"> 11 of 2017</w:t>
      </w:r>
      <w:r w:rsidR="00D74A04" w:rsidRPr="00D74A04">
        <w:rPr>
          <w:lang w:eastAsia="en-AU"/>
        </w:rPr>
        <w:t>, finally determined</w:t>
      </w:r>
      <w:r w:rsidR="00D74A04">
        <w:rPr>
          <w:lang w:eastAsia="en-AU"/>
        </w:rPr>
        <w:t xml:space="preserve"> –</w:t>
      </w:r>
      <w:r w:rsidR="00D74A04" w:rsidRPr="00D74A04">
        <w:rPr>
          <w:lang w:eastAsia="en-AU"/>
        </w:rPr>
        <w:t xml:space="preserve"> </w:t>
      </w:r>
      <w:r w:rsidR="00D74A04">
        <w:rPr>
          <w:lang w:eastAsia="en-AU"/>
        </w:rPr>
        <w:t xml:space="preserve">Where applicant </w:t>
      </w:r>
      <w:r w:rsidR="009B3DA0">
        <w:rPr>
          <w:lang w:eastAsia="en-AU"/>
        </w:rPr>
        <w:t xml:space="preserve">illegal foreigner claiming </w:t>
      </w:r>
      <w:r w:rsidR="00D74A04">
        <w:rPr>
          <w:lang w:eastAsia="en-AU"/>
        </w:rPr>
        <w:t xml:space="preserve">to have fled to South Africa fearing persecution – Whether leave for direct appeal be granted </w:t>
      </w:r>
      <w:r w:rsidR="009B3DA0">
        <w:rPr>
          <w:lang w:eastAsia="en-AU"/>
        </w:rPr>
        <w:t>–</w:t>
      </w:r>
      <w:r w:rsidR="00D74A04">
        <w:rPr>
          <w:lang w:eastAsia="en-AU"/>
        </w:rPr>
        <w:t xml:space="preserve"> </w:t>
      </w:r>
      <w:r w:rsidR="009B3DA0">
        <w:rPr>
          <w:lang w:eastAsia="en-AU"/>
        </w:rPr>
        <w:t>Whether amendments to Refugees Act apply to applicant – Whether illegal foreigner who claims to be refugee, and expresses intention to apply for asylum, should be permitted to apply in terms of Refugees Act – Whether delay between illegal foreigner</w:t>
      </w:r>
      <w:r w:rsidR="00DA6539">
        <w:rPr>
          <w:lang w:eastAsia="en-AU"/>
        </w:rPr>
        <w:t>'</w:t>
      </w:r>
      <w:r w:rsidR="009B3DA0">
        <w:rPr>
          <w:lang w:eastAsia="en-AU"/>
        </w:rPr>
        <w:t>s arrival and expression of intention to apply for asylum bars application for refugee status – Whether applicant</w:t>
      </w:r>
      <w:r w:rsidR="00DA6539">
        <w:rPr>
          <w:lang w:eastAsia="en-AU"/>
        </w:rPr>
        <w:t>'</w:t>
      </w:r>
      <w:r w:rsidR="009B3DA0">
        <w:rPr>
          <w:lang w:eastAsia="en-AU"/>
        </w:rPr>
        <w:t xml:space="preserve">s detention unlawful or whether limitation of his freedom justified under section 36 of </w:t>
      </w:r>
      <w:r w:rsidR="009B3DA0" w:rsidRPr="005C34ED">
        <w:rPr>
          <w:i/>
          <w:iCs/>
          <w:lang w:eastAsia="en-AU"/>
        </w:rPr>
        <w:t>Constitution</w:t>
      </w:r>
      <w:r w:rsidR="009B3DA0">
        <w:rPr>
          <w:lang w:eastAsia="en-AU"/>
        </w:rPr>
        <w:t>.</w:t>
      </w:r>
    </w:p>
    <w:p w14:paraId="430ABE0B" w14:textId="77777777" w:rsidR="00B44229" w:rsidRPr="00B44229" w:rsidRDefault="00B44229" w:rsidP="00B44229">
      <w:pPr>
        <w:ind w:left="720"/>
        <w:rPr>
          <w:highlight w:val="yellow"/>
          <w:lang w:eastAsia="en-AU"/>
        </w:rPr>
      </w:pPr>
    </w:p>
    <w:p w14:paraId="0E29713C" w14:textId="77777777" w:rsidR="00B44229" w:rsidRPr="00B44229" w:rsidRDefault="00B44229" w:rsidP="00B44229">
      <w:pPr>
        <w:rPr>
          <w:lang w:eastAsia="en-AU"/>
        </w:rPr>
      </w:pPr>
      <w:r w:rsidRPr="00B44229">
        <w:rPr>
          <w:b/>
          <w:lang w:eastAsia="en-AU"/>
        </w:rPr>
        <w:t>Held (</w:t>
      </w:r>
      <w:r w:rsidR="004D5C54">
        <w:rPr>
          <w:b/>
          <w:lang w:eastAsia="en-AU"/>
        </w:rPr>
        <w:t>9</w:t>
      </w:r>
      <w:r w:rsidRPr="00B44229">
        <w:rPr>
          <w:b/>
          <w:lang w:eastAsia="en-AU"/>
        </w:rPr>
        <w:t xml:space="preserve">:0): </w:t>
      </w:r>
      <w:r w:rsidR="004D5C54">
        <w:rPr>
          <w:lang w:eastAsia="en-AU"/>
        </w:rPr>
        <w:t>Leave for direct appeal granted; appeal upheld</w:t>
      </w:r>
      <w:r w:rsidRPr="00B44229">
        <w:rPr>
          <w:lang w:eastAsia="en-AU"/>
        </w:rPr>
        <w:t>.</w:t>
      </w:r>
    </w:p>
    <w:p w14:paraId="66E9B7FA" w14:textId="77777777" w:rsidR="00B44229" w:rsidRPr="00B44229" w:rsidRDefault="00B44229" w:rsidP="00B44229">
      <w:pPr>
        <w:pBdr>
          <w:bottom w:val="dotted" w:sz="4" w:space="0" w:color="auto"/>
        </w:pBdr>
        <w:rPr>
          <w:szCs w:val="20"/>
          <w:lang w:eastAsia="en-AU"/>
        </w:rPr>
      </w:pPr>
    </w:p>
    <w:p w14:paraId="2F43DFF7" w14:textId="77777777" w:rsidR="00F217CC" w:rsidRDefault="00F217CC" w:rsidP="00F217CC">
      <w:pPr>
        <w:rPr>
          <w:lang w:eastAsia="en-AU"/>
        </w:rPr>
      </w:pPr>
    </w:p>
    <w:p w14:paraId="59F3E105" w14:textId="77777777" w:rsidR="00F217CC" w:rsidRPr="00B842BB" w:rsidRDefault="001364EF" w:rsidP="001364EF">
      <w:pPr>
        <w:pStyle w:val="Heading2"/>
        <w:rPr>
          <w:bCs w:val="0"/>
        </w:rPr>
      </w:pPr>
      <w:r w:rsidRPr="001364EF">
        <w:rPr>
          <w:bCs w:val="0"/>
        </w:rPr>
        <w:t>In the matter of an application by Margaret McQuillan</w:t>
      </w:r>
      <w:r>
        <w:rPr>
          <w:bCs w:val="0"/>
        </w:rPr>
        <w:t xml:space="preserve"> </w:t>
      </w:r>
      <w:r w:rsidRPr="001364EF">
        <w:rPr>
          <w:bCs w:val="0"/>
        </w:rPr>
        <w:t>for Judicial Review (Northern Ireland) (Nos 1, 2 and 3)</w:t>
      </w:r>
      <w:r>
        <w:rPr>
          <w:bCs w:val="0"/>
        </w:rPr>
        <w:t xml:space="preserve">; </w:t>
      </w:r>
      <w:r w:rsidRPr="001364EF">
        <w:rPr>
          <w:bCs w:val="0"/>
        </w:rPr>
        <w:t>In the matter of an application by Francis McGuigan</w:t>
      </w:r>
      <w:r>
        <w:rPr>
          <w:bCs w:val="0"/>
        </w:rPr>
        <w:t xml:space="preserve"> </w:t>
      </w:r>
      <w:r w:rsidRPr="001364EF">
        <w:rPr>
          <w:bCs w:val="0"/>
        </w:rPr>
        <w:t>for Judicial Review (Northern Ireland) (Nos 1, 2 and 3)</w:t>
      </w:r>
      <w:r>
        <w:rPr>
          <w:bCs w:val="0"/>
        </w:rPr>
        <w:t xml:space="preserve">; </w:t>
      </w:r>
      <w:r w:rsidRPr="001364EF">
        <w:rPr>
          <w:bCs w:val="0"/>
        </w:rPr>
        <w:t>In the matter of an application by Mary McKenna for</w:t>
      </w:r>
      <w:r>
        <w:rPr>
          <w:bCs w:val="0"/>
        </w:rPr>
        <w:t xml:space="preserve"> </w:t>
      </w:r>
      <w:r w:rsidRPr="001364EF">
        <w:rPr>
          <w:bCs w:val="0"/>
        </w:rPr>
        <w:t>Judicial Review (Northern Ireland) (Nos 1 and 2)</w:t>
      </w:r>
    </w:p>
    <w:p w14:paraId="7C0C51EE" w14:textId="77777777" w:rsidR="00F217CC" w:rsidRPr="00863B33" w:rsidRDefault="00F217CC" w:rsidP="00F217CC">
      <w:pPr>
        <w:rPr>
          <w:b/>
          <w:lang w:eastAsia="en-AU"/>
        </w:rPr>
      </w:pPr>
      <w:r>
        <w:rPr>
          <w:b/>
          <w:lang w:eastAsia="en-AU"/>
        </w:rPr>
        <w:t xml:space="preserve">Supreme </w:t>
      </w:r>
      <w:r w:rsidRPr="002F4F7E">
        <w:rPr>
          <w:b/>
          <w:lang w:eastAsia="en-AU"/>
        </w:rPr>
        <w:t>Court</w:t>
      </w:r>
      <w:r>
        <w:rPr>
          <w:b/>
          <w:lang w:eastAsia="en-AU"/>
        </w:rPr>
        <w:t xml:space="preserve"> of </w:t>
      </w:r>
      <w:r w:rsidR="001364EF">
        <w:rPr>
          <w:b/>
          <w:lang w:eastAsia="en-AU"/>
        </w:rPr>
        <w:t>the United Kingdom</w:t>
      </w:r>
      <w:r w:rsidRPr="002F4F7E">
        <w:rPr>
          <w:b/>
          <w:lang w:eastAsia="en-AU"/>
        </w:rPr>
        <w:t xml:space="preserve">: </w:t>
      </w:r>
      <w:hyperlink r:id="rId32" w:history="1">
        <w:r w:rsidR="001364EF" w:rsidRPr="001364EF">
          <w:rPr>
            <w:rStyle w:val="Hyperlink"/>
            <w:lang w:eastAsia="en-AU"/>
          </w:rPr>
          <w:t>[2021] UKSC 55</w:t>
        </w:r>
      </w:hyperlink>
    </w:p>
    <w:p w14:paraId="7FB024D9" w14:textId="77777777" w:rsidR="00F217CC" w:rsidRPr="002F4F7E" w:rsidRDefault="00F217CC" w:rsidP="00F217CC">
      <w:pPr>
        <w:rPr>
          <w:lang w:eastAsia="en-AU"/>
        </w:rPr>
      </w:pPr>
    </w:p>
    <w:p w14:paraId="23828FBF" w14:textId="77777777" w:rsidR="00F217CC" w:rsidRPr="002F4F7E" w:rsidRDefault="00F217CC" w:rsidP="00F217CC">
      <w:pPr>
        <w:rPr>
          <w:lang w:eastAsia="en-AU"/>
        </w:rPr>
      </w:pPr>
      <w:r w:rsidRPr="002F4F7E">
        <w:rPr>
          <w:b/>
          <w:lang w:eastAsia="en-AU"/>
        </w:rPr>
        <w:t>Judgment delivered:</w:t>
      </w:r>
      <w:r w:rsidRPr="002F4F7E">
        <w:rPr>
          <w:lang w:eastAsia="en-AU"/>
        </w:rPr>
        <w:t xml:space="preserve"> </w:t>
      </w:r>
      <w:r>
        <w:rPr>
          <w:lang w:eastAsia="en-AU"/>
        </w:rPr>
        <w:t>15</w:t>
      </w:r>
      <w:r w:rsidR="001364EF">
        <w:rPr>
          <w:lang w:eastAsia="en-AU"/>
        </w:rPr>
        <w:t xml:space="preserve"> December</w:t>
      </w:r>
      <w:r>
        <w:rPr>
          <w:lang w:eastAsia="en-AU"/>
        </w:rPr>
        <w:t xml:space="preserve"> 2021</w:t>
      </w:r>
    </w:p>
    <w:p w14:paraId="62D1500D" w14:textId="77777777" w:rsidR="00F217CC" w:rsidRPr="002F4F7E" w:rsidRDefault="00F217CC" w:rsidP="00F217CC">
      <w:pPr>
        <w:rPr>
          <w:lang w:eastAsia="en-AU"/>
        </w:rPr>
      </w:pPr>
    </w:p>
    <w:p w14:paraId="12F8EF5F" w14:textId="77777777" w:rsidR="00F217CC" w:rsidRDefault="00F217CC" w:rsidP="00F217CC">
      <w:pPr>
        <w:rPr>
          <w:lang w:eastAsia="en-AU"/>
        </w:rPr>
      </w:pPr>
      <w:r w:rsidRPr="002F4F7E">
        <w:rPr>
          <w:b/>
          <w:lang w:eastAsia="en-AU"/>
        </w:rPr>
        <w:t xml:space="preserve">Coram: </w:t>
      </w:r>
      <w:r w:rsidR="001364EF" w:rsidRPr="001364EF">
        <w:t>Lord Hodge, Lord Lloyd-Jones, Lord Kitchin, Lord Sales, Lord Hamblen, Lord Leggatt</w:t>
      </w:r>
      <w:r w:rsidR="001364EF">
        <w:t xml:space="preserve"> and</w:t>
      </w:r>
      <w:r w:rsidR="001364EF" w:rsidRPr="001364EF">
        <w:t xml:space="preserve"> Lord Burrows</w:t>
      </w:r>
    </w:p>
    <w:p w14:paraId="7303D185" w14:textId="77777777" w:rsidR="00F217CC" w:rsidRPr="002F4F7E" w:rsidRDefault="00F217CC" w:rsidP="00F217CC">
      <w:pPr>
        <w:rPr>
          <w:lang w:eastAsia="en-AU"/>
        </w:rPr>
      </w:pPr>
    </w:p>
    <w:p w14:paraId="7489DC7D" w14:textId="77777777" w:rsidR="00F217CC" w:rsidRPr="002F4F7E" w:rsidRDefault="00F217CC" w:rsidP="00F217CC">
      <w:pPr>
        <w:rPr>
          <w:b/>
          <w:lang w:eastAsia="en-AU"/>
        </w:rPr>
      </w:pPr>
      <w:r>
        <w:rPr>
          <w:b/>
          <w:lang w:eastAsia="en-AU"/>
        </w:rPr>
        <w:t>Catchwords:</w:t>
      </w:r>
    </w:p>
    <w:p w14:paraId="67DCAD4E" w14:textId="77777777" w:rsidR="00F217CC" w:rsidRPr="00856E9C" w:rsidRDefault="00F217CC" w:rsidP="00F217CC">
      <w:pPr>
        <w:rPr>
          <w:b/>
          <w:highlight w:val="yellow"/>
          <w:lang w:eastAsia="en-AU"/>
        </w:rPr>
      </w:pPr>
    </w:p>
    <w:p w14:paraId="17F179F5" w14:textId="77777777" w:rsidR="00F217CC" w:rsidRDefault="00BF202A" w:rsidP="00E05630">
      <w:pPr>
        <w:ind w:left="720"/>
        <w:rPr>
          <w:lang w:eastAsia="en-AU"/>
        </w:rPr>
      </w:pPr>
      <w:r>
        <w:rPr>
          <w:lang w:eastAsia="en-AU"/>
        </w:rPr>
        <w:t xml:space="preserve">Human rights – Judicial review </w:t>
      </w:r>
      <w:r w:rsidR="00951B95">
        <w:rPr>
          <w:lang w:eastAsia="en-AU"/>
        </w:rPr>
        <w:t>–</w:t>
      </w:r>
      <w:r>
        <w:rPr>
          <w:lang w:eastAsia="en-AU"/>
        </w:rPr>
        <w:t xml:space="preserve"> </w:t>
      </w:r>
      <w:r w:rsidR="00332F75">
        <w:rPr>
          <w:lang w:eastAsia="en-AU"/>
        </w:rPr>
        <w:t xml:space="preserve">Events during Troubles of 1971 and 1972 – </w:t>
      </w:r>
      <w:r w:rsidR="00D442F5">
        <w:rPr>
          <w:lang w:eastAsia="en-AU"/>
        </w:rPr>
        <w:t xml:space="preserve">Where </w:t>
      </w:r>
      <w:r w:rsidR="000A546C">
        <w:rPr>
          <w:lang w:eastAsia="en-AU"/>
        </w:rPr>
        <w:t xml:space="preserve">fatal shooting during Troubles </w:t>
      </w:r>
      <w:r w:rsidR="00F27F0A">
        <w:rPr>
          <w:lang w:eastAsia="en-AU"/>
        </w:rPr>
        <w:t xml:space="preserve">(McQuillan case) </w:t>
      </w:r>
      <w:r w:rsidR="000A546C">
        <w:rPr>
          <w:lang w:eastAsia="en-AU"/>
        </w:rPr>
        <w:t xml:space="preserve">– </w:t>
      </w:r>
      <w:r w:rsidR="00E05630">
        <w:rPr>
          <w:lang w:eastAsia="en-AU"/>
        </w:rPr>
        <w:t xml:space="preserve">Where Hooded Men detained and subjected to serious ill-treatment </w:t>
      </w:r>
      <w:r w:rsidR="00332F75">
        <w:rPr>
          <w:lang w:eastAsia="en-AU"/>
        </w:rPr>
        <w:t>during Troubles</w:t>
      </w:r>
      <w:r w:rsidR="00E05630">
        <w:rPr>
          <w:lang w:eastAsia="en-AU"/>
        </w:rPr>
        <w:t xml:space="preserve"> </w:t>
      </w:r>
      <w:r w:rsidR="00740DFB">
        <w:rPr>
          <w:lang w:eastAsia="en-AU"/>
        </w:rPr>
        <w:t xml:space="preserve">(Hooded Men case) </w:t>
      </w:r>
      <w:r w:rsidR="00E05630">
        <w:rPr>
          <w:lang w:eastAsia="en-AU"/>
        </w:rPr>
        <w:t>–</w:t>
      </w:r>
      <w:r w:rsidR="00332F75">
        <w:rPr>
          <w:lang w:eastAsia="en-AU"/>
        </w:rPr>
        <w:t xml:space="preserve"> </w:t>
      </w:r>
      <w:r w:rsidR="000A546C">
        <w:rPr>
          <w:lang w:eastAsia="en-AU"/>
        </w:rPr>
        <w:t xml:space="preserve">Where, following discovery of new evidence, </w:t>
      </w:r>
      <w:r w:rsidR="00D442F5">
        <w:rPr>
          <w:lang w:eastAsia="en-AU"/>
        </w:rPr>
        <w:t xml:space="preserve">Chief Constable of Police Service of Northern Ireland (PSNI) </w:t>
      </w:r>
      <w:r w:rsidR="00E05630">
        <w:rPr>
          <w:lang w:eastAsia="en-AU"/>
        </w:rPr>
        <w:t>proposed further investigation</w:t>
      </w:r>
      <w:r w:rsidR="00D442F5">
        <w:rPr>
          <w:lang w:eastAsia="en-AU"/>
        </w:rPr>
        <w:t xml:space="preserve"> </w:t>
      </w:r>
      <w:r w:rsidR="00E05630">
        <w:rPr>
          <w:lang w:eastAsia="en-AU"/>
        </w:rPr>
        <w:t xml:space="preserve">into </w:t>
      </w:r>
      <w:r w:rsidR="00740DFB" w:rsidRPr="00740DFB">
        <w:rPr>
          <w:lang w:eastAsia="en-AU"/>
        </w:rPr>
        <w:t>McQuillan case</w:t>
      </w:r>
      <w:r w:rsidR="00613AC2">
        <w:rPr>
          <w:lang w:eastAsia="en-AU"/>
        </w:rPr>
        <w:t xml:space="preserve"> – Where </w:t>
      </w:r>
      <w:r w:rsidR="00740DFB">
        <w:rPr>
          <w:lang w:eastAsia="en-AU"/>
        </w:rPr>
        <w:t>PNSI alleged insufficiently independent</w:t>
      </w:r>
      <w:r w:rsidR="00E05630">
        <w:rPr>
          <w:lang w:eastAsia="en-AU"/>
        </w:rPr>
        <w:t xml:space="preserve"> </w:t>
      </w:r>
      <w:r w:rsidR="00D442F5">
        <w:rPr>
          <w:lang w:eastAsia="en-AU"/>
        </w:rPr>
        <w:t>–</w:t>
      </w:r>
      <w:r w:rsidR="00E05630">
        <w:rPr>
          <w:lang w:eastAsia="en-AU"/>
        </w:rPr>
        <w:t xml:space="preserve"> </w:t>
      </w:r>
      <w:r w:rsidR="00D442F5">
        <w:rPr>
          <w:lang w:eastAsia="en-AU"/>
        </w:rPr>
        <w:t>Where PSNI decided no evidence to warrant investigation</w:t>
      </w:r>
      <w:r w:rsidR="00057E62">
        <w:rPr>
          <w:lang w:eastAsia="en-AU"/>
        </w:rPr>
        <w:t xml:space="preserve"> </w:t>
      </w:r>
      <w:r w:rsidR="00D442F5">
        <w:rPr>
          <w:lang w:eastAsia="en-AU"/>
        </w:rPr>
        <w:t xml:space="preserve">into allegation that UK Government authorised and used torture in </w:t>
      </w:r>
      <w:r w:rsidR="00740DFB" w:rsidRPr="00740DFB">
        <w:rPr>
          <w:lang w:eastAsia="en-AU"/>
        </w:rPr>
        <w:t>Hooded Men case</w:t>
      </w:r>
      <w:r w:rsidR="00D442F5">
        <w:rPr>
          <w:lang w:eastAsia="en-AU"/>
        </w:rPr>
        <w:t xml:space="preserve"> – </w:t>
      </w:r>
      <w:r w:rsidR="00332F75">
        <w:rPr>
          <w:lang w:eastAsia="en-AU"/>
        </w:rPr>
        <w:t xml:space="preserve">Where </w:t>
      </w:r>
      <w:r w:rsidR="00332F75" w:rsidRPr="005C34ED">
        <w:rPr>
          <w:i/>
          <w:iCs/>
          <w:lang w:eastAsia="en-AU"/>
        </w:rPr>
        <w:t>Human Rights Act 1998</w:t>
      </w:r>
      <w:r w:rsidR="00332F75">
        <w:rPr>
          <w:lang w:eastAsia="en-AU"/>
        </w:rPr>
        <w:t xml:space="preserve"> (HRA) came into force on 2 October 2000</w:t>
      </w:r>
      <w:r w:rsidR="00057E62" w:rsidRPr="00057E62">
        <w:rPr>
          <w:lang w:eastAsia="en-AU"/>
        </w:rPr>
        <w:t>,</w:t>
      </w:r>
      <w:r w:rsidR="00332F75">
        <w:rPr>
          <w:lang w:eastAsia="en-AU"/>
        </w:rPr>
        <w:t xml:space="preserve"> requiring public authorities to act compatibly with </w:t>
      </w:r>
      <w:r w:rsidR="00057E62" w:rsidRPr="00057E62">
        <w:rPr>
          <w:lang w:eastAsia="en-AU"/>
        </w:rPr>
        <w:t xml:space="preserve">European Convention on Human Rights (Convention), </w:t>
      </w:r>
      <w:r w:rsidR="00332F75">
        <w:rPr>
          <w:lang w:eastAsia="en-AU"/>
        </w:rPr>
        <w:t xml:space="preserve">including articles 2 (right to life) and 3 (prohibition of torture) – </w:t>
      </w:r>
      <w:r w:rsidR="00F27F0A">
        <w:rPr>
          <w:lang w:eastAsia="en-AU"/>
        </w:rPr>
        <w:t xml:space="preserve">Whether, applying test in </w:t>
      </w:r>
      <w:r w:rsidR="00F27F0A" w:rsidRPr="00F27F0A">
        <w:rPr>
          <w:i/>
          <w:iCs/>
          <w:lang w:eastAsia="en-AU"/>
        </w:rPr>
        <w:t>Brecknell v United Kingdom</w:t>
      </w:r>
      <w:r w:rsidR="00F27F0A" w:rsidRPr="00F27F0A">
        <w:rPr>
          <w:lang w:eastAsia="en-AU"/>
        </w:rPr>
        <w:t xml:space="preserve"> (2008) 46 EHRR 42, new evidence </w:t>
      </w:r>
      <w:r w:rsidR="00740DFB">
        <w:rPr>
          <w:lang w:eastAsia="en-AU"/>
        </w:rPr>
        <w:t xml:space="preserve">in Hooded Men case </w:t>
      </w:r>
      <w:r w:rsidR="00F27F0A" w:rsidRPr="00F27F0A">
        <w:rPr>
          <w:lang w:eastAsia="en-AU"/>
        </w:rPr>
        <w:t>revive</w:t>
      </w:r>
      <w:r w:rsidR="00F27F0A">
        <w:rPr>
          <w:lang w:eastAsia="en-AU"/>
        </w:rPr>
        <w:t>s</w:t>
      </w:r>
      <w:r w:rsidR="00F27F0A" w:rsidRPr="00F27F0A">
        <w:rPr>
          <w:lang w:eastAsia="en-AU"/>
        </w:rPr>
        <w:t xml:space="preserve"> investigative obligation under </w:t>
      </w:r>
      <w:r w:rsidR="00F27F0A">
        <w:rPr>
          <w:lang w:eastAsia="en-AU"/>
        </w:rPr>
        <w:t>a</w:t>
      </w:r>
      <w:r w:rsidR="00F27F0A" w:rsidRPr="00F27F0A">
        <w:rPr>
          <w:lang w:eastAsia="en-AU"/>
        </w:rPr>
        <w:t>rticle 2</w:t>
      </w:r>
      <w:r w:rsidR="00F27F0A">
        <w:rPr>
          <w:lang w:eastAsia="en-AU"/>
        </w:rPr>
        <w:t xml:space="preserve"> – </w:t>
      </w:r>
      <w:r>
        <w:rPr>
          <w:lang w:eastAsia="en-AU"/>
        </w:rPr>
        <w:t>Whether obligation on UK Government to investigate death</w:t>
      </w:r>
      <w:r w:rsidR="00951B95">
        <w:rPr>
          <w:lang w:eastAsia="en-AU"/>
        </w:rPr>
        <w:t xml:space="preserve"> </w:t>
      </w:r>
      <w:r>
        <w:rPr>
          <w:lang w:eastAsia="en-AU"/>
        </w:rPr>
        <w:t xml:space="preserve">or allegation of torture or inhuman or degrading treatment under articles 2 and 3 requires </w:t>
      </w:r>
      <w:r w:rsidR="00DA6539">
        <w:rPr>
          <w:lang w:eastAsia="en-AU"/>
        </w:rPr>
        <w:t>"</w:t>
      </w:r>
      <w:r>
        <w:rPr>
          <w:lang w:eastAsia="en-AU"/>
        </w:rPr>
        <w:t>genuine connection</w:t>
      </w:r>
      <w:r w:rsidR="00DA6539">
        <w:rPr>
          <w:lang w:eastAsia="en-AU"/>
        </w:rPr>
        <w:t>"</w:t>
      </w:r>
      <w:r>
        <w:rPr>
          <w:lang w:eastAsia="en-AU"/>
        </w:rPr>
        <w:t>,</w:t>
      </w:r>
      <w:r w:rsidR="00951B95">
        <w:rPr>
          <w:lang w:eastAsia="en-AU"/>
        </w:rPr>
        <w:t xml:space="preserve"> </w:t>
      </w:r>
      <w:r>
        <w:rPr>
          <w:lang w:eastAsia="en-AU"/>
        </w:rPr>
        <w:t>including close temporal connection, between death or ill-treatment and coming into force of HRA</w:t>
      </w:r>
      <w:r w:rsidR="00951B95">
        <w:rPr>
          <w:lang w:eastAsia="en-AU"/>
        </w:rPr>
        <w:t xml:space="preserve"> – Proper test </w:t>
      </w:r>
      <w:r w:rsidR="00613AC2">
        <w:rPr>
          <w:lang w:eastAsia="en-AU"/>
        </w:rPr>
        <w:t>to</w:t>
      </w:r>
      <w:r w:rsidR="00951B95">
        <w:rPr>
          <w:lang w:eastAsia="en-AU"/>
        </w:rPr>
        <w:t xml:space="preserve"> assess independence of investigations by PSNI.</w:t>
      </w:r>
    </w:p>
    <w:p w14:paraId="25E05FB5" w14:textId="77777777" w:rsidR="00F217CC" w:rsidRPr="00856E9C" w:rsidRDefault="00F217CC" w:rsidP="00F217CC">
      <w:pPr>
        <w:ind w:left="720"/>
        <w:rPr>
          <w:highlight w:val="yellow"/>
          <w:lang w:eastAsia="en-AU"/>
        </w:rPr>
      </w:pPr>
    </w:p>
    <w:p w14:paraId="2BC462F8" w14:textId="77777777" w:rsidR="00F217CC" w:rsidRDefault="00F217CC" w:rsidP="00F217CC">
      <w:pPr>
        <w:rPr>
          <w:lang w:eastAsia="en-AU"/>
        </w:rPr>
      </w:pPr>
      <w:r w:rsidRPr="002F4F7E">
        <w:rPr>
          <w:b/>
          <w:lang w:eastAsia="en-AU"/>
        </w:rPr>
        <w:t>Held (</w:t>
      </w:r>
      <w:r w:rsidR="00C80723">
        <w:rPr>
          <w:b/>
          <w:lang w:eastAsia="en-AU"/>
        </w:rPr>
        <w:t>7</w:t>
      </w:r>
      <w:r>
        <w:rPr>
          <w:b/>
          <w:lang w:eastAsia="en-AU"/>
        </w:rPr>
        <w:t>:0</w:t>
      </w:r>
      <w:r w:rsidRPr="002F4F7E">
        <w:rPr>
          <w:b/>
          <w:lang w:eastAsia="en-AU"/>
        </w:rPr>
        <w:t xml:space="preserve">): </w:t>
      </w:r>
      <w:r>
        <w:rPr>
          <w:lang w:eastAsia="en-AU"/>
        </w:rPr>
        <w:t xml:space="preserve">Appeal </w:t>
      </w:r>
      <w:r w:rsidR="00471F89">
        <w:rPr>
          <w:lang w:eastAsia="en-AU"/>
        </w:rPr>
        <w:t>allowed</w:t>
      </w:r>
      <w:r>
        <w:rPr>
          <w:lang w:eastAsia="en-AU"/>
        </w:rPr>
        <w:t>.</w:t>
      </w:r>
    </w:p>
    <w:p w14:paraId="2815911F" w14:textId="77777777" w:rsidR="00F217CC" w:rsidRDefault="00F217CC" w:rsidP="00F217CC">
      <w:pPr>
        <w:pStyle w:val="BullDivider1"/>
        <w:pBdr>
          <w:bottom w:val="dotted" w:sz="4" w:space="0" w:color="auto"/>
        </w:pBdr>
      </w:pPr>
    </w:p>
    <w:p w14:paraId="5E6D219C" w14:textId="77777777" w:rsidR="006E2F10" w:rsidRPr="006E2F10" w:rsidRDefault="006E2F10" w:rsidP="006E2F10">
      <w:pPr>
        <w:rPr>
          <w:lang w:eastAsia="en-AU"/>
        </w:rPr>
      </w:pPr>
    </w:p>
    <w:p w14:paraId="1BAF453A" w14:textId="77777777" w:rsidR="006E2F10" w:rsidRDefault="006E2F10" w:rsidP="006E2F10">
      <w:pPr>
        <w:pStyle w:val="Heading2"/>
        <w:rPr>
          <w:i w:val="0"/>
          <w:iCs w:val="0"/>
        </w:rPr>
      </w:pPr>
      <w:r w:rsidRPr="006E2F10">
        <w:t xml:space="preserve">R (on the application of Elan-Cane) v Secretary of State for the Home </w:t>
      </w:r>
      <w:r w:rsidRPr="006E2F10">
        <w:rPr>
          <w:bCs w:val="0"/>
        </w:rPr>
        <w:t>Department</w:t>
      </w:r>
      <w:r w:rsidRPr="006E2F10">
        <w:t xml:space="preserve"> </w:t>
      </w:r>
    </w:p>
    <w:p w14:paraId="2DFF7699" w14:textId="77777777" w:rsidR="006E2F10" w:rsidRPr="006E2F10" w:rsidRDefault="006E2F10" w:rsidP="006E2F10">
      <w:pPr>
        <w:rPr>
          <w:b/>
          <w:lang w:eastAsia="en-AU"/>
        </w:rPr>
      </w:pPr>
      <w:r w:rsidRPr="006E2F10">
        <w:rPr>
          <w:b/>
          <w:lang w:eastAsia="en-AU"/>
        </w:rPr>
        <w:t xml:space="preserve">Supreme Court of the United Kingdom: </w:t>
      </w:r>
      <w:hyperlink r:id="rId33" w:history="1">
        <w:r>
          <w:rPr>
            <w:color w:val="0000FF"/>
            <w:u w:val="single"/>
            <w:lang w:eastAsia="en-AU"/>
          </w:rPr>
          <w:t>[2021] UKSC 56</w:t>
        </w:r>
      </w:hyperlink>
    </w:p>
    <w:p w14:paraId="3C758BB9" w14:textId="77777777" w:rsidR="006E2F10" w:rsidRPr="006E2F10" w:rsidRDefault="006E2F10" w:rsidP="006E2F10">
      <w:pPr>
        <w:rPr>
          <w:lang w:eastAsia="en-AU"/>
        </w:rPr>
      </w:pPr>
    </w:p>
    <w:p w14:paraId="047DFE45" w14:textId="77777777" w:rsidR="006E2F10" w:rsidRPr="006E2F10" w:rsidRDefault="006E2F10" w:rsidP="006E2F10">
      <w:pPr>
        <w:rPr>
          <w:lang w:eastAsia="en-AU"/>
        </w:rPr>
      </w:pPr>
      <w:r w:rsidRPr="006E2F10">
        <w:rPr>
          <w:b/>
          <w:lang w:eastAsia="en-AU"/>
        </w:rPr>
        <w:t>Judgment delivered:</w:t>
      </w:r>
      <w:r w:rsidRPr="006E2F10">
        <w:rPr>
          <w:lang w:eastAsia="en-AU"/>
        </w:rPr>
        <w:t xml:space="preserve"> 15 December 2021</w:t>
      </w:r>
    </w:p>
    <w:p w14:paraId="70904A2C" w14:textId="77777777" w:rsidR="006E2F10" w:rsidRPr="006E2F10" w:rsidRDefault="006E2F10" w:rsidP="006E2F10">
      <w:pPr>
        <w:rPr>
          <w:lang w:eastAsia="en-AU"/>
        </w:rPr>
      </w:pPr>
    </w:p>
    <w:p w14:paraId="6A7A6129" w14:textId="77777777" w:rsidR="006E2F10" w:rsidRPr="006E2F10" w:rsidRDefault="006E2F10" w:rsidP="006E2F10">
      <w:pPr>
        <w:rPr>
          <w:lang w:eastAsia="en-AU"/>
        </w:rPr>
      </w:pPr>
      <w:r w:rsidRPr="006E2F10">
        <w:rPr>
          <w:b/>
          <w:lang w:eastAsia="en-AU"/>
        </w:rPr>
        <w:t xml:space="preserve">Coram: </w:t>
      </w:r>
      <w:r w:rsidRPr="006E2F10">
        <w:t>Lord Reed, Lord Lloyd-Jones, Lady Arden, Lord Sales</w:t>
      </w:r>
      <w:r>
        <w:t xml:space="preserve"> and</w:t>
      </w:r>
      <w:r w:rsidRPr="006E2F10">
        <w:t xml:space="preserve"> Lady Rose</w:t>
      </w:r>
    </w:p>
    <w:p w14:paraId="73EE4060" w14:textId="77777777" w:rsidR="006E2F10" w:rsidRPr="006E2F10" w:rsidRDefault="006E2F10" w:rsidP="006E2F10">
      <w:pPr>
        <w:rPr>
          <w:lang w:eastAsia="en-AU"/>
        </w:rPr>
      </w:pPr>
    </w:p>
    <w:p w14:paraId="1628A4F4" w14:textId="77777777" w:rsidR="006E2F10" w:rsidRPr="006E2F10" w:rsidRDefault="006E2F10" w:rsidP="006E2F10">
      <w:pPr>
        <w:rPr>
          <w:b/>
          <w:lang w:eastAsia="en-AU"/>
        </w:rPr>
      </w:pPr>
      <w:r w:rsidRPr="006E2F10">
        <w:rPr>
          <w:b/>
          <w:lang w:eastAsia="en-AU"/>
        </w:rPr>
        <w:t>Catchwords:</w:t>
      </w:r>
    </w:p>
    <w:p w14:paraId="304CE4B5" w14:textId="77777777" w:rsidR="006E2F10" w:rsidRPr="006E2F10" w:rsidRDefault="006E2F10" w:rsidP="006E2F10">
      <w:pPr>
        <w:rPr>
          <w:b/>
          <w:highlight w:val="yellow"/>
          <w:lang w:eastAsia="en-AU"/>
        </w:rPr>
      </w:pPr>
    </w:p>
    <w:p w14:paraId="10EEB2D9" w14:textId="77777777" w:rsidR="006E2F10" w:rsidRPr="006E2F10" w:rsidRDefault="006E2F10" w:rsidP="0040595D">
      <w:pPr>
        <w:ind w:left="720"/>
        <w:rPr>
          <w:lang w:eastAsia="en-AU"/>
        </w:rPr>
      </w:pPr>
      <w:r w:rsidRPr="006E2F10">
        <w:rPr>
          <w:lang w:eastAsia="en-AU"/>
        </w:rPr>
        <w:t xml:space="preserve">Human rights – </w:t>
      </w:r>
      <w:r w:rsidR="0040595D">
        <w:rPr>
          <w:lang w:eastAsia="en-AU"/>
        </w:rPr>
        <w:t xml:space="preserve">Gender rights – Where appellant identified as non-gendered – </w:t>
      </w:r>
      <w:r w:rsidR="00E26939">
        <w:rPr>
          <w:lang w:eastAsia="en-AU"/>
        </w:rPr>
        <w:t>Where Her Majesty</w:t>
      </w:r>
      <w:r w:rsidR="00DA6539">
        <w:rPr>
          <w:lang w:eastAsia="en-AU"/>
        </w:rPr>
        <w:t>'</w:t>
      </w:r>
      <w:r w:rsidR="00E26939">
        <w:rPr>
          <w:lang w:eastAsia="en-AU"/>
        </w:rPr>
        <w:t>s Passport Office</w:t>
      </w:r>
      <w:r w:rsidR="00DA6539">
        <w:rPr>
          <w:lang w:eastAsia="en-AU"/>
        </w:rPr>
        <w:t>'</w:t>
      </w:r>
      <w:r w:rsidR="00E26939">
        <w:rPr>
          <w:lang w:eastAsia="en-AU"/>
        </w:rPr>
        <w:t xml:space="preserve">s policy required passport applicant to </w:t>
      </w:r>
      <w:r w:rsidR="006A138D">
        <w:rPr>
          <w:lang w:eastAsia="en-AU"/>
        </w:rPr>
        <w:t>state</w:t>
      </w:r>
      <w:r w:rsidR="00E26939">
        <w:rPr>
          <w:lang w:eastAsia="en-AU"/>
        </w:rPr>
        <w:t xml:space="preserve"> gender </w:t>
      </w:r>
      <w:r w:rsidR="006A138D">
        <w:rPr>
          <w:lang w:eastAsia="en-AU"/>
        </w:rPr>
        <w:t xml:space="preserve">on application form </w:t>
      </w:r>
      <w:r w:rsidR="00E26939">
        <w:rPr>
          <w:lang w:eastAsia="en-AU"/>
        </w:rPr>
        <w:t xml:space="preserve">as male or female – Where </w:t>
      </w:r>
      <w:r w:rsidR="006A138D" w:rsidRPr="005C34ED">
        <w:rPr>
          <w:i/>
          <w:iCs/>
          <w:lang w:eastAsia="en-AU"/>
        </w:rPr>
        <w:t>European</w:t>
      </w:r>
      <w:r w:rsidR="002F3DE5" w:rsidRPr="005C34ED">
        <w:rPr>
          <w:i/>
          <w:iCs/>
          <w:lang w:eastAsia="en-AU"/>
        </w:rPr>
        <w:t xml:space="preserve"> </w:t>
      </w:r>
      <w:r w:rsidR="006A138D" w:rsidRPr="005C34ED">
        <w:rPr>
          <w:i/>
          <w:iCs/>
          <w:lang w:eastAsia="en-AU"/>
        </w:rPr>
        <w:t>Convention on Human Rights</w:t>
      </w:r>
      <w:r w:rsidR="006A138D" w:rsidRPr="006A138D">
        <w:rPr>
          <w:lang w:eastAsia="en-AU"/>
        </w:rPr>
        <w:t xml:space="preserve"> (Convention)</w:t>
      </w:r>
      <w:r w:rsidR="006A138D">
        <w:rPr>
          <w:lang w:eastAsia="en-AU"/>
        </w:rPr>
        <w:t xml:space="preserve"> provided for right to respect for private and family life under article 8 and prohibition against discrimination, including on ground of sex, under article 14 – </w:t>
      </w:r>
      <w:r w:rsidR="0040595D">
        <w:rPr>
          <w:lang w:eastAsia="en-AU"/>
        </w:rPr>
        <w:t>Whether article 8 of Convention, in isolation or read with article 14, imposes obligation on contracting state, when issuing passports, to respect private lives of individuals who identify as non-gendered, by including nongendered marker</w:t>
      </w:r>
      <w:r w:rsidR="006A138D">
        <w:rPr>
          <w:lang w:eastAsia="en-AU"/>
        </w:rPr>
        <w:t xml:space="preserve"> (</w:t>
      </w:r>
      <w:r w:rsidR="00DA6539">
        <w:rPr>
          <w:lang w:eastAsia="en-AU"/>
        </w:rPr>
        <w:t>"</w:t>
      </w:r>
      <w:r w:rsidR="006A138D">
        <w:rPr>
          <w:lang w:eastAsia="en-AU"/>
        </w:rPr>
        <w:t>X</w:t>
      </w:r>
      <w:r w:rsidR="00DA6539">
        <w:rPr>
          <w:lang w:eastAsia="en-AU"/>
        </w:rPr>
        <w:t>"</w:t>
      </w:r>
      <w:r w:rsidR="006A138D">
        <w:rPr>
          <w:lang w:eastAsia="en-AU"/>
        </w:rPr>
        <w:t xml:space="preserve">) </w:t>
      </w:r>
      <w:r w:rsidR="0040595D">
        <w:rPr>
          <w:lang w:eastAsia="en-AU"/>
        </w:rPr>
        <w:t xml:space="preserve">– Whether obligation </w:t>
      </w:r>
      <w:r w:rsidR="006A138D">
        <w:rPr>
          <w:lang w:eastAsia="en-AU"/>
        </w:rPr>
        <w:t xml:space="preserve">to issue appellant with </w:t>
      </w:r>
      <w:r w:rsidR="00DA6539">
        <w:rPr>
          <w:lang w:eastAsia="en-AU"/>
        </w:rPr>
        <w:t>"</w:t>
      </w:r>
      <w:r w:rsidR="006A138D">
        <w:rPr>
          <w:lang w:eastAsia="en-AU"/>
        </w:rPr>
        <w:t>X</w:t>
      </w:r>
      <w:r w:rsidR="00DA6539">
        <w:rPr>
          <w:lang w:eastAsia="en-AU"/>
        </w:rPr>
        <w:t>"</w:t>
      </w:r>
      <w:r w:rsidR="006A138D">
        <w:rPr>
          <w:lang w:eastAsia="en-AU"/>
        </w:rPr>
        <w:t xml:space="preserve"> marked passport </w:t>
      </w:r>
      <w:r w:rsidR="0040595D">
        <w:rPr>
          <w:lang w:eastAsia="en-AU"/>
        </w:rPr>
        <w:t xml:space="preserve">nevertheless imposed by </w:t>
      </w:r>
      <w:r w:rsidR="006A138D" w:rsidRPr="005C34ED">
        <w:rPr>
          <w:i/>
          <w:iCs/>
          <w:lang w:eastAsia="en-AU"/>
        </w:rPr>
        <w:t>Human Rights Act 1998</w:t>
      </w:r>
      <w:r w:rsidR="0040595D">
        <w:rPr>
          <w:lang w:eastAsia="en-AU"/>
        </w:rPr>
        <w:t xml:space="preserve">. </w:t>
      </w:r>
    </w:p>
    <w:p w14:paraId="304FE010" w14:textId="77777777" w:rsidR="006E2F10" w:rsidRPr="006E2F10" w:rsidRDefault="006E2F10" w:rsidP="006E2F10">
      <w:pPr>
        <w:ind w:left="720"/>
        <w:rPr>
          <w:highlight w:val="yellow"/>
          <w:lang w:eastAsia="en-AU"/>
        </w:rPr>
      </w:pPr>
    </w:p>
    <w:p w14:paraId="03538641" w14:textId="77777777" w:rsidR="006E2F10" w:rsidRPr="006E2F10" w:rsidRDefault="006E2F10" w:rsidP="006E2F10">
      <w:pPr>
        <w:rPr>
          <w:lang w:eastAsia="en-AU"/>
        </w:rPr>
      </w:pPr>
      <w:r w:rsidRPr="006E2F10">
        <w:rPr>
          <w:b/>
          <w:lang w:eastAsia="en-AU"/>
        </w:rPr>
        <w:t>Held (</w:t>
      </w:r>
      <w:r>
        <w:rPr>
          <w:b/>
          <w:lang w:eastAsia="en-AU"/>
        </w:rPr>
        <w:t>5</w:t>
      </w:r>
      <w:r w:rsidRPr="006E2F10">
        <w:rPr>
          <w:b/>
          <w:lang w:eastAsia="en-AU"/>
        </w:rPr>
        <w:t xml:space="preserve">:0): </w:t>
      </w:r>
      <w:r w:rsidRPr="006E2F10">
        <w:rPr>
          <w:lang w:eastAsia="en-AU"/>
        </w:rPr>
        <w:t xml:space="preserve">Appeal </w:t>
      </w:r>
      <w:r w:rsidR="006A138D">
        <w:rPr>
          <w:lang w:eastAsia="en-AU"/>
        </w:rPr>
        <w:t>dismissed</w:t>
      </w:r>
      <w:r w:rsidRPr="006E2F10">
        <w:rPr>
          <w:lang w:eastAsia="en-AU"/>
        </w:rPr>
        <w:t>.</w:t>
      </w:r>
    </w:p>
    <w:p w14:paraId="3652272F" w14:textId="77777777" w:rsidR="00863B33" w:rsidRPr="00B546B2" w:rsidRDefault="00863B33" w:rsidP="00863B33">
      <w:pPr>
        <w:pStyle w:val="BullDivider2"/>
        <w:rPr>
          <w:rFonts w:cs="Arial"/>
          <w:highlight w:val="yellow"/>
        </w:rPr>
      </w:pPr>
    </w:p>
    <w:p w14:paraId="08B5F911" w14:textId="77777777" w:rsidR="00713AE7" w:rsidRDefault="00713AE7" w:rsidP="00713AE7"/>
    <w:p w14:paraId="4820B420" w14:textId="77777777" w:rsidR="0008349F" w:rsidRPr="00B20BAC" w:rsidRDefault="0008349F" w:rsidP="0008349F">
      <w:pPr>
        <w:pStyle w:val="Heading1"/>
      </w:pPr>
      <w:r>
        <w:t>Industrial Law</w:t>
      </w:r>
    </w:p>
    <w:p w14:paraId="29AB1D3F" w14:textId="77777777" w:rsidR="00394C86" w:rsidRDefault="00394C86" w:rsidP="00394C86">
      <w:pPr>
        <w:rPr>
          <w:lang w:eastAsia="en-AU"/>
        </w:rPr>
      </w:pPr>
    </w:p>
    <w:p w14:paraId="248DC9C3" w14:textId="77777777" w:rsidR="0008349F" w:rsidRPr="00B842BB" w:rsidRDefault="007A1CD2" w:rsidP="00B842BB">
      <w:pPr>
        <w:pStyle w:val="Heading2"/>
        <w:rPr>
          <w:bCs w:val="0"/>
        </w:rPr>
      </w:pPr>
      <w:r w:rsidRPr="00B842BB">
        <w:rPr>
          <w:bCs w:val="0"/>
        </w:rPr>
        <w:t>Association of Mineworkers and Construction Union &amp; Ors v Anglo Gold Ashanti Ltd &amp; Ors</w:t>
      </w:r>
    </w:p>
    <w:p w14:paraId="6E820971" w14:textId="77777777" w:rsidR="0008349F" w:rsidRPr="002F4F7E" w:rsidRDefault="007A1CD2" w:rsidP="0008349F">
      <w:pPr>
        <w:rPr>
          <w:lang w:eastAsia="en-AU"/>
        </w:rPr>
      </w:pPr>
      <w:bookmarkStart w:id="4" w:name="_Hlk94012229"/>
      <w:r>
        <w:rPr>
          <w:b/>
          <w:lang w:eastAsia="en-AU"/>
        </w:rPr>
        <w:t>Constitutional Court of South Africa</w:t>
      </w:r>
      <w:r w:rsidR="0008349F" w:rsidRPr="002F4F7E">
        <w:rPr>
          <w:b/>
          <w:lang w:eastAsia="en-AU"/>
        </w:rPr>
        <w:t xml:space="preserve">: </w:t>
      </w:r>
      <w:hyperlink r:id="rId34" w:history="1">
        <w:r w:rsidRPr="007A1CD2">
          <w:rPr>
            <w:rStyle w:val="Hyperlink"/>
            <w:lang w:eastAsia="en-AU"/>
          </w:rPr>
          <w:t>[2021] ZACC 42</w:t>
        </w:r>
      </w:hyperlink>
    </w:p>
    <w:p w14:paraId="0DB11875" w14:textId="77777777" w:rsidR="0008349F" w:rsidRPr="002F4F7E" w:rsidRDefault="0008349F" w:rsidP="0008349F">
      <w:pPr>
        <w:rPr>
          <w:lang w:eastAsia="en-AU"/>
        </w:rPr>
      </w:pPr>
    </w:p>
    <w:p w14:paraId="5E040343" w14:textId="77777777" w:rsidR="0008349F" w:rsidRPr="002F4F7E" w:rsidRDefault="0008349F" w:rsidP="0008349F">
      <w:pPr>
        <w:rPr>
          <w:lang w:eastAsia="en-AU"/>
        </w:rPr>
      </w:pPr>
      <w:r w:rsidRPr="002F4F7E">
        <w:rPr>
          <w:b/>
          <w:lang w:eastAsia="en-AU"/>
        </w:rPr>
        <w:t>Judgment delivered:</w:t>
      </w:r>
      <w:r w:rsidRPr="002F4F7E">
        <w:rPr>
          <w:lang w:eastAsia="en-AU"/>
        </w:rPr>
        <w:t xml:space="preserve"> </w:t>
      </w:r>
      <w:r>
        <w:rPr>
          <w:lang w:eastAsia="en-AU"/>
        </w:rPr>
        <w:t>1</w:t>
      </w:r>
      <w:r w:rsidR="007A1CD2">
        <w:rPr>
          <w:lang w:eastAsia="en-AU"/>
        </w:rPr>
        <w:t>2</w:t>
      </w:r>
      <w:r>
        <w:rPr>
          <w:lang w:eastAsia="en-AU"/>
        </w:rPr>
        <w:t xml:space="preserve"> November 2021</w:t>
      </w:r>
    </w:p>
    <w:p w14:paraId="5AFE1B79" w14:textId="77777777" w:rsidR="0008349F" w:rsidRPr="002F4F7E" w:rsidRDefault="0008349F" w:rsidP="0008349F">
      <w:pPr>
        <w:rPr>
          <w:lang w:eastAsia="en-AU"/>
        </w:rPr>
      </w:pPr>
    </w:p>
    <w:p w14:paraId="6170CDA4" w14:textId="77777777" w:rsidR="0008349F" w:rsidRDefault="0008349F" w:rsidP="0008349F">
      <w:pPr>
        <w:rPr>
          <w:lang w:eastAsia="en-AU"/>
        </w:rPr>
      </w:pPr>
      <w:r w:rsidRPr="002F4F7E">
        <w:rPr>
          <w:b/>
          <w:lang w:eastAsia="en-AU"/>
        </w:rPr>
        <w:t xml:space="preserve">Coram: </w:t>
      </w:r>
      <w:r w:rsidR="007A1CD2" w:rsidRPr="007A1CD2">
        <w:rPr>
          <w:lang w:eastAsia="en-AU"/>
        </w:rPr>
        <w:t xml:space="preserve">Khampepe ADCJ, Jafta, Madlanga, Majiedt, Mhlantla </w:t>
      </w:r>
      <w:r w:rsidR="007A1CD2">
        <w:rPr>
          <w:lang w:eastAsia="en-AU"/>
        </w:rPr>
        <w:t>J</w:t>
      </w:r>
      <w:r w:rsidR="007A1CD2" w:rsidRPr="007A1CD2">
        <w:rPr>
          <w:lang w:eastAsia="en-AU"/>
        </w:rPr>
        <w:t>J, Pillay AJ, Theron J, Tlaletsi AJ and Tshiqi J</w:t>
      </w:r>
    </w:p>
    <w:bookmarkEnd w:id="4"/>
    <w:p w14:paraId="3F8E00DE" w14:textId="77777777" w:rsidR="007A1CD2" w:rsidRPr="002F4F7E" w:rsidRDefault="007A1CD2" w:rsidP="0008349F">
      <w:pPr>
        <w:rPr>
          <w:lang w:eastAsia="en-AU"/>
        </w:rPr>
      </w:pPr>
    </w:p>
    <w:p w14:paraId="45C41AE4" w14:textId="77777777" w:rsidR="0008349F" w:rsidRPr="002F4F7E" w:rsidRDefault="0008349F" w:rsidP="0008349F">
      <w:pPr>
        <w:rPr>
          <w:b/>
          <w:lang w:eastAsia="en-AU"/>
        </w:rPr>
      </w:pPr>
      <w:r>
        <w:rPr>
          <w:b/>
          <w:lang w:eastAsia="en-AU"/>
        </w:rPr>
        <w:t>Catchwords:</w:t>
      </w:r>
    </w:p>
    <w:p w14:paraId="0F48794B" w14:textId="77777777" w:rsidR="0008349F" w:rsidRPr="00856E9C" w:rsidRDefault="0008349F" w:rsidP="0008349F">
      <w:pPr>
        <w:rPr>
          <w:b/>
          <w:highlight w:val="yellow"/>
          <w:lang w:eastAsia="en-AU"/>
        </w:rPr>
      </w:pPr>
    </w:p>
    <w:p w14:paraId="6A61EB44" w14:textId="77777777" w:rsidR="007A1CD2" w:rsidRDefault="007A1CD2" w:rsidP="0008349F">
      <w:pPr>
        <w:ind w:left="720"/>
        <w:rPr>
          <w:lang w:eastAsia="en-AU"/>
        </w:rPr>
      </w:pPr>
      <w:r>
        <w:rPr>
          <w:lang w:eastAsia="en-AU"/>
        </w:rPr>
        <w:t xml:space="preserve">Industrial law – Secondary strike – Protection – Proportionality – Where applicant commenced primary strike against company – Where applicant served notice of secondary strike on respondents, being mining companies unrelated to primary company and in different mineral sectors – Where respondents launched applications under s 66 of </w:t>
      </w:r>
      <w:r>
        <w:rPr>
          <w:i/>
          <w:lang w:eastAsia="en-AU"/>
        </w:rPr>
        <w:t>Labour Relations Act 66 of 1995</w:t>
      </w:r>
      <w:r>
        <w:rPr>
          <w:lang w:eastAsia="en-AU"/>
        </w:rPr>
        <w:t xml:space="preserve"> to declare secondary strikes unprotected – Where Labour Court held </w:t>
      </w:r>
      <w:r w:rsidR="001B2725">
        <w:rPr>
          <w:lang w:eastAsia="en-AU"/>
        </w:rPr>
        <w:t xml:space="preserve">reasonableness </w:t>
      </w:r>
      <w:r>
        <w:rPr>
          <w:lang w:eastAsia="en-AU"/>
        </w:rPr>
        <w:t>test to be applied</w:t>
      </w:r>
      <w:r w:rsidR="001B2725">
        <w:rPr>
          <w:lang w:eastAsia="en-AU"/>
        </w:rPr>
        <w:t xml:space="preserve"> under s 66(2)</w:t>
      </w:r>
      <w:r>
        <w:rPr>
          <w:lang w:eastAsia="en-AU"/>
        </w:rPr>
        <w:t xml:space="preserve"> proportionality assessment as to whether harm caused by secondary strike to secondary </w:t>
      </w:r>
      <w:r>
        <w:rPr>
          <w:lang w:eastAsia="en-AU"/>
        </w:rPr>
        <w:lastRenderedPageBreak/>
        <w:t xml:space="preserve">employer proportional to impact on primary employer – Where Labour Court held secondary strikes not protected as secondary employers could not influence primary employer – Whether secondary strikes protected by Act – Whether proportionality test correct test to apply. </w:t>
      </w:r>
    </w:p>
    <w:p w14:paraId="498B724F" w14:textId="77777777" w:rsidR="007A1CD2" w:rsidRDefault="007A1CD2" w:rsidP="0008349F">
      <w:pPr>
        <w:ind w:left="720"/>
        <w:rPr>
          <w:lang w:eastAsia="en-AU"/>
        </w:rPr>
      </w:pPr>
    </w:p>
    <w:p w14:paraId="05AD1C0A" w14:textId="77777777" w:rsidR="0008349F" w:rsidRPr="007A1CD2" w:rsidRDefault="007A1CD2" w:rsidP="0008349F">
      <w:pPr>
        <w:ind w:left="720"/>
        <w:rPr>
          <w:lang w:eastAsia="en-AU"/>
        </w:rPr>
      </w:pPr>
      <w:r>
        <w:rPr>
          <w:lang w:eastAsia="en-AU"/>
        </w:rPr>
        <w:t>Practice and procedure – Mootness – Where, by time of appeal to Labour Appeal Court</w:t>
      </w:r>
      <w:r w:rsidR="001B2725">
        <w:rPr>
          <w:lang w:eastAsia="en-AU"/>
        </w:rPr>
        <w:t xml:space="preserve">, primary strike had been resolved – Where Labour Appeal Court dismissed appeal on basis of mootness – Whether exceptional circumstances exist to clarify interpretation of s 66 despite mootness. </w:t>
      </w:r>
    </w:p>
    <w:p w14:paraId="5D196F37" w14:textId="77777777" w:rsidR="0008349F" w:rsidRPr="00856E9C" w:rsidRDefault="0008349F" w:rsidP="0008349F">
      <w:pPr>
        <w:ind w:left="720"/>
        <w:rPr>
          <w:highlight w:val="yellow"/>
          <w:lang w:eastAsia="en-AU"/>
        </w:rPr>
      </w:pPr>
    </w:p>
    <w:p w14:paraId="33CC8B0A" w14:textId="77777777" w:rsidR="0008349F" w:rsidRDefault="0008349F" w:rsidP="0008349F">
      <w:pPr>
        <w:rPr>
          <w:lang w:eastAsia="en-AU"/>
        </w:rPr>
      </w:pPr>
      <w:r w:rsidRPr="002F4F7E">
        <w:rPr>
          <w:b/>
          <w:lang w:eastAsia="en-AU"/>
        </w:rPr>
        <w:t>Held (</w:t>
      </w:r>
      <w:r w:rsidR="001B2725">
        <w:rPr>
          <w:b/>
          <w:lang w:eastAsia="en-AU"/>
        </w:rPr>
        <w:t>8</w:t>
      </w:r>
      <w:r>
        <w:rPr>
          <w:b/>
          <w:lang w:eastAsia="en-AU"/>
        </w:rPr>
        <w:t>:</w:t>
      </w:r>
      <w:r w:rsidR="001B2725">
        <w:rPr>
          <w:b/>
          <w:lang w:eastAsia="en-AU"/>
        </w:rPr>
        <w:t>1</w:t>
      </w:r>
      <w:r w:rsidRPr="002F4F7E">
        <w:rPr>
          <w:b/>
          <w:lang w:eastAsia="en-AU"/>
        </w:rPr>
        <w:t xml:space="preserve">): </w:t>
      </w:r>
      <w:r w:rsidR="001B2725">
        <w:rPr>
          <w:lang w:eastAsia="en-AU"/>
        </w:rPr>
        <w:t xml:space="preserve">Leave to appeal granted; appeal dismissed. </w:t>
      </w:r>
    </w:p>
    <w:p w14:paraId="48FED45A" w14:textId="77777777" w:rsidR="00866165" w:rsidRPr="00181993" w:rsidRDefault="00866165" w:rsidP="00866165">
      <w:pPr>
        <w:pStyle w:val="BullDivider1"/>
        <w:pBdr>
          <w:bottom w:val="dotted" w:sz="4" w:space="0" w:color="auto"/>
        </w:pBdr>
      </w:pPr>
    </w:p>
    <w:p w14:paraId="732552BD" w14:textId="77777777" w:rsidR="00866165" w:rsidRDefault="00866165" w:rsidP="0008349F">
      <w:pPr>
        <w:rPr>
          <w:lang w:eastAsia="en-AU"/>
        </w:rPr>
      </w:pPr>
    </w:p>
    <w:p w14:paraId="79E418E3" w14:textId="77777777" w:rsidR="00866165" w:rsidRPr="00B842BB" w:rsidRDefault="00866165" w:rsidP="00866165">
      <w:pPr>
        <w:pStyle w:val="Heading2"/>
        <w:rPr>
          <w:bCs w:val="0"/>
        </w:rPr>
      </w:pPr>
      <w:r w:rsidRPr="00B842BB">
        <w:rPr>
          <w:bCs w:val="0"/>
        </w:rPr>
        <w:t xml:space="preserve">Tourism </w:t>
      </w:r>
      <w:r w:rsidRPr="00B842BB">
        <w:t>Holdings</w:t>
      </w:r>
      <w:r w:rsidRPr="00B842BB">
        <w:rPr>
          <w:bCs w:val="0"/>
        </w:rPr>
        <w:t xml:space="preserve"> Ltd v A Labour Inspector of the Ministry of Business, Innovations and Employment </w:t>
      </w:r>
    </w:p>
    <w:p w14:paraId="3E9BC2F6" w14:textId="77777777" w:rsidR="00866165" w:rsidRPr="00863B33" w:rsidRDefault="00866165" w:rsidP="00866165">
      <w:pPr>
        <w:rPr>
          <w:b/>
          <w:lang w:eastAsia="en-AU"/>
        </w:rPr>
      </w:pPr>
      <w:r>
        <w:rPr>
          <w:b/>
          <w:lang w:eastAsia="en-AU"/>
        </w:rPr>
        <w:t xml:space="preserve">Supreme </w:t>
      </w:r>
      <w:r w:rsidRPr="002F4F7E">
        <w:rPr>
          <w:b/>
          <w:lang w:eastAsia="en-AU"/>
        </w:rPr>
        <w:t>Court</w:t>
      </w:r>
      <w:r>
        <w:rPr>
          <w:b/>
          <w:lang w:eastAsia="en-AU"/>
        </w:rPr>
        <w:t xml:space="preserve"> of New Zealand</w:t>
      </w:r>
      <w:r w:rsidRPr="002F4F7E">
        <w:rPr>
          <w:b/>
          <w:lang w:eastAsia="en-AU"/>
        </w:rPr>
        <w:t xml:space="preserve">: </w:t>
      </w:r>
      <w:hyperlink r:id="rId35" w:history="1">
        <w:r w:rsidRPr="00394C86">
          <w:rPr>
            <w:rStyle w:val="Hyperlink"/>
            <w:lang w:eastAsia="en-AU"/>
          </w:rPr>
          <w:t>[2021] NZSC 157</w:t>
        </w:r>
      </w:hyperlink>
    </w:p>
    <w:p w14:paraId="78933300" w14:textId="77777777" w:rsidR="00866165" w:rsidRPr="002F4F7E" w:rsidRDefault="00866165" w:rsidP="00866165">
      <w:pPr>
        <w:rPr>
          <w:lang w:eastAsia="en-AU"/>
        </w:rPr>
      </w:pPr>
    </w:p>
    <w:p w14:paraId="42188CD2" w14:textId="77777777" w:rsidR="00866165" w:rsidRPr="002F4F7E" w:rsidRDefault="00866165" w:rsidP="00866165">
      <w:pPr>
        <w:rPr>
          <w:lang w:eastAsia="en-AU"/>
        </w:rPr>
      </w:pPr>
      <w:r w:rsidRPr="002F4F7E">
        <w:rPr>
          <w:b/>
          <w:lang w:eastAsia="en-AU"/>
        </w:rPr>
        <w:t>Judgment delivered:</w:t>
      </w:r>
      <w:r w:rsidRPr="002F4F7E">
        <w:rPr>
          <w:lang w:eastAsia="en-AU"/>
        </w:rPr>
        <w:t xml:space="preserve"> </w:t>
      </w:r>
      <w:r>
        <w:rPr>
          <w:lang w:eastAsia="en-AU"/>
        </w:rPr>
        <w:t>15 November 2021</w:t>
      </w:r>
    </w:p>
    <w:p w14:paraId="42DF3E03" w14:textId="77777777" w:rsidR="00866165" w:rsidRPr="002F4F7E" w:rsidRDefault="00866165" w:rsidP="00866165">
      <w:pPr>
        <w:rPr>
          <w:lang w:eastAsia="en-AU"/>
        </w:rPr>
      </w:pPr>
    </w:p>
    <w:p w14:paraId="095ADE3F" w14:textId="77777777" w:rsidR="00866165" w:rsidRDefault="00866165" w:rsidP="00866165">
      <w:pPr>
        <w:rPr>
          <w:lang w:eastAsia="en-AU"/>
        </w:rPr>
      </w:pPr>
      <w:r w:rsidRPr="002F4F7E">
        <w:rPr>
          <w:b/>
          <w:lang w:eastAsia="en-AU"/>
        </w:rPr>
        <w:t xml:space="preserve">Coram: </w:t>
      </w:r>
      <w:r>
        <w:t>William Young, Glazebrook, O</w:t>
      </w:r>
      <w:r w:rsidR="00DA6539">
        <w:t>'</w:t>
      </w:r>
      <w:r>
        <w:t>Regan, Ellen France and Williams JJ</w:t>
      </w:r>
    </w:p>
    <w:p w14:paraId="7E0CD29A" w14:textId="77777777" w:rsidR="00866165" w:rsidRPr="002F4F7E" w:rsidRDefault="00866165" w:rsidP="00866165">
      <w:pPr>
        <w:rPr>
          <w:lang w:eastAsia="en-AU"/>
        </w:rPr>
      </w:pPr>
    </w:p>
    <w:p w14:paraId="4CF8553B" w14:textId="77777777" w:rsidR="00866165" w:rsidRPr="002F4F7E" w:rsidRDefault="00866165" w:rsidP="00866165">
      <w:pPr>
        <w:rPr>
          <w:b/>
          <w:lang w:eastAsia="en-AU"/>
        </w:rPr>
      </w:pPr>
      <w:r>
        <w:rPr>
          <w:b/>
          <w:lang w:eastAsia="en-AU"/>
        </w:rPr>
        <w:t>Catchwords:</w:t>
      </w:r>
    </w:p>
    <w:p w14:paraId="6DEA98DD" w14:textId="77777777" w:rsidR="00866165" w:rsidRPr="00856E9C" w:rsidRDefault="00866165" w:rsidP="00866165">
      <w:pPr>
        <w:rPr>
          <w:b/>
          <w:highlight w:val="yellow"/>
          <w:lang w:eastAsia="en-AU"/>
        </w:rPr>
      </w:pPr>
    </w:p>
    <w:p w14:paraId="5BF74DB8" w14:textId="77777777" w:rsidR="00866165" w:rsidRDefault="00866165" w:rsidP="00866165">
      <w:pPr>
        <w:ind w:left="720"/>
        <w:rPr>
          <w:lang w:eastAsia="en-AU"/>
        </w:rPr>
      </w:pPr>
      <w:r>
        <w:rPr>
          <w:lang w:eastAsia="en-AU"/>
        </w:rPr>
        <w:t xml:space="preserve">Industrial law – Holiday pay – Calculation – Commission payments – Meaning of </w:t>
      </w:r>
      <w:r w:rsidR="00DA6539">
        <w:rPr>
          <w:lang w:eastAsia="en-AU"/>
        </w:rPr>
        <w:t>"</w:t>
      </w:r>
      <w:r>
        <w:rPr>
          <w:lang w:eastAsia="en-AU"/>
        </w:rPr>
        <w:t>ordinary weekly pay</w:t>
      </w:r>
      <w:r w:rsidR="00DA6539">
        <w:rPr>
          <w:lang w:eastAsia="en-AU"/>
        </w:rPr>
        <w:t>"</w:t>
      </w:r>
      <w:r>
        <w:rPr>
          <w:lang w:eastAsia="en-AU"/>
        </w:rPr>
        <w:t xml:space="preserve"> – Where </w:t>
      </w:r>
      <w:r>
        <w:rPr>
          <w:i/>
          <w:lang w:eastAsia="en-AU"/>
        </w:rPr>
        <w:t xml:space="preserve">Holidays Act 2003 </w:t>
      </w:r>
      <w:r>
        <w:rPr>
          <w:lang w:eastAsia="en-AU"/>
        </w:rPr>
        <w:t xml:space="preserve">conferred on employees right to minimum of four weeks paid holidays after 12 months continuous employment – Where holiday pay calculated by reference to </w:t>
      </w:r>
      <w:r w:rsidR="00DA6539">
        <w:rPr>
          <w:lang w:eastAsia="en-AU"/>
        </w:rPr>
        <w:t>"</w:t>
      </w:r>
      <w:r>
        <w:rPr>
          <w:lang w:eastAsia="en-AU"/>
        </w:rPr>
        <w:t>ordinary weekly pay</w:t>
      </w:r>
      <w:r w:rsidR="00DA6539">
        <w:rPr>
          <w:lang w:eastAsia="en-AU"/>
        </w:rPr>
        <w:t>"</w:t>
      </w:r>
      <w:r>
        <w:rPr>
          <w:lang w:eastAsia="en-AU"/>
        </w:rPr>
        <w:t xml:space="preserve"> – Where employee tour company bus driver guide work determined by length of bus tours rather than calendar week and remuneration included commission depending on length of tour – Where s 8(2) provided in these circumstances, </w:t>
      </w:r>
      <w:r w:rsidR="00DA6539">
        <w:rPr>
          <w:lang w:eastAsia="en-AU"/>
        </w:rPr>
        <w:t>"</w:t>
      </w:r>
      <w:r>
        <w:rPr>
          <w:lang w:eastAsia="en-AU"/>
        </w:rPr>
        <w:t>ordinary weekly pay</w:t>
      </w:r>
      <w:r w:rsidR="00DA6539">
        <w:rPr>
          <w:lang w:eastAsia="en-AU"/>
        </w:rPr>
        <w:t>"</w:t>
      </w:r>
      <w:r>
        <w:rPr>
          <w:lang w:eastAsia="en-AU"/>
        </w:rPr>
        <w:t xml:space="preserve"> calculated by employee</w:t>
      </w:r>
      <w:r w:rsidR="00DA6539">
        <w:rPr>
          <w:lang w:eastAsia="en-AU"/>
        </w:rPr>
        <w:t>'</w:t>
      </w:r>
      <w:r>
        <w:rPr>
          <w:lang w:eastAsia="en-AU"/>
        </w:rPr>
        <w:t xml:space="preserve">s gross earnings in previous four weeks minus </w:t>
      </w:r>
      <w:r w:rsidR="00DA6539">
        <w:rPr>
          <w:lang w:eastAsia="en-AU"/>
        </w:rPr>
        <w:t>"</w:t>
      </w:r>
      <w:r>
        <w:rPr>
          <w:lang w:eastAsia="en-AU"/>
        </w:rPr>
        <w:t>productivity or incentive-based payments not regular part of employee</w:t>
      </w:r>
      <w:r w:rsidR="00DA6539">
        <w:rPr>
          <w:lang w:eastAsia="en-AU"/>
        </w:rPr>
        <w:t>'</w:t>
      </w:r>
      <w:r>
        <w:rPr>
          <w:lang w:eastAsia="en-AU"/>
        </w:rPr>
        <w:t>s pay</w:t>
      </w:r>
      <w:r w:rsidR="00DA6539">
        <w:rPr>
          <w:lang w:eastAsia="en-AU"/>
        </w:rPr>
        <w:t>"</w:t>
      </w:r>
      <w:r>
        <w:rPr>
          <w:lang w:eastAsia="en-AU"/>
        </w:rPr>
        <w:t xml:space="preserve">, divided by four to obtain average – Where Employment Court held </w:t>
      </w:r>
      <w:r w:rsidR="00DA6539">
        <w:rPr>
          <w:lang w:eastAsia="en-AU"/>
        </w:rPr>
        <w:t>"</w:t>
      </w:r>
      <w:r>
        <w:rPr>
          <w:lang w:eastAsia="en-AU"/>
        </w:rPr>
        <w:t>regular part</w:t>
      </w:r>
      <w:r w:rsidR="00DA6539">
        <w:rPr>
          <w:lang w:eastAsia="en-AU"/>
        </w:rPr>
        <w:t>"</w:t>
      </w:r>
      <w:r>
        <w:rPr>
          <w:lang w:eastAsia="en-AU"/>
        </w:rPr>
        <w:t xml:space="preserve"> should be construed as </w:t>
      </w:r>
      <w:r w:rsidR="00DA6539">
        <w:rPr>
          <w:lang w:eastAsia="en-AU"/>
        </w:rPr>
        <w:t>"</w:t>
      </w:r>
      <w:r>
        <w:rPr>
          <w:lang w:eastAsia="en-AU"/>
        </w:rPr>
        <w:t>regular part of employee</w:t>
      </w:r>
      <w:r w:rsidR="00DA6539">
        <w:rPr>
          <w:lang w:eastAsia="en-AU"/>
        </w:rPr>
        <w:t>'</w:t>
      </w:r>
      <w:r>
        <w:rPr>
          <w:lang w:eastAsia="en-AU"/>
        </w:rPr>
        <w:t xml:space="preserve">s </w:t>
      </w:r>
      <w:r w:rsidRPr="00DA6539">
        <w:rPr>
          <w:lang w:eastAsia="en-AU"/>
        </w:rPr>
        <w:t>pay for ordinary working week</w:t>
      </w:r>
      <w:r w:rsidR="00DA6539">
        <w:rPr>
          <w:lang w:eastAsia="en-AU"/>
        </w:rPr>
        <w:t>"</w:t>
      </w:r>
      <w:r>
        <w:rPr>
          <w:lang w:eastAsia="en-AU"/>
        </w:rPr>
        <w:t xml:space="preserve"> and held commissions earned by driver guides not part of pay for ordinary working week – Where Court of Appeal allowed Labour Inspector</w:t>
      </w:r>
      <w:r w:rsidR="00DA6539">
        <w:rPr>
          <w:lang w:eastAsia="en-AU"/>
        </w:rPr>
        <w:t>'</w:t>
      </w:r>
      <w:r>
        <w:rPr>
          <w:lang w:eastAsia="en-AU"/>
        </w:rPr>
        <w:t>s appeal and rejected Employment Court</w:t>
      </w:r>
      <w:r w:rsidR="00DA6539">
        <w:rPr>
          <w:lang w:eastAsia="en-AU"/>
        </w:rPr>
        <w:t>'</w:t>
      </w:r>
      <w:r>
        <w:rPr>
          <w:lang w:eastAsia="en-AU"/>
        </w:rPr>
        <w:t xml:space="preserve">s construction – Proper construction of </w:t>
      </w:r>
      <w:r w:rsidR="00DA6539">
        <w:rPr>
          <w:lang w:eastAsia="en-AU"/>
        </w:rPr>
        <w:t>"</w:t>
      </w:r>
      <w:r>
        <w:rPr>
          <w:lang w:eastAsia="en-AU"/>
        </w:rPr>
        <w:t>regular part of employee</w:t>
      </w:r>
      <w:r w:rsidR="00DA6539">
        <w:rPr>
          <w:lang w:eastAsia="en-AU"/>
        </w:rPr>
        <w:t>'</w:t>
      </w:r>
      <w:r>
        <w:rPr>
          <w:lang w:eastAsia="en-AU"/>
        </w:rPr>
        <w:t>s pay</w:t>
      </w:r>
      <w:r w:rsidR="00DA6539">
        <w:rPr>
          <w:lang w:eastAsia="en-AU"/>
        </w:rPr>
        <w:t>"</w:t>
      </w:r>
      <w:r>
        <w:rPr>
          <w:lang w:eastAsia="en-AU"/>
        </w:rPr>
        <w:t xml:space="preserve"> – Whether driver guide commission </w:t>
      </w:r>
      <w:r w:rsidR="00DA6539">
        <w:rPr>
          <w:lang w:eastAsia="en-AU"/>
        </w:rPr>
        <w:t>"</w:t>
      </w:r>
      <w:r>
        <w:rPr>
          <w:lang w:eastAsia="en-AU"/>
        </w:rPr>
        <w:t>regular part of employee</w:t>
      </w:r>
      <w:r w:rsidR="00DA6539">
        <w:rPr>
          <w:lang w:eastAsia="en-AU"/>
        </w:rPr>
        <w:t>'</w:t>
      </w:r>
      <w:r>
        <w:rPr>
          <w:lang w:eastAsia="en-AU"/>
        </w:rPr>
        <w:t>s pay</w:t>
      </w:r>
      <w:r w:rsidR="00DA6539">
        <w:rPr>
          <w:lang w:eastAsia="en-AU"/>
        </w:rPr>
        <w:t>"</w:t>
      </w:r>
      <w:r>
        <w:rPr>
          <w:lang w:eastAsia="en-AU"/>
        </w:rPr>
        <w:t xml:space="preserve"> and therefore part of </w:t>
      </w:r>
      <w:r w:rsidR="00DA6539">
        <w:rPr>
          <w:lang w:eastAsia="en-AU"/>
        </w:rPr>
        <w:t>"</w:t>
      </w:r>
      <w:r>
        <w:rPr>
          <w:lang w:eastAsia="en-AU"/>
        </w:rPr>
        <w:t>ordinary weekly pay</w:t>
      </w:r>
      <w:r w:rsidR="00DA6539">
        <w:rPr>
          <w:lang w:eastAsia="en-AU"/>
        </w:rPr>
        <w:t>"</w:t>
      </w:r>
      <w:r>
        <w:rPr>
          <w:lang w:eastAsia="en-AU"/>
        </w:rPr>
        <w:t xml:space="preserve"> for calculation of holiday pay. </w:t>
      </w:r>
    </w:p>
    <w:p w14:paraId="396D7A5D" w14:textId="77777777" w:rsidR="00866165" w:rsidRPr="00856E9C" w:rsidRDefault="00866165" w:rsidP="00866165">
      <w:pPr>
        <w:ind w:left="720"/>
        <w:rPr>
          <w:highlight w:val="yellow"/>
          <w:lang w:eastAsia="en-AU"/>
        </w:rPr>
      </w:pPr>
    </w:p>
    <w:p w14:paraId="37FC188E" w14:textId="77777777" w:rsidR="00866165" w:rsidRDefault="00866165" w:rsidP="00866165">
      <w:pPr>
        <w:rPr>
          <w:lang w:eastAsia="en-AU"/>
        </w:rPr>
      </w:pPr>
      <w:r w:rsidRPr="002F4F7E">
        <w:rPr>
          <w:b/>
          <w:lang w:eastAsia="en-AU"/>
        </w:rPr>
        <w:t>Held (</w:t>
      </w:r>
      <w:r>
        <w:rPr>
          <w:b/>
          <w:lang w:eastAsia="en-AU"/>
        </w:rPr>
        <w:t>5:0</w:t>
      </w:r>
      <w:r w:rsidRPr="002F4F7E">
        <w:rPr>
          <w:b/>
          <w:lang w:eastAsia="en-AU"/>
        </w:rPr>
        <w:t xml:space="preserve">): </w:t>
      </w:r>
      <w:r>
        <w:rPr>
          <w:lang w:eastAsia="en-AU"/>
        </w:rPr>
        <w:t>Appeal dismissed.</w:t>
      </w:r>
    </w:p>
    <w:p w14:paraId="5D46C019" w14:textId="77777777" w:rsidR="0008349F" w:rsidRPr="00B546B2" w:rsidRDefault="0008349F" w:rsidP="0008349F">
      <w:pPr>
        <w:pStyle w:val="BullDivider2"/>
        <w:rPr>
          <w:rFonts w:cs="Arial"/>
          <w:highlight w:val="yellow"/>
        </w:rPr>
      </w:pPr>
    </w:p>
    <w:p w14:paraId="7E4467FA" w14:textId="77777777" w:rsidR="0008349F" w:rsidRDefault="0008349F" w:rsidP="0008349F"/>
    <w:p w14:paraId="2155ED6A" w14:textId="77777777" w:rsidR="00713AE7" w:rsidRPr="00B20BAC" w:rsidRDefault="00713AE7" w:rsidP="00713AE7">
      <w:pPr>
        <w:pStyle w:val="Heading1"/>
      </w:pPr>
      <w:r>
        <w:t>Insurance</w:t>
      </w:r>
    </w:p>
    <w:p w14:paraId="7881BE44" w14:textId="77777777" w:rsidR="00713AE7" w:rsidRDefault="00713AE7" w:rsidP="00FA0788"/>
    <w:p w14:paraId="246D30D7" w14:textId="77777777" w:rsidR="00A71EE6" w:rsidRPr="00B842BB" w:rsidRDefault="00A71EE6" w:rsidP="00B842BB">
      <w:pPr>
        <w:pStyle w:val="Heading2"/>
        <w:rPr>
          <w:bCs w:val="0"/>
        </w:rPr>
      </w:pPr>
      <w:r w:rsidRPr="00B842BB">
        <w:rPr>
          <w:bCs w:val="0"/>
        </w:rPr>
        <w:t xml:space="preserve">Trial Lawyers </w:t>
      </w:r>
      <w:r w:rsidRPr="00B842BB">
        <w:t>Association</w:t>
      </w:r>
      <w:r w:rsidRPr="00B842BB">
        <w:rPr>
          <w:bCs w:val="0"/>
        </w:rPr>
        <w:t xml:space="preserve"> of British Columbia v Royal &amp; Sun Alliance Insurance Company of Canada</w:t>
      </w:r>
    </w:p>
    <w:p w14:paraId="0BF75E95" w14:textId="77777777" w:rsidR="00713AE7" w:rsidRPr="002F4F7E" w:rsidRDefault="00713AE7" w:rsidP="00713AE7">
      <w:pPr>
        <w:rPr>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 xml:space="preserve">: </w:t>
      </w:r>
      <w:hyperlink r:id="rId36" w:history="1">
        <w:r w:rsidR="00A71EE6" w:rsidRPr="00A71EE6">
          <w:rPr>
            <w:rStyle w:val="Hyperlink"/>
            <w:lang w:eastAsia="en-AU"/>
          </w:rPr>
          <w:t>[2021] SCC 47</w:t>
        </w:r>
      </w:hyperlink>
    </w:p>
    <w:p w14:paraId="2BF42FA1" w14:textId="77777777" w:rsidR="00713AE7" w:rsidRPr="002F4F7E" w:rsidRDefault="00713AE7" w:rsidP="00713AE7">
      <w:pPr>
        <w:rPr>
          <w:lang w:eastAsia="en-AU"/>
        </w:rPr>
      </w:pPr>
    </w:p>
    <w:p w14:paraId="51D4017D" w14:textId="77777777" w:rsidR="00713AE7" w:rsidRPr="002F4F7E" w:rsidRDefault="00713AE7" w:rsidP="00713AE7">
      <w:pPr>
        <w:rPr>
          <w:lang w:eastAsia="en-AU"/>
        </w:rPr>
      </w:pPr>
      <w:r w:rsidRPr="002F4F7E">
        <w:rPr>
          <w:b/>
          <w:lang w:eastAsia="en-AU"/>
        </w:rPr>
        <w:t>Judgment delivered:</w:t>
      </w:r>
      <w:r w:rsidRPr="002F4F7E">
        <w:rPr>
          <w:lang w:eastAsia="en-AU"/>
        </w:rPr>
        <w:t xml:space="preserve"> </w:t>
      </w:r>
      <w:r w:rsidR="009862C3">
        <w:rPr>
          <w:lang w:eastAsia="en-AU"/>
        </w:rPr>
        <w:t>18 November</w:t>
      </w:r>
      <w:r>
        <w:rPr>
          <w:lang w:eastAsia="en-AU"/>
        </w:rPr>
        <w:t xml:space="preserve"> 2021</w:t>
      </w:r>
    </w:p>
    <w:p w14:paraId="4D49F59F" w14:textId="77777777" w:rsidR="00713AE7" w:rsidRPr="002F4F7E" w:rsidRDefault="00713AE7" w:rsidP="00713AE7">
      <w:pPr>
        <w:rPr>
          <w:lang w:eastAsia="en-AU"/>
        </w:rPr>
      </w:pPr>
    </w:p>
    <w:p w14:paraId="2960AD1B" w14:textId="77777777" w:rsidR="00713AE7" w:rsidRDefault="00713AE7" w:rsidP="00713AE7">
      <w:pPr>
        <w:rPr>
          <w:lang w:eastAsia="en-AU"/>
        </w:rPr>
      </w:pPr>
      <w:r w:rsidRPr="002F4F7E">
        <w:rPr>
          <w:b/>
          <w:lang w:eastAsia="en-AU"/>
        </w:rPr>
        <w:t xml:space="preserve">Coram: </w:t>
      </w:r>
      <w:r w:rsidR="009862C3" w:rsidRPr="009862C3">
        <w:rPr>
          <w:lang w:eastAsia="en-AU"/>
        </w:rPr>
        <w:t>Wagner CJ and Moldaver, Karakatsanis, Côté, Brown, Rowe and Kasirer JJ</w:t>
      </w:r>
    </w:p>
    <w:p w14:paraId="7CDD9E33" w14:textId="77777777" w:rsidR="009862C3" w:rsidRPr="002F4F7E" w:rsidRDefault="009862C3" w:rsidP="00713AE7">
      <w:pPr>
        <w:rPr>
          <w:lang w:eastAsia="en-AU"/>
        </w:rPr>
      </w:pPr>
    </w:p>
    <w:p w14:paraId="5D0B0FF9" w14:textId="77777777" w:rsidR="00713AE7" w:rsidRPr="002F4F7E" w:rsidRDefault="00713AE7" w:rsidP="00713AE7">
      <w:pPr>
        <w:rPr>
          <w:b/>
          <w:lang w:eastAsia="en-AU"/>
        </w:rPr>
      </w:pPr>
      <w:r>
        <w:rPr>
          <w:b/>
          <w:lang w:eastAsia="en-AU"/>
        </w:rPr>
        <w:t>Catchwords:</w:t>
      </w:r>
    </w:p>
    <w:p w14:paraId="0C70B0A2" w14:textId="77777777" w:rsidR="00713AE7" w:rsidRPr="00856E9C" w:rsidRDefault="00713AE7" w:rsidP="00713AE7">
      <w:pPr>
        <w:rPr>
          <w:b/>
          <w:highlight w:val="yellow"/>
          <w:lang w:eastAsia="en-AU"/>
        </w:rPr>
      </w:pPr>
    </w:p>
    <w:p w14:paraId="5A34DCEA" w14:textId="77777777" w:rsidR="00713AE7" w:rsidRDefault="009862C3" w:rsidP="00713AE7">
      <w:pPr>
        <w:ind w:left="720"/>
        <w:rPr>
          <w:lang w:eastAsia="en-AU"/>
        </w:rPr>
      </w:pPr>
      <w:r w:rsidRPr="009862C3">
        <w:rPr>
          <w:lang w:eastAsia="en-AU"/>
        </w:rPr>
        <w:t xml:space="preserve">Insurance </w:t>
      </w:r>
      <w:r w:rsidR="00DB286E">
        <w:rPr>
          <w:lang w:eastAsia="en-AU"/>
        </w:rPr>
        <w:t>–</w:t>
      </w:r>
      <w:r w:rsidRPr="009862C3">
        <w:rPr>
          <w:lang w:eastAsia="en-AU"/>
        </w:rPr>
        <w:t xml:space="preserve"> Motor vehicle insurance </w:t>
      </w:r>
      <w:r w:rsidR="00DB286E">
        <w:rPr>
          <w:lang w:eastAsia="en-AU"/>
        </w:rPr>
        <w:t>–</w:t>
      </w:r>
      <w:r w:rsidRPr="009862C3">
        <w:rPr>
          <w:lang w:eastAsia="en-AU"/>
        </w:rPr>
        <w:t xml:space="preserve"> Promissory estoppel </w:t>
      </w:r>
      <w:r w:rsidR="00DB286E">
        <w:rPr>
          <w:lang w:eastAsia="en-AU"/>
        </w:rPr>
        <w:t>–</w:t>
      </w:r>
      <w:r w:rsidRPr="009862C3">
        <w:rPr>
          <w:lang w:eastAsia="en-AU"/>
        </w:rPr>
        <w:t xml:space="preserve"> Third party claim </w:t>
      </w:r>
      <w:r w:rsidR="00DB286E">
        <w:rPr>
          <w:lang w:eastAsia="en-AU"/>
        </w:rPr>
        <w:t>–</w:t>
      </w:r>
      <w:r>
        <w:rPr>
          <w:lang w:eastAsia="en-AU"/>
        </w:rPr>
        <w:t xml:space="preserve"> Where i</w:t>
      </w:r>
      <w:r w:rsidRPr="009862C3">
        <w:rPr>
          <w:lang w:eastAsia="en-AU"/>
        </w:rPr>
        <w:t xml:space="preserve">nsured killed in motorcycle accident </w:t>
      </w:r>
      <w:r w:rsidR="00DB286E">
        <w:rPr>
          <w:lang w:eastAsia="en-AU"/>
        </w:rPr>
        <w:t>–</w:t>
      </w:r>
      <w:r w:rsidRPr="009862C3">
        <w:rPr>
          <w:lang w:eastAsia="en-AU"/>
        </w:rPr>
        <w:t xml:space="preserve"> </w:t>
      </w:r>
      <w:r>
        <w:rPr>
          <w:lang w:eastAsia="en-AU"/>
        </w:rPr>
        <w:t>Where i</w:t>
      </w:r>
      <w:r w:rsidRPr="009862C3">
        <w:rPr>
          <w:lang w:eastAsia="en-AU"/>
        </w:rPr>
        <w:t xml:space="preserve">nsured had alcohol in his system at time of accident in breach of insurance policy </w:t>
      </w:r>
      <w:r w:rsidR="00DB286E">
        <w:rPr>
          <w:lang w:eastAsia="en-AU"/>
        </w:rPr>
        <w:t>–</w:t>
      </w:r>
      <w:r w:rsidRPr="009862C3">
        <w:rPr>
          <w:lang w:eastAsia="en-AU"/>
        </w:rPr>
        <w:t xml:space="preserve"> </w:t>
      </w:r>
      <w:r>
        <w:rPr>
          <w:lang w:eastAsia="en-AU"/>
        </w:rPr>
        <w:t>Where i</w:t>
      </w:r>
      <w:r w:rsidRPr="009862C3">
        <w:rPr>
          <w:lang w:eastAsia="en-AU"/>
        </w:rPr>
        <w:t>nsurer bec</w:t>
      </w:r>
      <w:r>
        <w:rPr>
          <w:lang w:eastAsia="en-AU"/>
        </w:rPr>
        <w:t xml:space="preserve">ame </w:t>
      </w:r>
      <w:r w:rsidRPr="009862C3">
        <w:rPr>
          <w:lang w:eastAsia="en-AU"/>
        </w:rPr>
        <w:t>aware of insured</w:t>
      </w:r>
      <w:r w:rsidR="00DA6539">
        <w:rPr>
          <w:lang w:eastAsia="en-AU"/>
        </w:rPr>
        <w:t>'</w:t>
      </w:r>
      <w:r w:rsidRPr="009862C3">
        <w:rPr>
          <w:lang w:eastAsia="en-AU"/>
        </w:rPr>
        <w:t>s policy breach three years after accident and after having defended insured</w:t>
      </w:r>
      <w:r w:rsidR="00DA6539">
        <w:rPr>
          <w:lang w:eastAsia="en-AU"/>
        </w:rPr>
        <w:t>'</w:t>
      </w:r>
      <w:r w:rsidRPr="009862C3">
        <w:rPr>
          <w:lang w:eastAsia="en-AU"/>
        </w:rPr>
        <w:t xml:space="preserve">s estate in lawsuits relating to accident </w:t>
      </w:r>
      <w:r w:rsidR="00DB286E">
        <w:rPr>
          <w:lang w:eastAsia="en-AU"/>
        </w:rPr>
        <w:t>–</w:t>
      </w:r>
      <w:r w:rsidRPr="009862C3">
        <w:rPr>
          <w:lang w:eastAsia="en-AU"/>
        </w:rPr>
        <w:t xml:space="preserve"> </w:t>
      </w:r>
      <w:r>
        <w:rPr>
          <w:lang w:eastAsia="en-AU"/>
        </w:rPr>
        <w:t>Where i</w:t>
      </w:r>
      <w:r w:rsidRPr="009862C3">
        <w:rPr>
          <w:lang w:eastAsia="en-AU"/>
        </w:rPr>
        <w:t>nsurer ceas</w:t>
      </w:r>
      <w:r>
        <w:rPr>
          <w:lang w:eastAsia="en-AU"/>
        </w:rPr>
        <w:t>ed</w:t>
      </w:r>
      <w:r w:rsidRPr="009862C3">
        <w:rPr>
          <w:lang w:eastAsia="en-AU"/>
        </w:rPr>
        <w:t xml:space="preserve"> to defend insured</w:t>
      </w:r>
      <w:r w:rsidR="00DA6539">
        <w:rPr>
          <w:lang w:eastAsia="en-AU"/>
        </w:rPr>
        <w:t>'</w:t>
      </w:r>
      <w:r w:rsidRPr="009862C3">
        <w:rPr>
          <w:lang w:eastAsia="en-AU"/>
        </w:rPr>
        <w:t xml:space="preserve">s estate and denying coverage </w:t>
      </w:r>
      <w:r w:rsidR="00DB286E">
        <w:rPr>
          <w:lang w:eastAsia="en-AU"/>
        </w:rPr>
        <w:t>–</w:t>
      </w:r>
      <w:r w:rsidRPr="009862C3">
        <w:rPr>
          <w:lang w:eastAsia="en-AU"/>
        </w:rPr>
        <w:t xml:space="preserve"> </w:t>
      </w:r>
      <w:r>
        <w:rPr>
          <w:lang w:eastAsia="en-AU"/>
        </w:rPr>
        <w:t>Where t</w:t>
      </w:r>
      <w:r w:rsidRPr="009862C3">
        <w:rPr>
          <w:lang w:eastAsia="en-AU"/>
        </w:rPr>
        <w:t>hird party injured in accident seeking to recover judgment against insured</w:t>
      </w:r>
      <w:r w:rsidR="00DA6539">
        <w:rPr>
          <w:lang w:eastAsia="en-AU"/>
        </w:rPr>
        <w:t>'</w:t>
      </w:r>
      <w:r w:rsidRPr="009862C3">
        <w:rPr>
          <w:lang w:eastAsia="en-AU"/>
        </w:rPr>
        <w:t xml:space="preserve">s estate from insurer </w:t>
      </w:r>
      <w:r w:rsidR="00DB286E">
        <w:rPr>
          <w:lang w:eastAsia="en-AU"/>
        </w:rPr>
        <w:t>–</w:t>
      </w:r>
      <w:r w:rsidRPr="009862C3">
        <w:rPr>
          <w:lang w:eastAsia="en-AU"/>
        </w:rPr>
        <w:t xml:space="preserve"> Whether insurer estopped from denying coverage by its conduct before it had actual knowledge of material facts that constituted breach.</w:t>
      </w:r>
    </w:p>
    <w:p w14:paraId="390BE156" w14:textId="77777777" w:rsidR="009862C3" w:rsidRPr="00856E9C" w:rsidRDefault="009862C3" w:rsidP="00713AE7">
      <w:pPr>
        <w:ind w:left="720"/>
        <w:rPr>
          <w:highlight w:val="yellow"/>
          <w:lang w:eastAsia="en-AU"/>
        </w:rPr>
      </w:pPr>
    </w:p>
    <w:p w14:paraId="17D08267" w14:textId="77777777" w:rsidR="00713AE7" w:rsidRPr="000D3E8D" w:rsidRDefault="00713AE7" w:rsidP="00713AE7">
      <w:pPr>
        <w:rPr>
          <w:lang w:eastAsia="en-AU"/>
        </w:rPr>
      </w:pPr>
      <w:r w:rsidRPr="002F4F7E">
        <w:rPr>
          <w:b/>
          <w:lang w:eastAsia="en-AU"/>
        </w:rPr>
        <w:t>Held (</w:t>
      </w:r>
      <w:r w:rsidR="009862C3">
        <w:rPr>
          <w:b/>
          <w:lang w:eastAsia="en-AU"/>
        </w:rPr>
        <w:t>7</w:t>
      </w:r>
      <w:r>
        <w:rPr>
          <w:b/>
          <w:lang w:eastAsia="en-AU"/>
        </w:rPr>
        <w:t>:0</w:t>
      </w:r>
      <w:r w:rsidRPr="002F4F7E">
        <w:rPr>
          <w:b/>
          <w:lang w:eastAsia="en-AU"/>
        </w:rPr>
        <w:t xml:space="preserve">): </w:t>
      </w:r>
      <w:r>
        <w:rPr>
          <w:lang w:eastAsia="en-AU"/>
        </w:rPr>
        <w:t>Appeal dismissed.</w:t>
      </w:r>
    </w:p>
    <w:p w14:paraId="35275AF2" w14:textId="77777777" w:rsidR="00713AE7" w:rsidRPr="00B546B2" w:rsidRDefault="00713AE7" w:rsidP="00713AE7">
      <w:pPr>
        <w:pStyle w:val="BullDivider2"/>
        <w:rPr>
          <w:rFonts w:cs="Arial"/>
          <w:highlight w:val="yellow"/>
        </w:rPr>
      </w:pPr>
    </w:p>
    <w:p w14:paraId="1065FF0D" w14:textId="77777777" w:rsidR="00241A1B" w:rsidRPr="00745856" w:rsidRDefault="00241A1B" w:rsidP="00241A1B"/>
    <w:p w14:paraId="33F658DC" w14:textId="09B8C11A" w:rsidR="00241A1B" w:rsidRPr="00745856" w:rsidRDefault="00241A1B" w:rsidP="00241A1B">
      <w:pPr>
        <w:tabs>
          <w:tab w:val="left" w:pos="5375"/>
        </w:tabs>
        <w:outlineLvl w:val="0"/>
        <w:rPr>
          <w:rFonts w:ascii="Garamond" w:hAnsi="Garamond"/>
          <w:b/>
          <w:sz w:val="44"/>
          <w:szCs w:val="24"/>
          <w:lang w:eastAsia="en-AU"/>
        </w:rPr>
      </w:pPr>
      <w:r>
        <w:rPr>
          <w:rFonts w:ascii="Garamond" w:hAnsi="Garamond"/>
          <w:b/>
          <w:sz w:val="44"/>
          <w:szCs w:val="24"/>
          <w:lang w:eastAsia="en-AU"/>
        </w:rPr>
        <w:t>International Law</w:t>
      </w:r>
    </w:p>
    <w:p w14:paraId="0CBBC02C" w14:textId="77777777" w:rsidR="00241A1B" w:rsidRPr="00745856" w:rsidRDefault="00241A1B" w:rsidP="00241A1B"/>
    <w:p w14:paraId="19C82011" w14:textId="77777777" w:rsidR="00241A1B" w:rsidRPr="00745856" w:rsidRDefault="00241A1B" w:rsidP="00241A1B">
      <w:pPr>
        <w:keepNext/>
        <w:outlineLvl w:val="1"/>
        <w:rPr>
          <w:rFonts w:ascii="Arial" w:hAnsi="Arial" w:cs="Arial"/>
          <w:bCs/>
          <w:i/>
          <w:iCs/>
          <w:sz w:val="28"/>
          <w:szCs w:val="28"/>
          <w:lang w:eastAsia="en-AU"/>
        </w:rPr>
      </w:pPr>
      <w:r>
        <w:rPr>
          <w:rFonts w:ascii="Arial" w:hAnsi="Arial" w:cs="Arial"/>
          <w:bCs/>
          <w:i/>
          <w:iCs/>
          <w:sz w:val="28"/>
          <w:szCs w:val="28"/>
          <w:lang w:eastAsia="en-AU"/>
        </w:rPr>
        <w:t>"</w:t>
      </w:r>
      <w:r w:rsidRPr="00745856">
        <w:rPr>
          <w:rFonts w:ascii="Arial" w:hAnsi="Arial" w:cs="Arial"/>
          <w:bCs/>
          <w:i/>
          <w:iCs/>
          <w:sz w:val="28"/>
          <w:szCs w:val="28"/>
          <w:lang w:eastAsia="en-AU"/>
        </w:rPr>
        <w:t>Maduro Board</w:t>
      </w:r>
      <w:r>
        <w:rPr>
          <w:rFonts w:ascii="Arial" w:hAnsi="Arial" w:cs="Arial"/>
          <w:bCs/>
          <w:i/>
          <w:iCs/>
          <w:sz w:val="28"/>
          <w:szCs w:val="28"/>
          <w:lang w:eastAsia="en-AU"/>
        </w:rPr>
        <w:t>"</w:t>
      </w:r>
      <w:r w:rsidRPr="00745856">
        <w:rPr>
          <w:rFonts w:ascii="Arial" w:hAnsi="Arial" w:cs="Arial"/>
          <w:bCs/>
          <w:i/>
          <w:iCs/>
          <w:sz w:val="28"/>
          <w:szCs w:val="28"/>
          <w:lang w:eastAsia="en-AU"/>
        </w:rPr>
        <w:t xml:space="preserve"> of the Central Bank of Venezuela v </w:t>
      </w:r>
      <w:r>
        <w:rPr>
          <w:rFonts w:ascii="Arial" w:hAnsi="Arial" w:cs="Arial"/>
          <w:bCs/>
          <w:i/>
          <w:iCs/>
          <w:sz w:val="28"/>
          <w:szCs w:val="28"/>
          <w:lang w:eastAsia="en-AU"/>
        </w:rPr>
        <w:t>"</w:t>
      </w:r>
      <w:r w:rsidRPr="00745856">
        <w:rPr>
          <w:rFonts w:ascii="Arial" w:hAnsi="Arial" w:cs="Arial"/>
          <w:bCs/>
          <w:i/>
          <w:iCs/>
          <w:sz w:val="28"/>
          <w:szCs w:val="28"/>
          <w:lang w:eastAsia="en-AU"/>
        </w:rPr>
        <w:t>Guaidó Board</w:t>
      </w:r>
      <w:r>
        <w:rPr>
          <w:rFonts w:ascii="Arial" w:hAnsi="Arial" w:cs="Arial"/>
          <w:bCs/>
          <w:i/>
          <w:iCs/>
          <w:sz w:val="28"/>
          <w:szCs w:val="28"/>
          <w:lang w:eastAsia="en-AU"/>
        </w:rPr>
        <w:t>"</w:t>
      </w:r>
      <w:r w:rsidRPr="00745856">
        <w:rPr>
          <w:rFonts w:ascii="Arial" w:hAnsi="Arial" w:cs="Arial"/>
          <w:bCs/>
          <w:i/>
          <w:iCs/>
          <w:sz w:val="28"/>
          <w:szCs w:val="28"/>
          <w:lang w:eastAsia="en-AU"/>
        </w:rPr>
        <w:t xml:space="preserve"> of the Central Bank of Venezuela</w:t>
      </w:r>
    </w:p>
    <w:p w14:paraId="2D82FBFA" w14:textId="77777777" w:rsidR="00241A1B" w:rsidRPr="00745856" w:rsidRDefault="00241A1B" w:rsidP="00241A1B">
      <w:pPr>
        <w:rPr>
          <w:lang w:eastAsia="en-AU"/>
        </w:rPr>
      </w:pPr>
      <w:r w:rsidRPr="00745856">
        <w:rPr>
          <w:b/>
          <w:lang w:eastAsia="en-AU"/>
        </w:rPr>
        <w:t xml:space="preserve">Supreme Court of the United Kingdom: </w:t>
      </w:r>
      <w:hyperlink r:id="rId37" w:history="1">
        <w:r w:rsidRPr="00745856">
          <w:rPr>
            <w:color w:val="0000FF"/>
            <w:u w:val="single"/>
            <w:lang w:eastAsia="en-AU"/>
          </w:rPr>
          <w:t>[2021] UKSC 57</w:t>
        </w:r>
      </w:hyperlink>
    </w:p>
    <w:p w14:paraId="15096A75" w14:textId="77777777" w:rsidR="00241A1B" w:rsidRPr="00745856" w:rsidRDefault="00241A1B" w:rsidP="00241A1B">
      <w:pPr>
        <w:rPr>
          <w:lang w:eastAsia="en-AU"/>
        </w:rPr>
      </w:pPr>
    </w:p>
    <w:p w14:paraId="2545CCAB" w14:textId="77777777" w:rsidR="00241A1B" w:rsidRPr="00745856" w:rsidRDefault="00241A1B" w:rsidP="00241A1B">
      <w:pPr>
        <w:rPr>
          <w:lang w:eastAsia="en-AU"/>
        </w:rPr>
      </w:pPr>
      <w:r w:rsidRPr="00745856">
        <w:rPr>
          <w:b/>
          <w:lang w:eastAsia="en-AU"/>
        </w:rPr>
        <w:t>Judgment delivered:</w:t>
      </w:r>
      <w:r w:rsidRPr="00745856">
        <w:rPr>
          <w:lang w:eastAsia="en-AU"/>
        </w:rPr>
        <w:t xml:space="preserve"> 20 December 2021</w:t>
      </w:r>
    </w:p>
    <w:p w14:paraId="01C97E83" w14:textId="77777777" w:rsidR="00241A1B" w:rsidRPr="00745856" w:rsidRDefault="00241A1B" w:rsidP="00241A1B">
      <w:pPr>
        <w:rPr>
          <w:lang w:eastAsia="en-AU"/>
        </w:rPr>
      </w:pPr>
    </w:p>
    <w:p w14:paraId="2A071885" w14:textId="77777777" w:rsidR="00241A1B" w:rsidRPr="00745856" w:rsidRDefault="00241A1B" w:rsidP="00241A1B">
      <w:pPr>
        <w:rPr>
          <w:lang w:eastAsia="en-AU"/>
        </w:rPr>
      </w:pPr>
      <w:r w:rsidRPr="00745856">
        <w:rPr>
          <w:b/>
          <w:lang w:eastAsia="en-AU"/>
        </w:rPr>
        <w:t xml:space="preserve">Coram: </w:t>
      </w:r>
      <w:r w:rsidRPr="00745856">
        <w:rPr>
          <w:lang w:eastAsia="en-AU"/>
        </w:rPr>
        <w:t>Lord Reed, Lord Hodge, Lord Lloyd-Jones, Lord Hamblen and Lord Leggatt</w:t>
      </w:r>
    </w:p>
    <w:p w14:paraId="6D44713F" w14:textId="77777777" w:rsidR="00241A1B" w:rsidRPr="00745856" w:rsidRDefault="00241A1B" w:rsidP="00241A1B">
      <w:pPr>
        <w:rPr>
          <w:lang w:eastAsia="en-AU"/>
        </w:rPr>
      </w:pPr>
    </w:p>
    <w:p w14:paraId="75B960F0" w14:textId="77777777" w:rsidR="00241A1B" w:rsidRPr="00745856" w:rsidRDefault="00241A1B" w:rsidP="00241A1B">
      <w:pPr>
        <w:rPr>
          <w:b/>
          <w:lang w:eastAsia="en-AU"/>
        </w:rPr>
      </w:pPr>
      <w:r w:rsidRPr="00745856">
        <w:rPr>
          <w:b/>
          <w:lang w:eastAsia="en-AU"/>
        </w:rPr>
        <w:t>Catchwords:</w:t>
      </w:r>
    </w:p>
    <w:p w14:paraId="63C8DC7C" w14:textId="77777777" w:rsidR="00241A1B" w:rsidRPr="00745856" w:rsidRDefault="00241A1B" w:rsidP="00241A1B">
      <w:pPr>
        <w:rPr>
          <w:b/>
          <w:highlight w:val="yellow"/>
          <w:lang w:eastAsia="en-AU"/>
        </w:rPr>
      </w:pPr>
    </w:p>
    <w:p w14:paraId="2BBF6048" w14:textId="775808B4" w:rsidR="00241A1B" w:rsidRPr="00745856" w:rsidRDefault="00241A1B" w:rsidP="00241A1B">
      <w:pPr>
        <w:ind w:left="720"/>
        <w:rPr>
          <w:lang w:eastAsia="en-AU"/>
        </w:rPr>
      </w:pPr>
      <w:r>
        <w:rPr>
          <w:lang w:eastAsia="en-AU"/>
        </w:rPr>
        <w:t>International law – Recognition of government – Recognition of foreign head of state – Foreign act of state doctrine – "One voice" doctrine – Where both claimants, "</w:t>
      </w:r>
      <w:r w:rsidRPr="00745856">
        <w:rPr>
          <w:lang w:eastAsia="en-AU"/>
        </w:rPr>
        <w:t>Maduro Board</w:t>
      </w:r>
      <w:r>
        <w:rPr>
          <w:lang w:eastAsia="en-AU"/>
        </w:rPr>
        <w:t>"</w:t>
      </w:r>
      <w:r w:rsidRPr="00745856">
        <w:rPr>
          <w:lang w:eastAsia="en-AU"/>
        </w:rPr>
        <w:t xml:space="preserve"> and </w:t>
      </w:r>
      <w:r>
        <w:rPr>
          <w:lang w:eastAsia="en-AU"/>
        </w:rPr>
        <w:t>"</w:t>
      </w:r>
      <w:r w:rsidRPr="00745856">
        <w:rPr>
          <w:lang w:eastAsia="en-AU"/>
        </w:rPr>
        <w:t>Guaidó Board</w:t>
      </w:r>
      <w:r>
        <w:rPr>
          <w:lang w:eastAsia="en-AU"/>
        </w:rPr>
        <w:t xml:space="preserve">", claimed to be entitled to represent Central Bank of Venezuela (BCV) and give instructions to financial institutions within United Kingdom on BCV's behalf – Where Maduro Board claimed to be only validly appointed board of BCV, appointed by Mr Maduro as President of Venezuela – Where Guaidó Board claimed to be ad hoc board of BCV, appointed by Mr Guaidó as interim President of Venezuela – Where, on 4 February 2019, then Foreign Secretary issued statement that "United Kingdom now recognises Juan Guaidó as constitutional interim President of Venezuela, until credible presidential elections can be held" – Whether Mr Guaidó or Mr Maduro is recognised as President of Venezuela – Whether, if Mr </w:t>
      </w:r>
      <w:r w:rsidRPr="001026B7">
        <w:rPr>
          <w:lang w:eastAsia="en-AU"/>
        </w:rPr>
        <w:t xml:space="preserve">Guaidó is </w:t>
      </w:r>
      <w:r>
        <w:rPr>
          <w:lang w:eastAsia="en-AU"/>
        </w:rPr>
        <w:t xml:space="preserve">recognised as </w:t>
      </w:r>
      <w:r w:rsidRPr="001026B7">
        <w:rPr>
          <w:lang w:eastAsia="en-AU"/>
        </w:rPr>
        <w:t>President</w:t>
      </w:r>
      <w:r>
        <w:rPr>
          <w:lang w:eastAsia="en-AU"/>
        </w:rPr>
        <w:t xml:space="preserve">, Mr Guaidó's appointment of Guaidó Board and of Special Attorney General is valid. </w:t>
      </w:r>
    </w:p>
    <w:p w14:paraId="67DD7ED3" w14:textId="77777777" w:rsidR="00241A1B" w:rsidRPr="00745856" w:rsidRDefault="00241A1B" w:rsidP="00241A1B">
      <w:pPr>
        <w:ind w:left="720"/>
        <w:rPr>
          <w:highlight w:val="yellow"/>
          <w:lang w:eastAsia="en-AU"/>
        </w:rPr>
      </w:pPr>
    </w:p>
    <w:p w14:paraId="3757483C" w14:textId="77777777" w:rsidR="00241A1B" w:rsidRPr="00745856" w:rsidRDefault="00241A1B" w:rsidP="00241A1B">
      <w:pPr>
        <w:rPr>
          <w:lang w:eastAsia="en-AU"/>
        </w:rPr>
      </w:pPr>
      <w:r w:rsidRPr="00745856">
        <w:rPr>
          <w:b/>
          <w:lang w:eastAsia="en-AU"/>
        </w:rPr>
        <w:t xml:space="preserve">Held (5:0): </w:t>
      </w:r>
      <w:r w:rsidRPr="00745856">
        <w:rPr>
          <w:lang w:eastAsia="en-AU"/>
        </w:rPr>
        <w:t>Appeal allowed</w:t>
      </w:r>
      <w:r>
        <w:rPr>
          <w:lang w:eastAsia="en-AU"/>
        </w:rPr>
        <w:t xml:space="preserve"> in part; cross-appeal dismissed</w:t>
      </w:r>
      <w:r w:rsidRPr="00745856">
        <w:rPr>
          <w:lang w:eastAsia="en-AU"/>
        </w:rPr>
        <w:t xml:space="preserve">. </w:t>
      </w:r>
    </w:p>
    <w:p w14:paraId="2A7AE8A2" w14:textId="77777777" w:rsidR="00241A1B" w:rsidRPr="00B546B2" w:rsidRDefault="00241A1B" w:rsidP="00241A1B">
      <w:pPr>
        <w:pStyle w:val="BullDivider2"/>
        <w:rPr>
          <w:rFonts w:cs="Arial"/>
          <w:highlight w:val="yellow"/>
        </w:rPr>
      </w:pPr>
    </w:p>
    <w:p w14:paraId="41D8D23A" w14:textId="77777777" w:rsidR="00B72933" w:rsidRDefault="00B72933" w:rsidP="00B72933"/>
    <w:p w14:paraId="3605CC85" w14:textId="77777777" w:rsidR="00746FF8" w:rsidRDefault="00194719" w:rsidP="005E1ABA">
      <w:pPr>
        <w:pStyle w:val="Heading1"/>
      </w:pPr>
      <w:r>
        <w:t>Practice and Procedure</w:t>
      </w:r>
    </w:p>
    <w:p w14:paraId="1783CECE" w14:textId="77777777" w:rsidR="005E1ABA" w:rsidRPr="005E1ABA" w:rsidRDefault="005E1ABA" w:rsidP="005E1ABA">
      <w:pPr>
        <w:rPr>
          <w:lang w:eastAsia="en-AU"/>
        </w:rPr>
      </w:pPr>
    </w:p>
    <w:p w14:paraId="36A16910" w14:textId="77777777" w:rsidR="00085806" w:rsidRPr="002F4F7E" w:rsidRDefault="00CF6522" w:rsidP="00085806">
      <w:pPr>
        <w:pStyle w:val="Heading2"/>
      </w:pPr>
      <w:r>
        <w:t>Bester</w:t>
      </w:r>
      <w:r w:rsidR="00085806" w:rsidRPr="00C94151">
        <w:t xml:space="preserve"> N.O. </w:t>
      </w:r>
      <w:r w:rsidR="00085806">
        <w:t>&amp; Ors</w:t>
      </w:r>
      <w:r w:rsidR="00085806" w:rsidRPr="00C94151">
        <w:t xml:space="preserve"> v </w:t>
      </w:r>
      <w:r w:rsidRPr="00CF6522">
        <w:t>Quintado 120 (Pty) Ltd</w:t>
      </w:r>
    </w:p>
    <w:p w14:paraId="69485570" w14:textId="77777777" w:rsidR="00085806" w:rsidRPr="002F4F7E" w:rsidRDefault="00085806" w:rsidP="00085806">
      <w:pPr>
        <w:rPr>
          <w:lang w:eastAsia="en-AU"/>
        </w:rPr>
      </w:pPr>
      <w:r>
        <w:rPr>
          <w:b/>
          <w:lang w:eastAsia="en-AU"/>
        </w:rPr>
        <w:t>Constitutional Court of South Africa</w:t>
      </w:r>
      <w:r w:rsidRPr="002F4F7E">
        <w:rPr>
          <w:b/>
          <w:lang w:eastAsia="en-AU"/>
        </w:rPr>
        <w:t xml:space="preserve">: </w:t>
      </w:r>
      <w:hyperlink r:id="rId38" w:history="1">
        <w:r w:rsidR="00CF6522">
          <w:rPr>
            <w:rStyle w:val="Hyperlink"/>
            <w:lang w:eastAsia="en-AU"/>
          </w:rPr>
          <w:t>[2021] ZACC 49</w:t>
        </w:r>
      </w:hyperlink>
    </w:p>
    <w:p w14:paraId="1702A699" w14:textId="77777777" w:rsidR="00085806" w:rsidRPr="002F4F7E" w:rsidRDefault="00085806" w:rsidP="00085806">
      <w:pPr>
        <w:rPr>
          <w:lang w:eastAsia="en-AU"/>
        </w:rPr>
      </w:pPr>
    </w:p>
    <w:p w14:paraId="5BBDE730" w14:textId="77777777" w:rsidR="00085806" w:rsidRPr="002F4F7E" w:rsidRDefault="00085806" w:rsidP="00085806">
      <w:pPr>
        <w:rPr>
          <w:lang w:eastAsia="en-AU"/>
        </w:rPr>
      </w:pPr>
      <w:r w:rsidRPr="002F4F7E">
        <w:rPr>
          <w:b/>
          <w:lang w:eastAsia="en-AU"/>
        </w:rPr>
        <w:t>Judgment delivered:</w:t>
      </w:r>
      <w:r w:rsidRPr="002F4F7E">
        <w:rPr>
          <w:lang w:eastAsia="en-AU"/>
        </w:rPr>
        <w:t xml:space="preserve"> </w:t>
      </w:r>
      <w:r w:rsidR="00B44229">
        <w:rPr>
          <w:lang w:eastAsia="en-AU"/>
        </w:rPr>
        <w:t>13 December</w:t>
      </w:r>
      <w:r>
        <w:rPr>
          <w:lang w:eastAsia="en-AU"/>
        </w:rPr>
        <w:t xml:space="preserve"> 2021</w:t>
      </w:r>
    </w:p>
    <w:p w14:paraId="1F5B11B4" w14:textId="77777777" w:rsidR="00085806" w:rsidRPr="002F4F7E" w:rsidRDefault="00085806" w:rsidP="00085806">
      <w:pPr>
        <w:rPr>
          <w:lang w:eastAsia="en-AU"/>
        </w:rPr>
      </w:pPr>
    </w:p>
    <w:p w14:paraId="03C2E423" w14:textId="77777777" w:rsidR="00085806" w:rsidRDefault="00085806" w:rsidP="00085806">
      <w:pPr>
        <w:rPr>
          <w:lang w:eastAsia="en-AU"/>
        </w:rPr>
      </w:pPr>
      <w:r w:rsidRPr="002F4F7E">
        <w:rPr>
          <w:b/>
          <w:lang w:eastAsia="en-AU"/>
        </w:rPr>
        <w:t xml:space="preserve">Coram: </w:t>
      </w:r>
      <w:r w:rsidR="00CF6522" w:rsidRPr="00CF6522">
        <w:rPr>
          <w:lang w:eastAsia="en-AU"/>
        </w:rPr>
        <w:t xml:space="preserve">Madlanga J, Madondo AJ, Majiedt, Mhlantla </w:t>
      </w:r>
      <w:r w:rsidR="000A1BDC">
        <w:rPr>
          <w:lang w:eastAsia="en-AU"/>
        </w:rPr>
        <w:t>J</w:t>
      </w:r>
      <w:r w:rsidR="00CF6522" w:rsidRPr="00CF6522">
        <w:rPr>
          <w:lang w:eastAsia="en-AU"/>
        </w:rPr>
        <w:t>J, Pillay, Rogers A</w:t>
      </w:r>
      <w:r w:rsidR="000A1BDC">
        <w:rPr>
          <w:lang w:eastAsia="en-AU"/>
        </w:rPr>
        <w:t>J</w:t>
      </w:r>
      <w:r w:rsidR="00CF6522" w:rsidRPr="00CF6522">
        <w:rPr>
          <w:lang w:eastAsia="en-AU"/>
        </w:rPr>
        <w:t>J, Theron J, Tlaletsi AJ and Tshiqi J</w:t>
      </w:r>
    </w:p>
    <w:p w14:paraId="66B6B99A" w14:textId="77777777" w:rsidR="00085806" w:rsidRPr="002F4F7E" w:rsidRDefault="00085806" w:rsidP="00085806">
      <w:pPr>
        <w:rPr>
          <w:lang w:eastAsia="en-AU"/>
        </w:rPr>
      </w:pPr>
    </w:p>
    <w:p w14:paraId="0AFB2D34" w14:textId="77777777" w:rsidR="00085806" w:rsidRPr="002F4F7E" w:rsidRDefault="00085806" w:rsidP="00085806">
      <w:pPr>
        <w:rPr>
          <w:b/>
          <w:lang w:eastAsia="en-AU"/>
        </w:rPr>
      </w:pPr>
      <w:r>
        <w:rPr>
          <w:b/>
          <w:lang w:eastAsia="en-AU"/>
        </w:rPr>
        <w:t>Catchwords:</w:t>
      </w:r>
    </w:p>
    <w:p w14:paraId="6101D8B7" w14:textId="77777777" w:rsidR="00085806" w:rsidRPr="00856E9C" w:rsidRDefault="00085806" w:rsidP="00085806">
      <w:pPr>
        <w:rPr>
          <w:b/>
          <w:highlight w:val="yellow"/>
          <w:lang w:eastAsia="en-AU"/>
        </w:rPr>
      </w:pPr>
    </w:p>
    <w:p w14:paraId="1EE3C07F" w14:textId="77777777" w:rsidR="00085806" w:rsidRDefault="00085806" w:rsidP="00085806">
      <w:pPr>
        <w:ind w:left="720"/>
        <w:rPr>
          <w:lang w:eastAsia="en-AU"/>
        </w:rPr>
      </w:pPr>
      <w:r>
        <w:rPr>
          <w:lang w:eastAsia="en-AU"/>
        </w:rPr>
        <w:t xml:space="preserve">Practice and procedure – Leave to appeal – Jurisdiction – </w:t>
      </w:r>
      <w:r w:rsidR="00CF6522">
        <w:rPr>
          <w:lang w:eastAsia="en-AU"/>
        </w:rPr>
        <w:t xml:space="preserve">Discharge of provisional liquidation </w:t>
      </w:r>
      <w:r>
        <w:rPr>
          <w:lang w:eastAsia="en-AU"/>
        </w:rPr>
        <w:t>order – Where Mr Louw</w:t>
      </w:r>
      <w:r w:rsidR="00CF6522">
        <w:rPr>
          <w:lang w:eastAsia="en-AU"/>
        </w:rPr>
        <w:t xml:space="preserve"> </w:t>
      </w:r>
      <w:r>
        <w:rPr>
          <w:lang w:eastAsia="en-AU"/>
        </w:rPr>
        <w:t xml:space="preserve">defrauded clients </w:t>
      </w:r>
      <w:r w:rsidR="00B44229">
        <w:rPr>
          <w:lang w:eastAsia="en-AU"/>
        </w:rPr>
        <w:t>of</w:t>
      </w:r>
      <w:r>
        <w:rPr>
          <w:lang w:eastAsia="en-AU"/>
        </w:rPr>
        <w:t xml:space="preserve"> R110 million – Where </w:t>
      </w:r>
      <w:r w:rsidR="00CF6522">
        <w:rPr>
          <w:lang w:eastAsia="en-AU"/>
        </w:rPr>
        <w:t>funds transferred into bank account of Quintado</w:t>
      </w:r>
      <w:r>
        <w:rPr>
          <w:lang w:eastAsia="en-AU"/>
        </w:rPr>
        <w:t xml:space="preserve"> – Where, following sequestration of Mr Louw</w:t>
      </w:r>
      <w:r w:rsidR="00DA6539">
        <w:rPr>
          <w:lang w:eastAsia="en-AU"/>
        </w:rPr>
        <w:t>'</w:t>
      </w:r>
      <w:r>
        <w:rPr>
          <w:lang w:eastAsia="en-AU"/>
        </w:rPr>
        <w:t>s estate, estate</w:t>
      </w:r>
      <w:r w:rsidR="00DA6539">
        <w:rPr>
          <w:lang w:eastAsia="en-AU"/>
        </w:rPr>
        <w:t>'</w:t>
      </w:r>
      <w:r>
        <w:rPr>
          <w:lang w:eastAsia="en-AU"/>
        </w:rPr>
        <w:t xml:space="preserve">s joint trustees brought proceedings for </w:t>
      </w:r>
      <w:r w:rsidR="00CF6522">
        <w:rPr>
          <w:lang w:eastAsia="en-AU"/>
        </w:rPr>
        <w:t>order placing Quintado under provisional liquidation</w:t>
      </w:r>
      <w:r>
        <w:rPr>
          <w:lang w:eastAsia="en-AU"/>
        </w:rPr>
        <w:t xml:space="preserve"> – Where </w:t>
      </w:r>
      <w:r w:rsidR="00B44229">
        <w:rPr>
          <w:lang w:eastAsia="en-AU"/>
        </w:rPr>
        <w:t>provisional liquidation order made by High Court</w:t>
      </w:r>
      <w:r>
        <w:rPr>
          <w:lang w:eastAsia="en-AU"/>
        </w:rPr>
        <w:t xml:space="preserve"> –</w:t>
      </w:r>
      <w:r w:rsidR="00B44229">
        <w:rPr>
          <w:lang w:eastAsia="en-AU"/>
        </w:rPr>
        <w:t xml:space="preserve"> Where provisional order subsequently discharged –</w:t>
      </w:r>
      <w:r>
        <w:rPr>
          <w:lang w:eastAsia="en-AU"/>
        </w:rPr>
        <w:t xml:space="preserve"> Where Supreme Court refused leave to appeal – Whether Court</w:t>
      </w:r>
      <w:r w:rsidR="00DA6539">
        <w:rPr>
          <w:lang w:eastAsia="en-AU"/>
        </w:rPr>
        <w:t>'</w:t>
      </w:r>
      <w:r>
        <w:rPr>
          <w:lang w:eastAsia="en-AU"/>
        </w:rPr>
        <w:t xml:space="preserve">s jurisdiction engaged. </w:t>
      </w:r>
    </w:p>
    <w:p w14:paraId="225C7DB6" w14:textId="77777777" w:rsidR="00085806" w:rsidRPr="00856E9C" w:rsidRDefault="00085806" w:rsidP="00085806">
      <w:pPr>
        <w:ind w:left="720"/>
        <w:rPr>
          <w:highlight w:val="yellow"/>
          <w:lang w:eastAsia="en-AU"/>
        </w:rPr>
      </w:pPr>
    </w:p>
    <w:p w14:paraId="514F8416" w14:textId="77777777" w:rsidR="00085806" w:rsidRPr="000D3E8D" w:rsidRDefault="00085806" w:rsidP="00085806">
      <w:pPr>
        <w:rPr>
          <w:lang w:eastAsia="en-AU"/>
        </w:rPr>
      </w:pPr>
      <w:r w:rsidRPr="002F4F7E">
        <w:rPr>
          <w:b/>
          <w:lang w:eastAsia="en-AU"/>
        </w:rPr>
        <w:t>Held (</w:t>
      </w:r>
      <w:r>
        <w:rPr>
          <w:b/>
          <w:lang w:eastAsia="en-AU"/>
        </w:rPr>
        <w:t>9:0</w:t>
      </w:r>
      <w:r w:rsidRPr="002F4F7E">
        <w:rPr>
          <w:b/>
          <w:lang w:eastAsia="en-AU"/>
        </w:rPr>
        <w:t>):</w:t>
      </w:r>
      <w:r>
        <w:rPr>
          <w:lang w:eastAsia="en-AU"/>
        </w:rPr>
        <w:t xml:space="preserve"> Leave to appeal refused. </w:t>
      </w:r>
    </w:p>
    <w:p w14:paraId="728B1914" w14:textId="77777777" w:rsidR="00085806" w:rsidRDefault="00085806" w:rsidP="00085806">
      <w:pPr>
        <w:pStyle w:val="BullDivider1"/>
        <w:pBdr>
          <w:bottom w:val="dotted" w:sz="4" w:space="0" w:color="auto"/>
        </w:pBdr>
      </w:pPr>
    </w:p>
    <w:p w14:paraId="5D4E1358" w14:textId="77777777" w:rsidR="00CF6522" w:rsidRPr="00CF6522" w:rsidRDefault="00CF6522" w:rsidP="00CF6522">
      <w:pPr>
        <w:rPr>
          <w:lang w:eastAsia="en-AU"/>
        </w:rPr>
      </w:pPr>
    </w:p>
    <w:p w14:paraId="1748F335" w14:textId="77777777" w:rsidR="00CF6522" w:rsidRPr="00CF6522" w:rsidRDefault="00CF6522" w:rsidP="00CF6522">
      <w:pPr>
        <w:keepNext/>
        <w:outlineLvl w:val="1"/>
        <w:rPr>
          <w:rFonts w:ascii="Arial" w:hAnsi="Arial" w:cs="Arial"/>
          <w:bCs/>
          <w:i/>
          <w:iCs/>
          <w:sz w:val="28"/>
          <w:szCs w:val="28"/>
          <w:lang w:eastAsia="en-AU"/>
        </w:rPr>
      </w:pPr>
      <w:r w:rsidRPr="00CF6522">
        <w:rPr>
          <w:rFonts w:ascii="Arial" w:hAnsi="Arial" w:cs="Arial"/>
          <w:bCs/>
          <w:i/>
          <w:iCs/>
          <w:sz w:val="28"/>
          <w:szCs w:val="28"/>
          <w:lang w:eastAsia="en-AU"/>
        </w:rPr>
        <w:t>Burger N.O. &amp; Ors v Bester N.O. &amp; Ors</w:t>
      </w:r>
    </w:p>
    <w:p w14:paraId="64A702BB" w14:textId="77777777" w:rsidR="00CF6522" w:rsidRPr="00CF6522" w:rsidRDefault="00CF6522" w:rsidP="00CF6522">
      <w:pPr>
        <w:rPr>
          <w:lang w:eastAsia="en-AU"/>
        </w:rPr>
      </w:pPr>
      <w:r w:rsidRPr="00CF6522">
        <w:rPr>
          <w:b/>
          <w:lang w:eastAsia="en-AU"/>
        </w:rPr>
        <w:t xml:space="preserve">Constitutional Court of South Africa: </w:t>
      </w:r>
      <w:hyperlink r:id="rId39" w:history="1">
        <w:r w:rsidRPr="00CF6522">
          <w:rPr>
            <w:color w:val="0000FF"/>
            <w:u w:val="single"/>
            <w:lang w:eastAsia="en-AU"/>
          </w:rPr>
          <w:t>[2021] ZACC 48</w:t>
        </w:r>
      </w:hyperlink>
    </w:p>
    <w:p w14:paraId="7620AEE6" w14:textId="77777777" w:rsidR="00CF6522" w:rsidRPr="00CF6522" w:rsidRDefault="00CF6522" w:rsidP="00CF6522">
      <w:pPr>
        <w:rPr>
          <w:lang w:eastAsia="en-AU"/>
        </w:rPr>
      </w:pPr>
    </w:p>
    <w:p w14:paraId="5EE2AE21" w14:textId="77777777" w:rsidR="00CF6522" w:rsidRPr="00CF6522" w:rsidRDefault="00CF6522" w:rsidP="00CF6522">
      <w:pPr>
        <w:rPr>
          <w:lang w:eastAsia="en-AU"/>
        </w:rPr>
      </w:pPr>
      <w:r w:rsidRPr="00CF6522">
        <w:rPr>
          <w:b/>
          <w:lang w:eastAsia="en-AU"/>
        </w:rPr>
        <w:t>Judgment delivered:</w:t>
      </w:r>
      <w:r w:rsidRPr="00CF6522">
        <w:rPr>
          <w:lang w:eastAsia="en-AU"/>
        </w:rPr>
        <w:t xml:space="preserve"> </w:t>
      </w:r>
      <w:r w:rsidR="00B44229">
        <w:rPr>
          <w:lang w:eastAsia="en-AU"/>
        </w:rPr>
        <w:t>13 December</w:t>
      </w:r>
      <w:r w:rsidRPr="00CF6522">
        <w:rPr>
          <w:lang w:eastAsia="en-AU"/>
        </w:rPr>
        <w:t xml:space="preserve"> 2021</w:t>
      </w:r>
    </w:p>
    <w:p w14:paraId="393F1C81" w14:textId="77777777" w:rsidR="00CF6522" w:rsidRPr="00CF6522" w:rsidRDefault="00CF6522" w:rsidP="00CF6522">
      <w:pPr>
        <w:rPr>
          <w:lang w:eastAsia="en-AU"/>
        </w:rPr>
      </w:pPr>
    </w:p>
    <w:p w14:paraId="453545A6" w14:textId="77777777" w:rsidR="00CF6522" w:rsidRPr="00CF6522" w:rsidRDefault="00CF6522" w:rsidP="00CF6522">
      <w:pPr>
        <w:rPr>
          <w:lang w:eastAsia="en-AU"/>
        </w:rPr>
      </w:pPr>
      <w:r w:rsidRPr="00CF6522">
        <w:rPr>
          <w:b/>
          <w:lang w:eastAsia="en-AU"/>
        </w:rPr>
        <w:t xml:space="preserve">Coram: </w:t>
      </w:r>
      <w:r w:rsidR="000A1BDC" w:rsidRPr="000A1BDC">
        <w:rPr>
          <w:lang w:eastAsia="en-AU"/>
        </w:rPr>
        <w:t>Madlanga J, Madondo AJ, Majiedt, Mhlantla JJ, Pillay, Rogers AJJ, Theron J, Tlaletsi AJ and Tshiqi J</w:t>
      </w:r>
    </w:p>
    <w:p w14:paraId="27BDC168" w14:textId="77777777" w:rsidR="00CF6522" w:rsidRPr="00CF6522" w:rsidRDefault="00CF6522" w:rsidP="00CF6522">
      <w:pPr>
        <w:rPr>
          <w:lang w:eastAsia="en-AU"/>
        </w:rPr>
      </w:pPr>
    </w:p>
    <w:p w14:paraId="35B16CED" w14:textId="77777777" w:rsidR="00CF6522" w:rsidRPr="00CF6522" w:rsidRDefault="00CF6522" w:rsidP="00CF6522">
      <w:pPr>
        <w:rPr>
          <w:b/>
          <w:lang w:eastAsia="en-AU"/>
        </w:rPr>
      </w:pPr>
      <w:r w:rsidRPr="00CF6522">
        <w:rPr>
          <w:b/>
          <w:lang w:eastAsia="en-AU"/>
        </w:rPr>
        <w:t>Catchwords:</w:t>
      </w:r>
    </w:p>
    <w:p w14:paraId="72AC9823" w14:textId="77777777" w:rsidR="00CF6522" w:rsidRPr="00CF6522" w:rsidRDefault="00CF6522" w:rsidP="00CF6522">
      <w:pPr>
        <w:rPr>
          <w:b/>
          <w:highlight w:val="yellow"/>
          <w:lang w:eastAsia="en-AU"/>
        </w:rPr>
      </w:pPr>
    </w:p>
    <w:p w14:paraId="625560F6" w14:textId="77777777" w:rsidR="00CF6522" w:rsidRPr="00CF6522" w:rsidRDefault="00CF6522" w:rsidP="00CF6522">
      <w:pPr>
        <w:ind w:left="720"/>
        <w:rPr>
          <w:lang w:eastAsia="en-AU"/>
        </w:rPr>
      </w:pPr>
      <w:r w:rsidRPr="00CF6522">
        <w:rPr>
          <w:lang w:eastAsia="en-AU"/>
        </w:rPr>
        <w:t>Practice and procedure – Leave to appeal – Jurisdiction – Sequestration order – Where Mr Louw</w:t>
      </w:r>
      <w:r>
        <w:rPr>
          <w:lang w:eastAsia="en-AU"/>
        </w:rPr>
        <w:t xml:space="preserve"> </w:t>
      </w:r>
      <w:r w:rsidRPr="00CF6522">
        <w:rPr>
          <w:lang w:eastAsia="en-AU"/>
        </w:rPr>
        <w:t>defrauded clients and misappropriated R110 million – Where misappropriated monies had been transferred to Trust of which Mr Louw was trustee – Where, following sequestration of Mr Louw</w:t>
      </w:r>
      <w:r w:rsidR="00DA6539">
        <w:rPr>
          <w:lang w:eastAsia="en-AU"/>
        </w:rPr>
        <w:t>'</w:t>
      </w:r>
      <w:r w:rsidRPr="00CF6522">
        <w:rPr>
          <w:lang w:eastAsia="en-AU"/>
        </w:rPr>
        <w:t>s estate, estate</w:t>
      </w:r>
      <w:r w:rsidR="00DA6539">
        <w:rPr>
          <w:lang w:eastAsia="en-AU"/>
        </w:rPr>
        <w:t>'</w:t>
      </w:r>
      <w:r w:rsidRPr="00CF6522">
        <w:rPr>
          <w:lang w:eastAsia="en-AU"/>
        </w:rPr>
        <w:t>s joint trustees brought proceedings for sequestration of Trust to recover monies advanced to Trust – Where High Court placed Trust under final sequestration – Where Supreme Court refused leave to appeal – Whether Court</w:t>
      </w:r>
      <w:r w:rsidR="00DA6539">
        <w:rPr>
          <w:lang w:eastAsia="en-AU"/>
        </w:rPr>
        <w:t>'</w:t>
      </w:r>
      <w:r w:rsidRPr="00CF6522">
        <w:rPr>
          <w:lang w:eastAsia="en-AU"/>
        </w:rPr>
        <w:t xml:space="preserve">s jurisdiction engaged. </w:t>
      </w:r>
    </w:p>
    <w:p w14:paraId="0075AD17" w14:textId="77777777" w:rsidR="00CF6522" w:rsidRPr="00CF6522" w:rsidRDefault="00CF6522" w:rsidP="00CF6522">
      <w:pPr>
        <w:ind w:left="720"/>
        <w:rPr>
          <w:highlight w:val="yellow"/>
          <w:lang w:eastAsia="en-AU"/>
        </w:rPr>
      </w:pPr>
    </w:p>
    <w:p w14:paraId="3D7DF82A" w14:textId="77777777" w:rsidR="00CF6522" w:rsidRPr="00CF6522" w:rsidRDefault="00CF6522" w:rsidP="00CF6522">
      <w:pPr>
        <w:rPr>
          <w:lang w:eastAsia="en-AU"/>
        </w:rPr>
      </w:pPr>
      <w:r w:rsidRPr="00CF6522">
        <w:rPr>
          <w:b/>
          <w:lang w:eastAsia="en-AU"/>
        </w:rPr>
        <w:t>Held (9:0):</w:t>
      </w:r>
      <w:r w:rsidRPr="00CF6522">
        <w:rPr>
          <w:lang w:eastAsia="en-AU"/>
        </w:rPr>
        <w:t xml:space="preserve"> Leave to appeal refused. </w:t>
      </w:r>
    </w:p>
    <w:p w14:paraId="24A62E90" w14:textId="77777777" w:rsidR="00CF6522" w:rsidRPr="00CF6522" w:rsidRDefault="00CF6522" w:rsidP="00CF6522">
      <w:pPr>
        <w:pBdr>
          <w:bottom w:val="dotted" w:sz="4" w:space="0" w:color="auto"/>
        </w:pBdr>
        <w:rPr>
          <w:szCs w:val="20"/>
          <w:lang w:eastAsia="en-AU"/>
        </w:rPr>
      </w:pPr>
    </w:p>
    <w:p w14:paraId="16551E4F" w14:textId="77777777" w:rsidR="00085806" w:rsidRDefault="00085806" w:rsidP="00CF6522">
      <w:pPr>
        <w:rPr>
          <w:rFonts w:ascii="Arial" w:hAnsi="Arial" w:cs="Arial"/>
          <w:bCs/>
          <w:i/>
          <w:iCs/>
          <w:sz w:val="28"/>
          <w:szCs w:val="28"/>
          <w:lang w:eastAsia="en-AU"/>
        </w:rPr>
      </w:pPr>
    </w:p>
    <w:p w14:paraId="5A7887ED" w14:textId="77777777" w:rsidR="00746FF8" w:rsidRPr="00746FF8" w:rsidRDefault="002F3DE5" w:rsidP="002F3DE5">
      <w:pPr>
        <w:keepNext/>
        <w:outlineLvl w:val="1"/>
        <w:rPr>
          <w:rFonts w:ascii="Arial" w:hAnsi="Arial" w:cs="Arial"/>
          <w:bCs/>
          <w:i/>
          <w:iCs/>
          <w:sz w:val="28"/>
          <w:szCs w:val="28"/>
          <w:lang w:eastAsia="en-AU"/>
        </w:rPr>
      </w:pPr>
      <w:r w:rsidRPr="002F3DE5">
        <w:rPr>
          <w:rFonts w:ascii="Arial" w:hAnsi="Arial" w:cs="Arial"/>
          <w:bCs/>
          <w:i/>
          <w:iCs/>
          <w:sz w:val="28"/>
          <w:szCs w:val="28"/>
          <w:lang w:eastAsia="en-AU"/>
        </w:rPr>
        <w:lastRenderedPageBreak/>
        <w:t>Her Majesty</w:t>
      </w:r>
      <w:r w:rsidR="00DA6539">
        <w:rPr>
          <w:rFonts w:ascii="Arial" w:hAnsi="Arial" w:cs="Arial"/>
          <w:bCs/>
          <w:i/>
          <w:iCs/>
          <w:sz w:val="28"/>
          <w:szCs w:val="28"/>
          <w:lang w:eastAsia="en-AU"/>
        </w:rPr>
        <w:t>'</w:t>
      </w:r>
      <w:r w:rsidRPr="002F3DE5">
        <w:rPr>
          <w:rFonts w:ascii="Arial" w:hAnsi="Arial" w:cs="Arial"/>
          <w:bCs/>
          <w:i/>
          <w:iCs/>
          <w:sz w:val="28"/>
          <w:szCs w:val="28"/>
          <w:lang w:eastAsia="en-AU"/>
        </w:rPr>
        <w:t>s Attorney General v</w:t>
      </w:r>
      <w:r>
        <w:rPr>
          <w:rFonts w:ascii="Arial" w:hAnsi="Arial" w:cs="Arial"/>
          <w:bCs/>
          <w:i/>
          <w:iCs/>
          <w:sz w:val="28"/>
          <w:szCs w:val="28"/>
          <w:lang w:eastAsia="en-AU"/>
        </w:rPr>
        <w:t xml:space="preserve"> </w:t>
      </w:r>
      <w:r w:rsidRPr="002F3DE5">
        <w:rPr>
          <w:rFonts w:ascii="Arial" w:hAnsi="Arial" w:cs="Arial"/>
          <w:bCs/>
          <w:i/>
          <w:iCs/>
          <w:sz w:val="28"/>
          <w:szCs w:val="28"/>
          <w:lang w:eastAsia="en-AU"/>
        </w:rPr>
        <w:t>Crosland</w:t>
      </w:r>
    </w:p>
    <w:p w14:paraId="5D037706" w14:textId="77777777" w:rsidR="00746FF8" w:rsidRPr="00746FF8" w:rsidRDefault="00746FF8" w:rsidP="00746FF8">
      <w:pPr>
        <w:rPr>
          <w:lang w:eastAsia="en-AU"/>
        </w:rPr>
      </w:pPr>
      <w:r w:rsidRPr="00746FF8">
        <w:rPr>
          <w:b/>
          <w:lang w:eastAsia="en-AU"/>
        </w:rPr>
        <w:t xml:space="preserve">Supreme Court of the United Kingdom: </w:t>
      </w:r>
      <w:hyperlink r:id="rId40" w:history="1">
        <w:r w:rsidR="005E1ABA">
          <w:rPr>
            <w:color w:val="0000FF"/>
            <w:u w:val="single"/>
            <w:lang w:eastAsia="en-AU"/>
          </w:rPr>
          <w:t>[2021] UKSC 58</w:t>
        </w:r>
      </w:hyperlink>
    </w:p>
    <w:p w14:paraId="68F9F88B" w14:textId="77777777" w:rsidR="00746FF8" w:rsidRPr="00746FF8" w:rsidRDefault="00746FF8" w:rsidP="00746FF8">
      <w:pPr>
        <w:rPr>
          <w:lang w:eastAsia="en-AU"/>
        </w:rPr>
      </w:pPr>
    </w:p>
    <w:p w14:paraId="58C0E4C1" w14:textId="77777777" w:rsidR="00746FF8" w:rsidRPr="00746FF8" w:rsidRDefault="00746FF8" w:rsidP="00746FF8">
      <w:pPr>
        <w:rPr>
          <w:lang w:eastAsia="en-AU"/>
        </w:rPr>
      </w:pPr>
      <w:r w:rsidRPr="00746FF8">
        <w:rPr>
          <w:b/>
          <w:lang w:eastAsia="en-AU"/>
        </w:rPr>
        <w:t>Judgment delivered:</w:t>
      </w:r>
      <w:r w:rsidRPr="00746FF8">
        <w:rPr>
          <w:lang w:eastAsia="en-AU"/>
        </w:rPr>
        <w:t xml:space="preserve"> </w:t>
      </w:r>
      <w:r w:rsidR="005E1ABA">
        <w:rPr>
          <w:lang w:eastAsia="en-AU"/>
        </w:rPr>
        <w:t>20 December</w:t>
      </w:r>
      <w:r w:rsidRPr="00746FF8">
        <w:rPr>
          <w:lang w:eastAsia="en-AU"/>
        </w:rPr>
        <w:t xml:space="preserve"> 2021</w:t>
      </w:r>
    </w:p>
    <w:p w14:paraId="7B14AE68" w14:textId="77777777" w:rsidR="00746FF8" w:rsidRPr="00746FF8" w:rsidRDefault="00746FF8" w:rsidP="00746FF8">
      <w:pPr>
        <w:rPr>
          <w:lang w:eastAsia="en-AU"/>
        </w:rPr>
      </w:pPr>
    </w:p>
    <w:p w14:paraId="6373B401" w14:textId="77777777" w:rsidR="00746FF8" w:rsidRDefault="00746FF8" w:rsidP="00746FF8">
      <w:pPr>
        <w:rPr>
          <w:lang w:eastAsia="en-AU"/>
        </w:rPr>
      </w:pPr>
      <w:r w:rsidRPr="00746FF8">
        <w:rPr>
          <w:b/>
          <w:lang w:eastAsia="en-AU"/>
        </w:rPr>
        <w:t xml:space="preserve">Coram: </w:t>
      </w:r>
      <w:r w:rsidR="005E1ABA" w:rsidRPr="005E1ABA">
        <w:rPr>
          <w:lang w:eastAsia="en-AU"/>
        </w:rPr>
        <w:t>Lord Briggs, Lady Arden, Lord Kitchin, Lord Burrows</w:t>
      </w:r>
      <w:r w:rsidR="005E1ABA">
        <w:rPr>
          <w:lang w:eastAsia="en-AU"/>
        </w:rPr>
        <w:t xml:space="preserve"> and</w:t>
      </w:r>
      <w:r w:rsidR="005E1ABA" w:rsidRPr="005E1ABA">
        <w:rPr>
          <w:lang w:eastAsia="en-AU"/>
        </w:rPr>
        <w:t xml:space="preserve"> Lady Rose</w:t>
      </w:r>
    </w:p>
    <w:p w14:paraId="68CD7DAD" w14:textId="77777777" w:rsidR="005E1ABA" w:rsidRPr="00746FF8" w:rsidRDefault="005E1ABA" w:rsidP="00746FF8">
      <w:pPr>
        <w:rPr>
          <w:lang w:eastAsia="en-AU"/>
        </w:rPr>
      </w:pPr>
    </w:p>
    <w:p w14:paraId="2E5B4498" w14:textId="77777777" w:rsidR="00746FF8" w:rsidRPr="00746FF8" w:rsidRDefault="00746FF8" w:rsidP="00746FF8">
      <w:pPr>
        <w:rPr>
          <w:b/>
          <w:lang w:eastAsia="en-AU"/>
        </w:rPr>
      </w:pPr>
      <w:r w:rsidRPr="00746FF8">
        <w:rPr>
          <w:b/>
          <w:lang w:eastAsia="en-AU"/>
        </w:rPr>
        <w:t>Catchwords:</w:t>
      </w:r>
    </w:p>
    <w:p w14:paraId="7E634086" w14:textId="77777777" w:rsidR="00746FF8" w:rsidRPr="00746FF8" w:rsidRDefault="00746FF8" w:rsidP="00746FF8">
      <w:pPr>
        <w:rPr>
          <w:b/>
          <w:highlight w:val="yellow"/>
          <w:lang w:eastAsia="en-AU"/>
        </w:rPr>
      </w:pPr>
    </w:p>
    <w:p w14:paraId="40AF558E" w14:textId="77777777" w:rsidR="00746FF8" w:rsidRPr="00746FF8" w:rsidRDefault="00746FF8" w:rsidP="002F3DE5">
      <w:pPr>
        <w:ind w:left="720"/>
        <w:rPr>
          <w:lang w:eastAsia="en-AU"/>
        </w:rPr>
      </w:pPr>
      <w:r w:rsidRPr="00746FF8">
        <w:rPr>
          <w:lang w:eastAsia="en-AU"/>
        </w:rPr>
        <w:t xml:space="preserve">Practice and procedure – </w:t>
      </w:r>
      <w:r w:rsidR="005E1ABA">
        <w:rPr>
          <w:lang w:eastAsia="en-AU"/>
        </w:rPr>
        <w:t>Contempt of court – Jurisdiction – Where appellant disclosed outcome of Court</w:t>
      </w:r>
      <w:r w:rsidR="00DA6539">
        <w:rPr>
          <w:lang w:eastAsia="en-AU"/>
        </w:rPr>
        <w:t>'</w:t>
      </w:r>
      <w:r w:rsidR="005E1ABA">
        <w:rPr>
          <w:lang w:eastAsia="en-AU"/>
        </w:rPr>
        <w:t xml:space="preserve">s judgment while judgment in draft and embargoed – </w:t>
      </w:r>
      <w:r w:rsidR="002F3DE5">
        <w:rPr>
          <w:lang w:eastAsia="en-AU"/>
        </w:rPr>
        <w:t xml:space="preserve">Where appellant believed draft judgment contained errors and breach of embargo was proportionate response – </w:t>
      </w:r>
      <w:r w:rsidR="005E1ABA">
        <w:rPr>
          <w:lang w:eastAsia="en-AU"/>
        </w:rPr>
        <w:t xml:space="preserve">Where appellant ordered by panel of Supreme Court justices to pay fine for contempt and </w:t>
      </w:r>
      <w:r w:rsidR="00FC377C">
        <w:rPr>
          <w:lang w:eastAsia="en-AU"/>
        </w:rPr>
        <w:t xml:space="preserve">pay </w:t>
      </w:r>
      <w:r w:rsidR="005E1ABA">
        <w:rPr>
          <w:lang w:eastAsia="en-AU"/>
        </w:rPr>
        <w:t>Attorney General</w:t>
      </w:r>
      <w:r w:rsidR="00DA6539">
        <w:rPr>
          <w:lang w:eastAsia="en-AU"/>
        </w:rPr>
        <w:t>'</w:t>
      </w:r>
      <w:r w:rsidR="005E1ABA">
        <w:rPr>
          <w:lang w:eastAsia="en-AU"/>
        </w:rPr>
        <w:t>s costs of committal application – Whether Supreme Court has jurisdiction to hear appeal against order made by another panel of justices of Supreme Court in exercise of Court</w:t>
      </w:r>
      <w:r w:rsidR="00DA6539">
        <w:rPr>
          <w:lang w:eastAsia="en-AU"/>
        </w:rPr>
        <w:t>'</w:t>
      </w:r>
      <w:r w:rsidR="005E1ABA">
        <w:rPr>
          <w:lang w:eastAsia="en-AU"/>
        </w:rPr>
        <w:t xml:space="preserve">s jurisdiction to punish for contempt of court </w:t>
      </w:r>
      <w:r w:rsidR="002F3DE5">
        <w:rPr>
          <w:lang w:eastAsia="en-AU"/>
        </w:rPr>
        <w:t>–</w:t>
      </w:r>
      <w:r w:rsidR="005E1ABA">
        <w:rPr>
          <w:lang w:eastAsia="en-AU"/>
        </w:rPr>
        <w:t xml:space="preserve"> </w:t>
      </w:r>
      <w:r w:rsidR="002F3DE5">
        <w:rPr>
          <w:lang w:eastAsia="en-AU"/>
        </w:rPr>
        <w:t>Whether Supreme Court ignored appellant</w:t>
      </w:r>
      <w:r w:rsidR="00DA6539">
        <w:rPr>
          <w:lang w:eastAsia="en-AU"/>
        </w:rPr>
        <w:t>'</w:t>
      </w:r>
      <w:r w:rsidR="002F3DE5">
        <w:rPr>
          <w:lang w:eastAsia="en-AU"/>
        </w:rPr>
        <w:t>s motivations, intentions and beliefs and whether relevant to Court</w:t>
      </w:r>
      <w:r w:rsidR="00DA6539">
        <w:rPr>
          <w:lang w:eastAsia="en-AU"/>
        </w:rPr>
        <w:t>'</w:t>
      </w:r>
      <w:r w:rsidR="002F3DE5">
        <w:rPr>
          <w:lang w:eastAsia="en-AU"/>
        </w:rPr>
        <w:t xml:space="preserve">s proportionality assessment – Whether finding of contempt was made by independent and impartial tribunal as required by article 6(1) of </w:t>
      </w:r>
      <w:r w:rsidR="002F3DE5" w:rsidRPr="005C34ED">
        <w:rPr>
          <w:i/>
          <w:iCs/>
          <w:lang w:eastAsia="en-AU"/>
        </w:rPr>
        <w:t>European Convention on Human Rights</w:t>
      </w:r>
      <w:r w:rsidR="002F3DE5">
        <w:rPr>
          <w:lang w:eastAsia="en-AU"/>
        </w:rPr>
        <w:t xml:space="preserve"> – Whether costs order was unjust and oppressive. </w:t>
      </w:r>
    </w:p>
    <w:p w14:paraId="2172129D" w14:textId="77777777" w:rsidR="00746FF8" w:rsidRPr="00746FF8" w:rsidRDefault="00746FF8" w:rsidP="00746FF8">
      <w:pPr>
        <w:ind w:left="720"/>
        <w:rPr>
          <w:highlight w:val="yellow"/>
          <w:lang w:eastAsia="en-AU"/>
        </w:rPr>
      </w:pPr>
    </w:p>
    <w:p w14:paraId="3040C556" w14:textId="77777777" w:rsidR="00746FF8" w:rsidRPr="00746FF8" w:rsidRDefault="00746FF8" w:rsidP="00746FF8">
      <w:pPr>
        <w:rPr>
          <w:lang w:eastAsia="en-AU"/>
        </w:rPr>
      </w:pPr>
      <w:r w:rsidRPr="00746FF8">
        <w:rPr>
          <w:b/>
          <w:lang w:eastAsia="en-AU"/>
        </w:rPr>
        <w:t>Held (</w:t>
      </w:r>
      <w:r w:rsidR="00FC377C">
        <w:rPr>
          <w:b/>
          <w:lang w:eastAsia="en-AU"/>
        </w:rPr>
        <w:t>4</w:t>
      </w:r>
      <w:r w:rsidRPr="00746FF8">
        <w:rPr>
          <w:b/>
          <w:lang w:eastAsia="en-AU"/>
        </w:rPr>
        <w:t>:</w:t>
      </w:r>
      <w:r w:rsidR="00FC377C">
        <w:rPr>
          <w:b/>
          <w:lang w:eastAsia="en-AU"/>
        </w:rPr>
        <w:t>1; 5:0</w:t>
      </w:r>
      <w:r w:rsidRPr="00746FF8">
        <w:rPr>
          <w:b/>
          <w:lang w:eastAsia="en-AU"/>
        </w:rPr>
        <w:t xml:space="preserve">): </w:t>
      </w:r>
      <w:r w:rsidRPr="00746FF8">
        <w:rPr>
          <w:lang w:eastAsia="en-AU"/>
        </w:rPr>
        <w:t xml:space="preserve">Appeal </w:t>
      </w:r>
      <w:r w:rsidR="00FC377C">
        <w:rPr>
          <w:lang w:eastAsia="en-AU"/>
        </w:rPr>
        <w:t>competent; appeal dismissed</w:t>
      </w:r>
      <w:r w:rsidRPr="00746FF8">
        <w:rPr>
          <w:lang w:eastAsia="en-AU"/>
        </w:rPr>
        <w:t xml:space="preserve">. </w:t>
      </w:r>
    </w:p>
    <w:p w14:paraId="3FDF45D7" w14:textId="77777777" w:rsidR="00746FF8" w:rsidRPr="00746FF8" w:rsidRDefault="00746FF8" w:rsidP="00746FF8">
      <w:pPr>
        <w:pBdr>
          <w:bottom w:val="dotted" w:sz="4" w:space="0" w:color="auto"/>
        </w:pBdr>
        <w:rPr>
          <w:szCs w:val="20"/>
          <w:lang w:eastAsia="en-AU"/>
        </w:rPr>
      </w:pPr>
      <w:bookmarkStart w:id="5" w:name="_Hlk93935115"/>
    </w:p>
    <w:p w14:paraId="73871B86" w14:textId="77777777" w:rsidR="00194719" w:rsidRDefault="00194719" w:rsidP="00FA0788"/>
    <w:p w14:paraId="2137DC64" w14:textId="77777777" w:rsidR="00194719" w:rsidRPr="002F4F7E" w:rsidRDefault="00194719" w:rsidP="00194719">
      <w:pPr>
        <w:pStyle w:val="Heading2"/>
      </w:pPr>
      <w:r>
        <w:t xml:space="preserve">Lloyd v Google LLC </w:t>
      </w:r>
    </w:p>
    <w:p w14:paraId="770EB3C7" w14:textId="77777777" w:rsidR="00194719" w:rsidRPr="002F4F7E" w:rsidRDefault="00194719" w:rsidP="00194719">
      <w:pPr>
        <w:rPr>
          <w:lang w:eastAsia="en-AU"/>
        </w:rPr>
      </w:pPr>
      <w:r>
        <w:rPr>
          <w:b/>
          <w:lang w:eastAsia="en-AU"/>
        </w:rPr>
        <w:t xml:space="preserve">Supreme </w:t>
      </w:r>
      <w:r w:rsidRPr="002F4F7E">
        <w:rPr>
          <w:b/>
          <w:lang w:eastAsia="en-AU"/>
        </w:rPr>
        <w:t>Court</w:t>
      </w:r>
      <w:r>
        <w:rPr>
          <w:b/>
          <w:lang w:eastAsia="en-AU"/>
        </w:rPr>
        <w:t xml:space="preserve"> of the United Kingdom</w:t>
      </w:r>
      <w:r w:rsidRPr="002F4F7E">
        <w:rPr>
          <w:b/>
          <w:lang w:eastAsia="en-AU"/>
        </w:rPr>
        <w:t xml:space="preserve">: </w:t>
      </w:r>
      <w:hyperlink r:id="rId41" w:history="1">
        <w:r w:rsidRPr="00194719">
          <w:rPr>
            <w:rStyle w:val="Hyperlink"/>
            <w:lang w:eastAsia="en-AU"/>
          </w:rPr>
          <w:t>[2021] UKSC 50</w:t>
        </w:r>
      </w:hyperlink>
    </w:p>
    <w:p w14:paraId="0A13D621" w14:textId="77777777" w:rsidR="00194719" w:rsidRPr="002F4F7E" w:rsidRDefault="00194719" w:rsidP="00194719">
      <w:pPr>
        <w:rPr>
          <w:lang w:eastAsia="en-AU"/>
        </w:rPr>
      </w:pPr>
    </w:p>
    <w:p w14:paraId="360A54C7" w14:textId="77777777" w:rsidR="00194719" w:rsidRPr="002F4F7E" w:rsidRDefault="00194719" w:rsidP="00194719">
      <w:pPr>
        <w:rPr>
          <w:lang w:eastAsia="en-AU"/>
        </w:rPr>
      </w:pPr>
      <w:r w:rsidRPr="002F4F7E">
        <w:rPr>
          <w:b/>
          <w:lang w:eastAsia="en-AU"/>
        </w:rPr>
        <w:t>Judgment delivered:</w:t>
      </w:r>
      <w:r w:rsidRPr="002F4F7E">
        <w:rPr>
          <w:lang w:eastAsia="en-AU"/>
        </w:rPr>
        <w:t xml:space="preserve"> </w:t>
      </w:r>
      <w:r>
        <w:rPr>
          <w:lang w:eastAsia="en-AU"/>
        </w:rPr>
        <w:t>10 November 2021</w:t>
      </w:r>
    </w:p>
    <w:p w14:paraId="45633740" w14:textId="77777777" w:rsidR="00194719" w:rsidRPr="002F4F7E" w:rsidRDefault="00194719" w:rsidP="00194719">
      <w:pPr>
        <w:rPr>
          <w:lang w:eastAsia="en-AU"/>
        </w:rPr>
      </w:pPr>
    </w:p>
    <w:p w14:paraId="0A4B6DBE" w14:textId="77777777" w:rsidR="00194719" w:rsidRPr="002F4F7E" w:rsidRDefault="00194719" w:rsidP="00194719">
      <w:pPr>
        <w:rPr>
          <w:lang w:eastAsia="en-AU"/>
        </w:rPr>
      </w:pPr>
      <w:r w:rsidRPr="002F4F7E">
        <w:rPr>
          <w:b/>
          <w:lang w:eastAsia="en-AU"/>
        </w:rPr>
        <w:t xml:space="preserve">Coram: </w:t>
      </w:r>
      <w:r>
        <w:rPr>
          <w:lang w:eastAsia="en-AU"/>
        </w:rPr>
        <w:t>Lord Reed, Lady Arden, Lord Sales, Lord Leggatt and Lord Burrows</w:t>
      </w:r>
    </w:p>
    <w:p w14:paraId="0ABDBD30" w14:textId="77777777" w:rsidR="00194719" w:rsidRPr="002F4F7E" w:rsidRDefault="00194719" w:rsidP="00194719">
      <w:pPr>
        <w:rPr>
          <w:lang w:eastAsia="en-AU"/>
        </w:rPr>
      </w:pPr>
    </w:p>
    <w:p w14:paraId="2C0F7F87" w14:textId="77777777" w:rsidR="00194719" w:rsidRPr="002F4F7E" w:rsidRDefault="00194719" w:rsidP="00194719">
      <w:pPr>
        <w:rPr>
          <w:b/>
          <w:lang w:eastAsia="en-AU"/>
        </w:rPr>
      </w:pPr>
      <w:r>
        <w:rPr>
          <w:b/>
          <w:lang w:eastAsia="en-AU"/>
        </w:rPr>
        <w:t>Catchwords:</w:t>
      </w:r>
    </w:p>
    <w:p w14:paraId="699C3482" w14:textId="77777777" w:rsidR="00194719" w:rsidRPr="00856E9C" w:rsidRDefault="00194719" w:rsidP="00194719">
      <w:pPr>
        <w:rPr>
          <w:b/>
          <w:highlight w:val="yellow"/>
          <w:lang w:eastAsia="en-AU"/>
        </w:rPr>
      </w:pPr>
    </w:p>
    <w:p w14:paraId="28975098" w14:textId="77777777" w:rsidR="00194719" w:rsidRPr="00194719" w:rsidRDefault="00194719" w:rsidP="00194719">
      <w:pPr>
        <w:ind w:left="720"/>
        <w:rPr>
          <w:lang w:eastAsia="en-AU"/>
        </w:rPr>
      </w:pPr>
      <w:r>
        <w:rPr>
          <w:lang w:eastAsia="en-AU"/>
        </w:rPr>
        <w:t xml:space="preserve">Practice and procedure – Representative claim </w:t>
      </w:r>
      <w:r w:rsidR="000254ED">
        <w:rPr>
          <w:lang w:eastAsia="en-AU"/>
        </w:rPr>
        <w:t xml:space="preserve">– Service outside jurisdiction </w:t>
      </w:r>
      <w:r>
        <w:rPr>
          <w:lang w:eastAsia="en-AU"/>
        </w:rPr>
        <w:t xml:space="preserve">– </w:t>
      </w:r>
      <w:r>
        <w:rPr>
          <w:i/>
          <w:lang w:eastAsia="en-AU"/>
        </w:rPr>
        <w:t xml:space="preserve">Data Protection Act 1998 </w:t>
      </w:r>
      <w:r>
        <w:rPr>
          <w:lang w:eastAsia="en-AU"/>
        </w:rPr>
        <w:t xml:space="preserve">– Meaning of </w:t>
      </w:r>
      <w:r w:rsidR="00DA6539">
        <w:rPr>
          <w:lang w:eastAsia="en-AU"/>
        </w:rPr>
        <w:t>'</w:t>
      </w:r>
      <w:r>
        <w:rPr>
          <w:lang w:eastAsia="en-AU"/>
        </w:rPr>
        <w:t>damage</w:t>
      </w:r>
      <w:r w:rsidR="00DA6539">
        <w:rPr>
          <w:lang w:eastAsia="en-AU"/>
        </w:rPr>
        <w:t>'</w:t>
      </w:r>
      <w:r w:rsidR="000254ED">
        <w:rPr>
          <w:lang w:eastAsia="en-AU"/>
        </w:rPr>
        <w:t xml:space="preserve">– </w:t>
      </w:r>
      <w:r>
        <w:rPr>
          <w:lang w:eastAsia="en-AU"/>
        </w:rPr>
        <w:t xml:space="preserve">Where s 13 of Act provided individual who suffers damage by reason of </w:t>
      </w:r>
      <w:r w:rsidR="000254ED">
        <w:rPr>
          <w:lang w:eastAsia="en-AU"/>
        </w:rPr>
        <w:t xml:space="preserve">contravention of Act entitled to compensation – </w:t>
      </w:r>
      <w:r>
        <w:rPr>
          <w:lang w:eastAsia="en-AU"/>
        </w:rPr>
        <w:t xml:space="preserve">Where respondent filed compensation claim alleging appellant breached its duties as data controller under Act on his own behalf and on behalf of class of 4 million others </w:t>
      </w:r>
      <w:r w:rsidR="000254ED">
        <w:rPr>
          <w:lang w:eastAsia="en-AU"/>
        </w:rPr>
        <w:t>– Where respondent claimed uniform sum of £750 per affected person – Where respondent applied to serve claim on appellant outside jurisdiction – Where primary judge refused leave for service on basis pleaded facts did not disclose basis for compensation – Where Court of Appeal allowed appeal – Whether s 13 requires proof breach of Act caused each individual actual damage, or whether claim for uniform sum of damages per person sufficient – Whether pleadings disclose proper bas</w:t>
      </w:r>
      <w:r w:rsidR="00245A3F">
        <w:rPr>
          <w:lang w:eastAsia="en-AU"/>
        </w:rPr>
        <w:t>i</w:t>
      </w:r>
      <w:r w:rsidR="000254ED">
        <w:rPr>
          <w:lang w:eastAsia="en-AU"/>
        </w:rPr>
        <w:t>s for compensation under s 13 of Act – Whether leave for service outside jurisdiction be granted.</w:t>
      </w:r>
    </w:p>
    <w:p w14:paraId="4FFBAA3D" w14:textId="77777777" w:rsidR="00194719" w:rsidRPr="00856E9C" w:rsidRDefault="00194719" w:rsidP="00194719">
      <w:pPr>
        <w:ind w:left="720"/>
        <w:rPr>
          <w:highlight w:val="yellow"/>
          <w:lang w:eastAsia="en-AU"/>
        </w:rPr>
      </w:pPr>
    </w:p>
    <w:p w14:paraId="04BEC9E5" w14:textId="77777777" w:rsidR="00194719" w:rsidRDefault="00194719" w:rsidP="00194719">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w:t>
      </w:r>
      <w:r w:rsidR="000254ED">
        <w:rPr>
          <w:lang w:eastAsia="en-AU"/>
        </w:rPr>
        <w:t xml:space="preserve">allowed. </w:t>
      </w:r>
    </w:p>
    <w:p w14:paraId="2654009A" w14:textId="77777777" w:rsidR="009E043A" w:rsidRPr="00181993" w:rsidRDefault="009E043A" w:rsidP="009E043A">
      <w:pPr>
        <w:pStyle w:val="BullDivider1"/>
        <w:pBdr>
          <w:bottom w:val="dotted" w:sz="4" w:space="0" w:color="auto"/>
        </w:pBdr>
      </w:pPr>
    </w:p>
    <w:p w14:paraId="7FA7E670" w14:textId="77777777" w:rsidR="00BF7F59" w:rsidRPr="00746FF8" w:rsidRDefault="00BF7F59" w:rsidP="00BF7F59">
      <w:pPr>
        <w:pBdr>
          <w:bottom w:val="dotted" w:sz="4" w:space="0" w:color="auto"/>
        </w:pBdr>
        <w:rPr>
          <w:szCs w:val="20"/>
          <w:lang w:eastAsia="en-AU"/>
        </w:rPr>
      </w:pPr>
    </w:p>
    <w:p w14:paraId="6740565D" w14:textId="77777777" w:rsidR="00BF7F59" w:rsidRDefault="00BF7F59" w:rsidP="00BF7F59"/>
    <w:p w14:paraId="2A3E1B68" w14:textId="77777777" w:rsidR="00BF7F59" w:rsidRPr="002F4F7E" w:rsidRDefault="00BF7F59" w:rsidP="00BF7F59">
      <w:pPr>
        <w:pStyle w:val="Heading2"/>
      </w:pPr>
      <w:r w:rsidRPr="00BF7F59">
        <w:t xml:space="preserve">Member of the Executive Council for Cooperative Governance and Traditional Affairs, KwaZulu-Natal v Nkandla Local Municipality </w:t>
      </w:r>
      <w:r>
        <w:t>&amp; Ors</w:t>
      </w:r>
    </w:p>
    <w:p w14:paraId="2BAE34A8" w14:textId="77777777" w:rsidR="00BF7F59" w:rsidRPr="002F4F7E" w:rsidRDefault="00BF7F59" w:rsidP="00BF7F59">
      <w:pPr>
        <w:rPr>
          <w:lang w:eastAsia="en-AU"/>
        </w:rPr>
      </w:pPr>
      <w:r w:rsidRPr="00BF7F59">
        <w:rPr>
          <w:b/>
          <w:lang w:eastAsia="en-AU"/>
        </w:rPr>
        <w:t xml:space="preserve">Constitutional Court of South Africa: </w:t>
      </w:r>
      <w:hyperlink r:id="rId42" w:history="1">
        <w:r w:rsidRPr="00BF7F59">
          <w:rPr>
            <w:rStyle w:val="Hyperlink"/>
            <w:bCs/>
            <w:lang w:eastAsia="en-AU"/>
          </w:rPr>
          <w:t>[2021] ZACC 39</w:t>
        </w:r>
      </w:hyperlink>
    </w:p>
    <w:p w14:paraId="5526DCA2" w14:textId="77777777" w:rsidR="00BF7F59" w:rsidRPr="002F4F7E" w:rsidRDefault="00BF7F59" w:rsidP="00BF7F59">
      <w:pPr>
        <w:rPr>
          <w:lang w:eastAsia="en-AU"/>
        </w:rPr>
      </w:pPr>
    </w:p>
    <w:p w14:paraId="4EEB1741" w14:textId="77777777" w:rsidR="00BF7F59" w:rsidRPr="002F4F7E" w:rsidRDefault="00BF7F59" w:rsidP="00BF7F59">
      <w:pPr>
        <w:rPr>
          <w:lang w:eastAsia="en-AU"/>
        </w:rPr>
      </w:pPr>
      <w:r w:rsidRPr="002F4F7E">
        <w:rPr>
          <w:b/>
          <w:lang w:eastAsia="en-AU"/>
        </w:rPr>
        <w:t>Judgment delivered:</w:t>
      </w:r>
      <w:r w:rsidRPr="002F4F7E">
        <w:rPr>
          <w:lang w:eastAsia="en-AU"/>
        </w:rPr>
        <w:t xml:space="preserve"> </w:t>
      </w:r>
      <w:r>
        <w:rPr>
          <w:lang w:eastAsia="en-AU"/>
        </w:rPr>
        <w:t>8 December 2021</w:t>
      </w:r>
    </w:p>
    <w:p w14:paraId="2BE801BD" w14:textId="77777777" w:rsidR="00BF7F59" w:rsidRPr="002F4F7E" w:rsidRDefault="00BF7F59" w:rsidP="00BF7F59">
      <w:pPr>
        <w:rPr>
          <w:lang w:eastAsia="en-AU"/>
        </w:rPr>
      </w:pPr>
    </w:p>
    <w:p w14:paraId="7E97836D" w14:textId="77777777" w:rsidR="00BF7F59" w:rsidRDefault="00BF7F59" w:rsidP="00BF7F59">
      <w:pPr>
        <w:rPr>
          <w:lang w:eastAsia="en-AU"/>
        </w:rPr>
      </w:pPr>
      <w:r w:rsidRPr="002F4F7E">
        <w:rPr>
          <w:b/>
          <w:lang w:eastAsia="en-AU"/>
        </w:rPr>
        <w:t xml:space="preserve">Coram: </w:t>
      </w:r>
      <w:r w:rsidRPr="00BF7F59">
        <w:rPr>
          <w:lang w:eastAsia="en-AU"/>
        </w:rPr>
        <w:t xml:space="preserve">Khampepe ADCJ, Jafta, Madlanga, Majiedt, Mhlantla </w:t>
      </w:r>
      <w:r w:rsidR="000A1BDC">
        <w:rPr>
          <w:lang w:eastAsia="en-AU"/>
        </w:rPr>
        <w:t>J</w:t>
      </w:r>
      <w:r w:rsidRPr="00BF7F59">
        <w:rPr>
          <w:lang w:eastAsia="en-AU"/>
        </w:rPr>
        <w:t>J, Pillay AJ, Theron J, Tlaletsi AJ and Tshiqi J</w:t>
      </w:r>
    </w:p>
    <w:p w14:paraId="1599EFA6" w14:textId="77777777" w:rsidR="00BF7F59" w:rsidRPr="002F4F7E" w:rsidRDefault="00BF7F59" w:rsidP="00BF7F59">
      <w:pPr>
        <w:rPr>
          <w:lang w:eastAsia="en-AU"/>
        </w:rPr>
      </w:pPr>
    </w:p>
    <w:p w14:paraId="4D8B814E" w14:textId="77777777" w:rsidR="00BF7F59" w:rsidRPr="002F4F7E" w:rsidRDefault="00BF7F59" w:rsidP="00BF7F59">
      <w:pPr>
        <w:rPr>
          <w:b/>
          <w:lang w:eastAsia="en-AU"/>
        </w:rPr>
      </w:pPr>
      <w:r>
        <w:rPr>
          <w:b/>
          <w:lang w:eastAsia="en-AU"/>
        </w:rPr>
        <w:t>Catchwords:</w:t>
      </w:r>
    </w:p>
    <w:p w14:paraId="7BEC6A8B" w14:textId="77777777" w:rsidR="00BF7F59" w:rsidRPr="00856E9C" w:rsidRDefault="00BF7F59" w:rsidP="00BF7F59">
      <w:pPr>
        <w:rPr>
          <w:b/>
          <w:highlight w:val="yellow"/>
          <w:lang w:eastAsia="en-AU"/>
        </w:rPr>
      </w:pPr>
    </w:p>
    <w:p w14:paraId="37C05533" w14:textId="77777777" w:rsidR="00BF7F59" w:rsidRDefault="00BF7F59" w:rsidP="00BF7F59">
      <w:pPr>
        <w:ind w:left="720"/>
        <w:rPr>
          <w:lang w:eastAsia="en-AU"/>
        </w:rPr>
      </w:pPr>
      <w:r>
        <w:rPr>
          <w:lang w:eastAsia="en-AU"/>
        </w:rPr>
        <w:t>Practice and procedure – Leave to appeal – Interests of justice – Mootness</w:t>
      </w:r>
      <w:r w:rsidR="00B524E6">
        <w:rPr>
          <w:lang w:eastAsia="en-AU"/>
        </w:rPr>
        <w:t xml:space="preserve"> </w:t>
      </w:r>
      <w:r>
        <w:rPr>
          <w:lang w:eastAsia="en-AU"/>
        </w:rPr>
        <w:t>– Where</w:t>
      </w:r>
      <w:r w:rsidR="004A179F">
        <w:rPr>
          <w:lang w:eastAsia="en-AU"/>
        </w:rPr>
        <w:t xml:space="preserve"> s</w:t>
      </w:r>
      <w:r>
        <w:rPr>
          <w:lang w:eastAsia="en-AU"/>
        </w:rPr>
        <w:t xml:space="preserve"> 54A(2) of </w:t>
      </w:r>
      <w:r w:rsidRPr="005C34ED">
        <w:rPr>
          <w:i/>
          <w:iCs/>
          <w:lang w:eastAsia="en-AU"/>
        </w:rPr>
        <w:t>Local Government Municipal Systems Act</w:t>
      </w:r>
      <w:r w:rsidR="005C34ED">
        <w:rPr>
          <w:i/>
          <w:iCs/>
          <w:lang w:eastAsia="en-AU"/>
        </w:rPr>
        <w:t xml:space="preserve"> 32 of 2000</w:t>
      </w:r>
      <w:r>
        <w:rPr>
          <w:lang w:eastAsia="en-AU"/>
        </w:rPr>
        <w:t xml:space="preserve"> required municipal managers to have </w:t>
      </w:r>
      <w:r w:rsidR="00DA6539">
        <w:rPr>
          <w:lang w:eastAsia="en-AU"/>
        </w:rPr>
        <w:t>"</w:t>
      </w:r>
      <w:r>
        <w:rPr>
          <w:lang w:eastAsia="en-AU"/>
        </w:rPr>
        <w:t xml:space="preserve">skills, </w:t>
      </w:r>
      <w:r w:rsidRPr="00BF7F59">
        <w:rPr>
          <w:lang w:eastAsia="en-AU"/>
        </w:rPr>
        <w:t>expertise, competencies and qualifications as prescribed</w:t>
      </w:r>
      <w:r w:rsidR="00DA6539">
        <w:rPr>
          <w:lang w:eastAsia="en-AU"/>
        </w:rPr>
        <w:t>"</w:t>
      </w:r>
      <w:r>
        <w:rPr>
          <w:lang w:eastAsia="en-AU"/>
        </w:rPr>
        <w:t xml:space="preserve"> – Where appointments</w:t>
      </w:r>
      <w:r w:rsidR="00B524E6">
        <w:rPr>
          <w:lang w:eastAsia="en-AU"/>
        </w:rPr>
        <w:t xml:space="preserve"> of municipal managers</w:t>
      </w:r>
      <w:r>
        <w:rPr>
          <w:lang w:eastAsia="en-AU"/>
        </w:rPr>
        <w:t xml:space="preserve"> to local municipalities challenged</w:t>
      </w:r>
      <w:r w:rsidR="00B524E6">
        <w:rPr>
          <w:lang w:eastAsia="en-AU"/>
        </w:rPr>
        <w:t xml:space="preserve"> by applicant – Where delay occasioned by failure of applicant to act within time frames in Systems Act and delay in bringing review applications –</w:t>
      </w:r>
      <w:r w:rsidR="004A179F">
        <w:rPr>
          <w:lang w:eastAsia="en-AU"/>
        </w:rPr>
        <w:t xml:space="preserve"> Where Court in </w:t>
      </w:r>
      <w:r w:rsidR="004A179F" w:rsidRPr="004A179F">
        <w:rPr>
          <w:i/>
          <w:iCs/>
          <w:lang w:eastAsia="en-AU"/>
        </w:rPr>
        <w:t>South African Municipal Workers</w:t>
      </w:r>
      <w:r w:rsidR="00DA6539">
        <w:rPr>
          <w:i/>
          <w:iCs/>
          <w:lang w:eastAsia="en-AU"/>
        </w:rPr>
        <w:t>'</w:t>
      </w:r>
      <w:r w:rsidR="004A179F" w:rsidRPr="004A179F">
        <w:rPr>
          <w:i/>
          <w:iCs/>
          <w:lang w:eastAsia="en-AU"/>
        </w:rPr>
        <w:t xml:space="preserve"> Union v Minister of Co-operative Governance &amp; Traditional Affairs</w:t>
      </w:r>
      <w:r w:rsidR="004A179F" w:rsidRPr="004A179F">
        <w:rPr>
          <w:lang w:eastAsia="en-AU"/>
        </w:rPr>
        <w:t xml:space="preserve"> [2017] ZACC 7</w:t>
      </w:r>
      <w:r w:rsidR="004A179F">
        <w:rPr>
          <w:lang w:eastAsia="en-AU"/>
        </w:rPr>
        <w:t xml:space="preserve"> held that s 54A was invalid and unconstitutional –</w:t>
      </w:r>
      <w:r w:rsidR="00B524E6">
        <w:rPr>
          <w:lang w:eastAsia="en-AU"/>
        </w:rPr>
        <w:t xml:space="preserve"> Whether leave to appeal be granted – Whether application is moot – Proper test for leave to appeal. </w:t>
      </w:r>
    </w:p>
    <w:p w14:paraId="6891655C" w14:textId="77777777" w:rsidR="00BF7F59" w:rsidRPr="00856E9C" w:rsidRDefault="00BF7F59" w:rsidP="00BF7F59">
      <w:pPr>
        <w:ind w:left="720"/>
        <w:rPr>
          <w:highlight w:val="yellow"/>
          <w:lang w:eastAsia="en-AU"/>
        </w:rPr>
      </w:pPr>
    </w:p>
    <w:p w14:paraId="2CEA607A" w14:textId="77777777" w:rsidR="00BF7F59" w:rsidRDefault="00BF7F59" w:rsidP="00BF7F59">
      <w:pPr>
        <w:rPr>
          <w:lang w:eastAsia="en-AU"/>
        </w:rPr>
      </w:pPr>
      <w:r w:rsidRPr="002F4F7E">
        <w:rPr>
          <w:b/>
          <w:lang w:eastAsia="en-AU"/>
        </w:rPr>
        <w:t>Held (</w:t>
      </w:r>
      <w:r>
        <w:rPr>
          <w:b/>
          <w:lang w:eastAsia="en-AU"/>
        </w:rPr>
        <w:t>9:0</w:t>
      </w:r>
      <w:r w:rsidRPr="002F4F7E">
        <w:rPr>
          <w:b/>
          <w:lang w:eastAsia="en-AU"/>
        </w:rPr>
        <w:t xml:space="preserve">): </w:t>
      </w:r>
      <w:r w:rsidR="004E43DD">
        <w:rPr>
          <w:lang w:eastAsia="en-AU"/>
        </w:rPr>
        <w:t>Lea</w:t>
      </w:r>
      <w:r>
        <w:rPr>
          <w:lang w:eastAsia="en-AU"/>
        </w:rPr>
        <w:t xml:space="preserve">ve to appeal refused. </w:t>
      </w:r>
    </w:p>
    <w:p w14:paraId="3683EAEF" w14:textId="77777777" w:rsidR="00BF7F59" w:rsidRPr="00181993" w:rsidRDefault="00BF7F59" w:rsidP="00BF7F59">
      <w:pPr>
        <w:pStyle w:val="BullDivider1"/>
        <w:pBdr>
          <w:bottom w:val="dotted" w:sz="4" w:space="0" w:color="auto"/>
        </w:pBdr>
      </w:pPr>
    </w:p>
    <w:p w14:paraId="7DD898A7" w14:textId="77777777" w:rsidR="009E043A" w:rsidRDefault="009E043A" w:rsidP="009E043A"/>
    <w:bookmarkEnd w:id="5"/>
    <w:p w14:paraId="796549F5" w14:textId="77777777" w:rsidR="009E043A" w:rsidRPr="002F4F7E" w:rsidRDefault="00897F37" w:rsidP="009E043A">
      <w:pPr>
        <w:pStyle w:val="Heading2"/>
      </w:pPr>
      <w:r>
        <w:t>Mtolo &amp; Anor v Lombard &amp; Ors</w:t>
      </w:r>
    </w:p>
    <w:p w14:paraId="3DD32F9E" w14:textId="77777777" w:rsidR="009E043A" w:rsidRPr="002F4F7E" w:rsidRDefault="00897F37" w:rsidP="009E043A">
      <w:pPr>
        <w:rPr>
          <w:lang w:eastAsia="en-AU"/>
        </w:rPr>
      </w:pPr>
      <w:r>
        <w:rPr>
          <w:b/>
          <w:lang w:eastAsia="en-AU"/>
        </w:rPr>
        <w:t>Constitutional Court of South Africa</w:t>
      </w:r>
      <w:r w:rsidR="009E043A" w:rsidRPr="002F4F7E">
        <w:rPr>
          <w:b/>
          <w:lang w:eastAsia="en-AU"/>
        </w:rPr>
        <w:t xml:space="preserve">: </w:t>
      </w:r>
      <w:hyperlink r:id="rId43" w:history="1">
        <w:r w:rsidRPr="00897F37">
          <w:rPr>
            <w:rStyle w:val="Hyperlink"/>
            <w:lang w:eastAsia="en-AU"/>
          </w:rPr>
          <w:t>[2021] ZACC 39</w:t>
        </w:r>
      </w:hyperlink>
    </w:p>
    <w:p w14:paraId="69D6A4BA" w14:textId="77777777" w:rsidR="009E043A" w:rsidRPr="002F4F7E" w:rsidRDefault="009E043A" w:rsidP="009E043A">
      <w:pPr>
        <w:rPr>
          <w:lang w:eastAsia="en-AU"/>
        </w:rPr>
      </w:pPr>
    </w:p>
    <w:p w14:paraId="6A7A55B9" w14:textId="77777777" w:rsidR="009E043A" w:rsidRPr="002F4F7E" w:rsidRDefault="009E043A" w:rsidP="009E043A">
      <w:pPr>
        <w:rPr>
          <w:lang w:eastAsia="en-AU"/>
        </w:rPr>
      </w:pPr>
      <w:r w:rsidRPr="002F4F7E">
        <w:rPr>
          <w:b/>
          <w:lang w:eastAsia="en-AU"/>
        </w:rPr>
        <w:t>Judgment delivered:</w:t>
      </w:r>
      <w:r w:rsidRPr="002F4F7E">
        <w:rPr>
          <w:lang w:eastAsia="en-AU"/>
        </w:rPr>
        <w:t xml:space="preserve"> </w:t>
      </w:r>
      <w:r w:rsidR="00897F37">
        <w:rPr>
          <w:lang w:eastAsia="en-AU"/>
        </w:rPr>
        <w:t>8</w:t>
      </w:r>
      <w:r>
        <w:rPr>
          <w:lang w:eastAsia="en-AU"/>
        </w:rPr>
        <w:t xml:space="preserve"> November 2021</w:t>
      </w:r>
    </w:p>
    <w:p w14:paraId="72379875" w14:textId="77777777" w:rsidR="009E043A" w:rsidRPr="002F4F7E" w:rsidRDefault="009E043A" w:rsidP="009E043A">
      <w:pPr>
        <w:rPr>
          <w:lang w:eastAsia="en-AU"/>
        </w:rPr>
      </w:pPr>
    </w:p>
    <w:p w14:paraId="59E0C32D" w14:textId="77777777" w:rsidR="009E043A" w:rsidRPr="002F4F7E" w:rsidRDefault="009E043A" w:rsidP="009E043A">
      <w:pPr>
        <w:rPr>
          <w:lang w:eastAsia="en-AU"/>
        </w:rPr>
      </w:pPr>
      <w:r w:rsidRPr="002F4F7E">
        <w:rPr>
          <w:b/>
          <w:lang w:eastAsia="en-AU"/>
        </w:rPr>
        <w:t xml:space="preserve">Coram: </w:t>
      </w:r>
      <w:r w:rsidR="00897F37" w:rsidRPr="00897F37">
        <w:rPr>
          <w:lang w:eastAsia="en-AU"/>
        </w:rPr>
        <w:t>Madlanga J, Madondo AJ, Majiedt, Mhlantla J</w:t>
      </w:r>
      <w:r w:rsidR="00897F37">
        <w:rPr>
          <w:lang w:eastAsia="en-AU"/>
        </w:rPr>
        <w:t>J</w:t>
      </w:r>
      <w:r w:rsidR="00897F37" w:rsidRPr="00897F37">
        <w:rPr>
          <w:lang w:eastAsia="en-AU"/>
        </w:rPr>
        <w:t>, Pillay, Rogers AJ</w:t>
      </w:r>
      <w:r w:rsidR="00897F37">
        <w:rPr>
          <w:lang w:eastAsia="en-AU"/>
        </w:rPr>
        <w:t>J</w:t>
      </w:r>
      <w:r w:rsidR="00897F37" w:rsidRPr="00897F37">
        <w:rPr>
          <w:lang w:eastAsia="en-AU"/>
        </w:rPr>
        <w:t>, Tlaletsi AJ and Tshiqi J</w:t>
      </w:r>
    </w:p>
    <w:p w14:paraId="1EAC8D29" w14:textId="77777777" w:rsidR="009E043A" w:rsidRPr="002F4F7E" w:rsidRDefault="009E043A" w:rsidP="009E043A">
      <w:pPr>
        <w:rPr>
          <w:lang w:eastAsia="en-AU"/>
        </w:rPr>
      </w:pPr>
    </w:p>
    <w:p w14:paraId="5CB02261" w14:textId="77777777" w:rsidR="009E043A" w:rsidRPr="002F4F7E" w:rsidRDefault="009E043A" w:rsidP="009E043A">
      <w:pPr>
        <w:rPr>
          <w:b/>
          <w:lang w:eastAsia="en-AU"/>
        </w:rPr>
      </w:pPr>
      <w:r>
        <w:rPr>
          <w:b/>
          <w:lang w:eastAsia="en-AU"/>
        </w:rPr>
        <w:t>Catchwords:</w:t>
      </w:r>
    </w:p>
    <w:p w14:paraId="6C23BDD3" w14:textId="77777777" w:rsidR="009E043A" w:rsidRPr="00856E9C" w:rsidRDefault="009E043A" w:rsidP="009E043A">
      <w:pPr>
        <w:rPr>
          <w:b/>
          <w:highlight w:val="yellow"/>
          <w:lang w:eastAsia="en-AU"/>
        </w:rPr>
      </w:pPr>
    </w:p>
    <w:p w14:paraId="323638A5" w14:textId="77777777" w:rsidR="009E043A" w:rsidRDefault="00897F37" w:rsidP="009E043A">
      <w:pPr>
        <w:ind w:left="720"/>
        <w:rPr>
          <w:lang w:eastAsia="en-AU"/>
        </w:rPr>
      </w:pPr>
      <w:r>
        <w:rPr>
          <w:lang w:eastAsia="en-AU"/>
        </w:rPr>
        <w:t>Practice and procedure – Urgency – Irreparable harm – Where applicants live in property owned by fourth respondent</w:t>
      </w:r>
      <w:r w:rsidR="007A1CD2">
        <w:rPr>
          <w:lang w:eastAsia="en-AU"/>
        </w:rPr>
        <w:t xml:space="preserve">, and </w:t>
      </w:r>
      <w:r>
        <w:rPr>
          <w:lang w:eastAsia="en-AU"/>
        </w:rPr>
        <w:t xml:space="preserve">sold to third respondent – Where applicant assured residence in property until secured alternative accommodation – Where first respondent removed roof and windows of property, forcing applicants to live in open – Where applicant obtained order from High Court enjoining respondents to restore property to state fit for human occupation and granted leave to approach it on urgent basis in event of non-compliance – Where applicant subsequently brought urgent High Court application alleging house remained unfit for human occupation – Where respondents averred compliance – Where primary </w:t>
      </w:r>
      <w:r>
        <w:rPr>
          <w:lang w:eastAsia="en-AU"/>
        </w:rPr>
        <w:lastRenderedPageBreak/>
        <w:t>judge struck matter from roll for lack of urgency – Whether applicants would suffer irreparable harm if made to wait for ordinary procedure – Whether applicants</w:t>
      </w:r>
      <w:r w:rsidR="00DA6539">
        <w:rPr>
          <w:lang w:eastAsia="en-AU"/>
        </w:rPr>
        <w:t>'</w:t>
      </w:r>
      <w:r>
        <w:rPr>
          <w:lang w:eastAsia="en-AU"/>
        </w:rPr>
        <w:t xml:space="preserve"> matter urgent. </w:t>
      </w:r>
    </w:p>
    <w:p w14:paraId="6527E87B" w14:textId="77777777" w:rsidR="009E043A" w:rsidRPr="00856E9C" w:rsidRDefault="009E043A" w:rsidP="009E043A">
      <w:pPr>
        <w:ind w:left="720"/>
        <w:rPr>
          <w:highlight w:val="yellow"/>
          <w:lang w:eastAsia="en-AU"/>
        </w:rPr>
      </w:pPr>
    </w:p>
    <w:p w14:paraId="470EAF05" w14:textId="77777777" w:rsidR="009E043A" w:rsidRPr="000D3E8D" w:rsidRDefault="009E043A" w:rsidP="009E043A">
      <w:pPr>
        <w:rPr>
          <w:lang w:eastAsia="en-AU"/>
        </w:rPr>
      </w:pPr>
      <w:r w:rsidRPr="002F4F7E">
        <w:rPr>
          <w:b/>
          <w:lang w:eastAsia="en-AU"/>
        </w:rPr>
        <w:t>Held (</w:t>
      </w:r>
      <w:r w:rsidR="00897F37">
        <w:rPr>
          <w:b/>
          <w:lang w:eastAsia="en-AU"/>
        </w:rPr>
        <w:t>8</w:t>
      </w:r>
      <w:r>
        <w:rPr>
          <w:b/>
          <w:lang w:eastAsia="en-AU"/>
        </w:rPr>
        <w:t>:0</w:t>
      </w:r>
      <w:r w:rsidRPr="002F4F7E">
        <w:rPr>
          <w:b/>
          <w:lang w:eastAsia="en-AU"/>
        </w:rPr>
        <w:t xml:space="preserve">): </w:t>
      </w:r>
      <w:r w:rsidR="00897F37">
        <w:rPr>
          <w:lang w:eastAsia="en-AU"/>
        </w:rPr>
        <w:t>Leave to appeal granted; appeal allowed</w:t>
      </w:r>
      <w:r>
        <w:rPr>
          <w:lang w:eastAsia="en-AU"/>
        </w:rPr>
        <w:t>.</w:t>
      </w:r>
    </w:p>
    <w:p w14:paraId="195D21B8" w14:textId="77777777" w:rsidR="00C45B38" w:rsidRPr="00C45B38" w:rsidRDefault="00C45B38" w:rsidP="00C45B38">
      <w:pPr>
        <w:pBdr>
          <w:bottom w:val="dotted" w:sz="4" w:space="0" w:color="auto"/>
        </w:pBdr>
        <w:rPr>
          <w:szCs w:val="20"/>
          <w:lang w:eastAsia="en-AU"/>
        </w:rPr>
      </w:pPr>
    </w:p>
    <w:p w14:paraId="24E34D96" w14:textId="77777777" w:rsidR="00C45B38" w:rsidRPr="00C45B38" w:rsidRDefault="00C45B38" w:rsidP="00C45B38"/>
    <w:p w14:paraId="3F2440BE" w14:textId="77777777" w:rsidR="00C45B38" w:rsidRPr="00C45B38" w:rsidRDefault="0085775F" w:rsidP="00C45B38">
      <w:pPr>
        <w:keepNext/>
        <w:outlineLvl w:val="1"/>
        <w:rPr>
          <w:rFonts w:ascii="Arial" w:hAnsi="Arial" w:cs="Arial"/>
          <w:bCs/>
          <w:i/>
          <w:iCs/>
          <w:sz w:val="28"/>
          <w:szCs w:val="28"/>
          <w:lang w:eastAsia="en-AU"/>
        </w:rPr>
      </w:pPr>
      <w:r w:rsidRPr="0085775F">
        <w:rPr>
          <w:rFonts w:ascii="Arial" w:hAnsi="Arial" w:cs="Arial"/>
          <w:bCs/>
          <w:i/>
          <w:iCs/>
          <w:sz w:val="28"/>
          <w:szCs w:val="28"/>
          <w:lang w:eastAsia="en-AU"/>
        </w:rPr>
        <w:t>Te Warena Taua &amp; Ors v Tahi Enterprises Limited</w:t>
      </w:r>
    </w:p>
    <w:p w14:paraId="6CD49D46" w14:textId="77777777" w:rsidR="00C45B38" w:rsidRPr="00C45B38" w:rsidRDefault="0085775F" w:rsidP="0085775F">
      <w:pPr>
        <w:rPr>
          <w:lang w:eastAsia="en-AU"/>
        </w:rPr>
      </w:pPr>
      <w:r>
        <w:rPr>
          <w:b/>
          <w:lang w:eastAsia="en-AU"/>
        </w:rPr>
        <w:t>Supreme Court of New Zealand</w:t>
      </w:r>
      <w:r w:rsidR="00C45B38" w:rsidRPr="00C45B38">
        <w:rPr>
          <w:b/>
          <w:lang w:eastAsia="en-AU"/>
        </w:rPr>
        <w:t xml:space="preserve">: </w:t>
      </w:r>
      <w:hyperlink r:id="rId44" w:history="1">
        <w:r w:rsidRPr="0085775F">
          <w:rPr>
            <w:rStyle w:val="Hyperlink"/>
            <w:bCs/>
            <w:lang w:eastAsia="en-AU"/>
          </w:rPr>
          <w:t>[2021] NZSC 182</w:t>
        </w:r>
      </w:hyperlink>
    </w:p>
    <w:p w14:paraId="33A287FB" w14:textId="77777777" w:rsidR="00C45B38" w:rsidRPr="00C45B38" w:rsidRDefault="00C45B38" w:rsidP="00C45B38">
      <w:pPr>
        <w:rPr>
          <w:lang w:eastAsia="en-AU"/>
        </w:rPr>
      </w:pPr>
    </w:p>
    <w:p w14:paraId="7D478444" w14:textId="77777777" w:rsidR="00C45B38" w:rsidRPr="00C45B38" w:rsidRDefault="00C45B38" w:rsidP="00C45B38">
      <w:pPr>
        <w:rPr>
          <w:lang w:eastAsia="en-AU"/>
        </w:rPr>
      </w:pPr>
      <w:r w:rsidRPr="00C45B38">
        <w:rPr>
          <w:b/>
          <w:lang w:eastAsia="en-AU"/>
        </w:rPr>
        <w:t>Judgment delivered:</w:t>
      </w:r>
      <w:r w:rsidRPr="00C45B38">
        <w:rPr>
          <w:lang w:eastAsia="en-AU"/>
        </w:rPr>
        <w:t xml:space="preserve"> </w:t>
      </w:r>
      <w:r w:rsidR="0085775F">
        <w:rPr>
          <w:lang w:eastAsia="en-AU"/>
        </w:rPr>
        <w:t>15 December</w:t>
      </w:r>
      <w:r w:rsidRPr="00C45B38">
        <w:rPr>
          <w:lang w:eastAsia="en-AU"/>
        </w:rPr>
        <w:t xml:space="preserve"> 2021</w:t>
      </w:r>
    </w:p>
    <w:p w14:paraId="3BAA2DF9" w14:textId="77777777" w:rsidR="00C45B38" w:rsidRPr="00C45B38" w:rsidRDefault="00C45B38" w:rsidP="00C45B38">
      <w:pPr>
        <w:rPr>
          <w:lang w:eastAsia="en-AU"/>
        </w:rPr>
      </w:pPr>
    </w:p>
    <w:p w14:paraId="0AB27A4F" w14:textId="77777777" w:rsidR="00C45B38" w:rsidRPr="00C45B38" w:rsidRDefault="00C45B38" w:rsidP="0085775F">
      <w:pPr>
        <w:rPr>
          <w:lang w:eastAsia="en-AU"/>
        </w:rPr>
      </w:pPr>
      <w:r w:rsidRPr="00C45B38">
        <w:rPr>
          <w:b/>
          <w:lang w:eastAsia="en-AU"/>
        </w:rPr>
        <w:t xml:space="preserve">Coram: </w:t>
      </w:r>
      <w:r w:rsidR="0085775F">
        <w:rPr>
          <w:lang w:eastAsia="en-AU"/>
        </w:rPr>
        <w:t>Winkelmann CJ, Glazebrook, O</w:t>
      </w:r>
      <w:r w:rsidR="00DA6539">
        <w:rPr>
          <w:lang w:eastAsia="en-AU"/>
        </w:rPr>
        <w:t>'</w:t>
      </w:r>
      <w:r w:rsidR="0085775F">
        <w:rPr>
          <w:lang w:eastAsia="en-AU"/>
        </w:rPr>
        <w:t>Regan, Ellen France and Williams JJ</w:t>
      </w:r>
    </w:p>
    <w:p w14:paraId="7C0ADBCC" w14:textId="77777777" w:rsidR="00C45B38" w:rsidRPr="00C45B38" w:rsidRDefault="00C45B38" w:rsidP="00C45B38">
      <w:pPr>
        <w:rPr>
          <w:lang w:eastAsia="en-AU"/>
        </w:rPr>
      </w:pPr>
    </w:p>
    <w:p w14:paraId="479F1CAA" w14:textId="77777777" w:rsidR="00C45B38" w:rsidRPr="00C45B38" w:rsidRDefault="00C45B38" w:rsidP="00C45B38">
      <w:pPr>
        <w:rPr>
          <w:b/>
          <w:lang w:eastAsia="en-AU"/>
        </w:rPr>
      </w:pPr>
      <w:r w:rsidRPr="00C45B38">
        <w:rPr>
          <w:b/>
          <w:lang w:eastAsia="en-AU"/>
        </w:rPr>
        <w:t>Catchwords:</w:t>
      </w:r>
    </w:p>
    <w:p w14:paraId="3E1B93D4" w14:textId="77777777" w:rsidR="00C45B38" w:rsidRPr="00C45B38" w:rsidRDefault="00C45B38" w:rsidP="00C45B38">
      <w:pPr>
        <w:rPr>
          <w:b/>
          <w:highlight w:val="yellow"/>
          <w:lang w:eastAsia="en-AU"/>
        </w:rPr>
      </w:pPr>
    </w:p>
    <w:p w14:paraId="4302FF56" w14:textId="6DB2F7A5" w:rsidR="00C45B38" w:rsidRPr="00C45B38" w:rsidRDefault="00C45B38" w:rsidP="0085775F">
      <w:pPr>
        <w:ind w:left="720"/>
        <w:rPr>
          <w:lang w:eastAsia="en-AU"/>
        </w:rPr>
      </w:pPr>
      <w:r w:rsidRPr="00C45B38">
        <w:rPr>
          <w:lang w:eastAsia="en-AU"/>
        </w:rPr>
        <w:t xml:space="preserve">Practice and procedure – </w:t>
      </w:r>
      <w:r w:rsidR="0085775F">
        <w:rPr>
          <w:lang w:eastAsia="en-AU"/>
        </w:rPr>
        <w:t>Representation order</w:t>
      </w:r>
      <w:r w:rsidR="007266A7">
        <w:rPr>
          <w:lang w:eastAsia="en-AU"/>
        </w:rPr>
        <w:t>s</w:t>
      </w:r>
      <w:r w:rsidR="0085775F">
        <w:rPr>
          <w:lang w:eastAsia="en-AU"/>
        </w:rPr>
        <w:t xml:space="preserve"> – Where claims brought in relation to joint venture agreement and other dealings between Tahi </w:t>
      </w:r>
      <w:r w:rsidR="0085775F" w:rsidRPr="0085775F">
        <w:rPr>
          <w:lang w:eastAsia="en-AU"/>
        </w:rPr>
        <w:t>Enterprises Ltd</w:t>
      </w:r>
      <w:r w:rsidR="0085775F">
        <w:rPr>
          <w:lang w:eastAsia="en-AU"/>
        </w:rPr>
        <w:t xml:space="preserve"> and members of Te Kawerau ā Maki – Where proceedings stalled while parties sought to resolve issues about who is entitled to speak for whom – Where respondents sought order for disclosure of names – Where High Court ordered disclosure of names of iwi members over age of 18 when joint venture agreement was entered in</w:t>
      </w:r>
      <w:r w:rsidR="00245A3F">
        <w:rPr>
          <w:lang w:eastAsia="en-AU"/>
        </w:rPr>
        <w:t>to</w:t>
      </w:r>
      <w:r w:rsidR="0085775F">
        <w:rPr>
          <w:lang w:eastAsia="en-AU"/>
        </w:rPr>
        <w:t xml:space="preserve"> – Where orders upheld on appeal to Court of Appeal – Where leave granted to appeal to Supreme Court </w:t>
      </w:r>
      <w:r w:rsidR="007266A7">
        <w:rPr>
          <w:lang w:eastAsia="en-AU"/>
        </w:rPr>
        <w:t>–</w:t>
      </w:r>
      <w:r w:rsidR="0085775F">
        <w:rPr>
          <w:lang w:eastAsia="en-AU"/>
        </w:rPr>
        <w:t xml:space="preserve"> </w:t>
      </w:r>
      <w:r w:rsidR="007266A7">
        <w:rPr>
          <w:lang w:eastAsia="en-AU"/>
        </w:rPr>
        <w:t xml:space="preserve">Whether representation orders should be made – Proper form of representation orders. </w:t>
      </w:r>
    </w:p>
    <w:p w14:paraId="650A5F7B" w14:textId="77777777" w:rsidR="00C45B38" w:rsidRPr="00C45B38" w:rsidRDefault="00C45B38" w:rsidP="00C45B38">
      <w:pPr>
        <w:ind w:left="720"/>
        <w:rPr>
          <w:highlight w:val="yellow"/>
          <w:lang w:eastAsia="en-AU"/>
        </w:rPr>
      </w:pPr>
    </w:p>
    <w:p w14:paraId="59FDD856" w14:textId="77777777" w:rsidR="00C45B38" w:rsidRPr="00C45B38" w:rsidRDefault="00C45B38" w:rsidP="00C45B38">
      <w:pPr>
        <w:rPr>
          <w:lang w:eastAsia="en-AU"/>
        </w:rPr>
      </w:pPr>
      <w:r w:rsidRPr="00C45B38">
        <w:rPr>
          <w:b/>
          <w:lang w:eastAsia="en-AU"/>
        </w:rPr>
        <w:t>Held (</w:t>
      </w:r>
      <w:r w:rsidR="0085775F">
        <w:rPr>
          <w:b/>
          <w:lang w:eastAsia="en-AU"/>
        </w:rPr>
        <w:t>5</w:t>
      </w:r>
      <w:r w:rsidRPr="00C45B38">
        <w:rPr>
          <w:b/>
          <w:lang w:eastAsia="en-AU"/>
        </w:rPr>
        <w:t xml:space="preserve">:0): </w:t>
      </w:r>
      <w:r w:rsidR="0085775F">
        <w:rPr>
          <w:lang w:eastAsia="en-AU"/>
        </w:rPr>
        <w:t xml:space="preserve">Appeal allowed, with substituted orders made by consent. </w:t>
      </w:r>
    </w:p>
    <w:p w14:paraId="7A612F3C" w14:textId="77777777" w:rsidR="00194719" w:rsidRPr="00B546B2" w:rsidRDefault="00194719" w:rsidP="00194719">
      <w:pPr>
        <w:pStyle w:val="BullDivider2"/>
        <w:rPr>
          <w:rFonts w:cs="Arial"/>
          <w:highlight w:val="yellow"/>
        </w:rPr>
      </w:pPr>
    </w:p>
    <w:p w14:paraId="7D5E0262" w14:textId="77777777" w:rsidR="00194719" w:rsidRDefault="00194719" w:rsidP="00194719"/>
    <w:p w14:paraId="1A8E77E5" w14:textId="77777777" w:rsidR="00A63EE9" w:rsidRPr="00B20BAC" w:rsidRDefault="00A63EE9" w:rsidP="00A63EE9">
      <w:pPr>
        <w:pStyle w:val="Heading1"/>
      </w:pPr>
      <w:r>
        <w:t>Private International Law</w:t>
      </w:r>
    </w:p>
    <w:p w14:paraId="669A3D44" w14:textId="77777777" w:rsidR="00A63EE9" w:rsidRDefault="00A63EE9" w:rsidP="00FA0788"/>
    <w:p w14:paraId="462D58EE" w14:textId="77777777" w:rsidR="00A63EE9" w:rsidRPr="002F4F7E" w:rsidRDefault="00A63EE9" w:rsidP="00A63EE9">
      <w:pPr>
        <w:pStyle w:val="Heading2"/>
      </w:pPr>
      <w:r>
        <w:t xml:space="preserve">HMB Holdings Ltd v Antigua and Barbuda </w:t>
      </w:r>
    </w:p>
    <w:p w14:paraId="54B98CA2" w14:textId="77777777" w:rsidR="00A63EE9" w:rsidRPr="002F4F7E" w:rsidRDefault="00A63EE9" w:rsidP="00A63EE9">
      <w:pPr>
        <w:rPr>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 xml:space="preserve">: </w:t>
      </w:r>
      <w:hyperlink r:id="rId45" w:history="1">
        <w:r w:rsidRPr="00A63EE9">
          <w:rPr>
            <w:rStyle w:val="Hyperlink"/>
            <w:lang w:eastAsia="en-AU"/>
          </w:rPr>
          <w:t>[2021] SCC 44</w:t>
        </w:r>
      </w:hyperlink>
    </w:p>
    <w:p w14:paraId="6D550B73" w14:textId="77777777" w:rsidR="00A63EE9" w:rsidRPr="002F4F7E" w:rsidRDefault="00A63EE9" w:rsidP="00A63EE9">
      <w:pPr>
        <w:rPr>
          <w:lang w:eastAsia="en-AU"/>
        </w:rPr>
      </w:pPr>
    </w:p>
    <w:p w14:paraId="72A52A7E" w14:textId="77777777" w:rsidR="00A63EE9" w:rsidRPr="002F4F7E" w:rsidRDefault="00A63EE9" w:rsidP="00A63EE9">
      <w:pPr>
        <w:rPr>
          <w:lang w:eastAsia="en-AU"/>
        </w:rPr>
      </w:pPr>
      <w:r w:rsidRPr="002F4F7E">
        <w:rPr>
          <w:b/>
          <w:lang w:eastAsia="en-AU"/>
        </w:rPr>
        <w:t>Judgment delivered:</w:t>
      </w:r>
      <w:r w:rsidRPr="002F4F7E">
        <w:rPr>
          <w:lang w:eastAsia="en-AU"/>
        </w:rPr>
        <w:t xml:space="preserve"> </w:t>
      </w:r>
      <w:r w:rsidR="009862C3">
        <w:rPr>
          <w:lang w:eastAsia="en-AU"/>
        </w:rPr>
        <w:t>4 November</w:t>
      </w:r>
      <w:r>
        <w:rPr>
          <w:lang w:eastAsia="en-AU"/>
        </w:rPr>
        <w:t xml:space="preserve"> 2021</w:t>
      </w:r>
    </w:p>
    <w:p w14:paraId="455C1D62" w14:textId="77777777" w:rsidR="00A63EE9" w:rsidRPr="002F4F7E" w:rsidRDefault="00A63EE9" w:rsidP="00A63EE9">
      <w:pPr>
        <w:rPr>
          <w:lang w:eastAsia="en-AU"/>
        </w:rPr>
      </w:pPr>
    </w:p>
    <w:p w14:paraId="79E00AF2" w14:textId="77777777" w:rsidR="00A63EE9" w:rsidRPr="002F4F7E" w:rsidRDefault="00A63EE9" w:rsidP="00A63EE9">
      <w:pPr>
        <w:rPr>
          <w:lang w:eastAsia="en-AU"/>
        </w:rPr>
      </w:pPr>
      <w:r w:rsidRPr="002F4F7E">
        <w:rPr>
          <w:b/>
          <w:lang w:eastAsia="en-AU"/>
        </w:rPr>
        <w:t xml:space="preserve">Coram: </w:t>
      </w:r>
      <w:r w:rsidRPr="00A63EE9">
        <w:rPr>
          <w:lang w:eastAsia="en-AU"/>
        </w:rPr>
        <w:t>Wagner CJ and Karakatsanis, Côté, Rowe and Kasirer JJ</w:t>
      </w:r>
    </w:p>
    <w:p w14:paraId="2310D7A8" w14:textId="77777777" w:rsidR="00A63EE9" w:rsidRPr="002F4F7E" w:rsidRDefault="00A63EE9" w:rsidP="00A63EE9">
      <w:pPr>
        <w:rPr>
          <w:lang w:eastAsia="en-AU"/>
        </w:rPr>
      </w:pPr>
    </w:p>
    <w:p w14:paraId="582E17AE" w14:textId="77777777" w:rsidR="00A63EE9" w:rsidRPr="002F4F7E" w:rsidRDefault="00A63EE9" w:rsidP="00A63EE9">
      <w:pPr>
        <w:rPr>
          <w:b/>
          <w:lang w:eastAsia="en-AU"/>
        </w:rPr>
      </w:pPr>
      <w:r>
        <w:rPr>
          <w:b/>
          <w:lang w:eastAsia="en-AU"/>
        </w:rPr>
        <w:t>Catchwords:</w:t>
      </w:r>
    </w:p>
    <w:p w14:paraId="7B4F4B45" w14:textId="77777777" w:rsidR="00A63EE9" w:rsidRPr="00856E9C" w:rsidRDefault="00A63EE9" w:rsidP="00A63EE9">
      <w:pPr>
        <w:rPr>
          <w:b/>
          <w:highlight w:val="yellow"/>
          <w:lang w:eastAsia="en-AU"/>
        </w:rPr>
      </w:pPr>
    </w:p>
    <w:p w14:paraId="2C0786D6" w14:textId="77777777" w:rsidR="00A63EE9" w:rsidRDefault="00A63EE9" w:rsidP="00A63EE9">
      <w:pPr>
        <w:ind w:left="720"/>
        <w:rPr>
          <w:lang w:eastAsia="en-AU"/>
        </w:rPr>
      </w:pPr>
      <w:r w:rsidRPr="00A63EE9">
        <w:rPr>
          <w:lang w:eastAsia="en-AU"/>
        </w:rPr>
        <w:t xml:space="preserve">Private international law </w:t>
      </w:r>
      <w:r w:rsidR="00DB286E">
        <w:rPr>
          <w:lang w:eastAsia="en-AU"/>
        </w:rPr>
        <w:t>–</w:t>
      </w:r>
      <w:r w:rsidRPr="00A63EE9">
        <w:rPr>
          <w:lang w:eastAsia="en-AU"/>
        </w:rPr>
        <w:t xml:space="preserve"> Foreign judgments </w:t>
      </w:r>
      <w:r w:rsidR="00DB286E">
        <w:rPr>
          <w:lang w:eastAsia="en-AU"/>
        </w:rPr>
        <w:t>–</w:t>
      </w:r>
      <w:r w:rsidRPr="00A63EE9">
        <w:rPr>
          <w:lang w:eastAsia="en-AU"/>
        </w:rPr>
        <w:t xml:space="preserve"> Reciprocal enforcement </w:t>
      </w:r>
      <w:r w:rsidR="00DB286E">
        <w:rPr>
          <w:lang w:eastAsia="en-AU"/>
        </w:rPr>
        <w:t>–</w:t>
      </w:r>
      <w:r w:rsidRPr="00A63EE9">
        <w:rPr>
          <w:lang w:eastAsia="en-AU"/>
        </w:rPr>
        <w:t xml:space="preserve"> Registration </w:t>
      </w:r>
      <w:r w:rsidR="00DB286E">
        <w:rPr>
          <w:lang w:eastAsia="en-AU"/>
        </w:rPr>
        <w:t>–</w:t>
      </w:r>
      <w:r w:rsidRPr="00A63EE9">
        <w:rPr>
          <w:lang w:eastAsia="en-AU"/>
        </w:rPr>
        <w:t xml:space="preserve"> Carrying on business </w:t>
      </w:r>
      <w:r w:rsidR="00DB286E">
        <w:rPr>
          <w:lang w:eastAsia="en-AU"/>
        </w:rPr>
        <w:t>–</w:t>
      </w:r>
      <w:r w:rsidRPr="00A63EE9">
        <w:rPr>
          <w:lang w:eastAsia="en-AU"/>
        </w:rPr>
        <w:t xml:space="preserve"> </w:t>
      </w:r>
      <w:r>
        <w:rPr>
          <w:lang w:eastAsia="en-AU"/>
        </w:rPr>
        <w:t>Where f</w:t>
      </w:r>
      <w:r w:rsidRPr="00A63EE9">
        <w:rPr>
          <w:lang w:eastAsia="en-AU"/>
        </w:rPr>
        <w:t>oreign judgment award</w:t>
      </w:r>
      <w:r>
        <w:rPr>
          <w:lang w:eastAsia="en-AU"/>
        </w:rPr>
        <w:t>ed</w:t>
      </w:r>
      <w:r w:rsidRPr="00A63EE9">
        <w:rPr>
          <w:lang w:eastAsia="en-AU"/>
        </w:rPr>
        <w:t xml:space="preserve"> compensation to judgment creditor for expropriation of lands by judgment debtor </w:t>
      </w:r>
      <w:r w:rsidR="00DB286E">
        <w:rPr>
          <w:lang w:eastAsia="en-AU"/>
        </w:rPr>
        <w:t>–</w:t>
      </w:r>
      <w:r w:rsidRPr="00A63EE9">
        <w:rPr>
          <w:lang w:eastAsia="en-AU"/>
        </w:rPr>
        <w:t xml:space="preserve"> </w:t>
      </w:r>
      <w:r>
        <w:rPr>
          <w:lang w:eastAsia="en-AU"/>
        </w:rPr>
        <w:t>Where j</w:t>
      </w:r>
      <w:r w:rsidRPr="00A63EE9">
        <w:rPr>
          <w:lang w:eastAsia="en-AU"/>
        </w:rPr>
        <w:t>udgment creditor successfully obtain</w:t>
      </w:r>
      <w:r>
        <w:rPr>
          <w:lang w:eastAsia="en-AU"/>
        </w:rPr>
        <w:t>ed</w:t>
      </w:r>
      <w:r w:rsidRPr="00A63EE9">
        <w:rPr>
          <w:lang w:eastAsia="en-AU"/>
        </w:rPr>
        <w:t xml:space="preserve"> default judgment in British Columbia to enforce foreign judgment </w:t>
      </w:r>
      <w:r w:rsidR="00DB286E">
        <w:rPr>
          <w:lang w:eastAsia="en-AU"/>
        </w:rPr>
        <w:t>–</w:t>
      </w:r>
      <w:r w:rsidRPr="00A63EE9">
        <w:rPr>
          <w:lang w:eastAsia="en-AU"/>
        </w:rPr>
        <w:t xml:space="preserve"> </w:t>
      </w:r>
      <w:r>
        <w:rPr>
          <w:lang w:eastAsia="en-AU"/>
        </w:rPr>
        <w:t>Where j</w:t>
      </w:r>
      <w:r w:rsidRPr="00A63EE9">
        <w:rPr>
          <w:lang w:eastAsia="en-AU"/>
        </w:rPr>
        <w:t>udgment creditor then appl</w:t>
      </w:r>
      <w:r>
        <w:rPr>
          <w:lang w:eastAsia="en-AU"/>
        </w:rPr>
        <w:t>ied</w:t>
      </w:r>
      <w:r w:rsidRPr="00A63EE9">
        <w:rPr>
          <w:lang w:eastAsia="en-AU"/>
        </w:rPr>
        <w:t xml:space="preserve"> for registration of default judgment in reciprocating jurisdiction of Ontario </w:t>
      </w:r>
      <w:r w:rsidR="00DB286E">
        <w:rPr>
          <w:lang w:eastAsia="en-AU"/>
        </w:rPr>
        <w:t>–</w:t>
      </w:r>
      <w:r w:rsidRPr="00A63EE9">
        <w:rPr>
          <w:lang w:eastAsia="en-AU"/>
        </w:rPr>
        <w:t xml:space="preserve"> </w:t>
      </w:r>
      <w:r>
        <w:rPr>
          <w:lang w:eastAsia="en-AU"/>
        </w:rPr>
        <w:t>Where a</w:t>
      </w:r>
      <w:r w:rsidRPr="00A63EE9">
        <w:rPr>
          <w:lang w:eastAsia="en-AU"/>
        </w:rPr>
        <w:t xml:space="preserve">pplication dismissed on basis judgment debtor not carrying on business in British Columbia </w:t>
      </w:r>
      <w:r w:rsidR="00DB286E">
        <w:rPr>
          <w:lang w:eastAsia="en-AU"/>
        </w:rPr>
        <w:t>–</w:t>
      </w:r>
      <w:r w:rsidRPr="00A63EE9">
        <w:rPr>
          <w:lang w:eastAsia="en-AU"/>
        </w:rPr>
        <w:t xml:space="preserve"> Whether judgment </w:t>
      </w:r>
      <w:r w:rsidRPr="00A63EE9">
        <w:rPr>
          <w:lang w:eastAsia="en-AU"/>
        </w:rPr>
        <w:lastRenderedPageBreak/>
        <w:t xml:space="preserve">creditor precluded from having default judgment registered in Ontario </w:t>
      </w:r>
      <w:r w:rsidR="00DB286E">
        <w:rPr>
          <w:lang w:eastAsia="en-AU"/>
        </w:rPr>
        <w:t>–</w:t>
      </w:r>
      <w:r w:rsidRPr="00A63EE9">
        <w:rPr>
          <w:lang w:eastAsia="en-AU"/>
        </w:rPr>
        <w:t xml:space="preserve"> </w:t>
      </w:r>
      <w:r w:rsidRPr="00A63EE9">
        <w:rPr>
          <w:i/>
          <w:lang w:eastAsia="en-AU"/>
        </w:rPr>
        <w:t>Reciprocal Enforcement of Judgments Act</w:t>
      </w:r>
      <w:r w:rsidRPr="00A63EE9">
        <w:rPr>
          <w:lang w:eastAsia="en-AU"/>
        </w:rPr>
        <w:t>, RSO 1990, c R</w:t>
      </w:r>
      <w:r>
        <w:rPr>
          <w:lang w:eastAsia="en-AU"/>
        </w:rPr>
        <w:t>.</w:t>
      </w:r>
      <w:r w:rsidRPr="00A63EE9">
        <w:rPr>
          <w:lang w:eastAsia="en-AU"/>
        </w:rPr>
        <w:t>5, s 3(b).</w:t>
      </w:r>
    </w:p>
    <w:p w14:paraId="37CC8175" w14:textId="77777777" w:rsidR="00A63EE9" w:rsidRPr="00856E9C" w:rsidRDefault="00A63EE9" w:rsidP="00A63EE9">
      <w:pPr>
        <w:ind w:left="720"/>
        <w:rPr>
          <w:highlight w:val="yellow"/>
          <w:lang w:eastAsia="en-AU"/>
        </w:rPr>
      </w:pPr>
    </w:p>
    <w:p w14:paraId="3B8F2472" w14:textId="77777777" w:rsidR="00A63EE9" w:rsidRPr="000D3E8D" w:rsidRDefault="00A63EE9" w:rsidP="00A63EE9">
      <w:pPr>
        <w:rPr>
          <w:lang w:eastAsia="en-AU"/>
        </w:rPr>
      </w:pPr>
      <w:r w:rsidRPr="002F4F7E">
        <w:rPr>
          <w:b/>
          <w:lang w:eastAsia="en-AU"/>
        </w:rPr>
        <w:t>Held (</w:t>
      </w:r>
      <w:r>
        <w:rPr>
          <w:b/>
          <w:lang w:eastAsia="en-AU"/>
        </w:rPr>
        <w:t>5:0</w:t>
      </w:r>
      <w:r w:rsidRPr="002F4F7E">
        <w:rPr>
          <w:b/>
          <w:lang w:eastAsia="en-AU"/>
        </w:rPr>
        <w:t xml:space="preserve">): </w:t>
      </w:r>
      <w:r>
        <w:rPr>
          <w:lang w:eastAsia="en-AU"/>
        </w:rPr>
        <w:t>Appeal dismissed.</w:t>
      </w:r>
    </w:p>
    <w:p w14:paraId="7D75F311" w14:textId="77777777" w:rsidR="00745856" w:rsidRPr="00745856" w:rsidRDefault="00745856" w:rsidP="00745856">
      <w:pPr>
        <w:pBdr>
          <w:bottom w:val="double" w:sz="6" w:space="1" w:color="auto"/>
        </w:pBdr>
        <w:rPr>
          <w:rFonts w:cs="Arial"/>
          <w:szCs w:val="20"/>
          <w:highlight w:val="yellow"/>
          <w:lang w:eastAsia="en-AU"/>
        </w:rPr>
      </w:pPr>
    </w:p>
    <w:p w14:paraId="7BAC0F7F" w14:textId="77777777" w:rsidR="00241A1B" w:rsidRDefault="00241A1B" w:rsidP="00241A1B"/>
    <w:p w14:paraId="24DAC3F5" w14:textId="6B10B992" w:rsidR="0094779B" w:rsidRPr="00B20BAC" w:rsidRDefault="0094779B" w:rsidP="0094779B">
      <w:pPr>
        <w:pStyle w:val="Heading1"/>
      </w:pPr>
      <w:r>
        <w:t>Taxation</w:t>
      </w:r>
    </w:p>
    <w:p w14:paraId="779C4D77" w14:textId="77777777" w:rsidR="0094779B" w:rsidRDefault="0094779B" w:rsidP="00FA0788"/>
    <w:p w14:paraId="4254C8AA" w14:textId="77777777" w:rsidR="0094779B" w:rsidRPr="002F4F7E" w:rsidRDefault="00300A88" w:rsidP="0094779B">
      <w:pPr>
        <w:pStyle w:val="Heading2"/>
      </w:pPr>
      <w:r>
        <w:t>Canada v Alta Energy Luxembourg SARL</w:t>
      </w:r>
    </w:p>
    <w:p w14:paraId="49A2F41B" w14:textId="77777777" w:rsidR="0094779B" w:rsidRPr="002F4F7E" w:rsidRDefault="0094779B" w:rsidP="0094779B">
      <w:pPr>
        <w:rPr>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 xml:space="preserve">: </w:t>
      </w:r>
      <w:hyperlink r:id="rId46" w:history="1">
        <w:r w:rsidR="00300A88" w:rsidRPr="00300A88">
          <w:rPr>
            <w:rStyle w:val="Hyperlink"/>
            <w:lang w:eastAsia="en-AU"/>
          </w:rPr>
          <w:t>[2021] SCC 49</w:t>
        </w:r>
      </w:hyperlink>
    </w:p>
    <w:p w14:paraId="0B7B7B31" w14:textId="77777777" w:rsidR="0094779B" w:rsidRPr="002F4F7E" w:rsidRDefault="0094779B" w:rsidP="0094779B">
      <w:pPr>
        <w:rPr>
          <w:lang w:eastAsia="en-AU"/>
        </w:rPr>
      </w:pPr>
    </w:p>
    <w:p w14:paraId="1B31AFF0" w14:textId="77777777" w:rsidR="0094779B" w:rsidRPr="002F4F7E" w:rsidRDefault="0094779B" w:rsidP="0094779B">
      <w:pPr>
        <w:rPr>
          <w:lang w:eastAsia="en-AU"/>
        </w:rPr>
      </w:pPr>
      <w:r w:rsidRPr="002F4F7E">
        <w:rPr>
          <w:b/>
          <w:lang w:eastAsia="en-AU"/>
        </w:rPr>
        <w:t>Judgment delivered:</w:t>
      </w:r>
      <w:r w:rsidRPr="002F4F7E">
        <w:rPr>
          <w:lang w:eastAsia="en-AU"/>
        </w:rPr>
        <w:t xml:space="preserve"> </w:t>
      </w:r>
      <w:r w:rsidR="00300A88">
        <w:rPr>
          <w:lang w:eastAsia="en-AU"/>
        </w:rPr>
        <w:t>26</w:t>
      </w:r>
      <w:r>
        <w:rPr>
          <w:lang w:eastAsia="en-AU"/>
        </w:rPr>
        <w:t xml:space="preserve"> November 2021</w:t>
      </w:r>
    </w:p>
    <w:p w14:paraId="5C37594F" w14:textId="77777777" w:rsidR="0094779B" w:rsidRPr="002F4F7E" w:rsidRDefault="0094779B" w:rsidP="0094779B">
      <w:pPr>
        <w:rPr>
          <w:lang w:eastAsia="en-AU"/>
        </w:rPr>
      </w:pPr>
    </w:p>
    <w:p w14:paraId="526A24B5" w14:textId="77777777" w:rsidR="0094779B" w:rsidRDefault="0094779B" w:rsidP="0094779B">
      <w:pPr>
        <w:rPr>
          <w:lang w:eastAsia="en-AU"/>
        </w:rPr>
      </w:pPr>
      <w:r w:rsidRPr="002F4F7E">
        <w:rPr>
          <w:b/>
          <w:lang w:eastAsia="en-AU"/>
        </w:rPr>
        <w:t xml:space="preserve">Coram: </w:t>
      </w:r>
      <w:r w:rsidR="00300A88" w:rsidRPr="00300A88">
        <w:rPr>
          <w:lang w:eastAsia="en-AU"/>
        </w:rPr>
        <w:t>Wagner CJ and Abella, Moldaver, Karakatsanis, Côté, Brown, Rowe, Martin and Kasirer JJ</w:t>
      </w:r>
    </w:p>
    <w:p w14:paraId="4D0F1B01" w14:textId="77777777" w:rsidR="00300A88" w:rsidRPr="002F4F7E" w:rsidRDefault="00300A88" w:rsidP="0094779B">
      <w:pPr>
        <w:rPr>
          <w:lang w:eastAsia="en-AU"/>
        </w:rPr>
      </w:pPr>
    </w:p>
    <w:p w14:paraId="578BDABD" w14:textId="77777777" w:rsidR="0094779B" w:rsidRPr="002F4F7E" w:rsidRDefault="0094779B" w:rsidP="0094779B">
      <w:pPr>
        <w:rPr>
          <w:b/>
          <w:lang w:eastAsia="en-AU"/>
        </w:rPr>
      </w:pPr>
      <w:r>
        <w:rPr>
          <w:b/>
          <w:lang w:eastAsia="en-AU"/>
        </w:rPr>
        <w:t>Catchwords:</w:t>
      </w:r>
    </w:p>
    <w:p w14:paraId="2B537BA6" w14:textId="77777777" w:rsidR="0094779B" w:rsidRPr="00856E9C" w:rsidRDefault="0094779B" w:rsidP="0094779B">
      <w:pPr>
        <w:rPr>
          <w:b/>
          <w:highlight w:val="yellow"/>
          <w:lang w:eastAsia="en-AU"/>
        </w:rPr>
      </w:pPr>
    </w:p>
    <w:p w14:paraId="3CBB53DD" w14:textId="77777777" w:rsidR="0094779B" w:rsidRDefault="00300A88" w:rsidP="0094779B">
      <w:pPr>
        <w:ind w:left="720"/>
        <w:rPr>
          <w:lang w:eastAsia="en-AU"/>
        </w:rPr>
      </w:pPr>
      <w:r w:rsidRPr="00300A88">
        <w:rPr>
          <w:lang w:eastAsia="en-AU"/>
        </w:rPr>
        <w:t xml:space="preserve">Taxation </w:t>
      </w:r>
      <w:r w:rsidR="00DB286E">
        <w:rPr>
          <w:lang w:eastAsia="en-AU"/>
        </w:rPr>
        <w:t>–</w:t>
      </w:r>
      <w:r w:rsidRPr="00300A88">
        <w:rPr>
          <w:lang w:eastAsia="en-AU"/>
        </w:rPr>
        <w:t xml:space="preserve"> Income tax </w:t>
      </w:r>
      <w:r w:rsidR="00DB286E">
        <w:rPr>
          <w:lang w:eastAsia="en-AU"/>
        </w:rPr>
        <w:t>–</w:t>
      </w:r>
      <w:r w:rsidRPr="00300A88">
        <w:rPr>
          <w:lang w:eastAsia="en-AU"/>
        </w:rPr>
        <w:t xml:space="preserve"> Tax avoidance </w:t>
      </w:r>
      <w:r w:rsidR="00DB286E">
        <w:rPr>
          <w:lang w:eastAsia="en-AU"/>
        </w:rPr>
        <w:t>–</w:t>
      </w:r>
      <w:r w:rsidRPr="00300A88">
        <w:rPr>
          <w:lang w:eastAsia="en-AU"/>
        </w:rPr>
        <w:t xml:space="preserve"> Application of general anti</w:t>
      </w:r>
      <w:r w:rsidRPr="00300A88">
        <w:rPr>
          <w:rFonts w:ascii="Cambria Math" w:hAnsi="Cambria Math" w:cs="Cambria Math"/>
          <w:lang w:eastAsia="en-AU"/>
        </w:rPr>
        <w:t>‑</w:t>
      </w:r>
      <w:r w:rsidRPr="00300A88">
        <w:rPr>
          <w:lang w:eastAsia="en-AU"/>
        </w:rPr>
        <w:t xml:space="preserve">avoidance rule </w:t>
      </w:r>
      <w:r w:rsidR="00DB286E">
        <w:rPr>
          <w:rFonts w:cs="Verdana"/>
          <w:lang w:eastAsia="en-AU"/>
        </w:rPr>
        <w:t>–</w:t>
      </w:r>
      <w:r w:rsidRPr="00300A88">
        <w:rPr>
          <w:lang w:eastAsia="en-AU"/>
        </w:rPr>
        <w:t xml:space="preserve"> </w:t>
      </w:r>
      <w:r>
        <w:rPr>
          <w:lang w:eastAsia="en-AU"/>
        </w:rPr>
        <w:t>Where l</w:t>
      </w:r>
      <w:r w:rsidRPr="00300A88">
        <w:rPr>
          <w:lang w:eastAsia="en-AU"/>
        </w:rPr>
        <w:t>arge capital gain reali</w:t>
      </w:r>
      <w:r>
        <w:rPr>
          <w:lang w:eastAsia="en-AU"/>
        </w:rPr>
        <w:t>s</w:t>
      </w:r>
      <w:r w:rsidRPr="00300A88">
        <w:rPr>
          <w:lang w:eastAsia="en-AU"/>
        </w:rPr>
        <w:t xml:space="preserve">ed by corporate resident of Luxembourg on sale of shares whose value derived principally from immovable property situated in Canada </w:t>
      </w:r>
      <w:r w:rsidR="00DB286E">
        <w:rPr>
          <w:lang w:eastAsia="en-AU"/>
        </w:rPr>
        <w:t>–</w:t>
      </w:r>
      <w:r w:rsidRPr="00300A88">
        <w:rPr>
          <w:lang w:eastAsia="en-AU"/>
        </w:rPr>
        <w:t xml:space="preserve"> </w:t>
      </w:r>
      <w:r>
        <w:rPr>
          <w:lang w:eastAsia="en-AU"/>
        </w:rPr>
        <w:t>Where c</w:t>
      </w:r>
      <w:r w:rsidRPr="00300A88">
        <w:rPr>
          <w:lang w:eastAsia="en-AU"/>
        </w:rPr>
        <w:t>orporation claim</w:t>
      </w:r>
      <w:r>
        <w:rPr>
          <w:lang w:eastAsia="en-AU"/>
        </w:rPr>
        <w:t>ed</w:t>
      </w:r>
      <w:r w:rsidRPr="00300A88">
        <w:rPr>
          <w:lang w:eastAsia="en-AU"/>
        </w:rPr>
        <w:t xml:space="preserve"> exemption from Canadian tax on basis shares were protected property under tax treaty between Canada and Luxembourg </w:t>
      </w:r>
      <w:r w:rsidR="00DB286E">
        <w:rPr>
          <w:lang w:eastAsia="en-AU"/>
        </w:rPr>
        <w:t>–</w:t>
      </w:r>
      <w:r w:rsidRPr="00300A88">
        <w:rPr>
          <w:lang w:eastAsia="en-AU"/>
        </w:rPr>
        <w:t xml:space="preserve"> Whether general anti</w:t>
      </w:r>
      <w:r w:rsidRPr="00300A88">
        <w:rPr>
          <w:rFonts w:ascii="Cambria Math" w:hAnsi="Cambria Math" w:cs="Cambria Math"/>
          <w:lang w:eastAsia="en-AU"/>
        </w:rPr>
        <w:t>‑</w:t>
      </w:r>
      <w:r w:rsidRPr="00300A88">
        <w:rPr>
          <w:lang w:eastAsia="en-AU"/>
        </w:rPr>
        <w:t xml:space="preserve">avoidance rule applicable to deny requested exemption </w:t>
      </w:r>
      <w:r w:rsidR="00DB286E">
        <w:rPr>
          <w:lang w:eastAsia="en-AU"/>
        </w:rPr>
        <w:t>–</w:t>
      </w:r>
      <w:r w:rsidRPr="00300A88">
        <w:rPr>
          <w:lang w:eastAsia="en-AU"/>
        </w:rPr>
        <w:t xml:space="preserve"> </w:t>
      </w:r>
      <w:r w:rsidRPr="00300A88">
        <w:rPr>
          <w:i/>
          <w:lang w:eastAsia="en-AU"/>
        </w:rPr>
        <w:t>Income Tax Act</w:t>
      </w:r>
      <w:r w:rsidRPr="00300A88">
        <w:rPr>
          <w:lang w:eastAsia="en-AU"/>
        </w:rPr>
        <w:t xml:space="preserve">, RSC 1985, c 1 (5th Supp), s 245 </w:t>
      </w:r>
      <w:r w:rsidR="00DB286E">
        <w:rPr>
          <w:lang w:eastAsia="en-AU"/>
        </w:rPr>
        <w:t>–</w:t>
      </w:r>
      <w:r w:rsidRPr="00300A88">
        <w:rPr>
          <w:lang w:eastAsia="en-AU"/>
        </w:rPr>
        <w:t xml:space="preserve"> </w:t>
      </w:r>
      <w:r w:rsidRPr="00300A88">
        <w:rPr>
          <w:i/>
          <w:lang w:eastAsia="en-AU"/>
        </w:rPr>
        <w:t>Convention between the Government of Canada and the Government of the Grand Duchy of Luxembourg for the Avoidance of Double Taxation and the Prevention of Fiscal Evasion with Respect to Taxes on Income and on Capital</w:t>
      </w:r>
      <w:r w:rsidRPr="00300A88">
        <w:rPr>
          <w:lang w:eastAsia="en-AU"/>
        </w:rPr>
        <w:t xml:space="preserve">, Can </w:t>
      </w:r>
      <w:r>
        <w:rPr>
          <w:lang w:eastAsia="en-AU"/>
        </w:rPr>
        <w:t>T</w:t>
      </w:r>
      <w:r w:rsidRPr="00300A88">
        <w:rPr>
          <w:lang w:eastAsia="en-AU"/>
        </w:rPr>
        <w:t>S 2000 No 22, art 13.</w:t>
      </w:r>
    </w:p>
    <w:p w14:paraId="798D26D7" w14:textId="77777777" w:rsidR="00300A88" w:rsidRPr="00856E9C" w:rsidRDefault="00300A88" w:rsidP="0094779B">
      <w:pPr>
        <w:ind w:left="720"/>
        <w:rPr>
          <w:highlight w:val="yellow"/>
          <w:lang w:eastAsia="en-AU"/>
        </w:rPr>
      </w:pPr>
    </w:p>
    <w:p w14:paraId="3717F2FA" w14:textId="77777777" w:rsidR="0094779B" w:rsidRDefault="0094779B" w:rsidP="0094779B">
      <w:pPr>
        <w:rPr>
          <w:lang w:eastAsia="en-AU"/>
        </w:rPr>
      </w:pPr>
      <w:r w:rsidRPr="002F4F7E">
        <w:rPr>
          <w:b/>
          <w:lang w:eastAsia="en-AU"/>
        </w:rPr>
        <w:t>Held (</w:t>
      </w:r>
      <w:r w:rsidR="00300A88">
        <w:rPr>
          <w:b/>
          <w:lang w:eastAsia="en-AU"/>
        </w:rPr>
        <w:t>6</w:t>
      </w:r>
      <w:r>
        <w:rPr>
          <w:b/>
          <w:lang w:eastAsia="en-AU"/>
        </w:rPr>
        <w:t>:</w:t>
      </w:r>
      <w:r w:rsidR="00300A88">
        <w:rPr>
          <w:b/>
          <w:lang w:eastAsia="en-AU"/>
        </w:rPr>
        <w:t>3</w:t>
      </w:r>
      <w:r w:rsidRPr="002F4F7E">
        <w:rPr>
          <w:b/>
          <w:lang w:eastAsia="en-AU"/>
        </w:rPr>
        <w:t xml:space="preserve">): </w:t>
      </w:r>
      <w:r>
        <w:rPr>
          <w:lang w:eastAsia="en-AU"/>
        </w:rPr>
        <w:t>Appeal dismissed.</w:t>
      </w:r>
    </w:p>
    <w:p w14:paraId="2CD137D0" w14:textId="77777777" w:rsidR="000057E1" w:rsidRPr="00746FF8" w:rsidRDefault="000057E1" w:rsidP="000057E1">
      <w:pPr>
        <w:pBdr>
          <w:bottom w:val="dotted" w:sz="4" w:space="0" w:color="auto"/>
        </w:pBdr>
        <w:rPr>
          <w:szCs w:val="20"/>
          <w:lang w:eastAsia="en-AU"/>
        </w:rPr>
      </w:pPr>
    </w:p>
    <w:p w14:paraId="7156FBFA" w14:textId="77777777" w:rsidR="000057E1" w:rsidRDefault="000057E1" w:rsidP="000057E1"/>
    <w:p w14:paraId="310DA8B9" w14:textId="77777777" w:rsidR="000057E1" w:rsidRDefault="000057E1" w:rsidP="000057E1">
      <w:pPr>
        <w:pStyle w:val="Heading2"/>
        <w:rPr>
          <w:bCs w:val="0"/>
          <w:i w:val="0"/>
          <w:iCs w:val="0"/>
        </w:rPr>
      </w:pPr>
      <w:r w:rsidRPr="000057E1">
        <w:t>Canada v Loblaw Financial Holdings Inc.</w:t>
      </w:r>
    </w:p>
    <w:p w14:paraId="740E8145" w14:textId="77777777" w:rsidR="000057E1" w:rsidRPr="002F4F7E" w:rsidRDefault="000057E1" w:rsidP="000057E1">
      <w:pPr>
        <w:rPr>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 xml:space="preserve">: </w:t>
      </w:r>
      <w:hyperlink r:id="rId47" w:history="1">
        <w:r w:rsidRPr="000057E1">
          <w:rPr>
            <w:rStyle w:val="Hyperlink"/>
            <w:lang w:eastAsia="en-AU"/>
          </w:rPr>
          <w:t>[2021] SCC 51</w:t>
        </w:r>
      </w:hyperlink>
    </w:p>
    <w:p w14:paraId="6B821984" w14:textId="77777777" w:rsidR="000057E1" w:rsidRPr="002F4F7E" w:rsidRDefault="000057E1" w:rsidP="000057E1">
      <w:pPr>
        <w:rPr>
          <w:lang w:eastAsia="en-AU"/>
        </w:rPr>
      </w:pPr>
    </w:p>
    <w:p w14:paraId="7919DB0E" w14:textId="77777777" w:rsidR="000057E1" w:rsidRPr="002F4F7E" w:rsidRDefault="000057E1" w:rsidP="000057E1">
      <w:pPr>
        <w:rPr>
          <w:lang w:eastAsia="en-AU"/>
        </w:rPr>
      </w:pPr>
      <w:r w:rsidRPr="002F4F7E">
        <w:rPr>
          <w:b/>
          <w:lang w:eastAsia="en-AU"/>
        </w:rPr>
        <w:t>Judgment delivered:</w:t>
      </w:r>
      <w:r w:rsidRPr="002F4F7E">
        <w:rPr>
          <w:lang w:eastAsia="en-AU"/>
        </w:rPr>
        <w:t xml:space="preserve"> </w:t>
      </w:r>
      <w:r>
        <w:rPr>
          <w:lang w:eastAsia="en-AU"/>
        </w:rPr>
        <w:t>3 December 2021</w:t>
      </w:r>
    </w:p>
    <w:p w14:paraId="6FF59CE6" w14:textId="77777777" w:rsidR="000057E1" w:rsidRPr="002F4F7E" w:rsidRDefault="000057E1" w:rsidP="000057E1">
      <w:pPr>
        <w:rPr>
          <w:lang w:eastAsia="en-AU"/>
        </w:rPr>
      </w:pPr>
    </w:p>
    <w:p w14:paraId="3C91044A" w14:textId="77777777" w:rsidR="000057E1" w:rsidRPr="002F4F7E" w:rsidRDefault="000057E1" w:rsidP="000057E1">
      <w:pPr>
        <w:rPr>
          <w:lang w:eastAsia="en-AU"/>
        </w:rPr>
      </w:pPr>
      <w:r w:rsidRPr="002F4F7E">
        <w:rPr>
          <w:b/>
          <w:lang w:eastAsia="en-AU"/>
        </w:rPr>
        <w:t xml:space="preserve">Coram: </w:t>
      </w:r>
      <w:r w:rsidRPr="000057E1">
        <w:rPr>
          <w:lang w:eastAsia="en-AU"/>
        </w:rPr>
        <w:t>Wagner CJ and Moldaver, Karakatsanis, Côté, Brown, Martin and Kasirer JJ</w:t>
      </w:r>
    </w:p>
    <w:p w14:paraId="225E518B" w14:textId="77777777" w:rsidR="000057E1" w:rsidRPr="002F4F7E" w:rsidRDefault="000057E1" w:rsidP="000057E1">
      <w:pPr>
        <w:rPr>
          <w:lang w:eastAsia="en-AU"/>
        </w:rPr>
      </w:pPr>
    </w:p>
    <w:p w14:paraId="176AFFFD" w14:textId="77777777" w:rsidR="000057E1" w:rsidRPr="002F4F7E" w:rsidRDefault="000057E1" w:rsidP="000057E1">
      <w:pPr>
        <w:rPr>
          <w:b/>
          <w:lang w:eastAsia="en-AU"/>
        </w:rPr>
      </w:pPr>
      <w:r>
        <w:rPr>
          <w:b/>
          <w:lang w:eastAsia="en-AU"/>
        </w:rPr>
        <w:t>Catchwords:</w:t>
      </w:r>
    </w:p>
    <w:p w14:paraId="7EEB531D" w14:textId="77777777" w:rsidR="000057E1" w:rsidRPr="00856E9C" w:rsidRDefault="000057E1" w:rsidP="000057E1">
      <w:pPr>
        <w:rPr>
          <w:b/>
          <w:highlight w:val="yellow"/>
          <w:lang w:eastAsia="en-AU"/>
        </w:rPr>
      </w:pPr>
    </w:p>
    <w:p w14:paraId="24E0874F" w14:textId="77777777" w:rsidR="000057E1" w:rsidRPr="00194719" w:rsidRDefault="000057E1" w:rsidP="000057E1">
      <w:pPr>
        <w:ind w:left="720"/>
        <w:rPr>
          <w:lang w:eastAsia="en-AU"/>
        </w:rPr>
      </w:pPr>
      <w:r w:rsidRPr="000057E1">
        <w:rPr>
          <w:lang w:eastAsia="en-AU"/>
        </w:rPr>
        <w:t xml:space="preserve">Taxation </w:t>
      </w:r>
      <w:r w:rsidR="00DB286E">
        <w:rPr>
          <w:lang w:eastAsia="en-AU"/>
        </w:rPr>
        <w:t>–</w:t>
      </w:r>
      <w:r w:rsidRPr="000057E1">
        <w:rPr>
          <w:lang w:eastAsia="en-AU"/>
        </w:rPr>
        <w:t xml:space="preserve"> Income tax </w:t>
      </w:r>
      <w:r w:rsidR="00DB286E">
        <w:rPr>
          <w:lang w:eastAsia="en-AU"/>
        </w:rPr>
        <w:t>–</w:t>
      </w:r>
      <w:r w:rsidRPr="000057E1">
        <w:rPr>
          <w:lang w:eastAsia="en-AU"/>
        </w:rPr>
        <w:t xml:space="preserve"> Assessment </w:t>
      </w:r>
      <w:r w:rsidR="00DB286E">
        <w:rPr>
          <w:lang w:eastAsia="en-AU"/>
        </w:rPr>
        <w:t>–</w:t>
      </w:r>
      <w:r w:rsidRPr="000057E1">
        <w:rPr>
          <w:lang w:eastAsia="en-AU"/>
        </w:rPr>
        <w:t xml:space="preserve"> Foreign accrual property income </w:t>
      </w:r>
      <w:r w:rsidR="00DB286E">
        <w:rPr>
          <w:lang w:eastAsia="en-AU"/>
        </w:rPr>
        <w:t>–</w:t>
      </w:r>
      <w:r w:rsidRPr="000057E1">
        <w:rPr>
          <w:lang w:eastAsia="en-AU"/>
        </w:rPr>
        <w:t xml:space="preserve"> Financial institution exception </w:t>
      </w:r>
      <w:r w:rsidR="00DB286E">
        <w:rPr>
          <w:lang w:eastAsia="en-AU"/>
        </w:rPr>
        <w:t>–</w:t>
      </w:r>
      <w:r w:rsidRPr="000057E1">
        <w:rPr>
          <w:lang w:eastAsia="en-AU"/>
        </w:rPr>
        <w:t xml:space="preserve"> Arm</w:t>
      </w:r>
      <w:r w:rsidR="00DA6539">
        <w:rPr>
          <w:lang w:eastAsia="en-AU"/>
        </w:rPr>
        <w:t>'</w:t>
      </w:r>
      <w:r w:rsidRPr="000057E1">
        <w:rPr>
          <w:lang w:eastAsia="en-AU"/>
        </w:rPr>
        <w:t xml:space="preserve">s length requirement </w:t>
      </w:r>
      <w:r w:rsidR="00DB286E">
        <w:rPr>
          <w:lang w:eastAsia="en-AU"/>
        </w:rPr>
        <w:t>–</w:t>
      </w:r>
      <w:r w:rsidRPr="000057E1">
        <w:rPr>
          <w:lang w:eastAsia="en-AU"/>
        </w:rPr>
        <w:t xml:space="preserve"> Conducting business </w:t>
      </w:r>
      <w:r w:rsidR="00DB286E">
        <w:rPr>
          <w:lang w:eastAsia="en-AU"/>
        </w:rPr>
        <w:t>–</w:t>
      </w:r>
      <w:r w:rsidRPr="000057E1">
        <w:rPr>
          <w:lang w:eastAsia="en-AU"/>
        </w:rPr>
        <w:t xml:space="preserve"> </w:t>
      </w:r>
      <w:r>
        <w:rPr>
          <w:lang w:eastAsia="en-AU"/>
        </w:rPr>
        <w:t xml:space="preserve">Where </w:t>
      </w:r>
      <w:r w:rsidRPr="000057E1">
        <w:rPr>
          <w:lang w:eastAsia="en-AU"/>
        </w:rPr>
        <w:t xml:space="preserve">Canadian corporate taxpayer </w:t>
      </w:r>
      <w:r w:rsidR="005176FF">
        <w:rPr>
          <w:lang w:eastAsia="en-AU"/>
        </w:rPr>
        <w:t xml:space="preserve">did </w:t>
      </w:r>
      <w:r w:rsidRPr="000057E1">
        <w:rPr>
          <w:lang w:eastAsia="en-AU"/>
        </w:rPr>
        <w:t>not includ</w:t>
      </w:r>
      <w:r w:rsidR="005176FF">
        <w:rPr>
          <w:lang w:eastAsia="en-AU"/>
        </w:rPr>
        <w:t>e</w:t>
      </w:r>
      <w:r w:rsidRPr="000057E1">
        <w:rPr>
          <w:lang w:eastAsia="en-AU"/>
        </w:rPr>
        <w:t xml:space="preserve"> income earned by foreign subsidiary in Canadian tax return for several taxation years </w:t>
      </w:r>
      <w:r w:rsidR="00DB286E">
        <w:rPr>
          <w:lang w:eastAsia="en-AU"/>
        </w:rPr>
        <w:t>–</w:t>
      </w:r>
      <w:r w:rsidRPr="000057E1">
        <w:rPr>
          <w:lang w:eastAsia="en-AU"/>
        </w:rPr>
        <w:t xml:space="preserve"> </w:t>
      </w:r>
      <w:r>
        <w:rPr>
          <w:lang w:eastAsia="en-AU"/>
        </w:rPr>
        <w:t>Where t</w:t>
      </w:r>
      <w:r w:rsidRPr="000057E1">
        <w:rPr>
          <w:lang w:eastAsia="en-AU"/>
        </w:rPr>
        <w:t>axpayer claim</w:t>
      </w:r>
      <w:r w:rsidR="005176FF">
        <w:rPr>
          <w:lang w:eastAsia="en-AU"/>
        </w:rPr>
        <w:t>ed</w:t>
      </w:r>
      <w:r w:rsidRPr="000057E1">
        <w:rPr>
          <w:lang w:eastAsia="en-AU"/>
        </w:rPr>
        <w:t xml:space="preserve"> foreign subsidiary</w:t>
      </w:r>
      <w:r w:rsidR="00DA6539">
        <w:rPr>
          <w:lang w:eastAsia="en-AU"/>
        </w:rPr>
        <w:t>'</w:t>
      </w:r>
      <w:r w:rsidRPr="000057E1">
        <w:rPr>
          <w:lang w:eastAsia="en-AU"/>
        </w:rPr>
        <w:t xml:space="preserve">s activities covered by financial institution exception to rules for foreign accrual property income </w:t>
      </w:r>
      <w:r w:rsidR="00DB286E">
        <w:rPr>
          <w:lang w:eastAsia="en-AU"/>
        </w:rPr>
        <w:lastRenderedPageBreak/>
        <w:t>–</w:t>
      </w:r>
      <w:r w:rsidRPr="000057E1">
        <w:rPr>
          <w:lang w:eastAsia="en-AU"/>
        </w:rPr>
        <w:t xml:space="preserve"> </w:t>
      </w:r>
      <w:r>
        <w:rPr>
          <w:lang w:eastAsia="en-AU"/>
        </w:rPr>
        <w:t xml:space="preserve">Where </w:t>
      </w:r>
      <w:r w:rsidRPr="000057E1">
        <w:rPr>
          <w:lang w:eastAsia="en-AU"/>
        </w:rPr>
        <w:t xml:space="preserve">Tax Court </w:t>
      </w:r>
      <w:r>
        <w:rPr>
          <w:lang w:eastAsia="en-AU"/>
        </w:rPr>
        <w:t>held</w:t>
      </w:r>
      <w:r w:rsidRPr="000057E1">
        <w:rPr>
          <w:lang w:eastAsia="en-AU"/>
        </w:rPr>
        <w:t xml:space="preserve"> that exception does not apply because foreign subsidiary dealing principally with non</w:t>
      </w:r>
      <w:r w:rsidRPr="000057E1">
        <w:rPr>
          <w:rFonts w:ascii="Cambria Math" w:hAnsi="Cambria Math" w:cs="Cambria Math"/>
          <w:lang w:eastAsia="en-AU"/>
        </w:rPr>
        <w:t>‑</w:t>
      </w:r>
      <w:r w:rsidRPr="000057E1">
        <w:rPr>
          <w:lang w:eastAsia="en-AU"/>
        </w:rPr>
        <w:t>arm</w:t>
      </w:r>
      <w:r w:rsidR="00DA6539">
        <w:rPr>
          <w:rFonts w:cs="Verdana"/>
          <w:lang w:eastAsia="en-AU"/>
        </w:rPr>
        <w:t>'</w:t>
      </w:r>
      <w:r w:rsidRPr="000057E1">
        <w:rPr>
          <w:lang w:eastAsia="en-AU"/>
        </w:rPr>
        <w:t xml:space="preserve">s length persons </w:t>
      </w:r>
      <w:r w:rsidR="00DB286E">
        <w:rPr>
          <w:rFonts w:cs="Verdana"/>
          <w:lang w:eastAsia="en-AU"/>
        </w:rPr>
        <w:t>–</w:t>
      </w:r>
      <w:r w:rsidRPr="000057E1">
        <w:rPr>
          <w:lang w:eastAsia="en-AU"/>
        </w:rPr>
        <w:t xml:space="preserve"> Whether foreign subsidiary</w:t>
      </w:r>
      <w:r w:rsidR="00DA6539">
        <w:rPr>
          <w:rFonts w:cs="Verdana"/>
          <w:lang w:eastAsia="en-AU"/>
        </w:rPr>
        <w:t>'</w:t>
      </w:r>
      <w:r w:rsidRPr="000057E1">
        <w:rPr>
          <w:lang w:eastAsia="en-AU"/>
        </w:rPr>
        <w:t>s business conducted principally with persons with whom it deals at arm</w:t>
      </w:r>
      <w:r w:rsidR="00DA6539">
        <w:rPr>
          <w:rFonts w:cs="Verdana"/>
          <w:lang w:eastAsia="en-AU"/>
        </w:rPr>
        <w:t>'</w:t>
      </w:r>
      <w:r w:rsidRPr="000057E1">
        <w:rPr>
          <w:lang w:eastAsia="en-AU"/>
        </w:rPr>
        <w:t xml:space="preserve">s length </w:t>
      </w:r>
      <w:r w:rsidR="00DB286E">
        <w:rPr>
          <w:rFonts w:cs="Verdana"/>
          <w:lang w:eastAsia="en-AU"/>
        </w:rPr>
        <w:t>–</w:t>
      </w:r>
      <w:r w:rsidRPr="000057E1">
        <w:rPr>
          <w:lang w:eastAsia="en-AU"/>
        </w:rPr>
        <w:t xml:space="preserve"> Whether parent corporation</w:t>
      </w:r>
      <w:r w:rsidR="00DA6539">
        <w:rPr>
          <w:rFonts w:cs="Verdana"/>
          <w:lang w:eastAsia="en-AU"/>
        </w:rPr>
        <w:t>'</w:t>
      </w:r>
      <w:r w:rsidRPr="000057E1">
        <w:rPr>
          <w:lang w:eastAsia="en-AU"/>
        </w:rPr>
        <w:t>s injection of capital or corporate oversight relevant to arm</w:t>
      </w:r>
      <w:r w:rsidR="00DA6539">
        <w:rPr>
          <w:rFonts w:cs="Verdana"/>
          <w:lang w:eastAsia="en-AU"/>
        </w:rPr>
        <w:t>'</w:t>
      </w:r>
      <w:r w:rsidRPr="000057E1">
        <w:rPr>
          <w:lang w:eastAsia="en-AU"/>
        </w:rPr>
        <w:t xml:space="preserve">s length test </w:t>
      </w:r>
      <w:r w:rsidR="00DB286E">
        <w:rPr>
          <w:rFonts w:cs="Verdana"/>
          <w:lang w:eastAsia="en-AU"/>
        </w:rPr>
        <w:t>–</w:t>
      </w:r>
      <w:r w:rsidRPr="000057E1">
        <w:rPr>
          <w:lang w:eastAsia="en-AU"/>
        </w:rPr>
        <w:t xml:space="preserve"> </w:t>
      </w:r>
      <w:r w:rsidRPr="000057E1">
        <w:rPr>
          <w:i/>
          <w:iCs/>
          <w:lang w:eastAsia="en-AU"/>
        </w:rPr>
        <w:t>Income Tax Act</w:t>
      </w:r>
      <w:r w:rsidRPr="000057E1">
        <w:rPr>
          <w:lang w:eastAsia="en-AU"/>
        </w:rPr>
        <w:t xml:space="preserve">, R.S.C. 1985, c. 1 (5th Supp.), s. 95(1) </w:t>
      </w:r>
      <w:r w:rsidR="00DA6539">
        <w:rPr>
          <w:lang w:eastAsia="en-AU"/>
        </w:rPr>
        <w:t>"</w:t>
      </w:r>
      <w:r w:rsidRPr="000057E1">
        <w:rPr>
          <w:lang w:eastAsia="en-AU"/>
        </w:rPr>
        <w:t>investment business</w:t>
      </w:r>
      <w:r w:rsidR="00DA6539">
        <w:rPr>
          <w:lang w:eastAsia="en-AU"/>
        </w:rPr>
        <w:t>"</w:t>
      </w:r>
      <w:r w:rsidRPr="000057E1">
        <w:rPr>
          <w:lang w:eastAsia="en-AU"/>
        </w:rPr>
        <w:t>.</w:t>
      </w:r>
    </w:p>
    <w:p w14:paraId="54B39A45" w14:textId="77777777" w:rsidR="000057E1" w:rsidRPr="00856E9C" w:rsidRDefault="000057E1" w:rsidP="000057E1">
      <w:pPr>
        <w:ind w:left="720"/>
        <w:rPr>
          <w:highlight w:val="yellow"/>
          <w:lang w:eastAsia="en-AU"/>
        </w:rPr>
      </w:pPr>
    </w:p>
    <w:p w14:paraId="0932283B" w14:textId="77777777" w:rsidR="000057E1" w:rsidRPr="000D3E8D" w:rsidRDefault="000057E1" w:rsidP="0094779B">
      <w:pPr>
        <w:rPr>
          <w:lang w:eastAsia="en-AU"/>
        </w:rPr>
      </w:pPr>
      <w:r w:rsidRPr="002F4F7E">
        <w:rPr>
          <w:b/>
          <w:lang w:eastAsia="en-AU"/>
        </w:rPr>
        <w:t>Held (</w:t>
      </w:r>
      <w:r w:rsidR="007B5D52">
        <w:rPr>
          <w:b/>
          <w:lang w:eastAsia="en-AU"/>
        </w:rPr>
        <w:t>7</w:t>
      </w:r>
      <w:r>
        <w:rPr>
          <w:b/>
          <w:lang w:eastAsia="en-AU"/>
        </w:rPr>
        <w:t>:0</w:t>
      </w:r>
      <w:r w:rsidRPr="002F4F7E">
        <w:rPr>
          <w:b/>
          <w:lang w:eastAsia="en-AU"/>
        </w:rPr>
        <w:t xml:space="preserve">): </w:t>
      </w:r>
      <w:r>
        <w:rPr>
          <w:lang w:eastAsia="en-AU"/>
        </w:rPr>
        <w:t xml:space="preserve">Appeal dismissed. </w:t>
      </w:r>
    </w:p>
    <w:p w14:paraId="643E06C5" w14:textId="77777777" w:rsidR="0094779B" w:rsidRPr="00B546B2" w:rsidRDefault="0094779B" w:rsidP="0094779B">
      <w:pPr>
        <w:pStyle w:val="BullDivider2"/>
        <w:rPr>
          <w:rFonts w:cs="Arial"/>
          <w:highlight w:val="yellow"/>
        </w:rPr>
      </w:pPr>
    </w:p>
    <w:p w14:paraId="3A969B45" w14:textId="77777777" w:rsidR="0094779B" w:rsidRDefault="0094779B" w:rsidP="0094779B">
      <w:pPr>
        <w:rPr>
          <w:highlight w:val="yellow"/>
        </w:rPr>
      </w:pPr>
    </w:p>
    <w:p w14:paraId="3ECF6887" w14:textId="77777777" w:rsidR="005A2193" w:rsidRPr="00B20BAC" w:rsidRDefault="005A2193" w:rsidP="005A2193">
      <w:pPr>
        <w:pStyle w:val="Heading1"/>
      </w:pPr>
      <w:r>
        <w:t>T</w:t>
      </w:r>
      <w:r w:rsidR="009E043A">
        <w:t>raditional Affairs</w:t>
      </w:r>
    </w:p>
    <w:p w14:paraId="35E9E14E" w14:textId="77777777" w:rsidR="005A2193" w:rsidRDefault="005A2193" w:rsidP="005A2193"/>
    <w:p w14:paraId="68753424" w14:textId="77777777" w:rsidR="005A2193" w:rsidRPr="002F4F7E" w:rsidRDefault="009E043A" w:rsidP="005A2193">
      <w:pPr>
        <w:pStyle w:val="Heading2"/>
      </w:pPr>
      <w:r>
        <w:t>Langa v Premier of Limpopo &amp; Ors</w:t>
      </w:r>
    </w:p>
    <w:p w14:paraId="735E3BDE" w14:textId="77777777" w:rsidR="005A2193" w:rsidRPr="002F4F7E" w:rsidRDefault="009E043A" w:rsidP="005A2193">
      <w:pPr>
        <w:rPr>
          <w:lang w:eastAsia="en-AU"/>
        </w:rPr>
      </w:pPr>
      <w:r>
        <w:rPr>
          <w:b/>
          <w:lang w:eastAsia="en-AU"/>
        </w:rPr>
        <w:t>Constitutional Court of South Africa</w:t>
      </w:r>
      <w:r w:rsidR="005A2193" w:rsidRPr="002F4F7E">
        <w:rPr>
          <w:b/>
          <w:lang w:eastAsia="en-AU"/>
        </w:rPr>
        <w:t xml:space="preserve">: </w:t>
      </w:r>
      <w:hyperlink r:id="rId48" w:history="1">
        <w:r w:rsidRPr="009E043A">
          <w:rPr>
            <w:rStyle w:val="Hyperlink"/>
            <w:lang w:eastAsia="en-AU"/>
          </w:rPr>
          <w:t>[2021] ZACC 38</w:t>
        </w:r>
      </w:hyperlink>
    </w:p>
    <w:p w14:paraId="012B97FB" w14:textId="77777777" w:rsidR="005A2193" w:rsidRPr="002F4F7E" w:rsidRDefault="005A2193" w:rsidP="005A2193">
      <w:pPr>
        <w:rPr>
          <w:lang w:eastAsia="en-AU"/>
        </w:rPr>
      </w:pPr>
    </w:p>
    <w:p w14:paraId="0072340E" w14:textId="77777777" w:rsidR="005A2193" w:rsidRPr="002F4F7E" w:rsidRDefault="005A2193" w:rsidP="005A2193">
      <w:pPr>
        <w:rPr>
          <w:lang w:eastAsia="en-AU"/>
        </w:rPr>
      </w:pPr>
      <w:r w:rsidRPr="002F4F7E">
        <w:rPr>
          <w:b/>
          <w:lang w:eastAsia="en-AU"/>
        </w:rPr>
        <w:t>Judgment delivered:</w:t>
      </w:r>
      <w:r w:rsidRPr="002F4F7E">
        <w:rPr>
          <w:lang w:eastAsia="en-AU"/>
        </w:rPr>
        <w:t xml:space="preserve"> </w:t>
      </w:r>
      <w:r w:rsidR="009E043A">
        <w:rPr>
          <w:lang w:eastAsia="en-AU"/>
        </w:rPr>
        <w:t>5</w:t>
      </w:r>
      <w:r>
        <w:rPr>
          <w:lang w:eastAsia="en-AU"/>
        </w:rPr>
        <w:t xml:space="preserve"> November 2021</w:t>
      </w:r>
    </w:p>
    <w:p w14:paraId="3843B595" w14:textId="77777777" w:rsidR="005A2193" w:rsidRPr="002F4F7E" w:rsidRDefault="005A2193" w:rsidP="005A2193">
      <w:pPr>
        <w:rPr>
          <w:lang w:eastAsia="en-AU"/>
        </w:rPr>
      </w:pPr>
    </w:p>
    <w:p w14:paraId="1899F8D2" w14:textId="77777777" w:rsidR="005A2193" w:rsidRDefault="005A2193" w:rsidP="005A2193">
      <w:pPr>
        <w:rPr>
          <w:lang w:eastAsia="en-AU"/>
        </w:rPr>
      </w:pPr>
      <w:r w:rsidRPr="002F4F7E">
        <w:rPr>
          <w:b/>
          <w:lang w:eastAsia="en-AU"/>
        </w:rPr>
        <w:t xml:space="preserve">Coram: </w:t>
      </w:r>
      <w:r w:rsidR="009E043A">
        <w:rPr>
          <w:lang w:eastAsia="en-AU"/>
        </w:rPr>
        <w:t>Khampepe ADCJ, Jafta, Madlanga, Majiedt, Mhlantla JJ, Pillay AJ, Theron J, Tlaletsi AJ and Tshiqi JJ</w:t>
      </w:r>
    </w:p>
    <w:p w14:paraId="65EB59CB" w14:textId="77777777" w:rsidR="005A2193" w:rsidRPr="002F4F7E" w:rsidRDefault="005A2193" w:rsidP="005A2193">
      <w:pPr>
        <w:rPr>
          <w:lang w:eastAsia="en-AU"/>
        </w:rPr>
      </w:pPr>
    </w:p>
    <w:p w14:paraId="10E0A1DB" w14:textId="77777777" w:rsidR="005A2193" w:rsidRPr="002F4F7E" w:rsidRDefault="005A2193" w:rsidP="005A2193">
      <w:pPr>
        <w:rPr>
          <w:b/>
          <w:lang w:eastAsia="en-AU"/>
        </w:rPr>
      </w:pPr>
      <w:r>
        <w:rPr>
          <w:b/>
          <w:lang w:eastAsia="en-AU"/>
        </w:rPr>
        <w:t>Catchwords:</w:t>
      </w:r>
    </w:p>
    <w:p w14:paraId="14AE119F" w14:textId="77777777" w:rsidR="005A2193" w:rsidRPr="00856E9C" w:rsidRDefault="005A2193" w:rsidP="005A2193">
      <w:pPr>
        <w:rPr>
          <w:b/>
          <w:highlight w:val="yellow"/>
          <w:lang w:eastAsia="en-AU"/>
        </w:rPr>
      </w:pPr>
    </w:p>
    <w:p w14:paraId="74E6CA0A" w14:textId="77777777" w:rsidR="005A2193" w:rsidRDefault="009E043A" w:rsidP="005A2193">
      <w:pPr>
        <w:ind w:left="720"/>
        <w:rPr>
          <w:lang w:eastAsia="en-AU"/>
        </w:rPr>
      </w:pPr>
      <w:r>
        <w:rPr>
          <w:lang w:eastAsia="en-AU"/>
        </w:rPr>
        <w:t>Traditional affairs – Senior traditional leader – Removal</w:t>
      </w:r>
      <w:r w:rsidR="00AF1A52">
        <w:rPr>
          <w:lang w:eastAsia="en-AU"/>
        </w:rPr>
        <w:t xml:space="preserve"> by Premier</w:t>
      </w:r>
      <w:r>
        <w:rPr>
          <w:lang w:eastAsia="en-AU"/>
        </w:rPr>
        <w:t xml:space="preserve"> – Wrongful appointment and recognition – Where s 13(3) of </w:t>
      </w:r>
      <w:r>
        <w:rPr>
          <w:i/>
          <w:lang w:eastAsia="en-AU"/>
        </w:rPr>
        <w:t xml:space="preserve">Limpopo Traditional Leadership and Institutions Act 6 </w:t>
      </w:r>
      <w:r w:rsidR="005C34ED">
        <w:rPr>
          <w:i/>
          <w:lang w:eastAsia="en-AU"/>
        </w:rPr>
        <w:t>o</w:t>
      </w:r>
      <w:r>
        <w:rPr>
          <w:i/>
          <w:lang w:eastAsia="en-AU"/>
        </w:rPr>
        <w:t xml:space="preserve">f 2005 </w:t>
      </w:r>
      <w:r>
        <w:rPr>
          <w:lang w:eastAsia="en-AU"/>
        </w:rPr>
        <w:t>provided Premier may remove traditional leader from office under certain circumstances – Where applicant recognised as senior traditional leader – Where Royal Family disputed applicant</w:t>
      </w:r>
      <w:r w:rsidR="00DA6539">
        <w:rPr>
          <w:lang w:eastAsia="en-AU"/>
        </w:rPr>
        <w:t>'</w:t>
      </w:r>
      <w:r>
        <w:rPr>
          <w:lang w:eastAsia="en-AU"/>
        </w:rPr>
        <w:t xml:space="preserve">s claim and identified fifth respondent as legitimate senior traditional leader – Where Premier removed applicant from office as senior traditional leader on basis applicant wrongfully recognised – Where applicant unsuccessfully applied for judicial review in High Court – Whether Premier authorised by s 13(3) to remove senior traditional leader on basis of wrongful appointment only. </w:t>
      </w:r>
    </w:p>
    <w:p w14:paraId="54E1D432" w14:textId="77777777" w:rsidR="005A2193" w:rsidRPr="00856E9C" w:rsidRDefault="005A2193" w:rsidP="005A2193">
      <w:pPr>
        <w:ind w:left="720"/>
        <w:rPr>
          <w:highlight w:val="yellow"/>
          <w:lang w:eastAsia="en-AU"/>
        </w:rPr>
      </w:pPr>
    </w:p>
    <w:p w14:paraId="76967806" w14:textId="77777777" w:rsidR="005A2193" w:rsidRPr="000D3E8D" w:rsidRDefault="005A2193" w:rsidP="005A2193">
      <w:pPr>
        <w:rPr>
          <w:lang w:eastAsia="en-AU"/>
        </w:rPr>
      </w:pPr>
      <w:r w:rsidRPr="002F4F7E">
        <w:rPr>
          <w:b/>
          <w:lang w:eastAsia="en-AU"/>
        </w:rPr>
        <w:t>Held (</w:t>
      </w:r>
      <w:r w:rsidR="009E043A">
        <w:rPr>
          <w:b/>
          <w:lang w:eastAsia="en-AU"/>
        </w:rPr>
        <w:t>9</w:t>
      </w:r>
      <w:r>
        <w:rPr>
          <w:b/>
          <w:lang w:eastAsia="en-AU"/>
        </w:rPr>
        <w:t>:</w:t>
      </w:r>
      <w:r w:rsidR="009E043A">
        <w:rPr>
          <w:b/>
          <w:lang w:eastAsia="en-AU"/>
        </w:rPr>
        <w:t>0</w:t>
      </w:r>
      <w:r w:rsidRPr="002F4F7E">
        <w:rPr>
          <w:b/>
          <w:lang w:eastAsia="en-AU"/>
        </w:rPr>
        <w:t>):</w:t>
      </w:r>
      <w:r w:rsidR="009E043A">
        <w:rPr>
          <w:lang w:eastAsia="en-AU"/>
        </w:rPr>
        <w:t xml:space="preserve"> Leave to appeal granted; appeal allowed. </w:t>
      </w:r>
    </w:p>
    <w:p w14:paraId="058773AC" w14:textId="77777777" w:rsidR="00AF1A52" w:rsidRPr="00181993" w:rsidRDefault="00AF1A52" w:rsidP="00AF1A52">
      <w:pPr>
        <w:pStyle w:val="BullDivider1"/>
        <w:pBdr>
          <w:bottom w:val="dotted" w:sz="4" w:space="0" w:color="auto"/>
        </w:pBdr>
      </w:pPr>
    </w:p>
    <w:p w14:paraId="386D39C5" w14:textId="77777777" w:rsidR="00AF1A52" w:rsidRDefault="00AF1A52" w:rsidP="00AF1A52"/>
    <w:p w14:paraId="514DFB74" w14:textId="77777777" w:rsidR="00AF1A52" w:rsidRPr="002F4F7E" w:rsidRDefault="00AF1A52" w:rsidP="00AF1A52">
      <w:pPr>
        <w:pStyle w:val="Heading2"/>
      </w:pPr>
      <w:r>
        <w:t>Mphephu-Ramabulana &amp; Anor v Mphephu &amp; Ors</w:t>
      </w:r>
    </w:p>
    <w:p w14:paraId="37B47685" w14:textId="77777777" w:rsidR="00AF1A52" w:rsidRPr="002F4F7E" w:rsidRDefault="00AF1A52" w:rsidP="00AF1A52">
      <w:pPr>
        <w:rPr>
          <w:lang w:eastAsia="en-AU"/>
        </w:rPr>
      </w:pPr>
      <w:r>
        <w:rPr>
          <w:b/>
          <w:lang w:eastAsia="en-AU"/>
        </w:rPr>
        <w:t>Constitutional Court of South Africa</w:t>
      </w:r>
      <w:r w:rsidRPr="002F4F7E">
        <w:rPr>
          <w:b/>
          <w:lang w:eastAsia="en-AU"/>
        </w:rPr>
        <w:t xml:space="preserve">: </w:t>
      </w:r>
      <w:hyperlink r:id="rId49" w:history="1">
        <w:r w:rsidRPr="00AF1A52">
          <w:rPr>
            <w:rStyle w:val="Hyperlink"/>
            <w:lang w:eastAsia="en-AU"/>
          </w:rPr>
          <w:t>[2021] ZACC 43</w:t>
        </w:r>
      </w:hyperlink>
    </w:p>
    <w:p w14:paraId="21339CF1" w14:textId="77777777" w:rsidR="00AF1A52" w:rsidRPr="002F4F7E" w:rsidRDefault="00AF1A52" w:rsidP="00AF1A52">
      <w:pPr>
        <w:rPr>
          <w:lang w:eastAsia="en-AU"/>
        </w:rPr>
      </w:pPr>
    </w:p>
    <w:p w14:paraId="54188E1C" w14:textId="77777777" w:rsidR="00AF1A52" w:rsidRPr="002F4F7E" w:rsidRDefault="00AF1A52" w:rsidP="00AF1A52">
      <w:pPr>
        <w:rPr>
          <w:lang w:eastAsia="en-AU"/>
        </w:rPr>
      </w:pPr>
      <w:r w:rsidRPr="002F4F7E">
        <w:rPr>
          <w:b/>
          <w:lang w:eastAsia="en-AU"/>
        </w:rPr>
        <w:t>Judgment delivered:</w:t>
      </w:r>
      <w:r w:rsidRPr="002F4F7E">
        <w:rPr>
          <w:lang w:eastAsia="en-AU"/>
        </w:rPr>
        <w:t xml:space="preserve"> </w:t>
      </w:r>
      <w:r>
        <w:rPr>
          <w:lang w:eastAsia="en-AU"/>
        </w:rPr>
        <w:t>12 November 2021</w:t>
      </w:r>
    </w:p>
    <w:p w14:paraId="4D10A9BA" w14:textId="77777777" w:rsidR="00AF1A52" w:rsidRPr="002F4F7E" w:rsidRDefault="00AF1A52" w:rsidP="00AF1A52">
      <w:pPr>
        <w:rPr>
          <w:lang w:eastAsia="en-AU"/>
        </w:rPr>
      </w:pPr>
    </w:p>
    <w:p w14:paraId="134C3172" w14:textId="77777777" w:rsidR="00AF1A52" w:rsidRPr="002F4F7E" w:rsidRDefault="00AF1A52" w:rsidP="00AF1A52">
      <w:pPr>
        <w:rPr>
          <w:lang w:eastAsia="en-AU"/>
        </w:rPr>
      </w:pPr>
      <w:r w:rsidRPr="002F4F7E">
        <w:rPr>
          <w:b/>
          <w:lang w:eastAsia="en-AU"/>
        </w:rPr>
        <w:t xml:space="preserve">Coram: </w:t>
      </w:r>
      <w:r w:rsidRPr="00AF1A52">
        <w:rPr>
          <w:lang w:eastAsia="en-AU"/>
        </w:rPr>
        <w:t xml:space="preserve">Khampepe, Jafta, Majiedt, Mhlantla </w:t>
      </w:r>
      <w:r>
        <w:rPr>
          <w:lang w:eastAsia="en-AU"/>
        </w:rPr>
        <w:t>J</w:t>
      </w:r>
      <w:r w:rsidRPr="00AF1A52">
        <w:rPr>
          <w:lang w:eastAsia="en-AU"/>
        </w:rPr>
        <w:t>J, Pillay AJ, Theron J, Tlaletsi AJ, and Tshiqi J</w:t>
      </w:r>
    </w:p>
    <w:p w14:paraId="6D1192F7" w14:textId="77777777" w:rsidR="00AF1A52" w:rsidRPr="002F4F7E" w:rsidRDefault="00AF1A52" w:rsidP="00AF1A52">
      <w:pPr>
        <w:rPr>
          <w:lang w:eastAsia="en-AU"/>
        </w:rPr>
      </w:pPr>
    </w:p>
    <w:p w14:paraId="5640028B" w14:textId="77777777" w:rsidR="00AF1A52" w:rsidRPr="002F4F7E" w:rsidRDefault="00AF1A52" w:rsidP="00AF1A52">
      <w:pPr>
        <w:rPr>
          <w:b/>
          <w:lang w:eastAsia="en-AU"/>
        </w:rPr>
      </w:pPr>
      <w:r>
        <w:rPr>
          <w:b/>
          <w:lang w:eastAsia="en-AU"/>
        </w:rPr>
        <w:t>Catchwords:</w:t>
      </w:r>
    </w:p>
    <w:p w14:paraId="70AE6F3A" w14:textId="77777777" w:rsidR="00AF1A52" w:rsidRPr="00856E9C" w:rsidRDefault="00AF1A52" w:rsidP="00AF1A52">
      <w:pPr>
        <w:rPr>
          <w:b/>
          <w:highlight w:val="yellow"/>
          <w:lang w:eastAsia="en-AU"/>
        </w:rPr>
      </w:pPr>
    </w:p>
    <w:p w14:paraId="6EEDF103" w14:textId="006AEA18" w:rsidR="00AF1A52" w:rsidRDefault="00AF1A52" w:rsidP="00AF1A52">
      <w:pPr>
        <w:ind w:left="720"/>
        <w:rPr>
          <w:lang w:eastAsia="en-AU"/>
        </w:rPr>
      </w:pPr>
      <w:r>
        <w:rPr>
          <w:lang w:eastAsia="en-AU"/>
        </w:rPr>
        <w:t>Traditional affairs – King of VhaVenda community – Recognition by President – Judicial review – Remedies –</w:t>
      </w:r>
      <w:r w:rsidR="0048654B">
        <w:rPr>
          <w:lang w:eastAsia="en-AU"/>
        </w:rPr>
        <w:t xml:space="preserve"> Stay of order –</w:t>
      </w:r>
      <w:r>
        <w:rPr>
          <w:lang w:eastAsia="en-AU"/>
        </w:rPr>
        <w:t xml:space="preserve"> Where </w:t>
      </w:r>
      <w:r w:rsidR="0048654B">
        <w:rPr>
          <w:lang w:eastAsia="en-AU"/>
        </w:rPr>
        <w:t xml:space="preserve">first applicant identified as suitable person to ascend to Venda Throne by Royal </w:t>
      </w:r>
      <w:r w:rsidR="0048654B">
        <w:rPr>
          <w:lang w:eastAsia="en-AU"/>
        </w:rPr>
        <w:lastRenderedPageBreak/>
        <w:t>Family Council – Where President of South Africa recognised first applicant as King of VhaVenda – Where first respondent asserted recognition as sole Queen of VhaVenda and launched judicial review proceedings of identification decision and recognition decision – Where High Court dismissed application – Where first applicant</w:t>
      </w:r>
      <w:r w:rsidR="00DA6539">
        <w:rPr>
          <w:lang w:eastAsia="en-AU"/>
        </w:rPr>
        <w:t>'</w:t>
      </w:r>
      <w:r w:rsidR="0048654B">
        <w:rPr>
          <w:lang w:eastAsia="en-AU"/>
        </w:rPr>
        <w:t xml:space="preserve">s appeal to Supreme Court of Appeal substantially successful – Where Supreme Court of Appeal held Royal Family Council decision amendable to judicial review and set aside identification decision and recognition decision for unconstitutionality, but remitted matters to High Court for further adjudication – Where Supreme Court of Appeal stayed order setting aside decision and removal of first applicant from office pending final determination of remitted matters – Whether decisions of Royal Family Council amenable to judicial review – Whether, if decision found to be invalid and unconstitutional, Supreme Court of Appeal has power to make stay order. </w:t>
      </w:r>
    </w:p>
    <w:p w14:paraId="3944047D" w14:textId="77777777" w:rsidR="00AF1A52" w:rsidRPr="00856E9C" w:rsidRDefault="00AF1A52" w:rsidP="00AF1A52">
      <w:pPr>
        <w:ind w:left="720"/>
        <w:rPr>
          <w:highlight w:val="yellow"/>
          <w:lang w:eastAsia="en-AU"/>
        </w:rPr>
      </w:pPr>
    </w:p>
    <w:p w14:paraId="016D07C1" w14:textId="77777777" w:rsidR="00AF1A52" w:rsidRPr="000D3E8D" w:rsidRDefault="00AF1A52" w:rsidP="00AF1A52">
      <w:pPr>
        <w:rPr>
          <w:lang w:eastAsia="en-AU"/>
        </w:rPr>
      </w:pPr>
      <w:r w:rsidRPr="002F4F7E">
        <w:rPr>
          <w:b/>
          <w:lang w:eastAsia="en-AU"/>
        </w:rPr>
        <w:t>Held (</w:t>
      </w:r>
      <w:r>
        <w:rPr>
          <w:b/>
          <w:lang w:eastAsia="en-AU"/>
        </w:rPr>
        <w:t>8:0</w:t>
      </w:r>
      <w:r w:rsidRPr="002F4F7E">
        <w:rPr>
          <w:b/>
          <w:lang w:eastAsia="en-AU"/>
        </w:rPr>
        <w:t xml:space="preserve">): </w:t>
      </w:r>
      <w:r>
        <w:rPr>
          <w:lang w:eastAsia="en-AU"/>
        </w:rPr>
        <w:t xml:space="preserve">Leave to appeal dismissed; leave to cross-appeal allowed; cross-appeal allowed. </w:t>
      </w:r>
    </w:p>
    <w:p w14:paraId="4ECF3082" w14:textId="77777777" w:rsidR="00C94151" w:rsidRPr="00B546B2" w:rsidRDefault="00C94151" w:rsidP="00C94151">
      <w:pPr>
        <w:pStyle w:val="BullDivider2"/>
        <w:rPr>
          <w:rFonts w:cs="Arial"/>
          <w:highlight w:val="yellow"/>
        </w:rPr>
      </w:pPr>
    </w:p>
    <w:p w14:paraId="7D84CA4F" w14:textId="77777777" w:rsidR="00C94151" w:rsidRDefault="00C94151" w:rsidP="00C94151">
      <w:pPr>
        <w:rPr>
          <w:highlight w:val="yellow"/>
        </w:rPr>
      </w:pPr>
    </w:p>
    <w:p w14:paraId="6A523142" w14:textId="77777777" w:rsidR="005A2193" w:rsidRPr="00B546B2" w:rsidRDefault="005A2193" w:rsidP="0094779B">
      <w:pPr>
        <w:rPr>
          <w:highlight w:val="yellow"/>
        </w:rPr>
      </w:pPr>
    </w:p>
    <w:p w14:paraId="6E3894DA" w14:textId="77777777" w:rsidR="00A63EE9" w:rsidRPr="00B546B2" w:rsidRDefault="00A63EE9" w:rsidP="00A63EE9">
      <w:pPr>
        <w:rPr>
          <w:highlight w:val="yellow"/>
        </w:rPr>
      </w:pPr>
    </w:p>
    <w:p w14:paraId="0BB37445" w14:textId="77777777" w:rsidR="00620F1A" w:rsidRPr="00B546B2" w:rsidRDefault="00620F1A" w:rsidP="00620F1A">
      <w:pPr>
        <w:rPr>
          <w:highlight w:val="yellow"/>
        </w:rPr>
      </w:pPr>
    </w:p>
    <w:sectPr w:rsidR="00620F1A" w:rsidRPr="00B546B2" w:rsidSect="00F4611C">
      <w:footerReference w:type="default" r:id="rId5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6183" w14:textId="77777777" w:rsidR="00D86799" w:rsidRDefault="00D86799" w:rsidP="00803531">
      <w:r>
        <w:separator/>
      </w:r>
    </w:p>
  </w:endnote>
  <w:endnote w:type="continuationSeparator" w:id="0">
    <w:p w14:paraId="0BBAB4B2" w14:textId="77777777" w:rsidR="00D86799" w:rsidRDefault="00D86799"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D050" w14:textId="77777777" w:rsidR="00C84221" w:rsidRDefault="00C84221" w:rsidP="00FF7AAF">
    <w:pPr>
      <w:pStyle w:val="Footer"/>
    </w:pPr>
    <w:r>
      <w:t xml:space="preserve">ODB </w:t>
    </w:r>
    <w:r w:rsidRPr="007203D3">
      <w:t>(2021) 18:6</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875EC" w14:textId="77777777" w:rsidR="00D86799" w:rsidRDefault="00D86799" w:rsidP="00803531">
      <w:r>
        <w:separator/>
      </w:r>
    </w:p>
  </w:footnote>
  <w:footnote w:type="continuationSeparator" w:id="0">
    <w:p w14:paraId="5420CF22" w14:textId="77777777" w:rsidR="00D86799" w:rsidRDefault="00D86799"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2FC1ABC9-96F7-48C6-8917-90547F4220EA}"/>
    <w:docVar w:name="dgnword-eventsink" w:val="90600792"/>
  </w:docVars>
  <w:rsids>
    <w:rsidRoot w:val="00D533AE"/>
    <w:rsid w:val="00003A8C"/>
    <w:rsid w:val="000057E1"/>
    <w:rsid w:val="0000611F"/>
    <w:rsid w:val="000061F8"/>
    <w:rsid w:val="00007833"/>
    <w:rsid w:val="0001028C"/>
    <w:rsid w:val="00012586"/>
    <w:rsid w:val="00014F57"/>
    <w:rsid w:val="00016876"/>
    <w:rsid w:val="00020080"/>
    <w:rsid w:val="000206E8"/>
    <w:rsid w:val="000254ED"/>
    <w:rsid w:val="00025A72"/>
    <w:rsid w:val="0002797C"/>
    <w:rsid w:val="000300A3"/>
    <w:rsid w:val="00034778"/>
    <w:rsid w:val="00035ADE"/>
    <w:rsid w:val="00036B97"/>
    <w:rsid w:val="00040616"/>
    <w:rsid w:val="00041979"/>
    <w:rsid w:val="00044344"/>
    <w:rsid w:val="00054234"/>
    <w:rsid w:val="00055030"/>
    <w:rsid w:val="00056565"/>
    <w:rsid w:val="00056AFF"/>
    <w:rsid w:val="00057E62"/>
    <w:rsid w:val="000608CF"/>
    <w:rsid w:val="0006158D"/>
    <w:rsid w:val="00061DE2"/>
    <w:rsid w:val="00063EAE"/>
    <w:rsid w:val="00066E88"/>
    <w:rsid w:val="00071C1F"/>
    <w:rsid w:val="00071E8B"/>
    <w:rsid w:val="0007274E"/>
    <w:rsid w:val="00075100"/>
    <w:rsid w:val="0007563A"/>
    <w:rsid w:val="00076788"/>
    <w:rsid w:val="0008349F"/>
    <w:rsid w:val="00083B55"/>
    <w:rsid w:val="0008559E"/>
    <w:rsid w:val="00085806"/>
    <w:rsid w:val="00092FB3"/>
    <w:rsid w:val="00097C28"/>
    <w:rsid w:val="000A0C44"/>
    <w:rsid w:val="000A0D8C"/>
    <w:rsid w:val="000A1252"/>
    <w:rsid w:val="000A148B"/>
    <w:rsid w:val="000A1BDC"/>
    <w:rsid w:val="000A28E4"/>
    <w:rsid w:val="000A32A4"/>
    <w:rsid w:val="000A3B5A"/>
    <w:rsid w:val="000A52DA"/>
    <w:rsid w:val="000A546C"/>
    <w:rsid w:val="000B2704"/>
    <w:rsid w:val="000B2CC5"/>
    <w:rsid w:val="000B404F"/>
    <w:rsid w:val="000B4066"/>
    <w:rsid w:val="000B64D7"/>
    <w:rsid w:val="000C0320"/>
    <w:rsid w:val="000C0D72"/>
    <w:rsid w:val="000C0DD6"/>
    <w:rsid w:val="000C13EC"/>
    <w:rsid w:val="000C26C1"/>
    <w:rsid w:val="000C70A6"/>
    <w:rsid w:val="000D1D3A"/>
    <w:rsid w:val="000D28D6"/>
    <w:rsid w:val="000D2EE4"/>
    <w:rsid w:val="000D3E8D"/>
    <w:rsid w:val="000D5142"/>
    <w:rsid w:val="000E1CE7"/>
    <w:rsid w:val="000E2BAA"/>
    <w:rsid w:val="000E3315"/>
    <w:rsid w:val="000E58D2"/>
    <w:rsid w:val="000E5BD7"/>
    <w:rsid w:val="000E5F48"/>
    <w:rsid w:val="000E7F45"/>
    <w:rsid w:val="000F0DBE"/>
    <w:rsid w:val="000F0F86"/>
    <w:rsid w:val="000F35BD"/>
    <w:rsid w:val="000F389D"/>
    <w:rsid w:val="000F4DC5"/>
    <w:rsid w:val="000F7D3C"/>
    <w:rsid w:val="00100B3E"/>
    <w:rsid w:val="001018FD"/>
    <w:rsid w:val="001026B7"/>
    <w:rsid w:val="001036AC"/>
    <w:rsid w:val="00103F4B"/>
    <w:rsid w:val="0010659C"/>
    <w:rsid w:val="00106FCA"/>
    <w:rsid w:val="00112D8A"/>
    <w:rsid w:val="001139AF"/>
    <w:rsid w:val="00113C18"/>
    <w:rsid w:val="00115250"/>
    <w:rsid w:val="001158DF"/>
    <w:rsid w:val="00117699"/>
    <w:rsid w:val="00121E50"/>
    <w:rsid w:val="001224D8"/>
    <w:rsid w:val="00122779"/>
    <w:rsid w:val="00125B7B"/>
    <w:rsid w:val="0012760C"/>
    <w:rsid w:val="0013001F"/>
    <w:rsid w:val="00130C04"/>
    <w:rsid w:val="001328C3"/>
    <w:rsid w:val="00133E53"/>
    <w:rsid w:val="001348BB"/>
    <w:rsid w:val="001364EF"/>
    <w:rsid w:val="00136EE9"/>
    <w:rsid w:val="00137559"/>
    <w:rsid w:val="0013755F"/>
    <w:rsid w:val="00140FCC"/>
    <w:rsid w:val="00142680"/>
    <w:rsid w:val="00143ADC"/>
    <w:rsid w:val="001451E5"/>
    <w:rsid w:val="001468A0"/>
    <w:rsid w:val="0014793D"/>
    <w:rsid w:val="00150915"/>
    <w:rsid w:val="00150962"/>
    <w:rsid w:val="00152A41"/>
    <w:rsid w:val="00154743"/>
    <w:rsid w:val="00155A72"/>
    <w:rsid w:val="00161796"/>
    <w:rsid w:val="001638E7"/>
    <w:rsid w:val="001639F4"/>
    <w:rsid w:val="00164073"/>
    <w:rsid w:val="00164A02"/>
    <w:rsid w:val="0016544D"/>
    <w:rsid w:val="00166D65"/>
    <w:rsid w:val="001671EE"/>
    <w:rsid w:val="00170099"/>
    <w:rsid w:val="001730B2"/>
    <w:rsid w:val="001761EF"/>
    <w:rsid w:val="001762D9"/>
    <w:rsid w:val="001765A2"/>
    <w:rsid w:val="00180393"/>
    <w:rsid w:val="0018118A"/>
    <w:rsid w:val="001812FD"/>
    <w:rsid w:val="00181993"/>
    <w:rsid w:val="00181C26"/>
    <w:rsid w:val="00181C2D"/>
    <w:rsid w:val="00182267"/>
    <w:rsid w:val="00182F80"/>
    <w:rsid w:val="00183809"/>
    <w:rsid w:val="001845F8"/>
    <w:rsid w:val="00184BF6"/>
    <w:rsid w:val="00185B04"/>
    <w:rsid w:val="001861E1"/>
    <w:rsid w:val="0018777A"/>
    <w:rsid w:val="0019053F"/>
    <w:rsid w:val="0019057F"/>
    <w:rsid w:val="00190714"/>
    <w:rsid w:val="00193C5B"/>
    <w:rsid w:val="00193D7D"/>
    <w:rsid w:val="00194719"/>
    <w:rsid w:val="00197443"/>
    <w:rsid w:val="00197E0F"/>
    <w:rsid w:val="001A1741"/>
    <w:rsid w:val="001A1BEC"/>
    <w:rsid w:val="001A3C19"/>
    <w:rsid w:val="001A3D22"/>
    <w:rsid w:val="001A5535"/>
    <w:rsid w:val="001A674A"/>
    <w:rsid w:val="001B0F99"/>
    <w:rsid w:val="001B2725"/>
    <w:rsid w:val="001B34E9"/>
    <w:rsid w:val="001B44B0"/>
    <w:rsid w:val="001B62EE"/>
    <w:rsid w:val="001B6F90"/>
    <w:rsid w:val="001C02C1"/>
    <w:rsid w:val="001D1234"/>
    <w:rsid w:val="001D1F45"/>
    <w:rsid w:val="001D36B4"/>
    <w:rsid w:val="001D376F"/>
    <w:rsid w:val="001D4B11"/>
    <w:rsid w:val="001E3306"/>
    <w:rsid w:val="001E333A"/>
    <w:rsid w:val="001E3CAD"/>
    <w:rsid w:val="001E5A46"/>
    <w:rsid w:val="001E6171"/>
    <w:rsid w:val="001F09C4"/>
    <w:rsid w:val="001F2076"/>
    <w:rsid w:val="001F33E7"/>
    <w:rsid w:val="001F3418"/>
    <w:rsid w:val="00201B76"/>
    <w:rsid w:val="00201D90"/>
    <w:rsid w:val="00205443"/>
    <w:rsid w:val="00205B04"/>
    <w:rsid w:val="00207229"/>
    <w:rsid w:val="002110A3"/>
    <w:rsid w:val="00211DFA"/>
    <w:rsid w:val="00212027"/>
    <w:rsid w:val="00212845"/>
    <w:rsid w:val="0021397A"/>
    <w:rsid w:val="00213C1A"/>
    <w:rsid w:val="00213D2B"/>
    <w:rsid w:val="002209A5"/>
    <w:rsid w:val="0022191E"/>
    <w:rsid w:val="00221F4D"/>
    <w:rsid w:val="002225AA"/>
    <w:rsid w:val="002233EB"/>
    <w:rsid w:val="0022481A"/>
    <w:rsid w:val="002267EA"/>
    <w:rsid w:val="00227473"/>
    <w:rsid w:val="00227577"/>
    <w:rsid w:val="00230A69"/>
    <w:rsid w:val="002347CA"/>
    <w:rsid w:val="00236AC3"/>
    <w:rsid w:val="00240E8A"/>
    <w:rsid w:val="002410CC"/>
    <w:rsid w:val="00241A1B"/>
    <w:rsid w:val="002433A8"/>
    <w:rsid w:val="00243A33"/>
    <w:rsid w:val="002459E4"/>
    <w:rsid w:val="00245A3F"/>
    <w:rsid w:val="00246EF5"/>
    <w:rsid w:val="00247287"/>
    <w:rsid w:val="002477DC"/>
    <w:rsid w:val="00250F94"/>
    <w:rsid w:val="00251B4F"/>
    <w:rsid w:val="00251D0F"/>
    <w:rsid w:val="0025252A"/>
    <w:rsid w:val="002526F0"/>
    <w:rsid w:val="00252F31"/>
    <w:rsid w:val="00254090"/>
    <w:rsid w:val="002540B8"/>
    <w:rsid w:val="002704EC"/>
    <w:rsid w:val="00270925"/>
    <w:rsid w:val="00270FCA"/>
    <w:rsid w:val="0027369F"/>
    <w:rsid w:val="00274D19"/>
    <w:rsid w:val="00276923"/>
    <w:rsid w:val="00280499"/>
    <w:rsid w:val="00281809"/>
    <w:rsid w:val="002839D9"/>
    <w:rsid w:val="0028505C"/>
    <w:rsid w:val="00285C50"/>
    <w:rsid w:val="00286BC6"/>
    <w:rsid w:val="002904E1"/>
    <w:rsid w:val="002936F6"/>
    <w:rsid w:val="00296137"/>
    <w:rsid w:val="00297845"/>
    <w:rsid w:val="002A3C55"/>
    <w:rsid w:val="002A527B"/>
    <w:rsid w:val="002A69DC"/>
    <w:rsid w:val="002A6DD4"/>
    <w:rsid w:val="002B1336"/>
    <w:rsid w:val="002B1A95"/>
    <w:rsid w:val="002B4119"/>
    <w:rsid w:val="002B47B1"/>
    <w:rsid w:val="002B58BD"/>
    <w:rsid w:val="002B7B5E"/>
    <w:rsid w:val="002C0A90"/>
    <w:rsid w:val="002C2C37"/>
    <w:rsid w:val="002C3E68"/>
    <w:rsid w:val="002C5401"/>
    <w:rsid w:val="002C5856"/>
    <w:rsid w:val="002D134E"/>
    <w:rsid w:val="002E0A88"/>
    <w:rsid w:val="002E2518"/>
    <w:rsid w:val="002E3D12"/>
    <w:rsid w:val="002E5D09"/>
    <w:rsid w:val="002E7C04"/>
    <w:rsid w:val="002F18CF"/>
    <w:rsid w:val="002F220E"/>
    <w:rsid w:val="002F3DE5"/>
    <w:rsid w:val="002F40F5"/>
    <w:rsid w:val="002F41DC"/>
    <w:rsid w:val="002F4B3A"/>
    <w:rsid w:val="002F4F7E"/>
    <w:rsid w:val="002F5F93"/>
    <w:rsid w:val="002F73D6"/>
    <w:rsid w:val="002F7A17"/>
    <w:rsid w:val="002F7D66"/>
    <w:rsid w:val="00300A88"/>
    <w:rsid w:val="00301AC5"/>
    <w:rsid w:val="00301B43"/>
    <w:rsid w:val="00304307"/>
    <w:rsid w:val="00307804"/>
    <w:rsid w:val="0031010D"/>
    <w:rsid w:val="00310522"/>
    <w:rsid w:val="00310A4E"/>
    <w:rsid w:val="00310EE6"/>
    <w:rsid w:val="0031754B"/>
    <w:rsid w:val="0032013E"/>
    <w:rsid w:val="003208D9"/>
    <w:rsid w:val="0032098B"/>
    <w:rsid w:val="0032244A"/>
    <w:rsid w:val="00326031"/>
    <w:rsid w:val="003261E1"/>
    <w:rsid w:val="0033020E"/>
    <w:rsid w:val="00332F75"/>
    <w:rsid w:val="003470D1"/>
    <w:rsid w:val="00351E4C"/>
    <w:rsid w:val="003553B8"/>
    <w:rsid w:val="003579AA"/>
    <w:rsid w:val="003604E8"/>
    <w:rsid w:val="00360F0A"/>
    <w:rsid w:val="0036233C"/>
    <w:rsid w:val="00363764"/>
    <w:rsid w:val="0036633D"/>
    <w:rsid w:val="0037207F"/>
    <w:rsid w:val="0037306C"/>
    <w:rsid w:val="0037370F"/>
    <w:rsid w:val="00373D30"/>
    <w:rsid w:val="00375515"/>
    <w:rsid w:val="0037654C"/>
    <w:rsid w:val="00376C9D"/>
    <w:rsid w:val="00380978"/>
    <w:rsid w:val="00381899"/>
    <w:rsid w:val="0038382C"/>
    <w:rsid w:val="00385DA8"/>
    <w:rsid w:val="003868AD"/>
    <w:rsid w:val="00387C34"/>
    <w:rsid w:val="003908CA"/>
    <w:rsid w:val="00394C86"/>
    <w:rsid w:val="003A011E"/>
    <w:rsid w:val="003A1231"/>
    <w:rsid w:val="003A156B"/>
    <w:rsid w:val="003A1962"/>
    <w:rsid w:val="003A3A72"/>
    <w:rsid w:val="003A3C15"/>
    <w:rsid w:val="003A7D12"/>
    <w:rsid w:val="003B13F6"/>
    <w:rsid w:val="003B18B6"/>
    <w:rsid w:val="003B405E"/>
    <w:rsid w:val="003B5377"/>
    <w:rsid w:val="003C0017"/>
    <w:rsid w:val="003C18F0"/>
    <w:rsid w:val="003C25CB"/>
    <w:rsid w:val="003C28A6"/>
    <w:rsid w:val="003C4007"/>
    <w:rsid w:val="003C606F"/>
    <w:rsid w:val="003C6712"/>
    <w:rsid w:val="003C7439"/>
    <w:rsid w:val="003D1498"/>
    <w:rsid w:val="003D72BF"/>
    <w:rsid w:val="003D7578"/>
    <w:rsid w:val="003E0190"/>
    <w:rsid w:val="003E027B"/>
    <w:rsid w:val="003E17B7"/>
    <w:rsid w:val="003E27C2"/>
    <w:rsid w:val="003E31C1"/>
    <w:rsid w:val="003F165A"/>
    <w:rsid w:val="003F1AD9"/>
    <w:rsid w:val="003F26EE"/>
    <w:rsid w:val="003F270F"/>
    <w:rsid w:val="003F3508"/>
    <w:rsid w:val="003F4132"/>
    <w:rsid w:val="003F418A"/>
    <w:rsid w:val="003F5341"/>
    <w:rsid w:val="003F6485"/>
    <w:rsid w:val="004007CD"/>
    <w:rsid w:val="00401A7C"/>
    <w:rsid w:val="00403C92"/>
    <w:rsid w:val="004056FE"/>
    <w:rsid w:val="0040595D"/>
    <w:rsid w:val="004061FF"/>
    <w:rsid w:val="00406C77"/>
    <w:rsid w:val="00412E8D"/>
    <w:rsid w:val="004138B3"/>
    <w:rsid w:val="004145EF"/>
    <w:rsid w:val="00414F67"/>
    <w:rsid w:val="00415D91"/>
    <w:rsid w:val="004211CE"/>
    <w:rsid w:val="00423F69"/>
    <w:rsid w:val="00424660"/>
    <w:rsid w:val="00427221"/>
    <w:rsid w:val="004273FD"/>
    <w:rsid w:val="00430424"/>
    <w:rsid w:val="0043209B"/>
    <w:rsid w:val="0043549F"/>
    <w:rsid w:val="00436081"/>
    <w:rsid w:val="004402BC"/>
    <w:rsid w:val="00444A54"/>
    <w:rsid w:val="00445279"/>
    <w:rsid w:val="00451339"/>
    <w:rsid w:val="00451E71"/>
    <w:rsid w:val="00455298"/>
    <w:rsid w:val="00455553"/>
    <w:rsid w:val="00455B96"/>
    <w:rsid w:val="004570E7"/>
    <w:rsid w:val="0046101B"/>
    <w:rsid w:val="00462AEB"/>
    <w:rsid w:val="0046475B"/>
    <w:rsid w:val="00465D90"/>
    <w:rsid w:val="00466473"/>
    <w:rsid w:val="00466689"/>
    <w:rsid w:val="004668F6"/>
    <w:rsid w:val="004676C3"/>
    <w:rsid w:val="004711A0"/>
    <w:rsid w:val="00471F89"/>
    <w:rsid w:val="00475D39"/>
    <w:rsid w:val="00476476"/>
    <w:rsid w:val="00477A68"/>
    <w:rsid w:val="00480F84"/>
    <w:rsid w:val="00481FA6"/>
    <w:rsid w:val="00482C3A"/>
    <w:rsid w:val="00484053"/>
    <w:rsid w:val="0048654B"/>
    <w:rsid w:val="00486A6F"/>
    <w:rsid w:val="00486B32"/>
    <w:rsid w:val="00490E9B"/>
    <w:rsid w:val="00493062"/>
    <w:rsid w:val="00497C2A"/>
    <w:rsid w:val="004A179F"/>
    <w:rsid w:val="004B33B5"/>
    <w:rsid w:val="004B4405"/>
    <w:rsid w:val="004B509B"/>
    <w:rsid w:val="004B5AE4"/>
    <w:rsid w:val="004B7772"/>
    <w:rsid w:val="004C01B0"/>
    <w:rsid w:val="004C3A90"/>
    <w:rsid w:val="004C5D19"/>
    <w:rsid w:val="004D1BDA"/>
    <w:rsid w:val="004D416B"/>
    <w:rsid w:val="004D4446"/>
    <w:rsid w:val="004D4D99"/>
    <w:rsid w:val="004D5C54"/>
    <w:rsid w:val="004E43DD"/>
    <w:rsid w:val="004E5A9D"/>
    <w:rsid w:val="004F2FA3"/>
    <w:rsid w:val="004F5D25"/>
    <w:rsid w:val="004F76BF"/>
    <w:rsid w:val="004F79DE"/>
    <w:rsid w:val="004F7B7B"/>
    <w:rsid w:val="00502BC3"/>
    <w:rsid w:val="00502C3F"/>
    <w:rsid w:val="00503C5F"/>
    <w:rsid w:val="00510C1C"/>
    <w:rsid w:val="00512244"/>
    <w:rsid w:val="0051272D"/>
    <w:rsid w:val="00514E2E"/>
    <w:rsid w:val="00516BB6"/>
    <w:rsid w:val="005176FF"/>
    <w:rsid w:val="005208B3"/>
    <w:rsid w:val="00521A62"/>
    <w:rsid w:val="00521CE7"/>
    <w:rsid w:val="0052287E"/>
    <w:rsid w:val="00524296"/>
    <w:rsid w:val="00525007"/>
    <w:rsid w:val="0053305E"/>
    <w:rsid w:val="00533C10"/>
    <w:rsid w:val="005344BB"/>
    <w:rsid w:val="00541281"/>
    <w:rsid w:val="00542209"/>
    <w:rsid w:val="005428DC"/>
    <w:rsid w:val="00545ED8"/>
    <w:rsid w:val="005465A4"/>
    <w:rsid w:val="005561AE"/>
    <w:rsid w:val="00560229"/>
    <w:rsid w:val="00562037"/>
    <w:rsid w:val="00562D37"/>
    <w:rsid w:val="00564976"/>
    <w:rsid w:val="00566941"/>
    <w:rsid w:val="0057096E"/>
    <w:rsid w:val="00572002"/>
    <w:rsid w:val="00573E57"/>
    <w:rsid w:val="00575041"/>
    <w:rsid w:val="005779CA"/>
    <w:rsid w:val="005817A0"/>
    <w:rsid w:val="00581EE1"/>
    <w:rsid w:val="00586493"/>
    <w:rsid w:val="005912F2"/>
    <w:rsid w:val="00592667"/>
    <w:rsid w:val="0059269E"/>
    <w:rsid w:val="00592E31"/>
    <w:rsid w:val="00593341"/>
    <w:rsid w:val="00593789"/>
    <w:rsid w:val="005942A7"/>
    <w:rsid w:val="005946CD"/>
    <w:rsid w:val="0059495F"/>
    <w:rsid w:val="00596966"/>
    <w:rsid w:val="00597F08"/>
    <w:rsid w:val="005A0C20"/>
    <w:rsid w:val="005A1474"/>
    <w:rsid w:val="005A2193"/>
    <w:rsid w:val="005A38CD"/>
    <w:rsid w:val="005B2468"/>
    <w:rsid w:val="005C1893"/>
    <w:rsid w:val="005C34ED"/>
    <w:rsid w:val="005C4729"/>
    <w:rsid w:val="005C6023"/>
    <w:rsid w:val="005C6B57"/>
    <w:rsid w:val="005D10AC"/>
    <w:rsid w:val="005D1CEE"/>
    <w:rsid w:val="005D2400"/>
    <w:rsid w:val="005D4626"/>
    <w:rsid w:val="005D6F06"/>
    <w:rsid w:val="005E08A5"/>
    <w:rsid w:val="005E1ABA"/>
    <w:rsid w:val="005E2B34"/>
    <w:rsid w:val="005E5DAF"/>
    <w:rsid w:val="005E6984"/>
    <w:rsid w:val="005F0B55"/>
    <w:rsid w:val="005F122D"/>
    <w:rsid w:val="005F12F6"/>
    <w:rsid w:val="005F4AE2"/>
    <w:rsid w:val="005F6CE0"/>
    <w:rsid w:val="00605527"/>
    <w:rsid w:val="00611AB9"/>
    <w:rsid w:val="00613431"/>
    <w:rsid w:val="00613AC2"/>
    <w:rsid w:val="006151E0"/>
    <w:rsid w:val="006153D8"/>
    <w:rsid w:val="00615569"/>
    <w:rsid w:val="00616B64"/>
    <w:rsid w:val="0062060A"/>
    <w:rsid w:val="00620F1A"/>
    <w:rsid w:val="00622208"/>
    <w:rsid w:val="00622DC8"/>
    <w:rsid w:val="00623BCE"/>
    <w:rsid w:val="00623E1A"/>
    <w:rsid w:val="0062493B"/>
    <w:rsid w:val="006261C0"/>
    <w:rsid w:val="006278AB"/>
    <w:rsid w:val="00630D68"/>
    <w:rsid w:val="006316BF"/>
    <w:rsid w:val="006325A7"/>
    <w:rsid w:val="006338A2"/>
    <w:rsid w:val="006372D1"/>
    <w:rsid w:val="00637F18"/>
    <w:rsid w:val="0064033F"/>
    <w:rsid w:val="00645B16"/>
    <w:rsid w:val="00647B8A"/>
    <w:rsid w:val="006502A0"/>
    <w:rsid w:val="00650C85"/>
    <w:rsid w:val="00652264"/>
    <w:rsid w:val="00652D36"/>
    <w:rsid w:val="00663A7B"/>
    <w:rsid w:val="0066751B"/>
    <w:rsid w:val="00671C14"/>
    <w:rsid w:val="00671EB9"/>
    <w:rsid w:val="00672358"/>
    <w:rsid w:val="00673127"/>
    <w:rsid w:val="00676627"/>
    <w:rsid w:val="00682D76"/>
    <w:rsid w:val="006838F1"/>
    <w:rsid w:val="00683E9E"/>
    <w:rsid w:val="006850AA"/>
    <w:rsid w:val="00686CDB"/>
    <w:rsid w:val="00686F0E"/>
    <w:rsid w:val="00687C34"/>
    <w:rsid w:val="00690E6E"/>
    <w:rsid w:val="006918AE"/>
    <w:rsid w:val="006932CA"/>
    <w:rsid w:val="00695E0C"/>
    <w:rsid w:val="006A138D"/>
    <w:rsid w:val="006A151A"/>
    <w:rsid w:val="006A1D9D"/>
    <w:rsid w:val="006A22C8"/>
    <w:rsid w:val="006A6DF4"/>
    <w:rsid w:val="006A752A"/>
    <w:rsid w:val="006B093A"/>
    <w:rsid w:val="006B3318"/>
    <w:rsid w:val="006B33AD"/>
    <w:rsid w:val="006C05E8"/>
    <w:rsid w:val="006C160C"/>
    <w:rsid w:val="006C1C53"/>
    <w:rsid w:val="006C1DE4"/>
    <w:rsid w:val="006C2695"/>
    <w:rsid w:val="006C2C13"/>
    <w:rsid w:val="006C33F4"/>
    <w:rsid w:val="006C4198"/>
    <w:rsid w:val="006C5722"/>
    <w:rsid w:val="006C6AF2"/>
    <w:rsid w:val="006C6C3E"/>
    <w:rsid w:val="006D1EC0"/>
    <w:rsid w:val="006D6D8D"/>
    <w:rsid w:val="006D7988"/>
    <w:rsid w:val="006E0DAD"/>
    <w:rsid w:val="006E1B64"/>
    <w:rsid w:val="006E2F10"/>
    <w:rsid w:val="006E3044"/>
    <w:rsid w:val="006E78AB"/>
    <w:rsid w:val="006F600C"/>
    <w:rsid w:val="006F6ED2"/>
    <w:rsid w:val="007008E3"/>
    <w:rsid w:val="00704703"/>
    <w:rsid w:val="0070640F"/>
    <w:rsid w:val="007135C3"/>
    <w:rsid w:val="0071397E"/>
    <w:rsid w:val="00713AE7"/>
    <w:rsid w:val="00714E18"/>
    <w:rsid w:val="00715DED"/>
    <w:rsid w:val="0071767F"/>
    <w:rsid w:val="0071770A"/>
    <w:rsid w:val="007201C7"/>
    <w:rsid w:val="007203D3"/>
    <w:rsid w:val="00724E3B"/>
    <w:rsid w:val="0072515B"/>
    <w:rsid w:val="00725613"/>
    <w:rsid w:val="00725F4B"/>
    <w:rsid w:val="0072624B"/>
    <w:rsid w:val="0072661E"/>
    <w:rsid w:val="007266A7"/>
    <w:rsid w:val="00727206"/>
    <w:rsid w:val="007309C2"/>
    <w:rsid w:val="0073602A"/>
    <w:rsid w:val="00737850"/>
    <w:rsid w:val="00740DFB"/>
    <w:rsid w:val="00741440"/>
    <w:rsid w:val="007432F8"/>
    <w:rsid w:val="0074411F"/>
    <w:rsid w:val="00744449"/>
    <w:rsid w:val="00745856"/>
    <w:rsid w:val="00746FF8"/>
    <w:rsid w:val="00752075"/>
    <w:rsid w:val="0075257C"/>
    <w:rsid w:val="007529F1"/>
    <w:rsid w:val="007633E1"/>
    <w:rsid w:val="00764E1E"/>
    <w:rsid w:val="00765EAD"/>
    <w:rsid w:val="00766808"/>
    <w:rsid w:val="00770B55"/>
    <w:rsid w:val="007731EB"/>
    <w:rsid w:val="00774670"/>
    <w:rsid w:val="0077573D"/>
    <w:rsid w:val="0077597A"/>
    <w:rsid w:val="007803CD"/>
    <w:rsid w:val="00782A2B"/>
    <w:rsid w:val="007847F9"/>
    <w:rsid w:val="00784EDC"/>
    <w:rsid w:val="0078525A"/>
    <w:rsid w:val="007907B8"/>
    <w:rsid w:val="00790FB6"/>
    <w:rsid w:val="007918BA"/>
    <w:rsid w:val="0079309C"/>
    <w:rsid w:val="007936F1"/>
    <w:rsid w:val="00794233"/>
    <w:rsid w:val="00797321"/>
    <w:rsid w:val="007A097C"/>
    <w:rsid w:val="007A1CD2"/>
    <w:rsid w:val="007A4E3A"/>
    <w:rsid w:val="007A56A5"/>
    <w:rsid w:val="007A5E89"/>
    <w:rsid w:val="007B3B4F"/>
    <w:rsid w:val="007B5D52"/>
    <w:rsid w:val="007B6094"/>
    <w:rsid w:val="007B64CB"/>
    <w:rsid w:val="007B702B"/>
    <w:rsid w:val="007B7E38"/>
    <w:rsid w:val="007C00A9"/>
    <w:rsid w:val="007C18FC"/>
    <w:rsid w:val="007C1F73"/>
    <w:rsid w:val="007C2DD7"/>
    <w:rsid w:val="007C3A3F"/>
    <w:rsid w:val="007C3F85"/>
    <w:rsid w:val="007D36E4"/>
    <w:rsid w:val="007D5C60"/>
    <w:rsid w:val="007D6B07"/>
    <w:rsid w:val="007E18F1"/>
    <w:rsid w:val="007E4414"/>
    <w:rsid w:val="007E4731"/>
    <w:rsid w:val="007E4E01"/>
    <w:rsid w:val="007E6C8E"/>
    <w:rsid w:val="007E7A4C"/>
    <w:rsid w:val="007F4D06"/>
    <w:rsid w:val="007F70E0"/>
    <w:rsid w:val="007F7BF3"/>
    <w:rsid w:val="00801EB1"/>
    <w:rsid w:val="008021B1"/>
    <w:rsid w:val="00803531"/>
    <w:rsid w:val="00804839"/>
    <w:rsid w:val="0080621A"/>
    <w:rsid w:val="00807023"/>
    <w:rsid w:val="00810B1D"/>
    <w:rsid w:val="008139A1"/>
    <w:rsid w:val="00820B22"/>
    <w:rsid w:val="00822F97"/>
    <w:rsid w:val="008259F5"/>
    <w:rsid w:val="00832CF6"/>
    <w:rsid w:val="008369B1"/>
    <w:rsid w:val="00841E1C"/>
    <w:rsid w:val="008422D7"/>
    <w:rsid w:val="00843627"/>
    <w:rsid w:val="00843F25"/>
    <w:rsid w:val="00845390"/>
    <w:rsid w:val="0084666F"/>
    <w:rsid w:val="008478BF"/>
    <w:rsid w:val="00855546"/>
    <w:rsid w:val="0085571B"/>
    <w:rsid w:val="00856E9C"/>
    <w:rsid w:val="00857556"/>
    <w:rsid w:val="0085775F"/>
    <w:rsid w:val="00862711"/>
    <w:rsid w:val="00863B33"/>
    <w:rsid w:val="008642DB"/>
    <w:rsid w:val="008646F4"/>
    <w:rsid w:val="008656C4"/>
    <w:rsid w:val="00866165"/>
    <w:rsid w:val="00871674"/>
    <w:rsid w:val="00874300"/>
    <w:rsid w:val="00874DE2"/>
    <w:rsid w:val="008764AC"/>
    <w:rsid w:val="0087655A"/>
    <w:rsid w:val="00877428"/>
    <w:rsid w:val="0088018F"/>
    <w:rsid w:val="00883861"/>
    <w:rsid w:val="00884DAE"/>
    <w:rsid w:val="00887E18"/>
    <w:rsid w:val="008904D1"/>
    <w:rsid w:val="00896DA1"/>
    <w:rsid w:val="00897F37"/>
    <w:rsid w:val="008A18EA"/>
    <w:rsid w:val="008A1C86"/>
    <w:rsid w:val="008A30A6"/>
    <w:rsid w:val="008A7973"/>
    <w:rsid w:val="008B24F1"/>
    <w:rsid w:val="008B7C35"/>
    <w:rsid w:val="008C0595"/>
    <w:rsid w:val="008C1EB6"/>
    <w:rsid w:val="008C2552"/>
    <w:rsid w:val="008C2FA1"/>
    <w:rsid w:val="008C35EC"/>
    <w:rsid w:val="008C3797"/>
    <w:rsid w:val="008D0EC0"/>
    <w:rsid w:val="008D564E"/>
    <w:rsid w:val="008D798F"/>
    <w:rsid w:val="008E0D98"/>
    <w:rsid w:val="008E174A"/>
    <w:rsid w:val="008E1D99"/>
    <w:rsid w:val="008E20BF"/>
    <w:rsid w:val="008E3CD8"/>
    <w:rsid w:val="008E3EA2"/>
    <w:rsid w:val="008E481B"/>
    <w:rsid w:val="008E492B"/>
    <w:rsid w:val="008E50C4"/>
    <w:rsid w:val="008E557B"/>
    <w:rsid w:val="008E5ADE"/>
    <w:rsid w:val="008F2CD3"/>
    <w:rsid w:val="008F5E54"/>
    <w:rsid w:val="008F6960"/>
    <w:rsid w:val="00901F51"/>
    <w:rsid w:val="009027B9"/>
    <w:rsid w:val="00903658"/>
    <w:rsid w:val="00904275"/>
    <w:rsid w:val="00904725"/>
    <w:rsid w:val="009069C9"/>
    <w:rsid w:val="00907721"/>
    <w:rsid w:val="0091587B"/>
    <w:rsid w:val="0091673B"/>
    <w:rsid w:val="0091707B"/>
    <w:rsid w:val="0092254A"/>
    <w:rsid w:val="00923481"/>
    <w:rsid w:val="00925702"/>
    <w:rsid w:val="009322C7"/>
    <w:rsid w:val="00936AF4"/>
    <w:rsid w:val="009373E9"/>
    <w:rsid w:val="0094245A"/>
    <w:rsid w:val="00943C54"/>
    <w:rsid w:val="009447C6"/>
    <w:rsid w:val="0094631A"/>
    <w:rsid w:val="0094779B"/>
    <w:rsid w:val="00947F07"/>
    <w:rsid w:val="00951B95"/>
    <w:rsid w:val="00951CE9"/>
    <w:rsid w:val="00957249"/>
    <w:rsid w:val="009605CB"/>
    <w:rsid w:val="0096245A"/>
    <w:rsid w:val="009645AE"/>
    <w:rsid w:val="00966174"/>
    <w:rsid w:val="0096631E"/>
    <w:rsid w:val="00970E42"/>
    <w:rsid w:val="009728AC"/>
    <w:rsid w:val="00975C67"/>
    <w:rsid w:val="00977220"/>
    <w:rsid w:val="00977827"/>
    <w:rsid w:val="0098121E"/>
    <w:rsid w:val="00981BD5"/>
    <w:rsid w:val="00982827"/>
    <w:rsid w:val="00982F1C"/>
    <w:rsid w:val="009843E2"/>
    <w:rsid w:val="009862C3"/>
    <w:rsid w:val="009872CB"/>
    <w:rsid w:val="00990A83"/>
    <w:rsid w:val="00990E6E"/>
    <w:rsid w:val="00991AA0"/>
    <w:rsid w:val="00995728"/>
    <w:rsid w:val="009967A9"/>
    <w:rsid w:val="009972A1"/>
    <w:rsid w:val="009A1D79"/>
    <w:rsid w:val="009A3808"/>
    <w:rsid w:val="009A6970"/>
    <w:rsid w:val="009A7227"/>
    <w:rsid w:val="009B00D7"/>
    <w:rsid w:val="009B0EDE"/>
    <w:rsid w:val="009B198F"/>
    <w:rsid w:val="009B3DA0"/>
    <w:rsid w:val="009C2781"/>
    <w:rsid w:val="009C2F5B"/>
    <w:rsid w:val="009C3C84"/>
    <w:rsid w:val="009C47BB"/>
    <w:rsid w:val="009D0CE8"/>
    <w:rsid w:val="009D4472"/>
    <w:rsid w:val="009D60C9"/>
    <w:rsid w:val="009D6C37"/>
    <w:rsid w:val="009D70EC"/>
    <w:rsid w:val="009E043A"/>
    <w:rsid w:val="009E0762"/>
    <w:rsid w:val="009E27D3"/>
    <w:rsid w:val="009E4E3B"/>
    <w:rsid w:val="009E6626"/>
    <w:rsid w:val="009E7027"/>
    <w:rsid w:val="009E7A40"/>
    <w:rsid w:val="009F02C0"/>
    <w:rsid w:val="009F108B"/>
    <w:rsid w:val="009F57D3"/>
    <w:rsid w:val="009F6369"/>
    <w:rsid w:val="009F7953"/>
    <w:rsid w:val="00A0049B"/>
    <w:rsid w:val="00A00E2D"/>
    <w:rsid w:val="00A041BD"/>
    <w:rsid w:val="00A0485B"/>
    <w:rsid w:val="00A05F03"/>
    <w:rsid w:val="00A106F0"/>
    <w:rsid w:val="00A1286B"/>
    <w:rsid w:val="00A13CCB"/>
    <w:rsid w:val="00A1405C"/>
    <w:rsid w:val="00A21EDB"/>
    <w:rsid w:val="00A26321"/>
    <w:rsid w:val="00A269EB"/>
    <w:rsid w:val="00A26ADD"/>
    <w:rsid w:val="00A30029"/>
    <w:rsid w:val="00A33A66"/>
    <w:rsid w:val="00A33D5B"/>
    <w:rsid w:val="00A355CF"/>
    <w:rsid w:val="00A3585F"/>
    <w:rsid w:val="00A361B5"/>
    <w:rsid w:val="00A36292"/>
    <w:rsid w:val="00A42AC1"/>
    <w:rsid w:val="00A441AF"/>
    <w:rsid w:val="00A441EE"/>
    <w:rsid w:val="00A44FFD"/>
    <w:rsid w:val="00A462DE"/>
    <w:rsid w:val="00A52FC1"/>
    <w:rsid w:val="00A5353A"/>
    <w:rsid w:val="00A540F3"/>
    <w:rsid w:val="00A61EB6"/>
    <w:rsid w:val="00A6296E"/>
    <w:rsid w:val="00A63EE9"/>
    <w:rsid w:val="00A64B41"/>
    <w:rsid w:val="00A64DBD"/>
    <w:rsid w:val="00A70785"/>
    <w:rsid w:val="00A7097D"/>
    <w:rsid w:val="00A71EE6"/>
    <w:rsid w:val="00A71FEB"/>
    <w:rsid w:val="00A72725"/>
    <w:rsid w:val="00A72756"/>
    <w:rsid w:val="00A748E9"/>
    <w:rsid w:val="00A75DEB"/>
    <w:rsid w:val="00A76068"/>
    <w:rsid w:val="00A76322"/>
    <w:rsid w:val="00A76441"/>
    <w:rsid w:val="00A80B66"/>
    <w:rsid w:val="00A842F5"/>
    <w:rsid w:val="00A84B2A"/>
    <w:rsid w:val="00A8509C"/>
    <w:rsid w:val="00A8527A"/>
    <w:rsid w:val="00A86693"/>
    <w:rsid w:val="00A87537"/>
    <w:rsid w:val="00A93C9D"/>
    <w:rsid w:val="00A96319"/>
    <w:rsid w:val="00A9649F"/>
    <w:rsid w:val="00A97E6E"/>
    <w:rsid w:val="00AA16C5"/>
    <w:rsid w:val="00AA5773"/>
    <w:rsid w:val="00AA7142"/>
    <w:rsid w:val="00AB06BE"/>
    <w:rsid w:val="00AB09A3"/>
    <w:rsid w:val="00AB1D69"/>
    <w:rsid w:val="00AB5B8F"/>
    <w:rsid w:val="00AB637F"/>
    <w:rsid w:val="00AB70E4"/>
    <w:rsid w:val="00AC1B7C"/>
    <w:rsid w:val="00AC796A"/>
    <w:rsid w:val="00AD03CB"/>
    <w:rsid w:val="00AD3B0D"/>
    <w:rsid w:val="00AD458D"/>
    <w:rsid w:val="00AE00FF"/>
    <w:rsid w:val="00AE1227"/>
    <w:rsid w:val="00AE20CC"/>
    <w:rsid w:val="00AE3817"/>
    <w:rsid w:val="00AE3F09"/>
    <w:rsid w:val="00AE777D"/>
    <w:rsid w:val="00AF04B7"/>
    <w:rsid w:val="00AF173A"/>
    <w:rsid w:val="00AF1A52"/>
    <w:rsid w:val="00AF2E40"/>
    <w:rsid w:val="00AF3DDA"/>
    <w:rsid w:val="00AF4FBD"/>
    <w:rsid w:val="00AF6748"/>
    <w:rsid w:val="00AF7805"/>
    <w:rsid w:val="00B126DF"/>
    <w:rsid w:val="00B134C9"/>
    <w:rsid w:val="00B143C1"/>
    <w:rsid w:val="00B1533C"/>
    <w:rsid w:val="00B16B90"/>
    <w:rsid w:val="00B20BAC"/>
    <w:rsid w:val="00B21345"/>
    <w:rsid w:val="00B26F7B"/>
    <w:rsid w:val="00B322AC"/>
    <w:rsid w:val="00B32FD1"/>
    <w:rsid w:val="00B3795C"/>
    <w:rsid w:val="00B40915"/>
    <w:rsid w:val="00B42849"/>
    <w:rsid w:val="00B44229"/>
    <w:rsid w:val="00B4444C"/>
    <w:rsid w:val="00B46543"/>
    <w:rsid w:val="00B524E6"/>
    <w:rsid w:val="00B52602"/>
    <w:rsid w:val="00B5291F"/>
    <w:rsid w:val="00B546B2"/>
    <w:rsid w:val="00B546C7"/>
    <w:rsid w:val="00B61C9D"/>
    <w:rsid w:val="00B63F4A"/>
    <w:rsid w:val="00B64298"/>
    <w:rsid w:val="00B645EB"/>
    <w:rsid w:val="00B662CB"/>
    <w:rsid w:val="00B72933"/>
    <w:rsid w:val="00B7382A"/>
    <w:rsid w:val="00B73873"/>
    <w:rsid w:val="00B74415"/>
    <w:rsid w:val="00B75931"/>
    <w:rsid w:val="00B7677C"/>
    <w:rsid w:val="00B810DB"/>
    <w:rsid w:val="00B82D8F"/>
    <w:rsid w:val="00B842BB"/>
    <w:rsid w:val="00B85220"/>
    <w:rsid w:val="00B872D8"/>
    <w:rsid w:val="00B8794F"/>
    <w:rsid w:val="00B901EB"/>
    <w:rsid w:val="00B917F7"/>
    <w:rsid w:val="00B918CA"/>
    <w:rsid w:val="00B94016"/>
    <w:rsid w:val="00B9663F"/>
    <w:rsid w:val="00B96B5D"/>
    <w:rsid w:val="00BA038E"/>
    <w:rsid w:val="00BA2C1C"/>
    <w:rsid w:val="00BA3275"/>
    <w:rsid w:val="00BA5434"/>
    <w:rsid w:val="00BA5561"/>
    <w:rsid w:val="00BB192E"/>
    <w:rsid w:val="00BB4E16"/>
    <w:rsid w:val="00BB7403"/>
    <w:rsid w:val="00BC0102"/>
    <w:rsid w:val="00BC0DCB"/>
    <w:rsid w:val="00BC1C47"/>
    <w:rsid w:val="00BC4126"/>
    <w:rsid w:val="00BC495C"/>
    <w:rsid w:val="00BC6272"/>
    <w:rsid w:val="00BC6A53"/>
    <w:rsid w:val="00BD1BCD"/>
    <w:rsid w:val="00BD2773"/>
    <w:rsid w:val="00BD44EF"/>
    <w:rsid w:val="00BD594D"/>
    <w:rsid w:val="00BD64FD"/>
    <w:rsid w:val="00BE0A72"/>
    <w:rsid w:val="00BE4B5C"/>
    <w:rsid w:val="00BE6F44"/>
    <w:rsid w:val="00BE7C05"/>
    <w:rsid w:val="00BF09D7"/>
    <w:rsid w:val="00BF202A"/>
    <w:rsid w:val="00BF278C"/>
    <w:rsid w:val="00BF41C9"/>
    <w:rsid w:val="00BF53DA"/>
    <w:rsid w:val="00BF544A"/>
    <w:rsid w:val="00BF7050"/>
    <w:rsid w:val="00BF7F59"/>
    <w:rsid w:val="00C00B9C"/>
    <w:rsid w:val="00C01203"/>
    <w:rsid w:val="00C04017"/>
    <w:rsid w:val="00C04C71"/>
    <w:rsid w:val="00C0731B"/>
    <w:rsid w:val="00C108EB"/>
    <w:rsid w:val="00C11CE9"/>
    <w:rsid w:val="00C126F4"/>
    <w:rsid w:val="00C1379D"/>
    <w:rsid w:val="00C14712"/>
    <w:rsid w:val="00C15D3D"/>
    <w:rsid w:val="00C171CF"/>
    <w:rsid w:val="00C21C21"/>
    <w:rsid w:val="00C24A27"/>
    <w:rsid w:val="00C255D7"/>
    <w:rsid w:val="00C25FB2"/>
    <w:rsid w:val="00C27968"/>
    <w:rsid w:val="00C31C4D"/>
    <w:rsid w:val="00C35CEA"/>
    <w:rsid w:val="00C36EAB"/>
    <w:rsid w:val="00C36F20"/>
    <w:rsid w:val="00C37A21"/>
    <w:rsid w:val="00C43005"/>
    <w:rsid w:val="00C43750"/>
    <w:rsid w:val="00C45B38"/>
    <w:rsid w:val="00C46CD7"/>
    <w:rsid w:val="00C52986"/>
    <w:rsid w:val="00C52E19"/>
    <w:rsid w:val="00C53635"/>
    <w:rsid w:val="00C53CB1"/>
    <w:rsid w:val="00C5582E"/>
    <w:rsid w:val="00C57A4A"/>
    <w:rsid w:val="00C57EDA"/>
    <w:rsid w:val="00C62BCC"/>
    <w:rsid w:val="00C64042"/>
    <w:rsid w:val="00C64669"/>
    <w:rsid w:val="00C669F2"/>
    <w:rsid w:val="00C67053"/>
    <w:rsid w:val="00C73F20"/>
    <w:rsid w:val="00C76386"/>
    <w:rsid w:val="00C80723"/>
    <w:rsid w:val="00C81FDF"/>
    <w:rsid w:val="00C823A2"/>
    <w:rsid w:val="00C82EE4"/>
    <w:rsid w:val="00C84221"/>
    <w:rsid w:val="00C842B4"/>
    <w:rsid w:val="00C845A5"/>
    <w:rsid w:val="00C84C60"/>
    <w:rsid w:val="00C86968"/>
    <w:rsid w:val="00C86DB5"/>
    <w:rsid w:val="00C878DC"/>
    <w:rsid w:val="00C9037B"/>
    <w:rsid w:val="00C920EA"/>
    <w:rsid w:val="00C92457"/>
    <w:rsid w:val="00C9411B"/>
    <w:rsid w:val="00C94151"/>
    <w:rsid w:val="00C942EC"/>
    <w:rsid w:val="00C945CD"/>
    <w:rsid w:val="00CA023B"/>
    <w:rsid w:val="00CA1A8B"/>
    <w:rsid w:val="00CA272C"/>
    <w:rsid w:val="00CA6DEE"/>
    <w:rsid w:val="00CB4AB1"/>
    <w:rsid w:val="00CB7D0D"/>
    <w:rsid w:val="00CC3EE2"/>
    <w:rsid w:val="00CD052A"/>
    <w:rsid w:val="00CD370E"/>
    <w:rsid w:val="00CD4C21"/>
    <w:rsid w:val="00CD588B"/>
    <w:rsid w:val="00CD6DF9"/>
    <w:rsid w:val="00CE0463"/>
    <w:rsid w:val="00CE143B"/>
    <w:rsid w:val="00CE1F0B"/>
    <w:rsid w:val="00CE4734"/>
    <w:rsid w:val="00CE7B46"/>
    <w:rsid w:val="00CE7D1F"/>
    <w:rsid w:val="00CF2037"/>
    <w:rsid w:val="00CF2118"/>
    <w:rsid w:val="00CF2EE4"/>
    <w:rsid w:val="00CF2F85"/>
    <w:rsid w:val="00CF390C"/>
    <w:rsid w:val="00CF3E0A"/>
    <w:rsid w:val="00CF4A40"/>
    <w:rsid w:val="00CF4BAD"/>
    <w:rsid w:val="00CF6522"/>
    <w:rsid w:val="00CF7D91"/>
    <w:rsid w:val="00D00CB2"/>
    <w:rsid w:val="00D01559"/>
    <w:rsid w:val="00D01B2B"/>
    <w:rsid w:val="00D02995"/>
    <w:rsid w:val="00D02AB1"/>
    <w:rsid w:val="00D03610"/>
    <w:rsid w:val="00D05067"/>
    <w:rsid w:val="00D053C2"/>
    <w:rsid w:val="00D064D1"/>
    <w:rsid w:val="00D10889"/>
    <w:rsid w:val="00D12FE1"/>
    <w:rsid w:val="00D13389"/>
    <w:rsid w:val="00D1415B"/>
    <w:rsid w:val="00D14ABB"/>
    <w:rsid w:val="00D2466A"/>
    <w:rsid w:val="00D261B4"/>
    <w:rsid w:val="00D26209"/>
    <w:rsid w:val="00D33BB4"/>
    <w:rsid w:val="00D353B7"/>
    <w:rsid w:val="00D35C49"/>
    <w:rsid w:val="00D442F5"/>
    <w:rsid w:val="00D533AE"/>
    <w:rsid w:val="00D55396"/>
    <w:rsid w:val="00D6032E"/>
    <w:rsid w:val="00D609C9"/>
    <w:rsid w:val="00D63737"/>
    <w:rsid w:val="00D638CE"/>
    <w:rsid w:val="00D66C5A"/>
    <w:rsid w:val="00D67CE9"/>
    <w:rsid w:val="00D707DF"/>
    <w:rsid w:val="00D70C3C"/>
    <w:rsid w:val="00D72047"/>
    <w:rsid w:val="00D74A04"/>
    <w:rsid w:val="00D85ADD"/>
    <w:rsid w:val="00D86799"/>
    <w:rsid w:val="00D92BCB"/>
    <w:rsid w:val="00DA1139"/>
    <w:rsid w:val="00DA2E1E"/>
    <w:rsid w:val="00DA50A4"/>
    <w:rsid w:val="00DA6539"/>
    <w:rsid w:val="00DA716A"/>
    <w:rsid w:val="00DA7718"/>
    <w:rsid w:val="00DA784A"/>
    <w:rsid w:val="00DB286E"/>
    <w:rsid w:val="00DB2F9F"/>
    <w:rsid w:val="00DB35B7"/>
    <w:rsid w:val="00DB412C"/>
    <w:rsid w:val="00DB45BF"/>
    <w:rsid w:val="00DB4DCD"/>
    <w:rsid w:val="00DC0A2A"/>
    <w:rsid w:val="00DC21D7"/>
    <w:rsid w:val="00DC23F0"/>
    <w:rsid w:val="00DC5651"/>
    <w:rsid w:val="00DD069C"/>
    <w:rsid w:val="00DD0E02"/>
    <w:rsid w:val="00DD2117"/>
    <w:rsid w:val="00DD23CD"/>
    <w:rsid w:val="00DD2509"/>
    <w:rsid w:val="00DD3F51"/>
    <w:rsid w:val="00DD6F39"/>
    <w:rsid w:val="00DD7AA6"/>
    <w:rsid w:val="00DE2E88"/>
    <w:rsid w:val="00DE7246"/>
    <w:rsid w:val="00DF0647"/>
    <w:rsid w:val="00DF2800"/>
    <w:rsid w:val="00DF3C3C"/>
    <w:rsid w:val="00DF4F5E"/>
    <w:rsid w:val="00DF6E99"/>
    <w:rsid w:val="00E033CB"/>
    <w:rsid w:val="00E0403A"/>
    <w:rsid w:val="00E05630"/>
    <w:rsid w:val="00E074A4"/>
    <w:rsid w:val="00E10FC0"/>
    <w:rsid w:val="00E13CA8"/>
    <w:rsid w:val="00E1593E"/>
    <w:rsid w:val="00E16894"/>
    <w:rsid w:val="00E17FBA"/>
    <w:rsid w:val="00E20A20"/>
    <w:rsid w:val="00E21C93"/>
    <w:rsid w:val="00E26939"/>
    <w:rsid w:val="00E27B87"/>
    <w:rsid w:val="00E33092"/>
    <w:rsid w:val="00E33D79"/>
    <w:rsid w:val="00E35778"/>
    <w:rsid w:val="00E4074E"/>
    <w:rsid w:val="00E42421"/>
    <w:rsid w:val="00E42799"/>
    <w:rsid w:val="00E4327A"/>
    <w:rsid w:val="00E50483"/>
    <w:rsid w:val="00E55670"/>
    <w:rsid w:val="00E558DF"/>
    <w:rsid w:val="00E55EE2"/>
    <w:rsid w:val="00E56A89"/>
    <w:rsid w:val="00E60FA6"/>
    <w:rsid w:val="00E663D8"/>
    <w:rsid w:val="00E67830"/>
    <w:rsid w:val="00E70882"/>
    <w:rsid w:val="00E7172E"/>
    <w:rsid w:val="00E85439"/>
    <w:rsid w:val="00E8575C"/>
    <w:rsid w:val="00E912B0"/>
    <w:rsid w:val="00E94F92"/>
    <w:rsid w:val="00E97847"/>
    <w:rsid w:val="00EA0F12"/>
    <w:rsid w:val="00EA1EAB"/>
    <w:rsid w:val="00EA3214"/>
    <w:rsid w:val="00EA5757"/>
    <w:rsid w:val="00EA70E8"/>
    <w:rsid w:val="00EA7D9C"/>
    <w:rsid w:val="00EA7FDA"/>
    <w:rsid w:val="00EB283D"/>
    <w:rsid w:val="00EB590C"/>
    <w:rsid w:val="00EB7407"/>
    <w:rsid w:val="00EC41B4"/>
    <w:rsid w:val="00EC41CF"/>
    <w:rsid w:val="00EC60B6"/>
    <w:rsid w:val="00EC7F1D"/>
    <w:rsid w:val="00ED2C5F"/>
    <w:rsid w:val="00ED45AE"/>
    <w:rsid w:val="00ED5369"/>
    <w:rsid w:val="00EE48E8"/>
    <w:rsid w:val="00EE4CE8"/>
    <w:rsid w:val="00EE70FE"/>
    <w:rsid w:val="00EF01D1"/>
    <w:rsid w:val="00EF30C8"/>
    <w:rsid w:val="00EF37CB"/>
    <w:rsid w:val="00EF4382"/>
    <w:rsid w:val="00EF4D2B"/>
    <w:rsid w:val="00EF585F"/>
    <w:rsid w:val="00EF7DAF"/>
    <w:rsid w:val="00F00E88"/>
    <w:rsid w:val="00F03D57"/>
    <w:rsid w:val="00F04A61"/>
    <w:rsid w:val="00F04B2A"/>
    <w:rsid w:val="00F06381"/>
    <w:rsid w:val="00F06DF0"/>
    <w:rsid w:val="00F10F65"/>
    <w:rsid w:val="00F11F88"/>
    <w:rsid w:val="00F149EA"/>
    <w:rsid w:val="00F154C7"/>
    <w:rsid w:val="00F15CDF"/>
    <w:rsid w:val="00F17000"/>
    <w:rsid w:val="00F20E8C"/>
    <w:rsid w:val="00F217CC"/>
    <w:rsid w:val="00F22BAC"/>
    <w:rsid w:val="00F2546E"/>
    <w:rsid w:val="00F25729"/>
    <w:rsid w:val="00F25C93"/>
    <w:rsid w:val="00F266E4"/>
    <w:rsid w:val="00F26987"/>
    <w:rsid w:val="00F27E18"/>
    <w:rsid w:val="00F27F0A"/>
    <w:rsid w:val="00F306EA"/>
    <w:rsid w:val="00F348D7"/>
    <w:rsid w:val="00F360E8"/>
    <w:rsid w:val="00F37068"/>
    <w:rsid w:val="00F40001"/>
    <w:rsid w:val="00F415C0"/>
    <w:rsid w:val="00F41B80"/>
    <w:rsid w:val="00F44EBC"/>
    <w:rsid w:val="00F4611C"/>
    <w:rsid w:val="00F47822"/>
    <w:rsid w:val="00F47E3C"/>
    <w:rsid w:val="00F50EAD"/>
    <w:rsid w:val="00F50EB7"/>
    <w:rsid w:val="00F52642"/>
    <w:rsid w:val="00F53491"/>
    <w:rsid w:val="00F6073F"/>
    <w:rsid w:val="00F61E31"/>
    <w:rsid w:val="00F62E74"/>
    <w:rsid w:val="00F6423C"/>
    <w:rsid w:val="00F652F7"/>
    <w:rsid w:val="00F65A30"/>
    <w:rsid w:val="00F730ED"/>
    <w:rsid w:val="00F736AD"/>
    <w:rsid w:val="00F75389"/>
    <w:rsid w:val="00F75EE0"/>
    <w:rsid w:val="00F76B50"/>
    <w:rsid w:val="00F77720"/>
    <w:rsid w:val="00F80FFC"/>
    <w:rsid w:val="00F819E2"/>
    <w:rsid w:val="00F84BF1"/>
    <w:rsid w:val="00F868DB"/>
    <w:rsid w:val="00F9118B"/>
    <w:rsid w:val="00F9194B"/>
    <w:rsid w:val="00F922A9"/>
    <w:rsid w:val="00F92F0D"/>
    <w:rsid w:val="00F94AB0"/>
    <w:rsid w:val="00F94E4E"/>
    <w:rsid w:val="00F97C80"/>
    <w:rsid w:val="00FA0788"/>
    <w:rsid w:val="00FA0EBE"/>
    <w:rsid w:val="00FA3A60"/>
    <w:rsid w:val="00FA3FFB"/>
    <w:rsid w:val="00FA4E05"/>
    <w:rsid w:val="00FB3D6A"/>
    <w:rsid w:val="00FB5FB8"/>
    <w:rsid w:val="00FB66BD"/>
    <w:rsid w:val="00FB6A21"/>
    <w:rsid w:val="00FB716D"/>
    <w:rsid w:val="00FB7B89"/>
    <w:rsid w:val="00FC2B5A"/>
    <w:rsid w:val="00FC377C"/>
    <w:rsid w:val="00FC73C9"/>
    <w:rsid w:val="00FD0187"/>
    <w:rsid w:val="00FD3202"/>
    <w:rsid w:val="00FD4B31"/>
    <w:rsid w:val="00FD5DB9"/>
    <w:rsid w:val="00FD6966"/>
    <w:rsid w:val="00FD6A89"/>
    <w:rsid w:val="00FE1ADE"/>
    <w:rsid w:val="00FE4C31"/>
    <w:rsid w:val="00FE611E"/>
    <w:rsid w:val="00FE7055"/>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0BD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229"/>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9D0CE8"/>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0CE8"/>
    <w:rPr>
      <w:rFonts w:ascii="Garamond" w:hAnsi="Garamond" w:cs="Times New Roman"/>
      <w:b/>
      <w:sz w:val="24"/>
      <w:szCs w:val="24"/>
      <w:lang w:val="x-none"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2809">
      <w:marLeft w:val="0"/>
      <w:marRight w:val="0"/>
      <w:marTop w:val="0"/>
      <w:marBottom w:val="0"/>
      <w:divBdr>
        <w:top w:val="none" w:sz="0" w:space="0" w:color="auto"/>
        <w:left w:val="none" w:sz="0" w:space="0" w:color="auto"/>
        <w:bottom w:val="none" w:sz="0" w:space="0" w:color="auto"/>
        <w:right w:val="none" w:sz="0" w:space="0" w:color="auto"/>
      </w:divBdr>
    </w:div>
    <w:div w:id="1115102810">
      <w:marLeft w:val="0"/>
      <w:marRight w:val="0"/>
      <w:marTop w:val="0"/>
      <w:marBottom w:val="0"/>
      <w:divBdr>
        <w:top w:val="none" w:sz="0" w:space="0" w:color="auto"/>
        <w:left w:val="none" w:sz="0" w:space="0" w:color="auto"/>
        <w:bottom w:val="none" w:sz="0" w:space="0" w:color="auto"/>
        <w:right w:val="none" w:sz="0" w:space="0" w:color="auto"/>
      </w:divBdr>
    </w:div>
    <w:div w:id="1115102811">
      <w:marLeft w:val="0"/>
      <w:marRight w:val="0"/>
      <w:marTop w:val="0"/>
      <w:marBottom w:val="0"/>
      <w:divBdr>
        <w:top w:val="none" w:sz="0" w:space="0" w:color="auto"/>
        <w:left w:val="none" w:sz="0" w:space="0" w:color="auto"/>
        <w:bottom w:val="none" w:sz="0" w:space="0" w:color="auto"/>
        <w:right w:val="none" w:sz="0" w:space="0" w:color="auto"/>
      </w:divBdr>
    </w:div>
    <w:div w:id="1115102813">
      <w:marLeft w:val="0"/>
      <w:marRight w:val="0"/>
      <w:marTop w:val="0"/>
      <w:marBottom w:val="0"/>
      <w:divBdr>
        <w:top w:val="none" w:sz="0" w:space="0" w:color="auto"/>
        <w:left w:val="none" w:sz="0" w:space="0" w:color="auto"/>
        <w:bottom w:val="none" w:sz="0" w:space="0" w:color="auto"/>
        <w:right w:val="none" w:sz="0" w:space="0" w:color="auto"/>
      </w:divBdr>
    </w:div>
    <w:div w:id="1115102824">
      <w:marLeft w:val="0"/>
      <w:marRight w:val="0"/>
      <w:marTop w:val="0"/>
      <w:marBottom w:val="0"/>
      <w:divBdr>
        <w:top w:val="none" w:sz="0" w:space="0" w:color="auto"/>
        <w:left w:val="none" w:sz="0" w:space="0" w:color="auto"/>
        <w:bottom w:val="none" w:sz="0" w:space="0" w:color="auto"/>
        <w:right w:val="none" w:sz="0" w:space="0" w:color="auto"/>
      </w:divBdr>
    </w:div>
    <w:div w:id="1115102827">
      <w:marLeft w:val="0"/>
      <w:marRight w:val="0"/>
      <w:marTop w:val="0"/>
      <w:marBottom w:val="0"/>
      <w:divBdr>
        <w:top w:val="none" w:sz="0" w:space="0" w:color="auto"/>
        <w:left w:val="none" w:sz="0" w:space="0" w:color="auto"/>
        <w:bottom w:val="none" w:sz="0" w:space="0" w:color="auto"/>
        <w:right w:val="none" w:sz="0" w:space="0" w:color="auto"/>
      </w:divBdr>
    </w:div>
    <w:div w:id="1115102833">
      <w:marLeft w:val="0"/>
      <w:marRight w:val="0"/>
      <w:marTop w:val="0"/>
      <w:marBottom w:val="0"/>
      <w:divBdr>
        <w:top w:val="none" w:sz="0" w:space="0" w:color="auto"/>
        <w:left w:val="none" w:sz="0" w:space="0" w:color="auto"/>
        <w:bottom w:val="none" w:sz="0" w:space="0" w:color="auto"/>
        <w:right w:val="none" w:sz="0" w:space="0" w:color="auto"/>
      </w:divBdr>
    </w:div>
    <w:div w:id="1115102840">
      <w:marLeft w:val="0"/>
      <w:marRight w:val="0"/>
      <w:marTop w:val="0"/>
      <w:marBottom w:val="0"/>
      <w:divBdr>
        <w:top w:val="none" w:sz="0" w:space="0" w:color="auto"/>
        <w:left w:val="none" w:sz="0" w:space="0" w:color="auto"/>
        <w:bottom w:val="none" w:sz="0" w:space="0" w:color="auto"/>
        <w:right w:val="none" w:sz="0" w:space="0" w:color="auto"/>
      </w:divBdr>
    </w:div>
    <w:div w:id="1115102855">
      <w:marLeft w:val="0"/>
      <w:marRight w:val="0"/>
      <w:marTop w:val="0"/>
      <w:marBottom w:val="0"/>
      <w:divBdr>
        <w:top w:val="none" w:sz="0" w:space="0" w:color="auto"/>
        <w:left w:val="none" w:sz="0" w:space="0" w:color="auto"/>
        <w:bottom w:val="none" w:sz="0" w:space="0" w:color="auto"/>
        <w:right w:val="none" w:sz="0" w:space="0" w:color="auto"/>
      </w:divBdr>
      <w:divsChild>
        <w:div w:id="1115102814">
          <w:marLeft w:val="0"/>
          <w:marRight w:val="0"/>
          <w:marTop w:val="0"/>
          <w:marBottom w:val="0"/>
          <w:divBdr>
            <w:top w:val="none" w:sz="0" w:space="0" w:color="auto"/>
            <w:left w:val="none" w:sz="0" w:space="0" w:color="auto"/>
            <w:bottom w:val="none" w:sz="0" w:space="0" w:color="auto"/>
            <w:right w:val="none" w:sz="0" w:space="0" w:color="auto"/>
          </w:divBdr>
          <w:divsChild>
            <w:div w:id="1115102841">
              <w:marLeft w:val="0"/>
              <w:marRight w:val="0"/>
              <w:marTop w:val="0"/>
              <w:marBottom w:val="0"/>
              <w:divBdr>
                <w:top w:val="none" w:sz="0" w:space="0" w:color="auto"/>
                <w:left w:val="none" w:sz="0" w:space="0" w:color="auto"/>
                <w:bottom w:val="none" w:sz="0" w:space="0" w:color="auto"/>
                <w:right w:val="none" w:sz="0" w:space="0" w:color="auto"/>
              </w:divBdr>
              <w:divsChild>
                <w:div w:id="1115102847">
                  <w:marLeft w:val="0"/>
                  <w:marRight w:val="0"/>
                  <w:marTop w:val="0"/>
                  <w:marBottom w:val="0"/>
                  <w:divBdr>
                    <w:top w:val="none" w:sz="0" w:space="0" w:color="auto"/>
                    <w:left w:val="none" w:sz="0" w:space="0" w:color="auto"/>
                    <w:bottom w:val="none" w:sz="0" w:space="0" w:color="auto"/>
                    <w:right w:val="none" w:sz="0" w:space="0" w:color="auto"/>
                  </w:divBdr>
                  <w:divsChild>
                    <w:div w:id="1115102817">
                      <w:marLeft w:val="0"/>
                      <w:marRight w:val="0"/>
                      <w:marTop w:val="0"/>
                      <w:marBottom w:val="0"/>
                      <w:divBdr>
                        <w:top w:val="none" w:sz="0" w:space="0" w:color="auto"/>
                        <w:left w:val="none" w:sz="0" w:space="0" w:color="auto"/>
                        <w:bottom w:val="none" w:sz="0" w:space="0" w:color="auto"/>
                        <w:right w:val="none" w:sz="0" w:space="0" w:color="auto"/>
                      </w:divBdr>
                    </w:div>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815">
          <w:marLeft w:val="0"/>
          <w:marRight w:val="0"/>
          <w:marTop w:val="0"/>
          <w:marBottom w:val="0"/>
          <w:divBdr>
            <w:top w:val="none" w:sz="0" w:space="0" w:color="auto"/>
            <w:left w:val="none" w:sz="0" w:space="0" w:color="auto"/>
            <w:bottom w:val="none" w:sz="0" w:space="0" w:color="auto"/>
            <w:right w:val="none" w:sz="0" w:space="0" w:color="auto"/>
          </w:divBdr>
          <w:divsChild>
            <w:div w:id="1115102857">
              <w:marLeft w:val="0"/>
              <w:marRight w:val="0"/>
              <w:marTop w:val="0"/>
              <w:marBottom w:val="0"/>
              <w:divBdr>
                <w:top w:val="none" w:sz="0" w:space="0" w:color="auto"/>
                <w:left w:val="none" w:sz="0" w:space="0" w:color="auto"/>
                <w:bottom w:val="none" w:sz="0" w:space="0" w:color="auto"/>
                <w:right w:val="none" w:sz="0" w:space="0" w:color="auto"/>
              </w:divBdr>
              <w:divsChild>
                <w:div w:id="1115102836">
                  <w:marLeft w:val="0"/>
                  <w:marRight w:val="0"/>
                  <w:marTop w:val="0"/>
                  <w:marBottom w:val="0"/>
                  <w:divBdr>
                    <w:top w:val="none" w:sz="0" w:space="0" w:color="auto"/>
                    <w:left w:val="none" w:sz="0" w:space="0" w:color="auto"/>
                    <w:bottom w:val="none" w:sz="0" w:space="0" w:color="auto"/>
                    <w:right w:val="none" w:sz="0" w:space="0" w:color="auto"/>
                  </w:divBdr>
                  <w:divsChild>
                    <w:div w:id="11151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818">
          <w:marLeft w:val="0"/>
          <w:marRight w:val="0"/>
          <w:marTop w:val="0"/>
          <w:marBottom w:val="0"/>
          <w:divBdr>
            <w:top w:val="none" w:sz="0" w:space="0" w:color="auto"/>
            <w:left w:val="none" w:sz="0" w:space="0" w:color="auto"/>
            <w:bottom w:val="none" w:sz="0" w:space="0" w:color="auto"/>
            <w:right w:val="none" w:sz="0" w:space="0" w:color="auto"/>
          </w:divBdr>
        </w:div>
        <w:div w:id="1115102821">
          <w:marLeft w:val="0"/>
          <w:marRight w:val="0"/>
          <w:marTop w:val="0"/>
          <w:marBottom w:val="0"/>
          <w:divBdr>
            <w:top w:val="none" w:sz="0" w:space="0" w:color="auto"/>
            <w:left w:val="none" w:sz="0" w:space="0" w:color="auto"/>
            <w:bottom w:val="none" w:sz="0" w:space="0" w:color="auto"/>
            <w:right w:val="none" w:sz="0" w:space="0" w:color="auto"/>
          </w:divBdr>
          <w:divsChild>
            <w:div w:id="1115102831">
              <w:marLeft w:val="0"/>
              <w:marRight w:val="0"/>
              <w:marTop w:val="0"/>
              <w:marBottom w:val="0"/>
              <w:divBdr>
                <w:top w:val="none" w:sz="0" w:space="0" w:color="auto"/>
                <w:left w:val="none" w:sz="0" w:space="0" w:color="auto"/>
                <w:bottom w:val="none" w:sz="0" w:space="0" w:color="auto"/>
                <w:right w:val="none" w:sz="0" w:space="0" w:color="auto"/>
              </w:divBdr>
              <w:divsChild>
                <w:div w:id="1115102854">
                  <w:marLeft w:val="0"/>
                  <w:marRight w:val="0"/>
                  <w:marTop w:val="0"/>
                  <w:marBottom w:val="0"/>
                  <w:divBdr>
                    <w:top w:val="none" w:sz="0" w:space="0" w:color="auto"/>
                    <w:left w:val="none" w:sz="0" w:space="0" w:color="auto"/>
                    <w:bottom w:val="none" w:sz="0" w:space="0" w:color="auto"/>
                    <w:right w:val="none" w:sz="0" w:space="0" w:color="auto"/>
                  </w:divBdr>
                  <w:divsChild>
                    <w:div w:id="1115102834">
                      <w:marLeft w:val="0"/>
                      <w:marRight w:val="0"/>
                      <w:marTop w:val="0"/>
                      <w:marBottom w:val="0"/>
                      <w:divBdr>
                        <w:top w:val="none" w:sz="0" w:space="0" w:color="auto"/>
                        <w:left w:val="none" w:sz="0" w:space="0" w:color="auto"/>
                        <w:bottom w:val="none" w:sz="0" w:space="0" w:color="auto"/>
                        <w:right w:val="none" w:sz="0" w:space="0" w:color="auto"/>
                      </w:divBdr>
                    </w:div>
                    <w:div w:id="11151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822">
          <w:marLeft w:val="0"/>
          <w:marRight w:val="0"/>
          <w:marTop w:val="0"/>
          <w:marBottom w:val="0"/>
          <w:divBdr>
            <w:top w:val="none" w:sz="0" w:space="0" w:color="auto"/>
            <w:left w:val="none" w:sz="0" w:space="0" w:color="auto"/>
            <w:bottom w:val="none" w:sz="0" w:space="0" w:color="auto"/>
            <w:right w:val="none" w:sz="0" w:space="0" w:color="auto"/>
          </w:divBdr>
        </w:div>
        <w:div w:id="1115102823">
          <w:marLeft w:val="0"/>
          <w:marRight w:val="0"/>
          <w:marTop w:val="0"/>
          <w:marBottom w:val="0"/>
          <w:divBdr>
            <w:top w:val="none" w:sz="0" w:space="0" w:color="auto"/>
            <w:left w:val="none" w:sz="0" w:space="0" w:color="auto"/>
            <w:bottom w:val="none" w:sz="0" w:space="0" w:color="auto"/>
            <w:right w:val="none" w:sz="0" w:space="0" w:color="auto"/>
          </w:divBdr>
        </w:div>
        <w:div w:id="1115102830">
          <w:marLeft w:val="0"/>
          <w:marRight w:val="0"/>
          <w:marTop w:val="0"/>
          <w:marBottom w:val="0"/>
          <w:divBdr>
            <w:top w:val="none" w:sz="0" w:space="0" w:color="auto"/>
            <w:left w:val="none" w:sz="0" w:space="0" w:color="auto"/>
            <w:bottom w:val="none" w:sz="0" w:space="0" w:color="auto"/>
            <w:right w:val="none" w:sz="0" w:space="0" w:color="auto"/>
          </w:divBdr>
          <w:divsChild>
            <w:div w:id="1115102839">
              <w:marLeft w:val="0"/>
              <w:marRight w:val="0"/>
              <w:marTop w:val="0"/>
              <w:marBottom w:val="0"/>
              <w:divBdr>
                <w:top w:val="none" w:sz="0" w:space="0" w:color="auto"/>
                <w:left w:val="none" w:sz="0" w:space="0" w:color="auto"/>
                <w:bottom w:val="none" w:sz="0" w:space="0" w:color="auto"/>
                <w:right w:val="none" w:sz="0" w:space="0" w:color="auto"/>
              </w:divBdr>
              <w:divsChild>
                <w:div w:id="1115102849">
                  <w:marLeft w:val="0"/>
                  <w:marRight w:val="0"/>
                  <w:marTop w:val="0"/>
                  <w:marBottom w:val="0"/>
                  <w:divBdr>
                    <w:top w:val="none" w:sz="0" w:space="0" w:color="auto"/>
                    <w:left w:val="none" w:sz="0" w:space="0" w:color="auto"/>
                    <w:bottom w:val="none" w:sz="0" w:space="0" w:color="auto"/>
                    <w:right w:val="none" w:sz="0" w:space="0" w:color="auto"/>
                  </w:divBdr>
                  <w:divsChild>
                    <w:div w:id="11151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832">
          <w:marLeft w:val="0"/>
          <w:marRight w:val="0"/>
          <w:marTop w:val="0"/>
          <w:marBottom w:val="0"/>
          <w:divBdr>
            <w:top w:val="none" w:sz="0" w:space="0" w:color="auto"/>
            <w:left w:val="none" w:sz="0" w:space="0" w:color="auto"/>
            <w:bottom w:val="none" w:sz="0" w:space="0" w:color="auto"/>
            <w:right w:val="none" w:sz="0" w:space="0" w:color="auto"/>
          </w:divBdr>
          <w:divsChild>
            <w:div w:id="1115102848">
              <w:marLeft w:val="0"/>
              <w:marRight w:val="0"/>
              <w:marTop w:val="0"/>
              <w:marBottom w:val="0"/>
              <w:divBdr>
                <w:top w:val="none" w:sz="0" w:space="0" w:color="auto"/>
                <w:left w:val="none" w:sz="0" w:space="0" w:color="auto"/>
                <w:bottom w:val="none" w:sz="0" w:space="0" w:color="auto"/>
                <w:right w:val="none" w:sz="0" w:space="0" w:color="auto"/>
              </w:divBdr>
              <w:divsChild>
                <w:div w:id="1115102852">
                  <w:marLeft w:val="0"/>
                  <w:marRight w:val="0"/>
                  <w:marTop w:val="0"/>
                  <w:marBottom w:val="0"/>
                  <w:divBdr>
                    <w:top w:val="none" w:sz="0" w:space="0" w:color="auto"/>
                    <w:left w:val="none" w:sz="0" w:space="0" w:color="auto"/>
                    <w:bottom w:val="none" w:sz="0" w:space="0" w:color="auto"/>
                    <w:right w:val="none" w:sz="0" w:space="0" w:color="auto"/>
                  </w:divBdr>
                  <w:divsChild>
                    <w:div w:id="11151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835">
          <w:marLeft w:val="0"/>
          <w:marRight w:val="0"/>
          <w:marTop w:val="0"/>
          <w:marBottom w:val="0"/>
          <w:divBdr>
            <w:top w:val="none" w:sz="0" w:space="0" w:color="auto"/>
            <w:left w:val="none" w:sz="0" w:space="0" w:color="auto"/>
            <w:bottom w:val="none" w:sz="0" w:space="0" w:color="auto"/>
            <w:right w:val="none" w:sz="0" w:space="0" w:color="auto"/>
          </w:divBdr>
        </w:div>
        <w:div w:id="1115102837">
          <w:marLeft w:val="0"/>
          <w:marRight w:val="0"/>
          <w:marTop w:val="0"/>
          <w:marBottom w:val="0"/>
          <w:divBdr>
            <w:top w:val="none" w:sz="0" w:space="0" w:color="auto"/>
            <w:left w:val="none" w:sz="0" w:space="0" w:color="auto"/>
            <w:bottom w:val="none" w:sz="0" w:space="0" w:color="auto"/>
            <w:right w:val="none" w:sz="0" w:space="0" w:color="auto"/>
          </w:divBdr>
        </w:div>
        <w:div w:id="1115102842">
          <w:marLeft w:val="0"/>
          <w:marRight w:val="0"/>
          <w:marTop w:val="0"/>
          <w:marBottom w:val="0"/>
          <w:divBdr>
            <w:top w:val="none" w:sz="0" w:space="0" w:color="auto"/>
            <w:left w:val="none" w:sz="0" w:space="0" w:color="auto"/>
            <w:bottom w:val="none" w:sz="0" w:space="0" w:color="auto"/>
            <w:right w:val="none" w:sz="0" w:space="0" w:color="auto"/>
          </w:divBdr>
        </w:div>
        <w:div w:id="1115102843">
          <w:marLeft w:val="0"/>
          <w:marRight w:val="0"/>
          <w:marTop w:val="0"/>
          <w:marBottom w:val="0"/>
          <w:divBdr>
            <w:top w:val="none" w:sz="0" w:space="0" w:color="auto"/>
            <w:left w:val="none" w:sz="0" w:space="0" w:color="auto"/>
            <w:bottom w:val="none" w:sz="0" w:space="0" w:color="auto"/>
            <w:right w:val="none" w:sz="0" w:space="0" w:color="auto"/>
          </w:divBdr>
          <w:divsChild>
            <w:div w:id="1115102819">
              <w:marLeft w:val="0"/>
              <w:marRight w:val="0"/>
              <w:marTop w:val="0"/>
              <w:marBottom w:val="0"/>
              <w:divBdr>
                <w:top w:val="none" w:sz="0" w:space="0" w:color="auto"/>
                <w:left w:val="none" w:sz="0" w:space="0" w:color="auto"/>
                <w:bottom w:val="none" w:sz="0" w:space="0" w:color="auto"/>
                <w:right w:val="none" w:sz="0" w:space="0" w:color="auto"/>
              </w:divBdr>
              <w:divsChild>
                <w:div w:id="1115102850">
                  <w:marLeft w:val="0"/>
                  <w:marRight w:val="0"/>
                  <w:marTop w:val="0"/>
                  <w:marBottom w:val="0"/>
                  <w:divBdr>
                    <w:top w:val="none" w:sz="0" w:space="0" w:color="auto"/>
                    <w:left w:val="none" w:sz="0" w:space="0" w:color="auto"/>
                    <w:bottom w:val="none" w:sz="0" w:space="0" w:color="auto"/>
                    <w:right w:val="none" w:sz="0" w:space="0" w:color="auto"/>
                  </w:divBdr>
                  <w:divsChild>
                    <w:div w:id="1115102812">
                      <w:marLeft w:val="0"/>
                      <w:marRight w:val="0"/>
                      <w:marTop w:val="0"/>
                      <w:marBottom w:val="0"/>
                      <w:divBdr>
                        <w:top w:val="none" w:sz="0" w:space="0" w:color="auto"/>
                        <w:left w:val="none" w:sz="0" w:space="0" w:color="auto"/>
                        <w:bottom w:val="none" w:sz="0" w:space="0" w:color="auto"/>
                        <w:right w:val="none" w:sz="0" w:space="0" w:color="auto"/>
                      </w:divBdr>
                    </w:div>
                    <w:div w:id="11151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844">
          <w:marLeft w:val="0"/>
          <w:marRight w:val="0"/>
          <w:marTop w:val="0"/>
          <w:marBottom w:val="0"/>
          <w:divBdr>
            <w:top w:val="none" w:sz="0" w:space="0" w:color="auto"/>
            <w:left w:val="none" w:sz="0" w:space="0" w:color="auto"/>
            <w:bottom w:val="none" w:sz="0" w:space="0" w:color="auto"/>
            <w:right w:val="none" w:sz="0" w:space="0" w:color="auto"/>
          </w:divBdr>
          <w:divsChild>
            <w:div w:id="1115102851">
              <w:marLeft w:val="0"/>
              <w:marRight w:val="0"/>
              <w:marTop w:val="0"/>
              <w:marBottom w:val="0"/>
              <w:divBdr>
                <w:top w:val="none" w:sz="0" w:space="0" w:color="auto"/>
                <w:left w:val="none" w:sz="0" w:space="0" w:color="auto"/>
                <w:bottom w:val="none" w:sz="0" w:space="0" w:color="auto"/>
                <w:right w:val="none" w:sz="0" w:space="0" w:color="auto"/>
              </w:divBdr>
              <w:divsChild>
                <w:div w:id="1115102826">
                  <w:marLeft w:val="0"/>
                  <w:marRight w:val="0"/>
                  <w:marTop w:val="0"/>
                  <w:marBottom w:val="0"/>
                  <w:divBdr>
                    <w:top w:val="none" w:sz="0" w:space="0" w:color="auto"/>
                    <w:left w:val="none" w:sz="0" w:space="0" w:color="auto"/>
                    <w:bottom w:val="none" w:sz="0" w:space="0" w:color="auto"/>
                    <w:right w:val="none" w:sz="0" w:space="0" w:color="auto"/>
                  </w:divBdr>
                  <w:divsChild>
                    <w:div w:id="11151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859">
          <w:marLeft w:val="0"/>
          <w:marRight w:val="0"/>
          <w:marTop w:val="0"/>
          <w:marBottom w:val="0"/>
          <w:divBdr>
            <w:top w:val="none" w:sz="0" w:space="0" w:color="auto"/>
            <w:left w:val="none" w:sz="0" w:space="0" w:color="auto"/>
            <w:bottom w:val="none" w:sz="0" w:space="0" w:color="auto"/>
            <w:right w:val="none" w:sz="0" w:space="0" w:color="auto"/>
          </w:divBdr>
          <w:divsChild>
            <w:div w:id="1115102853">
              <w:marLeft w:val="0"/>
              <w:marRight w:val="0"/>
              <w:marTop w:val="0"/>
              <w:marBottom w:val="0"/>
              <w:divBdr>
                <w:top w:val="none" w:sz="0" w:space="0" w:color="auto"/>
                <w:left w:val="none" w:sz="0" w:space="0" w:color="auto"/>
                <w:bottom w:val="none" w:sz="0" w:space="0" w:color="auto"/>
                <w:right w:val="none" w:sz="0" w:space="0" w:color="auto"/>
              </w:divBdr>
              <w:divsChild>
                <w:div w:id="1115102845">
                  <w:marLeft w:val="0"/>
                  <w:marRight w:val="0"/>
                  <w:marTop w:val="0"/>
                  <w:marBottom w:val="0"/>
                  <w:divBdr>
                    <w:top w:val="none" w:sz="0" w:space="0" w:color="auto"/>
                    <w:left w:val="none" w:sz="0" w:space="0" w:color="auto"/>
                    <w:bottom w:val="none" w:sz="0" w:space="0" w:color="auto"/>
                    <w:right w:val="none" w:sz="0" w:space="0" w:color="auto"/>
                  </w:divBdr>
                  <w:divsChild>
                    <w:div w:id="1115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2860">
          <w:marLeft w:val="0"/>
          <w:marRight w:val="0"/>
          <w:marTop w:val="0"/>
          <w:marBottom w:val="0"/>
          <w:divBdr>
            <w:top w:val="none" w:sz="0" w:space="0" w:color="auto"/>
            <w:left w:val="none" w:sz="0" w:space="0" w:color="auto"/>
            <w:bottom w:val="none" w:sz="0" w:space="0" w:color="auto"/>
            <w:right w:val="none" w:sz="0" w:space="0" w:color="auto"/>
          </w:divBdr>
        </w:div>
      </w:divsChild>
    </w:div>
    <w:div w:id="1115102858">
      <w:marLeft w:val="0"/>
      <w:marRight w:val="0"/>
      <w:marTop w:val="0"/>
      <w:marBottom w:val="0"/>
      <w:divBdr>
        <w:top w:val="none" w:sz="0" w:space="0" w:color="auto"/>
        <w:left w:val="none" w:sz="0" w:space="0" w:color="auto"/>
        <w:bottom w:val="none" w:sz="0" w:space="0" w:color="auto"/>
        <w:right w:val="none" w:sz="0" w:space="0" w:color="auto"/>
      </w:divBdr>
    </w:div>
    <w:div w:id="1115102861">
      <w:marLeft w:val="0"/>
      <w:marRight w:val="0"/>
      <w:marTop w:val="0"/>
      <w:marBottom w:val="0"/>
      <w:divBdr>
        <w:top w:val="none" w:sz="0" w:space="0" w:color="auto"/>
        <w:left w:val="none" w:sz="0" w:space="0" w:color="auto"/>
        <w:bottom w:val="none" w:sz="0" w:space="0" w:color="auto"/>
        <w:right w:val="none" w:sz="0" w:space="0" w:color="auto"/>
      </w:divBdr>
    </w:div>
    <w:div w:id="1115102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c-csc.lexum.com/scc-csc/scc-csc/en/item/19083/index.do" TargetMode="External"/><Relationship Id="rId18" Type="http://schemas.openxmlformats.org/officeDocument/2006/relationships/hyperlink" Target="https://scc-csc.lexum.com/scc-csc/scc-csc/en/item/19066/index.do" TargetMode="External"/><Relationship Id="rId26" Type="http://schemas.openxmlformats.org/officeDocument/2006/relationships/hyperlink" Target="https://decisions.scc-csc.ca/scc-csc/scc-csc/en/item/19119/index.do" TargetMode="External"/><Relationship Id="rId39" Type="http://schemas.openxmlformats.org/officeDocument/2006/relationships/hyperlink" Target="http://www.saflii.org/za/cases/ZACC/2021/48.html" TargetMode="External"/><Relationship Id="rId21" Type="http://schemas.openxmlformats.org/officeDocument/2006/relationships/hyperlink" Target="https://www.saflii.org/za/cases/ZACC/2021/47.html" TargetMode="External"/><Relationship Id="rId34" Type="http://schemas.openxmlformats.org/officeDocument/2006/relationships/hyperlink" Target="http://www.saflii.org/za/cases/ZACC/2021/42.html" TargetMode="External"/><Relationship Id="rId42" Type="http://schemas.openxmlformats.org/officeDocument/2006/relationships/hyperlink" Target="https://www.saflii.org/za/cases/ZACC/2021/46.html" TargetMode="External"/><Relationship Id="rId47" Type="http://schemas.openxmlformats.org/officeDocument/2006/relationships/hyperlink" Target="https://decisions.scc-csc.ca/scc-csc/scc-csc/en/item/19096/index.do"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klii.hk/eng/hk/cases/hkcfa/2021/45.html" TargetMode="External"/><Relationship Id="rId29" Type="http://schemas.openxmlformats.org/officeDocument/2006/relationships/hyperlink" Target="https://www.supremecourt.uk/cases/docs/uksc-2020-0133-judgment.pdf" TargetMode="External"/><Relationship Id="rId11" Type="http://schemas.openxmlformats.org/officeDocument/2006/relationships/hyperlink" Target="https://decisions.scc-csc.ca/scc-csc/scc-csc/en/item/19108/index.do" TargetMode="External"/><Relationship Id="rId24" Type="http://schemas.openxmlformats.org/officeDocument/2006/relationships/hyperlink" Target="https://www.supremecourt.uk/cases/docs/uksc-2019-0105-judgment.pdf" TargetMode="External"/><Relationship Id="rId32" Type="http://schemas.openxmlformats.org/officeDocument/2006/relationships/hyperlink" Target="https://www.supremecourt.uk/cases/docs/uksc-2020-0019-judgment.pdf" TargetMode="External"/><Relationship Id="rId37" Type="http://schemas.openxmlformats.org/officeDocument/2006/relationships/hyperlink" Target="https://www.supremecourt.uk/cases/docs/uksc-2020-0195-judgment.pdf" TargetMode="External"/><Relationship Id="rId40" Type="http://schemas.openxmlformats.org/officeDocument/2006/relationships/hyperlink" Target="https://www.supremecourt.uk/cases/uksc-2021-0160.html" TargetMode="External"/><Relationship Id="rId45" Type="http://schemas.openxmlformats.org/officeDocument/2006/relationships/hyperlink" Target="https://scc-csc.lexum.com/scc-csc/scc-csc/en/item/19047/index.do" TargetMode="External"/><Relationship Id="rId5" Type="http://schemas.openxmlformats.org/officeDocument/2006/relationships/webSettings" Target="webSettings.xml"/><Relationship Id="rId15" Type="http://schemas.openxmlformats.org/officeDocument/2006/relationships/hyperlink" Target="https://www.supremecourt.gov/opinions/21pdf/21-463_new_8o6b.pdf" TargetMode="External"/><Relationship Id="rId23" Type="http://schemas.openxmlformats.org/officeDocument/2006/relationships/hyperlink" Target="https://www.supremecourt.gov/opinions/21pdf/143orig_1qm1.pdf" TargetMode="External"/><Relationship Id="rId28" Type="http://schemas.openxmlformats.org/officeDocument/2006/relationships/hyperlink" Target="https://www.courtsofnz.govt.nz/assets/cases/2021/2021-NZSC-154.pdf" TargetMode="External"/><Relationship Id="rId36" Type="http://schemas.openxmlformats.org/officeDocument/2006/relationships/hyperlink" Target="https://scc-csc.lexum.com/scc-csc/scc-csc/en/item/19075/index.do" TargetMode="External"/><Relationship Id="rId49" Type="http://schemas.openxmlformats.org/officeDocument/2006/relationships/hyperlink" Target="http://www.saflii.org/za/cases/ZACC/2021/43.html" TargetMode="External"/><Relationship Id="rId10" Type="http://schemas.openxmlformats.org/officeDocument/2006/relationships/hyperlink" Target="https://www.supremecourt.uk/cases/docs/uksc-2020-0071-judgment.pdf" TargetMode="External"/><Relationship Id="rId19" Type="http://schemas.openxmlformats.org/officeDocument/2006/relationships/hyperlink" Target="https://scc-csc.lexum.com/scc-csc/scc-csc/en/item/19074/index.do" TargetMode="External"/><Relationship Id="rId31" Type="http://schemas.openxmlformats.org/officeDocument/2006/relationships/hyperlink" Target="https://www.saflii.org/za/cases/ZACC/2021/50.html" TargetMode="External"/><Relationship Id="rId44" Type="http://schemas.openxmlformats.org/officeDocument/2006/relationships/hyperlink" Target="https://www.courtsofnz.govt.nz/assets/cases/2021/2021-NZSC-182.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premecourt.uk/cases/docs/uksc-2017-0126-judgment.pdf" TargetMode="External"/><Relationship Id="rId14" Type="http://schemas.openxmlformats.org/officeDocument/2006/relationships/hyperlink" Target="https://www.saflii.org/za/cases/ZACC/2021/45.html" TargetMode="External"/><Relationship Id="rId22" Type="http://schemas.openxmlformats.org/officeDocument/2006/relationships/hyperlink" Target="https://www.courtsofnz.govt.nz/assets/cases/2021/2021-NZSC-184.pdf" TargetMode="External"/><Relationship Id="rId27" Type="http://schemas.openxmlformats.org/officeDocument/2006/relationships/hyperlink" Target="https://www.saflii.org/za/cases/ZACC/2021/51.html" TargetMode="External"/><Relationship Id="rId30" Type="http://schemas.openxmlformats.org/officeDocument/2006/relationships/hyperlink" Target="http://www.saflii.org/za/cases/ZACC/2021/44.html" TargetMode="External"/><Relationship Id="rId35" Type="http://schemas.openxmlformats.org/officeDocument/2006/relationships/hyperlink" Target="https://www.courtsofnz.govt.nz/assets/cases/2021/2021-NZSC-157.pdf" TargetMode="External"/><Relationship Id="rId43" Type="http://schemas.openxmlformats.org/officeDocument/2006/relationships/hyperlink" Target="http://www.saflii.org/za/cases/ZACC/2021/39.html" TargetMode="External"/><Relationship Id="rId48" Type="http://schemas.openxmlformats.org/officeDocument/2006/relationships/hyperlink" Target="http://www.saflii.org/za/cases/ZACC/2021/38.html"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hklii.hk/eng/hk/cases/hkcfa/2021/38.html" TargetMode="External"/><Relationship Id="rId17" Type="http://schemas.openxmlformats.org/officeDocument/2006/relationships/hyperlink" Target="https://www.hklii.hk/eng/hk/cases/hkcfa/2021/37.html" TargetMode="External"/><Relationship Id="rId25" Type="http://schemas.openxmlformats.org/officeDocument/2006/relationships/hyperlink" Target="https://www.hklii.hk/eng/hk/cases/hkcfa/2021/44.html" TargetMode="External"/><Relationship Id="rId33" Type="http://schemas.openxmlformats.org/officeDocument/2006/relationships/hyperlink" Target="https://www.supremecourt.uk/cases/docs/uksc-2020-0081-judgment.pdf" TargetMode="External"/><Relationship Id="rId38" Type="http://schemas.openxmlformats.org/officeDocument/2006/relationships/hyperlink" Target="http://www.saflii.org/za/cases/ZACC/2021/49.html" TargetMode="External"/><Relationship Id="rId46" Type="http://schemas.openxmlformats.org/officeDocument/2006/relationships/hyperlink" Target="https://scc-csc.lexum.com/scc-csc/scc-csc/en/item/19089/index.do" TargetMode="External"/><Relationship Id="rId20" Type="http://schemas.openxmlformats.org/officeDocument/2006/relationships/hyperlink" Target="https://www.supremecourt.uk/cases/docs/uksc-2021-0008-judgment.pdf" TargetMode="External"/><Relationship Id="rId41" Type="http://schemas.openxmlformats.org/officeDocument/2006/relationships/hyperlink" Target="https://www.supremecourt.uk/cases/docs/uksc-2019-0213-judgment.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3DAA-7B5E-4E94-9383-BED6D7F7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7800</Words>
  <Characters>44461</Characters>
  <Application>Microsoft Office Word</Application>
  <DocSecurity>0</DocSecurity>
  <Lines>370</Lines>
  <Paragraphs>104</Paragraphs>
  <ScaleCrop>false</ScaleCrop>
  <Company/>
  <LinksUpToDate>false</LinksUpToDate>
  <CharactersWithSpaces>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2022-02-07T22:33:00Z</dcterms:created>
  <dcterms:modified xsi:type="dcterms:W3CDTF">2022-02-07T22:34:00Z</dcterms:modified>
</cp:coreProperties>
</file>