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4606F03A" w:rsidR="009D0CE8" w:rsidRPr="007203D3" w:rsidRDefault="009D0CE8" w:rsidP="009D0CE8">
      <w:pPr>
        <w:pStyle w:val="BullTitle3"/>
      </w:pPr>
      <w:r w:rsidRPr="007203D3">
        <w:t xml:space="preserve">Volume </w:t>
      </w:r>
      <w:r w:rsidR="00DB68FF">
        <w:t>19</w:t>
      </w:r>
      <w:r w:rsidRPr="007203D3">
        <w:t xml:space="preserve"> Number </w:t>
      </w:r>
      <w:r w:rsidR="001B3CF2">
        <w:t>4</w:t>
      </w:r>
      <w:r w:rsidRPr="007203D3">
        <w:t xml:space="preserve"> (</w:t>
      </w:r>
      <w:r w:rsidR="00A7097D" w:rsidRPr="007203D3">
        <w:t xml:space="preserve">1 </w:t>
      </w:r>
      <w:r w:rsidR="001B3CF2">
        <w:t>August</w:t>
      </w:r>
      <w:r w:rsidR="007E4E01" w:rsidRPr="007203D3">
        <w:t xml:space="preserve"> –</w:t>
      </w:r>
      <w:r w:rsidR="00727206" w:rsidRPr="007203D3">
        <w:t xml:space="preserve"> </w:t>
      </w:r>
      <w:r w:rsidR="00A22D93">
        <w:t>3</w:t>
      </w:r>
      <w:r w:rsidR="00734DF1">
        <w:t>1</w:t>
      </w:r>
      <w:r w:rsidR="00A22D93">
        <w:t xml:space="preserve"> </w:t>
      </w:r>
      <w:r w:rsidR="00734DF1">
        <w:t>October</w:t>
      </w:r>
      <w:r w:rsidR="00DB68FF">
        <w:t xml:space="preserve"> 2022</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2B3D93C4" w14:textId="77777777" w:rsidR="00BC4126" w:rsidRPr="00784EDC" w:rsidRDefault="00BC4126" w:rsidP="00BC4126">
      <w:pPr>
        <w:pBdr>
          <w:bottom w:val="double" w:sz="6" w:space="1" w:color="auto"/>
        </w:pBdr>
        <w:rPr>
          <w:rFonts w:cs="Arial"/>
          <w:szCs w:val="20"/>
          <w:highlight w:val="yellow"/>
          <w:lang w:eastAsia="en-AU"/>
        </w:rPr>
      </w:pPr>
    </w:p>
    <w:p w14:paraId="66EF3DE1" w14:textId="0325BEDA" w:rsidR="00D87321" w:rsidRDefault="00D87321" w:rsidP="00D87321">
      <w:pPr>
        <w:rPr>
          <w:lang w:eastAsia="en-AU"/>
        </w:rPr>
      </w:pPr>
      <w:bookmarkStart w:id="2" w:name="_Hlk109025049"/>
    </w:p>
    <w:p w14:paraId="1A9D818D" w14:textId="590762AD" w:rsidR="009717F2" w:rsidRDefault="009717F2" w:rsidP="009717F2">
      <w:pPr>
        <w:pStyle w:val="Heading1"/>
      </w:pPr>
      <w:r>
        <w:t>Administrative Law</w:t>
      </w:r>
    </w:p>
    <w:p w14:paraId="277FBCB7" w14:textId="77777777" w:rsidR="009717F2" w:rsidRPr="00CC5A01" w:rsidRDefault="009717F2" w:rsidP="009717F2">
      <w:pPr>
        <w:rPr>
          <w:lang w:eastAsia="en-AU"/>
        </w:rPr>
      </w:pPr>
    </w:p>
    <w:p w14:paraId="6A777EB0" w14:textId="71E7B74C" w:rsidR="009717F2" w:rsidRDefault="009717F2" w:rsidP="009717F2">
      <w:pPr>
        <w:pStyle w:val="Heading2"/>
      </w:pPr>
      <w:r w:rsidRPr="009717F2">
        <w:t>Competition Commission of South Africa v Group Five Construction Ltd</w:t>
      </w:r>
    </w:p>
    <w:p w14:paraId="05440759" w14:textId="71C9EC95" w:rsidR="009717F2" w:rsidRDefault="009717F2" w:rsidP="009717F2">
      <w:pPr>
        <w:rPr>
          <w:lang w:eastAsia="en-AU"/>
        </w:rPr>
      </w:pPr>
      <w:r>
        <w:rPr>
          <w:b/>
          <w:bCs/>
          <w:lang w:eastAsia="en-AU"/>
        </w:rPr>
        <w:t>Constitutional Court of South Africa</w:t>
      </w:r>
      <w:r w:rsidRPr="006B0D58">
        <w:rPr>
          <w:b/>
          <w:bCs/>
          <w:lang w:eastAsia="en-AU"/>
        </w:rPr>
        <w:t>:</w:t>
      </w:r>
      <w:r>
        <w:rPr>
          <w:b/>
          <w:bCs/>
          <w:lang w:eastAsia="en-AU"/>
        </w:rPr>
        <w:t xml:space="preserve"> </w:t>
      </w:r>
      <w:hyperlink r:id="rId9" w:history="1">
        <w:r w:rsidRPr="009717F2">
          <w:rPr>
            <w:rStyle w:val="Hyperlink"/>
            <w:lang w:eastAsia="en-AU"/>
          </w:rPr>
          <w:t>[2022] ZACC 36</w:t>
        </w:r>
      </w:hyperlink>
    </w:p>
    <w:p w14:paraId="1DDA99E8" w14:textId="77777777" w:rsidR="009717F2" w:rsidRDefault="009717F2" w:rsidP="009717F2">
      <w:pPr>
        <w:rPr>
          <w:lang w:eastAsia="en-AU"/>
        </w:rPr>
      </w:pPr>
    </w:p>
    <w:p w14:paraId="664F1213" w14:textId="103E0A23" w:rsidR="009717F2" w:rsidRPr="00DB68FF" w:rsidRDefault="009717F2" w:rsidP="009717F2">
      <w:pPr>
        <w:rPr>
          <w:lang w:eastAsia="en-AU"/>
        </w:rPr>
      </w:pPr>
      <w:r>
        <w:rPr>
          <w:b/>
          <w:bCs/>
          <w:lang w:eastAsia="en-AU"/>
        </w:rPr>
        <w:t xml:space="preserve">Reasons delivered: </w:t>
      </w:r>
      <w:r>
        <w:rPr>
          <w:lang w:eastAsia="en-AU"/>
        </w:rPr>
        <w:t xml:space="preserve">27 October 2022 </w:t>
      </w:r>
    </w:p>
    <w:p w14:paraId="027556F8" w14:textId="77777777" w:rsidR="009717F2" w:rsidRDefault="009717F2" w:rsidP="009717F2">
      <w:pPr>
        <w:rPr>
          <w:b/>
          <w:bCs/>
          <w:lang w:eastAsia="en-AU"/>
        </w:rPr>
      </w:pPr>
    </w:p>
    <w:p w14:paraId="6A96296E" w14:textId="37780E52" w:rsidR="009717F2" w:rsidRPr="00DB68FF" w:rsidRDefault="009717F2" w:rsidP="009717F2">
      <w:pPr>
        <w:rPr>
          <w:lang w:eastAsia="en-AU"/>
        </w:rPr>
      </w:pPr>
      <w:r>
        <w:rPr>
          <w:b/>
          <w:bCs/>
          <w:lang w:eastAsia="en-AU"/>
        </w:rPr>
        <w:t>Coram:</w:t>
      </w:r>
      <w:r w:rsidRPr="00DB68FF">
        <w:t xml:space="preserve"> </w:t>
      </w:r>
      <w:proofErr w:type="spellStart"/>
      <w:r w:rsidRPr="009717F2">
        <w:rPr>
          <w:lang w:eastAsia="en-AU"/>
        </w:rPr>
        <w:t>Kollapen</w:t>
      </w:r>
      <w:proofErr w:type="spellEnd"/>
      <w:r w:rsidRPr="009717F2">
        <w:rPr>
          <w:lang w:eastAsia="en-AU"/>
        </w:rPr>
        <w:t xml:space="preserve">, </w:t>
      </w:r>
      <w:proofErr w:type="spellStart"/>
      <w:r w:rsidRPr="009717F2">
        <w:rPr>
          <w:lang w:eastAsia="en-AU"/>
        </w:rPr>
        <w:t>Madlanga</w:t>
      </w:r>
      <w:proofErr w:type="spellEnd"/>
      <w:r w:rsidRPr="009717F2">
        <w:rPr>
          <w:lang w:eastAsia="en-AU"/>
        </w:rPr>
        <w:t xml:space="preserve">, </w:t>
      </w:r>
      <w:proofErr w:type="spellStart"/>
      <w:r w:rsidRPr="009717F2">
        <w:rPr>
          <w:lang w:eastAsia="en-AU"/>
        </w:rPr>
        <w:t>Majiedt</w:t>
      </w:r>
      <w:proofErr w:type="spellEnd"/>
      <w:r w:rsidRPr="009717F2">
        <w:rPr>
          <w:lang w:eastAsia="en-AU"/>
        </w:rPr>
        <w:t xml:space="preserve">, </w:t>
      </w:r>
      <w:proofErr w:type="spellStart"/>
      <w:r w:rsidRPr="009717F2">
        <w:rPr>
          <w:lang w:eastAsia="en-AU"/>
        </w:rPr>
        <w:t>Mathopo</w:t>
      </w:r>
      <w:proofErr w:type="spellEnd"/>
      <w:r w:rsidRPr="009717F2">
        <w:rPr>
          <w:lang w:eastAsia="en-AU"/>
        </w:rPr>
        <w:t xml:space="preserve">, Mhlantla </w:t>
      </w:r>
      <w:r>
        <w:rPr>
          <w:lang w:eastAsia="en-AU"/>
        </w:rPr>
        <w:t>J</w:t>
      </w:r>
      <w:r w:rsidRPr="009717F2">
        <w:rPr>
          <w:lang w:eastAsia="en-AU"/>
        </w:rPr>
        <w:t xml:space="preserve">J, Mlambo AJ, Theron, </w:t>
      </w:r>
      <w:proofErr w:type="spellStart"/>
      <w:r w:rsidRPr="009717F2">
        <w:rPr>
          <w:lang w:eastAsia="en-AU"/>
        </w:rPr>
        <w:t>Tshiqi</w:t>
      </w:r>
      <w:proofErr w:type="spellEnd"/>
      <w:r w:rsidRPr="009717F2">
        <w:rPr>
          <w:lang w:eastAsia="en-AU"/>
        </w:rPr>
        <w:t xml:space="preserve"> J</w:t>
      </w:r>
      <w:r>
        <w:rPr>
          <w:lang w:eastAsia="en-AU"/>
        </w:rPr>
        <w:t>J</w:t>
      </w:r>
      <w:r w:rsidRPr="009717F2">
        <w:rPr>
          <w:lang w:eastAsia="en-AU"/>
        </w:rPr>
        <w:t xml:space="preserve"> and </w:t>
      </w:r>
      <w:proofErr w:type="spellStart"/>
      <w:r w:rsidRPr="009717F2">
        <w:rPr>
          <w:lang w:eastAsia="en-AU"/>
        </w:rPr>
        <w:t>Unterhalter</w:t>
      </w:r>
      <w:proofErr w:type="spellEnd"/>
      <w:r w:rsidRPr="009717F2">
        <w:rPr>
          <w:lang w:eastAsia="en-AU"/>
        </w:rPr>
        <w:t xml:space="preserve"> AJ</w:t>
      </w:r>
    </w:p>
    <w:p w14:paraId="1DC049CA" w14:textId="77777777" w:rsidR="009717F2" w:rsidRDefault="009717F2" w:rsidP="009717F2">
      <w:pPr>
        <w:rPr>
          <w:b/>
          <w:bCs/>
          <w:lang w:eastAsia="en-AU"/>
        </w:rPr>
      </w:pPr>
    </w:p>
    <w:p w14:paraId="74DB9948" w14:textId="77777777" w:rsidR="009717F2" w:rsidRDefault="009717F2" w:rsidP="009717F2">
      <w:pPr>
        <w:rPr>
          <w:b/>
          <w:bCs/>
          <w:lang w:eastAsia="en-AU"/>
        </w:rPr>
      </w:pPr>
      <w:r>
        <w:rPr>
          <w:b/>
          <w:bCs/>
          <w:lang w:eastAsia="en-AU"/>
        </w:rPr>
        <w:t>Catchwords:</w:t>
      </w:r>
    </w:p>
    <w:p w14:paraId="27944343" w14:textId="77777777" w:rsidR="009717F2" w:rsidRDefault="009717F2" w:rsidP="009717F2">
      <w:pPr>
        <w:rPr>
          <w:b/>
          <w:bCs/>
          <w:lang w:eastAsia="en-AU"/>
        </w:rPr>
      </w:pPr>
    </w:p>
    <w:p w14:paraId="7DE52E96" w14:textId="0487399B" w:rsidR="009717F2" w:rsidRPr="0034676E" w:rsidRDefault="009717F2" w:rsidP="003C05FA">
      <w:pPr>
        <w:pStyle w:val="Catchwords"/>
      </w:pPr>
      <w:r>
        <w:t xml:space="preserve">Administrative law – </w:t>
      </w:r>
      <w:r>
        <w:rPr>
          <w:i/>
          <w:iCs/>
        </w:rPr>
        <w:t>Ultra vires</w:t>
      </w:r>
      <w:r>
        <w:t xml:space="preserve"> – Jurisdiction – Ambit of review by Competition Tribunal – Interpretation and application of chapters 2, 3 and 5 of </w:t>
      </w:r>
      <w:r>
        <w:rPr>
          <w:i/>
          <w:iCs/>
        </w:rPr>
        <w:t>Competition Act 89 of 1998</w:t>
      </w:r>
      <w:r>
        <w:t xml:space="preserve"> – Where </w:t>
      </w:r>
      <w:r w:rsidRPr="009717F2">
        <w:t xml:space="preserve">Competition Commission of South Africa, regulatory body established in terms of section 19(1) of </w:t>
      </w:r>
      <w:r w:rsidR="00A551AC">
        <w:rPr>
          <w:i/>
          <w:iCs/>
        </w:rPr>
        <w:t xml:space="preserve">Competition </w:t>
      </w:r>
      <w:r w:rsidRPr="00A551AC">
        <w:rPr>
          <w:i/>
          <w:iCs/>
        </w:rPr>
        <w:t>Act</w:t>
      </w:r>
      <w:r w:rsidRPr="009717F2">
        <w:t>, applie</w:t>
      </w:r>
      <w:r>
        <w:t>d</w:t>
      </w:r>
      <w:r w:rsidRPr="009717F2">
        <w:t xml:space="preserve"> for leave to appeal judgment and order of Supreme Court of Appeal</w:t>
      </w:r>
      <w:r>
        <w:t xml:space="preserve"> – Where Supreme Court of Appeal</w:t>
      </w:r>
      <w:r w:rsidRPr="009717F2">
        <w:t xml:space="preserve"> upheld</w:t>
      </w:r>
      <w:r>
        <w:t xml:space="preserve"> </w:t>
      </w:r>
      <w:r w:rsidRPr="009717F2">
        <w:t xml:space="preserve">decision of High Court, which found jurisdiction to determine review application brought by </w:t>
      </w:r>
      <w:r>
        <w:t>respondent</w:t>
      </w:r>
      <w:r w:rsidRPr="009717F2">
        <w:t xml:space="preserve"> in respect of referral to Tribunal </w:t>
      </w:r>
      <w:r>
        <w:t>(</w:t>
      </w:r>
      <w:r w:rsidRPr="009717F2">
        <w:t>of complaint against it</w:t>
      </w:r>
      <w:r>
        <w:t>)</w:t>
      </w:r>
      <w:r w:rsidRPr="009717F2">
        <w:t xml:space="preserve"> by Commission</w:t>
      </w:r>
      <w:r>
        <w:t xml:space="preserve"> – </w:t>
      </w:r>
      <w:r w:rsidR="003C05FA">
        <w:t xml:space="preserve">Where s 62(1) of </w:t>
      </w:r>
      <w:r w:rsidR="003C05FA">
        <w:rPr>
          <w:i/>
          <w:iCs/>
        </w:rPr>
        <w:t xml:space="preserve">Competition </w:t>
      </w:r>
      <w:r w:rsidR="003C05FA" w:rsidRPr="003C05FA">
        <w:rPr>
          <w:i/>
          <w:iCs/>
        </w:rPr>
        <w:t>Act</w:t>
      </w:r>
      <w:r w:rsidR="003C05FA">
        <w:t xml:space="preserve"> relevantly provided </w:t>
      </w:r>
      <w:r w:rsidR="003C05FA" w:rsidRPr="003C05FA">
        <w:t xml:space="preserve">Competition Tribunal and Competition Appeal Court share exclusive jurisdiction in respect of </w:t>
      </w:r>
      <w:r w:rsidR="003C05FA">
        <w:t xml:space="preserve">interpretation and application of chapters 2, 3 and 5, other than question or matter referred to in subsection (2) – Where s 62(2) of </w:t>
      </w:r>
      <w:r w:rsidR="003C05FA">
        <w:rPr>
          <w:i/>
          <w:iCs/>
        </w:rPr>
        <w:t xml:space="preserve">Competition Act </w:t>
      </w:r>
      <w:r w:rsidR="003C05FA">
        <w:t xml:space="preserve">relevantly provided Court has jurisdiction over </w:t>
      </w:r>
      <w:r w:rsidR="003C05FA" w:rsidRPr="003C05FA">
        <w:t xml:space="preserve">question whether an action taken or proposed to be taken by Competition Commission or Competition Tribunal within respective jurisdictions in terms of </w:t>
      </w:r>
      <w:r w:rsidR="003C05FA">
        <w:rPr>
          <w:i/>
          <w:iCs/>
        </w:rPr>
        <w:t xml:space="preserve">Competition </w:t>
      </w:r>
      <w:r w:rsidR="003C05FA" w:rsidRPr="003C05FA">
        <w:rPr>
          <w:i/>
          <w:iCs/>
        </w:rPr>
        <w:t>Act</w:t>
      </w:r>
      <w:r w:rsidR="003C05FA">
        <w:t xml:space="preserve"> – </w:t>
      </w:r>
      <w:r w:rsidRPr="003C05FA">
        <w:t>Whether</w:t>
      </w:r>
      <w:r>
        <w:t xml:space="preserve"> </w:t>
      </w:r>
      <w:r w:rsidRPr="009717F2">
        <w:t xml:space="preserve">Supreme Court of Appeal and High Court </w:t>
      </w:r>
      <w:r w:rsidRPr="009717F2">
        <w:lastRenderedPageBreak/>
        <w:t xml:space="preserve">wrongly pronounced on scope of </w:t>
      </w:r>
      <w:r w:rsidR="003C05FA" w:rsidRPr="003C05FA">
        <w:t xml:space="preserve">Competition Commission </w:t>
      </w:r>
      <w:r w:rsidR="003C05FA">
        <w:t>and</w:t>
      </w:r>
      <w:r w:rsidR="003C05FA" w:rsidRPr="003C05FA">
        <w:t xml:space="preserve"> Competition Tribunal</w:t>
      </w:r>
      <w:r w:rsidR="00A551AC">
        <w:t xml:space="preserve">' </w:t>
      </w:r>
      <w:r w:rsidRPr="009717F2">
        <w:t xml:space="preserve">exclusive jurisdiction in terms of section 62(1) of </w:t>
      </w:r>
      <w:r w:rsidR="003C05FA">
        <w:rPr>
          <w:i/>
          <w:iCs/>
        </w:rPr>
        <w:t xml:space="preserve">Competition </w:t>
      </w:r>
      <w:r w:rsidRPr="003C05FA">
        <w:rPr>
          <w:i/>
          <w:iCs/>
        </w:rPr>
        <w:t>Act</w:t>
      </w:r>
      <w:r w:rsidRPr="009717F2">
        <w:t xml:space="preserve"> for conduct of proceedings in Competition Tribunal</w:t>
      </w:r>
      <w:r w:rsidR="003C05FA">
        <w:t xml:space="preserve">. </w:t>
      </w:r>
      <w:r>
        <w:t xml:space="preserve"> </w:t>
      </w:r>
    </w:p>
    <w:p w14:paraId="5C393B1C" w14:textId="77777777" w:rsidR="009717F2" w:rsidRPr="005E2809" w:rsidRDefault="009717F2" w:rsidP="009717F2">
      <w:pPr>
        <w:pStyle w:val="Catchwords"/>
      </w:pPr>
    </w:p>
    <w:p w14:paraId="1A9D7C83" w14:textId="62AE17FB" w:rsidR="009717F2" w:rsidRDefault="009717F2" w:rsidP="009717F2">
      <w:pPr>
        <w:rPr>
          <w:lang w:eastAsia="en-AU"/>
        </w:rPr>
      </w:pPr>
      <w:r>
        <w:rPr>
          <w:b/>
          <w:bCs/>
          <w:lang w:eastAsia="en-AU"/>
        </w:rPr>
        <w:t>Held (8:1):</w:t>
      </w:r>
      <w:r w:rsidRPr="00FD6C82">
        <w:rPr>
          <w:lang w:eastAsia="en-AU"/>
        </w:rPr>
        <w:t xml:space="preserve"> </w:t>
      </w:r>
      <w:r>
        <w:rPr>
          <w:lang w:eastAsia="en-AU"/>
        </w:rPr>
        <w:t>Leave to appeal granted</w:t>
      </w:r>
      <w:r w:rsidR="00A12F00">
        <w:rPr>
          <w:lang w:eastAsia="en-AU"/>
        </w:rPr>
        <w:t xml:space="preserve">; </w:t>
      </w:r>
      <w:r>
        <w:rPr>
          <w:lang w:eastAsia="en-AU"/>
        </w:rPr>
        <w:t xml:space="preserve">appeal dismissed.   </w:t>
      </w:r>
    </w:p>
    <w:p w14:paraId="73089F0A" w14:textId="2CCA3EB7" w:rsidR="009717F2" w:rsidRDefault="009717F2" w:rsidP="009717F2">
      <w:pPr>
        <w:pStyle w:val="BullDivider2"/>
      </w:pPr>
    </w:p>
    <w:p w14:paraId="65D4C486" w14:textId="77777777" w:rsidR="009717F2" w:rsidRDefault="009717F2" w:rsidP="009717F2">
      <w:pPr>
        <w:rPr>
          <w:lang w:eastAsia="en-AU"/>
        </w:rPr>
      </w:pPr>
    </w:p>
    <w:p w14:paraId="27EFE293" w14:textId="48239F29" w:rsidR="00D9157E" w:rsidRDefault="00D9157E" w:rsidP="006A251F">
      <w:pPr>
        <w:pStyle w:val="Heading1"/>
      </w:pPr>
      <w:r>
        <w:t xml:space="preserve">Company Law </w:t>
      </w:r>
    </w:p>
    <w:p w14:paraId="2DC42530" w14:textId="58D37887" w:rsidR="00D9157E" w:rsidRDefault="00D9157E" w:rsidP="00D9157E">
      <w:pPr>
        <w:rPr>
          <w:lang w:eastAsia="en-AU"/>
        </w:rPr>
      </w:pPr>
    </w:p>
    <w:p w14:paraId="1C61FF32" w14:textId="28086C7B" w:rsidR="00D9157E" w:rsidRPr="00C658D3" w:rsidRDefault="00C658D3" w:rsidP="00D9157E">
      <w:pPr>
        <w:pStyle w:val="Heading2"/>
        <w:rPr>
          <w:i w:val="0"/>
          <w:iCs w:val="0"/>
        </w:rPr>
      </w:pPr>
      <w:r>
        <w:t xml:space="preserve">BTI 2014 LLC v </w:t>
      </w:r>
      <w:proofErr w:type="spellStart"/>
      <w:r>
        <w:t>Sequana</w:t>
      </w:r>
      <w:proofErr w:type="spellEnd"/>
      <w:r>
        <w:t xml:space="preserve"> SA </w:t>
      </w:r>
    </w:p>
    <w:p w14:paraId="7687E113" w14:textId="1B0B3784" w:rsidR="00D9157E" w:rsidRDefault="00D9157E" w:rsidP="00D9157E">
      <w:pPr>
        <w:rPr>
          <w:lang w:eastAsia="en-AU"/>
        </w:rPr>
      </w:pPr>
      <w:r>
        <w:rPr>
          <w:b/>
          <w:bCs/>
          <w:lang w:eastAsia="en-AU"/>
        </w:rPr>
        <w:t>Supreme Court of the United Kingdom</w:t>
      </w:r>
      <w:r w:rsidRPr="006B0D58">
        <w:rPr>
          <w:b/>
          <w:bCs/>
          <w:lang w:eastAsia="en-AU"/>
        </w:rPr>
        <w:t>:</w:t>
      </w:r>
      <w:r>
        <w:rPr>
          <w:lang w:eastAsia="en-AU"/>
        </w:rPr>
        <w:t xml:space="preserve"> </w:t>
      </w:r>
      <w:hyperlink r:id="rId10" w:history="1">
        <w:r w:rsidR="00C658D3" w:rsidRPr="00C658D3">
          <w:rPr>
            <w:rStyle w:val="Hyperlink"/>
            <w:lang w:eastAsia="en-AU"/>
          </w:rPr>
          <w:t>[2022] UKSC 25</w:t>
        </w:r>
      </w:hyperlink>
    </w:p>
    <w:p w14:paraId="55D293C8" w14:textId="77777777" w:rsidR="00D9157E" w:rsidRDefault="00D9157E" w:rsidP="00D9157E">
      <w:pPr>
        <w:rPr>
          <w:lang w:eastAsia="en-AU"/>
        </w:rPr>
      </w:pPr>
    </w:p>
    <w:p w14:paraId="0A7C3F7E" w14:textId="49C34425" w:rsidR="00D9157E" w:rsidRPr="00DB68FF" w:rsidRDefault="00D9157E" w:rsidP="00D9157E">
      <w:pPr>
        <w:rPr>
          <w:lang w:eastAsia="en-AU"/>
        </w:rPr>
      </w:pPr>
      <w:r>
        <w:rPr>
          <w:b/>
          <w:bCs/>
          <w:lang w:eastAsia="en-AU"/>
        </w:rPr>
        <w:t xml:space="preserve">Judgment delivered: </w:t>
      </w:r>
      <w:r w:rsidR="00D96E32">
        <w:rPr>
          <w:lang w:eastAsia="en-AU"/>
        </w:rPr>
        <w:t>5 October</w:t>
      </w:r>
      <w:r>
        <w:rPr>
          <w:lang w:eastAsia="en-AU"/>
        </w:rPr>
        <w:t xml:space="preserve"> 2022 </w:t>
      </w:r>
    </w:p>
    <w:p w14:paraId="5B9C8476" w14:textId="77777777" w:rsidR="00D9157E" w:rsidRDefault="00D9157E" w:rsidP="00D9157E">
      <w:pPr>
        <w:rPr>
          <w:b/>
          <w:bCs/>
          <w:lang w:eastAsia="en-AU"/>
        </w:rPr>
      </w:pPr>
    </w:p>
    <w:p w14:paraId="1E928BD8" w14:textId="308FB1B7" w:rsidR="00D9157E" w:rsidRPr="00DB68FF" w:rsidRDefault="00D9157E" w:rsidP="00D9157E">
      <w:pPr>
        <w:rPr>
          <w:lang w:eastAsia="en-AU"/>
        </w:rPr>
      </w:pPr>
      <w:r>
        <w:rPr>
          <w:b/>
          <w:bCs/>
          <w:lang w:eastAsia="en-AU"/>
        </w:rPr>
        <w:t>Coram:</w:t>
      </w:r>
      <w:r w:rsidRPr="00DB68FF">
        <w:t xml:space="preserve"> </w:t>
      </w:r>
      <w:r w:rsidR="00D96E32" w:rsidRPr="00D96E32">
        <w:rPr>
          <w:lang w:eastAsia="en-AU"/>
        </w:rPr>
        <w:t>Lord Reed, Lord Hodge, Lord Briggs, Lady Arden</w:t>
      </w:r>
      <w:r w:rsidR="00C413E7">
        <w:rPr>
          <w:lang w:eastAsia="en-AU"/>
        </w:rPr>
        <w:t xml:space="preserve"> and</w:t>
      </w:r>
      <w:r w:rsidR="00D96E32" w:rsidRPr="00D96E32">
        <w:rPr>
          <w:lang w:eastAsia="en-AU"/>
        </w:rPr>
        <w:t xml:space="preserve"> Lord Kitchin</w:t>
      </w:r>
    </w:p>
    <w:p w14:paraId="770BA34D" w14:textId="77777777" w:rsidR="00D9157E" w:rsidRDefault="00D9157E" w:rsidP="00D9157E">
      <w:pPr>
        <w:rPr>
          <w:b/>
          <w:bCs/>
          <w:lang w:eastAsia="en-AU"/>
        </w:rPr>
      </w:pPr>
    </w:p>
    <w:p w14:paraId="1484A5E7" w14:textId="77777777" w:rsidR="00D9157E" w:rsidRDefault="00D9157E" w:rsidP="00D9157E">
      <w:pPr>
        <w:rPr>
          <w:b/>
          <w:bCs/>
          <w:lang w:eastAsia="en-AU"/>
        </w:rPr>
      </w:pPr>
      <w:r>
        <w:rPr>
          <w:b/>
          <w:bCs/>
          <w:lang w:eastAsia="en-AU"/>
        </w:rPr>
        <w:t>Catchwords:</w:t>
      </w:r>
    </w:p>
    <w:p w14:paraId="3FDD5C2B" w14:textId="77777777" w:rsidR="00D9157E" w:rsidRDefault="00D9157E" w:rsidP="00D9157E">
      <w:pPr>
        <w:rPr>
          <w:b/>
          <w:bCs/>
          <w:lang w:eastAsia="en-AU"/>
        </w:rPr>
      </w:pPr>
    </w:p>
    <w:p w14:paraId="2A25C1E0" w14:textId="46E4EDD1" w:rsidR="00D9157E" w:rsidRPr="003476ED" w:rsidRDefault="00D96E32" w:rsidP="00D9157E">
      <w:pPr>
        <w:pStyle w:val="Catchwords"/>
      </w:pPr>
      <w:r>
        <w:t>Company</w:t>
      </w:r>
      <w:r w:rsidR="00D9157E" w:rsidRPr="006A251F">
        <w:t xml:space="preserve"> law </w:t>
      </w:r>
      <w:r w:rsidR="00864420">
        <w:t>–</w:t>
      </w:r>
      <w:r>
        <w:t xml:space="preserve"> Directors' duties – Duty to act in interests of company – Interests of creditors – </w:t>
      </w:r>
      <w:r w:rsidR="00CD6630">
        <w:t>"</w:t>
      </w:r>
      <w:r>
        <w:t>Creditor duty</w:t>
      </w:r>
      <w:r w:rsidR="00CD6630">
        <w:t>"</w:t>
      </w:r>
      <w:r>
        <w:t xml:space="preserve"> – Where s 172(1) of </w:t>
      </w:r>
      <w:r>
        <w:rPr>
          <w:i/>
          <w:iCs/>
        </w:rPr>
        <w:t xml:space="preserve">Companies Act 2006 </w:t>
      </w:r>
      <w:r>
        <w:t xml:space="preserve">(UK) requires directors </w:t>
      </w:r>
      <w:r w:rsidR="001A5C63" w:rsidRPr="001A5C63">
        <w:t>to act in good faith to promote success of company for benefit of members as whole</w:t>
      </w:r>
      <w:r w:rsidR="001A5C63">
        <w:t xml:space="preserve"> – Where, in </w:t>
      </w:r>
      <w:r w:rsidR="001A5C63" w:rsidRPr="001A5C63">
        <w:rPr>
          <w:i/>
          <w:iCs/>
        </w:rPr>
        <w:t xml:space="preserve">West Mercia </w:t>
      </w:r>
      <w:proofErr w:type="spellStart"/>
      <w:r w:rsidR="001A5C63" w:rsidRPr="001A5C63">
        <w:rPr>
          <w:i/>
          <w:iCs/>
        </w:rPr>
        <w:t>Safetywear</w:t>
      </w:r>
      <w:proofErr w:type="spellEnd"/>
      <w:r w:rsidR="001A5C63" w:rsidRPr="001A5C63">
        <w:rPr>
          <w:i/>
          <w:iCs/>
        </w:rPr>
        <w:t xml:space="preserve"> Ltd (in </w:t>
      </w:r>
      <w:proofErr w:type="spellStart"/>
      <w:r w:rsidR="001A5C63" w:rsidRPr="001A5C63">
        <w:rPr>
          <w:i/>
          <w:iCs/>
        </w:rPr>
        <w:t>liq</w:t>
      </w:r>
      <w:proofErr w:type="spellEnd"/>
      <w:r w:rsidR="001A5C63" w:rsidRPr="001A5C63">
        <w:rPr>
          <w:i/>
          <w:iCs/>
        </w:rPr>
        <w:t xml:space="preserve">) v Dodd </w:t>
      </w:r>
      <w:r w:rsidR="001A5C63" w:rsidRPr="001A5C63">
        <w:t>[1988] BCLC 250</w:t>
      </w:r>
      <w:r w:rsidR="001A5C63">
        <w:t xml:space="preserve">, </w:t>
      </w:r>
      <w:r w:rsidR="001F6B02">
        <w:t xml:space="preserve">Court of Appeal held company's interests include interests of creditors as whole where company insolvent or bordering on insolvency </w:t>
      </w:r>
      <w:r w:rsidR="00D91B1C">
        <w:t>(</w:t>
      </w:r>
      <w:r w:rsidR="00CD6630">
        <w:t>"</w:t>
      </w:r>
      <w:r w:rsidR="00D91B1C">
        <w:t>creditor duty</w:t>
      </w:r>
      <w:r w:rsidR="00CD6630">
        <w:t>"</w:t>
      </w:r>
      <w:r w:rsidR="00D91B1C">
        <w:t xml:space="preserve"> or </w:t>
      </w:r>
      <w:r w:rsidR="00CD6630">
        <w:t>"</w:t>
      </w:r>
      <w:r w:rsidR="00D91B1C">
        <w:t xml:space="preserve">rule in </w:t>
      </w:r>
      <w:r w:rsidR="00D91B1C">
        <w:rPr>
          <w:i/>
          <w:iCs/>
        </w:rPr>
        <w:t>West Mercia</w:t>
      </w:r>
      <w:r w:rsidR="00CD6630">
        <w:t>"</w:t>
      </w:r>
      <w:r w:rsidR="00D91B1C">
        <w:t>)</w:t>
      </w:r>
      <w:r w:rsidR="00D91B1C">
        <w:rPr>
          <w:i/>
          <w:iCs/>
        </w:rPr>
        <w:t xml:space="preserve"> </w:t>
      </w:r>
      <w:r w:rsidR="001F6B02">
        <w:t xml:space="preserve">– </w:t>
      </w:r>
      <w:r w:rsidR="00D91B1C">
        <w:t xml:space="preserve">Where company directors caused distribution of dividend to sole shareholder – Where dividend complied with statutory scheme regulating payment of dividends and capital maintenance requirements – Where dividend paid in circumstances where company had long-term contingent liabilities which gave rise to </w:t>
      </w:r>
      <w:r w:rsidR="00CD6630">
        <w:t>"</w:t>
      </w:r>
      <w:r w:rsidR="00D91B1C">
        <w:t>real risk</w:t>
      </w:r>
      <w:r w:rsidR="00CD6630">
        <w:t>"</w:t>
      </w:r>
      <w:r w:rsidR="00D91B1C">
        <w:t xml:space="preserve">, although not probability, that company might become insolvent at uncertain but not imminent date in future – </w:t>
      </w:r>
      <w:r w:rsidRPr="00D96E32">
        <w:t>Whether</w:t>
      </w:r>
      <w:r>
        <w:t xml:space="preserve"> common law </w:t>
      </w:r>
      <w:r w:rsidR="00D91B1C">
        <w:t>creditor duty exists – Proper approach to content of creditor duty and timing at which creditor duty engaged – Whether duty applies to decision by directors to pay otherwise lawful dividend</w:t>
      </w:r>
      <w:r w:rsidR="00D9157E">
        <w:t xml:space="preserve">. </w:t>
      </w:r>
    </w:p>
    <w:p w14:paraId="058B8991" w14:textId="77777777" w:rsidR="00D9157E" w:rsidRPr="005E2809" w:rsidRDefault="00D9157E" w:rsidP="00D9157E">
      <w:pPr>
        <w:pStyle w:val="Catchwords"/>
      </w:pPr>
    </w:p>
    <w:p w14:paraId="55293553" w14:textId="1F553311" w:rsidR="00D9157E" w:rsidRDefault="00D9157E" w:rsidP="00D9157E">
      <w:pPr>
        <w:rPr>
          <w:lang w:eastAsia="en-AU"/>
        </w:rPr>
      </w:pPr>
      <w:r>
        <w:rPr>
          <w:b/>
          <w:bCs/>
          <w:lang w:eastAsia="en-AU"/>
        </w:rPr>
        <w:t>Held (5:0):</w:t>
      </w:r>
      <w:r w:rsidRPr="00FD6C82">
        <w:rPr>
          <w:lang w:eastAsia="en-AU"/>
        </w:rPr>
        <w:t xml:space="preserve"> </w:t>
      </w:r>
      <w:r>
        <w:rPr>
          <w:lang w:eastAsia="en-AU"/>
        </w:rPr>
        <w:t xml:space="preserve">Appeal </w:t>
      </w:r>
      <w:r w:rsidR="00D96E32">
        <w:rPr>
          <w:lang w:eastAsia="en-AU"/>
        </w:rPr>
        <w:t>dismissed</w:t>
      </w:r>
      <w:r>
        <w:rPr>
          <w:lang w:eastAsia="en-AU"/>
        </w:rPr>
        <w:t xml:space="preserve">. </w:t>
      </w:r>
    </w:p>
    <w:p w14:paraId="28EF8D17" w14:textId="059EEBA8" w:rsidR="00D9157E" w:rsidRDefault="00D9157E" w:rsidP="00D9157E">
      <w:pPr>
        <w:pStyle w:val="BullDivider2"/>
      </w:pPr>
    </w:p>
    <w:p w14:paraId="3CC33A1D" w14:textId="77777777" w:rsidR="00362029" w:rsidRPr="00362029" w:rsidRDefault="00362029" w:rsidP="00362029">
      <w:pPr>
        <w:rPr>
          <w:lang w:eastAsia="en-AU"/>
        </w:rPr>
      </w:pPr>
    </w:p>
    <w:p w14:paraId="3F303D91" w14:textId="5D8177A2" w:rsidR="00362029" w:rsidRDefault="00362029" w:rsidP="00362029">
      <w:pPr>
        <w:pStyle w:val="Heading1"/>
      </w:pPr>
      <w:bookmarkStart w:id="3" w:name="_Hlk118276429"/>
      <w:r>
        <w:t xml:space="preserve">Constitutional Law </w:t>
      </w:r>
    </w:p>
    <w:p w14:paraId="38B6BFFD" w14:textId="5D2A84DC" w:rsidR="00362029" w:rsidRDefault="00362029" w:rsidP="00362029">
      <w:pPr>
        <w:rPr>
          <w:lang w:eastAsia="en-AU"/>
        </w:rPr>
      </w:pPr>
    </w:p>
    <w:p w14:paraId="11741686" w14:textId="74842EE2" w:rsidR="00D814B0" w:rsidRDefault="00D814B0" w:rsidP="00D814B0">
      <w:pPr>
        <w:pStyle w:val="Heading2"/>
      </w:pPr>
      <w:r w:rsidRPr="00D814B0">
        <w:t xml:space="preserve">Blind SA v Minister of Trade, Industry and Competition </w:t>
      </w:r>
      <w:r>
        <w:t>&amp; Ors</w:t>
      </w:r>
    </w:p>
    <w:p w14:paraId="2D90C735" w14:textId="4917B07A" w:rsidR="00D814B0" w:rsidRDefault="00D814B0" w:rsidP="00D814B0">
      <w:pPr>
        <w:rPr>
          <w:lang w:eastAsia="en-AU"/>
        </w:rPr>
      </w:pPr>
      <w:r>
        <w:rPr>
          <w:b/>
          <w:bCs/>
          <w:lang w:eastAsia="en-AU"/>
        </w:rPr>
        <w:t>Constitutional Court of South Africa</w:t>
      </w:r>
      <w:r w:rsidRPr="006B0D58">
        <w:rPr>
          <w:b/>
          <w:bCs/>
          <w:lang w:eastAsia="en-AU"/>
        </w:rPr>
        <w:t>:</w:t>
      </w:r>
      <w:r>
        <w:rPr>
          <w:b/>
          <w:bCs/>
          <w:lang w:eastAsia="en-AU"/>
        </w:rPr>
        <w:t xml:space="preserve"> </w:t>
      </w:r>
      <w:hyperlink r:id="rId11" w:history="1">
        <w:r w:rsidRPr="00D814B0">
          <w:rPr>
            <w:rStyle w:val="Hyperlink"/>
          </w:rPr>
          <w:t>[2022] ZACC 33</w:t>
        </w:r>
      </w:hyperlink>
    </w:p>
    <w:p w14:paraId="2636FC65" w14:textId="77777777" w:rsidR="00D814B0" w:rsidRDefault="00D814B0" w:rsidP="00D814B0">
      <w:pPr>
        <w:rPr>
          <w:lang w:eastAsia="en-AU"/>
        </w:rPr>
      </w:pPr>
    </w:p>
    <w:p w14:paraId="267D74C0" w14:textId="09063E9F" w:rsidR="00D814B0" w:rsidRPr="00DB68FF" w:rsidRDefault="00D814B0" w:rsidP="00D814B0">
      <w:pPr>
        <w:rPr>
          <w:lang w:eastAsia="en-AU"/>
        </w:rPr>
      </w:pPr>
      <w:r>
        <w:rPr>
          <w:b/>
          <w:bCs/>
          <w:lang w:eastAsia="en-AU"/>
        </w:rPr>
        <w:t xml:space="preserve">Reasons delivered: </w:t>
      </w:r>
      <w:r>
        <w:rPr>
          <w:lang w:eastAsia="en-AU"/>
        </w:rPr>
        <w:t xml:space="preserve">21 September 2022 </w:t>
      </w:r>
    </w:p>
    <w:p w14:paraId="35F4BD39" w14:textId="77777777" w:rsidR="00D814B0" w:rsidRDefault="00D814B0" w:rsidP="00D814B0">
      <w:pPr>
        <w:rPr>
          <w:b/>
          <w:bCs/>
          <w:lang w:eastAsia="en-AU"/>
        </w:rPr>
      </w:pPr>
    </w:p>
    <w:p w14:paraId="090BF486" w14:textId="1AD6180F" w:rsidR="00D814B0" w:rsidRPr="00DB68FF" w:rsidRDefault="00D814B0" w:rsidP="00D814B0">
      <w:pPr>
        <w:rPr>
          <w:lang w:eastAsia="en-AU"/>
        </w:rPr>
      </w:pPr>
      <w:r>
        <w:rPr>
          <w:b/>
          <w:bCs/>
          <w:lang w:eastAsia="en-AU"/>
        </w:rPr>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sidRPr="00A67B0E">
        <w:rPr>
          <w:lang w:eastAsia="en-AU"/>
        </w:rPr>
        <w:t>, Mhlantla J</w:t>
      </w:r>
      <w:r>
        <w:rPr>
          <w:lang w:eastAsia="en-AU"/>
        </w:rPr>
        <w:t>J</w:t>
      </w:r>
      <w:r w:rsidRPr="00A67B0E">
        <w:rPr>
          <w:lang w:eastAsia="en-AU"/>
        </w:rPr>
        <w:t xml:space="preserve">, Mlambo AJ, </w:t>
      </w:r>
      <w:r>
        <w:rPr>
          <w:lang w:eastAsia="en-AU"/>
        </w:rPr>
        <w:t xml:space="preserve">Theron, </w:t>
      </w:r>
      <w:proofErr w:type="spellStart"/>
      <w:r w:rsidRPr="00A67B0E">
        <w:rPr>
          <w:lang w:eastAsia="en-AU"/>
        </w:rPr>
        <w:t>Tshiqi</w:t>
      </w:r>
      <w:proofErr w:type="spellEnd"/>
      <w:r w:rsidRPr="00A67B0E">
        <w:rPr>
          <w:lang w:eastAsia="en-AU"/>
        </w:rPr>
        <w:t xml:space="preserve"> </w:t>
      </w:r>
      <w:r>
        <w:rPr>
          <w:lang w:eastAsia="en-AU"/>
        </w:rPr>
        <w:t>J</w:t>
      </w:r>
      <w:r w:rsidRPr="00A67B0E">
        <w:rPr>
          <w:lang w:eastAsia="en-AU"/>
        </w:rPr>
        <w:t xml:space="preserve">J and </w:t>
      </w:r>
      <w:proofErr w:type="spellStart"/>
      <w:r w:rsidRPr="00A67B0E">
        <w:rPr>
          <w:lang w:eastAsia="en-AU"/>
        </w:rPr>
        <w:t>Unterhalter</w:t>
      </w:r>
      <w:proofErr w:type="spellEnd"/>
      <w:r w:rsidRPr="00A67B0E">
        <w:rPr>
          <w:lang w:eastAsia="en-AU"/>
        </w:rPr>
        <w:t xml:space="preserve"> AJ</w:t>
      </w:r>
    </w:p>
    <w:p w14:paraId="2AB070BA" w14:textId="77777777" w:rsidR="00D814B0" w:rsidRDefault="00D814B0" w:rsidP="00D814B0">
      <w:pPr>
        <w:rPr>
          <w:b/>
          <w:bCs/>
          <w:lang w:eastAsia="en-AU"/>
        </w:rPr>
      </w:pPr>
    </w:p>
    <w:p w14:paraId="4DE16450" w14:textId="77777777" w:rsidR="00D814B0" w:rsidRDefault="00D814B0" w:rsidP="00D814B0">
      <w:pPr>
        <w:rPr>
          <w:b/>
          <w:bCs/>
          <w:lang w:eastAsia="en-AU"/>
        </w:rPr>
      </w:pPr>
      <w:r>
        <w:rPr>
          <w:b/>
          <w:bCs/>
          <w:lang w:eastAsia="en-AU"/>
        </w:rPr>
        <w:lastRenderedPageBreak/>
        <w:t>Catchwords:</w:t>
      </w:r>
    </w:p>
    <w:p w14:paraId="5AD23B9C" w14:textId="77777777" w:rsidR="00D814B0" w:rsidRDefault="00D814B0" w:rsidP="00D814B0">
      <w:pPr>
        <w:rPr>
          <w:b/>
          <w:bCs/>
          <w:lang w:eastAsia="en-AU"/>
        </w:rPr>
      </w:pPr>
    </w:p>
    <w:p w14:paraId="4E45B4C0" w14:textId="44D77E1A" w:rsidR="00D814B0" w:rsidRPr="0034676E" w:rsidRDefault="00D814B0" w:rsidP="00D814B0">
      <w:pPr>
        <w:pStyle w:val="Catchwords"/>
      </w:pPr>
      <w:r>
        <w:t>Constitutional law – Discrimination – Visual and print disabilities –</w:t>
      </w:r>
      <w:r w:rsidR="00306C83">
        <w:t xml:space="preserve"> </w:t>
      </w:r>
      <w:r w:rsidR="00913B50">
        <w:t xml:space="preserve">Where </w:t>
      </w:r>
      <w:r w:rsidR="00913B50">
        <w:rPr>
          <w:i/>
          <w:iCs/>
        </w:rPr>
        <w:t>Copyright Act</w:t>
      </w:r>
      <w:r w:rsidR="00913B50">
        <w:t xml:space="preserve"> </w:t>
      </w:r>
      <w:r w:rsidR="00F845B8" w:rsidRPr="00D814B0">
        <w:rPr>
          <w:i/>
          <w:iCs/>
        </w:rPr>
        <w:t>98 of 1978</w:t>
      </w:r>
      <w:r w:rsidR="00F845B8" w:rsidRPr="00D814B0">
        <w:t xml:space="preserve"> </w:t>
      </w:r>
      <w:r w:rsidR="00913B50">
        <w:t xml:space="preserve">requires consent of copyright owner to convert works into formats suitable for use of persons with print and visual disabilities, such that such persons suffer limitations in accessing works – Where ss </w:t>
      </w:r>
      <w:r w:rsidR="00913B50" w:rsidRPr="00913B50">
        <w:t>9(3), 10, 16(1)(b), 29(1) and 30</w:t>
      </w:r>
      <w:r w:rsidR="00913B50">
        <w:t xml:space="preserve"> of </w:t>
      </w:r>
      <w:r w:rsidR="00913B50">
        <w:rPr>
          <w:i/>
          <w:iCs/>
        </w:rPr>
        <w:t>Constitution</w:t>
      </w:r>
      <w:r w:rsidR="00913B50">
        <w:t xml:space="preserve"> respectively prohibit </w:t>
      </w:r>
      <w:r w:rsidR="00913B50" w:rsidRPr="00913B50">
        <w:t>unfair discrimination on ground of disability</w:t>
      </w:r>
      <w:r w:rsidR="00913B50">
        <w:t>, provide right to human dignity, provide freedom to receive and impart information, provide right to further education and provide right to use of language</w:t>
      </w:r>
      <w:r w:rsidR="00F845B8">
        <w:t xml:space="preserve"> </w:t>
      </w:r>
      <w:r w:rsidR="00913B50">
        <w:t xml:space="preserve">– </w:t>
      </w:r>
      <w:r w:rsidR="00A551AC">
        <w:t xml:space="preserve">Where </w:t>
      </w:r>
      <w:r w:rsidR="00A551AC" w:rsidRPr="00D814B0">
        <w:t xml:space="preserve">High Court </w:t>
      </w:r>
      <w:r w:rsidR="00A551AC">
        <w:t xml:space="preserve">declared </w:t>
      </w:r>
      <w:r w:rsidR="00A551AC" w:rsidRPr="00D814B0">
        <w:rPr>
          <w:i/>
          <w:iCs/>
        </w:rPr>
        <w:t xml:space="preserve">Copyright Act </w:t>
      </w:r>
      <w:r w:rsidR="00A551AC" w:rsidRPr="00D814B0">
        <w:t xml:space="preserve">unconstitutional, to extent that </w:t>
      </w:r>
      <w:r w:rsidR="00A551AC">
        <w:rPr>
          <w:i/>
          <w:iCs/>
        </w:rPr>
        <w:t xml:space="preserve">Copyright </w:t>
      </w:r>
      <w:r w:rsidR="00A551AC" w:rsidRPr="00D814B0">
        <w:rPr>
          <w:i/>
          <w:iCs/>
        </w:rPr>
        <w:t>Act</w:t>
      </w:r>
      <w:r w:rsidR="00A551AC" w:rsidRPr="00D814B0">
        <w:t>: (a) limits and/or prevents persons with visual and print disabilities from accessing works under copyright that persons without such disabilities are able to access; and (b) does not include provisions designed to ensure that persons with visual and print disabilities are able to access works under copyright in manner contemplated by Marrakesh Treaty</w:t>
      </w:r>
      <w:r w:rsidR="00A551AC">
        <w:t xml:space="preserve"> – </w:t>
      </w:r>
      <w:r w:rsidR="00913B50">
        <w:t xml:space="preserve">Whether </w:t>
      </w:r>
      <w:r w:rsidR="00913B50" w:rsidRPr="00D814B0">
        <w:rPr>
          <w:i/>
          <w:iCs/>
        </w:rPr>
        <w:t xml:space="preserve">Copyright Act </w:t>
      </w:r>
      <w:r w:rsidR="00913B50">
        <w:t>unconstitutional in manner declared by High Court</w:t>
      </w:r>
      <w:r>
        <w:t xml:space="preserve">. </w:t>
      </w:r>
    </w:p>
    <w:p w14:paraId="633404DC" w14:textId="77777777" w:rsidR="00D814B0" w:rsidRPr="005E2809" w:rsidRDefault="00D814B0" w:rsidP="00D814B0">
      <w:pPr>
        <w:pStyle w:val="Catchwords"/>
      </w:pPr>
    </w:p>
    <w:p w14:paraId="5DAB6754" w14:textId="342F7542" w:rsidR="00D814B0" w:rsidRDefault="00D814B0" w:rsidP="00D814B0">
      <w:pPr>
        <w:rPr>
          <w:lang w:eastAsia="en-AU"/>
        </w:rPr>
      </w:pPr>
      <w:r>
        <w:rPr>
          <w:b/>
          <w:bCs/>
          <w:lang w:eastAsia="en-AU"/>
        </w:rPr>
        <w:t>Held (9:0):</w:t>
      </w:r>
      <w:r w:rsidRPr="00FD6C82">
        <w:rPr>
          <w:lang w:eastAsia="en-AU"/>
        </w:rPr>
        <w:t xml:space="preserve"> </w:t>
      </w:r>
      <w:r w:rsidR="00F845B8">
        <w:rPr>
          <w:lang w:eastAsia="en-AU"/>
        </w:rPr>
        <w:t>Order of the High Court confirmed</w:t>
      </w:r>
      <w:r>
        <w:rPr>
          <w:lang w:eastAsia="en-AU"/>
        </w:rPr>
        <w:t xml:space="preserve">.   </w:t>
      </w:r>
    </w:p>
    <w:p w14:paraId="4FBA6A66" w14:textId="13A7E194" w:rsidR="00D814B0" w:rsidRDefault="00D814B0" w:rsidP="00D814B0">
      <w:pPr>
        <w:pStyle w:val="BullDivider1"/>
      </w:pPr>
    </w:p>
    <w:p w14:paraId="2A8598FF" w14:textId="34463E06" w:rsidR="00D814B0" w:rsidRDefault="00D814B0" w:rsidP="00D814B0">
      <w:pPr>
        <w:rPr>
          <w:lang w:eastAsia="en-AU"/>
        </w:rPr>
      </w:pPr>
    </w:p>
    <w:p w14:paraId="78567579" w14:textId="6C1045E2" w:rsidR="000839C7" w:rsidRDefault="000839C7" w:rsidP="000839C7">
      <w:pPr>
        <w:pStyle w:val="Heading2"/>
      </w:pPr>
      <w:r w:rsidRPr="000839C7">
        <w:t>Centre for Child Law v Director of Public Prosecutions, Johannesburg</w:t>
      </w:r>
      <w:r>
        <w:t xml:space="preserve"> &amp; Ors </w:t>
      </w:r>
    </w:p>
    <w:p w14:paraId="27E59F31" w14:textId="478AE6D1" w:rsidR="000839C7" w:rsidRDefault="000839C7" w:rsidP="000839C7">
      <w:pPr>
        <w:rPr>
          <w:lang w:eastAsia="en-AU"/>
        </w:rPr>
      </w:pPr>
      <w:r>
        <w:rPr>
          <w:b/>
          <w:bCs/>
          <w:lang w:eastAsia="en-AU"/>
        </w:rPr>
        <w:t>Constitutional Court of South Africa</w:t>
      </w:r>
      <w:r w:rsidRPr="006B0D58">
        <w:rPr>
          <w:b/>
          <w:bCs/>
          <w:lang w:eastAsia="en-AU"/>
        </w:rPr>
        <w:t>:</w:t>
      </w:r>
      <w:r>
        <w:rPr>
          <w:b/>
          <w:bCs/>
          <w:lang w:eastAsia="en-AU"/>
        </w:rPr>
        <w:t xml:space="preserve"> </w:t>
      </w:r>
      <w:hyperlink r:id="rId12" w:history="1">
        <w:r w:rsidRPr="000839C7">
          <w:rPr>
            <w:rStyle w:val="Hyperlink"/>
          </w:rPr>
          <w:t>[2022] ZACC 35</w:t>
        </w:r>
      </w:hyperlink>
    </w:p>
    <w:p w14:paraId="2F18D492" w14:textId="77777777" w:rsidR="000839C7" w:rsidRDefault="000839C7" w:rsidP="000839C7">
      <w:pPr>
        <w:rPr>
          <w:lang w:eastAsia="en-AU"/>
        </w:rPr>
      </w:pPr>
    </w:p>
    <w:p w14:paraId="669FC099" w14:textId="40932234" w:rsidR="000839C7" w:rsidRPr="00DB68FF" w:rsidRDefault="000839C7" w:rsidP="000839C7">
      <w:pPr>
        <w:rPr>
          <w:lang w:eastAsia="en-AU"/>
        </w:rPr>
      </w:pPr>
      <w:r>
        <w:rPr>
          <w:b/>
          <w:bCs/>
          <w:lang w:eastAsia="en-AU"/>
        </w:rPr>
        <w:t xml:space="preserve">Reasons delivered: </w:t>
      </w:r>
      <w:r>
        <w:rPr>
          <w:lang w:eastAsia="en-AU"/>
        </w:rPr>
        <w:t xml:space="preserve">29 September 2022 </w:t>
      </w:r>
    </w:p>
    <w:p w14:paraId="19ACAC70" w14:textId="77777777" w:rsidR="000839C7" w:rsidRDefault="000839C7" w:rsidP="000839C7">
      <w:pPr>
        <w:rPr>
          <w:b/>
          <w:bCs/>
          <w:lang w:eastAsia="en-AU"/>
        </w:rPr>
      </w:pPr>
    </w:p>
    <w:p w14:paraId="10600C06" w14:textId="7506D065" w:rsidR="000839C7" w:rsidRPr="00DB68FF" w:rsidRDefault="000839C7" w:rsidP="000839C7">
      <w:pPr>
        <w:rPr>
          <w:lang w:eastAsia="en-AU"/>
        </w:rPr>
      </w:pPr>
      <w:r>
        <w:rPr>
          <w:b/>
          <w:bCs/>
          <w:lang w:eastAsia="en-AU"/>
        </w:rPr>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Pr>
          <w:lang w:eastAsia="en-AU"/>
        </w:rPr>
        <w:t xml:space="preserve"> JJ</w:t>
      </w:r>
      <w:r w:rsidRPr="00A67B0E">
        <w:rPr>
          <w:lang w:eastAsia="en-AU"/>
        </w:rPr>
        <w:t xml:space="preserve">, </w:t>
      </w:r>
      <w:r w:rsidRPr="000839C7">
        <w:rPr>
          <w:lang w:eastAsia="en-AU"/>
        </w:rPr>
        <w:t xml:space="preserve">Mlambo AJ, Mhlantla, Theron, </w:t>
      </w:r>
      <w:proofErr w:type="spellStart"/>
      <w:r w:rsidRPr="000839C7">
        <w:rPr>
          <w:lang w:eastAsia="en-AU"/>
        </w:rPr>
        <w:t>Tshiqi</w:t>
      </w:r>
      <w:proofErr w:type="spellEnd"/>
      <w:r w:rsidRPr="000839C7">
        <w:rPr>
          <w:lang w:eastAsia="en-AU"/>
        </w:rPr>
        <w:t xml:space="preserve"> J</w:t>
      </w:r>
      <w:r>
        <w:rPr>
          <w:lang w:eastAsia="en-AU"/>
        </w:rPr>
        <w:t>J</w:t>
      </w:r>
      <w:r w:rsidRPr="000839C7">
        <w:rPr>
          <w:lang w:eastAsia="en-AU"/>
        </w:rPr>
        <w:t xml:space="preserve"> and </w:t>
      </w:r>
      <w:proofErr w:type="spellStart"/>
      <w:r w:rsidRPr="000839C7">
        <w:rPr>
          <w:lang w:eastAsia="en-AU"/>
        </w:rPr>
        <w:t>Unterhalter</w:t>
      </w:r>
      <w:proofErr w:type="spellEnd"/>
      <w:r w:rsidRPr="000839C7">
        <w:rPr>
          <w:lang w:eastAsia="en-AU"/>
        </w:rPr>
        <w:t xml:space="preserve"> AJ</w:t>
      </w:r>
    </w:p>
    <w:p w14:paraId="4FB9F2A8" w14:textId="77777777" w:rsidR="000839C7" w:rsidRDefault="000839C7" w:rsidP="000839C7">
      <w:pPr>
        <w:rPr>
          <w:b/>
          <w:bCs/>
          <w:lang w:eastAsia="en-AU"/>
        </w:rPr>
      </w:pPr>
    </w:p>
    <w:p w14:paraId="2B9F04E1" w14:textId="77777777" w:rsidR="000839C7" w:rsidRDefault="000839C7" w:rsidP="000839C7">
      <w:pPr>
        <w:rPr>
          <w:b/>
          <w:bCs/>
          <w:lang w:eastAsia="en-AU"/>
        </w:rPr>
      </w:pPr>
      <w:r>
        <w:rPr>
          <w:b/>
          <w:bCs/>
          <w:lang w:eastAsia="en-AU"/>
        </w:rPr>
        <w:t>Catchwords:</w:t>
      </w:r>
    </w:p>
    <w:p w14:paraId="0E8AEA28" w14:textId="77777777" w:rsidR="000839C7" w:rsidRDefault="000839C7" w:rsidP="000839C7">
      <w:pPr>
        <w:rPr>
          <w:b/>
          <w:bCs/>
          <w:lang w:eastAsia="en-AU"/>
        </w:rPr>
      </w:pPr>
    </w:p>
    <w:p w14:paraId="0245BFC6" w14:textId="34C3227E" w:rsidR="000839C7" w:rsidRPr="0034676E" w:rsidRDefault="000839C7" w:rsidP="000839C7">
      <w:pPr>
        <w:pStyle w:val="Catchwords"/>
      </w:pPr>
      <w:r>
        <w:t>Constitutional law – Best interest</w:t>
      </w:r>
      <w:r w:rsidR="00F845B8">
        <w:t>s</w:t>
      </w:r>
      <w:r>
        <w:t xml:space="preserve"> of child – Criminalisation of use and/or possession of cannabis by child – Where s</w:t>
      </w:r>
      <w:r w:rsidRPr="000839C7">
        <w:t xml:space="preserve"> 28(2) </w:t>
      </w:r>
      <w:r>
        <w:t xml:space="preserve">of </w:t>
      </w:r>
      <w:r>
        <w:rPr>
          <w:i/>
          <w:iCs/>
        </w:rPr>
        <w:t xml:space="preserve">Constitution </w:t>
      </w:r>
      <w:r w:rsidRPr="000839C7">
        <w:t xml:space="preserve">states child’s best interests are of paramount importance in every matter concerning </w:t>
      </w:r>
      <w:r>
        <w:t xml:space="preserve">child – Where s 4(b) of  </w:t>
      </w:r>
      <w:r w:rsidRPr="000839C7">
        <w:rPr>
          <w:i/>
          <w:iCs/>
        </w:rPr>
        <w:t>Drugs and Drug Trafficking Act 140 of 1992</w:t>
      </w:r>
      <w:r w:rsidRPr="000839C7">
        <w:t xml:space="preserve"> </w:t>
      </w:r>
      <w:r>
        <w:t xml:space="preserve">prohibits use and possession of </w:t>
      </w:r>
      <w:r w:rsidR="00CD6630">
        <w:t>"</w:t>
      </w:r>
      <w:r>
        <w:t>any dangerous dependence-producing substance</w:t>
      </w:r>
      <w:r w:rsidR="00CD6630">
        <w:t>"</w:t>
      </w:r>
      <w:r>
        <w:t xml:space="preserve"> or </w:t>
      </w:r>
      <w:r w:rsidR="00CD6630">
        <w:t>"</w:t>
      </w:r>
      <w:r>
        <w:t>any undesirable dependence-producing substance</w:t>
      </w:r>
      <w:r w:rsidR="00CD6630">
        <w:t>"</w:t>
      </w:r>
      <w:r>
        <w:t xml:space="preserve">, including cannabis – Where High Court </w:t>
      </w:r>
      <w:r w:rsidRPr="000839C7">
        <w:t>declar</w:t>
      </w:r>
      <w:r>
        <w:t>ed</w:t>
      </w:r>
      <w:r w:rsidRPr="000839C7">
        <w:t xml:space="preserve"> </w:t>
      </w:r>
      <w:r>
        <w:t>s</w:t>
      </w:r>
      <w:r w:rsidRPr="000839C7">
        <w:t xml:space="preserve"> 4(b) to be inconsistent with </w:t>
      </w:r>
      <w:r w:rsidRPr="000839C7">
        <w:rPr>
          <w:i/>
          <w:iCs/>
        </w:rPr>
        <w:t>Constitution</w:t>
      </w:r>
      <w:r w:rsidRPr="000839C7">
        <w:t xml:space="preserve"> and invalid to extent </w:t>
      </w:r>
      <w:r w:rsidR="00F845B8">
        <w:t>s 4(b)</w:t>
      </w:r>
      <w:r w:rsidRPr="000839C7">
        <w:t xml:space="preserve"> criminalises use and/or possession of cannabis by child</w:t>
      </w:r>
      <w:r>
        <w:t xml:space="preserve"> – Whether to confirm High Court order – Whether s 4(b) inconsistent with </w:t>
      </w:r>
      <w:r>
        <w:rPr>
          <w:i/>
          <w:iCs/>
        </w:rPr>
        <w:t>Constitution</w:t>
      </w:r>
      <w:r>
        <w:t xml:space="preserve">.  </w:t>
      </w:r>
    </w:p>
    <w:p w14:paraId="48DACE18" w14:textId="77777777" w:rsidR="000839C7" w:rsidRPr="005E2809" w:rsidRDefault="000839C7" w:rsidP="000839C7">
      <w:pPr>
        <w:pStyle w:val="Catchwords"/>
      </w:pPr>
    </w:p>
    <w:p w14:paraId="0D214D49" w14:textId="7AC0DD5C" w:rsidR="000839C7" w:rsidRDefault="000839C7" w:rsidP="000839C7">
      <w:pPr>
        <w:rPr>
          <w:lang w:eastAsia="en-AU"/>
        </w:rPr>
      </w:pPr>
      <w:r>
        <w:rPr>
          <w:b/>
          <w:bCs/>
          <w:lang w:eastAsia="en-AU"/>
        </w:rPr>
        <w:t>Held (9:0):</w:t>
      </w:r>
      <w:r w:rsidRPr="00FD6C82">
        <w:rPr>
          <w:lang w:eastAsia="en-AU"/>
        </w:rPr>
        <w:t xml:space="preserve"> </w:t>
      </w:r>
      <w:r>
        <w:rPr>
          <w:lang w:eastAsia="en-AU"/>
        </w:rPr>
        <w:t xml:space="preserve">Order of </w:t>
      </w:r>
      <w:r w:rsidR="00F845B8">
        <w:rPr>
          <w:lang w:eastAsia="en-AU"/>
        </w:rPr>
        <w:t xml:space="preserve">the </w:t>
      </w:r>
      <w:r>
        <w:rPr>
          <w:lang w:eastAsia="en-AU"/>
        </w:rPr>
        <w:t xml:space="preserve">High Court </w:t>
      </w:r>
      <w:r w:rsidRPr="000839C7">
        <w:rPr>
          <w:lang w:eastAsia="en-AU"/>
        </w:rPr>
        <w:t>confirmed</w:t>
      </w:r>
      <w:r>
        <w:rPr>
          <w:lang w:eastAsia="en-AU"/>
        </w:rPr>
        <w:t xml:space="preserve">.   </w:t>
      </w:r>
    </w:p>
    <w:p w14:paraId="519E967A" w14:textId="77777777" w:rsidR="000839C7" w:rsidRDefault="000839C7" w:rsidP="000839C7">
      <w:pPr>
        <w:pStyle w:val="BullDivider1"/>
      </w:pPr>
    </w:p>
    <w:p w14:paraId="5075693A" w14:textId="77777777" w:rsidR="00864420" w:rsidRPr="000545EC" w:rsidRDefault="00864420" w:rsidP="00864420">
      <w:pPr>
        <w:rPr>
          <w:lang w:eastAsia="en-AU"/>
        </w:rPr>
      </w:pPr>
    </w:p>
    <w:p w14:paraId="4352B89A" w14:textId="27439DDD" w:rsidR="00864420" w:rsidRDefault="00864420" w:rsidP="00864420">
      <w:pPr>
        <w:pStyle w:val="Heading2"/>
      </w:pPr>
      <w:r>
        <w:t xml:space="preserve">R v </w:t>
      </w:r>
      <w:r w:rsidRPr="00864420">
        <w:t>Ndhlovu</w:t>
      </w:r>
    </w:p>
    <w:p w14:paraId="5780C050" w14:textId="72D91CB4" w:rsidR="00864420" w:rsidRDefault="00864420" w:rsidP="00864420">
      <w:pPr>
        <w:rPr>
          <w:lang w:eastAsia="en-AU"/>
        </w:rPr>
      </w:pPr>
      <w:r>
        <w:rPr>
          <w:b/>
          <w:bCs/>
          <w:lang w:eastAsia="en-AU"/>
        </w:rPr>
        <w:t>Supreme Court of Canada</w:t>
      </w:r>
      <w:r w:rsidRPr="006B0D58">
        <w:rPr>
          <w:b/>
          <w:bCs/>
          <w:lang w:eastAsia="en-AU"/>
        </w:rPr>
        <w:t>:</w:t>
      </w:r>
      <w:r>
        <w:rPr>
          <w:lang w:eastAsia="en-AU"/>
        </w:rPr>
        <w:t xml:space="preserve"> </w:t>
      </w:r>
      <w:hyperlink r:id="rId13" w:history="1">
        <w:r w:rsidRPr="00864420">
          <w:rPr>
            <w:rStyle w:val="Hyperlink"/>
          </w:rPr>
          <w:t>[2022] SCC 38</w:t>
        </w:r>
      </w:hyperlink>
      <w:r>
        <w:t xml:space="preserve"> </w:t>
      </w:r>
    </w:p>
    <w:p w14:paraId="015EAB23" w14:textId="77777777" w:rsidR="00864420" w:rsidRDefault="00864420" w:rsidP="00864420">
      <w:pPr>
        <w:rPr>
          <w:lang w:eastAsia="en-AU"/>
        </w:rPr>
      </w:pPr>
    </w:p>
    <w:p w14:paraId="27D80AAC" w14:textId="3E6C5073" w:rsidR="00864420" w:rsidRPr="00DB68FF" w:rsidRDefault="00864420" w:rsidP="00864420">
      <w:pPr>
        <w:rPr>
          <w:lang w:eastAsia="en-AU"/>
        </w:rPr>
      </w:pPr>
      <w:r>
        <w:rPr>
          <w:b/>
          <w:bCs/>
          <w:lang w:eastAsia="en-AU"/>
        </w:rPr>
        <w:t xml:space="preserve">Judgment delivered: </w:t>
      </w:r>
      <w:r w:rsidRPr="00864420">
        <w:rPr>
          <w:lang w:eastAsia="en-AU"/>
        </w:rPr>
        <w:t>2</w:t>
      </w:r>
      <w:r>
        <w:rPr>
          <w:lang w:eastAsia="en-AU"/>
        </w:rPr>
        <w:t xml:space="preserve">8 October 2022 </w:t>
      </w:r>
    </w:p>
    <w:p w14:paraId="261E41BA" w14:textId="77777777" w:rsidR="00864420" w:rsidRDefault="00864420" w:rsidP="00864420">
      <w:pPr>
        <w:rPr>
          <w:b/>
          <w:bCs/>
          <w:lang w:eastAsia="en-AU"/>
        </w:rPr>
      </w:pPr>
    </w:p>
    <w:p w14:paraId="71CC485C" w14:textId="77777777" w:rsidR="00864420" w:rsidRPr="00DB68FF" w:rsidRDefault="00864420" w:rsidP="00864420">
      <w:pPr>
        <w:rPr>
          <w:lang w:eastAsia="en-AU"/>
        </w:rPr>
      </w:pPr>
      <w:r>
        <w:rPr>
          <w:b/>
          <w:bCs/>
          <w:lang w:eastAsia="en-AU"/>
        </w:rPr>
        <w:lastRenderedPageBreak/>
        <w:t>Coram:</w:t>
      </w:r>
      <w:r w:rsidRPr="00DB68FF">
        <w:t xml:space="preserve"> </w:t>
      </w:r>
      <w:r w:rsidRPr="00944A5D">
        <w:rPr>
          <w:lang w:eastAsia="en-AU"/>
        </w:rPr>
        <w:t xml:space="preserve">Wagner </w:t>
      </w:r>
      <w:r>
        <w:rPr>
          <w:lang w:eastAsia="en-AU"/>
        </w:rPr>
        <w:t xml:space="preserve">CJ, </w:t>
      </w:r>
      <w:r w:rsidRPr="00944A5D">
        <w:rPr>
          <w:lang w:eastAsia="en-AU"/>
        </w:rPr>
        <w:t>Moldaver, Karakatsanis, Côté, Brown, Rowe, Martin, Kasirer and Jamal JJ</w:t>
      </w:r>
    </w:p>
    <w:p w14:paraId="4500D411" w14:textId="77777777" w:rsidR="00864420" w:rsidRDefault="00864420" w:rsidP="00864420">
      <w:pPr>
        <w:rPr>
          <w:b/>
          <w:bCs/>
          <w:lang w:eastAsia="en-AU"/>
        </w:rPr>
      </w:pPr>
    </w:p>
    <w:p w14:paraId="4BD45BEE" w14:textId="77777777" w:rsidR="00864420" w:rsidRDefault="00864420" w:rsidP="00864420">
      <w:pPr>
        <w:rPr>
          <w:b/>
          <w:bCs/>
          <w:lang w:eastAsia="en-AU"/>
        </w:rPr>
      </w:pPr>
      <w:r>
        <w:rPr>
          <w:b/>
          <w:bCs/>
          <w:lang w:eastAsia="en-AU"/>
        </w:rPr>
        <w:t>Catchwords:</w:t>
      </w:r>
    </w:p>
    <w:p w14:paraId="2CD78571" w14:textId="77777777" w:rsidR="00864420" w:rsidRDefault="00864420" w:rsidP="00864420">
      <w:pPr>
        <w:rPr>
          <w:b/>
          <w:bCs/>
          <w:lang w:eastAsia="en-AU"/>
        </w:rPr>
      </w:pPr>
    </w:p>
    <w:p w14:paraId="6326FA91" w14:textId="63F710E9" w:rsidR="00864420" w:rsidRPr="000F0E0C" w:rsidRDefault="00864420" w:rsidP="00864420">
      <w:pPr>
        <w:pStyle w:val="Catchwords"/>
      </w:pPr>
      <w:r w:rsidRPr="00864420">
        <w:t xml:space="preserve">Constitutional law </w:t>
      </w:r>
      <w:r>
        <w:t>–</w:t>
      </w:r>
      <w:r w:rsidRPr="00864420">
        <w:t xml:space="preserve"> Charter of Rights </w:t>
      </w:r>
      <w:r>
        <w:t>–</w:t>
      </w:r>
      <w:r w:rsidRPr="00864420">
        <w:t xml:space="preserve"> Right to liberty </w:t>
      </w:r>
      <w:r>
        <w:t>–</w:t>
      </w:r>
      <w:r w:rsidRPr="00864420">
        <w:t xml:space="preserve"> Fundamental justice </w:t>
      </w:r>
      <w:r>
        <w:t>–</w:t>
      </w:r>
      <w:r w:rsidRPr="00864420">
        <w:t xml:space="preserve"> Remedy </w:t>
      </w:r>
      <w:r>
        <w:t>–</w:t>
      </w:r>
      <w:r w:rsidRPr="00864420">
        <w:t xml:space="preserve"> </w:t>
      </w:r>
      <w:r>
        <w:t>Where s</w:t>
      </w:r>
      <w:r w:rsidRPr="00864420">
        <w:t xml:space="preserve"> 490.012 of </w:t>
      </w:r>
      <w:r w:rsidRPr="00864420">
        <w:rPr>
          <w:i/>
          <w:iCs/>
        </w:rPr>
        <w:t>Criminal Code</w:t>
      </w:r>
      <w:r w:rsidRPr="00864420">
        <w:t xml:space="preserve"> requir</w:t>
      </w:r>
      <w:r>
        <w:t>ed</w:t>
      </w:r>
      <w:r w:rsidRPr="00864420">
        <w:t xml:space="preserve"> mandatory registration on national sex offender registry of offenders found guilty of designated sexual offences </w:t>
      </w:r>
      <w:r>
        <w:t>–</w:t>
      </w:r>
      <w:r w:rsidRPr="00864420">
        <w:t xml:space="preserve"> </w:t>
      </w:r>
      <w:r>
        <w:t>Where s</w:t>
      </w:r>
      <w:r w:rsidRPr="00864420">
        <w:t xml:space="preserve"> 490.013(2.1) of </w:t>
      </w:r>
      <w:r w:rsidRPr="00864420">
        <w:rPr>
          <w:i/>
          <w:iCs/>
        </w:rPr>
        <w:t>Criminal Code</w:t>
      </w:r>
      <w:r w:rsidRPr="00864420">
        <w:t xml:space="preserve"> requir</w:t>
      </w:r>
      <w:r>
        <w:t>ed</w:t>
      </w:r>
      <w:r w:rsidRPr="00864420">
        <w:t xml:space="preserve"> lifetime registration for offenders convicted of more than one designated offence </w:t>
      </w:r>
      <w:r>
        <w:t>–</w:t>
      </w:r>
      <w:r w:rsidRPr="00864420">
        <w:t xml:space="preserve"> Whether provisions infringe right to liberty of offenders </w:t>
      </w:r>
      <w:r>
        <w:t>–</w:t>
      </w:r>
      <w:r w:rsidR="00F845B8">
        <w:t xml:space="preserve"> W</w:t>
      </w:r>
      <w:r w:rsidRPr="00864420">
        <w:t>hether</w:t>
      </w:r>
      <w:r w:rsidR="00F845B8">
        <w:t>, if so,</w:t>
      </w:r>
      <w:r w:rsidRPr="00864420">
        <w:t xml:space="preserve"> infringement justified </w:t>
      </w:r>
      <w:r>
        <w:t>–</w:t>
      </w:r>
      <w:r w:rsidRPr="00864420">
        <w:t xml:space="preserve"> Appropriate remedy if right to liberty unjustifiably infringed </w:t>
      </w:r>
      <w:r>
        <w:t>–</w:t>
      </w:r>
      <w:r w:rsidRPr="00864420">
        <w:t xml:space="preserve"> </w:t>
      </w:r>
      <w:r w:rsidRPr="00864420">
        <w:rPr>
          <w:i/>
          <w:iCs/>
        </w:rPr>
        <w:t>Constitution Act</w:t>
      </w:r>
      <w:r w:rsidRPr="00864420">
        <w:t xml:space="preserve">, 1982, s 52(1) </w:t>
      </w:r>
      <w:r>
        <w:t>–</w:t>
      </w:r>
      <w:r w:rsidRPr="00864420">
        <w:t xml:space="preserve"> </w:t>
      </w:r>
      <w:r w:rsidRPr="00864420">
        <w:rPr>
          <w:i/>
          <w:iCs/>
        </w:rPr>
        <w:t>Canadian Charter of Rights and Freedoms</w:t>
      </w:r>
      <w:r w:rsidRPr="00864420">
        <w:t xml:space="preserve">, ss 1, 7 </w:t>
      </w:r>
      <w:r>
        <w:t>–</w:t>
      </w:r>
      <w:r w:rsidRPr="00864420">
        <w:t xml:space="preserve"> </w:t>
      </w:r>
      <w:r w:rsidRPr="00864420">
        <w:rPr>
          <w:i/>
          <w:iCs/>
        </w:rPr>
        <w:t>Criminal Code</w:t>
      </w:r>
      <w:r w:rsidRPr="00864420">
        <w:t xml:space="preserve">, </w:t>
      </w:r>
      <w:r>
        <w:t>RSC</w:t>
      </w:r>
      <w:r w:rsidRPr="00864420">
        <w:t xml:space="preserve"> 1985, c C</w:t>
      </w:r>
      <w:r w:rsidRPr="00864420">
        <w:rPr>
          <w:rFonts w:ascii="Cambria Math" w:hAnsi="Cambria Math" w:cs="Cambria Math"/>
        </w:rPr>
        <w:t>‑</w:t>
      </w:r>
      <w:r w:rsidRPr="00864420">
        <w:t xml:space="preserve">46, ss 490.012, 490.013(2.1) </w:t>
      </w:r>
      <w:r>
        <w:rPr>
          <w:rFonts w:cs="Verdana"/>
        </w:rPr>
        <w:t>–</w:t>
      </w:r>
      <w:r w:rsidRPr="00864420">
        <w:t xml:space="preserve"> </w:t>
      </w:r>
      <w:r w:rsidRPr="00864420">
        <w:rPr>
          <w:i/>
          <w:iCs/>
        </w:rPr>
        <w:t>Sex Offender Information Registration Act</w:t>
      </w:r>
      <w:r w:rsidRPr="00864420">
        <w:t xml:space="preserve">, </w:t>
      </w:r>
      <w:r>
        <w:t>SC</w:t>
      </w:r>
      <w:r w:rsidRPr="00864420">
        <w:t xml:space="preserve"> 2004, c 10.</w:t>
      </w:r>
    </w:p>
    <w:p w14:paraId="6967878E" w14:textId="77777777" w:rsidR="00864420" w:rsidRPr="005E2809" w:rsidRDefault="00864420" w:rsidP="00864420">
      <w:pPr>
        <w:pStyle w:val="Catchwords"/>
      </w:pPr>
    </w:p>
    <w:p w14:paraId="43C84E98" w14:textId="109234F0" w:rsidR="00864420" w:rsidRDefault="00864420" w:rsidP="00864420">
      <w:pPr>
        <w:rPr>
          <w:lang w:eastAsia="en-AU"/>
        </w:rPr>
      </w:pPr>
      <w:r>
        <w:rPr>
          <w:b/>
          <w:bCs/>
          <w:lang w:eastAsia="en-AU"/>
        </w:rPr>
        <w:t>Held (5:4):</w:t>
      </w:r>
      <w:r w:rsidRPr="00FD6C82">
        <w:rPr>
          <w:lang w:eastAsia="en-AU"/>
        </w:rPr>
        <w:t xml:space="preserve"> </w:t>
      </w:r>
      <w:r>
        <w:rPr>
          <w:lang w:eastAsia="en-AU"/>
        </w:rPr>
        <w:t xml:space="preserve">Appeal allowed. </w:t>
      </w:r>
    </w:p>
    <w:p w14:paraId="767BE84B" w14:textId="77777777" w:rsidR="00864420" w:rsidRDefault="00864420" w:rsidP="00864420">
      <w:pPr>
        <w:pStyle w:val="BullDivider1"/>
      </w:pPr>
    </w:p>
    <w:p w14:paraId="273D5E46" w14:textId="77777777" w:rsidR="000839C7" w:rsidRPr="00D814B0" w:rsidRDefault="000839C7" w:rsidP="00D814B0">
      <w:pPr>
        <w:rPr>
          <w:lang w:eastAsia="en-AU"/>
        </w:rPr>
      </w:pPr>
    </w:p>
    <w:p w14:paraId="798C0A53" w14:textId="5B6513EE" w:rsidR="00A67B0E" w:rsidRDefault="00A67B0E" w:rsidP="00A67B0E">
      <w:pPr>
        <w:pStyle w:val="Heading2"/>
      </w:pPr>
      <w:proofErr w:type="spellStart"/>
      <w:r w:rsidRPr="00A67B0E">
        <w:t>Rafoneke</w:t>
      </w:r>
      <w:proofErr w:type="spellEnd"/>
      <w:r w:rsidRPr="00A67B0E">
        <w:t xml:space="preserve"> </w:t>
      </w:r>
      <w:r>
        <w:t xml:space="preserve">&amp; </w:t>
      </w:r>
      <w:proofErr w:type="spellStart"/>
      <w:r>
        <w:t>Ors</w:t>
      </w:r>
      <w:proofErr w:type="spellEnd"/>
      <w:r w:rsidRPr="00A67B0E">
        <w:t xml:space="preserve"> v Minister of Justice and Correctional Services </w:t>
      </w:r>
      <w:r>
        <w:t>&amp; Ors</w:t>
      </w:r>
    </w:p>
    <w:p w14:paraId="0C74FAD5" w14:textId="79B308A3" w:rsidR="00A67B0E" w:rsidRDefault="00A67B0E" w:rsidP="00A67B0E">
      <w:pPr>
        <w:rPr>
          <w:lang w:eastAsia="en-AU"/>
        </w:rPr>
      </w:pPr>
      <w:r>
        <w:rPr>
          <w:b/>
          <w:bCs/>
          <w:lang w:eastAsia="en-AU"/>
        </w:rPr>
        <w:t>Constitutional Court of South Africa</w:t>
      </w:r>
      <w:r w:rsidRPr="006B0D58">
        <w:rPr>
          <w:b/>
          <w:bCs/>
          <w:lang w:eastAsia="en-AU"/>
        </w:rPr>
        <w:t>:</w:t>
      </w:r>
      <w:r>
        <w:rPr>
          <w:b/>
          <w:bCs/>
          <w:lang w:eastAsia="en-AU"/>
        </w:rPr>
        <w:t xml:space="preserve"> </w:t>
      </w:r>
      <w:hyperlink r:id="rId14" w:history="1">
        <w:r w:rsidRPr="00A67B0E">
          <w:rPr>
            <w:rStyle w:val="Hyperlink"/>
          </w:rPr>
          <w:t>[2022] ZACC 29</w:t>
        </w:r>
      </w:hyperlink>
    </w:p>
    <w:p w14:paraId="7EC76769" w14:textId="77777777" w:rsidR="00A67B0E" w:rsidRDefault="00A67B0E" w:rsidP="00A67B0E">
      <w:pPr>
        <w:rPr>
          <w:lang w:eastAsia="en-AU"/>
        </w:rPr>
      </w:pPr>
    </w:p>
    <w:p w14:paraId="42D72387" w14:textId="38B8CE69" w:rsidR="00A67B0E" w:rsidRPr="00DB68FF" w:rsidRDefault="00A67B0E" w:rsidP="00A67B0E">
      <w:pPr>
        <w:rPr>
          <w:lang w:eastAsia="en-AU"/>
        </w:rPr>
      </w:pPr>
      <w:r>
        <w:rPr>
          <w:b/>
          <w:bCs/>
          <w:lang w:eastAsia="en-AU"/>
        </w:rPr>
        <w:t xml:space="preserve">Reasons delivered: </w:t>
      </w:r>
      <w:r>
        <w:rPr>
          <w:lang w:eastAsia="en-AU"/>
        </w:rPr>
        <w:t xml:space="preserve">2 August 2022 </w:t>
      </w:r>
    </w:p>
    <w:p w14:paraId="527AB999" w14:textId="77777777" w:rsidR="00A67B0E" w:rsidRDefault="00A67B0E" w:rsidP="00A67B0E">
      <w:pPr>
        <w:rPr>
          <w:b/>
          <w:bCs/>
          <w:lang w:eastAsia="en-AU"/>
        </w:rPr>
      </w:pPr>
    </w:p>
    <w:p w14:paraId="492F0E54" w14:textId="09B9E611" w:rsidR="00A67B0E" w:rsidRPr="00DB68FF" w:rsidRDefault="00A67B0E" w:rsidP="00A67B0E">
      <w:pPr>
        <w:rPr>
          <w:lang w:eastAsia="en-AU"/>
        </w:rPr>
      </w:pPr>
      <w:r>
        <w:rPr>
          <w:b/>
          <w:bCs/>
          <w:lang w:eastAsia="en-AU"/>
        </w:rPr>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sidRPr="00A67B0E">
        <w:rPr>
          <w:lang w:eastAsia="en-AU"/>
        </w:rPr>
        <w:t>, Mhlantla J</w:t>
      </w:r>
      <w:r>
        <w:rPr>
          <w:lang w:eastAsia="en-AU"/>
        </w:rPr>
        <w:t>J</w:t>
      </w:r>
      <w:r w:rsidRPr="00A67B0E">
        <w:rPr>
          <w:lang w:eastAsia="en-AU"/>
        </w:rPr>
        <w:t xml:space="preserve">, Mlambo AJ, </w:t>
      </w:r>
      <w:proofErr w:type="spellStart"/>
      <w:r w:rsidRPr="00A67B0E">
        <w:rPr>
          <w:lang w:eastAsia="en-AU"/>
        </w:rPr>
        <w:t>Tshiqi</w:t>
      </w:r>
      <w:proofErr w:type="spellEnd"/>
      <w:r w:rsidRPr="00A67B0E">
        <w:rPr>
          <w:lang w:eastAsia="en-AU"/>
        </w:rPr>
        <w:t xml:space="preserve"> J and </w:t>
      </w:r>
      <w:proofErr w:type="spellStart"/>
      <w:r w:rsidRPr="00A67B0E">
        <w:rPr>
          <w:lang w:eastAsia="en-AU"/>
        </w:rPr>
        <w:t>Unterhalter</w:t>
      </w:r>
      <w:proofErr w:type="spellEnd"/>
      <w:r w:rsidRPr="00A67B0E">
        <w:rPr>
          <w:lang w:eastAsia="en-AU"/>
        </w:rPr>
        <w:t xml:space="preserve"> AJ</w:t>
      </w:r>
    </w:p>
    <w:p w14:paraId="2D458E00" w14:textId="77777777" w:rsidR="00A67B0E" w:rsidRDefault="00A67B0E" w:rsidP="00A67B0E">
      <w:pPr>
        <w:rPr>
          <w:b/>
          <w:bCs/>
          <w:lang w:eastAsia="en-AU"/>
        </w:rPr>
      </w:pPr>
    </w:p>
    <w:p w14:paraId="6065558A" w14:textId="77777777" w:rsidR="00A67B0E" w:rsidRDefault="00A67B0E" w:rsidP="00A67B0E">
      <w:pPr>
        <w:rPr>
          <w:b/>
          <w:bCs/>
          <w:lang w:eastAsia="en-AU"/>
        </w:rPr>
      </w:pPr>
      <w:r>
        <w:rPr>
          <w:b/>
          <w:bCs/>
          <w:lang w:eastAsia="en-AU"/>
        </w:rPr>
        <w:t>Catchwords:</w:t>
      </w:r>
    </w:p>
    <w:p w14:paraId="2A8F6A2C" w14:textId="77777777" w:rsidR="00A67B0E" w:rsidRDefault="00A67B0E" w:rsidP="00A67B0E">
      <w:pPr>
        <w:rPr>
          <w:b/>
          <w:bCs/>
          <w:lang w:eastAsia="en-AU"/>
        </w:rPr>
      </w:pPr>
    </w:p>
    <w:p w14:paraId="5AE8E80F" w14:textId="7E54F8A5" w:rsidR="00A67B0E" w:rsidRPr="0034676E" w:rsidRDefault="00A67B0E" w:rsidP="00A67B0E">
      <w:pPr>
        <w:pStyle w:val="Catchwords"/>
      </w:pPr>
      <w:r>
        <w:t xml:space="preserve">Constitutional law – Discrimination </w:t>
      </w:r>
      <w:r w:rsidR="00FA55D3">
        <w:t>–</w:t>
      </w:r>
      <w:r>
        <w:t xml:space="preserve"> </w:t>
      </w:r>
      <w:r w:rsidR="00FA55D3">
        <w:t xml:space="preserve">Legal profession – </w:t>
      </w:r>
      <w:r w:rsidR="00FF3591">
        <w:t>Where s</w:t>
      </w:r>
      <w:r w:rsidR="00FF3591" w:rsidRPr="00FF3591">
        <w:t xml:space="preserve"> 24(2)(b), read with </w:t>
      </w:r>
      <w:r w:rsidR="00787268">
        <w:t>s</w:t>
      </w:r>
      <w:r w:rsidR="00FF3591" w:rsidRPr="00FF3591">
        <w:t xml:space="preserve"> 115, of</w:t>
      </w:r>
      <w:r w:rsidR="00787268">
        <w:t xml:space="preserve"> </w:t>
      </w:r>
      <w:r w:rsidR="00787268" w:rsidRPr="00787268">
        <w:rPr>
          <w:i/>
          <w:iCs/>
        </w:rPr>
        <w:t>Legal Practice Act 28 of 2014</w:t>
      </w:r>
      <w:r w:rsidR="00FF3591" w:rsidRPr="00FF3591">
        <w:t xml:space="preserve"> preclude</w:t>
      </w:r>
      <w:r w:rsidR="00787268">
        <w:t>s</w:t>
      </w:r>
      <w:r w:rsidR="00FF3591" w:rsidRPr="00FF3591">
        <w:t xml:space="preserve"> persons who neither citizens nor permanent residents of South Africa and who not admitted as legal practitioners in designated foreign jurisdictions, from being admitted and enrolled as legal practitioners in South Africa</w:t>
      </w:r>
      <w:r w:rsidR="00787268">
        <w:t xml:space="preserve"> – Where s</w:t>
      </w:r>
      <w:r w:rsidR="00787268" w:rsidRPr="00787268">
        <w:t xml:space="preserve"> 9(1) of </w:t>
      </w:r>
      <w:r w:rsidR="00787268" w:rsidRPr="00787268">
        <w:rPr>
          <w:i/>
          <w:iCs/>
        </w:rPr>
        <w:t>Constitution</w:t>
      </w:r>
      <w:r w:rsidR="00787268" w:rsidRPr="00787268">
        <w:t xml:space="preserve"> provides everyone equal before law and has right to equal protection and benefit of law</w:t>
      </w:r>
      <w:r w:rsidR="00787268">
        <w:t xml:space="preserve"> – Where s</w:t>
      </w:r>
      <w:r w:rsidR="00787268" w:rsidRPr="00787268">
        <w:t xml:space="preserve"> 9(3) </w:t>
      </w:r>
      <w:r w:rsidR="00787268">
        <w:t xml:space="preserve">of </w:t>
      </w:r>
      <w:r w:rsidR="00787268">
        <w:rPr>
          <w:i/>
          <w:iCs/>
        </w:rPr>
        <w:t xml:space="preserve">Constitution </w:t>
      </w:r>
      <w:r w:rsidR="00787268" w:rsidRPr="00787268">
        <w:t xml:space="preserve">prohibits direct and indirect discrimination by State against anyone on any of </w:t>
      </w:r>
      <w:r w:rsidR="00787268">
        <w:t xml:space="preserve">enumerated </w:t>
      </w:r>
      <w:r w:rsidR="00787268" w:rsidRPr="00787268">
        <w:t xml:space="preserve">grounds </w:t>
      </w:r>
      <w:r w:rsidR="00F845B8">
        <w:t xml:space="preserve">– Where parties conceded there to be differentiation on basis of citizenship and permanent residency – Where </w:t>
      </w:r>
      <w:r w:rsidR="00F845B8" w:rsidRPr="00F845B8">
        <w:t>High Court</w:t>
      </w:r>
      <w:r w:rsidR="00F845B8">
        <w:t xml:space="preserve"> </w:t>
      </w:r>
      <w:r w:rsidR="00F845B8" w:rsidRPr="00F845B8">
        <w:t xml:space="preserve">declared provisions of </w:t>
      </w:r>
      <w:r w:rsidR="00F845B8">
        <w:t>s</w:t>
      </w:r>
      <w:r w:rsidR="00F845B8" w:rsidRPr="00F845B8">
        <w:t xml:space="preserve"> 24(2) to be unconstitutional and invalid to limited extent </w:t>
      </w:r>
      <w:r w:rsidR="00F845B8">
        <w:t xml:space="preserve">– Whether </w:t>
      </w:r>
      <w:r w:rsidR="00F845B8" w:rsidRPr="00F845B8">
        <w:t xml:space="preserve">differentiation bears rational connection to legitimate government purpose </w:t>
      </w:r>
      <w:r w:rsidR="00F845B8">
        <w:t xml:space="preserve">– </w:t>
      </w:r>
      <w:r w:rsidR="00FA55D3">
        <w:t xml:space="preserve">Whether s 24(2)(b), read with s 115, of </w:t>
      </w:r>
      <w:r w:rsidR="00FA55D3">
        <w:rPr>
          <w:i/>
          <w:iCs/>
        </w:rPr>
        <w:t>Legal Practice Act</w:t>
      </w:r>
      <w:r w:rsidR="00FA55D3">
        <w:t xml:space="preserve"> inconsistent with </w:t>
      </w:r>
      <w:r w:rsidR="00FA55D3">
        <w:rPr>
          <w:i/>
          <w:iCs/>
        </w:rPr>
        <w:t xml:space="preserve">Constitution </w:t>
      </w:r>
      <w:r w:rsidR="00FA55D3">
        <w:t>and invalid</w:t>
      </w:r>
      <w:r>
        <w:t xml:space="preserve">. </w:t>
      </w:r>
    </w:p>
    <w:p w14:paraId="341B6BA1" w14:textId="77777777" w:rsidR="00A67B0E" w:rsidRPr="005E2809" w:rsidRDefault="00A67B0E" w:rsidP="00A67B0E">
      <w:pPr>
        <w:pStyle w:val="Catchwords"/>
      </w:pPr>
    </w:p>
    <w:p w14:paraId="1AFCD3B6" w14:textId="37E9CA34" w:rsidR="00A67B0E" w:rsidRDefault="00A67B0E" w:rsidP="00A67B0E">
      <w:pPr>
        <w:rPr>
          <w:lang w:eastAsia="en-AU"/>
        </w:rPr>
      </w:pPr>
      <w:r>
        <w:rPr>
          <w:b/>
          <w:bCs/>
          <w:lang w:eastAsia="en-AU"/>
        </w:rPr>
        <w:t>Held (</w:t>
      </w:r>
      <w:r w:rsidR="00FA55D3">
        <w:rPr>
          <w:b/>
          <w:bCs/>
          <w:lang w:eastAsia="en-AU"/>
        </w:rPr>
        <w:t>8</w:t>
      </w:r>
      <w:r>
        <w:rPr>
          <w:b/>
          <w:bCs/>
          <w:lang w:eastAsia="en-AU"/>
        </w:rPr>
        <w:t>:0):</w:t>
      </w:r>
      <w:r w:rsidRPr="00FD6C82">
        <w:rPr>
          <w:lang w:eastAsia="en-AU"/>
        </w:rPr>
        <w:t xml:space="preserve"> </w:t>
      </w:r>
      <w:r>
        <w:rPr>
          <w:lang w:eastAsia="en-AU"/>
        </w:rPr>
        <w:t>Appeal dismissed</w:t>
      </w:r>
      <w:r w:rsidR="008446BC">
        <w:rPr>
          <w:lang w:eastAsia="en-AU"/>
        </w:rPr>
        <w:t xml:space="preserve">; </w:t>
      </w:r>
      <w:r w:rsidR="00FA55D3">
        <w:rPr>
          <w:lang w:eastAsia="en-AU"/>
        </w:rPr>
        <w:t xml:space="preserve">declaration </w:t>
      </w:r>
      <w:r w:rsidR="00F845B8">
        <w:rPr>
          <w:lang w:eastAsia="en-AU"/>
        </w:rPr>
        <w:t>of the High Court confirmed</w:t>
      </w:r>
      <w:r w:rsidR="00FA55D3">
        <w:rPr>
          <w:lang w:eastAsia="en-AU"/>
        </w:rPr>
        <w:t xml:space="preserve">. </w:t>
      </w:r>
      <w:r>
        <w:rPr>
          <w:lang w:eastAsia="en-AU"/>
        </w:rPr>
        <w:t xml:space="preserve">  </w:t>
      </w:r>
    </w:p>
    <w:bookmarkEnd w:id="3"/>
    <w:p w14:paraId="597CBC3A" w14:textId="77777777" w:rsidR="00CC5A01" w:rsidRDefault="00CC5A01" w:rsidP="00CC5A01">
      <w:pPr>
        <w:pStyle w:val="BullDivider1"/>
      </w:pPr>
    </w:p>
    <w:p w14:paraId="38DC6143" w14:textId="77777777" w:rsidR="00A67B0E" w:rsidRDefault="00A67B0E" w:rsidP="00362029">
      <w:pPr>
        <w:rPr>
          <w:lang w:eastAsia="en-AU"/>
        </w:rPr>
      </w:pPr>
    </w:p>
    <w:p w14:paraId="55F01E5B" w14:textId="24D485E1" w:rsidR="00362029" w:rsidRDefault="00362029" w:rsidP="00362029">
      <w:pPr>
        <w:pStyle w:val="Heading2"/>
      </w:pPr>
      <w:r>
        <w:t xml:space="preserve">Xu Yuan Chen (alias Terry Xu) v Attorney-General   </w:t>
      </w:r>
    </w:p>
    <w:p w14:paraId="77C973E7" w14:textId="15A47C49" w:rsidR="00362029" w:rsidRDefault="00362029" w:rsidP="00362029">
      <w:pPr>
        <w:rPr>
          <w:lang w:eastAsia="en-AU"/>
        </w:rPr>
      </w:pPr>
      <w:r>
        <w:rPr>
          <w:b/>
          <w:bCs/>
          <w:lang w:eastAsia="en-AU"/>
        </w:rPr>
        <w:t>Court of Appeal of Singapore</w:t>
      </w:r>
      <w:r w:rsidRPr="006B0D58">
        <w:rPr>
          <w:b/>
          <w:bCs/>
          <w:lang w:eastAsia="en-AU"/>
        </w:rPr>
        <w:t>:</w:t>
      </w:r>
      <w:r>
        <w:rPr>
          <w:b/>
          <w:bCs/>
          <w:lang w:eastAsia="en-AU"/>
        </w:rPr>
        <w:t xml:space="preserve"> </w:t>
      </w:r>
      <w:hyperlink r:id="rId15" w:history="1">
        <w:r w:rsidRPr="00362029">
          <w:rPr>
            <w:rStyle w:val="Hyperlink"/>
          </w:rPr>
          <w:t>[2022] SGCA 59</w:t>
        </w:r>
      </w:hyperlink>
    </w:p>
    <w:p w14:paraId="067065E0" w14:textId="77777777" w:rsidR="00362029" w:rsidRDefault="00362029" w:rsidP="00362029">
      <w:pPr>
        <w:rPr>
          <w:lang w:eastAsia="en-AU"/>
        </w:rPr>
      </w:pPr>
    </w:p>
    <w:p w14:paraId="2100E6B8" w14:textId="1ED37BFA" w:rsidR="00362029" w:rsidRPr="00DB68FF" w:rsidRDefault="00362029" w:rsidP="00362029">
      <w:pPr>
        <w:rPr>
          <w:lang w:eastAsia="en-AU"/>
        </w:rPr>
      </w:pPr>
      <w:r>
        <w:rPr>
          <w:b/>
          <w:bCs/>
          <w:lang w:eastAsia="en-AU"/>
        </w:rPr>
        <w:lastRenderedPageBreak/>
        <w:t xml:space="preserve">Reasons delivered: </w:t>
      </w:r>
      <w:r>
        <w:rPr>
          <w:lang w:eastAsia="en-AU"/>
        </w:rPr>
        <w:t xml:space="preserve">25 August 2022 </w:t>
      </w:r>
    </w:p>
    <w:p w14:paraId="3A9FD7FE" w14:textId="77777777" w:rsidR="00362029" w:rsidRDefault="00362029" w:rsidP="00362029">
      <w:pPr>
        <w:rPr>
          <w:b/>
          <w:bCs/>
          <w:lang w:eastAsia="en-AU"/>
        </w:rPr>
      </w:pPr>
    </w:p>
    <w:p w14:paraId="212DF920" w14:textId="33CA40CF" w:rsidR="00362029" w:rsidRPr="00DB68FF" w:rsidRDefault="00362029" w:rsidP="00362029">
      <w:pPr>
        <w:rPr>
          <w:lang w:eastAsia="en-AU"/>
        </w:rPr>
      </w:pPr>
      <w:r>
        <w:rPr>
          <w:b/>
          <w:bCs/>
          <w:lang w:eastAsia="en-AU"/>
        </w:rPr>
        <w:t>Coram:</w:t>
      </w:r>
      <w:r w:rsidRPr="00DB68FF">
        <w:t xml:space="preserve"> </w:t>
      </w:r>
      <w:r w:rsidRPr="00362029">
        <w:rPr>
          <w:lang w:eastAsia="en-AU"/>
        </w:rPr>
        <w:t>Prakash JCA, Tay JCA and Chong JCA</w:t>
      </w:r>
    </w:p>
    <w:p w14:paraId="7BBB0FE5" w14:textId="77777777" w:rsidR="00362029" w:rsidRDefault="00362029" w:rsidP="00362029">
      <w:pPr>
        <w:rPr>
          <w:b/>
          <w:bCs/>
          <w:lang w:eastAsia="en-AU"/>
        </w:rPr>
      </w:pPr>
    </w:p>
    <w:p w14:paraId="525DCB23" w14:textId="77777777" w:rsidR="00362029" w:rsidRDefault="00362029" w:rsidP="00362029">
      <w:pPr>
        <w:rPr>
          <w:b/>
          <w:bCs/>
          <w:lang w:eastAsia="en-AU"/>
        </w:rPr>
      </w:pPr>
      <w:r>
        <w:rPr>
          <w:b/>
          <w:bCs/>
          <w:lang w:eastAsia="en-AU"/>
        </w:rPr>
        <w:t>Catchwords:</w:t>
      </w:r>
    </w:p>
    <w:p w14:paraId="7346DCCC" w14:textId="77777777" w:rsidR="00362029" w:rsidRDefault="00362029" w:rsidP="00362029">
      <w:pPr>
        <w:rPr>
          <w:b/>
          <w:bCs/>
          <w:lang w:eastAsia="en-AU"/>
        </w:rPr>
      </w:pPr>
    </w:p>
    <w:p w14:paraId="00916B36" w14:textId="56242401" w:rsidR="00362029" w:rsidRPr="0034676E" w:rsidRDefault="00362029" w:rsidP="00362029">
      <w:pPr>
        <w:pStyle w:val="Catchwords"/>
      </w:pPr>
      <w:r>
        <w:t>Constitutional law –</w:t>
      </w:r>
      <w:r w:rsidR="00786FC4">
        <w:t xml:space="preserve"> </w:t>
      </w:r>
      <w:r w:rsidR="00DA657B" w:rsidRPr="00DA657B">
        <w:t xml:space="preserve">Equality before law </w:t>
      </w:r>
      <w:r w:rsidR="00DA657B">
        <w:t>–</w:t>
      </w:r>
      <w:r w:rsidR="00DA657B" w:rsidRPr="00DA657B">
        <w:t xml:space="preserve"> Article 12(1) of </w:t>
      </w:r>
      <w:r w:rsidR="00DA657B" w:rsidRPr="00DA657B">
        <w:rPr>
          <w:i/>
          <w:iCs/>
        </w:rPr>
        <w:t>Constitution of the Republic of Singapore</w:t>
      </w:r>
      <w:r w:rsidR="00DA657B">
        <w:t xml:space="preserve"> – Attorney-General</w:t>
      </w:r>
      <w:r w:rsidR="007B2F1E">
        <w:t xml:space="preserve"> (</w:t>
      </w:r>
      <w:r w:rsidR="00CD6630">
        <w:t>"</w:t>
      </w:r>
      <w:r w:rsidR="007B2F1E">
        <w:t>AG</w:t>
      </w:r>
      <w:r w:rsidR="00CD6630">
        <w:t>"</w:t>
      </w:r>
      <w:r w:rsidR="007B2F1E">
        <w:t>)</w:t>
      </w:r>
      <w:r w:rsidR="00DA657B">
        <w:t xml:space="preserve"> – Prosecutorial discretion – Where Article 12(1) provides all persons equal before law and entitled to equal protection of law – Where C</w:t>
      </w:r>
      <w:r w:rsidR="00DA657B" w:rsidRPr="00DA657B">
        <w:t xml:space="preserve">ourt </w:t>
      </w:r>
      <w:r w:rsidR="00DA657B">
        <w:t xml:space="preserve">explained </w:t>
      </w:r>
      <w:r w:rsidR="00DA657B" w:rsidRPr="00DA657B">
        <w:t>concept of equality under Art</w:t>
      </w:r>
      <w:r w:rsidR="00DA657B">
        <w:t>icle</w:t>
      </w:r>
      <w:r w:rsidR="00DA657B" w:rsidRPr="00DA657B">
        <w:t xml:space="preserve"> 12(1) does not mean that all persons to be treated equally, but that all persons in like situations be treated alike</w:t>
      </w:r>
      <w:r w:rsidR="00DA657B">
        <w:t xml:space="preserve"> – Where </w:t>
      </w:r>
      <w:r w:rsidR="00DA657B" w:rsidRPr="00DA657B">
        <w:t>two-step test developed to determine whether executive action breache</w:t>
      </w:r>
      <w:r w:rsidR="0034676E">
        <w:t>d</w:t>
      </w:r>
      <w:r w:rsidR="00DA657B" w:rsidRPr="00DA657B">
        <w:t xml:space="preserve"> Art</w:t>
      </w:r>
      <w:r w:rsidR="00DA657B">
        <w:t>icle</w:t>
      </w:r>
      <w:r w:rsidR="00DA657B" w:rsidRPr="00DA657B">
        <w:t xml:space="preserve"> 12(1), </w:t>
      </w:r>
      <w:r w:rsidR="00DA657B">
        <w:t>with</w:t>
      </w:r>
      <w:r w:rsidR="00DA657B" w:rsidRPr="00DA657B">
        <w:t xml:space="preserve"> first step </w:t>
      </w:r>
      <w:r w:rsidR="00DA657B">
        <w:t xml:space="preserve">requiring </w:t>
      </w:r>
      <w:r w:rsidR="00DA657B" w:rsidRPr="00DA657B">
        <w:t xml:space="preserve">party alleging breach to show </w:t>
      </w:r>
      <w:r w:rsidR="0034676E">
        <w:t>they had</w:t>
      </w:r>
      <w:r w:rsidR="00DA657B" w:rsidRPr="00DA657B">
        <w:t xml:space="preserve"> been treated differently from other equally situated persons (</w:t>
      </w:r>
      <w:r w:rsidR="00DA657B" w:rsidRPr="0034676E">
        <w:rPr>
          <w:i/>
          <w:iCs/>
        </w:rPr>
        <w:t>Syed Suhail bin Syed Zin v Attorney-General</w:t>
      </w:r>
      <w:r w:rsidR="00DA657B" w:rsidRPr="00DA657B">
        <w:t xml:space="preserve"> [2021] 1 SLR 809</w:t>
      </w:r>
      <w:r w:rsidR="0034676E">
        <w:t xml:space="preserve">) – Where appellant Chief Editor of The Online Citizen news media platform and reposted letter titled </w:t>
      </w:r>
      <w:r w:rsidR="00CD6630">
        <w:t>"</w:t>
      </w:r>
      <w:r w:rsidR="0034676E" w:rsidRPr="0034676E">
        <w:t xml:space="preserve">Concerning Omissions – Open </w:t>
      </w:r>
      <w:r w:rsidR="007B2F1E">
        <w:t>l</w:t>
      </w:r>
      <w:r w:rsidR="0034676E" w:rsidRPr="0034676E">
        <w:t>etter to Singapore’s Chief Justice</w:t>
      </w:r>
      <w:r w:rsidR="00CD6630">
        <w:t>"</w:t>
      </w:r>
      <w:r w:rsidR="0034676E">
        <w:t xml:space="preserve"> originally posted on blog – Where </w:t>
      </w:r>
      <w:r w:rsidR="007B2F1E">
        <w:t>AG</w:t>
      </w:r>
      <w:r w:rsidR="0034676E">
        <w:t xml:space="preserve"> declared </w:t>
      </w:r>
      <w:r w:rsidR="0034676E" w:rsidRPr="0034676E">
        <w:t xml:space="preserve">reasonable grounds to suspect contempt of court under s 3(1)(a) of </w:t>
      </w:r>
      <w:r w:rsidR="0034676E" w:rsidRPr="0034676E">
        <w:rPr>
          <w:i/>
          <w:iCs/>
        </w:rPr>
        <w:t>Administration of Justice (Protection) Act 2016</w:t>
      </w:r>
      <w:r w:rsidR="0034676E" w:rsidRPr="0034676E">
        <w:t xml:space="preserve"> (Act 19 of 2016) (</w:t>
      </w:r>
      <w:r w:rsidR="00CD6630">
        <w:t>"</w:t>
      </w:r>
      <w:r w:rsidR="0034676E" w:rsidRPr="0034676E">
        <w:t>AJPA</w:t>
      </w:r>
      <w:r w:rsidR="00CD6630">
        <w:t>"</w:t>
      </w:r>
      <w:r w:rsidR="0034676E" w:rsidRPr="0034676E">
        <w:t xml:space="preserve">) by publishing of </w:t>
      </w:r>
      <w:r w:rsidR="007B2F1E">
        <w:t>l</w:t>
      </w:r>
      <w:r w:rsidR="0034676E" w:rsidRPr="0034676E">
        <w:t>etter</w:t>
      </w:r>
      <w:r w:rsidR="007B2F1E">
        <w:t xml:space="preserve"> – Where AG filed for committal order against appellant and associated orders (</w:t>
      </w:r>
      <w:r w:rsidR="00CD6630">
        <w:t>"</w:t>
      </w:r>
      <w:r w:rsidR="007B2F1E">
        <w:t>Committal Application</w:t>
      </w:r>
      <w:r w:rsidR="00CD6630">
        <w:t>"</w:t>
      </w:r>
      <w:r w:rsidR="007B2F1E">
        <w:t xml:space="preserve">) – Whether </w:t>
      </w:r>
      <w:r w:rsidR="007B2F1E" w:rsidRPr="007B2F1E">
        <w:t>Committal Application unlawful and irrational</w:t>
      </w:r>
      <w:r w:rsidR="007B2F1E">
        <w:t xml:space="preserve"> where </w:t>
      </w:r>
      <w:r w:rsidR="007B2F1E" w:rsidRPr="007B2F1E">
        <w:t xml:space="preserve">AG </w:t>
      </w:r>
      <w:r w:rsidR="007B2F1E">
        <w:t xml:space="preserve">only applied </w:t>
      </w:r>
      <w:r w:rsidR="007B2F1E" w:rsidRPr="007B2F1E">
        <w:t>for committal for contempt of court</w:t>
      </w:r>
      <w:r w:rsidR="007B2F1E">
        <w:t xml:space="preserve"> against appellant and not original poster of letter </w:t>
      </w:r>
      <w:r w:rsidR="00102CDD">
        <w:t xml:space="preserve">– Whether Committal Application in breach of Article 12(1) – </w:t>
      </w:r>
      <w:r w:rsidR="0034676E">
        <w:t xml:space="preserve">Proper approach to </w:t>
      </w:r>
      <w:r w:rsidR="0034676E" w:rsidRPr="0034676E">
        <w:t xml:space="preserve">two-step test in </w:t>
      </w:r>
      <w:r w:rsidR="0034676E" w:rsidRPr="0034676E">
        <w:rPr>
          <w:i/>
          <w:iCs/>
        </w:rPr>
        <w:t>Syed Suhail</w:t>
      </w:r>
      <w:r w:rsidR="0034676E">
        <w:t xml:space="preserve">. </w:t>
      </w:r>
    </w:p>
    <w:p w14:paraId="65CA95B6" w14:textId="77777777" w:rsidR="00362029" w:rsidRPr="005E2809" w:rsidRDefault="00362029" w:rsidP="00362029">
      <w:pPr>
        <w:pStyle w:val="Catchwords"/>
      </w:pPr>
    </w:p>
    <w:p w14:paraId="27DE4F92" w14:textId="47D41E76" w:rsidR="00362029" w:rsidRDefault="00362029" w:rsidP="00362029">
      <w:pPr>
        <w:rPr>
          <w:lang w:eastAsia="en-AU"/>
        </w:rPr>
      </w:pPr>
      <w:r>
        <w:rPr>
          <w:b/>
          <w:bCs/>
          <w:lang w:eastAsia="en-AU"/>
        </w:rPr>
        <w:t>Held (3:0):</w:t>
      </w:r>
      <w:r w:rsidRPr="00FD6C82">
        <w:rPr>
          <w:lang w:eastAsia="en-AU"/>
        </w:rPr>
        <w:t xml:space="preserve"> </w:t>
      </w:r>
      <w:r>
        <w:rPr>
          <w:lang w:eastAsia="en-AU"/>
        </w:rPr>
        <w:t xml:space="preserve">Appeal dismissed.  </w:t>
      </w:r>
    </w:p>
    <w:p w14:paraId="690376D9" w14:textId="5520920C" w:rsidR="00D9157E" w:rsidRDefault="00D9157E" w:rsidP="00362029">
      <w:pPr>
        <w:pStyle w:val="BullDivider2"/>
      </w:pPr>
    </w:p>
    <w:p w14:paraId="5D8FAFAC" w14:textId="77777777" w:rsidR="00362029" w:rsidRPr="00362029" w:rsidRDefault="00362029" w:rsidP="00362029">
      <w:pPr>
        <w:rPr>
          <w:lang w:eastAsia="en-AU"/>
        </w:rPr>
      </w:pPr>
    </w:p>
    <w:p w14:paraId="7930E220" w14:textId="525F8AA5" w:rsidR="008E54EB" w:rsidRDefault="008E54EB" w:rsidP="006A251F">
      <w:pPr>
        <w:pStyle w:val="Heading1"/>
      </w:pPr>
      <w:r>
        <w:t xml:space="preserve">Courts and Judges </w:t>
      </w:r>
    </w:p>
    <w:p w14:paraId="1CECB9C2" w14:textId="77777777" w:rsidR="008E54EB" w:rsidRPr="00CC5A01" w:rsidRDefault="008E54EB" w:rsidP="008E54EB">
      <w:pPr>
        <w:rPr>
          <w:lang w:eastAsia="en-AU"/>
        </w:rPr>
      </w:pPr>
    </w:p>
    <w:p w14:paraId="409F0FDC" w14:textId="77777777" w:rsidR="008E54EB" w:rsidRDefault="008E54EB" w:rsidP="008E54EB">
      <w:pPr>
        <w:pStyle w:val="Heading2"/>
      </w:pPr>
      <w:r w:rsidRPr="00CC5A01">
        <w:t xml:space="preserve">United Democratic Movement </w:t>
      </w:r>
      <w:r>
        <w:t>&amp; Anor</w:t>
      </w:r>
      <w:r w:rsidRPr="00CC5A01">
        <w:t xml:space="preserve"> v </w:t>
      </w:r>
      <w:proofErr w:type="spellStart"/>
      <w:r w:rsidRPr="00CC5A01">
        <w:t>Lebashe</w:t>
      </w:r>
      <w:proofErr w:type="spellEnd"/>
      <w:r w:rsidRPr="00CC5A01">
        <w:t xml:space="preserve"> Investment Group (Pty) Ltd </w:t>
      </w:r>
      <w:r>
        <w:t>&amp; Ors</w:t>
      </w:r>
    </w:p>
    <w:p w14:paraId="3130303B" w14:textId="110AB0FF" w:rsidR="008E54EB" w:rsidRDefault="008E54EB" w:rsidP="008E54EB">
      <w:pPr>
        <w:rPr>
          <w:lang w:eastAsia="en-AU"/>
        </w:rPr>
      </w:pPr>
      <w:r>
        <w:rPr>
          <w:b/>
          <w:bCs/>
          <w:lang w:eastAsia="en-AU"/>
        </w:rPr>
        <w:t>Constitutional Court of South Africa</w:t>
      </w:r>
      <w:r w:rsidRPr="006B0D58">
        <w:rPr>
          <w:b/>
          <w:bCs/>
          <w:lang w:eastAsia="en-AU"/>
        </w:rPr>
        <w:t>:</w:t>
      </w:r>
      <w:r>
        <w:rPr>
          <w:b/>
          <w:bCs/>
          <w:lang w:eastAsia="en-AU"/>
        </w:rPr>
        <w:t xml:space="preserve"> </w:t>
      </w:r>
      <w:hyperlink r:id="rId16" w:history="1">
        <w:r w:rsidR="009717F2" w:rsidRPr="009717F2">
          <w:rPr>
            <w:rStyle w:val="Hyperlink"/>
            <w:lang w:eastAsia="en-AU"/>
          </w:rPr>
          <w:t>[2022] ZACC 34</w:t>
        </w:r>
      </w:hyperlink>
    </w:p>
    <w:p w14:paraId="20B721F3" w14:textId="77777777" w:rsidR="008E54EB" w:rsidRDefault="008E54EB" w:rsidP="008E54EB">
      <w:pPr>
        <w:rPr>
          <w:lang w:eastAsia="en-AU"/>
        </w:rPr>
      </w:pPr>
    </w:p>
    <w:p w14:paraId="2C9E2AF0" w14:textId="650A72D8" w:rsidR="008E54EB" w:rsidRPr="00DB68FF" w:rsidRDefault="008E54EB" w:rsidP="008E54EB">
      <w:pPr>
        <w:rPr>
          <w:lang w:eastAsia="en-AU"/>
        </w:rPr>
      </w:pPr>
      <w:r>
        <w:rPr>
          <w:b/>
          <w:bCs/>
          <w:lang w:eastAsia="en-AU"/>
        </w:rPr>
        <w:t xml:space="preserve">Reasons delivered: </w:t>
      </w:r>
      <w:r>
        <w:rPr>
          <w:lang w:eastAsia="en-AU"/>
        </w:rPr>
        <w:t xml:space="preserve">22 September 2022 </w:t>
      </w:r>
    </w:p>
    <w:p w14:paraId="4AE213DA" w14:textId="77777777" w:rsidR="008E54EB" w:rsidRDefault="008E54EB" w:rsidP="008E54EB">
      <w:pPr>
        <w:rPr>
          <w:b/>
          <w:bCs/>
          <w:lang w:eastAsia="en-AU"/>
        </w:rPr>
      </w:pPr>
    </w:p>
    <w:p w14:paraId="5E2063CA" w14:textId="117DAE31" w:rsidR="008E54EB" w:rsidRPr="00DB68FF" w:rsidRDefault="008E54EB" w:rsidP="008E54EB">
      <w:pPr>
        <w:rPr>
          <w:lang w:eastAsia="en-AU"/>
        </w:rPr>
      </w:pPr>
      <w:r>
        <w:rPr>
          <w:b/>
          <w:bCs/>
          <w:lang w:eastAsia="en-AU"/>
        </w:rPr>
        <w:t>Coram:</w:t>
      </w:r>
      <w:r w:rsidRPr="00DB68FF">
        <w:t xml:space="preserve"> </w:t>
      </w:r>
      <w:proofErr w:type="spellStart"/>
      <w:r>
        <w:rPr>
          <w:lang w:eastAsia="en-AU"/>
        </w:rPr>
        <w:t>Zondo</w:t>
      </w:r>
      <w:proofErr w:type="spellEnd"/>
      <w:r>
        <w:rPr>
          <w:lang w:eastAsia="en-AU"/>
        </w:rPr>
        <w:t xml:space="preserve"> ACJ</w:t>
      </w:r>
      <w:r w:rsidRPr="00A67B0E">
        <w:rPr>
          <w:lang w:eastAsia="en-AU"/>
        </w:rPr>
        <w:t xml:space="preserve">, </w:t>
      </w:r>
      <w:proofErr w:type="spellStart"/>
      <w:r w:rsidRPr="00A67B0E">
        <w:rPr>
          <w:lang w:eastAsia="en-AU"/>
        </w:rPr>
        <w:t>Madlanga</w:t>
      </w:r>
      <w:proofErr w:type="spellEnd"/>
      <w:r>
        <w:rPr>
          <w:lang w:eastAsia="en-AU"/>
        </w:rPr>
        <w:t xml:space="preserve"> J</w:t>
      </w:r>
      <w:r w:rsidRPr="00A67B0E">
        <w:rPr>
          <w:lang w:eastAsia="en-AU"/>
        </w:rPr>
        <w:t xml:space="preserve">, </w:t>
      </w:r>
      <w:r w:rsidRPr="008E54EB">
        <w:rPr>
          <w:lang w:eastAsia="en-AU"/>
        </w:rPr>
        <w:t>Madondo AJ,</w:t>
      </w:r>
      <w:r>
        <w:rPr>
          <w:lang w:eastAsia="en-AU"/>
        </w:rPr>
        <w:t xml:space="preserve"> </w:t>
      </w:r>
      <w:r w:rsidRPr="00A67B0E">
        <w:rPr>
          <w:lang w:eastAsia="en-AU"/>
        </w:rPr>
        <w:t>Majiedt, Mhlantla J</w:t>
      </w:r>
      <w:r>
        <w:rPr>
          <w:lang w:eastAsia="en-AU"/>
        </w:rPr>
        <w:t>J</w:t>
      </w:r>
      <w:r w:rsidRPr="00A67B0E">
        <w:rPr>
          <w:lang w:eastAsia="en-AU"/>
        </w:rPr>
        <w:t xml:space="preserve">, </w:t>
      </w:r>
      <w:r>
        <w:rPr>
          <w:lang w:eastAsia="en-AU"/>
        </w:rPr>
        <w:t xml:space="preserve">Rogers AJ, Theron </w:t>
      </w:r>
      <w:r w:rsidRPr="00A67B0E">
        <w:rPr>
          <w:lang w:eastAsia="en-AU"/>
        </w:rPr>
        <w:t xml:space="preserve">J, </w:t>
      </w:r>
      <w:r w:rsidRPr="008E54EB">
        <w:rPr>
          <w:lang w:eastAsia="en-AU"/>
        </w:rPr>
        <w:t xml:space="preserve">Tlaletsi AJ </w:t>
      </w:r>
      <w:r>
        <w:rPr>
          <w:lang w:eastAsia="en-AU"/>
        </w:rPr>
        <w:t xml:space="preserve">and </w:t>
      </w:r>
      <w:r w:rsidRPr="00A67B0E">
        <w:rPr>
          <w:lang w:eastAsia="en-AU"/>
        </w:rPr>
        <w:t xml:space="preserve">Tshiqi J </w:t>
      </w:r>
    </w:p>
    <w:p w14:paraId="1BA1352B" w14:textId="77777777" w:rsidR="008E54EB" w:rsidRDefault="008E54EB" w:rsidP="008E54EB">
      <w:pPr>
        <w:rPr>
          <w:b/>
          <w:bCs/>
          <w:lang w:eastAsia="en-AU"/>
        </w:rPr>
      </w:pPr>
    </w:p>
    <w:p w14:paraId="128184F8" w14:textId="77777777" w:rsidR="008E54EB" w:rsidRDefault="008E54EB" w:rsidP="008E54EB">
      <w:pPr>
        <w:rPr>
          <w:b/>
          <w:bCs/>
          <w:lang w:eastAsia="en-AU"/>
        </w:rPr>
      </w:pPr>
      <w:r>
        <w:rPr>
          <w:b/>
          <w:bCs/>
          <w:lang w:eastAsia="en-AU"/>
        </w:rPr>
        <w:t>Catchwords:</w:t>
      </w:r>
    </w:p>
    <w:p w14:paraId="0DD6E97A" w14:textId="77777777" w:rsidR="008E54EB" w:rsidRDefault="008E54EB" w:rsidP="008E54EB">
      <w:pPr>
        <w:rPr>
          <w:b/>
          <w:bCs/>
          <w:lang w:eastAsia="en-AU"/>
        </w:rPr>
      </w:pPr>
    </w:p>
    <w:p w14:paraId="08C79676" w14:textId="7A85812A" w:rsidR="008E54EB" w:rsidRPr="0034676E" w:rsidRDefault="008E54EB" w:rsidP="008E54EB">
      <w:pPr>
        <w:pStyle w:val="Catchwords"/>
      </w:pPr>
      <w:r>
        <w:t>Constitutional law – Courts and judges – Strike out – Interim order – Where applicants sought</w:t>
      </w:r>
      <w:r w:rsidRPr="008E54EB">
        <w:t xml:space="preserve"> leave to appeal against order of Supreme Court of Appeal striking appeal off </w:t>
      </w:r>
      <w:r>
        <w:t>Supreme Court of Appeal's</w:t>
      </w:r>
      <w:r w:rsidRPr="008E54EB">
        <w:t xml:space="preserve"> roll on grounds that </w:t>
      </w:r>
      <w:r w:rsidR="00EF2116">
        <w:t>appeal from</w:t>
      </w:r>
      <w:r w:rsidRPr="008E54EB">
        <w:t xml:space="preserve"> interim</w:t>
      </w:r>
      <w:r w:rsidR="00EF2116">
        <w:t xml:space="preserve"> o</w:t>
      </w:r>
      <w:r w:rsidR="00312151">
        <w:t>r</w:t>
      </w:r>
      <w:r w:rsidR="00EF2116">
        <w:t>der</w:t>
      </w:r>
      <w:r w:rsidRPr="008E54EB">
        <w:t xml:space="preserve"> and therefore not appealable</w:t>
      </w:r>
      <w:r>
        <w:t xml:space="preserve"> – Where striking off</w:t>
      </w:r>
      <w:r w:rsidRPr="008E54EB">
        <w:t xml:space="preserve"> occurred notwithstanding </w:t>
      </w:r>
      <w:r>
        <w:t>that</w:t>
      </w:r>
      <w:r w:rsidRPr="008E54EB">
        <w:t xml:space="preserve"> High Court granted applicants leave to appeal to Supreme Court of Appeal against same</w:t>
      </w:r>
      <w:r>
        <w:t xml:space="preserve"> –</w:t>
      </w:r>
      <w:r w:rsidRPr="008E54EB">
        <w:t xml:space="preserve"> </w:t>
      </w:r>
      <w:r>
        <w:t>Where</w:t>
      </w:r>
      <w:r w:rsidRPr="008E54EB">
        <w:t xml:space="preserve"> striking off of appeal had effect of preventing applicants from having case determined</w:t>
      </w:r>
      <w:r>
        <w:t xml:space="preserve"> – </w:t>
      </w:r>
      <w:r>
        <w:lastRenderedPageBreak/>
        <w:t>Whether</w:t>
      </w:r>
      <w:r w:rsidRPr="008E54EB">
        <w:t xml:space="preserve"> </w:t>
      </w:r>
      <w:r>
        <w:t xml:space="preserve">Supreme Court of Appeal </w:t>
      </w:r>
      <w:r w:rsidR="002E7FE6">
        <w:t xml:space="preserve">has </w:t>
      </w:r>
      <w:r>
        <w:t xml:space="preserve">power to interfere with decision of High Court to grant leave to appeal – Whether interim order appealable – Whether High Court ought to have granted impugned interim order. </w:t>
      </w:r>
    </w:p>
    <w:p w14:paraId="6BE3D5A0" w14:textId="77777777" w:rsidR="008E54EB" w:rsidRPr="005E2809" w:rsidRDefault="008E54EB" w:rsidP="008E54EB">
      <w:pPr>
        <w:pStyle w:val="Catchwords"/>
      </w:pPr>
    </w:p>
    <w:p w14:paraId="1E875423" w14:textId="0A77071A" w:rsidR="008E54EB" w:rsidRDefault="008E54EB" w:rsidP="008E54EB">
      <w:pPr>
        <w:rPr>
          <w:lang w:eastAsia="en-AU"/>
        </w:rPr>
      </w:pPr>
      <w:r>
        <w:rPr>
          <w:b/>
          <w:bCs/>
          <w:lang w:eastAsia="en-AU"/>
        </w:rPr>
        <w:t>Held (9:0):</w:t>
      </w:r>
      <w:r w:rsidRPr="00FD6C82">
        <w:rPr>
          <w:lang w:eastAsia="en-AU"/>
        </w:rPr>
        <w:t xml:space="preserve"> </w:t>
      </w:r>
      <w:r>
        <w:rPr>
          <w:lang w:eastAsia="en-AU"/>
        </w:rPr>
        <w:t>Leave to appeal granted</w:t>
      </w:r>
      <w:r w:rsidR="008446BC">
        <w:rPr>
          <w:lang w:eastAsia="en-AU"/>
        </w:rPr>
        <w:t xml:space="preserve">; </w:t>
      </w:r>
      <w:r>
        <w:rPr>
          <w:lang w:eastAsia="en-AU"/>
        </w:rPr>
        <w:t xml:space="preserve">appeal </w:t>
      </w:r>
      <w:r w:rsidRPr="008E54EB">
        <w:rPr>
          <w:lang w:eastAsia="en-AU"/>
        </w:rPr>
        <w:t>upheld</w:t>
      </w:r>
      <w:r>
        <w:rPr>
          <w:lang w:eastAsia="en-AU"/>
        </w:rPr>
        <w:t xml:space="preserve">.   </w:t>
      </w:r>
    </w:p>
    <w:p w14:paraId="1F1BA70B" w14:textId="02E426F1" w:rsidR="008E54EB" w:rsidRDefault="008E54EB" w:rsidP="009717F2">
      <w:pPr>
        <w:pStyle w:val="BullDivider2"/>
        <w:pBdr>
          <w:bottom w:val="double" w:sz="6" w:space="0" w:color="auto"/>
        </w:pBdr>
      </w:pPr>
    </w:p>
    <w:p w14:paraId="05B6AC25" w14:textId="77777777" w:rsidR="008E54EB" w:rsidRPr="008E54EB" w:rsidRDefault="008E54EB" w:rsidP="008E54EB">
      <w:pPr>
        <w:rPr>
          <w:lang w:eastAsia="en-AU"/>
        </w:rPr>
      </w:pPr>
    </w:p>
    <w:p w14:paraId="3FBDF733" w14:textId="0D1EFF32" w:rsidR="006A251F" w:rsidRDefault="006A251F" w:rsidP="006A251F">
      <w:pPr>
        <w:pStyle w:val="Heading1"/>
      </w:pPr>
      <w:r>
        <w:t xml:space="preserve">Criminal Law </w:t>
      </w:r>
    </w:p>
    <w:p w14:paraId="75C14461" w14:textId="0598FF68" w:rsidR="006A251F" w:rsidRDefault="006A251F" w:rsidP="006A251F">
      <w:pPr>
        <w:rPr>
          <w:lang w:eastAsia="en-AU"/>
        </w:rPr>
      </w:pPr>
    </w:p>
    <w:p w14:paraId="436AFC92" w14:textId="77777777" w:rsidR="00414072" w:rsidRDefault="00414072" w:rsidP="00414072">
      <w:pPr>
        <w:pStyle w:val="Heading2"/>
      </w:pPr>
      <w:r>
        <w:t xml:space="preserve">Ellis v The King </w:t>
      </w:r>
    </w:p>
    <w:p w14:paraId="7A6832DE" w14:textId="77777777" w:rsidR="00414072" w:rsidRDefault="00414072" w:rsidP="00414072">
      <w:pPr>
        <w:rPr>
          <w:lang w:eastAsia="en-AU"/>
        </w:rPr>
      </w:pPr>
      <w:r>
        <w:rPr>
          <w:b/>
          <w:bCs/>
          <w:lang w:eastAsia="en-AU"/>
        </w:rPr>
        <w:t>Supreme Court of New Zealand</w:t>
      </w:r>
      <w:r w:rsidRPr="006B0D58">
        <w:rPr>
          <w:b/>
          <w:bCs/>
          <w:lang w:eastAsia="en-AU"/>
        </w:rPr>
        <w:t>:</w:t>
      </w:r>
      <w:r>
        <w:rPr>
          <w:b/>
          <w:bCs/>
          <w:lang w:eastAsia="en-AU"/>
        </w:rPr>
        <w:t xml:space="preserve"> </w:t>
      </w:r>
      <w:hyperlink r:id="rId17" w:history="1">
        <w:r w:rsidRPr="000545EC">
          <w:rPr>
            <w:rStyle w:val="Hyperlink"/>
            <w:lang w:eastAsia="en-AU"/>
          </w:rPr>
          <w:t>[2022] NZSC 114</w:t>
        </w:r>
      </w:hyperlink>
    </w:p>
    <w:p w14:paraId="0A7479F2" w14:textId="77777777" w:rsidR="00414072" w:rsidRDefault="00414072" w:rsidP="00414072">
      <w:pPr>
        <w:rPr>
          <w:lang w:eastAsia="en-AU"/>
        </w:rPr>
      </w:pPr>
    </w:p>
    <w:p w14:paraId="3176DFCE" w14:textId="77777777" w:rsidR="00414072" w:rsidRPr="00DB68FF" w:rsidRDefault="00414072" w:rsidP="00414072">
      <w:pPr>
        <w:rPr>
          <w:lang w:eastAsia="en-AU"/>
        </w:rPr>
      </w:pPr>
      <w:r>
        <w:rPr>
          <w:b/>
          <w:bCs/>
          <w:lang w:eastAsia="en-AU"/>
        </w:rPr>
        <w:t xml:space="preserve">Reasons delivered: </w:t>
      </w:r>
      <w:r>
        <w:rPr>
          <w:lang w:eastAsia="en-AU"/>
        </w:rPr>
        <w:t xml:space="preserve">7 October 2022 </w:t>
      </w:r>
    </w:p>
    <w:p w14:paraId="38749FBA" w14:textId="77777777" w:rsidR="00414072" w:rsidRDefault="00414072" w:rsidP="00414072">
      <w:pPr>
        <w:rPr>
          <w:b/>
          <w:bCs/>
          <w:lang w:eastAsia="en-AU"/>
        </w:rPr>
      </w:pPr>
    </w:p>
    <w:p w14:paraId="6D207DC1" w14:textId="77777777" w:rsidR="00414072" w:rsidRPr="00DB68FF" w:rsidRDefault="00414072" w:rsidP="00414072">
      <w:pPr>
        <w:rPr>
          <w:lang w:eastAsia="en-AU"/>
        </w:rPr>
      </w:pPr>
      <w:r>
        <w:rPr>
          <w:b/>
          <w:bCs/>
          <w:lang w:eastAsia="en-AU"/>
        </w:rPr>
        <w:t>Coram:</w:t>
      </w:r>
      <w:r w:rsidRPr="00DB68FF">
        <w:t xml:space="preserve"> </w:t>
      </w:r>
      <w:r>
        <w:rPr>
          <w:lang w:eastAsia="en-AU"/>
        </w:rPr>
        <w:t xml:space="preserve">Winkelmann CJ, </w:t>
      </w:r>
      <w:proofErr w:type="spellStart"/>
      <w:r>
        <w:rPr>
          <w:lang w:eastAsia="en-AU"/>
        </w:rPr>
        <w:t>Glazebrook</w:t>
      </w:r>
      <w:proofErr w:type="spellEnd"/>
      <w:r>
        <w:rPr>
          <w:lang w:eastAsia="en-AU"/>
        </w:rPr>
        <w:t xml:space="preserve">, </w:t>
      </w:r>
      <w:proofErr w:type="spellStart"/>
      <w:r>
        <w:rPr>
          <w:lang w:eastAsia="en-AU"/>
        </w:rPr>
        <w:t>O’Regan</w:t>
      </w:r>
      <w:proofErr w:type="spellEnd"/>
      <w:r>
        <w:rPr>
          <w:lang w:eastAsia="en-AU"/>
        </w:rPr>
        <w:t>, Williams and Arnold JJ</w:t>
      </w:r>
    </w:p>
    <w:p w14:paraId="1285577E" w14:textId="77777777" w:rsidR="00414072" w:rsidRDefault="00414072" w:rsidP="00414072">
      <w:pPr>
        <w:rPr>
          <w:b/>
          <w:bCs/>
          <w:lang w:eastAsia="en-AU"/>
        </w:rPr>
      </w:pPr>
    </w:p>
    <w:p w14:paraId="207A3259" w14:textId="77777777" w:rsidR="00414072" w:rsidRDefault="00414072" w:rsidP="00414072">
      <w:pPr>
        <w:rPr>
          <w:b/>
          <w:bCs/>
          <w:lang w:eastAsia="en-AU"/>
        </w:rPr>
      </w:pPr>
      <w:r>
        <w:rPr>
          <w:b/>
          <w:bCs/>
          <w:lang w:eastAsia="en-AU"/>
        </w:rPr>
        <w:t>Catchwords:</w:t>
      </w:r>
    </w:p>
    <w:p w14:paraId="0AEA554E" w14:textId="77777777" w:rsidR="00414072" w:rsidRDefault="00414072" w:rsidP="00414072">
      <w:pPr>
        <w:rPr>
          <w:b/>
          <w:bCs/>
          <w:lang w:eastAsia="en-AU"/>
        </w:rPr>
      </w:pPr>
    </w:p>
    <w:p w14:paraId="5AD74410" w14:textId="77777777" w:rsidR="00414072" w:rsidRPr="00884C1D" w:rsidRDefault="00414072" w:rsidP="00414072">
      <w:pPr>
        <w:pStyle w:val="Catchwords"/>
      </w:pPr>
      <w:r>
        <w:t xml:space="preserve">Criminal law – Continuation of appeal – Death of appellant – Where appellant granted leave to appeal against convictions of sexual offending – Where appellant died before appeal could be heard – Whether appeal should continue despite appellant's death – Whether </w:t>
      </w:r>
      <w:r w:rsidRPr="00414072">
        <w:t>tikanga Māori</w:t>
      </w:r>
      <w:r>
        <w:t xml:space="preserve"> relevant to issue of continuation of appeal. </w:t>
      </w:r>
    </w:p>
    <w:p w14:paraId="0F5AF288" w14:textId="77777777" w:rsidR="00414072" w:rsidRPr="005E2809" w:rsidRDefault="00414072" w:rsidP="00414072">
      <w:pPr>
        <w:pStyle w:val="Catchwords"/>
      </w:pPr>
    </w:p>
    <w:p w14:paraId="2F170148" w14:textId="77777777" w:rsidR="00414072" w:rsidRDefault="00414072" w:rsidP="00414072">
      <w:pPr>
        <w:rPr>
          <w:lang w:eastAsia="en-AU"/>
        </w:rPr>
      </w:pPr>
      <w:r>
        <w:rPr>
          <w:b/>
          <w:bCs/>
          <w:lang w:eastAsia="en-AU"/>
        </w:rPr>
        <w:t>Held (3:2):</w:t>
      </w:r>
      <w:r w:rsidRPr="00FD6C82">
        <w:rPr>
          <w:lang w:eastAsia="en-AU"/>
        </w:rPr>
        <w:t xml:space="preserve"> </w:t>
      </w:r>
      <w:r>
        <w:rPr>
          <w:lang w:eastAsia="en-AU"/>
        </w:rPr>
        <w:t xml:space="preserve">Application for continuation of appeal granted.  </w:t>
      </w:r>
    </w:p>
    <w:p w14:paraId="2098F1A3" w14:textId="77777777" w:rsidR="00414072" w:rsidRPr="000545EC" w:rsidRDefault="00414072" w:rsidP="00414072">
      <w:pPr>
        <w:pStyle w:val="BullDivider1"/>
      </w:pPr>
    </w:p>
    <w:p w14:paraId="598AF878" w14:textId="77777777" w:rsidR="00414072" w:rsidRDefault="00414072" w:rsidP="006A251F">
      <w:pPr>
        <w:rPr>
          <w:lang w:eastAsia="en-AU"/>
        </w:rPr>
      </w:pPr>
    </w:p>
    <w:p w14:paraId="21BE260D" w14:textId="49281799" w:rsidR="000545EC" w:rsidRDefault="000545EC" w:rsidP="000545EC">
      <w:pPr>
        <w:pStyle w:val="Heading2"/>
      </w:pPr>
      <w:r>
        <w:t xml:space="preserve">Ellis v The King </w:t>
      </w:r>
    </w:p>
    <w:p w14:paraId="16C68D14" w14:textId="1C80D5DB" w:rsidR="000545EC" w:rsidRDefault="000545EC" w:rsidP="000545EC">
      <w:pPr>
        <w:rPr>
          <w:lang w:eastAsia="en-AU"/>
        </w:rPr>
      </w:pPr>
      <w:r>
        <w:rPr>
          <w:b/>
          <w:bCs/>
          <w:lang w:eastAsia="en-AU"/>
        </w:rPr>
        <w:t>Supreme Court of New Zealand</w:t>
      </w:r>
      <w:r w:rsidRPr="006B0D58">
        <w:rPr>
          <w:b/>
          <w:bCs/>
          <w:lang w:eastAsia="en-AU"/>
        </w:rPr>
        <w:t>:</w:t>
      </w:r>
      <w:r>
        <w:rPr>
          <w:b/>
          <w:bCs/>
          <w:lang w:eastAsia="en-AU"/>
        </w:rPr>
        <w:t xml:space="preserve"> </w:t>
      </w:r>
      <w:hyperlink r:id="rId18" w:history="1">
        <w:r w:rsidRPr="000545EC">
          <w:rPr>
            <w:rStyle w:val="Hyperlink"/>
            <w:lang w:eastAsia="en-AU"/>
          </w:rPr>
          <w:t>[2022] NZSC 115</w:t>
        </w:r>
      </w:hyperlink>
    </w:p>
    <w:p w14:paraId="5A1EEF43" w14:textId="77777777" w:rsidR="000545EC" w:rsidRDefault="000545EC" w:rsidP="000545EC">
      <w:pPr>
        <w:rPr>
          <w:lang w:eastAsia="en-AU"/>
        </w:rPr>
      </w:pPr>
    </w:p>
    <w:p w14:paraId="6FCDC39D" w14:textId="44F0238D" w:rsidR="000545EC" w:rsidRPr="00DB68FF" w:rsidRDefault="000545EC" w:rsidP="000545EC">
      <w:pPr>
        <w:rPr>
          <w:lang w:eastAsia="en-AU"/>
        </w:rPr>
      </w:pPr>
      <w:r>
        <w:rPr>
          <w:b/>
          <w:bCs/>
          <w:lang w:eastAsia="en-AU"/>
        </w:rPr>
        <w:t xml:space="preserve">Judgment delivered: </w:t>
      </w:r>
      <w:r>
        <w:rPr>
          <w:lang w:eastAsia="en-AU"/>
        </w:rPr>
        <w:t xml:space="preserve">7 October 2022 </w:t>
      </w:r>
    </w:p>
    <w:p w14:paraId="43D65BEA" w14:textId="77777777" w:rsidR="000545EC" w:rsidRDefault="000545EC" w:rsidP="000545EC">
      <w:pPr>
        <w:rPr>
          <w:b/>
          <w:bCs/>
          <w:lang w:eastAsia="en-AU"/>
        </w:rPr>
      </w:pPr>
    </w:p>
    <w:p w14:paraId="1190FFD8" w14:textId="5F365FDB" w:rsidR="000545EC" w:rsidRPr="00DB68FF" w:rsidRDefault="000545EC" w:rsidP="000545EC">
      <w:pPr>
        <w:rPr>
          <w:lang w:eastAsia="en-AU"/>
        </w:rPr>
      </w:pPr>
      <w:r>
        <w:rPr>
          <w:b/>
          <w:bCs/>
          <w:lang w:eastAsia="en-AU"/>
        </w:rPr>
        <w:t>Coram:</w:t>
      </w:r>
      <w:r w:rsidRPr="00DB68FF">
        <w:t xml:space="preserve"> </w:t>
      </w:r>
      <w:r w:rsidR="00414072" w:rsidRPr="00414072">
        <w:rPr>
          <w:lang w:eastAsia="en-AU"/>
        </w:rPr>
        <w:t xml:space="preserve">Winkelmann CJ, </w:t>
      </w:r>
      <w:proofErr w:type="spellStart"/>
      <w:r w:rsidR="00414072" w:rsidRPr="00414072">
        <w:rPr>
          <w:lang w:eastAsia="en-AU"/>
        </w:rPr>
        <w:t>Glazebrook</w:t>
      </w:r>
      <w:proofErr w:type="spellEnd"/>
      <w:r w:rsidR="00414072" w:rsidRPr="00414072">
        <w:rPr>
          <w:lang w:eastAsia="en-AU"/>
        </w:rPr>
        <w:t xml:space="preserve">, </w:t>
      </w:r>
      <w:proofErr w:type="spellStart"/>
      <w:r w:rsidR="00414072" w:rsidRPr="00414072">
        <w:rPr>
          <w:lang w:eastAsia="en-AU"/>
        </w:rPr>
        <w:t>O’Regan</w:t>
      </w:r>
      <w:proofErr w:type="spellEnd"/>
      <w:r w:rsidR="00414072" w:rsidRPr="00414072">
        <w:rPr>
          <w:lang w:eastAsia="en-AU"/>
        </w:rPr>
        <w:t>, Williams and Arnold JJ</w:t>
      </w:r>
    </w:p>
    <w:p w14:paraId="02B3C129" w14:textId="77777777" w:rsidR="000545EC" w:rsidRDefault="000545EC" w:rsidP="000545EC">
      <w:pPr>
        <w:rPr>
          <w:b/>
          <w:bCs/>
          <w:lang w:eastAsia="en-AU"/>
        </w:rPr>
      </w:pPr>
    </w:p>
    <w:p w14:paraId="45060481" w14:textId="77777777" w:rsidR="000545EC" w:rsidRDefault="000545EC" w:rsidP="000545EC">
      <w:pPr>
        <w:rPr>
          <w:b/>
          <w:bCs/>
          <w:lang w:eastAsia="en-AU"/>
        </w:rPr>
      </w:pPr>
      <w:r>
        <w:rPr>
          <w:b/>
          <w:bCs/>
          <w:lang w:eastAsia="en-AU"/>
        </w:rPr>
        <w:t>Catchwords:</w:t>
      </w:r>
    </w:p>
    <w:p w14:paraId="12E7B511" w14:textId="77777777" w:rsidR="000545EC" w:rsidRDefault="000545EC" w:rsidP="000545EC">
      <w:pPr>
        <w:rPr>
          <w:b/>
          <w:bCs/>
          <w:lang w:eastAsia="en-AU"/>
        </w:rPr>
      </w:pPr>
    </w:p>
    <w:p w14:paraId="25F3FFB7" w14:textId="72FADA39" w:rsidR="000545EC" w:rsidRDefault="000545EC" w:rsidP="00D22F82">
      <w:pPr>
        <w:pStyle w:val="Catchwords"/>
      </w:pPr>
      <w:r>
        <w:t xml:space="preserve">Criminal law </w:t>
      </w:r>
      <w:r w:rsidR="00414072">
        <w:t>–</w:t>
      </w:r>
      <w:r>
        <w:t xml:space="preserve"> </w:t>
      </w:r>
      <w:r w:rsidR="0065349D">
        <w:t>Appeal – Expert evidence – Where</w:t>
      </w:r>
      <w:r w:rsidR="00CB7E26">
        <w:t xml:space="preserve"> appellant convicted</w:t>
      </w:r>
      <w:r w:rsidR="00D22F82">
        <w:t xml:space="preserve"> in 1993</w:t>
      </w:r>
      <w:r w:rsidR="00CB7E26">
        <w:t xml:space="preserve"> of 16 counts of sexual offending against seven children – Where appellant appealed against convictions to Court of Appeal and</w:t>
      </w:r>
      <w:r w:rsidR="00D22F82">
        <w:t xml:space="preserve">, in 1994, </w:t>
      </w:r>
      <w:r w:rsidR="00CB7E26">
        <w:t xml:space="preserve"> three convictions set aside, but appeal otherwise dismissed – Where</w:t>
      </w:r>
      <w:r w:rsidR="00D22F82">
        <w:t xml:space="preserve">, in 2019, appellant granted extension of time to apply for leave to appeal to Supreme Court and leave granted – Where s 23G </w:t>
      </w:r>
      <w:r w:rsidR="00ED0127">
        <w:t xml:space="preserve">of </w:t>
      </w:r>
      <w:r w:rsidR="00ED0127">
        <w:rPr>
          <w:i/>
          <w:iCs/>
        </w:rPr>
        <w:t xml:space="preserve">Evidence Act 1908 </w:t>
      </w:r>
      <w:r w:rsidR="00D22F82" w:rsidRPr="00ED0127">
        <w:t>permitted</w:t>
      </w:r>
      <w:r w:rsidR="00D22F82">
        <w:t xml:space="preserve"> expert evidence in cases involving allegations of sexual offending against children, including evidence relating to whether child complainant’s behaviour consistent or inconsistent with behaviour of sexually abused children of same age group as complainant</w:t>
      </w:r>
      <w:r w:rsidR="00CB7E26">
        <w:t xml:space="preserve"> </w:t>
      </w:r>
      <w:r w:rsidR="00D22F82">
        <w:t>– Where Crown's expert gave evidence as expert witness under s 23G, but also involved in supervising interviewers who interviewed complainants and assist</w:t>
      </w:r>
      <w:r w:rsidR="00EF2116">
        <w:t>ed</w:t>
      </w:r>
      <w:r w:rsidR="00D22F82">
        <w:t xml:space="preserve"> police during investigation – Where, during investigation, meetings involving parents of complainants, discussions about allegations between parents and </w:t>
      </w:r>
      <w:r w:rsidR="00D22F82">
        <w:lastRenderedPageBreak/>
        <w:t xml:space="preserve">complainants, parent-to-parent discussions and complainant-to-complainant discussions – </w:t>
      </w:r>
      <w:r w:rsidR="00D22F82" w:rsidRPr="0065349D">
        <w:t xml:space="preserve">Whether miscarriage of justice arising from expert evidence on reliability of children complainants’ evidence – Whether miscarriage of justice due to unreliable expert evidence being led at trial </w:t>
      </w:r>
      <w:r w:rsidR="00D22F82">
        <w:t xml:space="preserve">– </w:t>
      </w:r>
      <w:r w:rsidR="0065349D" w:rsidRPr="0065349D">
        <w:t>Whether miscarriage of justice arising from risks of contamination of or improperly obtained complainant evidence.</w:t>
      </w:r>
    </w:p>
    <w:p w14:paraId="6A88CA9A" w14:textId="77777777" w:rsidR="000545EC" w:rsidRPr="005E2809" w:rsidRDefault="000545EC" w:rsidP="000545EC">
      <w:pPr>
        <w:pStyle w:val="Catchwords"/>
      </w:pPr>
    </w:p>
    <w:p w14:paraId="1CA5C73B" w14:textId="66F6CDF8" w:rsidR="000545EC" w:rsidRDefault="000545EC" w:rsidP="000545EC">
      <w:pPr>
        <w:rPr>
          <w:lang w:eastAsia="en-AU"/>
        </w:rPr>
      </w:pPr>
      <w:r>
        <w:rPr>
          <w:b/>
          <w:bCs/>
          <w:lang w:eastAsia="en-AU"/>
        </w:rPr>
        <w:t>Held (</w:t>
      </w:r>
      <w:r w:rsidR="00D22F82">
        <w:rPr>
          <w:b/>
          <w:bCs/>
          <w:lang w:eastAsia="en-AU"/>
        </w:rPr>
        <w:t>5</w:t>
      </w:r>
      <w:r>
        <w:rPr>
          <w:b/>
          <w:bCs/>
          <w:lang w:eastAsia="en-AU"/>
        </w:rPr>
        <w:t>:</w:t>
      </w:r>
      <w:r w:rsidR="00D22F82">
        <w:rPr>
          <w:b/>
          <w:bCs/>
          <w:lang w:eastAsia="en-AU"/>
        </w:rPr>
        <w:t>0</w:t>
      </w:r>
      <w:r>
        <w:rPr>
          <w:b/>
          <w:bCs/>
          <w:lang w:eastAsia="en-AU"/>
        </w:rPr>
        <w:t>):</w:t>
      </w:r>
      <w:r w:rsidRPr="00FD6C82">
        <w:rPr>
          <w:lang w:eastAsia="en-AU"/>
        </w:rPr>
        <w:t xml:space="preserve"> </w:t>
      </w:r>
      <w:r w:rsidR="00414072" w:rsidRPr="00414072">
        <w:rPr>
          <w:lang w:eastAsia="en-AU"/>
        </w:rPr>
        <w:t>Applications to adduce further evidence granted; appeal allowed; convictions quashed.</w:t>
      </w:r>
    </w:p>
    <w:p w14:paraId="7CFE5312" w14:textId="40A78DFC" w:rsidR="000545EC" w:rsidRDefault="000545EC" w:rsidP="000545EC">
      <w:pPr>
        <w:pStyle w:val="BullDivider1"/>
      </w:pPr>
    </w:p>
    <w:p w14:paraId="76FECB5E" w14:textId="77777777" w:rsidR="00855AA9" w:rsidRPr="00855AA9" w:rsidRDefault="00855AA9" w:rsidP="00855AA9">
      <w:pPr>
        <w:rPr>
          <w:lang w:eastAsia="en-AU"/>
        </w:rPr>
      </w:pPr>
    </w:p>
    <w:p w14:paraId="72AA3939" w14:textId="5644FDC2" w:rsidR="00855AA9" w:rsidRDefault="00855AA9" w:rsidP="00855AA9">
      <w:pPr>
        <w:pStyle w:val="Heading2"/>
      </w:pPr>
      <w:r>
        <w:t>R v Andrewes</w:t>
      </w:r>
    </w:p>
    <w:p w14:paraId="07623CFE" w14:textId="6638E0EA" w:rsidR="00855AA9" w:rsidRDefault="00855AA9" w:rsidP="00855AA9">
      <w:pPr>
        <w:rPr>
          <w:lang w:eastAsia="en-AU"/>
        </w:rPr>
      </w:pPr>
      <w:r>
        <w:rPr>
          <w:b/>
          <w:bCs/>
          <w:lang w:eastAsia="en-AU"/>
        </w:rPr>
        <w:t xml:space="preserve">Supreme Court of </w:t>
      </w:r>
      <w:r w:rsidR="003476ED">
        <w:rPr>
          <w:b/>
          <w:bCs/>
          <w:lang w:eastAsia="en-AU"/>
        </w:rPr>
        <w:t>the United Kingdom</w:t>
      </w:r>
      <w:r w:rsidRPr="006B0D58">
        <w:rPr>
          <w:b/>
          <w:bCs/>
          <w:lang w:eastAsia="en-AU"/>
        </w:rPr>
        <w:t>:</w:t>
      </w:r>
      <w:r>
        <w:rPr>
          <w:lang w:eastAsia="en-AU"/>
        </w:rPr>
        <w:t xml:space="preserve"> </w:t>
      </w:r>
      <w:hyperlink r:id="rId19" w:history="1">
        <w:r w:rsidR="003476ED" w:rsidRPr="003476ED">
          <w:rPr>
            <w:rStyle w:val="Hyperlink"/>
            <w:lang w:eastAsia="en-AU"/>
          </w:rPr>
          <w:t>[2022] UKSC 24</w:t>
        </w:r>
      </w:hyperlink>
    </w:p>
    <w:p w14:paraId="5ECA845C" w14:textId="77777777" w:rsidR="00855AA9" w:rsidRDefault="00855AA9" w:rsidP="00855AA9">
      <w:pPr>
        <w:rPr>
          <w:lang w:eastAsia="en-AU"/>
        </w:rPr>
      </w:pPr>
    </w:p>
    <w:p w14:paraId="1A449E15" w14:textId="7CFB523A" w:rsidR="00855AA9" w:rsidRPr="00DB68FF" w:rsidRDefault="00855AA9" w:rsidP="00855AA9">
      <w:pPr>
        <w:rPr>
          <w:lang w:eastAsia="en-AU"/>
        </w:rPr>
      </w:pPr>
      <w:r>
        <w:rPr>
          <w:b/>
          <w:bCs/>
          <w:lang w:eastAsia="en-AU"/>
        </w:rPr>
        <w:t xml:space="preserve">Judgment delivered: </w:t>
      </w:r>
      <w:r w:rsidR="003476ED">
        <w:rPr>
          <w:lang w:eastAsia="en-AU"/>
        </w:rPr>
        <w:t>18 August</w:t>
      </w:r>
      <w:r>
        <w:rPr>
          <w:lang w:eastAsia="en-AU"/>
        </w:rPr>
        <w:t xml:space="preserve"> 2022 </w:t>
      </w:r>
    </w:p>
    <w:p w14:paraId="55714B3E" w14:textId="77777777" w:rsidR="00855AA9" w:rsidRDefault="00855AA9" w:rsidP="00855AA9">
      <w:pPr>
        <w:rPr>
          <w:b/>
          <w:bCs/>
          <w:lang w:eastAsia="en-AU"/>
        </w:rPr>
      </w:pPr>
    </w:p>
    <w:p w14:paraId="76606B87" w14:textId="093A6FF5" w:rsidR="00855AA9" w:rsidRPr="00DB68FF" w:rsidRDefault="00855AA9" w:rsidP="00855AA9">
      <w:pPr>
        <w:rPr>
          <w:lang w:eastAsia="en-AU"/>
        </w:rPr>
      </w:pPr>
      <w:r>
        <w:rPr>
          <w:b/>
          <w:bCs/>
          <w:lang w:eastAsia="en-AU"/>
        </w:rPr>
        <w:t>Coram:</w:t>
      </w:r>
      <w:r w:rsidRPr="00DB68FF">
        <w:t xml:space="preserve"> </w:t>
      </w:r>
      <w:r w:rsidR="003476ED" w:rsidRPr="003476ED">
        <w:rPr>
          <w:lang w:eastAsia="en-AU"/>
        </w:rPr>
        <w:t>Lord Hodge, Lord Kitchin, Lord Hamblen, Lord Burrows</w:t>
      </w:r>
      <w:r w:rsidR="00C413E7">
        <w:rPr>
          <w:lang w:eastAsia="en-AU"/>
        </w:rPr>
        <w:t xml:space="preserve"> and</w:t>
      </w:r>
      <w:r w:rsidR="003476ED" w:rsidRPr="003476ED">
        <w:rPr>
          <w:lang w:eastAsia="en-AU"/>
        </w:rPr>
        <w:t xml:space="preserve"> Lord Stephens</w:t>
      </w:r>
    </w:p>
    <w:p w14:paraId="6C0A0A5C" w14:textId="77777777" w:rsidR="00855AA9" w:rsidRDefault="00855AA9" w:rsidP="00855AA9">
      <w:pPr>
        <w:rPr>
          <w:b/>
          <w:bCs/>
          <w:lang w:eastAsia="en-AU"/>
        </w:rPr>
      </w:pPr>
    </w:p>
    <w:p w14:paraId="583C500D" w14:textId="77777777" w:rsidR="00855AA9" w:rsidRDefault="00855AA9" w:rsidP="00855AA9">
      <w:pPr>
        <w:rPr>
          <w:b/>
          <w:bCs/>
          <w:lang w:eastAsia="en-AU"/>
        </w:rPr>
      </w:pPr>
      <w:r>
        <w:rPr>
          <w:b/>
          <w:bCs/>
          <w:lang w:eastAsia="en-AU"/>
        </w:rPr>
        <w:t>Catchwords:</w:t>
      </w:r>
    </w:p>
    <w:p w14:paraId="1CD7DA77" w14:textId="77777777" w:rsidR="00855AA9" w:rsidRDefault="00855AA9" w:rsidP="00855AA9">
      <w:pPr>
        <w:rPr>
          <w:b/>
          <w:bCs/>
          <w:lang w:eastAsia="en-AU"/>
        </w:rPr>
      </w:pPr>
    </w:p>
    <w:p w14:paraId="1FE4D59C" w14:textId="693CA93E" w:rsidR="00855AA9" w:rsidRPr="003476ED" w:rsidRDefault="00855AA9" w:rsidP="00855AA9">
      <w:pPr>
        <w:pStyle w:val="Catchwords"/>
      </w:pPr>
      <w:r w:rsidRPr="006A251F">
        <w:t xml:space="preserve">Criminal law </w:t>
      </w:r>
      <w:r w:rsidR="00864420">
        <w:t>–</w:t>
      </w:r>
      <w:r w:rsidRPr="006A251F">
        <w:t xml:space="preserve"> </w:t>
      </w:r>
      <w:r w:rsidR="003476ED">
        <w:t xml:space="preserve">Proceeds of crime – Fraud – </w:t>
      </w:r>
      <w:r w:rsidR="00CD6630">
        <w:t>"</w:t>
      </w:r>
      <w:r w:rsidR="003476ED">
        <w:t>CV fraud</w:t>
      </w:r>
      <w:r w:rsidR="00CD6630">
        <w:t>"</w:t>
      </w:r>
      <w:r w:rsidR="003476ED">
        <w:t xml:space="preserve"> – Confiscation orders – Where respondent obtained remuneration</w:t>
      </w:r>
      <w:r w:rsidR="00EF2116">
        <w:t xml:space="preserve"> (wages)</w:t>
      </w:r>
      <w:r w:rsidR="003476ED">
        <w:t xml:space="preserve"> </w:t>
      </w:r>
      <w:r w:rsidR="00EF2116">
        <w:t>through employment following</w:t>
      </w:r>
      <w:r w:rsidR="003476ED">
        <w:t xml:space="preserve"> fraud</w:t>
      </w:r>
      <w:r w:rsidR="00EF2116">
        <w:t xml:space="preserve">, being </w:t>
      </w:r>
      <w:r w:rsidR="00EF2116" w:rsidRPr="00EF2116">
        <w:t xml:space="preserve">false representations </w:t>
      </w:r>
      <w:r w:rsidR="00EF2116">
        <w:t>and</w:t>
      </w:r>
      <w:r w:rsidR="00EF2116" w:rsidRPr="00EF2116">
        <w:t xml:space="preserve"> non-disclosure</w:t>
      </w:r>
      <w:r w:rsidR="00EF2116">
        <w:t xml:space="preserve"> </w:t>
      </w:r>
      <w:r w:rsidR="003476ED">
        <w:t xml:space="preserve">– </w:t>
      </w:r>
      <w:r w:rsidR="00563703">
        <w:t>Where</w:t>
      </w:r>
      <w:r w:rsidR="00EF2116">
        <w:t>,</w:t>
      </w:r>
      <w:r w:rsidR="00563703">
        <w:t xml:space="preserve"> </w:t>
      </w:r>
      <w:r w:rsidR="00EF2116">
        <w:t xml:space="preserve">by </w:t>
      </w:r>
      <w:r w:rsidR="00563703">
        <w:t xml:space="preserve">s 6(5) of </w:t>
      </w:r>
      <w:r w:rsidR="004F57B0">
        <w:rPr>
          <w:i/>
          <w:iCs/>
        </w:rPr>
        <w:t xml:space="preserve">Proceeds of Crime Act 2002 </w:t>
      </w:r>
      <w:r w:rsidR="004F57B0">
        <w:t>(UK)</w:t>
      </w:r>
      <w:r w:rsidR="00EF2116">
        <w:t>,</w:t>
      </w:r>
      <w:r w:rsidR="004F57B0">
        <w:t xml:space="preserve"> court must, if it decides defendant benefitted from criminal conduct, decide recoverable amount and make confiscation order – Where, </w:t>
      </w:r>
      <w:r w:rsidR="00CC0669">
        <w:t>s 6(5) contains proviso that confiscation order not to be ma</w:t>
      </w:r>
      <w:r w:rsidR="00EF2116">
        <w:t>d</w:t>
      </w:r>
      <w:r w:rsidR="00CC0669">
        <w:t xml:space="preserve">e if it </w:t>
      </w:r>
      <w:r w:rsidR="00CD6630">
        <w:t>"</w:t>
      </w:r>
      <w:r w:rsidR="00CC0669">
        <w:t>disproportionate</w:t>
      </w:r>
      <w:r w:rsidR="00CD6630">
        <w:t>"</w:t>
      </w:r>
      <w:r w:rsidR="00CC0669">
        <w:t xml:space="preserve"> to require defendant to pay recoverable amount –</w:t>
      </w:r>
      <w:r w:rsidR="004F57B0">
        <w:t xml:space="preserve"> </w:t>
      </w:r>
      <w:r w:rsidR="003476ED">
        <w:t xml:space="preserve">Whether confiscation order based on wages earned disproportionate under s 6(5) of </w:t>
      </w:r>
      <w:r w:rsidR="003476ED">
        <w:rPr>
          <w:i/>
          <w:iCs/>
        </w:rPr>
        <w:t>Proceeds of Crime Act</w:t>
      </w:r>
      <w:r w:rsidR="003476ED">
        <w:t xml:space="preserve"> or contrary to Article 1, Protocol 1 of </w:t>
      </w:r>
      <w:r w:rsidR="003476ED">
        <w:rPr>
          <w:i/>
          <w:iCs/>
        </w:rPr>
        <w:t>European Convention on Human Rights</w:t>
      </w:r>
      <w:r w:rsidR="00CC0669">
        <w:t xml:space="preserve"> – Whether confiscation order stripping respondent of wages disproportionate.  </w:t>
      </w:r>
      <w:r w:rsidR="003476ED">
        <w:t xml:space="preserve"> </w:t>
      </w:r>
    </w:p>
    <w:p w14:paraId="28E37500" w14:textId="77777777" w:rsidR="00855AA9" w:rsidRPr="005E2809" w:rsidRDefault="00855AA9" w:rsidP="00855AA9">
      <w:pPr>
        <w:pStyle w:val="Catchwords"/>
      </w:pPr>
    </w:p>
    <w:p w14:paraId="390C44BC" w14:textId="5D7713CA" w:rsidR="00855AA9" w:rsidRDefault="00855AA9" w:rsidP="00855AA9">
      <w:pPr>
        <w:rPr>
          <w:lang w:eastAsia="en-AU"/>
        </w:rPr>
      </w:pPr>
      <w:r>
        <w:rPr>
          <w:b/>
          <w:bCs/>
          <w:lang w:eastAsia="en-AU"/>
        </w:rPr>
        <w:t>Held (</w:t>
      </w:r>
      <w:r w:rsidR="003476ED">
        <w:rPr>
          <w:b/>
          <w:bCs/>
          <w:lang w:eastAsia="en-AU"/>
        </w:rPr>
        <w:t>5</w:t>
      </w:r>
      <w:r>
        <w:rPr>
          <w:b/>
          <w:bCs/>
          <w:lang w:eastAsia="en-AU"/>
        </w:rPr>
        <w:t>:</w:t>
      </w:r>
      <w:r w:rsidR="003476ED">
        <w:rPr>
          <w:b/>
          <w:bCs/>
          <w:lang w:eastAsia="en-AU"/>
        </w:rPr>
        <w:t>0</w:t>
      </w:r>
      <w:r>
        <w:rPr>
          <w:b/>
          <w:bCs/>
          <w:lang w:eastAsia="en-AU"/>
        </w:rPr>
        <w:t>):</w:t>
      </w:r>
      <w:r w:rsidRPr="00FD6C82">
        <w:rPr>
          <w:lang w:eastAsia="en-AU"/>
        </w:rPr>
        <w:t xml:space="preserve"> </w:t>
      </w:r>
      <w:r>
        <w:rPr>
          <w:lang w:eastAsia="en-AU"/>
        </w:rPr>
        <w:t>Appeal allowed</w:t>
      </w:r>
      <w:r w:rsidR="008446BC">
        <w:rPr>
          <w:lang w:eastAsia="en-AU"/>
        </w:rPr>
        <w:t xml:space="preserve">; </w:t>
      </w:r>
      <w:r w:rsidR="003476ED">
        <w:rPr>
          <w:lang w:eastAsia="en-AU"/>
        </w:rPr>
        <w:t>confiscation order</w:t>
      </w:r>
      <w:r>
        <w:rPr>
          <w:lang w:eastAsia="en-AU"/>
        </w:rPr>
        <w:t xml:space="preserve"> restored. </w:t>
      </w:r>
    </w:p>
    <w:p w14:paraId="26B5C1EE" w14:textId="77777777" w:rsidR="00855AA9" w:rsidRDefault="00855AA9" w:rsidP="00855AA9">
      <w:pPr>
        <w:pStyle w:val="BullDivider1"/>
      </w:pPr>
    </w:p>
    <w:p w14:paraId="2DCBF07D" w14:textId="77777777" w:rsidR="000839C7" w:rsidRPr="000545EC" w:rsidRDefault="000839C7" w:rsidP="000839C7">
      <w:pPr>
        <w:rPr>
          <w:lang w:eastAsia="en-AU"/>
        </w:rPr>
      </w:pPr>
    </w:p>
    <w:p w14:paraId="03D5B6DE" w14:textId="1ADD61B9" w:rsidR="000839C7" w:rsidRDefault="000839C7" w:rsidP="000839C7">
      <w:pPr>
        <w:pStyle w:val="Heading2"/>
      </w:pPr>
      <w:r>
        <w:t xml:space="preserve">R v </w:t>
      </w:r>
      <w:proofErr w:type="spellStart"/>
      <w:r>
        <w:t>Nahanee</w:t>
      </w:r>
      <w:proofErr w:type="spellEnd"/>
    </w:p>
    <w:p w14:paraId="38D512C1" w14:textId="3DE70C23" w:rsidR="000839C7" w:rsidRDefault="000839C7" w:rsidP="000839C7">
      <w:pPr>
        <w:rPr>
          <w:lang w:eastAsia="en-AU"/>
        </w:rPr>
      </w:pPr>
      <w:r>
        <w:rPr>
          <w:b/>
          <w:bCs/>
          <w:lang w:eastAsia="en-AU"/>
        </w:rPr>
        <w:t>Supreme Court of Canada</w:t>
      </w:r>
      <w:r w:rsidRPr="006B0D58">
        <w:rPr>
          <w:b/>
          <w:bCs/>
          <w:lang w:eastAsia="en-AU"/>
        </w:rPr>
        <w:t>:</w:t>
      </w:r>
      <w:r>
        <w:rPr>
          <w:lang w:eastAsia="en-AU"/>
        </w:rPr>
        <w:t xml:space="preserve"> </w:t>
      </w:r>
      <w:hyperlink r:id="rId20" w:history="1">
        <w:r w:rsidRPr="000839C7">
          <w:rPr>
            <w:rStyle w:val="Hyperlink"/>
          </w:rPr>
          <w:t>[2022] SCC 37</w:t>
        </w:r>
      </w:hyperlink>
      <w:r>
        <w:t xml:space="preserve"> </w:t>
      </w:r>
    </w:p>
    <w:p w14:paraId="613D411D" w14:textId="77777777" w:rsidR="000839C7" w:rsidRDefault="000839C7" w:rsidP="000839C7">
      <w:pPr>
        <w:rPr>
          <w:lang w:eastAsia="en-AU"/>
        </w:rPr>
      </w:pPr>
    </w:p>
    <w:p w14:paraId="05F7EEEC" w14:textId="63C97BAC" w:rsidR="000839C7" w:rsidRPr="00DB68FF" w:rsidRDefault="000839C7" w:rsidP="000839C7">
      <w:pPr>
        <w:rPr>
          <w:lang w:eastAsia="en-AU"/>
        </w:rPr>
      </w:pPr>
      <w:r>
        <w:rPr>
          <w:b/>
          <w:bCs/>
          <w:lang w:eastAsia="en-AU"/>
        </w:rPr>
        <w:t xml:space="preserve">Judgment delivered: </w:t>
      </w:r>
      <w:r w:rsidRPr="00864420">
        <w:rPr>
          <w:lang w:eastAsia="en-AU"/>
        </w:rPr>
        <w:t>2</w:t>
      </w:r>
      <w:r>
        <w:rPr>
          <w:lang w:eastAsia="en-AU"/>
        </w:rPr>
        <w:t xml:space="preserve">7 October 2022 </w:t>
      </w:r>
    </w:p>
    <w:p w14:paraId="1395911B" w14:textId="77777777" w:rsidR="000839C7" w:rsidRDefault="000839C7" w:rsidP="000839C7">
      <w:pPr>
        <w:rPr>
          <w:b/>
          <w:bCs/>
          <w:lang w:eastAsia="en-AU"/>
        </w:rPr>
      </w:pPr>
    </w:p>
    <w:p w14:paraId="6BEC6337" w14:textId="77777777" w:rsidR="000839C7" w:rsidRPr="00DB68FF" w:rsidRDefault="000839C7" w:rsidP="000839C7">
      <w:pPr>
        <w:rPr>
          <w:lang w:eastAsia="en-AU"/>
        </w:rPr>
      </w:pPr>
      <w:r>
        <w:rPr>
          <w:b/>
          <w:bCs/>
          <w:lang w:eastAsia="en-AU"/>
        </w:rPr>
        <w:t>Coram:</w:t>
      </w:r>
      <w:r w:rsidRPr="00DB68FF">
        <w:t xml:space="preserve"> </w:t>
      </w:r>
      <w:r w:rsidRPr="00944A5D">
        <w:rPr>
          <w:lang w:eastAsia="en-AU"/>
        </w:rPr>
        <w:t xml:space="preserve">Wagner </w:t>
      </w:r>
      <w:r>
        <w:rPr>
          <w:lang w:eastAsia="en-AU"/>
        </w:rPr>
        <w:t xml:space="preserve">CJ, </w:t>
      </w:r>
      <w:r w:rsidRPr="00944A5D">
        <w:rPr>
          <w:lang w:eastAsia="en-AU"/>
        </w:rPr>
        <w:t>Moldaver, Karakatsanis, Côté, Brown, Rowe, Martin, Kasirer and Jamal JJ</w:t>
      </w:r>
    </w:p>
    <w:p w14:paraId="66A72DD6" w14:textId="77777777" w:rsidR="000839C7" w:rsidRDefault="000839C7" w:rsidP="000839C7">
      <w:pPr>
        <w:rPr>
          <w:b/>
          <w:bCs/>
          <w:lang w:eastAsia="en-AU"/>
        </w:rPr>
      </w:pPr>
    </w:p>
    <w:p w14:paraId="36966A7F" w14:textId="77777777" w:rsidR="000839C7" w:rsidRDefault="000839C7" w:rsidP="000839C7">
      <w:pPr>
        <w:rPr>
          <w:b/>
          <w:bCs/>
          <w:lang w:eastAsia="en-AU"/>
        </w:rPr>
      </w:pPr>
      <w:r>
        <w:rPr>
          <w:b/>
          <w:bCs/>
          <w:lang w:eastAsia="en-AU"/>
        </w:rPr>
        <w:t>Catchwords:</w:t>
      </w:r>
    </w:p>
    <w:p w14:paraId="4380585D" w14:textId="77777777" w:rsidR="000839C7" w:rsidRDefault="000839C7" w:rsidP="000839C7">
      <w:pPr>
        <w:rPr>
          <w:b/>
          <w:bCs/>
          <w:lang w:eastAsia="en-AU"/>
        </w:rPr>
      </w:pPr>
    </w:p>
    <w:p w14:paraId="2DCAB38A" w14:textId="617F2280" w:rsidR="000839C7" w:rsidRPr="000F0E0C" w:rsidRDefault="000839C7" w:rsidP="000839C7">
      <w:pPr>
        <w:pStyle w:val="Catchwords"/>
      </w:pPr>
      <w:r w:rsidRPr="006A251F">
        <w:t xml:space="preserve">Criminal law </w:t>
      </w:r>
      <w:r w:rsidR="00864420">
        <w:t>–</w:t>
      </w:r>
      <w:r w:rsidRPr="006A251F">
        <w:t xml:space="preserve"> </w:t>
      </w:r>
      <w:r w:rsidR="00864420" w:rsidRPr="00864420">
        <w:t xml:space="preserve">Sentencing </w:t>
      </w:r>
      <w:r w:rsidR="00864420">
        <w:t>–</w:t>
      </w:r>
      <w:r w:rsidR="00864420" w:rsidRPr="00864420">
        <w:t xml:space="preserve"> Sentencing procedure </w:t>
      </w:r>
      <w:r w:rsidR="00864420">
        <w:t>–</w:t>
      </w:r>
      <w:r w:rsidR="00864420" w:rsidRPr="00864420">
        <w:t xml:space="preserve"> Guilty plea </w:t>
      </w:r>
      <w:r w:rsidR="00864420">
        <w:t>–</w:t>
      </w:r>
      <w:r w:rsidR="00864420" w:rsidRPr="00864420">
        <w:t xml:space="preserve"> Contested sentencing hearing </w:t>
      </w:r>
      <w:r w:rsidR="00864420">
        <w:t>–</w:t>
      </w:r>
      <w:r w:rsidR="00864420" w:rsidRPr="00864420">
        <w:t xml:space="preserve"> </w:t>
      </w:r>
      <w:r w:rsidR="00864420">
        <w:t xml:space="preserve">Where </w:t>
      </w:r>
      <w:proofErr w:type="gramStart"/>
      <w:r w:rsidR="00864420">
        <w:t>j</w:t>
      </w:r>
      <w:r w:rsidR="00864420" w:rsidRPr="00864420">
        <w:t>udge impos</w:t>
      </w:r>
      <w:r w:rsidR="00864420">
        <w:t>ed</w:t>
      </w:r>
      <w:proofErr w:type="gramEnd"/>
      <w:r w:rsidR="00864420" w:rsidRPr="00864420">
        <w:t xml:space="preserve"> sentence that exceeded range proposed by Crown </w:t>
      </w:r>
      <w:r w:rsidR="00864420">
        <w:t>–</w:t>
      </w:r>
      <w:r w:rsidR="00864420" w:rsidRPr="00864420">
        <w:t xml:space="preserve"> Whether framework for departure from joint submissions following guilty plea applies to contested sentencing hearings following guilty plea </w:t>
      </w:r>
      <w:r w:rsidR="00864420">
        <w:t>–</w:t>
      </w:r>
      <w:r w:rsidR="00864420" w:rsidRPr="00864420">
        <w:t xml:space="preserve"> Whether sentencing judge required to give notice to </w:t>
      </w:r>
      <w:r w:rsidR="00864420" w:rsidRPr="00864420">
        <w:lastRenderedPageBreak/>
        <w:t>parties and provide further opportunity for submissions if they intend to impose sentence in excess of range proposed by Crown.</w:t>
      </w:r>
    </w:p>
    <w:p w14:paraId="5456811C" w14:textId="77777777" w:rsidR="000839C7" w:rsidRPr="005E2809" w:rsidRDefault="000839C7" w:rsidP="000839C7">
      <w:pPr>
        <w:pStyle w:val="Catchwords"/>
      </w:pPr>
    </w:p>
    <w:p w14:paraId="15A3F00F" w14:textId="11292C33" w:rsidR="000839C7" w:rsidRDefault="000839C7" w:rsidP="000839C7">
      <w:pPr>
        <w:rPr>
          <w:lang w:eastAsia="en-AU"/>
        </w:rPr>
      </w:pPr>
      <w:r>
        <w:rPr>
          <w:b/>
          <w:bCs/>
          <w:lang w:eastAsia="en-AU"/>
        </w:rPr>
        <w:t>Held (7:2):</w:t>
      </w:r>
      <w:r w:rsidRPr="00FD6C82">
        <w:rPr>
          <w:lang w:eastAsia="en-AU"/>
        </w:rPr>
        <w:t xml:space="preserve"> </w:t>
      </w:r>
      <w:r>
        <w:rPr>
          <w:lang w:eastAsia="en-AU"/>
        </w:rPr>
        <w:t xml:space="preserve">Appeal </w:t>
      </w:r>
      <w:r w:rsidR="00864420">
        <w:rPr>
          <w:lang w:eastAsia="en-AU"/>
        </w:rPr>
        <w:t>dismissed</w:t>
      </w:r>
      <w:r>
        <w:rPr>
          <w:lang w:eastAsia="en-AU"/>
        </w:rPr>
        <w:t xml:space="preserve">. </w:t>
      </w:r>
    </w:p>
    <w:p w14:paraId="4D3D1D9B" w14:textId="77777777" w:rsidR="000839C7" w:rsidRDefault="000839C7" w:rsidP="000839C7">
      <w:pPr>
        <w:pStyle w:val="BullDivider1"/>
      </w:pPr>
    </w:p>
    <w:p w14:paraId="088D902D" w14:textId="77777777" w:rsidR="000545EC" w:rsidRPr="000545EC" w:rsidRDefault="000545EC" w:rsidP="000545EC">
      <w:pPr>
        <w:rPr>
          <w:lang w:eastAsia="en-AU"/>
        </w:rPr>
      </w:pPr>
    </w:p>
    <w:p w14:paraId="126929D0" w14:textId="29DACBFC" w:rsidR="006A251F" w:rsidRDefault="006A251F" w:rsidP="006A251F">
      <w:pPr>
        <w:pStyle w:val="Heading2"/>
      </w:pPr>
      <w:r>
        <w:t>R v Schneider</w:t>
      </w:r>
    </w:p>
    <w:p w14:paraId="6775CBAE" w14:textId="70E8F25A" w:rsidR="006A251F" w:rsidRDefault="006A251F" w:rsidP="006A251F">
      <w:pPr>
        <w:rPr>
          <w:lang w:eastAsia="en-AU"/>
        </w:rPr>
      </w:pPr>
      <w:r>
        <w:rPr>
          <w:b/>
          <w:bCs/>
          <w:lang w:eastAsia="en-AU"/>
        </w:rPr>
        <w:t>Supreme Court of Canada</w:t>
      </w:r>
      <w:r w:rsidRPr="006B0D58">
        <w:rPr>
          <w:b/>
          <w:bCs/>
          <w:lang w:eastAsia="en-AU"/>
        </w:rPr>
        <w:t>:</w:t>
      </w:r>
      <w:r>
        <w:rPr>
          <w:lang w:eastAsia="en-AU"/>
        </w:rPr>
        <w:t xml:space="preserve"> </w:t>
      </w:r>
      <w:hyperlink r:id="rId21" w:history="1">
        <w:r w:rsidRPr="006A251F">
          <w:rPr>
            <w:rStyle w:val="Hyperlink"/>
            <w:lang w:eastAsia="en-AU"/>
          </w:rPr>
          <w:t>[2022] SCC 34</w:t>
        </w:r>
      </w:hyperlink>
    </w:p>
    <w:p w14:paraId="2D13B81D" w14:textId="77777777" w:rsidR="006A251F" w:rsidRDefault="006A251F" w:rsidP="006A251F">
      <w:pPr>
        <w:rPr>
          <w:lang w:eastAsia="en-AU"/>
        </w:rPr>
      </w:pPr>
    </w:p>
    <w:p w14:paraId="688B0B92" w14:textId="7C31177B" w:rsidR="006A251F" w:rsidRPr="00DB68FF" w:rsidRDefault="006A251F" w:rsidP="006A251F">
      <w:pPr>
        <w:rPr>
          <w:lang w:eastAsia="en-AU"/>
        </w:rPr>
      </w:pPr>
      <w:r>
        <w:rPr>
          <w:b/>
          <w:bCs/>
          <w:lang w:eastAsia="en-AU"/>
        </w:rPr>
        <w:t xml:space="preserve">Judgment delivered: </w:t>
      </w:r>
      <w:r>
        <w:rPr>
          <w:lang w:eastAsia="en-AU"/>
        </w:rPr>
        <w:t xml:space="preserve">7 October 2022 </w:t>
      </w:r>
    </w:p>
    <w:p w14:paraId="3947D47A" w14:textId="77777777" w:rsidR="006A251F" w:rsidRDefault="006A251F" w:rsidP="006A251F">
      <w:pPr>
        <w:rPr>
          <w:b/>
          <w:bCs/>
          <w:lang w:eastAsia="en-AU"/>
        </w:rPr>
      </w:pPr>
    </w:p>
    <w:p w14:paraId="13AF3081" w14:textId="0A70139D" w:rsidR="006A251F" w:rsidRPr="00DB68FF" w:rsidRDefault="006A251F" w:rsidP="006A251F">
      <w:pPr>
        <w:rPr>
          <w:lang w:eastAsia="en-AU"/>
        </w:rPr>
      </w:pPr>
      <w:r>
        <w:rPr>
          <w:b/>
          <w:bCs/>
          <w:lang w:eastAsia="en-AU"/>
        </w:rPr>
        <w:t>Coram:</w:t>
      </w:r>
      <w:r w:rsidRPr="00DB68FF">
        <w:t xml:space="preserve"> </w:t>
      </w:r>
      <w:r w:rsidRPr="00944A5D">
        <w:rPr>
          <w:lang w:eastAsia="en-AU"/>
        </w:rPr>
        <w:t xml:space="preserve">Wagner </w:t>
      </w:r>
      <w:r>
        <w:rPr>
          <w:lang w:eastAsia="en-AU"/>
        </w:rPr>
        <w:t xml:space="preserve">CJ, </w:t>
      </w:r>
      <w:r w:rsidRPr="00944A5D">
        <w:rPr>
          <w:lang w:eastAsia="en-AU"/>
        </w:rPr>
        <w:t>Moldaver, Karakatsanis, Côté, Brown, Rowe, Martin, Kasirer and Jamal JJ</w:t>
      </w:r>
    </w:p>
    <w:p w14:paraId="42E472B8" w14:textId="77777777" w:rsidR="006A251F" w:rsidRDefault="006A251F" w:rsidP="006A251F">
      <w:pPr>
        <w:rPr>
          <w:b/>
          <w:bCs/>
          <w:lang w:eastAsia="en-AU"/>
        </w:rPr>
      </w:pPr>
    </w:p>
    <w:p w14:paraId="5111DCFA" w14:textId="77777777" w:rsidR="006A251F" w:rsidRDefault="006A251F" w:rsidP="006A251F">
      <w:pPr>
        <w:rPr>
          <w:b/>
          <w:bCs/>
          <w:lang w:eastAsia="en-AU"/>
        </w:rPr>
      </w:pPr>
      <w:r>
        <w:rPr>
          <w:b/>
          <w:bCs/>
          <w:lang w:eastAsia="en-AU"/>
        </w:rPr>
        <w:t>Catchwords:</w:t>
      </w:r>
    </w:p>
    <w:p w14:paraId="35573E62" w14:textId="77777777" w:rsidR="006A251F" w:rsidRDefault="006A251F" w:rsidP="006A251F">
      <w:pPr>
        <w:rPr>
          <w:b/>
          <w:bCs/>
          <w:lang w:eastAsia="en-AU"/>
        </w:rPr>
      </w:pPr>
    </w:p>
    <w:p w14:paraId="3F6BA791" w14:textId="424757A0" w:rsidR="006A251F" w:rsidRPr="000F0E0C" w:rsidRDefault="006A251F" w:rsidP="006A251F">
      <w:pPr>
        <w:pStyle w:val="Catchwords"/>
      </w:pPr>
      <w:r w:rsidRPr="006A251F">
        <w:t xml:space="preserve">Criminal law </w:t>
      </w:r>
      <w:r w:rsidR="00864420">
        <w:t>–</w:t>
      </w:r>
      <w:r w:rsidRPr="006A251F">
        <w:t xml:space="preserve"> Evidence </w:t>
      </w:r>
      <w:r w:rsidR="00864420">
        <w:t>–</w:t>
      </w:r>
      <w:r w:rsidRPr="006A251F">
        <w:t xml:space="preserve"> Admissibility </w:t>
      </w:r>
      <w:r w:rsidR="00864420">
        <w:t>–</w:t>
      </w:r>
      <w:r w:rsidRPr="006A251F">
        <w:t xml:space="preserve"> Hearsay </w:t>
      </w:r>
      <w:r w:rsidR="00864420">
        <w:t>–</w:t>
      </w:r>
      <w:r w:rsidRPr="006A251F">
        <w:t xml:space="preserve"> Party admission </w:t>
      </w:r>
      <w:r w:rsidR="00864420">
        <w:t>–</w:t>
      </w:r>
      <w:r w:rsidRPr="006A251F">
        <w:t xml:space="preserve"> </w:t>
      </w:r>
      <w:r>
        <w:t>Where a</w:t>
      </w:r>
      <w:r w:rsidRPr="006A251F">
        <w:t xml:space="preserve">ccused charged with second degree murder </w:t>
      </w:r>
      <w:r w:rsidR="00864420">
        <w:t>–</w:t>
      </w:r>
      <w:r w:rsidRPr="006A251F">
        <w:t xml:space="preserve"> </w:t>
      </w:r>
      <w:r>
        <w:t>Where C</w:t>
      </w:r>
      <w:r w:rsidRPr="006A251F">
        <w:t xml:space="preserve">rown </w:t>
      </w:r>
      <w:r>
        <w:t>sought</w:t>
      </w:r>
      <w:r w:rsidRPr="006A251F">
        <w:t xml:space="preserve"> to adduce at trial hearsay evidence from accused’s brother concerning incriminating </w:t>
      </w:r>
      <w:proofErr w:type="gramStart"/>
      <w:r w:rsidRPr="006A251F">
        <w:t>statements</w:t>
      </w:r>
      <w:proofErr w:type="gramEnd"/>
      <w:r w:rsidRPr="006A251F">
        <w:t xml:space="preserve"> he overheard accused make in telephone conversation with wife </w:t>
      </w:r>
      <w:r w:rsidR="00864420">
        <w:t>–</w:t>
      </w:r>
      <w:r w:rsidRPr="006A251F">
        <w:t xml:space="preserve"> </w:t>
      </w:r>
      <w:r>
        <w:t>Where t</w:t>
      </w:r>
      <w:r w:rsidRPr="006A251F">
        <w:t>rial judge admitt</w:t>
      </w:r>
      <w:r>
        <w:t>ed</w:t>
      </w:r>
      <w:r w:rsidRPr="006A251F">
        <w:t xml:space="preserve"> brother’s testimony into evidence </w:t>
      </w:r>
      <w:r w:rsidR="00864420">
        <w:t>–</w:t>
      </w:r>
      <w:r w:rsidRPr="006A251F">
        <w:t xml:space="preserve"> </w:t>
      </w:r>
      <w:r>
        <w:t>Where a</w:t>
      </w:r>
      <w:r w:rsidRPr="006A251F">
        <w:t xml:space="preserve">ccused convicted by jury </w:t>
      </w:r>
      <w:r w:rsidR="00864420">
        <w:t>–</w:t>
      </w:r>
      <w:r w:rsidRPr="006A251F">
        <w:t xml:space="preserve"> Whether trial judge erred in admitting overheard statements into evidence</w:t>
      </w:r>
      <w:r>
        <w:t xml:space="preserve">. </w:t>
      </w:r>
    </w:p>
    <w:p w14:paraId="20082D29" w14:textId="77777777" w:rsidR="006A251F" w:rsidRPr="005E2809" w:rsidRDefault="006A251F" w:rsidP="006A251F">
      <w:pPr>
        <w:pStyle w:val="Catchwords"/>
      </w:pPr>
    </w:p>
    <w:p w14:paraId="74B93C4F" w14:textId="17E0BF20" w:rsidR="006A251F" w:rsidRDefault="006A251F" w:rsidP="006A251F">
      <w:pPr>
        <w:rPr>
          <w:lang w:eastAsia="en-AU"/>
        </w:rPr>
      </w:pPr>
      <w:r>
        <w:rPr>
          <w:b/>
          <w:bCs/>
          <w:lang w:eastAsia="en-AU"/>
        </w:rPr>
        <w:t>Held (7:2):</w:t>
      </w:r>
      <w:r w:rsidRPr="00FD6C82">
        <w:rPr>
          <w:lang w:eastAsia="en-AU"/>
        </w:rPr>
        <w:t xml:space="preserve"> </w:t>
      </w:r>
      <w:r>
        <w:rPr>
          <w:lang w:eastAsia="en-AU"/>
        </w:rPr>
        <w:t>Appeal allowed</w:t>
      </w:r>
      <w:r w:rsidR="008446BC">
        <w:rPr>
          <w:lang w:eastAsia="en-AU"/>
        </w:rPr>
        <w:t xml:space="preserve">; </w:t>
      </w:r>
      <w:r>
        <w:rPr>
          <w:lang w:eastAsia="en-AU"/>
        </w:rPr>
        <w:t xml:space="preserve">conviction restored. </w:t>
      </w:r>
    </w:p>
    <w:p w14:paraId="65E6A6CC" w14:textId="5C99DA9E" w:rsidR="006A251F" w:rsidRDefault="006A251F" w:rsidP="006A251F">
      <w:pPr>
        <w:pStyle w:val="BullDivider1"/>
      </w:pPr>
    </w:p>
    <w:p w14:paraId="1564B891" w14:textId="54094BFF" w:rsidR="006A251F" w:rsidRDefault="006A251F" w:rsidP="006A251F">
      <w:pPr>
        <w:rPr>
          <w:lang w:eastAsia="en-AU"/>
        </w:rPr>
      </w:pPr>
    </w:p>
    <w:p w14:paraId="5D74AFF7" w14:textId="7DC55040" w:rsidR="006A251F" w:rsidRDefault="006A251F" w:rsidP="006A251F">
      <w:pPr>
        <w:pStyle w:val="Heading2"/>
      </w:pPr>
      <w:r>
        <w:t>R v Tessier</w:t>
      </w:r>
    </w:p>
    <w:p w14:paraId="608F822D" w14:textId="139F4F8D" w:rsidR="006A251F" w:rsidRDefault="006A251F" w:rsidP="006A251F">
      <w:pPr>
        <w:rPr>
          <w:lang w:eastAsia="en-AU"/>
        </w:rPr>
      </w:pPr>
      <w:r>
        <w:rPr>
          <w:b/>
          <w:bCs/>
          <w:lang w:eastAsia="en-AU"/>
        </w:rPr>
        <w:t>Supreme Court of Canada</w:t>
      </w:r>
      <w:r w:rsidRPr="006B0D58">
        <w:rPr>
          <w:b/>
          <w:bCs/>
          <w:lang w:eastAsia="en-AU"/>
        </w:rPr>
        <w:t>:</w:t>
      </w:r>
      <w:r>
        <w:rPr>
          <w:lang w:eastAsia="en-AU"/>
        </w:rPr>
        <w:t xml:space="preserve"> </w:t>
      </w:r>
      <w:hyperlink r:id="rId22" w:history="1">
        <w:r w:rsidRPr="006A251F">
          <w:rPr>
            <w:rStyle w:val="Hyperlink"/>
            <w:lang w:eastAsia="en-AU"/>
          </w:rPr>
          <w:t>[2022] SCC 3</w:t>
        </w:r>
        <w:r>
          <w:rPr>
            <w:rStyle w:val="Hyperlink"/>
            <w:lang w:eastAsia="en-AU"/>
          </w:rPr>
          <w:t>5</w:t>
        </w:r>
      </w:hyperlink>
    </w:p>
    <w:p w14:paraId="7C81E451" w14:textId="77777777" w:rsidR="006A251F" w:rsidRDefault="006A251F" w:rsidP="006A251F">
      <w:pPr>
        <w:rPr>
          <w:lang w:eastAsia="en-AU"/>
        </w:rPr>
      </w:pPr>
    </w:p>
    <w:p w14:paraId="1E20EDD1" w14:textId="78393BF5" w:rsidR="006A251F" w:rsidRPr="00DB68FF" w:rsidRDefault="006A251F" w:rsidP="006A251F">
      <w:pPr>
        <w:rPr>
          <w:lang w:eastAsia="en-AU"/>
        </w:rPr>
      </w:pPr>
      <w:r>
        <w:rPr>
          <w:b/>
          <w:bCs/>
          <w:lang w:eastAsia="en-AU"/>
        </w:rPr>
        <w:t xml:space="preserve">Judgment delivered: </w:t>
      </w:r>
      <w:r>
        <w:rPr>
          <w:lang w:eastAsia="en-AU"/>
        </w:rPr>
        <w:t xml:space="preserve">14 October 2022 </w:t>
      </w:r>
    </w:p>
    <w:p w14:paraId="70501E19" w14:textId="77777777" w:rsidR="006A251F" w:rsidRDefault="006A251F" w:rsidP="006A251F">
      <w:pPr>
        <w:rPr>
          <w:b/>
          <w:bCs/>
          <w:lang w:eastAsia="en-AU"/>
        </w:rPr>
      </w:pPr>
    </w:p>
    <w:p w14:paraId="4C9FA79B" w14:textId="08AD2F4D" w:rsidR="006A251F" w:rsidRPr="00DB68FF" w:rsidRDefault="006A251F" w:rsidP="006A251F">
      <w:pPr>
        <w:rPr>
          <w:lang w:eastAsia="en-AU"/>
        </w:rPr>
      </w:pPr>
      <w:r>
        <w:rPr>
          <w:b/>
          <w:bCs/>
          <w:lang w:eastAsia="en-AU"/>
        </w:rPr>
        <w:t>Coram:</w:t>
      </w:r>
      <w:r w:rsidRPr="00DB68FF">
        <w:t xml:space="preserve"> </w:t>
      </w:r>
      <w:r w:rsidRPr="00944A5D">
        <w:rPr>
          <w:lang w:eastAsia="en-AU"/>
        </w:rPr>
        <w:t xml:space="preserve">Wagner </w:t>
      </w:r>
      <w:r>
        <w:rPr>
          <w:lang w:eastAsia="en-AU"/>
        </w:rPr>
        <w:t xml:space="preserve">CJ, </w:t>
      </w:r>
      <w:r w:rsidRPr="00944A5D">
        <w:rPr>
          <w:lang w:eastAsia="en-AU"/>
        </w:rPr>
        <w:t>Moldaver, Karakatsanis, Côté, Brown, Rowe, Martin, Kasirer and Jamal JJ</w:t>
      </w:r>
    </w:p>
    <w:p w14:paraId="23EDCF56" w14:textId="77777777" w:rsidR="006A251F" w:rsidRDefault="006A251F" w:rsidP="006A251F">
      <w:pPr>
        <w:rPr>
          <w:b/>
          <w:bCs/>
          <w:lang w:eastAsia="en-AU"/>
        </w:rPr>
      </w:pPr>
    </w:p>
    <w:p w14:paraId="7537CA8A" w14:textId="77777777" w:rsidR="006A251F" w:rsidRDefault="006A251F" w:rsidP="006A251F">
      <w:pPr>
        <w:rPr>
          <w:b/>
          <w:bCs/>
          <w:lang w:eastAsia="en-AU"/>
        </w:rPr>
      </w:pPr>
      <w:r>
        <w:rPr>
          <w:b/>
          <w:bCs/>
          <w:lang w:eastAsia="en-AU"/>
        </w:rPr>
        <w:t>Catchwords:</w:t>
      </w:r>
    </w:p>
    <w:p w14:paraId="78620817" w14:textId="77777777" w:rsidR="006A251F" w:rsidRDefault="006A251F" w:rsidP="006A251F">
      <w:pPr>
        <w:rPr>
          <w:b/>
          <w:bCs/>
          <w:lang w:eastAsia="en-AU"/>
        </w:rPr>
      </w:pPr>
    </w:p>
    <w:p w14:paraId="7586F0E0" w14:textId="3F530343" w:rsidR="006A251F" w:rsidRDefault="006A251F" w:rsidP="006A251F">
      <w:pPr>
        <w:pStyle w:val="Catchwords"/>
      </w:pPr>
      <w:r>
        <w:t xml:space="preserve">Criminal law </w:t>
      </w:r>
      <w:r w:rsidR="00864420">
        <w:t>–</w:t>
      </w:r>
      <w:r>
        <w:t xml:space="preserve"> Evidence </w:t>
      </w:r>
      <w:r w:rsidR="00864420">
        <w:t>–</w:t>
      </w:r>
      <w:r>
        <w:t xml:space="preserve"> Admissibility </w:t>
      </w:r>
      <w:r w:rsidR="00864420">
        <w:t>–</w:t>
      </w:r>
      <w:r>
        <w:t xml:space="preserve"> Confessions rule </w:t>
      </w:r>
      <w:r w:rsidR="00864420">
        <w:t>–</w:t>
      </w:r>
      <w:r>
        <w:t xml:space="preserve"> Voluntariness </w:t>
      </w:r>
      <w:r w:rsidR="00864420">
        <w:t>–</w:t>
      </w:r>
      <w:r>
        <w:t xml:space="preserve"> Caution </w:t>
      </w:r>
      <w:r w:rsidR="00864420">
        <w:t>–</w:t>
      </w:r>
      <w:r>
        <w:t xml:space="preserve"> Where police </w:t>
      </w:r>
      <w:r w:rsidR="00231394">
        <w:t xml:space="preserve">did </w:t>
      </w:r>
      <w:r>
        <w:t xml:space="preserve">not caution individual during interviews in connection with murder investigation about right to remain silent and consequences of speaking to authorities </w:t>
      </w:r>
      <w:r w:rsidR="00864420">
        <w:t>–</w:t>
      </w:r>
      <w:r>
        <w:t xml:space="preserve"> Where individual later charged with first degree murder and sought exclusion of statements made to police as involuntary </w:t>
      </w:r>
      <w:r w:rsidR="00864420">
        <w:t>–</w:t>
      </w:r>
      <w:r>
        <w:t xml:space="preserve"> Where trial judge admitted statements as voluntary despite lack of caution </w:t>
      </w:r>
      <w:r w:rsidR="00864420">
        <w:t>–</w:t>
      </w:r>
      <w:r>
        <w:t xml:space="preserve"> Whether absence of caution during police questioning of individual affected voluntariness of statements under confessions rule </w:t>
      </w:r>
      <w:r w:rsidR="00864420">
        <w:t>–</w:t>
      </w:r>
      <w:r>
        <w:t xml:space="preserve"> Whether statements admissible at trial.</w:t>
      </w:r>
    </w:p>
    <w:p w14:paraId="54D3B164" w14:textId="77777777" w:rsidR="006A251F" w:rsidRDefault="006A251F" w:rsidP="006A251F">
      <w:pPr>
        <w:pStyle w:val="Catchwords"/>
      </w:pPr>
    </w:p>
    <w:p w14:paraId="3CCE3E5F" w14:textId="4D978A39" w:rsidR="006A251F" w:rsidRDefault="006A251F" w:rsidP="006A251F">
      <w:pPr>
        <w:pStyle w:val="Catchwords"/>
      </w:pPr>
      <w:r>
        <w:t xml:space="preserve">Constitutional law </w:t>
      </w:r>
      <w:r w:rsidR="00864420">
        <w:t>–</w:t>
      </w:r>
      <w:r>
        <w:t xml:space="preserve"> Charter of Rights </w:t>
      </w:r>
      <w:r w:rsidR="00864420">
        <w:t>–</w:t>
      </w:r>
      <w:r>
        <w:t xml:space="preserve"> Detention </w:t>
      </w:r>
      <w:r w:rsidR="00864420">
        <w:t>–</w:t>
      </w:r>
      <w:r>
        <w:t xml:space="preserve"> Right to counsel </w:t>
      </w:r>
      <w:r w:rsidR="00864420">
        <w:t>–</w:t>
      </w:r>
      <w:r>
        <w:t xml:space="preserve"> Where police questioned individual at police station in connection with murder investigation </w:t>
      </w:r>
      <w:r w:rsidR="00864420">
        <w:t>–</w:t>
      </w:r>
      <w:r>
        <w:t xml:space="preserve"> Where police </w:t>
      </w:r>
      <w:r w:rsidR="00231394">
        <w:t xml:space="preserve">did </w:t>
      </w:r>
      <w:r>
        <w:t xml:space="preserve">not inform individual of right to obtain and instruct counsel without delay </w:t>
      </w:r>
      <w:r w:rsidR="00864420">
        <w:t>–</w:t>
      </w:r>
      <w:r>
        <w:t xml:space="preserve"> Where individual claimed </w:t>
      </w:r>
      <w:r>
        <w:lastRenderedPageBreak/>
        <w:t xml:space="preserve">psychological detention and seeking exclusion of statements at first degree murder trial as having been obtained in violation of right to counsel </w:t>
      </w:r>
      <w:r w:rsidR="00864420">
        <w:t>–</w:t>
      </w:r>
      <w:r>
        <w:t xml:space="preserve"> Whether individual psychologically detained such that statements should be excluded at trial </w:t>
      </w:r>
      <w:r w:rsidR="00864420">
        <w:t>–</w:t>
      </w:r>
      <w:r>
        <w:t xml:space="preserve"> </w:t>
      </w:r>
      <w:r w:rsidRPr="006A251F">
        <w:rPr>
          <w:i/>
          <w:iCs/>
        </w:rPr>
        <w:t>Canadian Charter of Rights and Freedoms</w:t>
      </w:r>
      <w:r>
        <w:t>, s 10(b).</w:t>
      </w:r>
    </w:p>
    <w:p w14:paraId="7C47CCB3" w14:textId="77777777" w:rsidR="006A251F" w:rsidRPr="005E2809" w:rsidRDefault="006A251F" w:rsidP="006A251F">
      <w:pPr>
        <w:pStyle w:val="Catchwords"/>
      </w:pPr>
    </w:p>
    <w:p w14:paraId="4F3B90BC" w14:textId="2E42E1CC" w:rsidR="006A251F" w:rsidRDefault="006A251F" w:rsidP="006A251F">
      <w:pPr>
        <w:rPr>
          <w:lang w:eastAsia="en-AU"/>
        </w:rPr>
      </w:pPr>
      <w:r>
        <w:rPr>
          <w:b/>
          <w:bCs/>
          <w:lang w:eastAsia="en-AU"/>
        </w:rPr>
        <w:t>Held (7:2):</w:t>
      </w:r>
      <w:r w:rsidRPr="00FD6C82">
        <w:rPr>
          <w:lang w:eastAsia="en-AU"/>
        </w:rPr>
        <w:t xml:space="preserve"> </w:t>
      </w:r>
      <w:r>
        <w:rPr>
          <w:lang w:eastAsia="en-AU"/>
        </w:rPr>
        <w:t>Appeal allowed</w:t>
      </w:r>
      <w:r w:rsidR="008446BC">
        <w:rPr>
          <w:lang w:eastAsia="en-AU"/>
        </w:rPr>
        <w:t xml:space="preserve">; </w:t>
      </w:r>
      <w:r>
        <w:rPr>
          <w:lang w:eastAsia="en-AU"/>
        </w:rPr>
        <w:t xml:space="preserve">conviction restored. </w:t>
      </w:r>
    </w:p>
    <w:p w14:paraId="17A11AE1" w14:textId="1C70066C" w:rsidR="00A67A35" w:rsidRDefault="00A67A35" w:rsidP="006A251F">
      <w:pPr>
        <w:pStyle w:val="BullDivider2"/>
      </w:pPr>
    </w:p>
    <w:p w14:paraId="10B32EFC" w14:textId="77777777" w:rsidR="00C43802" w:rsidRPr="00C43802" w:rsidRDefault="00C43802" w:rsidP="00C43802">
      <w:pPr>
        <w:rPr>
          <w:lang w:eastAsia="en-AU"/>
        </w:rPr>
      </w:pPr>
    </w:p>
    <w:p w14:paraId="71CD735E" w14:textId="120D3DD7" w:rsidR="00C43802" w:rsidRDefault="00C43802" w:rsidP="00C43802">
      <w:pPr>
        <w:pStyle w:val="Heading1"/>
      </w:pPr>
      <w:r>
        <w:t xml:space="preserve">Electoral Law </w:t>
      </w:r>
    </w:p>
    <w:p w14:paraId="71CFDD20" w14:textId="77777777" w:rsidR="00C43802" w:rsidRDefault="00C43802" w:rsidP="00C43802">
      <w:pPr>
        <w:rPr>
          <w:lang w:eastAsia="en-AU"/>
        </w:rPr>
      </w:pPr>
    </w:p>
    <w:p w14:paraId="4E62F7C1" w14:textId="72CA5BF9" w:rsidR="00C43802" w:rsidRDefault="00C43802" w:rsidP="00C43802">
      <w:pPr>
        <w:pStyle w:val="Heading2"/>
      </w:pPr>
      <w:proofErr w:type="spellStart"/>
      <w:r w:rsidRPr="00C43802">
        <w:t>AmaBhungane</w:t>
      </w:r>
      <w:proofErr w:type="spellEnd"/>
      <w:r w:rsidRPr="00C43802">
        <w:t xml:space="preserve"> Centre for Investigative Journalism NPC v President of the Republic of South Africa</w:t>
      </w:r>
    </w:p>
    <w:p w14:paraId="45C78CF1" w14:textId="2C113145" w:rsidR="00C43802" w:rsidRDefault="00C43802" w:rsidP="00C43802">
      <w:pPr>
        <w:rPr>
          <w:lang w:eastAsia="en-AU"/>
        </w:rPr>
      </w:pPr>
      <w:r>
        <w:rPr>
          <w:b/>
          <w:bCs/>
          <w:lang w:eastAsia="en-AU"/>
        </w:rPr>
        <w:t>Constitutional Court of South Africa</w:t>
      </w:r>
      <w:r w:rsidRPr="006B0D58">
        <w:rPr>
          <w:b/>
          <w:bCs/>
          <w:lang w:eastAsia="en-AU"/>
        </w:rPr>
        <w:t>:</w:t>
      </w:r>
      <w:r>
        <w:rPr>
          <w:b/>
          <w:bCs/>
          <w:lang w:eastAsia="en-AU"/>
        </w:rPr>
        <w:t xml:space="preserve"> </w:t>
      </w:r>
      <w:hyperlink r:id="rId23" w:history="1">
        <w:r w:rsidRPr="00C43802">
          <w:rPr>
            <w:rStyle w:val="Hyperlink"/>
          </w:rPr>
          <w:t xml:space="preserve">[2022] ZACC 31 </w:t>
        </w:r>
      </w:hyperlink>
      <w:r>
        <w:t xml:space="preserve"> </w:t>
      </w:r>
    </w:p>
    <w:p w14:paraId="1376CDA0" w14:textId="77777777" w:rsidR="00C43802" w:rsidRDefault="00C43802" w:rsidP="00C43802">
      <w:pPr>
        <w:rPr>
          <w:lang w:eastAsia="en-AU"/>
        </w:rPr>
      </w:pPr>
    </w:p>
    <w:p w14:paraId="4FBB1EF5" w14:textId="7C72B123" w:rsidR="00C43802" w:rsidRPr="00DB68FF" w:rsidRDefault="00C43802" w:rsidP="00C43802">
      <w:pPr>
        <w:rPr>
          <w:lang w:eastAsia="en-AU"/>
        </w:rPr>
      </w:pPr>
      <w:r>
        <w:rPr>
          <w:b/>
          <w:bCs/>
          <w:lang w:eastAsia="en-AU"/>
        </w:rPr>
        <w:t xml:space="preserve">Reasons delivered: </w:t>
      </w:r>
      <w:r>
        <w:rPr>
          <w:lang w:eastAsia="en-AU"/>
        </w:rPr>
        <w:t xml:space="preserve">20 September 2022 </w:t>
      </w:r>
    </w:p>
    <w:p w14:paraId="589F80CF" w14:textId="77777777" w:rsidR="00C43802" w:rsidRDefault="00C43802" w:rsidP="00C43802">
      <w:pPr>
        <w:rPr>
          <w:b/>
          <w:bCs/>
          <w:lang w:eastAsia="en-AU"/>
        </w:rPr>
      </w:pPr>
    </w:p>
    <w:p w14:paraId="7A1D5CF0" w14:textId="6D9411B2" w:rsidR="00C43802" w:rsidRPr="00DB68FF" w:rsidRDefault="00C43802" w:rsidP="00C43802">
      <w:pPr>
        <w:rPr>
          <w:lang w:eastAsia="en-AU"/>
        </w:rPr>
      </w:pPr>
      <w:r>
        <w:rPr>
          <w:b/>
          <w:bCs/>
          <w:lang w:eastAsia="en-AU"/>
        </w:rPr>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sidRPr="00A67B0E">
        <w:rPr>
          <w:lang w:eastAsia="en-AU"/>
        </w:rPr>
        <w:t>, Mhlantla J</w:t>
      </w:r>
      <w:r>
        <w:rPr>
          <w:lang w:eastAsia="en-AU"/>
        </w:rPr>
        <w:t>J</w:t>
      </w:r>
      <w:r w:rsidRPr="00A67B0E">
        <w:rPr>
          <w:lang w:eastAsia="en-AU"/>
        </w:rPr>
        <w:t xml:space="preserve">, </w:t>
      </w:r>
      <w:r>
        <w:rPr>
          <w:lang w:eastAsia="en-AU"/>
        </w:rPr>
        <w:t xml:space="preserve">Theron, </w:t>
      </w:r>
      <w:proofErr w:type="spellStart"/>
      <w:r w:rsidRPr="00A67B0E">
        <w:rPr>
          <w:lang w:eastAsia="en-AU"/>
        </w:rPr>
        <w:t>Tshiqi</w:t>
      </w:r>
      <w:proofErr w:type="spellEnd"/>
      <w:r w:rsidRPr="00A67B0E">
        <w:rPr>
          <w:lang w:eastAsia="en-AU"/>
        </w:rPr>
        <w:t xml:space="preserve"> </w:t>
      </w:r>
      <w:r>
        <w:rPr>
          <w:lang w:eastAsia="en-AU"/>
        </w:rPr>
        <w:t>J</w:t>
      </w:r>
      <w:r w:rsidRPr="00A67B0E">
        <w:rPr>
          <w:lang w:eastAsia="en-AU"/>
        </w:rPr>
        <w:t xml:space="preserve">J and </w:t>
      </w:r>
      <w:proofErr w:type="spellStart"/>
      <w:r w:rsidRPr="00A67B0E">
        <w:rPr>
          <w:lang w:eastAsia="en-AU"/>
        </w:rPr>
        <w:t>Unterhalter</w:t>
      </w:r>
      <w:proofErr w:type="spellEnd"/>
      <w:r w:rsidRPr="00A67B0E">
        <w:rPr>
          <w:lang w:eastAsia="en-AU"/>
        </w:rPr>
        <w:t xml:space="preserve"> AJ</w:t>
      </w:r>
    </w:p>
    <w:p w14:paraId="538357ED" w14:textId="77777777" w:rsidR="00C43802" w:rsidRDefault="00C43802" w:rsidP="00C43802">
      <w:pPr>
        <w:rPr>
          <w:b/>
          <w:bCs/>
          <w:lang w:eastAsia="en-AU"/>
        </w:rPr>
      </w:pPr>
    </w:p>
    <w:p w14:paraId="70D0F8EF" w14:textId="77777777" w:rsidR="00C43802" w:rsidRDefault="00C43802" w:rsidP="00C43802">
      <w:pPr>
        <w:rPr>
          <w:b/>
          <w:bCs/>
          <w:lang w:eastAsia="en-AU"/>
        </w:rPr>
      </w:pPr>
      <w:r>
        <w:rPr>
          <w:b/>
          <w:bCs/>
          <w:lang w:eastAsia="en-AU"/>
        </w:rPr>
        <w:t>Catchwords:</w:t>
      </w:r>
    </w:p>
    <w:p w14:paraId="1BEAE0DD" w14:textId="77777777" w:rsidR="00C43802" w:rsidRDefault="00C43802" w:rsidP="00C43802">
      <w:pPr>
        <w:rPr>
          <w:b/>
          <w:bCs/>
          <w:lang w:eastAsia="en-AU"/>
        </w:rPr>
      </w:pPr>
    </w:p>
    <w:p w14:paraId="1CC13177" w14:textId="023DCAF0" w:rsidR="00C43802" w:rsidRPr="0034676E" w:rsidRDefault="00C43802" w:rsidP="00C43802">
      <w:pPr>
        <w:pStyle w:val="Catchwords"/>
      </w:pPr>
      <w:r>
        <w:t xml:space="preserve">Electoral law – Election campaigns – Donations – Disclosure </w:t>
      </w:r>
      <w:r w:rsidR="00FF47D5">
        <w:t>–</w:t>
      </w:r>
      <w:r>
        <w:t xml:space="preserve"> </w:t>
      </w:r>
      <w:r w:rsidR="00FF47D5">
        <w:t xml:space="preserve">Where </w:t>
      </w:r>
      <w:r w:rsidR="00FF47D5" w:rsidRPr="00FF47D5">
        <w:t>President</w:t>
      </w:r>
      <w:r w:rsidR="00FF47D5">
        <w:t xml:space="preserve"> of Republic of South Africa</w:t>
      </w:r>
      <w:r w:rsidR="00FF47D5" w:rsidRPr="00FF47D5">
        <w:t xml:space="preserve"> applied to High Court for relief against Public Protector, </w:t>
      </w:r>
      <w:r w:rsidR="00FF47D5">
        <w:t>in relation to</w:t>
      </w:r>
      <w:r w:rsidR="00FF47D5" w:rsidRPr="00FF47D5">
        <w:t xml:space="preserve"> report rendered against President</w:t>
      </w:r>
      <w:r w:rsidR="00FF47D5">
        <w:t xml:space="preserve"> – Where </w:t>
      </w:r>
      <w:r w:rsidR="00FF47D5" w:rsidRPr="00FF47D5">
        <w:t>report</w:t>
      </w:r>
      <w:r w:rsidR="00FF47D5">
        <w:t xml:space="preserve"> contained key finding </w:t>
      </w:r>
      <w:r w:rsidR="00FF47D5" w:rsidRPr="00FF47D5">
        <w:t xml:space="preserve">that President had breached duties under </w:t>
      </w:r>
      <w:r w:rsidR="00EF2116" w:rsidRPr="007C4B73">
        <w:rPr>
          <w:i/>
          <w:iCs/>
        </w:rPr>
        <w:t>Executive Ethics Code, 2000</w:t>
      </w:r>
      <w:r w:rsidR="00FF47D5" w:rsidRPr="00FF47D5">
        <w:t xml:space="preserve">, in that, </w:t>
      </w:r>
      <w:r w:rsidR="00FF47D5">
        <w:t>relevantly</w:t>
      </w:r>
      <w:r w:rsidR="00FF47D5" w:rsidRPr="00FF47D5">
        <w:t xml:space="preserve">, </w:t>
      </w:r>
      <w:r w:rsidR="00FF47D5">
        <w:t>President</w:t>
      </w:r>
      <w:r w:rsidR="00FF47D5" w:rsidRPr="00FF47D5">
        <w:t xml:space="preserve"> failed to disclose donations made to internal party political campaign that supported </w:t>
      </w:r>
      <w:r w:rsidR="00FF47D5">
        <w:t>President's</w:t>
      </w:r>
      <w:r w:rsidR="00FF47D5" w:rsidRPr="00FF47D5">
        <w:t xml:space="preserve"> election as President of African National Congress</w:t>
      </w:r>
      <w:r w:rsidR="00EF2116">
        <w:t xml:space="preserve"> </w:t>
      </w:r>
      <w:r w:rsidR="00FF47D5">
        <w:t xml:space="preserve">– </w:t>
      </w:r>
      <w:r w:rsidR="007C4B73">
        <w:t>Where, during proceedings in High Court, application brought seeking relief that, in event</w:t>
      </w:r>
      <w:r w:rsidR="00EF2116">
        <w:t xml:space="preserve"> </w:t>
      </w:r>
      <w:r w:rsidR="00EF2116" w:rsidRPr="00EF2116">
        <w:rPr>
          <w:i/>
          <w:iCs/>
        </w:rPr>
        <w:t>Code</w:t>
      </w:r>
      <w:r w:rsidR="007C4B73">
        <w:t xml:space="preserve"> held not to require disclosure of donations made to campaigns for positions within political parties, it be declared unconstitutional </w:t>
      </w:r>
      <w:r w:rsidR="005C2C3B">
        <w:t xml:space="preserve">– Where s 96 of </w:t>
      </w:r>
      <w:r w:rsidR="005C2C3B">
        <w:rPr>
          <w:i/>
          <w:iCs/>
        </w:rPr>
        <w:t xml:space="preserve">Constitution </w:t>
      </w:r>
      <w:r w:rsidR="005C2C3B">
        <w:t xml:space="preserve">requires President to publish code of ethics prescribing standards and rules aimed </w:t>
      </w:r>
      <w:r w:rsidR="00602CC9">
        <w:t xml:space="preserve">at promoting open, democratic and accountable government – </w:t>
      </w:r>
      <w:r w:rsidR="005C2C3B">
        <w:t>W</w:t>
      </w:r>
      <w:r w:rsidR="005C2C3B" w:rsidRPr="005C2C3B">
        <w:t>hether</w:t>
      </w:r>
      <w:r w:rsidR="005C2C3B">
        <w:t xml:space="preserve"> </w:t>
      </w:r>
      <w:r w:rsidR="005C2C3B" w:rsidRPr="005C2C3B">
        <w:rPr>
          <w:i/>
          <w:iCs/>
        </w:rPr>
        <w:t>Code</w:t>
      </w:r>
      <w:r w:rsidR="005C2C3B" w:rsidRPr="005C2C3B">
        <w:t xml:space="preserve"> constitutionally compliant in manner in which it deals with disclosure of donations to campaigns for positions within political parties</w:t>
      </w:r>
      <w:r w:rsidR="005C2C3B">
        <w:t xml:space="preserve"> – </w:t>
      </w:r>
      <w:r w:rsidR="00FF47D5">
        <w:t>Whether there be duty to disclose money donated to election campaigns for positions within political parties</w:t>
      </w:r>
      <w:r>
        <w:t xml:space="preserve">. </w:t>
      </w:r>
    </w:p>
    <w:p w14:paraId="3A935808" w14:textId="77777777" w:rsidR="00C43802" w:rsidRPr="005E2809" w:rsidRDefault="00C43802" w:rsidP="00C43802">
      <w:pPr>
        <w:pStyle w:val="Catchwords"/>
      </w:pPr>
    </w:p>
    <w:p w14:paraId="41A4EE6B" w14:textId="136BCB59" w:rsidR="00C43802" w:rsidRDefault="00C43802" w:rsidP="00C43802">
      <w:pPr>
        <w:rPr>
          <w:lang w:eastAsia="en-AU"/>
        </w:rPr>
      </w:pPr>
      <w:r>
        <w:rPr>
          <w:b/>
          <w:bCs/>
          <w:lang w:eastAsia="en-AU"/>
        </w:rPr>
        <w:t>Held (8:0):</w:t>
      </w:r>
      <w:r w:rsidRPr="00FD6C82">
        <w:rPr>
          <w:lang w:eastAsia="en-AU"/>
        </w:rPr>
        <w:t xml:space="preserve"> </w:t>
      </w:r>
      <w:r>
        <w:rPr>
          <w:lang w:eastAsia="en-AU"/>
        </w:rPr>
        <w:t xml:space="preserve">Order of the High Court of South Africa confirmed.   </w:t>
      </w:r>
    </w:p>
    <w:p w14:paraId="6F5B4B98" w14:textId="77777777" w:rsidR="00C43802" w:rsidRDefault="00C43802" w:rsidP="00C43802">
      <w:pPr>
        <w:pStyle w:val="BullDivider2"/>
      </w:pPr>
    </w:p>
    <w:p w14:paraId="66DA20C1" w14:textId="1AA5FB9A" w:rsidR="006A251F" w:rsidRDefault="006A251F" w:rsidP="006A251F">
      <w:pPr>
        <w:rPr>
          <w:lang w:eastAsia="en-AU"/>
        </w:rPr>
      </w:pPr>
    </w:p>
    <w:p w14:paraId="2E97805A" w14:textId="6EA67A55" w:rsidR="00787268" w:rsidRDefault="00787268" w:rsidP="00787268">
      <w:pPr>
        <w:pStyle w:val="Heading1"/>
      </w:pPr>
      <w:r>
        <w:t xml:space="preserve">Employment Law </w:t>
      </w:r>
    </w:p>
    <w:p w14:paraId="0523BCD6" w14:textId="77777777" w:rsidR="00787268" w:rsidRDefault="00787268" w:rsidP="00787268">
      <w:pPr>
        <w:rPr>
          <w:lang w:eastAsia="en-AU"/>
        </w:rPr>
      </w:pPr>
    </w:p>
    <w:p w14:paraId="471023CD" w14:textId="3CBFE418" w:rsidR="00787268" w:rsidRDefault="00787268" w:rsidP="00787268">
      <w:pPr>
        <w:pStyle w:val="Heading2"/>
      </w:pPr>
      <w:proofErr w:type="spellStart"/>
      <w:r w:rsidRPr="00787268">
        <w:t>Numsa</w:t>
      </w:r>
      <w:proofErr w:type="spellEnd"/>
      <w:r w:rsidRPr="00787268">
        <w:t xml:space="preserve"> obo Aubrey </w:t>
      </w:r>
      <w:proofErr w:type="spellStart"/>
      <w:r w:rsidRPr="00787268">
        <w:t>Dhludhlu</w:t>
      </w:r>
      <w:proofErr w:type="spellEnd"/>
      <w:r w:rsidRPr="00787268">
        <w:t xml:space="preserve"> </w:t>
      </w:r>
      <w:r>
        <w:t>&amp;</w:t>
      </w:r>
      <w:r w:rsidRPr="00787268">
        <w:t xml:space="preserve"> 147 </w:t>
      </w:r>
      <w:r w:rsidR="00A12F00">
        <w:t>Ors</w:t>
      </w:r>
      <w:r w:rsidRPr="00787268">
        <w:t xml:space="preserve"> v Marley Pipe Systems (SA) (Pty) Ltd</w:t>
      </w:r>
    </w:p>
    <w:p w14:paraId="513A42F1" w14:textId="049BDA8D" w:rsidR="00787268" w:rsidRDefault="00787268" w:rsidP="00787268">
      <w:pPr>
        <w:rPr>
          <w:lang w:eastAsia="en-AU"/>
        </w:rPr>
      </w:pPr>
      <w:r>
        <w:rPr>
          <w:b/>
          <w:bCs/>
          <w:lang w:eastAsia="en-AU"/>
        </w:rPr>
        <w:t>Constitutional Court of South Africa</w:t>
      </w:r>
      <w:r w:rsidRPr="006B0D58">
        <w:rPr>
          <w:b/>
          <w:bCs/>
          <w:lang w:eastAsia="en-AU"/>
        </w:rPr>
        <w:t>:</w:t>
      </w:r>
      <w:r>
        <w:rPr>
          <w:b/>
          <w:bCs/>
          <w:lang w:eastAsia="en-AU"/>
        </w:rPr>
        <w:t xml:space="preserve"> </w:t>
      </w:r>
      <w:hyperlink r:id="rId24" w:history="1">
        <w:r w:rsidRPr="00787268">
          <w:rPr>
            <w:rStyle w:val="Hyperlink"/>
          </w:rPr>
          <w:t>[2022] ZACC 30</w:t>
        </w:r>
      </w:hyperlink>
      <w:r>
        <w:t xml:space="preserve"> </w:t>
      </w:r>
    </w:p>
    <w:p w14:paraId="4326FEBA" w14:textId="77777777" w:rsidR="00787268" w:rsidRDefault="00787268" w:rsidP="00787268">
      <w:pPr>
        <w:rPr>
          <w:lang w:eastAsia="en-AU"/>
        </w:rPr>
      </w:pPr>
    </w:p>
    <w:p w14:paraId="4A0703FB" w14:textId="77777777" w:rsidR="00787268" w:rsidRPr="00DB68FF" w:rsidRDefault="00787268" w:rsidP="00787268">
      <w:pPr>
        <w:rPr>
          <w:lang w:eastAsia="en-AU"/>
        </w:rPr>
      </w:pPr>
      <w:r>
        <w:rPr>
          <w:b/>
          <w:bCs/>
          <w:lang w:eastAsia="en-AU"/>
        </w:rPr>
        <w:t xml:space="preserve">Reasons delivered: </w:t>
      </w:r>
      <w:r>
        <w:rPr>
          <w:lang w:eastAsia="en-AU"/>
        </w:rPr>
        <w:t xml:space="preserve">2 August 2022 </w:t>
      </w:r>
    </w:p>
    <w:p w14:paraId="0A3088EE" w14:textId="77777777" w:rsidR="00787268" w:rsidRDefault="00787268" w:rsidP="00787268">
      <w:pPr>
        <w:rPr>
          <w:b/>
          <w:bCs/>
          <w:lang w:eastAsia="en-AU"/>
        </w:rPr>
      </w:pPr>
    </w:p>
    <w:p w14:paraId="0301D6A6" w14:textId="1A98E877" w:rsidR="00787268" w:rsidRPr="00DB68FF" w:rsidRDefault="00787268" w:rsidP="00787268">
      <w:pPr>
        <w:rPr>
          <w:lang w:eastAsia="en-AU"/>
        </w:rPr>
      </w:pPr>
      <w:r>
        <w:rPr>
          <w:b/>
          <w:bCs/>
          <w:lang w:eastAsia="en-AU"/>
        </w:rPr>
        <w:lastRenderedPageBreak/>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sidRPr="00A67B0E">
        <w:rPr>
          <w:lang w:eastAsia="en-AU"/>
        </w:rPr>
        <w:t>, Mhlantla J</w:t>
      </w:r>
      <w:r>
        <w:rPr>
          <w:lang w:eastAsia="en-AU"/>
        </w:rPr>
        <w:t>J</w:t>
      </w:r>
      <w:r w:rsidRPr="00A67B0E">
        <w:rPr>
          <w:lang w:eastAsia="en-AU"/>
        </w:rPr>
        <w:t xml:space="preserve">, Mlambo AJ, </w:t>
      </w:r>
      <w:r w:rsidR="003736C0">
        <w:rPr>
          <w:lang w:eastAsia="en-AU"/>
        </w:rPr>
        <w:t xml:space="preserve">Theron, </w:t>
      </w:r>
      <w:proofErr w:type="spellStart"/>
      <w:r w:rsidRPr="00A67B0E">
        <w:rPr>
          <w:lang w:eastAsia="en-AU"/>
        </w:rPr>
        <w:t>Tshiqi</w:t>
      </w:r>
      <w:proofErr w:type="spellEnd"/>
      <w:r w:rsidRPr="00A67B0E">
        <w:rPr>
          <w:lang w:eastAsia="en-AU"/>
        </w:rPr>
        <w:t xml:space="preserve"> </w:t>
      </w:r>
      <w:r w:rsidR="003736C0">
        <w:rPr>
          <w:lang w:eastAsia="en-AU"/>
        </w:rPr>
        <w:t>J</w:t>
      </w:r>
      <w:r w:rsidRPr="00A67B0E">
        <w:rPr>
          <w:lang w:eastAsia="en-AU"/>
        </w:rPr>
        <w:t xml:space="preserve">J and </w:t>
      </w:r>
      <w:proofErr w:type="spellStart"/>
      <w:r w:rsidRPr="00A67B0E">
        <w:rPr>
          <w:lang w:eastAsia="en-AU"/>
        </w:rPr>
        <w:t>Unterhalter</w:t>
      </w:r>
      <w:proofErr w:type="spellEnd"/>
      <w:r w:rsidRPr="00A67B0E">
        <w:rPr>
          <w:lang w:eastAsia="en-AU"/>
        </w:rPr>
        <w:t xml:space="preserve"> AJ</w:t>
      </w:r>
    </w:p>
    <w:p w14:paraId="78945D04" w14:textId="77777777" w:rsidR="00787268" w:rsidRDefault="00787268" w:rsidP="00787268">
      <w:pPr>
        <w:rPr>
          <w:b/>
          <w:bCs/>
          <w:lang w:eastAsia="en-AU"/>
        </w:rPr>
      </w:pPr>
    </w:p>
    <w:p w14:paraId="6EC163EE" w14:textId="77777777" w:rsidR="00787268" w:rsidRDefault="00787268" w:rsidP="00787268">
      <w:pPr>
        <w:rPr>
          <w:b/>
          <w:bCs/>
          <w:lang w:eastAsia="en-AU"/>
        </w:rPr>
      </w:pPr>
      <w:r>
        <w:rPr>
          <w:b/>
          <w:bCs/>
          <w:lang w:eastAsia="en-AU"/>
        </w:rPr>
        <w:t>Catchwords:</w:t>
      </w:r>
    </w:p>
    <w:p w14:paraId="0C238D96" w14:textId="77777777" w:rsidR="00787268" w:rsidRDefault="00787268" w:rsidP="00787268">
      <w:pPr>
        <w:rPr>
          <w:b/>
          <w:bCs/>
          <w:lang w:eastAsia="en-AU"/>
        </w:rPr>
      </w:pPr>
    </w:p>
    <w:p w14:paraId="4AFB6B2A" w14:textId="7DFA8C37" w:rsidR="00787268" w:rsidRPr="0034676E" w:rsidRDefault="003736C0" w:rsidP="00787268">
      <w:pPr>
        <w:pStyle w:val="Catchwords"/>
      </w:pPr>
      <w:r>
        <w:t xml:space="preserve">Employment law – Dismissal of employees – Unprotected strike action – Common purpose – Where employees dismissed following serious assault of manager employed by respondent during unprotected strike action </w:t>
      </w:r>
      <w:r w:rsidR="00C14F50">
        <w:t>–</w:t>
      </w:r>
      <w:r>
        <w:t xml:space="preserve"> </w:t>
      </w:r>
      <w:r w:rsidR="00C14F50">
        <w:t xml:space="preserve">Where </w:t>
      </w:r>
      <w:r w:rsidR="00C14F50" w:rsidRPr="00C14F50">
        <w:t xml:space="preserve">12 of 148 employees engaged in actual physical assault of </w:t>
      </w:r>
      <w:r w:rsidR="00C14F50">
        <w:t>manager, a</w:t>
      </w:r>
      <w:r w:rsidR="00C14F50" w:rsidRPr="00C14F50">
        <w:t>nother 95 employees placed on scene by evidence</w:t>
      </w:r>
      <w:r w:rsidR="00EF2116">
        <w:t>,</w:t>
      </w:r>
      <w:r w:rsidR="00C14F50" w:rsidRPr="00C14F50">
        <w:t xml:space="preserve"> </w:t>
      </w:r>
      <w:r w:rsidR="00C14F50">
        <w:t xml:space="preserve">with remaining </w:t>
      </w:r>
      <w:r w:rsidR="00EF2116">
        <w:t xml:space="preserve">employees </w:t>
      </w:r>
      <w:r w:rsidR="00C14F50">
        <w:t xml:space="preserve">not </w:t>
      </w:r>
      <w:r w:rsidR="00C14F50" w:rsidRPr="00C14F50">
        <w:t>identified at scene of assault</w:t>
      </w:r>
      <w:r w:rsidR="00C14F50">
        <w:t xml:space="preserve"> – Where Labour Court found, on count of assault, employees guilty based on common purpose – Where Labour Court of Appeal dismissed appeal, </w:t>
      </w:r>
      <w:r w:rsidR="00C43802">
        <w:t>reasoning</w:t>
      </w:r>
      <w:r w:rsidR="00C14F50">
        <w:t xml:space="preserve"> none of employees intervened to stop assault or dissociated from assault before, during or after – Proper approach to doctrine of common purpose</w:t>
      </w:r>
      <w:r w:rsidR="00787268">
        <w:t xml:space="preserve">. </w:t>
      </w:r>
    </w:p>
    <w:p w14:paraId="2A4B0286" w14:textId="77777777" w:rsidR="00787268" w:rsidRPr="005E2809" w:rsidRDefault="00787268" w:rsidP="00787268">
      <w:pPr>
        <w:pStyle w:val="Catchwords"/>
      </w:pPr>
    </w:p>
    <w:p w14:paraId="1AACA779" w14:textId="3BF49F21" w:rsidR="00787268" w:rsidRDefault="00787268" w:rsidP="00787268">
      <w:pPr>
        <w:rPr>
          <w:lang w:eastAsia="en-AU"/>
        </w:rPr>
      </w:pPr>
      <w:r>
        <w:rPr>
          <w:b/>
          <w:bCs/>
          <w:lang w:eastAsia="en-AU"/>
        </w:rPr>
        <w:t>Held (8:0):</w:t>
      </w:r>
      <w:r w:rsidRPr="00FD6C82">
        <w:rPr>
          <w:lang w:eastAsia="en-AU"/>
        </w:rPr>
        <w:t xml:space="preserve"> </w:t>
      </w:r>
      <w:r w:rsidR="003736C0">
        <w:rPr>
          <w:lang w:eastAsia="en-AU"/>
        </w:rPr>
        <w:t>Leave to appeal granted</w:t>
      </w:r>
      <w:r w:rsidR="008446BC">
        <w:rPr>
          <w:lang w:eastAsia="en-AU"/>
        </w:rPr>
        <w:t xml:space="preserve">; </w:t>
      </w:r>
      <w:r w:rsidR="003736C0">
        <w:rPr>
          <w:lang w:eastAsia="en-AU"/>
        </w:rPr>
        <w:t>appeal upheld</w:t>
      </w:r>
      <w:r>
        <w:rPr>
          <w:lang w:eastAsia="en-AU"/>
        </w:rPr>
        <w:t xml:space="preserve">.   </w:t>
      </w:r>
    </w:p>
    <w:p w14:paraId="6CA189CC" w14:textId="1B8C9133" w:rsidR="00787268" w:rsidRDefault="00787268" w:rsidP="00C43802">
      <w:pPr>
        <w:pStyle w:val="BullDivider2"/>
      </w:pPr>
    </w:p>
    <w:p w14:paraId="7AAB1A21" w14:textId="77777777" w:rsidR="00787268" w:rsidRPr="00787268" w:rsidRDefault="00787268" w:rsidP="00787268">
      <w:pPr>
        <w:rPr>
          <w:lang w:eastAsia="en-AU"/>
        </w:rPr>
      </w:pPr>
    </w:p>
    <w:p w14:paraId="68777EF0" w14:textId="534A4339" w:rsidR="00C413E7" w:rsidRDefault="00C413E7" w:rsidP="006A251F">
      <w:pPr>
        <w:pStyle w:val="Heading1"/>
      </w:pPr>
      <w:r>
        <w:t xml:space="preserve">Equity </w:t>
      </w:r>
    </w:p>
    <w:p w14:paraId="733A93B5" w14:textId="77777777" w:rsidR="00C413E7" w:rsidRDefault="00C413E7" w:rsidP="00C413E7">
      <w:pPr>
        <w:rPr>
          <w:lang w:eastAsia="en-AU"/>
        </w:rPr>
      </w:pPr>
    </w:p>
    <w:p w14:paraId="29416C49" w14:textId="49F47C78" w:rsidR="00C413E7" w:rsidRPr="00C658D3" w:rsidRDefault="00C413E7" w:rsidP="00C413E7">
      <w:pPr>
        <w:pStyle w:val="Heading2"/>
        <w:rPr>
          <w:i w:val="0"/>
          <w:iCs w:val="0"/>
        </w:rPr>
      </w:pPr>
      <w:r>
        <w:t xml:space="preserve">Guest &amp; Anor v Guest  </w:t>
      </w:r>
    </w:p>
    <w:p w14:paraId="4DE3E4CA" w14:textId="52C60E0B" w:rsidR="00C413E7" w:rsidRDefault="00C413E7" w:rsidP="00C413E7">
      <w:pPr>
        <w:rPr>
          <w:lang w:eastAsia="en-AU"/>
        </w:rPr>
      </w:pPr>
      <w:r>
        <w:rPr>
          <w:b/>
          <w:bCs/>
          <w:lang w:eastAsia="en-AU"/>
        </w:rPr>
        <w:t>Supreme Court of the United Kingdom</w:t>
      </w:r>
      <w:r w:rsidRPr="006B0D58">
        <w:rPr>
          <w:b/>
          <w:bCs/>
          <w:lang w:eastAsia="en-AU"/>
        </w:rPr>
        <w:t>:</w:t>
      </w:r>
      <w:r>
        <w:rPr>
          <w:lang w:eastAsia="en-AU"/>
        </w:rPr>
        <w:t xml:space="preserve"> </w:t>
      </w:r>
      <w:hyperlink r:id="rId25" w:history="1">
        <w:r w:rsidRPr="00C413E7">
          <w:rPr>
            <w:rStyle w:val="Hyperlink"/>
            <w:lang w:eastAsia="en-AU"/>
          </w:rPr>
          <w:t>[2022] UKSC 27</w:t>
        </w:r>
      </w:hyperlink>
    </w:p>
    <w:p w14:paraId="3ACD0308" w14:textId="77777777" w:rsidR="00C413E7" w:rsidRDefault="00C413E7" w:rsidP="00C413E7">
      <w:pPr>
        <w:rPr>
          <w:lang w:eastAsia="en-AU"/>
        </w:rPr>
      </w:pPr>
    </w:p>
    <w:p w14:paraId="65FA2817" w14:textId="3C354E2D" w:rsidR="00C413E7" w:rsidRPr="00DB68FF" w:rsidRDefault="00C413E7" w:rsidP="00C413E7">
      <w:pPr>
        <w:rPr>
          <w:lang w:eastAsia="en-AU"/>
        </w:rPr>
      </w:pPr>
      <w:r>
        <w:rPr>
          <w:b/>
          <w:bCs/>
          <w:lang w:eastAsia="en-AU"/>
        </w:rPr>
        <w:t xml:space="preserve">Judgment delivered: </w:t>
      </w:r>
      <w:r>
        <w:rPr>
          <w:lang w:eastAsia="en-AU"/>
        </w:rPr>
        <w:t xml:space="preserve">19 October 2022 </w:t>
      </w:r>
    </w:p>
    <w:p w14:paraId="48E0E08F" w14:textId="77777777" w:rsidR="00C413E7" w:rsidRDefault="00C413E7" w:rsidP="00C413E7">
      <w:pPr>
        <w:rPr>
          <w:b/>
          <w:bCs/>
          <w:lang w:eastAsia="en-AU"/>
        </w:rPr>
      </w:pPr>
    </w:p>
    <w:p w14:paraId="76139E7F" w14:textId="4BF4834C" w:rsidR="00C413E7" w:rsidRPr="00DB68FF" w:rsidRDefault="00C413E7" w:rsidP="00C413E7">
      <w:pPr>
        <w:rPr>
          <w:lang w:eastAsia="en-AU"/>
        </w:rPr>
      </w:pPr>
      <w:r>
        <w:rPr>
          <w:b/>
          <w:bCs/>
          <w:lang w:eastAsia="en-AU"/>
        </w:rPr>
        <w:t>Coram:</w:t>
      </w:r>
      <w:r w:rsidRPr="00DB68FF">
        <w:t xml:space="preserve"> </w:t>
      </w:r>
      <w:r w:rsidRPr="00C413E7">
        <w:rPr>
          <w:lang w:eastAsia="en-AU"/>
        </w:rPr>
        <w:t>Lord Briggs, Lady Arden, Lord Leggatt, Lord Stephens</w:t>
      </w:r>
      <w:r>
        <w:rPr>
          <w:lang w:eastAsia="en-AU"/>
        </w:rPr>
        <w:t xml:space="preserve"> and</w:t>
      </w:r>
      <w:r w:rsidRPr="00C413E7">
        <w:rPr>
          <w:lang w:eastAsia="en-AU"/>
        </w:rPr>
        <w:t xml:space="preserve"> Lady Rose</w:t>
      </w:r>
    </w:p>
    <w:p w14:paraId="69B45217" w14:textId="77777777" w:rsidR="00C413E7" w:rsidRDefault="00C413E7" w:rsidP="00C413E7">
      <w:pPr>
        <w:rPr>
          <w:b/>
          <w:bCs/>
          <w:lang w:eastAsia="en-AU"/>
        </w:rPr>
      </w:pPr>
    </w:p>
    <w:p w14:paraId="45BE222F" w14:textId="77777777" w:rsidR="00C413E7" w:rsidRDefault="00C413E7" w:rsidP="00C413E7">
      <w:pPr>
        <w:rPr>
          <w:b/>
          <w:bCs/>
          <w:lang w:eastAsia="en-AU"/>
        </w:rPr>
      </w:pPr>
      <w:r>
        <w:rPr>
          <w:b/>
          <w:bCs/>
          <w:lang w:eastAsia="en-AU"/>
        </w:rPr>
        <w:t>Catchwords:</w:t>
      </w:r>
    </w:p>
    <w:p w14:paraId="2A323925" w14:textId="77777777" w:rsidR="00C413E7" w:rsidRDefault="00C413E7" w:rsidP="00C413E7">
      <w:pPr>
        <w:rPr>
          <w:b/>
          <w:bCs/>
          <w:lang w:eastAsia="en-AU"/>
        </w:rPr>
      </w:pPr>
    </w:p>
    <w:p w14:paraId="63C712A3" w14:textId="5781E387" w:rsidR="00C413E7" w:rsidRPr="003476ED" w:rsidRDefault="00F57DC1" w:rsidP="00C413E7">
      <w:pPr>
        <w:pStyle w:val="Catchwords"/>
      </w:pPr>
      <w:r>
        <w:t xml:space="preserve">Equity </w:t>
      </w:r>
      <w:r w:rsidR="00A018AA">
        <w:t>–</w:t>
      </w:r>
      <w:r w:rsidR="00114DF5">
        <w:t xml:space="preserve"> </w:t>
      </w:r>
      <w:r w:rsidR="00A018AA">
        <w:t xml:space="preserve">Proprietary estoppel </w:t>
      </w:r>
      <w:r w:rsidR="00114DF5">
        <w:t xml:space="preserve">– Equitable remedies – Relief – </w:t>
      </w:r>
      <w:r w:rsidR="00B209AD">
        <w:t>Equitable compensation</w:t>
      </w:r>
      <w:r w:rsidR="00114DF5">
        <w:t xml:space="preserve"> –</w:t>
      </w:r>
      <w:r w:rsidR="00B209AD">
        <w:t xml:space="preserve"> Reliance – Expectation –</w:t>
      </w:r>
      <w:r w:rsidR="00114DF5">
        <w:t xml:space="preserve"> Where farmer promised son </w:t>
      </w:r>
      <w:r w:rsidR="00CD6630">
        <w:t>"</w:t>
      </w:r>
      <w:r w:rsidR="00114DF5">
        <w:t>one day my son, all this will be yours</w:t>
      </w:r>
      <w:r w:rsidR="00CD6630">
        <w:t>"</w:t>
      </w:r>
      <w:r w:rsidR="00114DF5">
        <w:t xml:space="preserve"> – Where, relying on promise, son spent years working on father's fa</w:t>
      </w:r>
      <w:r w:rsidR="00506D7D">
        <w:t>r</w:t>
      </w:r>
      <w:r w:rsidR="00114DF5">
        <w:t xml:space="preserve">m for low wages, accommodated in farm cottage, with expectation of inheriting farm </w:t>
      </w:r>
      <w:r w:rsidR="0069201F">
        <w:t>–</w:t>
      </w:r>
      <w:r w:rsidR="00114DF5">
        <w:t xml:space="preserve"> </w:t>
      </w:r>
      <w:r w:rsidR="0069201F">
        <w:t xml:space="preserve">Where </w:t>
      </w:r>
      <w:r w:rsidR="00506D7D">
        <w:t>primary judge</w:t>
      </w:r>
      <w:r w:rsidR="00CD1399">
        <w:t xml:space="preserve"> ruled in son's favour and matter appealed on question of remedy – Where argued before Court of Appeal that primary judge wrong to fashion remedy based on son's expectation of inheritance </w:t>
      </w:r>
      <w:r w:rsidR="001A6440">
        <w:t>rather than compensation based on increased value of farm consequent on son's contribution or son's loss of opportunity –</w:t>
      </w:r>
      <w:r w:rsidR="0069201F">
        <w:t xml:space="preserve"> Whether expectation</w:t>
      </w:r>
      <w:r w:rsidR="00FE6D12">
        <w:t>-based</w:t>
      </w:r>
      <w:r w:rsidR="0069201F">
        <w:t xml:space="preserve"> or </w:t>
      </w:r>
      <w:r w:rsidR="00FE6D12">
        <w:t>reliance-based approach to be adopted</w:t>
      </w:r>
      <w:r w:rsidR="001A6440">
        <w:t xml:space="preserve"> – Proper approach to awarding remedy in cases of proprietary estoppel</w:t>
      </w:r>
      <w:r w:rsidR="00FE6D12">
        <w:t xml:space="preserve">, particularly where expectation </w:t>
      </w:r>
      <w:r w:rsidR="00CD6630">
        <w:t>of</w:t>
      </w:r>
      <w:r w:rsidR="00FE6D12">
        <w:t xml:space="preserve"> future inheritance rather than immediate benefit</w:t>
      </w:r>
      <w:r w:rsidR="00C413E7">
        <w:t xml:space="preserve">. </w:t>
      </w:r>
    </w:p>
    <w:p w14:paraId="6722DB04" w14:textId="77777777" w:rsidR="00C413E7" w:rsidRPr="005E2809" w:rsidRDefault="00C413E7" w:rsidP="00C413E7">
      <w:pPr>
        <w:pStyle w:val="Catchwords"/>
      </w:pPr>
    </w:p>
    <w:p w14:paraId="3F39268F" w14:textId="1E7809F0" w:rsidR="00C413E7" w:rsidRDefault="00C413E7" w:rsidP="00C413E7">
      <w:pPr>
        <w:rPr>
          <w:lang w:eastAsia="en-AU"/>
        </w:rPr>
      </w:pPr>
      <w:r>
        <w:rPr>
          <w:b/>
          <w:bCs/>
          <w:lang w:eastAsia="en-AU"/>
        </w:rPr>
        <w:t>Held (5:0):</w:t>
      </w:r>
      <w:r w:rsidRPr="00FD6C82">
        <w:rPr>
          <w:lang w:eastAsia="en-AU"/>
        </w:rPr>
        <w:t xml:space="preserve"> </w:t>
      </w:r>
      <w:r>
        <w:rPr>
          <w:lang w:eastAsia="en-AU"/>
        </w:rPr>
        <w:t xml:space="preserve">Appeal </w:t>
      </w:r>
      <w:r w:rsidR="00B209AD">
        <w:rPr>
          <w:lang w:eastAsia="en-AU"/>
        </w:rPr>
        <w:t>allowed</w:t>
      </w:r>
      <w:r>
        <w:rPr>
          <w:lang w:eastAsia="en-AU"/>
        </w:rPr>
        <w:t xml:space="preserve">. </w:t>
      </w:r>
    </w:p>
    <w:p w14:paraId="6301B912" w14:textId="59187150" w:rsidR="00C413E7" w:rsidRDefault="00C413E7" w:rsidP="00C413E7">
      <w:pPr>
        <w:pStyle w:val="BullDivider2"/>
      </w:pPr>
    </w:p>
    <w:p w14:paraId="19BFEED8" w14:textId="77777777" w:rsidR="00C413E7" w:rsidRPr="00C413E7" w:rsidRDefault="00C413E7" w:rsidP="00C413E7">
      <w:pPr>
        <w:rPr>
          <w:lang w:eastAsia="en-AU"/>
        </w:rPr>
      </w:pPr>
    </w:p>
    <w:p w14:paraId="6CB1FF43" w14:textId="2357557E" w:rsidR="006A251F" w:rsidRDefault="006A251F" w:rsidP="006A251F">
      <w:pPr>
        <w:pStyle w:val="Heading1"/>
      </w:pPr>
      <w:r>
        <w:t>Expropriation</w:t>
      </w:r>
    </w:p>
    <w:p w14:paraId="5B8592C5" w14:textId="77777777" w:rsidR="006A251F" w:rsidRDefault="006A251F" w:rsidP="006A251F">
      <w:pPr>
        <w:rPr>
          <w:lang w:eastAsia="en-AU"/>
        </w:rPr>
      </w:pPr>
    </w:p>
    <w:p w14:paraId="5C9FC965" w14:textId="3321ED2F" w:rsidR="006A251F" w:rsidRDefault="006A251F" w:rsidP="006A251F">
      <w:pPr>
        <w:pStyle w:val="Heading2"/>
      </w:pPr>
      <w:r w:rsidRPr="006A251F">
        <w:lastRenderedPageBreak/>
        <w:t>Annapolis Group Inc v Halifax Regional Municipality</w:t>
      </w:r>
    </w:p>
    <w:p w14:paraId="78FE1948" w14:textId="00F7F7B2" w:rsidR="006A251F" w:rsidRDefault="006A251F" w:rsidP="006A251F">
      <w:pPr>
        <w:rPr>
          <w:lang w:eastAsia="en-AU"/>
        </w:rPr>
      </w:pPr>
      <w:r>
        <w:rPr>
          <w:b/>
          <w:bCs/>
          <w:lang w:eastAsia="en-AU"/>
        </w:rPr>
        <w:t>Supreme Court of Canada</w:t>
      </w:r>
      <w:r w:rsidRPr="006B0D58">
        <w:rPr>
          <w:b/>
          <w:bCs/>
          <w:lang w:eastAsia="en-AU"/>
        </w:rPr>
        <w:t>:</w:t>
      </w:r>
      <w:r>
        <w:rPr>
          <w:lang w:eastAsia="en-AU"/>
        </w:rPr>
        <w:t xml:space="preserve"> </w:t>
      </w:r>
      <w:hyperlink r:id="rId26" w:history="1">
        <w:r>
          <w:rPr>
            <w:rStyle w:val="Hyperlink"/>
            <w:lang w:eastAsia="en-AU"/>
          </w:rPr>
          <w:t>[2022] SCC 36</w:t>
        </w:r>
      </w:hyperlink>
    </w:p>
    <w:p w14:paraId="471CC715" w14:textId="77777777" w:rsidR="006A251F" w:rsidRDefault="006A251F" w:rsidP="006A251F">
      <w:pPr>
        <w:rPr>
          <w:lang w:eastAsia="en-AU"/>
        </w:rPr>
      </w:pPr>
    </w:p>
    <w:p w14:paraId="360E4812" w14:textId="21D47967" w:rsidR="006A251F" w:rsidRPr="00DB68FF" w:rsidRDefault="006A251F" w:rsidP="006A251F">
      <w:pPr>
        <w:rPr>
          <w:lang w:eastAsia="en-AU"/>
        </w:rPr>
      </w:pPr>
      <w:r>
        <w:rPr>
          <w:b/>
          <w:bCs/>
          <w:lang w:eastAsia="en-AU"/>
        </w:rPr>
        <w:t xml:space="preserve">Judgment delivered: </w:t>
      </w:r>
      <w:r>
        <w:rPr>
          <w:lang w:eastAsia="en-AU"/>
        </w:rPr>
        <w:t xml:space="preserve">21 October 2022 </w:t>
      </w:r>
    </w:p>
    <w:p w14:paraId="5CEFB367" w14:textId="77777777" w:rsidR="006A251F" w:rsidRDefault="006A251F" w:rsidP="006A251F">
      <w:pPr>
        <w:rPr>
          <w:b/>
          <w:bCs/>
          <w:lang w:eastAsia="en-AU"/>
        </w:rPr>
      </w:pPr>
    </w:p>
    <w:p w14:paraId="72C26097" w14:textId="77777777" w:rsidR="006A251F" w:rsidRPr="00DB68FF" w:rsidRDefault="006A251F" w:rsidP="006A251F">
      <w:pPr>
        <w:rPr>
          <w:lang w:eastAsia="en-AU"/>
        </w:rPr>
      </w:pPr>
      <w:r>
        <w:rPr>
          <w:b/>
          <w:bCs/>
          <w:lang w:eastAsia="en-AU"/>
        </w:rPr>
        <w:t>Coram:</w:t>
      </w:r>
      <w:r w:rsidRPr="00DB68FF">
        <w:t xml:space="preserve"> </w:t>
      </w:r>
      <w:r w:rsidRPr="00944A5D">
        <w:rPr>
          <w:lang w:eastAsia="en-AU"/>
        </w:rPr>
        <w:t xml:space="preserve">Wagner </w:t>
      </w:r>
      <w:r>
        <w:rPr>
          <w:lang w:eastAsia="en-AU"/>
        </w:rPr>
        <w:t xml:space="preserve">CJ, </w:t>
      </w:r>
      <w:r w:rsidRPr="00944A5D">
        <w:rPr>
          <w:lang w:eastAsia="en-AU"/>
        </w:rPr>
        <w:t>Moldaver, Karakatsanis, Côté, Brown, Rowe, Martin, Kasirer and Jamal JJ.</w:t>
      </w:r>
    </w:p>
    <w:p w14:paraId="26006975" w14:textId="77777777" w:rsidR="006A251F" w:rsidRDefault="006A251F" w:rsidP="006A251F">
      <w:pPr>
        <w:rPr>
          <w:b/>
          <w:bCs/>
          <w:lang w:eastAsia="en-AU"/>
        </w:rPr>
      </w:pPr>
    </w:p>
    <w:p w14:paraId="78DA76DB" w14:textId="77777777" w:rsidR="006A251F" w:rsidRDefault="006A251F" w:rsidP="006A251F">
      <w:pPr>
        <w:rPr>
          <w:b/>
          <w:bCs/>
          <w:lang w:eastAsia="en-AU"/>
        </w:rPr>
      </w:pPr>
      <w:r>
        <w:rPr>
          <w:b/>
          <w:bCs/>
          <w:lang w:eastAsia="en-AU"/>
        </w:rPr>
        <w:t>Catchwords:</w:t>
      </w:r>
    </w:p>
    <w:p w14:paraId="700EA917" w14:textId="77777777" w:rsidR="006A251F" w:rsidRDefault="006A251F" w:rsidP="006A251F">
      <w:pPr>
        <w:rPr>
          <w:b/>
          <w:bCs/>
          <w:lang w:eastAsia="en-AU"/>
        </w:rPr>
      </w:pPr>
    </w:p>
    <w:p w14:paraId="4DE04C39" w14:textId="707FA099" w:rsidR="006A251F" w:rsidRDefault="006A251F" w:rsidP="006A251F">
      <w:pPr>
        <w:pStyle w:val="Catchwords"/>
      </w:pPr>
      <w:r w:rsidRPr="006A251F">
        <w:t xml:space="preserve">Expropriation </w:t>
      </w:r>
      <w:r w:rsidR="00864420">
        <w:t>–</w:t>
      </w:r>
      <w:r w:rsidRPr="006A251F">
        <w:t xml:space="preserve"> State regulation of land use </w:t>
      </w:r>
      <w:r w:rsidR="00864420">
        <w:t>–</w:t>
      </w:r>
      <w:r w:rsidRPr="006A251F">
        <w:t xml:space="preserve"> Constructive taking of private property by public authority </w:t>
      </w:r>
      <w:r w:rsidR="00864420">
        <w:t>–</w:t>
      </w:r>
      <w:r w:rsidRPr="006A251F">
        <w:t xml:space="preserve"> </w:t>
      </w:r>
      <w:r w:rsidR="00050208">
        <w:t>Where l</w:t>
      </w:r>
      <w:r w:rsidRPr="006A251F">
        <w:t xml:space="preserve">and owner </w:t>
      </w:r>
      <w:r w:rsidR="00050208">
        <w:t>sued</w:t>
      </w:r>
      <w:r w:rsidRPr="006A251F">
        <w:t xml:space="preserve"> municipality and </w:t>
      </w:r>
      <w:r w:rsidR="00050208">
        <w:t>alleged</w:t>
      </w:r>
      <w:r w:rsidRPr="006A251F">
        <w:t xml:space="preserve"> municipality’s regulatory measures have deprived it of all reasonable or economic uses of its land, resulting in constructive taking without compensation </w:t>
      </w:r>
      <w:r w:rsidR="00864420">
        <w:t>–</w:t>
      </w:r>
      <w:r w:rsidRPr="006A251F">
        <w:t xml:space="preserve"> Whether acquisition of beneficial interest in property under constructive taking test requires land to actually be taken from owner and acquired by public authority </w:t>
      </w:r>
      <w:r w:rsidR="00864420">
        <w:t>–</w:t>
      </w:r>
      <w:r w:rsidRPr="006A251F">
        <w:t xml:space="preserve"> Whether intention of public authority relevant to analysis of constructive taking claim.</w:t>
      </w:r>
    </w:p>
    <w:p w14:paraId="7A103237" w14:textId="77777777" w:rsidR="006A251F" w:rsidRPr="005E2809" w:rsidRDefault="006A251F" w:rsidP="006A251F">
      <w:pPr>
        <w:pStyle w:val="Catchwords"/>
      </w:pPr>
    </w:p>
    <w:p w14:paraId="30D906B1" w14:textId="06DAC05E" w:rsidR="006A251F" w:rsidRDefault="006A251F" w:rsidP="006A251F">
      <w:pPr>
        <w:rPr>
          <w:lang w:eastAsia="en-AU"/>
        </w:rPr>
      </w:pPr>
      <w:r>
        <w:rPr>
          <w:b/>
          <w:bCs/>
          <w:lang w:eastAsia="en-AU"/>
        </w:rPr>
        <w:t>Held (</w:t>
      </w:r>
      <w:r w:rsidR="00050208">
        <w:rPr>
          <w:b/>
          <w:bCs/>
          <w:lang w:eastAsia="en-AU"/>
        </w:rPr>
        <w:t>5</w:t>
      </w:r>
      <w:r>
        <w:rPr>
          <w:b/>
          <w:bCs/>
          <w:lang w:eastAsia="en-AU"/>
        </w:rPr>
        <w:t>:</w:t>
      </w:r>
      <w:r w:rsidR="00050208">
        <w:rPr>
          <w:b/>
          <w:bCs/>
          <w:lang w:eastAsia="en-AU"/>
        </w:rPr>
        <w:t>4</w:t>
      </w:r>
      <w:r>
        <w:rPr>
          <w:b/>
          <w:bCs/>
          <w:lang w:eastAsia="en-AU"/>
        </w:rPr>
        <w:t>):</w:t>
      </w:r>
      <w:r w:rsidRPr="00FD6C82">
        <w:rPr>
          <w:lang w:eastAsia="en-AU"/>
        </w:rPr>
        <w:t xml:space="preserve"> </w:t>
      </w:r>
      <w:r>
        <w:rPr>
          <w:lang w:eastAsia="en-AU"/>
        </w:rPr>
        <w:t>Appeal allowed</w:t>
      </w:r>
      <w:r w:rsidR="008446BC">
        <w:rPr>
          <w:lang w:eastAsia="en-AU"/>
        </w:rPr>
        <w:t xml:space="preserve">; </w:t>
      </w:r>
      <w:r w:rsidR="00050208">
        <w:rPr>
          <w:lang w:eastAsia="en-AU"/>
        </w:rPr>
        <w:t>order of motion judge restored</w:t>
      </w:r>
      <w:r>
        <w:rPr>
          <w:lang w:eastAsia="en-AU"/>
        </w:rPr>
        <w:t xml:space="preserve">. </w:t>
      </w:r>
    </w:p>
    <w:p w14:paraId="5C9F41D4" w14:textId="77777777" w:rsidR="006A251F" w:rsidRDefault="006A251F" w:rsidP="006A251F">
      <w:pPr>
        <w:pStyle w:val="BullDivider2"/>
      </w:pPr>
    </w:p>
    <w:p w14:paraId="586A2954" w14:textId="6D9C8B42" w:rsidR="00734DF1" w:rsidRDefault="00734DF1" w:rsidP="00BF3835">
      <w:pPr>
        <w:rPr>
          <w:lang w:eastAsia="en-AU"/>
        </w:rPr>
      </w:pPr>
    </w:p>
    <w:p w14:paraId="168EAAAA" w14:textId="57142A3D" w:rsidR="00734DF1" w:rsidRDefault="00734DF1" w:rsidP="00734DF1">
      <w:pPr>
        <w:pStyle w:val="Heading1"/>
      </w:pPr>
      <w:r>
        <w:t>Income Tax</w:t>
      </w:r>
    </w:p>
    <w:p w14:paraId="7A35F90C" w14:textId="77777777" w:rsidR="00734DF1" w:rsidRPr="006550D3" w:rsidRDefault="00734DF1" w:rsidP="00734DF1">
      <w:pPr>
        <w:rPr>
          <w:lang w:eastAsia="en-AU"/>
        </w:rPr>
      </w:pPr>
    </w:p>
    <w:p w14:paraId="03A03188" w14:textId="78AC5A27" w:rsidR="00734DF1" w:rsidRDefault="00734DF1" w:rsidP="00734DF1">
      <w:pPr>
        <w:pStyle w:val="Heading2"/>
      </w:pPr>
      <w:proofErr w:type="spellStart"/>
      <w:r>
        <w:t>Frucor</w:t>
      </w:r>
      <w:proofErr w:type="spellEnd"/>
      <w:r>
        <w:t xml:space="preserve"> Suntory New Zealand Limited v Commissioner of Inland Revenue</w:t>
      </w:r>
    </w:p>
    <w:p w14:paraId="3398DEBC" w14:textId="4F41654B" w:rsidR="00734DF1" w:rsidRDefault="00734DF1" w:rsidP="00734DF1">
      <w:pPr>
        <w:rPr>
          <w:lang w:eastAsia="en-AU"/>
        </w:rPr>
      </w:pPr>
      <w:r>
        <w:rPr>
          <w:b/>
          <w:bCs/>
          <w:lang w:eastAsia="en-AU"/>
        </w:rPr>
        <w:t>Supreme Court of Canada</w:t>
      </w:r>
      <w:r w:rsidRPr="006B0D58">
        <w:rPr>
          <w:b/>
          <w:bCs/>
          <w:lang w:eastAsia="en-AU"/>
        </w:rPr>
        <w:t>:</w:t>
      </w:r>
      <w:r>
        <w:rPr>
          <w:b/>
          <w:bCs/>
          <w:lang w:eastAsia="en-AU"/>
        </w:rPr>
        <w:t xml:space="preserve"> </w:t>
      </w:r>
      <w:hyperlink r:id="rId27" w:history="1">
        <w:r w:rsidRPr="00734DF1">
          <w:rPr>
            <w:rStyle w:val="Hyperlink"/>
            <w:lang w:eastAsia="en-AU"/>
          </w:rPr>
          <w:t>[2022] NZSC 113</w:t>
        </w:r>
      </w:hyperlink>
    </w:p>
    <w:p w14:paraId="0AA5B235" w14:textId="77777777" w:rsidR="00734DF1" w:rsidRDefault="00734DF1" w:rsidP="00734DF1">
      <w:pPr>
        <w:rPr>
          <w:lang w:eastAsia="en-AU"/>
        </w:rPr>
      </w:pPr>
    </w:p>
    <w:p w14:paraId="11B261EA" w14:textId="7858D6CF" w:rsidR="00734DF1" w:rsidRPr="00DB68FF" w:rsidRDefault="00734DF1" w:rsidP="00734DF1">
      <w:pPr>
        <w:rPr>
          <w:lang w:eastAsia="en-AU"/>
        </w:rPr>
      </w:pPr>
      <w:r>
        <w:rPr>
          <w:b/>
          <w:bCs/>
          <w:lang w:eastAsia="en-AU"/>
        </w:rPr>
        <w:t xml:space="preserve">Judgment delivered: </w:t>
      </w:r>
      <w:r>
        <w:rPr>
          <w:lang w:eastAsia="en-AU"/>
        </w:rPr>
        <w:t xml:space="preserve">30 September 2022 </w:t>
      </w:r>
    </w:p>
    <w:p w14:paraId="03630C81" w14:textId="77777777" w:rsidR="00734DF1" w:rsidRDefault="00734DF1" w:rsidP="00734DF1">
      <w:pPr>
        <w:rPr>
          <w:b/>
          <w:bCs/>
          <w:lang w:eastAsia="en-AU"/>
        </w:rPr>
      </w:pPr>
    </w:p>
    <w:p w14:paraId="09E350B6" w14:textId="36BADD2D" w:rsidR="00734DF1" w:rsidRPr="00DB68FF" w:rsidRDefault="00734DF1" w:rsidP="00734DF1">
      <w:pPr>
        <w:rPr>
          <w:lang w:eastAsia="en-AU"/>
        </w:rPr>
      </w:pPr>
      <w:r>
        <w:rPr>
          <w:b/>
          <w:bCs/>
          <w:lang w:eastAsia="en-AU"/>
        </w:rPr>
        <w:t>Coram:</w:t>
      </w:r>
      <w:r w:rsidRPr="00DB68FF">
        <w:t xml:space="preserve"> </w:t>
      </w:r>
      <w:r>
        <w:rPr>
          <w:lang w:eastAsia="en-AU"/>
        </w:rPr>
        <w:t xml:space="preserve">Winkelmann CJ, William Young, </w:t>
      </w:r>
      <w:proofErr w:type="spellStart"/>
      <w:r>
        <w:rPr>
          <w:lang w:eastAsia="en-AU"/>
        </w:rPr>
        <w:t>Glazebrook</w:t>
      </w:r>
      <w:proofErr w:type="spellEnd"/>
      <w:r>
        <w:rPr>
          <w:lang w:eastAsia="en-AU"/>
        </w:rPr>
        <w:t xml:space="preserve">, </w:t>
      </w:r>
      <w:proofErr w:type="spellStart"/>
      <w:r>
        <w:rPr>
          <w:lang w:eastAsia="en-AU"/>
        </w:rPr>
        <w:t>O’Regan</w:t>
      </w:r>
      <w:proofErr w:type="spellEnd"/>
      <w:r>
        <w:rPr>
          <w:lang w:eastAsia="en-AU"/>
        </w:rPr>
        <w:t xml:space="preserve"> and Ellen France JJ</w:t>
      </w:r>
    </w:p>
    <w:p w14:paraId="709C1128" w14:textId="77777777" w:rsidR="00734DF1" w:rsidRDefault="00734DF1" w:rsidP="00734DF1">
      <w:pPr>
        <w:rPr>
          <w:b/>
          <w:bCs/>
          <w:lang w:eastAsia="en-AU"/>
        </w:rPr>
      </w:pPr>
    </w:p>
    <w:p w14:paraId="2E4B30D5" w14:textId="77777777" w:rsidR="00734DF1" w:rsidRDefault="00734DF1" w:rsidP="00734DF1">
      <w:pPr>
        <w:rPr>
          <w:b/>
          <w:bCs/>
          <w:lang w:eastAsia="en-AU"/>
        </w:rPr>
      </w:pPr>
      <w:r>
        <w:rPr>
          <w:b/>
          <w:bCs/>
          <w:lang w:eastAsia="en-AU"/>
        </w:rPr>
        <w:t>Catchwords:</w:t>
      </w:r>
    </w:p>
    <w:p w14:paraId="159D1441" w14:textId="77777777" w:rsidR="00734DF1" w:rsidRDefault="00734DF1" w:rsidP="00734DF1">
      <w:pPr>
        <w:rPr>
          <w:b/>
          <w:bCs/>
          <w:lang w:eastAsia="en-AU"/>
        </w:rPr>
      </w:pPr>
    </w:p>
    <w:p w14:paraId="65D12C7A" w14:textId="47310428" w:rsidR="00734DF1" w:rsidRPr="00884C1D" w:rsidRDefault="00734DF1" w:rsidP="00884C1D">
      <w:pPr>
        <w:pStyle w:val="Catchwords"/>
      </w:pPr>
      <w:r>
        <w:t xml:space="preserve">Income tax – Tax avoidance – Where Deutsche Bank advanced $204 million </w:t>
      </w:r>
      <w:r w:rsidR="000750A3">
        <w:t xml:space="preserve">to </w:t>
      </w:r>
      <w:r>
        <w:t>Danone Holdings NZ Ltd (</w:t>
      </w:r>
      <w:r w:rsidR="00CD6630">
        <w:t>"</w:t>
      </w:r>
      <w:r>
        <w:t>DHNZ</w:t>
      </w:r>
      <w:r w:rsidR="00CD6630">
        <w:t>"</w:t>
      </w:r>
      <w:r>
        <w:t>) in exchange for convertible note redeemable at maturity in five years</w:t>
      </w:r>
      <w:r w:rsidR="000750A3">
        <w:t xml:space="preserve"> </w:t>
      </w:r>
      <w:r>
        <w:t>at Deutsche Bank’s election by issue of 1,025 non-voting shares in DHNZ – Where interest on advance payable semi-annually in arrears at 6.5</w:t>
      </w:r>
      <w:r w:rsidR="000750A3">
        <w:t xml:space="preserve">% </w:t>
      </w:r>
      <w:r>
        <w:t xml:space="preserve">per annum – Where, over five-year duration of note, $66 million paid by DHNZ to Deutsche Bank – Where DHNZ claimed deductions in respect of interest payments – Where transaction part of broader funding arrangement between </w:t>
      </w:r>
      <w:r w:rsidRPr="00734DF1">
        <w:t>Deutsche Bank</w:t>
      </w:r>
      <w:r>
        <w:t xml:space="preserve"> and DHNZ </w:t>
      </w:r>
      <w:r w:rsidR="00FB3ED7">
        <w:t>–</w:t>
      </w:r>
      <w:r>
        <w:t xml:space="preserve"> </w:t>
      </w:r>
      <w:r w:rsidR="00FB3ED7">
        <w:t>Where Commissioner of Inland Revenue of position net economic effect of funding arrangement that: (a) Deutsche Bank advanced only $55 million to DHNZ; and (b) $66 million paid by DHNZ to Deutsche Bank amounted to repayment of that $55 million and interest on amortising basis</w:t>
      </w:r>
      <w:r>
        <w:t xml:space="preserve"> </w:t>
      </w:r>
      <w:r w:rsidR="00FB3ED7">
        <w:t xml:space="preserve">– Where section BG 1(1) of </w:t>
      </w:r>
      <w:r w:rsidR="00FB3ED7" w:rsidRPr="00FB3ED7">
        <w:rPr>
          <w:i/>
          <w:iCs/>
        </w:rPr>
        <w:t>Income Tax Act 2004</w:t>
      </w:r>
      <w:r w:rsidR="00FB3ED7">
        <w:t xml:space="preserve"> (NZ) provides </w:t>
      </w:r>
      <w:r w:rsidR="00CD6630">
        <w:t>"</w:t>
      </w:r>
      <w:r w:rsidR="00FB3ED7">
        <w:t>tax avoidance</w:t>
      </w:r>
      <w:r w:rsidR="00CD6630">
        <w:t>"</w:t>
      </w:r>
      <w:r w:rsidR="00FB3ED7">
        <w:t xml:space="preserve"> arrangement void </w:t>
      </w:r>
      <w:r w:rsidR="000750A3">
        <w:t xml:space="preserve">as </w:t>
      </w:r>
      <w:r w:rsidR="00FB3ED7">
        <w:t>against Commissioner for income tax purposes</w:t>
      </w:r>
      <w:r>
        <w:t xml:space="preserve"> </w:t>
      </w:r>
      <w:r w:rsidR="000750A3">
        <w:t xml:space="preserve">– Where </w:t>
      </w:r>
      <w:r w:rsidR="00CD6630">
        <w:t>"</w:t>
      </w:r>
      <w:r w:rsidR="000750A3">
        <w:t>tax avoidance</w:t>
      </w:r>
      <w:r w:rsidR="00CD6630">
        <w:t>"</w:t>
      </w:r>
      <w:r w:rsidR="000750A3">
        <w:t xml:space="preserve"> defined to include  </w:t>
      </w:r>
      <w:r w:rsidR="00CD6630">
        <w:t>"</w:t>
      </w:r>
      <w:r w:rsidR="000750A3">
        <w:t>directly or indirectly altering incidence of any income tax</w:t>
      </w:r>
      <w:r w:rsidR="00CD6630">
        <w:t>"</w:t>
      </w:r>
      <w:r w:rsidR="000750A3">
        <w:t xml:space="preserve"> – Whether s BG</w:t>
      </w:r>
      <w:r w:rsidR="00EF2116">
        <w:t xml:space="preserve"> 1</w:t>
      </w:r>
      <w:r w:rsidR="000750A3">
        <w:t xml:space="preserve">(1) engaged – Whether </w:t>
      </w:r>
      <w:r w:rsidR="00884C1D">
        <w:t xml:space="preserve">DHNZ's taxable income ought to be adjusted to disallow deductions said to </w:t>
      </w:r>
      <w:r w:rsidR="00884C1D">
        <w:lastRenderedPageBreak/>
        <w:t xml:space="preserve">be claimed illegitimately – </w:t>
      </w:r>
      <w:r w:rsidR="009D21A4">
        <w:t>W</w:t>
      </w:r>
      <w:r w:rsidR="00884C1D">
        <w:t xml:space="preserve">hether tax positions adopted by DHNZ </w:t>
      </w:r>
      <w:r w:rsidR="00CD6630">
        <w:t>"</w:t>
      </w:r>
      <w:r w:rsidR="00884C1D">
        <w:t>unacceptable</w:t>
      </w:r>
      <w:r w:rsidR="00CD6630">
        <w:t>"</w:t>
      </w:r>
      <w:r w:rsidR="00884C1D">
        <w:t xml:space="preserve"> as not meeting </w:t>
      </w:r>
      <w:r w:rsidR="00CD6630">
        <w:t>"</w:t>
      </w:r>
      <w:r w:rsidR="00884C1D">
        <w:t>about as likely as not to be correct</w:t>
      </w:r>
      <w:r w:rsidR="00CD6630">
        <w:t>"</w:t>
      </w:r>
      <w:r w:rsidR="00884C1D">
        <w:t xml:space="preserve"> standard stipulated in s 141B(1) of </w:t>
      </w:r>
      <w:r w:rsidR="00884C1D" w:rsidRPr="00884C1D">
        <w:rPr>
          <w:i/>
          <w:iCs/>
        </w:rPr>
        <w:t>Tax Administration Act</w:t>
      </w:r>
      <w:r w:rsidR="00884C1D">
        <w:rPr>
          <w:i/>
          <w:iCs/>
        </w:rPr>
        <w:t xml:space="preserve"> </w:t>
      </w:r>
      <w:r w:rsidR="00884C1D" w:rsidRPr="00884C1D">
        <w:rPr>
          <w:i/>
          <w:iCs/>
        </w:rPr>
        <w:t>1994</w:t>
      </w:r>
      <w:r w:rsidR="00884C1D">
        <w:t xml:space="preserve"> and, if so whether positions </w:t>
      </w:r>
      <w:r w:rsidR="00CD6630">
        <w:t>"</w:t>
      </w:r>
      <w:r w:rsidR="00884C1D">
        <w:t>abusive</w:t>
      </w:r>
      <w:r w:rsidR="00CD6630">
        <w:t>"</w:t>
      </w:r>
      <w:r w:rsidR="00884C1D">
        <w:t xml:space="preserve"> on basis DHNZ acted with </w:t>
      </w:r>
      <w:r w:rsidR="00CD6630">
        <w:t>"</w:t>
      </w:r>
      <w:r w:rsidR="00884C1D">
        <w:t>dominant purpose</w:t>
      </w:r>
      <w:r w:rsidR="00CD6630">
        <w:t>"</w:t>
      </w:r>
      <w:r w:rsidR="00884C1D">
        <w:t xml:space="preserve"> of obtaining tax advantages (s 141D). </w:t>
      </w:r>
    </w:p>
    <w:p w14:paraId="24A41F0F" w14:textId="77777777" w:rsidR="00734DF1" w:rsidRPr="005E2809" w:rsidRDefault="00734DF1" w:rsidP="00734DF1">
      <w:pPr>
        <w:pStyle w:val="Catchwords"/>
      </w:pPr>
    </w:p>
    <w:p w14:paraId="47485B04" w14:textId="1C77F748" w:rsidR="00734DF1" w:rsidRDefault="00734DF1" w:rsidP="00734DF1">
      <w:pPr>
        <w:rPr>
          <w:lang w:eastAsia="en-AU"/>
        </w:rPr>
      </w:pPr>
      <w:r>
        <w:rPr>
          <w:b/>
          <w:bCs/>
          <w:lang w:eastAsia="en-AU"/>
        </w:rPr>
        <w:t>Held (4:1):</w:t>
      </w:r>
      <w:r w:rsidRPr="00FD6C82">
        <w:rPr>
          <w:lang w:eastAsia="en-AU"/>
        </w:rPr>
        <w:t xml:space="preserve"> </w:t>
      </w:r>
      <w:r>
        <w:rPr>
          <w:lang w:eastAsia="en-AU"/>
        </w:rPr>
        <w:t xml:space="preserve">Appeal dismissed; cross-appeal allowed. </w:t>
      </w:r>
    </w:p>
    <w:bookmarkEnd w:id="2"/>
    <w:p w14:paraId="29DD9389" w14:textId="52170732" w:rsidR="002C0C85" w:rsidRDefault="002C0C85" w:rsidP="002C0C85">
      <w:pPr>
        <w:pStyle w:val="BullDivider2"/>
      </w:pPr>
    </w:p>
    <w:p w14:paraId="0ECF2EA0" w14:textId="77777777" w:rsidR="00602CC9" w:rsidRPr="00C43802" w:rsidRDefault="00602CC9" w:rsidP="00602CC9">
      <w:pPr>
        <w:rPr>
          <w:lang w:eastAsia="en-AU"/>
        </w:rPr>
      </w:pPr>
    </w:p>
    <w:p w14:paraId="3D3C61CE" w14:textId="777BD253" w:rsidR="00602CC9" w:rsidRDefault="00602CC9" w:rsidP="00602CC9">
      <w:pPr>
        <w:pStyle w:val="Heading1"/>
      </w:pPr>
      <w:r>
        <w:t>Property</w:t>
      </w:r>
    </w:p>
    <w:p w14:paraId="5080DFB8" w14:textId="77777777" w:rsidR="00602CC9" w:rsidRDefault="00602CC9" w:rsidP="00602CC9">
      <w:pPr>
        <w:rPr>
          <w:lang w:eastAsia="en-AU"/>
        </w:rPr>
      </w:pPr>
    </w:p>
    <w:p w14:paraId="7B138569" w14:textId="2962E965" w:rsidR="00602CC9" w:rsidRDefault="00602CC9" w:rsidP="00602CC9">
      <w:pPr>
        <w:pStyle w:val="Heading2"/>
      </w:pPr>
      <w:r w:rsidRPr="00602CC9">
        <w:t>Grobler v Phillips</w:t>
      </w:r>
      <w:r>
        <w:t xml:space="preserve"> &amp; Ors</w:t>
      </w:r>
    </w:p>
    <w:p w14:paraId="36F1F8BE" w14:textId="3B3368F8" w:rsidR="00602CC9" w:rsidRDefault="00602CC9" w:rsidP="00602CC9">
      <w:pPr>
        <w:rPr>
          <w:lang w:eastAsia="en-AU"/>
        </w:rPr>
      </w:pPr>
      <w:r>
        <w:rPr>
          <w:b/>
          <w:bCs/>
          <w:lang w:eastAsia="en-AU"/>
        </w:rPr>
        <w:t>Constitutional Court of South Africa</w:t>
      </w:r>
      <w:r w:rsidRPr="006B0D58">
        <w:rPr>
          <w:b/>
          <w:bCs/>
          <w:lang w:eastAsia="en-AU"/>
        </w:rPr>
        <w:t>:</w:t>
      </w:r>
      <w:r>
        <w:rPr>
          <w:b/>
          <w:bCs/>
          <w:lang w:eastAsia="en-AU"/>
        </w:rPr>
        <w:t xml:space="preserve"> </w:t>
      </w:r>
      <w:hyperlink r:id="rId28" w:history="1">
        <w:r w:rsidRPr="00602CC9">
          <w:rPr>
            <w:rStyle w:val="Hyperlink"/>
          </w:rPr>
          <w:t>[2022] ZACC 32</w:t>
        </w:r>
      </w:hyperlink>
    </w:p>
    <w:p w14:paraId="7BE06491" w14:textId="77777777" w:rsidR="00602CC9" w:rsidRDefault="00602CC9" w:rsidP="00602CC9">
      <w:pPr>
        <w:rPr>
          <w:lang w:eastAsia="en-AU"/>
        </w:rPr>
      </w:pPr>
    </w:p>
    <w:p w14:paraId="6A7EFCD1" w14:textId="77777777" w:rsidR="00602CC9" w:rsidRPr="00DB68FF" w:rsidRDefault="00602CC9" w:rsidP="00602CC9">
      <w:pPr>
        <w:rPr>
          <w:lang w:eastAsia="en-AU"/>
        </w:rPr>
      </w:pPr>
      <w:r>
        <w:rPr>
          <w:b/>
          <w:bCs/>
          <w:lang w:eastAsia="en-AU"/>
        </w:rPr>
        <w:t xml:space="preserve">Reasons delivered: </w:t>
      </w:r>
      <w:r>
        <w:rPr>
          <w:lang w:eastAsia="en-AU"/>
        </w:rPr>
        <w:t xml:space="preserve">20 September 2022 </w:t>
      </w:r>
    </w:p>
    <w:p w14:paraId="24B5DEBB" w14:textId="77777777" w:rsidR="00602CC9" w:rsidRDefault="00602CC9" w:rsidP="00602CC9">
      <w:pPr>
        <w:rPr>
          <w:b/>
          <w:bCs/>
          <w:lang w:eastAsia="en-AU"/>
        </w:rPr>
      </w:pPr>
    </w:p>
    <w:p w14:paraId="702E689F" w14:textId="4A9C6CE0" w:rsidR="00602CC9" w:rsidRPr="00DB68FF" w:rsidRDefault="00602CC9" w:rsidP="00602CC9">
      <w:pPr>
        <w:rPr>
          <w:lang w:eastAsia="en-AU"/>
        </w:rPr>
      </w:pPr>
      <w:r>
        <w:rPr>
          <w:b/>
          <w:bCs/>
          <w:lang w:eastAsia="en-AU"/>
        </w:rPr>
        <w:t>Coram:</w:t>
      </w:r>
      <w:r w:rsidRPr="00DB68FF">
        <w:t xml:space="preserve"> </w:t>
      </w:r>
      <w:proofErr w:type="spellStart"/>
      <w:r w:rsidRPr="00A67B0E">
        <w:rPr>
          <w:lang w:eastAsia="en-AU"/>
        </w:rPr>
        <w:t>Kollapen</w:t>
      </w:r>
      <w:proofErr w:type="spellEnd"/>
      <w:r w:rsidRPr="00A67B0E">
        <w:rPr>
          <w:lang w:eastAsia="en-AU"/>
        </w:rPr>
        <w:t xml:space="preserve">, </w:t>
      </w:r>
      <w:proofErr w:type="spellStart"/>
      <w:r w:rsidRPr="00A67B0E">
        <w:rPr>
          <w:lang w:eastAsia="en-AU"/>
        </w:rPr>
        <w:t>Madlanga</w:t>
      </w:r>
      <w:proofErr w:type="spellEnd"/>
      <w:r w:rsidRPr="00A67B0E">
        <w:rPr>
          <w:lang w:eastAsia="en-AU"/>
        </w:rPr>
        <w:t xml:space="preserve">, </w:t>
      </w:r>
      <w:proofErr w:type="spellStart"/>
      <w:r w:rsidRPr="00A67B0E">
        <w:rPr>
          <w:lang w:eastAsia="en-AU"/>
        </w:rPr>
        <w:t>Majiedt</w:t>
      </w:r>
      <w:proofErr w:type="spellEnd"/>
      <w:r w:rsidRPr="00A67B0E">
        <w:rPr>
          <w:lang w:eastAsia="en-AU"/>
        </w:rPr>
        <w:t xml:space="preserve">, </w:t>
      </w:r>
      <w:proofErr w:type="spellStart"/>
      <w:r w:rsidRPr="00A67B0E">
        <w:rPr>
          <w:lang w:eastAsia="en-AU"/>
        </w:rPr>
        <w:t>Mathopo</w:t>
      </w:r>
      <w:proofErr w:type="spellEnd"/>
      <w:r w:rsidRPr="00A67B0E">
        <w:rPr>
          <w:lang w:eastAsia="en-AU"/>
        </w:rPr>
        <w:t>, Mhlantla J</w:t>
      </w:r>
      <w:r>
        <w:rPr>
          <w:lang w:eastAsia="en-AU"/>
        </w:rPr>
        <w:t>J</w:t>
      </w:r>
      <w:r w:rsidRPr="00A67B0E">
        <w:rPr>
          <w:lang w:eastAsia="en-AU"/>
        </w:rPr>
        <w:t xml:space="preserve">, </w:t>
      </w:r>
      <w:r w:rsidRPr="00602CC9">
        <w:rPr>
          <w:lang w:eastAsia="en-AU"/>
        </w:rPr>
        <w:t>Mlambo AJ,</w:t>
      </w:r>
      <w:r>
        <w:rPr>
          <w:lang w:eastAsia="en-AU"/>
        </w:rPr>
        <w:t xml:space="preserve"> Theron, </w:t>
      </w:r>
      <w:proofErr w:type="spellStart"/>
      <w:r w:rsidRPr="00A67B0E">
        <w:rPr>
          <w:lang w:eastAsia="en-AU"/>
        </w:rPr>
        <w:t>Tshiqi</w:t>
      </w:r>
      <w:proofErr w:type="spellEnd"/>
      <w:r w:rsidRPr="00A67B0E">
        <w:rPr>
          <w:lang w:eastAsia="en-AU"/>
        </w:rPr>
        <w:t xml:space="preserve"> </w:t>
      </w:r>
      <w:r>
        <w:rPr>
          <w:lang w:eastAsia="en-AU"/>
        </w:rPr>
        <w:t>J</w:t>
      </w:r>
      <w:r w:rsidRPr="00A67B0E">
        <w:rPr>
          <w:lang w:eastAsia="en-AU"/>
        </w:rPr>
        <w:t xml:space="preserve">J and </w:t>
      </w:r>
      <w:proofErr w:type="spellStart"/>
      <w:r w:rsidRPr="00A67B0E">
        <w:rPr>
          <w:lang w:eastAsia="en-AU"/>
        </w:rPr>
        <w:t>Unterhalter</w:t>
      </w:r>
      <w:proofErr w:type="spellEnd"/>
      <w:r w:rsidRPr="00A67B0E">
        <w:rPr>
          <w:lang w:eastAsia="en-AU"/>
        </w:rPr>
        <w:t xml:space="preserve"> AJ</w:t>
      </w:r>
    </w:p>
    <w:p w14:paraId="3F70A0E9" w14:textId="77777777" w:rsidR="00602CC9" w:rsidRDefault="00602CC9" w:rsidP="00602CC9">
      <w:pPr>
        <w:rPr>
          <w:b/>
          <w:bCs/>
          <w:lang w:eastAsia="en-AU"/>
        </w:rPr>
      </w:pPr>
    </w:p>
    <w:p w14:paraId="5ED9DBF1" w14:textId="77777777" w:rsidR="00602CC9" w:rsidRDefault="00602CC9" w:rsidP="00602CC9">
      <w:pPr>
        <w:rPr>
          <w:b/>
          <w:bCs/>
          <w:lang w:eastAsia="en-AU"/>
        </w:rPr>
      </w:pPr>
      <w:r>
        <w:rPr>
          <w:b/>
          <w:bCs/>
          <w:lang w:eastAsia="en-AU"/>
        </w:rPr>
        <w:t>Catchwords:</w:t>
      </w:r>
    </w:p>
    <w:p w14:paraId="66D78976" w14:textId="77777777" w:rsidR="00602CC9" w:rsidRDefault="00602CC9" w:rsidP="00602CC9">
      <w:pPr>
        <w:rPr>
          <w:b/>
          <w:bCs/>
          <w:lang w:eastAsia="en-AU"/>
        </w:rPr>
      </w:pPr>
    </w:p>
    <w:p w14:paraId="19341AD3" w14:textId="0D83C3F0" w:rsidR="00602CC9" w:rsidRPr="00300CF0" w:rsidRDefault="00602CC9" w:rsidP="00602CC9">
      <w:pPr>
        <w:pStyle w:val="Catchwords"/>
      </w:pPr>
      <w:r>
        <w:t xml:space="preserve">Property – Residential property – Eviction – </w:t>
      </w:r>
      <w:r w:rsidR="00300CF0">
        <w:t xml:space="preserve">Where s 4(7) of </w:t>
      </w:r>
      <w:r w:rsidR="00300CF0" w:rsidRPr="00300CF0">
        <w:rPr>
          <w:i/>
          <w:iCs/>
        </w:rPr>
        <w:t>Prevention of Illegal Eviction from and Unlawful Occupation of Land Act 19 of 1998</w:t>
      </w:r>
      <w:r w:rsidR="00300CF0">
        <w:t xml:space="preserve"> (</w:t>
      </w:r>
      <w:r w:rsidR="00CD6630">
        <w:t>"</w:t>
      </w:r>
      <w:r w:rsidR="00300CF0">
        <w:t>PIE</w:t>
      </w:r>
      <w:r w:rsidR="00CD6630">
        <w:t>"</w:t>
      </w:r>
      <w:r w:rsidR="00300CF0">
        <w:t xml:space="preserve">) provides if </w:t>
      </w:r>
      <w:r w:rsidR="00300CF0" w:rsidRPr="00300CF0">
        <w:t xml:space="preserve">unlawful occupier occupied land for more than six months, court may grant order for eviction </w:t>
      </w:r>
      <w:r w:rsidR="00300CF0">
        <w:t xml:space="preserve">where </w:t>
      </w:r>
      <w:r w:rsidR="00300CF0" w:rsidRPr="00300CF0">
        <w:t>of opinion that just and equitable to do so, after considering all relevant circumstances</w:t>
      </w:r>
      <w:r w:rsidR="00300CF0">
        <w:t xml:space="preserve"> – Where first respondent 85 years old, resided in residence from age of 11, and resided with son with physical disability – Where applicant purchased property and sought first respondent vacate – </w:t>
      </w:r>
      <w:r>
        <w:t xml:space="preserve">Whether just and equitable, as provided in s 4(7) of </w:t>
      </w:r>
      <w:r w:rsidR="009D21A4">
        <w:t>PIE</w:t>
      </w:r>
      <w:r w:rsidR="00300CF0">
        <w:t xml:space="preserve">, to direct first respondent and physically disabled son to vacate residence. </w:t>
      </w:r>
    </w:p>
    <w:p w14:paraId="01C6F697" w14:textId="77777777" w:rsidR="00602CC9" w:rsidRDefault="00602CC9" w:rsidP="00602CC9">
      <w:pPr>
        <w:pStyle w:val="Catchwords"/>
      </w:pPr>
    </w:p>
    <w:p w14:paraId="75C156B2" w14:textId="63447B66" w:rsidR="00602CC9" w:rsidRPr="0034676E" w:rsidRDefault="00602CC9" w:rsidP="00602CC9">
      <w:pPr>
        <w:pStyle w:val="Catchwords"/>
      </w:pPr>
      <w:r>
        <w:t xml:space="preserve">Constitutional law – Residence – Where Court in </w:t>
      </w:r>
      <w:proofErr w:type="spellStart"/>
      <w:r w:rsidRPr="00602CC9">
        <w:rPr>
          <w:i/>
          <w:iCs/>
        </w:rPr>
        <w:t>Machele</w:t>
      </w:r>
      <w:proofErr w:type="spellEnd"/>
      <w:r w:rsidRPr="00602CC9">
        <w:rPr>
          <w:i/>
          <w:iCs/>
        </w:rPr>
        <w:t xml:space="preserve"> v </w:t>
      </w:r>
      <w:proofErr w:type="spellStart"/>
      <w:r w:rsidRPr="00602CC9">
        <w:rPr>
          <w:i/>
          <w:iCs/>
        </w:rPr>
        <w:t>Mailula</w:t>
      </w:r>
      <w:proofErr w:type="spellEnd"/>
      <w:r w:rsidRPr="00602CC9">
        <w:t xml:space="preserve"> [2009] ZACC 7</w:t>
      </w:r>
      <w:r>
        <w:t xml:space="preserve"> held eviction from one's home always raises constitutional issue – Where jurisdiction engaged </w:t>
      </w:r>
      <w:proofErr w:type="gramStart"/>
      <w:r>
        <w:t>where</w:t>
      </w:r>
      <w:proofErr w:type="gramEnd"/>
      <w:r>
        <w:t xml:space="preserve"> issues centre around eviction from primary residence. </w:t>
      </w:r>
    </w:p>
    <w:p w14:paraId="1527DAE9" w14:textId="77777777" w:rsidR="00602CC9" w:rsidRPr="005E2809" w:rsidRDefault="00602CC9" w:rsidP="00602CC9">
      <w:pPr>
        <w:pStyle w:val="Catchwords"/>
      </w:pPr>
    </w:p>
    <w:p w14:paraId="3505D404" w14:textId="1534FAA0" w:rsidR="00602CC9" w:rsidRDefault="00602CC9" w:rsidP="00602CC9">
      <w:pPr>
        <w:rPr>
          <w:lang w:eastAsia="en-AU"/>
        </w:rPr>
      </w:pPr>
      <w:r>
        <w:rPr>
          <w:b/>
          <w:bCs/>
          <w:lang w:eastAsia="en-AU"/>
        </w:rPr>
        <w:t>Held (9:0):</w:t>
      </w:r>
      <w:r w:rsidRPr="00FD6C82">
        <w:rPr>
          <w:lang w:eastAsia="en-AU"/>
        </w:rPr>
        <w:t xml:space="preserve"> </w:t>
      </w:r>
      <w:r>
        <w:rPr>
          <w:lang w:eastAsia="en-AU"/>
        </w:rPr>
        <w:t xml:space="preserve">Leave to appeal granted; appeal upheld.   </w:t>
      </w:r>
    </w:p>
    <w:p w14:paraId="3BA38036" w14:textId="0A7A5A88" w:rsidR="00602CC9" w:rsidRDefault="00602CC9" w:rsidP="00602CC9">
      <w:pPr>
        <w:pStyle w:val="BullDivider2"/>
      </w:pPr>
    </w:p>
    <w:p w14:paraId="12EFCEC1" w14:textId="77777777" w:rsidR="00602CC9" w:rsidRPr="00602CC9" w:rsidRDefault="00602CC9" w:rsidP="00602CC9">
      <w:pPr>
        <w:rPr>
          <w:lang w:eastAsia="en-AU"/>
        </w:rPr>
      </w:pPr>
    </w:p>
    <w:p w14:paraId="3471C550" w14:textId="5D15E174" w:rsidR="002C0C85" w:rsidRDefault="002C0C85" w:rsidP="002C0C85">
      <w:pPr>
        <w:pStyle w:val="Heading1"/>
      </w:pPr>
      <w:r>
        <w:t>Taxation</w:t>
      </w:r>
    </w:p>
    <w:p w14:paraId="0BAB600A" w14:textId="77777777" w:rsidR="002C0C85" w:rsidRDefault="002C0C85" w:rsidP="002C0C85">
      <w:pPr>
        <w:rPr>
          <w:lang w:eastAsia="en-AU"/>
        </w:rPr>
      </w:pPr>
    </w:p>
    <w:p w14:paraId="14EB009A" w14:textId="61A1202E" w:rsidR="00525AD9" w:rsidRPr="00C658D3" w:rsidRDefault="00525AD9" w:rsidP="00525AD9">
      <w:pPr>
        <w:pStyle w:val="Heading2"/>
        <w:rPr>
          <w:i w:val="0"/>
          <w:iCs w:val="0"/>
        </w:rPr>
      </w:pPr>
      <w:r>
        <w:t xml:space="preserve">Commissioner of Inland Revenue v Koo Ming </w:t>
      </w:r>
      <w:proofErr w:type="spellStart"/>
      <w:r>
        <w:t>Kown</w:t>
      </w:r>
      <w:proofErr w:type="spellEnd"/>
      <w:r>
        <w:t xml:space="preserve"> &amp; Anor </w:t>
      </w:r>
    </w:p>
    <w:p w14:paraId="1682DCB4" w14:textId="1A3416C4" w:rsidR="00525AD9" w:rsidRDefault="00525AD9" w:rsidP="00525AD9">
      <w:pPr>
        <w:rPr>
          <w:lang w:eastAsia="en-AU"/>
        </w:rPr>
      </w:pPr>
      <w:r w:rsidRPr="00525AD9">
        <w:rPr>
          <w:b/>
          <w:bCs/>
          <w:lang w:eastAsia="en-AU"/>
        </w:rPr>
        <w:t>Hong Kong Court of Final Appeal</w:t>
      </w:r>
      <w:r w:rsidRPr="006B0D58">
        <w:rPr>
          <w:b/>
          <w:bCs/>
          <w:lang w:eastAsia="en-AU"/>
        </w:rPr>
        <w:t>:</w:t>
      </w:r>
      <w:r>
        <w:rPr>
          <w:lang w:eastAsia="en-AU"/>
        </w:rPr>
        <w:t xml:space="preserve"> </w:t>
      </w:r>
      <w:hyperlink r:id="rId29" w:history="1">
        <w:r w:rsidRPr="00525AD9">
          <w:rPr>
            <w:rStyle w:val="Hyperlink"/>
            <w:lang w:eastAsia="en-AU"/>
          </w:rPr>
          <w:t>[2022] HKCFA 18</w:t>
        </w:r>
      </w:hyperlink>
    </w:p>
    <w:p w14:paraId="3559A72E" w14:textId="77777777" w:rsidR="00525AD9" w:rsidRDefault="00525AD9" w:rsidP="00525AD9">
      <w:pPr>
        <w:rPr>
          <w:lang w:eastAsia="en-AU"/>
        </w:rPr>
      </w:pPr>
    </w:p>
    <w:p w14:paraId="4B6F559E" w14:textId="722423D2" w:rsidR="00525AD9" w:rsidRPr="00DB68FF" w:rsidRDefault="00525AD9" w:rsidP="00525AD9">
      <w:pPr>
        <w:rPr>
          <w:lang w:eastAsia="en-AU"/>
        </w:rPr>
      </w:pPr>
      <w:r>
        <w:rPr>
          <w:b/>
          <w:bCs/>
          <w:lang w:eastAsia="en-AU"/>
        </w:rPr>
        <w:t xml:space="preserve">Judgment delivered: </w:t>
      </w:r>
      <w:r>
        <w:rPr>
          <w:lang w:eastAsia="en-AU"/>
        </w:rPr>
        <w:t xml:space="preserve">5 August 2022 </w:t>
      </w:r>
    </w:p>
    <w:p w14:paraId="09347A4D" w14:textId="77777777" w:rsidR="00525AD9" w:rsidRDefault="00525AD9" w:rsidP="00525AD9">
      <w:pPr>
        <w:rPr>
          <w:b/>
          <w:bCs/>
          <w:lang w:eastAsia="en-AU"/>
        </w:rPr>
      </w:pPr>
    </w:p>
    <w:p w14:paraId="3D447EAA" w14:textId="7EF9DA83" w:rsidR="00525AD9" w:rsidRPr="00DB68FF" w:rsidRDefault="00525AD9" w:rsidP="00525AD9">
      <w:pPr>
        <w:rPr>
          <w:lang w:eastAsia="en-AU"/>
        </w:rPr>
      </w:pPr>
      <w:r>
        <w:rPr>
          <w:b/>
          <w:bCs/>
          <w:lang w:eastAsia="en-AU"/>
        </w:rPr>
        <w:t>Coram:</w:t>
      </w:r>
      <w:r w:rsidRPr="00525AD9">
        <w:rPr>
          <w:lang w:eastAsia="en-AU"/>
        </w:rPr>
        <w:t xml:space="preserve"> </w:t>
      </w:r>
      <w:r>
        <w:rPr>
          <w:lang w:eastAsia="en-AU"/>
        </w:rPr>
        <w:t xml:space="preserve">Cheung CJ, </w:t>
      </w:r>
      <w:r w:rsidRPr="00525AD9">
        <w:rPr>
          <w:lang w:eastAsia="en-AU"/>
        </w:rPr>
        <w:t>Ribeiro, Fok P</w:t>
      </w:r>
      <w:r>
        <w:rPr>
          <w:lang w:eastAsia="en-AU"/>
        </w:rPr>
        <w:t>J</w:t>
      </w:r>
      <w:r w:rsidRPr="00525AD9">
        <w:rPr>
          <w:lang w:eastAsia="en-AU"/>
        </w:rPr>
        <w:t>J, Stock and Gleeson NPJ</w:t>
      </w:r>
      <w:r>
        <w:rPr>
          <w:lang w:eastAsia="en-AU"/>
        </w:rPr>
        <w:t>J</w:t>
      </w:r>
    </w:p>
    <w:p w14:paraId="07BC1D6C" w14:textId="77777777" w:rsidR="00525AD9" w:rsidRDefault="00525AD9" w:rsidP="00525AD9">
      <w:pPr>
        <w:rPr>
          <w:b/>
          <w:bCs/>
          <w:lang w:eastAsia="en-AU"/>
        </w:rPr>
      </w:pPr>
    </w:p>
    <w:p w14:paraId="56C16DA8" w14:textId="77777777" w:rsidR="00525AD9" w:rsidRDefault="00525AD9" w:rsidP="00525AD9">
      <w:pPr>
        <w:rPr>
          <w:b/>
          <w:bCs/>
          <w:lang w:eastAsia="en-AU"/>
        </w:rPr>
      </w:pPr>
      <w:r>
        <w:rPr>
          <w:b/>
          <w:bCs/>
          <w:lang w:eastAsia="en-AU"/>
        </w:rPr>
        <w:lastRenderedPageBreak/>
        <w:t>Catchwords:</w:t>
      </w:r>
    </w:p>
    <w:p w14:paraId="5598B36D" w14:textId="77777777" w:rsidR="00525AD9" w:rsidRDefault="00525AD9" w:rsidP="00525AD9">
      <w:pPr>
        <w:rPr>
          <w:b/>
          <w:bCs/>
          <w:lang w:eastAsia="en-AU"/>
        </w:rPr>
      </w:pPr>
    </w:p>
    <w:p w14:paraId="48DCAB6D" w14:textId="66C8923C" w:rsidR="00525AD9" w:rsidRPr="003476ED" w:rsidRDefault="00525AD9" w:rsidP="007221B2">
      <w:pPr>
        <w:pStyle w:val="Catchwords"/>
      </w:pPr>
      <w:r w:rsidRPr="00E14266">
        <w:t>Taxation –</w:t>
      </w:r>
      <w:r w:rsidR="00E15527">
        <w:t xml:space="preserve"> Corporate tax – </w:t>
      </w:r>
      <w:r w:rsidR="007221B2">
        <w:t xml:space="preserve">Liability – </w:t>
      </w:r>
      <w:r w:rsidR="00E15527">
        <w:t xml:space="preserve">Where </w:t>
      </w:r>
      <w:r w:rsidR="00E15527" w:rsidRPr="00E15527">
        <w:t xml:space="preserve">s 82A(1)(a) of Inland Revenue Ordinance (Cap 112) </w:t>
      </w:r>
      <w:r w:rsidR="00E15527">
        <w:t>(</w:t>
      </w:r>
      <w:r w:rsidR="00CD6630">
        <w:t>"</w:t>
      </w:r>
      <w:r w:rsidR="00E15527" w:rsidRPr="00E15527">
        <w:t>IRO</w:t>
      </w:r>
      <w:r w:rsidR="00CD6630">
        <w:t>"</w:t>
      </w:r>
      <w:r w:rsidR="00E15527" w:rsidRPr="00E15527">
        <w:t>),</w:t>
      </w:r>
      <w:r w:rsidR="00E15527">
        <w:t xml:space="preserve"> </w:t>
      </w:r>
      <w:r w:rsidR="00E15527" w:rsidRPr="00E15527">
        <w:t>exposes to administrative penalty, described as additional tax, person who makes incorrect tax return</w:t>
      </w:r>
      <w:r w:rsidR="007221B2">
        <w:t xml:space="preserve"> – Where s 82A(1)(a)  provides, relevantly, any person who without reasonable excuse makes incorrect return by omitting or understating anything, shall be liable under section to additional tax of amount not exceeding treble amount of tax which been undercharged – Where </w:t>
      </w:r>
      <w:r w:rsidR="007221B2" w:rsidRPr="007221B2">
        <w:t>tax returns of Nam Tai Electronic &amp; Electrical Products Limited for years 1996/97, 1997/98 and 1999/2000 were found by Board to have been incorrect</w:t>
      </w:r>
      <w:r w:rsidR="007221B2">
        <w:t xml:space="preserve"> – Where first and third returns signed by Mr Koo and second return signed by Mr Murakami – Where Board held Mr Koo and Mr Murakami liable to be assessed to additional tax under s 82A(1)(a) – Whether s 82A of IRO permits Commissioner of Inland Revenue to assess additional tax on secretary, manager, director or liquidator (</w:t>
      </w:r>
      <w:r w:rsidR="00CD6630">
        <w:t>"</w:t>
      </w:r>
      <w:r w:rsidR="007221B2">
        <w:t>signer</w:t>
      </w:r>
      <w:r w:rsidR="00CD6630">
        <w:t>"</w:t>
      </w:r>
      <w:r w:rsidR="007221B2">
        <w:t xml:space="preserve">) who physically signed incorrect of corporate taxpayer – Whether, having regard to all circumstances, including words used in return, legislative context and purposes, signer </w:t>
      </w:r>
      <w:r w:rsidR="00CD6630">
        <w:t>"</w:t>
      </w:r>
      <w:r w:rsidR="007221B2">
        <w:t>making</w:t>
      </w:r>
      <w:r w:rsidR="00CD6630">
        <w:t>"</w:t>
      </w:r>
      <w:r w:rsidR="007221B2">
        <w:t xml:space="preserve"> return in personal capacity on behalf of corporate taxpayer – Whether signer</w:t>
      </w:r>
      <w:r w:rsidR="00173AD7">
        <w:t xml:space="preserve"> </w:t>
      </w:r>
      <w:r w:rsidR="00CD6630">
        <w:t>"</w:t>
      </w:r>
      <w:r w:rsidR="007221B2">
        <w:t>required</w:t>
      </w:r>
      <w:r w:rsidR="00CD6630">
        <w:t>"</w:t>
      </w:r>
      <w:r w:rsidR="007221B2">
        <w:t xml:space="preserve"> by IRO to make </w:t>
      </w:r>
      <w:r w:rsidR="00173AD7">
        <w:t>r</w:t>
      </w:r>
      <w:r w:rsidR="007221B2">
        <w:t xml:space="preserve">eturn on behalf of </w:t>
      </w:r>
      <w:r w:rsidR="00173AD7">
        <w:t>corporate t</w:t>
      </w:r>
      <w:r w:rsidR="007221B2">
        <w:t>axpayer</w:t>
      </w:r>
      <w:r w:rsidR="00E15527" w:rsidRPr="00E15527">
        <w:t>.</w:t>
      </w:r>
    </w:p>
    <w:p w14:paraId="54A957E0" w14:textId="77777777" w:rsidR="00525AD9" w:rsidRPr="005E2809" w:rsidRDefault="00525AD9" w:rsidP="00525AD9">
      <w:pPr>
        <w:pStyle w:val="Catchwords"/>
      </w:pPr>
    </w:p>
    <w:p w14:paraId="7F9D2010" w14:textId="07F2D6C9" w:rsidR="00525AD9" w:rsidRDefault="00525AD9" w:rsidP="00525AD9">
      <w:pPr>
        <w:rPr>
          <w:lang w:eastAsia="en-AU"/>
        </w:rPr>
      </w:pPr>
      <w:r>
        <w:rPr>
          <w:b/>
          <w:bCs/>
          <w:lang w:eastAsia="en-AU"/>
        </w:rPr>
        <w:t>Held (5:0):</w:t>
      </w:r>
      <w:r w:rsidRPr="00FD6C82">
        <w:rPr>
          <w:lang w:eastAsia="en-AU"/>
        </w:rPr>
        <w:t xml:space="preserve"> </w:t>
      </w:r>
      <w:r>
        <w:rPr>
          <w:lang w:eastAsia="en-AU"/>
        </w:rPr>
        <w:t xml:space="preserve">Appeal </w:t>
      </w:r>
      <w:r w:rsidR="00E15527">
        <w:rPr>
          <w:lang w:eastAsia="en-AU"/>
        </w:rPr>
        <w:t>dismissed</w:t>
      </w:r>
      <w:r>
        <w:rPr>
          <w:lang w:eastAsia="en-AU"/>
        </w:rPr>
        <w:t xml:space="preserve">. </w:t>
      </w:r>
    </w:p>
    <w:p w14:paraId="49E3F109" w14:textId="77777777" w:rsidR="00525AD9" w:rsidRDefault="00525AD9" w:rsidP="00525AD9">
      <w:pPr>
        <w:pStyle w:val="BullDivider1"/>
      </w:pPr>
    </w:p>
    <w:p w14:paraId="48A2BD69" w14:textId="77777777" w:rsidR="00525AD9" w:rsidRPr="00F1326E" w:rsidRDefault="00525AD9" w:rsidP="00525AD9">
      <w:pPr>
        <w:rPr>
          <w:lang w:eastAsia="en-AU"/>
        </w:rPr>
      </w:pPr>
    </w:p>
    <w:p w14:paraId="68250859" w14:textId="06DC50E7" w:rsidR="00F1326E" w:rsidRPr="00C658D3" w:rsidRDefault="00F1326E" w:rsidP="00F1326E">
      <w:pPr>
        <w:pStyle w:val="Heading2"/>
        <w:rPr>
          <w:i w:val="0"/>
          <w:iCs w:val="0"/>
        </w:rPr>
      </w:pPr>
      <w:r>
        <w:t>Commissioners for His Majesty's Revenue and Customs v NHS Lothian Health Board</w:t>
      </w:r>
    </w:p>
    <w:p w14:paraId="6FBE1BD7" w14:textId="2EC829E1" w:rsidR="00F1326E" w:rsidRDefault="00F1326E" w:rsidP="00F1326E">
      <w:pPr>
        <w:rPr>
          <w:lang w:eastAsia="en-AU"/>
        </w:rPr>
      </w:pPr>
      <w:r>
        <w:rPr>
          <w:b/>
          <w:bCs/>
          <w:lang w:eastAsia="en-AU"/>
        </w:rPr>
        <w:t>Supreme Court of the United Kingdom</w:t>
      </w:r>
      <w:r w:rsidRPr="006B0D58">
        <w:rPr>
          <w:b/>
          <w:bCs/>
          <w:lang w:eastAsia="en-AU"/>
        </w:rPr>
        <w:t>:</w:t>
      </w:r>
      <w:r>
        <w:rPr>
          <w:lang w:eastAsia="en-AU"/>
        </w:rPr>
        <w:t xml:space="preserve"> </w:t>
      </w:r>
      <w:hyperlink r:id="rId30" w:history="1">
        <w:r w:rsidRPr="00F1326E">
          <w:rPr>
            <w:rStyle w:val="Hyperlink"/>
            <w:lang w:eastAsia="en-AU"/>
          </w:rPr>
          <w:t>[2022] UKSC 28</w:t>
        </w:r>
      </w:hyperlink>
      <w:r>
        <w:rPr>
          <w:lang w:eastAsia="en-AU"/>
        </w:rPr>
        <w:t xml:space="preserve"> </w:t>
      </w:r>
    </w:p>
    <w:p w14:paraId="6B3EFB51" w14:textId="77777777" w:rsidR="00F1326E" w:rsidRDefault="00F1326E" w:rsidP="00F1326E">
      <w:pPr>
        <w:rPr>
          <w:lang w:eastAsia="en-AU"/>
        </w:rPr>
      </w:pPr>
    </w:p>
    <w:p w14:paraId="6A3C4823" w14:textId="77777777" w:rsidR="00F1326E" w:rsidRPr="00DB68FF" w:rsidRDefault="00F1326E" w:rsidP="00F1326E">
      <w:pPr>
        <w:rPr>
          <w:lang w:eastAsia="en-AU"/>
        </w:rPr>
      </w:pPr>
      <w:r>
        <w:rPr>
          <w:b/>
          <w:bCs/>
          <w:lang w:eastAsia="en-AU"/>
        </w:rPr>
        <w:t xml:space="preserve">Judgment delivered: </w:t>
      </w:r>
      <w:r>
        <w:rPr>
          <w:lang w:eastAsia="en-AU"/>
        </w:rPr>
        <w:t xml:space="preserve">19 October 2022 </w:t>
      </w:r>
    </w:p>
    <w:p w14:paraId="25A84E58" w14:textId="77777777" w:rsidR="00F1326E" w:rsidRDefault="00F1326E" w:rsidP="00F1326E">
      <w:pPr>
        <w:rPr>
          <w:b/>
          <w:bCs/>
          <w:lang w:eastAsia="en-AU"/>
        </w:rPr>
      </w:pPr>
    </w:p>
    <w:p w14:paraId="44D24176" w14:textId="6B870776" w:rsidR="00F1326E" w:rsidRPr="00DB68FF" w:rsidRDefault="00F1326E" w:rsidP="00F1326E">
      <w:pPr>
        <w:rPr>
          <w:lang w:eastAsia="en-AU"/>
        </w:rPr>
      </w:pPr>
      <w:r>
        <w:rPr>
          <w:b/>
          <w:bCs/>
          <w:lang w:eastAsia="en-AU"/>
        </w:rPr>
        <w:t>Coram:</w:t>
      </w:r>
      <w:r w:rsidRPr="00DB68FF">
        <w:t xml:space="preserve"> </w:t>
      </w:r>
      <w:r w:rsidRPr="00C413E7">
        <w:rPr>
          <w:lang w:eastAsia="en-AU"/>
        </w:rPr>
        <w:t xml:space="preserve">Lord </w:t>
      </w:r>
      <w:r>
        <w:rPr>
          <w:lang w:eastAsia="en-AU"/>
        </w:rPr>
        <w:t xml:space="preserve">Reed, Lord Briggs, Lord Sales, Lord Leggatt and Lady Rose </w:t>
      </w:r>
    </w:p>
    <w:p w14:paraId="51262E3F" w14:textId="77777777" w:rsidR="00F1326E" w:rsidRDefault="00F1326E" w:rsidP="00F1326E">
      <w:pPr>
        <w:rPr>
          <w:b/>
          <w:bCs/>
          <w:lang w:eastAsia="en-AU"/>
        </w:rPr>
      </w:pPr>
    </w:p>
    <w:p w14:paraId="40C913AF" w14:textId="77777777" w:rsidR="00F1326E" w:rsidRDefault="00F1326E" w:rsidP="00F1326E">
      <w:pPr>
        <w:rPr>
          <w:b/>
          <w:bCs/>
          <w:lang w:eastAsia="en-AU"/>
        </w:rPr>
      </w:pPr>
      <w:r>
        <w:rPr>
          <w:b/>
          <w:bCs/>
          <w:lang w:eastAsia="en-AU"/>
        </w:rPr>
        <w:t>Catchwords:</w:t>
      </w:r>
    </w:p>
    <w:p w14:paraId="7D04F085" w14:textId="77777777" w:rsidR="00F1326E" w:rsidRDefault="00F1326E" w:rsidP="00F1326E">
      <w:pPr>
        <w:rPr>
          <w:b/>
          <w:bCs/>
          <w:lang w:eastAsia="en-AU"/>
        </w:rPr>
      </w:pPr>
    </w:p>
    <w:p w14:paraId="418C1740" w14:textId="5134DE73" w:rsidR="00F1326E" w:rsidRPr="003476ED" w:rsidRDefault="00F1326E" w:rsidP="00A90B7F">
      <w:pPr>
        <w:pStyle w:val="Catchwords"/>
      </w:pPr>
      <w:r w:rsidRPr="00E14266">
        <w:t>Taxation – Value Added Tax (</w:t>
      </w:r>
      <w:r w:rsidR="00CD6630">
        <w:t>"</w:t>
      </w:r>
      <w:r w:rsidRPr="00E14266">
        <w:t>VAT</w:t>
      </w:r>
      <w:r w:rsidR="00CD6630">
        <w:t>"</w:t>
      </w:r>
      <w:r w:rsidRPr="00E14266">
        <w:t xml:space="preserve">) – Input tax </w:t>
      </w:r>
      <w:r w:rsidR="00A90B7F" w:rsidRPr="00E14266">
        <w:t>– Where respondent submitted late claims to His Majesty's Revenue and Customs Commissioners (</w:t>
      </w:r>
      <w:r w:rsidR="00CD6630">
        <w:t>"</w:t>
      </w:r>
      <w:r w:rsidR="00A90B7F" w:rsidRPr="00E14266">
        <w:t>HMRC</w:t>
      </w:r>
      <w:r w:rsidR="00CD6630">
        <w:t>"</w:t>
      </w:r>
      <w:r w:rsidR="00A90B7F" w:rsidRPr="00E14266">
        <w:t>) seeking to recover VAT input tax paid from 1 April 1974, when VAT first introduced in United Kingdom, to 30 April</w:t>
      </w:r>
      <w:r w:rsidR="009D21A4">
        <w:t xml:space="preserve"> </w:t>
      </w:r>
      <w:r w:rsidR="00A90B7F" w:rsidRPr="00E14266">
        <w:t>1997 – Where respondent submitted claim in March 2009, valuing input tax to which they were entitled as over £7 million – Where, after lengthy correspondence, HMRC rejected claim for reason that: (1) basis for using percentage to calculate recoverable input tax but method used to apportion general expenditure between business and</w:t>
      </w:r>
      <w:r w:rsidR="00A90B7F">
        <w:t xml:space="preserve"> non-business expenditure not explained; (2) respondent not shown input tax claimed not already been recovered previously; and (3) respondent </w:t>
      </w:r>
      <w:r w:rsidR="00BC1CB5">
        <w:t>failed to explain</w:t>
      </w:r>
      <w:r w:rsidR="00A90B7F">
        <w:t xml:space="preserve"> why annual input tax claimed for earlier years </w:t>
      </w:r>
      <w:r w:rsidR="00BC1CB5">
        <w:t xml:space="preserve">over </w:t>
      </w:r>
      <w:r w:rsidR="00A90B7F">
        <w:t>four times higher</w:t>
      </w:r>
      <w:r w:rsidR="00BC1CB5">
        <w:t xml:space="preserve"> </w:t>
      </w:r>
      <w:r w:rsidR="00A90B7F">
        <w:t xml:space="preserve">than input tax claimed in </w:t>
      </w:r>
      <w:proofErr w:type="spellStart"/>
      <w:r w:rsidR="00A90B7F">
        <w:t>then</w:t>
      </w:r>
      <w:proofErr w:type="spellEnd"/>
      <w:r w:rsidR="00A90B7F">
        <w:t xml:space="preserve"> current year</w:t>
      </w:r>
      <w:r w:rsidR="00BC1CB5">
        <w:t xml:space="preserve"> – Where First-tier Tribunal dismissed respondent's by then </w:t>
      </w:r>
      <w:r w:rsidR="00BC1CB5" w:rsidRPr="00BC1CB5">
        <w:t>£900,000</w:t>
      </w:r>
      <w:r w:rsidR="00BC1CB5">
        <w:t xml:space="preserve"> claim, concluding respondent failed to establish input tax entitlement – Where Upper Tribunal upheld </w:t>
      </w:r>
      <w:r w:rsidR="003D387B">
        <w:t xml:space="preserve">decision, but </w:t>
      </w:r>
      <w:r w:rsidR="003D387B" w:rsidRPr="003D387B">
        <w:t>First Division of Inner House of Court of Session</w:t>
      </w:r>
      <w:r w:rsidR="003D387B">
        <w:t xml:space="preserve"> overturned decisions – </w:t>
      </w:r>
      <w:r w:rsidR="003B6E8F">
        <w:t xml:space="preserve">Proper approach to </w:t>
      </w:r>
      <w:r w:rsidR="003B6E8F">
        <w:lastRenderedPageBreak/>
        <w:t xml:space="preserve">evidence and burden and standard of proof in historical claims for recovery of overpaid VAT. </w:t>
      </w:r>
      <w:r w:rsidR="003D387B">
        <w:t xml:space="preserve"> </w:t>
      </w:r>
    </w:p>
    <w:p w14:paraId="3664D2AF" w14:textId="77777777" w:rsidR="00F1326E" w:rsidRPr="005E2809" w:rsidRDefault="00F1326E" w:rsidP="00F1326E">
      <w:pPr>
        <w:pStyle w:val="Catchwords"/>
      </w:pPr>
    </w:p>
    <w:p w14:paraId="54F354A5" w14:textId="2C31A874" w:rsidR="00F1326E" w:rsidRDefault="00F1326E" w:rsidP="00F1326E">
      <w:pPr>
        <w:rPr>
          <w:lang w:eastAsia="en-AU"/>
        </w:rPr>
      </w:pPr>
      <w:r>
        <w:rPr>
          <w:b/>
          <w:bCs/>
          <w:lang w:eastAsia="en-AU"/>
        </w:rPr>
        <w:t>Held (5:0):</w:t>
      </w:r>
      <w:r w:rsidRPr="00FD6C82">
        <w:rPr>
          <w:lang w:eastAsia="en-AU"/>
        </w:rPr>
        <w:t xml:space="preserve"> </w:t>
      </w:r>
      <w:r>
        <w:rPr>
          <w:lang w:eastAsia="en-AU"/>
        </w:rPr>
        <w:t xml:space="preserve">Appeal allowed. </w:t>
      </w:r>
    </w:p>
    <w:p w14:paraId="626F6FE8" w14:textId="16032C50" w:rsidR="00F1326E" w:rsidRDefault="00F1326E" w:rsidP="00F1326E">
      <w:pPr>
        <w:pStyle w:val="BullDivider1"/>
      </w:pPr>
    </w:p>
    <w:p w14:paraId="12C7C1E5" w14:textId="77777777" w:rsidR="00F1326E" w:rsidRPr="00F1326E" w:rsidRDefault="00F1326E" w:rsidP="00F1326E">
      <w:pPr>
        <w:rPr>
          <w:lang w:eastAsia="en-AU"/>
        </w:rPr>
      </w:pPr>
    </w:p>
    <w:p w14:paraId="4890082B" w14:textId="627CA269" w:rsidR="002C0C85" w:rsidRPr="00C658D3" w:rsidRDefault="00092468" w:rsidP="002C0C85">
      <w:pPr>
        <w:pStyle w:val="Heading2"/>
        <w:rPr>
          <w:i w:val="0"/>
          <w:iCs w:val="0"/>
        </w:rPr>
      </w:pPr>
      <w:r w:rsidRPr="00092468">
        <w:t>DCM (Optical Holdings) Ltd v Commissioners for His Majesty's Revenue and Customs</w:t>
      </w:r>
    </w:p>
    <w:p w14:paraId="58963DB9" w14:textId="0E143389" w:rsidR="002C0C85" w:rsidRDefault="002C0C85" w:rsidP="002C0C85">
      <w:pPr>
        <w:rPr>
          <w:lang w:eastAsia="en-AU"/>
        </w:rPr>
      </w:pPr>
      <w:r>
        <w:rPr>
          <w:b/>
          <w:bCs/>
          <w:lang w:eastAsia="en-AU"/>
        </w:rPr>
        <w:t>Supreme Court of the United Kingdom</w:t>
      </w:r>
      <w:r w:rsidRPr="006B0D58">
        <w:rPr>
          <w:b/>
          <w:bCs/>
          <w:lang w:eastAsia="en-AU"/>
        </w:rPr>
        <w:t>:</w:t>
      </w:r>
      <w:r>
        <w:rPr>
          <w:lang w:eastAsia="en-AU"/>
        </w:rPr>
        <w:t xml:space="preserve"> </w:t>
      </w:r>
      <w:hyperlink r:id="rId31" w:history="1">
        <w:r w:rsidR="00B072D7" w:rsidRPr="00B072D7">
          <w:rPr>
            <w:rStyle w:val="Hyperlink"/>
            <w:lang w:eastAsia="en-AU"/>
          </w:rPr>
          <w:t>[2022] UKSC 26</w:t>
        </w:r>
      </w:hyperlink>
    </w:p>
    <w:p w14:paraId="16CAD5D3" w14:textId="77777777" w:rsidR="002C0C85" w:rsidRDefault="002C0C85" w:rsidP="002C0C85">
      <w:pPr>
        <w:rPr>
          <w:lang w:eastAsia="en-AU"/>
        </w:rPr>
      </w:pPr>
    </w:p>
    <w:p w14:paraId="7E79BD8A" w14:textId="77777777" w:rsidR="002C0C85" w:rsidRPr="00DB68FF" w:rsidRDefault="002C0C85" w:rsidP="002C0C85">
      <w:pPr>
        <w:rPr>
          <w:lang w:eastAsia="en-AU"/>
        </w:rPr>
      </w:pPr>
      <w:r>
        <w:rPr>
          <w:b/>
          <w:bCs/>
          <w:lang w:eastAsia="en-AU"/>
        </w:rPr>
        <w:t xml:space="preserve">Judgment delivered: </w:t>
      </w:r>
      <w:r>
        <w:rPr>
          <w:lang w:eastAsia="en-AU"/>
        </w:rPr>
        <w:t xml:space="preserve">19 October 2022 </w:t>
      </w:r>
    </w:p>
    <w:p w14:paraId="1F6958B0" w14:textId="77777777" w:rsidR="002C0C85" w:rsidRDefault="002C0C85" w:rsidP="002C0C85">
      <w:pPr>
        <w:rPr>
          <w:b/>
          <w:bCs/>
          <w:lang w:eastAsia="en-AU"/>
        </w:rPr>
      </w:pPr>
    </w:p>
    <w:p w14:paraId="277C0DAA" w14:textId="483D7BC3" w:rsidR="002C0C85" w:rsidRPr="00DB68FF" w:rsidRDefault="002C0C85" w:rsidP="002C0C85">
      <w:pPr>
        <w:rPr>
          <w:lang w:eastAsia="en-AU"/>
        </w:rPr>
      </w:pPr>
      <w:r>
        <w:rPr>
          <w:b/>
          <w:bCs/>
          <w:lang w:eastAsia="en-AU"/>
        </w:rPr>
        <w:t>Coram:</w:t>
      </w:r>
      <w:r w:rsidRPr="00DB68FF">
        <w:t xml:space="preserve"> </w:t>
      </w:r>
      <w:r w:rsidRPr="00C413E7">
        <w:rPr>
          <w:lang w:eastAsia="en-AU"/>
        </w:rPr>
        <w:t xml:space="preserve">Lord </w:t>
      </w:r>
      <w:r w:rsidR="00B072D7">
        <w:rPr>
          <w:lang w:eastAsia="en-AU"/>
        </w:rPr>
        <w:t>Reed, Lord Hodge, Lord Sales, Lord Hamblen and Lord Stephens</w:t>
      </w:r>
    </w:p>
    <w:p w14:paraId="5D24EF4C" w14:textId="77777777" w:rsidR="002C0C85" w:rsidRDefault="002C0C85" w:rsidP="002C0C85">
      <w:pPr>
        <w:rPr>
          <w:b/>
          <w:bCs/>
          <w:lang w:eastAsia="en-AU"/>
        </w:rPr>
      </w:pPr>
    </w:p>
    <w:p w14:paraId="6CFD2DD1" w14:textId="77777777" w:rsidR="002C0C85" w:rsidRDefault="002C0C85" w:rsidP="002C0C85">
      <w:pPr>
        <w:rPr>
          <w:b/>
          <w:bCs/>
          <w:lang w:eastAsia="en-AU"/>
        </w:rPr>
      </w:pPr>
      <w:r>
        <w:rPr>
          <w:b/>
          <w:bCs/>
          <w:lang w:eastAsia="en-AU"/>
        </w:rPr>
        <w:t>Catchwords:</w:t>
      </w:r>
    </w:p>
    <w:p w14:paraId="47D3AAC1" w14:textId="77777777" w:rsidR="002C0C85" w:rsidRDefault="002C0C85" w:rsidP="002C0C85">
      <w:pPr>
        <w:rPr>
          <w:b/>
          <w:bCs/>
          <w:lang w:eastAsia="en-AU"/>
        </w:rPr>
      </w:pPr>
    </w:p>
    <w:p w14:paraId="1E4A8376" w14:textId="1939CE0E" w:rsidR="002C0C85" w:rsidRDefault="00B072D7" w:rsidP="00CD6630">
      <w:pPr>
        <w:pStyle w:val="Catchwords"/>
      </w:pPr>
      <w:r w:rsidRPr="00CD6630">
        <w:t xml:space="preserve">Taxation – </w:t>
      </w:r>
      <w:r w:rsidR="00CE1FB8" w:rsidRPr="00CD6630">
        <w:t>Value Added Tax (</w:t>
      </w:r>
      <w:r w:rsidR="00CD6630">
        <w:t>"</w:t>
      </w:r>
      <w:r w:rsidR="00CE1FB8" w:rsidRPr="00CD6630">
        <w:t>VAT</w:t>
      </w:r>
      <w:r w:rsidR="00CD6630">
        <w:t>"</w:t>
      </w:r>
      <w:r w:rsidR="00CE1FB8" w:rsidRPr="00CD6630">
        <w:t xml:space="preserve">) – </w:t>
      </w:r>
      <w:r w:rsidR="009D21A4">
        <w:t>VAT liability – Partially exempt – Output tax – Input tax</w:t>
      </w:r>
      <w:r w:rsidR="00CE1FB8" w:rsidRPr="00CD6630">
        <w:t xml:space="preserve"> – </w:t>
      </w:r>
      <w:r w:rsidRPr="00CD6630">
        <w:t xml:space="preserve">Where appellant supplied glasses, but also provided optician services – </w:t>
      </w:r>
      <w:r w:rsidR="001F0F91" w:rsidRPr="00CD6630">
        <w:t xml:space="preserve">Where appellant </w:t>
      </w:r>
      <w:r w:rsidR="00CD6630">
        <w:t>"</w:t>
      </w:r>
      <w:r w:rsidR="001F0F91" w:rsidRPr="00CD6630">
        <w:t>partially exempt</w:t>
      </w:r>
      <w:r w:rsidR="00CD6630">
        <w:t>"</w:t>
      </w:r>
      <w:r w:rsidR="001F0F91" w:rsidRPr="00CD6630">
        <w:t xml:space="preserve"> person for VAT purposes, as it makes both supplies on which VAT chargeable (such as supply of glasses) and supplies exempt from VAT (such as </w:t>
      </w:r>
      <w:r w:rsidR="009D21A4">
        <w:t>optician</w:t>
      </w:r>
      <w:r w:rsidR="001F0F91" w:rsidRPr="00CD6630">
        <w:t xml:space="preserve"> services) – </w:t>
      </w:r>
      <w:r w:rsidR="00CD6603" w:rsidRPr="00CD6630">
        <w:t>Where</w:t>
      </w:r>
      <w:r w:rsidR="00A3754D" w:rsidRPr="00CD6630">
        <w:t>,</w:t>
      </w:r>
      <w:r w:rsidR="00CD6603" w:rsidRPr="00CD6630">
        <w:t xml:space="preserve"> </w:t>
      </w:r>
      <w:r w:rsidR="001F0F91" w:rsidRPr="00CD6630">
        <w:t>as</w:t>
      </w:r>
      <w:r w:rsidR="00CD6603" w:rsidRPr="00CD6630">
        <w:t xml:space="preserve"> appellant </w:t>
      </w:r>
      <w:r w:rsidR="001F0F91" w:rsidRPr="00CD6630">
        <w:t>partially exempt</w:t>
      </w:r>
      <w:r w:rsidR="00CD6603" w:rsidRPr="00CD6630">
        <w:t xml:space="preserve">, VAT liability and entitlement to recover input tax calculated by reference to partial exemption method in s 19(4) of </w:t>
      </w:r>
      <w:r w:rsidR="00CD6603" w:rsidRPr="00CD6630">
        <w:rPr>
          <w:i/>
          <w:iCs/>
        </w:rPr>
        <w:t>Value Added Tax Act 1994</w:t>
      </w:r>
      <w:r w:rsidR="00CD6603" w:rsidRPr="00CD6630">
        <w:t xml:space="preserve"> (UK)</w:t>
      </w:r>
      <w:r w:rsidR="00A3754D" w:rsidRPr="00CD6630">
        <w:t xml:space="preserve"> (</w:t>
      </w:r>
      <w:r w:rsidR="00CD6630">
        <w:t>"</w:t>
      </w:r>
      <w:r w:rsidR="00A3754D" w:rsidRPr="00CD6630">
        <w:t>VAT Act</w:t>
      </w:r>
      <w:r w:rsidR="00CD6630">
        <w:t>"</w:t>
      </w:r>
      <w:r w:rsidR="00A3754D" w:rsidRPr="00CD6630">
        <w:t>)</w:t>
      </w:r>
      <w:r w:rsidR="00CD6603" w:rsidRPr="00CD6630">
        <w:t xml:space="preserve"> –</w:t>
      </w:r>
      <w:r w:rsidR="00F1326E" w:rsidRPr="00CD6630">
        <w:t xml:space="preserve"> Where appellant and HMRC in dispute over questions of output and input tax, including: (1) disputed assessment for under-declared output VAT for prescribed accounting periods starting October 2002 and ending April 2005; and (2) disputed decisions between 2008 and 2013 by which HMRC reduced VAT credits which appellant claimed</w:t>
      </w:r>
      <w:r w:rsidR="00CE1FB8" w:rsidRPr="00CD6630">
        <w:t xml:space="preserve"> –</w:t>
      </w:r>
      <w:r w:rsidR="00F1326E" w:rsidRPr="00CD6630">
        <w:t xml:space="preserve"> </w:t>
      </w:r>
      <w:r w:rsidR="00CD6630" w:rsidRPr="00CD6630">
        <w:t>Where, when faced with an incomplete or incorrect VAT return, s 73 of VAT Act empowers HMRC to make assessment of VAT due not later than whichever later of: (a) two years after end of accounting period; or (b) one year after evidence of facts comes to HMRC’s knowledge which is, in HMRC’s opinion, sufficient to justify making assessment – Where appellant argued HMRC knew something wrong with apportionment method by January 2004 – Where, when VAT charged on goods and services purchased, it possible for taxable person to reclaim it as input VAT by set off against output VAT – Where s 25(3) of VAT Act provides if no output VAT</w:t>
      </w:r>
      <w:r w:rsidR="009D21A4">
        <w:t>,</w:t>
      </w:r>
      <w:r w:rsidR="00CD6630" w:rsidRPr="00CD6630">
        <w:t xml:space="preserve"> or amount of input VAT exceeds output VAT, then amount of excess must be paid to taxable person by HMRC as VAT credit </w:t>
      </w:r>
      <w:r w:rsidR="001F0F91" w:rsidRPr="00CD6630">
        <w:t>–</w:t>
      </w:r>
      <w:r w:rsidR="00A3754D" w:rsidRPr="00CD6630">
        <w:t xml:space="preserve"> </w:t>
      </w:r>
      <w:r w:rsidR="00171D60" w:rsidRPr="00CD6630">
        <w:t>Whether HMRC subject to statutory time bar under s 73(6) of VAT Act</w:t>
      </w:r>
      <w:r w:rsidR="00CD6630" w:rsidRPr="00CD6630">
        <w:t xml:space="preserve"> </w:t>
      </w:r>
      <w:r w:rsidR="00171D60" w:rsidRPr="00CD6630">
        <w:t xml:space="preserve">– Whether HMRC </w:t>
      </w:r>
      <w:r w:rsidR="00CD6630">
        <w:t xml:space="preserve">possesses </w:t>
      </w:r>
      <w:r w:rsidR="00171D60" w:rsidRPr="00CD6630">
        <w:t>power to refuse to accept taxable person’s self-assessment claim for payment of VAT credit while HMRC verifies claim and to decide at later date that HMRC are only prepared to pay lower amount than claimed in self-assessment.</w:t>
      </w:r>
      <w:r w:rsidR="00171D60">
        <w:t xml:space="preserve"> </w:t>
      </w:r>
      <w:r w:rsidR="002C0C85">
        <w:t xml:space="preserve"> </w:t>
      </w:r>
    </w:p>
    <w:p w14:paraId="2BA1F513" w14:textId="77777777" w:rsidR="002C0C85" w:rsidRPr="005E2809" w:rsidRDefault="002C0C85" w:rsidP="002C0C85">
      <w:pPr>
        <w:pStyle w:val="Catchwords"/>
      </w:pPr>
    </w:p>
    <w:p w14:paraId="6011B733" w14:textId="0672A70D" w:rsidR="002C0C85" w:rsidRDefault="002C0C85" w:rsidP="00F1326E">
      <w:pPr>
        <w:rPr>
          <w:lang w:eastAsia="en-AU"/>
        </w:rPr>
      </w:pPr>
      <w:r>
        <w:rPr>
          <w:b/>
          <w:bCs/>
          <w:lang w:eastAsia="en-AU"/>
        </w:rPr>
        <w:t>Held (5:0):</w:t>
      </w:r>
      <w:r w:rsidRPr="00FD6C82">
        <w:rPr>
          <w:lang w:eastAsia="en-AU"/>
        </w:rPr>
        <w:t xml:space="preserve"> </w:t>
      </w:r>
      <w:r>
        <w:rPr>
          <w:lang w:eastAsia="en-AU"/>
        </w:rPr>
        <w:t xml:space="preserve">Appeal </w:t>
      </w:r>
      <w:r w:rsidR="00F1326E">
        <w:rPr>
          <w:lang w:eastAsia="en-AU"/>
        </w:rPr>
        <w:t>dismissed</w:t>
      </w:r>
      <w:r>
        <w:rPr>
          <w:lang w:eastAsia="en-AU"/>
        </w:rPr>
        <w:t xml:space="preserve">. </w:t>
      </w:r>
    </w:p>
    <w:p w14:paraId="3F3CE32F" w14:textId="6DE25D33" w:rsidR="002D058F" w:rsidRDefault="002D058F" w:rsidP="002053C5">
      <w:pPr>
        <w:pStyle w:val="BullDivider2"/>
      </w:pPr>
    </w:p>
    <w:p w14:paraId="7415B250" w14:textId="77777777" w:rsidR="000F78EF" w:rsidRPr="00734DF1" w:rsidRDefault="000F78EF" w:rsidP="00734DF1">
      <w:pPr>
        <w:rPr>
          <w:lang w:eastAsia="en-AU"/>
        </w:rPr>
      </w:pPr>
    </w:p>
    <w:sectPr w:rsidR="000F78EF" w:rsidRPr="00734DF1" w:rsidSect="00F4611C">
      <w:foot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B33" w14:textId="77777777" w:rsidR="00ED59BD" w:rsidRDefault="00ED59BD" w:rsidP="00803531">
      <w:r>
        <w:separator/>
      </w:r>
    </w:p>
  </w:endnote>
  <w:endnote w:type="continuationSeparator" w:id="0">
    <w:p w14:paraId="0F6154EE" w14:textId="77777777" w:rsidR="00ED59BD" w:rsidRDefault="00ED59BD"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38ED3801" w:rsidR="00ED59BD" w:rsidRDefault="00ED59BD" w:rsidP="00FF7AAF">
    <w:pPr>
      <w:pStyle w:val="Footer"/>
    </w:pPr>
    <w:r>
      <w:t xml:space="preserve">ODB </w:t>
    </w:r>
    <w:r w:rsidRPr="007203D3">
      <w:t>(202</w:t>
    </w:r>
    <w:r>
      <w:t>2</w:t>
    </w:r>
    <w:r w:rsidRPr="007203D3">
      <w:t xml:space="preserve">) </w:t>
    </w:r>
    <w:r>
      <w:t>19:</w:t>
    </w:r>
    <w:r w:rsidR="005F0017">
      <w:t>4</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4E8C" w14:textId="77777777" w:rsidR="00ED59BD" w:rsidRDefault="00ED59BD" w:rsidP="00803531">
      <w:r>
        <w:separator/>
      </w:r>
    </w:p>
  </w:footnote>
  <w:footnote w:type="continuationSeparator" w:id="0">
    <w:p w14:paraId="6896ECCB" w14:textId="77777777" w:rsidR="00ED59BD" w:rsidRDefault="00ED59BD"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3A2A"/>
    <w:rsid w:val="00003A8C"/>
    <w:rsid w:val="00004CD4"/>
    <w:rsid w:val="000057E1"/>
    <w:rsid w:val="00005D24"/>
    <w:rsid w:val="0000611F"/>
    <w:rsid w:val="000061F8"/>
    <w:rsid w:val="00007833"/>
    <w:rsid w:val="0001028C"/>
    <w:rsid w:val="0001130F"/>
    <w:rsid w:val="000115E9"/>
    <w:rsid w:val="00012586"/>
    <w:rsid w:val="00014F57"/>
    <w:rsid w:val="00016876"/>
    <w:rsid w:val="00020080"/>
    <w:rsid w:val="000206E8"/>
    <w:rsid w:val="00020CA5"/>
    <w:rsid w:val="0002136F"/>
    <w:rsid w:val="00021644"/>
    <w:rsid w:val="00022533"/>
    <w:rsid w:val="000254ED"/>
    <w:rsid w:val="00025A72"/>
    <w:rsid w:val="00026138"/>
    <w:rsid w:val="0002797C"/>
    <w:rsid w:val="000300A3"/>
    <w:rsid w:val="00034778"/>
    <w:rsid w:val="00034D54"/>
    <w:rsid w:val="00035ADE"/>
    <w:rsid w:val="00036B97"/>
    <w:rsid w:val="00037AF4"/>
    <w:rsid w:val="00040440"/>
    <w:rsid w:val="00040616"/>
    <w:rsid w:val="00041979"/>
    <w:rsid w:val="00043A3C"/>
    <w:rsid w:val="00044344"/>
    <w:rsid w:val="0004581A"/>
    <w:rsid w:val="00050208"/>
    <w:rsid w:val="00052C6C"/>
    <w:rsid w:val="00054234"/>
    <w:rsid w:val="000545EC"/>
    <w:rsid w:val="00055030"/>
    <w:rsid w:val="00056565"/>
    <w:rsid w:val="00056AFF"/>
    <w:rsid w:val="00057B6F"/>
    <w:rsid w:val="00057E62"/>
    <w:rsid w:val="000608CF"/>
    <w:rsid w:val="0006158D"/>
    <w:rsid w:val="00061DE2"/>
    <w:rsid w:val="000637AA"/>
    <w:rsid w:val="00063EAE"/>
    <w:rsid w:val="00064CAB"/>
    <w:rsid w:val="00066E88"/>
    <w:rsid w:val="00071C1F"/>
    <w:rsid w:val="00071E8B"/>
    <w:rsid w:val="0007274E"/>
    <w:rsid w:val="000750A3"/>
    <w:rsid w:val="00075100"/>
    <w:rsid w:val="0007563A"/>
    <w:rsid w:val="00076788"/>
    <w:rsid w:val="0008049E"/>
    <w:rsid w:val="0008349F"/>
    <w:rsid w:val="000839C7"/>
    <w:rsid w:val="00083B55"/>
    <w:rsid w:val="0008559E"/>
    <w:rsid w:val="00085806"/>
    <w:rsid w:val="00090988"/>
    <w:rsid w:val="00092165"/>
    <w:rsid w:val="0009236C"/>
    <w:rsid w:val="00092468"/>
    <w:rsid w:val="00092C1A"/>
    <w:rsid w:val="00092FB3"/>
    <w:rsid w:val="00097B1A"/>
    <w:rsid w:val="00097C28"/>
    <w:rsid w:val="000A0C44"/>
    <w:rsid w:val="000A0D8C"/>
    <w:rsid w:val="000A1252"/>
    <w:rsid w:val="000A148B"/>
    <w:rsid w:val="000A1BDC"/>
    <w:rsid w:val="000A28E4"/>
    <w:rsid w:val="000A310E"/>
    <w:rsid w:val="000A32A4"/>
    <w:rsid w:val="000A3B5A"/>
    <w:rsid w:val="000A3D26"/>
    <w:rsid w:val="000A52DA"/>
    <w:rsid w:val="000A546C"/>
    <w:rsid w:val="000B0D09"/>
    <w:rsid w:val="000B1498"/>
    <w:rsid w:val="000B2704"/>
    <w:rsid w:val="000B2CC5"/>
    <w:rsid w:val="000B404F"/>
    <w:rsid w:val="000B4066"/>
    <w:rsid w:val="000B64D7"/>
    <w:rsid w:val="000C0320"/>
    <w:rsid w:val="000C0D72"/>
    <w:rsid w:val="000C0DD6"/>
    <w:rsid w:val="000C13EC"/>
    <w:rsid w:val="000C26C1"/>
    <w:rsid w:val="000C2DD0"/>
    <w:rsid w:val="000C5141"/>
    <w:rsid w:val="000C70A6"/>
    <w:rsid w:val="000C73D2"/>
    <w:rsid w:val="000D1D3A"/>
    <w:rsid w:val="000D28D6"/>
    <w:rsid w:val="000D2EE4"/>
    <w:rsid w:val="000D3E8D"/>
    <w:rsid w:val="000D5142"/>
    <w:rsid w:val="000E00FA"/>
    <w:rsid w:val="000E0B90"/>
    <w:rsid w:val="000E1CE7"/>
    <w:rsid w:val="000E2492"/>
    <w:rsid w:val="000E2BAA"/>
    <w:rsid w:val="000E3315"/>
    <w:rsid w:val="000E3477"/>
    <w:rsid w:val="000E3809"/>
    <w:rsid w:val="000E58D2"/>
    <w:rsid w:val="000E5BD7"/>
    <w:rsid w:val="000E5F48"/>
    <w:rsid w:val="000E62A0"/>
    <w:rsid w:val="000E7259"/>
    <w:rsid w:val="000E7F45"/>
    <w:rsid w:val="000F00EC"/>
    <w:rsid w:val="000F0DBE"/>
    <w:rsid w:val="000F0E0C"/>
    <w:rsid w:val="000F0F86"/>
    <w:rsid w:val="000F35BD"/>
    <w:rsid w:val="000F389D"/>
    <w:rsid w:val="000F4DC5"/>
    <w:rsid w:val="000F577F"/>
    <w:rsid w:val="000F78EF"/>
    <w:rsid w:val="000F7D3C"/>
    <w:rsid w:val="00100016"/>
    <w:rsid w:val="00100603"/>
    <w:rsid w:val="00100B3E"/>
    <w:rsid w:val="001018FD"/>
    <w:rsid w:val="001026B7"/>
    <w:rsid w:val="00102CDD"/>
    <w:rsid w:val="001036AC"/>
    <w:rsid w:val="00103F4B"/>
    <w:rsid w:val="0010659C"/>
    <w:rsid w:val="00106FCA"/>
    <w:rsid w:val="001075FC"/>
    <w:rsid w:val="001105C9"/>
    <w:rsid w:val="00112D8A"/>
    <w:rsid w:val="001139AF"/>
    <w:rsid w:val="00113C18"/>
    <w:rsid w:val="00114DF5"/>
    <w:rsid w:val="00115250"/>
    <w:rsid w:val="001158DF"/>
    <w:rsid w:val="00117699"/>
    <w:rsid w:val="00121E50"/>
    <w:rsid w:val="001224D8"/>
    <w:rsid w:val="00122779"/>
    <w:rsid w:val="00125B7B"/>
    <w:rsid w:val="001262CA"/>
    <w:rsid w:val="0012760C"/>
    <w:rsid w:val="00127628"/>
    <w:rsid w:val="0013001F"/>
    <w:rsid w:val="00130C04"/>
    <w:rsid w:val="001328C3"/>
    <w:rsid w:val="00133E53"/>
    <w:rsid w:val="00134623"/>
    <w:rsid w:val="001348BB"/>
    <w:rsid w:val="00135A7F"/>
    <w:rsid w:val="001364EF"/>
    <w:rsid w:val="00136EE9"/>
    <w:rsid w:val="00137559"/>
    <w:rsid w:val="0013755F"/>
    <w:rsid w:val="00137667"/>
    <w:rsid w:val="00140FCC"/>
    <w:rsid w:val="001411E3"/>
    <w:rsid w:val="00142680"/>
    <w:rsid w:val="00142ED6"/>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677D4"/>
    <w:rsid w:val="00170099"/>
    <w:rsid w:val="001719C4"/>
    <w:rsid w:val="00171D60"/>
    <w:rsid w:val="00171D67"/>
    <w:rsid w:val="00172D88"/>
    <w:rsid w:val="001730B2"/>
    <w:rsid w:val="00173AD7"/>
    <w:rsid w:val="001761EF"/>
    <w:rsid w:val="001762D9"/>
    <w:rsid w:val="001765A2"/>
    <w:rsid w:val="00176E3A"/>
    <w:rsid w:val="00176FC8"/>
    <w:rsid w:val="00180393"/>
    <w:rsid w:val="0018118A"/>
    <w:rsid w:val="001812FD"/>
    <w:rsid w:val="00181993"/>
    <w:rsid w:val="00181C26"/>
    <w:rsid w:val="00181C2D"/>
    <w:rsid w:val="00182267"/>
    <w:rsid w:val="00182D1F"/>
    <w:rsid w:val="00182F80"/>
    <w:rsid w:val="00183809"/>
    <w:rsid w:val="001845F8"/>
    <w:rsid w:val="001848F2"/>
    <w:rsid w:val="00184BF6"/>
    <w:rsid w:val="0018579C"/>
    <w:rsid w:val="0018589E"/>
    <w:rsid w:val="00185B04"/>
    <w:rsid w:val="001861E1"/>
    <w:rsid w:val="00187356"/>
    <w:rsid w:val="0018777A"/>
    <w:rsid w:val="0019053F"/>
    <w:rsid w:val="0019057F"/>
    <w:rsid w:val="00190714"/>
    <w:rsid w:val="00193C5B"/>
    <w:rsid w:val="00193D7D"/>
    <w:rsid w:val="00194719"/>
    <w:rsid w:val="00196A59"/>
    <w:rsid w:val="00197443"/>
    <w:rsid w:val="001A061F"/>
    <w:rsid w:val="001A1741"/>
    <w:rsid w:val="001A19C8"/>
    <w:rsid w:val="001A1BEC"/>
    <w:rsid w:val="001A3C19"/>
    <w:rsid w:val="001A3D22"/>
    <w:rsid w:val="001A5535"/>
    <w:rsid w:val="001A5C63"/>
    <w:rsid w:val="001A6440"/>
    <w:rsid w:val="001A674A"/>
    <w:rsid w:val="001B0F99"/>
    <w:rsid w:val="001B2725"/>
    <w:rsid w:val="001B34E9"/>
    <w:rsid w:val="001B3CF2"/>
    <w:rsid w:val="001B44B0"/>
    <w:rsid w:val="001B62EE"/>
    <w:rsid w:val="001B6F90"/>
    <w:rsid w:val="001C02C1"/>
    <w:rsid w:val="001C2589"/>
    <w:rsid w:val="001C4ACB"/>
    <w:rsid w:val="001C687E"/>
    <w:rsid w:val="001C691E"/>
    <w:rsid w:val="001D1234"/>
    <w:rsid w:val="001D142A"/>
    <w:rsid w:val="001D1F45"/>
    <w:rsid w:val="001D36B4"/>
    <w:rsid w:val="001D376F"/>
    <w:rsid w:val="001D42D3"/>
    <w:rsid w:val="001D4B11"/>
    <w:rsid w:val="001D5531"/>
    <w:rsid w:val="001E2573"/>
    <w:rsid w:val="001E3306"/>
    <w:rsid w:val="001E333A"/>
    <w:rsid w:val="001E3CAD"/>
    <w:rsid w:val="001E3D65"/>
    <w:rsid w:val="001E4188"/>
    <w:rsid w:val="001E439D"/>
    <w:rsid w:val="001E5A46"/>
    <w:rsid w:val="001E6171"/>
    <w:rsid w:val="001E764B"/>
    <w:rsid w:val="001F09C4"/>
    <w:rsid w:val="001F0F91"/>
    <w:rsid w:val="001F2076"/>
    <w:rsid w:val="001F33E7"/>
    <w:rsid w:val="001F3418"/>
    <w:rsid w:val="001F6B02"/>
    <w:rsid w:val="002003EB"/>
    <w:rsid w:val="00200C5F"/>
    <w:rsid w:val="00200EDF"/>
    <w:rsid w:val="00201B76"/>
    <w:rsid w:val="00201D15"/>
    <w:rsid w:val="00201D90"/>
    <w:rsid w:val="002053C5"/>
    <w:rsid w:val="00205443"/>
    <w:rsid w:val="00205B04"/>
    <w:rsid w:val="002062F9"/>
    <w:rsid w:val="00207229"/>
    <w:rsid w:val="00207F21"/>
    <w:rsid w:val="0021061E"/>
    <w:rsid w:val="002110A3"/>
    <w:rsid w:val="002118D1"/>
    <w:rsid w:val="00211DFA"/>
    <w:rsid w:val="00212027"/>
    <w:rsid w:val="00212845"/>
    <w:rsid w:val="00212982"/>
    <w:rsid w:val="0021397A"/>
    <w:rsid w:val="00213C1A"/>
    <w:rsid w:val="00213D2B"/>
    <w:rsid w:val="00214EFF"/>
    <w:rsid w:val="0021552D"/>
    <w:rsid w:val="002209A5"/>
    <w:rsid w:val="0022191E"/>
    <w:rsid w:val="00221F4D"/>
    <w:rsid w:val="002225AA"/>
    <w:rsid w:val="002233EB"/>
    <w:rsid w:val="0022481A"/>
    <w:rsid w:val="002267EA"/>
    <w:rsid w:val="00227473"/>
    <w:rsid w:val="00227577"/>
    <w:rsid w:val="00230A69"/>
    <w:rsid w:val="00231394"/>
    <w:rsid w:val="00232574"/>
    <w:rsid w:val="002347CA"/>
    <w:rsid w:val="002367D5"/>
    <w:rsid w:val="00236AC3"/>
    <w:rsid w:val="00240E8A"/>
    <w:rsid w:val="002410CC"/>
    <w:rsid w:val="00241E11"/>
    <w:rsid w:val="002433A8"/>
    <w:rsid w:val="00243A33"/>
    <w:rsid w:val="002459E4"/>
    <w:rsid w:val="00245A3F"/>
    <w:rsid w:val="00246EF5"/>
    <w:rsid w:val="00247287"/>
    <w:rsid w:val="002477DC"/>
    <w:rsid w:val="00250F94"/>
    <w:rsid w:val="00251B4F"/>
    <w:rsid w:val="00251D0F"/>
    <w:rsid w:val="0025252A"/>
    <w:rsid w:val="002526F0"/>
    <w:rsid w:val="00252F31"/>
    <w:rsid w:val="00254090"/>
    <w:rsid w:val="002540B8"/>
    <w:rsid w:val="00261F48"/>
    <w:rsid w:val="002631DF"/>
    <w:rsid w:val="00263A68"/>
    <w:rsid w:val="00265F84"/>
    <w:rsid w:val="00267795"/>
    <w:rsid w:val="002704EC"/>
    <w:rsid w:val="00270925"/>
    <w:rsid w:val="00270FCA"/>
    <w:rsid w:val="002717B0"/>
    <w:rsid w:val="0027369F"/>
    <w:rsid w:val="00274645"/>
    <w:rsid w:val="00274D19"/>
    <w:rsid w:val="00276923"/>
    <w:rsid w:val="00280499"/>
    <w:rsid w:val="00281809"/>
    <w:rsid w:val="002839D9"/>
    <w:rsid w:val="0028505C"/>
    <w:rsid w:val="00285C50"/>
    <w:rsid w:val="00286BC6"/>
    <w:rsid w:val="00287D30"/>
    <w:rsid w:val="002904E1"/>
    <w:rsid w:val="002936F6"/>
    <w:rsid w:val="00293A28"/>
    <w:rsid w:val="00296137"/>
    <w:rsid w:val="00297845"/>
    <w:rsid w:val="00297E73"/>
    <w:rsid w:val="002A3C55"/>
    <w:rsid w:val="002A527B"/>
    <w:rsid w:val="002A69DC"/>
    <w:rsid w:val="002A6DD4"/>
    <w:rsid w:val="002B1336"/>
    <w:rsid w:val="002B1A95"/>
    <w:rsid w:val="002B22D6"/>
    <w:rsid w:val="002B3D43"/>
    <w:rsid w:val="002B4119"/>
    <w:rsid w:val="002B47B1"/>
    <w:rsid w:val="002B58BD"/>
    <w:rsid w:val="002B5D86"/>
    <w:rsid w:val="002B75D6"/>
    <w:rsid w:val="002B7B5E"/>
    <w:rsid w:val="002C0A90"/>
    <w:rsid w:val="002C0C85"/>
    <w:rsid w:val="002C2C37"/>
    <w:rsid w:val="002C3D8F"/>
    <w:rsid w:val="002C3E68"/>
    <w:rsid w:val="002C5401"/>
    <w:rsid w:val="002C5856"/>
    <w:rsid w:val="002D058F"/>
    <w:rsid w:val="002D134E"/>
    <w:rsid w:val="002D1801"/>
    <w:rsid w:val="002E02E0"/>
    <w:rsid w:val="002E0A88"/>
    <w:rsid w:val="002E10EF"/>
    <w:rsid w:val="002E2518"/>
    <w:rsid w:val="002E3D12"/>
    <w:rsid w:val="002E3F62"/>
    <w:rsid w:val="002E5D09"/>
    <w:rsid w:val="002E6437"/>
    <w:rsid w:val="002E7C04"/>
    <w:rsid w:val="002E7FE6"/>
    <w:rsid w:val="002F18CF"/>
    <w:rsid w:val="002F220E"/>
    <w:rsid w:val="002F24FB"/>
    <w:rsid w:val="002F2A65"/>
    <w:rsid w:val="002F3DE5"/>
    <w:rsid w:val="002F40F5"/>
    <w:rsid w:val="002F41DC"/>
    <w:rsid w:val="002F4A74"/>
    <w:rsid w:val="002F4B3A"/>
    <w:rsid w:val="002F4F7E"/>
    <w:rsid w:val="002F5F93"/>
    <w:rsid w:val="002F73D6"/>
    <w:rsid w:val="002F7A17"/>
    <w:rsid w:val="002F7D66"/>
    <w:rsid w:val="00300A88"/>
    <w:rsid w:val="00300CF0"/>
    <w:rsid w:val="00301AC5"/>
    <w:rsid w:val="00301B43"/>
    <w:rsid w:val="00301B7E"/>
    <w:rsid w:val="00303817"/>
    <w:rsid w:val="003040D7"/>
    <w:rsid w:val="00304307"/>
    <w:rsid w:val="00304775"/>
    <w:rsid w:val="00306C83"/>
    <w:rsid w:val="00307804"/>
    <w:rsid w:val="0031010D"/>
    <w:rsid w:val="0031033E"/>
    <w:rsid w:val="00310522"/>
    <w:rsid w:val="003108B3"/>
    <w:rsid w:val="00310A4E"/>
    <w:rsid w:val="00310EE6"/>
    <w:rsid w:val="00312151"/>
    <w:rsid w:val="003143F6"/>
    <w:rsid w:val="00316630"/>
    <w:rsid w:val="0031754B"/>
    <w:rsid w:val="003178CF"/>
    <w:rsid w:val="0032013E"/>
    <w:rsid w:val="003204FC"/>
    <w:rsid w:val="003208D9"/>
    <w:rsid w:val="0032098B"/>
    <w:rsid w:val="0032244A"/>
    <w:rsid w:val="00322644"/>
    <w:rsid w:val="00326031"/>
    <w:rsid w:val="003261E1"/>
    <w:rsid w:val="0033020E"/>
    <w:rsid w:val="00331190"/>
    <w:rsid w:val="00332F75"/>
    <w:rsid w:val="00342708"/>
    <w:rsid w:val="003434A4"/>
    <w:rsid w:val="0034676E"/>
    <w:rsid w:val="003470D1"/>
    <w:rsid w:val="003476ED"/>
    <w:rsid w:val="0035094B"/>
    <w:rsid w:val="00351E4C"/>
    <w:rsid w:val="00353F9E"/>
    <w:rsid w:val="003553B8"/>
    <w:rsid w:val="003557BE"/>
    <w:rsid w:val="003567C8"/>
    <w:rsid w:val="003579AA"/>
    <w:rsid w:val="003604E8"/>
    <w:rsid w:val="00360F0A"/>
    <w:rsid w:val="00362029"/>
    <w:rsid w:val="0036233C"/>
    <w:rsid w:val="00363764"/>
    <w:rsid w:val="00363D63"/>
    <w:rsid w:val="0036633D"/>
    <w:rsid w:val="00367779"/>
    <w:rsid w:val="00367DAC"/>
    <w:rsid w:val="003704E0"/>
    <w:rsid w:val="0037207F"/>
    <w:rsid w:val="0037306C"/>
    <w:rsid w:val="003736C0"/>
    <w:rsid w:val="0037370F"/>
    <w:rsid w:val="00373D30"/>
    <w:rsid w:val="00375515"/>
    <w:rsid w:val="00375CAD"/>
    <w:rsid w:val="0037654C"/>
    <w:rsid w:val="00376C9D"/>
    <w:rsid w:val="00380978"/>
    <w:rsid w:val="00381899"/>
    <w:rsid w:val="00383781"/>
    <w:rsid w:val="0038382C"/>
    <w:rsid w:val="003840DF"/>
    <w:rsid w:val="00385DA8"/>
    <w:rsid w:val="003868AD"/>
    <w:rsid w:val="00387361"/>
    <w:rsid w:val="00387C34"/>
    <w:rsid w:val="00387DCC"/>
    <w:rsid w:val="003908CA"/>
    <w:rsid w:val="00390D15"/>
    <w:rsid w:val="0039160C"/>
    <w:rsid w:val="00394C86"/>
    <w:rsid w:val="003A011E"/>
    <w:rsid w:val="003A1231"/>
    <w:rsid w:val="003A156B"/>
    <w:rsid w:val="003A1962"/>
    <w:rsid w:val="003A3A72"/>
    <w:rsid w:val="003A3C15"/>
    <w:rsid w:val="003A649B"/>
    <w:rsid w:val="003A7630"/>
    <w:rsid w:val="003A7D12"/>
    <w:rsid w:val="003B13F6"/>
    <w:rsid w:val="003B18B3"/>
    <w:rsid w:val="003B18B6"/>
    <w:rsid w:val="003B353F"/>
    <w:rsid w:val="003B405E"/>
    <w:rsid w:val="003B5377"/>
    <w:rsid w:val="003B6E8F"/>
    <w:rsid w:val="003B7630"/>
    <w:rsid w:val="003C0017"/>
    <w:rsid w:val="003C05FA"/>
    <w:rsid w:val="003C18F0"/>
    <w:rsid w:val="003C25CB"/>
    <w:rsid w:val="003C28A6"/>
    <w:rsid w:val="003C2D1C"/>
    <w:rsid w:val="003C4007"/>
    <w:rsid w:val="003C52C1"/>
    <w:rsid w:val="003C606F"/>
    <w:rsid w:val="003C6712"/>
    <w:rsid w:val="003C7439"/>
    <w:rsid w:val="003D1498"/>
    <w:rsid w:val="003D387B"/>
    <w:rsid w:val="003D3ADE"/>
    <w:rsid w:val="003D571A"/>
    <w:rsid w:val="003D72BF"/>
    <w:rsid w:val="003D7578"/>
    <w:rsid w:val="003E0190"/>
    <w:rsid w:val="003E027B"/>
    <w:rsid w:val="003E17B7"/>
    <w:rsid w:val="003E27C2"/>
    <w:rsid w:val="003E31C1"/>
    <w:rsid w:val="003E59CA"/>
    <w:rsid w:val="003F165A"/>
    <w:rsid w:val="003F1AD9"/>
    <w:rsid w:val="003F25A4"/>
    <w:rsid w:val="003F26EE"/>
    <w:rsid w:val="003F270F"/>
    <w:rsid w:val="003F3508"/>
    <w:rsid w:val="003F4132"/>
    <w:rsid w:val="003F418A"/>
    <w:rsid w:val="003F442E"/>
    <w:rsid w:val="003F5341"/>
    <w:rsid w:val="003F6485"/>
    <w:rsid w:val="004007CD"/>
    <w:rsid w:val="00401A7C"/>
    <w:rsid w:val="00403C92"/>
    <w:rsid w:val="004056FE"/>
    <w:rsid w:val="0040595D"/>
    <w:rsid w:val="00405DFD"/>
    <w:rsid w:val="004061FF"/>
    <w:rsid w:val="0040652A"/>
    <w:rsid w:val="00406C77"/>
    <w:rsid w:val="004106E1"/>
    <w:rsid w:val="00410836"/>
    <w:rsid w:val="0041187A"/>
    <w:rsid w:val="00412E8D"/>
    <w:rsid w:val="004138B3"/>
    <w:rsid w:val="00414072"/>
    <w:rsid w:val="004145EF"/>
    <w:rsid w:val="00414F67"/>
    <w:rsid w:val="00415D91"/>
    <w:rsid w:val="004211CE"/>
    <w:rsid w:val="004230FE"/>
    <w:rsid w:val="00423F69"/>
    <w:rsid w:val="00424660"/>
    <w:rsid w:val="00427221"/>
    <w:rsid w:val="004273FD"/>
    <w:rsid w:val="00430424"/>
    <w:rsid w:val="0043193D"/>
    <w:rsid w:val="0043209B"/>
    <w:rsid w:val="0043549F"/>
    <w:rsid w:val="00436081"/>
    <w:rsid w:val="004402BC"/>
    <w:rsid w:val="004402FC"/>
    <w:rsid w:val="00441FFE"/>
    <w:rsid w:val="00443EA4"/>
    <w:rsid w:val="00444A54"/>
    <w:rsid w:val="0044525E"/>
    <w:rsid w:val="00445279"/>
    <w:rsid w:val="0045094E"/>
    <w:rsid w:val="00451339"/>
    <w:rsid w:val="00451E71"/>
    <w:rsid w:val="00455298"/>
    <w:rsid w:val="00455553"/>
    <w:rsid w:val="00455B96"/>
    <w:rsid w:val="004570E7"/>
    <w:rsid w:val="0046101B"/>
    <w:rsid w:val="00462AEB"/>
    <w:rsid w:val="00463AA4"/>
    <w:rsid w:val="0046475B"/>
    <w:rsid w:val="00465D90"/>
    <w:rsid w:val="00466473"/>
    <w:rsid w:val="00466689"/>
    <w:rsid w:val="004668F6"/>
    <w:rsid w:val="004676C3"/>
    <w:rsid w:val="00470579"/>
    <w:rsid w:val="004707D0"/>
    <w:rsid w:val="004711A0"/>
    <w:rsid w:val="00471F89"/>
    <w:rsid w:val="00475D39"/>
    <w:rsid w:val="00476476"/>
    <w:rsid w:val="00477A68"/>
    <w:rsid w:val="00480F84"/>
    <w:rsid w:val="00481FA6"/>
    <w:rsid w:val="00482C3A"/>
    <w:rsid w:val="00483240"/>
    <w:rsid w:val="00484053"/>
    <w:rsid w:val="004862CA"/>
    <w:rsid w:val="0048654B"/>
    <w:rsid w:val="00486A6F"/>
    <w:rsid w:val="00486B32"/>
    <w:rsid w:val="00490CB8"/>
    <w:rsid w:val="00490E9B"/>
    <w:rsid w:val="0049133B"/>
    <w:rsid w:val="00492FF7"/>
    <w:rsid w:val="00493062"/>
    <w:rsid w:val="00493CF7"/>
    <w:rsid w:val="00497BA0"/>
    <w:rsid w:val="00497C2A"/>
    <w:rsid w:val="004A179F"/>
    <w:rsid w:val="004B33B5"/>
    <w:rsid w:val="004B4405"/>
    <w:rsid w:val="004B509B"/>
    <w:rsid w:val="004B539B"/>
    <w:rsid w:val="004B5688"/>
    <w:rsid w:val="004B5AE4"/>
    <w:rsid w:val="004B6EF9"/>
    <w:rsid w:val="004B7772"/>
    <w:rsid w:val="004B7BF1"/>
    <w:rsid w:val="004C01B0"/>
    <w:rsid w:val="004C3A90"/>
    <w:rsid w:val="004C455C"/>
    <w:rsid w:val="004C5D19"/>
    <w:rsid w:val="004C5FDA"/>
    <w:rsid w:val="004C75EA"/>
    <w:rsid w:val="004C7913"/>
    <w:rsid w:val="004D1BDA"/>
    <w:rsid w:val="004D416B"/>
    <w:rsid w:val="004D4446"/>
    <w:rsid w:val="004D4D99"/>
    <w:rsid w:val="004D5C54"/>
    <w:rsid w:val="004D626C"/>
    <w:rsid w:val="004E003E"/>
    <w:rsid w:val="004E43DD"/>
    <w:rsid w:val="004E51ED"/>
    <w:rsid w:val="004E5A9D"/>
    <w:rsid w:val="004E67ED"/>
    <w:rsid w:val="004F2FA3"/>
    <w:rsid w:val="004F57B0"/>
    <w:rsid w:val="004F5D25"/>
    <w:rsid w:val="004F673F"/>
    <w:rsid w:val="004F6F98"/>
    <w:rsid w:val="004F76BF"/>
    <w:rsid w:val="004F79DE"/>
    <w:rsid w:val="004F7B7B"/>
    <w:rsid w:val="00502BC3"/>
    <w:rsid w:val="00502C3F"/>
    <w:rsid w:val="00503C07"/>
    <w:rsid w:val="00503C5F"/>
    <w:rsid w:val="00504DB3"/>
    <w:rsid w:val="00506D7D"/>
    <w:rsid w:val="00506E8A"/>
    <w:rsid w:val="00510C1C"/>
    <w:rsid w:val="00511970"/>
    <w:rsid w:val="00512244"/>
    <w:rsid w:val="0051272D"/>
    <w:rsid w:val="00513DBC"/>
    <w:rsid w:val="00514E2E"/>
    <w:rsid w:val="00515A03"/>
    <w:rsid w:val="00515F52"/>
    <w:rsid w:val="00516157"/>
    <w:rsid w:val="00516BB6"/>
    <w:rsid w:val="005176FF"/>
    <w:rsid w:val="00520063"/>
    <w:rsid w:val="00520549"/>
    <w:rsid w:val="005208B3"/>
    <w:rsid w:val="00521A62"/>
    <w:rsid w:val="00521CE7"/>
    <w:rsid w:val="0052287E"/>
    <w:rsid w:val="0052289E"/>
    <w:rsid w:val="00524296"/>
    <w:rsid w:val="00525007"/>
    <w:rsid w:val="0052533A"/>
    <w:rsid w:val="00525AD9"/>
    <w:rsid w:val="00530E7D"/>
    <w:rsid w:val="00531FE9"/>
    <w:rsid w:val="00532C8E"/>
    <w:rsid w:val="00532E47"/>
    <w:rsid w:val="0053305E"/>
    <w:rsid w:val="00533C10"/>
    <w:rsid w:val="005344BB"/>
    <w:rsid w:val="005400F4"/>
    <w:rsid w:val="00541281"/>
    <w:rsid w:val="00541647"/>
    <w:rsid w:val="00542209"/>
    <w:rsid w:val="005428DC"/>
    <w:rsid w:val="0054560C"/>
    <w:rsid w:val="00545ED8"/>
    <w:rsid w:val="005465A4"/>
    <w:rsid w:val="005502AC"/>
    <w:rsid w:val="00550A67"/>
    <w:rsid w:val="00550F0B"/>
    <w:rsid w:val="00556045"/>
    <w:rsid w:val="005561AE"/>
    <w:rsid w:val="00560229"/>
    <w:rsid w:val="005602BC"/>
    <w:rsid w:val="00562037"/>
    <w:rsid w:val="005627D5"/>
    <w:rsid w:val="00562D37"/>
    <w:rsid w:val="00563120"/>
    <w:rsid w:val="00563703"/>
    <w:rsid w:val="0056379D"/>
    <w:rsid w:val="00564976"/>
    <w:rsid w:val="00565483"/>
    <w:rsid w:val="00566941"/>
    <w:rsid w:val="00570661"/>
    <w:rsid w:val="0057096E"/>
    <w:rsid w:val="00570F4C"/>
    <w:rsid w:val="00572002"/>
    <w:rsid w:val="00573E57"/>
    <w:rsid w:val="00575041"/>
    <w:rsid w:val="005779CA"/>
    <w:rsid w:val="005817A0"/>
    <w:rsid w:val="00581EE1"/>
    <w:rsid w:val="00582CAB"/>
    <w:rsid w:val="00583D8E"/>
    <w:rsid w:val="00584079"/>
    <w:rsid w:val="00585E05"/>
    <w:rsid w:val="00586493"/>
    <w:rsid w:val="005912F2"/>
    <w:rsid w:val="00592667"/>
    <w:rsid w:val="0059269E"/>
    <w:rsid w:val="00592E31"/>
    <w:rsid w:val="00593341"/>
    <w:rsid w:val="005936A5"/>
    <w:rsid w:val="00593789"/>
    <w:rsid w:val="005942A7"/>
    <w:rsid w:val="005946CD"/>
    <w:rsid w:val="0059495F"/>
    <w:rsid w:val="00596966"/>
    <w:rsid w:val="00597CED"/>
    <w:rsid w:val="00597F08"/>
    <w:rsid w:val="005A00F7"/>
    <w:rsid w:val="005A05A8"/>
    <w:rsid w:val="005A0C20"/>
    <w:rsid w:val="005A1145"/>
    <w:rsid w:val="005A1474"/>
    <w:rsid w:val="005A2193"/>
    <w:rsid w:val="005A38CD"/>
    <w:rsid w:val="005A5D20"/>
    <w:rsid w:val="005B04E4"/>
    <w:rsid w:val="005B2468"/>
    <w:rsid w:val="005C1893"/>
    <w:rsid w:val="005C2C3B"/>
    <w:rsid w:val="005C34ED"/>
    <w:rsid w:val="005C4729"/>
    <w:rsid w:val="005C6023"/>
    <w:rsid w:val="005C6854"/>
    <w:rsid w:val="005C6873"/>
    <w:rsid w:val="005C6B57"/>
    <w:rsid w:val="005D0F12"/>
    <w:rsid w:val="005D10AC"/>
    <w:rsid w:val="005D156B"/>
    <w:rsid w:val="005D1CEE"/>
    <w:rsid w:val="005D2036"/>
    <w:rsid w:val="005D2400"/>
    <w:rsid w:val="005D246B"/>
    <w:rsid w:val="005D4626"/>
    <w:rsid w:val="005D6F06"/>
    <w:rsid w:val="005D7D8A"/>
    <w:rsid w:val="005E08A5"/>
    <w:rsid w:val="005E1ABA"/>
    <w:rsid w:val="005E1BB1"/>
    <w:rsid w:val="005E2809"/>
    <w:rsid w:val="005E2B34"/>
    <w:rsid w:val="005E4FD9"/>
    <w:rsid w:val="005E5DAF"/>
    <w:rsid w:val="005E61F7"/>
    <w:rsid w:val="005E642A"/>
    <w:rsid w:val="005E6984"/>
    <w:rsid w:val="005F0017"/>
    <w:rsid w:val="005F015C"/>
    <w:rsid w:val="005F0B55"/>
    <w:rsid w:val="005F122D"/>
    <w:rsid w:val="005F12F6"/>
    <w:rsid w:val="005F4AE2"/>
    <w:rsid w:val="005F5920"/>
    <w:rsid w:val="005F6CE0"/>
    <w:rsid w:val="005F741E"/>
    <w:rsid w:val="00602CC9"/>
    <w:rsid w:val="00605527"/>
    <w:rsid w:val="0061036C"/>
    <w:rsid w:val="00611030"/>
    <w:rsid w:val="00611AB9"/>
    <w:rsid w:val="00613431"/>
    <w:rsid w:val="00613AC2"/>
    <w:rsid w:val="00614486"/>
    <w:rsid w:val="006151E0"/>
    <w:rsid w:val="006153D8"/>
    <w:rsid w:val="00615569"/>
    <w:rsid w:val="00616B64"/>
    <w:rsid w:val="0062001F"/>
    <w:rsid w:val="0062060A"/>
    <w:rsid w:val="00620F1A"/>
    <w:rsid w:val="00622208"/>
    <w:rsid w:val="00622DC8"/>
    <w:rsid w:val="00623606"/>
    <w:rsid w:val="00623BCE"/>
    <w:rsid w:val="00623E1A"/>
    <w:rsid w:val="00624136"/>
    <w:rsid w:val="0062493B"/>
    <w:rsid w:val="006261C0"/>
    <w:rsid w:val="006278AB"/>
    <w:rsid w:val="00630D68"/>
    <w:rsid w:val="006316BF"/>
    <w:rsid w:val="006325A7"/>
    <w:rsid w:val="006338A2"/>
    <w:rsid w:val="006372D1"/>
    <w:rsid w:val="00637F18"/>
    <w:rsid w:val="0064033F"/>
    <w:rsid w:val="0064081A"/>
    <w:rsid w:val="00645B16"/>
    <w:rsid w:val="00646728"/>
    <w:rsid w:val="0064693F"/>
    <w:rsid w:val="00647B8A"/>
    <w:rsid w:val="006502A0"/>
    <w:rsid w:val="00650C85"/>
    <w:rsid w:val="00652264"/>
    <w:rsid w:val="00652B7B"/>
    <w:rsid w:val="00652D36"/>
    <w:rsid w:val="0065349D"/>
    <w:rsid w:val="006550D3"/>
    <w:rsid w:val="00663A7B"/>
    <w:rsid w:val="0066751B"/>
    <w:rsid w:val="00671C14"/>
    <w:rsid w:val="00671EB9"/>
    <w:rsid w:val="00672358"/>
    <w:rsid w:val="00673127"/>
    <w:rsid w:val="00673E03"/>
    <w:rsid w:val="0067599C"/>
    <w:rsid w:val="00676627"/>
    <w:rsid w:val="00680786"/>
    <w:rsid w:val="00682D76"/>
    <w:rsid w:val="0068351E"/>
    <w:rsid w:val="006838F1"/>
    <w:rsid w:val="00683E9E"/>
    <w:rsid w:val="0068509F"/>
    <w:rsid w:val="006850AA"/>
    <w:rsid w:val="00686CDB"/>
    <w:rsid w:val="00686D14"/>
    <w:rsid w:val="00686F0E"/>
    <w:rsid w:val="00687C34"/>
    <w:rsid w:val="00690A99"/>
    <w:rsid w:val="00690E6E"/>
    <w:rsid w:val="006918AE"/>
    <w:rsid w:val="0069201F"/>
    <w:rsid w:val="00693251"/>
    <w:rsid w:val="006932CA"/>
    <w:rsid w:val="00695C80"/>
    <w:rsid w:val="00695E0C"/>
    <w:rsid w:val="006960CA"/>
    <w:rsid w:val="006A138D"/>
    <w:rsid w:val="006A151A"/>
    <w:rsid w:val="006A1D9D"/>
    <w:rsid w:val="006A251F"/>
    <w:rsid w:val="006A3D35"/>
    <w:rsid w:val="006A4D8C"/>
    <w:rsid w:val="006A5C01"/>
    <w:rsid w:val="006A6DF4"/>
    <w:rsid w:val="006A752A"/>
    <w:rsid w:val="006B093A"/>
    <w:rsid w:val="006B0D58"/>
    <w:rsid w:val="006B124F"/>
    <w:rsid w:val="006B27B6"/>
    <w:rsid w:val="006B3318"/>
    <w:rsid w:val="006B33AD"/>
    <w:rsid w:val="006B3941"/>
    <w:rsid w:val="006C05E8"/>
    <w:rsid w:val="006C160C"/>
    <w:rsid w:val="006C1C53"/>
    <w:rsid w:val="006C1DE4"/>
    <w:rsid w:val="006C2695"/>
    <w:rsid w:val="006C2C13"/>
    <w:rsid w:val="006C33F4"/>
    <w:rsid w:val="006C3EC7"/>
    <w:rsid w:val="006C3FAF"/>
    <w:rsid w:val="006C4198"/>
    <w:rsid w:val="006C5722"/>
    <w:rsid w:val="006C6AF2"/>
    <w:rsid w:val="006C6C3E"/>
    <w:rsid w:val="006D02A6"/>
    <w:rsid w:val="006D1EC0"/>
    <w:rsid w:val="006D1F90"/>
    <w:rsid w:val="006D2D9D"/>
    <w:rsid w:val="006D5922"/>
    <w:rsid w:val="006D5DFA"/>
    <w:rsid w:val="006D6D8D"/>
    <w:rsid w:val="006D7988"/>
    <w:rsid w:val="006D7A46"/>
    <w:rsid w:val="006E0DAD"/>
    <w:rsid w:val="006E1B64"/>
    <w:rsid w:val="006E1F75"/>
    <w:rsid w:val="006E228C"/>
    <w:rsid w:val="006E2F10"/>
    <w:rsid w:val="006E3044"/>
    <w:rsid w:val="006E78AB"/>
    <w:rsid w:val="006E79BC"/>
    <w:rsid w:val="006F069B"/>
    <w:rsid w:val="006F33AC"/>
    <w:rsid w:val="006F600C"/>
    <w:rsid w:val="006F6ED2"/>
    <w:rsid w:val="007008E3"/>
    <w:rsid w:val="00704703"/>
    <w:rsid w:val="0070640F"/>
    <w:rsid w:val="007069DF"/>
    <w:rsid w:val="00710B48"/>
    <w:rsid w:val="007135C3"/>
    <w:rsid w:val="0071397E"/>
    <w:rsid w:val="00713AE7"/>
    <w:rsid w:val="00714E18"/>
    <w:rsid w:val="00715DED"/>
    <w:rsid w:val="0071767F"/>
    <w:rsid w:val="0071770A"/>
    <w:rsid w:val="007201C7"/>
    <w:rsid w:val="007203D3"/>
    <w:rsid w:val="007221B2"/>
    <w:rsid w:val="00722563"/>
    <w:rsid w:val="00724E3B"/>
    <w:rsid w:val="0072515B"/>
    <w:rsid w:val="00725613"/>
    <w:rsid w:val="00725F4B"/>
    <w:rsid w:val="0072624B"/>
    <w:rsid w:val="0072661E"/>
    <w:rsid w:val="007266A7"/>
    <w:rsid w:val="00727206"/>
    <w:rsid w:val="007309C2"/>
    <w:rsid w:val="00731B84"/>
    <w:rsid w:val="00732B7D"/>
    <w:rsid w:val="00732DBE"/>
    <w:rsid w:val="00734541"/>
    <w:rsid w:val="00734DF1"/>
    <w:rsid w:val="00735027"/>
    <w:rsid w:val="0073602A"/>
    <w:rsid w:val="00737850"/>
    <w:rsid w:val="00740DFB"/>
    <w:rsid w:val="00741440"/>
    <w:rsid w:val="007431C1"/>
    <w:rsid w:val="007432F8"/>
    <w:rsid w:val="0074411F"/>
    <w:rsid w:val="00744449"/>
    <w:rsid w:val="00745856"/>
    <w:rsid w:val="00746FF8"/>
    <w:rsid w:val="00750C00"/>
    <w:rsid w:val="00752075"/>
    <w:rsid w:val="0075257C"/>
    <w:rsid w:val="007529F1"/>
    <w:rsid w:val="007633E1"/>
    <w:rsid w:val="00764E1E"/>
    <w:rsid w:val="00764FD5"/>
    <w:rsid w:val="00765439"/>
    <w:rsid w:val="00765EAD"/>
    <w:rsid w:val="00766808"/>
    <w:rsid w:val="00767CC3"/>
    <w:rsid w:val="00770B55"/>
    <w:rsid w:val="00770D6F"/>
    <w:rsid w:val="00771494"/>
    <w:rsid w:val="007731EB"/>
    <w:rsid w:val="00774670"/>
    <w:rsid w:val="0077573D"/>
    <w:rsid w:val="0077597A"/>
    <w:rsid w:val="0077639A"/>
    <w:rsid w:val="007803CD"/>
    <w:rsid w:val="007818A8"/>
    <w:rsid w:val="00782A2B"/>
    <w:rsid w:val="007847F9"/>
    <w:rsid w:val="00784EDC"/>
    <w:rsid w:val="0078525A"/>
    <w:rsid w:val="00785971"/>
    <w:rsid w:val="00786FC4"/>
    <w:rsid w:val="00787268"/>
    <w:rsid w:val="007907B8"/>
    <w:rsid w:val="00790FB6"/>
    <w:rsid w:val="007918BA"/>
    <w:rsid w:val="007921CE"/>
    <w:rsid w:val="0079309C"/>
    <w:rsid w:val="007936F1"/>
    <w:rsid w:val="00793A60"/>
    <w:rsid w:val="00794233"/>
    <w:rsid w:val="00794D30"/>
    <w:rsid w:val="00794D34"/>
    <w:rsid w:val="0079644D"/>
    <w:rsid w:val="00797321"/>
    <w:rsid w:val="007A097C"/>
    <w:rsid w:val="007A1301"/>
    <w:rsid w:val="007A1CD2"/>
    <w:rsid w:val="007A348E"/>
    <w:rsid w:val="007A4E3A"/>
    <w:rsid w:val="007A522F"/>
    <w:rsid w:val="007A56A5"/>
    <w:rsid w:val="007A5E89"/>
    <w:rsid w:val="007B25BA"/>
    <w:rsid w:val="007B2F1E"/>
    <w:rsid w:val="007B3B4F"/>
    <w:rsid w:val="007B5D52"/>
    <w:rsid w:val="007B6094"/>
    <w:rsid w:val="007B64CB"/>
    <w:rsid w:val="007B702B"/>
    <w:rsid w:val="007B7D9E"/>
    <w:rsid w:val="007B7E38"/>
    <w:rsid w:val="007C00A9"/>
    <w:rsid w:val="007C18FC"/>
    <w:rsid w:val="007C1F73"/>
    <w:rsid w:val="007C2DD7"/>
    <w:rsid w:val="007C3A3F"/>
    <w:rsid w:val="007C3F85"/>
    <w:rsid w:val="007C4B73"/>
    <w:rsid w:val="007D0848"/>
    <w:rsid w:val="007D12B7"/>
    <w:rsid w:val="007D36E4"/>
    <w:rsid w:val="007D3C0D"/>
    <w:rsid w:val="007D5326"/>
    <w:rsid w:val="007D5C60"/>
    <w:rsid w:val="007D6B07"/>
    <w:rsid w:val="007E088F"/>
    <w:rsid w:val="007E18F1"/>
    <w:rsid w:val="007E4414"/>
    <w:rsid w:val="007E4731"/>
    <w:rsid w:val="007E4E01"/>
    <w:rsid w:val="007E6410"/>
    <w:rsid w:val="007E6C8E"/>
    <w:rsid w:val="007E7A4C"/>
    <w:rsid w:val="007F0418"/>
    <w:rsid w:val="007F284B"/>
    <w:rsid w:val="007F488F"/>
    <w:rsid w:val="007F4D06"/>
    <w:rsid w:val="007F589C"/>
    <w:rsid w:val="007F70E0"/>
    <w:rsid w:val="007F7BF3"/>
    <w:rsid w:val="00801EB1"/>
    <w:rsid w:val="008021B1"/>
    <w:rsid w:val="00802263"/>
    <w:rsid w:val="00803531"/>
    <w:rsid w:val="008035FC"/>
    <w:rsid w:val="00804418"/>
    <w:rsid w:val="00804839"/>
    <w:rsid w:val="00804E7B"/>
    <w:rsid w:val="00805B9D"/>
    <w:rsid w:val="00805D51"/>
    <w:rsid w:val="0080621A"/>
    <w:rsid w:val="00807023"/>
    <w:rsid w:val="0081000A"/>
    <w:rsid w:val="00810B1D"/>
    <w:rsid w:val="00811F01"/>
    <w:rsid w:val="008139A1"/>
    <w:rsid w:val="0082065B"/>
    <w:rsid w:val="00820B22"/>
    <w:rsid w:val="00821AA0"/>
    <w:rsid w:val="00822F97"/>
    <w:rsid w:val="008259F5"/>
    <w:rsid w:val="00825BB4"/>
    <w:rsid w:val="00827269"/>
    <w:rsid w:val="008313C6"/>
    <w:rsid w:val="00831DA4"/>
    <w:rsid w:val="00832CF6"/>
    <w:rsid w:val="0083451F"/>
    <w:rsid w:val="008346CA"/>
    <w:rsid w:val="008355AF"/>
    <w:rsid w:val="008369B1"/>
    <w:rsid w:val="00841E1C"/>
    <w:rsid w:val="008422D7"/>
    <w:rsid w:val="00843627"/>
    <w:rsid w:val="00843F25"/>
    <w:rsid w:val="008446BC"/>
    <w:rsid w:val="008448DC"/>
    <w:rsid w:val="00845A89"/>
    <w:rsid w:val="0084666F"/>
    <w:rsid w:val="008478BF"/>
    <w:rsid w:val="00852DD5"/>
    <w:rsid w:val="00855546"/>
    <w:rsid w:val="0085571B"/>
    <w:rsid w:val="00855AA9"/>
    <w:rsid w:val="00856E9C"/>
    <w:rsid w:val="00857556"/>
    <w:rsid w:val="0085775F"/>
    <w:rsid w:val="00861727"/>
    <w:rsid w:val="00862711"/>
    <w:rsid w:val="0086314B"/>
    <w:rsid w:val="00863B33"/>
    <w:rsid w:val="008642DB"/>
    <w:rsid w:val="00864420"/>
    <w:rsid w:val="008646F4"/>
    <w:rsid w:val="008650AA"/>
    <w:rsid w:val="008656C4"/>
    <w:rsid w:val="00866165"/>
    <w:rsid w:val="00870015"/>
    <w:rsid w:val="00870743"/>
    <w:rsid w:val="00871674"/>
    <w:rsid w:val="00872B47"/>
    <w:rsid w:val="0087412D"/>
    <w:rsid w:val="00874300"/>
    <w:rsid w:val="00874DE2"/>
    <w:rsid w:val="008760A6"/>
    <w:rsid w:val="008764AC"/>
    <w:rsid w:val="0087655A"/>
    <w:rsid w:val="00876683"/>
    <w:rsid w:val="00877428"/>
    <w:rsid w:val="0088018F"/>
    <w:rsid w:val="008809F4"/>
    <w:rsid w:val="00881F9E"/>
    <w:rsid w:val="00882713"/>
    <w:rsid w:val="00883861"/>
    <w:rsid w:val="00884995"/>
    <w:rsid w:val="00884C1D"/>
    <w:rsid w:val="00884DAE"/>
    <w:rsid w:val="00887E18"/>
    <w:rsid w:val="008904D1"/>
    <w:rsid w:val="00891A25"/>
    <w:rsid w:val="0089342C"/>
    <w:rsid w:val="00896DA1"/>
    <w:rsid w:val="00897F37"/>
    <w:rsid w:val="008A18EA"/>
    <w:rsid w:val="008A1C86"/>
    <w:rsid w:val="008A224F"/>
    <w:rsid w:val="008A30A6"/>
    <w:rsid w:val="008A7973"/>
    <w:rsid w:val="008B24F1"/>
    <w:rsid w:val="008B3B24"/>
    <w:rsid w:val="008B7C35"/>
    <w:rsid w:val="008C0595"/>
    <w:rsid w:val="008C1E28"/>
    <w:rsid w:val="008C1EB6"/>
    <w:rsid w:val="008C2552"/>
    <w:rsid w:val="008C2FA1"/>
    <w:rsid w:val="008C35EC"/>
    <w:rsid w:val="008C3797"/>
    <w:rsid w:val="008C41EA"/>
    <w:rsid w:val="008C42BF"/>
    <w:rsid w:val="008C5E39"/>
    <w:rsid w:val="008C6D98"/>
    <w:rsid w:val="008D0EC0"/>
    <w:rsid w:val="008D564E"/>
    <w:rsid w:val="008D5A31"/>
    <w:rsid w:val="008D63DC"/>
    <w:rsid w:val="008D798F"/>
    <w:rsid w:val="008E0D98"/>
    <w:rsid w:val="008E174A"/>
    <w:rsid w:val="008E1D99"/>
    <w:rsid w:val="008E20BF"/>
    <w:rsid w:val="008E2E52"/>
    <w:rsid w:val="008E335E"/>
    <w:rsid w:val="008E3CD8"/>
    <w:rsid w:val="008E3EA2"/>
    <w:rsid w:val="008E481B"/>
    <w:rsid w:val="008E492B"/>
    <w:rsid w:val="008E4ED0"/>
    <w:rsid w:val="008E50C4"/>
    <w:rsid w:val="008E54EB"/>
    <w:rsid w:val="008E557B"/>
    <w:rsid w:val="008E5ADE"/>
    <w:rsid w:val="008E7B0E"/>
    <w:rsid w:val="008F1D76"/>
    <w:rsid w:val="008F2C5E"/>
    <w:rsid w:val="008F2CD3"/>
    <w:rsid w:val="008F5E54"/>
    <w:rsid w:val="008F6960"/>
    <w:rsid w:val="00901ABD"/>
    <w:rsid w:val="00901F51"/>
    <w:rsid w:val="009027B9"/>
    <w:rsid w:val="00903658"/>
    <w:rsid w:val="00903880"/>
    <w:rsid w:val="00904275"/>
    <w:rsid w:val="00904725"/>
    <w:rsid w:val="009069C9"/>
    <w:rsid w:val="00907721"/>
    <w:rsid w:val="00913B50"/>
    <w:rsid w:val="009147D6"/>
    <w:rsid w:val="0091587B"/>
    <w:rsid w:val="0091673B"/>
    <w:rsid w:val="0091707B"/>
    <w:rsid w:val="0092254A"/>
    <w:rsid w:val="00922DAD"/>
    <w:rsid w:val="00923481"/>
    <w:rsid w:val="00925702"/>
    <w:rsid w:val="00926E48"/>
    <w:rsid w:val="00931079"/>
    <w:rsid w:val="00931E25"/>
    <w:rsid w:val="009322C7"/>
    <w:rsid w:val="00936AF4"/>
    <w:rsid w:val="00936D2B"/>
    <w:rsid w:val="009373E9"/>
    <w:rsid w:val="009412C1"/>
    <w:rsid w:val="0094245A"/>
    <w:rsid w:val="00942C19"/>
    <w:rsid w:val="00943C54"/>
    <w:rsid w:val="009447C6"/>
    <w:rsid w:val="00944A5D"/>
    <w:rsid w:val="0094631A"/>
    <w:rsid w:val="009466AE"/>
    <w:rsid w:val="0094779B"/>
    <w:rsid w:val="00947F07"/>
    <w:rsid w:val="009507C0"/>
    <w:rsid w:val="00950EEA"/>
    <w:rsid w:val="00951B95"/>
    <w:rsid w:val="00951CE9"/>
    <w:rsid w:val="00952749"/>
    <w:rsid w:val="009556B8"/>
    <w:rsid w:val="00957249"/>
    <w:rsid w:val="00957596"/>
    <w:rsid w:val="009605CB"/>
    <w:rsid w:val="0096170D"/>
    <w:rsid w:val="0096245A"/>
    <w:rsid w:val="009645AE"/>
    <w:rsid w:val="00966174"/>
    <w:rsid w:val="0096619C"/>
    <w:rsid w:val="0096631E"/>
    <w:rsid w:val="0096637C"/>
    <w:rsid w:val="00970E42"/>
    <w:rsid w:val="009717F2"/>
    <w:rsid w:val="009728AC"/>
    <w:rsid w:val="00975C67"/>
    <w:rsid w:val="00977220"/>
    <w:rsid w:val="00977827"/>
    <w:rsid w:val="009801F0"/>
    <w:rsid w:val="00980CF0"/>
    <w:rsid w:val="0098121E"/>
    <w:rsid w:val="00981BD5"/>
    <w:rsid w:val="00982827"/>
    <w:rsid w:val="00982F1C"/>
    <w:rsid w:val="00983C4D"/>
    <w:rsid w:val="009843E2"/>
    <w:rsid w:val="00984D38"/>
    <w:rsid w:val="009862C3"/>
    <w:rsid w:val="00986373"/>
    <w:rsid w:val="009872CB"/>
    <w:rsid w:val="00987A4F"/>
    <w:rsid w:val="00990A83"/>
    <w:rsid w:val="00990E6E"/>
    <w:rsid w:val="00991AA0"/>
    <w:rsid w:val="00995728"/>
    <w:rsid w:val="009967A9"/>
    <w:rsid w:val="009972A1"/>
    <w:rsid w:val="009A1C14"/>
    <w:rsid w:val="009A1D79"/>
    <w:rsid w:val="009A3808"/>
    <w:rsid w:val="009A4FBD"/>
    <w:rsid w:val="009A64C3"/>
    <w:rsid w:val="009A6970"/>
    <w:rsid w:val="009A7227"/>
    <w:rsid w:val="009B00D7"/>
    <w:rsid w:val="009B0EDE"/>
    <w:rsid w:val="009B198F"/>
    <w:rsid w:val="009B3DA0"/>
    <w:rsid w:val="009B4FC7"/>
    <w:rsid w:val="009C2781"/>
    <w:rsid w:val="009C2F5B"/>
    <w:rsid w:val="009C3C84"/>
    <w:rsid w:val="009C47BB"/>
    <w:rsid w:val="009C6130"/>
    <w:rsid w:val="009C6A05"/>
    <w:rsid w:val="009C7C4E"/>
    <w:rsid w:val="009D0C51"/>
    <w:rsid w:val="009D0CE8"/>
    <w:rsid w:val="009D21A4"/>
    <w:rsid w:val="009D4472"/>
    <w:rsid w:val="009D4C24"/>
    <w:rsid w:val="009D60C9"/>
    <w:rsid w:val="009D6C37"/>
    <w:rsid w:val="009D6C9F"/>
    <w:rsid w:val="009D6E6B"/>
    <w:rsid w:val="009D70EC"/>
    <w:rsid w:val="009E043A"/>
    <w:rsid w:val="009E0762"/>
    <w:rsid w:val="009E1B62"/>
    <w:rsid w:val="009E27D3"/>
    <w:rsid w:val="009E2EE1"/>
    <w:rsid w:val="009E4E3B"/>
    <w:rsid w:val="009E65DD"/>
    <w:rsid w:val="009E6626"/>
    <w:rsid w:val="009E7027"/>
    <w:rsid w:val="009E704B"/>
    <w:rsid w:val="009E7A40"/>
    <w:rsid w:val="009F02C0"/>
    <w:rsid w:val="009F108B"/>
    <w:rsid w:val="009F3E21"/>
    <w:rsid w:val="009F57D3"/>
    <w:rsid w:val="009F5C93"/>
    <w:rsid w:val="009F6369"/>
    <w:rsid w:val="009F7953"/>
    <w:rsid w:val="00A0049B"/>
    <w:rsid w:val="00A00E2D"/>
    <w:rsid w:val="00A018AA"/>
    <w:rsid w:val="00A041BD"/>
    <w:rsid w:val="00A0485B"/>
    <w:rsid w:val="00A05F03"/>
    <w:rsid w:val="00A06529"/>
    <w:rsid w:val="00A106F0"/>
    <w:rsid w:val="00A10D24"/>
    <w:rsid w:val="00A1286B"/>
    <w:rsid w:val="00A12F00"/>
    <w:rsid w:val="00A13CCB"/>
    <w:rsid w:val="00A1405C"/>
    <w:rsid w:val="00A16C6C"/>
    <w:rsid w:val="00A17AB8"/>
    <w:rsid w:val="00A210E2"/>
    <w:rsid w:val="00A2177E"/>
    <w:rsid w:val="00A21EDB"/>
    <w:rsid w:val="00A22D93"/>
    <w:rsid w:val="00A243F4"/>
    <w:rsid w:val="00A26089"/>
    <w:rsid w:val="00A26321"/>
    <w:rsid w:val="00A269EB"/>
    <w:rsid w:val="00A26ADD"/>
    <w:rsid w:val="00A2764D"/>
    <w:rsid w:val="00A30029"/>
    <w:rsid w:val="00A30E2E"/>
    <w:rsid w:val="00A31225"/>
    <w:rsid w:val="00A32A18"/>
    <w:rsid w:val="00A33A66"/>
    <w:rsid w:val="00A33D5B"/>
    <w:rsid w:val="00A34ADE"/>
    <w:rsid w:val="00A355CF"/>
    <w:rsid w:val="00A3585F"/>
    <w:rsid w:val="00A361B5"/>
    <w:rsid w:val="00A36292"/>
    <w:rsid w:val="00A3754D"/>
    <w:rsid w:val="00A40879"/>
    <w:rsid w:val="00A42AC1"/>
    <w:rsid w:val="00A441AF"/>
    <w:rsid w:val="00A441EE"/>
    <w:rsid w:val="00A44FFD"/>
    <w:rsid w:val="00A462DE"/>
    <w:rsid w:val="00A479EC"/>
    <w:rsid w:val="00A52FC1"/>
    <w:rsid w:val="00A5353A"/>
    <w:rsid w:val="00A540F3"/>
    <w:rsid w:val="00A54C08"/>
    <w:rsid w:val="00A551AC"/>
    <w:rsid w:val="00A557A9"/>
    <w:rsid w:val="00A55A1E"/>
    <w:rsid w:val="00A56BEE"/>
    <w:rsid w:val="00A61EB6"/>
    <w:rsid w:val="00A62916"/>
    <w:rsid w:val="00A6296E"/>
    <w:rsid w:val="00A63EE9"/>
    <w:rsid w:val="00A64B41"/>
    <w:rsid w:val="00A64DBD"/>
    <w:rsid w:val="00A67A35"/>
    <w:rsid w:val="00A67B0E"/>
    <w:rsid w:val="00A70785"/>
    <w:rsid w:val="00A7097D"/>
    <w:rsid w:val="00A70BA5"/>
    <w:rsid w:val="00A71155"/>
    <w:rsid w:val="00A712C0"/>
    <w:rsid w:val="00A71EE6"/>
    <w:rsid w:val="00A71F1F"/>
    <w:rsid w:val="00A71FEB"/>
    <w:rsid w:val="00A72725"/>
    <w:rsid w:val="00A72756"/>
    <w:rsid w:val="00A74661"/>
    <w:rsid w:val="00A748E9"/>
    <w:rsid w:val="00A75DEB"/>
    <w:rsid w:val="00A76068"/>
    <w:rsid w:val="00A76322"/>
    <w:rsid w:val="00A76441"/>
    <w:rsid w:val="00A76E00"/>
    <w:rsid w:val="00A776AC"/>
    <w:rsid w:val="00A80B66"/>
    <w:rsid w:val="00A81B65"/>
    <w:rsid w:val="00A842F5"/>
    <w:rsid w:val="00A84B2A"/>
    <w:rsid w:val="00A8509C"/>
    <w:rsid w:val="00A8527A"/>
    <w:rsid w:val="00A86693"/>
    <w:rsid w:val="00A87537"/>
    <w:rsid w:val="00A90B7F"/>
    <w:rsid w:val="00A93C9D"/>
    <w:rsid w:val="00A96319"/>
    <w:rsid w:val="00A9649F"/>
    <w:rsid w:val="00A97E6E"/>
    <w:rsid w:val="00AA16C5"/>
    <w:rsid w:val="00AA5773"/>
    <w:rsid w:val="00AA7142"/>
    <w:rsid w:val="00AB06BE"/>
    <w:rsid w:val="00AB09A3"/>
    <w:rsid w:val="00AB1D69"/>
    <w:rsid w:val="00AB23CC"/>
    <w:rsid w:val="00AB2CA2"/>
    <w:rsid w:val="00AB42F9"/>
    <w:rsid w:val="00AB5B8F"/>
    <w:rsid w:val="00AB5F10"/>
    <w:rsid w:val="00AB637F"/>
    <w:rsid w:val="00AB6C1E"/>
    <w:rsid w:val="00AB70E4"/>
    <w:rsid w:val="00AC0B9E"/>
    <w:rsid w:val="00AC1B7C"/>
    <w:rsid w:val="00AC796A"/>
    <w:rsid w:val="00AD03CB"/>
    <w:rsid w:val="00AD12BD"/>
    <w:rsid w:val="00AD2C47"/>
    <w:rsid w:val="00AD35F2"/>
    <w:rsid w:val="00AD3B0D"/>
    <w:rsid w:val="00AD458D"/>
    <w:rsid w:val="00AD58B8"/>
    <w:rsid w:val="00AE00FF"/>
    <w:rsid w:val="00AE0A2E"/>
    <w:rsid w:val="00AE1227"/>
    <w:rsid w:val="00AE20CC"/>
    <w:rsid w:val="00AE3164"/>
    <w:rsid w:val="00AE3817"/>
    <w:rsid w:val="00AE3F09"/>
    <w:rsid w:val="00AE60AF"/>
    <w:rsid w:val="00AE777D"/>
    <w:rsid w:val="00AE7934"/>
    <w:rsid w:val="00AF04B7"/>
    <w:rsid w:val="00AF08C5"/>
    <w:rsid w:val="00AF173A"/>
    <w:rsid w:val="00AF1A52"/>
    <w:rsid w:val="00AF2E40"/>
    <w:rsid w:val="00AF3DDA"/>
    <w:rsid w:val="00AF4FBD"/>
    <w:rsid w:val="00AF66FD"/>
    <w:rsid w:val="00AF6748"/>
    <w:rsid w:val="00AF6C4B"/>
    <w:rsid w:val="00AF7805"/>
    <w:rsid w:val="00B00DCE"/>
    <w:rsid w:val="00B01414"/>
    <w:rsid w:val="00B072D7"/>
    <w:rsid w:val="00B126DF"/>
    <w:rsid w:val="00B132A1"/>
    <w:rsid w:val="00B134C9"/>
    <w:rsid w:val="00B143C1"/>
    <w:rsid w:val="00B1533C"/>
    <w:rsid w:val="00B16B90"/>
    <w:rsid w:val="00B16BD2"/>
    <w:rsid w:val="00B209AD"/>
    <w:rsid w:val="00B20BAC"/>
    <w:rsid w:val="00B21345"/>
    <w:rsid w:val="00B225CC"/>
    <w:rsid w:val="00B22890"/>
    <w:rsid w:val="00B2358A"/>
    <w:rsid w:val="00B24777"/>
    <w:rsid w:val="00B24FB8"/>
    <w:rsid w:val="00B26F7B"/>
    <w:rsid w:val="00B322AC"/>
    <w:rsid w:val="00B32FD1"/>
    <w:rsid w:val="00B331CE"/>
    <w:rsid w:val="00B35219"/>
    <w:rsid w:val="00B37144"/>
    <w:rsid w:val="00B3795C"/>
    <w:rsid w:val="00B40915"/>
    <w:rsid w:val="00B40C98"/>
    <w:rsid w:val="00B42849"/>
    <w:rsid w:val="00B44229"/>
    <w:rsid w:val="00B4444C"/>
    <w:rsid w:val="00B46543"/>
    <w:rsid w:val="00B524E6"/>
    <w:rsid w:val="00B52602"/>
    <w:rsid w:val="00B5291F"/>
    <w:rsid w:val="00B546B2"/>
    <w:rsid w:val="00B546C7"/>
    <w:rsid w:val="00B60B68"/>
    <w:rsid w:val="00B61C9D"/>
    <w:rsid w:val="00B63F4A"/>
    <w:rsid w:val="00B64298"/>
    <w:rsid w:val="00B645EB"/>
    <w:rsid w:val="00B662CB"/>
    <w:rsid w:val="00B66347"/>
    <w:rsid w:val="00B66885"/>
    <w:rsid w:val="00B72933"/>
    <w:rsid w:val="00B72B9A"/>
    <w:rsid w:val="00B7382A"/>
    <w:rsid w:val="00B73873"/>
    <w:rsid w:val="00B74415"/>
    <w:rsid w:val="00B75931"/>
    <w:rsid w:val="00B7677C"/>
    <w:rsid w:val="00B810DB"/>
    <w:rsid w:val="00B82D8F"/>
    <w:rsid w:val="00B842BB"/>
    <w:rsid w:val="00B84E84"/>
    <w:rsid w:val="00B85220"/>
    <w:rsid w:val="00B872D8"/>
    <w:rsid w:val="00B8794F"/>
    <w:rsid w:val="00B901EB"/>
    <w:rsid w:val="00B917F7"/>
    <w:rsid w:val="00B918CA"/>
    <w:rsid w:val="00B94016"/>
    <w:rsid w:val="00B94B98"/>
    <w:rsid w:val="00B9663F"/>
    <w:rsid w:val="00B96B5D"/>
    <w:rsid w:val="00BA038E"/>
    <w:rsid w:val="00BA2C1C"/>
    <w:rsid w:val="00BA3275"/>
    <w:rsid w:val="00BA4573"/>
    <w:rsid w:val="00BA5434"/>
    <w:rsid w:val="00BA5561"/>
    <w:rsid w:val="00BB192E"/>
    <w:rsid w:val="00BB4E16"/>
    <w:rsid w:val="00BB5941"/>
    <w:rsid w:val="00BB7403"/>
    <w:rsid w:val="00BC0102"/>
    <w:rsid w:val="00BC0DCB"/>
    <w:rsid w:val="00BC1C47"/>
    <w:rsid w:val="00BC1CB5"/>
    <w:rsid w:val="00BC2F97"/>
    <w:rsid w:val="00BC4126"/>
    <w:rsid w:val="00BC495C"/>
    <w:rsid w:val="00BC6272"/>
    <w:rsid w:val="00BC6A53"/>
    <w:rsid w:val="00BD0303"/>
    <w:rsid w:val="00BD1BCD"/>
    <w:rsid w:val="00BD2773"/>
    <w:rsid w:val="00BD4475"/>
    <w:rsid w:val="00BD44EF"/>
    <w:rsid w:val="00BD4CCE"/>
    <w:rsid w:val="00BD594D"/>
    <w:rsid w:val="00BD64FD"/>
    <w:rsid w:val="00BE0A72"/>
    <w:rsid w:val="00BE228E"/>
    <w:rsid w:val="00BE4775"/>
    <w:rsid w:val="00BE4B5C"/>
    <w:rsid w:val="00BE65B0"/>
    <w:rsid w:val="00BE6F44"/>
    <w:rsid w:val="00BE7C05"/>
    <w:rsid w:val="00BF0960"/>
    <w:rsid w:val="00BF09D7"/>
    <w:rsid w:val="00BF202A"/>
    <w:rsid w:val="00BF263E"/>
    <w:rsid w:val="00BF278C"/>
    <w:rsid w:val="00BF3835"/>
    <w:rsid w:val="00BF41C9"/>
    <w:rsid w:val="00BF53DA"/>
    <w:rsid w:val="00BF544A"/>
    <w:rsid w:val="00BF61D3"/>
    <w:rsid w:val="00BF68B5"/>
    <w:rsid w:val="00BF7050"/>
    <w:rsid w:val="00BF7F59"/>
    <w:rsid w:val="00C00B9C"/>
    <w:rsid w:val="00C01203"/>
    <w:rsid w:val="00C04017"/>
    <w:rsid w:val="00C04C71"/>
    <w:rsid w:val="00C06D24"/>
    <w:rsid w:val="00C0731B"/>
    <w:rsid w:val="00C108EB"/>
    <w:rsid w:val="00C11CE9"/>
    <w:rsid w:val="00C12033"/>
    <w:rsid w:val="00C126F4"/>
    <w:rsid w:val="00C1379D"/>
    <w:rsid w:val="00C14712"/>
    <w:rsid w:val="00C14F50"/>
    <w:rsid w:val="00C15D3D"/>
    <w:rsid w:val="00C171CF"/>
    <w:rsid w:val="00C21498"/>
    <w:rsid w:val="00C21C21"/>
    <w:rsid w:val="00C24A27"/>
    <w:rsid w:val="00C255D7"/>
    <w:rsid w:val="00C2585B"/>
    <w:rsid w:val="00C25FB2"/>
    <w:rsid w:val="00C266D0"/>
    <w:rsid w:val="00C27968"/>
    <w:rsid w:val="00C30756"/>
    <w:rsid w:val="00C3130D"/>
    <w:rsid w:val="00C31C4D"/>
    <w:rsid w:val="00C3271B"/>
    <w:rsid w:val="00C34ACD"/>
    <w:rsid w:val="00C35CEA"/>
    <w:rsid w:val="00C36EAB"/>
    <w:rsid w:val="00C36F20"/>
    <w:rsid w:val="00C372A9"/>
    <w:rsid w:val="00C37A21"/>
    <w:rsid w:val="00C411ED"/>
    <w:rsid w:val="00C413E7"/>
    <w:rsid w:val="00C43005"/>
    <w:rsid w:val="00C4310B"/>
    <w:rsid w:val="00C43750"/>
    <w:rsid w:val="00C43802"/>
    <w:rsid w:val="00C45B38"/>
    <w:rsid w:val="00C46CD7"/>
    <w:rsid w:val="00C523E1"/>
    <w:rsid w:val="00C52986"/>
    <w:rsid w:val="00C52E19"/>
    <w:rsid w:val="00C52FCB"/>
    <w:rsid w:val="00C53635"/>
    <w:rsid w:val="00C539D8"/>
    <w:rsid w:val="00C53CB1"/>
    <w:rsid w:val="00C5582E"/>
    <w:rsid w:val="00C55844"/>
    <w:rsid w:val="00C55CDF"/>
    <w:rsid w:val="00C57A4A"/>
    <w:rsid w:val="00C57B2E"/>
    <w:rsid w:val="00C57EDA"/>
    <w:rsid w:val="00C61262"/>
    <w:rsid w:val="00C61E59"/>
    <w:rsid w:val="00C62BCC"/>
    <w:rsid w:val="00C64042"/>
    <w:rsid w:val="00C64669"/>
    <w:rsid w:val="00C658D3"/>
    <w:rsid w:val="00C669F2"/>
    <w:rsid w:val="00C66EEA"/>
    <w:rsid w:val="00C67053"/>
    <w:rsid w:val="00C675B7"/>
    <w:rsid w:val="00C70F2B"/>
    <w:rsid w:val="00C71BDD"/>
    <w:rsid w:val="00C73F20"/>
    <w:rsid w:val="00C7408A"/>
    <w:rsid w:val="00C75EC9"/>
    <w:rsid w:val="00C76386"/>
    <w:rsid w:val="00C80723"/>
    <w:rsid w:val="00C80E0E"/>
    <w:rsid w:val="00C81FDF"/>
    <w:rsid w:val="00C823A2"/>
    <w:rsid w:val="00C830C2"/>
    <w:rsid w:val="00C83197"/>
    <w:rsid w:val="00C84221"/>
    <w:rsid w:val="00C842B4"/>
    <w:rsid w:val="00C845A5"/>
    <w:rsid w:val="00C84C60"/>
    <w:rsid w:val="00C86961"/>
    <w:rsid w:val="00C86968"/>
    <w:rsid w:val="00C86DB5"/>
    <w:rsid w:val="00C878DC"/>
    <w:rsid w:val="00C900E7"/>
    <w:rsid w:val="00C9037B"/>
    <w:rsid w:val="00C920EA"/>
    <w:rsid w:val="00C92457"/>
    <w:rsid w:val="00C93EFC"/>
    <w:rsid w:val="00C9411B"/>
    <w:rsid w:val="00C94151"/>
    <w:rsid w:val="00C942EC"/>
    <w:rsid w:val="00C945CD"/>
    <w:rsid w:val="00C94989"/>
    <w:rsid w:val="00C94DA9"/>
    <w:rsid w:val="00CA023B"/>
    <w:rsid w:val="00CA1A8B"/>
    <w:rsid w:val="00CA1F1D"/>
    <w:rsid w:val="00CA272C"/>
    <w:rsid w:val="00CA6DEE"/>
    <w:rsid w:val="00CB4AB1"/>
    <w:rsid w:val="00CB642A"/>
    <w:rsid w:val="00CB7D0D"/>
    <w:rsid w:val="00CB7E26"/>
    <w:rsid w:val="00CC0669"/>
    <w:rsid w:val="00CC0F82"/>
    <w:rsid w:val="00CC3EE2"/>
    <w:rsid w:val="00CC5A01"/>
    <w:rsid w:val="00CC6992"/>
    <w:rsid w:val="00CC7990"/>
    <w:rsid w:val="00CD052A"/>
    <w:rsid w:val="00CD1399"/>
    <w:rsid w:val="00CD370E"/>
    <w:rsid w:val="00CD4C21"/>
    <w:rsid w:val="00CD588B"/>
    <w:rsid w:val="00CD6603"/>
    <w:rsid w:val="00CD6629"/>
    <w:rsid w:val="00CD6630"/>
    <w:rsid w:val="00CD6C67"/>
    <w:rsid w:val="00CD6DF9"/>
    <w:rsid w:val="00CD7AE7"/>
    <w:rsid w:val="00CE0463"/>
    <w:rsid w:val="00CE08F1"/>
    <w:rsid w:val="00CE143B"/>
    <w:rsid w:val="00CE1F0B"/>
    <w:rsid w:val="00CE1FB8"/>
    <w:rsid w:val="00CE4734"/>
    <w:rsid w:val="00CE512F"/>
    <w:rsid w:val="00CE7B46"/>
    <w:rsid w:val="00CE7D1F"/>
    <w:rsid w:val="00CF2037"/>
    <w:rsid w:val="00CF2118"/>
    <w:rsid w:val="00CF2169"/>
    <w:rsid w:val="00CF2EE4"/>
    <w:rsid w:val="00CF2F85"/>
    <w:rsid w:val="00CF390C"/>
    <w:rsid w:val="00CF3E0A"/>
    <w:rsid w:val="00CF4A40"/>
    <w:rsid w:val="00CF4BAD"/>
    <w:rsid w:val="00CF6522"/>
    <w:rsid w:val="00CF7D91"/>
    <w:rsid w:val="00D00CB2"/>
    <w:rsid w:val="00D01559"/>
    <w:rsid w:val="00D01B2B"/>
    <w:rsid w:val="00D02995"/>
    <w:rsid w:val="00D02AB1"/>
    <w:rsid w:val="00D03610"/>
    <w:rsid w:val="00D05067"/>
    <w:rsid w:val="00D053C2"/>
    <w:rsid w:val="00D064D1"/>
    <w:rsid w:val="00D072D4"/>
    <w:rsid w:val="00D07474"/>
    <w:rsid w:val="00D10889"/>
    <w:rsid w:val="00D115BE"/>
    <w:rsid w:val="00D12FE1"/>
    <w:rsid w:val="00D13389"/>
    <w:rsid w:val="00D1415B"/>
    <w:rsid w:val="00D14ABB"/>
    <w:rsid w:val="00D16E16"/>
    <w:rsid w:val="00D20298"/>
    <w:rsid w:val="00D2060B"/>
    <w:rsid w:val="00D20A14"/>
    <w:rsid w:val="00D22F82"/>
    <w:rsid w:val="00D24067"/>
    <w:rsid w:val="00D2466A"/>
    <w:rsid w:val="00D261B4"/>
    <w:rsid w:val="00D26209"/>
    <w:rsid w:val="00D30590"/>
    <w:rsid w:val="00D31B15"/>
    <w:rsid w:val="00D33BB4"/>
    <w:rsid w:val="00D353B7"/>
    <w:rsid w:val="00D35B2C"/>
    <w:rsid w:val="00D35C49"/>
    <w:rsid w:val="00D368ED"/>
    <w:rsid w:val="00D40A79"/>
    <w:rsid w:val="00D440A4"/>
    <w:rsid w:val="00D442F5"/>
    <w:rsid w:val="00D45F11"/>
    <w:rsid w:val="00D5269B"/>
    <w:rsid w:val="00D52E28"/>
    <w:rsid w:val="00D533AE"/>
    <w:rsid w:val="00D55396"/>
    <w:rsid w:val="00D55EC6"/>
    <w:rsid w:val="00D6032E"/>
    <w:rsid w:val="00D60803"/>
    <w:rsid w:val="00D609C9"/>
    <w:rsid w:val="00D63737"/>
    <w:rsid w:val="00D638CE"/>
    <w:rsid w:val="00D66C5A"/>
    <w:rsid w:val="00D67CE9"/>
    <w:rsid w:val="00D67DEE"/>
    <w:rsid w:val="00D7042E"/>
    <w:rsid w:val="00D707DF"/>
    <w:rsid w:val="00D70C3C"/>
    <w:rsid w:val="00D71919"/>
    <w:rsid w:val="00D72047"/>
    <w:rsid w:val="00D73883"/>
    <w:rsid w:val="00D74A04"/>
    <w:rsid w:val="00D76DBC"/>
    <w:rsid w:val="00D771D5"/>
    <w:rsid w:val="00D777A4"/>
    <w:rsid w:val="00D814B0"/>
    <w:rsid w:val="00D83653"/>
    <w:rsid w:val="00D85ADD"/>
    <w:rsid w:val="00D86799"/>
    <w:rsid w:val="00D87321"/>
    <w:rsid w:val="00D876CC"/>
    <w:rsid w:val="00D91312"/>
    <w:rsid w:val="00D91328"/>
    <w:rsid w:val="00D9157E"/>
    <w:rsid w:val="00D91A39"/>
    <w:rsid w:val="00D91B1C"/>
    <w:rsid w:val="00D92BCB"/>
    <w:rsid w:val="00D933DC"/>
    <w:rsid w:val="00D93AD6"/>
    <w:rsid w:val="00D96E32"/>
    <w:rsid w:val="00DA1139"/>
    <w:rsid w:val="00DA2E1E"/>
    <w:rsid w:val="00DA3FF2"/>
    <w:rsid w:val="00DA50A4"/>
    <w:rsid w:val="00DA6539"/>
    <w:rsid w:val="00DA657B"/>
    <w:rsid w:val="00DA716A"/>
    <w:rsid w:val="00DA7718"/>
    <w:rsid w:val="00DA784A"/>
    <w:rsid w:val="00DB1C95"/>
    <w:rsid w:val="00DB286E"/>
    <w:rsid w:val="00DB2F9F"/>
    <w:rsid w:val="00DB35B7"/>
    <w:rsid w:val="00DB45BF"/>
    <w:rsid w:val="00DB4DCD"/>
    <w:rsid w:val="00DB504C"/>
    <w:rsid w:val="00DB5E34"/>
    <w:rsid w:val="00DB68FF"/>
    <w:rsid w:val="00DB773A"/>
    <w:rsid w:val="00DC0A2A"/>
    <w:rsid w:val="00DC21D7"/>
    <w:rsid w:val="00DC23F0"/>
    <w:rsid w:val="00DC5099"/>
    <w:rsid w:val="00DC5651"/>
    <w:rsid w:val="00DD069C"/>
    <w:rsid w:val="00DD0E02"/>
    <w:rsid w:val="00DD2117"/>
    <w:rsid w:val="00DD23CD"/>
    <w:rsid w:val="00DD2509"/>
    <w:rsid w:val="00DD3F51"/>
    <w:rsid w:val="00DD6F39"/>
    <w:rsid w:val="00DD7AA6"/>
    <w:rsid w:val="00DE0CCF"/>
    <w:rsid w:val="00DE2E88"/>
    <w:rsid w:val="00DE3D2F"/>
    <w:rsid w:val="00DE46DB"/>
    <w:rsid w:val="00DE552B"/>
    <w:rsid w:val="00DE7246"/>
    <w:rsid w:val="00DE7D33"/>
    <w:rsid w:val="00DF0647"/>
    <w:rsid w:val="00DF2800"/>
    <w:rsid w:val="00DF3C3C"/>
    <w:rsid w:val="00DF3D26"/>
    <w:rsid w:val="00DF4F5E"/>
    <w:rsid w:val="00DF5656"/>
    <w:rsid w:val="00DF6E99"/>
    <w:rsid w:val="00E0031A"/>
    <w:rsid w:val="00E033CB"/>
    <w:rsid w:val="00E0403A"/>
    <w:rsid w:val="00E050B3"/>
    <w:rsid w:val="00E05630"/>
    <w:rsid w:val="00E074A4"/>
    <w:rsid w:val="00E107A4"/>
    <w:rsid w:val="00E10FC0"/>
    <w:rsid w:val="00E13CA8"/>
    <w:rsid w:val="00E14266"/>
    <w:rsid w:val="00E15527"/>
    <w:rsid w:val="00E1593E"/>
    <w:rsid w:val="00E16894"/>
    <w:rsid w:val="00E168AE"/>
    <w:rsid w:val="00E16C7E"/>
    <w:rsid w:val="00E17FBA"/>
    <w:rsid w:val="00E20A20"/>
    <w:rsid w:val="00E21C93"/>
    <w:rsid w:val="00E22946"/>
    <w:rsid w:val="00E266BB"/>
    <w:rsid w:val="00E2683F"/>
    <w:rsid w:val="00E26939"/>
    <w:rsid w:val="00E26DE6"/>
    <w:rsid w:val="00E27B87"/>
    <w:rsid w:val="00E27CA6"/>
    <w:rsid w:val="00E33092"/>
    <w:rsid w:val="00E33D79"/>
    <w:rsid w:val="00E3538E"/>
    <w:rsid w:val="00E35778"/>
    <w:rsid w:val="00E376D3"/>
    <w:rsid w:val="00E4074E"/>
    <w:rsid w:val="00E42421"/>
    <w:rsid w:val="00E42799"/>
    <w:rsid w:val="00E4327A"/>
    <w:rsid w:val="00E50483"/>
    <w:rsid w:val="00E51150"/>
    <w:rsid w:val="00E51F63"/>
    <w:rsid w:val="00E52940"/>
    <w:rsid w:val="00E533AF"/>
    <w:rsid w:val="00E55670"/>
    <w:rsid w:val="00E558DF"/>
    <w:rsid w:val="00E55EE2"/>
    <w:rsid w:val="00E56A89"/>
    <w:rsid w:val="00E60FA6"/>
    <w:rsid w:val="00E610A7"/>
    <w:rsid w:val="00E663D8"/>
    <w:rsid w:val="00E67830"/>
    <w:rsid w:val="00E70882"/>
    <w:rsid w:val="00E7172E"/>
    <w:rsid w:val="00E72989"/>
    <w:rsid w:val="00E85439"/>
    <w:rsid w:val="00E8575C"/>
    <w:rsid w:val="00E87918"/>
    <w:rsid w:val="00E90183"/>
    <w:rsid w:val="00E912B0"/>
    <w:rsid w:val="00E94F92"/>
    <w:rsid w:val="00E97847"/>
    <w:rsid w:val="00EA0F12"/>
    <w:rsid w:val="00EA1EAB"/>
    <w:rsid w:val="00EA315D"/>
    <w:rsid w:val="00EA3214"/>
    <w:rsid w:val="00EA5757"/>
    <w:rsid w:val="00EA70E8"/>
    <w:rsid w:val="00EA7D9C"/>
    <w:rsid w:val="00EA7FDA"/>
    <w:rsid w:val="00EB1F1A"/>
    <w:rsid w:val="00EB283D"/>
    <w:rsid w:val="00EB590C"/>
    <w:rsid w:val="00EB6080"/>
    <w:rsid w:val="00EB7407"/>
    <w:rsid w:val="00EC003A"/>
    <w:rsid w:val="00EC1EAA"/>
    <w:rsid w:val="00EC3AD6"/>
    <w:rsid w:val="00EC41B4"/>
    <w:rsid w:val="00EC41CF"/>
    <w:rsid w:val="00EC5166"/>
    <w:rsid w:val="00EC60B6"/>
    <w:rsid w:val="00EC7F1D"/>
    <w:rsid w:val="00ED0127"/>
    <w:rsid w:val="00ED2C5F"/>
    <w:rsid w:val="00ED45AE"/>
    <w:rsid w:val="00ED5369"/>
    <w:rsid w:val="00ED59BD"/>
    <w:rsid w:val="00ED7BC3"/>
    <w:rsid w:val="00EE10FF"/>
    <w:rsid w:val="00EE1B37"/>
    <w:rsid w:val="00EE48E8"/>
    <w:rsid w:val="00EE4AE3"/>
    <w:rsid w:val="00EE4CE8"/>
    <w:rsid w:val="00EE5F1C"/>
    <w:rsid w:val="00EE70FE"/>
    <w:rsid w:val="00EE748B"/>
    <w:rsid w:val="00EF01D1"/>
    <w:rsid w:val="00EF0E48"/>
    <w:rsid w:val="00EF2116"/>
    <w:rsid w:val="00EF30C8"/>
    <w:rsid w:val="00EF37CB"/>
    <w:rsid w:val="00EF4382"/>
    <w:rsid w:val="00EF4528"/>
    <w:rsid w:val="00EF4D2B"/>
    <w:rsid w:val="00EF585F"/>
    <w:rsid w:val="00EF7CA9"/>
    <w:rsid w:val="00EF7DAF"/>
    <w:rsid w:val="00F00E88"/>
    <w:rsid w:val="00F03D57"/>
    <w:rsid w:val="00F04233"/>
    <w:rsid w:val="00F04A61"/>
    <w:rsid w:val="00F04B2A"/>
    <w:rsid w:val="00F04FBD"/>
    <w:rsid w:val="00F06381"/>
    <w:rsid w:val="00F06DF0"/>
    <w:rsid w:val="00F10F65"/>
    <w:rsid w:val="00F11F88"/>
    <w:rsid w:val="00F12455"/>
    <w:rsid w:val="00F1326E"/>
    <w:rsid w:val="00F149EA"/>
    <w:rsid w:val="00F154C7"/>
    <w:rsid w:val="00F15CDF"/>
    <w:rsid w:val="00F17000"/>
    <w:rsid w:val="00F20384"/>
    <w:rsid w:val="00F20E8C"/>
    <w:rsid w:val="00F217CC"/>
    <w:rsid w:val="00F22BAC"/>
    <w:rsid w:val="00F24628"/>
    <w:rsid w:val="00F2546E"/>
    <w:rsid w:val="00F25729"/>
    <w:rsid w:val="00F25C93"/>
    <w:rsid w:val="00F266E4"/>
    <w:rsid w:val="00F26987"/>
    <w:rsid w:val="00F27E18"/>
    <w:rsid w:val="00F27F0A"/>
    <w:rsid w:val="00F306EA"/>
    <w:rsid w:val="00F320C7"/>
    <w:rsid w:val="00F3411A"/>
    <w:rsid w:val="00F348D7"/>
    <w:rsid w:val="00F360E8"/>
    <w:rsid w:val="00F37068"/>
    <w:rsid w:val="00F37ACB"/>
    <w:rsid w:val="00F40001"/>
    <w:rsid w:val="00F407AF"/>
    <w:rsid w:val="00F410E5"/>
    <w:rsid w:val="00F415C0"/>
    <w:rsid w:val="00F41B80"/>
    <w:rsid w:val="00F44EBC"/>
    <w:rsid w:val="00F4611C"/>
    <w:rsid w:val="00F464FD"/>
    <w:rsid w:val="00F46CAC"/>
    <w:rsid w:val="00F47822"/>
    <w:rsid w:val="00F47E3C"/>
    <w:rsid w:val="00F50EAD"/>
    <w:rsid w:val="00F50EB7"/>
    <w:rsid w:val="00F52642"/>
    <w:rsid w:val="00F53491"/>
    <w:rsid w:val="00F55826"/>
    <w:rsid w:val="00F57DC1"/>
    <w:rsid w:val="00F6073F"/>
    <w:rsid w:val="00F6173F"/>
    <w:rsid w:val="00F61E31"/>
    <w:rsid w:val="00F62E74"/>
    <w:rsid w:val="00F6423C"/>
    <w:rsid w:val="00F64910"/>
    <w:rsid w:val="00F652F7"/>
    <w:rsid w:val="00F65A30"/>
    <w:rsid w:val="00F72A60"/>
    <w:rsid w:val="00F730ED"/>
    <w:rsid w:val="00F736AD"/>
    <w:rsid w:val="00F7395B"/>
    <w:rsid w:val="00F73BCB"/>
    <w:rsid w:val="00F75389"/>
    <w:rsid w:val="00F75EE0"/>
    <w:rsid w:val="00F76B50"/>
    <w:rsid w:val="00F77720"/>
    <w:rsid w:val="00F80266"/>
    <w:rsid w:val="00F80FFC"/>
    <w:rsid w:val="00F819E2"/>
    <w:rsid w:val="00F82DBB"/>
    <w:rsid w:val="00F845B8"/>
    <w:rsid w:val="00F84BF1"/>
    <w:rsid w:val="00F855D9"/>
    <w:rsid w:val="00F868DB"/>
    <w:rsid w:val="00F87A5F"/>
    <w:rsid w:val="00F9027D"/>
    <w:rsid w:val="00F9118B"/>
    <w:rsid w:val="00F9194B"/>
    <w:rsid w:val="00F922A9"/>
    <w:rsid w:val="00F92F0D"/>
    <w:rsid w:val="00F935C4"/>
    <w:rsid w:val="00F94AB0"/>
    <w:rsid w:val="00F94E4E"/>
    <w:rsid w:val="00F97055"/>
    <w:rsid w:val="00F97C80"/>
    <w:rsid w:val="00FA0788"/>
    <w:rsid w:val="00FA0EBE"/>
    <w:rsid w:val="00FA3A60"/>
    <w:rsid w:val="00FA3FFB"/>
    <w:rsid w:val="00FA4E05"/>
    <w:rsid w:val="00FA55D3"/>
    <w:rsid w:val="00FB197D"/>
    <w:rsid w:val="00FB29ED"/>
    <w:rsid w:val="00FB3D6A"/>
    <w:rsid w:val="00FB3ED7"/>
    <w:rsid w:val="00FB5FB8"/>
    <w:rsid w:val="00FB605F"/>
    <w:rsid w:val="00FB66BD"/>
    <w:rsid w:val="00FB6965"/>
    <w:rsid w:val="00FB6A21"/>
    <w:rsid w:val="00FB716D"/>
    <w:rsid w:val="00FB7B89"/>
    <w:rsid w:val="00FB7DBF"/>
    <w:rsid w:val="00FC02E1"/>
    <w:rsid w:val="00FC2B5A"/>
    <w:rsid w:val="00FC377C"/>
    <w:rsid w:val="00FC5141"/>
    <w:rsid w:val="00FC73C9"/>
    <w:rsid w:val="00FD0187"/>
    <w:rsid w:val="00FD3202"/>
    <w:rsid w:val="00FD4A83"/>
    <w:rsid w:val="00FD4B31"/>
    <w:rsid w:val="00FD5519"/>
    <w:rsid w:val="00FD5DB9"/>
    <w:rsid w:val="00FD6966"/>
    <w:rsid w:val="00FD6A89"/>
    <w:rsid w:val="00FD6C82"/>
    <w:rsid w:val="00FE1518"/>
    <w:rsid w:val="00FE1ADE"/>
    <w:rsid w:val="00FE3139"/>
    <w:rsid w:val="00FE4C31"/>
    <w:rsid w:val="00FE611E"/>
    <w:rsid w:val="00FE6D12"/>
    <w:rsid w:val="00FE7055"/>
    <w:rsid w:val="00FE7522"/>
    <w:rsid w:val="00FF15E0"/>
    <w:rsid w:val="00FF2863"/>
    <w:rsid w:val="00FF2CE6"/>
    <w:rsid w:val="00FF3591"/>
    <w:rsid w:val="00FF47D5"/>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cisions.scc-csc.ca/scc-csc/scc-csc/en/item/19538/index.do" TargetMode="External"/><Relationship Id="rId18" Type="http://schemas.openxmlformats.org/officeDocument/2006/relationships/hyperlink" Target="https://www.courtsofnz.govt.nz/assets/cases/2022/2022-NZSC-115.pdf" TargetMode="External"/><Relationship Id="rId26" Type="http://schemas.openxmlformats.org/officeDocument/2006/relationships/hyperlink" Target="https://scc-csc.lexum.com/scc-csc/scc-csc/en/item/19534/index.do" TargetMode="External"/><Relationship Id="rId3" Type="http://schemas.openxmlformats.org/officeDocument/2006/relationships/styles" Target="styles.xml"/><Relationship Id="rId21" Type="http://schemas.openxmlformats.org/officeDocument/2006/relationships/hyperlink" Target="https://scc-csc.lexum.com/scc-csc/scc-csc/en/item/19524/index.d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lii.org/za/cases/ZACC/2022/35.html" TargetMode="External"/><Relationship Id="rId17" Type="http://schemas.openxmlformats.org/officeDocument/2006/relationships/hyperlink" Target="https://www.courtsofnz.govt.nz/assets/cases/2022/2022-NZSC-114.pdf" TargetMode="External"/><Relationship Id="rId25" Type="http://schemas.openxmlformats.org/officeDocument/2006/relationships/hyperlink" Target="https://www.supremecourt.uk/cases/docs/uksc-2020-0107-judgmen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lii.org/za/cases/ZACC/2022/34.html" TargetMode="External"/><Relationship Id="rId20" Type="http://schemas.openxmlformats.org/officeDocument/2006/relationships/hyperlink" Target="https://decisions.scc-csc.ca/scc-csc/scc-csc/en/item/19535/index.do" TargetMode="External"/><Relationship Id="rId29" Type="http://schemas.openxmlformats.org/officeDocument/2006/relationships/hyperlink" Target="https://www.hklii.hk/eng/hk/cases/hkcfa/2022/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za/cases/ZACC/2022/33.html" TargetMode="External"/><Relationship Id="rId24" Type="http://schemas.openxmlformats.org/officeDocument/2006/relationships/hyperlink" Target="https://www.saflii.org/za/cases/ZACC/2022/30.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itigation.sg/gd/s/2022_SGCA_59" TargetMode="External"/><Relationship Id="rId23" Type="http://schemas.openxmlformats.org/officeDocument/2006/relationships/hyperlink" Target="https://www.saflii.org/za/cases/ZACC/2022/31.html" TargetMode="External"/><Relationship Id="rId28" Type="http://schemas.openxmlformats.org/officeDocument/2006/relationships/hyperlink" Target="https://www.saflii.org/za/cases/ZACC/2022/32.html" TargetMode="External"/><Relationship Id="rId10" Type="http://schemas.openxmlformats.org/officeDocument/2006/relationships/hyperlink" Target="https://www.supremecourt.uk/cases/docs/uksc-2019-0046-judgment.pdf" TargetMode="External"/><Relationship Id="rId19" Type="http://schemas.openxmlformats.org/officeDocument/2006/relationships/hyperlink" Target="https://www.supremecourt.uk/cases/docs/uksc-2020-0166-judgment.pdf" TargetMode="External"/><Relationship Id="rId31" Type="http://schemas.openxmlformats.org/officeDocument/2006/relationships/hyperlink" Target="https://www.supremecourt.uk/cases/docs/uksc-2021-0020-judgment.pdf" TargetMode="External"/><Relationship Id="rId4" Type="http://schemas.openxmlformats.org/officeDocument/2006/relationships/settings" Target="settings.xml"/><Relationship Id="rId9" Type="http://schemas.openxmlformats.org/officeDocument/2006/relationships/hyperlink" Target="https://www.saflii.org/za/cases/ZACC/2022/36.html" TargetMode="External"/><Relationship Id="rId14" Type="http://schemas.openxmlformats.org/officeDocument/2006/relationships/hyperlink" Target="https://www.saflii.org/za/cases/ZACC/2022/29.html" TargetMode="External"/><Relationship Id="rId22" Type="http://schemas.openxmlformats.org/officeDocument/2006/relationships/hyperlink" Target="https://scc-csc.lexum.com/scc-csc/scc-csc/en/item/19526/index.do" TargetMode="External"/><Relationship Id="rId27" Type="http://schemas.openxmlformats.org/officeDocument/2006/relationships/hyperlink" Target="https://www.courtsofnz.govt.nz/assets/cases/2022/2022-NZSC-113.pdf" TargetMode="External"/><Relationship Id="rId30" Type="http://schemas.openxmlformats.org/officeDocument/2006/relationships/hyperlink" Target="https://www.supremecourt.uk/cases/docs/uksc-2020-0135-judgment.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4414</Words>
  <Characters>27693</Characters>
  <Application>Microsoft Office Word</Application>
  <DocSecurity>0</DocSecurity>
  <Lines>230</Lines>
  <Paragraphs>64</Paragraphs>
  <ScaleCrop>false</ScaleCrop>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2022-11-15T00:00:00Z</dcterms:created>
  <dcterms:modified xsi:type="dcterms:W3CDTF">2022-11-15T00:00:00Z</dcterms:modified>
</cp:coreProperties>
</file>