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077F6FD4" w:rsidR="00F03117" w:rsidRPr="00007C4E" w:rsidRDefault="00763404" w:rsidP="00007C4E">
            <w:pPr>
              <w:tabs>
                <w:tab w:val="left" w:pos="851"/>
                <w:tab w:val="right" w:pos="8505"/>
              </w:tabs>
              <w:jc w:val="both"/>
              <w:rPr>
                <w:u w:val="single"/>
              </w:rPr>
            </w:pPr>
            <w:r>
              <w:rPr>
                <w:u w:val="single"/>
              </w:rPr>
              <w:t>Tuesday, 8 November 2022 and Wednesday, 9 November 2022</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4CF500E1" w:rsidR="00F03117" w:rsidRPr="00913869" w:rsidRDefault="00841511" w:rsidP="00913869">
            <w:pPr>
              <w:numPr>
                <w:ilvl w:val="0"/>
                <w:numId w:val="9"/>
              </w:numPr>
              <w:ind w:hanging="720"/>
            </w:pPr>
            <w:r>
              <w:t>Attorney-General (</w:t>
            </w:r>
            <w:proofErr w:type="spellStart"/>
            <w:proofErr w:type="gramStart"/>
            <w:r>
              <w:t>Cth</w:t>
            </w:r>
            <w:proofErr w:type="spellEnd"/>
            <w:r>
              <w:t>)</w:t>
            </w:r>
            <w:r w:rsidR="00F03117" w:rsidRPr="00007C4E">
              <w:t xml:space="preserve"> </w:t>
            </w:r>
            <w:r>
              <w:t xml:space="preserve"> </w:t>
            </w:r>
            <w:r w:rsidR="00F03117" w:rsidRPr="00007C4E">
              <w:t>v</w:t>
            </w:r>
            <w:proofErr w:type="gramEnd"/>
            <w:r w:rsidR="00F03117" w:rsidRPr="00007C4E">
              <w:t xml:space="preserve">  </w:t>
            </w:r>
            <w:r>
              <w:t xml:space="preserve">Huynh &amp; </w:t>
            </w:r>
            <w:proofErr w:type="spellStart"/>
            <w:r>
              <w:t>Ors</w:t>
            </w:r>
            <w:proofErr w:type="spellEnd"/>
          </w:p>
        </w:tc>
        <w:tc>
          <w:tcPr>
            <w:tcW w:w="850" w:type="dxa"/>
            <w:shd w:val="clear" w:color="auto" w:fill="auto"/>
          </w:tcPr>
          <w:p w14:paraId="05D939EE" w14:textId="4CB0A29D" w:rsidR="00F03117" w:rsidRPr="00C65A07" w:rsidRDefault="007C68A4"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7C68A4" w:rsidRPr="00007C4E" w14:paraId="0CD519F6" w14:textId="77777777" w:rsidTr="00F064A3">
        <w:tc>
          <w:tcPr>
            <w:tcW w:w="8755" w:type="dxa"/>
            <w:gridSpan w:val="2"/>
            <w:shd w:val="clear" w:color="auto" w:fill="auto"/>
          </w:tcPr>
          <w:p w14:paraId="43D678F8" w14:textId="4B404AEA" w:rsidR="007C68A4" w:rsidRPr="00007C4E" w:rsidRDefault="00F44DAA" w:rsidP="00F064A3">
            <w:pPr>
              <w:tabs>
                <w:tab w:val="left" w:pos="851"/>
                <w:tab w:val="right" w:pos="8505"/>
              </w:tabs>
              <w:jc w:val="both"/>
              <w:rPr>
                <w:u w:val="single"/>
              </w:rPr>
            </w:pPr>
            <w:r>
              <w:rPr>
                <w:u w:val="single"/>
              </w:rPr>
              <w:t>Wednesday, 9 November 2022 and Thursday, 10 November 2022</w:t>
            </w:r>
            <w:r w:rsidR="007C68A4">
              <w:rPr>
                <w:u w:val="single"/>
              </w:rPr>
              <w:t xml:space="preserve"> </w:t>
            </w:r>
          </w:p>
          <w:p w14:paraId="15EBA993" w14:textId="77777777" w:rsidR="007C68A4" w:rsidRDefault="007C68A4" w:rsidP="00F064A3">
            <w:pPr>
              <w:pStyle w:val="Title"/>
              <w:jc w:val="left"/>
            </w:pPr>
          </w:p>
        </w:tc>
      </w:tr>
      <w:tr w:rsidR="007C68A4" w14:paraId="6524E2F9" w14:textId="77777777" w:rsidTr="00F064A3">
        <w:tc>
          <w:tcPr>
            <w:tcW w:w="7905" w:type="dxa"/>
            <w:shd w:val="clear" w:color="auto" w:fill="auto"/>
          </w:tcPr>
          <w:p w14:paraId="6651B6A0" w14:textId="43A891FC" w:rsidR="007C68A4" w:rsidRPr="00913869" w:rsidRDefault="00F44DAA" w:rsidP="00F064A3">
            <w:pPr>
              <w:numPr>
                <w:ilvl w:val="0"/>
                <w:numId w:val="9"/>
              </w:numPr>
              <w:ind w:hanging="720"/>
            </w:pPr>
            <w:r>
              <w:t xml:space="preserve">Kingdom of </w:t>
            </w:r>
            <w:proofErr w:type="gramStart"/>
            <w:r>
              <w:t>Spain</w:t>
            </w:r>
            <w:r w:rsidR="007C68A4" w:rsidRPr="00007C4E">
              <w:t xml:space="preserve"> </w:t>
            </w:r>
            <w:r>
              <w:t xml:space="preserve"> </w:t>
            </w:r>
            <w:r w:rsidR="007C68A4" w:rsidRPr="00007C4E">
              <w:t>v</w:t>
            </w:r>
            <w:proofErr w:type="gramEnd"/>
            <w:r w:rsidR="007C68A4" w:rsidRPr="00007C4E">
              <w:t xml:space="preserve">  </w:t>
            </w:r>
            <w:r w:rsidRPr="005C5FC7">
              <w:rPr>
                <w:szCs w:val="24"/>
              </w:rPr>
              <w:t xml:space="preserve">Infrastructure Services Luxembourg </w:t>
            </w:r>
            <w:proofErr w:type="spellStart"/>
            <w:r w:rsidRPr="005C5FC7">
              <w:rPr>
                <w:szCs w:val="24"/>
              </w:rPr>
              <w:t>S.à.r.l</w:t>
            </w:r>
            <w:proofErr w:type="spellEnd"/>
            <w:r w:rsidRPr="005C5FC7">
              <w:rPr>
                <w:szCs w:val="24"/>
              </w:rPr>
              <w:t>. &amp; Anor</w:t>
            </w:r>
          </w:p>
        </w:tc>
        <w:tc>
          <w:tcPr>
            <w:tcW w:w="850" w:type="dxa"/>
            <w:shd w:val="clear" w:color="auto" w:fill="auto"/>
          </w:tcPr>
          <w:p w14:paraId="67D8042B" w14:textId="02FC065E" w:rsidR="007C68A4" w:rsidRPr="00C65A07" w:rsidRDefault="00091B4F" w:rsidP="00F064A3">
            <w:pPr>
              <w:pStyle w:val="Title"/>
              <w:rPr>
                <w:u w:val="none"/>
              </w:rPr>
            </w:pPr>
            <w:r>
              <w:rPr>
                <w:u w:val="none"/>
              </w:rPr>
              <w:t>3</w:t>
            </w:r>
          </w:p>
        </w:tc>
      </w:tr>
    </w:tbl>
    <w:p w14:paraId="2FDA08A9" w14:textId="5324663D" w:rsidR="004B7828" w:rsidRDefault="004B7828" w:rsidP="00913869"/>
    <w:tbl>
      <w:tblPr>
        <w:tblW w:w="0" w:type="auto"/>
        <w:tblLook w:val="04A0" w:firstRow="1" w:lastRow="0" w:firstColumn="1" w:lastColumn="0" w:noHBand="0" w:noVBand="1"/>
      </w:tblPr>
      <w:tblGrid>
        <w:gridCol w:w="7890"/>
        <w:gridCol w:w="849"/>
      </w:tblGrid>
      <w:tr w:rsidR="007C68A4" w:rsidRPr="00007C4E" w14:paraId="2287BEFA" w14:textId="77777777" w:rsidTr="00F064A3">
        <w:tc>
          <w:tcPr>
            <w:tcW w:w="8755" w:type="dxa"/>
            <w:gridSpan w:val="2"/>
            <w:shd w:val="clear" w:color="auto" w:fill="auto"/>
          </w:tcPr>
          <w:p w14:paraId="7707A903" w14:textId="5EF5DB5B" w:rsidR="007C68A4" w:rsidRPr="00007C4E" w:rsidRDefault="00CD10D1" w:rsidP="00F064A3">
            <w:pPr>
              <w:tabs>
                <w:tab w:val="left" w:pos="851"/>
                <w:tab w:val="right" w:pos="8505"/>
              </w:tabs>
              <w:jc w:val="both"/>
              <w:rPr>
                <w:u w:val="single"/>
              </w:rPr>
            </w:pPr>
            <w:r>
              <w:rPr>
                <w:u w:val="single"/>
              </w:rPr>
              <w:t>Tuesday, 15 November 2022</w:t>
            </w:r>
            <w:r w:rsidR="007C68A4">
              <w:rPr>
                <w:u w:val="single"/>
              </w:rPr>
              <w:t xml:space="preserve"> </w:t>
            </w:r>
          </w:p>
          <w:p w14:paraId="7BEBDCEF" w14:textId="77777777" w:rsidR="007C68A4" w:rsidRDefault="007C68A4" w:rsidP="00F064A3">
            <w:pPr>
              <w:pStyle w:val="Title"/>
              <w:jc w:val="left"/>
            </w:pPr>
          </w:p>
        </w:tc>
      </w:tr>
      <w:tr w:rsidR="007C68A4" w14:paraId="734CF3E6" w14:textId="77777777" w:rsidTr="00F064A3">
        <w:tc>
          <w:tcPr>
            <w:tcW w:w="7905" w:type="dxa"/>
            <w:shd w:val="clear" w:color="auto" w:fill="auto"/>
          </w:tcPr>
          <w:p w14:paraId="4CB643ED" w14:textId="6EA11417" w:rsidR="007C68A4" w:rsidRPr="00913869" w:rsidRDefault="00CD10D1" w:rsidP="00F064A3">
            <w:pPr>
              <w:numPr>
                <w:ilvl w:val="0"/>
                <w:numId w:val="9"/>
              </w:numPr>
              <w:ind w:hanging="720"/>
            </w:pPr>
            <w:proofErr w:type="gramStart"/>
            <w:r>
              <w:t>Stanley</w:t>
            </w:r>
            <w:r w:rsidR="007C68A4" w:rsidRPr="00007C4E">
              <w:t xml:space="preserve"> </w:t>
            </w:r>
            <w:r>
              <w:t xml:space="preserve"> </w:t>
            </w:r>
            <w:r w:rsidR="007C68A4" w:rsidRPr="00007C4E">
              <w:t>v</w:t>
            </w:r>
            <w:proofErr w:type="gramEnd"/>
            <w:r w:rsidR="007C68A4" w:rsidRPr="00007C4E">
              <w:t xml:space="preserve">  </w:t>
            </w:r>
            <w:r>
              <w:t>Director of Public Prosecutions (NSW) &amp; Anor</w:t>
            </w:r>
          </w:p>
        </w:tc>
        <w:tc>
          <w:tcPr>
            <w:tcW w:w="850" w:type="dxa"/>
            <w:shd w:val="clear" w:color="auto" w:fill="auto"/>
          </w:tcPr>
          <w:p w14:paraId="0758C367" w14:textId="2CE3DC2E" w:rsidR="007C68A4" w:rsidRPr="00C65A07" w:rsidRDefault="008B6696" w:rsidP="00F064A3">
            <w:pPr>
              <w:pStyle w:val="Title"/>
              <w:rPr>
                <w:u w:val="none"/>
              </w:rPr>
            </w:pPr>
            <w:r>
              <w:rPr>
                <w:u w:val="none"/>
              </w:rPr>
              <w:t>5</w:t>
            </w:r>
          </w:p>
        </w:tc>
      </w:tr>
    </w:tbl>
    <w:p w14:paraId="36730EB3" w14:textId="6A35A235" w:rsidR="007C68A4" w:rsidRDefault="007C68A4" w:rsidP="00913869"/>
    <w:tbl>
      <w:tblPr>
        <w:tblW w:w="0" w:type="auto"/>
        <w:tblLook w:val="04A0" w:firstRow="1" w:lastRow="0" w:firstColumn="1" w:lastColumn="0" w:noHBand="0" w:noVBand="1"/>
      </w:tblPr>
      <w:tblGrid>
        <w:gridCol w:w="7890"/>
        <w:gridCol w:w="849"/>
      </w:tblGrid>
      <w:tr w:rsidR="007C68A4" w:rsidRPr="00007C4E" w14:paraId="086D31E7" w14:textId="77777777" w:rsidTr="00F064A3">
        <w:tc>
          <w:tcPr>
            <w:tcW w:w="8755" w:type="dxa"/>
            <w:gridSpan w:val="2"/>
            <w:shd w:val="clear" w:color="auto" w:fill="auto"/>
          </w:tcPr>
          <w:p w14:paraId="65D4B497" w14:textId="450D5FEF" w:rsidR="007C68A4" w:rsidRPr="00007C4E" w:rsidRDefault="00742B8D" w:rsidP="00F064A3">
            <w:pPr>
              <w:tabs>
                <w:tab w:val="left" w:pos="851"/>
                <w:tab w:val="right" w:pos="8505"/>
              </w:tabs>
              <w:jc w:val="both"/>
              <w:rPr>
                <w:u w:val="single"/>
              </w:rPr>
            </w:pPr>
            <w:r>
              <w:rPr>
                <w:u w:val="single"/>
              </w:rPr>
              <w:t>Wednesday, 16 November 2022 and Thursday, 17 November 2022</w:t>
            </w:r>
            <w:r w:rsidR="007C68A4">
              <w:rPr>
                <w:u w:val="single"/>
              </w:rPr>
              <w:t xml:space="preserve"> </w:t>
            </w:r>
          </w:p>
          <w:p w14:paraId="2C20FBEB" w14:textId="77777777" w:rsidR="007C68A4" w:rsidRDefault="007C68A4" w:rsidP="00F064A3">
            <w:pPr>
              <w:pStyle w:val="Title"/>
              <w:jc w:val="left"/>
            </w:pPr>
          </w:p>
        </w:tc>
      </w:tr>
      <w:tr w:rsidR="007C68A4" w14:paraId="590BD5ED" w14:textId="77777777" w:rsidTr="00F064A3">
        <w:tc>
          <w:tcPr>
            <w:tcW w:w="7905" w:type="dxa"/>
            <w:shd w:val="clear" w:color="auto" w:fill="auto"/>
          </w:tcPr>
          <w:p w14:paraId="602021FD" w14:textId="44E3D63B" w:rsidR="007C68A4" w:rsidRPr="00913869" w:rsidRDefault="00742B8D" w:rsidP="00F064A3">
            <w:pPr>
              <w:numPr>
                <w:ilvl w:val="0"/>
                <w:numId w:val="9"/>
              </w:numPr>
              <w:ind w:hanging="720"/>
            </w:pPr>
            <w:r>
              <w:t xml:space="preserve">Unions NSW &amp; </w:t>
            </w:r>
            <w:proofErr w:type="spellStart"/>
            <w:proofErr w:type="gramStart"/>
            <w:r>
              <w:t>Ors</w:t>
            </w:r>
            <w:proofErr w:type="spellEnd"/>
            <w:r>
              <w:t xml:space="preserve"> </w:t>
            </w:r>
            <w:r w:rsidR="007C68A4" w:rsidRPr="00007C4E">
              <w:t xml:space="preserve"> v</w:t>
            </w:r>
            <w:proofErr w:type="gramEnd"/>
            <w:r w:rsidR="007C68A4" w:rsidRPr="00007C4E">
              <w:t xml:space="preserve">  </w:t>
            </w:r>
            <w:r>
              <w:t>State of New South Wales</w:t>
            </w:r>
          </w:p>
        </w:tc>
        <w:tc>
          <w:tcPr>
            <w:tcW w:w="850" w:type="dxa"/>
            <w:shd w:val="clear" w:color="auto" w:fill="auto"/>
          </w:tcPr>
          <w:p w14:paraId="4BC4D428" w14:textId="63506C41" w:rsidR="007C68A4" w:rsidRPr="00C65A07" w:rsidRDefault="004348CF" w:rsidP="00F064A3">
            <w:pPr>
              <w:pStyle w:val="Title"/>
              <w:rPr>
                <w:u w:val="none"/>
              </w:rPr>
            </w:pPr>
            <w:r>
              <w:rPr>
                <w:u w:val="none"/>
              </w:rPr>
              <w:t>7</w:t>
            </w:r>
          </w:p>
        </w:tc>
      </w:tr>
    </w:tbl>
    <w:p w14:paraId="269CBB93" w14:textId="361AC54E" w:rsidR="007C68A4" w:rsidRDefault="007C68A4" w:rsidP="00913869"/>
    <w:p w14:paraId="3C1023DE" w14:textId="7D3EDD37" w:rsidR="007671B5" w:rsidRDefault="007671B5">
      <w:r>
        <w:br w:type="page"/>
      </w:r>
    </w:p>
    <w:p w14:paraId="76E666C9" w14:textId="77777777" w:rsidR="009F0AF6" w:rsidRPr="00FE18CD" w:rsidRDefault="009F0AF6" w:rsidP="009F0AF6">
      <w:pPr>
        <w:rPr>
          <w:b/>
          <w:bCs/>
          <w:sz w:val="28"/>
          <w:szCs w:val="28"/>
        </w:rPr>
      </w:pPr>
      <w:r w:rsidRPr="00FE18CD">
        <w:rPr>
          <w:b/>
          <w:bCs/>
          <w:sz w:val="28"/>
          <w:szCs w:val="28"/>
          <w:u w:val="single"/>
        </w:rPr>
        <w:lastRenderedPageBreak/>
        <w:t>ATTORNEY-GENERAL (CTH) v HUYNH &amp; ORS</w:t>
      </w:r>
      <w:r w:rsidRPr="00FE18CD">
        <w:rPr>
          <w:b/>
          <w:bCs/>
          <w:sz w:val="28"/>
          <w:szCs w:val="28"/>
        </w:rPr>
        <w:t xml:space="preserve"> (S78/2022)</w:t>
      </w:r>
    </w:p>
    <w:p w14:paraId="00021BD8" w14:textId="77777777" w:rsidR="009F0AF6" w:rsidRPr="009E760C" w:rsidRDefault="009F0AF6" w:rsidP="009F0AF6"/>
    <w:p w14:paraId="6BF2D374" w14:textId="77777777" w:rsidR="009F0AF6" w:rsidRPr="000500FB" w:rsidRDefault="009F0AF6" w:rsidP="009F0AF6">
      <w:pPr>
        <w:ind w:left="2694" w:hanging="2694"/>
        <w:rPr>
          <w:rFonts w:cs="Arial"/>
          <w:szCs w:val="24"/>
        </w:rPr>
      </w:pPr>
      <w:r w:rsidRPr="000500FB">
        <w:rPr>
          <w:rFonts w:cs="Arial"/>
          <w:szCs w:val="24"/>
          <w:u w:val="single"/>
        </w:rPr>
        <w:t>Court appealed from</w:t>
      </w:r>
      <w:r w:rsidRPr="000500FB">
        <w:rPr>
          <w:rFonts w:cs="Arial"/>
          <w:szCs w:val="24"/>
        </w:rPr>
        <w:t>:</w:t>
      </w:r>
      <w:r w:rsidRPr="000500FB">
        <w:rPr>
          <w:rFonts w:cs="Arial"/>
          <w:szCs w:val="24"/>
        </w:rPr>
        <w:tab/>
      </w:r>
      <w:r>
        <w:rPr>
          <w:rFonts w:cs="Arial"/>
          <w:szCs w:val="24"/>
        </w:rPr>
        <w:t xml:space="preserve">Court of Appeal of the Supreme Court of </w:t>
      </w:r>
      <w:r>
        <w:rPr>
          <w:rFonts w:cs="Arial"/>
          <w:szCs w:val="24"/>
        </w:rPr>
        <w:br/>
        <w:t>New South Wales</w:t>
      </w:r>
    </w:p>
    <w:p w14:paraId="5DA70CDD" w14:textId="77777777" w:rsidR="009F0AF6" w:rsidRDefault="009F0AF6" w:rsidP="009F0AF6">
      <w:pPr>
        <w:ind w:left="2694"/>
        <w:rPr>
          <w:rFonts w:cs="Arial"/>
          <w:szCs w:val="24"/>
        </w:rPr>
      </w:pPr>
      <w:r w:rsidRPr="001C2532">
        <w:rPr>
          <w:rFonts w:cs="Arial"/>
          <w:szCs w:val="24"/>
        </w:rPr>
        <w:t xml:space="preserve">[2021] </w:t>
      </w:r>
      <w:r>
        <w:rPr>
          <w:rFonts w:cs="Arial"/>
          <w:szCs w:val="24"/>
        </w:rPr>
        <w:t>NSWCA 297</w:t>
      </w:r>
    </w:p>
    <w:p w14:paraId="6CA56E7F" w14:textId="77777777" w:rsidR="009F0AF6" w:rsidRPr="000500FB" w:rsidRDefault="009F0AF6" w:rsidP="009F0AF6">
      <w:pPr>
        <w:ind w:left="2694" w:hanging="2694"/>
        <w:rPr>
          <w:rFonts w:cs="Arial"/>
          <w:szCs w:val="24"/>
        </w:rPr>
      </w:pPr>
    </w:p>
    <w:p w14:paraId="218CF3C7" w14:textId="77777777" w:rsidR="009F0AF6" w:rsidRPr="000500FB" w:rsidRDefault="009F0AF6" w:rsidP="009F0AF6">
      <w:pPr>
        <w:ind w:left="2694" w:hanging="2694"/>
        <w:rPr>
          <w:rFonts w:cs="Arial"/>
          <w:szCs w:val="24"/>
        </w:rPr>
      </w:pPr>
      <w:r w:rsidRPr="000500FB">
        <w:rPr>
          <w:rFonts w:cs="Arial"/>
          <w:szCs w:val="24"/>
          <w:u w:val="single"/>
        </w:rPr>
        <w:t>Date of judgment</w:t>
      </w:r>
      <w:r w:rsidRPr="000500FB">
        <w:rPr>
          <w:rFonts w:cs="Arial"/>
          <w:szCs w:val="24"/>
        </w:rPr>
        <w:t>:</w:t>
      </w:r>
      <w:r w:rsidRPr="000500FB">
        <w:rPr>
          <w:rFonts w:cs="Arial"/>
          <w:szCs w:val="24"/>
        </w:rPr>
        <w:tab/>
      </w:r>
      <w:r>
        <w:rPr>
          <w:rFonts w:cs="Arial"/>
          <w:szCs w:val="24"/>
        </w:rPr>
        <w:t xml:space="preserve">8 December 2021 </w:t>
      </w:r>
    </w:p>
    <w:p w14:paraId="3770D3AA" w14:textId="77777777" w:rsidR="009F0AF6" w:rsidRPr="000500FB" w:rsidRDefault="009F0AF6" w:rsidP="009F0AF6">
      <w:pPr>
        <w:ind w:left="2694" w:hanging="2694"/>
        <w:rPr>
          <w:rFonts w:cs="Arial"/>
          <w:szCs w:val="24"/>
        </w:rPr>
      </w:pPr>
    </w:p>
    <w:p w14:paraId="7E74E756" w14:textId="77777777" w:rsidR="009F0AF6" w:rsidRDefault="009F0AF6" w:rsidP="009F0AF6">
      <w:pPr>
        <w:ind w:left="2694" w:hanging="2694"/>
        <w:rPr>
          <w:rFonts w:cs="Arial"/>
          <w:szCs w:val="24"/>
        </w:rPr>
      </w:pPr>
      <w:r w:rsidRPr="000500FB">
        <w:rPr>
          <w:rFonts w:cs="Arial"/>
          <w:szCs w:val="24"/>
          <w:u w:val="single"/>
        </w:rPr>
        <w:t>Special leave granted</w:t>
      </w:r>
      <w:r w:rsidRPr="000500FB">
        <w:rPr>
          <w:rFonts w:cs="Arial"/>
          <w:szCs w:val="24"/>
        </w:rPr>
        <w:t>:</w:t>
      </w:r>
      <w:r w:rsidRPr="000500FB">
        <w:rPr>
          <w:rFonts w:cs="Arial"/>
          <w:szCs w:val="24"/>
        </w:rPr>
        <w:tab/>
      </w:r>
      <w:r>
        <w:rPr>
          <w:rFonts w:cs="Arial"/>
          <w:szCs w:val="24"/>
        </w:rPr>
        <w:t>12 May 2022</w:t>
      </w:r>
    </w:p>
    <w:p w14:paraId="65DBD27D" w14:textId="77777777" w:rsidR="009F0AF6" w:rsidRDefault="009F0AF6" w:rsidP="009F0AF6">
      <w:pPr>
        <w:rPr>
          <w:rFonts w:cs="Arial"/>
          <w:color w:val="333333"/>
          <w:szCs w:val="24"/>
          <w:shd w:val="clear" w:color="auto" w:fill="FFFFFF"/>
        </w:rPr>
      </w:pPr>
    </w:p>
    <w:p w14:paraId="3D26F62D" w14:textId="70613978" w:rsidR="009F0AF6" w:rsidRDefault="009F0AF6" w:rsidP="0072576E">
      <w:pPr>
        <w:pStyle w:val="NormalWeb"/>
        <w:shd w:val="clear" w:color="auto" w:fill="FFFFFF"/>
        <w:spacing w:before="0" w:beforeAutospacing="0" w:after="0" w:afterAutospacing="0"/>
        <w:jc w:val="both"/>
        <w:rPr>
          <w:rFonts w:ascii="Arial" w:hAnsi="Arial" w:cs="Arial"/>
        </w:rPr>
      </w:pPr>
      <w:r w:rsidRPr="009D1A33">
        <w:rPr>
          <w:rFonts w:ascii="Arial" w:hAnsi="Arial" w:cs="Arial"/>
        </w:rPr>
        <w:t>In 2015</w:t>
      </w:r>
      <w:r>
        <w:rPr>
          <w:rFonts w:ascii="Arial" w:hAnsi="Arial" w:cs="Arial"/>
        </w:rPr>
        <w:t>,</w:t>
      </w:r>
      <w:r w:rsidRPr="009D1A33">
        <w:rPr>
          <w:rFonts w:ascii="Arial" w:hAnsi="Arial" w:cs="Arial"/>
        </w:rPr>
        <w:t xml:space="preserve"> the </w:t>
      </w:r>
      <w:r>
        <w:rPr>
          <w:rFonts w:ascii="Arial" w:hAnsi="Arial" w:cs="Arial"/>
        </w:rPr>
        <w:t>F</w:t>
      </w:r>
      <w:r w:rsidRPr="009D1A33">
        <w:rPr>
          <w:rFonts w:ascii="Arial" w:hAnsi="Arial" w:cs="Arial"/>
        </w:rPr>
        <w:t xml:space="preserve">irst </w:t>
      </w:r>
      <w:r>
        <w:rPr>
          <w:rFonts w:ascii="Arial" w:hAnsi="Arial" w:cs="Arial"/>
        </w:rPr>
        <w:t>R</w:t>
      </w:r>
      <w:r w:rsidRPr="009D1A33">
        <w:rPr>
          <w:rFonts w:ascii="Arial" w:hAnsi="Arial" w:cs="Arial"/>
        </w:rPr>
        <w:t>espondent (</w:t>
      </w:r>
      <w:r>
        <w:rPr>
          <w:rFonts w:ascii="Arial" w:hAnsi="Arial" w:cs="Arial"/>
        </w:rPr>
        <w:t xml:space="preserve">“Mr </w:t>
      </w:r>
      <w:r w:rsidRPr="009D1A33">
        <w:rPr>
          <w:rFonts w:ascii="Arial" w:hAnsi="Arial" w:cs="Arial"/>
        </w:rPr>
        <w:t>Huynh</w:t>
      </w:r>
      <w:r>
        <w:rPr>
          <w:rFonts w:ascii="Arial" w:hAnsi="Arial" w:cs="Arial"/>
        </w:rPr>
        <w:t>”</w:t>
      </w:r>
      <w:r w:rsidRPr="009D1A33">
        <w:rPr>
          <w:rFonts w:ascii="Arial" w:hAnsi="Arial" w:cs="Arial"/>
        </w:rPr>
        <w:t>) was convicted of conspiring to import a commercial quantity of a border-controlled precursor, in breach of the </w:t>
      </w:r>
      <w:r>
        <w:rPr>
          <w:rFonts w:ascii="Arial" w:hAnsi="Arial" w:cs="Arial"/>
        </w:rPr>
        <w:br/>
      </w:r>
      <w:r w:rsidRPr="009D1A33">
        <w:rPr>
          <w:rFonts w:ascii="Arial" w:hAnsi="Arial" w:cs="Arial"/>
          <w:i/>
          <w:iCs/>
        </w:rPr>
        <w:t>Criminal Code 1995 </w:t>
      </w:r>
      <w:r w:rsidRPr="009D1A33">
        <w:rPr>
          <w:rFonts w:ascii="Arial" w:hAnsi="Arial" w:cs="Arial"/>
        </w:rPr>
        <w:t>(</w:t>
      </w:r>
      <w:proofErr w:type="spellStart"/>
      <w:r w:rsidRPr="009D1A33">
        <w:rPr>
          <w:rFonts w:ascii="Arial" w:hAnsi="Arial" w:cs="Arial"/>
        </w:rPr>
        <w:t>Cth</w:t>
      </w:r>
      <w:proofErr w:type="spellEnd"/>
      <w:proofErr w:type="gramStart"/>
      <w:r w:rsidRPr="009D1A33">
        <w:rPr>
          <w:rFonts w:ascii="Arial" w:hAnsi="Arial" w:cs="Arial"/>
        </w:rPr>
        <w:t>)</w:t>
      </w:r>
      <w:r>
        <w:rPr>
          <w:rFonts w:ascii="Arial" w:hAnsi="Arial" w:cs="Arial"/>
        </w:rPr>
        <w:t>,</w:t>
      </w:r>
      <w:r w:rsidRPr="009D1A33">
        <w:rPr>
          <w:rFonts w:ascii="Arial" w:hAnsi="Arial" w:cs="Arial"/>
        </w:rPr>
        <w:t xml:space="preserve"> and</w:t>
      </w:r>
      <w:proofErr w:type="gramEnd"/>
      <w:r>
        <w:rPr>
          <w:rFonts w:ascii="Arial" w:hAnsi="Arial" w:cs="Arial"/>
        </w:rPr>
        <w:t xml:space="preserve"> was</w:t>
      </w:r>
      <w:r w:rsidRPr="009D1A33">
        <w:rPr>
          <w:rFonts w:ascii="Arial" w:hAnsi="Arial" w:cs="Arial"/>
        </w:rPr>
        <w:t xml:space="preserve"> sentenced to 12 years imprisonment with a </w:t>
      </w:r>
      <w:r w:rsidR="005D343B">
        <w:rPr>
          <w:rFonts w:ascii="Arial" w:hAnsi="Arial" w:cs="Arial"/>
        </w:rPr>
        <w:br/>
      </w:r>
      <w:r w:rsidRPr="009D1A33">
        <w:rPr>
          <w:rFonts w:ascii="Arial" w:hAnsi="Arial" w:cs="Arial"/>
        </w:rPr>
        <w:t xml:space="preserve">non-parole period of 8 years. </w:t>
      </w:r>
      <w:r>
        <w:rPr>
          <w:rFonts w:ascii="Arial" w:hAnsi="Arial" w:cs="Arial"/>
        </w:rPr>
        <w:t xml:space="preserve"> </w:t>
      </w:r>
      <w:r w:rsidRPr="009D1A33">
        <w:rPr>
          <w:rFonts w:ascii="Arial" w:hAnsi="Arial" w:cs="Arial"/>
        </w:rPr>
        <w:t xml:space="preserve">He unsuccessfully appealed against </w:t>
      </w:r>
      <w:r>
        <w:rPr>
          <w:rFonts w:ascii="Arial" w:hAnsi="Arial" w:cs="Arial"/>
        </w:rPr>
        <w:t xml:space="preserve">his </w:t>
      </w:r>
      <w:r w:rsidRPr="009D1A33">
        <w:rPr>
          <w:rFonts w:ascii="Arial" w:hAnsi="Arial" w:cs="Arial"/>
        </w:rPr>
        <w:t>conviction in 2017</w:t>
      </w:r>
      <w:r>
        <w:rPr>
          <w:rFonts w:ascii="Arial" w:hAnsi="Arial" w:cs="Arial"/>
        </w:rPr>
        <w:t xml:space="preserve">; his </w:t>
      </w:r>
      <w:r w:rsidRPr="009D1A33">
        <w:rPr>
          <w:rFonts w:ascii="Arial" w:hAnsi="Arial" w:cs="Arial"/>
        </w:rPr>
        <w:t>application for special leave to appeal to the High Court was dismissed in 201</w:t>
      </w:r>
      <w:r>
        <w:rPr>
          <w:rFonts w:ascii="Arial" w:hAnsi="Arial" w:cs="Arial"/>
        </w:rPr>
        <w:t>9</w:t>
      </w:r>
      <w:r w:rsidRPr="009D1A33">
        <w:rPr>
          <w:rFonts w:ascii="Arial" w:hAnsi="Arial" w:cs="Arial"/>
        </w:rPr>
        <w:t>.</w:t>
      </w:r>
    </w:p>
    <w:p w14:paraId="1ABF045A" w14:textId="77777777" w:rsidR="009F0AF6" w:rsidRDefault="009F0AF6" w:rsidP="0072576E">
      <w:pPr>
        <w:pStyle w:val="NormalWeb"/>
        <w:shd w:val="clear" w:color="auto" w:fill="FFFFFF"/>
        <w:spacing w:before="0" w:beforeAutospacing="0" w:after="0" w:afterAutospacing="0"/>
        <w:jc w:val="both"/>
        <w:rPr>
          <w:rFonts w:ascii="Arial" w:hAnsi="Arial" w:cs="Arial"/>
        </w:rPr>
      </w:pPr>
    </w:p>
    <w:p w14:paraId="2D16A8AB" w14:textId="5448ADB7" w:rsidR="009F0AF6" w:rsidRDefault="009F0AF6" w:rsidP="0072576E">
      <w:pPr>
        <w:pStyle w:val="NormalWeb"/>
        <w:shd w:val="clear" w:color="auto" w:fill="FFFFFF"/>
        <w:spacing w:before="0" w:beforeAutospacing="0" w:after="0" w:afterAutospacing="0"/>
        <w:jc w:val="both"/>
        <w:rPr>
          <w:rFonts w:ascii="Arial" w:hAnsi="Arial" w:cs="Arial"/>
        </w:rPr>
      </w:pPr>
      <w:r w:rsidRPr="009D1A33">
        <w:rPr>
          <w:rFonts w:ascii="Arial" w:hAnsi="Arial" w:cs="Arial"/>
        </w:rPr>
        <w:t>In March 2020, having exhausted all available avenues of appeal,</w:t>
      </w:r>
      <w:r>
        <w:rPr>
          <w:rFonts w:ascii="Arial" w:hAnsi="Arial" w:cs="Arial"/>
        </w:rPr>
        <w:t xml:space="preserve"> Mr</w:t>
      </w:r>
      <w:r w:rsidRPr="009D1A33">
        <w:rPr>
          <w:rFonts w:ascii="Arial" w:hAnsi="Arial" w:cs="Arial"/>
        </w:rPr>
        <w:t xml:space="preserve"> Huynh applied to the Supreme Court under </w:t>
      </w:r>
      <w:r w:rsidRPr="00663FF9">
        <w:rPr>
          <w:rFonts w:ascii="Arial" w:hAnsi="Arial" w:cs="Arial"/>
        </w:rPr>
        <w:t>s 78</w:t>
      </w:r>
      <w:r w:rsidRPr="009D1A33">
        <w:rPr>
          <w:rFonts w:ascii="Arial" w:hAnsi="Arial" w:cs="Arial"/>
        </w:rPr>
        <w:t> of the </w:t>
      </w:r>
      <w:r w:rsidRPr="00663FF9">
        <w:rPr>
          <w:rFonts w:ascii="Arial" w:hAnsi="Arial" w:cs="Arial"/>
          <w:i/>
          <w:iCs/>
        </w:rPr>
        <w:t>Crimes (Appeal and Review) Act 2001</w:t>
      </w:r>
      <w:r w:rsidRPr="009D1A33">
        <w:rPr>
          <w:rFonts w:ascii="Arial" w:hAnsi="Arial" w:cs="Arial"/>
          <w:i/>
          <w:iCs/>
        </w:rPr>
        <w:t> </w:t>
      </w:r>
      <w:r w:rsidRPr="009D1A33">
        <w:rPr>
          <w:rFonts w:ascii="Arial" w:hAnsi="Arial" w:cs="Arial"/>
        </w:rPr>
        <w:t>(NSW) (</w:t>
      </w:r>
      <w:r>
        <w:rPr>
          <w:rFonts w:ascii="Arial" w:hAnsi="Arial" w:cs="Arial"/>
        </w:rPr>
        <w:t>“</w:t>
      </w:r>
      <w:r w:rsidRPr="009D1A33">
        <w:rPr>
          <w:rFonts w:ascii="Arial" w:hAnsi="Arial" w:cs="Arial"/>
        </w:rPr>
        <w:t>the Act</w:t>
      </w:r>
      <w:r>
        <w:rPr>
          <w:rFonts w:ascii="Arial" w:hAnsi="Arial" w:cs="Arial"/>
        </w:rPr>
        <w:t>”</w:t>
      </w:r>
      <w:r w:rsidRPr="009D1A33">
        <w:rPr>
          <w:rFonts w:ascii="Arial" w:hAnsi="Arial" w:cs="Arial"/>
        </w:rPr>
        <w:t xml:space="preserve">) for an inquiry into his conviction. </w:t>
      </w:r>
      <w:r>
        <w:rPr>
          <w:rFonts w:ascii="Arial" w:hAnsi="Arial" w:cs="Arial"/>
        </w:rPr>
        <w:t xml:space="preserve"> Mr </w:t>
      </w:r>
      <w:r w:rsidRPr="009D1A33">
        <w:rPr>
          <w:rFonts w:ascii="Arial" w:hAnsi="Arial" w:cs="Arial"/>
        </w:rPr>
        <w:t xml:space="preserve">Huynh was </w:t>
      </w:r>
      <w:r>
        <w:rPr>
          <w:rFonts w:ascii="Arial" w:hAnsi="Arial" w:cs="Arial"/>
        </w:rPr>
        <w:br/>
      </w:r>
      <w:r w:rsidRPr="009D1A33">
        <w:rPr>
          <w:rFonts w:ascii="Arial" w:hAnsi="Arial" w:cs="Arial"/>
        </w:rPr>
        <w:t xml:space="preserve">self-represented. </w:t>
      </w:r>
      <w:r>
        <w:rPr>
          <w:rFonts w:ascii="Arial" w:hAnsi="Arial" w:cs="Arial"/>
        </w:rPr>
        <w:t xml:space="preserve"> </w:t>
      </w:r>
      <w:proofErr w:type="spellStart"/>
      <w:r w:rsidRPr="009D1A33">
        <w:rPr>
          <w:rFonts w:ascii="Arial" w:hAnsi="Arial" w:cs="Arial"/>
        </w:rPr>
        <w:t>Garling</w:t>
      </w:r>
      <w:proofErr w:type="spellEnd"/>
      <w:r w:rsidRPr="009D1A33">
        <w:rPr>
          <w:rFonts w:ascii="Arial" w:hAnsi="Arial" w:cs="Arial"/>
        </w:rPr>
        <w:t xml:space="preserve"> J dismissed </w:t>
      </w:r>
      <w:r>
        <w:rPr>
          <w:rFonts w:ascii="Arial" w:hAnsi="Arial" w:cs="Arial"/>
        </w:rPr>
        <w:t xml:space="preserve">his </w:t>
      </w:r>
      <w:r w:rsidRPr="009D1A33">
        <w:rPr>
          <w:rFonts w:ascii="Arial" w:hAnsi="Arial" w:cs="Arial"/>
        </w:rPr>
        <w:t xml:space="preserve">application in October 2020. </w:t>
      </w:r>
      <w:r>
        <w:rPr>
          <w:rFonts w:ascii="Arial" w:hAnsi="Arial" w:cs="Arial"/>
        </w:rPr>
        <w:br/>
        <w:t xml:space="preserve">Mr </w:t>
      </w:r>
      <w:r w:rsidRPr="009D1A33">
        <w:rPr>
          <w:rFonts w:ascii="Arial" w:hAnsi="Arial" w:cs="Arial"/>
        </w:rPr>
        <w:t xml:space="preserve">Huynh then sought an order in the supervisory jurisdiction of the Court of Appeal quashing that decision on the ground that the judge had erred in law. </w:t>
      </w:r>
      <w:r>
        <w:rPr>
          <w:rFonts w:ascii="Arial" w:hAnsi="Arial" w:cs="Arial"/>
        </w:rPr>
        <w:t xml:space="preserve"> </w:t>
      </w:r>
      <w:r>
        <w:rPr>
          <w:rFonts w:ascii="Arial" w:hAnsi="Arial" w:cs="Arial"/>
        </w:rPr>
        <w:br/>
      </w:r>
      <w:r w:rsidRPr="009D1A33">
        <w:rPr>
          <w:rFonts w:ascii="Arial" w:hAnsi="Arial" w:cs="Arial"/>
        </w:rPr>
        <w:t xml:space="preserve">At that point, questions were raised about the significance of the fact that </w:t>
      </w:r>
      <w:r>
        <w:rPr>
          <w:rFonts w:ascii="Arial" w:hAnsi="Arial" w:cs="Arial"/>
        </w:rPr>
        <w:br/>
        <w:t xml:space="preserve">Mr </w:t>
      </w:r>
      <w:r w:rsidRPr="009D1A33">
        <w:rPr>
          <w:rFonts w:ascii="Arial" w:hAnsi="Arial" w:cs="Arial"/>
        </w:rPr>
        <w:t xml:space="preserve">Huynh had been convicted of Commonwealth rather than State offences. </w:t>
      </w:r>
      <w:r>
        <w:rPr>
          <w:rFonts w:ascii="Arial" w:hAnsi="Arial" w:cs="Arial"/>
        </w:rPr>
        <w:t xml:space="preserve"> </w:t>
      </w:r>
      <w:r>
        <w:rPr>
          <w:rFonts w:ascii="Arial" w:hAnsi="Arial" w:cs="Arial"/>
        </w:rPr>
        <w:br/>
      </w:r>
      <w:r w:rsidRPr="009D1A33">
        <w:rPr>
          <w:rFonts w:ascii="Arial" w:hAnsi="Arial" w:cs="Arial"/>
        </w:rPr>
        <w:t>The issues considered by the Court were whether the post-appeal inquiry procedures under Part 7 of the Act: (1) conferred judicial or administrative functions on a judge of the Supreme Court; (2) are available, as laws of the State, to review convictions for federal offences; and (3) if they do not apply of their own force, whether they are picked up and applied as federal law.</w:t>
      </w:r>
      <w:r>
        <w:rPr>
          <w:rFonts w:ascii="Arial" w:hAnsi="Arial" w:cs="Arial"/>
        </w:rPr>
        <w:t xml:space="preserve">  </w:t>
      </w:r>
      <w:r w:rsidRPr="009D1A33">
        <w:rPr>
          <w:rFonts w:ascii="Arial" w:hAnsi="Arial" w:cs="Arial"/>
        </w:rPr>
        <w:t xml:space="preserve">The Court of Appeal (Bathurst CJ, </w:t>
      </w:r>
      <w:proofErr w:type="spellStart"/>
      <w:r w:rsidRPr="009D1A33">
        <w:rPr>
          <w:rFonts w:ascii="Arial" w:hAnsi="Arial" w:cs="Arial"/>
        </w:rPr>
        <w:t>Basten</w:t>
      </w:r>
      <w:proofErr w:type="spellEnd"/>
      <w:r w:rsidRPr="009D1A33">
        <w:rPr>
          <w:rFonts w:ascii="Arial" w:hAnsi="Arial" w:cs="Arial"/>
        </w:rPr>
        <w:t>, Gleeson, Leeming &amp; Payne JJA) dismissed the application</w:t>
      </w:r>
      <w:r>
        <w:rPr>
          <w:rFonts w:ascii="Arial" w:hAnsi="Arial" w:cs="Arial"/>
        </w:rPr>
        <w:t xml:space="preserve">.  As to (1), the Court held that the power conferred was administrative.  As to (2), </w:t>
      </w:r>
      <w:r w:rsidR="001D28CC">
        <w:rPr>
          <w:rFonts w:ascii="Arial" w:hAnsi="Arial" w:cs="Arial"/>
        </w:rPr>
        <w:br/>
      </w:r>
      <w:r>
        <w:rPr>
          <w:rFonts w:ascii="Arial" w:hAnsi="Arial" w:cs="Arial"/>
        </w:rPr>
        <w:t xml:space="preserve">a majority held that the relevant provisions did not apply of their own force.  </w:t>
      </w:r>
      <w:r>
        <w:rPr>
          <w:rFonts w:ascii="Arial" w:hAnsi="Arial" w:cs="Arial"/>
        </w:rPr>
        <w:br/>
        <w:t xml:space="preserve">As to (3), the Court held that s 68(1) of the </w:t>
      </w:r>
      <w:r w:rsidRPr="001D1614">
        <w:rPr>
          <w:rFonts w:ascii="Arial" w:hAnsi="Arial" w:cs="Arial"/>
          <w:i/>
          <w:iCs/>
        </w:rPr>
        <w:t>Judiciary Act 1903</w:t>
      </w:r>
      <w:r>
        <w:rPr>
          <w:rFonts w:ascii="Arial" w:hAnsi="Arial" w:cs="Arial"/>
        </w:rPr>
        <w:t xml:space="preserve"> (</w:t>
      </w:r>
      <w:proofErr w:type="spellStart"/>
      <w:r>
        <w:rPr>
          <w:rFonts w:ascii="Arial" w:hAnsi="Arial" w:cs="Arial"/>
        </w:rPr>
        <w:t>Cth</w:t>
      </w:r>
      <w:proofErr w:type="spellEnd"/>
      <w:r>
        <w:rPr>
          <w:rFonts w:ascii="Arial" w:hAnsi="Arial" w:cs="Arial"/>
        </w:rPr>
        <w:t xml:space="preserve">) </w:t>
      </w:r>
      <w:r>
        <w:rPr>
          <w:rFonts w:ascii="Arial" w:hAnsi="Arial" w:cs="Arial"/>
        </w:rPr>
        <w:br/>
      </w:r>
      <w:r w:rsidRPr="001D1614">
        <w:rPr>
          <w:rFonts w:ascii="Arial" w:hAnsi="Arial" w:cs="Arial"/>
        </w:rPr>
        <w:t>(</w:t>
      </w:r>
      <w:r>
        <w:rPr>
          <w:rFonts w:ascii="Arial" w:hAnsi="Arial" w:cs="Arial"/>
        </w:rPr>
        <w:t>“</w:t>
      </w:r>
      <w:r w:rsidRPr="001D1614">
        <w:rPr>
          <w:rFonts w:ascii="Arial" w:hAnsi="Arial" w:cs="Arial"/>
        </w:rPr>
        <w:t>Judiciary Act</w:t>
      </w:r>
      <w:r>
        <w:rPr>
          <w:rFonts w:ascii="Arial" w:hAnsi="Arial" w:cs="Arial"/>
        </w:rPr>
        <w:t>”</w:t>
      </w:r>
      <w:r w:rsidRPr="001D1614">
        <w:rPr>
          <w:rFonts w:ascii="Arial" w:hAnsi="Arial" w:cs="Arial"/>
        </w:rPr>
        <w:t>)</w:t>
      </w:r>
      <w:r w:rsidRPr="009D1A33">
        <w:t xml:space="preserve"> </w:t>
      </w:r>
      <w:r>
        <w:rPr>
          <w:rFonts w:ascii="Arial" w:hAnsi="Arial" w:cs="Arial"/>
        </w:rPr>
        <w:t>did not pick up the relevant provisions.</w:t>
      </w:r>
      <w:r w:rsidR="0037344E">
        <w:rPr>
          <w:rFonts w:ascii="Arial" w:hAnsi="Arial" w:cs="Arial"/>
        </w:rPr>
        <w:t xml:space="preserve"> </w:t>
      </w:r>
    </w:p>
    <w:p w14:paraId="595175E5" w14:textId="77777777" w:rsidR="009F0AF6" w:rsidRPr="009D1A33" w:rsidRDefault="009F0AF6" w:rsidP="0072576E">
      <w:pPr>
        <w:pStyle w:val="NormalWeb"/>
        <w:shd w:val="clear" w:color="auto" w:fill="FFFFFF"/>
        <w:spacing w:before="0" w:beforeAutospacing="0" w:after="0" w:afterAutospacing="0"/>
        <w:jc w:val="both"/>
        <w:rPr>
          <w:rFonts w:ascii="Arial" w:hAnsi="Arial" w:cs="Arial"/>
        </w:rPr>
      </w:pPr>
    </w:p>
    <w:p w14:paraId="2524C0DD" w14:textId="77777777" w:rsidR="009F0AF6" w:rsidRDefault="009F0AF6" w:rsidP="0072576E">
      <w:pPr>
        <w:jc w:val="both"/>
      </w:pPr>
      <w:r w:rsidRPr="009D1A33">
        <w:t>In this Court</w:t>
      </w:r>
      <w:r>
        <w:t>,</w:t>
      </w:r>
      <w:r w:rsidRPr="009D1A33">
        <w:t xml:space="preserve"> the Appellant contends that the following questions should </w:t>
      </w:r>
      <w:r>
        <w:t xml:space="preserve">all </w:t>
      </w:r>
      <w:r w:rsidRPr="009D1A33">
        <w:t xml:space="preserve">be answered ‘yes’: </w:t>
      </w:r>
    </w:p>
    <w:p w14:paraId="0E079CA1" w14:textId="77777777" w:rsidR="009F0AF6" w:rsidRDefault="009F0AF6" w:rsidP="009F0AF6"/>
    <w:p w14:paraId="551084C2" w14:textId="77777777" w:rsidR="009F0AF6" w:rsidRDefault="009F0AF6" w:rsidP="009F0AF6">
      <w:pPr>
        <w:pStyle w:val="ListParagraph"/>
        <w:numPr>
          <w:ilvl w:val="0"/>
          <w:numId w:val="11"/>
        </w:numPr>
        <w:ind w:hanging="720"/>
      </w:pPr>
      <w:r w:rsidRPr="009D1A33">
        <w:t xml:space="preserve">Is the function conferred by </w:t>
      </w:r>
      <w:proofErr w:type="spellStart"/>
      <w:r w:rsidRPr="009D1A33">
        <w:t>Div</w:t>
      </w:r>
      <w:proofErr w:type="spellEnd"/>
      <w:r w:rsidRPr="009D1A33">
        <w:t xml:space="preserve"> 3 of Part 7 of the Appeal and Review Act an administrative function that is conferred on Supreme Court judges</w:t>
      </w:r>
      <w:r>
        <w:t xml:space="preserve"> as</w:t>
      </w:r>
      <w:r w:rsidRPr="009D1A33">
        <w:t xml:space="preserve"> persona </w:t>
      </w:r>
      <w:proofErr w:type="spellStart"/>
      <w:r w:rsidRPr="009D1A33">
        <w:t>designata</w:t>
      </w:r>
      <w:proofErr w:type="spellEnd"/>
      <w:r w:rsidRPr="009D1A33">
        <w:t>? (</w:t>
      </w:r>
      <w:r>
        <w:t>“</w:t>
      </w:r>
      <w:r w:rsidRPr="009D1A33">
        <w:t>Question 1</w:t>
      </w:r>
      <w:r>
        <w:t>”</w:t>
      </w:r>
      <w:proofErr w:type="gramStart"/>
      <w:r w:rsidRPr="009D1A33">
        <w:t>)</w:t>
      </w:r>
      <w:r>
        <w:t>;</w:t>
      </w:r>
      <w:proofErr w:type="gramEnd"/>
      <w:r w:rsidRPr="009D1A33">
        <w:t xml:space="preserve"> </w:t>
      </w:r>
    </w:p>
    <w:p w14:paraId="75C1F01F" w14:textId="77777777" w:rsidR="009F0AF6" w:rsidRDefault="009F0AF6" w:rsidP="009F0AF6"/>
    <w:p w14:paraId="2C25D9D0" w14:textId="77777777" w:rsidR="009F0AF6" w:rsidRDefault="009F0AF6" w:rsidP="009F0AF6">
      <w:pPr>
        <w:pStyle w:val="ListParagraph"/>
        <w:numPr>
          <w:ilvl w:val="0"/>
          <w:numId w:val="11"/>
        </w:numPr>
        <w:ind w:hanging="720"/>
      </w:pPr>
      <w:r w:rsidRPr="009D1A33">
        <w:t xml:space="preserve">If the answer to Question 1 is ‘yes’, then does </w:t>
      </w:r>
      <w:proofErr w:type="spellStart"/>
      <w:r w:rsidRPr="009D1A33">
        <w:t>Div</w:t>
      </w:r>
      <w:proofErr w:type="spellEnd"/>
      <w:r w:rsidRPr="009D1A33">
        <w:t xml:space="preserve"> 3 of Part 7 apply of its own force to federal offenders who are convicted and sentenced in New South Wales courts? (</w:t>
      </w:r>
      <w:r>
        <w:t>“</w:t>
      </w:r>
      <w:r w:rsidRPr="009D1A33">
        <w:t>Question 2</w:t>
      </w:r>
      <w:r>
        <w:t>”</w:t>
      </w:r>
      <w:proofErr w:type="gramStart"/>
      <w:r w:rsidRPr="009D1A33">
        <w:t>)</w:t>
      </w:r>
      <w:r>
        <w:t>;</w:t>
      </w:r>
      <w:proofErr w:type="gramEnd"/>
      <w:r w:rsidRPr="009D1A33">
        <w:t xml:space="preserve"> </w:t>
      </w:r>
    </w:p>
    <w:p w14:paraId="4321C07A" w14:textId="77777777" w:rsidR="009F0AF6" w:rsidRDefault="009F0AF6" w:rsidP="009F0AF6"/>
    <w:p w14:paraId="00E1DFD7" w14:textId="77777777" w:rsidR="009F0AF6" w:rsidRPr="001B748F" w:rsidRDefault="009F0AF6" w:rsidP="009F0AF6">
      <w:pPr>
        <w:pStyle w:val="ListParagraph"/>
        <w:numPr>
          <w:ilvl w:val="0"/>
          <w:numId w:val="11"/>
        </w:numPr>
        <w:ind w:hanging="720"/>
        <w:rPr>
          <w:rFonts w:cs="Arial"/>
          <w:szCs w:val="24"/>
        </w:rPr>
      </w:pPr>
      <w:r w:rsidRPr="009D1A33">
        <w:t xml:space="preserve">Does s 68(1) of the </w:t>
      </w:r>
      <w:r w:rsidRPr="001D1614">
        <w:t>Judiciary Act</w:t>
      </w:r>
      <w:r w:rsidRPr="001B748F">
        <w:rPr>
          <w:i/>
          <w:iCs/>
        </w:rPr>
        <w:t xml:space="preserve"> </w:t>
      </w:r>
      <w:r w:rsidRPr="009D1A33">
        <w:t xml:space="preserve">pick up and apply </w:t>
      </w:r>
      <w:proofErr w:type="spellStart"/>
      <w:r w:rsidRPr="009D1A33">
        <w:t>Div</w:t>
      </w:r>
      <w:proofErr w:type="spellEnd"/>
      <w:r w:rsidRPr="009D1A33">
        <w:t xml:space="preserve"> 3 of Part 7 as federal law? (</w:t>
      </w:r>
      <w:r>
        <w:t>“</w:t>
      </w:r>
      <w:r w:rsidRPr="009D1A33">
        <w:t>Question 3</w:t>
      </w:r>
      <w:r>
        <w:t>”</w:t>
      </w:r>
      <w:r w:rsidRPr="009D1A33">
        <w:t>)</w:t>
      </w:r>
      <w:r>
        <w:t>.</w:t>
      </w:r>
    </w:p>
    <w:p w14:paraId="7454F493" w14:textId="77777777" w:rsidR="009F0AF6" w:rsidRDefault="009F0AF6" w:rsidP="009F0AF6">
      <w:pPr>
        <w:rPr>
          <w:rFonts w:cs="Arial"/>
          <w:szCs w:val="24"/>
        </w:rPr>
      </w:pPr>
    </w:p>
    <w:p w14:paraId="20E1CF1D" w14:textId="77777777" w:rsidR="001A3AD7" w:rsidRDefault="001A3AD7" w:rsidP="001A3AD7">
      <w:pPr>
        <w:jc w:val="both"/>
        <w:rPr>
          <w:rFonts w:cs="Arial"/>
          <w:szCs w:val="24"/>
        </w:rPr>
      </w:pPr>
    </w:p>
    <w:p w14:paraId="73BCFE60" w14:textId="77777777" w:rsidR="001A3AD7" w:rsidRDefault="001A3AD7" w:rsidP="001A3AD7">
      <w:pPr>
        <w:jc w:val="both"/>
        <w:rPr>
          <w:rFonts w:cs="Arial"/>
          <w:szCs w:val="24"/>
        </w:rPr>
      </w:pPr>
    </w:p>
    <w:p w14:paraId="6B650F9E" w14:textId="77777777" w:rsidR="001A3AD7" w:rsidRDefault="001A3AD7" w:rsidP="001A3AD7">
      <w:pPr>
        <w:jc w:val="both"/>
        <w:rPr>
          <w:rFonts w:cs="Arial"/>
          <w:szCs w:val="24"/>
        </w:rPr>
      </w:pPr>
    </w:p>
    <w:p w14:paraId="7A379174" w14:textId="34779A3E" w:rsidR="009F0AF6" w:rsidRDefault="009F0AF6" w:rsidP="00D77D95">
      <w:pPr>
        <w:jc w:val="both"/>
        <w:rPr>
          <w:rFonts w:cs="Arial"/>
          <w:szCs w:val="24"/>
        </w:rPr>
      </w:pPr>
      <w:proofErr w:type="spellStart"/>
      <w:r>
        <w:rPr>
          <w:rFonts w:cs="Arial"/>
          <w:szCs w:val="24"/>
        </w:rPr>
        <w:lastRenderedPageBreak/>
        <w:t>Mr</w:t>
      </w:r>
      <w:proofErr w:type="spellEnd"/>
      <w:r>
        <w:rPr>
          <w:rFonts w:cs="Arial"/>
          <w:szCs w:val="24"/>
        </w:rPr>
        <w:t xml:space="preserve"> </w:t>
      </w:r>
      <w:r w:rsidRPr="009D1A33">
        <w:rPr>
          <w:rFonts w:cs="Arial"/>
          <w:szCs w:val="24"/>
        </w:rPr>
        <w:t xml:space="preserve">Huynh agrees with the Appellant’s submissions. </w:t>
      </w:r>
      <w:r>
        <w:rPr>
          <w:rFonts w:cs="Arial"/>
          <w:szCs w:val="24"/>
        </w:rPr>
        <w:t xml:space="preserve"> The Third Respondent</w:t>
      </w:r>
      <w:r w:rsidR="001A3AD7">
        <w:rPr>
          <w:rFonts w:cs="Arial"/>
          <w:szCs w:val="24"/>
        </w:rPr>
        <w:t xml:space="preserve"> </w:t>
      </w:r>
      <w:r>
        <w:rPr>
          <w:rFonts w:cs="Arial"/>
          <w:szCs w:val="24"/>
        </w:rPr>
        <w:t xml:space="preserve">(Supreme Court of NSW) filed a submitting appearance, as has the </w:t>
      </w:r>
      <w:r w:rsidR="001A3AD7">
        <w:rPr>
          <w:rFonts w:cs="Arial"/>
          <w:szCs w:val="24"/>
        </w:rPr>
        <w:br/>
      </w:r>
      <w:r>
        <w:rPr>
          <w:rFonts w:cs="Arial"/>
          <w:szCs w:val="24"/>
        </w:rPr>
        <w:t xml:space="preserve">Second Respondent (Attorney-General for NSW).  The Court has granted </w:t>
      </w:r>
      <w:r w:rsidR="001A3AD7">
        <w:rPr>
          <w:rFonts w:cs="Arial"/>
          <w:szCs w:val="24"/>
        </w:rPr>
        <w:br/>
      </w:r>
      <w:r>
        <w:rPr>
          <w:rFonts w:cs="Arial"/>
          <w:szCs w:val="24"/>
        </w:rPr>
        <w:t xml:space="preserve">Graeme Hill SC and James </w:t>
      </w:r>
      <w:proofErr w:type="spellStart"/>
      <w:r>
        <w:rPr>
          <w:rFonts w:cs="Arial"/>
          <w:szCs w:val="24"/>
        </w:rPr>
        <w:t>Stellios</w:t>
      </w:r>
      <w:proofErr w:type="spellEnd"/>
      <w:r>
        <w:rPr>
          <w:rFonts w:cs="Arial"/>
          <w:szCs w:val="24"/>
        </w:rPr>
        <w:t xml:space="preserve"> leave to appear</w:t>
      </w:r>
      <w:r w:rsidRPr="009D1A33">
        <w:rPr>
          <w:rFonts w:cs="Arial"/>
          <w:szCs w:val="24"/>
        </w:rPr>
        <w:t xml:space="preserve"> </w:t>
      </w:r>
      <w:r>
        <w:rPr>
          <w:rFonts w:cs="Arial"/>
          <w:szCs w:val="24"/>
        </w:rPr>
        <w:t xml:space="preserve">as amici curiae to act </w:t>
      </w:r>
      <w:r w:rsidRPr="009D1A33">
        <w:rPr>
          <w:rFonts w:cs="Arial"/>
          <w:szCs w:val="24"/>
        </w:rPr>
        <w:t>a</w:t>
      </w:r>
      <w:r>
        <w:rPr>
          <w:rFonts w:cs="Arial"/>
          <w:szCs w:val="24"/>
        </w:rPr>
        <w:t>s</w:t>
      </w:r>
      <w:r w:rsidRPr="009D1A33">
        <w:rPr>
          <w:rFonts w:cs="Arial"/>
          <w:szCs w:val="24"/>
        </w:rPr>
        <w:t xml:space="preserve"> contradictor. </w:t>
      </w:r>
      <w:r>
        <w:rPr>
          <w:rFonts w:cs="Arial"/>
          <w:szCs w:val="24"/>
        </w:rPr>
        <w:t xml:space="preserve">  </w:t>
      </w:r>
      <w:r w:rsidRPr="009D1A33">
        <w:rPr>
          <w:rFonts w:cs="Arial"/>
          <w:szCs w:val="24"/>
        </w:rPr>
        <w:t>The amici</w:t>
      </w:r>
      <w:r>
        <w:rPr>
          <w:rFonts w:cs="Arial"/>
          <w:szCs w:val="24"/>
        </w:rPr>
        <w:t xml:space="preserve"> curiae</w:t>
      </w:r>
      <w:r w:rsidRPr="009D1A33">
        <w:rPr>
          <w:rFonts w:cs="Arial"/>
          <w:szCs w:val="24"/>
        </w:rPr>
        <w:t xml:space="preserve"> agree that </w:t>
      </w:r>
      <w:r>
        <w:rPr>
          <w:rFonts w:cs="Arial"/>
          <w:szCs w:val="24"/>
        </w:rPr>
        <w:t xml:space="preserve">Question 1 </w:t>
      </w:r>
      <w:r w:rsidRPr="009D1A33">
        <w:rPr>
          <w:rFonts w:cs="Arial"/>
          <w:szCs w:val="24"/>
        </w:rPr>
        <w:t xml:space="preserve">should be answered in the affirmative, but that </w:t>
      </w:r>
      <w:r>
        <w:rPr>
          <w:rFonts w:cs="Arial"/>
          <w:szCs w:val="24"/>
        </w:rPr>
        <w:t>Question 2</w:t>
      </w:r>
      <w:r w:rsidRPr="009D1A33">
        <w:rPr>
          <w:rFonts w:cs="Arial"/>
          <w:szCs w:val="24"/>
        </w:rPr>
        <w:t xml:space="preserve"> and </w:t>
      </w:r>
      <w:r>
        <w:rPr>
          <w:rFonts w:cs="Arial"/>
          <w:szCs w:val="24"/>
        </w:rPr>
        <w:t>3</w:t>
      </w:r>
      <w:r w:rsidRPr="009D1A33">
        <w:rPr>
          <w:rFonts w:cs="Arial"/>
          <w:szCs w:val="24"/>
        </w:rPr>
        <w:t xml:space="preserve"> should be answered in the negative.  </w:t>
      </w:r>
    </w:p>
    <w:p w14:paraId="40D403A8" w14:textId="77777777" w:rsidR="009F0AF6" w:rsidRDefault="009F0AF6" w:rsidP="00D77D95">
      <w:pPr>
        <w:jc w:val="both"/>
        <w:rPr>
          <w:rFonts w:cs="Arial"/>
          <w:szCs w:val="24"/>
        </w:rPr>
      </w:pPr>
    </w:p>
    <w:p w14:paraId="209D08E5" w14:textId="77777777" w:rsidR="009F0AF6" w:rsidRDefault="009F0AF6" w:rsidP="00D77D95">
      <w:pPr>
        <w:jc w:val="both"/>
        <w:rPr>
          <w:rFonts w:cs="Arial"/>
          <w:szCs w:val="24"/>
        </w:rPr>
      </w:pPr>
      <w:r w:rsidRPr="009D1A33">
        <w:rPr>
          <w:rFonts w:cs="Arial"/>
          <w:szCs w:val="24"/>
        </w:rPr>
        <w:t>A Notice of Constitutional matter was filed by the Appellant</w:t>
      </w:r>
      <w:r>
        <w:rPr>
          <w:rFonts w:cs="Arial"/>
          <w:szCs w:val="24"/>
        </w:rPr>
        <w:t>,</w:t>
      </w:r>
      <w:r w:rsidRPr="009D1A33">
        <w:rPr>
          <w:rFonts w:cs="Arial"/>
          <w:szCs w:val="24"/>
        </w:rPr>
        <w:t xml:space="preserve"> and the </w:t>
      </w:r>
      <w:r>
        <w:rPr>
          <w:rFonts w:cs="Arial"/>
          <w:szCs w:val="24"/>
        </w:rPr>
        <w:br/>
      </w:r>
      <w:r w:rsidRPr="009D1A33">
        <w:rPr>
          <w:rFonts w:cs="Arial"/>
          <w:szCs w:val="24"/>
        </w:rPr>
        <w:t>Attorney-General for</w:t>
      </w:r>
      <w:r>
        <w:rPr>
          <w:rFonts w:cs="Arial"/>
          <w:szCs w:val="24"/>
        </w:rPr>
        <w:t xml:space="preserve"> the State of</w:t>
      </w:r>
      <w:r w:rsidRPr="009D1A33">
        <w:rPr>
          <w:rFonts w:cs="Arial"/>
          <w:szCs w:val="24"/>
        </w:rPr>
        <w:t xml:space="preserve"> Victoria has intervened.</w:t>
      </w:r>
    </w:p>
    <w:p w14:paraId="436AE9E5" w14:textId="77777777" w:rsidR="009F0AF6" w:rsidRDefault="009F0AF6" w:rsidP="00D77D95">
      <w:pPr>
        <w:jc w:val="both"/>
        <w:rPr>
          <w:rFonts w:cs="Arial"/>
          <w:szCs w:val="24"/>
        </w:rPr>
      </w:pPr>
    </w:p>
    <w:p w14:paraId="779BD293" w14:textId="77777777" w:rsidR="009F0AF6" w:rsidRDefault="009F0AF6" w:rsidP="00D77D95">
      <w:pPr>
        <w:jc w:val="both"/>
        <w:rPr>
          <w:rFonts w:cs="Arial"/>
          <w:szCs w:val="24"/>
        </w:rPr>
      </w:pPr>
      <w:r w:rsidRPr="009D1A33">
        <w:rPr>
          <w:rFonts w:cs="Arial"/>
          <w:szCs w:val="24"/>
        </w:rPr>
        <w:t>The ground of appeal is:</w:t>
      </w:r>
    </w:p>
    <w:p w14:paraId="2FEA502F" w14:textId="77777777" w:rsidR="009F0AF6" w:rsidRPr="009D1A33" w:rsidRDefault="009F0AF6" w:rsidP="00D77D95">
      <w:pPr>
        <w:jc w:val="both"/>
        <w:rPr>
          <w:rFonts w:cs="Arial"/>
          <w:szCs w:val="24"/>
        </w:rPr>
      </w:pPr>
    </w:p>
    <w:p w14:paraId="4B12DB70" w14:textId="4E5F3119" w:rsidR="009F0AF6" w:rsidRDefault="009F0AF6" w:rsidP="00D77D95">
      <w:pPr>
        <w:pStyle w:val="ListParagraph"/>
        <w:numPr>
          <w:ilvl w:val="0"/>
          <w:numId w:val="10"/>
        </w:numPr>
        <w:rPr>
          <w:rFonts w:cs="Arial"/>
          <w:szCs w:val="24"/>
        </w:rPr>
      </w:pPr>
      <w:r w:rsidRPr="009D1A33">
        <w:rPr>
          <w:rFonts w:cs="Arial"/>
          <w:szCs w:val="24"/>
        </w:rPr>
        <w:t xml:space="preserve">The New South Wales Court of Appeal erred in holding that the relevant provisions of Part 7 of the </w:t>
      </w:r>
      <w:r w:rsidRPr="009D1A33">
        <w:rPr>
          <w:rFonts w:cs="Arial"/>
          <w:i/>
          <w:iCs/>
          <w:szCs w:val="24"/>
        </w:rPr>
        <w:t>Crimes (Appeal and Review) Act 2001</w:t>
      </w:r>
      <w:r w:rsidRPr="009D1A33">
        <w:rPr>
          <w:rFonts w:cs="Arial"/>
          <w:szCs w:val="24"/>
        </w:rPr>
        <w:t xml:space="preserve"> (NSW) were not available with respect to a conviction or sentence for an offence against a law of the Commonwealth heard and determined in a New South Wales court.</w:t>
      </w:r>
    </w:p>
    <w:p w14:paraId="34EB7C7A" w14:textId="42E814AD" w:rsidR="00091B4F" w:rsidRDefault="00091B4F" w:rsidP="00D77D95">
      <w:pPr>
        <w:jc w:val="both"/>
        <w:rPr>
          <w:rFonts w:cs="Arial"/>
          <w:szCs w:val="24"/>
        </w:rPr>
      </w:pPr>
      <w:r>
        <w:rPr>
          <w:rFonts w:cs="Arial"/>
          <w:szCs w:val="24"/>
        </w:rPr>
        <w:br w:type="page"/>
      </w:r>
    </w:p>
    <w:p w14:paraId="7E3FD91B" w14:textId="77777777" w:rsidR="006B0757" w:rsidRDefault="006B0757" w:rsidP="006B0757">
      <w:pPr>
        <w:pStyle w:val="NoSpacing"/>
        <w:rPr>
          <w:rFonts w:ascii="Arial" w:eastAsia="Times New Roman" w:hAnsi="Arial" w:cs="Arial"/>
          <w:b/>
          <w:color w:val="000000"/>
          <w:sz w:val="28"/>
          <w:szCs w:val="28"/>
          <w:lang w:eastAsia="en-AU"/>
        </w:rPr>
      </w:pPr>
      <w:r>
        <w:rPr>
          <w:rFonts w:ascii="Arial" w:eastAsia="Times New Roman" w:hAnsi="Arial" w:cs="Arial"/>
          <w:b/>
          <w:color w:val="000000"/>
          <w:sz w:val="28"/>
          <w:szCs w:val="28"/>
          <w:u w:val="single"/>
          <w:lang w:eastAsia="en-AU"/>
        </w:rPr>
        <w:lastRenderedPageBreak/>
        <w:t>KINGDOM OF SPAIN</w:t>
      </w:r>
      <w:r w:rsidRPr="00AB653F">
        <w:rPr>
          <w:rFonts w:ascii="Arial" w:eastAsia="Times New Roman" w:hAnsi="Arial" w:cs="Arial"/>
          <w:b/>
          <w:color w:val="000000"/>
          <w:sz w:val="28"/>
          <w:szCs w:val="28"/>
          <w:u w:val="single"/>
          <w:lang w:eastAsia="en-AU"/>
        </w:rPr>
        <w:t xml:space="preserve"> </w:t>
      </w:r>
      <w:r>
        <w:rPr>
          <w:rFonts w:ascii="Arial" w:eastAsia="Times New Roman" w:hAnsi="Arial" w:cs="Arial"/>
          <w:b/>
          <w:color w:val="000000"/>
          <w:sz w:val="28"/>
          <w:szCs w:val="28"/>
          <w:u w:val="single"/>
          <w:lang w:eastAsia="en-AU"/>
        </w:rPr>
        <w:t>v</w:t>
      </w:r>
      <w:r w:rsidRPr="00AB653F">
        <w:rPr>
          <w:rFonts w:ascii="Arial" w:eastAsia="Times New Roman" w:hAnsi="Arial" w:cs="Arial"/>
          <w:b/>
          <w:color w:val="000000"/>
          <w:sz w:val="28"/>
          <w:szCs w:val="28"/>
          <w:u w:val="single"/>
          <w:lang w:eastAsia="en-AU"/>
        </w:rPr>
        <w:t xml:space="preserve"> </w:t>
      </w:r>
      <w:r>
        <w:rPr>
          <w:rFonts w:ascii="Arial" w:eastAsia="Times New Roman" w:hAnsi="Arial" w:cs="Arial"/>
          <w:b/>
          <w:color w:val="000000"/>
          <w:sz w:val="28"/>
          <w:szCs w:val="28"/>
          <w:u w:val="single"/>
          <w:lang w:eastAsia="en-AU"/>
        </w:rPr>
        <w:t>INFRASTRUCTURE SERVICES LUXEMBOURG S.À.R.L. &amp; ANOR</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S43/2022</w:t>
      </w:r>
      <w:r w:rsidRPr="0096712A">
        <w:rPr>
          <w:rFonts w:ascii="Arial" w:eastAsia="Times New Roman" w:hAnsi="Arial" w:cs="Arial"/>
          <w:b/>
          <w:color w:val="000000"/>
          <w:sz w:val="28"/>
          <w:szCs w:val="28"/>
          <w:lang w:eastAsia="en-AU"/>
        </w:rPr>
        <w:t>)</w:t>
      </w:r>
    </w:p>
    <w:p w14:paraId="7278D851" w14:textId="77777777" w:rsidR="006B0757" w:rsidRPr="00A920AB" w:rsidRDefault="006B0757" w:rsidP="006B0757">
      <w:pPr>
        <w:rPr>
          <w:rFonts w:cs="Arial"/>
          <w:szCs w:val="24"/>
        </w:rPr>
      </w:pPr>
    </w:p>
    <w:p w14:paraId="210F90D7" w14:textId="77777777" w:rsidR="006B0757" w:rsidRPr="006A1C3E" w:rsidRDefault="006B0757" w:rsidP="006B0757">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6D3453DB" w14:textId="77777777" w:rsidR="006B0757" w:rsidRDefault="006B0757" w:rsidP="006B0757">
      <w:pPr>
        <w:ind w:left="2694" w:hanging="2694"/>
        <w:rPr>
          <w:rFonts w:cs="Arial"/>
          <w:szCs w:val="24"/>
        </w:rPr>
      </w:pPr>
      <w:r w:rsidRPr="006A1C3E">
        <w:rPr>
          <w:rFonts w:cs="Arial"/>
          <w:szCs w:val="24"/>
        </w:rPr>
        <w:t xml:space="preserve"> </w:t>
      </w:r>
      <w:r w:rsidRPr="006A1C3E">
        <w:rPr>
          <w:rFonts w:cs="Arial"/>
          <w:szCs w:val="24"/>
        </w:rPr>
        <w:tab/>
      </w:r>
      <w:r>
        <w:rPr>
          <w:rFonts w:cs="Arial"/>
          <w:szCs w:val="24"/>
        </w:rPr>
        <w:t xml:space="preserve">[2021] FCAFC </w:t>
      </w:r>
      <w:proofErr w:type="gramStart"/>
      <w:r>
        <w:rPr>
          <w:rFonts w:cs="Arial"/>
          <w:szCs w:val="24"/>
        </w:rPr>
        <w:t>3;</w:t>
      </w:r>
      <w:proofErr w:type="gramEnd"/>
    </w:p>
    <w:p w14:paraId="0B81EAE7" w14:textId="77777777" w:rsidR="006B0757" w:rsidRDefault="006B0757" w:rsidP="006B0757">
      <w:pPr>
        <w:ind w:left="2694" w:hanging="2694"/>
        <w:rPr>
          <w:rFonts w:cs="Arial"/>
          <w:szCs w:val="24"/>
        </w:rPr>
      </w:pPr>
      <w:r>
        <w:rPr>
          <w:rFonts w:cs="Arial"/>
          <w:szCs w:val="24"/>
        </w:rPr>
        <w:tab/>
        <w:t>[2021] FCAFC 112</w:t>
      </w:r>
    </w:p>
    <w:p w14:paraId="121D5A97" w14:textId="77777777" w:rsidR="006B0757" w:rsidRPr="006A1C3E" w:rsidRDefault="006B0757" w:rsidP="006B0757">
      <w:pPr>
        <w:ind w:left="2694" w:hanging="2694"/>
        <w:rPr>
          <w:rFonts w:cs="Arial"/>
          <w:szCs w:val="24"/>
        </w:rPr>
      </w:pPr>
    </w:p>
    <w:p w14:paraId="0B290EF4" w14:textId="77777777" w:rsidR="006B0757" w:rsidRDefault="006B0757" w:rsidP="006B0757">
      <w:pPr>
        <w:ind w:left="2694" w:hanging="2694"/>
        <w:rPr>
          <w:rFonts w:cs="Arial"/>
          <w:szCs w:val="24"/>
        </w:rPr>
      </w:pPr>
      <w:r w:rsidRPr="006A1C3E">
        <w:rPr>
          <w:rFonts w:cs="Arial"/>
          <w:szCs w:val="24"/>
          <w:u w:val="single"/>
        </w:rPr>
        <w:t>Date</w:t>
      </w:r>
      <w:r>
        <w:rPr>
          <w:rFonts w:cs="Arial"/>
          <w:szCs w:val="24"/>
          <w:u w:val="single"/>
        </w:rPr>
        <w:t>s</w:t>
      </w:r>
      <w:r w:rsidRPr="006A1C3E">
        <w:rPr>
          <w:rFonts w:cs="Arial"/>
          <w:szCs w:val="24"/>
          <w:u w:val="single"/>
        </w:rPr>
        <w:t xml:space="preserve"> of judgment</w:t>
      </w:r>
      <w:r>
        <w:rPr>
          <w:rFonts w:cs="Arial"/>
          <w:szCs w:val="24"/>
          <w:u w:val="single"/>
        </w:rPr>
        <w:t>s</w:t>
      </w:r>
      <w:r w:rsidRPr="006A1C3E">
        <w:rPr>
          <w:rFonts w:cs="Arial"/>
          <w:szCs w:val="24"/>
        </w:rPr>
        <w:t>:</w:t>
      </w:r>
      <w:r w:rsidRPr="006A1C3E">
        <w:rPr>
          <w:rFonts w:cs="Arial"/>
          <w:szCs w:val="24"/>
        </w:rPr>
        <w:tab/>
      </w:r>
      <w:r>
        <w:rPr>
          <w:rFonts w:cs="Arial"/>
          <w:szCs w:val="24"/>
        </w:rPr>
        <w:t xml:space="preserve">1 February </w:t>
      </w:r>
      <w:proofErr w:type="gramStart"/>
      <w:r>
        <w:rPr>
          <w:rFonts w:cs="Arial"/>
          <w:szCs w:val="24"/>
        </w:rPr>
        <w:t>2021;</w:t>
      </w:r>
      <w:proofErr w:type="gramEnd"/>
    </w:p>
    <w:p w14:paraId="412F4DAE" w14:textId="77777777" w:rsidR="006B0757" w:rsidRPr="006A1C3E" w:rsidRDefault="006B0757" w:rsidP="006B0757">
      <w:pPr>
        <w:ind w:left="2694" w:hanging="2694"/>
        <w:rPr>
          <w:rFonts w:cs="Arial"/>
          <w:szCs w:val="24"/>
        </w:rPr>
      </w:pPr>
      <w:r w:rsidRPr="00435D27">
        <w:rPr>
          <w:rFonts w:cs="Arial"/>
          <w:szCs w:val="24"/>
        </w:rPr>
        <w:tab/>
      </w:r>
      <w:r>
        <w:rPr>
          <w:rFonts w:cs="Arial"/>
          <w:szCs w:val="24"/>
        </w:rPr>
        <w:t>25 June 2021</w:t>
      </w:r>
    </w:p>
    <w:p w14:paraId="4EC3D80A" w14:textId="77777777" w:rsidR="006B0757" w:rsidRPr="006A1C3E" w:rsidRDefault="006B0757" w:rsidP="006B0757">
      <w:pPr>
        <w:ind w:left="2694" w:hanging="2694"/>
        <w:rPr>
          <w:rFonts w:cs="Arial"/>
          <w:szCs w:val="24"/>
        </w:rPr>
      </w:pPr>
    </w:p>
    <w:p w14:paraId="4A43CA94" w14:textId="77777777" w:rsidR="006B0757" w:rsidRDefault="006B0757" w:rsidP="006B0757">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 xml:space="preserve">18 March </w:t>
      </w:r>
      <w:r w:rsidRPr="006A1C3E">
        <w:rPr>
          <w:rFonts w:cs="Arial"/>
          <w:szCs w:val="24"/>
        </w:rPr>
        <w:t>202</w:t>
      </w:r>
      <w:r>
        <w:rPr>
          <w:rFonts w:cs="Arial"/>
          <w:szCs w:val="24"/>
        </w:rPr>
        <w:t>2</w:t>
      </w:r>
    </w:p>
    <w:p w14:paraId="25BF6C87" w14:textId="77777777" w:rsidR="006B0757" w:rsidRDefault="006B0757" w:rsidP="006B0757">
      <w:pPr>
        <w:shd w:val="clear" w:color="auto" w:fill="FFFFFF"/>
        <w:jc w:val="both"/>
        <w:rPr>
          <w:rFonts w:cs="Arial"/>
          <w:szCs w:val="24"/>
        </w:rPr>
      </w:pPr>
      <w:bookmarkStart w:id="0" w:name="Heading133"/>
      <w:bookmarkEnd w:id="0"/>
    </w:p>
    <w:p w14:paraId="3BB34BF0" w14:textId="4F800558" w:rsidR="006B0757" w:rsidRDefault="006B0757" w:rsidP="006B0757">
      <w:pPr>
        <w:shd w:val="clear" w:color="auto" w:fill="FFFFFF"/>
        <w:jc w:val="both"/>
        <w:rPr>
          <w:rFonts w:cs="Arial"/>
          <w:szCs w:val="24"/>
        </w:rPr>
      </w:pPr>
      <w:r>
        <w:rPr>
          <w:rFonts w:cs="Arial"/>
          <w:szCs w:val="24"/>
        </w:rPr>
        <w:t xml:space="preserve">In 2011, the Respondents (a company incorporated in Luxembourg and a company incorporated in the Netherlands) invested €139.5 million in solar power plants located in Spain.  In the following year, the Appellant embarked on a reduction of its </w:t>
      </w:r>
      <w:proofErr w:type="spellStart"/>
      <w:r>
        <w:rPr>
          <w:rFonts w:cs="Arial"/>
          <w:szCs w:val="24"/>
        </w:rPr>
        <w:t>subsidisation</w:t>
      </w:r>
      <w:proofErr w:type="spellEnd"/>
      <w:r>
        <w:rPr>
          <w:rFonts w:cs="Arial"/>
          <w:szCs w:val="24"/>
        </w:rPr>
        <w:t xml:space="preserve"> of renewable energy production, which the Respondents alleged was in breach of </w:t>
      </w:r>
      <w:r w:rsidRPr="00097FA2">
        <w:rPr>
          <w:rFonts w:cs="Arial"/>
          <w:i/>
          <w:szCs w:val="24"/>
        </w:rPr>
        <w:t>The Energy Charter Treaty</w:t>
      </w:r>
      <w:r>
        <w:rPr>
          <w:rFonts w:cs="Arial"/>
          <w:szCs w:val="24"/>
        </w:rPr>
        <w:t xml:space="preserve"> </w:t>
      </w:r>
      <w:r w:rsidRPr="002039DE">
        <w:rPr>
          <w:rFonts w:cs="Arial"/>
          <w:szCs w:val="24"/>
        </w:rPr>
        <w:t>(“the ECT”).</w:t>
      </w:r>
      <w:r>
        <w:rPr>
          <w:rFonts w:cs="Arial"/>
          <w:szCs w:val="24"/>
        </w:rPr>
        <w:t xml:space="preserve"> </w:t>
      </w:r>
      <w:r w:rsidRPr="002039DE">
        <w:rPr>
          <w:rFonts w:cs="Arial"/>
          <w:szCs w:val="24"/>
        </w:rPr>
        <w:t xml:space="preserve">  </w:t>
      </w:r>
      <w:r>
        <w:rPr>
          <w:rFonts w:cs="Arial"/>
          <w:szCs w:val="24"/>
        </w:rPr>
        <w:t xml:space="preserve">The Respondents were successful in an arbitration of its dispute with the Appellant under the </w:t>
      </w:r>
      <w:r w:rsidR="002B5174">
        <w:rPr>
          <w:rFonts w:cs="Arial"/>
          <w:szCs w:val="24"/>
        </w:rPr>
        <w:br/>
      </w:r>
      <w:r w:rsidRPr="002D68F9">
        <w:rPr>
          <w:rFonts w:cs="Arial"/>
          <w:i/>
          <w:szCs w:val="24"/>
        </w:rPr>
        <w:t>Convention on the Settlement of Investment Disputes between States and Nationals of Other States</w:t>
      </w:r>
      <w:r>
        <w:rPr>
          <w:rFonts w:cs="Arial"/>
          <w:szCs w:val="24"/>
        </w:rPr>
        <w:t xml:space="preserve"> (“the ICSID Convention”), obtaining an arbitral award of more than €101 million (“the Award”).</w:t>
      </w:r>
    </w:p>
    <w:p w14:paraId="6875084F" w14:textId="77777777" w:rsidR="006B0757" w:rsidRDefault="006B0757" w:rsidP="006B0757">
      <w:pPr>
        <w:shd w:val="clear" w:color="auto" w:fill="FFFFFF"/>
        <w:jc w:val="both"/>
        <w:rPr>
          <w:rFonts w:cs="Arial"/>
          <w:szCs w:val="24"/>
        </w:rPr>
      </w:pPr>
    </w:p>
    <w:p w14:paraId="6CCC9B88" w14:textId="09648442" w:rsidR="006B0757" w:rsidRDefault="006B0757" w:rsidP="006B0757">
      <w:pPr>
        <w:shd w:val="clear" w:color="auto" w:fill="FFFFFF"/>
        <w:jc w:val="both"/>
        <w:rPr>
          <w:rFonts w:cs="Arial"/>
          <w:szCs w:val="24"/>
        </w:rPr>
      </w:pPr>
      <w:r>
        <w:rPr>
          <w:rFonts w:cs="Arial"/>
          <w:szCs w:val="24"/>
        </w:rPr>
        <w:t xml:space="preserve">Both the Appellant and the Commonwealth of Australia are parties to the </w:t>
      </w:r>
      <w:r>
        <w:rPr>
          <w:rFonts w:cs="Arial"/>
          <w:szCs w:val="24"/>
        </w:rPr>
        <w:br/>
        <w:t xml:space="preserve">ICSID Convention, a treaty which has the force of law in Australia by virtue of </w:t>
      </w:r>
      <w:r w:rsidR="001C2978">
        <w:rPr>
          <w:rFonts w:cs="Arial"/>
          <w:szCs w:val="24"/>
        </w:rPr>
        <w:br/>
      </w:r>
      <w:r>
        <w:rPr>
          <w:rFonts w:cs="Arial"/>
          <w:szCs w:val="24"/>
        </w:rPr>
        <w:t>s 32</w:t>
      </w:r>
      <w:r w:rsidRPr="00F77CA1">
        <w:rPr>
          <w:rFonts w:cs="Arial"/>
          <w:szCs w:val="24"/>
        </w:rPr>
        <w:t xml:space="preserve"> </w:t>
      </w:r>
      <w:r>
        <w:rPr>
          <w:rFonts w:cs="Arial"/>
          <w:szCs w:val="24"/>
        </w:rPr>
        <w:t xml:space="preserve">of the </w:t>
      </w:r>
      <w:r w:rsidRPr="00605B90">
        <w:rPr>
          <w:rFonts w:cs="Arial"/>
          <w:i/>
          <w:szCs w:val="24"/>
        </w:rPr>
        <w:t>International Arbitration Act 1974</w:t>
      </w:r>
      <w:r>
        <w:rPr>
          <w:rFonts w:cs="Arial"/>
          <w:szCs w:val="24"/>
        </w:rPr>
        <w:t xml:space="preserve"> (</w:t>
      </w:r>
      <w:proofErr w:type="spellStart"/>
      <w:r>
        <w:rPr>
          <w:rFonts w:cs="Arial"/>
          <w:szCs w:val="24"/>
        </w:rPr>
        <w:t>Cth</w:t>
      </w:r>
      <w:proofErr w:type="spellEnd"/>
      <w:r>
        <w:rPr>
          <w:rFonts w:cs="Arial"/>
          <w:szCs w:val="24"/>
        </w:rPr>
        <w:t xml:space="preserve">) (“the IA Act”).  Article 54(1) of the ICSID Convention provides that each contracting state will </w:t>
      </w:r>
      <w:proofErr w:type="spellStart"/>
      <w:r>
        <w:rPr>
          <w:rFonts w:cs="Arial"/>
          <w:szCs w:val="24"/>
        </w:rPr>
        <w:t>recognise</w:t>
      </w:r>
      <w:proofErr w:type="spellEnd"/>
      <w:r>
        <w:rPr>
          <w:rFonts w:cs="Arial"/>
          <w:szCs w:val="24"/>
        </w:rPr>
        <w:t xml:space="preserve"> arbitral awards as binding and will enforce any imposed pecuniary obligations in its territory as if a final judgment of a court of that state.  Article 54(2) prescribes requirements for the seeking of recognition or enforcement of an award, while Article 55(3) provides that execution of an award will be governed by the laws concerning the execution of judgments in the state where execution is sought.  Article 55 then provides that nothing in Article 54 derogates from contracting states’ laws relating to immunity from execution.</w:t>
      </w:r>
    </w:p>
    <w:p w14:paraId="0077B2A3" w14:textId="77777777" w:rsidR="006B0757" w:rsidRDefault="006B0757" w:rsidP="006B0757">
      <w:pPr>
        <w:shd w:val="clear" w:color="auto" w:fill="FFFFFF"/>
        <w:jc w:val="both"/>
        <w:rPr>
          <w:rFonts w:cs="Arial"/>
          <w:szCs w:val="24"/>
        </w:rPr>
      </w:pPr>
    </w:p>
    <w:p w14:paraId="0B0CBF01" w14:textId="77777777" w:rsidR="006B0757" w:rsidRDefault="006B0757" w:rsidP="006B0757">
      <w:pPr>
        <w:shd w:val="clear" w:color="auto" w:fill="FFFFFF"/>
        <w:jc w:val="both"/>
        <w:rPr>
          <w:rFonts w:cs="Arial"/>
          <w:szCs w:val="24"/>
        </w:rPr>
      </w:pPr>
      <w:r>
        <w:rPr>
          <w:rFonts w:cs="Arial"/>
          <w:szCs w:val="24"/>
        </w:rPr>
        <w:t xml:space="preserve">In 2019, the Respondents commenced proceedings in the Federal Court of Australia (“the Proceedings”), seeking leave under s 35(4) of the IA Act to enforce the Award as if it were a judgment of the Federal Court.  The Respondents also sought an order that the Appellant pay the Respondents the amount awarded.  </w:t>
      </w:r>
      <w:r>
        <w:rPr>
          <w:rFonts w:cs="Arial"/>
          <w:szCs w:val="24"/>
        </w:rPr>
        <w:br/>
        <w:t xml:space="preserve">In response, </w:t>
      </w:r>
      <w:r w:rsidRPr="002039DE">
        <w:rPr>
          <w:rFonts w:cs="Arial"/>
          <w:szCs w:val="24"/>
        </w:rPr>
        <w:t xml:space="preserve">the Appellant claimed immunity from </w:t>
      </w:r>
      <w:r>
        <w:rPr>
          <w:rFonts w:cs="Arial"/>
          <w:szCs w:val="24"/>
        </w:rPr>
        <w:t xml:space="preserve">the jurisdiction of Australian courts </w:t>
      </w:r>
      <w:r w:rsidRPr="002039DE">
        <w:rPr>
          <w:rFonts w:cs="Arial"/>
          <w:szCs w:val="24"/>
        </w:rPr>
        <w:t xml:space="preserve">under s 9 of the </w:t>
      </w:r>
      <w:r w:rsidRPr="002039DE">
        <w:rPr>
          <w:rFonts w:cs="Arial"/>
          <w:i/>
          <w:szCs w:val="24"/>
        </w:rPr>
        <w:t>Foreign States Immunities Act 1985</w:t>
      </w:r>
      <w:r w:rsidRPr="002039DE">
        <w:rPr>
          <w:rFonts w:cs="Arial"/>
          <w:szCs w:val="24"/>
        </w:rPr>
        <w:t xml:space="preserve"> (</w:t>
      </w:r>
      <w:proofErr w:type="spellStart"/>
      <w:r w:rsidRPr="002039DE">
        <w:rPr>
          <w:rFonts w:cs="Arial"/>
          <w:szCs w:val="24"/>
        </w:rPr>
        <w:t>Cth</w:t>
      </w:r>
      <w:proofErr w:type="spellEnd"/>
      <w:r w:rsidRPr="002039DE">
        <w:rPr>
          <w:rFonts w:cs="Arial"/>
          <w:szCs w:val="24"/>
        </w:rPr>
        <w:t>)</w:t>
      </w:r>
      <w:r>
        <w:rPr>
          <w:rFonts w:cs="Arial"/>
          <w:szCs w:val="24"/>
        </w:rPr>
        <w:t xml:space="preserve"> </w:t>
      </w:r>
      <w:r>
        <w:rPr>
          <w:rFonts w:cs="Arial"/>
          <w:szCs w:val="24"/>
        </w:rPr>
        <w:br/>
        <w:t xml:space="preserve">(“the Immunities Act”).  </w:t>
      </w:r>
    </w:p>
    <w:p w14:paraId="03084E27" w14:textId="77777777" w:rsidR="006B0757" w:rsidRDefault="006B0757" w:rsidP="006B0757">
      <w:pPr>
        <w:shd w:val="clear" w:color="auto" w:fill="FFFFFF"/>
        <w:jc w:val="both"/>
        <w:rPr>
          <w:rFonts w:cs="Arial"/>
          <w:szCs w:val="24"/>
        </w:rPr>
      </w:pPr>
    </w:p>
    <w:p w14:paraId="70AAE367" w14:textId="611A0B67" w:rsidR="006B0757" w:rsidRDefault="006B0757" w:rsidP="006B0757">
      <w:pPr>
        <w:shd w:val="clear" w:color="auto" w:fill="FFFFFF"/>
        <w:jc w:val="both"/>
        <w:rPr>
          <w:rFonts w:cs="Arial"/>
          <w:szCs w:val="24"/>
        </w:rPr>
      </w:pPr>
      <w:r>
        <w:rPr>
          <w:rFonts w:cs="Arial"/>
          <w:szCs w:val="24"/>
        </w:rPr>
        <w:t xml:space="preserve">In February 2020, Stewart J granted the relief sought by the Respondents, holding that the Appellant could not rely on immunity under s 9 of the </w:t>
      </w:r>
      <w:r>
        <w:rPr>
          <w:rFonts w:cs="Arial"/>
          <w:szCs w:val="24"/>
        </w:rPr>
        <w:br/>
        <w:t>Immunities Act because the Appellant came within the “submission to jurisdiction” exception provided in s 10.  That was because the ICSID Convention was clearly an “agreement” within the meaning of the Immunities Act, and by being a party (along with Australia) to the ICSID Convention, the Appellant had thereby submitted to the jurisdiction of Australian courts in a manner provided in s 10.</w:t>
      </w:r>
    </w:p>
    <w:p w14:paraId="3F3454D8" w14:textId="55A7C7EC" w:rsidR="00077406" w:rsidRDefault="00077406" w:rsidP="006B0757">
      <w:pPr>
        <w:shd w:val="clear" w:color="auto" w:fill="FFFFFF"/>
        <w:jc w:val="both"/>
        <w:rPr>
          <w:rFonts w:cs="Arial"/>
          <w:szCs w:val="24"/>
        </w:rPr>
      </w:pPr>
    </w:p>
    <w:p w14:paraId="20AD8054" w14:textId="3B20D6F4" w:rsidR="00077406" w:rsidRDefault="00077406" w:rsidP="006B0757">
      <w:pPr>
        <w:shd w:val="clear" w:color="auto" w:fill="FFFFFF"/>
        <w:jc w:val="both"/>
        <w:rPr>
          <w:rFonts w:cs="Arial"/>
          <w:szCs w:val="24"/>
        </w:rPr>
      </w:pPr>
    </w:p>
    <w:p w14:paraId="75E33092" w14:textId="77777777" w:rsidR="00077406" w:rsidRDefault="00077406" w:rsidP="006B0757">
      <w:pPr>
        <w:shd w:val="clear" w:color="auto" w:fill="FFFFFF"/>
        <w:jc w:val="both"/>
        <w:rPr>
          <w:rFonts w:cs="Arial"/>
          <w:szCs w:val="24"/>
        </w:rPr>
      </w:pPr>
    </w:p>
    <w:p w14:paraId="66E2D593" w14:textId="77777777" w:rsidR="006B0757" w:rsidRDefault="006B0757" w:rsidP="006B0757">
      <w:pPr>
        <w:shd w:val="clear" w:color="auto" w:fill="FFFFFF"/>
        <w:jc w:val="both"/>
        <w:rPr>
          <w:rFonts w:cs="Arial"/>
          <w:szCs w:val="24"/>
        </w:rPr>
      </w:pPr>
    </w:p>
    <w:p w14:paraId="51C3B0B1" w14:textId="29D5DC7C" w:rsidR="006B0757" w:rsidRDefault="006B0757" w:rsidP="006B0757">
      <w:pPr>
        <w:shd w:val="clear" w:color="auto" w:fill="FFFFFF"/>
        <w:jc w:val="both"/>
        <w:rPr>
          <w:rFonts w:cs="Arial"/>
          <w:szCs w:val="24"/>
        </w:rPr>
      </w:pPr>
      <w:r>
        <w:rPr>
          <w:rFonts w:cs="Arial"/>
          <w:szCs w:val="24"/>
        </w:rPr>
        <w:lastRenderedPageBreak/>
        <w:t>An appeal by the Appellant was unanimously allowed by the Full Court of the Federal Court (</w:t>
      </w:r>
      <w:proofErr w:type="spellStart"/>
      <w:r>
        <w:rPr>
          <w:rFonts w:cs="Arial"/>
          <w:szCs w:val="24"/>
        </w:rPr>
        <w:t>Allsop</w:t>
      </w:r>
      <w:proofErr w:type="spellEnd"/>
      <w:r>
        <w:rPr>
          <w:rFonts w:cs="Arial"/>
          <w:szCs w:val="24"/>
        </w:rPr>
        <w:t xml:space="preserve"> CJ, </w:t>
      </w:r>
      <w:proofErr w:type="spellStart"/>
      <w:r>
        <w:rPr>
          <w:rFonts w:cs="Arial"/>
          <w:szCs w:val="24"/>
        </w:rPr>
        <w:t>Perram</w:t>
      </w:r>
      <w:proofErr w:type="spellEnd"/>
      <w:r>
        <w:rPr>
          <w:rFonts w:cs="Arial"/>
          <w:szCs w:val="24"/>
        </w:rPr>
        <w:t xml:space="preserve"> and </w:t>
      </w:r>
      <w:proofErr w:type="spellStart"/>
      <w:r>
        <w:rPr>
          <w:rFonts w:cs="Arial"/>
          <w:szCs w:val="24"/>
        </w:rPr>
        <w:t>Moshinsky</w:t>
      </w:r>
      <w:proofErr w:type="spellEnd"/>
      <w:r>
        <w:rPr>
          <w:rFonts w:cs="Arial"/>
          <w:szCs w:val="24"/>
        </w:rPr>
        <w:t xml:space="preserve"> JJ), although the outcome which the Appellant had sought was not achieved.  Their </w:t>
      </w:r>
      <w:proofErr w:type="spellStart"/>
      <w:r>
        <w:rPr>
          <w:rFonts w:cs="Arial"/>
          <w:szCs w:val="24"/>
        </w:rPr>
        <w:t>Honours</w:t>
      </w:r>
      <w:proofErr w:type="spellEnd"/>
      <w:r>
        <w:rPr>
          <w:rFonts w:cs="Arial"/>
          <w:szCs w:val="24"/>
        </w:rPr>
        <w:t xml:space="preserve"> considered that Article 54 of the ICSID Convention contemplated separate applications for recognition and enforcement, although “enforced” in s 35(4) of the IA Act must be construed so as to include “</w:t>
      </w:r>
      <w:proofErr w:type="spellStart"/>
      <w:r>
        <w:rPr>
          <w:rFonts w:cs="Arial"/>
          <w:szCs w:val="24"/>
        </w:rPr>
        <w:t>recognised</w:t>
      </w:r>
      <w:proofErr w:type="spellEnd"/>
      <w:r>
        <w:rPr>
          <w:rFonts w:cs="Arial"/>
          <w:szCs w:val="24"/>
        </w:rPr>
        <w:t xml:space="preserve">” </w:t>
      </w:r>
      <w:proofErr w:type="gramStart"/>
      <w:r>
        <w:rPr>
          <w:rFonts w:cs="Arial"/>
          <w:szCs w:val="24"/>
        </w:rPr>
        <w:t>in order for</w:t>
      </w:r>
      <w:proofErr w:type="gramEnd"/>
      <w:r>
        <w:rPr>
          <w:rFonts w:cs="Arial"/>
          <w:szCs w:val="24"/>
        </w:rPr>
        <w:t xml:space="preserve"> the Federal Court to exercise jurisdiction for the necessary phase of recognition.  The Full Court held that despite the extent of the relief sought by the Respondents, the Proceedings were to be </w:t>
      </w:r>
      <w:proofErr w:type="spellStart"/>
      <w:r>
        <w:rPr>
          <w:rFonts w:cs="Arial"/>
          <w:szCs w:val="24"/>
        </w:rPr>
        <w:t>characterised</w:t>
      </w:r>
      <w:proofErr w:type="spellEnd"/>
      <w:r>
        <w:rPr>
          <w:rFonts w:cs="Arial"/>
          <w:szCs w:val="24"/>
        </w:rPr>
        <w:t xml:space="preserve"> as proceedings for </w:t>
      </w:r>
      <w:r w:rsidRPr="00AB79DC">
        <w:rPr>
          <w:rFonts w:cs="Arial"/>
          <w:szCs w:val="24"/>
        </w:rPr>
        <w:t xml:space="preserve">recognition </w:t>
      </w:r>
      <w:r>
        <w:rPr>
          <w:rFonts w:cs="Arial"/>
          <w:szCs w:val="24"/>
        </w:rPr>
        <w:t xml:space="preserve">only; they were not also proceedings for enforcement.  Their </w:t>
      </w:r>
      <w:proofErr w:type="spellStart"/>
      <w:r>
        <w:rPr>
          <w:rFonts w:cs="Arial"/>
          <w:szCs w:val="24"/>
        </w:rPr>
        <w:t>Honours</w:t>
      </w:r>
      <w:proofErr w:type="spellEnd"/>
      <w:r>
        <w:rPr>
          <w:rFonts w:cs="Arial"/>
          <w:szCs w:val="24"/>
        </w:rPr>
        <w:t xml:space="preserve"> held that the Appellant had effectively submitted to Australian jurisdiction for recognition proceedings, and Article 55, which referred only to execution, did not apply.</w:t>
      </w:r>
    </w:p>
    <w:p w14:paraId="5B5E49D8" w14:textId="77777777" w:rsidR="006B0757" w:rsidRDefault="006B0757" w:rsidP="006B0757">
      <w:pPr>
        <w:shd w:val="clear" w:color="auto" w:fill="FFFFFF"/>
        <w:jc w:val="both"/>
        <w:rPr>
          <w:rFonts w:cs="Arial"/>
          <w:szCs w:val="24"/>
        </w:rPr>
      </w:pPr>
    </w:p>
    <w:p w14:paraId="4B43D19D" w14:textId="77777777" w:rsidR="006B0757" w:rsidRDefault="006B0757" w:rsidP="006B0757">
      <w:pPr>
        <w:shd w:val="clear" w:color="auto" w:fill="FFFFFF"/>
        <w:jc w:val="both"/>
        <w:rPr>
          <w:rFonts w:cs="Arial"/>
          <w:szCs w:val="24"/>
        </w:rPr>
      </w:pPr>
      <w:r>
        <w:rPr>
          <w:rFonts w:cs="Arial"/>
          <w:szCs w:val="24"/>
        </w:rPr>
        <w:t xml:space="preserve">The Full Court nevertheless proceeded to set aside the orders made by Stewart J and replace them with orders in a different form.  By the fresh orders, </w:t>
      </w:r>
      <w:r>
        <w:rPr>
          <w:rFonts w:cs="Arial"/>
          <w:szCs w:val="24"/>
        </w:rPr>
        <w:br/>
        <w:t xml:space="preserve">the Federal Court both </w:t>
      </w:r>
      <w:proofErr w:type="spellStart"/>
      <w:r>
        <w:rPr>
          <w:rFonts w:cs="Arial"/>
          <w:szCs w:val="24"/>
        </w:rPr>
        <w:t>recognised</w:t>
      </w:r>
      <w:proofErr w:type="spellEnd"/>
      <w:r>
        <w:rPr>
          <w:rFonts w:cs="Arial"/>
          <w:szCs w:val="24"/>
        </w:rPr>
        <w:t xml:space="preserve"> the Award as binding on the Appellant and, pursuant to s 35(4) of the IA Act, entered judgment in </w:t>
      </w:r>
      <w:proofErr w:type="spellStart"/>
      <w:r>
        <w:rPr>
          <w:rFonts w:cs="Arial"/>
          <w:szCs w:val="24"/>
        </w:rPr>
        <w:t>favour</w:t>
      </w:r>
      <w:proofErr w:type="spellEnd"/>
      <w:r>
        <w:rPr>
          <w:rFonts w:cs="Arial"/>
          <w:szCs w:val="24"/>
        </w:rPr>
        <w:t xml:space="preserve"> of the Respondents against the Appellant for the amount provided in the Award.  The Full Court further ordered that those orders did not derogate from the effect of any law relating to immunity of the Appellant from execution.</w:t>
      </w:r>
    </w:p>
    <w:p w14:paraId="03CD4E54" w14:textId="77777777" w:rsidR="006B0757" w:rsidRDefault="006B0757" w:rsidP="006B0757">
      <w:pPr>
        <w:shd w:val="clear" w:color="auto" w:fill="FFFFFF"/>
        <w:jc w:val="both"/>
        <w:rPr>
          <w:rFonts w:cs="Arial"/>
          <w:szCs w:val="24"/>
        </w:rPr>
      </w:pPr>
    </w:p>
    <w:p w14:paraId="76429B45" w14:textId="77777777" w:rsidR="006B0757" w:rsidRDefault="006B0757" w:rsidP="006B0757">
      <w:pPr>
        <w:shd w:val="clear" w:color="auto" w:fill="FFFFFF"/>
        <w:spacing w:after="180"/>
        <w:jc w:val="both"/>
        <w:rPr>
          <w:rFonts w:cs="Arial"/>
          <w:szCs w:val="24"/>
        </w:rPr>
      </w:pPr>
      <w:r>
        <w:rPr>
          <w:rFonts w:cs="Arial"/>
          <w:szCs w:val="24"/>
        </w:rPr>
        <w:t>The grounds of appeal</w:t>
      </w:r>
      <w:r w:rsidRPr="00B754DB">
        <w:rPr>
          <w:rFonts w:cs="Arial"/>
          <w:szCs w:val="24"/>
        </w:rPr>
        <w:t xml:space="preserve"> include:</w:t>
      </w:r>
    </w:p>
    <w:p w14:paraId="744B8D17" w14:textId="77777777" w:rsidR="006B0757" w:rsidRPr="002039DE" w:rsidRDefault="006B0757" w:rsidP="006B0757">
      <w:pPr>
        <w:numPr>
          <w:ilvl w:val="0"/>
          <w:numId w:val="12"/>
        </w:numPr>
        <w:autoSpaceDE w:val="0"/>
        <w:autoSpaceDN w:val="0"/>
        <w:adjustRightInd w:val="0"/>
        <w:spacing w:after="180"/>
        <w:ind w:left="425" w:hanging="425"/>
        <w:jc w:val="both"/>
        <w:rPr>
          <w:rFonts w:cs="Arial"/>
          <w:szCs w:val="24"/>
        </w:rPr>
      </w:pPr>
      <w:r w:rsidRPr="00161414">
        <w:rPr>
          <w:rFonts w:cs="Arial"/>
          <w:szCs w:val="24"/>
        </w:rPr>
        <w:t xml:space="preserve">The Full Court erred in </w:t>
      </w:r>
      <w:r>
        <w:rPr>
          <w:rFonts w:cs="Arial"/>
          <w:szCs w:val="24"/>
        </w:rPr>
        <w:t xml:space="preserve">finding </w:t>
      </w:r>
      <w:r w:rsidRPr="002039DE">
        <w:rPr>
          <w:rFonts w:cs="Arial"/>
          <w:szCs w:val="24"/>
        </w:rPr>
        <w:t xml:space="preserve">that, by the Appellant being a contracting party to the </w:t>
      </w:r>
      <w:r>
        <w:rPr>
          <w:rFonts w:cs="Arial"/>
          <w:szCs w:val="24"/>
        </w:rPr>
        <w:t xml:space="preserve">ECT </w:t>
      </w:r>
      <w:r w:rsidRPr="002039DE">
        <w:rPr>
          <w:rFonts w:cs="Arial"/>
          <w:szCs w:val="24"/>
        </w:rPr>
        <w:t xml:space="preserve">and the ICSID Convention, the Appellant:   </w:t>
      </w:r>
    </w:p>
    <w:p w14:paraId="1170A245" w14:textId="77777777" w:rsidR="006B0757" w:rsidRDefault="006B0757" w:rsidP="006B0757">
      <w:pPr>
        <w:autoSpaceDE w:val="0"/>
        <w:autoSpaceDN w:val="0"/>
        <w:adjustRightInd w:val="0"/>
        <w:spacing w:after="180"/>
        <w:ind w:left="828" w:hanging="403"/>
        <w:jc w:val="both"/>
        <w:rPr>
          <w:rFonts w:cs="Arial"/>
          <w:szCs w:val="24"/>
        </w:rPr>
      </w:pPr>
      <w:r>
        <w:rPr>
          <w:rFonts w:cs="Arial"/>
          <w:szCs w:val="24"/>
        </w:rPr>
        <w:t>a)</w:t>
      </w:r>
      <w:r>
        <w:rPr>
          <w:rFonts w:cs="Arial"/>
          <w:szCs w:val="24"/>
        </w:rPr>
        <w:tab/>
        <w:t>had thereupon (and without more) submitted to the jurisdiction of the Federal Court of Australia for the purpose of these proceedings; and</w:t>
      </w:r>
    </w:p>
    <w:p w14:paraId="290DEEBC" w14:textId="77777777" w:rsidR="006B0757" w:rsidRDefault="006B0757" w:rsidP="006B0757">
      <w:pPr>
        <w:autoSpaceDE w:val="0"/>
        <w:autoSpaceDN w:val="0"/>
        <w:adjustRightInd w:val="0"/>
        <w:ind w:left="826" w:hanging="400"/>
        <w:jc w:val="both"/>
        <w:rPr>
          <w:rFonts w:cs="Arial"/>
          <w:szCs w:val="24"/>
        </w:rPr>
      </w:pPr>
      <w:r>
        <w:rPr>
          <w:rFonts w:cs="Arial"/>
          <w:szCs w:val="24"/>
        </w:rPr>
        <w:t>b)</w:t>
      </w:r>
      <w:r>
        <w:rPr>
          <w:rFonts w:cs="Arial"/>
          <w:szCs w:val="24"/>
        </w:rPr>
        <w:tab/>
        <w:t>further thereupon, the Appellant had waived its rights of foreign State jurisdictional immunity afforded by s 9 of the Immunities Ac</w:t>
      </w:r>
      <w:r w:rsidRPr="007E6539">
        <w:rPr>
          <w:rFonts w:cs="Arial"/>
          <w:szCs w:val="24"/>
        </w:rPr>
        <w:t>t f</w:t>
      </w:r>
      <w:r>
        <w:rPr>
          <w:rFonts w:cs="Arial"/>
          <w:szCs w:val="24"/>
        </w:rPr>
        <w:t>or the purpose of these proceedings.</w:t>
      </w:r>
    </w:p>
    <w:p w14:paraId="168C6895" w14:textId="77777777" w:rsidR="006B0757" w:rsidRDefault="006B0757" w:rsidP="006B0757">
      <w:pPr>
        <w:autoSpaceDE w:val="0"/>
        <w:autoSpaceDN w:val="0"/>
        <w:adjustRightInd w:val="0"/>
        <w:jc w:val="both"/>
        <w:rPr>
          <w:rFonts w:cs="Arial"/>
          <w:szCs w:val="24"/>
        </w:rPr>
      </w:pPr>
    </w:p>
    <w:p w14:paraId="2394DE25" w14:textId="77777777" w:rsidR="006B0757" w:rsidRPr="00161414" w:rsidRDefault="006B0757" w:rsidP="006B0757">
      <w:pPr>
        <w:shd w:val="clear" w:color="auto" w:fill="FFFFFF"/>
        <w:spacing w:after="180"/>
        <w:jc w:val="both"/>
        <w:rPr>
          <w:rFonts w:cs="Arial"/>
          <w:szCs w:val="24"/>
        </w:rPr>
      </w:pPr>
      <w:r>
        <w:rPr>
          <w:rFonts w:cs="Arial"/>
          <w:szCs w:val="24"/>
        </w:rPr>
        <w:t>The Respondents have filed a notice of contention, the grounds in which include</w:t>
      </w:r>
      <w:r w:rsidRPr="00161414">
        <w:rPr>
          <w:rFonts w:cs="Arial"/>
          <w:szCs w:val="24"/>
        </w:rPr>
        <w:t>:</w:t>
      </w:r>
    </w:p>
    <w:p w14:paraId="211AE5E5" w14:textId="37B8D0A9" w:rsidR="006B0757" w:rsidRPr="00161414" w:rsidRDefault="006B0757" w:rsidP="006B0757">
      <w:pPr>
        <w:numPr>
          <w:ilvl w:val="0"/>
          <w:numId w:val="12"/>
        </w:numPr>
        <w:autoSpaceDE w:val="0"/>
        <w:autoSpaceDN w:val="0"/>
        <w:adjustRightInd w:val="0"/>
        <w:ind w:left="425" w:hanging="425"/>
        <w:jc w:val="both"/>
        <w:rPr>
          <w:rFonts w:cs="Arial"/>
          <w:szCs w:val="24"/>
        </w:rPr>
      </w:pPr>
      <w:r>
        <w:rPr>
          <w:rFonts w:cs="Arial"/>
          <w:szCs w:val="24"/>
        </w:rPr>
        <w:t xml:space="preserve">Alternatively to the reasons given by the Full Court, the Full Court should have found that, on a proper reconciliation of the authentic texts of the </w:t>
      </w:r>
      <w:r>
        <w:rPr>
          <w:rFonts w:cs="Arial"/>
          <w:szCs w:val="24"/>
        </w:rPr>
        <w:br/>
        <w:t xml:space="preserve">ICSID Convention in accordance with the customary international law rules of treaty interpretation (embodied in Arts 31 and 32 of the </w:t>
      </w:r>
      <w:r w:rsidRPr="00484188">
        <w:rPr>
          <w:rFonts w:cs="Arial"/>
          <w:i/>
          <w:szCs w:val="24"/>
        </w:rPr>
        <w:t>Vienna Convention on the Law of Treaties</w:t>
      </w:r>
      <w:r>
        <w:rPr>
          <w:rFonts w:cs="Arial"/>
          <w:szCs w:val="24"/>
        </w:rPr>
        <w:t xml:space="preserve">), the Appellant by Art 54 of the </w:t>
      </w:r>
      <w:bookmarkStart w:id="1" w:name="_Hlk115941838"/>
      <w:r>
        <w:rPr>
          <w:rFonts w:cs="Arial"/>
          <w:szCs w:val="24"/>
        </w:rPr>
        <w:t xml:space="preserve">ICSID Convention </w:t>
      </w:r>
      <w:r w:rsidR="00917329">
        <w:rPr>
          <w:rFonts w:cs="Arial"/>
          <w:szCs w:val="24"/>
        </w:rPr>
        <w:br/>
      </w:r>
      <w:r>
        <w:rPr>
          <w:rFonts w:cs="Arial"/>
          <w:szCs w:val="24"/>
        </w:rPr>
        <w:t>(</w:t>
      </w:r>
      <w:bookmarkEnd w:id="1"/>
      <w:r>
        <w:rPr>
          <w:rFonts w:cs="Arial"/>
          <w:szCs w:val="24"/>
        </w:rPr>
        <w:t xml:space="preserve">given force of law by s 32 of </w:t>
      </w:r>
      <w:r w:rsidRPr="007E6539">
        <w:rPr>
          <w:rFonts w:cs="Arial"/>
          <w:szCs w:val="24"/>
        </w:rPr>
        <w:t>the IA Act) had</w:t>
      </w:r>
      <w:r>
        <w:rPr>
          <w:rFonts w:cs="Arial"/>
          <w:szCs w:val="24"/>
        </w:rPr>
        <w:t xml:space="preserve"> waived its immunity to proceedings for the recognition and enforcement of the award but not its execution and the orders made by the Federal Court were orders in the nature of recognition and enforcement of the award and were not orders for its execution, in each case within the meaning of the ICSID Convention (</w:t>
      </w:r>
      <w:r w:rsidRPr="007468BE">
        <w:rPr>
          <w:rFonts w:cs="Arial"/>
          <w:i/>
          <w:szCs w:val="24"/>
        </w:rPr>
        <w:t>contra</w:t>
      </w:r>
      <w:r>
        <w:rPr>
          <w:rFonts w:cs="Arial"/>
          <w:szCs w:val="24"/>
        </w:rPr>
        <w:t xml:space="preserve"> </w:t>
      </w:r>
      <w:proofErr w:type="spellStart"/>
      <w:r>
        <w:rPr>
          <w:rFonts w:cs="Arial"/>
          <w:szCs w:val="24"/>
        </w:rPr>
        <w:t>Perram</w:t>
      </w:r>
      <w:proofErr w:type="spellEnd"/>
      <w:r>
        <w:rPr>
          <w:rFonts w:cs="Arial"/>
          <w:szCs w:val="24"/>
        </w:rPr>
        <w:t xml:space="preserve"> J at [87] and adopting the finding at paragraph [144] of the first instance judgment).</w:t>
      </w:r>
    </w:p>
    <w:p w14:paraId="1FF23B5D" w14:textId="77777777" w:rsidR="006B0757" w:rsidRDefault="006B0757" w:rsidP="006B0757">
      <w:pPr>
        <w:autoSpaceDE w:val="0"/>
        <w:autoSpaceDN w:val="0"/>
        <w:adjustRightInd w:val="0"/>
        <w:jc w:val="both"/>
        <w:rPr>
          <w:rFonts w:cs="Arial"/>
          <w:szCs w:val="24"/>
        </w:rPr>
      </w:pPr>
    </w:p>
    <w:p w14:paraId="2ADC28F7" w14:textId="42768226" w:rsidR="006B0757" w:rsidRDefault="006B0757" w:rsidP="006B0757">
      <w:pPr>
        <w:autoSpaceDE w:val="0"/>
        <w:autoSpaceDN w:val="0"/>
        <w:adjustRightInd w:val="0"/>
        <w:jc w:val="both"/>
        <w:rPr>
          <w:rFonts w:cs="Arial"/>
          <w:szCs w:val="24"/>
        </w:rPr>
      </w:pPr>
      <w:r w:rsidRPr="004C0EBE">
        <w:rPr>
          <w:rFonts w:cs="Arial"/>
          <w:szCs w:val="24"/>
        </w:rPr>
        <w:t>The European Commission ha</w:t>
      </w:r>
      <w:r>
        <w:rPr>
          <w:rFonts w:cs="Arial"/>
          <w:szCs w:val="24"/>
        </w:rPr>
        <w:t>d</w:t>
      </w:r>
      <w:r w:rsidRPr="004C0EBE">
        <w:rPr>
          <w:rFonts w:cs="Arial"/>
          <w:szCs w:val="24"/>
        </w:rPr>
        <w:t xml:space="preserve"> applied for leave to be heard as </w:t>
      </w:r>
      <w:r w:rsidRPr="004C0EBE">
        <w:rPr>
          <w:rFonts w:cs="Arial"/>
          <w:i/>
          <w:szCs w:val="24"/>
        </w:rPr>
        <w:t>amicus curiae</w:t>
      </w:r>
      <w:r w:rsidRPr="004C0EBE">
        <w:rPr>
          <w:rFonts w:cs="Arial"/>
          <w:szCs w:val="24"/>
        </w:rPr>
        <w:t xml:space="preserve">, </w:t>
      </w:r>
      <w:r w:rsidR="00697BDF">
        <w:rPr>
          <w:rFonts w:cs="Arial"/>
          <w:szCs w:val="24"/>
        </w:rPr>
        <w:br/>
      </w:r>
      <w:r w:rsidRPr="004C0EBE">
        <w:rPr>
          <w:rFonts w:cs="Arial"/>
          <w:szCs w:val="24"/>
        </w:rPr>
        <w:t>to make submissions in support of the Appellant.</w:t>
      </w:r>
      <w:r>
        <w:rPr>
          <w:rFonts w:cs="Arial"/>
          <w:szCs w:val="24"/>
        </w:rPr>
        <w:t xml:space="preserve">  The Court has considered the </w:t>
      </w:r>
      <w:proofErr w:type="gramStart"/>
      <w:r>
        <w:rPr>
          <w:rFonts w:cs="Arial"/>
          <w:szCs w:val="24"/>
        </w:rPr>
        <w:t>application, but</w:t>
      </w:r>
      <w:proofErr w:type="gramEnd"/>
      <w:r>
        <w:rPr>
          <w:rFonts w:cs="Arial"/>
          <w:szCs w:val="24"/>
        </w:rPr>
        <w:t xml:space="preserve"> is of the view that it would not be assisted by the proposed submissions. </w:t>
      </w:r>
    </w:p>
    <w:p w14:paraId="576BBB87" w14:textId="67207310" w:rsidR="008B6696" w:rsidRDefault="008B6696" w:rsidP="006B0757">
      <w:pPr>
        <w:autoSpaceDE w:val="0"/>
        <w:autoSpaceDN w:val="0"/>
        <w:adjustRightInd w:val="0"/>
        <w:jc w:val="both"/>
        <w:rPr>
          <w:rFonts w:cs="Arial"/>
          <w:szCs w:val="24"/>
        </w:rPr>
      </w:pPr>
    </w:p>
    <w:p w14:paraId="62EB0F44" w14:textId="6EB59777" w:rsidR="008B6696" w:rsidRDefault="008B6696">
      <w:pPr>
        <w:rPr>
          <w:rFonts w:cs="Arial"/>
          <w:szCs w:val="24"/>
        </w:rPr>
      </w:pPr>
      <w:r>
        <w:rPr>
          <w:rFonts w:cs="Arial"/>
          <w:szCs w:val="24"/>
        </w:rPr>
        <w:br w:type="page"/>
      </w:r>
    </w:p>
    <w:p w14:paraId="6218D451" w14:textId="77777777" w:rsidR="004348CF" w:rsidRPr="007008F4" w:rsidRDefault="004348CF" w:rsidP="004348CF">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STANLEY v</w:t>
      </w:r>
      <w:r w:rsidRPr="006B72BF">
        <w:rPr>
          <w:rFonts w:cs="Arial"/>
          <w:b/>
          <w:color w:val="000000"/>
          <w:sz w:val="28"/>
          <w:szCs w:val="28"/>
        </w:rPr>
        <w:t xml:space="preserve"> </w:t>
      </w:r>
      <w:r>
        <w:rPr>
          <w:rFonts w:cs="Arial"/>
          <w:b/>
          <w:color w:val="000000"/>
          <w:sz w:val="28"/>
          <w:szCs w:val="28"/>
        </w:rPr>
        <w:t>DIRECTOR OF PUBLIC PROSECUTIONS (NSW) &amp; ANOR</w:t>
      </w:r>
      <w:r w:rsidRPr="0002731A">
        <w:rPr>
          <w:rFonts w:cs="Arial"/>
          <w:b/>
          <w:color w:val="000000"/>
          <w:sz w:val="28"/>
          <w:szCs w:val="28"/>
          <w:u w:val="none"/>
        </w:rPr>
        <w:t xml:space="preserve"> (S</w:t>
      </w:r>
      <w:r>
        <w:rPr>
          <w:rFonts w:cs="Arial"/>
          <w:b/>
          <w:color w:val="000000"/>
          <w:sz w:val="28"/>
          <w:szCs w:val="28"/>
          <w:u w:val="none"/>
        </w:rPr>
        <w:t>126</w:t>
      </w:r>
      <w:r w:rsidRPr="0002731A">
        <w:rPr>
          <w:rFonts w:cs="Arial"/>
          <w:b/>
          <w:color w:val="000000"/>
          <w:sz w:val="28"/>
          <w:szCs w:val="28"/>
          <w:u w:val="none"/>
        </w:rPr>
        <w:t>/2022)</w:t>
      </w:r>
    </w:p>
    <w:p w14:paraId="6D9612F2" w14:textId="77777777" w:rsidR="004348CF" w:rsidRPr="00E651B8" w:rsidRDefault="004348CF" w:rsidP="004348CF">
      <w:pPr>
        <w:ind w:left="2694" w:hanging="2694"/>
        <w:rPr>
          <w:rFonts w:cs="Arial"/>
          <w:szCs w:val="24"/>
        </w:rPr>
      </w:pPr>
    </w:p>
    <w:p w14:paraId="3161C0DB" w14:textId="77777777" w:rsidR="004348CF" w:rsidRDefault="004348CF" w:rsidP="004348CF">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0E305D9D" w14:textId="77777777" w:rsidR="004348CF" w:rsidRPr="00F14559" w:rsidRDefault="004348CF" w:rsidP="004348CF">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NSWCA 337</w:t>
      </w:r>
    </w:p>
    <w:p w14:paraId="70841185" w14:textId="77777777" w:rsidR="004348CF" w:rsidRPr="008A0364" w:rsidRDefault="004348CF" w:rsidP="004348CF">
      <w:pPr>
        <w:ind w:left="2694" w:hanging="2694"/>
        <w:rPr>
          <w:rFonts w:cs="Arial"/>
          <w:szCs w:val="24"/>
        </w:rPr>
      </w:pPr>
    </w:p>
    <w:p w14:paraId="15A11215" w14:textId="77777777" w:rsidR="004348CF" w:rsidRDefault="004348CF" w:rsidP="004348CF">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21 December 2021</w:t>
      </w:r>
    </w:p>
    <w:p w14:paraId="5F3F5F5B" w14:textId="77777777" w:rsidR="004348CF" w:rsidRDefault="004348CF" w:rsidP="004348CF">
      <w:pPr>
        <w:ind w:left="2552" w:hanging="2552"/>
        <w:rPr>
          <w:rFonts w:cs="Arial"/>
          <w:szCs w:val="24"/>
        </w:rPr>
      </w:pPr>
    </w:p>
    <w:p w14:paraId="1D3A1AF3" w14:textId="77777777" w:rsidR="004348CF" w:rsidRDefault="004348CF" w:rsidP="004348CF">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19 August 2022</w:t>
      </w:r>
    </w:p>
    <w:p w14:paraId="59289D8A" w14:textId="77777777" w:rsidR="004348CF" w:rsidRDefault="004348CF" w:rsidP="004348CF">
      <w:pPr>
        <w:rPr>
          <w:rFonts w:cs="Arial"/>
          <w:szCs w:val="24"/>
        </w:rPr>
      </w:pPr>
    </w:p>
    <w:p w14:paraId="063098FE" w14:textId="77777777" w:rsidR="004348CF" w:rsidRDefault="004348CF" w:rsidP="004348CF">
      <w:pPr>
        <w:jc w:val="both"/>
        <w:rPr>
          <w:szCs w:val="24"/>
        </w:rPr>
      </w:pPr>
      <w:r>
        <w:rPr>
          <w:szCs w:val="24"/>
        </w:rPr>
        <w:t xml:space="preserve">In October 2020, </w:t>
      </w:r>
      <w:proofErr w:type="spellStart"/>
      <w:r>
        <w:rPr>
          <w:szCs w:val="24"/>
        </w:rPr>
        <w:t>Ms</w:t>
      </w:r>
      <w:proofErr w:type="spellEnd"/>
      <w:r>
        <w:rPr>
          <w:szCs w:val="24"/>
        </w:rPr>
        <w:t xml:space="preserve"> Emma-Jane Stanley pleaded guilty in the Local Court of New South Wales to various offences against the </w:t>
      </w:r>
      <w:r w:rsidRPr="00F809A1">
        <w:rPr>
          <w:i/>
          <w:szCs w:val="24"/>
        </w:rPr>
        <w:t>Firearms Act 1996</w:t>
      </w:r>
      <w:r>
        <w:rPr>
          <w:szCs w:val="24"/>
        </w:rPr>
        <w:t xml:space="preserve"> (NSW) in relation to her involvement in the </w:t>
      </w:r>
      <w:proofErr w:type="spellStart"/>
      <w:r>
        <w:rPr>
          <w:szCs w:val="24"/>
        </w:rPr>
        <w:t>unauthorised</w:t>
      </w:r>
      <w:proofErr w:type="spellEnd"/>
      <w:r>
        <w:rPr>
          <w:szCs w:val="24"/>
        </w:rPr>
        <w:t xml:space="preserve"> storage and supply of firearms and ammunition.  The weapons initially had been secreted at </w:t>
      </w:r>
      <w:proofErr w:type="spellStart"/>
      <w:r>
        <w:rPr>
          <w:szCs w:val="24"/>
        </w:rPr>
        <w:t>Ms</w:t>
      </w:r>
      <w:proofErr w:type="spellEnd"/>
      <w:r>
        <w:rPr>
          <w:szCs w:val="24"/>
        </w:rPr>
        <w:t xml:space="preserve"> Stanley’s home by her cousin, without </w:t>
      </w:r>
      <w:proofErr w:type="spellStart"/>
      <w:r>
        <w:rPr>
          <w:szCs w:val="24"/>
        </w:rPr>
        <w:t>Ms</w:t>
      </w:r>
      <w:proofErr w:type="spellEnd"/>
      <w:r>
        <w:rPr>
          <w:szCs w:val="24"/>
        </w:rPr>
        <w:t xml:space="preserve"> Stanley’s knowledge.  </w:t>
      </w:r>
      <w:proofErr w:type="spellStart"/>
      <w:r>
        <w:rPr>
          <w:szCs w:val="24"/>
        </w:rPr>
        <w:t>Ms</w:t>
      </w:r>
      <w:proofErr w:type="spellEnd"/>
      <w:r>
        <w:rPr>
          <w:szCs w:val="24"/>
        </w:rPr>
        <w:t xml:space="preserve"> Stanley subsequently acquiesced in the weapons remaining at her home, and she received a small payment from her cousin (and another co-offender) after the weapons had been sold.  The magistrate sentenced </w:t>
      </w:r>
      <w:proofErr w:type="spellStart"/>
      <w:r>
        <w:rPr>
          <w:szCs w:val="24"/>
        </w:rPr>
        <w:t>Ms</w:t>
      </w:r>
      <w:proofErr w:type="spellEnd"/>
      <w:r>
        <w:rPr>
          <w:szCs w:val="24"/>
        </w:rPr>
        <w:t xml:space="preserve"> Stanley to imprisonment for three years with a non-parole period of two years.</w:t>
      </w:r>
    </w:p>
    <w:p w14:paraId="116A044B" w14:textId="77777777" w:rsidR="004348CF" w:rsidRDefault="004348CF" w:rsidP="004348CF">
      <w:pPr>
        <w:jc w:val="both"/>
        <w:rPr>
          <w:szCs w:val="24"/>
        </w:rPr>
      </w:pPr>
    </w:p>
    <w:p w14:paraId="2B3377AE" w14:textId="432BF6A1" w:rsidR="004348CF" w:rsidRDefault="004348CF" w:rsidP="004348CF">
      <w:pPr>
        <w:jc w:val="both"/>
        <w:rPr>
          <w:szCs w:val="24"/>
        </w:rPr>
      </w:pPr>
      <w:r>
        <w:rPr>
          <w:szCs w:val="24"/>
        </w:rPr>
        <w:t xml:space="preserve">In an appeal by </w:t>
      </w:r>
      <w:proofErr w:type="spellStart"/>
      <w:r>
        <w:rPr>
          <w:szCs w:val="24"/>
        </w:rPr>
        <w:t>Ms</w:t>
      </w:r>
      <w:proofErr w:type="spellEnd"/>
      <w:r>
        <w:rPr>
          <w:szCs w:val="24"/>
        </w:rPr>
        <w:t xml:space="preserve"> Stanley to the District Court against the severity of her sentence, the evidence included that </w:t>
      </w:r>
      <w:proofErr w:type="spellStart"/>
      <w:r>
        <w:rPr>
          <w:szCs w:val="24"/>
        </w:rPr>
        <w:t>Ms</w:t>
      </w:r>
      <w:proofErr w:type="spellEnd"/>
      <w:r>
        <w:rPr>
          <w:szCs w:val="24"/>
        </w:rPr>
        <w:t xml:space="preserve"> Stanley was a single mother of young children who were in her care, that she had had long periods of employment, </w:t>
      </w:r>
      <w:r>
        <w:rPr>
          <w:szCs w:val="24"/>
        </w:rPr>
        <w:br/>
        <w:t xml:space="preserve">and that she had previous convictions but had never served a term of full-time imprisonment.  For one previous conviction, </w:t>
      </w:r>
      <w:proofErr w:type="spellStart"/>
      <w:r>
        <w:rPr>
          <w:szCs w:val="24"/>
        </w:rPr>
        <w:t>Ms</w:t>
      </w:r>
      <w:proofErr w:type="spellEnd"/>
      <w:r>
        <w:rPr>
          <w:szCs w:val="24"/>
        </w:rPr>
        <w:t xml:space="preserve"> Stanley had served her sentence in the community pursuant to an intensive correction order (“ICO”) made under </w:t>
      </w:r>
      <w:r w:rsidR="002F73DA">
        <w:rPr>
          <w:szCs w:val="24"/>
        </w:rPr>
        <w:br/>
      </w:r>
      <w:r w:rsidRPr="00672553">
        <w:rPr>
          <w:szCs w:val="24"/>
        </w:rPr>
        <w:t>s 7</w:t>
      </w:r>
      <w:r>
        <w:rPr>
          <w:szCs w:val="24"/>
        </w:rPr>
        <w:t xml:space="preserve"> of the </w:t>
      </w:r>
      <w:r w:rsidRPr="00B443A8">
        <w:rPr>
          <w:i/>
          <w:szCs w:val="24"/>
        </w:rPr>
        <w:t>Crimes (Sentencing Procedure) Act 1999</w:t>
      </w:r>
      <w:r>
        <w:rPr>
          <w:szCs w:val="24"/>
        </w:rPr>
        <w:t xml:space="preserve"> (NSW) (“the CSP Act”), </w:t>
      </w:r>
      <w:r>
        <w:rPr>
          <w:szCs w:val="24"/>
        </w:rPr>
        <w:br/>
        <w:t xml:space="preserve">and </w:t>
      </w:r>
      <w:proofErr w:type="spellStart"/>
      <w:r>
        <w:rPr>
          <w:szCs w:val="24"/>
        </w:rPr>
        <w:t>Ms</w:t>
      </w:r>
      <w:proofErr w:type="spellEnd"/>
      <w:r>
        <w:rPr>
          <w:szCs w:val="24"/>
        </w:rPr>
        <w:t xml:space="preserve"> Stanley sought an ICO in respect of her latest sentence.  A sentencing assessment report described </w:t>
      </w:r>
      <w:proofErr w:type="spellStart"/>
      <w:r>
        <w:rPr>
          <w:szCs w:val="24"/>
        </w:rPr>
        <w:t>Ms</w:t>
      </w:r>
      <w:proofErr w:type="spellEnd"/>
      <w:r>
        <w:rPr>
          <w:szCs w:val="24"/>
        </w:rPr>
        <w:t xml:space="preserve"> Stanley as having a medium risk of re-offending, and the report set out a potential supervision plan for </w:t>
      </w:r>
      <w:proofErr w:type="spellStart"/>
      <w:r>
        <w:rPr>
          <w:szCs w:val="24"/>
        </w:rPr>
        <w:t>Ms</w:t>
      </w:r>
      <w:proofErr w:type="spellEnd"/>
      <w:r>
        <w:rPr>
          <w:szCs w:val="24"/>
        </w:rPr>
        <w:t xml:space="preserve"> Stanley </w:t>
      </w:r>
      <w:proofErr w:type="gramStart"/>
      <w:r>
        <w:rPr>
          <w:szCs w:val="24"/>
        </w:rPr>
        <w:t>in the event that</w:t>
      </w:r>
      <w:proofErr w:type="gramEnd"/>
      <w:r>
        <w:rPr>
          <w:szCs w:val="24"/>
        </w:rPr>
        <w:t xml:space="preserve"> she would serve her sentence in the community.</w:t>
      </w:r>
    </w:p>
    <w:p w14:paraId="70831E28" w14:textId="77777777" w:rsidR="004348CF" w:rsidRDefault="004348CF" w:rsidP="004348CF">
      <w:pPr>
        <w:jc w:val="both"/>
        <w:rPr>
          <w:szCs w:val="24"/>
        </w:rPr>
      </w:pPr>
    </w:p>
    <w:p w14:paraId="7128DD76" w14:textId="665A199F" w:rsidR="004348CF" w:rsidRDefault="004348CF" w:rsidP="004348CF">
      <w:pPr>
        <w:jc w:val="both"/>
        <w:rPr>
          <w:szCs w:val="24"/>
        </w:rPr>
      </w:pPr>
      <w:r>
        <w:rPr>
          <w:szCs w:val="24"/>
        </w:rPr>
        <w:t xml:space="preserve">One of the statutory provisions relevant to the making of an ICO is s 66 of the </w:t>
      </w:r>
      <w:r w:rsidR="002F73DA">
        <w:rPr>
          <w:szCs w:val="24"/>
        </w:rPr>
        <w:br/>
      </w:r>
      <w:r>
        <w:rPr>
          <w:szCs w:val="24"/>
        </w:rPr>
        <w:t xml:space="preserve">CSP Act.  Section 66(1) provides that community safety must be the paramount consideration when considering whether to make an ICO, while s 66(2) provides that when considering community safety, the court is to assess whether an ICO or full-time detention would more likely address the offender’s risk of reoffending </w:t>
      </w:r>
      <w:r w:rsidR="00FC2A35">
        <w:rPr>
          <w:szCs w:val="24"/>
        </w:rPr>
        <w:br/>
      </w:r>
      <w:r>
        <w:rPr>
          <w:szCs w:val="24"/>
        </w:rPr>
        <w:t xml:space="preserve">(“the s 66(2) Assessment”).  Section 66(3) then provides that the sentencing court must also consider s 3A and common law </w:t>
      </w:r>
      <w:proofErr w:type="gramStart"/>
      <w:r>
        <w:rPr>
          <w:szCs w:val="24"/>
        </w:rPr>
        <w:t>principles, and</w:t>
      </w:r>
      <w:proofErr w:type="gramEnd"/>
      <w:r>
        <w:rPr>
          <w:szCs w:val="24"/>
        </w:rPr>
        <w:t xml:space="preserve"> may consider any other relevant matters.</w:t>
      </w:r>
    </w:p>
    <w:p w14:paraId="47C4FEAA" w14:textId="77777777" w:rsidR="004348CF" w:rsidRDefault="004348CF" w:rsidP="004348CF">
      <w:pPr>
        <w:jc w:val="both"/>
        <w:rPr>
          <w:szCs w:val="24"/>
        </w:rPr>
      </w:pPr>
    </w:p>
    <w:p w14:paraId="6B6A90E7" w14:textId="77777777" w:rsidR="004348CF" w:rsidRDefault="004348CF" w:rsidP="004348CF">
      <w:pPr>
        <w:jc w:val="both"/>
        <w:rPr>
          <w:szCs w:val="24"/>
        </w:rPr>
      </w:pPr>
      <w:r>
        <w:rPr>
          <w:szCs w:val="24"/>
        </w:rPr>
        <w:t xml:space="preserve">Judge N Williams dismissed </w:t>
      </w:r>
      <w:proofErr w:type="spellStart"/>
      <w:r>
        <w:rPr>
          <w:szCs w:val="24"/>
        </w:rPr>
        <w:t>Ms</w:t>
      </w:r>
      <w:proofErr w:type="spellEnd"/>
      <w:r>
        <w:rPr>
          <w:szCs w:val="24"/>
        </w:rPr>
        <w:t xml:space="preserve"> Stanley’s application, addressing many factors in lengthy reasons for judgment.  Her </w:t>
      </w:r>
      <w:proofErr w:type="spellStart"/>
      <w:r>
        <w:rPr>
          <w:szCs w:val="24"/>
        </w:rPr>
        <w:t>Honour</w:t>
      </w:r>
      <w:proofErr w:type="spellEnd"/>
      <w:r>
        <w:rPr>
          <w:szCs w:val="24"/>
        </w:rPr>
        <w:t xml:space="preserve"> did not however refer to the s 66(2) Assessment in deciding that an ICO should not be made.</w:t>
      </w:r>
    </w:p>
    <w:p w14:paraId="7245E341" w14:textId="77777777" w:rsidR="004348CF" w:rsidRDefault="004348CF" w:rsidP="004348CF">
      <w:pPr>
        <w:jc w:val="both"/>
        <w:rPr>
          <w:szCs w:val="24"/>
        </w:rPr>
      </w:pPr>
    </w:p>
    <w:p w14:paraId="7E2C1FD5" w14:textId="77777777" w:rsidR="004348CF" w:rsidRDefault="004348CF" w:rsidP="004348CF">
      <w:pPr>
        <w:jc w:val="both"/>
        <w:rPr>
          <w:szCs w:val="24"/>
        </w:rPr>
      </w:pPr>
      <w:proofErr w:type="spellStart"/>
      <w:r>
        <w:rPr>
          <w:szCs w:val="24"/>
        </w:rPr>
        <w:t>Ms</w:t>
      </w:r>
      <w:proofErr w:type="spellEnd"/>
      <w:r>
        <w:rPr>
          <w:szCs w:val="24"/>
        </w:rPr>
        <w:t xml:space="preserve"> Stanley applied for judicial review (an appeal from the District Court’s decision being statute barred), contending that Judge Williams had failed to undertake the s 66(2) Assessment and that such failure amounted to jurisdictional error.</w:t>
      </w:r>
    </w:p>
    <w:p w14:paraId="7DCE2BE1" w14:textId="60E20465" w:rsidR="004348CF" w:rsidRDefault="004348CF" w:rsidP="004348CF">
      <w:pPr>
        <w:jc w:val="both"/>
        <w:rPr>
          <w:szCs w:val="24"/>
        </w:rPr>
      </w:pPr>
    </w:p>
    <w:p w14:paraId="59CF73C0" w14:textId="06987D85" w:rsidR="004348CF" w:rsidRDefault="004348CF" w:rsidP="004348CF">
      <w:pPr>
        <w:jc w:val="both"/>
        <w:rPr>
          <w:szCs w:val="24"/>
        </w:rPr>
      </w:pPr>
    </w:p>
    <w:p w14:paraId="231418F5" w14:textId="550E26F9" w:rsidR="004348CF" w:rsidRDefault="004348CF" w:rsidP="004348CF">
      <w:pPr>
        <w:jc w:val="both"/>
        <w:rPr>
          <w:szCs w:val="24"/>
        </w:rPr>
      </w:pPr>
    </w:p>
    <w:p w14:paraId="1AFA1299" w14:textId="77777777" w:rsidR="004348CF" w:rsidRDefault="004348CF" w:rsidP="004348CF">
      <w:pPr>
        <w:jc w:val="both"/>
        <w:rPr>
          <w:szCs w:val="24"/>
        </w:rPr>
      </w:pPr>
    </w:p>
    <w:p w14:paraId="69766087" w14:textId="3F5F00A3" w:rsidR="004348CF" w:rsidRDefault="004348CF" w:rsidP="004348CF">
      <w:pPr>
        <w:jc w:val="both"/>
        <w:rPr>
          <w:szCs w:val="24"/>
        </w:rPr>
      </w:pPr>
      <w:r>
        <w:rPr>
          <w:szCs w:val="24"/>
        </w:rPr>
        <w:lastRenderedPageBreak/>
        <w:t xml:space="preserve">The Court of Appeal (Bell P, </w:t>
      </w:r>
      <w:proofErr w:type="spellStart"/>
      <w:r>
        <w:rPr>
          <w:szCs w:val="24"/>
        </w:rPr>
        <w:t>Basten</w:t>
      </w:r>
      <w:proofErr w:type="spellEnd"/>
      <w:r>
        <w:rPr>
          <w:szCs w:val="24"/>
        </w:rPr>
        <w:t xml:space="preserve">, Leeming and Beech-Jones JJA; </w:t>
      </w:r>
      <w:r>
        <w:rPr>
          <w:szCs w:val="24"/>
        </w:rPr>
        <w:br/>
        <w:t xml:space="preserve">McCallum JA dissenting) dismissed </w:t>
      </w:r>
      <w:proofErr w:type="spellStart"/>
      <w:r>
        <w:rPr>
          <w:szCs w:val="24"/>
        </w:rPr>
        <w:t>Ms</w:t>
      </w:r>
      <w:proofErr w:type="spellEnd"/>
      <w:r>
        <w:rPr>
          <w:szCs w:val="24"/>
        </w:rPr>
        <w:t xml:space="preserve"> Stanley’s application.  McCallum JA and </w:t>
      </w:r>
      <w:r>
        <w:rPr>
          <w:szCs w:val="24"/>
        </w:rPr>
        <w:br/>
        <w:t xml:space="preserve">Beech-Jones JA found that Judge Williams had failed to undertake the </w:t>
      </w:r>
      <w:r w:rsidR="0025305B">
        <w:rPr>
          <w:szCs w:val="24"/>
        </w:rPr>
        <w:br/>
      </w:r>
      <w:r>
        <w:rPr>
          <w:szCs w:val="24"/>
        </w:rPr>
        <w:t xml:space="preserve">s 66(2) Assessment, while the other Justices assumed such a failure for the purpose of considering the question of jurisdictional error.  Various Justices in the majority found it unlikely that Parliament had intended that compliance with s 66(2) be a requirement for the exercise of </w:t>
      </w:r>
      <w:proofErr w:type="gramStart"/>
      <w:r>
        <w:rPr>
          <w:szCs w:val="24"/>
        </w:rPr>
        <w:t>jurisdiction, and</w:t>
      </w:r>
      <w:proofErr w:type="gramEnd"/>
      <w:r>
        <w:rPr>
          <w:szCs w:val="24"/>
        </w:rPr>
        <w:t xml:space="preserve"> held that the failure </w:t>
      </w:r>
      <w:r w:rsidR="003057E2">
        <w:rPr>
          <w:szCs w:val="24"/>
        </w:rPr>
        <w:br/>
      </w:r>
      <w:r>
        <w:rPr>
          <w:szCs w:val="24"/>
        </w:rPr>
        <w:t xml:space="preserve">(either actual or assumed) to undertake the s 66(2) Assessment was an error made </w:t>
      </w:r>
      <w:r w:rsidRPr="00046D73">
        <w:rPr>
          <w:i/>
          <w:szCs w:val="24"/>
        </w:rPr>
        <w:t>within</w:t>
      </w:r>
      <w:r>
        <w:rPr>
          <w:szCs w:val="24"/>
        </w:rPr>
        <w:t xml:space="preserve"> the District Court’s jurisdiction.  The entire majority of the Court of Appeal held that the s 66(2) Assessment was not a condition of a sentencing court’s exercise of discretion to make an ICO, and Judge Williams’ failure to undertake that assessment therefore did not amount to jurisdictional error.</w:t>
      </w:r>
    </w:p>
    <w:p w14:paraId="7D621CBE" w14:textId="77777777" w:rsidR="004348CF" w:rsidRDefault="004348CF" w:rsidP="004348CF">
      <w:pPr>
        <w:jc w:val="both"/>
        <w:rPr>
          <w:szCs w:val="24"/>
        </w:rPr>
      </w:pPr>
    </w:p>
    <w:p w14:paraId="37F58EF9" w14:textId="77777777" w:rsidR="004348CF" w:rsidRPr="000D0779" w:rsidRDefault="004348CF" w:rsidP="004348CF">
      <w:pPr>
        <w:jc w:val="both"/>
        <w:rPr>
          <w:szCs w:val="24"/>
        </w:rPr>
      </w:pPr>
      <w:r>
        <w:rPr>
          <w:szCs w:val="24"/>
        </w:rPr>
        <w:t xml:space="preserve">McCallum JA however would have allowed </w:t>
      </w:r>
      <w:proofErr w:type="spellStart"/>
      <w:r>
        <w:rPr>
          <w:szCs w:val="24"/>
        </w:rPr>
        <w:t>Ms</w:t>
      </w:r>
      <w:proofErr w:type="spellEnd"/>
      <w:r>
        <w:rPr>
          <w:szCs w:val="24"/>
        </w:rPr>
        <w:t xml:space="preserve"> Stanley’s application.  Her </w:t>
      </w:r>
      <w:proofErr w:type="spellStart"/>
      <w:r>
        <w:rPr>
          <w:szCs w:val="24"/>
        </w:rPr>
        <w:t>Honour</w:t>
      </w:r>
      <w:proofErr w:type="spellEnd"/>
      <w:r>
        <w:rPr>
          <w:szCs w:val="24"/>
        </w:rPr>
        <w:t xml:space="preserve"> held that jurisdictional error had occurred because there had been a fundamental misconception of a function conferred by statute, being the requirement to determine the </w:t>
      </w:r>
      <w:proofErr w:type="gramStart"/>
      <w:r>
        <w:rPr>
          <w:szCs w:val="24"/>
        </w:rPr>
        <w:t>manner in which</w:t>
      </w:r>
      <w:proofErr w:type="gramEnd"/>
      <w:r>
        <w:rPr>
          <w:szCs w:val="24"/>
        </w:rPr>
        <w:t xml:space="preserve"> a sentence of imprisonment was to be served after assessing which method of serving the sentence would best address the offender’s risk of reoffending.</w:t>
      </w:r>
    </w:p>
    <w:p w14:paraId="627ABA4D" w14:textId="77777777" w:rsidR="004348CF" w:rsidRDefault="004348CF" w:rsidP="004348CF">
      <w:pPr>
        <w:jc w:val="both"/>
        <w:rPr>
          <w:rFonts w:cs="Arial"/>
          <w:szCs w:val="24"/>
        </w:rPr>
      </w:pPr>
    </w:p>
    <w:p w14:paraId="1949FFA1" w14:textId="77777777" w:rsidR="004348CF" w:rsidRPr="00AD7885" w:rsidRDefault="004348CF" w:rsidP="004348CF">
      <w:pPr>
        <w:spacing w:after="180"/>
        <w:jc w:val="both"/>
        <w:rPr>
          <w:rFonts w:cs="Arial"/>
          <w:szCs w:val="24"/>
        </w:rPr>
      </w:pPr>
      <w:r w:rsidRPr="00AD7885">
        <w:rPr>
          <w:rFonts w:cs="Arial"/>
          <w:szCs w:val="24"/>
        </w:rPr>
        <w:t xml:space="preserve">The ground of appeal </w:t>
      </w:r>
      <w:r>
        <w:rPr>
          <w:rFonts w:cs="Arial"/>
          <w:szCs w:val="24"/>
        </w:rPr>
        <w:t>is:</w:t>
      </w:r>
    </w:p>
    <w:p w14:paraId="46E08D4B" w14:textId="77777777" w:rsidR="004348CF" w:rsidRDefault="004348CF" w:rsidP="004348CF">
      <w:pPr>
        <w:numPr>
          <w:ilvl w:val="0"/>
          <w:numId w:val="13"/>
        </w:numPr>
        <w:autoSpaceDE w:val="0"/>
        <w:autoSpaceDN w:val="0"/>
        <w:adjustRightInd w:val="0"/>
        <w:ind w:left="425" w:hanging="425"/>
        <w:jc w:val="both"/>
        <w:rPr>
          <w:szCs w:val="24"/>
        </w:rPr>
      </w:pPr>
      <w:r w:rsidRPr="00AD7885">
        <w:rPr>
          <w:szCs w:val="24"/>
        </w:rPr>
        <w:t xml:space="preserve">The </w:t>
      </w:r>
      <w:r>
        <w:rPr>
          <w:szCs w:val="24"/>
        </w:rPr>
        <w:t>Court of Appeal erred in failing to hold that the District Court’s decision was affected by jurisdictional error and should be quashed.</w:t>
      </w:r>
    </w:p>
    <w:p w14:paraId="2F994CDD" w14:textId="77777777" w:rsidR="004348CF" w:rsidRDefault="004348CF" w:rsidP="004348CF">
      <w:pPr>
        <w:autoSpaceDE w:val="0"/>
        <w:autoSpaceDN w:val="0"/>
        <w:adjustRightInd w:val="0"/>
        <w:spacing w:line="276" w:lineRule="auto"/>
        <w:jc w:val="both"/>
        <w:rPr>
          <w:szCs w:val="24"/>
        </w:rPr>
      </w:pPr>
    </w:p>
    <w:p w14:paraId="2726933A" w14:textId="77777777" w:rsidR="004348CF" w:rsidRPr="00DC4FFC" w:rsidRDefault="004348CF" w:rsidP="004348CF">
      <w:pPr>
        <w:spacing w:after="180"/>
        <w:jc w:val="both"/>
        <w:rPr>
          <w:szCs w:val="24"/>
        </w:rPr>
      </w:pPr>
      <w:r>
        <w:rPr>
          <w:szCs w:val="24"/>
        </w:rPr>
        <w:t>The first respondent has filed a notice</w:t>
      </w:r>
      <w:r w:rsidRPr="00DC4FFC">
        <w:rPr>
          <w:szCs w:val="24"/>
        </w:rPr>
        <w:t xml:space="preserve"> of contention, </w:t>
      </w:r>
      <w:r>
        <w:rPr>
          <w:szCs w:val="24"/>
        </w:rPr>
        <w:t>raising the</w:t>
      </w:r>
      <w:r w:rsidRPr="00DC4FFC">
        <w:rPr>
          <w:szCs w:val="24"/>
        </w:rPr>
        <w:t xml:space="preserve"> following ground:</w:t>
      </w:r>
    </w:p>
    <w:p w14:paraId="0DEAE2DA" w14:textId="77777777" w:rsidR="004348CF" w:rsidRPr="006E4DD2" w:rsidRDefault="004348CF" w:rsidP="004348CF">
      <w:pPr>
        <w:numPr>
          <w:ilvl w:val="0"/>
          <w:numId w:val="13"/>
        </w:numPr>
        <w:autoSpaceDE w:val="0"/>
        <w:autoSpaceDN w:val="0"/>
        <w:adjustRightInd w:val="0"/>
        <w:ind w:left="425" w:hanging="425"/>
        <w:jc w:val="both"/>
        <w:rPr>
          <w:szCs w:val="24"/>
        </w:rPr>
      </w:pPr>
      <w:r>
        <w:rPr>
          <w:szCs w:val="24"/>
        </w:rPr>
        <w:t>The sentencing judge undertook the assessment required by s 66(2) of the CSP Act.</w:t>
      </w:r>
    </w:p>
    <w:p w14:paraId="4780A26C" w14:textId="77777777" w:rsidR="008B6696" w:rsidRPr="004348CF" w:rsidRDefault="008B6696" w:rsidP="006B0757">
      <w:pPr>
        <w:autoSpaceDE w:val="0"/>
        <w:autoSpaceDN w:val="0"/>
        <w:adjustRightInd w:val="0"/>
        <w:jc w:val="both"/>
        <w:rPr>
          <w:rFonts w:ascii="Calibri" w:hAnsi="Calibri"/>
        </w:rPr>
      </w:pPr>
    </w:p>
    <w:p w14:paraId="5C6DFFD2" w14:textId="77777777" w:rsidR="00091B4F" w:rsidRPr="00091B4F" w:rsidRDefault="00091B4F" w:rsidP="00091B4F">
      <w:pPr>
        <w:rPr>
          <w:rFonts w:cs="Arial"/>
          <w:szCs w:val="24"/>
        </w:rPr>
      </w:pPr>
    </w:p>
    <w:p w14:paraId="6FB977E5" w14:textId="06A83FE4" w:rsidR="004348CF" w:rsidRDefault="004348CF">
      <w:r>
        <w:br w:type="page"/>
      </w:r>
    </w:p>
    <w:p w14:paraId="7417E340" w14:textId="77777777" w:rsidR="002B65BE" w:rsidRPr="00E5208F" w:rsidRDefault="002B65BE" w:rsidP="002B65BE">
      <w:pPr>
        <w:rPr>
          <w:sz w:val="28"/>
          <w:szCs w:val="28"/>
        </w:rPr>
      </w:pPr>
      <w:r>
        <w:rPr>
          <w:b/>
          <w:sz w:val="28"/>
          <w:szCs w:val="28"/>
          <w:u w:val="single"/>
        </w:rPr>
        <w:lastRenderedPageBreak/>
        <w:t>UNIONS NSW</w:t>
      </w:r>
      <w:r w:rsidRPr="00E5208F">
        <w:rPr>
          <w:b/>
          <w:sz w:val="28"/>
          <w:szCs w:val="28"/>
          <w:u w:val="single"/>
        </w:rPr>
        <w:t xml:space="preserve"> &amp; OR</w:t>
      </w:r>
      <w:r>
        <w:rPr>
          <w:b/>
          <w:sz w:val="28"/>
          <w:szCs w:val="28"/>
          <w:u w:val="single"/>
        </w:rPr>
        <w:t>S</w:t>
      </w:r>
      <w:r w:rsidRPr="00E5208F">
        <w:rPr>
          <w:b/>
          <w:sz w:val="28"/>
          <w:szCs w:val="28"/>
          <w:u w:val="single"/>
        </w:rPr>
        <w:t xml:space="preserve"> v </w:t>
      </w:r>
      <w:r>
        <w:rPr>
          <w:b/>
          <w:sz w:val="28"/>
          <w:szCs w:val="28"/>
          <w:u w:val="single"/>
        </w:rPr>
        <w:t>STATE OF NEW SOUTH WALES</w:t>
      </w:r>
      <w:r>
        <w:rPr>
          <w:b/>
          <w:sz w:val="28"/>
          <w:szCs w:val="28"/>
        </w:rPr>
        <w:t xml:space="preserve"> (S98/2022</w:t>
      </w:r>
      <w:r w:rsidRPr="00E5208F">
        <w:rPr>
          <w:b/>
          <w:sz w:val="28"/>
          <w:szCs w:val="28"/>
        </w:rPr>
        <w:t>)</w:t>
      </w:r>
    </w:p>
    <w:p w14:paraId="5375F3C7" w14:textId="77777777" w:rsidR="002B65BE" w:rsidRPr="00E5208F" w:rsidRDefault="002B65BE" w:rsidP="002B65BE">
      <w:pPr>
        <w:rPr>
          <w:szCs w:val="24"/>
        </w:rPr>
      </w:pPr>
    </w:p>
    <w:p w14:paraId="6F15F7ED" w14:textId="77777777" w:rsidR="002B65BE" w:rsidRPr="00E5208F" w:rsidRDefault="002B65BE" w:rsidP="002B65BE">
      <w:pPr>
        <w:tabs>
          <w:tab w:val="left" w:pos="4395"/>
        </w:tabs>
        <w:rPr>
          <w:szCs w:val="24"/>
        </w:rPr>
      </w:pPr>
      <w:r w:rsidRPr="00E5208F">
        <w:rPr>
          <w:szCs w:val="24"/>
          <w:u w:val="single"/>
        </w:rPr>
        <w:t>Date</w:t>
      </w:r>
      <w:r>
        <w:rPr>
          <w:szCs w:val="24"/>
          <w:u w:val="single"/>
        </w:rPr>
        <w:t xml:space="preserve"> writ of summons </w:t>
      </w:r>
      <w:r w:rsidRPr="00E5208F">
        <w:rPr>
          <w:szCs w:val="24"/>
          <w:u w:val="single"/>
        </w:rPr>
        <w:t>filed</w:t>
      </w:r>
      <w:r>
        <w:rPr>
          <w:szCs w:val="24"/>
        </w:rPr>
        <w:t xml:space="preserve">:  </w:t>
      </w:r>
      <w:r>
        <w:rPr>
          <w:szCs w:val="24"/>
        </w:rPr>
        <w:tab/>
        <w:t>29 June 2022</w:t>
      </w:r>
    </w:p>
    <w:p w14:paraId="38D528BF" w14:textId="77777777" w:rsidR="002B65BE" w:rsidRPr="00E5208F" w:rsidRDefault="002B65BE" w:rsidP="002B65BE">
      <w:pPr>
        <w:rPr>
          <w:szCs w:val="24"/>
        </w:rPr>
      </w:pPr>
    </w:p>
    <w:p w14:paraId="648905B8" w14:textId="77777777" w:rsidR="002B65BE" w:rsidRDefault="002B65BE" w:rsidP="002B65BE">
      <w:pPr>
        <w:tabs>
          <w:tab w:val="left" w:pos="3969"/>
        </w:tabs>
        <w:rPr>
          <w:szCs w:val="24"/>
        </w:rPr>
      </w:pPr>
      <w:r>
        <w:rPr>
          <w:szCs w:val="24"/>
          <w:u w:val="single"/>
        </w:rPr>
        <w:t>Date special case</w:t>
      </w:r>
      <w:r w:rsidRPr="00E5208F">
        <w:rPr>
          <w:szCs w:val="24"/>
          <w:u w:val="single"/>
        </w:rPr>
        <w:t xml:space="preserve"> referred to Full Court</w:t>
      </w:r>
      <w:r>
        <w:rPr>
          <w:szCs w:val="24"/>
        </w:rPr>
        <w:t>:  28 September 2022</w:t>
      </w:r>
    </w:p>
    <w:p w14:paraId="77AD57FB" w14:textId="77777777" w:rsidR="002B65BE" w:rsidRPr="00D37E46" w:rsidRDefault="002B65BE" w:rsidP="002B65BE">
      <w:pPr>
        <w:tabs>
          <w:tab w:val="left" w:pos="3969"/>
        </w:tabs>
        <w:rPr>
          <w:szCs w:val="24"/>
        </w:rPr>
      </w:pPr>
    </w:p>
    <w:p w14:paraId="501526DA" w14:textId="1B6951CC" w:rsidR="002B65BE" w:rsidRDefault="002B65BE" w:rsidP="002B65BE">
      <w:pPr>
        <w:jc w:val="both"/>
        <w:rPr>
          <w:rFonts w:cs="Arial"/>
          <w:iCs/>
          <w:szCs w:val="24"/>
        </w:rPr>
      </w:pPr>
      <w:r>
        <w:rPr>
          <w:rFonts w:cs="Arial"/>
          <w:iCs/>
          <w:szCs w:val="24"/>
        </w:rPr>
        <w:t xml:space="preserve">The </w:t>
      </w:r>
      <w:r w:rsidRPr="00356ED7">
        <w:rPr>
          <w:i/>
        </w:rPr>
        <w:t>Electoral Funding Act 2018</w:t>
      </w:r>
      <w:r>
        <w:t xml:space="preserve"> (NSW) (“the EF Act”) makes provision for the disclosure, capping and prohibition of certain donations and expenditure in relation to electoral campaigns for state and local government elections in </w:t>
      </w:r>
      <w:r w:rsidR="00E00E28">
        <w:br/>
      </w:r>
      <w:r>
        <w:t>New South Wales.</w:t>
      </w:r>
    </w:p>
    <w:p w14:paraId="56805DF9" w14:textId="77777777" w:rsidR="002B65BE" w:rsidRDefault="002B65BE" w:rsidP="002B65BE">
      <w:pPr>
        <w:jc w:val="both"/>
        <w:rPr>
          <w:rFonts w:cs="Arial"/>
          <w:iCs/>
          <w:szCs w:val="24"/>
        </w:rPr>
      </w:pPr>
    </w:p>
    <w:p w14:paraId="15A1FF10" w14:textId="77777777" w:rsidR="002B65BE" w:rsidRDefault="002B65BE" w:rsidP="002B65BE">
      <w:pPr>
        <w:jc w:val="both"/>
        <w:rPr>
          <w:rFonts w:cs="Arial"/>
          <w:iCs/>
          <w:szCs w:val="24"/>
        </w:rPr>
      </w:pPr>
      <w:r>
        <w:rPr>
          <w:rFonts w:cs="Arial"/>
          <w:iCs/>
          <w:szCs w:val="24"/>
        </w:rPr>
        <w:t xml:space="preserve">Each of the four plaintiffs is an employee </w:t>
      </w:r>
      <w:proofErr w:type="spellStart"/>
      <w:r>
        <w:rPr>
          <w:rFonts w:cs="Arial"/>
          <w:iCs/>
          <w:szCs w:val="24"/>
        </w:rPr>
        <w:t>organisation</w:t>
      </w:r>
      <w:proofErr w:type="spellEnd"/>
      <w:r>
        <w:rPr>
          <w:rFonts w:cs="Arial"/>
          <w:iCs/>
          <w:szCs w:val="24"/>
        </w:rPr>
        <w:t xml:space="preserve"> that has incurred electoral expenditure in the past as a third-party campaigner registered under the EF Act, and may incur such expenditure again in the future.  When common interests arise, the plaintiffs seek to coordinate their messages and undertake joint political campaigns.  (The first plaintiff is the “State peak council for employees” prescribed by section 215 of the </w:t>
      </w:r>
      <w:r w:rsidRPr="002A6928">
        <w:rPr>
          <w:rFonts w:cs="Arial"/>
          <w:i/>
          <w:iCs/>
          <w:szCs w:val="24"/>
        </w:rPr>
        <w:t>Industrial Relations Act 1996</w:t>
      </w:r>
      <w:r>
        <w:rPr>
          <w:rFonts w:cs="Arial"/>
          <w:iCs/>
          <w:szCs w:val="24"/>
        </w:rPr>
        <w:t xml:space="preserve"> (NSW)). </w:t>
      </w:r>
    </w:p>
    <w:p w14:paraId="02C2C7FB" w14:textId="77777777" w:rsidR="002B65BE" w:rsidRDefault="002B65BE" w:rsidP="002B65BE">
      <w:pPr>
        <w:jc w:val="both"/>
        <w:rPr>
          <w:rFonts w:cs="Arial"/>
          <w:iCs/>
          <w:szCs w:val="24"/>
        </w:rPr>
      </w:pPr>
    </w:p>
    <w:p w14:paraId="057EA062" w14:textId="77777777" w:rsidR="002B65BE" w:rsidRDefault="002B65BE" w:rsidP="002B65BE">
      <w:pPr>
        <w:jc w:val="both"/>
        <w:rPr>
          <w:rFonts w:cs="Arial"/>
          <w:iCs/>
          <w:szCs w:val="24"/>
        </w:rPr>
      </w:pPr>
      <w:r>
        <w:rPr>
          <w:rFonts w:cs="Arial"/>
          <w:iCs/>
          <w:szCs w:val="24"/>
        </w:rPr>
        <w:t xml:space="preserve">Section 29(11) of the EF Act prescribes a cap of $20,000 on the electoral expenditure of any third-party campaigner in respect of a by-election for the Legislative Assembly. </w:t>
      </w:r>
    </w:p>
    <w:p w14:paraId="65DB8BEB" w14:textId="77777777" w:rsidR="002B65BE" w:rsidRDefault="002B65BE" w:rsidP="002B65BE">
      <w:pPr>
        <w:jc w:val="both"/>
        <w:rPr>
          <w:rFonts w:cs="Arial"/>
          <w:iCs/>
          <w:szCs w:val="24"/>
        </w:rPr>
      </w:pPr>
    </w:p>
    <w:p w14:paraId="3293AFAC" w14:textId="77777777" w:rsidR="002B65BE" w:rsidRDefault="002B65BE" w:rsidP="002B65BE">
      <w:pPr>
        <w:spacing w:after="180"/>
        <w:jc w:val="both"/>
        <w:rPr>
          <w:rFonts w:cs="Arial"/>
          <w:iCs/>
          <w:szCs w:val="24"/>
        </w:rPr>
      </w:pPr>
      <w:r>
        <w:rPr>
          <w:rFonts w:cs="Arial"/>
          <w:iCs/>
          <w:szCs w:val="24"/>
        </w:rPr>
        <w:t>Section 35 of the EF Act is in the following terms:</w:t>
      </w:r>
    </w:p>
    <w:p w14:paraId="66C726F5" w14:textId="2E4AD79D" w:rsidR="002B65BE" w:rsidRPr="008F6AE1" w:rsidRDefault="002B65BE" w:rsidP="002B65BE">
      <w:pPr>
        <w:tabs>
          <w:tab w:val="left" w:pos="993"/>
        </w:tabs>
        <w:spacing w:after="120"/>
        <w:ind w:left="992" w:right="612" w:hanging="567"/>
        <w:jc w:val="both"/>
        <w:rPr>
          <w:rFonts w:cs="Arial"/>
          <w:i/>
          <w:iCs/>
          <w:szCs w:val="24"/>
        </w:rPr>
      </w:pPr>
      <w:r w:rsidRPr="008F6AE1">
        <w:rPr>
          <w:rFonts w:cs="Arial"/>
          <w:i/>
          <w:iCs/>
          <w:szCs w:val="24"/>
        </w:rPr>
        <w:t>(1)</w:t>
      </w:r>
      <w:r w:rsidRPr="008F6AE1">
        <w:rPr>
          <w:rFonts w:cs="Arial"/>
          <w:i/>
          <w:iCs/>
          <w:szCs w:val="24"/>
        </w:rPr>
        <w:tab/>
        <w:t xml:space="preserve">It is unlawful for a third-party campaigner to act in concert with another person or other persons to incur electoral expenditure in relation to an election campaign during the capped expenditure period for the election that exceeds the applicable cap for the </w:t>
      </w:r>
      <w:r w:rsidR="009E7D3C">
        <w:rPr>
          <w:rFonts w:cs="Arial"/>
          <w:i/>
          <w:iCs/>
          <w:szCs w:val="24"/>
        </w:rPr>
        <w:br/>
      </w:r>
      <w:r w:rsidRPr="008F6AE1">
        <w:rPr>
          <w:rFonts w:cs="Arial"/>
          <w:i/>
          <w:iCs/>
          <w:szCs w:val="24"/>
        </w:rPr>
        <w:t>third-party campaigner for the election.</w:t>
      </w:r>
    </w:p>
    <w:p w14:paraId="012E7E2B" w14:textId="77777777" w:rsidR="002B65BE" w:rsidRPr="008F6AE1" w:rsidRDefault="002B65BE" w:rsidP="002B65BE">
      <w:pPr>
        <w:tabs>
          <w:tab w:val="left" w:pos="993"/>
        </w:tabs>
        <w:spacing w:after="120"/>
        <w:ind w:left="992" w:right="612" w:hanging="567"/>
        <w:jc w:val="both"/>
        <w:rPr>
          <w:rFonts w:cs="Arial"/>
          <w:i/>
          <w:iCs/>
          <w:szCs w:val="24"/>
        </w:rPr>
      </w:pPr>
      <w:r w:rsidRPr="008F6AE1">
        <w:rPr>
          <w:rFonts w:cs="Arial"/>
          <w:i/>
          <w:iCs/>
          <w:szCs w:val="24"/>
        </w:rPr>
        <w:t>(2)</w:t>
      </w:r>
      <w:r w:rsidRPr="008F6AE1">
        <w:rPr>
          <w:rFonts w:cs="Arial"/>
          <w:i/>
          <w:iCs/>
          <w:szCs w:val="24"/>
        </w:rPr>
        <w:tab/>
        <w:t xml:space="preserve">In this section, a person </w:t>
      </w:r>
      <w:r w:rsidRPr="008F6AE1">
        <w:rPr>
          <w:rFonts w:cs="Arial"/>
          <w:iCs/>
          <w:szCs w:val="24"/>
        </w:rPr>
        <w:t xml:space="preserve">acts in concert </w:t>
      </w:r>
      <w:r w:rsidRPr="008F6AE1">
        <w:rPr>
          <w:rFonts w:cs="Arial"/>
          <w:i/>
          <w:iCs/>
          <w:szCs w:val="24"/>
        </w:rPr>
        <w:t>with another person if the person acts under an agreement (whether formal or informal) with the other person to campaign with the object, or principal object, of:</w:t>
      </w:r>
    </w:p>
    <w:p w14:paraId="6FAAE014" w14:textId="77777777" w:rsidR="002B65BE" w:rsidRPr="008F6AE1" w:rsidRDefault="002B65BE" w:rsidP="002B65BE">
      <w:pPr>
        <w:pStyle w:val="ListParagraph"/>
        <w:numPr>
          <w:ilvl w:val="0"/>
          <w:numId w:val="15"/>
        </w:numPr>
        <w:spacing w:before="120" w:after="120"/>
        <w:ind w:left="1560" w:right="613" w:hanging="567"/>
        <w:rPr>
          <w:rFonts w:cs="Arial"/>
          <w:i/>
          <w:iCs/>
          <w:szCs w:val="24"/>
        </w:rPr>
      </w:pPr>
      <w:r w:rsidRPr="008F6AE1">
        <w:rPr>
          <w:rFonts w:cs="Arial"/>
          <w:i/>
          <w:iCs/>
          <w:szCs w:val="24"/>
        </w:rPr>
        <w:t>having a particular party, elected member or candidate elected, or</w:t>
      </w:r>
    </w:p>
    <w:p w14:paraId="096362C5" w14:textId="77777777" w:rsidR="002B65BE" w:rsidRPr="008F6AE1" w:rsidRDefault="002B65BE" w:rsidP="002B65BE">
      <w:pPr>
        <w:pStyle w:val="ListParagraph"/>
        <w:numPr>
          <w:ilvl w:val="0"/>
          <w:numId w:val="15"/>
        </w:numPr>
        <w:spacing w:before="120"/>
        <w:ind w:left="1560" w:right="613" w:hanging="567"/>
        <w:rPr>
          <w:rFonts w:cs="Arial"/>
          <w:i/>
          <w:iCs/>
          <w:szCs w:val="24"/>
        </w:rPr>
      </w:pPr>
      <w:r w:rsidRPr="008F6AE1">
        <w:rPr>
          <w:rFonts w:cs="Arial"/>
          <w:i/>
          <w:iCs/>
          <w:szCs w:val="24"/>
        </w:rPr>
        <w:t xml:space="preserve">opposing the election of a particular party, elected </w:t>
      </w:r>
      <w:proofErr w:type="gramStart"/>
      <w:r w:rsidRPr="008F6AE1">
        <w:rPr>
          <w:rFonts w:cs="Arial"/>
          <w:i/>
          <w:iCs/>
          <w:szCs w:val="24"/>
        </w:rPr>
        <w:t>member</w:t>
      </w:r>
      <w:proofErr w:type="gramEnd"/>
      <w:r w:rsidRPr="008F6AE1">
        <w:rPr>
          <w:rFonts w:cs="Arial"/>
          <w:i/>
          <w:iCs/>
          <w:szCs w:val="24"/>
        </w:rPr>
        <w:t xml:space="preserve"> or candidate.</w:t>
      </w:r>
    </w:p>
    <w:p w14:paraId="44D0D630" w14:textId="77777777" w:rsidR="002B65BE" w:rsidRDefault="002B65BE" w:rsidP="002B65BE">
      <w:pPr>
        <w:jc w:val="both"/>
        <w:rPr>
          <w:rFonts w:cs="Arial"/>
          <w:iCs/>
          <w:szCs w:val="24"/>
        </w:rPr>
      </w:pPr>
    </w:p>
    <w:p w14:paraId="1AB5D93D" w14:textId="77777777" w:rsidR="002B65BE" w:rsidRDefault="002B65BE" w:rsidP="002B65BE">
      <w:pPr>
        <w:jc w:val="both"/>
        <w:rPr>
          <w:rFonts w:cs="Arial"/>
          <w:iCs/>
          <w:szCs w:val="24"/>
        </w:rPr>
      </w:pPr>
      <w:r>
        <w:rPr>
          <w:rFonts w:cs="Arial"/>
          <w:iCs/>
          <w:szCs w:val="24"/>
        </w:rPr>
        <w:t xml:space="preserve">On 29 June 2022, the plaintiffs commenced proceedings in this Court, </w:t>
      </w:r>
      <w:r>
        <w:rPr>
          <w:rFonts w:cs="Arial"/>
          <w:iCs/>
          <w:szCs w:val="24"/>
        </w:rPr>
        <w:br/>
        <w:t>seeking declarations that sections 29(11) and 35 of the EF Act are invalid.</w:t>
      </w:r>
    </w:p>
    <w:p w14:paraId="4D5BBEEB" w14:textId="77777777" w:rsidR="002B65BE" w:rsidRDefault="002B65BE" w:rsidP="002B65BE">
      <w:pPr>
        <w:jc w:val="both"/>
        <w:rPr>
          <w:rFonts w:cs="Arial"/>
          <w:iCs/>
          <w:szCs w:val="24"/>
        </w:rPr>
      </w:pPr>
    </w:p>
    <w:p w14:paraId="0AEC6443" w14:textId="272D07FD" w:rsidR="002B65BE" w:rsidRDefault="002B65BE" w:rsidP="002B65BE">
      <w:pPr>
        <w:jc w:val="both"/>
        <w:rPr>
          <w:rFonts w:cs="Arial"/>
          <w:iCs/>
          <w:szCs w:val="24"/>
        </w:rPr>
      </w:pPr>
      <w:r>
        <w:rPr>
          <w:rFonts w:cs="Arial"/>
          <w:iCs/>
          <w:szCs w:val="24"/>
        </w:rPr>
        <w:t>An amended</w:t>
      </w:r>
      <w:r w:rsidRPr="00B2475C">
        <w:rPr>
          <w:rFonts w:cs="Arial"/>
          <w:iCs/>
          <w:szCs w:val="24"/>
        </w:rPr>
        <w:t xml:space="preserve"> special case</w:t>
      </w:r>
      <w:r>
        <w:rPr>
          <w:rFonts w:cs="Arial"/>
          <w:iCs/>
          <w:szCs w:val="24"/>
        </w:rPr>
        <w:t xml:space="preserve"> filed by the parties was referred to the Full Court by Justice Keane</w:t>
      </w:r>
      <w:r w:rsidRPr="002A71FA">
        <w:rPr>
          <w:rFonts w:cs="Arial"/>
          <w:iCs/>
          <w:szCs w:val="24"/>
        </w:rPr>
        <w:t xml:space="preserve">.  The </w:t>
      </w:r>
      <w:r>
        <w:rPr>
          <w:rFonts w:cs="Arial"/>
          <w:iCs/>
          <w:szCs w:val="24"/>
        </w:rPr>
        <w:t xml:space="preserve">amended </w:t>
      </w:r>
      <w:r w:rsidRPr="002A71FA">
        <w:rPr>
          <w:rFonts w:cs="Arial"/>
          <w:iCs/>
          <w:szCs w:val="24"/>
        </w:rPr>
        <w:t>special case states the following questions</w:t>
      </w:r>
      <w:r>
        <w:rPr>
          <w:rFonts w:cs="Arial"/>
          <w:iCs/>
          <w:szCs w:val="24"/>
        </w:rPr>
        <w:t xml:space="preserve"> for the opinion of the Full Court</w:t>
      </w:r>
      <w:r w:rsidRPr="002A71FA">
        <w:rPr>
          <w:rFonts w:cs="Arial"/>
          <w:iCs/>
          <w:szCs w:val="24"/>
        </w:rPr>
        <w:t>:</w:t>
      </w:r>
    </w:p>
    <w:p w14:paraId="29CF1ACF" w14:textId="77777777" w:rsidR="002B65BE" w:rsidRPr="002A71FA" w:rsidRDefault="002B65BE" w:rsidP="002B65BE">
      <w:pPr>
        <w:jc w:val="both"/>
      </w:pPr>
    </w:p>
    <w:p w14:paraId="09444115" w14:textId="3813E498" w:rsidR="002B65BE" w:rsidRDefault="002B65BE" w:rsidP="002B65BE">
      <w:pPr>
        <w:pStyle w:val="ListParagraph"/>
        <w:numPr>
          <w:ilvl w:val="0"/>
          <w:numId w:val="14"/>
        </w:numPr>
        <w:ind w:left="426" w:right="329" w:hanging="426"/>
      </w:pPr>
      <w:r w:rsidRPr="002A71FA">
        <w:t>Is</w:t>
      </w:r>
      <w:r>
        <w:t xml:space="preserve"> section 29(11) of the </w:t>
      </w:r>
      <w:r w:rsidRPr="00356ED7">
        <w:rPr>
          <w:i/>
        </w:rPr>
        <w:t>Electoral Funding Act 2018</w:t>
      </w:r>
      <w:r>
        <w:t xml:space="preserve"> (NSW) invalid because it impermissibly burdens the implied freedom of communication on governmental and political matters, contrary to the Commonwealth Constitution</w:t>
      </w:r>
      <w:r w:rsidRPr="00C3503D">
        <w:t>?</w:t>
      </w:r>
    </w:p>
    <w:p w14:paraId="6E356078" w14:textId="77777777" w:rsidR="000D15A3" w:rsidRPr="00C3503D" w:rsidRDefault="000D15A3" w:rsidP="000D15A3">
      <w:pPr>
        <w:ind w:right="329"/>
      </w:pPr>
    </w:p>
    <w:p w14:paraId="1A8179DB" w14:textId="77777777" w:rsidR="002B65BE" w:rsidRPr="00C3503D" w:rsidRDefault="002B65BE" w:rsidP="002B65BE">
      <w:pPr>
        <w:ind w:left="66" w:right="329"/>
        <w:jc w:val="both"/>
      </w:pPr>
    </w:p>
    <w:p w14:paraId="742C7503" w14:textId="77777777" w:rsidR="002B65BE" w:rsidRPr="00C3503D" w:rsidRDefault="002B65BE" w:rsidP="002B65BE">
      <w:pPr>
        <w:pStyle w:val="ListParagraph"/>
        <w:numPr>
          <w:ilvl w:val="0"/>
          <w:numId w:val="14"/>
        </w:numPr>
        <w:ind w:left="426" w:right="329" w:hanging="426"/>
      </w:pPr>
      <w:r w:rsidRPr="002A71FA">
        <w:t>Is</w:t>
      </w:r>
      <w:r>
        <w:t xml:space="preserve"> section 35 of the </w:t>
      </w:r>
      <w:r w:rsidRPr="00356ED7">
        <w:rPr>
          <w:i/>
        </w:rPr>
        <w:t>Electoral Funding Act 2018</w:t>
      </w:r>
      <w:r>
        <w:t xml:space="preserve"> (NSW) invalid (in whole or in part and, if in part, to what extent), because it impermissibly burdens the </w:t>
      </w:r>
      <w:r>
        <w:lastRenderedPageBreak/>
        <w:t>implied freedom of communication on governmental and political matters, contrary to the Commonwealth Constitution</w:t>
      </w:r>
      <w:r w:rsidRPr="00C3503D">
        <w:t>?</w:t>
      </w:r>
    </w:p>
    <w:p w14:paraId="6891E59B" w14:textId="77777777" w:rsidR="002B65BE" w:rsidRPr="00C3503D" w:rsidRDefault="002B65BE" w:rsidP="002B65BE">
      <w:pPr>
        <w:ind w:right="329"/>
        <w:jc w:val="both"/>
      </w:pPr>
    </w:p>
    <w:p w14:paraId="40224C57" w14:textId="77777777" w:rsidR="002B65BE" w:rsidRDefault="002B65BE" w:rsidP="002B65BE">
      <w:pPr>
        <w:pStyle w:val="ListParagraph"/>
        <w:numPr>
          <w:ilvl w:val="0"/>
          <w:numId w:val="14"/>
        </w:numPr>
        <w:ind w:left="426" w:right="329" w:hanging="426"/>
      </w:pPr>
      <w:r w:rsidRPr="00C3503D">
        <w:t xml:space="preserve">Who should pay the costs of the </w:t>
      </w:r>
      <w:r>
        <w:t>s</w:t>
      </w:r>
      <w:r w:rsidRPr="00C3503D">
        <w:t xml:space="preserve">pecial </w:t>
      </w:r>
      <w:r>
        <w:t>c</w:t>
      </w:r>
      <w:r w:rsidRPr="00C3503D">
        <w:t>ase?</w:t>
      </w:r>
    </w:p>
    <w:p w14:paraId="7ED7880F" w14:textId="77777777" w:rsidR="002B65BE" w:rsidRDefault="002B65BE" w:rsidP="002B65BE">
      <w:pPr>
        <w:spacing w:line="276" w:lineRule="auto"/>
        <w:ind w:right="329"/>
        <w:jc w:val="both"/>
      </w:pPr>
    </w:p>
    <w:p w14:paraId="2D8B9B37" w14:textId="6935C6EF" w:rsidR="002B65BE" w:rsidRPr="000B3688" w:rsidRDefault="002B65BE" w:rsidP="002B65BE">
      <w:pPr>
        <w:ind w:right="329"/>
        <w:jc w:val="both"/>
      </w:pPr>
      <w:r>
        <w:t xml:space="preserve">The plaintiffs have filed a notice of a constitutional matter.  </w:t>
      </w:r>
      <w:r>
        <w:br/>
      </w:r>
      <w:r w:rsidRPr="000B3688">
        <w:t>The Attorney-General of the Commonwealth</w:t>
      </w:r>
      <w:r>
        <w:t xml:space="preserve"> of Australia</w:t>
      </w:r>
      <w:r w:rsidRPr="000B3688">
        <w:t xml:space="preserve"> is intervening.</w:t>
      </w:r>
    </w:p>
    <w:p w14:paraId="7FA7CC2A" w14:textId="77777777" w:rsidR="007C68A4" w:rsidRPr="00913869" w:rsidRDefault="007C68A4" w:rsidP="00913869"/>
    <w:sectPr w:rsidR="007C68A4"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1BDFC437" w:rsidR="004B7828" w:rsidRDefault="00B11970">
    <w:pPr>
      <w:tabs>
        <w:tab w:val="left" w:pos="851"/>
        <w:tab w:val="right" w:pos="8505"/>
      </w:tabs>
      <w:jc w:val="center"/>
      <w:rPr>
        <w:b/>
        <w:u w:val="single"/>
      </w:rPr>
    </w:pPr>
    <w:r>
      <w:rPr>
        <w:b/>
        <w:u w:val="single"/>
      </w:rPr>
      <w:t>NOVEMBER 2022</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98345E"/>
    <w:multiLevelType w:val="hybridMultilevel"/>
    <w:tmpl w:val="FA0AFD38"/>
    <w:lvl w:ilvl="0" w:tplc="B7BC54F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239E21E4"/>
    <w:multiLevelType w:val="hybridMultilevel"/>
    <w:tmpl w:val="E5847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962CCB"/>
    <w:multiLevelType w:val="hybridMultilevel"/>
    <w:tmpl w:val="3030FA52"/>
    <w:lvl w:ilvl="0" w:tplc="1298B1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787FC6"/>
    <w:multiLevelType w:val="hybridMultilevel"/>
    <w:tmpl w:val="4FA84B4A"/>
    <w:lvl w:ilvl="0" w:tplc="A4502DD2">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D0512C"/>
    <w:multiLevelType w:val="hybridMultilevel"/>
    <w:tmpl w:val="2A541BB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12"/>
  </w:num>
  <w:num w:numId="6">
    <w:abstractNumId w:val="11"/>
  </w:num>
  <w:num w:numId="7">
    <w:abstractNumId w:val="1"/>
  </w:num>
  <w:num w:numId="8">
    <w:abstractNumId w:val="0"/>
  </w:num>
  <w:num w:numId="9">
    <w:abstractNumId w:val="2"/>
  </w:num>
  <w:num w:numId="10">
    <w:abstractNumId w:val="4"/>
  </w:num>
  <w:num w:numId="11">
    <w:abstractNumId w:val="6"/>
  </w:num>
  <w:num w:numId="12">
    <w:abstractNumId w:val="10"/>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34231"/>
    <w:rsid w:val="00077406"/>
    <w:rsid w:val="00091B4F"/>
    <w:rsid w:val="000B7BD8"/>
    <w:rsid w:val="000D15A3"/>
    <w:rsid w:val="0017627F"/>
    <w:rsid w:val="001A1C89"/>
    <w:rsid w:val="001A29AE"/>
    <w:rsid w:val="001A3AD7"/>
    <w:rsid w:val="001C2978"/>
    <w:rsid w:val="001D28CC"/>
    <w:rsid w:val="0025305B"/>
    <w:rsid w:val="002B5174"/>
    <w:rsid w:val="002B65BE"/>
    <w:rsid w:val="002E45D0"/>
    <w:rsid w:val="002F73DA"/>
    <w:rsid w:val="003057E2"/>
    <w:rsid w:val="0037344E"/>
    <w:rsid w:val="0039260D"/>
    <w:rsid w:val="003B77DE"/>
    <w:rsid w:val="003C2828"/>
    <w:rsid w:val="003D1679"/>
    <w:rsid w:val="004348CF"/>
    <w:rsid w:val="004B7828"/>
    <w:rsid w:val="00570096"/>
    <w:rsid w:val="005D343B"/>
    <w:rsid w:val="006235D8"/>
    <w:rsid w:val="00663FF9"/>
    <w:rsid w:val="00697BDF"/>
    <w:rsid w:val="006B0757"/>
    <w:rsid w:val="0072576E"/>
    <w:rsid w:val="00737693"/>
    <w:rsid w:val="00742B8D"/>
    <w:rsid w:val="00763404"/>
    <w:rsid w:val="007671B5"/>
    <w:rsid w:val="007C68A4"/>
    <w:rsid w:val="00811E2E"/>
    <w:rsid w:val="00841511"/>
    <w:rsid w:val="00876107"/>
    <w:rsid w:val="008A2B2E"/>
    <w:rsid w:val="008B6696"/>
    <w:rsid w:val="00913869"/>
    <w:rsid w:val="00917329"/>
    <w:rsid w:val="009E7D3C"/>
    <w:rsid w:val="009F0AF6"/>
    <w:rsid w:val="00A414D3"/>
    <w:rsid w:val="00AA19F0"/>
    <w:rsid w:val="00B11970"/>
    <w:rsid w:val="00BA02B7"/>
    <w:rsid w:val="00C65A07"/>
    <w:rsid w:val="00CD10D1"/>
    <w:rsid w:val="00CF24B4"/>
    <w:rsid w:val="00D54159"/>
    <w:rsid w:val="00D77D95"/>
    <w:rsid w:val="00DB63B8"/>
    <w:rsid w:val="00E00E28"/>
    <w:rsid w:val="00E442CA"/>
    <w:rsid w:val="00EA24C4"/>
    <w:rsid w:val="00F03117"/>
    <w:rsid w:val="00F44DAA"/>
    <w:rsid w:val="00FC2A35"/>
    <w:rsid w:val="00FE4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AF6"/>
    <w:pPr>
      <w:ind w:left="720"/>
      <w:jc w:val="both"/>
    </w:pPr>
  </w:style>
  <w:style w:type="paragraph" w:styleId="NormalWeb">
    <w:name w:val="Normal (Web)"/>
    <w:basedOn w:val="Normal"/>
    <w:uiPriority w:val="99"/>
    <w:semiHidden/>
    <w:unhideWhenUsed/>
    <w:rsid w:val="009F0AF6"/>
    <w:pPr>
      <w:spacing w:before="100" w:beforeAutospacing="1" w:after="100" w:afterAutospacing="1"/>
    </w:pPr>
    <w:rPr>
      <w:rFonts w:ascii="Times New Roman" w:hAnsi="Times New Roman"/>
      <w:szCs w:val="24"/>
      <w:lang w:val="en-AU"/>
    </w:rPr>
  </w:style>
  <w:style w:type="character" w:styleId="Hyperlink">
    <w:name w:val="Hyperlink"/>
    <w:basedOn w:val="DefaultParagraphFont"/>
    <w:uiPriority w:val="99"/>
    <w:semiHidden/>
    <w:unhideWhenUsed/>
    <w:rsid w:val="009F0AF6"/>
    <w:rPr>
      <w:color w:val="0000FF"/>
      <w:u w:val="single"/>
    </w:rPr>
  </w:style>
  <w:style w:type="paragraph" w:styleId="NoSpacing">
    <w:name w:val="No Spacing"/>
    <w:uiPriority w:val="1"/>
    <w:qFormat/>
    <w:rsid w:val="006B07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2779</Words>
  <Characters>14280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50</cp:revision>
  <cp:lastPrinted>1999-08-03T02:31:00Z</cp:lastPrinted>
  <dcterms:created xsi:type="dcterms:W3CDTF">2022-03-29T00:10:00Z</dcterms:created>
  <dcterms:modified xsi:type="dcterms:W3CDTF">2022-11-03T00:42:00Z</dcterms:modified>
</cp:coreProperties>
</file>