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E22C" w14:textId="77777777" w:rsidR="009D0CE8" w:rsidRPr="00B546B2" w:rsidRDefault="007A348E" w:rsidP="009D0CE8">
      <w:pPr>
        <w:jc w:val="left"/>
      </w:pPr>
      <w:bookmarkStart w:id="0" w:name="_GoBack"/>
      <w:bookmarkEnd w:id="0"/>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3BF27A20" w:rsidR="009D0CE8" w:rsidRPr="007203D3" w:rsidRDefault="009D0CE8" w:rsidP="009D0CE8">
      <w:pPr>
        <w:pStyle w:val="BullTitle3"/>
      </w:pPr>
      <w:r w:rsidRPr="007203D3">
        <w:t xml:space="preserve">Volume </w:t>
      </w:r>
      <w:r w:rsidR="00DB68FF">
        <w:t>19</w:t>
      </w:r>
      <w:r w:rsidRPr="007203D3">
        <w:t xml:space="preserve"> Number </w:t>
      </w:r>
      <w:r w:rsidR="00DB68FF">
        <w:t>1</w:t>
      </w:r>
      <w:r w:rsidRPr="007203D3">
        <w:t xml:space="preserve"> (</w:t>
      </w:r>
      <w:r w:rsidR="00A7097D" w:rsidRPr="007203D3">
        <w:t xml:space="preserve">1 </w:t>
      </w:r>
      <w:r w:rsidR="00DB68FF">
        <w:t>January</w:t>
      </w:r>
      <w:r w:rsidR="007E4E01" w:rsidRPr="007203D3">
        <w:t xml:space="preserve"> –</w:t>
      </w:r>
      <w:r w:rsidR="00727206" w:rsidRPr="007203D3">
        <w:t xml:space="preserve"> </w:t>
      </w:r>
      <w:r w:rsidR="00DD0272">
        <w:t>31 March</w:t>
      </w:r>
      <w:r w:rsidR="00DB68FF">
        <w:t xml:space="preserve"> 2022</w:t>
      </w:r>
      <w:r w:rsidRPr="007203D3">
        <w:t>)</w:t>
      </w:r>
    </w:p>
    <w:p w14:paraId="61439D12" w14:textId="77777777" w:rsidR="009D0CE8" w:rsidRPr="00B546B2" w:rsidRDefault="009D0CE8" w:rsidP="009D0CE8"/>
    <w:p w14:paraId="79ED9A18" w14:textId="77777777"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2B3D93C4" w14:textId="77777777" w:rsidR="00BC4126" w:rsidRPr="00784EDC" w:rsidRDefault="00BC4126" w:rsidP="00BC4126">
      <w:pPr>
        <w:pBdr>
          <w:bottom w:val="double" w:sz="6" w:space="1" w:color="auto"/>
        </w:pBdr>
        <w:rPr>
          <w:rFonts w:cs="Arial"/>
          <w:szCs w:val="20"/>
          <w:highlight w:val="yellow"/>
          <w:lang w:eastAsia="en-AU"/>
        </w:rPr>
      </w:pPr>
    </w:p>
    <w:p w14:paraId="1E06C2CA" w14:textId="77777777" w:rsidR="00BA2C1C" w:rsidRPr="00BA2C1C" w:rsidRDefault="00BA2C1C" w:rsidP="00BA2C1C">
      <w:pPr>
        <w:rPr>
          <w:highlight w:val="yellow"/>
        </w:rPr>
      </w:pPr>
    </w:p>
    <w:p w14:paraId="31D5BF49" w14:textId="45E17578" w:rsidR="00C66EEA" w:rsidRDefault="00C66EEA" w:rsidP="008656C4">
      <w:pPr>
        <w:pStyle w:val="Heading1"/>
      </w:pPr>
      <w:r>
        <w:t xml:space="preserve">Administrative Law </w:t>
      </w:r>
    </w:p>
    <w:p w14:paraId="26B986D2" w14:textId="77777777" w:rsidR="00A712C0" w:rsidRPr="00FA0EBE" w:rsidRDefault="00A712C0" w:rsidP="00A712C0"/>
    <w:p w14:paraId="3675F2DE" w14:textId="2F7EE70E" w:rsidR="00A712C0" w:rsidRPr="002F4F7E" w:rsidRDefault="00A712C0" w:rsidP="00A712C0">
      <w:pPr>
        <w:pStyle w:val="Heading2"/>
      </w:pPr>
      <w:r>
        <w:t xml:space="preserve">Babcock v </w:t>
      </w:r>
      <w:proofErr w:type="spellStart"/>
      <w:r>
        <w:t>Kijakazi</w:t>
      </w:r>
      <w:proofErr w:type="spellEnd"/>
      <w:r>
        <w:t xml:space="preserve">, Acting Commissioner of Social Security </w:t>
      </w:r>
    </w:p>
    <w:p w14:paraId="65F2FA8C" w14:textId="6EF45C1E" w:rsidR="00A712C0" w:rsidRPr="002F4F7E" w:rsidRDefault="00A712C0" w:rsidP="00A712C0">
      <w:pPr>
        <w:rPr>
          <w:lang w:eastAsia="en-AU"/>
        </w:rPr>
      </w:pPr>
      <w:r>
        <w:rPr>
          <w:b/>
          <w:lang w:eastAsia="en-AU"/>
        </w:rPr>
        <w:t xml:space="preserve">Supreme </w:t>
      </w:r>
      <w:r w:rsidRPr="002F4F7E">
        <w:rPr>
          <w:b/>
          <w:lang w:eastAsia="en-AU"/>
        </w:rPr>
        <w:t>Court</w:t>
      </w:r>
      <w:r>
        <w:rPr>
          <w:b/>
          <w:lang w:eastAsia="en-AU"/>
        </w:rPr>
        <w:t xml:space="preserve"> of the United States: </w:t>
      </w:r>
      <w:hyperlink r:id="rId9" w:history="1">
        <w:r w:rsidRPr="00A712C0">
          <w:rPr>
            <w:rStyle w:val="Hyperlink"/>
            <w:bCs/>
            <w:lang w:eastAsia="en-AU"/>
          </w:rPr>
          <w:t xml:space="preserve">Docket No. 20-480 </w:t>
        </w:r>
      </w:hyperlink>
    </w:p>
    <w:p w14:paraId="3582CD23" w14:textId="77777777" w:rsidR="00A712C0" w:rsidRPr="002F4F7E" w:rsidRDefault="00A712C0" w:rsidP="00A712C0">
      <w:pPr>
        <w:rPr>
          <w:lang w:eastAsia="en-AU"/>
        </w:rPr>
      </w:pPr>
    </w:p>
    <w:p w14:paraId="7604905A" w14:textId="238C8C2C" w:rsidR="00A712C0" w:rsidRPr="002F4F7E" w:rsidRDefault="00A712C0" w:rsidP="00A712C0">
      <w:pPr>
        <w:rPr>
          <w:lang w:eastAsia="en-AU"/>
        </w:rPr>
      </w:pPr>
      <w:r w:rsidRPr="002F4F7E">
        <w:rPr>
          <w:b/>
          <w:lang w:eastAsia="en-AU"/>
        </w:rPr>
        <w:t>Judgment delivered:</w:t>
      </w:r>
      <w:r w:rsidRPr="002F4F7E">
        <w:rPr>
          <w:lang w:eastAsia="en-AU"/>
        </w:rPr>
        <w:t xml:space="preserve"> </w:t>
      </w:r>
      <w:r>
        <w:rPr>
          <w:lang w:eastAsia="en-AU"/>
        </w:rPr>
        <w:t>13 January 2022</w:t>
      </w:r>
    </w:p>
    <w:p w14:paraId="2822C854" w14:textId="77777777" w:rsidR="00A712C0" w:rsidRPr="002F4F7E" w:rsidRDefault="00A712C0" w:rsidP="00A712C0">
      <w:pPr>
        <w:rPr>
          <w:lang w:eastAsia="en-AU"/>
        </w:rPr>
      </w:pPr>
    </w:p>
    <w:p w14:paraId="6A66DAC8" w14:textId="77777777" w:rsidR="00A712C0" w:rsidRDefault="00A712C0" w:rsidP="00A712C0">
      <w:pPr>
        <w:rPr>
          <w:lang w:eastAsia="en-AU"/>
        </w:rPr>
      </w:pPr>
      <w:r w:rsidRPr="002F4F7E">
        <w:rPr>
          <w:b/>
          <w:lang w:eastAsia="en-AU"/>
        </w:rPr>
        <w:t xml:space="preserve">Coram: </w:t>
      </w:r>
      <w:r>
        <w:rPr>
          <w:lang w:eastAsia="en-AU"/>
        </w:rPr>
        <w:t>Roberts CJ, Thomas, Breyer, Alito, Sotomayor, Kagan, Gorsuch,</w:t>
      </w:r>
    </w:p>
    <w:p w14:paraId="596C0D44" w14:textId="06E4283D" w:rsidR="00A712C0" w:rsidRDefault="00A712C0" w:rsidP="00A712C0">
      <w:pPr>
        <w:rPr>
          <w:lang w:eastAsia="en-AU"/>
        </w:rPr>
      </w:pPr>
      <w:r>
        <w:rPr>
          <w:lang w:eastAsia="en-AU"/>
        </w:rPr>
        <w:t>Kavanaugh and Barrett JJ</w:t>
      </w:r>
    </w:p>
    <w:p w14:paraId="2145BFDF" w14:textId="77777777" w:rsidR="00A712C0" w:rsidRPr="002F4F7E" w:rsidRDefault="00A712C0" w:rsidP="00A712C0">
      <w:pPr>
        <w:rPr>
          <w:lang w:eastAsia="en-AU"/>
        </w:rPr>
      </w:pPr>
    </w:p>
    <w:p w14:paraId="0BDEA382" w14:textId="77777777" w:rsidR="00A712C0" w:rsidRPr="002F4F7E" w:rsidRDefault="00A712C0" w:rsidP="00A712C0">
      <w:pPr>
        <w:rPr>
          <w:b/>
          <w:lang w:eastAsia="en-AU"/>
        </w:rPr>
      </w:pPr>
      <w:r>
        <w:rPr>
          <w:b/>
          <w:lang w:eastAsia="en-AU"/>
        </w:rPr>
        <w:t>Catchwords:</w:t>
      </w:r>
    </w:p>
    <w:p w14:paraId="77336F5D" w14:textId="77777777" w:rsidR="00A712C0" w:rsidRPr="00856E9C" w:rsidRDefault="00A712C0" w:rsidP="00A712C0">
      <w:pPr>
        <w:rPr>
          <w:b/>
          <w:highlight w:val="yellow"/>
          <w:lang w:eastAsia="en-AU"/>
        </w:rPr>
      </w:pPr>
    </w:p>
    <w:p w14:paraId="0B444B62" w14:textId="7BCF91F3" w:rsidR="00A712C0" w:rsidRDefault="00A712C0" w:rsidP="0068351E">
      <w:pPr>
        <w:ind w:left="720"/>
        <w:rPr>
          <w:lang w:eastAsia="en-AU"/>
        </w:rPr>
      </w:pPr>
      <w:r>
        <w:rPr>
          <w:lang w:eastAsia="en-AU"/>
        </w:rPr>
        <w:t>Administrative</w:t>
      </w:r>
      <w:r w:rsidRPr="0002136F">
        <w:rPr>
          <w:lang w:eastAsia="en-AU"/>
        </w:rPr>
        <w:t xml:space="preserve"> law </w:t>
      </w:r>
      <w:r>
        <w:rPr>
          <w:lang w:eastAsia="en-AU"/>
        </w:rPr>
        <w:t>–</w:t>
      </w:r>
      <w:r w:rsidRPr="0002136F">
        <w:rPr>
          <w:lang w:eastAsia="en-AU"/>
        </w:rPr>
        <w:t xml:space="preserve"> </w:t>
      </w:r>
      <w:r>
        <w:rPr>
          <w:lang w:eastAsia="en-AU"/>
        </w:rPr>
        <w:t xml:space="preserve">Social security – Where </w:t>
      </w:r>
      <w:r w:rsidRPr="001A19C8">
        <w:rPr>
          <w:i/>
          <w:iCs/>
          <w:lang w:eastAsia="en-AU"/>
        </w:rPr>
        <w:t>Social Security Act</w:t>
      </w:r>
      <w:r w:rsidR="00A2177E">
        <w:rPr>
          <w:i/>
          <w:iCs/>
          <w:lang w:eastAsia="en-AU"/>
        </w:rPr>
        <w:t xml:space="preserve"> of 1935</w:t>
      </w:r>
      <w:r>
        <w:rPr>
          <w:lang w:eastAsia="en-AU"/>
        </w:rPr>
        <w:t xml:space="preserve"> reduced benefits to retirees who received </w:t>
      </w:r>
      <w:r w:rsidR="0068351E">
        <w:rPr>
          <w:lang w:eastAsia="en-AU"/>
        </w:rPr>
        <w:t>s</w:t>
      </w:r>
      <w:r>
        <w:rPr>
          <w:lang w:eastAsia="en-AU"/>
        </w:rPr>
        <w:t>eparate pension</w:t>
      </w:r>
      <w:r w:rsidR="0068351E">
        <w:rPr>
          <w:lang w:eastAsia="en-AU"/>
        </w:rPr>
        <w:t xml:space="preserve"> payments</w:t>
      </w:r>
      <w:r>
        <w:rPr>
          <w:lang w:eastAsia="en-AU"/>
        </w:rPr>
        <w:t xml:space="preserve"> </w:t>
      </w:r>
      <w:r w:rsidR="00EC5166">
        <w:rPr>
          <w:lang w:eastAsia="en-AU"/>
        </w:rPr>
        <w:t>from</w:t>
      </w:r>
      <w:r>
        <w:rPr>
          <w:lang w:eastAsia="en-AU"/>
        </w:rPr>
        <w:t xml:space="preserve"> employment not subject to social security taxes – Where reduction not triggered</w:t>
      </w:r>
      <w:r w:rsidR="0068351E">
        <w:rPr>
          <w:lang w:eastAsia="en-AU"/>
        </w:rPr>
        <w:t>, relevantly,</w:t>
      </w:r>
      <w:r>
        <w:rPr>
          <w:lang w:eastAsia="en-AU"/>
        </w:rPr>
        <w:t xml:space="preserve"> by payments </w:t>
      </w:r>
      <w:r w:rsidR="002C6EE4">
        <w:rPr>
          <w:lang w:eastAsia="en-AU"/>
        </w:rPr>
        <w:t>"</w:t>
      </w:r>
      <w:r>
        <w:rPr>
          <w:lang w:eastAsia="en-AU"/>
        </w:rPr>
        <w:t>based wholly on service as member of uniformed service</w:t>
      </w:r>
      <w:r w:rsidR="002C6EE4">
        <w:rPr>
          <w:lang w:eastAsia="en-AU"/>
        </w:rPr>
        <w:t>"</w:t>
      </w:r>
      <w:r>
        <w:rPr>
          <w:lang w:eastAsia="en-AU"/>
        </w:rPr>
        <w:t xml:space="preserve"> </w:t>
      </w:r>
      <w:r w:rsidR="0068351E">
        <w:rPr>
          <w:lang w:eastAsia="en-AU"/>
        </w:rPr>
        <w:t>–</w:t>
      </w:r>
      <w:r>
        <w:rPr>
          <w:lang w:eastAsia="en-AU"/>
        </w:rPr>
        <w:t xml:space="preserve"> </w:t>
      </w:r>
      <w:r w:rsidR="0068351E">
        <w:rPr>
          <w:lang w:eastAsia="en-AU"/>
        </w:rPr>
        <w:t>Where petitioner dual</w:t>
      </w:r>
      <w:r w:rsidR="001E0061">
        <w:rPr>
          <w:lang w:eastAsia="en-AU"/>
        </w:rPr>
        <w:noBreakHyphen/>
      </w:r>
      <w:r w:rsidR="0068351E">
        <w:rPr>
          <w:lang w:eastAsia="en-AU"/>
        </w:rPr>
        <w:t>status military technician, federal civilian employee who provided technical or administrative assistance to National Guard – Where Sixth Circuit concluded that petitioner's civil</w:t>
      </w:r>
      <w:r w:rsidR="001E0061">
        <w:rPr>
          <w:lang w:eastAsia="en-AU"/>
        </w:rPr>
        <w:noBreakHyphen/>
      </w:r>
      <w:r w:rsidR="0068351E">
        <w:rPr>
          <w:lang w:eastAsia="en-AU"/>
        </w:rPr>
        <w:t xml:space="preserve">service pension payments were based on service in civilian capacity and therefore </w:t>
      </w:r>
      <w:r w:rsidR="00EC5166" w:rsidRPr="00EC5166">
        <w:rPr>
          <w:lang w:eastAsia="en-AU"/>
        </w:rPr>
        <w:t>uniformed</w:t>
      </w:r>
      <w:r w:rsidR="001E0061">
        <w:rPr>
          <w:lang w:eastAsia="en-AU"/>
        </w:rPr>
        <w:noBreakHyphen/>
      </w:r>
      <w:r w:rsidR="00EC5166" w:rsidRPr="00EC5166">
        <w:rPr>
          <w:lang w:eastAsia="en-AU"/>
        </w:rPr>
        <w:t xml:space="preserve">services </w:t>
      </w:r>
      <w:r w:rsidR="0068351E">
        <w:rPr>
          <w:lang w:eastAsia="en-AU"/>
        </w:rPr>
        <w:t>exception did not apply – W</w:t>
      </w:r>
      <w:r w:rsidR="00BF61D3">
        <w:rPr>
          <w:lang w:eastAsia="en-AU"/>
        </w:rPr>
        <w:t xml:space="preserve">hether </w:t>
      </w:r>
      <w:r w:rsidR="0068351E">
        <w:rPr>
          <w:lang w:eastAsia="en-AU"/>
        </w:rPr>
        <w:t>uniformed</w:t>
      </w:r>
      <w:r w:rsidR="001E0061">
        <w:rPr>
          <w:lang w:eastAsia="en-AU"/>
        </w:rPr>
        <w:noBreakHyphen/>
      </w:r>
      <w:r w:rsidR="0068351E">
        <w:rPr>
          <w:lang w:eastAsia="en-AU"/>
        </w:rPr>
        <w:t xml:space="preserve">services </w:t>
      </w:r>
      <w:r w:rsidR="00BF61D3">
        <w:rPr>
          <w:lang w:eastAsia="en-AU"/>
        </w:rPr>
        <w:t>exception applies to civil</w:t>
      </w:r>
      <w:r w:rsidR="001E0061">
        <w:rPr>
          <w:lang w:eastAsia="en-AU"/>
        </w:rPr>
        <w:noBreakHyphen/>
      </w:r>
      <w:r w:rsidR="00BF61D3">
        <w:rPr>
          <w:lang w:eastAsia="en-AU"/>
        </w:rPr>
        <w:t>service</w:t>
      </w:r>
      <w:r w:rsidR="0068351E">
        <w:rPr>
          <w:lang w:eastAsia="en-AU"/>
        </w:rPr>
        <w:t xml:space="preserve"> </w:t>
      </w:r>
      <w:r w:rsidR="00BF61D3">
        <w:rPr>
          <w:lang w:eastAsia="en-AU"/>
        </w:rPr>
        <w:t>pension payments based on employment as dual</w:t>
      </w:r>
      <w:r w:rsidR="001E0061">
        <w:rPr>
          <w:lang w:eastAsia="en-AU"/>
        </w:rPr>
        <w:noBreakHyphen/>
      </w:r>
      <w:r w:rsidR="00BF61D3">
        <w:rPr>
          <w:lang w:eastAsia="en-AU"/>
        </w:rPr>
        <w:t>status</w:t>
      </w:r>
      <w:r w:rsidR="0068351E">
        <w:rPr>
          <w:lang w:eastAsia="en-AU"/>
        </w:rPr>
        <w:t xml:space="preserve"> </w:t>
      </w:r>
      <w:r w:rsidR="00BF61D3">
        <w:rPr>
          <w:lang w:eastAsia="en-AU"/>
        </w:rPr>
        <w:t>military technician</w:t>
      </w:r>
      <w:r w:rsidR="0068351E">
        <w:rPr>
          <w:lang w:eastAsia="en-AU"/>
        </w:rPr>
        <w:t xml:space="preserve">. </w:t>
      </w:r>
    </w:p>
    <w:p w14:paraId="01FC52BC" w14:textId="77777777" w:rsidR="00A712C0" w:rsidRDefault="00A712C0" w:rsidP="00A712C0">
      <w:pPr>
        <w:rPr>
          <w:lang w:eastAsia="en-AU"/>
        </w:rPr>
      </w:pPr>
    </w:p>
    <w:p w14:paraId="3E762225" w14:textId="39C0B4B9" w:rsidR="00A712C0" w:rsidRDefault="00A712C0" w:rsidP="00A712C0">
      <w:pPr>
        <w:rPr>
          <w:lang w:eastAsia="en-AU"/>
        </w:rPr>
      </w:pPr>
      <w:r w:rsidRPr="002F4F7E">
        <w:rPr>
          <w:b/>
          <w:lang w:eastAsia="en-AU"/>
        </w:rPr>
        <w:t>Held (</w:t>
      </w:r>
      <w:r>
        <w:rPr>
          <w:b/>
          <w:lang w:eastAsia="en-AU"/>
        </w:rPr>
        <w:t>8:1</w:t>
      </w:r>
      <w:r w:rsidRPr="002F4F7E">
        <w:rPr>
          <w:b/>
          <w:lang w:eastAsia="en-AU"/>
        </w:rPr>
        <w:t xml:space="preserve">): </w:t>
      </w:r>
      <w:r w:rsidR="0068351E">
        <w:rPr>
          <w:lang w:eastAsia="en-AU"/>
        </w:rPr>
        <w:t xml:space="preserve">Judgment of Court of Appeals </w:t>
      </w:r>
      <w:r w:rsidR="003434A4">
        <w:rPr>
          <w:lang w:eastAsia="en-AU"/>
        </w:rPr>
        <w:t xml:space="preserve">for </w:t>
      </w:r>
      <w:r w:rsidR="00216046">
        <w:rPr>
          <w:lang w:eastAsia="en-AU"/>
        </w:rPr>
        <w:t xml:space="preserve">the </w:t>
      </w:r>
      <w:r w:rsidR="003434A4">
        <w:rPr>
          <w:lang w:eastAsia="en-AU"/>
        </w:rPr>
        <w:t xml:space="preserve">Sixth Circuit </w:t>
      </w:r>
      <w:r w:rsidR="0068351E">
        <w:rPr>
          <w:lang w:eastAsia="en-AU"/>
        </w:rPr>
        <w:t>affirmed</w:t>
      </w:r>
      <w:r>
        <w:rPr>
          <w:lang w:eastAsia="en-AU"/>
        </w:rPr>
        <w:t xml:space="preserve">. </w:t>
      </w:r>
    </w:p>
    <w:p w14:paraId="5508B324" w14:textId="6CBDE3CA" w:rsidR="00A712C0" w:rsidRDefault="00A712C0" w:rsidP="00A712C0">
      <w:pPr>
        <w:pStyle w:val="BullDivider1"/>
        <w:pBdr>
          <w:bottom w:val="dotted" w:sz="4" w:space="0" w:color="auto"/>
        </w:pBdr>
      </w:pPr>
    </w:p>
    <w:p w14:paraId="4BD8B83D" w14:textId="77777777" w:rsidR="00FF2863" w:rsidRPr="00FF2863" w:rsidRDefault="00FF2863" w:rsidP="00FF2863">
      <w:pPr>
        <w:rPr>
          <w:lang w:eastAsia="en-AU"/>
        </w:rPr>
      </w:pPr>
    </w:p>
    <w:p w14:paraId="7D9653F1" w14:textId="75289746" w:rsidR="00513DBC" w:rsidRPr="002F4F7E" w:rsidRDefault="00513DBC" w:rsidP="00513DBC">
      <w:pPr>
        <w:pStyle w:val="Heading2"/>
      </w:pPr>
      <w:bookmarkStart w:id="3" w:name="_Hlk95462025"/>
      <w:r>
        <w:lastRenderedPageBreak/>
        <w:t>Biden v Missouri</w:t>
      </w:r>
      <w:r w:rsidR="00EC5166">
        <w:t>; Becerra, Secretary of Health and Human Services v Louisiana</w:t>
      </w:r>
    </w:p>
    <w:p w14:paraId="0B1F522B" w14:textId="77777777" w:rsidR="00513DBC" w:rsidRPr="002F4F7E" w:rsidRDefault="00513DBC" w:rsidP="00513DBC">
      <w:pPr>
        <w:rPr>
          <w:lang w:eastAsia="en-AU"/>
        </w:rPr>
      </w:pPr>
      <w:r>
        <w:rPr>
          <w:b/>
          <w:lang w:eastAsia="en-AU"/>
        </w:rPr>
        <w:t xml:space="preserve">Supreme </w:t>
      </w:r>
      <w:r w:rsidRPr="002F4F7E">
        <w:rPr>
          <w:b/>
          <w:lang w:eastAsia="en-AU"/>
        </w:rPr>
        <w:t>Court</w:t>
      </w:r>
      <w:r>
        <w:rPr>
          <w:b/>
          <w:lang w:eastAsia="en-AU"/>
        </w:rPr>
        <w:t xml:space="preserve"> of the United States: </w:t>
      </w:r>
      <w:bookmarkStart w:id="4" w:name="_Hlk102035384"/>
      <w:r w:rsidR="00411AFF">
        <w:fldChar w:fldCharType="begin"/>
      </w:r>
      <w:r w:rsidR="00411AFF">
        <w:instrText xml:space="preserve"> HYPERLINK "https://www.supremecourt.gov/opinions/21pdf/21a240_d18e.pdf" </w:instrText>
      </w:r>
      <w:r w:rsidR="00411AFF">
        <w:fldChar w:fldCharType="separate"/>
      </w:r>
      <w:r w:rsidRPr="00FF2863">
        <w:rPr>
          <w:rStyle w:val="Hyperlink"/>
          <w:bCs/>
          <w:lang w:eastAsia="en-AU"/>
        </w:rPr>
        <w:t>Docket Nos. 21A240 and 21A241</w:t>
      </w:r>
      <w:r w:rsidR="00411AFF">
        <w:rPr>
          <w:rStyle w:val="Hyperlink"/>
          <w:bCs/>
          <w:lang w:eastAsia="en-AU"/>
        </w:rPr>
        <w:fldChar w:fldCharType="end"/>
      </w:r>
      <w:bookmarkEnd w:id="4"/>
    </w:p>
    <w:p w14:paraId="4B9FFAC9" w14:textId="77777777" w:rsidR="00513DBC" w:rsidRPr="002F4F7E" w:rsidRDefault="00513DBC" w:rsidP="00513DBC">
      <w:pPr>
        <w:rPr>
          <w:lang w:eastAsia="en-AU"/>
        </w:rPr>
      </w:pPr>
    </w:p>
    <w:p w14:paraId="5364CF94" w14:textId="77777777" w:rsidR="00513DBC" w:rsidRPr="002F4F7E" w:rsidRDefault="00513DBC" w:rsidP="00513DBC">
      <w:pPr>
        <w:rPr>
          <w:lang w:eastAsia="en-AU"/>
        </w:rPr>
      </w:pPr>
      <w:r w:rsidRPr="002F4F7E">
        <w:rPr>
          <w:b/>
          <w:lang w:eastAsia="en-AU"/>
        </w:rPr>
        <w:t>Judgment delivered:</w:t>
      </w:r>
      <w:r w:rsidRPr="002F4F7E">
        <w:rPr>
          <w:lang w:eastAsia="en-AU"/>
        </w:rPr>
        <w:t xml:space="preserve"> </w:t>
      </w:r>
      <w:r>
        <w:rPr>
          <w:lang w:eastAsia="en-AU"/>
        </w:rPr>
        <w:t>13 January 2022</w:t>
      </w:r>
    </w:p>
    <w:p w14:paraId="5D7C4372" w14:textId="77777777" w:rsidR="00513DBC" w:rsidRPr="002F4F7E" w:rsidRDefault="00513DBC" w:rsidP="00513DBC">
      <w:pPr>
        <w:rPr>
          <w:lang w:eastAsia="en-AU"/>
        </w:rPr>
      </w:pPr>
    </w:p>
    <w:p w14:paraId="03344EB9" w14:textId="77777777" w:rsidR="00513DBC" w:rsidRDefault="00513DBC" w:rsidP="00513DBC">
      <w:pPr>
        <w:rPr>
          <w:lang w:eastAsia="en-AU"/>
        </w:rPr>
      </w:pPr>
      <w:r w:rsidRPr="002F4F7E">
        <w:rPr>
          <w:b/>
          <w:lang w:eastAsia="en-AU"/>
        </w:rPr>
        <w:t xml:space="preserve">Coram: </w:t>
      </w:r>
      <w:r>
        <w:rPr>
          <w:lang w:eastAsia="en-AU"/>
        </w:rPr>
        <w:t>Roberts CJ, Thomas, Breyer, Alito, Sotomayor, Kagan, Gorsuch,</w:t>
      </w:r>
    </w:p>
    <w:p w14:paraId="08BCCEAD" w14:textId="77777777" w:rsidR="00513DBC" w:rsidRDefault="00513DBC" w:rsidP="00513DBC">
      <w:pPr>
        <w:rPr>
          <w:lang w:eastAsia="en-AU"/>
        </w:rPr>
      </w:pPr>
      <w:r>
        <w:rPr>
          <w:lang w:eastAsia="en-AU"/>
        </w:rPr>
        <w:t>Kavanaugh and Barrett JJ</w:t>
      </w:r>
    </w:p>
    <w:p w14:paraId="4E51708E" w14:textId="77777777" w:rsidR="00513DBC" w:rsidRPr="002F4F7E" w:rsidRDefault="00513DBC" w:rsidP="00513DBC">
      <w:pPr>
        <w:rPr>
          <w:lang w:eastAsia="en-AU"/>
        </w:rPr>
      </w:pPr>
    </w:p>
    <w:p w14:paraId="2557E0C7" w14:textId="77777777" w:rsidR="00513DBC" w:rsidRPr="002F4F7E" w:rsidRDefault="00513DBC" w:rsidP="00513DBC">
      <w:pPr>
        <w:rPr>
          <w:b/>
          <w:lang w:eastAsia="en-AU"/>
        </w:rPr>
      </w:pPr>
      <w:r>
        <w:rPr>
          <w:b/>
          <w:lang w:eastAsia="en-AU"/>
        </w:rPr>
        <w:t>Catchwords:</w:t>
      </w:r>
    </w:p>
    <w:p w14:paraId="3756FDBF" w14:textId="77777777" w:rsidR="00513DBC" w:rsidRPr="00856E9C" w:rsidRDefault="00513DBC" w:rsidP="00513DBC">
      <w:pPr>
        <w:rPr>
          <w:b/>
          <w:highlight w:val="yellow"/>
          <w:lang w:eastAsia="en-AU"/>
        </w:rPr>
      </w:pPr>
    </w:p>
    <w:p w14:paraId="1F515EDB" w14:textId="328DCB60" w:rsidR="00513DBC" w:rsidRDefault="00513DBC" w:rsidP="00513DBC">
      <w:pPr>
        <w:ind w:left="720"/>
        <w:rPr>
          <w:lang w:eastAsia="en-AU"/>
        </w:rPr>
      </w:pPr>
      <w:r>
        <w:rPr>
          <w:lang w:eastAsia="en-AU"/>
        </w:rPr>
        <w:t>Administrative law – Stay of injunction</w:t>
      </w:r>
      <w:r w:rsidRPr="0002136F">
        <w:rPr>
          <w:lang w:eastAsia="en-AU"/>
        </w:rPr>
        <w:t xml:space="preserve"> </w:t>
      </w:r>
      <w:r>
        <w:rPr>
          <w:lang w:eastAsia="en-AU"/>
        </w:rPr>
        <w:t>–</w:t>
      </w:r>
      <w:r w:rsidRPr="0002136F">
        <w:rPr>
          <w:lang w:eastAsia="en-AU"/>
        </w:rPr>
        <w:t xml:space="preserve"> </w:t>
      </w:r>
      <w:r>
        <w:rPr>
          <w:lang w:eastAsia="en-AU"/>
        </w:rPr>
        <w:t>Covid</w:t>
      </w:r>
      <w:r w:rsidR="001E0061">
        <w:rPr>
          <w:lang w:eastAsia="en-AU"/>
        </w:rPr>
        <w:noBreakHyphen/>
      </w:r>
      <w:r>
        <w:rPr>
          <w:lang w:eastAsia="en-AU"/>
        </w:rPr>
        <w:t xml:space="preserve">19 – Vaccination mandate – Where Congress authorised </w:t>
      </w:r>
      <w:r w:rsidRPr="00B00DCE">
        <w:rPr>
          <w:lang w:eastAsia="en-AU"/>
        </w:rPr>
        <w:t xml:space="preserve">Secretary of Health and Human Services </w:t>
      </w:r>
      <w:r>
        <w:rPr>
          <w:lang w:eastAsia="en-AU"/>
        </w:rPr>
        <w:t xml:space="preserve">to impose conditions on receipt of Medicare and Medicaid funds that </w:t>
      </w:r>
      <w:r w:rsidR="002C6EE4">
        <w:rPr>
          <w:lang w:eastAsia="en-AU"/>
        </w:rPr>
        <w:t>"</w:t>
      </w:r>
      <w:r>
        <w:rPr>
          <w:lang w:eastAsia="en-AU"/>
        </w:rPr>
        <w:t>Secretary finds necessary in interest of health and safety of individuals who are furnished services</w:t>
      </w:r>
      <w:r w:rsidR="002C6EE4">
        <w:rPr>
          <w:lang w:eastAsia="en-AU"/>
        </w:rPr>
        <w:t>"</w:t>
      </w:r>
      <w:r>
        <w:rPr>
          <w:lang w:eastAsia="en-AU"/>
        </w:rPr>
        <w:t xml:space="preserve"> – Where Secretary announced that to receive Medicare and Medicaid funding, participating facilities needed to ensure staff were vaccinated against Covid</w:t>
      </w:r>
      <w:r w:rsidR="001E0061">
        <w:rPr>
          <w:lang w:eastAsia="en-AU"/>
        </w:rPr>
        <w:noBreakHyphen/>
      </w:r>
      <w:r>
        <w:rPr>
          <w:lang w:eastAsia="en-AU"/>
        </w:rPr>
        <w:t>19 – Where two District Courts enjoined enforcement of rule – Whether Secretary's rule falls within authorit</w:t>
      </w:r>
      <w:r w:rsidR="007E6997">
        <w:rPr>
          <w:lang w:eastAsia="en-AU"/>
        </w:rPr>
        <w:t>y</w:t>
      </w:r>
      <w:r>
        <w:rPr>
          <w:lang w:eastAsia="en-AU"/>
        </w:rPr>
        <w:t xml:space="preserve"> Congress conferred – Whether Secretary exceeded statutory authority – Whether to stay injunctions. </w:t>
      </w:r>
    </w:p>
    <w:p w14:paraId="0FB0C291" w14:textId="77777777" w:rsidR="00513DBC" w:rsidRDefault="00513DBC" w:rsidP="00513DBC">
      <w:pPr>
        <w:rPr>
          <w:lang w:eastAsia="en-AU"/>
        </w:rPr>
      </w:pPr>
    </w:p>
    <w:p w14:paraId="7E6F096B" w14:textId="50A92DA9" w:rsidR="00C66EEA" w:rsidRDefault="00513DBC" w:rsidP="00C66EEA">
      <w:pPr>
        <w:rPr>
          <w:lang w:eastAsia="en-AU"/>
        </w:rPr>
      </w:pPr>
      <w:r w:rsidRPr="002F4F7E">
        <w:rPr>
          <w:b/>
          <w:lang w:eastAsia="en-AU"/>
        </w:rPr>
        <w:t>Held (</w:t>
      </w:r>
      <w:r>
        <w:rPr>
          <w:b/>
          <w:lang w:eastAsia="en-AU"/>
        </w:rPr>
        <w:t>5:4</w:t>
      </w:r>
      <w:r w:rsidRPr="002F4F7E">
        <w:rPr>
          <w:b/>
          <w:lang w:eastAsia="en-AU"/>
        </w:rPr>
        <w:t xml:space="preserve">): </w:t>
      </w:r>
      <w:r>
        <w:rPr>
          <w:lang w:eastAsia="en-AU"/>
        </w:rPr>
        <w:t>Application</w:t>
      </w:r>
      <w:r w:rsidR="00EC5166">
        <w:rPr>
          <w:lang w:eastAsia="en-AU"/>
        </w:rPr>
        <w:t>s</w:t>
      </w:r>
      <w:r w:rsidR="003434A4">
        <w:rPr>
          <w:lang w:eastAsia="en-AU"/>
        </w:rPr>
        <w:t xml:space="preserve"> for stay</w:t>
      </w:r>
      <w:r w:rsidR="00207628">
        <w:rPr>
          <w:lang w:eastAsia="en-AU"/>
        </w:rPr>
        <w:t>s</w:t>
      </w:r>
      <w:r>
        <w:rPr>
          <w:lang w:eastAsia="en-AU"/>
        </w:rPr>
        <w:t xml:space="preserve"> granted. </w:t>
      </w:r>
    </w:p>
    <w:p w14:paraId="6EAC5C82" w14:textId="77777777" w:rsidR="00513DBC" w:rsidRPr="00181993" w:rsidRDefault="00513DBC" w:rsidP="00513DBC">
      <w:pPr>
        <w:pStyle w:val="BullDivider1"/>
        <w:pBdr>
          <w:bottom w:val="dotted" w:sz="4" w:space="0" w:color="auto"/>
        </w:pBdr>
      </w:pPr>
    </w:p>
    <w:p w14:paraId="3A6BDC94" w14:textId="4B308D27" w:rsidR="00513DBC" w:rsidRDefault="00513DBC" w:rsidP="00C66EEA">
      <w:pPr>
        <w:rPr>
          <w:lang w:eastAsia="en-AU"/>
        </w:rPr>
      </w:pPr>
    </w:p>
    <w:p w14:paraId="0724F612" w14:textId="77777777" w:rsidR="00DD0272" w:rsidRDefault="00DD0272" w:rsidP="00DD0272">
      <w:pPr>
        <w:pStyle w:val="Heading2"/>
      </w:pPr>
      <w:r>
        <w:t xml:space="preserve">Federal Bureau of Investigation v </w:t>
      </w:r>
      <w:proofErr w:type="spellStart"/>
      <w:r>
        <w:t>Fazga</w:t>
      </w:r>
      <w:proofErr w:type="spellEnd"/>
      <w:r>
        <w:t xml:space="preserve"> </w:t>
      </w:r>
    </w:p>
    <w:p w14:paraId="3000D074" w14:textId="77777777" w:rsidR="00DD0272" w:rsidRDefault="00DD0272" w:rsidP="00DD0272">
      <w:pPr>
        <w:rPr>
          <w:lang w:eastAsia="en-AU"/>
        </w:rPr>
      </w:pPr>
      <w:r>
        <w:rPr>
          <w:b/>
          <w:bCs/>
          <w:lang w:eastAsia="en-AU"/>
        </w:rPr>
        <w:t>Supreme Court of the United States</w:t>
      </w:r>
      <w:r w:rsidRPr="006B0D58">
        <w:rPr>
          <w:b/>
          <w:bCs/>
          <w:lang w:eastAsia="en-AU"/>
        </w:rPr>
        <w:t>:</w:t>
      </w:r>
      <w:r>
        <w:rPr>
          <w:lang w:eastAsia="en-AU"/>
        </w:rPr>
        <w:t xml:space="preserve"> </w:t>
      </w:r>
      <w:hyperlink r:id="rId10" w:history="1">
        <w:r w:rsidRPr="00D24067">
          <w:rPr>
            <w:rStyle w:val="Hyperlink"/>
          </w:rPr>
          <w:t>Docket No. 20–</w:t>
        </w:r>
        <w:r>
          <w:rPr>
            <w:rStyle w:val="Hyperlink"/>
          </w:rPr>
          <w:t>828</w:t>
        </w:r>
      </w:hyperlink>
    </w:p>
    <w:p w14:paraId="2A49C9A9" w14:textId="77777777" w:rsidR="00DD0272" w:rsidRDefault="00DD0272" w:rsidP="00DD0272">
      <w:pPr>
        <w:rPr>
          <w:lang w:eastAsia="en-AU"/>
        </w:rPr>
      </w:pPr>
    </w:p>
    <w:p w14:paraId="6BCA11DD" w14:textId="77777777" w:rsidR="00DD0272" w:rsidRPr="00DB68FF" w:rsidRDefault="00DD0272" w:rsidP="00DD0272">
      <w:pPr>
        <w:rPr>
          <w:lang w:eastAsia="en-AU"/>
        </w:rPr>
      </w:pPr>
      <w:r>
        <w:rPr>
          <w:b/>
          <w:bCs/>
          <w:lang w:eastAsia="en-AU"/>
        </w:rPr>
        <w:t xml:space="preserve">Judgment delivered: </w:t>
      </w:r>
      <w:r>
        <w:rPr>
          <w:lang w:eastAsia="en-AU"/>
        </w:rPr>
        <w:t>4 March 2022</w:t>
      </w:r>
    </w:p>
    <w:p w14:paraId="421C3156" w14:textId="77777777" w:rsidR="00DD0272" w:rsidRDefault="00DD0272" w:rsidP="00DD0272">
      <w:pPr>
        <w:rPr>
          <w:b/>
          <w:bCs/>
          <w:lang w:eastAsia="en-AU"/>
        </w:rPr>
      </w:pPr>
    </w:p>
    <w:p w14:paraId="4E9D995E"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0F117EEC" w14:textId="77777777" w:rsidR="00DD0272" w:rsidRPr="00DB68FF" w:rsidRDefault="00DD0272" w:rsidP="00DD0272">
      <w:pPr>
        <w:rPr>
          <w:lang w:eastAsia="en-AU"/>
        </w:rPr>
      </w:pPr>
      <w:r>
        <w:rPr>
          <w:lang w:eastAsia="en-AU"/>
        </w:rPr>
        <w:t>Kavanaugh and Barrett JJ</w:t>
      </w:r>
    </w:p>
    <w:p w14:paraId="2D3EDA0F" w14:textId="77777777" w:rsidR="00DD0272" w:rsidRDefault="00DD0272" w:rsidP="00DD0272">
      <w:pPr>
        <w:rPr>
          <w:b/>
          <w:bCs/>
          <w:lang w:eastAsia="en-AU"/>
        </w:rPr>
      </w:pPr>
    </w:p>
    <w:p w14:paraId="5F403F60" w14:textId="77777777" w:rsidR="00DD0272" w:rsidRDefault="00DD0272" w:rsidP="00DD0272">
      <w:pPr>
        <w:rPr>
          <w:b/>
          <w:bCs/>
          <w:lang w:eastAsia="en-AU"/>
        </w:rPr>
      </w:pPr>
      <w:r>
        <w:rPr>
          <w:b/>
          <w:bCs/>
          <w:lang w:eastAsia="en-AU"/>
        </w:rPr>
        <w:t>Catchwords:</w:t>
      </w:r>
    </w:p>
    <w:p w14:paraId="3ECC1C1E" w14:textId="77777777" w:rsidR="00DD0272" w:rsidRDefault="00DD0272" w:rsidP="00DD0272">
      <w:pPr>
        <w:rPr>
          <w:b/>
          <w:bCs/>
          <w:lang w:eastAsia="en-AU"/>
        </w:rPr>
      </w:pPr>
    </w:p>
    <w:p w14:paraId="375F875C" w14:textId="635512E3" w:rsidR="00DD0272" w:rsidRDefault="00DD0272" w:rsidP="00DD0272">
      <w:pPr>
        <w:pStyle w:val="Catchwords"/>
      </w:pPr>
      <w:r>
        <w:t xml:space="preserve">Administrative law – Where respondents, members of Muslim communities in California, filed putative class action against Federal Bureau of Investigation and certain Government officials, claiming that Government subjected them and other Muslims to illegal surveillance under </w:t>
      </w:r>
      <w:r w:rsidRPr="00732B7D">
        <w:rPr>
          <w:i/>
          <w:iCs/>
        </w:rPr>
        <w:t xml:space="preserve">Foreign Intelligence Surveillance Act of 1978 </w:t>
      </w:r>
      <w:r w:rsidRPr="00732B7D">
        <w:t>(</w:t>
      </w:r>
      <w:r w:rsidR="002C6EE4">
        <w:t>"</w:t>
      </w:r>
      <w:r w:rsidRPr="00732B7D">
        <w:t>FISA</w:t>
      </w:r>
      <w:r w:rsidR="002C6EE4">
        <w:t>"</w:t>
      </w:r>
      <w:r w:rsidRPr="00732B7D">
        <w:t>)</w:t>
      </w:r>
      <w:r>
        <w:t xml:space="preserve"> – Where FISA provided special procedures for use when Government wished to conduct foreign intelligence surveillance including, </w:t>
      </w:r>
      <w:r w:rsidRPr="001E0061">
        <w:t>pursuant to §1806(f), procedure under which trial</w:t>
      </w:r>
      <w:r w:rsidR="001E0061">
        <w:noBreakHyphen/>
      </w:r>
      <w:r w:rsidRPr="001E0061">
        <w:t>level court could consider legality of electronic surveillance –</w:t>
      </w:r>
      <w:r>
        <w:t xml:space="preserve"> Where Government moved to dismiss most of respondents</w:t>
      </w:r>
      <w:r w:rsidR="002C6EE4">
        <w:t>'</w:t>
      </w:r>
      <w:r>
        <w:t xml:space="preserve"> claims under </w:t>
      </w:r>
      <w:r w:rsidR="002C6EE4">
        <w:t>"</w:t>
      </w:r>
      <w:r>
        <w:t>state secrets</w:t>
      </w:r>
      <w:r w:rsidR="002C6EE4">
        <w:t>"</w:t>
      </w:r>
      <w:r>
        <w:t xml:space="preserve"> privilege – Where District Court determined dismissal appropriate because litigation of dismissed claims </w:t>
      </w:r>
      <w:r w:rsidR="002C6EE4">
        <w:t>"</w:t>
      </w:r>
      <w:r>
        <w:t>would require or unjustifiably risk disclosure of secret and classified information</w:t>
      </w:r>
      <w:r w:rsidR="002C6EE4">
        <w:t>"</w:t>
      </w:r>
      <w:r>
        <w:t xml:space="preserve"> – Where Ninth Circuit reversed in relevant part, holding that </w:t>
      </w:r>
      <w:r w:rsidR="002C6EE4">
        <w:t>"</w:t>
      </w:r>
      <w:r>
        <w:t>Congress intended FISA to displace state secrets privilege and its dismissal remedy with respect to electronic surveillance</w:t>
      </w:r>
      <w:r w:rsidR="002C6EE4">
        <w:t>"</w:t>
      </w:r>
      <w:r>
        <w:t xml:space="preserve"> – Whether </w:t>
      </w:r>
      <w:r w:rsidRPr="00A54C08">
        <w:t>§1806(f)</w:t>
      </w:r>
      <w:r>
        <w:t xml:space="preserve"> displaces state secrets privilege. </w:t>
      </w:r>
    </w:p>
    <w:p w14:paraId="66D8B3CE" w14:textId="77777777" w:rsidR="00DD0272" w:rsidRDefault="00DD0272" w:rsidP="00DD0272">
      <w:pPr>
        <w:rPr>
          <w:b/>
          <w:bCs/>
          <w:lang w:eastAsia="en-AU"/>
        </w:rPr>
      </w:pPr>
    </w:p>
    <w:p w14:paraId="20A3E65D" w14:textId="29390C55" w:rsidR="00DD0272" w:rsidRDefault="00DD0272" w:rsidP="00C66EEA">
      <w:pPr>
        <w:rPr>
          <w:lang w:eastAsia="en-AU"/>
        </w:rPr>
      </w:pPr>
      <w:r>
        <w:rPr>
          <w:b/>
          <w:bCs/>
          <w:lang w:eastAsia="en-AU"/>
        </w:rPr>
        <w:t>Held (9:0):</w:t>
      </w:r>
      <w:r>
        <w:rPr>
          <w:lang w:eastAsia="en-AU"/>
        </w:rPr>
        <w:t xml:space="preserve"> </w:t>
      </w:r>
      <w:r w:rsidR="007E6997">
        <w:rPr>
          <w:lang w:eastAsia="en-AU"/>
        </w:rPr>
        <w:t xml:space="preserve">Judgment of </w:t>
      </w:r>
      <w:r>
        <w:rPr>
          <w:lang w:eastAsia="en-AU"/>
        </w:rPr>
        <w:t>Court of Appeals</w:t>
      </w:r>
      <w:r w:rsidR="00A91E3E">
        <w:rPr>
          <w:lang w:eastAsia="en-AU"/>
        </w:rPr>
        <w:t xml:space="preserve"> for </w:t>
      </w:r>
      <w:r w:rsidR="00216046">
        <w:rPr>
          <w:lang w:eastAsia="en-AU"/>
        </w:rPr>
        <w:t xml:space="preserve">the </w:t>
      </w:r>
      <w:r w:rsidR="00A91E3E">
        <w:rPr>
          <w:lang w:eastAsia="en-AU"/>
        </w:rPr>
        <w:t>Ninth Circuit</w:t>
      </w:r>
      <w:r>
        <w:rPr>
          <w:lang w:eastAsia="en-AU"/>
        </w:rPr>
        <w:t xml:space="preserve"> </w:t>
      </w:r>
      <w:proofErr w:type="gramStart"/>
      <w:r>
        <w:rPr>
          <w:lang w:eastAsia="en-AU"/>
        </w:rPr>
        <w:t>reversed</w:t>
      </w:r>
      <w:proofErr w:type="gramEnd"/>
      <w:r>
        <w:rPr>
          <w:lang w:eastAsia="en-AU"/>
        </w:rPr>
        <w:t xml:space="preserve"> and </w:t>
      </w:r>
      <w:r w:rsidR="00BA12DA">
        <w:rPr>
          <w:lang w:eastAsia="en-AU"/>
        </w:rPr>
        <w:t xml:space="preserve">case </w:t>
      </w:r>
      <w:r>
        <w:rPr>
          <w:lang w:eastAsia="en-AU"/>
        </w:rPr>
        <w:t xml:space="preserve">remanded. </w:t>
      </w:r>
    </w:p>
    <w:p w14:paraId="1607D41D" w14:textId="77777777" w:rsidR="00DD0272" w:rsidRDefault="00DD0272" w:rsidP="00DD0272">
      <w:pPr>
        <w:pStyle w:val="BullDivider1"/>
      </w:pPr>
    </w:p>
    <w:p w14:paraId="65A8F545" w14:textId="77777777" w:rsidR="00972DAA" w:rsidRDefault="00972DAA" w:rsidP="00972DAA">
      <w:pPr>
        <w:rPr>
          <w:lang w:eastAsia="en-AU"/>
        </w:rPr>
      </w:pPr>
    </w:p>
    <w:p w14:paraId="1DD63A99" w14:textId="2BD88D0B" w:rsidR="00972DAA" w:rsidRPr="00DD0272" w:rsidRDefault="00972DAA" w:rsidP="00972DAA">
      <w:pPr>
        <w:keepNext/>
        <w:outlineLvl w:val="1"/>
        <w:rPr>
          <w:rFonts w:ascii="Arial" w:hAnsi="Arial" w:cs="Arial"/>
          <w:bCs/>
          <w:i/>
          <w:iCs/>
          <w:sz w:val="28"/>
          <w:szCs w:val="28"/>
          <w:lang w:eastAsia="en-AU"/>
        </w:rPr>
      </w:pPr>
      <w:r w:rsidRPr="00DD0272">
        <w:rPr>
          <w:rFonts w:ascii="Arial" w:hAnsi="Arial" w:cs="Arial"/>
          <w:bCs/>
          <w:i/>
          <w:iCs/>
          <w:sz w:val="28"/>
          <w:szCs w:val="28"/>
          <w:lang w:eastAsia="en-AU"/>
        </w:rPr>
        <w:t xml:space="preserve">Municipal Employees Pension Fund </w:t>
      </w:r>
      <w:r w:rsidR="001D187A">
        <w:rPr>
          <w:rFonts w:ascii="Arial" w:hAnsi="Arial" w:cs="Arial"/>
          <w:bCs/>
          <w:i/>
          <w:iCs/>
          <w:sz w:val="28"/>
          <w:szCs w:val="28"/>
          <w:lang w:eastAsia="en-AU"/>
        </w:rPr>
        <w:t>&amp; Anor</w:t>
      </w:r>
      <w:r w:rsidRPr="00DD0272">
        <w:rPr>
          <w:rFonts w:ascii="Arial" w:hAnsi="Arial" w:cs="Arial"/>
          <w:bCs/>
          <w:i/>
          <w:iCs/>
          <w:sz w:val="28"/>
          <w:szCs w:val="28"/>
          <w:lang w:eastAsia="en-AU"/>
        </w:rPr>
        <w:t xml:space="preserve"> v </w:t>
      </w:r>
      <w:proofErr w:type="spellStart"/>
      <w:r w:rsidRPr="00DD0272">
        <w:rPr>
          <w:rFonts w:ascii="Arial" w:hAnsi="Arial" w:cs="Arial"/>
          <w:bCs/>
          <w:i/>
          <w:iCs/>
          <w:sz w:val="28"/>
          <w:szCs w:val="28"/>
          <w:lang w:eastAsia="en-AU"/>
        </w:rPr>
        <w:t>Mongwaketse</w:t>
      </w:r>
      <w:proofErr w:type="spellEnd"/>
    </w:p>
    <w:p w14:paraId="3E92D3F4" w14:textId="77777777" w:rsidR="00972DAA" w:rsidRPr="00DD0272" w:rsidRDefault="00972DAA" w:rsidP="00972DAA">
      <w:pPr>
        <w:rPr>
          <w:lang w:eastAsia="en-AU"/>
        </w:rPr>
      </w:pPr>
      <w:r w:rsidRPr="00DD0272">
        <w:rPr>
          <w:b/>
          <w:bCs/>
          <w:lang w:eastAsia="en-AU"/>
        </w:rPr>
        <w:t xml:space="preserve">Constitutional Court of South Africa: </w:t>
      </w:r>
      <w:hyperlink r:id="rId11" w:history="1">
        <w:r w:rsidRPr="00DD0272">
          <w:rPr>
            <w:color w:val="0000FF"/>
            <w:u w:val="single"/>
            <w:lang w:eastAsia="en-AU"/>
          </w:rPr>
          <w:t>[2022] ZACC 9</w:t>
        </w:r>
      </w:hyperlink>
    </w:p>
    <w:p w14:paraId="21D9FF59" w14:textId="77777777" w:rsidR="00972DAA" w:rsidRPr="00DD0272" w:rsidRDefault="00972DAA" w:rsidP="00972DAA">
      <w:pPr>
        <w:rPr>
          <w:lang w:eastAsia="en-AU"/>
        </w:rPr>
      </w:pPr>
    </w:p>
    <w:p w14:paraId="4325CCA7" w14:textId="77777777" w:rsidR="00972DAA" w:rsidRPr="00DD0272" w:rsidRDefault="00972DAA" w:rsidP="00972DAA">
      <w:pPr>
        <w:rPr>
          <w:lang w:eastAsia="en-AU"/>
        </w:rPr>
      </w:pPr>
      <w:r w:rsidRPr="00DD0272">
        <w:rPr>
          <w:b/>
          <w:bCs/>
          <w:lang w:eastAsia="en-AU"/>
        </w:rPr>
        <w:t xml:space="preserve">Judgment delivered: </w:t>
      </w:r>
      <w:r w:rsidRPr="00DD0272">
        <w:rPr>
          <w:lang w:eastAsia="en-AU"/>
        </w:rPr>
        <w:t>14 March 2022</w:t>
      </w:r>
    </w:p>
    <w:p w14:paraId="1C28FBE9" w14:textId="77777777" w:rsidR="00972DAA" w:rsidRPr="00DD0272" w:rsidRDefault="00972DAA" w:rsidP="00972DAA">
      <w:pPr>
        <w:rPr>
          <w:b/>
          <w:bCs/>
          <w:lang w:eastAsia="en-AU"/>
        </w:rPr>
      </w:pPr>
    </w:p>
    <w:p w14:paraId="6B54D9EE" w14:textId="77777777" w:rsidR="00972DAA" w:rsidRPr="00DD0272" w:rsidRDefault="00972DAA" w:rsidP="00972DAA">
      <w:pPr>
        <w:rPr>
          <w:lang w:eastAsia="en-AU"/>
        </w:rPr>
      </w:pPr>
      <w:r w:rsidRPr="00DD0272">
        <w:rPr>
          <w:b/>
          <w:bCs/>
          <w:lang w:eastAsia="en-AU"/>
        </w:rPr>
        <w:t>Coram:</w:t>
      </w:r>
      <w:r w:rsidRPr="00DD0272">
        <w:t xml:space="preserve"> </w:t>
      </w:r>
      <w:r w:rsidRPr="00DD0272">
        <w:rPr>
          <w:lang w:eastAsia="en-AU"/>
        </w:rPr>
        <w:t>Madlanga, Majiedt, Mhlantla JJ, Pillay, Rogers AJJ, Theron J, Tlaletsi AJ and Tshiqi J</w:t>
      </w:r>
    </w:p>
    <w:p w14:paraId="313979D2" w14:textId="77777777" w:rsidR="00972DAA" w:rsidRPr="00DD0272" w:rsidRDefault="00972DAA" w:rsidP="00972DAA">
      <w:pPr>
        <w:rPr>
          <w:b/>
          <w:bCs/>
          <w:lang w:eastAsia="en-AU"/>
        </w:rPr>
      </w:pPr>
    </w:p>
    <w:p w14:paraId="05033899" w14:textId="77777777" w:rsidR="00972DAA" w:rsidRPr="00DD0272" w:rsidRDefault="00972DAA" w:rsidP="00972DAA">
      <w:pPr>
        <w:rPr>
          <w:b/>
          <w:bCs/>
          <w:lang w:eastAsia="en-AU"/>
        </w:rPr>
      </w:pPr>
      <w:r w:rsidRPr="00DD0272">
        <w:rPr>
          <w:b/>
          <w:bCs/>
          <w:lang w:eastAsia="en-AU"/>
        </w:rPr>
        <w:t>Catchwords:</w:t>
      </w:r>
    </w:p>
    <w:p w14:paraId="679EE7BF" w14:textId="77777777" w:rsidR="00972DAA" w:rsidRPr="00DD0272" w:rsidRDefault="00972DAA" w:rsidP="00972DAA">
      <w:pPr>
        <w:rPr>
          <w:b/>
          <w:bCs/>
          <w:lang w:eastAsia="en-AU"/>
        </w:rPr>
      </w:pPr>
    </w:p>
    <w:p w14:paraId="562D83FF" w14:textId="38168577" w:rsidR="00972DAA" w:rsidRPr="00DD0272" w:rsidRDefault="00972DAA" w:rsidP="00972DAA">
      <w:pPr>
        <w:ind w:left="720"/>
        <w:rPr>
          <w:lang w:eastAsia="en-AU"/>
        </w:rPr>
      </w:pPr>
      <w:r>
        <w:rPr>
          <w:lang w:eastAsia="en-AU"/>
        </w:rPr>
        <w:t xml:space="preserve">Administrative law – </w:t>
      </w:r>
      <w:r w:rsidRPr="00972DAA">
        <w:rPr>
          <w:lang w:eastAsia="en-AU"/>
        </w:rPr>
        <w:t xml:space="preserve">Social security – </w:t>
      </w:r>
      <w:r>
        <w:rPr>
          <w:lang w:eastAsia="en-AU"/>
        </w:rPr>
        <w:t>Jurisdiction</w:t>
      </w:r>
      <w:r w:rsidRPr="00972DAA">
        <w:rPr>
          <w:lang w:eastAsia="en-AU"/>
        </w:rPr>
        <w:t xml:space="preserve"> – Meaning of </w:t>
      </w:r>
      <w:r w:rsidR="002C6EE4">
        <w:rPr>
          <w:lang w:eastAsia="en-AU"/>
        </w:rPr>
        <w:t>"</w:t>
      </w:r>
      <w:r w:rsidRPr="00972DAA">
        <w:rPr>
          <w:lang w:eastAsia="en-AU"/>
        </w:rPr>
        <w:t>complainant</w:t>
      </w:r>
      <w:r w:rsidR="002C6EE4">
        <w:rPr>
          <w:lang w:eastAsia="en-AU"/>
        </w:rPr>
        <w:t>"</w:t>
      </w:r>
      <w:r w:rsidRPr="00972DAA">
        <w:rPr>
          <w:lang w:eastAsia="en-AU"/>
        </w:rPr>
        <w:t xml:space="preserve"> and </w:t>
      </w:r>
      <w:r w:rsidR="002C6EE4">
        <w:rPr>
          <w:lang w:eastAsia="en-AU"/>
        </w:rPr>
        <w:t>"</w:t>
      </w:r>
      <w:r w:rsidRPr="00972DAA">
        <w:rPr>
          <w:lang w:eastAsia="en-AU"/>
        </w:rPr>
        <w:t>complaint</w:t>
      </w:r>
      <w:r w:rsidR="002C6EE4">
        <w:rPr>
          <w:lang w:eastAsia="en-AU"/>
        </w:rPr>
        <w:t>"</w:t>
      </w:r>
      <w:r w:rsidRPr="00972DAA">
        <w:rPr>
          <w:lang w:eastAsia="en-AU"/>
        </w:rPr>
        <w:t xml:space="preserve"> – Where respondent lodged grievance with Pension Fund Adjudicator (</w:t>
      </w:r>
      <w:r w:rsidR="002C6EE4">
        <w:rPr>
          <w:lang w:eastAsia="en-AU"/>
        </w:rPr>
        <w:t>"</w:t>
      </w:r>
      <w:r w:rsidRPr="00972DAA">
        <w:rPr>
          <w:lang w:eastAsia="en-AU"/>
        </w:rPr>
        <w:t>Adjudicator</w:t>
      </w:r>
      <w:r w:rsidR="002C6EE4">
        <w:rPr>
          <w:lang w:eastAsia="en-AU"/>
        </w:rPr>
        <w:t>"</w:t>
      </w:r>
      <w:r w:rsidRPr="00972DAA">
        <w:rPr>
          <w:lang w:eastAsia="en-AU"/>
        </w:rPr>
        <w:t xml:space="preserve">) in terms of Chapter VA of </w:t>
      </w:r>
      <w:r w:rsidRPr="00972DAA">
        <w:rPr>
          <w:i/>
          <w:iCs/>
          <w:lang w:eastAsia="en-AU"/>
        </w:rPr>
        <w:t>Pension Funds Act</w:t>
      </w:r>
      <w:r w:rsidR="00064190">
        <w:rPr>
          <w:i/>
          <w:iCs/>
          <w:lang w:eastAsia="en-AU"/>
        </w:rPr>
        <w:t xml:space="preserve"> 24 of 1956</w:t>
      </w:r>
      <w:r w:rsidRPr="00972DAA">
        <w:rPr>
          <w:lang w:eastAsia="en-AU"/>
        </w:rPr>
        <w:t xml:space="preserve"> (</w:t>
      </w:r>
      <w:r w:rsidR="002C6EE4">
        <w:rPr>
          <w:lang w:eastAsia="en-AU"/>
        </w:rPr>
        <w:t>"</w:t>
      </w:r>
      <w:r w:rsidRPr="00972DAA">
        <w:rPr>
          <w:lang w:eastAsia="en-AU"/>
        </w:rPr>
        <w:t>Act</w:t>
      </w:r>
      <w:r w:rsidR="002C6EE4">
        <w:rPr>
          <w:lang w:eastAsia="en-AU"/>
        </w:rPr>
        <w:t>"</w:t>
      </w:r>
      <w:r w:rsidRPr="00972DAA">
        <w:rPr>
          <w:lang w:eastAsia="en-AU"/>
        </w:rPr>
        <w:t>) against Municipal Employees Pension Fund (</w:t>
      </w:r>
      <w:r w:rsidR="002C6EE4">
        <w:rPr>
          <w:lang w:eastAsia="en-AU"/>
        </w:rPr>
        <w:t>"</w:t>
      </w:r>
      <w:r w:rsidRPr="00972DAA">
        <w:rPr>
          <w:lang w:eastAsia="en-AU"/>
        </w:rPr>
        <w:t>MEPF</w:t>
      </w:r>
      <w:r w:rsidR="002C6EE4">
        <w:rPr>
          <w:lang w:eastAsia="en-AU"/>
        </w:rPr>
        <w:t>"</w:t>
      </w:r>
      <w:r w:rsidRPr="00972DAA">
        <w:rPr>
          <w:lang w:eastAsia="en-AU"/>
        </w:rPr>
        <w:t xml:space="preserve">) and Akani Retirement Fund Administrators (Pty) Limited, MEPF's administrator – Where grievance concerned respondent's purported membership of MEPF – Where Adjudicator found in favour of respondent, ordering MEPF to repay all contributions made in respect of her purported membership – Where Adjudicator's function to investigate and dispose of </w:t>
      </w:r>
      <w:r w:rsidR="002C6EE4">
        <w:rPr>
          <w:lang w:eastAsia="en-AU"/>
        </w:rPr>
        <w:t>"</w:t>
      </w:r>
      <w:r w:rsidRPr="00972DAA">
        <w:rPr>
          <w:lang w:eastAsia="en-AU"/>
        </w:rPr>
        <w:t>complaints</w:t>
      </w:r>
      <w:r w:rsidR="002C6EE4">
        <w:rPr>
          <w:lang w:eastAsia="en-AU"/>
        </w:rPr>
        <w:t>"</w:t>
      </w:r>
      <w:r w:rsidR="00582E63">
        <w:rPr>
          <w:lang w:eastAsia="en-AU"/>
        </w:rPr>
        <w:t xml:space="preserve"> of "complainants" – Where s 1 of Act defined "complainants" to include member or former member of fund</w:t>
      </w:r>
      <w:r w:rsidRPr="00972DAA">
        <w:rPr>
          <w:lang w:eastAsia="en-AU"/>
        </w:rPr>
        <w:t xml:space="preserve"> – Whether respondent's grievance </w:t>
      </w:r>
      <w:r w:rsidR="002C6EE4">
        <w:rPr>
          <w:lang w:eastAsia="en-AU"/>
        </w:rPr>
        <w:t>"</w:t>
      </w:r>
      <w:r w:rsidRPr="00972DAA">
        <w:rPr>
          <w:lang w:eastAsia="en-AU"/>
        </w:rPr>
        <w:t>complaint</w:t>
      </w:r>
      <w:r w:rsidR="002C6EE4">
        <w:rPr>
          <w:lang w:eastAsia="en-AU"/>
        </w:rPr>
        <w:t>"</w:t>
      </w:r>
      <w:r>
        <w:rPr>
          <w:lang w:eastAsia="en-AU"/>
        </w:rPr>
        <w:t xml:space="preserve"> and respondent </w:t>
      </w:r>
      <w:r w:rsidR="002C6EE4">
        <w:rPr>
          <w:lang w:eastAsia="en-AU"/>
        </w:rPr>
        <w:t>"</w:t>
      </w:r>
      <w:r>
        <w:rPr>
          <w:lang w:eastAsia="en-AU"/>
        </w:rPr>
        <w:t>complainant</w:t>
      </w:r>
      <w:r w:rsidR="002C6EE4">
        <w:rPr>
          <w:lang w:eastAsia="en-AU"/>
        </w:rPr>
        <w:t>"</w:t>
      </w:r>
      <w:r>
        <w:rPr>
          <w:lang w:eastAsia="en-AU"/>
        </w:rPr>
        <w:t xml:space="preserve"> as defined in s 1 of</w:t>
      </w:r>
      <w:r w:rsidRPr="00DD0272">
        <w:rPr>
          <w:lang w:eastAsia="en-AU"/>
        </w:rPr>
        <w:t xml:space="preserve"> Act. </w:t>
      </w:r>
    </w:p>
    <w:p w14:paraId="2B2D9FE9" w14:textId="77777777" w:rsidR="00972DAA" w:rsidRPr="00DD0272" w:rsidRDefault="00972DAA" w:rsidP="00972DAA">
      <w:pPr>
        <w:rPr>
          <w:b/>
          <w:bCs/>
          <w:lang w:eastAsia="en-AU"/>
        </w:rPr>
      </w:pPr>
    </w:p>
    <w:p w14:paraId="105C720F" w14:textId="77777777" w:rsidR="00972DAA" w:rsidRPr="00DD0272" w:rsidRDefault="00972DAA" w:rsidP="00972DAA">
      <w:pPr>
        <w:rPr>
          <w:lang w:eastAsia="en-AU"/>
        </w:rPr>
      </w:pPr>
      <w:r w:rsidRPr="00DD0272">
        <w:rPr>
          <w:b/>
          <w:bCs/>
          <w:lang w:eastAsia="en-AU"/>
        </w:rPr>
        <w:t>Held (8:0):</w:t>
      </w:r>
      <w:r w:rsidRPr="00DD0272">
        <w:rPr>
          <w:lang w:eastAsia="en-AU"/>
        </w:rPr>
        <w:t xml:space="preserve"> Leave to appeal granted; appeal dismissed.</w:t>
      </w:r>
    </w:p>
    <w:p w14:paraId="459056B5" w14:textId="77777777" w:rsidR="00972DAA" w:rsidRDefault="00972DAA" w:rsidP="00972DAA">
      <w:pPr>
        <w:pStyle w:val="BullDivider2"/>
        <w:rPr>
          <w:rFonts w:cs="Arial"/>
          <w:highlight w:val="yellow"/>
        </w:rPr>
      </w:pPr>
    </w:p>
    <w:p w14:paraId="458139C8" w14:textId="77777777" w:rsidR="00972DAA" w:rsidRDefault="00972DAA" w:rsidP="00C66EEA">
      <w:pPr>
        <w:rPr>
          <w:lang w:eastAsia="en-AU"/>
        </w:rPr>
      </w:pPr>
    </w:p>
    <w:p w14:paraId="7A59ED06" w14:textId="5F4F30DC" w:rsidR="00513DBC" w:rsidRPr="002F4F7E" w:rsidRDefault="00513DBC" w:rsidP="00513DBC">
      <w:pPr>
        <w:pStyle w:val="Heading2"/>
      </w:pPr>
      <w:r>
        <w:t xml:space="preserve">National Federation of Independent Business v Department of </w:t>
      </w:r>
      <w:proofErr w:type="spellStart"/>
      <w:r>
        <w:t>Labor</w:t>
      </w:r>
      <w:proofErr w:type="spellEnd"/>
      <w:r>
        <w:t>, Occupational Safety and Health Administration</w:t>
      </w:r>
      <w:r w:rsidR="00B94B98">
        <w:t xml:space="preserve">; Ohio v </w:t>
      </w:r>
      <w:r w:rsidR="00B94B98" w:rsidRPr="00B94B98">
        <w:t xml:space="preserve">Department of </w:t>
      </w:r>
      <w:proofErr w:type="spellStart"/>
      <w:r w:rsidR="00B94B98" w:rsidRPr="00B94B98">
        <w:t>Labor</w:t>
      </w:r>
      <w:proofErr w:type="spellEnd"/>
      <w:r w:rsidR="00B94B98" w:rsidRPr="00B94B98">
        <w:t>, Occupational Safety and Health Administration</w:t>
      </w:r>
    </w:p>
    <w:p w14:paraId="66E6FE1B" w14:textId="729234C1" w:rsidR="00513DBC" w:rsidRPr="002F4F7E" w:rsidRDefault="00513DBC" w:rsidP="00513DBC">
      <w:pPr>
        <w:rPr>
          <w:lang w:eastAsia="en-AU"/>
        </w:rPr>
      </w:pPr>
      <w:r>
        <w:rPr>
          <w:b/>
          <w:lang w:eastAsia="en-AU"/>
        </w:rPr>
        <w:t xml:space="preserve">Supreme </w:t>
      </w:r>
      <w:r w:rsidRPr="002F4F7E">
        <w:rPr>
          <w:b/>
          <w:lang w:eastAsia="en-AU"/>
        </w:rPr>
        <w:t>Court</w:t>
      </w:r>
      <w:r>
        <w:rPr>
          <w:b/>
          <w:lang w:eastAsia="en-AU"/>
        </w:rPr>
        <w:t xml:space="preserve"> of the United States: </w:t>
      </w:r>
      <w:hyperlink r:id="rId12" w:history="1">
        <w:r w:rsidRPr="00513DBC">
          <w:rPr>
            <w:rStyle w:val="Hyperlink"/>
            <w:bCs/>
            <w:lang w:eastAsia="en-AU"/>
          </w:rPr>
          <w:t>Docket Nos.</w:t>
        </w:r>
        <w:r w:rsidRPr="00513DBC">
          <w:rPr>
            <w:rStyle w:val="Hyperlink"/>
          </w:rPr>
          <w:t xml:space="preserve"> </w:t>
        </w:r>
        <w:r w:rsidRPr="00513DBC">
          <w:rPr>
            <w:rStyle w:val="Hyperlink"/>
            <w:bCs/>
            <w:lang w:eastAsia="en-AU"/>
          </w:rPr>
          <w:t>21A244 and 21A247</w:t>
        </w:r>
      </w:hyperlink>
    </w:p>
    <w:p w14:paraId="46AF469F" w14:textId="77777777" w:rsidR="00513DBC" w:rsidRPr="002F4F7E" w:rsidRDefault="00513DBC" w:rsidP="00513DBC">
      <w:pPr>
        <w:rPr>
          <w:lang w:eastAsia="en-AU"/>
        </w:rPr>
      </w:pPr>
    </w:p>
    <w:p w14:paraId="4D35226B" w14:textId="77777777" w:rsidR="00513DBC" w:rsidRPr="002F4F7E" w:rsidRDefault="00513DBC" w:rsidP="00513DBC">
      <w:pPr>
        <w:rPr>
          <w:lang w:eastAsia="en-AU"/>
        </w:rPr>
      </w:pPr>
      <w:r w:rsidRPr="002F4F7E">
        <w:rPr>
          <w:b/>
          <w:lang w:eastAsia="en-AU"/>
        </w:rPr>
        <w:t>Judgment delivered:</w:t>
      </w:r>
      <w:r w:rsidRPr="002F4F7E">
        <w:rPr>
          <w:lang w:eastAsia="en-AU"/>
        </w:rPr>
        <w:t xml:space="preserve"> </w:t>
      </w:r>
      <w:r>
        <w:rPr>
          <w:lang w:eastAsia="en-AU"/>
        </w:rPr>
        <w:t>13 January 2022</w:t>
      </w:r>
    </w:p>
    <w:p w14:paraId="0A7648DA" w14:textId="77777777" w:rsidR="00513DBC" w:rsidRPr="002F4F7E" w:rsidRDefault="00513DBC" w:rsidP="00513DBC">
      <w:pPr>
        <w:rPr>
          <w:lang w:eastAsia="en-AU"/>
        </w:rPr>
      </w:pPr>
    </w:p>
    <w:p w14:paraId="76D58ED6" w14:textId="77777777" w:rsidR="00513DBC" w:rsidRDefault="00513DBC" w:rsidP="00513DBC">
      <w:pPr>
        <w:rPr>
          <w:lang w:eastAsia="en-AU"/>
        </w:rPr>
      </w:pPr>
      <w:r w:rsidRPr="002F4F7E">
        <w:rPr>
          <w:b/>
          <w:lang w:eastAsia="en-AU"/>
        </w:rPr>
        <w:t xml:space="preserve">Coram: </w:t>
      </w:r>
      <w:r>
        <w:rPr>
          <w:lang w:eastAsia="en-AU"/>
        </w:rPr>
        <w:t>Roberts CJ, Thomas, Breyer, Alito, Sotomayor, Kagan, Gorsuch,</w:t>
      </w:r>
    </w:p>
    <w:p w14:paraId="79D5980E" w14:textId="77777777" w:rsidR="00513DBC" w:rsidRDefault="00513DBC" w:rsidP="00513DBC">
      <w:pPr>
        <w:rPr>
          <w:lang w:eastAsia="en-AU"/>
        </w:rPr>
      </w:pPr>
      <w:r>
        <w:rPr>
          <w:lang w:eastAsia="en-AU"/>
        </w:rPr>
        <w:t>Kavanaugh and Barrett JJ</w:t>
      </w:r>
    </w:p>
    <w:p w14:paraId="12375C15" w14:textId="77777777" w:rsidR="00513DBC" w:rsidRPr="002F4F7E" w:rsidRDefault="00513DBC" w:rsidP="00513DBC">
      <w:pPr>
        <w:rPr>
          <w:lang w:eastAsia="en-AU"/>
        </w:rPr>
      </w:pPr>
    </w:p>
    <w:p w14:paraId="70D44301" w14:textId="77777777" w:rsidR="00513DBC" w:rsidRPr="002F4F7E" w:rsidRDefault="00513DBC" w:rsidP="00513DBC">
      <w:pPr>
        <w:rPr>
          <w:b/>
          <w:lang w:eastAsia="en-AU"/>
        </w:rPr>
      </w:pPr>
      <w:r>
        <w:rPr>
          <w:b/>
          <w:lang w:eastAsia="en-AU"/>
        </w:rPr>
        <w:t>Catchwords:</w:t>
      </w:r>
    </w:p>
    <w:p w14:paraId="1A1B721B" w14:textId="77777777" w:rsidR="00513DBC" w:rsidRPr="00856E9C" w:rsidRDefault="00513DBC" w:rsidP="00513DBC">
      <w:pPr>
        <w:rPr>
          <w:b/>
          <w:highlight w:val="yellow"/>
          <w:lang w:eastAsia="en-AU"/>
        </w:rPr>
      </w:pPr>
    </w:p>
    <w:p w14:paraId="29F52949" w14:textId="05499B5E" w:rsidR="00513DBC" w:rsidRDefault="00513DBC" w:rsidP="00513DBC">
      <w:pPr>
        <w:ind w:left="720"/>
        <w:rPr>
          <w:lang w:eastAsia="en-AU"/>
        </w:rPr>
      </w:pPr>
      <w:r>
        <w:rPr>
          <w:lang w:eastAsia="en-AU"/>
        </w:rPr>
        <w:t>Administrative law – Application</w:t>
      </w:r>
      <w:r w:rsidR="00FF2CE6">
        <w:rPr>
          <w:lang w:eastAsia="en-AU"/>
        </w:rPr>
        <w:t>s</w:t>
      </w:r>
      <w:r>
        <w:rPr>
          <w:lang w:eastAsia="en-AU"/>
        </w:rPr>
        <w:t xml:space="preserve"> for stay</w:t>
      </w:r>
      <w:r w:rsidR="00207628">
        <w:rPr>
          <w:lang w:eastAsia="en-AU"/>
        </w:rPr>
        <w:t>s</w:t>
      </w:r>
      <w:r w:rsidRPr="0002136F">
        <w:rPr>
          <w:lang w:eastAsia="en-AU"/>
        </w:rPr>
        <w:t xml:space="preserve"> </w:t>
      </w:r>
      <w:r>
        <w:rPr>
          <w:lang w:eastAsia="en-AU"/>
        </w:rPr>
        <w:t>–</w:t>
      </w:r>
      <w:r w:rsidRPr="0002136F">
        <w:rPr>
          <w:lang w:eastAsia="en-AU"/>
        </w:rPr>
        <w:t xml:space="preserve"> </w:t>
      </w:r>
      <w:r>
        <w:rPr>
          <w:lang w:eastAsia="en-AU"/>
        </w:rPr>
        <w:t>Covid</w:t>
      </w:r>
      <w:r w:rsidR="001E0061">
        <w:rPr>
          <w:lang w:eastAsia="en-AU"/>
        </w:rPr>
        <w:noBreakHyphen/>
      </w:r>
      <w:r>
        <w:rPr>
          <w:lang w:eastAsia="en-AU"/>
        </w:rPr>
        <w:t xml:space="preserve">19 – Vaccination mandate – Where </w:t>
      </w:r>
      <w:r w:rsidRPr="00513DBC">
        <w:rPr>
          <w:lang w:eastAsia="en-AU"/>
        </w:rPr>
        <w:t xml:space="preserve">Occupational Safety and Health Administration </w:t>
      </w:r>
      <w:r>
        <w:rPr>
          <w:lang w:eastAsia="en-AU"/>
        </w:rPr>
        <w:t xml:space="preserve">tasked with ensuring occupational safety and does so by enforcing occupational safety and health standards </w:t>
      </w:r>
      <w:r w:rsidR="003178CF">
        <w:rPr>
          <w:lang w:eastAsia="en-AU"/>
        </w:rPr>
        <w:t xml:space="preserve">promulgated by Secretary of </w:t>
      </w:r>
      <w:proofErr w:type="spellStart"/>
      <w:r w:rsidR="003178CF">
        <w:rPr>
          <w:lang w:eastAsia="en-AU"/>
        </w:rPr>
        <w:t>Labor</w:t>
      </w:r>
      <w:proofErr w:type="spellEnd"/>
      <w:r w:rsidR="003178CF">
        <w:rPr>
          <w:lang w:eastAsia="en-AU"/>
        </w:rPr>
        <w:t xml:space="preserve"> </w:t>
      </w:r>
      <w:r>
        <w:rPr>
          <w:lang w:eastAsia="en-AU"/>
        </w:rPr>
        <w:t xml:space="preserve">– Where standards must be </w:t>
      </w:r>
      <w:r w:rsidR="002C6EE4">
        <w:rPr>
          <w:lang w:eastAsia="en-AU"/>
        </w:rPr>
        <w:t>"</w:t>
      </w:r>
      <w:r>
        <w:rPr>
          <w:lang w:eastAsia="en-AU"/>
        </w:rPr>
        <w:t>reasonably necessary or appropriate to provide safe or healthful employment</w:t>
      </w:r>
      <w:r w:rsidR="002C6EE4">
        <w:rPr>
          <w:lang w:eastAsia="en-AU"/>
        </w:rPr>
        <w:t>"</w:t>
      </w:r>
      <w:r w:rsidR="003178CF">
        <w:rPr>
          <w:lang w:eastAsia="en-AU"/>
        </w:rPr>
        <w:t xml:space="preserve"> and must be developed through notice</w:t>
      </w:r>
      <w:r w:rsidR="001E0061">
        <w:rPr>
          <w:lang w:eastAsia="en-AU"/>
        </w:rPr>
        <w:noBreakHyphen/>
      </w:r>
      <w:r w:rsidR="003178CF">
        <w:rPr>
          <w:lang w:eastAsia="en-AU"/>
        </w:rPr>
        <w:t>and</w:t>
      </w:r>
      <w:r w:rsidR="001E0061">
        <w:rPr>
          <w:lang w:eastAsia="en-AU"/>
        </w:rPr>
        <w:noBreakHyphen/>
      </w:r>
      <w:r w:rsidR="003178CF">
        <w:rPr>
          <w:lang w:eastAsia="en-AU"/>
        </w:rPr>
        <w:t xml:space="preserve">comment procedures, except for </w:t>
      </w:r>
      <w:r w:rsidR="002C6EE4">
        <w:rPr>
          <w:lang w:eastAsia="en-AU"/>
        </w:rPr>
        <w:t>"</w:t>
      </w:r>
      <w:r w:rsidR="003178CF">
        <w:rPr>
          <w:lang w:eastAsia="en-AU"/>
        </w:rPr>
        <w:t xml:space="preserve">emergency temporary </w:t>
      </w:r>
      <w:r w:rsidR="003178CF">
        <w:rPr>
          <w:lang w:eastAsia="en-AU"/>
        </w:rPr>
        <w:lastRenderedPageBreak/>
        <w:t>standards</w:t>
      </w:r>
      <w:r w:rsidR="002C6EE4">
        <w:rPr>
          <w:lang w:eastAsia="en-AU"/>
        </w:rPr>
        <w:t>"</w:t>
      </w:r>
      <w:r>
        <w:rPr>
          <w:lang w:eastAsia="en-AU"/>
        </w:rPr>
        <w:t xml:space="preserve"> – Where </w:t>
      </w:r>
      <w:r w:rsidR="003178CF">
        <w:rPr>
          <w:lang w:eastAsia="en-AU"/>
        </w:rPr>
        <w:t xml:space="preserve">Secretary enacted vaccination mandate requiring all employers with at least 100 employees to ensure workforces were vaccinated – Where covered employers required to </w:t>
      </w:r>
      <w:r w:rsidR="002C6EE4">
        <w:rPr>
          <w:lang w:eastAsia="en-AU"/>
        </w:rPr>
        <w:t>"</w:t>
      </w:r>
      <w:r w:rsidR="003178CF">
        <w:rPr>
          <w:lang w:eastAsia="en-AU"/>
        </w:rPr>
        <w:t>develop, implement, and enforce a mandatory Covid</w:t>
      </w:r>
      <w:r w:rsidR="001E0061">
        <w:rPr>
          <w:lang w:eastAsia="en-AU"/>
        </w:rPr>
        <w:noBreakHyphen/>
      </w:r>
      <w:r w:rsidR="003178CF">
        <w:rPr>
          <w:lang w:eastAsia="en-AU"/>
        </w:rPr>
        <w:t>19 vaccination policy</w:t>
      </w:r>
      <w:r w:rsidR="002C6EE4">
        <w:rPr>
          <w:lang w:eastAsia="en-AU"/>
        </w:rPr>
        <w:t>"</w:t>
      </w:r>
      <w:r w:rsidR="003178CF">
        <w:rPr>
          <w:lang w:eastAsia="en-AU"/>
        </w:rPr>
        <w:t xml:space="preserve"> – Whether Secretary authorised to impose mandate – Whether applicants likely to succeed on merits of claim such that stay</w:t>
      </w:r>
      <w:r w:rsidR="00207628">
        <w:rPr>
          <w:lang w:eastAsia="en-AU"/>
        </w:rPr>
        <w:t>s</w:t>
      </w:r>
      <w:r w:rsidR="003178CF">
        <w:rPr>
          <w:lang w:eastAsia="en-AU"/>
        </w:rPr>
        <w:t xml:space="preserve"> should be granted. </w:t>
      </w:r>
    </w:p>
    <w:p w14:paraId="3D3DA731" w14:textId="77777777" w:rsidR="00513DBC" w:rsidRDefault="00513DBC" w:rsidP="00513DBC">
      <w:pPr>
        <w:rPr>
          <w:lang w:eastAsia="en-AU"/>
        </w:rPr>
      </w:pPr>
    </w:p>
    <w:p w14:paraId="0143DC32" w14:textId="28BB698D" w:rsidR="00513DBC" w:rsidRDefault="00513DBC" w:rsidP="00513DBC">
      <w:pPr>
        <w:rPr>
          <w:lang w:eastAsia="en-AU"/>
        </w:rPr>
      </w:pPr>
      <w:r w:rsidRPr="002F4F7E">
        <w:rPr>
          <w:b/>
          <w:lang w:eastAsia="en-AU"/>
        </w:rPr>
        <w:t>Held (</w:t>
      </w:r>
      <w:r>
        <w:rPr>
          <w:b/>
          <w:lang w:eastAsia="en-AU"/>
        </w:rPr>
        <w:t>6:3</w:t>
      </w:r>
      <w:r w:rsidRPr="002F4F7E">
        <w:rPr>
          <w:b/>
          <w:lang w:eastAsia="en-AU"/>
        </w:rPr>
        <w:t xml:space="preserve">): </w:t>
      </w:r>
      <w:r>
        <w:rPr>
          <w:lang w:eastAsia="en-AU"/>
        </w:rPr>
        <w:t>Application</w:t>
      </w:r>
      <w:r w:rsidR="00B94B98">
        <w:rPr>
          <w:lang w:eastAsia="en-AU"/>
        </w:rPr>
        <w:t>s</w:t>
      </w:r>
      <w:r>
        <w:rPr>
          <w:lang w:eastAsia="en-AU"/>
        </w:rPr>
        <w:t xml:space="preserve"> </w:t>
      </w:r>
      <w:r w:rsidR="003434A4">
        <w:rPr>
          <w:lang w:eastAsia="en-AU"/>
        </w:rPr>
        <w:t xml:space="preserve">for stays </w:t>
      </w:r>
      <w:r>
        <w:rPr>
          <w:lang w:eastAsia="en-AU"/>
        </w:rPr>
        <w:t xml:space="preserve">granted. </w:t>
      </w:r>
    </w:p>
    <w:p w14:paraId="22922E4F" w14:textId="77777777" w:rsidR="00931E25" w:rsidRPr="00181993" w:rsidRDefault="00931E25" w:rsidP="00931E25">
      <w:pPr>
        <w:pStyle w:val="BullDivider1"/>
        <w:pBdr>
          <w:bottom w:val="dotted" w:sz="4" w:space="0" w:color="auto"/>
        </w:pBdr>
      </w:pPr>
    </w:p>
    <w:p w14:paraId="5D0740A0" w14:textId="77777777" w:rsidR="00931E25" w:rsidRDefault="00931E25" w:rsidP="00931E25">
      <w:pPr>
        <w:rPr>
          <w:lang w:eastAsia="en-AU"/>
        </w:rPr>
      </w:pPr>
    </w:p>
    <w:p w14:paraId="0A9CC4AC" w14:textId="7C75988B" w:rsidR="0068509F" w:rsidRDefault="0068509F" w:rsidP="0068509F">
      <w:pPr>
        <w:pStyle w:val="Heading2"/>
        <w:rPr>
          <w:szCs w:val="20"/>
        </w:rPr>
      </w:pPr>
      <w:r w:rsidRPr="0068509F">
        <w:t>R (on the application of O (a minor, by her litigation</w:t>
      </w:r>
      <w:r>
        <w:t xml:space="preserve"> </w:t>
      </w:r>
      <w:r w:rsidRPr="0068509F">
        <w:rPr>
          <w:szCs w:val="20"/>
        </w:rPr>
        <w:t>friend AO)) v Secretary of State for the</w:t>
      </w:r>
      <w:r>
        <w:rPr>
          <w:szCs w:val="20"/>
        </w:rPr>
        <w:t xml:space="preserve"> </w:t>
      </w:r>
      <w:r w:rsidRPr="0068509F">
        <w:rPr>
          <w:szCs w:val="20"/>
        </w:rPr>
        <w:t>Home Department</w:t>
      </w:r>
      <w:r>
        <w:rPr>
          <w:szCs w:val="20"/>
        </w:rPr>
        <w:t xml:space="preserve">; </w:t>
      </w:r>
      <w:r w:rsidRPr="0068509F">
        <w:rPr>
          <w:szCs w:val="20"/>
        </w:rPr>
        <w:t>R (on the application of The Project for the</w:t>
      </w:r>
      <w:r>
        <w:rPr>
          <w:szCs w:val="20"/>
        </w:rPr>
        <w:t xml:space="preserve"> </w:t>
      </w:r>
      <w:r w:rsidRPr="0068509F">
        <w:rPr>
          <w:szCs w:val="20"/>
        </w:rPr>
        <w:t>Registration of Children as British Citizens) v Secretary of State for the Home Department</w:t>
      </w:r>
    </w:p>
    <w:p w14:paraId="4909E1A9" w14:textId="7EEDB3A8" w:rsidR="0068509F" w:rsidRPr="0068509F" w:rsidRDefault="0068509F" w:rsidP="0068509F">
      <w:pPr>
        <w:rPr>
          <w:highlight w:val="yellow"/>
          <w:lang w:eastAsia="en-AU"/>
        </w:rPr>
      </w:pPr>
      <w:r w:rsidRPr="0068509F">
        <w:rPr>
          <w:b/>
          <w:bCs/>
          <w:lang w:eastAsia="en-AU"/>
        </w:rPr>
        <w:t>Supreme Court of the United Kingdom</w:t>
      </w:r>
      <w:r>
        <w:rPr>
          <w:b/>
          <w:bCs/>
          <w:lang w:eastAsia="en-AU"/>
        </w:rPr>
        <w:t>:</w:t>
      </w:r>
      <w:r>
        <w:rPr>
          <w:lang w:eastAsia="en-AU"/>
        </w:rPr>
        <w:t xml:space="preserve"> </w:t>
      </w:r>
      <w:hyperlink r:id="rId13" w:history="1">
        <w:r w:rsidRPr="0068509F">
          <w:rPr>
            <w:rStyle w:val="Hyperlink"/>
            <w:lang w:eastAsia="en-AU"/>
          </w:rPr>
          <w:t>[2022] UKSC 3</w:t>
        </w:r>
      </w:hyperlink>
    </w:p>
    <w:p w14:paraId="75E58909" w14:textId="16E22900" w:rsidR="00513DBC" w:rsidRPr="0068509F" w:rsidRDefault="00513DBC" w:rsidP="0068509F">
      <w:pPr>
        <w:rPr>
          <w:lang w:eastAsia="en-AU"/>
        </w:rPr>
      </w:pPr>
    </w:p>
    <w:p w14:paraId="7D4B9ADF" w14:textId="13B9FC0D" w:rsidR="0068509F" w:rsidRDefault="0068509F" w:rsidP="0068509F">
      <w:pPr>
        <w:rPr>
          <w:lang w:eastAsia="en-AU"/>
        </w:rPr>
      </w:pPr>
      <w:r w:rsidRPr="00137667">
        <w:rPr>
          <w:b/>
          <w:bCs/>
          <w:lang w:eastAsia="en-AU"/>
        </w:rPr>
        <w:t>Judgment delivered</w:t>
      </w:r>
      <w:r w:rsidR="00137667" w:rsidRPr="00137667">
        <w:rPr>
          <w:b/>
          <w:bCs/>
          <w:lang w:eastAsia="en-AU"/>
        </w:rPr>
        <w:t>:</w:t>
      </w:r>
      <w:r w:rsidR="00137667">
        <w:rPr>
          <w:lang w:eastAsia="en-AU"/>
        </w:rPr>
        <w:t xml:space="preserve"> 2 February 2022 </w:t>
      </w:r>
    </w:p>
    <w:p w14:paraId="61073A10" w14:textId="6D4B729E" w:rsidR="00137667" w:rsidRDefault="00137667" w:rsidP="0068509F">
      <w:pPr>
        <w:rPr>
          <w:lang w:eastAsia="en-AU"/>
        </w:rPr>
      </w:pPr>
    </w:p>
    <w:p w14:paraId="02790C71" w14:textId="2C1AE071" w:rsidR="00137667" w:rsidRDefault="00137667" w:rsidP="0068509F">
      <w:pPr>
        <w:rPr>
          <w:lang w:eastAsia="en-AU"/>
        </w:rPr>
      </w:pPr>
      <w:r w:rsidRPr="00137667">
        <w:rPr>
          <w:b/>
          <w:bCs/>
          <w:lang w:eastAsia="en-AU"/>
        </w:rPr>
        <w:t>Coram:</w:t>
      </w:r>
      <w:r>
        <w:rPr>
          <w:lang w:eastAsia="en-AU"/>
        </w:rPr>
        <w:t xml:space="preserve"> </w:t>
      </w:r>
      <w:r w:rsidRPr="00137667">
        <w:rPr>
          <w:lang w:eastAsia="en-AU"/>
        </w:rPr>
        <w:t>Lord Hodge, Lord Briggs, Lady Arden, Lord Stephens</w:t>
      </w:r>
      <w:r>
        <w:rPr>
          <w:lang w:eastAsia="en-AU"/>
        </w:rPr>
        <w:t xml:space="preserve"> and</w:t>
      </w:r>
      <w:r w:rsidRPr="00137667">
        <w:rPr>
          <w:lang w:eastAsia="en-AU"/>
        </w:rPr>
        <w:t xml:space="preserve"> Lady Rose</w:t>
      </w:r>
    </w:p>
    <w:p w14:paraId="1E211616" w14:textId="765904F5" w:rsidR="00137667" w:rsidRDefault="00137667" w:rsidP="0068509F">
      <w:pPr>
        <w:rPr>
          <w:lang w:eastAsia="en-AU"/>
        </w:rPr>
      </w:pPr>
    </w:p>
    <w:p w14:paraId="619643D5" w14:textId="737B5188" w:rsidR="00137667" w:rsidRDefault="00137667" w:rsidP="0068509F">
      <w:pPr>
        <w:rPr>
          <w:lang w:eastAsia="en-AU"/>
        </w:rPr>
      </w:pPr>
      <w:r>
        <w:rPr>
          <w:b/>
          <w:bCs/>
          <w:lang w:eastAsia="en-AU"/>
        </w:rPr>
        <w:t>Catchwords:</w:t>
      </w:r>
    </w:p>
    <w:p w14:paraId="07AFB7BA" w14:textId="4F20E6A4" w:rsidR="00137667" w:rsidRDefault="00137667" w:rsidP="00137667">
      <w:pPr>
        <w:pStyle w:val="Catchwords"/>
      </w:pPr>
    </w:p>
    <w:p w14:paraId="3C3CFCEB" w14:textId="4028030E" w:rsidR="00137667" w:rsidRDefault="00137667" w:rsidP="009E1B62">
      <w:pPr>
        <w:pStyle w:val="Catchwords"/>
      </w:pPr>
      <w:r>
        <w:t>Administrative law – Citizenship – Nationality – Where claimant, O, born in United Kingdom, ha</w:t>
      </w:r>
      <w:r w:rsidR="00497BA0">
        <w:t>d</w:t>
      </w:r>
      <w:r>
        <w:t xml:space="preserve"> Nigerian citizenship, but from </w:t>
      </w:r>
      <w:r w:rsidR="00216046">
        <w:t>10th</w:t>
      </w:r>
      <w:r>
        <w:t xml:space="preserve"> birthday satisfied requirements to apply for registration as British citizen under </w:t>
      </w:r>
      <w:r w:rsidRPr="00137667">
        <w:rPr>
          <w:i/>
          <w:iCs/>
        </w:rPr>
        <w:t>British Nationality Act 1981</w:t>
      </w:r>
      <w:r w:rsidR="00FF2CE6">
        <w:rPr>
          <w:i/>
          <w:iCs/>
        </w:rPr>
        <w:t xml:space="preserve"> </w:t>
      </w:r>
      <w:r>
        <w:t>– Where application made to register O as British citizen but O's mother unable to raise full amount of fee</w:t>
      </w:r>
      <w:r w:rsidR="009E1B62">
        <w:t>, only enough to cover administrative costs</w:t>
      </w:r>
      <w:r>
        <w:t xml:space="preserve"> – Where Secretary of State refused to process application because full fee not paid </w:t>
      </w:r>
      <w:r w:rsidR="009E1B62">
        <w:t>– Where fee</w:t>
      </w:r>
      <w:r w:rsidR="00597CED">
        <w:t>s</w:t>
      </w:r>
      <w:r w:rsidR="009E1B62">
        <w:t xml:space="preserve"> fixed</w:t>
      </w:r>
      <w:r w:rsidR="00597CED" w:rsidRPr="00597CED">
        <w:t xml:space="preserve"> in subordinate legislation, including </w:t>
      </w:r>
      <w:r w:rsidR="00597CED" w:rsidRPr="00FF2CE6">
        <w:rPr>
          <w:i/>
          <w:iCs/>
        </w:rPr>
        <w:t>under Immigration and Nationality (Fees) Regulations 2018</w:t>
      </w:r>
      <w:r w:rsidR="00597CED" w:rsidRPr="00597CED">
        <w:t>,</w:t>
      </w:r>
      <w:r w:rsidR="009E1B62">
        <w:t xml:space="preserve"> at </w:t>
      </w:r>
      <w:r w:rsidR="00597CED">
        <w:t xml:space="preserve">such </w:t>
      </w:r>
      <w:r w:rsidR="009E1B62">
        <w:t xml:space="preserve">level designed to produce substantial surplus – Where large number of children and families </w:t>
      </w:r>
      <w:r w:rsidR="00216046">
        <w:t>could not</w:t>
      </w:r>
      <w:r w:rsidR="009E1B62">
        <w:t xml:space="preserve"> afford fee charged – Whether </w:t>
      </w:r>
      <w:r w:rsidR="00176E3A">
        <w:t>right to citizenship is rendered nugatory by high fees in subordinate legislation</w:t>
      </w:r>
      <w:r w:rsidR="009E1B62">
        <w:t xml:space="preserve">, including under </w:t>
      </w:r>
      <w:r w:rsidR="009E1B62" w:rsidRPr="00FF2CE6">
        <w:rPr>
          <w:i/>
          <w:iCs/>
        </w:rPr>
        <w:t>Immigration and Nationality (Fees) Regulations 2018</w:t>
      </w:r>
      <w:r w:rsidR="00497BA0">
        <w:t xml:space="preserve"> – Whether </w:t>
      </w:r>
      <w:r w:rsidR="00176E3A">
        <w:t>subordinate legislatio</w:t>
      </w:r>
      <w:r w:rsidR="00176E3A" w:rsidRPr="001E0061">
        <w:t>n ultra vires</w:t>
      </w:r>
      <w:r w:rsidR="00176E3A">
        <w:t xml:space="preserve">. </w:t>
      </w:r>
    </w:p>
    <w:p w14:paraId="0E136C68" w14:textId="78955C91" w:rsidR="00176E3A" w:rsidRDefault="00176E3A" w:rsidP="00176E3A"/>
    <w:p w14:paraId="150D0C48" w14:textId="16B65D68" w:rsidR="00176E3A" w:rsidRPr="00176E3A" w:rsidRDefault="00176E3A" w:rsidP="00176E3A">
      <w:r>
        <w:rPr>
          <w:b/>
          <w:bCs/>
        </w:rPr>
        <w:t>Held (5:0):</w:t>
      </w:r>
      <w:r>
        <w:t xml:space="preserve"> Appeal dismissed. </w:t>
      </w:r>
    </w:p>
    <w:p w14:paraId="38CD2EE8" w14:textId="77777777" w:rsidR="00C12033" w:rsidRPr="00784EDC" w:rsidRDefault="00C12033" w:rsidP="00C12033">
      <w:pPr>
        <w:pBdr>
          <w:bottom w:val="double" w:sz="6" w:space="1" w:color="auto"/>
        </w:pBdr>
        <w:rPr>
          <w:rFonts w:cs="Arial"/>
          <w:szCs w:val="20"/>
          <w:highlight w:val="yellow"/>
          <w:lang w:eastAsia="en-AU"/>
        </w:rPr>
      </w:pPr>
      <w:bookmarkStart w:id="5" w:name="_Hlk96421085"/>
    </w:p>
    <w:p w14:paraId="328D4091" w14:textId="77777777" w:rsidR="00C12033" w:rsidRPr="00C66EEA" w:rsidRDefault="00C12033" w:rsidP="00C12033">
      <w:pPr>
        <w:rPr>
          <w:lang w:eastAsia="en-AU"/>
        </w:rPr>
      </w:pPr>
    </w:p>
    <w:p w14:paraId="6FF2BCAF" w14:textId="7D6F87CA" w:rsidR="00C12033" w:rsidRPr="00B20BAC" w:rsidRDefault="00C7408A" w:rsidP="00C12033">
      <w:pPr>
        <w:pStyle w:val="Heading1"/>
      </w:pPr>
      <w:r>
        <w:t xml:space="preserve">Arbitration </w:t>
      </w:r>
    </w:p>
    <w:p w14:paraId="417D31AF" w14:textId="77777777" w:rsidR="00DD0272" w:rsidRDefault="00DD0272" w:rsidP="00DD0272"/>
    <w:p w14:paraId="1C9911E4" w14:textId="4B0CB4B4" w:rsidR="00DD0272" w:rsidRDefault="00DD0272" w:rsidP="00DD0272">
      <w:pPr>
        <w:pStyle w:val="Heading2"/>
      </w:pPr>
      <w:r>
        <w:t>Badgerow v Walters</w:t>
      </w:r>
    </w:p>
    <w:p w14:paraId="37501306" w14:textId="77777777" w:rsidR="00DD0272" w:rsidRDefault="00DD0272" w:rsidP="00DD0272">
      <w:pPr>
        <w:rPr>
          <w:lang w:eastAsia="en-AU"/>
        </w:rPr>
      </w:pPr>
      <w:r>
        <w:rPr>
          <w:b/>
          <w:bCs/>
          <w:lang w:eastAsia="en-AU"/>
        </w:rPr>
        <w:t>Supreme Court of the United States</w:t>
      </w:r>
      <w:r w:rsidRPr="006B0D58">
        <w:rPr>
          <w:b/>
          <w:bCs/>
          <w:lang w:eastAsia="en-AU"/>
        </w:rPr>
        <w:t>:</w:t>
      </w:r>
      <w:r>
        <w:rPr>
          <w:lang w:eastAsia="en-AU"/>
        </w:rPr>
        <w:t xml:space="preserve"> </w:t>
      </w:r>
      <w:hyperlink r:id="rId14" w:history="1">
        <w:r w:rsidRPr="00214EFF">
          <w:rPr>
            <w:rStyle w:val="Hyperlink"/>
            <w:lang w:eastAsia="en-AU"/>
          </w:rPr>
          <w:t>Docket No. 20–1143</w:t>
        </w:r>
      </w:hyperlink>
    </w:p>
    <w:p w14:paraId="15F693B1" w14:textId="77777777" w:rsidR="00DD0272" w:rsidRDefault="00DD0272" w:rsidP="00DD0272">
      <w:pPr>
        <w:rPr>
          <w:lang w:eastAsia="en-AU"/>
        </w:rPr>
      </w:pPr>
    </w:p>
    <w:p w14:paraId="2F8C9DDB" w14:textId="77777777" w:rsidR="00DD0272" w:rsidRPr="00DB68FF" w:rsidRDefault="00DD0272" w:rsidP="00DD0272">
      <w:pPr>
        <w:rPr>
          <w:lang w:eastAsia="en-AU"/>
        </w:rPr>
      </w:pPr>
      <w:r>
        <w:rPr>
          <w:b/>
          <w:bCs/>
          <w:lang w:eastAsia="en-AU"/>
        </w:rPr>
        <w:t xml:space="preserve">Judgment delivered: </w:t>
      </w:r>
      <w:r>
        <w:rPr>
          <w:lang w:eastAsia="en-AU"/>
        </w:rPr>
        <w:t>31 March 2022</w:t>
      </w:r>
    </w:p>
    <w:p w14:paraId="4090A902" w14:textId="77777777" w:rsidR="00DD0272" w:rsidRDefault="00DD0272" w:rsidP="00DD0272">
      <w:pPr>
        <w:rPr>
          <w:b/>
          <w:bCs/>
          <w:lang w:eastAsia="en-AU"/>
        </w:rPr>
      </w:pPr>
    </w:p>
    <w:p w14:paraId="08B09263"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78EC9F93" w14:textId="77777777" w:rsidR="00DD0272" w:rsidRPr="00DB68FF" w:rsidRDefault="00DD0272" w:rsidP="00DD0272">
      <w:pPr>
        <w:rPr>
          <w:lang w:eastAsia="en-AU"/>
        </w:rPr>
      </w:pPr>
      <w:r>
        <w:rPr>
          <w:lang w:eastAsia="en-AU"/>
        </w:rPr>
        <w:t>Kavanaugh and Barrett JJ</w:t>
      </w:r>
    </w:p>
    <w:p w14:paraId="28B2D2C6" w14:textId="77777777" w:rsidR="00DD0272" w:rsidRDefault="00DD0272" w:rsidP="00DD0272">
      <w:pPr>
        <w:rPr>
          <w:b/>
          <w:bCs/>
          <w:lang w:eastAsia="en-AU"/>
        </w:rPr>
      </w:pPr>
    </w:p>
    <w:p w14:paraId="6F4CBFE2" w14:textId="77777777" w:rsidR="00DD0272" w:rsidRDefault="00DD0272" w:rsidP="00DD0272">
      <w:pPr>
        <w:rPr>
          <w:b/>
          <w:bCs/>
          <w:lang w:eastAsia="en-AU"/>
        </w:rPr>
      </w:pPr>
      <w:r>
        <w:rPr>
          <w:b/>
          <w:bCs/>
          <w:lang w:eastAsia="en-AU"/>
        </w:rPr>
        <w:t>Catchwords:</w:t>
      </w:r>
    </w:p>
    <w:p w14:paraId="6E6A25A7" w14:textId="77777777" w:rsidR="00DD0272" w:rsidRDefault="00DD0272" w:rsidP="00DD0272">
      <w:pPr>
        <w:rPr>
          <w:b/>
          <w:bCs/>
          <w:lang w:eastAsia="en-AU"/>
        </w:rPr>
      </w:pPr>
    </w:p>
    <w:p w14:paraId="79336EE0" w14:textId="4C34722A" w:rsidR="00DD0272" w:rsidRPr="0054560C" w:rsidRDefault="00DD0272" w:rsidP="00DD0272">
      <w:pPr>
        <w:pStyle w:val="Catchwords"/>
      </w:pPr>
      <w:r>
        <w:t xml:space="preserve">Arbitration – Arbitral awards – Federal jurisdiction – Where </w:t>
      </w:r>
      <w:r w:rsidR="00A77C4F">
        <w:t>s</w:t>
      </w:r>
      <w:r>
        <w:t xml:space="preserve"> 4 of </w:t>
      </w:r>
      <w:r w:rsidRPr="00214EFF">
        <w:rPr>
          <w:i/>
          <w:iCs/>
        </w:rPr>
        <w:t>Federal Arbitration Act</w:t>
      </w:r>
      <w:r w:rsidRPr="00214EFF">
        <w:t xml:space="preserve"> (</w:t>
      </w:r>
      <w:r w:rsidR="002C6EE4">
        <w:t>"</w:t>
      </w:r>
      <w:r w:rsidRPr="00214EFF">
        <w:t>FAA</w:t>
      </w:r>
      <w:r w:rsidR="002C6EE4">
        <w:t>"</w:t>
      </w:r>
      <w:r w:rsidRPr="00214EFF">
        <w:t>)</w:t>
      </w:r>
      <w:r>
        <w:t xml:space="preserve"> provided party may petition court </w:t>
      </w:r>
      <w:r w:rsidRPr="003C2D1C">
        <w:t xml:space="preserve">to compel arbitration proceeding, </w:t>
      </w:r>
      <w:r>
        <w:t>where arbitration</w:t>
      </w:r>
      <w:r w:rsidRPr="003C2D1C">
        <w:t xml:space="preserve"> agreement contemplates</w:t>
      </w:r>
      <w:r>
        <w:t xml:space="preserve"> – Where FAA does not create subject matter of jurisdiction</w:t>
      </w:r>
      <w:r w:rsidR="00A77C4F">
        <w:t xml:space="preserve"> and</w:t>
      </w:r>
      <w:r>
        <w:t xml:space="preserve"> federal court require</w:t>
      </w:r>
      <w:r w:rsidR="00A77C4F">
        <w:t>d</w:t>
      </w:r>
      <w:r>
        <w:t xml:space="preserve"> to have independent jurisdictional basis – Where, in </w:t>
      </w:r>
      <w:r w:rsidRPr="0067599C">
        <w:rPr>
          <w:i/>
          <w:iCs/>
        </w:rPr>
        <w:t>Vaden v Discover Bank</w:t>
      </w:r>
      <w:r>
        <w:t xml:space="preserve">, 556 US 49, Court determined whether jurisdictional basis to decide FAA </w:t>
      </w:r>
      <w:r w:rsidR="00A77C4F">
        <w:t>s</w:t>
      </w:r>
      <w:r>
        <w:t xml:space="preserve"> 4 petition to compel arbitration by examining parties’ underlying dispute – Where, in </w:t>
      </w:r>
      <w:r>
        <w:rPr>
          <w:i/>
          <w:iCs/>
        </w:rPr>
        <w:t>Vaden</w:t>
      </w:r>
      <w:r>
        <w:t xml:space="preserve">, Court </w:t>
      </w:r>
      <w:r w:rsidR="00A77C4F">
        <w:t>held s</w:t>
      </w:r>
      <w:r>
        <w:t xml:space="preserve"> 4 instructed a federal court to </w:t>
      </w:r>
      <w:r w:rsidR="002C6EE4">
        <w:t>"</w:t>
      </w:r>
      <w:r>
        <w:t>look through</w:t>
      </w:r>
      <w:r w:rsidR="002C6EE4">
        <w:t>"</w:t>
      </w:r>
      <w:r>
        <w:t xml:space="preserve"> petition to </w:t>
      </w:r>
      <w:r w:rsidR="002C6EE4">
        <w:t>"</w:t>
      </w:r>
      <w:r>
        <w:t>underlying substantive controversy</w:t>
      </w:r>
      <w:r w:rsidR="002C6EE4">
        <w:t>"</w:t>
      </w:r>
      <w:r>
        <w:t xml:space="preserve"> – Where Badgerow commenced arbitration proceeding against employer alleging unlawful termination – Where arbitrators dismissed claims and Badgerow filed </w:t>
      </w:r>
      <w:r w:rsidRPr="006C3FAF">
        <w:t>suit in Louisiana state court to vacate arbitral award</w:t>
      </w:r>
      <w:r>
        <w:t xml:space="preserve"> – Where Walters removed case to Federal District Court and applied to confirm award – Where Badgerow moved to remand case to state court, arguing federal court lacked jurisdiction – Where District Court applied </w:t>
      </w:r>
      <w:r w:rsidRPr="00A77C4F">
        <w:rPr>
          <w:i/>
          <w:iCs/>
        </w:rPr>
        <w:t>Vaden</w:t>
      </w:r>
      <w:r>
        <w:t>, finding jurisdiction in federal</w:t>
      </w:r>
      <w:r w:rsidR="001E0061">
        <w:t xml:space="preserve"> </w:t>
      </w:r>
      <w:r>
        <w:t xml:space="preserve">law claims contained in underlying employment action – Where Fifth Circuit affirmed – </w:t>
      </w:r>
      <w:r w:rsidRPr="006C3FAF">
        <w:t>Whether</w:t>
      </w:r>
      <w:r>
        <w:t xml:space="preserve"> </w:t>
      </w:r>
      <w:r w:rsidR="002C6EE4">
        <w:t>"</w:t>
      </w:r>
      <w:r>
        <w:t>look through</w:t>
      </w:r>
      <w:r w:rsidR="002C6EE4">
        <w:t>"</w:t>
      </w:r>
      <w:r>
        <w:t xml:space="preserve"> approach to jurisdiction applies to applications to confirm or vacate arbitral awards</w:t>
      </w:r>
      <w:r w:rsidR="00A77C4F">
        <w:t>.</w:t>
      </w:r>
    </w:p>
    <w:p w14:paraId="45318747" w14:textId="77777777" w:rsidR="00DD0272" w:rsidRDefault="00DD0272" w:rsidP="00DD0272">
      <w:pPr>
        <w:rPr>
          <w:b/>
          <w:bCs/>
          <w:lang w:eastAsia="en-AU"/>
        </w:rPr>
      </w:pPr>
    </w:p>
    <w:p w14:paraId="181F8B08" w14:textId="0DB772B5" w:rsidR="00DD0272" w:rsidRDefault="00DD0272" w:rsidP="00DD0272">
      <w:pPr>
        <w:rPr>
          <w:lang w:eastAsia="en-AU"/>
        </w:rPr>
      </w:pPr>
      <w:r>
        <w:rPr>
          <w:b/>
          <w:bCs/>
          <w:lang w:eastAsia="en-AU"/>
        </w:rPr>
        <w:t>Held (8:1):</w:t>
      </w:r>
      <w:r>
        <w:rPr>
          <w:lang w:eastAsia="en-AU"/>
        </w:rPr>
        <w:t xml:space="preserve"> Judgment of </w:t>
      </w:r>
      <w:r w:rsidR="00216046">
        <w:rPr>
          <w:lang w:eastAsia="en-AU"/>
        </w:rPr>
        <w:t xml:space="preserve">Court of Appeals for the </w:t>
      </w:r>
      <w:r>
        <w:rPr>
          <w:lang w:eastAsia="en-AU"/>
        </w:rPr>
        <w:t xml:space="preserve">Fifth Circuit </w:t>
      </w:r>
      <w:proofErr w:type="gramStart"/>
      <w:r>
        <w:rPr>
          <w:lang w:eastAsia="en-AU"/>
        </w:rPr>
        <w:t>reversed</w:t>
      </w:r>
      <w:proofErr w:type="gramEnd"/>
      <w:r>
        <w:rPr>
          <w:lang w:eastAsia="en-AU"/>
        </w:rPr>
        <w:t xml:space="preserve"> and </w:t>
      </w:r>
      <w:r w:rsidR="00BA12DA">
        <w:rPr>
          <w:lang w:eastAsia="en-AU"/>
        </w:rPr>
        <w:t xml:space="preserve">case </w:t>
      </w:r>
      <w:r>
        <w:rPr>
          <w:lang w:eastAsia="en-AU"/>
        </w:rPr>
        <w:t xml:space="preserve">remanded. </w:t>
      </w:r>
    </w:p>
    <w:p w14:paraId="4E3D86C0" w14:textId="465738D3" w:rsidR="00C12033" w:rsidRDefault="00C12033" w:rsidP="00DD0272">
      <w:pPr>
        <w:pStyle w:val="BullDivider1"/>
      </w:pPr>
    </w:p>
    <w:p w14:paraId="1B2BC16F" w14:textId="77777777" w:rsidR="00DD0272" w:rsidRPr="00DD0272" w:rsidRDefault="00DD0272" w:rsidP="00DD0272">
      <w:pPr>
        <w:rPr>
          <w:lang w:eastAsia="en-AU"/>
        </w:rPr>
      </w:pPr>
    </w:p>
    <w:p w14:paraId="29675349" w14:textId="0B0B4265" w:rsidR="00C12033" w:rsidRPr="002F4F7E" w:rsidRDefault="00C12033" w:rsidP="00C12033">
      <w:pPr>
        <w:pStyle w:val="Heading2"/>
      </w:pPr>
      <w:r>
        <w:t>BZW &amp; Anor v BZV</w:t>
      </w:r>
    </w:p>
    <w:p w14:paraId="7BF2E1B2" w14:textId="7B1598D7" w:rsidR="00C12033" w:rsidRPr="002F4F7E" w:rsidRDefault="00C7408A" w:rsidP="00C12033">
      <w:pPr>
        <w:rPr>
          <w:lang w:eastAsia="en-AU"/>
        </w:rPr>
      </w:pPr>
      <w:bookmarkStart w:id="6" w:name="_Hlk102033265"/>
      <w:r>
        <w:rPr>
          <w:b/>
          <w:lang w:eastAsia="en-AU"/>
        </w:rPr>
        <w:t>Singapore Court of Appeal</w:t>
      </w:r>
      <w:r w:rsidR="00C12033" w:rsidRPr="002F4F7E">
        <w:rPr>
          <w:b/>
          <w:lang w:eastAsia="en-AU"/>
        </w:rPr>
        <w:t xml:space="preserve">: </w:t>
      </w:r>
      <w:hyperlink r:id="rId15" w:history="1">
        <w:r w:rsidRPr="00C7408A">
          <w:rPr>
            <w:rStyle w:val="Hyperlink"/>
          </w:rPr>
          <w:t>[2022] SGCA 1</w:t>
        </w:r>
      </w:hyperlink>
    </w:p>
    <w:p w14:paraId="2FC96320" w14:textId="77777777" w:rsidR="00C12033" w:rsidRPr="002F4F7E" w:rsidRDefault="00C12033" w:rsidP="00C12033">
      <w:pPr>
        <w:rPr>
          <w:lang w:eastAsia="en-AU"/>
        </w:rPr>
      </w:pPr>
    </w:p>
    <w:p w14:paraId="5BEC8708" w14:textId="1E9CA84B" w:rsidR="00C12033" w:rsidRPr="002F4F7E" w:rsidRDefault="00C12033" w:rsidP="00C12033">
      <w:pPr>
        <w:rPr>
          <w:lang w:eastAsia="en-AU"/>
        </w:rPr>
      </w:pPr>
      <w:r w:rsidRPr="002F4F7E">
        <w:rPr>
          <w:b/>
          <w:lang w:eastAsia="en-AU"/>
        </w:rPr>
        <w:t>Judgment delivered:</w:t>
      </w:r>
      <w:r w:rsidRPr="002F4F7E">
        <w:rPr>
          <w:lang w:eastAsia="en-AU"/>
        </w:rPr>
        <w:t xml:space="preserve"> </w:t>
      </w:r>
      <w:r w:rsidR="00C7408A">
        <w:rPr>
          <w:lang w:eastAsia="en-AU"/>
        </w:rPr>
        <w:t>12 January 2022</w:t>
      </w:r>
    </w:p>
    <w:p w14:paraId="1C0537E4" w14:textId="77777777" w:rsidR="00C12033" w:rsidRPr="002F4F7E" w:rsidRDefault="00C12033" w:rsidP="00C12033">
      <w:pPr>
        <w:rPr>
          <w:lang w:eastAsia="en-AU"/>
        </w:rPr>
      </w:pPr>
    </w:p>
    <w:p w14:paraId="0F3DF495" w14:textId="7634E452" w:rsidR="00C12033" w:rsidRDefault="00C12033" w:rsidP="00C12033">
      <w:pPr>
        <w:rPr>
          <w:lang w:eastAsia="en-AU"/>
        </w:rPr>
      </w:pPr>
      <w:r w:rsidRPr="002F4F7E">
        <w:rPr>
          <w:b/>
          <w:lang w:eastAsia="en-AU"/>
        </w:rPr>
        <w:t xml:space="preserve">Coram: </w:t>
      </w:r>
      <w:r w:rsidR="00C7408A" w:rsidRPr="00C7408A">
        <w:rPr>
          <w:lang w:eastAsia="en-AU"/>
        </w:rPr>
        <w:t xml:space="preserve">Menon CJ, Prakash and Chong </w:t>
      </w:r>
      <w:r w:rsidR="0034457C">
        <w:rPr>
          <w:lang w:eastAsia="en-AU"/>
        </w:rPr>
        <w:t>J</w:t>
      </w:r>
      <w:r w:rsidR="00C7408A" w:rsidRPr="00C7408A">
        <w:rPr>
          <w:lang w:eastAsia="en-AU"/>
        </w:rPr>
        <w:t>JCA</w:t>
      </w:r>
    </w:p>
    <w:p w14:paraId="56DCA7EF" w14:textId="77777777" w:rsidR="00C12033" w:rsidRPr="002F4F7E" w:rsidRDefault="00C12033" w:rsidP="00C12033">
      <w:pPr>
        <w:rPr>
          <w:lang w:eastAsia="en-AU"/>
        </w:rPr>
      </w:pPr>
    </w:p>
    <w:p w14:paraId="6A235151" w14:textId="77777777" w:rsidR="00C12033" w:rsidRPr="002F4F7E" w:rsidRDefault="00C12033" w:rsidP="00C12033">
      <w:pPr>
        <w:rPr>
          <w:b/>
          <w:lang w:eastAsia="en-AU"/>
        </w:rPr>
      </w:pPr>
      <w:r>
        <w:rPr>
          <w:b/>
          <w:lang w:eastAsia="en-AU"/>
        </w:rPr>
        <w:t>Catchwords:</w:t>
      </w:r>
    </w:p>
    <w:p w14:paraId="67F373EE" w14:textId="77777777" w:rsidR="00C12033" w:rsidRPr="00856E9C" w:rsidRDefault="00C12033" w:rsidP="00C12033">
      <w:pPr>
        <w:rPr>
          <w:b/>
          <w:highlight w:val="yellow"/>
          <w:lang w:eastAsia="en-AU"/>
        </w:rPr>
      </w:pPr>
    </w:p>
    <w:p w14:paraId="01B353B2" w14:textId="655B0903" w:rsidR="00C12033" w:rsidRDefault="00C7408A" w:rsidP="00980CF0">
      <w:pPr>
        <w:ind w:left="720"/>
        <w:rPr>
          <w:lang w:eastAsia="en-AU"/>
        </w:rPr>
      </w:pPr>
      <w:r w:rsidRPr="00022533">
        <w:rPr>
          <w:lang w:eastAsia="en-AU"/>
        </w:rPr>
        <w:t xml:space="preserve">Arbitration – Award – Recourse against </w:t>
      </w:r>
      <w:r w:rsidR="006A5C01">
        <w:rPr>
          <w:lang w:eastAsia="en-AU"/>
        </w:rPr>
        <w:t>A</w:t>
      </w:r>
      <w:r w:rsidRPr="00022533">
        <w:rPr>
          <w:lang w:eastAsia="en-AU"/>
        </w:rPr>
        <w:t xml:space="preserve">ward – </w:t>
      </w:r>
      <w:r w:rsidR="00980CF0" w:rsidRPr="00022533">
        <w:rPr>
          <w:lang w:eastAsia="en-AU"/>
        </w:rPr>
        <w:t>Remission –</w:t>
      </w:r>
      <w:r w:rsidR="00497BA0" w:rsidRPr="00022533">
        <w:rPr>
          <w:lang w:eastAsia="en-AU"/>
        </w:rPr>
        <w:t xml:space="preserve"> Where respondent entered into contract with appellants for construction of vessel – Where dispute arose over delay in construction and quality of vessel's generat</w:t>
      </w:r>
      <w:r w:rsidR="00022533">
        <w:rPr>
          <w:lang w:eastAsia="en-AU"/>
        </w:rPr>
        <w:t>or</w:t>
      </w:r>
      <w:r w:rsidR="00497BA0" w:rsidRPr="00022533">
        <w:rPr>
          <w:lang w:eastAsia="en-AU"/>
        </w:rPr>
        <w:t xml:space="preserve">s – Where </w:t>
      </w:r>
      <w:r w:rsidR="00C266D0" w:rsidRPr="00022533">
        <w:rPr>
          <w:lang w:eastAsia="en-AU"/>
        </w:rPr>
        <w:t>respondent pursued two claims against appellants: first, claim for liquidated damages due to delay (</w:t>
      </w:r>
      <w:r w:rsidR="002C6EE4">
        <w:rPr>
          <w:lang w:eastAsia="en-AU"/>
        </w:rPr>
        <w:t>"</w:t>
      </w:r>
      <w:r w:rsidR="00C266D0" w:rsidRPr="00022533">
        <w:rPr>
          <w:lang w:eastAsia="en-AU"/>
        </w:rPr>
        <w:t>Delay Claim</w:t>
      </w:r>
      <w:r w:rsidR="002C6EE4">
        <w:rPr>
          <w:lang w:eastAsia="en-AU"/>
        </w:rPr>
        <w:t>"</w:t>
      </w:r>
      <w:r w:rsidR="00C266D0" w:rsidRPr="00022533">
        <w:rPr>
          <w:lang w:eastAsia="en-AU"/>
        </w:rPr>
        <w:t xml:space="preserve">); and second, claim for installation of </w:t>
      </w:r>
      <w:r w:rsidR="00A77C4F">
        <w:rPr>
          <w:lang w:eastAsia="en-AU"/>
        </w:rPr>
        <w:t>in</w:t>
      </w:r>
      <w:r w:rsidR="00C266D0" w:rsidRPr="00022533">
        <w:rPr>
          <w:lang w:eastAsia="en-AU"/>
        </w:rPr>
        <w:t>adequate generators (</w:t>
      </w:r>
      <w:r w:rsidR="002C6EE4">
        <w:rPr>
          <w:lang w:eastAsia="en-AU"/>
        </w:rPr>
        <w:t>"</w:t>
      </w:r>
      <w:r w:rsidR="00C266D0" w:rsidRPr="00022533">
        <w:rPr>
          <w:lang w:eastAsia="en-AU"/>
        </w:rPr>
        <w:t>Rating Claim</w:t>
      </w:r>
      <w:r w:rsidR="002C6EE4">
        <w:rPr>
          <w:lang w:eastAsia="en-AU"/>
        </w:rPr>
        <w:t>"</w:t>
      </w:r>
      <w:r w:rsidR="00C266D0" w:rsidRPr="00022533">
        <w:rPr>
          <w:lang w:eastAsia="en-AU"/>
        </w:rPr>
        <w:t>) –</w:t>
      </w:r>
      <w:r w:rsidR="006A5C01">
        <w:rPr>
          <w:lang w:eastAsia="en-AU"/>
        </w:rPr>
        <w:t xml:space="preserve"> </w:t>
      </w:r>
      <w:r w:rsidR="00C266D0" w:rsidRPr="00022533">
        <w:rPr>
          <w:lang w:eastAsia="en-AU"/>
        </w:rPr>
        <w:t xml:space="preserve">Where Tribunal held, relevantly, appellants were delayed in delivering vessel, but dismissed Delay Claim – </w:t>
      </w:r>
      <w:r w:rsidR="00405DFD" w:rsidRPr="00022533">
        <w:rPr>
          <w:lang w:eastAsia="en-AU"/>
        </w:rPr>
        <w:t>Where Tribunal dismissed respondent's claims and appellants' counterclaims –</w:t>
      </w:r>
      <w:r w:rsidR="00C04F0A">
        <w:rPr>
          <w:lang w:eastAsia="en-AU"/>
        </w:rPr>
        <w:t xml:space="preserve"> Where subsequent applications to Tribunal for corrections to, and interpretation of, Award –</w:t>
      </w:r>
      <w:r w:rsidR="00405DFD" w:rsidRPr="00022533">
        <w:rPr>
          <w:lang w:eastAsia="en-AU"/>
        </w:rPr>
        <w:t xml:space="preserve"> </w:t>
      </w:r>
      <w:r w:rsidR="00C266D0" w:rsidRPr="00022533">
        <w:rPr>
          <w:lang w:eastAsia="en-AU"/>
        </w:rPr>
        <w:t>Where</w:t>
      </w:r>
      <w:r w:rsidR="00C04F0A">
        <w:rPr>
          <w:lang w:eastAsia="en-AU"/>
        </w:rPr>
        <w:t>, on application to High Court,</w:t>
      </w:r>
      <w:r w:rsidR="00C266D0" w:rsidRPr="00022533">
        <w:rPr>
          <w:lang w:eastAsia="en-AU"/>
        </w:rPr>
        <w:t xml:space="preserve"> necessary for judge to attempt to arrange Tribunal's findings into </w:t>
      </w:r>
      <w:r w:rsidR="002C6EE4">
        <w:rPr>
          <w:lang w:eastAsia="en-AU"/>
        </w:rPr>
        <w:t>"</w:t>
      </w:r>
      <w:r w:rsidR="00C266D0" w:rsidRPr="00022533">
        <w:rPr>
          <w:lang w:eastAsia="en-AU"/>
        </w:rPr>
        <w:t>coherent chain of reasoning</w:t>
      </w:r>
      <w:r w:rsidR="002C6EE4">
        <w:rPr>
          <w:lang w:eastAsia="en-AU"/>
        </w:rPr>
        <w:t>"</w:t>
      </w:r>
      <w:r w:rsidR="00C266D0" w:rsidRPr="00022533">
        <w:rPr>
          <w:lang w:eastAsia="en-AU"/>
        </w:rPr>
        <w:t xml:space="preserve"> – Where judge held no</w:t>
      </w:r>
      <w:r w:rsidR="005D156B" w:rsidRPr="00022533">
        <w:rPr>
          <w:lang w:eastAsia="en-AU"/>
        </w:rPr>
        <w:t xml:space="preserve"> nexus between Tribunal's chain of reasoning and parties' arguments – </w:t>
      </w:r>
      <w:r w:rsidR="006A5C01">
        <w:rPr>
          <w:lang w:eastAsia="en-AU"/>
        </w:rPr>
        <w:t xml:space="preserve">Where judge set aside part of Award which dismissed respondent's claims in arbitration and refused to exercise discretion to remit Award to Tribunal – </w:t>
      </w:r>
      <w:r w:rsidRPr="00022533">
        <w:rPr>
          <w:lang w:eastAsia="en-AU"/>
        </w:rPr>
        <w:t xml:space="preserve">Whether respondent filed application to set aside </w:t>
      </w:r>
      <w:r w:rsidR="006A5C01">
        <w:rPr>
          <w:lang w:eastAsia="en-AU"/>
        </w:rPr>
        <w:t>A</w:t>
      </w:r>
      <w:r w:rsidRPr="00022533">
        <w:rPr>
          <w:lang w:eastAsia="en-AU"/>
        </w:rPr>
        <w:t>ward with</w:t>
      </w:r>
      <w:r w:rsidR="006A5C01">
        <w:rPr>
          <w:lang w:eastAsia="en-AU"/>
        </w:rPr>
        <w:t>in</w:t>
      </w:r>
      <w:r w:rsidRPr="00022533">
        <w:rPr>
          <w:lang w:eastAsia="en-AU"/>
        </w:rPr>
        <w:t xml:space="preserve"> three month time limit –</w:t>
      </w:r>
      <w:r w:rsidR="00C04F0A">
        <w:rPr>
          <w:lang w:eastAsia="en-AU"/>
        </w:rPr>
        <w:t xml:space="preserve"> Whether three-month period contemplates subsequent applications –</w:t>
      </w:r>
      <w:r w:rsidR="00980CF0" w:rsidRPr="00022533">
        <w:rPr>
          <w:lang w:eastAsia="en-AU"/>
        </w:rPr>
        <w:t xml:space="preserve"> Proper approach to Art 34(3) of UNCITRAL Model Law on </w:t>
      </w:r>
      <w:r w:rsidR="00980CF0" w:rsidRPr="00022533">
        <w:rPr>
          <w:lang w:eastAsia="en-AU"/>
        </w:rPr>
        <w:lastRenderedPageBreak/>
        <w:t xml:space="preserve">International Commercial Arbitration prescribing application for setting aside may not be made after three months have elapsed – </w:t>
      </w:r>
      <w:r w:rsidRPr="00022533">
        <w:rPr>
          <w:lang w:eastAsia="en-AU"/>
        </w:rPr>
        <w:t xml:space="preserve">Whether Tribunal breached rules of natural justice in dealing with claims – Whether to remit </w:t>
      </w:r>
      <w:r w:rsidR="00952749">
        <w:rPr>
          <w:lang w:eastAsia="en-AU"/>
        </w:rPr>
        <w:t>A</w:t>
      </w:r>
      <w:r w:rsidRPr="00022533">
        <w:rPr>
          <w:lang w:eastAsia="en-AU"/>
        </w:rPr>
        <w:t>ward to Tribunal</w:t>
      </w:r>
      <w:r w:rsidR="00C12033" w:rsidRPr="00022533">
        <w:rPr>
          <w:lang w:eastAsia="en-AU"/>
        </w:rPr>
        <w:t>.</w:t>
      </w:r>
    </w:p>
    <w:p w14:paraId="6FE5AF4E" w14:textId="77777777" w:rsidR="00C7408A" w:rsidRDefault="00C7408A" w:rsidP="00C12033">
      <w:pPr>
        <w:rPr>
          <w:lang w:eastAsia="en-AU"/>
        </w:rPr>
      </w:pPr>
    </w:p>
    <w:p w14:paraId="57874691" w14:textId="526A8657" w:rsidR="0068509F" w:rsidRPr="00DD0272" w:rsidRDefault="00C12033" w:rsidP="00DD0272">
      <w:pPr>
        <w:rPr>
          <w:lang w:eastAsia="en-AU"/>
        </w:rPr>
      </w:pPr>
      <w:r w:rsidRPr="002F4F7E">
        <w:rPr>
          <w:b/>
          <w:lang w:eastAsia="en-AU"/>
        </w:rPr>
        <w:t>Held (</w:t>
      </w:r>
      <w:r w:rsidR="00FF2CE6">
        <w:rPr>
          <w:b/>
          <w:lang w:eastAsia="en-AU"/>
        </w:rPr>
        <w:t>3</w:t>
      </w:r>
      <w:r>
        <w:rPr>
          <w:b/>
          <w:lang w:eastAsia="en-AU"/>
        </w:rPr>
        <w:t>:0</w:t>
      </w:r>
      <w:r w:rsidRPr="002F4F7E">
        <w:rPr>
          <w:b/>
          <w:lang w:eastAsia="en-AU"/>
        </w:rPr>
        <w:t xml:space="preserve">): </w:t>
      </w:r>
      <w:r>
        <w:rPr>
          <w:lang w:eastAsia="en-AU"/>
        </w:rPr>
        <w:t xml:space="preserve">Appeal dismissed. </w:t>
      </w:r>
    </w:p>
    <w:bookmarkEnd w:id="3"/>
    <w:bookmarkEnd w:id="6"/>
    <w:p w14:paraId="7E3BB305" w14:textId="410FDCEC" w:rsidR="00DD0272" w:rsidRDefault="00DD0272" w:rsidP="0034457C">
      <w:pPr>
        <w:pStyle w:val="BullDivider1"/>
        <w:rPr>
          <w:highlight w:val="yellow"/>
        </w:rPr>
      </w:pPr>
    </w:p>
    <w:p w14:paraId="189B19D6" w14:textId="77777777" w:rsidR="00C41C8F" w:rsidRPr="00C41C8F" w:rsidRDefault="00C41C8F" w:rsidP="00C41C8F">
      <w:pPr>
        <w:rPr>
          <w:highlight w:val="yellow"/>
          <w:lang w:eastAsia="en-AU"/>
        </w:rPr>
      </w:pPr>
    </w:p>
    <w:p w14:paraId="6D80B1B7" w14:textId="34C38CA5" w:rsidR="0034457C" w:rsidRDefault="0034457C" w:rsidP="00C41C8F">
      <w:pPr>
        <w:pStyle w:val="Heading2"/>
      </w:pPr>
      <w:r w:rsidRPr="0034457C">
        <w:t xml:space="preserve">National Oilwell Varco Norway AS </w:t>
      </w:r>
      <w:r w:rsidR="00C41C8F">
        <w:t xml:space="preserve">(formerly known as </w:t>
      </w:r>
      <w:proofErr w:type="spellStart"/>
      <w:r w:rsidR="00C41C8F">
        <w:t>Hydralift</w:t>
      </w:r>
      <w:proofErr w:type="spellEnd"/>
      <w:r w:rsidR="00C41C8F">
        <w:t xml:space="preserve"> AS) </w:t>
      </w:r>
      <w:r w:rsidRPr="0034457C">
        <w:t>v Keppel FELS Ltd</w:t>
      </w:r>
      <w:r w:rsidR="00C41C8F">
        <w:t xml:space="preserve"> d (formerly known as Far East Levingston Shipbuilding Ltd)</w:t>
      </w:r>
    </w:p>
    <w:p w14:paraId="29D2E057" w14:textId="3CCBEF7F" w:rsidR="0034457C" w:rsidRPr="002F4F7E" w:rsidRDefault="0034457C" w:rsidP="0034457C">
      <w:pPr>
        <w:rPr>
          <w:lang w:eastAsia="en-AU"/>
        </w:rPr>
      </w:pPr>
      <w:r>
        <w:rPr>
          <w:b/>
          <w:lang w:eastAsia="en-AU"/>
        </w:rPr>
        <w:t>Singapore Court of Appeal</w:t>
      </w:r>
      <w:r w:rsidRPr="002F4F7E">
        <w:rPr>
          <w:b/>
          <w:lang w:eastAsia="en-AU"/>
        </w:rPr>
        <w:t xml:space="preserve">: </w:t>
      </w:r>
      <w:hyperlink r:id="rId16" w:history="1">
        <w:r w:rsidRPr="00C7408A">
          <w:rPr>
            <w:rStyle w:val="Hyperlink"/>
          </w:rPr>
          <w:t xml:space="preserve">[2022] SGCA </w:t>
        </w:r>
      </w:hyperlink>
      <w:r>
        <w:rPr>
          <w:rStyle w:val="Hyperlink"/>
        </w:rPr>
        <w:t>24</w:t>
      </w:r>
    </w:p>
    <w:p w14:paraId="19F5216E" w14:textId="77777777" w:rsidR="0034457C" w:rsidRPr="002F4F7E" w:rsidRDefault="0034457C" w:rsidP="0034457C">
      <w:pPr>
        <w:rPr>
          <w:lang w:eastAsia="en-AU"/>
        </w:rPr>
      </w:pPr>
    </w:p>
    <w:p w14:paraId="6C1038CC" w14:textId="35E63E98" w:rsidR="0034457C" w:rsidRPr="002F4F7E" w:rsidRDefault="0034457C" w:rsidP="0034457C">
      <w:pPr>
        <w:rPr>
          <w:lang w:eastAsia="en-AU"/>
        </w:rPr>
      </w:pPr>
      <w:r w:rsidRPr="002F4F7E">
        <w:rPr>
          <w:b/>
          <w:lang w:eastAsia="en-AU"/>
        </w:rPr>
        <w:t>Judgment delivered:</w:t>
      </w:r>
      <w:r w:rsidRPr="002F4F7E">
        <w:rPr>
          <w:lang w:eastAsia="en-AU"/>
        </w:rPr>
        <w:t xml:space="preserve"> </w:t>
      </w:r>
      <w:r>
        <w:rPr>
          <w:lang w:eastAsia="en-AU"/>
        </w:rPr>
        <w:t>16 March 2022</w:t>
      </w:r>
    </w:p>
    <w:p w14:paraId="455FE105" w14:textId="77777777" w:rsidR="0034457C" w:rsidRPr="002F4F7E" w:rsidRDefault="0034457C" w:rsidP="0034457C">
      <w:pPr>
        <w:rPr>
          <w:lang w:eastAsia="en-AU"/>
        </w:rPr>
      </w:pPr>
    </w:p>
    <w:p w14:paraId="0A4860D9" w14:textId="2653C18C" w:rsidR="0034457C" w:rsidRDefault="0034457C" w:rsidP="0034457C">
      <w:pPr>
        <w:rPr>
          <w:lang w:eastAsia="en-AU"/>
        </w:rPr>
      </w:pPr>
      <w:r w:rsidRPr="002F4F7E">
        <w:rPr>
          <w:b/>
          <w:lang w:eastAsia="en-AU"/>
        </w:rPr>
        <w:t xml:space="preserve">Coram: </w:t>
      </w:r>
      <w:r w:rsidRPr="00C7408A">
        <w:rPr>
          <w:lang w:eastAsia="en-AU"/>
        </w:rPr>
        <w:t xml:space="preserve">Menon CJ, Prakash and </w:t>
      </w:r>
      <w:proofErr w:type="spellStart"/>
      <w:r>
        <w:rPr>
          <w:lang w:eastAsia="en-AU"/>
        </w:rPr>
        <w:t>Loh</w:t>
      </w:r>
      <w:proofErr w:type="spellEnd"/>
      <w:r w:rsidRPr="00C7408A">
        <w:rPr>
          <w:lang w:eastAsia="en-AU"/>
        </w:rPr>
        <w:t xml:space="preserve"> </w:t>
      </w:r>
      <w:r>
        <w:rPr>
          <w:lang w:eastAsia="en-AU"/>
        </w:rPr>
        <w:t>J</w:t>
      </w:r>
      <w:r w:rsidRPr="00C7408A">
        <w:rPr>
          <w:lang w:eastAsia="en-AU"/>
        </w:rPr>
        <w:t>JCA</w:t>
      </w:r>
    </w:p>
    <w:p w14:paraId="15B82B1E" w14:textId="77777777" w:rsidR="0034457C" w:rsidRPr="002F4F7E" w:rsidRDefault="0034457C" w:rsidP="0034457C">
      <w:pPr>
        <w:rPr>
          <w:lang w:eastAsia="en-AU"/>
        </w:rPr>
      </w:pPr>
    </w:p>
    <w:p w14:paraId="555ADFE9" w14:textId="77777777" w:rsidR="0034457C" w:rsidRPr="002F4F7E" w:rsidRDefault="0034457C" w:rsidP="0034457C">
      <w:pPr>
        <w:rPr>
          <w:b/>
          <w:lang w:eastAsia="en-AU"/>
        </w:rPr>
      </w:pPr>
      <w:r>
        <w:rPr>
          <w:b/>
          <w:lang w:eastAsia="en-AU"/>
        </w:rPr>
        <w:t>Catchwords:</w:t>
      </w:r>
    </w:p>
    <w:p w14:paraId="1A4CC876" w14:textId="77777777" w:rsidR="0034457C" w:rsidRPr="00856E9C" w:rsidRDefault="0034457C" w:rsidP="0034457C">
      <w:pPr>
        <w:rPr>
          <w:b/>
          <w:highlight w:val="yellow"/>
          <w:lang w:eastAsia="en-AU"/>
        </w:rPr>
      </w:pPr>
    </w:p>
    <w:p w14:paraId="0EB3100A" w14:textId="6F92DA00" w:rsidR="0034457C" w:rsidRDefault="0034457C" w:rsidP="0097079E">
      <w:pPr>
        <w:ind w:left="720"/>
        <w:rPr>
          <w:lang w:eastAsia="en-AU"/>
        </w:rPr>
      </w:pPr>
      <w:r w:rsidRPr="00022533">
        <w:rPr>
          <w:lang w:eastAsia="en-AU"/>
        </w:rPr>
        <w:t xml:space="preserve">Arbitration – </w:t>
      </w:r>
      <w:r>
        <w:rPr>
          <w:lang w:eastAsia="en-AU"/>
        </w:rPr>
        <w:t>Enforcement</w:t>
      </w:r>
      <w:r w:rsidRPr="00022533">
        <w:rPr>
          <w:lang w:eastAsia="en-AU"/>
        </w:rPr>
        <w:t xml:space="preserve"> – </w:t>
      </w:r>
      <w:r>
        <w:rPr>
          <w:lang w:eastAsia="en-AU"/>
        </w:rPr>
        <w:t>Setting aside leave to enforce – Where enforcement of arbitral awards provided for in s 19</w:t>
      </w:r>
      <w:r w:rsidR="0097079E">
        <w:rPr>
          <w:lang w:eastAsia="en-AU"/>
        </w:rPr>
        <w:t xml:space="preserve"> </w:t>
      </w:r>
      <w:r>
        <w:rPr>
          <w:lang w:eastAsia="en-AU"/>
        </w:rPr>
        <w:t xml:space="preserve">of </w:t>
      </w:r>
      <w:r w:rsidRPr="0097079E">
        <w:rPr>
          <w:i/>
          <w:iCs/>
          <w:lang w:eastAsia="en-AU"/>
        </w:rPr>
        <w:t xml:space="preserve">International Arbitration Act </w:t>
      </w:r>
      <w:r>
        <w:rPr>
          <w:lang w:eastAsia="en-AU"/>
        </w:rPr>
        <w:t>(Cap 143A, 2002 Rev Ed)</w:t>
      </w:r>
      <w:r w:rsidR="00C41C8F">
        <w:rPr>
          <w:lang w:eastAsia="en-AU"/>
        </w:rPr>
        <w:t>,</w:t>
      </w:r>
      <w:r>
        <w:rPr>
          <w:lang w:eastAsia="en-AU"/>
        </w:rPr>
        <w:t xml:space="preserve"> which</w:t>
      </w:r>
      <w:r w:rsidR="0097079E">
        <w:rPr>
          <w:lang w:eastAsia="en-AU"/>
        </w:rPr>
        <w:t xml:space="preserve"> </w:t>
      </w:r>
      <w:r>
        <w:rPr>
          <w:lang w:eastAsia="en-AU"/>
        </w:rPr>
        <w:t>empower</w:t>
      </w:r>
      <w:r w:rsidR="0097079E">
        <w:rPr>
          <w:lang w:eastAsia="en-AU"/>
        </w:rPr>
        <w:t>ed</w:t>
      </w:r>
      <w:r>
        <w:rPr>
          <w:lang w:eastAsia="en-AU"/>
        </w:rPr>
        <w:t xml:space="preserve"> court to enforce award in same manner as judgment or</w:t>
      </w:r>
      <w:r w:rsidR="0097079E">
        <w:rPr>
          <w:lang w:eastAsia="en-AU"/>
        </w:rPr>
        <w:t xml:space="preserve"> </w:t>
      </w:r>
      <w:r>
        <w:rPr>
          <w:lang w:eastAsia="en-AU"/>
        </w:rPr>
        <w:t xml:space="preserve">order </w:t>
      </w:r>
      <w:r w:rsidR="002C6EE4">
        <w:rPr>
          <w:lang w:eastAsia="en-AU"/>
        </w:rPr>
        <w:t>"</w:t>
      </w:r>
      <w:r>
        <w:rPr>
          <w:lang w:eastAsia="en-AU"/>
        </w:rPr>
        <w:t>to same effect</w:t>
      </w:r>
      <w:r w:rsidR="00C41C8F">
        <w:rPr>
          <w:lang w:eastAsia="en-AU"/>
        </w:rPr>
        <w:t>"</w:t>
      </w:r>
      <w:r>
        <w:rPr>
          <w:lang w:eastAsia="en-AU"/>
        </w:rPr>
        <w:t xml:space="preserve"> and to enter judgment against debtor only </w:t>
      </w:r>
      <w:r w:rsidR="002C6EE4">
        <w:rPr>
          <w:lang w:eastAsia="en-AU"/>
        </w:rPr>
        <w:t>"</w:t>
      </w:r>
      <w:r>
        <w:rPr>
          <w:lang w:eastAsia="en-AU"/>
        </w:rPr>
        <w:t>in terms of award</w:t>
      </w:r>
      <w:r w:rsidR="002C6EE4">
        <w:rPr>
          <w:lang w:eastAsia="en-AU"/>
        </w:rPr>
        <w:t>"</w:t>
      </w:r>
      <w:r w:rsidR="0097079E">
        <w:rPr>
          <w:lang w:eastAsia="en-AU"/>
        </w:rPr>
        <w:t xml:space="preserve"> – Where appellant sought to enforce final award, which issued not in its name, but in name of company that no longer exist</w:t>
      </w:r>
      <w:r w:rsidR="00C41C8F">
        <w:rPr>
          <w:lang w:eastAsia="en-AU"/>
        </w:rPr>
        <w:t>ed</w:t>
      </w:r>
      <w:r w:rsidR="0097079E">
        <w:rPr>
          <w:lang w:eastAsia="en-AU"/>
        </w:rPr>
        <w:t xml:space="preserve">, </w:t>
      </w:r>
      <w:r w:rsidR="0097079E" w:rsidRPr="0097079E">
        <w:rPr>
          <w:lang w:eastAsia="en-AU"/>
        </w:rPr>
        <w:t xml:space="preserve">A/S </w:t>
      </w:r>
      <w:proofErr w:type="spellStart"/>
      <w:r w:rsidR="0097079E" w:rsidRPr="0097079E">
        <w:rPr>
          <w:lang w:eastAsia="en-AU"/>
        </w:rPr>
        <w:t>Hydralift</w:t>
      </w:r>
      <w:proofErr w:type="spellEnd"/>
      <w:r w:rsidR="0097079E">
        <w:rPr>
          <w:lang w:eastAsia="en-AU"/>
        </w:rPr>
        <w:t xml:space="preserve"> (</w:t>
      </w:r>
      <w:r w:rsidR="002C6EE4">
        <w:rPr>
          <w:lang w:eastAsia="en-AU"/>
        </w:rPr>
        <w:t>"</w:t>
      </w:r>
      <w:proofErr w:type="spellStart"/>
      <w:r w:rsidR="0097079E">
        <w:rPr>
          <w:lang w:eastAsia="en-AU"/>
        </w:rPr>
        <w:t>Hydralift</w:t>
      </w:r>
      <w:proofErr w:type="spellEnd"/>
      <w:r w:rsidR="002C6EE4">
        <w:rPr>
          <w:lang w:eastAsia="en-AU"/>
        </w:rPr>
        <w:t>"</w:t>
      </w:r>
      <w:r w:rsidR="0097079E">
        <w:rPr>
          <w:lang w:eastAsia="en-AU"/>
        </w:rPr>
        <w:t xml:space="preserve">) – Where, following two mergers as part of corporate restructuring exercise, appellant assumed all assets, rights, obligations and liabilities of </w:t>
      </w:r>
      <w:proofErr w:type="spellStart"/>
      <w:r w:rsidR="0097079E">
        <w:rPr>
          <w:lang w:eastAsia="en-AU"/>
        </w:rPr>
        <w:t>Hydralift</w:t>
      </w:r>
      <w:proofErr w:type="spellEnd"/>
      <w:r w:rsidR="0097079E">
        <w:rPr>
          <w:lang w:eastAsia="en-AU"/>
        </w:rPr>
        <w:t xml:space="preserve"> – Where respondent  commenced arbitration against </w:t>
      </w:r>
      <w:proofErr w:type="spellStart"/>
      <w:r w:rsidR="0097079E">
        <w:rPr>
          <w:lang w:eastAsia="en-AU"/>
        </w:rPr>
        <w:t>Hydralift</w:t>
      </w:r>
      <w:proofErr w:type="spellEnd"/>
      <w:r w:rsidR="0097079E">
        <w:rPr>
          <w:lang w:eastAsia="en-AU"/>
        </w:rPr>
        <w:t xml:space="preserve"> and appellant appeared and defended claim whilst purporting to be </w:t>
      </w:r>
      <w:proofErr w:type="spellStart"/>
      <w:r w:rsidR="0097079E">
        <w:rPr>
          <w:lang w:eastAsia="en-AU"/>
        </w:rPr>
        <w:t>Hydralift</w:t>
      </w:r>
      <w:proofErr w:type="spellEnd"/>
      <w:r w:rsidR="0097079E">
        <w:rPr>
          <w:lang w:eastAsia="en-AU"/>
        </w:rPr>
        <w:t xml:space="preserve">, never disclosing fact of mergers – Where appellant succeeded in counterclaim and made ex </w:t>
      </w:r>
      <w:proofErr w:type="spellStart"/>
      <w:r w:rsidR="0097079E">
        <w:rPr>
          <w:lang w:eastAsia="en-AU"/>
        </w:rPr>
        <w:t>parte</w:t>
      </w:r>
      <w:proofErr w:type="spellEnd"/>
      <w:r w:rsidR="0097079E">
        <w:rPr>
          <w:lang w:eastAsia="en-AU"/>
        </w:rPr>
        <w:t xml:space="preserve"> application seeking to enforce award against respondent </w:t>
      </w:r>
      <w:r w:rsidR="0048113B">
        <w:rPr>
          <w:lang w:eastAsia="en-AU"/>
        </w:rPr>
        <w:t>–</w:t>
      </w:r>
      <w:r w:rsidR="0097079E">
        <w:rPr>
          <w:lang w:eastAsia="en-AU"/>
        </w:rPr>
        <w:t xml:space="preserve"> </w:t>
      </w:r>
      <w:r w:rsidR="00C41C8F">
        <w:rPr>
          <w:lang w:eastAsia="en-AU"/>
        </w:rPr>
        <w:t xml:space="preserve">Where appellant's application in High Court set aside – </w:t>
      </w:r>
      <w:r w:rsidR="0048113B">
        <w:rPr>
          <w:lang w:eastAsia="en-AU"/>
        </w:rPr>
        <w:t xml:space="preserve">Whether use of name </w:t>
      </w:r>
      <w:proofErr w:type="spellStart"/>
      <w:r w:rsidR="0048113B">
        <w:rPr>
          <w:lang w:eastAsia="en-AU"/>
        </w:rPr>
        <w:t>Hydralift</w:t>
      </w:r>
      <w:proofErr w:type="spellEnd"/>
      <w:r w:rsidR="0048113B">
        <w:rPr>
          <w:lang w:eastAsia="en-AU"/>
        </w:rPr>
        <w:t xml:space="preserve"> nothing more than misnomer – Whether appellant entitled to enforce award. </w:t>
      </w:r>
    </w:p>
    <w:p w14:paraId="067B19D1" w14:textId="77777777" w:rsidR="0034457C" w:rsidRDefault="0034457C" w:rsidP="0034457C">
      <w:pPr>
        <w:rPr>
          <w:lang w:eastAsia="en-AU"/>
        </w:rPr>
      </w:pPr>
    </w:p>
    <w:p w14:paraId="3B9A13A9" w14:textId="19214ED4" w:rsidR="0034457C" w:rsidRPr="00DD0272" w:rsidRDefault="0034457C" w:rsidP="0034457C">
      <w:pPr>
        <w:rPr>
          <w:lang w:eastAsia="en-AU"/>
        </w:rPr>
      </w:pPr>
      <w:r w:rsidRPr="002F4F7E">
        <w:rPr>
          <w:b/>
          <w:lang w:eastAsia="en-AU"/>
        </w:rPr>
        <w:t>Held (</w:t>
      </w:r>
      <w:r>
        <w:rPr>
          <w:b/>
          <w:lang w:eastAsia="en-AU"/>
        </w:rPr>
        <w:t>3:0</w:t>
      </w:r>
      <w:r w:rsidRPr="002F4F7E">
        <w:rPr>
          <w:b/>
          <w:lang w:eastAsia="en-AU"/>
        </w:rPr>
        <w:t xml:space="preserve">): </w:t>
      </w:r>
      <w:r>
        <w:rPr>
          <w:lang w:eastAsia="en-AU"/>
        </w:rPr>
        <w:t xml:space="preserve">Appeal </w:t>
      </w:r>
      <w:r w:rsidR="00C41C8F">
        <w:rPr>
          <w:lang w:eastAsia="en-AU"/>
        </w:rPr>
        <w:t>allowed</w:t>
      </w:r>
      <w:r>
        <w:rPr>
          <w:lang w:eastAsia="en-AU"/>
        </w:rPr>
        <w:t xml:space="preserve">. </w:t>
      </w:r>
    </w:p>
    <w:p w14:paraId="39B97D71" w14:textId="77777777" w:rsidR="0034457C" w:rsidRPr="0034457C" w:rsidRDefault="0034457C" w:rsidP="0034457C">
      <w:pPr>
        <w:pStyle w:val="BullDivider2"/>
        <w:rPr>
          <w:highlight w:val="yellow"/>
        </w:rPr>
      </w:pPr>
    </w:p>
    <w:p w14:paraId="534FC5BE" w14:textId="77777777" w:rsidR="00DD0272" w:rsidRPr="00DD0272" w:rsidRDefault="00DD0272" w:rsidP="00DD0272">
      <w:pPr>
        <w:rPr>
          <w:highlight w:val="yellow"/>
          <w:lang w:eastAsia="en-AU"/>
        </w:rPr>
      </w:pPr>
    </w:p>
    <w:p w14:paraId="3661FED6" w14:textId="77777777" w:rsidR="00DD0272" w:rsidRPr="00DD0272" w:rsidRDefault="00DD0272" w:rsidP="00DD0272">
      <w:pPr>
        <w:tabs>
          <w:tab w:val="left" w:pos="5375"/>
        </w:tabs>
        <w:outlineLvl w:val="0"/>
        <w:rPr>
          <w:rFonts w:ascii="Garamond" w:hAnsi="Garamond"/>
          <w:b/>
          <w:sz w:val="44"/>
          <w:szCs w:val="24"/>
          <w:highlight w:val="yellow"/>
          <w:lang w:eastAsia="en-AU"/>
        </w:rPr>
      </w:pPr>
      <w:r w:rsidRPr="00DD0272">
        <w:rPr>
          <w:rFonts w:ascii="Garamond" w:hAnsi="Garamond"/>
          <w:b/>
          <w:sz w:val="44"/>
          <w:szCs w:val="24"/>
          <w:lang w:eastAsia="en-AU"/>
        </w:rPr>
        <w:t>Civil Procedure</w:t>
      </w:r>
    </w:p>
    <w:p w14:paraId="687A3866" w14:textId="77777777" w:rsidR="00DD0272" w:rsidRPr="00DD0272" w:rsidRDefault="00DD0272" w:rsidP="00DD0272">
      <w:pPr>
        <w:rPr>
          <w:highlight w:val="yellow"/>
        </w:rPr>
      </w:pPr>
    </w:p>
    <w:p w14:paraId="33D28708" w14:textId="7AC28667" w:rsidR="00DD0272" w:rsidRPr="00DD0272" w:rsidRDefault="00DD0272" w:rsidP="00DD0272">
      <w:pPr>
        <w:keepNext/>
        <w:outlineLvl w:val="1"/>
        <w:rPr>
          <w:rFonts w:ascii="Arial" w:hAnsi="Arial" w:cs="Arial"/>
          <w:bCs/>
          <w:i/>
          <w:iCs/>
          <w:sz w:val="28"/>
          <w:szCs w:val="28"/>
          <w:lang w:eastAsia="en-AU"/>
        </w:rPr>
      </w:pPr>
      <w:bookmarkStart w:id="7" w:name="_Hlk100230546"/>
      <w:r w:rsidRPr="00DD0272">
        <w:rPr>
          <w:rFonts w:ascii="Arial" w:hAnsi="Arial" w:cs="Arial"/>
          <w:bCs/>
          <w:i/>
          <w:iCs/>
          <w:sz w:val="28"/>
          <w:szCs w:val="28"/>
          <w:lang w:eastAsia="en-AU"/>
        </w:rPr>
        <w:t>Anderson v Alberta</w:t>
      </w:r>
    </w:p>
    <w:p w14:paraId="2E931FEA" w14:textId="77777777" w:rsidR="00DD0272" w:rsidRPr="00DD0272" w:rsidRDefault="00DD0272" w:rsidP="00DD0272">
      <w:pPr>
        <w:rPr>
          <w:lang w:eastAsia="en-AU"/>
        </w:rPr>
      </w:pPr>
      <w:r w:rsidRPr="00DD0272">
        <w:rPr>
          <w:b/>
          <w:bCs/>
          <w:lang w:eastAsia="en-AU"/>
        </w:rPr>
        <w:t>Supreme Court of Canada:</w:t>
      </w:r>
      <w:r w:rsidRPr="00DD0272">
        <w:rPr>
          <w:lang w:eastAsia="en-AU"/>
        </w:rPr>
        <w:t xml:space="preserve"> </w:t>
      </w:r>
      <w:hyperlink r:id="rId17" w:history="1">
        <w:r w:rsidRPr="00DD0272">
          <w:rPr>
            <w:color w:val="0000FF"/>
            <w:u w:val="single"/>
          </w:rPr>
          <w:t>[2022] SCC 6</w:t>
        </w:r>
      </w:hyperlink>
      <w:r w:rsidRPr="00DD0272">
        <w:t xml:space="preserve"> </w:t>
      </w:r>
    </w:p>
    <w:p w14:paraId="5D3C1DF6" w14:textId="77777777" w:rsidR="00DD0272" w:rsidRPr="00DD0272" w:rsidRDefault="00DD0272" w:rsidP="00DD0272">
      <w:pPr>
        <w:rPr>
          <w:lang w:eastAsia="en-AU"/>
        </w:rPr>
      </w:pPr>
    </w:p>
    <w:p w14:paraId="66564AEB" w14:textId="77777777" w:rsidR="00DD0272" w:rsidRPr="00DD0272" w:rsidRDefault="00DD0272" w:rsidP="00DD0272">
      <w:pPr>
        <w:rPr>
          <w:lang w:eastAsia="en-AU"/>
        </w:rPr>
      </w:pPr>
      <w:r w:rsidRPr="00DD0272">
        <w:rPr>
          <w:b/>
          <w:bCs/>
          <w:lang w:eastAsia="en-AU"/>
        </w:rPr>
        <w:t xml:space="preserve">Judgment delivered: </w:t>
      </w:r>
      <w:r w:rsidRPr="00DD0272">
        <w:rPr>
          <w:lang w:eastAsia="en-AU"/>
        </w:rPr>
        <w:t xml:space="preserve">18 March 2022 </w:t>
      </w:r>
    </w:p>
    <w:p w14:paraId="1785106F" w14:textId="77777777" w:rsidR="00DD0272" w:rsidRPr="00DD0272" w:rsidRDefault="00DD0272" w:rsidP="00DD0272">
      <w:pPr>
        <w:rPr>
          <w:b/>
          <w:bCs/>
          <w:lang w:eastAsia="en-AU"/>
        </w:rPr>
      </w:pPr>
    </w:p>
    <w:p w14:paraId="66D43DDA" w14:textId="77777777" w:rsidR="00DD0272" w:rsidRPr="00DD0272" w:rsidRDefault="00DD0272" w:rsidP="00DD0272">
      <w:pPr>
        <w:rPr>
          <w:lang w:eastAsia="en-AU"/>
        </w:rPr>
      </w:pPr>
      <w:r w:rsidRPr="00DD0272">
        <w:rPr>
          <w:b/>
          <w:bCs/>
          <w:lang w:eastAsia="en-AU"/>
        </w:rPr>
        <w:t>Coram:</w:t>
      </w:r>
      <w:r w:rsidRPr="00DD0272">
        <w:t xml:space="preserve"> </w:t>
      </w:r>
      <w:r w:rsidRPr="00DD0272">
        <w:rPr>
          <w:lang w:eastAsia="en-AU"/>
        </w:rPr>
        <w:t>Wagner CJ, Moldaver, Karakatsanis, Côté, Brown, Rowe, Martin, Kasirer and Jamal JJ</w:t>
      </w:r>
    </w:p>
    <w:p w14:paraId="7755B1A1" w14:textId="77777777" w:rsidR="00DD0272" w:rsidRPr="00DD0272" w:rsidRDefault="00DD0272" w:rsidP="00DD0272">
      <w:pPr>
        <w:rPr>
          <w:b/>
          <w:bCs/>
          <w:lang w:eastAsia="en-AU"/>
        </w:rPr>
      </w:pPr>
    </w:p>
    <w:p w14:paraId="2D8C5ABC" w14:textId="77777777" w:rsidR="00DD0272" w:rsidRPr="00DD0272" w:rsidRDefault="00DD0272" w:rsidP="00DD0272">
      <w:pPr>
        <w:rPr>
          <w:b/>
          <w:bCs/>
          <w:lang w:eastAsia="en-AU"/>
        </w:rPr>
      </w:pPr>
      <w:r w:rsidRPr="00DD0272">
        <w:rPr>
          <w:b/>
          <w:bCs/>
          <w:lang w:eastAsia="en-AU"/>
        </w:rPr>
        <w:t>Catchwords:</w:t>
      </w:r>
    </w:p>
    <w:p w14:paraId="7C81B1D7" w14:textId="77777777" w:rsidR="00DD0272" w:rsidRPr="00DD0272" w:rsidRDefault="00DD0272" w:rsidP="00DD0272">
      <w:pPr>
        <w:rPr>
          <w:b/>
          <w:bCs/>
          <w:lang w:eastAsia="en-AU"/>
        </w:rPr>
      </w:pPr>
    </w:p>
    <w:p w14:paraId="16907341" w14:textId="7582CBD8" w:rsidR="00DD0272" w:rsidRPr="00DD0272" w:rsidRDefault="00DD0272" w:rsidP="00DD0272">
      <w:pPr>
        <w:ind w:left="720"/>
        <w:rPr>
          <w:lang w:eastAsia="en-AU"/>
        </w:rPr>
      </w:pPr>
      <w:r w:rsidRPr="00DD0272">
        <w:rPr>
          <w:lang w:eastAsia="en-AU"/>
        </w:rPr>
        <w:t xml:space="preserve">Civil procedure </w:t>
      </w:r>
      <w:r w:rsidR="002A44D4">
        <w:rPr>
          <w:lang w:eastAsia="en-AU"/>
        </w:rPr>
        <w:t>–</w:t>
      </w:r>
      <w:r w:rsidRPr="00DD0272">
        <w:rPr>
          <w:lang w:eastAsia="en-AU"/>
        </w:rPr>
        <w:t xml:space="preserve"> Costs </w:t>
      </w:r>
      <w:r w:rsidR="002A44D4">
        <w:rPr>
          <w:lang w:eastAsia="en-AU"/>
        </w:rPr>
        <w:t>–</w:t>
      </w:r>
      <w:r w:rsidRPr="00DD0272">
        <w:rPr>
          <w:lang w:eastAsia="en-AU"/>
        </w:rPr>
        <w:t xml:space="preserve"> Advance costs </w:t>
      </w:r>
      <w:r w:rsidR="002A44D4">
        <w:rPr>
          <w:lang w:eastAsia="en-AU"/>
        </w:rPr>
        <w:t>–</w:t>
      </w:r>
      <w:r w:rsidRPr="00DD0272">
        <w:rPr>
          <w:lang w:eastAsia="en-AU"/>
        </w:rPr>
        <w:t xml:space="preserve"> Requirement of impecuniosity </w:t>
      </w:r>
      <w:r w:rsidR="002A44D4">
        <w:rPr>
          <w:lang w:eastAsia="en-AU"/>
        </w:rPr>
        <w:t>–</w:t>
      </w:r>
      <w:r w:rsidRPr="00DD0272">
        <w:rPr>
          <w:lang w:eastAsia="en-AU"/>
        </w:rPr>
        <w:t xml:space="preserve"> Where First Nation government applied for advance costs to fund litigation concerning treaty rights </w:t>
      </w:r>
      <w:r w:rsidR="002A44D4">
        <w:rPr>
          <w:lang w:eastAsia="en-AU"/>
        </w:rPr>
        <w:t>–</w:t>
      </w:r>
      <w:r w:rsidRPr="00DD0272">
        <w:rPr>
          <w:lang w:eastAsia="en-AU"/>
        </w:rPr>
        <w:t xml:space="preserve"> Whether impecuniosity requirement can be met where </w:t>
      </w:r>
      <w:r w:rsidR="00CF5F1D">
        <w:rPr>
          <w:lang w:eastAsia="en-AU"/>
        </w:rPr>
        <w:t>applicant</w:t>
      </w:r>
      <w:r w:rsidRPr="00DD0272">
        <w:rPr>
          <w:lang w:eastAsia="en-AU"/>
        </w:rPr>
        <w:t xml:space="preserve"> has access to financial resources that could fund litigation but claims that it must devote resources to other priorities.</w:t>
      </w:r>
    </w:p>
    <w:p w14:paraId="3EA238B0" w14:textId="77777777" w:rsidR="00DD0272" w:rsidRPr="00DD0272" w:rsidRDefault="00DD0272" w:rsidP="00DD0272">
      <w:pPr>
        <w:rPr>
          <w:b/>
          <w:bCs/>
          <w:lang w:eastAsia="en-AU"/>
        </w:rPr>
      </w:pPr>
    </w:p>
    <w:p w14:paraId="70659AFD" w14:textId="77777777" w:rsidR="00DD0272" w:rsidRPr="00DD0272" w:rsidRDefault="00DD0272" w:rsidP="00DD0272">
      <w:pPr>
        <w:rPr>
          <w:lang w:eastAsia="en-AU"/>
        </w:rPr>
      </w:pPr>
      <w:r w:rsidRPr="00DD0272">
        <w:rPr>
          <w:b/>
          <w:bCs/>
          <w:lang w:eastAsia="en-AU"/>
        </w:rPr>
        <w:t>Held (9:0):</w:t>
      </w:r>
      <w:r w:rsidRPr="00DD0272">
        <w:rPr>
          <w:lang w:eastAsia="en-AU"/>
        </w:rPr>
        <w:t xml:space="preserve"> Appeal allowed. </w:t>
      </w:r>
    </w:p>
    <w:bookmarkEnd w:id="7"/>
    <w:p w14:paraId="04F7E110" w14:textId="77777777" w:rsidR="00DD0272" w:rsidRPr="00DD0272" w:rsidRDefault="00DD0272" w:rsidP="00DD0272">
      <w:pPr>
        <w:pBdr>
          <w:bottom w:val="dotted" w:sz="4" w:space="0" w:color="auto"/>
        </w:pBdr>
        <w:rPr>
          <w:szCs w:val="20"/>
          <w:lang w:eastAsia="en-AU"/>
        </w:rPr>
      </w:pPr>
    </w:p>
    <w:p w14:paraId="3481CDBF" w14:textId="77777777" w:rsidR="00DD0272" w:rsidRPr="00DD0272" w:rsidRDefault="00DD0272" w:rsidP="00DD0272">
      <w:pPr>
        <w:rPr>
          <w:lang w:eastAsia="en-AU"/>
        </w:rPr>
      </w:pPr>
    </w:p>
    <w:p w14:paraId="72BEF54C" w14:textId="77777777" w:rsidR="00DD0272" w:rsidRPr="00DD0272" w:rsidRDefault="00DD0272" w:rsidP="00DD0272">
      <w:pPr>
        <w:keepNext/>
        <w:outlineLvl w:val="1"/>
        <w:rPr>
          <w:rFonts w:ascii="Arial" w:hAnsi="Arial" w:cs="Arial"/>
          <w:bCs/>
          <w:sz w:val="28"/>
          <w:szCs w:val="28"/>
          <w:u w:val="single"/>
          <w:lang w:eastAsia="en-AU"/>
        </w:rPr>
      </w:pPr>
      <w:r w:rsidRPr="00DD0272">
        <w:rPr>
          <w:rFonts w:ascii="Arial" w:hAnsi="Arial" w:cs="Arial"/>
          <w:bCs/>
          <w:i/>
          <w:iCs/>
          <w:sz w:val="28"/>
          <w:szCs w:val="28"/>
          <w:lang w:eastAsia="en-AU"/>
        </w:rPr>
        <w:t xml:space="preserve">Cameron v EMW Women’s Surgical </w:t>
      </w:r>
      <w:proofErr w:type="spellStart"/>
      <w:r w:rsidRPr="00DD0272">
        <w:rPr>
          <w:rFonts w:ascii="Arial" w:hAnsi="Arial" w:cs="Arial"/>
          <w:bCs/>
          <w:i/>
          <w:iCs/>
          <w:sz w:val="28"/>
          <w:szCs w:val="28"/>
          <w:lang w:eastAsia="en-AU"/>
        </w:rPr>
        <w:t>Center</w:t>
      </w:r>
      <w:proofErr w:type="spellEnd"/>
      <w:r w:rsidRPr="00DD0272">
        <w:rPr>
          <w:rFonts w:ascii="Arial" w:hAnsi="Arial" w:cs="Arial"/>
          <w:bCs/>
          <w:i/>
          <w:iCs/>
          <w:sz w:val="28"/>
          <w:szCs w:val="28"/>
          <w:lang w:eastAsia="en-AU"/>
        </w:rPr>
        <w:t>, PSC</w:t>
      </w:r>
    </w:p>
    <w:p w14:paraId="22D54771" w14:textId="77777777" w:rsidR="00DD0272" w:rsidRPr="00DD0272" w:rsidRDefault="00DD0272" w:rsidP="00DD0272">
      <w:pPr>
        <w:rPr>
          <w:lang w:eastAsia="en-AU"/>
        </w:rPr>
      </w:pPr>
      <w:r w:rsidRPr="00DD0272">
        <w:rPr>
          <w:b/>
          <w:bCs/>
          <w:lang w:eastAsia="en-AU"/>
        </w:rPr>
        <w:t>Supreme Court of the United States:</w:t>
      </w:r>
      <w:r w:rsidRPr="00DD0272">
        <w:rPr>
          <w:lang w:eastAsia="en-AU"/>
        </w:rPr>
        <w:t xml:space="preserve"> </w:t>
      </w:r>
      <w:hyperlink r:id="rId18" w:history="1">
        <w:r w:rsidRPr="00DD0272">
          <w:rPr>
            <w:color w:val="0000FF"/>
            <w:u w:val="single"/>
          </w:rPr>
          <w:t>Docket No. 20–601</w:t>
        </w:r>
      </w:hyperlink>
    </w:p>
    <w:p w14:paraId="6B228401" w14:textId="77777777" w:rsidR="00DD0272" w:rsidRPr="00DD0272" w:rsidRDefault="00DD0272" w:rsidP="00DD0272">
      <w:pPr>
        <w:rPr>
          <w:lang w:eastAsia="en-AU"/>
        </w:rPr>
      </w:pPr>
    </w:p>
    <w:p w14:paraId="262EFEEB" w14:textId="77777777" w:rsidR="00DD0272" w:rsidRPr="00DD0272" w:rsidRDefault="00DD0272" w:rsidP="00DD0272">
      <w:pPr>
        <w:rPr>
          <w:lang w:eastAsia="en-AU"/>
        </w:rPr>
      </w:pPr>
      <w:r w:rsidRPr="00DD0272">
        <w:rPr>
          <w:b/>
          <w:bCs/>
          <w:lang w:eastAsia="en-AU"/>
        </w:rPr>
        <w:t xml:space="preserve">Judgment delivered: </w:t>
      </w:r>
      <w:r w:rsidRPr="00DD0272">
        <w:rPr>
          <w:lang w:eastAsia="en-AU"/>
        </w:rPr>
        <w:t>3 March 2022</w:t>
      </w:r>
    </w:p>
    <w:p w14:paraId="73F64E37" w14:textId="77777777" w:rsidR="00DD0272" w:rsidRPr="00DD0272" w:rsidRDefault="00DD0272" w:rsidP="00DD0272">
      <w:pPr>
        <w:rPr>
          <w:b/>
          <w:bCs/>
          <w:lang w:eastAsia="en-AU"/>
        </w:rPr>
      </w:pPr>
    </w:p>
    <w:p w14:paraId="4B2393CF" w14:textId="77777777" w:rsidR="00DD0272" w:rsidRPr="00DD0272" w:rsidRDefault="00DD0272" w:rsidP="00DD0272">
      <w:pPr>
        <w:rPr>
          <w:lang w:eastAsia="en-AU"/>
        </w:rPr>
      </w:pPr>
      <w:r w:rsidRPr="00DD0272">
        <w:rPr>
          <w:b/>
          <w:bCs/>
          <w:lang w:eastAsia="en-AU"/>
        </w:rPr>
        <w:t>Coram:</w:t>
      </w:r>
      <w:r w:rsidRPr="00DD0272">
        <w:t xml:space="preserve"> </w:t>
      </w:r>
      <w:r w:rsidRPr="00DD0272">
        <w:rPr>
          <w:lang w:eastAsia="en-AU"/>
        </w:rPr>
        <w:t>Roberts CJ, Thomas, Breyer, Alito, Sotomayor, Kagan, Gorsuch,</w:t>
      </w:r>
    </w:p>
    <w:p w14:paraId="2EEA418B" w14:textId="77777777" w:rsidR="00DD0272" w:rsidRPr="00DD0272" w:rsidRDefault="00DD0272" w:rsidP="00DD0272">
      <w:pPr>
        <w:rPr>
          <w:lang w:eastAsia="en-AU"/>
        </w:rPr>
      </w:pPr>
      <w:r w:rsidRPr="00DD0272">
        <w:rPr>
          <w:lang w:eastAsia="en-AU"/>
        </w:rPr>
        <w:t>Kavanaugh and Barrett JJ</w:t>
      </w:r>
    </w:p>
    <w:p w14:paraId="6BE14710" w14:textId="77777777" w:rsidR="00DD0272" w:rsidRPr="00DD0272" w:rsidRDefault="00DD0272" w:rsidP="00DD0272">
      <w:pPr>
        <w:rPr>
          <w:b/>
          <w:bCs/>
          <w:lang w:eastAsia="en-AU"/>
        </w:rPr>
      </w:pPr>
    </w:p>
    <w:p w14:paraId="3C701B49" w14:textId="77777777" w:rsidR="00DD0272" w:rsidRPr="00DD0272" w:rsidRDefault="00DD0272" w:rsidP="00DD0272">
      <w:pPr>
        <w:rPr>
          <w:b/>
          <w:bCs/>
          <w:lang w:eastAsia="en-AU"/>
        </w:rPr>
      </w:pPr>
      <w:r w:rsidRPr="00DD0272">
        <w:rPr>
          <w:b/>
          <w:bCs/>
          <w:lang w:eastAsia="en-AU"/>
        </w:rPr>
        <w:t>Catchwords:</w:t>
      </w:r>
    </w:p>
    <w:p w14:paraId="33D39DB5" w14:textId="77777777" w:rsidR="00DD0272" w:rsidRPr="00DD0272" w:rsidRDefault="00DD0272" w:rsidP="00DD0272">
      <w:pPr>
        <w:rPr>
          <w:b/>
          <w:bCs/>
          <w:lang w:eastAsia="en-AU"/>
        </w:rPr>
      </w:pPr>
    </w:p>
    <w:p w14:paraId="5855E897" w14:textId="7D32D2CB" w:rsidR="00DD0272" w:rsidRPr="00DD0272" w:rsidRDefault="00DD0272" w:rsidP="00DD0272">
      <w:pPr>
        <w:ind w:left="720"/>
        <w:rPr>
          <w:lang w:eastAsia="en-AU"/>
        </w:rPr>
      </w:pPr>
      <w:r w:rsidRPr="00DD0272">
        <w:rPr>
          <w:lang w:eastAsia="en-AU"/>
        </w:rPr>
        <w:t xml:space="preserve">Civil procedure – Motion to intervene – Where EMW Women’s Surgical </w:t>
      </w:r>
      <w:proofErr w:type="spellStart"/>
      <w:r w:rsidRPr="00DD0272">
        <w:rPr>
          <w:lang w:eastAsia="en-AU"/>
        </w:rPr>
        <w:t>Center</w:t>
      </w:r>
      <w:proofErr w:type="spellEnd"/>
      <w:r w:rsidRPr="00DD0272">
        <w:rPr>
          <w:lang w:eastAsia="en-AU"/>
        </w:rPr>
        <w:t xml:space="preserve"> and two doctors filed federal suit seeking to enjoin enforcement of Kentucky House Bill 454 (</w:t>
      </w:r>
      <w:r w:rsidR="002C6EE4">
        <w:rPr>
          <w:lang w:eastAsia="en-AU"/>
        </w:rPr>
        <w:t>"</w:t>
      </w:r>
      <w:r w:rsidRPr="00DD0272">
        <w:rPr>
          <w:lang w:eastAsia="en-AU"/>
        </w:rPr>
        <w:t>HB 454</w:t>
      </w:r>
      <w:r w:rsidR="002C6EE4">
        <w:rPr>
          <w:lang w:eastAsia="en-AU"/>
        </w:rPr>
        <w:t>"</w:t>
      </w:r>
      <w:r w:rsidRPr="00DD0272">
        <w:rPr>
          <w:lang w:eastAsia="en-AU"/>
        </w:rPr>
        <w:t xml:space="preserve">), legislation regulating abortion procedure – Where named defendants in EMW’s lawsuit included two Commonwealth officials, attorney general </w:t>
      </w:r>
      <w:r w:rsidR="00AC5C26">
        <w:rPr>
          <w:lang w:eastAsia="en-AU"/>
        </w:rPr>
        <w:t xml:space="preserve">and </w:t>
      </w:r>
      <w:r w:rsidRPr="00DD0272">
        <w:rPr>
          <w:lang w:eastAsia="en-AU"/>
        </w:rPr>
        <w:t xml:space="preserve">cabinet secretary for Health and Family Services – Where EMW agreed to dismiss claims against attorney general without prejudice, subject to stipulation that attorney general’s office reserved </w:t>
      </w:r>
      <w:r w:rsidR="002C6EE4">
        <w:rPr>
          <w:lang w:eastAsia="en-AU"/>
        </w:rPr>
        <w:t>"</w:t>
      </w:r>
      <w:r w:rsidRPr="00DD0272">
        <w:rPr>
          <w:lang w:eastAsia="en-AU"/>
        </w:rPr>
        <w:t xml:space="preserve">all rights, claims, and </w:t>
      </w:r>
      <w:proofErr w:type="spellStart"/>
      <w:r w:rsidRPr="00DD0272">
        <w:rPr>
          <w:lang w:eastAsia="en-AU"/>
        </w:rPr>
        <w:t>defenses</w:t>
      </w:r>
      <w:proofErr w:type="spellEnd"/>
      <w:r w:rsidRPr="00DD0272">
        <w:rPr>
          <w:lang w:eastAsia="en-AU"/>
        </w:rPr>
        <w:t xml:space="preserve"> . . . in any appeals</w:t>
      </w:r>
      <w:r w:rsidR="002C6EE4">
        <w:rPr>
          <w:lang w:eastAsia="en-AU"/>
        </w:rPr>
        <w:t>"</w:t>
      </w:r>
      <w:r w:rsidRPr="00DD0272">
        <w:rPr>
          <w:lang w:eastAsia="en-AU"/>
        </w:rPr>
        <w:t xml:space="preserve"> and agreed to be bound by </w:t>
      </w:r>
      <w:r w:rsidR="002C6EE4">
        <w:rPr>
          <w:lang w:eastAsia="en-AU"/>
        </w:rPr>
        <w:t>"</w:t>
      </w:r>
      <w:r w:rsidRPr="00DD0272">
        <w:rPr>
          <w:lang w:eastAsia="en-AU"/>
        </w:rPr>
        <w:t>any final judgment . . . subject to any modification, reversal or vacation of judgment on appeal</w:t>
      </w:r>
      <w:r w:rsidR="002C6EE4">
        <w:rPr>
          <w:lang w:eastAsia="en-AU"/>
        </w:rPr>
        <w:t>"</w:t>
      </w:r>
      <w:r w:rsidRPr="00DD0272">
        <w:rPr>
          <w:lang w:eastAsia="en-AU"/>
        </w:rPr>
        <w:t xml:space="preserve"> – Where District Court held HB 454 unconstitutionally burden</w:t>
      </w:r>
      <w:r w:rsidR="00411AFF">
        <w:rPr>
          <w:lang w:eastAsia="en-AU"/>
        </w:rPr>
        <w:t>ed</w:t>
      </w:r>
      <w:r w:rsidRPr="00DD0272">
        <w:rPr>
          <w:lang w:eastAsia="en-AU"/>
        </w:rPr>
        <w:t xml:space="preserve"> woman’s right to abortion and issued permanent injunction – Where notice of appeal filed and, while appeal pending, Kentucky elected new attorney general, petitioner Cameron, and elected former attorney general, </w:t>
      </w:r>
      <w:proofErr w:type="spellStart"/>
      <w:r w:rsidRPr="00DD0272">
        <w:rPr>
          <w:lang w:eastAsia="en-AU"/>
        </w:rPr>
        <w:t>Beshear</w:t>
      </w:r>
      <w:proofErr w:type="spellEnd"/>
      <w:r w:rsidRPr="00DD0272">
        <w:rPr>
          <w:lang w:eastAsia="en-AU"/>
        </w:rPr>
        <w:t xml:space="preserve">, Governor – Where Governor </w:t>
      </w:r>
      <w:proofErr w:type="spellStart"/>
      <w:r w:rsidRPr="00DD0272">
        <w:rPr>
          <w:lang w:eastAsia="en-AU"/>
        </w:rPr>
        <w:t>Beshear</w:t>
      </w:r>
      <w:proofErr w:type="spellEnd"/>
      <w:r w:rsidRPr="00DD0272">
        <w:rPr>
          <w:lang w:eastAsia="en-AU"/>
        </w:rPr>
        <w:t xml:space="preserve"> appointed new secretary for Health and Family Services who continued </w:t>
      </w:r>
      <w:proofErr w:type="spellStart"/>
      <w:r w:rsidRPr="00DD0272">
        <w:rPr>
          <w:lang w:eastAsia="en-AU"/>
        </w:rPr>
        <w:t>defense</w:t>
      </w:r>
      <w:proofErr w:type="spellEnd"/>
      <w:r w:rsidRPr="00DD0272">
        <w:rPr>
          <w:lang w:eastAsia="en-AU"/>
        </w:rPr>
        <w:t xml:space="preserve"> of HB 454 on appeal – Where, prior to oral argument before Sixth Circuit, </w:t>
      </w:r>
      <w:r w:rsidR="00AC5C26">
        <w:rPr>
          <w:lang w:eastAsia="en-AU"/>
        </w:rPr>
        <w:t>a</w:t>
      </w:r>
      <w:r w:rsidRPr="00DD0272">
        <w:rPr>
          <w:lang w:eastAsia="en-AU"/>
        </w:rPr>
        <w:t xml:space="preserve">ttorney </w:t>
      </w:r>
      <w:r w:rsidR="00AC5C26">
        <w:rPr>
          <w:lang w:eastAsia="en-AU"/>
        </w:rPr>
        <w:t>g</w:t>
      </w:r>
      <w:r w:rsidRPr="00DD0272">
        <w:rPr>
          <w:lang w:eastAsia="en-AU"/>
        </w:rPr>
        <w:t xml:space="preserve">eneral Cameron entered appearance as counsel for new secretary – Where divided Sixth Circuit panel affirmed District Court’s judgment – Where secretary informed attorney general’s office that secretary would not challenge Sixth Circuit panel’s decision – Where attorney general moved to withdraw as counsel for secretary and to intervene as party on Commonwealth’s behalf – Where Sixth Circuit denied attorney general's motion to intervene – Whether Sixth Circuit should have permitted attorney general to intervene. </w:t>
      </w:r>
    </w:p>
    <w:p w14:paraId="72C8DFC4" w14:textId="77777777" w:rsidR="00DD0272" w:rsidRPr="00DD0272" w:rsidRDefault="00DD0272" w:rsidP="00DD0272">
      <w:pPr>
        <w:rPr>
          <w:b/>
          <w:bCs/>
          <w:lang w:eastAsia="en-AU"/>
        </w:rPr>
      </w:pPr>
    </w:p>
    <w:p w14:paraId="1F3D4629" w14:textId="6EA54DAA" w:rsidR="00DD0272" w:rsidRPr="00DD0272" w:rsidRDefault="00DD0272" w:rsidP="00DD0272">
      <w:pPr>
        <w:rPr>
          <w:lang w:eastAsia="en-AU"/>
        </w:rPr>
      </w:pPr>
      <w:r w:rsidRPr="00DD0272">
        <w:rPr>
          <w:b/>
          <w:bCs/>
          <w:lang w:eastAsia="en-AU"/>
        </w:rPr>
        <w:t>Held (8:1):</w:t>
      </w:r>
      <w:r w:rsidRPr="00DD0272">
        <w:rPr>
          <w:lang w:eastAsia="en-AU"/>
        </w:rPr>
        <w:t xml:space="preserve"> </w:t>
      </w:r>
      <w:r w:rsidR="00AC5C26">
        <w:rPr>
          <w:lang w:eastAsia="en-AU"/>
        </w:rPr>
        <w:t xml:space="preserve">Judgment of Court of Appeals for the Sixth Circuit </w:t>
      </w:r>
      <w:proofErr w:type="gramStart"/>
      <w:r w:rsidRPr="00DD0272">
        <w:rPr>
          <w:lang w:eastAsia="en-AU"/>
        </w:rPr>
        <w:t>reversed</w:t>
      </w:r>
      <w:proofErr w:type="gramEnd"/>
      <w:r w:rsidRPr="00DD0272">
        <w:rPr>
          <w:lang w:eastAsia="en-AU"/>
        </w:rPr>
        <w:t xml:space="preserve"> and </w:t>
      </w:r>
      <w:r w:rsidR="00BA12DA">
        <w:rPr>
          <w:lang w:eastAsia="en-AU"/>
        </w:rPr>
        <w:t xml:space="preserve">case </w:t>
      </w:r>
      <w:r w:rsidRPr="00DD0272">
        <w:rPr>
          <w:lang w:eastAsia="en-AU"/>
        </w:rPr>
        <w:t xml:space="preserve">remanded. </w:t>
      </w:r>
    </w:p>
    <w:p w14:paraId="0CB9525D" w14:textId="77777777" w:rsidR="00DD0272" w:rsidRPr="00DD0272" w:rsidRDefault="00DD0272" w:rsidP="00DD0272">
      <w:pPr>
        <w:pBdr>
          <w:bottom w:val="double" w:sz="6" w:space="1" w:color="auto"/>
        </w:pBdr>
        <w:rPr>
          <w:rFonts w:cs="Arial"/>
          <w:szCs w:val="20"/>
          <w:highlight w:val="yellow"/>
          <w:lang w:eastAsia="en-AU"/>
        </w:rPr>
      </w:pPr>
    </w:p>
    <w:p w14:paraId="1A44FA72" w14:textId="77777777" w:rsidR="00513DBC" w:rsidRPr="00C66EEA" w:rsidRDefault="00513DBC" w:rsidP="00C66EEA">
      <w:pPr>
        <w:rPr>
          <w:lang w:eastAsia="en-AU"/>
        </w:rPr>
      </w:pPr>
    </w:p>
    <w:p w14:paraId="046B71F7" w14:textId="58DE6408" w:rsidR="008656C4" w:rsidRDefault="008656C4" w:rsidP="008656C4">
      <w:pPr>
        <w:pStyle w:val="Heading1"/>
      </w:pPr>
      <w:r>
        <w:t>Constitutional Law</w:t>
      </w:r>
    </w:p>
    <w:p w14:paraId="66B07A38" w14:textId="77777777" w:rsidR="00DD0272" w:rsidRPr="00DD0272" w:rsidRDefault="00DD0272" w:rsidP="00DD0272">
      <w:pPr>
        <w:rPr>
          <w:lang w:eastAsia="en-AU"/>
        </w:rPr>
      </w:pPr>
    </w:p>
    <w:p w14:paraId="71C3000C" w14:textId="77777777" w:rsidR="00DD0272" w:rsidRDefault="00DD0272" w:rsidP="00DD0272">
      <w:pPr>
        <w:pStyle w:val="Heading2"/>
      </w:pPr>
      <w:r>
        <w:t xml:space="preserve">Houston Community College System v Wilson </w:t>
      </w:r>
    </w:p>
    <w:p w14:paraId="60E5CFEF" w14:textId="77777777" w:rsidR="00DD0272" w:rsidRDefault="00DD0272" w:rsidP="00DD0272">
      <w:pPr>
        <w:rPr>
          <w:lang w:eastAsia="en-AU"/>
        </w:rPr>
      </w:pPr>
      <w:r>
        <w:rPr>
          <w:b/>
          <w:bCs/>
          <w:lang w:eastAsia="en-AU"/>
        </w:rPr>
        <w:t>Supreme Court of the United States</w:t>
      </w:r>
      <w:r w:rsidRPr="006B0D58">
        <w:rPr>
          <w:b/>
          <w:bCs/>
          <w:lang w:eastAsia="en-AU"/>
        </w:rPr>
        <w:t>:</w:t>
      </w:r>
      <w:r>
        <w:rPr>
          <w:lang w:eastAsia="en-AU"/>
        </w:rPr>
        <w:t xml:space="preserve"> </w:t>
      </w:r>
      <w:hyperlink r:id="rId19" w:history="1">
        <w:r w:rsidRPr="00AF6C4B">
          <w:rPr>
            <w:rStyle w:val="Hyperlink"/>
          </w:rPr>
          <w:t>Docket No. 20–804</w:t>
        </w:r>
      </w:hyperlink>
    </w:p>
    <w:p w14:paraId="6B66DC2A" w14:textId="77777777" w:rsidR="00DD0272" w:rsidRDefault="00DD0272" w:rsidP="00DD0272">
      <w:pPr>
        <w:rPr>
          <w:lang w:eastAsia="en-AU"/>
        </w:rPr>
      </w:pPr>
    </w:p>
    <w:p w14:paraId="64191704" w14:textId="77777777" w:rsidR="00DD0272" w:rsidRPr="00DB68FF" w:rsidRDefault="00DD0272" w:rsidP="00DD0272">
      <w:pPr>
        <w:rPr>
          <w:lang w:eastAsia="en-AU"/>
        </w:rPr>
      </w:pPr>
      <w:r>
        <w:rPr>
          <w:b/>
          <w:bCs/>
          <w:lang w:eastAsia="en-AU"/>
        </w:rPr>
        <w:t xml:space="preserve">Judgment delivered: </w:t>
      </w:r>
      <w:r>
        <w:rPr>
          <w:lang w:eastAsia="en-AU"/>
        </w:rPr>
        <w:t xml:space="preserve">24 March 2022 </w:t>
      </w:r>
    </w:p>
    <w:p w14:paraId="3194D3B0" w14:textId="77777777" w:rsidR="00DD0272" w:rsidRDefault="00DD0272" w:rsidP="00DD0272">
      <w:pPr>
        <w:rPr>
          <w:b/>
          <w:bCs/>
          <w:lang w:eastAsia="en-AU"/>
        </w:rPr>
      </w:pPr>
    </w:p>
    <w:p w14:paraId="3589DB9C"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04BAACE4" w14:textId="77777777" w:rsidR="00DD0272" w:rsidRPr="00DB68FF" w:rsidRDefault="00DD0272" w:rsidP="00DD0272">
      <w:pPr>
        <w:rPr>
          <w:lang w:eastAsia="en-AU"/>
        </w:rPr>
      </w:pPr>
      <w:r>
        <w:rPr>
          <w:lang w:eastAsia="en-AU"/>
        </w:rPr>
        <w:t>Kavanaugh and Barrett JJ</w:t>
      </w:r>
    </w:p>
    <w:p w14:paraId="088769AB" w14:textId="77777777" w:rsidR="00DD0272" w:rsidRDefault="00DD0272" w:rsidP="00DD0272">
      <w:pPr>
        <w:rPr>
          <w:b/>
          <w:bCs/>
          <w:lang w:eastAsia="en-AU"/>
        </w:rPr>
      </w:pPr>
    </w:p>
    <w:p w14:paraId="4DED797F" w14:textId="77777777" w:rsidR="00DD0272" w:rsidRDefault="00DD0272" w:rsidP="00DD0272">
      <w:pPr>
        <w:rPr>
          <w:b/>
          <w:bCs/>
          <w:lang w:eastAsia="en-AU"/>
        </w:rPr>
      </w:pPr>
      <w:r>
        <w:rPr>
          <w:b/>
          <w:bCs/>
          <w:lang w:eastAsia="en-AU"/>
        </w:rPr>
        <w:t>Catchwords:</w:t>
      </w:r>
    </w:p>
    <w:p w14:paraId="2A5AD5B4" w14:textId="77777777" w:rsidR="00DD0272" w:rsidRDefault="00DD0272" w:rsidP="00DD0272">
      <w:pPr>
        <w:rPr>
          <w:b/>
          <w:bCs/>
          <w:lang w:eastAsia="en-AU"/>
        </w:rPr>
      </w:pPr>
    </w:p>
    <w:p w14:paraId="79642D5E" w14:textId="6B20AEA1" w:rsidR="009508A5" w:rsidRDefault="009508A5" w:rsidP="009508A5">
      <w:pPr>
        <w:pStyle w:val="Catchwords"/>
      </w:pPr>
      <w:r>
        <w:t>Constitutional law – First Amendment – Where Wilson elected to Board of Trustees of Houston Community College System (HCC), public entity operating various community colleges – Where Wilson charged Board repeatedly, in media and in state court actions, with violating ethical rules and bylaws – Where Board adopted public resolution censuring Wilson, stating conduct was "</w:t>
      </w:r>
      <w:r w:rsidRPr="00D35B2C">
        <w:t>not consistent with best interests of College</w:t>
      </w:r>
      <w:r>
        <w:t>"</w:t>
      </w:r>
      <w:r w:rsidRPr="00D35B2C">
        <w:t xml:space="preserve"> and </w:t>
      </w:r>
      <w:r>
        <w:t>"</w:t>
      </w:r>
      <w:r w:rsidRPr="00D35B2C">
        <w:t>not only inappropriate, but reprehensible</w:t>
      </w:r>
      <w:r>
        <w:t xml:space="preserve">", and imposed penalties – Where Wilson amended pleadings in pending state court lawsuit to add claims against HCC and trustees asserting Board's censure violated First Amendment – Where, on appeal, Fifth Circuit held Wilson had standing to pursue claim and complaint was actionable First Amendment Claim as "reprimand against an elected official for speech addressing matter of public concern" – Whether Wilson has actionable First Amendment claim based on purely verbal censure. </w:t>
      </w:r>
    </w:p>
    <w:p w14:paraId="132D7A38" w14:textId="77777777" w:rsidR="009508A5" w:rsidRDefault="009508A5" w:rsidP="009508A5">
      <w:pPr>
        <w:rPr>
          <w:b/>
          <w:bCs/>
          <w:lang w:eastAsia="en-AU"/>
        </w:rPr>
      </w:pPr>
    </w:p>
    <w:p w14:paraId="52B66E9D" w14:textId="37EECD35" w:rsidR="009508A5" w:rsidRDefault="009508A5" w:rsidP="009508A5">
      <w:pPr>
        <w:rPr>
          <w:lang w:eastAsia="en-AU"/>
        </w:rPr>
      </w:pPr>
      <w:r>
        <w:rPr>
          <w:b/>
          <w:bCs/>
          <w:lang w:eastAsia="en-AU"/>
        </w:rPr>
        <w:t>Held (9:0):</w:t>
      </w:r>
      <w:r>
        <w:rPr>
          <w:lang w:eastAsia="en-AU"/>
        </w:rPr>
        <w:t xml:space="preserve"> </w:t>
      </w:r>
      <w:r w:rsidRPr="006C3EC7">
        <w:rPr>
          <w:lang w:eastAsia="en-AU"/>
        </w:rPr>
        <w:t xml:space="preserve">Judgment of </w:t>
      </w:r>
      <w:r w:rsidR="00292ECB">
        <w:rPr>
          <w:lang w:eastAsia="en-AU"/>
        </w:rPr>
        <w:t xml:space="preserve">Court of Appeals for the </w:t>
      </w:r>
      <w:r w:rsidRPr="006C3EC7">
        <w:rPr>
          <w:lang w:eastAsia="en-AU"/>
        </w:rPr>
        <w:t>Fifth Circuit reversed.</w:t>
      </w:r>
    </w:p>
    <w:p w14:paraId="0038CACF" w14:textId="1B4DA517" w:rsidR="00FA0EBE" w:rsidRDefault="00FA0EBE" w:rsidP="00DD0272">
      <w:pPr>
        <w:pStyle w:val="BullDivider1"/>
      </w:pPr>
    </w:p>
    <w:p w14:paraId="0CC328AB" w14:textId="77777777" w:rsidR="00DD0272" w:rsidRPr="00DD0272" w:rsidRDefault="00DD0272" w:rsidP="00DD0272">
      <w:pPr>
        <w:rPr>
          <w:lang w:eastAsia="en-AU"/>
        </w:rPr>
      </w:pPr>
    </w:p>
    <w:p w14:paraId="1DC91163" w14:textId="74EC7EA6" w:rsidR="00866165" w:rsidRPr="002F4F7E" w:rsidRDefault="0002136F" w:rsidP="00866165">
      <w:pPr>
        <w:pStyle w:val="Heading2"/>
      </w:pPr>
      <w:r>
        <w:t xml:space="preserve">R v Ali </w:t>
      </w:r>
    </w:p>
    <w:p w14:paraId="45ACC08F" w14:textId="424EAA94" w:rsidR="00866165" w:rsidRPr="002F4F7E" w:rsidRDefault="00866165" w:rsidP="00866165">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20" w:history="1">
        <w:r w:rsidR="0002136F" w:rsidRPr="0002136F">
          <w:rPr>
            <w:rStyle w:val="Hyperlink"/>
            <w:bCs/>
            <w:lang w:eastAsia="en-AU"/>
          </w:rPr>
          <w:t>[2022] SCC 1</w:t>
        </w:r>
      </w:hyperlink>
      <w:r w:rsidR="0002136F">
        <w:rPr>
          <w:b/>
          <w:lang w:eastAsia="en-AU"/>
        </w:rPr>
        <w:t xml:space="preserve"> </w:t>
      </w:r>
    </w:p>
    <w:p w14:paraId="0F63FBA7" w14:textId="77777777" w:rsidR="00866165" w:rsidRPr="002F4F7E" w:rsidRDefault="00866165" w:rsidP="00866165">
      <w:pPr>
        <w:rPr>
          <w:lang w:eastAsia="en-AU"/>
        </w:rPr>
      </w:pPr>
    </w:p>
    <w:p w14:paraId="09B9F702" w14:textId="5EC689FE" w:rsidR="00866165" w:rsidRPr="002F4F7E" w:rsidRDefault="00866165" w:rsidP="00866165">
      <w:pPr>
        <w:rPr>
          <w:lang w:eastAsia="en-AU"/>
        </w:rPr>
      </w:pPr>
      <w:r w:rsidRPr="002F4F7E">
        <w:rPr>
          <w:b/>
          <w:lang w:eastAsia="en-AU"/>
        </w:rPr>
        <w:t>Judgment delivered:</w:t>
      </w:r>
      <w:r w:rsidRPr="002F4F7E">
        <w:rPr>
          <w:lang w:eastAsia="en-AU"/>
        </w:rPr>
        <w:t xml:space="preserve"> </w:t>
      </w:r>
      <w:r w:rsidR="0002136F">
        <w:rPr>
          <w:lang w:eastAsia="en-AU"/>
        </w:rPr>
        <w:t>14 January 2022</w:t>
      </w:r>
    </w:p>
    <w:p w14:paraId="3E45CA30" w14:textId="77777777" w:rsidR="00866165" w:rsidRPr="002F4F7E" w:rsidRDefault="00866165" w:rsidP="00866165">
      <w:pPr>
        <w:rPr>
          <w:lang w:eastAsia="en-AU"/>
        </w:rPr>
      </w:pPr>
    </w:p>
    <w:p w14:paraId="166A71B3" w14:textId="2F4D040B" w:rsidR="00866165" w:rsidRDefault="00866165" w:rsidP="00866165">
      <w:pPr>
        <w:rPr>
          <w:lang w:eastAsia="en-AU"/>
        </w:rPr>
      </w:pPr>
      <w:r w:rsidRPr="002F4F7E">
        <w:rPr>
          <w:b/>
          <w:lang w:eastAsia="en-AU"/>
        </w:rPr>
        <w:t xml:space="preserve">Coram: </w:t>
      </w:r>
      <w:r w:rsidR="0002136F" w:rsidRPr="0002136F">
        <w:rPr>
          <w:lang w:eastAsia="en-AU"/>
        </w:rPr>
        <w:t>Moldaver, Côté, Brown, Rowe and Jamal JJ</w:t>
      </w:r>
    </w:p>
    <w:p w14:paraId="0C98A6D7" w14:textId="77777777" w:rsidR="00866165" w:rsidRPr="002F4F7E" w:rsidRDefault="00866165" w:rsidP="00866165">
      <w:pPr>
        <w:rPr>
          <w:lang w:eastAsia="en-AU"/>
        </w:rPr>
      </w:pPr>
    </w:p>
    <w:p w14:paraId="57452C2B" w14:textId="77777777" w:rsidR="00866165" w:rsidRPr="002F4F7E" w:rsidRDefault="00866165" w:rsidP="00866165">
      <w:pPr>
        <w:rPr>
          <w:b/>
          <w:lang w:eastAsia="en-AU"/>
        </w:rPr>
      </w:pPr>
      <w:r>
        <w:rPr>
          <w:b/>
          <w:lang w:eastAsia="en-AU"/>
        </w:rPr>
        <w:t>Catchwords:</w:t>
      </w:r>
    </w:p>
    <w:p w14:paraId="13BC51F4" w14:textId="77777777" w:rsidR="00866165" w:rsidRPr="00856E9C" w:rsidRDefault="00866165" w:rsidP="00866165">
      <w:pPr>
        <w:rPr>
          <w:b/>
          <w:highlight w:val="yellow"/>
          <w:lang w:eastAsia="en-AU"/>
        </w:rPr>
      </w:pPr>
    </w:p>
    <w:p w14:paraId="42F6AF37" w14:textId="663BCB6A" w:rsidR="00866165" w:rsidRDefault="0002136F" w:rsidP="00866165">
      <w:pPr>
        <w:ind w:left="720"/>
        <w:rPr>
          <w:lang w:eastAsia="en-AU"/>
        </w:rPr>
      </w:pPr>
      <w:r w:rsidRPr="0002136F">
        <w:rPr>
          <w:lang w:eastAsia="en-AU"/>
        </w:rPr>
        <w:t xml:space="preserve">Constitutional law </w:t>
      </w:r>
      <w:r>
        <w:rPr>
          <w:lang w:eastAsia="en-AU"/>
        </w:rPr>
        <w:t>–</w:t>
      </w:r>
      <w:r w:rsidRPr="0002136F">
        <w:rPr>
          <w:lang w:eastAsia="en-AU"/>
        </w:rPr>
        <w:t xml:space="preserve"> Charter of Rights </w:t>
      </w:r>
      <w:r>
        <w:rPr>
          <w:lang w:eastAsia="en-AU"/>
        </w:rPr>
        <w:t>–</w:t>
      </w:r>
      <w:r w:rsidRPr="0002136F">
        <w:rPr>
          <w:lang w:eastAsia="en-AU"/>
        </w:rPr>
        <w:t xml:space="preserve"> Search and seizure </w:t>
      </w:r>
      <w:r>
        <w:rPr>
          <w:lang w:eastAsia="en-AU"/>
        </w:rPr>
        <w:t>–</w:t>
      </w:r>
      <w:r w:rsidRPr="0002136F">
        <w:rPr>
          <w:lang w:eastAsia="en-AU"/>
        </w:rPr>
        <w:t xml:space="preserve"> Search incident to arrest </w:t>
      </w:r>
      <w:r>
        <w:rPr>
          <w:lang w:eastAsia="en-AU"/>
        </w:rPr>
        <w:t>–</w:t>
      </w:r>
      <w:r w:rsidRPr="0002136F">
        <w:rPr>
          <w:lang w:eastAsia="en-AU"/>
        </w:rPr>
        <w:t xml:space="preserve"> </w:t>
      </w:r>
      <w:r w:rsidR="007A348E">
        <w:rPr>
          <w:lang w:eastAsia="en-AU"/>
        </w:rPr>
        <w:t>Where s</w:t>
      </w:r>
      <w:r w:rsidRPr="0002136F">
        <w:rPr>
          <w:lang w:eastAsia="en-AU"/>
        </w:rPr>
        <w:t>trip search of accused result</w:t>
      </w:r>
      <w:r w:rsidR="007A348E">
        <w:rPr>
          <w:lang w:eastAsia="en-AU"/>
        </w:rPr>
        <w:t>ed</w:t>
      </w:r>
      <w:r w:rsidRPr="0002136F">
        <w:rPr>
          <w:lang w:eastAsia="en-AU"/>
        </w:rPr>
        <w:t xml:space="preserve"> in seizure of cocaine </w:t>
      </w:r>
      <w:r>
        <w:rPr>
          <w:lang w:eastAsia="en-AU"/>
        </w:rPr>
        <w:t>–</w:t>
      </w:r>
      <w:r w:rsidRPr="0002136F">
        <w:rPr>
          <w:lang w:eastAsia="en-AU"/>
        </w:rPr>
        <w:t xml:space="preserve"> </w:t>
      </w:r>
      <w:r w:rsidR="007A348E">
        <w:rPr>
          <w:lang w:eastAsia="en-AU"/>
        </w:rPr>
        <w:t>Where t</w:t>
      </w:r>
      <w:r w:rsidRPr="0002136F">
        <w:rPr>
          <w:lang w:eastAsia="en-AU"/>
        </w:rPr>
        <w:t xml:space="preserve">rial judge </w:t>
      </w:r>
      <w:r w:rsidR="007A348E">
        <w:rPr>
          <w:lang w:eastAsia="en-AU"/>
        </w:rPr>
        <w:t>found</w:t>
      </w:r>
      <w:r w:rsidRPr="0002136F">
        <w:rPr>
          <w:lang w:eastAsia="en-AU"/>
        </w:rPr>
        <w:t xml:space="preserve"> that strip search justified and </w:t>
      </w:r>
      <w:r w:rsidR="007A348E">
        <w:rPr>
          <w:lang w:eastAsia="en-AU"/>
        </w:rPr>
        <w:t>admitted</w:t>
      </w:r>
      <w:r w:rsidRPr="0002136F">
        <w:rPr>
          <w:lang w:eastAsia="en-AU"/>
        </w:rPr>
        <w:t xml:space="preserve"> evidence found during search </w:t>
      </w:r>
      <w:r>
        <w:rPr>
          <w:lang w:eastAsia="en-AU"/>
        </w:rPr>
        <w:t>–</w:t>
      </w:r>
      <w:r w:rsidRPr="0002136F">
        <w:rPr>
          <w:lang w:eastAsia="en-AU"/>
        </w:rPr>
        <w:t xml:space="preserve"> </w:t>
      </w:r>
      <w:r w:rsidR="007A348E">
        <w:rPr>
          <w:lang w:eastAsia="en-AU"/>
        </w:rPr>
        <w:t>Where a</w:t>
      </w:r>
      <w:r w:rsidRPr="0002136F">
        <w:rPr>
          <w:lang w:eastAsia="en-AU"/>
        </w:rPr>
        <w:t xml:space="preserve">ccused convicted of possession of cocaine for purpose of trafficking </w:t>
      </w:r>
      <w:r>
        <w:rPr>
          <w:lang w:eastAsia="en-AU"/>
        </w:rPr>
        <w:t>–</w:t>
      </w:r>
      <w:r w:rsidRPr="0002136F">
        <w:rPr>
          <w:lang w:eastAsia="en-AU"/>
        </w:rPr>
        <w:t xml:space="preserve"> </w:t>
      </w:r>
      <w:r w:rsidR="007A348E">
        <w:rPr>
          <w:lang w:eastAsia="en-AU"/>
        </w:rPr>
        <w:t xml:space="preserve">Where </w:t>
      </w:r>
      <w:r w:rsidRPr="0002136F">
        <w:rPr>
          <w:lang w:eastAsia="en-AU"/>
        </w:rPr>
        <w:t xml:space="preserve">Court of Appeal </w:t>
      </w:r>
      <w:r w:rsidR="007A348E">
        <w:rPr>
          <w:lang w:eastAsia="en-AU"/>
        </w:rPr>
        <w:t>held</w:t>
      </w:r>
      <w:r w:rsidRPr="0002136F">
        <w:rPr>
          <w:lang w:eastAsia="en-AU"/>
        </w:rPr>
        <w:t xml:space="preserve"> sufficient evidence to justify trial judge’s finding </w:t>
      </w:r>
      <w:r w:rsidR="00186837">
        <w:rPr>
          <w:lang w:eastAsia="en-AU"/>
        </w:rPr>
        <w:t>of</w:t>
      </w:r>
      <w:r w:rsidRPr="0002136F">
        <w:rPr>
          <w:lang w:eastAsia="en-AU"/>
        </w:rPr>
        <w:t xml:space="preserve"> and probable grounds for strip search and affirm</w:t>
      </w:r>
      <w:r w:rsidR="006A5C01">
        <w:rPr>
          <w:lang w:eastAsia="en-AU"/>
        </w:rPr>
        <w:t>ed</w:t>
      </w:r>
      <w:r w:rsidRPr="0002136F">
        <w:rPr>
          <w:lang w:eastAsia="en-AU"/>
        </w:rPr>
        <w:t xml:space="preserve"> conviction </w:t>
      </w:r>
      <w:r w:rsidR="007A348E">
        <w:rPr>
          <w:lang w:eastAsia="en-AU"/>
        </w:rPr>
        <w:t xml:space="preserve">– Whether </w:t>
      </w:r>
      <w:r w:rsidR="007A348E" w:rsidRPr="007A348E">
        <w:rPr>
          <w:lang w:eastAsia="en-AU"/>
        </w:rPr>
        <w:t>police’s strip search of Mr Ali</w:t>
      </w:r>
      <w:r w:rsidR="007A348E">
        <w:rPr>
          <w:lang w:eastAsia="en-AU"/>
        </w:rPr>
        <w:t xml:space="preserve"> </w:t>
      </w:r>
      <w:r w:rsidR="007A348E" w:rsidRPr="007A348E">
        <w:rPr>
          <w:lang w:eastAsia="en-AU"/>
        </w:rPr>
        <w:t xml:space="preserve">complied with s 8 of </w:t>
      </w:r>
      <w:r w:rsidR="007A348E" w:rsidRPr="007A348E">
        <w:rPr>
          <w:i/>
          <w:iCs/>
          <w:lang w:eastAsia="en-AU"/>
        </w:rPr>
        <w:t>Canadian Charter of Rights and Freedoms</w:t>
      </w:r>
      <w:r w:rsidR="007A348E" w:rsidRPr="007A348E">
        <w:rPr>
          <w:lang w:eastAsia="en-AU"/>
        </w:rPr>
        <w:t xml:space="preserve"> in accordance with principles governing strip searches set out in </w:t>
      </w:r>
      <w:r w:rsidR="007A348E" w:rsidRPr="007A348E">
        <w:rPr>
          <w:i/>
          <w:iCs/>
          <w:lang w:eastAsia="en-AU"/>
        </w:rPr>
        <w:t>R v Golden</w:t>
      </w:r>
      <w:r w:rsidR="007A348E" w:rsidRPr="007A348E">
        <w:rPr>
          <w:lang w:eastAsia="en-AU"/>
        </w:rPr>
        <w:t xml:space="preserve"> [2001] 3 SCR 679</w:t>
      </w:r>
      <w:r w:rsidRPr="0002136F">
        <w:rPr>
          <w:lang w:eastAsia="en-AU"/>
        </w:rPr>
        <w:t>.</w:t>
      </w:r>
    </w:p>
    <w:p w14:paraId="43225D1E" w14:textId="77777777" w:rsidR="00405DFD" w:rsidRDefault="00405DFD" w:rsidP="00866165">
      <w:pPr>
        <w:rPr>
          <w:lang w:eastAsia="en-AU"/>
        </w:rPr>
      </w:pPr>
    </w:p>
    <w:p w14:paraId="0CACAD4C" w14:textId="375ECE63" w:rsidR="00866165" w:rsidRDefault="00866165" w:rsidP="00866165">
      <w:pPr>
        <w:rPr>
          <w:lang w:eastAsia="en-AU"/>
        </w:rPr>
      </w:pPr>
      <w:r w:rsidRPr="002F4F7E">
        <w:rPr>
          <w:b/>
          <w:lang w:eastAsia="en-AU"/>
        </w:rPr>
        <w:t>Held (</w:t>
      </w:r>
      <w:r w:rsidR="007A348E">
        <w:rPr>
          <w:b/>
          <w:lang w:eastAsia="en-AU"/>
        </w:rPr>
        <w:t>5:0</w:t>
      </w:r>
      <w:r w:rsidRPr="002F4F7E">
        <w:rPr>
          <w:b/>
          <w:lang w:eastAsia="en-AU"/>
        </w:rPr>
        <w:t xml:space="preserve">): </w:t>
      </w:r>
      <w:r w:rsidR="007A348E">
        <w:rPr>
          <w:lang w:eastAsia="en-AU"/>
        </w:rPr>
        <w:t>Appeal dismissed; conviction affirmed.</w:t>
      </w:r>
      <w:r>
        <w:rPr>
          <w:lang w:eastAsia="en-AU"/>
        </w:rPr>
        <w:t xml:space="preserve"> </w:t>
      </w:r>
    </w:p>
    <w:p w14:paraId="4B208774" w14:textId="2996D131" w:rsidR="002A44D4" w:rsidRDefault="002A44D4" w:rsidP="002A44D4">
      <w:pPr>
        <w:pStyle w:val="BullDivider1"/>
      </w:pPr>
    </w:p>
    <w:p w14:paraId="19E4198C" w14:textId="77777777" w:rsidR="002A44D4" w:rsidRPr="002A44D4" w:rsidRDefault="002A44D4" w:rsidP="002A44D4">
      <w:pPr>
        <w:rPr>
          <w:lang w:eastAsia="en-AU"/>
        </w:rPr>
      </w:pPr>
    </w:p>
    <w:p w14:paraId="77E34D71" w14:textId="77777777" w:rsidR="002A44D4" w:rsidRDefault="002A44D4" w:rsidP="002A44D4">
      <w:pPr>
        <w:pStyle w:val="Heading2"/>
      </w:pPr>
      <w:r w:rsidRPr="00040440">
        <w:t xml:space="preserve">Speaker of the National Assembly v Public Protector </w:t>
      </w:r>
      <w:r>
        <w:t>&amp; Ors</w:t>
      </w:r>
      <w:r w:rsidRPr="00040440">
        <w:t xml:space="preserve">; Democratic Alliance v Public Protector </w:t>
      </w:r>
      <w:r>
        <w:t>&amp; Ors</w:t>
      </w:r>
    </w:p>
    <w:p w14:paraId="661EDA8A" w14:textId="77777777" w:rsidR="002A44D4" w:rsidRPr="002F4F7E" w:rsidRDefault="002A44D4" w:rsidP="002A44D4">
      <w:pPr>
        <w:rPr>
          <w:lang w:eastAsia="en-AU"/>
        </w:rPr>
      </w:pPr>
      <w:r>
        <w:rPr>
          <w:b/>
          <w:lang w:eastAsia="en-AU"/>
        </w:rPr>
        <w:t>Constitutional Court of South Africa</w:t>
      </w:r>
      <w:r w:rsidRPr="002F4F7E">
        <w:rPr>
          <w:b/>
          <w:lang w:eastAsia="en-AU"/>
        </w:rPr>
        <w:t xml:space="preserve">: </w:t>
      </w:r>
      <w:hyperlink r:id="rId21" w:history="1">
        <w:r w:rsidRPr="00040440">
          <w:rPr>
            <w:rStyle w:val="Hyperlink"/>
            <w:bCs/>
            <w:lang w:eastAsia="en-AU"/>
          </w:rPr>
          <w:t>[2022] ZACC 1</w:t>
        </w:r>
      </w:hyperlink>
    </w:p>
    <w:p w14:paraId="48B2CEF4" w14:textId="77777777" w:rsidR="002A44D4" w:rsidRPr="002F4F7E" w:rsidRDefault="002A44D4" w:rsidP="002A44D4">
      <w:pPr>
        <w:rPr>
          <w:lang w:eastAsia="en-AU"/>
        </w:rPr>
      </w:pPr>
    </w:p>
    <w:p w14:paraId="0EBA32EC" w14:textId="77777777" w:rsidR="002A44D4" w:rsidRPr="002F4F7E" w:rsidRDefault="002A44D4" w:rsidP="002A44D4">
      <w:pPr>
        <w:rPr>
          <w:lang w:eastAsia="en-AU"/>
        </w:rPr>
      </w:pPr>
      <w:r w:rsidRPr="002F4F7E">
        <w:rPr>
          <w:b/>
          <w:lang w:eastAsia="en-AU"/>
        </w:rPr>
        <w:t>Judgment delivered:</w:t>
      </w:r>
      <w:r w:rsidRPr="002F4F7E">
        <w:rPr>
          <w:lang w:eastAsia="en-AU"/>
        </w:rPr>
        <w:t xml:space="preserve"> </w:t>
      </w:r>
      <w:r>
        <w:rPr>
          <w:lang w:eastAsia="en-AU"/>
        </w:rPr>
        <w:t>4 February 2022</w:t>
      </w:r>
    </w:p>
    <w:p w14:paraId="184037C4" w14:textId="77777777" w:rsidR="002A44D4" w:rsidRPr="002F4F7E" w:rsidRDefault="002A44D4" w:rsidP="002A44D4">
      <w:pPr>
        <w:rPr>
          <w:lang w:eastAsia="en-AU"/>
        </w:rPr>
      </w:pPr>
    </w:p>
    <w:p w14:paraId="72A81E3C" w14:textId="77777777" w:rsidR="002A44D4" w:rsidRDefault="002A44D4" w:rsidP="002A44D4">
      <w:pPr>
        <w:rPr>
          <w:lang w:eastAsia="en-AU"/>
        </w:rPr>
      </w:pPr>
      <w:r w:rsidRPr="002F4F7E">
        <w:rPr>
          <w:b/>
          <w:lang w:eastAsia="en-AU"/>
        </w:rPr>
        <w:t xml:space="preserve">Coram: </w:t>
      </w:r>
      <w:r w:rsidRPr="00040440">
        <w:rPr>
          <w:lang w:eastAsia="en-AU"/>
        </w:rPr>
        <w:t xml:space="preserve">Madlanga J, Madondo AJ, Majiedt, Mhlantla </w:t>
      </w:r>
      <w:r>
        <w:rPr>
          <w:lang w:eastAsia="en-AU"/>
        </w:rPr>
        <w:t>J</w:t>
      </w:r>
      <w:r w:rsidRPr="00040440">
        <w:rPr>
          <w:lang w:eastAsia="en-AU"/>
        </w:rPr>
        <w:t>J, Pillay, Rogers AJ</w:t>
      </w:r>
      <w:r>
        <w:rPr>
          <w:lang w:eastAsia="en-AU"/>
        </w:rPr>
        <w:t>J</w:t>
      </w:r>
      <w:r w:rsidRPr="00040440">
        <w:rPr>
          <w:lang w:eastAsia="en-AU"/>
        </w:rPr>
        <w:t>, Theron J, Tlaletsi AJ and Tshiqi J</w:t>
      </w:r>
    </w:p>
    <w:p w14:paraId="369CE14D" w14:textId="77777777" w:rsidR="002A44D4" w:rsidRPr="002F4F7E" w:rsidRDefault="002A44D4" w:rsidP="002A44D4">
      <w:pPr>
        <w:rPr>
          <w:lang w:eastAsia="en-AU"/>
        </w:rPr>
      </w:pPr>
    </w:p>
    <w:p w14:paraId="3B7C2A67" w14:textId="77777777" w:rsidR="002A44D4" w:rsidRPr="002F4F7E" w:rsidRDefault="002A44D4" w:rsidP="002A44D4">
      <w:pPr>
        <w:rPr>
          <w:b/>
          <w:lang w:eastAsia="en-AU"/>
        </w:rPr>
      </w:pPr>
      <w:r>
        <w:rPr>
          <w:b/>
          <w:lang w:eastAsia="en-AU"/>
        </w:rPr>
        <w:t>Catchwords:</w:t>
      </w:r>
    </w:p>
    <w:p w14:paraId="25738CAF" w14:textId="77777777" w:rsidR="002A44D4" w:rsidRPr="00856E9C" w:rsidRDefault="002A44D4" w:rsidP="002A44D4">
      <w:pPr>
        <w:rPr>
          <w:b/>
          <w:highlight w:val="yellow"/>
          <w:lang w:eastAsia="en-AU"/>
        </w:rPr>
      </w:pPr>
    </w:p>
    <w:p w14:paraId="5CE8D231" w14:textId="77777777" w:rsidR="002A44D4" w:rsidRPr="007069DF" w:rsidRDefault="002A44D4" w:rsidP="002A44D4">
      <w:pPr>
        <w:ind w:left="720"/>
        <w:rPr>
          <w:lang w:eastAsia="en-AU"/>
        </w:rPr>
      </w:pPr>
      <w:r w:rsidRPr="0002136F">
        <w:rPr>
          <w:lang w:eastAsia="en-AU"/>
        </w:rPr>
        <w:t xml:space="preserve">Constitutional law </w:t>
      </w:r>
      <w:r>
        <w:rPr>
          <w:lang w:eastAsia="en-AU"/>
        </w:rPr>
        <w:t>–</w:t>
      </w:r>
      <w:r w:rsidRPr="0002136F">
        <w:rPr>
          <w:lang w:eastAsia="en-AU"/>
        </w:rPr>
        <w:t xml:space="preserve"> </w:t>
      </w:r>
      <w:r>
        <w:rPr>
          <w:lang w:eastAsia="en-AU"/>
        </w:rPr>
        <w:t xml:space="preserve">Chapter 9 of </w:t>
      </w:r>
      <w:r w:rsidRPr="00722DDC">
        <w:rPr>
          <w:i/>
          <w:iCs/>
          <w:lang w:eastAsia="en-AU"/>
        </w:rPr>
        <w:t>Constitution</w:t>
      </w:r>
      <w:r>
        <w:rPr>
          <w:lang w:eastAsia="en-AU"/>
        </w:rPr>
        <w:t xml:space="preserve"> – C</w:t>
      </w:r>
      <w:r w:rsidRPr="00040440">
        <w:rPr>
          <w:lang w:eastAsia="en-AU"/>
        </w:rPr>
        <w:t>onstitutionality of Rules adopted by National Assembly</w:t>
      </w:r>
      <w:r>
        <w:rPr>
          <w:lang w:eastAsia="en-AU"/>
        </w:rPr>
        <w:t xml:space="preserve"> – Where s 194(1) of </w:t>
      </w:r>
      <w:r w:rsidRPr="00722DDC">
        <w:rPr>
          <w:i/>
          <w:iCs/>
          <w:lang w:eastAsia="en-AU"/>
        </w:rPr>
        <w:t>Constitution</w:t>
      </w:r>
      <w:r>
        <w:rPr>
          <w:lang w:eastAsia="en-AU"/>
        </w:rPr>
        <w:t xml:space="preserve"> provided for removal from office of heads and commissioners of Chapter 9 institutions on grounds of misconduct, incapacity or incompetence – Where National Assembly adopted Rules setting out process for removal of office bearer, including appointment of independent panel to conduct preliminary assessment of whethe</w:t>
      </w:r>
      <w:r w:rsidRPr="003727FC">
        <w:rPr>
          <w:lang w:eastAsia="en-AU"/>
        </w:rPr>
        <w:t>r prima facie evidence</w:t>
      </w:r>
      <w:r>
        <w:rPr>
          <w:lang w:eastAsia="en-AU"/>
        </w:rPr>
        <w:t xml:space="preserve"> to remove office bearer – Where </w:t>
      </w:r>
      <w:r w:rsidRPr="00E22946">
        <w:rPr>
          <w:lang w:eastAsia="en-AU"/>
        </w:rPr>
        <w:t>rule 129AD(3)</w:t>
      </w:r>
      <w:r>
        <w:rPr>
          <w:lang w:eastAsia="en-AU"/>
        </w:rPr>
        <w:t xml:space="preserve"> provided office bearer entitled to legal representation, provided that legal practitioner did not participate in enquiry – Where rule 129V provided for independent panel to consist of three fit and proper citizens, which may include judge – Where High Court held appointment of judge to independent panel undesirable and </w:t>
      </w:r>
      <w:r w:rsidRPr="006A5C01">
        <w:rPr>
          <w:lang w:eastAsia="en-AU"/>
        </w:rPr>
        <w:t xml:space="preserve">limitation of legal representation in rule 129AD(3) irrational </w:t>
      </w:r>
      <w:r>
        <w:rPr>
          <w:lang w:eastAsia="en-AU"/>
        </w:rPr>
        <w:t xml:space="preserve">– Whether leave to appeal directly from High Court ought be granted – Whether rule 129AD(3) limitation on office bearer's right to legal representation during s 194 enquiry rationally connected to object of personal accountability sought to be achieved – Whether appointment of judge to independent panel offended separation of powers – Whether </w:t>
      </w:r>
      <w:r w:rsidRPr="00292ECB">
        <w:rPr>
          <w:lang w:eastAsia="en-AU"/>
        </w:rPr>
        <w:t>Rules ultra vires</w:t>
      </w:r>
      <w:r>
        <w:rPr>
          <w:lang w:eastAsia="en-AU"/>
        </w:rPr>
        <w:t xml:space="preserve"> – Whether Rules afford office bearer opportunity to be heard.</w:t>
      </w:r>
    </w:p>
    <w:p w14:paraId="6AD4799D" w14:textId="77777777" w:rsidR="002A44D4" w:rsidRDefault="002A44D4" w:rsidP="002A44D4">
      <w:pPr>
        <w:rPr>
          <w:b/>
          <w:lang w:eastAsia="en-AU"/>
        </w:rPr>
      </w:pPr>
    </w:p>
    <w:p w14:paraId="744A77BD" w14:textId="63853C52" w:rsidR="002A44D4" w:rsidRDefault="002A44D4" w:rsidP="002A44D4">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Leave to appeal granted; appeal allowed in part; leave to cross-appeal granted; cross-appeal dismissed. </w:t>
      </w:r>
    </w:p>
    <w:p w14:paraId="096812D9" w14:textId="78A7C860" w:rsidR="00DF3F30" w:rsidRDefault="00DF3F30" w:rsidP="00DF3F30">
      <w:pPr>
        <w:pStyle w:val="BullDivider1"/>
      </w:pPr>
    </w:p>
    <w:p w14:paraId="57BEF7E5" w14:textId="5438F11E" w:rsidR="00DF3F30" w:rsidRDefault="00DF3F30" w:rsidP="00DF3F30">
      <w:pPr>
        <w:rPr>
          <w:lang w:eastAsia="en-AU"/>
        </w:rPr>
      </w:pPr>
    </w:p>
    <w:p w14:paraId="2786FF71" w14:textId="6883387A" w:rsidR="00DF3F30" w:rsidRDefault="00DF3F30" w:rsidP="00DF3F30">
      <w:pPr>
        <w:pStyle w:val="Heading2"/>
      </w:pPr>
      <w:r w:rsidRPr="00DF3F30">
        <w:t xml:space="preserve">Tan Seng Kee v Attorney-General </w:t>
      </w:r>
      <w:r>
        <w:t>&amp; Ors</w:t>
      </w:r>
    </w:p>
    <w:p w14:paraId="29B6DA29" w14:textId="2CE20C54" w:rsidR="00DF3F30" w:rsidRPr="002F4F7E" w:rsidRDefault="00DF3F30" w:rsidP="00DF3F30">
      <w:pPr>
        <w:rPr>
          <w:lang w:eastAsia="en-AU"/>
        </w:rPr>
      </w:pPr>
      <w:r>
        <w:rPr>
          <w:b/>
          <w:lang w:eastAsia="en-AU"/>
        </w:rPr>
        <w:t>Singapore Court of Appeal</w:t>
      </w:r>
      <w:r w:rsidRPr="002F4F7E">
        <w:rPr>
          <w:b/>
          <w:lang w:eastAsia="en-AU"/>
        </w:rPr>
        <w:t xml:space="preserve">: </w:t>
      </w:r>
      <w:hyperlink r:id="rId22" w:history="1">
        <w:r>
          <w:rPr>
            <w:rStyle w:val="Hyperlink"/>
          </w:rPr>
          <w:t>[2022] SGCA 16</w:t>
        </w:r>
      </w:hyperlink>
    </w:p>
    <w:p w14:paraId="66DC30F5" w14:textId="77777777" w:rsidR="00DF3F30" w:rsidRPr="002F4F7E" w:rsidRDefault="00DF3F30" w:rsidP="00DF3F30">
      <w:pPr>
        <w:rPr>
          <w:lang w:eastAsia="en-AU"/>
        </w:rPr>
      </w:pPr>
    </w:p>
    <w:p w14:paraId="284F0D95" w14:textId="510D7D17" w:rsidR="00DF3F30" w:rsidRPr="002F4F7E" w:rsidRDefault="00DF3F30" w:rsidP="00DF3F30">
      <w:pPr>
        <w:rPr>
          <w:lang w:eastAsia="en-AU"/>
        </w:rPr>
      </w:pPr>
      <w:r w:rsidRPr="002F4F7E">
        <w:rPr>
          <w:b/>
          <w:lang w:eastAsia="en-AU"/>
        </w:rPr>
        <w:t>Judgment delivered:</w:t>
      </w:r>
      <w:r w:rsidRPr="002F4F7E">
        <w:rPr>
          <w:lang w:eastAsia="en-AU"/>
        </w:rPr>
        <w:t xml:space="preserve"> </w:t>
      </w:r>
      <w:r>
        <w:rPr>
          <w:lang w:eastAsia="en-AU"/>
        </w:rPr>
        <w:t>28 February 2022</w:t>
      </w:r>
    </w:p>
    <w:p w14:paraId="7BC8DA27" w14:textId="77777777" w:rsidR="00DF3F30" w:rsidRPr="002F4F7E" w:rsidRDefault="00DF3F30" w:rsidP="00DF3F30">
      <w:pPr>
        <w:rPr>
          <w:lang w:eastAsia="en-AU"/>
        </w:rPr>
      </w:pPr>
    </w:p>
    <w:p w14:paraId="6365FFE1" w14:textId="1792C19F" w:rsidR="00DF3F30" w:rsidRDefault="00DF3F30" w:rsidP="00DF3F30">
      <w:pPr>
        <w:rPr>
          <w:lang w:eastAsia="en-AU"/>
        </w:rPr>
      </w:pPr>
      <w:r w:rsidRPr="002F4F7E">
        <w:rPr>
          <w:b/>
          <w:lang w:eastAsia="en-AU"/>
        </w:rPr>
        <w:t xml:space="preserve">Coram: </w:t>
      </w:r>
      <w:r w:rsidRPr="00C7408A">
        <w:rPr>
          <w:lang w:eastAsia="en-AU"/>
        </w:rPr>
        <w:t xml:space="preserve">Menon CJ, </w:t>
      </w:r>
      <w:r>
        <w:rPr>
          <w:lang w:eastAsia="en-AU"/>
        </w:rPr>
        <w:t xml:space="preserve">Leong, </w:t>
      </w:r>
      <w:r w:rsidRPr="00C7408A">
        <w:rPr>
          <w:lang w:eastAsia="en-AU"/>
        </w:rPr>
        <w:t>Prakash</w:t>
      </w:r>
      <w:r>
        <w:rPr>
          <w:lang w:eastAsia="en-AU"/>
        </w:rPr>
        <w:t>, Kwang</w:t>
      </w:r>
      <w:r w:rsidRPr="00C7408A">
        <w:rPr>
          <w:lang w:eastAsia="en-AU"/>
        </w:rPr>
        <w:t xml:space="preserve"> and Chong J</w:t>
      </w:r>
      <w:r>
        <w:rPr>
          <w:lang w:eastAsia="en-AU"/>
        </w:rPr>
        <w:t>J</w:t>
      </w:r>
      <w:r w:rsidRPr="00C7408A">
        <w:rPr>
          <w:lang w:eastAsia="en-AU"/>
        </w:rPr>
        <w:t>CA</w:t>
      </w:r>
    </w:p>
    <w:p w14:paraId="5B16425D" w14:textId="77777777" w:rsidR="00DF3F30" w:rsidRPr="002F4F7E" w:rsidRDefault="00DF3F30" w:rsidP="00DF3F30">
      <w:pPr>
        <w:rPr>
          <w:lang w:eastAsia="en-AU"/>
        </w:rPr>
      </w:pPr>
    </w:p>
    <w:p w14:paraId="7FFCCBA3" w14:textId="77777777" w:rsidR="00DF3F30" w:rsidRPr="002F4F7E" w:rsidRDefault="00DF3F30" w:rsidP="00DF3F30">
      <w:pPr>
        <w:rPr>
          <w:b/>
          <w:lang w:eastAsia="en-AU"/>
        </w:rPr>
      </w:pPr>
      <w:r>
        <w:rPr>
          <w:b/>
          <w:lang w:eastAsia="en-AU"/>
        </w:rPr>
        <w:t>Catchwords:</w:t>
      </w:r>
    </w:p>
    <w:p w14:paraId="201D34F6" w14:textId="77777777" w:rsidR="00DF3F30" w:rsidRPr="00856E9C" w:rsidRDefault="00DF3F30" w:rsidP="00DF3F30">
      <w:pPr>
        <w:rPr>
          <w:b/>
          <w:highlight w:val="yellow"/>
          <w:lang w:eastAsia="en-AU"/>
        </w:rPr>
      </w:pPr>
    </w:p>
    <w:p w14:paraId="1B8587E1" w14:textId="4433BC17" w:rsidR="00DF3F30" w:rsidRDefault="00DF3F30" w:rsidP="00DF3F30">
      <w:pPr>
        <w:ind w:left="720"/>
        <w:rPr>
          <w:lang w:eastAsia="en-AU"/>
        </w:rPr>
      </w:pPr>
      <w:r>
        <w:rPr>
          <w:lang w:eastAsia="en-AU"/>
        </w:rPr>
        <w:t xml:space="preserve">Constitutional law – Rights – Where </w:t>
      </w:r>
      <w:r w:rsidR="00722DDC">
        <w:rPr>
          <w:lang w:eastAsia="en-AU"/>
        </w:rPr>
        <w:t xml:space="preserve">s 377A of Penal Code </w:t>
      </w:r>
      <w:r w:rsidR="00722DDC" w:rsidRPr="00722DDC">
        <w:rPr>
          <w:lang w:eastAsia="en-AU"/>
        </w:rPr>
        <w:t xml:space="preserve">(Cap 224, 2008 Rev Ed) </w:t>
      </w:r>
      <w:r w:rsidR="00722DDC">
        <w:rPr>
          <w:lang w:eastAsia="en-AU"/>
        </w:rPr>
        <w:t xml:space="preserve">imposed term of imprisonment on any man who committed, abetted commission of, procured or attempted to procure </w:t>
      </w:r>
      <w:r w:rsidR="002C6EE4">
        <w:rPr>
          <w:lang w:eastAsia="en-AU"/>
        </w:rPr>
        <w:t>"</w:t>
      </w:r>
      <w:r w:rsidR="00722DDC">
        <w:rPr>
          <w:lang w:eastAsia="en-AU"/>
        </w:rPr>
        <w:t>commission by any male person of, any act of gross indecency with another male person</w:t>
      </w:r>
      <w:r w:rsidR="002C6EE4">
        <w:rPr>
          <w:lang w:eastAsia="en-AU"/>
        </w:rPr>
        <w:t>"</w:t>
      </w:r>
      <w:r w:rsidR="00722DDC">
        <w:rPr>
          <w:lang w:eastAsia="en-AU"/>
        </w:rPr>
        <w:t xml:space="preserve"> –</w:t>
      </w:r>
      <w:r w:rsidR="00697360">
        <w:rPr>
          <w:lang w:eastAsia="en-AU"/>
        </w:rPr>
        <w:t xml:space="preserve"> Where s 377A retained on statute books on express basis it would not be proactively enforced</w:t>
      </w:r>
      <w:r w:rsidR="00722DDC">
        <w:rPr>
          <w:lang w:eastAsia="en-AU"/>
        </w:rPr>
        <w:t xml:space="preserve"> </w:t>
      </w:r>
      <w:r w:rsidR="00697360">
        <w:rPr>
          <w:lang w:eastAsia="en-AU"/>
        </w:rPr>
        <w:t xml:space="preserve">– </w:t>
      </w:r>
      <w:r w:rsidR="00722DDC">
        <w:rPr>
          <w:lang w:eastAsia="en-AU"/>
        </w:rPr>
        <w:t xml:space="preserve">Where Article 9 of </w:t>
      </w:r>
      <w:r w:rsidR="00722DDC" w:rsidRPr="00722DDC">
        <w:rPr>
          <w:i/>
          <w:iCs/>
          <w:lang w:eastAsia="en-AU"/>
        </w:rPr>
        <w:t>Constitution</w:t>
      </w:r>
      <w:r w:rsidR="00722DDC">
        <w:rPr>
          <w:lang w:eastAsia="en-AU"/>
        </w:rPr>
        <w:t xml:space="preserve"> protected life and </w:t>
      </w:r>
      <w:r w:rsidR="00722DDC">
        <w:rPr>
          <w:lang w:eastAsia="en-AU"/>
        </w:rPr>
        <w:lastRenderedPageBreak/>
        <w:t xml:space="preserve">personal liberty of person – Where Article 14 of </w:t>
      </w:r>
      <w:r w:rsidR="00722DDC" w:rsidRPr="00722DDC">
        <w:rPr>
          <w:i/>
          <w:iCs/>
          <w:lang w:eastAsia="en-AU"/>
        </w:rPr>
        <w:t>Constitution</w:t>
      </w:r>
      <w:r w:rsidR="00722DDC">
        <w:rPr>
          <w:lang w:eastAsia="en-AU"/>
        </w:rPr>
        <w:t xml:space="preserve"> provided for right to freedom of speech and expression – Where Article 12 of </w:t>
      </w:r>
      <w:r w:rsidR="00722DDC" w:rsidRPr="00722DDC">
        <w:rPr>
          <w:i/>
          <w:iCs/>
          <w:lang w:eastAsia="en-AU"/>
        </w:rPr>
        <w:t>Constitution</w:t>
      </w:r>
      <w:r w:rsidR="00722DDC">
        <w:rPr>
          <w:lang w:eastAsia="en-AU"/>
        </w:rPr>
        <w:t xml:space="preserve"> provided for equality for law and equal protection – Where appellants homosexual men who challenged constitutionality of s 377A of Penal Code –</w:t>
      </w:r>
      <w:r>
        <w:rPr>
          <w:lang w:eastAsia="en-AU"/>
        </w:rPr>
        <w:t xml:space="preserve"> Whether sexual orientation immutable – Proper interpretation of s 377A – Whether s 377A violates Articles 9, 1</w:t>
      </w:r>
      <w:r w:rsidR="00722DDC">
        <w:rPr>
          <w:lang w:eastAsia="en-AU"/>
        </w:rPr>
        <w:t>2</w:t>
      </w:r>
      <w:r>
        <w:rPr>
          <w:lang w:eastAsia="en-AU"/>
        </w:rPr>
        <w:t xml:space="preserve"> and 1</w:t>
      </w:r>
      <w:r w:rsidR="00722DDC">
        <w:rPr>
          <w:lang w:eastAsia="en-AU"/>
        </w:rPr>
        <w:t>4</w:t>
      </w:r>
      <w:r w:rsidR="00697360">
        <w:rPr>
          <w:lang w:eastAsia="en-AU"/>
        </w:rPr>
        <w:t xml:space="preserve"> </w:t>
      </w:r>
      <w:r w:rsidR="003727FC">
        <w:rPr>
          <w:lang w:eastAsia="en-AU"/>
        </w:rPr>
        <w:t xml:space="preserve">of </w:t>
      </w:r>
      <w:r w:rsidR="003727FC">
        <w:rPr>
          <w:i/>
          <w:iCs/>
          <w:lang w:eastAsia="en-AU"/>
        </w:rPr>
        <w:t xml:space="preserve">Constitution </w:t>
      </w:r>
      <w:r w:rsidR="00697360">
        <w:rPr>
          <w:lang w:eastAsia="en-AU"/>
        </w:rPr>
        <w:t xml:space="preserve">– Proper approach to </w:t>
      </w:r>
      <w:r w:rsidR="00C00890">
        <w:rPr>
          <w:lang w:eastAsia="en-AU"/>
        </w:rPr>
        <w:t xml:space="preserve">doctrine of substantive legitimate expectations. </w:t>
      </w:r>
    </w:p>
    <w:p w14:paraId="6CBA734A" w14:textId="77777777" w:rsidR="00DF3F30" w:rsidRDefault="00DF3F30" w:rsidP="00DF3F30">
      <w:pPr>
        <w:rPr>
          <w:lang w:eastAsia="en-AU"/>
        </w:rPr>
      </w:pPr>
    </w:p>
    <w:p w14:paraId="47E5D2B2" w14:textId="1D62D6FF" w:rsidR="00DF3F30" w:rsidRPr="00DD0272" w:rsidRDefault="00DF3F30" w:rsidP="00DF3F30">
      <w:pPr>
        <w:rPr>
          <w:lang w:eastAsia="en-AU"/>
        </w:rPr>
      </w:pPr>
      <w:r w:rsidRPr="002F4F7E">
        <w:rPr>
          <w:b/>
          <w:lang w:eastAsia="en-AU"/>
        </w:rPr>
        <w:t>Held (</w:t>
      </w:r>
      <w:r w:rsidR="00D44D58">
        <w:rPr>
          <w:b/>
          <w:lang w:eastAsia="en-AU"/>
        </w:rPr>
        <w:t>5</w:t>
      </w:r>
      <w:r>
        <w:rPr>
          <w:b/>
          <w:lang w:eastAsia="en-AU"/>
        </w:rPr>
        <w:t>:0</w:t>
      </w:r>
      <w:r w:rsidRPr="002F4F7E">
        <w:rPr>
          <w:b/>
          <w:lang w:eastAsia="en-AU"/>
        </w:rPr>
        <w:t xml:space="preserve">): </w:t>
      </w:r>
      <w:r>
        <w:rPr>
          <w:lang w:eastAsia="en-AU"/>
        </w:rPr>
        <w:t xml:space="preserve">Appeal dismissed. </w:t>
      </w:r>
    </w:p>
    <w:p w14:paraId="67E089AA" w14:textId="77777777" w:rsidR="002A44D4" w:rsidRDefault="002A44D4" w:rsidP="002A44D4">
      <w:pPr>
        <w:pStyle w:val="BullDivider2"/>
      </w:pPr>
    </w:p>
    <w:p w14:paraId="2C0E3047" w14:textId="77777777" w:rsidR="002A44D4" w:rsidRPr="00DD0272" w:rsidRDefault="002A44D4" w:rsidP="002A44D4">
      <w:pPr>
        <w:rPr>
          <w:lang w:eastAsia="en-AU"/>
        </w:rPr>
      </w:pPr>
    </w:p>
    <w:p w14:paraId="5780E7B1" w14:textId="08AB88E0" w:rsidR="00866165" w:rsidRDefault="002A44D4" w:rsidP="002A44D4">
      <w:pPr>
        <w:pStyle w:val="Heading1"/>
      </w:pPr>
      <w:r>
        <w:t xml:space="preserve">Criminal Law </w:t>
      </w:r>
    </w:p>
    <w:p w14:paraId="47008A48" w14:textId="77777777" w:rsidR="00DD0272" w:rsidRPr="00DD0272" w:rsidRDefault="00DD0272" w:rsidP="00DD0272">
      <w:pPr>
        <w:rPr>
          <w:lang w:eastAsia="en-AU"/>
        </w:rPr>
      </w:pPr>
    </w:p>
    <w:p w14:paraId="755B6D3D" w14:textId="77777777" w:rsidR="00DD0272" w:rsidRDefault="00DD0272" w:rsidP="00DD0272">
      <w:pPr>
        <w:pStyle w:val="Heading2"/>
      </w:pPr>
      <w:r>
        <w:t>R v</w:t>
      </w:r>
      <w:r w:rsidRPr="00C675B7">
        <w:t xml:space="preserve"> Samaniego</w:t>
      </w:r>
    </w:p>
    <w:p w14:paraId="4F7ABC17" w14:textId="77777777" w:rsidR="00DD0272" w:rsidRDefault="00DD0272" w:rsidP="00DD0272">
      <w:pPr>
        <w:rPr>
          <w:lang w:eastAsia="en-AU"/>
        </w:rPr>
      </w:pPr>
      <w:r>
        <w:rPr>
          <w:b/>
          <w:bCs/>
          <w:lang w:eastAsia="en-AU"/>
        </w:rPr>
        <w:t>Supreme Court of Canada</w:t>
      </w:r>
      <w:r w:rsidRPr="006B0D58">
        <w:rPr>
          <w:b/>
          <w:bCs/>
          <w:lang w:eastAsia="en-AU"/>
        </w:rPr>
        <w:t>:</w:t>
      </w:r>
      <w:r>
        <w:rPr>
          <w:lang w:eastAsia="en-AU"/>
        </w:rPr>
        <w:t xml:space="preserve"> </w:t>
      </w:r>
      <w:hyperlink r:id="rId23" w:history="1">
        <w:r w:rsidRPr="00C675B7">
          <w:rPr>
            <w:rStyle w:val="Hyperlink"/>
          </w:rPr>
          <w:t>[2022] SCC 9</w:t>
        </w:r>
      </w:hyperlink>
      <w:r>
        <w:t xml:space="preserve"> </w:t>
      </w:r>
    </w:p>
    <w:p w14:paraId="328E8CCE" w14:textId="77777777" w:rsidR="00DD0272" w:rsidRDefault="00DD0272" w:rsidP="00DD0272">
      <w:pPr>
        <w:rPr>
          <w:lang w:eastAsia="en-AU"/>
        </w:rPr>
      </w:pPr>
    </w:p>
    <w:p w14:paraId="21BC9B7F" w14:textId="77777777" w:rsidR="00DD0272" w:rsidRPr="00DB68FF" w:rsidRDefault="00DD0272" w:rsidP="00DD0272">
      <w:pPr>
        <w:rPr>
          <w:lang w:eastAsia="en-AU"/>
        </w:rPr>
      </w:pPr>
      <w:r>
        <w:rPr>
          <w:b/>
          <w:bCs/>
          <w:lang w:eastAsia="en-AU"/>
        </w:rPr>
        <w:t xml:space="preserve">Judgment delivered: </w:t>
      </w:r>
      <w:r>
        <w:rPr>
          <w:lang w:eastAsia="en-AU"/>
        </w:rPr>
        <w:t xml:space="preserve">25 March 2022 </w:t>
      </w:r>
    </w:p>
    <w:p w14:paraId="5BA616C0" w14:textId="77777777" w:rsidR="00DD0272" w:rsidRDefault="00DD0272" w:rsidP="00DD0272">
      <w:pPr>
        <w:rPr>
          <w:b/>
          <w:bCs/>
          <w:lang w:eastAsia="en-AU"/>
        </w:rPr>
      </w:pPr>
    </w:p>
    <w:p w14:paraId="0DC3A5C2" w14:textId="77777777" w:rsidR="00DD0272" w:rsidRPr="00DB68FF" w:rsidRDefault="00DD0272" w:rsidP="00DD0272">
      <w:pPr>
        <w:rPr>
          <w:lang w:eastAsia="en-AU"/>
        </w:rPr>
      </w:pPr>
      <w:r>
        <w:rPr>
          <w:b/>
          <w:bCs/>
          <w:lang w:eastAsia="en-AU"/>
        </w:rPr>
        <w:t>Coram:</w:t>
      </w:r>
      <w:r w:rsidRPr="00DB68FF">
        <w:t xml:space="preserve"> </w:t>
      </w:r>
      <w:r w:rsidRPr="00DE552B">
        <w:rPr>
          <w:lang w:eastAsia="en-AU"/>
        </w:rPr>
        <w:t>Wagner CJ</w:t>
      </w:r>
      <w:r>
        <w:rPr>
          <w:lang w:eastAsia="en-AU"/>
        </w:rPr>
        <w:t xml:space="preserve">, </w:t>
      </w:r>
      <w:r w:rsidRPr="00DE552B">
        <w:rPr>
          <w:lang w:eastAsia="en-AU"/>
        </w:rPr>
        <w:t>Moldaver, Karakatsanis, Côté, Brown, Rowe, Martin, Kasirer and Jamal JJ</w:t>
      </w:r>
    </w:p>
    <w:p w14:paraId="25BACD6F" w14:textId="77777777" w:rsidR="00DD0272" w:rsidRDefault="00DD0272" w:rsidP="00DD0272">
      <w:pPr>
        <w:rPr>
          <w:b/>
          <w:bCs/>
          <w:lang w:eastAsia="en-AU"/>
        </w:rPr>
      </w:pPr>
    </w:p>
    <w:p w14:paraId="0A67D985" w14:textId="77777777" w:rsidR="00DD0272" w:rsidRDefault="00DD0272" w:rsidP="00DD0272">
      <w:pPr>
        <w:rPr>
          <w:b/>
          <w:bCs/>
          <w:lang w:eastAsia="en-AU"/>
        </w:rPr>
      </w:pPr>
      <w:r>
        <w:rPr>
          <w:b/>
          <w:bCs/>
          <w:lang w:eastAsia="en-AU"/>
        </w:rPr>
        <w:t>Catchwords:</w:t>
      </w:r>
    </w:p>
    <w:p w14:paraId="4D106DA7" w14:textId="77777777" w:rsidR="00DD0272" w:rsidRDefault="00DD0272" w:rsidP="00DD0272">
      <w:pPr>
        <w:rPr>
          <w:b/>
          <w:bCs/>
          <w:lang w:eastAsia="en-AU"/>
        </w:rPr>
      </w:pPr>
    </w:p>
    <w:p w14:paraId="0A4B6B33" w14:textId="2623DCD7" w:rsidR="00DD0272" w:rsidRDefault="00DD0272" w:rsidP="00DD0272">
      <w:pPr>
        <w:pStyle w:val="Catchwords"/>
      </w:pPr>
      <w:r w:rsidRPr="00C675B7">
        <w:t xml:space="preserve">Criminal law </w:t>
      </w:r>
      <w:r w:rsidR="002A44D4">
        <w:t>–</w:t>
      </w:r>
      <w:r w:rsidRPr="00C675B7">
        <w:t xml:space="preserve"> Trial </w:t>
      </w:r>
      <w:r w:rsidR="002A44D4">
        <w:t>–</w:t>
      </w:r>
      <w:r w:rsidRPr="00C675B7">
        <w:t xml:space="preserve"> Evidence </w:t>
      </w:r>
      <w:r w:rsidR="002A44D4">
        <w:t>–</w:t>
      </w:r>
      <w:r w:rsidRPr="00C675B7">
        <w:t xml:space="preserve"> Admissibility </w:t>
      </w:r>
      <w:r w:rsidR="002A44D4">
        <w:t>–</w:t>
      </w:r>
      <w:r w:rsidRPr="00C675B7">
        <w:t xml:space="preserve"> Cross</w:t>
      </w:r>
      <w:r w:rsidRPr="00C675B7">
        <w:rPr>
          <w:rFonts w:ascii="Cambria Math" w:hAnsi="Cambria Math" w:cs="Cambria Math"/>
        </w:rPr>
        <w:t>‑</w:t>
      </w:r>
      <w:r w:rsidRPr="00C675B7">
        <w:t xml:space="preserve">examination </w:t>
      </w:r>
      <w:r w:rsidR="002A44D4">
        <w:rPr>
          <w:rFonts w:cs="Verdana"/>
        </w:rPr>
        <w:t>–</w:t>
      </w:r>
      <w:r w:rsidRPr="00C675B7">
        <w:t xml:space="preserve"> Intervention by trial judge </w:t>
      </w:r>
      <w:r w:rsidR="002A44D4">
        <w:rPr>
          <w:rFonts w:cs="Verdana"/>
        </w:rPr>
        <w:t>–</w:t>
      </w:r>
      <w:r w:rsidRPr="00C675B7">
        <w:t xml:space="preserve"> Scope of trial management power </w:t>
      </w:r>
      <w:r w:rsidR="002A44D4">
        <w:rPr>
          <w:rFonts w:cs="Verdana"/>
        </w:rPr>
        <w:t>–</w:t>
      </w:r>
      <w:r w:rsidRPr="00C675B7">
        <w:t xml:space="preserve"> </w:t>
      </w:r>
      <w:r>
        <w:t>Where c</w:t>
      </w:r>
      <w:r w:rsidRPr="00C675B7">
        <w:t>urtailment of four lines of questioning by trial judge during cross</w:t>
      </w:r>
      <w:r w:rsidRPr="00C675B7">
        <w:rPr>
          <w:rFonts w:ascii="Cambria Math" w:hAnsi="Cambria Math" w:cs="Cambria Math"/>
        </w:rPr>
        <w:t>‑</w:t>
      </w:r>
      <w:r w:rsidRPr="00C675B7">
        <w:t>examination of Crown witness by accused</w:t>
      </w:r>
      <w:r w:rsidRPr="00C675B7">
        <w:rPr>
          <w:rFonts w:cs="Verdana"/>
        </w:rPr>
        <w:t>’</w:t>
      </w:r>
      <w:r w:rsidRPr="00C675B7">
        <w:t xml:space="preserve">s counsel </w:t>
      </w:r>
      <w:r w:rsidR="002A44D4">
        <w:rPr>
          <w:rFonts w:cs="Verdana"/>
        </w:rPr>
        <w:t>–</w:t>
      </w:r>
      <w:r w:rsidRPr="00C675B7">
        <w:t xml:space="preserve"> Whether trial judge’s rulings were proper exercise of trial management power </w:t>
      </w:r>
      <w:r w:rsidR="002A44D4">
        <w:t>–</w:t>
      </w:r>
      <w:r w:rsidRPr="00C675B7">
        <w:t xml:space="preserve"> Whether trial judge erred in curtailing cross</w:t>
      </w:r>
      <w:r w:rsidRPr="00C675B7">
        <w:rPr>
          <w:rFonts w:ascii="Cambria Math" w:hAnsi="Cambria Math" w:cs="Cambria Math"/>
        </w:rPr>
        <w:t>‑</w:t>
      </w:r>
      <w:r w:rsidRPr="00C675B7">
        <w:t xml:space="preserve">examination </w:t>
      </w:r>
      <w:r w:rsidR="002A44D4">
        <w:rPr>
          <w:rFonts w:cs="Verdana"/>
        </w:rPr>
        <w:t>–</w:t>
      </w:r>
      <w:r w:rsidRPr="00C675B7">
        <w:t xml:space="preserve"> If so, whether curative proviso applies </w:t>
      </w:r>
      <w:r w:rsidR="002A44D4">
        <w:rPr>
          <w:rFonts w:cs="Verdana"/>
        </w:rPr>
        <w:t>–</w:t>
      </w:r>
      <w:r w:rsidRPr="00C675B7">
        <w:t xml:space="preserve"> </w:t>
      </w:r>
      <w:r w:rsidRPr="00C675B7">
        <w:rPr>
          <w:i/>
          <w:iCs/>
        </w:rPr>
        <w:t>Criminal Code</w:t>
      </w:r>
      <w:r w:rsidRPr="00C675B7">
        <w:t>, RSC 1985, c</w:t>
      </w:r>
      <w:r>
        <w:t xml:space="preserve"> </w:t>
      </w:r>
      <w:r w:rsidRPr="00C675B7">
        <w:t>C</w:t>
      </w:r>
      <w:r w:rsidRPr="00C675B7">
        <w:rPr>
          <w:rFonts w:ascii="Cambria Math" w:hAnsi="Cambria Math" w:cs="Cambria Math"/>
        </w:rPr>
        <w:t>‑</w:t>
      </w:r>
      <w:r w:rsidRPr="00C675B7">
        <w:t>46, s 686(1)(b)(iii)</w:t>
      </w:r>
      <w:r w:rsidRPr="00DE552B">
        <w:t>.</w:t>
      </w:r>
    </w:p>
    <w:p w14:paraId="0A5C3A9A" w14:textId="77777777" w:rsidR="00DD0272" w:rsidRDefault="00DD0272" w:rsidP="00DD0272">
      <w:pPr>
        <w:rPr>
          <w:b/>
          <w:bCs/>
          <w:lang w:eastAsia="en-AU"/>
        </w:rPr>
      </w:pPr>
    </w:p>
    <w:p w14:paraId="0F40ECD5" w14:textId="77777777" w:rsidR="00DD0272" w:rsidRDefault="00DD0272" w:rsidP="00DD0272">
      <w:pPr>
        <w:rPr>
          <w:lang w:eastAsia="en-AU"/>
        </w:rPr>
      </w:pPr>
      <w:r>
        <w:rPr>
          <w:b/>
          <w:bCs/>
          <w:lang w:eastAsia="en-AU"/>
        </w:rPr>
        <w:t>Held (6:3):</w:t>
      </w:r>
      <w:r>
        <w:rPr>
          <w:lang w:eastAsia="en-AU"/>
        </w:rPr>
        <w:t xml:space="preserve"> Appeal dismissed. </w:t>
      </w:r>
    </w:p>
    <w:p w14:paraId="48CA5469" w14:textId="71B51040" w:rsidR="00DD0272" w:rsidRDefault="00DD0272" w:rsidP="00DD0272">
      <w:pPr>
        <w:pStyle w:val="BullDivider1"/>
      </w:pPr>
    </w:p>
    <w:p w14:paraId="4A3D529F" w14:textId="77777777" w:rsidR="002A44D4" w:rsidRPr="002A44D4" w:rsidRDefault="002A44D4" w:rsidP="002A44D4">
      <w:pPr>
        <w:rPr>
          <w:lang w:eastAsia="en-AU"/>
        </w:rPr>
      </w:pPr>
    </w:p>
    <w:p w14:paraId="4DD2A150" w14:textId="7711DDA2" w:rsidR="002A44D4" w:rsidRDefault="002A44D4" w:rsidP="002A44D4">
      <w:pPr>
        <w:pStyle w:val="Heading2"/>
      </w:pPr>
      <w:r>
        <w:t>R v</w:t>
      </w:r>
      <w:r w:rsidRPr="00C675B7">
        <w:t xml:space="preserve"> </w:t>
      </w:r>
      <w:proofErr w:type="spellStart"/>
      <w:r>
        <w:t>Valli</w:t>
      </w:r>
      <w:r w:rsidRPr="002A44D4">
        <w:t>è</w:t>
      </w:r>
      <w:r>
        <w:t>res</w:t>
      </w:r>
      <w:proofErr w:type="spellEnd"/>
    </w:p>
    <w:p w14:paraId="24835C5F" w14:textId="79A39C23" w:rsidR="002A44D4" w:rsidRDefault="002A44D4" w:rsidP="002A44D4">
      <w:pPr>
        <w:rPr>
          <w:lang w:eastAsia="en-AU"/>
        </w:rPr>
      </w:pPr>
      <w:r>
        <w:rPr>
          <w:b/>
          <w:bCs/>
          <w:lang w:eastAsia="en-AU"/>
        </w:rPr>
        <w:t>Supreme Court of Canada</w:t>
      </w:r>
      <w:r w:rsidRPr="006B0D58">
        <w:rPr>
          <w:b/>
          <w:bCs/>
          <w:lang w:eastAsia="en-AU"/>
        </w:rPr>
        <w:t>:</w:t>
      </w:r>
      <w:r>
        <w:rPr>
          <w:lang w:eastAsia="en-AU"/>
        </w:rPr>
        <w:t xml:space="preserve"> </w:t>
      </w:r>
      <w:hyperlink r:id="rId24" w:history="1">
        <w:r>
          <w:rPr>
            <w:rStyle w:val="Hyperlink"/>
          </w:rPr>
          <w:t>[2022] SCC 10</w:t>
        </w:r>
      </w:hyperlink>
      <w:r>
        <w:t xml:space="preserve"> </w:t>
      </w:r>
    </w:p>
    <w:p w14:paraId="5E7B67F9" w14:textId="77777777" w:rsidR="002A44D4" w:rsidRDefault="002A44D4" w:rsidP="002A44D4">
      <w:pPr>
        <w:rPr>
          <w:lang w:eastAsia="en-AU"/>
        </w:rPr>
      </w:pPr>
    </w:p>
    <w:p w14:paraId="3F50B5E4" w14:textId="7F4BB3A2" w:rsidR="002A44D4" w:rsidRPr="00DB68FF" w:rsidRDefault="002A44D4" w:rsidP="002A44D4">
      <w:pPr>
        <w:rPr>
          <w:lang w:eastAsia="en-AU"/>
        </w:rPr>
      </w:pPr>
      <w:r>
        <w:rPr>
          <w:b/>
          <w:bCs/>
          <w:lang w:eastAsia="en-AU"/>
        </w:rPr>
        <w:t xml:space="preserve">Judgment delivered: </w:t>
      </w:r>
      <w:r>
        <w:rPr>
          <w:lang w:eastAsia="en-AU"/>
        </w:rPr>
        <w:t xml:space="preserve">31 March 2022 </w:t>
      </w:r>
    </w:p>
    <w:p w14:paraId="165EBE07" w14:textId="77777777" w:rsidR="002A44D4" w:rsidRDefault="002A44D4" w:rsidP="002A44D4">
      <w:pPr>
        <w:rPr>
          <w:b/>
          <w:bCs/>
          <w:lang w:eastAsia="en-AU"/>
        </w:rPr>
      </w:pPr>
    </w:p>
    <w:p w14:paraId="4BACCFFC" w14:textId="77777777" w:rsidR="002A44D4" w:rsidRPr="00DB68FF" w:rsidRDefault="002A44D4" w:rsidP="002A44D4">
      <w:pPr>
        <w:rPr>
          <w:lang w:eastAsia="en-AU"/>
        </w:rPr>
      </w:pPr>
      <w:r>
        <w:rPr>
          <w:b/>
          <w:bCs/>
          <w:lang w:eastAsia="en-AU"/>
        </w:rPr>
        <w:t>Coram:</w:t>
      </w:r>
      <w:r w:rsidRPr="00DB68FF">
        <w:t xml:space="preserve"> </w:t>
      </w:r>
      <w:r w:rsidRPr="00DE552B">
        <w:rPr>
          <w:lang w:eastAsia="en-AU"/>
        </w:rPr>
        <w:t>Wagner CJ</w:t>
      </w:r>
      <w:r>
        <w:rPr>
          <w:lang w:eastAsia="en-AU"/>
        </w:rPr>
        <w:t xml:space="preserve">, </w:t>
      </w:r>
      <w:r w:rsidRPr="00DE552B">
        <w:rPr>
          <w:lang w:eastAsia="en-AU"/>
        </w:rPr>
        <w:t>Moldaver, Karakatsanis, Côté, Brown, Rowe, Martin, Kasirer and Jamal JJ</w:t>
      </w:r>
    </w:p>
    <w:p w14:paraId="3FB3CE4A" w14:textId="77777777" w:rsidR="002A44D4" w:rsidRDefault="002A44D4" w:rsidP="002A44D4">
      <w:pPr>
        <w:rPr>
          <w:b/>
          <w:bCs/>
          <w:lang w:eastAsia="en-AU"/>
        </w:rPr>
      </w:pPr>
    </w:p>
    <w:p w14:paraId="6FFDBB41" w14:textId="77777777" w:rsidR="002A44D4" w:rsidRDefault="002A44D4" w:rsidP="002A44D4">
      <w:pPr>
        <w:rPr>
          <w:b/>
          <w:bCs/>
          <w:lang w:eastAsia="en-AU"/>
        </w:rPr>
      </w:pPr>
      <w:r>
        <w:rPr>
          <w:b/>
          <w:bCs/>
          <w:lang w:eastAsia="en-AU"/>
        </w:rPr>
        <w:t>Catchwords:</w:t>
      </w:r>
    </w:p>
    <w:p w14:paraId="7405ACAA" w14:textId="77777777" w:rsidR="002A44D4" w:rsidRDefault="002A44D4" w:rsidP="002A44D4">
      <w:pPr>
        <w:rPr>
          <w:b/>
          <w:bCs/>
          <w:lang w:eastAsia="en-AU"/>
        </w:rPr>
      </w:pPr>
    </w:p>
    <w:p w14:paraId="18BDDFEF" w14:textId="65CA0B7B" w:rsidR="002A44D4" w:rsidRDefault="002A44D4" w:rsidP="002A44D4">
      <w:pPr>
        <w:pStyle w:val="Catchwords"/>
      </w:pPr>
      <w:r w:rsidRPr="002A44D4">
        <w:t xml:space="preserve">Criminal law </w:t>
      </w:r>
      <w:r>
        <w:t>–</w:t>
      </w:r>
      <w:r w:rsidRPr="002A44D4">
        <w:t xml:space="preserve"> Sentencing </w:t>
      </w:r>
      <w:r>
        <w:t>–</w:t>
      </w:r>
      <w:r w:rsidRPr="002A44D4">
        <w:t xml:space="preserve"> Discretion of court </w:t>
      </w:r>
      <w:r>
        <w:t>–</w:t>
      </w:r>
      <w:r w:rsidRPr="002A44D4">
        <w:t xml:space="preserve"> Amount of fine </w:t>
      </w:r>
      <w:r>
        <w:t>–</w:t>
      </w:r>
      <w:r w:rsidRPr="002A44D4">
        <w:t xml:space="preserve"> </w:t>
      </w:r>
      <w:r>
        <w:t>Where f</w:t>
      </w:r>
      <w:r w:rsidRPr="002A44D4">
        <w:t xml:space="preserve">ine </w:t>
      </w:r>
      <w:r>
        <w:t xml:space="preserve">imposed </w:t>
      </w:r>
      <w:r w:rsidRPr="002A44D4">
        <w:t xml:space="preserve">in lieu of order for forfeiture of property that </w:t>
      </w:r>
      <w:r>
        <w:t>was</w:t>
      </w:r>
      <w:r w:rsidRPr="002A44D4">
        <w:t xml:space="preserve"> proceeds of crime </w:t>
      </w:r>
      <w:r>
        <w:t xml:space="preserve">– </w:t>
      </w:r>
      <w:r w:rsidRPr="002A44D4">
        <w:t xml:space="preserve">Whether court has discretion to limit amount of fine in lieu to profit made by offender from their criminal activities </w:t>
      </w:r>
      <w:r>
        <w:t>–</w:t>
      </w:r>
      <w:r w:rsidRPr="002A44D4">
        <w:t xml:space="preserve"> Whether value of property that </w:t>
      </w:r>
      <w:r>
        <w:t>was</w:t>
      </w:r>
      <w:r w:rsidRPr="002A44D4">
        <w:t xml:space="preserve"> proceeds of crime may be apportioned between co</w:t>
      </w:r>
      <w:r w:rsidRPr="002A44D4">
        <w:rPr>
          <w:rFonts w:ascii="Cambria Math" w:hAnsi="Cambria Math" w:cs="Cambria Math"/>
        </w:rPr>
        <w:t>‑</w:t>
      </w:r>
      <w:r w:rsidRPr="002A44D4">
        <w:t>accused</w:t>
      </w:r>
      <w:r>
        <w:t xml:space="preserve"> </w:t>
      </w:r>
      <w:r>
        <w:rPr>
          <w:rFonts w:cs="Verdana"/>
        </w:rPr>
        <w:t>–</w:t>
      </w:r>
      <w:r w:rsidRPr="00C675B7">
        <w:t xml:space="preserve"> </w:t>
      </w:r>
      <w:r w:rsidRPr="00C675B7">
        <w:rPr>
          <w:i/>
          <w:iCs/>
        </w:rPr>
        <w:t>Criminal Code</w:t>
      </w:r>
      <w:r w:rsidRPr="00C675B7">
        <w:t>, RSC 1985, c</w:t>
      </w:r>
      <w:r>
        <w:t xml:space="preserve"> </w:t>
      </w:r>
      <w:r w:rsidRPr="00C675B7">
        <w:t>C</w:t>
      </w:r>
      <w:r w:rsidRPr="00C675B7">
        <w:rPr>
          <w:rFonts w:ascii="Cambria Math" w:hAnsi="Cambria Math" w:cs="Cambria Math"/>
        </w:rPr>
        <w:t>‑</w:t>
      </w:r>
      <w:r w:rsidRPr="00C675B7">
        <w:t xml:space="preserve">46, s </w:t>
      </w:r>
      <w:r w:rsidRPr="002A44D4">
        <w:t>462.37(3)</w:t>
      </w:r>
      <w:r w:rsidRPr="00DE552B">
        <w:t>.</w:t>
      </w:r>
    </w:p>
    <w:p w14:paraId="47449623" w14:textId="77777777" w:rsidR="002A44D4" w:rsidRDefault="002A44D4" w:rsidP="002A44D4">
      <w:pPr>
        <w:rPr>
          <w:b/>
          <w:bCs/>
          <w:lang w:eastAsia="en-AU"/>
        </w:rPr>
      </w:pPr>
    </w:p>
    <w:p w14:paraId="2D408D0A" w14:textId="6D84666A" w:rsidR="002A44D4" w:rsidRDefault="002A44D4" w:rsidP="002A44D4">
      <w:pPr>
        <w:rPr>
          <w:lang w:eastAsia="en-AU"/>
        </w:rPr>
      </w:pPr>
      <w:r>
        <w:rPr>
          <w:b/>
          <w:bCs/>
          <w:lang w:eastAsia="en-AU"/>
        </w:rPr>
        <w:t>Held (9:0):</w:t>
      </w:r>
      <w:r>
        <w:rPr>
          <w:lang w:eastAsia="en-AU"/>
        </w:rPr>
        <w:t xml:space="preserve"> Appeal allowed. </w:t>
      </w:r>
    </w:p>
    <w:p w14:paraId="206F87AF" w14:textId="77777777" w:rsidR="002A44D4" w:rsidRDefault="002A44D4" w:rsidP="002A44D4">
      <w:pPr>
        <w:pStyle w:val="BullDivider1"/>
      </w:pPr>
    </w:p>
    <w:p w14:paraId="1515205B" w14:textId="072F90D2" w:rsidR="00DD0272" w:rsidRDefault="00DD0272" w:rsidP="00DD0272">
      <w:pPr>
        <w:rPr>
          <w:lang w:eastAsia="en-AU"/>
        </w:rPr>
      </w:pPr>
    </w:p>
    <w:p w14:paraId="6686FF39" w14:textId="77777777" w:rsidR="00DD0272" w:rsidRDefault="00DD0272" w:rsidP="00DD0272">
      <w:pPr>
        <w:pStyle w:val="Heading2"/>
      </w:pPr>
      <w:r>
        <w:t>Ramirez v Collier</w:t>
      </w:r>
    </w:p>
    <w:p w14:paraId="63FA2870" w14:textId="77777777" w:rsidR="00DD0272" w:rsidRDefault="00DD0272" w:rsidP="00DD0272">
      <w:pPr>
        <w:rPr>
          <w:lang w:eastAsia="en-AU"/>
        </w:rPr>
      </w:pPr>
      <w:r>
        <w:rPr>
          <w:b/>
          <w:bCs/>
          <w:lang w:eastAsia="en-AU"/>
        </w:rPr>
        <w:t>Supreme Court of the United States</w:t>
      </w:r>
      <w:r w:rsidRPr="006B0D58">
        <w:rPr>
          <w:b/>
          <w:bCs/>
          <w:lang w:eastAsia="en-AU"/>
        </w:rPr>
        <w:t>:</w:t>
      </w:r>
      <w:r>
        <w:rPr>
          <w:lang w:eastAsia="en-AU"/>
        </w:rPr>
        <w:t xml:space="preserve"> </w:t>
      </w:r>
      <w:hyperlink r:id="rId25" w:history="1">
        <w:r w:rsidRPr="007A1301">
          <w:rPr>
            <w:rStyle w:val="Hyperlink"/>
          </w:rPr>
          <w:t>Docket No. 21–5592</w:t>
        </w:r>
      </w:hyperlink>
    </w:p>
    <w:p w14:paraId="0EEE3EC3" w14:textId="77777777" w:rsidR="00DD0272" w:rsidRDefault="00DD0272" w:rsidP="00DD0272">
      <w:pPr>
        <w:rPr>
          <w:lang w:eastAsia="en-AU"/>
        </w:rPr>
      </w:pPr>
    </w:p>
    <w:p w14:paraId="64EA6BCB" w14:textId="77777777" w:rsidR="00DD0272" w:rsidRPr="00DB68FF" w:rsidRDefault="00DD0272" w:rsidP="00DD0272">
      <w:pPr>
        <w:rPr>
          <w:lang w:eastAsia="en-AU"/>
        </w:rPr>
      </w:pPr>
      <w:r>
        <w:rPr>
          <w:b/>
          <w:bCs/>
          <w:lang w:eastAsia="en-AU"/>
        </w:rPr>
        <w:t xml:space="preserve">Judgment delivered: </w:t>
      </w:r>
      <w:r>
        <w:rPr>
          <w:lang w:eastAsia="en-AU"/>
        </w:rPr>
        <w:t>24 March 2022</w:t>
      </w:r>
    </w:p>
    <w:p w14:paraId="10364A5A" w14:textId="77777777" w:rsidR="00DD0272" w:rsidRDefault="00DD0272" w:rsidP="00DD0272">
      <w:pPr>
        <w:rPr>
          <w:b/>
          <w:bCs/>
          <w:lang w:eastAsia="en-AU"/>
        </w:rPr>
      </w:pPr>
    </w:p>
    <w:p w14:paraId="0DCF1EFD"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5DE47D8A" w14:textId="77777777" w:rsidR="00DD0272" w:rsidRPr="00DB68FF" w:rsidRDefault="00DD0272" w:rsidP="00DD0272">
      <w:pPr>
        <w:rPr>
          <w:lang w:eastAsia="en-AU"/>
        </w:rPr>
      </w:pPr>
      <w:r>
        <w:rPr>
          <w:lang w:eastAsia="en-AU"/>
        </w:rPr>
        <w:t>Kavanaugh and Barrett JJ</w:t>
      </w:r>
    </w:p>
    <w:p w14:paraId="21B108BA" w14:textId="77777777" w:rsidR="00DD0272" w:rsidRDefault="00DD0272" w:rsidP="00DD0272">
      <w:pPr>
        <w:rPr>
          <w:b/>
          <w:bCs/>
          <w:lang w:eastAsia="en-AU"/>
        </w:rPr>
      </w:pPr>
    </w:p>
    <w:p w14:paraId="1FA88923" w14:textId="77777777" w:rsidR="00DD0272" w:rsidRDefault="00DD0272" w:rsidP="00DD0272">
      <w:pPr>
        <w:rPr>
          <w:b/>
          <w:bCs/>
          <w:lang w:eastAsia="en-AU"/>
        </w:rPr>
      </w:pPr>
      <w:r>
        <w:rPr>
          <w:b/>
          <w:bCs/>
          <w:lang w:eastAsia="en-AU"/>
        </w:rPr>
        <w:t>Catchwords:</w:t>
      </w:r>
    </w:p>
    <w:p w14:paraId="1FA1B4B8" w14:textId="77777777" w:rsidR="00DD0272" w:rsidRDefault="00DD0272" w:rsidP="00DD0272">
      <w:pPr>
        <w:rPr>
          <w:b/>
          <w:bCs/>
          <w:lang w:eastAsia="en-AU"/>
        </w:rPr>
      </w:pPr>
    </w:p>
    <w:p w14:paraId="199EC8BE" w14:textId="4716C568" w:rsidR="00DD0272" w:rsidRDefault="00DD0272" w:rsidP="00DD0272">
      <w:pPr>
        <w:pStyle w:val="Catchwords"/>
      </w:pPr>
      <w:r>
        <w:t xml:space="preserve">Criminal law – Death sentence – Execution protocol – Where Ramirez sentenced to execution – Where Ramirez filed prison grievance asking that his pastor be permitted to lay hands on him and pray over him during execution – Where Texas denied request, but pointed to no provision of execution protocol requiring result and State had history of allowing prison chaplains to engage in such activities – Where Ramirez filed suit alleging that refusal of prison officials to allow pastor to lay hands on him in execution chamber violated his rights under </w:t>
      </w:r>
      <w:r w:rsidRPr="001E0061">
        <w:rPr>
          <w:i/>
          <w:iCs/>
        </w:rPr>
        <w:t>Religious Land Use and Institutionalized Persons Act of 2000</w:t>
      </w:r>
      <w:r>
        <w:t xml:space="preserve"> and First Amendment – Where Ramirez </w:t>
      </w:r>
      <w:r w:rsidRPr="00A71155">
        <w:t xml:space="preserve">sought </w:t>
      </w:r>
      <w:r>
        <w:t>stay of execution until District Court considered claims – Where District Court and Fifth Circuit denied request – Whether preliminary injunction should be granted – Whether Ramirez’s execution without requested participation of his pastor should be halted pending full consideration of claims.</w:t>
      </w:r>
    </w:p>
    <w:p w14:paraId="7B87E8F4" w14:textId="77777777" w:rsidR="00DD0272" w:rsidRDefault="00DD0272" w:rsidP="00DD0272">
      <w:pPr>
        <w:rPr>
          <w:b/>
          <w:bCs/>
          <w:lang w:eastAsia="en-AU"/>
        </w:rPr>
      </w:pPr>
    </w:p>
    <w:p w14:paraId="2800C0DE" w14:textId="3B8EDCEF" w:rsidR="00DD0272" w:rsidRDefault="00DD0272" w:rsidP="00DD0272">
      <w:pPr>
        <w:rPr>
          <w:lang w:eastAsia="en-AU"/>
        </w:rPr>
      </w:pPr>
      <w:r>
        <w:rPr>
          <w:b/>
          <w:bCs/>
          <w:lang w:eastAsia="en-AU"/>
        </w:rPr>
        <w:t>Held (8:1):</w:t>
      </w:r>
      <w:r>
        <w:rPr>
          <w:lang w:eastAsia="en-AU"/>
        </w:rPr>
        <w:t xml:space="preserve"> Judgment of </w:t>
      </w:r>
      <w:r w:rsidR="003727FC">
        <w:rPr>
          <w:lang w:eastAsia="en-AU"/>
        </w:rPr>
        <w:t>Court of Appeals for the</w:t>
      </w:r>
      <w:r>
        <w:rPr>
          <w:lang w:eastAsia="en-AU"/>
        </w:rPr>
        <w:t xml:space="preserve"> Fifth Circuit </w:t>
      </w:r>
      <w:proofErr w:type="gramStart"/>
      <w:r>
        <w:rPr>
          <w:lang w:eastAsia="en-AU"/>
        </w:rPr>
        <w:t>reversed</w:t>
      </w:r>
      <w:proofErr w:type="gramEnd"/>
      <w:r w:rsidR="003727FC">
        <w:rPr>
          <w:lang w:eastAsia="en-AU"/>
        </w:rPr>
        <w:t xml:space="preserve"> and</w:t>
      </w:r>
      <w:r>
        <w:rPr>
          <w:lang w:eastAsia="en-AU"/>
        </w:rPr>
        <w:t xml:space="preserve"> </w:t>
      </w:r>
      <w:r w:rsidR="00BA12DA">
        <w:rPr>
          <w:lang w:eastAsia="en-AU"/>
        </w:rPr>
        <w:t xml:space="preserve">case </w:t>
      </w:r>
      <w:r>
        <w:rPr>
          <w:lang w:eastAsia="en-AU"/>
        </w:rPr>
        <w:t>remanded.</w:t>
      </w:r>
    </w:p>
    <w:p w14:paraId="3FF3D19A" w14:textId="77777777" w:rsidR="00DD0272" w:rsidRDefault="00DD0272" w:rsidP="00DD0272">
      <w:pPr>
        <w:pStyle w:val="BullDivider1"/>
      </w:pPr>
    </w:p>
    <w:p w14:paraId="07455C27" w14:textId="1E73261E" w:rsidR="00866165" w:rsidRDefault="00866165" w:rsidP="00866165"/>
    <w:p w14:paraId="0B5636E6" w14:textId="77777777" w:rsidR="00DD0272" w:rsidRDefault="00DD0272" w:rsidP="00DD0272">
      <w:pPr>
        <w:pStyle w:val="Heading2"/>
      </w:pPr>
      <w:r>
        <w:t xml:space="preserve">United States v Tsarnaev </w:t>
      </w:r>
    </w:p>
    <w:p w14:paraId="0584DE8A" w14:textId="77777777" w:rsidR="00DD0272" w:rsidRDefault="00DD0272" w:rsidP="00DD0272">
      <w:pPr>
        <w:rPr>
          <w:lang w:eastAsia="en-AU"/>
        </w:rPr>
      </w:pPr>
      <w:r>
        <w:rPr>
          <w:b/>
          <w:bCs/>
          <w:lang w:eastAsia="en-AU"/>
        </w:rPr>
        <w:t>Supreme Court of the United States</w:t>
      </w:r>
      <w:r w:rsidRPr="006B0D58">
        <w:rPr>
          <w:b/>
          <w:bCs/>
          <w:lang w:eastAsia="en-AU"/>
        </w:rPr>
        <w:t>:</w:t>
      </w:r>
      <w:r>
        <w:rPr>
          <w:lang w:eastAsia="en-AU"/>
        </w:rPr>
        <w:t xml:space="preserve"> </w:t>
      </w:r>
      <w:hyperlink r:id="rId26" w:history="1">
        <w:r w:rsidRPr="00D24067">
          <w:rPr>
            <w:rStyle w:val="Hyperlink"/>
          </w:rPr>
          <w:t>Docket No. 20–</w:t>
        </w:r>
        <w:r>
          <w:rPr>
            <w:rStyle w:val="Hyperlink"/>
          </w:rPr>
          <w:t>443</w:t>
        </w:r>
      </w:hyperlink>
    </w:p>
    <w:p w14:paraId="555A0476" w14:textId="77777777" w:rsidR="00DD0272" w:rsidRDefault="00DD0272" w:rsidP="00DD0272">
      <w:pPr>
        <w:rPr>
          <w:lang w:eastAsia="en-AU"/>
        </w:rPr>
      </w:pPr>
    </w:p>
    <w:p w14:paraId="796A02C6" w14:textId="77777777" w:rsidR="00DD0272" w:rsidRPr="00DB68FF" w:rsidRDefault="00DD0272" w:rsidP="00DD0272">
      <w:pPr>
        <w:rPr>
          <w:lang w:eastAsia="en-AU"/>
        </w:rPr>
      </w:pPr>
      <w:r>
        <w:rPr>
          <w:b/>
          <w:bCs/>
          <w:lang w:eastAsia="en-AU"/>
        </w:rPr>
        <w:t xml:space="preserve">Judgment delivered: </w:t>
      </w:r>
      <w:r>
        <w:rPr>
          <w:lang w:eastAsia="en-AU"/>
        </w:rPr>
        <w:t>4 March 2022</w:t>
      </w:r>
    </w:p>
    <w:p w14:paraId="72F952F3" w14:textId="77777777" w:rsidR="00DD0272" w:rsidRDefault="00DD0272" w:rsidP="00DD0272">
      <w:pPr>
        <w:rPr>
          <w:b/>
          <w:bCs/>
          <w:lang w:eastAsia="en-AU"/>
        </w:rPr>
      </w:pPr>
    </w:p>
    <w:p w14:paraId="61F01934"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5303D381" w14:textId="77777777" w:rsidR="00DD0272" w:rsidRPr="00DB68FF" w:rsidRDefault="00DD0272" w:rsidP="00DD0272">
      <w:pPr>
        <w:rPr>
          <w:lang w:eastAsia="en-AU"/>
        </w:rPr>
      </w:pPr>
      <w:r>
        <w:rPr>
          <w:lang w:eastAsia="en-AU"/>
        </w:rPr>
        <w:t>Kavanaugh and Barrett JJ</w:t>
      </w:r>
    </w:p>
    <w:p w14:paraId="54D5E01E" w14:textId="77777777" w:rsidR="00DD0272" w:rsidRDefault="00DD0272" w:rsidP="00DD0272">
      <w:pPr>
        <w:rPr>
          <w:b/>
          <w:bCs/>
          <w:lang w:eastAsia="en-AU"/>
        </w:rPr>
      </w:pPr>
    </w:p>
    <w:p w14:paraId="2C03BA16" w14:textId="77777777" w:rsidR="00DD0272" w:rsidRDefault="00DD0272" w:rsidP="00DD0272">
      <w:pPr>
        <w:rPr>
          <w:b/>
          <w:bCs/>
          <w:lang w:eastAsia="en-AU"/>
        </w:rPr>
      </w:pPr>
      <w:r>
        <w:rPr>
          <w:b/>
          <w:bCs/>
          <w:lang w:eastAsia="en-AU"/>
        </w:rPr>
        <w:t>Catchwords:</w:t>
      </w:r>
    </w:p>
    <w:p w14:paraId="2606BA02" w14:textId="77777777" w:rsidR="00DD0272" w:rsidRDefault="00DD0272" w:rsidP="00DD0272">
      <w:pPr>
        <w:rPr>
          <w:b/>
          <w:bCs/>
          <w:lang w:eastAsia="en-AU"/>
        </w:rPr>
      </w:pPr>
    </w:p>
    <w:p w14:paraId="6B1A944C" w14:textId="5D8A49A5" w:rsidR="00DD0272" w:rsidRDefault="00DD0272" w:rsidP="00DD0272">
      <w:pPr>
        <w:pStyle w:val="Catchwords"/>
      </w:pPr>
      <w:r>
        <w:t xml:space="preserve">Criminal law – Terrorism – Jury selection – Evidence at sentencing – Where brothers Dzhokhar and </w:t>
      </w:r>
      <w:proofErr w:type="spellStart"/>
      <w:r>
        <w:t>Tamerlan</w:t>
      </w:r>
      <w:proofErr w:type="spellEnd"/>
      <w:r>
        <w:t xml:space="preserve"> Tsarnaev planted and detonated two bombs near Boston Marathon finish line – Where Dzhokhar arrested and indicted for 30 crimes, including 17 capital offen</w:t>
      </w:r>
      <w:r w:rsidR="00186837">
        <w:t>c</w:t>
      </w:r>
      <w:r>
        <w:t>es – Where, to prepare for jury selection, parties proposed 100</w:t>
      </w:r>
      <w:r w:rsidR="001E0061">
        <w:t xml:space="preserve"> </w:t>
      </w:r>
      <w:r>
        <w:t xml:space="preserve">question screening, which included several questions regarding whether media coverage may have biased prospective jurors – Where District Court declined to include proposed question asking prospective jurors to list facts on case learned from media </w:t>
      </w:r>
      <w:r>
        <w:lastRenderedPageBreak/>
        <w:t xml:space="preserve">– Where jury found </w:t>
      </w:r>
      <w:r w:rsidRPr="000C5141">
        <w:t>Dzhokhar</w:t>
      </w:r>
      <w:r>
        <w:t xml:space="preserve"> guilty on all counts and Government sought death penalty – Where, at sentencing, Dzhokhar sought mitigation based on theory that </w:t>
      </w:r>
      <w:proofErr w:type="spellStart"/>
      <w:r>
        <w:t>Tamerlan</w:t>
      </w:r>
      <w:proofErr w:type="spellEnd"/>
      <w:r>
        <w:t xml:space="preserve"> masterminded bombing – Where, in support of theory, Dzhokhar sought to introduce statements of </w:t>
      </w:r>
      <w:proofErr w:type="spellStart"/>
      <w:r>
        <w:t>Ibragim</w:t>
      </w:r>
      <w:proofErr w:type="spellEnd"/>
      <w:r>
        <w:t xml:space="preserve"> Todashev, who had alleged during FBI interview that, years earlier, </w:t>
      </w:r>
      <w:proofErr w:type="spellStart"/>
      <w:r>
        <w:t>Tamerlan</w:t>
      </w:r>
      <w:proofErr w:type="spellEnd"/>
      <w:r>
        <w:t xml:space="preserve"> had participated in triple homicide </w:t>
      </w:r>
      <w:r w:rsidRPr="000C5141">
        <w:t>in Waltham, Massachusetts</w:t>
      </w:r>
      <w:r>
        <w:t xml:space="preserve"> – Where District Court excluded evidence and jury concluded 6 of Dzhokhar's crimes warranted death penalty – Where </w:t>
      </w:r>
      <w:r w:rsidR="00C814B6">
        <w:t>First Circuit</w:t>
      </w:r>
      <w:r>
        <w:t xml:space="preserve"> vacated Dzhokhar's capital sentences – Whether District Court abused discretion by declining to ask about content and extent of jurors' media consumption – Whether District Court abused discretion in excluding from sentencing proceeding evidence of Waltham murders. </w:t>
      </w:r>
    </w:p>
    <w:p w14:paraId="75B822F0" w14:textId="77777777" w:rsidR="00DD0272" w:rsidRDefault="00DD0272" w:rsidP="00DD0272">
      <w:pPr>
        <w:rPr>
          <w:b/>
          <w:bCs/>
          <w:lang w:eastAsia="en-AU"/>
        </w:rPr>
      </w:pPr>
    </w:p>
    <w:p w14:paraId="342150CB" w14:textId="52303723" w:rsidR="00DD0272" w:rsidRDefault="00DD0272" w:rsidP="00DD0272">
      <w:pPr>
        <w:rPr>
          <w:lang w:eastAsia="en-AU"/>
        </w:rPr>
      </w:pPr>
      <w:r>
        <w:rPr>
          <w:b/>
          <w:bCs/>
          <w:lang w:eastAsia="en-AU"/>
        </w:rPr>
        <w:t>Held (6:3):</w:t>
      </w:r>
      <w:r>
        <w:rPr>
          <w:lang w:eastAsia="en-AU"/>
        </w:rPr>
        <w:t xml:space="preserve"> </w:t>
      </w:r>
      <w:r w:rsidR="00C814B6">
        <w:rPr>
          <w:lang w:eastAsia="en-AU"/>
        </w:rPr>
        <w:t xml:space="preserve">Judgment of </w:t>
      </w:r>
      <w:r>
        <w:rPr>
          <w:lang w:eastAsia="en-AU"/>
        </w:rPr>
        <w:t>Court of Appeals</w:t>
      </w:r>
      <w:r w:rsidR="00C814B6">
        <w:rPr>
          <w:lang w:eastAsia="en-AU"/>
        </w:rPr>
        <w:t xml:space="preserve"> for the First Circuit</w:t>
      </w:r>
      <w:r>
        <w:rPr>
          <w:lang w:eastAsia="en-AU"/>
        </w:rPr>
        <w:t xml:space="preserve"> reversed. </w:t>
      </w:r>
    </w:p>
    <w:p w14:paraId="7D253C1B" w14:textId="77777777" w:rsidR="00DD0272" w:rsidRPr="00181993" w:rsidRDefault="00DD0272" w:rsidP="00DD0272">
      <w:pPr>
        <w:pStyle w:val="BullDivider1"/>
        <w:pBdr>
          <w:bottom w:val="dotted" w:sz="4" w:space="0" w:color="auto"/>
        </w:pBdr>
      </w:pPr>
    </w:p>
    <w:p w14:paraId="187FD923" w14:textId="77777777" w:rsidR="00DD0272" w:rsidRDefault="00DD0272" w:rsidP="00DD0272">
      <w:pPr>
        <w:rPr>
          <w:lang w:eastAsia="en-AU"/>
        </w:rPr>
      </w:pPr>
    </w:p>
    <w:p w14:paraId="7BB9DAF8" w14:textId="77777777" w:rsidR="00DD0272" w:rsidRDefault="00DD0272" w:rsidP="00DD0272">
      <w:pPr>
        <w:pStyle w:val="Heading2"/>
      </w:pPr>
      <w:r>
        <w:t>Wooden v United States</w:t>
      </w:r>
    </w:p>
    <w:p w14:paraId="24125255" w14:textId="77777777" w:rsidR="00DD0272" w:rsidRDefault="00DD0272" w:rsidP="00DD0272">
      <w:pPr>
        <w:rPr>
          <w:lang w:eastAsia="en-AU"/>
        </w:rPr>
      </w:pPr>
      <w:r>
        <w:rPr>
          <w:b/>
          <w:bCs/>
          <w:lang w:eastAsia="en-AU"/>
        </w:rPr>
        <w:t>Supreme Court of the United States</w:t>
      </w:r>
      <w:r w:rsidRPr="006B0D58">
        <w:rPr>
          <w:b/>
          <w:bCs/>
          <w:lang w:eastAsia="en-AU"/>
        </w:rPr>
        <w:t>:</w:t>
      </w:r>
      <w:r>
        <w:rPr>
          <w:lang w:eastAsia="en-AU"/>
        </w:rPr>
        <w:t xml:space="preserve"> </w:t>
      </w:r>
      <w:hyperlink r:id="rId27" w:history="1">
        <w:r w:rsidRPr="00D24067">
          <w:rPr>
            <w:rStyle w:val="Hyperlink"/>
          </w:rPr>
          <w:t>Docket No. 20–</w:t>
        </w:r>
        <w:r>
          <w:rPr>
            <w:rStyle w:val="Hyperlink"/>
          </w:rPr>
          <w:t>5279</w:t>
        </w:r>
      </w:hyperlink>
    </w:p>
    <w:p w14:paraId="6DED52A1" w14:textId="77777777" w:rsidR="00DD0272" w:rsidRDefault="00DD0272" w:rsidP="00DD0272">
      <w:pPr>
        <w:rPr>
          <w:lang w:eastAsia="en-AU"/>
        </w:rPr>
      </w:pPr>
    </w:p>
    <w:p w14:paraId="4487DCD4" w14:textId="77777777" w:rsidR="00DD0272" w:rsidRPr="00DB68FF" w:rsidRDefault="00DD0272" w:rsidP="00DD0272">
      <w:pPr>
        <w:rPr>
          <w:lang w:eastAsia="en-AU"/>
        </w:rPr>
      </w:pPr>
      <w:r>
        <w:rPr>
          <w:b/>
          <w:bCs/>
          <w:lang w:eastAsia="en-AU"/>
        </w:rPr>
        <w:t xml:space="preserve">Judgment delivered: </w:t>
      </w:r>
      <w:r>
        <w:rPr>
          <w:lang w:eastAsia="en-AU"/>
        </w:rPr>
        <w:t>7 March 2022</w:t>
      </w:r>
    </w:p>
    <w:p w14:paraId="2B2F920D" w14:textId="77777777" w:rsidR="00DD0272" w:rsidRDefault="00DD0272" w:rsidP="00DD0272">
      <w:pPr>
        <w:rPr>
          <w:b/>
          <w:bCs/>
          <w:lang w:eastAsia="en-AU"/>
        </w:rPr>
      </w:pPr>
    </w:p>
    <w:p w14:paraId="5B02B8D0"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1278F754" w14:textId="77777777" w:rsidR="00DD0272" w:rsidRPr="00DB68FF" w:rsidRDefault="00DD0272" w:rsidP="00DD0272">
      <w:pPr>
        <w:rPr>
          <w:lang w:eastAsia="en-AU"/>
        </w:rPr>
      </w:pPr>
      <w:r>
        <w:rPr>
          <w:lang w:eastAsia="en-AU"/>
        </w:rPr>
        <w:t>Kavanaugh and Barrett JJ</w:t>
      </w:r>
    </w:p>
    <w:p w14:paraId="45B51D58" w14:textId="77777777" w:rsidR="00DD0272" w:rsidRDefault="00DD0272" w:rsidP="00DD0272">
      <w:pPr>
        <w:rPr>
          <w:b/>
          <w:bCs/>
          <w:lang w:eastAsia="en-AU"/>
        </w:rPr>
      </w:pPr>
    </w:p>
    <w:p w14:paraId="50338BEA" w14:textId="77777777" w:rsidR="00DD0272" w:rsidRDefault="00DD0272" w:rsidP="00DD0272">
      <w:pPr>
        <w:rPr>
          <w:b/>
          <w:bCs/>
          <w:lang w:eastAsia="en-AU"/>
        </w:rPr>
      </w:pPr>
      <w:r>
        <w:rPr>
          <w:b/>
          <w:bCs/>
          <w:lang w:eastAsia="en-AU"/>
        </w:rPr>
        <w:t>Catchwords:</w:t>
      </w:r>
    </w:p>
    <w:p w14:paraId="648B6CC4" w14:textId="77777777" w:rsidR="00DD0272" w:rsidRDefault="00DD0272" w:rsidP="00DD0272">
      <w:pPr>
        <w:rPr>
          <w:b/>
          <w:bCs/>
          <w:lang w:eastAsia="en-AU"/>
        </w:rPr>
      </w:pPr>
    </w:p>
    <w:p w14:paraId="53D89676" w14:textId="57D18E54" w:rsidR="00DD0272" w:rsidRDefault="00DD0272" w:rsidP="00DD0272">
      <w:pPr>
        <w:pStyle w:val="Catchwords"/>
      </w:pPr>
      <w:r>
        <w:t xml:space="preserve">Criminal law – Sentencing – Single criminal episode – Meaning of different </w:t>
      </w:r>
      <w:r w:rsidR="002C6EE4">
        <w:t>"</w:t>
      </w:r>
      <w:r>
        <w:t>occasions</w:t>
      </w:r>
      <w:r w:rsidR="002C6EE4">
        <w:t>"</w:t>
      </w:r>
      <w:r>
        <w:t xml:space="preserve"> – Where jury convicted Wooden of being felon in possession of firearm in violation of 18 USC §922(g) – Where Government asked District Court to sentence Wooden under </w:t>
      </w:r>
      <w:r w:rsidRPr="001E0061">
        <w:rPr>
          <w:i/>
          <w:iCs/>
        </w:rPr>
        <w:t>Armed Career Criminal Act</w:t>
      </w:r>
      <w:r>
        <w:t xml:space="preserve"> (</w:t>
      </w:r>
      <w:r w:rsidR="00C814B6">
        <w:t>"</w:t>
      </w:r>
      <w:r>
        <w:t>ACCA</w:t>
      </w:r>
      <w:r w:rsidR="00C814B6">
        <w:t>"</w:t>
      </w:r>
      <w:r>
        <w:t>) – Where ACCA mandated 15</w:t>
      </w:r>
      <w:r w:rsidR="001E0061">
        <w:t xml:space="preserve"> </w:t>
      </w:r>
      <w:r>
        <w:t xml:space="preserve">year minimum penalty for </w:t>
      </w:r>
      <w:r w:rsidRPr="00182D1F">
        <w:t xml:space="preserve">§922(g) </w:t>
      </w:r>
      <w:r>
        <w:t xml:space="preserve">offenders with at least three prior convictions for specified felonies </w:t>
      </w:r>
      <w:r w:rsidR="002C6EE4">
        <w:t>"</w:t>
      </w:r>
      <w:r>
        <w:t>committed on occasions different from one another</w:t>
      </w:r>
      <w:r w:rsidR="002C6EE4">
        <w:t>"</w:t>
      </w:r>
      <w:r>
        <w:t xml:space="preserve"> pursuant to </w:t>
      </w:r>
      <w:r w:rsidRPr="00182D1F">
        <w:t>§92</w:t>
      </w:r>
      <w:r>
        <w:t>4</w:t>
      </w:r>
      <w:r w:rsidRPr="00182D1F">
        <w:t>(</w:t>
      </w:r>
      <w:r>
        <w:t>e</w:t>
      </w:r>
      <w:r w:rsidRPr="00182D1F">
        <w:t>)</w:t>
      </w:r>
      <w:r>
        <w:t xml:space="preserve">(1) – Where </w:t>
      </w:r>
      <w:proofErr w:type="spellStart"/>
      <w:r>
        <w:t>Wooden</w:t>
      </w:r>
      <w:r w:rsidR="00C814B6">
        <w:t>'</w:t>
      </w:r>
      <w:r>
        <w:t>s</w:t>
      </w:r>
      <w:proofErr w:type="spellEnd"/>
      <w:r>
        <w:t xml:space="preserve"> relevant criminal record included 10 burglary convictions arising out of single criminal episode in 1997, during which Wooden burglarized ten units in single storage facility – Where Wooden pleaded guilty to ten counts of burglary, being one for each storage unit – Where, at </w:t>
      </w:r>
      <w:proofErr w:type="spellStart"/>
      <w:r>
        <w:t>Wooden</w:t>
      </w:r>
      <w:r w:rsidR="00C814B6">
        <w:t>'</w:t>
      </w:r>
      <w:r>
        <w:t>s</w:t>
      </w:r>
      <w:proofErr w:type="spellEnd"/>
      <w:r>
        <w:t xml:space="preserve"> sentencing for §922(g) conviction, District Court applied ACCA</w:t>
      </w:r>
      <w:r w:rsidR="00C814B6">
        <w:t>'</w:t>
      </w:r>
      <w:r>
        <w:t>s penalty enhancement in accordance with Government</w:t>
      </w:r>
      <w:r w:rsidR="00C814B6">
        <w:t>'</w:t>
      </w:r>
      <w:r>
        <w:t xml:space="preserve">s view that Wooden had commenced new </w:t>
      </w:r>
      <w:r w:rsidR="002C6EE4">
        <w:t>"</w:t>
      </w:r>
      <w:r>
        <w:t>occasion</w:t>
      </w:r>
      <w:r w:rsidR="002C6EE4">
        <w:t>"</w:t>
      </w:r>
      <w:r>
        <w:t xml:space="preserve"> of criminal activity each time he entered another unit – Where, based on ACCA enhancement, District Court sentenced Wooden to 16 years imprisonment – Where Sixth Circuit affirmed District Court decision – Whether ACCA</w:t>
      </w:r>
      <w:r w:rsidR="00C814B6">
        <w:t>'</w:t>
      </w:r>
      <w:r>
        <w:t xml:space="preserve">s occasions clause satisfied whenever crimes take place sequentially rather than simultaneously – Proper meaning of </w:t>
      </w:r>
      <w:r w:rsidR="002C6EE4">
        <w:t>"</w:t>
      </w:r>
      <w:r>
        <w:t>occasions</w:t>
      </w:r>
      <w:r w:rsidR="002C6EE4">
        <w:t>"</w:t>
      </w:r>
      <w:r>
        <w:t xml:space="preserve"> in </w:t>
      </w:r>
      <w:r w:rsidRPr="00182D1F">
        <w:t>§92</w:t>
      </w:r>
      <w:r>
        <w:t>4</w:t>
      </w:r>
      <w:r w:rsidRPr="00182D1F">
        <w:t>(</w:t>
      </w:r>
      <w:r>
        <w:t>e</w:t>
      </w:r>
      <w:r w:rsidRPr="00182D1F">
        <w:t>)</w:t>
      </w:r>
      <w:r>
        <w:t xml:space="preserve">(1). </w:t>
      </w:r>
    </w:p>
    <w:p w14:paraId="3710FEFD" w14:textId="77777777" w:rsidR="00DD0272" w:rsidRDefault="00DD0272" w:rsidP="00DD0272">
      <w:pPr>
        <w:rPr>
          <w:b/>
          <w:bCs/>
          <w:lang w:eastAsia="en-AU"/>
        </w:rPr>
      </w:pPr>
    </w:p>
    <w:p w14:paraId="22130CC0" w14:textId="1B8F1C00" w:rsidR="00DD0272" w:rsidRDefault="00DD0272" w:rsidP="00DD0272">
      <w:pPr>
        <w:rPr>
          <w:lang w:eastAsia="en-AU"/>
        </w:rPr>
      </w:pPr>
      <w:r>
        <w:rPr>
          <w:b/>
          <w:bCs/>
          <w:lang w:eastAsia="en-AU"/>
        </w:rPr>
        <w:t>Held (9:0):</w:t>
      </w:r>
      <w:r>
        <w:rPr>
          <w:lang w:eastAsia="en-AU"/>
        </w:rPr>
        <w:t xml:space="preserve"> </w:t>
      </w:r>
      <w:r w:rsidR="00C814B6">
        <w:rPr>
          <w:lang w:eastAsia="en-AU"/>
        </w:rPr>
        <w:t xml:space="preserve">Judgment of </w:t>
      </w:r>
      <w:r>
        <w:rPr>
          <w:lang w:eastAsia="en-AU"/>
        </w:rPr>
        <w:t>Court of Appeals</w:t>
      </w:r>
      <w:r w:rsidR="00C814B6">
        <w:rPr>
          <w:lang w:eastAsia="en-AU"/>
        </w:rPr>
        <w:t xml:space="preserve"> for the Sixth Circuit</w:t>
      </w:r>
      <w:r>
        <w:rPr>
          <w:lang w:eastAsia="en-AU"/>
        </w:rPr>
        <w:t xml:space="preserve"> reversed. </w:t>
      </w:r>
    </w:p>
    <w:p w14:paraId="178E7429" w14:textId="657E4318" w:rsidR="003178CF" w:rsidRDefault="003178CF" w:rsidP="003178CF">
      <w:pPr>
        <w:pStyle w:val="BullDivider2"/>
        <w:rPr>
          <w:rFonts w:cs="Arial"/>
          <w:highlight w:val="yellow"/>
        </w:rPr>
      </w:pPr>
    </w:p>
    <w:p w14:paraId="360194A1" w14:textId="77777777" w:rsidR="00857AED" w:rsidRPr="00857AED" w:rsidRDefault="00857AED" w:rsidP="00857AED">
      <w:pPr>
        <w:rPr>
          <w:highlight w:val="yellow"/>
          <w:lang w:eastAsia="en-AU"/>
        </w:rPr>
      </w:pPr>
    </w:p>
    <w:p w14:paraId="34B5EDCF" w14:textId="13FA5397" w:rsidR="00784C6D" w:rsidRDefault="00784C6D" w:rsidP="00DD0272">
      <w:pPr>
        <w:tabs>
          <w:tab w:val="left" w:pos="5375"/>
        </w:tabs>
        <w:outlineLvl w:val="0"/>
        <w:rPr>
          <w:rFonts w:ascii="Garamond" w:hAnsi="Garamond"/>
          <w:b/>
          <w:sz w:val="44"/>
          <w:szCs w:val="24"/>
          <w:lang w:eastAsia="en-AU"/>
        </w:rPr>
      </w:pPr>
      <w:r>
        <w:rPr>
          <w:rFonts w:ascii="Garamond" w:hAnsi="Garamond"/>
          <w:b/>
          <w:sz w:val="44"/>
          <w:szCs w:val="24"/>
          <w:lang w:eastAsia="en-AU"/>
        </w:rPr>
        <w:t xml:space="preserve">Discrimination law </w:t>
      </w:r>
    </w:p>
    <w:p w14:paraId="5BF8EFA8" w14:textId="77777777" w:rsidR="00784C6D" w:rsidRPr="002A44D4" w:rsidRDefault="00784C6D" w:rsidP="00784C6D">
      <w:pPr>
        <w:rPr>
          <w:lang w:eastAsia="en-AU"/>
        </w:rPr>
      </w:pPr>
    </w:p>
    <w:p w14:paraId="780EF60A" w14:textId="001ABFFE" w:rsidR="00784C6D" w:rsidRDefault="001D187A" w:rsidP="00784C6D">
      <w:pPr>
        <w:pStyle w:val="Heading2"/>
      </w:pPr>
      <w:proofErr w:type="spellStart"/>
      <w:r w:rsidRPr="001D187A">
        <w:t>Damons</w:t>
      </w:r>
      <w:proofErr w:type="spellEnd"/>
      <w:r w:rsidRPr="001D187A">
        <w:t xml:space="preserve"> v City of Cape Town</w:t>
      </w:r>
    </w:p>
    <w:p w14:paraId="7101E10E" w14:textId="082840C4" w:rsidR="00784C6D" w:rsidRPr="002F4F7E" w:rsidRDefault="00784C6D" w:rsidP="00784C6D">
      <w:pPr>
        <w:rPr>
          <w:lang w:eastAsia="en-AU"/>
        </w:rPr>
      </w:pPr>
      <w:r>
        <w:rPr>
          <w:b/>
          <w:lang w:eastAsia="en-AU"/>
        </w:rPr>
        <w:t>Constitutional Court of South Africa</w:t>
      </w:r>
      <w:r w:rsidRPr="002F4F7E">
        <w:rPr>
          <w:b/>
          <w:lang w:eastAsia="en-AU"/>
        </w:rPr>
        <w:t xml:space="preserve">: </w:t>
      </w:r>
      <w:hyperlink r:id="rId28" w:history="1">
        <w:r w:rsidR="001D187A">
          <w:rPr>
            <w:rStyle w:val="Hyperlink"/>
            <w:bCs/>
            <w:lang w:eastAsia="en-AU"/>
          </w:rPr>
          <w:t>[2022] ZACC 13</w:t>
        </w:r>
      </w:hyperlink>
    </w:p>
    <w:p w14:paraId="7023C700" w14:textId="77777777" w:rsidR="00784C6D" w:rsidRPr="002F4F7E" w:rsidRDefault="00784C6D" w:rsidP="00784C6D">
      <w:pPr>
        <w:rPr>
          <w:lang w:eastAsia="en-AU"/>
        </w:rPr>
      </w:pPr>
    </w:p>
    <w:p w14:paraId="27964104" w14:textId="1B2C61C4" w:rsidR="00784C6D" w:rsidRPr="002F4F7E" w:rsidRDefault="00784C6D" w:rsidP="00784C6D">
      <w:pPr>
        <w:rPr>
          <w:lang w:eastAsia="en-AU"/>
        </w:rPr>
      </w:pPr>
      <w:r w:rsidRPr="002F4F7E">
        <w:rPr>
          <w:b/>
          <w:lang w:eastAsia="en-AU"/>
        </w:rPr>
        <w:t>Judgment delivered:</w:t>
      </w:r>
      <w:r w:rsidRPr="002F4F7E">
        <w:rPr>
          <w:lang w:eastAsia="en-AU"/>
        </w:rPr>
        <w:t xml:space="preserve"> </w:t>
      </w:r>
      <w:r>
        <w:rPr>
          <w:lang w:eastAsia="en-AU"/>
        </w:rPr>
        <w:t>30 March 2022</w:t>
      </w:r>
    </w:p>
    <w:p w14:paraId="4A48ED3A" w14:textId="77777777" w:rsidR="00784C6D" w:rsidRPr="002F4F7E" w:rsidRDefault="00784C6D" w:rsidP="00784C6D">
      <w:pPr>
        <w:rPr>
          <w:lang w:eastAsia="en-AU"/>
        </w:rPr>
      </w:pPr>
    </w:p>
    <w:p w14:paraId="6AC19B71" w14:textId="77777777" w:rsidR="00784C6D" w:rsidRDefault="00784C6D" w:rsidP="00784C6D">
      <w:pPr>
        <w:rPr>
          <w:lang w:eastAsia="en-AU"/>
        </w:rPr>
      </w:pPr>
      <w:r w:rsidRPr="002F4F7E">
        <w:rPr>
          <w:b/>
          <w:lang w:eastAsia="en-AU"/>
        </w:rPr>
        <w:t xml:space="preserve">Coram: </w:t>
      </w:r>
      <w:r w:rsidRPr="00040440">
        <w:rPr>
          <w:lang w:eastAsia="en-AU"/>
        </w:rPr>
        <w:t xml:space="preserve">Madlanga J, Madondo AJ, Majiedt, Mhlantla </w:t>
      </w:r>
      <w:r>
        <w:rPr>
          <w:lang w:eastAsia="en-AU"/>
        </w:rPr>
        <w:t>J</w:t>
      </w:r>
      <w:r w:rsidRPr="00040440">
        <w:rPr>
          <w:lang w:eastAsia="en-AU"/>
        </w:rPr>
        <w:t>J, Pillay, Rogers AJ</w:t>
      </w:r>
      <w:r>
        <w:rPr>
          <w:lang w:eastAsia="en-AU"/>
        </w:rPr>
        <w:t>J</w:t>
      </w:r>
      <w:r w:rsidRPr="00040440">
        <w:rPr>
          <w:lang w:eastAsia="en-AU"/>
        </w:rPr>
        <w:t>, Theron J, Tlaletsi AJ and Tshiqi J</w:t>
      </w:r>
    </w:p>
    <w:p w14:paraId="207521EF" w14:textId="77777777" w:rsidR="00784C6D" w:rsidRPr="002F4F7E" w:rsidRDefault="00784C6D" w:rsidP="00784C6D">
      <w:pPr>
        <w:rPr>
          <w:lang w:eastAsia="en-AU"/>
        </w:rPr>
      </w:pPr>
    </w:p>
    <w:p w14:paraId="48A3862C" w14:textId="77777777" w:rsidR="00784C6D" w:rsidRPr="002F4F7E" w:rsidRDefault="00784C6D" w:rsidP="00784C6D">
      <w:pPr>
        <w:rPr>
          <w:b/>
          <w:lang w:eastAsia="en-AU"/>
        </w:rPr>
      </w:pPr>
      <w:r>
        <w:rPr>
          <w:b/>
          <w:lang w:eastAsia="en-AU"/>
        </w:rPr>
        <w:t>Catchwords:</w:t>
      </w:r>
    </w:p>
    <w:p w14:paraId="445F103D" w14:textId="77777777" w:rsidR="00784C6D" w:rsidRPr="00856E9C" w:rsidRDefault="00784C6D" w:rsidP="00784C6D">
      <w:pPr>
        <w:rPr>
          <w:b/>
          <w:highlight w:val="yellow"/>
          <w:lang w:eastAsia="en-AU"/>
        </w:rPr>
      </w:pPr>
    </w:p>
    <w:p w14:paraId="0DFECE3A" w14:textId="1966E8A9" w:rsidR="00784C6D" w:rsidRPr="007069DF" w:rsidRDefault="00784C6D" w:rsidP="00784C6D">
      <w:pPr>
        <w:ind w:left="720"/>
        <w:rPr>
          <w:lang w:eastAsia="en-AU"/>
        </w:rPr>
      </w:pPr>
      <w:r>
        <w:rPr>
          <w:lang w:eastAsia="en-AU"/>
        </w:rPr>
        <w:t xml:space="preserve">Discrimination law – Unfair discrimination – Disability – Reasonable accommodation – Inherent requirements of job – Where </w:t>
      </w:r>
      <w:r w:rsidR="001D187A">
        <w:rPr>
          <w:lang w:eastAsia="en-AU"/>
        </w:rPr>
        <w:t>applicant firefighter injured on duty and unable to undertake strenuous physical activity</w:t>
      </w:r>
      <w:r w:rsidR="00C814B6">
        <w:rPr>
          <w:lang w:eastAsia="en-AU"/>
        </w:rPr>
        <w:t>, including</w:t>
      </w:r>
      <w:r w:rsidR="001D187A">
        <w:rPr>
          <w:lang w:eastAsia="en-AU"/>
        </w:rPr>
        <w:t xml:space="preserve"> </w:t>
      </w:r>
      <w:r w:rsidR="00C814B6">
        <w:rPr>
          <w:lang w:eastAsia="en-AU"/>
        </w:rPr>
        <w:t>completion of</w:t>
      </w:r>
      <w:r w:rsidR="001D187A">
        <w:rPr>
          <w:lang w:eastAsia="en-AU"/>
        </w:rPr>
        <w:t xml:space="preserve"> firefighter physical assessment – Where </w:t>
      </w:r>
      <w:r w:rsidR="001D187A" w:rsidRPr="001D187A">
        <w:rPr>
          <w:lang w:eastAsia="en-AU"/>
        </w:rPr>
        <w:t xml:space="preserve">physical fitness </w:t>
      </w:r>
      <w:r w:rsidR="001D187A">
        <w:rPr>
          <w:lang w:eastAsia="en-AU"/>
        </w:rPr>
        <w:t>accepted as</w:t>
      </w:r>
      <w:r w:rsidR="001D187A" w:rsidRPr="001D187A">
        <w:rPr>
          <w:lang w:eastAsia="en-AU"/>
        </w:rPr>
        <w:t xml:space="preserve"> inherent requirement of job of operational firefighter</w:t>
      </w:r>
      <w:r w:rsidR="001D187A">
        <w:rPr>
          <w:lang w:eastAsia="en-AU"/>
        </w:rPr>
        <w:t xml:space="preserve"> – Where applicant claimed respondent discriminating by refusing to waive physical fitness requirement – </w:t>
      </w:r>
      <w:r>
        <w:rPr>
          <w:lang w:eastAsia="en-AU"/>
        </w:rPr>
        <w:t xml:space="preserve">Whether </w:t>
      </w:r>
      <w:r w:rsidRPr="00784C6D">
        <w:rPr>
          <w:lang w:eastAsia="en-AU"/>
        </w:rPr>
        <w:t>respondent discriminate</w:t>
      </w:r>
      <w:r>
        <w:rPr>
          <w:lang w:eastAsia="en-AU"/>
        </w:rPr>
        <w:t>d</w:t>
      </w:r>
      <w:r w:rsidRPr="00784C6D">
        <w:rPr>
          <w:lang w:eastAsia="en-AU"/>
        </w:rPr>
        <w:t xml:space="preserve"> unfairly against applicant on grounds of disability</w:t>
      </w:r>
      <w:r>
        <w:rPr>
          <w:lang w:eastAsia="en-AU"/>
        </w:rPr>
        <w:t xml:space="preserve"> – Whether respondent has duty to reasonably accommodate applicant – Whether respondent can rely on defence of inherent requirement of job – Proper approach to </w:t>
      </w:r>
      <w:r w:rsidR="002C6EE4">
        <w:rPr>
          <w:lang w:eastAsia="en-AU"/>
        </w:rPr>
        <w:t>"</w:t>
      </w:r>
      <w:r>
        <w:rPr>
          <w:lang w:eastAsia="en-AU"/>
        </w:rPr>
        <w:t>job</w:t>
      </w:r>
      <w:r w:rsidR="002C6EE4">
        <w:rPr>
          <w:lang w:eastAsia="en-AU"/>
        </w:rPr>
        <w:t>"</w:t>
      </w:r>
      <w:r w:rsidR="001D187A">
        <w:rPr>
          <w:lang w:eastAsia="en-AU"/>
        </w:rPr>
        <w:t xml:space="preserve"> in assessing inherent requirement of job</w:t>
      </w:r>
      <w:r>
        <w:rPr>
          <w:lang w:eastAsia="en-AU"/>
        </w:rPr>
        <w:t>.</w:t>
      </w:r>
    </w:p>
    <w:p w14:paraId="033A474A" w14:textId="77777777" w:rsidR="00784C6D" w:rsidRDefault="00784C6D" w:rsidP="00784C6D">
      <w:pPr>
        <w:rPr>
          <w:b/>
          <w:lang w:eastAsia="en-AU"/>
        </w:rPr>
      </w:pPr>
    </w:p>
    <w:p w14:paraId="6DCD888B" w14:textId="4800F09D" w:rsidR="00784C6D" w:rsidRDefault="00784C6D" w:rsidP="00784C6D">
      <w:pPr>
        <w:rPr>
          <w:lang w:eastAsia="en-AU"/>
        </w:rPr>
      </w:pPr>
      <w:r w:rsidRPr="002F4F7E">
        <w:rPr>
          <w:b/>
          <w:lang w:eastAsia="en-AU"/>
        </w:rPr>
        <w:t>Held (</w:t>
      </w:r>
      <w:r w:rsidR="00C814B6">
        <w:rPr>
          <w:b/>
          <w:lang w:eastAsia="en-AU"/>
        </w:rPr>
        <w:t>8</w:t>
      </w:r>
      <w:r>
        <w:rPr>
          <w:b/>
          <w:lang w:eastAsia="en-AU"/>
        </w:rPr>
        <w:t>:</w:t>
      </w:r>
      <w:r w:rsidR="00C814B6">
        <w:rPr>
          <w:b/>
          <w:lang w:eastAsia="en-AU"/>
        </w:rPr>
        <w:t>1</w:t>
      </w:r>
      <w:r w:rsidRPr="002F4F7E">
        <w:rPr>
          <w:b/>
          <w:lang w:eastAsia="en-AU"/>
        </w:rPr>
        <w:t xml:space="preserve">): </w:t>
      </w:r>
      <w:r>
        <w:rPr>
          <w:lang w:eastAsia="en-AU"/>
        </w:rPr>
        <w:t>Leave to appeal granted; appeal dismissed.</w:t>
      </w:r>
    </w:p>
    <w:p w14:paraId="00FC3237" w14:textId="77777777" w:rsidR="00784C6D" w:rsidRDefault="00784C6D" w:rsidP="00784C6D">
      <w:pPr>
        <w:pStyle w:val="BullDivider2"/>
      </w:pPr>
    </w:p>
    <w:p w14:paraId="21A398C5" w14:textId="77777777" w:rsidR="00784C6D" w:rsidRDefault="00784C6D" w:rsidP="00784C6D">
      <w:pPr>
        <w:rPr>
          <w:lang w:eastAsia="en-AU"/>
        </w:rPr>
      </w:pPr>
    </w:p>
    <w:p w14:paraId="566D5BA4" w14:textId="45F3CABF" w:rsidR="00DD0272" w:rsidRPr="00DD0272" w:rsidRDefault="00DD0272" w:rsidP="00DD0272">
      <w:pPr>
        <w:tabs>
          <w:tab w:val="left" w:pos="5375"/>
        </w:tabs>
        <w:outlineLvl w:val="0"/>
        <w:rPr>
          <w:rFonts w:ascii="Garamond" w:hAnsi="Garamond"/>
          <w:b/>
          <w:sz w:val="44"/>
          <w:szCs w:val="24"/>
          <w:lang w:eastAsia="en-AU"/>
        </w:rPr>
      </w:pPr>
      <w:r w:rsidRPr="00DD0272">
        <w:rPr>
          <w:rFonts w:ascii="Garamond" w:hAnsi="Garamond"/>
          <w:b/>
          <w:sz w:val="44"/>
          <w:szCs w:val="24"/>
          <w:lang w:eastAsia="en-AU"/>
        </w:rPr>
        <w:t xml:space="preserve">Equity </w:t>
      </w:r>
    </w:p>
    <w:p w14:paraId="3C61821D" w14:textId="77777777" w:rsidR="00DD0272" w:rsidRPr="00DD0272" w:rsidRDefault="00DD0272" w:rsidP="00DD0272">
      <w:pPr>
        <w:rPr>
          <w:highlight w:val="yellow"/>
        </w:rPr>
      </w:pPr>
    </w:p>
    <w:p w14:paraId="03C95CB8" w14:textId="77777777" w:rsidR="00DD0272" w:rsidRPr="00DD0272" w:rsidRDefault="00DD0272" w:rsidP="00DD0272">
      <w:pPr>
        <w:keepNext/>
        <w:outlineLvl w:val="1"/>
        <w:rPr>
          <w:rFonts w:ascii="Arial" w:hAnsi="Arial" w:cs="Arial"/>
          <w:bCs/>
          <w:i/>
          <w:iCs/>
          <w:sz w:val="28"/>
          <w:szCs w:val="28"/>
          <w:lang w:eastAsia="en-AU"/>
        </w:rPr>
      </w:pPr>
      <w:r w:rsidRPr="00DD0272">
        <w:rPr>
          <w:rFonts w:ascii="Arial" w:hAnsi="Arial" w:cs="Arial"/>
          <w:bCs/>
          <w:i/>
          <w:iCs/>
          <w:sz w:val="28"/>
          <w:szCs w:val="28"/>
          <w:lang w:eastAsia="en-AU"/>
        </w:rPr>
        <w:t>Bott &amp; Co Solicitors Ltd v Ryanair DAC</w:t>
      </w:r>
    </w:p>
    <w:p w14:paraId="5EF6AB93" w14:textId="77777777" w:rsidR="00DD0272" w:rsidRPr="00DD0272" w:rsidRDefault="00DD0272" w:rsidP="00DD0272">
      <w:pPr>
        <w:rPr>
          <w:lang w:eastAsia="en-AU"/>
        </w:rPr>
      </w:pPr>
      <w:r w:rsidRPr="00DD0272">
        <w:rPr>
          <w:b/>
          <w:bCs/>
          <w:lang w:eastAsia="en-AU"/>
        </w:rPr>
        <w:t>Supreme Court of the United Kingdom:</w:t>
      </w:r>
      <w:r w:rsidRPr="00DD0272">
        <w:rPr>
          <w:lang w:eastAsia="en-AU"/>
        </w:rPr>
        <w:t xml:space="preserve"> </w:t>
      </w:r>
      <w:hyperlink r:id="rId29" w:history="1">
        <w:r w:rsidRPr="00DD0272">
          <w:rPr>
            <w:color w:val="0000FF"/>
            <w:u w:val="single"/>
            <w:lang w:eastAsia="en-AU"/>
          </w:rPr>
          <w:t>[2022] UKSC 8</w:t>
        </w:r>
      </w:hyperlink>
    </w:p>
    <w:p w14:paraId="3821111A" w14:textId="77777777" w:rsidR="00DD0272" w:rsidRPr="00DD0272" w:rsidRDefault="00DD0272" w:rsidP="00DD0272">
      <w:pPr>
        <w:rPr>
          <w:lang w:eastAsia="en-AU"/>
        </w:rPr>
      </w:pPr>
    </w:p>
    <w:p w14:paraId="6799DF18" w14:textId="77777777" w:rsidR="00DD0272" w:rsidRPr="00DD0272" w:rsidRDefault="00DD0272" w:rsidP="00DD0272">
      <w:pPr>
        <w:rPr>
          <w:lang w:eastAsia="en-AU"/>
        </w:rPr>
      </w:pPr>
      <w:r w:rsidRPr="00DD0272">
        <w:rPr>
          <w:b/>
          <w:bCs/>
          <w:lang w:eastAsia="en-AU"/>
        </w:rPr>
        <w:t xml:space="preserve">Judgment delivered: </w:t>
      </w:r>
      <w:r w:rsidRPr="00DD0272">
        <w:rPr>
          <w:lang w:eastAsia="en-AU"/>
        </w:rPr>
        <w:t>16 March 2022</w:t>
      </w:r>
    </w:p>
    <w:p w14:paraId="151094F5" w14:textId="77777777" w:rsidR="00DD0272" w:rsidRPr="00DD0272" w:rsidRDefault="00DD0272" w:rsidP="00DD0272">
      <w:pPr>
        <w:rPr>
          <w:b/>
          <w:bCs/>
          <w:lang w:eastAsia="en-AU"/>
        </w:rPr>
      </w:pPr>
    </w:p>
    <w:p w14:paraId="382F2A6F" w14:textId="77777777" w:rsidR="00DD0272" w:rsidRPr="00DD0272" w:rsidRDefault="00DD0272" w:rsidP="00DD0272">
      <w:pPr>
        <w:rPr>
          <w:lang w:eastAsia="en-AU"/>
        </w:rPr>
      </w:pPr>
      <w:r w:rsidRPr="00DD0272">
        <w:rPr>
          <w:b/>
          <w:bCs/>
          <w:lang w:eastAsia="en-AU"/>
        </w:rPr>
        <w:t>Coram:</w:t>
      </w:r>
      <w:r w:rsidRPr="00DD0272">
        <w:t xml:space="preserve"> </w:t>
      </w:r>
      <w:r w:rsidRPr="00DD0272">
        <w:rPr>
          <w:lang w:eastAsia="en-AU"/>
        </w:rPr>
        <w:t>Lord Briggs, Lady Arden, Lord Leggatt, Lord Burrows and Lady Rose</w:t>
      </w:r>
    </w:p>
    <w:p w14:paraId="047BBD58" w14:textId="77777777" w:rsidR="00DD0272" w:rsidRPr="00DD0272" w:rsidRDefault="00DD0272" w:rsidP="00DD0272">
      <w:pPr>
        <w:rPr>
          <w:b/>
          <w:bCs/>
          <w:lang w:eastAsia="en-AU"/>
        </w:rPr>
      </w:pPr>
    </w:p>
    <w:p w14:paraId="1A1B845B" w14:textId="77777777" w:rsidR="00DD0272" w:rsidRPr="00DD0272" w:rsidRDefault="00DD0272" w:rsidP="00DD0272">
      <w:pPr>
        <w:rPr>
          <w:b/>
          <w:bCs/>
          <w:lang w:eastAsia="en-AU"/>
        </w:rPr>
      </w:pPr>
      <w:r w:rsidRPr="00DD0272">
        <w:rPr>
          <w:b/>
          <w:bCs/>
          <w:lang w:eastAsia="en-AU"/>
        </w:rPr>
        <w:t>Catchwords:</w:t>
      </w:r>
    </w:p>
    <w:p w14:paraId="2CB1510E" w14:textId="77777777" w:rsidR="00DD0272" w:rsidRPr="00DD0272" w:rsidRDefault="00DD0272" w:rsidP="00DD0272">
      <w:pPr>
        <w:rPr>
          <w:b/>
          <w:bCs/>
          <w:lang w:eastAsia="en-AU"/>
        </w:rPr>
      </w:pPr>
    </w:p>
    <w:p w14:paraId="297F5031" w14:textId="694A2B6E" w:rsidR="00DD0272" w:rsidRPr="00DD0272" w:rsidRDefault="00DD0272" w:rsidP="00DD0272">
      <w:pPr>
        <w:ind w:left="720"/>
        <w:rPr>
          <w:lang w:eastAsia="en-AU"/>
        </w:rPr>
      </w:pPr>
      <w:r w:rsidRPr="00DD0272">
        <w:rPr>
          <w:lang w:eastAsia="en-AU"/>
        </w:rPr>
        <w:t xml:space="preserve">Equity – Equitable lien – Where air passengers entitled to compensation and assistance where flight cancelled or delayed – Where </w:t>
      </w:r>
      <w:r w:rsidR="00C814B6">
        <w:rPr>
          <w:lang w:eastAsia="en-AU"/>
        </w:rPr>
        <w:t xml:space="preserve">appellant </w:t>
      </w:r>
      <w:r w:rsidRPr="00DD0272">
        <w:rPr>
          <w:lang w:eastAsia="en-AU"/>
        </w:rPr>
        <w:t xml:space="preserve">specialised in consumer claims on </w:t>
      </w:r>
      <w:r w:rsidR="002C6EE4">
        <w:rPr>
          <w:lang w:eastAsia="en-AU"/>
        </w:rPr>
        <w:t>"</w:t>
      </w:r>
      <w:r w:rsidRPr="00DD0272">
        <w:rPr>
          <w:lang w:eastAsia="en-AU"/>
        </w:rPr>
        <w:t>no win, no fee</w:t>
      </w:r>
      <w:r w:rsidR="002C6EE4">
        <w:rPr>
          <w:lang w:eastAsia="en-AU"/>
        </w:rPr>
        <w:t>"</w:t>
      </w:r>
      <w:r w:rsidRPr="00DD0272">
        <w:rPr>
          <w:lang w:eastAsia="en-AU"/>
        </w:rPr>
        <w:t xml:space="preserve"> basis, including compensation claims against </w:t>
      </w:r>
      <w:r w:rsidR="00C814B6">
        <w:rPr>
          <w:lang w:eastAsia="en-AU"/>
        </w:rPr>
        <w:t>respondent</w:t>
      </w:r>
      <w:r w:rsidRPr="00DD0272">
        <w:rPr>
          <w:lang w:eastAsia="en-AU"/>
        </w:rPr>
        <w:t xml:space="preserve"> – Where </w:t>
      </w:r>
      <w:r w:rsidR="00C814B6">
        <w:rPr>
          <w:lang w:eastAsia="en-AU"/>
        </w:rPr>
        <w:t>respondent</w:t>
      </w:r>
      <w:r w:rsidRPr="00DD0272">
        <w:rPr>
          <w:lang w:eastAsia="en-AU"/>
        </w:rPr>
        <w:t xml:space="preserve"> adopted new practice of dealing directly with clients, rather than through thir</w:t>
      </w:r>
      <w:r w:rsidR="001E0061">
        <w:rPr>
          <w:lang w:eastAsia="en-AU"/>
        </w:rPr>
        <w:t>d</w:t>
      </w:r>
      <w:r w:rsidR="001E0061">
        <w:rPr>
          <w:lang w:eastAsia="en-AU"/>
        </w:rPr>
        <w:noBreakHyphen/>
      </w:r>
      <w:r w:rsidRPr="00DD0272">
        <w:rPr>
          <w:lang w:eastAsia="en-AU"/>
        </w:rPr>
        <w:t xml:space="preserve">party claim handlers, including paying compensation directly to clients – Where </w:t>
      </w:r>
      <w:r w:rsidR="00C814B6">
        <w:rPr>
          <w:lang w:eastAsia="en-AU"/>
        </w:rPr>
        <w:t>appellant</w:t>
      </w:r>
      <w:r w:rsidRPr="00DD0272">
        <w:rPr>
          <w:lang w:eastAsia="en-AU"/>
        </w:rPr>
        <w:t xml:space="preserve"> lost opportunity to deduct its fees from compensation paid by </w:t>
      </w:r>
      <w:r w:rsidR="00C814B6">
        <w:rPr>
          <w:lang w:eastAsia="en-AU"/>
        </w:rPr>
        <w:t>respondent</w:t>
      </w:r>
      <w:r w:rsidRPr="00DD0272">
        <w:rPr>
          <w:lang w:eastAsia="en-AU"/>
        </w:rPr>
        <w:t xml:space="preserve"> before passing balance to client – Where </w:t>
      </w:r>
      <w:r w:rsidR="00C814B6">
        <w:rPr>
          <w:lang w:eastAsia="en-AU"/>
        </w:rPr>
        <w:t>appellant</w:t>
      </w:r>
      <w:r w:rsidRPr="00DD0272">
        <w:rPr>
          <w:lang w:eastAsia="en-AU"/>
        </w:rPr>
        <w:t xml:space="preserve"> claimed equitable lien over sums payable by </w:t>
      </w:r>
      <w:r w:rsidR="00C814B6">
        <w:rPr>
          <w:lang w:eastAsia="en-AU"/>
        </w:rPr>
        <w:t>respondent</w:t>
      </w:r>
      <w:r w:rsidRPr="00DD0272">
        <w:rPr>
          <w:lang w:eastAsia="en-AU"/>
        </w:rPr>
        <w:t xml:space="preserve"> to </w:t>
      </w:r>
      <w:r w:rsidR="00C814B6">
        <w:rPr>
          <w:lang w:eastAsia="en-AU"/>
        </w:rPr>
        <w:t>appellant's</w:t>
      </w:r>
      <w:r w:rsidRPr="00DD0272">
        <w:rPr>
          <w:lang w:eastAsia="en-AU"/>
        </w:rPr>
        <w:t xml:space="preserve"> clients in compensation for flight delays – Where High Court and Court of Appeal dismissed </w:t>
      </w:r>
      <w:r w:rsidR="00C814B6">
        <w:rPr>
          <w:lang w:eastAsia="en-AU"/>
        </w:rPr>
        <w:t>appellant's</w:t>
      </w:r>
      <w:r w:rsidRPr="00DD0272">
        <w:rPr>
          <w:lang w:eastAsia="en-AU"/>
        </w:rPr>
        <w:t xml:space="preserve"> claims – Whether equitable lien covers costs charged to clients by </w:t>
      </w:r>
      <w:r w:rsidR="00C814B6">
        <w:rPr>
          <w:lang w:eastAsia="en-AU"/>
        </w:rPr>
        <w:t>appellant</w:t>
      </w:r>
      <w:r w:rsidRPr="00DD0272">
        <w:rPr>
          <w:lang w:eastAsia="en-AU"/>
        </w:rPr>
        <w:t xml:space="preserve"> for claiming compensation for flights from </w:t>
      </w:r>
      <w:r w:rsidR="00C814B6">
        <w:rPr>
          <w:lang w:eastAsia="en-AU"/>
        </w:rPr>
        <w:t>respondent</w:t>
      </w:r>
      <w:r w:rsidRPr="00DD0272">
        <w:rPr>
          <w:lang w:eastAsia="en-AU"/>
        </w:rPr>
        <w:t xml:space="preserve"> – Proper boundary of equitable liens. </w:t>
      </w:r>
    </w:p>
    <w:p w14:paraId="143433EE" w14:textId="77777777" w:rsidR="00DD0272" w:rsidRPr="00DD0272" w:rsidRDefault="00DD0272" w:rsidP="00DD0272">
      <w:pPr>
        <w:rPr>
          <w:b/>
          <w:bCs/>
          <w:lang w:eastAsia="en-AU"/>
        </w:rPr>
      </w:pPr>
    </w:p>
    <w:p w14:paraId="31B8F9EB" w14:textId="7B4AE63D" w:rsidR="00DD0272" w:rsidRPr="00DD0272" w:rsidRDefault="00DD0272" w:rsidP="00DD0272">
      <w:pPr>
        <w:rPr>
          <w:lang w:eastAsia="en-AU"/>
        </w:rPr>
      </w:pPr>
      <w:r w:rsidRPr="00DD0272">
        <w:rPr>
          <w:b/>
          <w:bCs/>
          <w:lang w:eastAsia="en-AU"/>
        </w:rPr>
        <w:t>Held (3:2):</w:t>
      </w:r>
      <w:r w:rsidRPr="00DD0272">
        <w:rPr>
          <w:lang w:eastAsia="en-AU"/>
        </w:rPr>
        <w:t xml:space="preserve"> Appeal allowed.</w:t>
      </w:r>
    </w:p>
    <w:p w14:paraId="205878A6" w14:textId="77777777" w:rsidR="00DD0272" w:rsidRPr="00DD0272" w:rsidRDefault="00DD0272" w:rsidP="00DD0272">
      <w:pPr>
        <w:pBdr>
          <w:bottom w:val="double" w:sz="6" w:space="1" w:color="auto"/>
        </w:pBdr>
        <w:rPr>
          <w:rFonts w:cs="Arial"/>
          <w:szCs w:val="20"/>
          <w:highlight w:val="yellow"/>
          <w:lang w:eastAsia="en-AU"/>
        </w:rPr>
      </w:pPr>
    </w:p>
    <w:p w14:paraId="2A63CBF7" w14:textId="77777777" w:rsidR="004707D0" w:rsidRPr="004707D0" w:rsidRDefault="004707D0" w:rsidP="004707D0">
      <w:pPr>
        <w:rPr>
          <w:lang w:eastAsia="en-AU"/>
        </w:rPr>
      </w:pPr>
    </w:p>
    <w:bookmarkEnd w:id="5"/>
    <w:p w14:paraId="74D3CAEC" w14:textId="7391104B" w:rsidR="003178CF" w:rsidRDefault="003178CF" w:rsidP="003178CF">
      <w:pPr>
        <w:pStyle w:val="Heading1"/>
      </w:pPr>
      <w:r>
        <w:t>Evidence</w:t>
      </w:r>
    </w:p>
    <w:p w14:paraId="553F45CC" w14:textId="77777777" w:rsidR="003178CF" w:rsidRDefault="003178CF" w:rsidP="003178CF">
      <w:pPr>
        <w:rPr>
          <w:lang w:eastAsia="en-AU"/>
        </w:rPr>
      </w:pPr>
    </w:p>
    <w:p w14:paraId="77659380" w14:textId="6048FB41" w:rsidR="003178CF" w:rsidRPr="002F4F7E" w:rsidRDefault="003178CF" w:rsidP="003178CF">
      <w:pPr>
        <w:pStyle w:val="Heading2"/>
      </w:pPr>
      <w:r>
        <w:t xml:space="preserve">Hemphill v New York </w:t>
      </w:r>
    </w:p>
    <w:p w14:paraId="0ED88107" w14:textId="7B87EAC4" w:rsidR="003178CF" w:rsidRPr="002F4F7E" w:rsidRDefault="003178CF" w:rsidP="003178CF">
      <w:pPr>
        <w:rPr>
          <w:lang w:eastAsia="en-AU"/>
        </w:rPr>
      </w:pPr>
      <w:r>
        <w:rPr>
          <w:b/>
          <w:lang w:eastAsia="en-AU"/>
        </w:rPr>
        <w:t xml:space="preserve">Supreme </w:t>
      </w:r>
      <w:r w:rsidRPr="002F4F7E">
        <w:rPr>
          <w:b/>
          <w:lang w:eastAsia="en-AU"/>
        </w:rPr>
        <w:t>Court</w:t>
      </w:r>
      <w:r>
        <w:rPr>
          <w:b/>
          <w:lang w:eastAsia="en-AU"/>
        </w:rPr>
        <w:t xml:space="preserve"> of the United States: </w:t>
      </w:r>
      <w:hyperlink r:id="rId30" w:history="1">
        <w:r w:rsidR="005E642A" w:rsidRPr="005E642A">
          <w:rPr>
            <w:rStyle w:val="Hyperlink"/>
            <w:bCs/>
            <w:lang w:eastAsia="en-AU"/>
          </w:rPr>
          <w:t>Docket No. 20-637</w:t>
        </w:r>
      </w:hyperlink>
      <w:r w:rsidR="005E642A">
        <w:rPr>
          <w:bCs/>
          <w:lang w:eastAsia="en-AU"/>
        </w:rPr>
        <w:t xml:space="preserve"> </w:t>
      </w:r>
    </w:p>
    <w:p w14:paraId="22DA8FD5" w14:textId="77777777" w:rsidR="003178CF" w:rsidRPr="002F4F7E" w:rsidRDefault="003178CF" w:rsidP="003178CF">
      <w:pPr>
        <w:rPr>
          <w:lang w:eastAsia="en-AU"/>
        </w:rPr>
      </w:pPr>
    </w:p>
    <w:p w14:paraId="35CCB140" w14:textId="21502BF9" w:rsidR="003178CF" w:rsidRPr="002F4F7E" w:rsidRDefault="003178CF" w:rsidP="003178CF">
      <w:pPr>
        <w:rPr>
          <w:lang w:eastAsia="en-AU"/>
        </w:rPr>
      </w:pPr>
      <w:r w:rsidRPr="002F4F7E">
        <w:rPr>
          <w:b/>
          <w:lang w:eastAsia="en-AU"/>
        </w:rPr>
        <w:t>Judgment delivered:</w:t>
      </w:r>
      <w:r w:rsidRPr="002F4F7E">
        <w:rPr>
          <w:lang w:eastAsia="en-AU"/>
        </w:rPr>
        <w:t xml:space="preserve"> </w:t>
      </w:r>
      <w:r w:rsidR="00942C19">
        <w:rPr>
          <w:lang w:eastAsia="en-AU"/>
        </w:rPr>
        <w:t>20</w:t>
      </w:r>
      <w:r>
        <w:rPr>
          <w:lang w:eastAsia="en-AU"/>
        </w:rPr>
        <w:t xml:space="preserve"> January 2022</w:t>
      </w:r>
    </w:p>
    <w:p w14:paraId="08B8BA0C" w14:textId="77777777" w:rsidR="003178CF" w:rsidRPr="002F4F7E" w:rsidRDefault="003178CF" w:rsidP="003178CF">
      <w:pPr>
        <w:rPr>
          <w:lang w:eastAsia="en-AU"/>
        </w:rPr>
      </w:pPr>
    </w:p>
    <w:p w14:paraId="31C61103" w14:textId="77777777" w:rsidR="003178CF" w:rsidRDefault="003178CF" w:rsidP="003178CF">
      <w:pPr>
        <w:rPr>
          <w:lang w:eastAsia="en-AU"/>
        </w:rPr>
      </w:pPr>
      <w:r w:rsidRPr="002F4F7E">
        <w:rPr>
          <w:b/>
          <w:lang w:eastAsia="en-AU"/>
        </w:rPr>
        <w:t xml:space="preserve">Coram: </w:t>
      </w:r>
      <w:r>
        <w:rPr>
          <w:lang w:eastAsia="en-AU"/>
        </w:rPr>
        <w:t>Roberts CJ, Thomas, Breyer, Alito, Sotomayor, Kagan, Gorsuch,</w:t>
      </w:r>
    </w:p>
    <w:p w14:paraId="168771D7" w14:textId="77777777" w:rsidR="003178CF" w:rsidRDefault="003178CF" w:rsidP="003178CF">
      <w:pPr>
        <w:rPr>
          <w:lang w:eastAsia="en-AU"/>
        </w:rPr>
      </w:pPr>
      <w:r>
        <w:rPr>
          <w:lang w:eastAsia="en-AU"/>
        </w:rPr>
        <w:t>Kavanaugh and Barrett JJ</w:t>
      </w:r>
    </w:p>
    <w:p w14:paraId="6526FF19" w14:textId="77777777" w:rsidR="003178CF" w:rsidRPr="002F4F7E" w:rsidRDefault="003178CF" w:rsidP="003178CF">
      <w:pPr>
        <w:rPr>
          <w:lang w:eastAsia="en-AU"/>
        </w:rPr>
      </w:pPr>
    </w:p>
    <w:p w14:paraId="2415528D" w14:textId="77777777" w:rsidR="003178CF" w:rsidRPr="002F4F7E" w:rsidRDefault="003178CF" w:rsidP="003178CF">
      <w:pPr>
        <w:rPr>
          <w:b/>
          <w:lang w:eastAsia="en-AU"/>
        </w:rPr>
      </w:pPr>
      <w:r>
        <w:rPr>
          <w:b/>
          <w:lang w:eastAsia="en-AU"/>
        </w:rPr>
        <w:t>Catchwords:</w:t>
      </w:r>
    </w:p>
    <w:p w14:paraId="610CB759" w14:textId="77777777" w:rsidR="003178CF" w:rsidRPr="00856E9C" w:rsidRDefault="003178CF" w:rsidP="003178CF">
      <w:pPr>
        <w:rPr>
          <w:b/>
          <w:highlight w:val="yellow"/>
          <w:lang w:eastAsia="en-AU"/>
        </w:rPr>
      </w:pPr>
    </w:p>
    <w:p w14:paraId="3FE2C027" w14:textId="23B3E65B" w:rsidR="003178CF" w:rsidRDefault="00942C19" w:rsidP="009F5C93">
      <w:pPr>
        <w:ind w:left="720"/>
        <w:rPr>
          <w:lang w:eastAsia="en-AU"/>
        </w:rPr>
      </w:pPr>
      <w:r>
        <w:rPr>
          <w:lang w:eastAsia="en-AU"/>
        </w:rPr>
        <w:t xml:space="preserve">Evidence – Trial – Sixth Amendment – Right to confront witnesses – Where </w:t>
      </w:r>
      <w:r w:rsidR="007E6410">
        <w:rPr>
          <w:lang w:eastAsia="en-AU"/>
        </w:rPr>
        <w:t xml:space="preserve">stray </w:t>
      </w:r>
      <w:r>
        <w:rPr>
          <w:lang w:eastAsia="en-AU"/>
        </w:rPr>
        <w:t>9</w:t>
      </w:r>
      <w:r w:rsidR="001E0061">
        <w:rPr>
          <w:lang w:eastAsia="en-AU"/>
        </w:rPr>
        <w:noBreakHyphen/>
      </w:r>
      <w:r>
        <w:rPr>
          <w:lang w:eastAsia="en-AU"/>
        </w:rPr>
        <w:t>millimeter bullet killed child</w:t>
      </w:r>
      <w:r w:rsidR="007E6410">
        <w:rPr>
          <w:lang w:eastAsia="en-AU"/>
        </w:rPr>
        <w:t xml:space="preserve"> </w:t>
      </w:r>
      <w:r>
        <w:rPr>
          <w:lang w:eastAsia="en-AU"/>
        </w:rPr>
        <w:t xml:space="preserve">– </w:t>
      </w:r>
      <w:r w:rsidR="009412C1">
        <w:rPr>
          <w:lang w:eastAsia="en-AU"/>
        </w:rPr>
        <w:t xml:space="preserve">Where Morris charged with murder but entered into plea deal </w:t>
      </w:r>
      <w:r w:rsidR="00F3411A">
        <w:rPr>
          <w:lang w:eastAsia="en-AU"/>
        </w:rPr>
        <w:t>where he admitted to possession of .357</w:t>
      </w:r>
      <w:r w:rsidR="001E0061">
        <w:rPr>
          <w:lang w:eastAsia="en-AU"/>
        </w:rPr>
        <w:noBreakHyphen/>
      </w:r>
      <w:r w:rsidR="00F3411A">
        <w:rPr>
          <w:lang w:eastAsia="en-AU"/>
        </w:rPr>
        <w:t xml:space="preserve">magnum revolver, being different firearm to one used to kill victim </w:t>
      </w:r>
      <w:r w:rsidR="009412C1">
        <w:rPr>
          <w:lang w:eastAsia="en-AU"/>
        </w:rPr>
        <w:t xml:space="preserve">– Where, years later, State prosecuted petitioner Hemphill </w:t>
      </w:r>
      <w:r w:rsidR="009412C1" w:rsidRPr="009412C1">
        <w:rPr>
          <w:lang w:eastAsia="en-AU"/>
        </w:rPr>
        <w:t>– Where Hemphill elicited undisputed testimony from prosecution witness that police recovered 9</w:t>
      </w:r>
      <w:r w:rsidR="001E0061">
        <w:rPr>
          <w:lang w:eastAsia="en-AU"/>
        </w:rPr>
        <w:noBreakHyphen/>
      </w:r>
      <w:r w:rsidR="009412C1" w:rsidRPr="009412C1">
        <w:rPr>
          <w:lang w:eastAsia="en-AU"/>
        </w:rPr>
        <w:t xml:space="preserve">milimeter ammunition from Morris' night stand – Where Morris not available to testify as outside United States – Where, over objection of Hemphill's counsel, trial court allowed State to introduce parts of transcript of Morris' plea allocution </w:t>
      </w:r>
      <w:r w:rsidR="009412C1">
        <w:rPr>
          <w:lang w:eastAsia="en-AU"/>
        </w:rPr>
        <w:t xml:space="preserve">to rebut Hemphill's theory that Morris committed murder </w:t>
      </w:r>
      <w:r w:rsidR="009412C1" w:rsidRPr="009412C1">
        <w:rPr>
          <w:lang w:eastAsia="en-AU"/>
        </w:rPr>
        <w:t>–</w:t>
      </w:r>
      <w:r w:rsidR="009412C1">
        <w:rPr>
          <w:lang w:eastAsia="en-AU"/>
        </w:rPr>
        <w:t xml:space="preserve"> Where trial court reasoned</w:t>
      </w:r>
      <w:r w:rsidR="00FC5141">
        <w:rPr>
          <w:lang w:eastAsia="en-AU"/>
        </w:rPr>
        <w:t xml:space="preserve">, citing </w:t>
      </w:r>
      <w:r w:rsidR="00FC5141" w:rsidRPr="00FC5141">
        <w:rPr>
          <w:i/>
          <w:iCs/>
          <w:lang w:eastAsia="en-AU"/>
        </w:rPr>
        <w:t>People v Reid</w:t>
      </w:r>
      <w:r w:rsidR="00FC5141" w:rsidRPr="00FC5141">
        <w:rPr>
          <w:lang w:eastAsia="en-AU"/>
        </w:rPr>
        <w:t>, 19 N. Y. 3d 382</w:t>
      </w:r>
      <w:r w:rsidR="00FC5141">
        <w:rPr>
          <w:lang w:eastAsia="en-AU"/>
        </w:rPr>
        <w:t>,</w:t>
      </w:r>
      <w:r w:rsidR="009412C1">
        <w:rPr>
          <w:lang w:eastAsia="en-AU"/>
        </w:rPr>
        <w:t xml:space="preserve"> Hemphill’s arguments and evidence </w:t>
      </w:r>
      <w:r w:rsidR="00FC5141">
        <w:rPr>
          <w:lang w:eastAsia="en-AU"/>
        </w:rPr>
        <w:t>opened door</w:t>
      </w:r>
      <w:r w:rsidR="009412C1">
        <w:rPr>
          <w:lang w:eastAsia="en-AU"/>
        </w:rPr>
        <w:t xml:space="preserve"> to introduction of out</w:t>
      </w:r>
      <w:r w:rsidR="001E0061">
        <w:rPr>
          <w:lang w:eastAsia="en-AU"/>
        </w:rPr>
        <w:noBreakHyphen/>
      </w:r>
      <w:r w:rsidR="009412C1">
        <w:rPr>
          <w:lang w:eastAsia="en-AU"/>
        </w:rPr>
        <w:t>of</w:t>
      </w:r>
      <w:r w:rsidR="001E0061">
        <w:rPr>
          <w:lang w:eastAsia="en-AU"/>
        </w:rPr>
        <w:noBreakHyphen/>
      </w:r>
      <w:r w:rsidR="009412C1">
        <w:rPr>
          <w:lang w:eastAsia="en-AU"/>
        </w:rPr>
        <w:t xml:space="preserve">court statements </w:t>
      </w:r>
      <w:r w:rsidR="00FC5141">
        <w:rPr>
          <w:lang w:eastAsia="en-AU"/>
        </w:rPr>
        <w:t>r</w:t>
      </w:r>
      <w:r w:rsidR="009412C1">
        <w:rPr>
          <w:lang w:eastAsia="en-AU"/>
        </w:rPr>
        <w:t>easonably necessary to correct</w:t>
      </w:r>
      <w:r w:rsidR="00FC5141">
        <w:rPr>
          <w:lang w:eastAsia="en-AU"/>
        </w:rPr>
        <w:t xml:space="preserve"> </w:t>
      </w:r>
      <w:r w:rsidR="009412C1">
        <w:rPr>
          <w:lang w:eastAsia="en-AU"/>
        </w:rPr>
        <w:t>misleading impression Hemphill created</w:t>
      </w:r>
      <w:r w:rsidR="00FC5141">
        <w:rPr>
          <w:lang w:eastAsia="en-AU"/>
        </w:rPr>
        <w:t xml:space="preserve"> </w:t>
      </w:r>
      <w:r w:rsidR="00BD4CCE">
        <w:rPr>
          <w:lang w:eastAsia="en-AU"/>
        </w:rPr>
        <w:t>– Where Hemphill found guilty – Where Confrontation Clause of Sixth Amendment provide</w:t>
      </w:r>
      <w:r w:rsidR="00405DFD">
        <w:rPr>
          <w:lang w:eastAsia="en-AU"/>
        </w:rPr>
        <w:t>d</w:t>
      </w:r>
      <w:r w:rsidR="00BD4CCE">
        <w:rPr>
          <w:lang w:eastAsia="en-AU"/>
        </w:rPr>
        <w:t xml:space="preserve"> criminal defendant right </w:t>
      </w:r>
      <w:r w:rsidR="002C6EE4">
        <w:rPr>
          <w:lang w:eastAsia="en-AU"/>
        </w:rPr>
        <w:t>"</w:t>
      </w:r>
      <w:r w:rsidR="00BD4CCE">
        <w:rPr>
          <w:lang w:eastAsia="en-AU"/>
        </w:rPr>
        <w:t>to be confronted with witnesses against him</w:t>
      </w:r>
      <w:r w:rsidR="002C6EE4">
        <w:rPr>
          <w:lang w:eastAsia="en-AU"/>
        </w:rPr>
        <w:t>"</w:t>
      </w:r>
      <w:r w:rsidR="00BD4CCE">
        <w:rPr>
          <w:lang w:eastAsia="en-AU"/>
        </w:rPr>
        <w:t xml:space="preserve"> – </w:t>
      </w:r>
      <w:r w:rsidR="008E7B0E">
        <w:rPr>
          <w:lang w:eastAsia="en-AU"/>
        </w:rPr>
        <w:t xml:space="preserve">Where New York Court of Appeal affirmed trial court decision – </w:t>
      </w:r>
      <w:r w:rsidR="00BD4CCE">
        <w:rPr>
          <w:lang w:eastAsia="en-AU"/>
        </w:rPr>
        <w:t>Whether trial court's admission of Morris' plea allocution</w:t>
      </w:r>
      <w:r w:rsidR="009F5C93">
        <w:rPr>
          <w:lang w:eastAsia="en-AU"/>
        </w:rPr>
        <w:t xml:space="preserve"> under rule in </w:t>
      </w:r>
      <w:r w:rsidR="009F5C93" w:rsidRPr="009F5C93">
        <w:rPr>
          <w:i/>
          <w:iCs/>
          <w:lang w:eastAsia="en-AU"/>
        </w:rPr>
        <w:t>People v Reid</w:t>
      </w:r>
      <w:r w:rsidR="009F5C93">
        <w:rPr>
          <w:lang w:eastAsia="en-AU"/>
        </w:rPr>
        <w:t xml:space="preserve"> violated Hemphill’s Sixth Amendment right</w:t>
      </w:r>
      <w:r w:rsidR="00BA12DA">
        <w:rPr>
          <w:lang w:eastAsia="en-AU"/>
        </w:rPr>
        <w:t xml:space="preserve"> </w:t>
      </w:r>
      <w:r w:rsidR="00F9027D">
        <w:rPr>
          <w:lang w:eastAsia="en-AU"/>
        </w:rPr>
        <w:t xml:space="preserve">– Whether Hemphill failed to present claim adequately to state courts. </w:t>
      </w:r>
    </w:p>
    <w:p w14:paraId="78F26471" w14:textId="77777777" w:rsidR="003178CF" w:rsidRDefault="003178CF" w:rsidP="003178CF">
      <w:pPr>
        <w:rPr>
          <w:lang w:eastAsia="en-AU"/>
        </w:rPr>
      </w:pPr>
    </w:p>
    <w:p w14:paraId="06043FCF" w14:textId="15B143F8" w:rsidR="003178CF" w:rsidRDefault="003178CF" w:rsidP="003178CF">
      <w:pPr>
        <w:rPr>
          <w:lang w:eastAsia="en-AU"/>
        </w:rPr>
      </w:pPr>
      <w:r w:rsidRPr="002F4F7E">
        <w:rPr>
          <w:b/>
          <w:lang w:eastAsia="en-AU"/>
        </w:rPr>
        <w:t>Held (</w:t>
      </w:r>
      <w:r w:rsidR="007E6410">
        <w:rPr>
          <w:b/>
          <w:lang w:eastAsia="en-AU"/>
        </w:rPr>
        <w:t>8</w:t>
      </w:r>
      <w:r>
        <w:rPr>
          <w:b/>
          <w:lang w:eastAsia="en-AU"/>
        </w:rPr>
        <w:t>:</w:t>
      </w:r>
      <w:r w:rsidR="007E6410">
        <w:rPr>
          <w:b/>
          <w:lang w:eastAsia="en-AU"/>
        </w:rPr>
        <w:t>1</w:t>
      </w:r>
      <w:r w:rsidRPr="002F4F7E">
        <w:rPr>
          <w:b/>
          <w:lang w:eastAsia="en-AU"/>
        </w:rPr>
        <w:t xml:space="preserve">): </w:t>
      </w:r>
      <w:r w:rsidR="003434A4" w:rsidRPr="003434A4">
        <w:rPr>
          <w:bCs/>
          <w:lang w:eastAsia="en-AU"/>
        </w:rPr>
        <w:t xml:space="preserve">Judgment of </w:t>
      </w:r>
      <w:r w:rsidR="008E7B0E" w:rsidRPr="003434A4">
        <w:rPr>
          <w:bCs/>
          <w:lang w:eastAsia="en-AU"/>
        </w:rPr>
        <w:t>Court of Appeal</w:t>
      </w:r>
      <w:r w:rsidR="00BA12DA">
        <w:rPr>
          <w:bCs/>
          <w:lang w:eastAsia="en-AU"/>
        </w:rPr>
        <w:t>s</w:t>
      </w:r>
      <w:r w:rsidR="008E7B0E" w:rsidRPr="003434A4">
        <w:rPr>
          <w:bCs/>
          <w:lang w:eastAsia="en-AU"/>
        </w:rPr>
        <w:t xml:space="preserve"> </w:t>
      </w:r>
      <w:r w:rsidR="003434A4" w:rsidRPr="003434A4">
        <w:rPr>
          <w:bCs/>
          <w:lang w:eastAsia="en-AU"/>
        </w:rPr>
        <w:t xml:space="preserve">of New York </w:t>
      </w:r>
      <w:proofErr w:type="gramStart"/>
      <w:r w:rsidR="008E7B0E" w:rsidRPr="003434A4">
        <w:rPr>
          <w:bCs/>
          <w:lang w:eastAsia="en-AU"/>
        </w:rPr>
        <w:t>reversed</w:t>
      </w:r>
      <w:proofErr w:type="gramEnd"/>
      <w:r w:rsidR="008E7B0E" w:rsidRPr="003434A4">
        <w:rPr>
          <w:bCs/>
          <w:lang w:eastAsia="en-AU"/>
        </w:rPr>
        <w:t xml:space="preserve"> and </w:t>
      </w:r>
      <w:r w:rsidR="00BA12DA">
        <w:rPr>
          <w:bCs/>
          <w:lang w:eastAsia="en-AU"/>
        </w:rPr>
        <w:t xml:space="preserve">case </w:t>
      </w:r>
      <w:r w:rsidR="008E7B0E" w:rsidRPr="003434A4">
        <w:rPr>
          <w:bCs/>
          <w:lang w:eastAsia="en-AU"/>
        </w:rPr>
        <w:t>remanded</w:t>
      </w:r>
      <w:r w:rsidRPr="003434A4">
        <w:rPr>
          <w:bCs/>
          <w:lang w:eastAsia="en-AU"/>
        </w:rPr>
        <w:t>.</w:t>
      </w:r>
      <w:r>
        <w:rPr>
          <w:lang w:eastAsia="en-AU"/>
        </w:rPr>
        <w:t xml:space="preserve"> </w:t>
      </w:r>
    </w:p>
    <w:p w14:paraId="01EBFFAE" w14:textId="5D26C606" w:rsidR="00866165" w:rsidRDefault="00866165" w:rsidP="00DD0272">
      <w:pPr>
        <w:pStyle w:val="BullDivider1"/>
        <w:rPr>
          <w:highlight w:val="yellow"/>
        </w:rPr>
      </w:pPr>
    </w:p>
    <w:p w14:paraId="3387CC84" w14:textId="77777777" w:rsidR="00DD0272" w:rsidRPr="00DD0272" w:rsidRDefault="00DD0272" w:rsidP="00DD0272">
      <w:pPr>
        <w:rPr>
          <w:highlight w:val="yellow"/>
          <w:lang w:eastAsia="en-AU"/>
        </w:rPr>
      </w:pPr>
    </w:p>
    <w:p w14:paraId="72076094" w14:textId="77777777" w:rsidR="00DD0272" w:rsidRDefault="00DD0272" w:rsidP="00DD0272">
      <w:pPr>
        <w:pStyle w:val="Heading2"/>
      </w:pPr>
      <w:r>
        <w:t xml:space="preserve">United States v </w:t>
      </w:r>
      <w:proofErr w:type="spellStart"/>
      <w:r>
        <w:t>Zubaydah</w:t>
      </w:r>
      <w:proofErr w:type="spellEnd"/>
      <w:r>
        <w:t xml:space="preserve"> </w:t>
      </w:r>
    </w:p>
    <w:p w14:paraId="20110068" w14:textId="77777777" w:rsidR="00DD0272" w:rsidRDefault="00DD0272" w:rsidP="00DD0272">
      <w:pPr>
        <w:rPr>
          <w:lang w:eastAsia="en-AU"/>
        </w:rPr>
      </w:pPr>
      <w:bookmarkStart w:id="8" w:name="_Hlk98767520"/>
      <w:r>
        <w:rPr>
          <w:b/>
          <w:bCs/>
          <w:lang w:eastAsia="en-AU"/>
        </w:rPr>
        <w:t>Supreme Court of the United States</w:t>
      </w:r>
      <w:r w:rsidRPr="006B0D58">
        <w:rPr>
          <w:b/>
          <w:bCs/>
          <w:lang w:eastAsia="en-AU"/>
        </w:rPr>
        <w:t>:</w:t>
      </w:r>
      <w:r>
        <w:rPr>
          <w:lang w:eastAsia="en-AU"/>
        </w:rPr>
        <w:t xml:space="preserve"> </w:t>
      </w:r>
      <w:hyperlink r:id="rId31" w:history="1">
        <w:r w:rsidRPr="006D5922">
          <w:rPr>
            <w:rStyle w:val="Hyperlink"/>
          </w:rPr>
          <w:t>Docket No. 20–827</w:t>
        </w:r>
      </w:hyperlink>
    </w:p>
    <w:p w14:paraId="47496C53" w14:textId="77777777" w:rsidR="00DD0272" w:rsidRDefault="00DD0272" w:rsidP="00DD0272">
      <w:pPr>
        <w:rPr>
          <w:lang w:eastAsia="en-AU"/>
        </w:rPr>
      </w:pPr>
    </w:p>
    <w:p w14:paraId="66CD7E1F" w14:textId="77777777" w:rsidR="00DD0272" w:rsidRPr="00DB68FF" w:rsidRDefault="00DD0272" w:rsidP="00DD0272">
      <w:pPr>
        <w:rPr>
          <w:lang w:eastAsia="en-AU"/>
        </w:rPr>
      </w:pPr>
      <w:r>
        <w:rPr>
          <w:b/>
          <w:bCs/>
          <w:lang w:eastAsia="en-AU"/>
        </w:rPr>
        <w:t xml:space="preserve">Judgment delivered: </w:t>
      </w:r>
      <w:r>
        <w:rPr>
          <w:lang w:eastAsia="en-AU"/>
        </w:rPr>
        <w:t>3 March 2022</w:t>
      </w:r>
    </w:p>
    <w:p w14:paraId="746C6086" w14:textId="77777777" w:rsidR="00DD0272" w:rsidRDefault="00DD0272" w:rsidP="00DD0272">
      <w:pPr>
        <w:rPr>
          <w:b/>
          <w:bCs/>
          <w:lang w:eastAsia="en-AU"/>
        </w:rPr>
      </w:pPr>
    </w:p>
    <w:p w14:paraId="7CBFD8C8" w14:textId="77777777" w:rsidR="00DD0272" w:rsidRDefault="00DD0272" w:rsidP="00DD0272">
      <w:pPr>
        <w:rPr>
          <w:lang w:eastAsia="en-AU"/>
        </w:rPr>
      </w:pPr>
      <w:r>
        <w:rPr>
          <w:b/>
          <w:bCs/>
          <w:lang w:eastAsia="en-AU"/>
        </w:rPr>
        <w:t>Coram:</w:t>
      </w:r>
      <w:r w:rsidRPr="00DB68FF">
        <w:t xml:space="preserve"> </w:t>
      </w:r>
      <w:r>
        <w:rPr>
          <w:lang w:eastAsia="en-AU"/>
        </w:rPr>
        <w:t>Roberts CJ, Thomas, Breyer, Alito, Sotomayor, Kagan, Gorsuch,</w:t>
      </w:r>
    </w:p>
    <w:p w14:paraId="66EC6445" w14:textId="77777777" w:rsidR="00DD0272" w:rsidRPr="00DB68FF" w:rsidRDefault="00DD0272" w:rsidP="00DD0272">
      <w:pPr>
        <w:rPr>
          <w:lang w:eastAsia="en-AU"/>
        </w:rPr>
      </w:pPr>
      <w:r>
        <w:rPr>
          <w:lang w:eastAsia="en-AU"/>
        </w:rPr>
        <w:t>Kavanaugh and Barrett JJ</w:t>
      </w:r>
    </w:p>
    <w:p w14:paraId="15CF8F66" w14:textId="77777777" w:rsidR="00DD0272" w:rsidRDefault="00DD0272" w:rsidP="00DD0272">
      <w:pPr>
        <w:rPr>
          <w:b/>
          <w:bCs/>
          <w:lang w:eastAsia="en-AU"/>
        </w:rPr>
      </w:pPr>
    </w:p>
    <w:p w14:paraId="56BCF7D9" w14:textId="77777777" w:rsidR="00DD0272" w:rsidRDefault="00DD0272" w:rsidP="00DD0272">
      <w:pPr>
        <w:rPr>
          <w:b/>
          <w:bCs/>
          <w:lang w:eastAsia="en-AU"/>
        </w:rPr>
      </w:pPr>
      <w:r>
        <w:rPr>
          <w:b/>
          <w:bCs/>
          <w:lang w:eastAsia="en-AU"/>
        </w:rPr>
        <w:t>Catchwords:</w:t>
      </w:r>
    </w:p>
    <w:p w14:paraId="2A7D17B9" w14:textId="77777777" w:rsidR="00DD0272" w:rsidRDefault="00DD0272" w:rsidP="00DD0272">
      <w:pPr>
        <w:rPr>
          <w:b/>
          <w:bCs/>
          <w:lang w:eastAsia="en-AU"/>
        </w:rPr>
      </w:pPr>
    </w:p>
    <w:p w14:paraId="1C03F085" w14:textId="02C51AB4" w:rsidR="00DD0272" w:rsidRDefault="00DD0272" w:rsidP="00DD0272">
      <w:pPr>
        <w:pStyle w:val="Catchwords"/>
      </w:pPr>
      <w:r>
        <w:t xml:space="preserve">Evidence – Discovery – State secrets privilege – Where </w:t>
      </w:r>
      <w:proofErr w:type="spellStart"/>
      <w:r>
        <w:t>Zubaydah</w:t>
      </w:r>
      <w:proofErr w:type="spellEnd"/>
      <w:r>
        <w:t xml:space="preserve"> </w:t>
      </w:r>
      <w:r w:rsidR="00BA12DA">
        <w:t>claimed to be detained</w:t>
      </w:r>
      <w:r>
        <w:t xml:space="preserve"> at CIA detention site in Poland and subjected to </w:t>
      </w:r>
      <w:r w:rsidR="002C6EE4">
        <w:t>"</w:t>
      </w:r>
      <w:r>
        <w:t>enhanced interrogation</w:t>
      </w:r>
      <w:r w:rsidR="002C6EE4">
        <w:t>"</w:t>
      </w:r>
      <w:r>
        <w:t xml:space="preserve"> techniques – Where </w:t>
      </w:r>
      <w:proofErr w:type="spellStart"/>
      <w:r>
        <w:t>Zubaydah</w:t>
      </w:r>
      <w:proofErr w:type="spellEnd"/>
      <w:r>
        <w:t xml:space="preserve"> filed criminal complaint in Poland, seeking to hold accountable Polish nationals involved in mistreatment –</w:t>
      </w:r>
      <w:r w:rsidR="00FF7F6F">
        <w:t xml:space="preserve"> </w:t>
      </w:r>
      <w:r>
        <w:t xml:space="preserve">Where </w:t>
      </w:r>
      <w:r w:rsidRPr="0021061E">
        <w:t>28 U</w:t>
      </w:r>
      <w:r>
        <w:t>SC</w:t>
      </w:r>
      <w:r w:rsidRPr="0021061E">
        <w:t xml:space="preserve"> §1782</w:t>
      </w:r>
      <w:r>
        <w:t xml:space="preserve"> provided that </w:t>
      </w:r>
      <w:r w:rsidR="00186837">
        <w:t>D</w:t>
      </w:r>
      <w:r>
        <w:t xml:space="preserve">istrict </w:t>
      </w:r>
      <w:r w:rsidR="00186837">
        <w:t>C</w:t>
      </w:r>
      <w:r>
        <w:t xml:space="preserve">ourt may order person to provide testimony or documents </w:t>
      </w:r>
      <w:r w:rsidR="002C6EE4">
        <w:t>"</w:t>
      </w:r>
      <w:r>
        <w:t>for use in proceeding in foreign… tribunal</w:t>
      </w:r>
      <w:r w:rsidR="002C6EE4">
        <w:t>"</w:t>
      </w:r>
      <w:r w:rsidRPr="00767CC3">
        <w:t xml:space="preserve"> </w:t>
      </w:r>
      <w:r>
        <w:t xml:space="preserve">– Where </w:t>
      </w:r>
      <w:proofErr w:type="spellStart"/>
      <w:r>
        <w:t>Zubaydah</w:t>
      </w:r>
      <w:proofErr w:type="spellEnd"/>
      <w:r>
        <w:t xml:space="preserve"> filed discovery application pursuant to </w:t>
      </w:r>
      <w:r w:rsidR="00FF7F6F" w:rsidRPr="00FF7F6F">
        <w:t>§</w:t>
      </w:r>
      <w:r>
        <w:t xml:space="preserve">1782 seeking permission to serve two former </w:t>
      </w:r>
      <w:r w:rsidRPr="00767CC3">
        <w:t>CIA contractors with subpoenas requesting information regarding alleged CIA detention facility</w:t>
      </w:r>
      <w:r>
        <w:t xml:space="preserve"> in Poland and </w:t>
      </w:r>
      <w:proofErr w:type="spellStart"/>
      <w:r>
        <w:t>Zubaydah's</w:t>
      </w:r>
      <w:proofErr w:type="spellEnd"/>
      <w:r>
        <w:t xml:space="preserve"> treatment – Where Government intervened asserting state secrete privilege in opposition to discovery request – Whether information sought to be disclosed protected by state secrets privilege. </w:t>
      </w:r>
    </w:p>
    <w:p w14:paraId="5E2EEFC3" w14:textId="77777777" w:rsidR="00DD0272" w:rsidRDefault="00DD0272" w:rsidP="00DD0272">
      <w:pPr>
        <w:rPr>
          <w:b/>
          <w:bCs/>
          <w:lang w:eastAsia="en-AU"/>
        </w:rPr>
      </w:pPr>
    </w:p>
    <w:p w14:paraId="274736A0" w14:textId="49B0F6B0" w:rsidR="00DD0272" w:rsidRPr="00DD0272" w:rsidRDefault="00DD0272" w:rsidP="00DD0272">
      <w:pPr>
        <w:rPr>
          <w:highlight w:val="yellow"/>
          <w:lang w:eastAsia="en-AU"/>
        </w:rPr>
      </w:pPr>
      <w:r>
        <w:rPr>
          <w:b/>
          <w:bCs/>
          <w:lang w:eastAsia="en-AU"/>
        </w:rPr>
        <w:t>Held (7:2; 6:3 (Kagan J dissenting in part)):</w:t>
      </w:r>
      <w:r>
        <w:rPr>
          <w:lang w:eastAsia="en-AU"/>
        </w:rPr>
        <w:t xml:space="preserve"> Case remanded with instructions to dismiss discovery application.</w:t>
      </w:r>
      <w:bookmarkEnd w:id="8"/>
    </w:p>
    <w:p w14:paraId="55BC5874" w14:textId="7BBDB2D9" w:rsidR="00866165" w:rsidRDefault="00866165" w:rsidP="00DD0272">
      <w:pPr>
        <w:pStyle w:val="BullDivider2"/>
      </w:pPr>
    </w:p>
    <w:p w14:paraId="3783394D" w14:textId="77777777" w:rsidR="00DD0272" w:rsidRPr="00DD0272" w:rsidRDefault="00DD0272" w:rsidP="00DD0272">
      <w:pPr>
        <w:rPr>
          <w:lang w:eastAsia="en-AU"/>
        </w:rPr>
      </w:pPr>
    </w:p>
    <w:p w14:paraId="359A345C" w14:textId="7941B851" w:rsidR="00170099" w:rsidRDefault="006B0D58" w:rsidP="00170099">
      <w:pPr>
        <w:pStyle w:val="Heading1"/>
      </w:pPr>
      <w:r>
        <w:t xml:space="preserve">Human Rights </w:t>
      </w:r>
    </w:p>
    <w:p w14:paraId="77D76C35" w14:textId="77777777" w:rsidR="009A7227" w:rsidRPr="009A7227" w:rsidRDefault="009A7227" w:rsidP="009A7227">
      <w:pPr>
        <w:rPr>
          <w:lang w:eastAsia="en-AU"/>
        </w:rPr>
      </w:pPr>
    </w:p>
    <w:p w14:paraId="1A167760" w14:textId="491B5D2E" w:rsidR="00504DB3" w:rsidRDefault="00504DB3" w:rsidP="00040440">
      <w:pPr>
        <w:pStyle w:val="Heading2"/>
        <w:rPr>
          <w:i w:val="0"/>
          <w:iCs w:val="0"/>
        </w:rPr>
      </w:pPr>
      <w:r>
        <w:t>Craig v Her Majesty's Advocate (for the Government of the United States of America) &amp; Anor</w:t>
      </w:r>
    </w:p>
    <w:p w14:paraId="39D28AEC" w14:textId="5D285813" w:rsidR="00504DB3" w:rsidRDefault="00504DB3" w:rsidP="00504DB3">
      <w:pPr>
        <w:rPr>
          <w:lang w:eastAsia="en-AU"/>
        </w:rPr>
      </w:pPr>
    </w:p>
    <w:p w14:paraId="5FF45EB8" w14:textId="318847E3" w:rsidR="00504DB3" w:rsidRPr="00504DB3" w:rsidRDefault="00504DB3" w:rsidP="00504DB3">
      <w:pPr>
        <w:rPr>
          <w:lang w:eastAsia="en-AU"/>
        </w:rPr>
      </w:pPr>
      <w:r w:rsidRPr="00504DB3">
        <w:rPr>
          <w:b/>
          <w:lang w:eastAsia="en-AU"/>
        </w:rPr>
        <w:t xml:space="preserve">Supreme Court of the United Kingdom: </w:t>
      </w:r>
      <w:hyperlink r:id="rId32" w:history="1">
        <w:r w:rsidRPr="00504DB3">
          <w:rPr>
            <w:rStyle w:val="Hyperlink"/>
            <w:bCs/>
            <w:lang w:eastAsia="en-AU"/>
          </w:rPr>
          <w:t>[2022] UKSC 6</w:t>
        </w:r>
      </w:hyperlink>
    </w:p>
    <w:p w14:paraId="3CE2A424" w14:textId="77777777" w:rsidR="00504DB3" w:rsidRPr="00504DB3" w:rsidRDefault="00504DB3" w:rsidP="00504DB3">
      <w:pPr>
        <w:rPr>
          <w:lang w:eastAsia="en-AU"/>
        </w:rPr>
      </w:pPr>
    </w:p>
    <w:p w14:paraId="5DBFD71D" w14:textId="3F59E1BE" w:rsidR="00504DB3" w:rsidRPr="00504DB3" w:rsidRDefault="00504DB3" w:rsidP="00504DB3">
      <w:pPr>
        <w:rPr>
          <w:lang w:eastAsia="en-AU"/>
        </w:rPr>
      </w:pPr>
      <w:r w:rsidRPr="00504DB3">
        <w:rPr>
          <w:b/>
          <w:lang w:eastAsia="en-AU"/>
        </w:rPr>
        <w:t>Judgment delivered:</w:t>
      </w:r>
      <w:r w:rsidRPr="00504DB3">
        <w:rPr>
          <w:lang w:eastAsia="en-AU"/>
        </w:rPr>
        <w:t xml:space="preserve"> </w:t>
      </w:r>
      <w:r>
        <w:rPr>
          <w:lang w:eastAsia="en-AU"/>
        </w:rPr>
        <w:t>23 February</w:t>
      </w:r>
      <w:r w:rsidRPr="00504DB3">
        <w:rPr>
          <w:lang w:eastAsia="en-AU"/>
        </w:rPr>
        <w:t xml:space="preserve"> 2022</w:t>
      </w:r>
    </w:p>
    <w:p w14:paraId="23AC4BCE" w14:textId="77777777" w:rsidR="00504DB3" w:rsidRPr="00504DB3" w:rsidRDefault="00504DB3" w:rsidP="00504DB3">
      <w:pPr>
        <w:rPr>
          <w:lang w:eastAsia="en-AU"/>
        </w:rPr>
      </w:pPr>
    </w:p>
    <w:p w14:paraId="23E4D044" w14:textId="6D5F3A05" w:rsidR="00504DB3" w:rsidRPr="00504DB3" w:rsidRDefault="00504DB3" w:rsidP="00504DB3">
      <w:pPr>
        <w:rPr>
          <w:lang w:eastAsia="en-AU"/>
        </w:rPr>
      </w:pPr>
      <w:r w:rsidRPr="00504DB3">
        <w:rPr>
          <w:b/>
          <w:lang w:eastAsia="en-AU"/>
        </w:rPr>
        <w:t xml:space="preserve">Coram: </w:t>
      </w:r>
      <w:r w:rsidRPr="00504DB3">
        <w:rPr>
          <w:lang w:eastAsia="en-AU"/>
        </w:rPr>
        <w:t>Lord Reed, Lord Lloyd-Jones, Lord Kitchin, Lord Burrows</w:t>
      </w:r>
      <w:r>
        <w:rPr>
          <w:lang w:eastAsia="en-AU"/>
        </w:rPr>
        <w:t xml:space="preserve"> and</w:t>
      </w:r>
      <w:r w:rsidRPr="00504DB3">
        <w:rPr>
          <w:lang w:eastAsia="en-AU"/>
        </w:rPr>
        <w:t xml:space="preserve"> Lord Stephens</w:t>
      </w:r>
    </w:p>
    <w:p w14:paraId="1C167D8C" w14:textId="77777777" w:rsidR="00504DB3" w:rsidRPr="00504DB3" w:rsidRDefault="00504DB3" w:rsidP="00504DB3">
      <w:pPr>
        <w:rPr>
          <w:lang w:eastAsia="en-AU"/>
        </w:rPr>
      </w:pPr>
    </w:p>
    <w:p w14:paraId="25DB2A38" w14:textId="77777777" w:rsidR="00504DB3" w:rsidRPr="00504DB3" w:rsidRDefault="00504DB3" w:rsidP="00504DB3">
      <w:pPr>
        <w:rPr>
          <w:b/>
          <w:lang w:eastAsia="en-AU"/>
        </w:rPr>
      </w:pPr>
      <w:r w:rsidRPr="00504DB3">
        <w:rPr>
          <w:b/>
          <w:lang w:eastAsia="en-AU"/>
        </w:rPr>
        <w:t>Catchwords:</w:t>
      </w:r>
    </w:p>
    <w:p w14:paraId="63EF6F52" w14:textId="77777777" w:rsidR="00504DB3" w:rsidRPr="00504DB3" w:rsidRDefault="00504DB3" w:rsidP="00504DB3">
      <w:pPr>
        <w:rPr>
          <w:b/>
          <w:highlight w:val="yellow"/>
          <w:lang w:eastAsia="en-AU"/>
        </w:rPr>
      </w:pPr>
    </w:p>
    <w:p w14:paraId="32CF41D9" w14:textId="4AFBA647" w:rsidR="00710B48" w:rsidRPr="00710B48" w:rsidRDefault="00710B48" w:rsidP="00F855D9">
      <w:pPr>
        <w:ind w:left="720"/>
        <w:rPr>
          <w:lang w:eastAsia="en-AU"/>
        </w:rPr>
      </w:pPr>
      <w:r w:rsidRPr="00710B48">
        <w:rPr>
          <w:lang w:eastAsia="en-AU"/>
        </w:rPr>
        <w:t xml:space="preserve">Human rights – Extradition – Obligations of government – </w:t>
      </w:r>
      <w:r>
        <w:rPr>
          <w:lang w:eastAsia="en-AU"/>
        </w:rPr>
        <w:t xml:space="preserve">Powers of ministers – </w:t>
      </w:r>
      <w:r w:rsidRPr="00710B48">
        <w:rPr>
          <w:lang w:eastAsia="en-AU"/>
        </w:rPr>
        <w:t xml:space="preserve">Commencement of legislation </w:t>
      </w:r>
      <w:r>
        <w:rPr>
          <w:lang w:eastAsia="en-AU"/>
        </w:rPr>
        <w:t xml:space="preserve">– Where Scottish Ministers' powers limited under </w:t>
      </w:r>
      <w:r>
        <w:rPr>
          <w:i/>
          <w:iCs/>
          <w:lang w:eastAsia="en-AU"/>
        </w:rPr>
        <w:t>Scotland Act 1998</w:t>
      </w:r>
      <w:r>
        <w:rPr>
          <w:lang w:eastAsia="en-AU"/>
        </w:rPr>
        <w:t xml:space="preserve"> </w:t>
      </w:r>
      <w:r w:rsidR="001E0061">
        <w:rPr>
          <w:lang w:eastAsia="en-AU"/>
        </w:rPr>
        <w:t>(</w:t>
      </w:r>
      <w:r w:rsidR="002C6EE4">
        <w:rPr>
          <w:lang w:eastAsia="en-AU"/>
        </w:rPr>
        <w:t>"</w:t>
      </w:r>
      <w:r w:rsidR="001E0061">
        <w:rPr>
          <w:lang w:eastAsia="en-AU"/>
        </w:rPr>
        <w:t>Act</w:t>
      </w:r>
      <w:r w:rsidR="002C6EE4">
        <w:rPr>
          <w:lang w:eastAsia="en-AU"/>
        </w:rPr>
        <w:t>"</w:t>
      </w:r>
      <w:r w:rsidR="001E0061">
        <w:rPr>
          <w:lang w:eastAsia="en-AU"/>
        </w:rPr>
        <w:t xml:space="preserve">) </w:t>
      </w:r>
      <w:r>
        <w:rPr>
          <w:lang w:eastAsia="en-AU"/>
        </w:rPr>
        <w:t xml:space="preserve">by requirement not to act incompatibly with rights guaranteed by </w:t>
      </w:r>
      <w:r w:rsidRPr="00B22890">
        <w:rPr>
          <w:i/>
          <w:iCs/>
          <w:lang w:eastAsia="en-AU"/>
        </w:rPr>
        <w:t>European Convention on Human Rights</w:t>
      </w:r>
      <w:r>
        <w:rPr>
          <w:lang w:eastAsia="en-AU"/>
        </w:rPr>
        <w:t xml:space="preserve"> </w:t>
      </w:r>
      <w:r w:rsidR="00F855D9">
        <w:rPr>
          <w:lang w:eastAsia="en-AU"/>
        </w:rPr>
        <w:t>(</w:t>
      </w:r>
      <w:r w:rsidR="002C6EE4">
        <w:rPr>
          <w:lang w:eastAsia="en-AU"/>
        </w:rPr>
        <w:t>"</w:t>
      </w:r>
      <w:r w:rsidR="00F855D9">
        <w:rPr>
          <w:lang w:eastAsia="en-AU"/>
        </w:rPr>
        <w:t>Convention</w:t>
      </w:r>
      <w:r w:rsidR="002C6EE4">
        <w:rPr>
          <w:lang w:eastAsia="en-AU"/>
        </w:rPr>
        <w:t>"</w:t>
      </w:r>
      <w:r w:rsidR="00F855D9">
        <w:rPr>
          <w:lang w:eastAsia="en-AU"/>
        </w:rPr>
        <w:t xml:space="preserve">) </w:t>
      </w:r>
      <w:r>
        <w:rPr>
          <w:lang w:eastAsia="en-AU"/>
        </w:rPr>
        <w:t>–</w:t>
      </w:r>
      <w:r w:rsidR="00F855D9">
        <w:rPr>
          <w:lang w:eastAsia="en-AU"/>
        </w:rPr>
        <w:t xml:space="preserve"> Where </w:t>
      </w:r>
      <w:r w:rsidR="00F3411A">
        <w:rPr>
          <w:lang w:eastAsia="en-AU"/>
        </w:rPr>
        <w:t>A</w:t>
      </w:r>
      <w:r w:rsidR="00F855D9">
        <w:rPr>
          <w:lang w:eastAsia="en-AU"/>
        </w:rPr>
        <w:t xml:space="preserve">rticle 8 of Convention provided everyone has right to respect for private and family life, home and correspondence – </w:t>
      </w:r>
      <w:r>
        <w:rPr>
          <w:lang w:eastAsia="en-AU"/>
        </w:rPr>
        <w:t xml:space="preserve">Where </w:t>
      </w:r>
      <w:r w:rsidR="00B22890">
        <w:rPr>
          <w:lang w:eastAsia="en-AU"/>
        </w:rPr>
        <w:t>Home Secretary failed to make commencement order brin</w:t>
      </w:r>
      <w:r w:rsidR="00C57B2E">
        <w:rPr>
          <w:lang w:eastAsia="en-AU"/>
        </w:rPr>
        <w:t>g</w:t>
      </w:r>
      <w:r w:rsidR="00B22890">
        <w:rPr>
          <w:lang w:eastAsia="en-AU"/>
        </w:rPr>
        <w:t xml:space="preserve">ing into force provisions of Act which were designed for protection of individuals whose extradition sought – Where failure successfully challenged and Court issued final order declaring Government </w:t>
      </w:r>
      <w:r w:rsidR="00FF7F6F">
        <w:rPr>
          <w:lang w:eastAsia="en-AU"/>
        </w:rPr>
        <w:t>acted</w:t>
      </w:r>
      <w:r w:rsidR="00B22890">
        <w:rPr>
          <w:lang w:eastAsia="en-AU"/>
        </w:rPr>
        <w:t xml:space="preserve"> unlawfully and contrary to duties – Where, despite court order, Government failed to make commencement </w:t>
      </w:r>
      <w:r w:rsidR="00C57B2E">
        <w:rPr>
          <w:lang w:eastAsia="en-AU"/>
        </w:rPr>
        <w:t xml:space="preserve">order and extradition proceedings continued against appellant – </w:t>
      </w:r>
      <w:r w:rsidR="00F3411A">
        <w:rPr>
          <w:lang w:eastAsia="en-AU"/>
        </w:rPr>
        <w:t xml:space="preserve">Where High Court, in appeal against extradition decision, dismissed arguments that extradition proceedings failed to comply with Article 8 – </w:t>
      </w:r>
      <w:r w:rsidR="00C57B2E">
        <w:rPr>
          <w:lang w:eastAsia="en-AU"/>
        </w:rPr>
        <w:t xml:space="preserve">Whether Scottish Ministers </w:t>
      </w:r>
      <w:r w:rsidR="00F855D9">
        <w:rPr>
          <w:lang w:eastAsia="en-AU"/>
        </w:rPr>
        <w:t xml:space="preserve">in conducting extradition proceedings against appellant, and decision to order extradition, were </w:t>
      </w:r>
      <w:r w:rsidR="00F855D9" w:rsidRPr="001E0061">
        <w:rPr>
          <w:lang w:eastAsia="en-AU"/>
        </w:rPr>
        <w:t>ultra vires</w:t>
      </w:r>
      <w:r w:rsidR="00F855D9">
        <w:rPr>
          <w:lang w:eastAsia="en-AU"/>
        </w:rPr>
        <w:t xml:space="preserve"> by </w:t>
      </w:r>
      <w:r w:rsidR="00F855D9">
        <w:rPr>
          <w:lang w:eastAsia="en-AU"/>
        </w:rPr>
        <w:lastRenderedPageBreak/>
        <w:t xml:space="preserve">reason of </w:t>
      </w:r>
      <w:r w:rsidR="00405DFD">
        <w:rPr>
          <w:lang w:eastAsia="en-AU"/>
        </w:rPr>
        <w:t>incompatibility</w:t>
      </w:r>
      <w:r w:rsidR="00F855D9">
        <w:rPr>
          <w:lang w:eastAsia="en-AU"/>
        </w:rPr>
        <w:t xml:space="preserve"> with appellant's rights under </w:t>
      </w:r>
      <w:r w:rsidR="00DF3F30">
        <w:rPr>
          <w:lang w:eastAsia="en-AU"/>
        </w:rPr>
        <w:t>A</w:t>
      </w:r>
      <w:r w:rsidR="00F855D9">
        <w:rPr>
          <w:lang w:eastAsia="en-AU"/>
        </w:rPr>
        <w:t>rticle 8 of Convention – Proper effect of Court's declaratory orders.</w:t>
      </w:r>
    </w:p>
    <w:p w14:paraId="40B0D361" w14:textId="77777777" w:rsidR="00504DB3" w:rsidRPr="00504DB3" w:rsidRDefault="00504DB3" w:rsidP="00504DB3">
      <w:pPr>
        <w:ind w:left="720"/>
        <w:rPr>
          <w:highlight w:val="yellow"/>
          <w:lang w:eastAsia="en-AU"/>
        </w:rPr>
      </w:pPr>
    </w:p>
    <w:p w14:paraId="5AA9F6E5" w14:textId="4CC2F8DD" w:rsidR="00504DB3" w:rsidRPr="00504DB3" w:rsidRDefault="00504DB3" w:rsidP="00504DB3">
      <w:pPr>
        <w:rPr>
          <w:lang w:eastAsia="en-AU"/>
        </w:rPr>
      </w:pPr>
      <w:r w:rsidRPr="00504DB3">
        <w:rPr>
          <w:b/>
          <w:lang w:eastAsia="en-AU"/>
        </w:rPr>
        <w:t xml:space="preserve">Held (5:0): </w:t>
      </w:r>
      <w:r w:rsidRPr="00504DB3">
        <w:rPr>
          <w:lang w:eastAsia="en-AU"/>
        </w:rPr>
        <w:t xml:space="preserve">Appeal </w:t>
      </w:r>
      <w:r>
        <w:rPr>
          <w:lang w:eastAsia="en-AU"/>
        </w:rPr>
        <w:t>allowed</w:t>
      </w:r>
      <w:r w:rsidRPr="00504DB3">
        <w:rPr>
          <w:lang w:eastAsia="en-AU"/>
        </w:rPr>
        <w:t xml:space="preserve">. </w:t>
      </w:r>
    </w:p>
    <w:p w14:paraId="59D5A240" w14:textId="77777777" w:rsidR="00504DB3" w:rsidRPr="00181993" w:rsidRDefault="00504DB3" w:rsidP="00504DB3">
      <w:pPr>
        <w:pStyle w:val="BullDivider1"/>
        <w:pBdr>
          <w:bottom w:val="dotted" w:sz="4" w:space="0" w:color="auto"/>
        </w:pBdr>
      </w:pPr>
    </w:p>
    <w:p w14:paraId="38B205DB" w14:textId="77777777" w:rsidR="00504DB3" w:rsidRPr="00504DB3" w:rsidRDefault="00504DB3" w:rsidP="00504DB3">
      <w:pPr>
        <w:rPr>
          <w:lang w:eastAsia="en-AU"/>
        </w:rPr>
      </w:pPr>
    </w:p>
    <w:p w14:paraId="4530F414" w14:textId="6AEE6DE5" w:rsidR="006B0D58" w:rsidRDefault="006B0D58" w:rsidP="00040440">
      <w:pPr>
        <w:pStyle w:val="Heading2"/>
        <w:rPr>
          <w:bCs w:val="0"/>
          <w:i w:val="0"/>
          <w:iCs w:val="0"/>
        </w:rPr>
      </w:pPr>
      <w:r w:rsidRPr="006B0D58">
        <w:t>PWR v Director of Public Prosecutions</w:t>
      </w:r>
      <w:r w:rsidR="00FE3139">
        <w:t xml:space="preserve">; </w:t>
      </w:r>
      <w:proofErr w:type="spellStart"/>
      <w:r w:rsidR="00FE3139" w:rsidRPr="00FE3139">
        <w:t>Akdogan</w:t>
      </w:r>
      <w:proofErr w:type="spellEnd"/>
      <w:r w:rsidR="00FE3139" w:rsidRPr="00FE3139">
        <w:t xml:space="preserve"> </w:t>
      </w:r>
      <w:r w:rsidR="00FE3139">
        <w:t>&amp; Anor</w:t>
      </w:r>
      <w:r w:rsidR="00FE3139" w:rsidRPr="00FE3139">
        <w:t xml:space="preserve"> v Director of Public</w:t>
      </w:r>
      <w:r w:rsidR="00FE3139">
        <w:t xml:space="preserve"> </w:t>
      </w:r>
      <w:r w:rsidR="00FE3139" w:rsidRPr="00FE3139">
        <w:t>Prosecutions</w:t>
      </w:r>
    </w:p>
    <w:p w14:paraId="459BE506" w14:textId="147ACED3" w:rsidR="00A64B41" w:rsidRPr="00A64B41" w:rsidRDefault="006B0D58" w:rsidP="00A64B41">
      <w:pPr>
        <w:rPr>
          <w:lang w:eastAsia="en-AU"/>
        </w:rPr>
      </w:pPr>
      <w:r w:rsidRPr="006B0D58">
        <w:rPr>
          <w:b/>
          <w:lang w:eastAsia="en-AU"/>
        </w:rPr>
        <w:t xml:space="preserve">Supreme Court of the United Kingdom: </w:t>
      </w:r>
      <w:hyperlink r:id="rId33" w:history="1">
        <w:r w:rsidRPr="006B0D58">
          <w:rPr>
            <w:rStyle w:val="Hyperlink"/>
            <w:lang w:eastAsia="en-AU"/>
          </w:rPr>
          <w:t>[2021] UKSC 2</w:t>
        </w:r>
      </w:hyperlink>
    </w:p>
    <w:p w14:paraId="08ADFE96" w14:textId="77777777" w:rsidR="00A64B41" w:rsidRPr="00A64B41" w:rsidRDefault="00A64B41" w:rsidP="00A64B41">
      <w:pPr>
        <w:rPr>
          <w:lang w:eastAsia="en-AU"/>
        </w:rPr>
      </w:pPr>
    </w:p>
    <w:p w14:paraId="160C6715" w14:textId="341B1A9D" w:rsidR="00A64B41" w:rsidRPr="00A64B41" w:rsidRDefault="00A64B41" w:rsidP="00A64B41">
      <w:pPr>
        <w:rPr>
          <w:lang w:eastAsia="en-AU"/>
        </w:rPr>
      </w:pPr>
      <w:r w:rsidRPr="00A64B41">
        <w:rPr>
          <w:b/>
          <w:lang w:eastAsia="en-AU"/>
        </w:rPr>
        <w:t>Judgment delivered:</w:t>
      </w:r>
      <w:r w:rsidRPr="00A64B41">
        <w:rPr>
          <w:lang w:eastAsia="en-AU"/>
        </w:rPr>
        <w:t xml:space="preserve"> </w:t>
      </w:r>
      <w:r>
        <w:rPr>
          <w:lang w:eastAsia="en-AU"/>
        </w:rPr>
        <w:t>2</w:t>
      </w:r>
      <w:r w:rsidR="006B0D58">
        <w:rPr>
          <w:lang w:eastAsia="en-AU"/>
        </w:rPr>
        <w:t>6 January 2022</w:t>
      </w:r>
    </w:p>
    <w:p w14:paraId="74DB5902" w14:textId="77777777" w:rsidR="00A64B41" w:rsidRPr="00A64B41" w:rsidRDefault="00A64B41" w:rsidP="00A64B41">
      <w:pPr>
        <w:rPr>
          <w:lang w:eastAsia="en-AU"/>
        </w:rPr>
      </w:pPr>
    </w:p>
    <w:p w14:paraId="1DF28D67" w14:textId="1845C16D" w:rsidR="00A64B41" w:rsidRPr="00A64B41" w:rsidRDefault="00A64B41" w:rsidP="00A64B41">
      <w:pPr>
        <w:rPr>
          <w:lang w:eastAsia="en-AU"/>
        </w:rPr>
      </w:pPr>
      <w:r w:rsidRPr="00A64B41">
        <w:rPr>
          <w:b/>
          <w:lang w:eastAsia="en-AU"/>
        </w:rPr>
        <w:t xml:space="preserve">Coram: </w:t>
      </w:r>
      <w:r w:rsidR="006B0D58" w:rsidRPr="006B0D58">
        <w:rPr>
          <w:lang w:eastAsia="en-AU"/>
        </w:rPr>
        <w:t>Lord Lloyd-Jones, Lady Arden, Lord Hamblen, Lord Burrows</w:t>
      </w:r>
      <w:r w:rsidR="006B0D58">
        <w:rPr>
          <w:lang w:eastAsia="en-AU"/>
        </w:rPr>
        <w:t xml:space="preserve"> and</w:t>
      </w:r>
      <w:r w:rsidR="006B0D58" w:rsidRPr="006B0D58">
        <w:rPr>
          <w:lang w:eastAsia="en-AU"/>
        </w:rPr>
        <w:t xml:space="preserve"> Lady Rose</w:t>
      </w:r>
    </w:p>
    <w:p w14:paraId="7D275CA4" w14:textId="77777777" w:rsidR="00A64B41" w:rsidRPr="00A64B41" w:rsidRDefault="00A64B41" w:rsidP="00A64B41">
      <w:pPr>
        <w:rPr>
          <w:lang w:eastAsia="en-AU"/>
        </w:rPr>
      </w:pPr>
    </w:p>
    <w:p w14:paraId="6A19F091" w14:textId="77777777" w:rsidR="00A64B41" w:rsidRPr="00A64B41" w:rsidRDefault="00A64B41" w:rsidP="00A64B41">
      <w:pPr>
        <w:rPr>
          <w:b/>
          <w:lang w:eastAsia="en-AU"/>
        </w:rPr>
      </w:pPr>
      <w:r w:rsidRPr="00A64B41">
        <w:rPr>
          <w:b/>
          <w:lang w:eastAsia="en-AU"/>
        </w:rPr>
        <w:t>Catchwords:</w:t>
      </w:r>
    </w:p>
    <w:p w14:paraId="471B48EB" w14:textId="77777777" w:rsidR="00710B48" w:rsidRDefault="00710B48" w:rsidP="00710B48">
      <w:pPr>
        <w:ind w:left="720"/>
        <w:rPr>
          <w:lang w:eastAsia="en-AU"/>
        </w:rPr>
      </w:pPr>
    </w:p>
    <w:p w14:paraId="002EE796" w14:textId="05AA1525" w:rsidR="00A64B41" w:rsidRPr="00710B48" w:rsidRDefault="00710B48" w:rsidP="00710B48">
      <w:pPr>
        <w:ind w:left="720"/>
        <w:rPr>
          <w:lang w:eastAsia="en-AU"/>
        </w:rPr>
      </w:pPr>
      <w:r w:rsidRPr="00504DB3">
        <w:rPr>
          <w:lang w:eastAsia="en-AU"/>
        </w:rPr>
        <w:t>Human rights</w:t>
      </w:r>
      <w:r>
        <w:rPr>
          <w:lang w:eastAsia="en-AU"/>
        </w:rPr>
        <w:t xml:space="preserve"> </w:t>
      </w:r>
      <w:r w:rsidRPr="00504DB3">
        <w:rPr>
          <w:lang w:eastAsia="en-AU"/>
        </w:rPr>
        <w:t xml:space="preserve">– Criminal law – Terrorism – Where s 13 of </w:t>
      </w:r>
      <w:r w:rsidRPr="00504DB3">
        <w:rPr>
          <w:i/>
          <w:iCs/>
          <w:lang w:eastAsia="en-AU"/>
        </w:rPr>
        <w:t xml:space="preserve">Terrorism Act 2000 </w:t>
      </w:r>
      <w:r w:rsidRPr="00504DB3">
        <w:rPr>
          <w:lang w:eastAsia="en-AU"/>
        </w:rPr>
        <w:t>provide</w:t>
      </w:r>
      <w:r w:rsidR="00405DFD">
        <w:rPr>
          <w:lang w:eastAsia="en-AU"/>
        </w:rPr>
        <w:t>d</w:t>
      </w:r>
      <w:r w:rsidRPr="00504DB3">
        <w:rPr>
          <w:lang w:eastAsia="en-AU"/>
        </w:rPr>
        <w:t xml:space="preserve"> criminal offence for person in public place to carry or display article in such way or circumstances as to arouse reasonable suspicion of being member or supporter of proscribed organisation – Where Article 10 of </w:t>
      </w:r>
      <w:r w:rsidRPr="00F3411A">
        <w:rPr>
          <w:i/>
          <w:iCs/>
          <w:lang w:eastAsia="en-AU"/>
        </w:rPr>
        <w:t>European Convention on Human Rights</w:t>
      </w:r>
      <w:r w:rsidRPr="00504DB3">
        <w:rPr>
          <w:lang w:eastAsia="en-AU"/>
        </w:rPr>
        <w:t xml:space="preserve"> (</w:t>
      </w:r>
      <w:r w:rsidR="002C6EE4">
        <w:rPr>
          <w:lang w:eastAsia="en-AU"/>
        </w:rPr>
        <w:t>"</w:t>
      </w:r>
      <w:r w:rsidRPr="00504DB3">
        <w:rPr>
          <w:lang w:eastAsia="en-AU"/>
        </w:rPr>
        <w:t>Convention</w:t>
      </w:r>
      <w:r w:rsidR="002C6EE4">
        <w:rPr>
          <w:lang w:eastAsia="en-AU"/>
        </w:rPr>
        <w:t>"</w:t>
      </w:r>
      <w:r w:rsidRPr="00504DB3">
        <w:rPr>
          <w:lang w:eastAsia="en-AU"/>
        </w:rPr>
        <w:t xml:space="preserve">) provided right to freedom of expression – Where appellants were convicted of s 13 offence for carrying flag of Kurdistan Workers Party, a proscribed organisation – Whether s 13(1) of </w:t>
      </w:r>
      <w:r w:rsidRPr="00504DB3">
        <w:rPr>
          <w:i/>
          <w:iCs/>
          <w:lang w:eastAsia="en-AU"/>
        </w:rPr>
        <w:t>Terrorism Act 2000</w:t>
      </w:r>
      <w:r w:rsidRPr="00504DB3">
        <w:rPr>
          <w:lang w:eastAsia="en-AU"/>
        </w:rPr>
        <w:t xml:space="preserve"> creates strict liability offence and, if so, whether s 13(1) is compatible with Article 10 of Convention.</w:t>
      </w:r>
    </w:p>
    <w:p w14:paraId="4CD7E159" w14:textId="77777777" w:rsidR="00A64B41" w:rsidRPr="00A64B41" w:rsidRDefault="00A64B41" w:rsidP="00A64B41">
      <w:pPr>
        <w:ind w:left="720"/>
        <w:rPr>
          <w:highlight w:val="yellow"/>
          <w:lang w:eastAsia="en-AU"/>
        </w:rPr>
      </w:pPr>
    </w:p>
    <w:p w14:paraId="10ECDF76" w14:textId="2B84416E" w:rsidR="00A64B41" w:rsidRPr="00A64B41" w:rsidRDefault="00A64B41" w:rsidP="00A64B41">
      <w:pPr>
        <w:rPr>
          <w:lang w:eastAsia="en-AU"/>
        </w:rPr>
      </w:pPr>
      <w:r w:rsidRPr="00A64B41">
        <w:rPr>
          <w:b/>
          <w:lang w:eastAsia="en-AU"/>
        </w:rPr>
        <w:t xml:space="preserve">Held (5:0): </w:t>
      </w:r>
      <w:r w:rsidRPr="00A64B41">
        <w:rPr>
          <w:lang w:eastAsia="en-AU"/>
        </w:rPr>
        <w:t xml:space="preserve">Appeal </w:t>
      </w:r>
      <w:r w:rsidR="00FE3139">
        <w:rPr>
          <w:lang w:eastAsia="en-AU"/>
        </w:rPr>
        <w:t>dismissed</w:t>
      </w:r>
      <w:r w:rsidRPr="00A64B41">
        <w:rPr>
          <w:lang w:eastAsia="en-AU"/>
        </w:rPr>
        <w:t xml:space="preserve">. </w:t>
      </w:r>
    </w:p>
    <w:p w14:paraId="2022810E" w14:textId="77777777" w:rsidR="00F855D9" w:rsidRPr="00B546B2" w:rsidRDefault="00F855D9" w:rsidP="00F855D9">
      <w:pPr>
        <w:pStyle w:val="BullDivider2"/>
        <w:rPr>
          <w:rFonts w:cs="Arial"/>
          <w:highlight w:val="yellow"/>
        </w:rPr>
      </w:pPr>
    </w:p>
    <w:p w14:paraId="66BDC475" w14:textId="77777777" w:rsidR="00F855D9" w:rsidRDefault="00F855D9" w:rsidP="00F855D9"/>
    <w:p w14:paraId="54516B8E" w14:textId="7AA0EE2C" w:rsidR="00DD0272" w:rsidRDefault="00DD0272" w:rsidP="00F855D9">
      <w:pPr>
        <w:pStyle w:val="Heading1"/>
      </w:pPr>
      <w:r>
        <w:t xml:space="preserve">Industrial Law </w:t>
      </w:r>
    </w:p>
    <w:p w14:paraId="0ADE1023" w14:textId="77777777" w:rsidR="00DD0272" w:rsidRPr="00DD0272" w:rsidRDefault="00DD0272" w:rsidP="00DD0272">
      <w:pPr>
        <w:rPr>
          <w:lang w:eastAsia="en-AU"/>
        </w:rPr>
      </w:pPr>
    </w:p>
    <w:p w14:paraId="7B1D013B" w14:textId="62205B9E" w:rsidR="00DD0272" w:rsidRDefault="00DD0272" w:rsidP="00DD0272">
      <w:pPr>
        <w:pStyle w:val="Heading2"/>
      </w:pPr>
      <w:r w:rsidRPr="000E00FA">
        <w:t xml:space="preserve">Commercial Stevedoring Agricultural and Allied Workers' Union </w:t>
      </w:r>
      <w:r w:rsidR="001D187A">
        <w:t>&amp; Ors</w:t>
      </w:r>
      <w:r w:rsidRPr="000E00FA">
        <w:t xml:space="preserve"> v Oak Valley Estates (Pty) Ltd </w:t>
      </w:r>
      <w:r>
        <w:t>&amp; Anor</w:t>
      </w:r>
    </w:p>
    <w:p w14:paraId="22C521D5" w14:textId="77777777" w:rsidR="00DD0272" w:rsidRDefault="00DD0272" w:rsidP="00DD0272">
      <w:pPr>
        <w:rPr>
          <w:lang w:eastAsia="en-AU"/>
        </w:rPr>
      </w:pPr>
      <w:r>
        <w:rPr>
          <w:b/>
          <w:bCs/>
          <w:lang w:eastAsia="en-AU"/>
        </w:rPr>
        <w:t>Constitutional Court of South Africa</w:t>
      </w:r>
      <w:r w:rsidRPr="006B0D58">
        <w:rPr>
          <w:b/>
          <w:bCs/>
          <w:lang w:eastAsia="en-AU"/>
        </w:rPr>
        <w:t>:</w:t>
      </w:r>
      <w:r>
        <w:rPr>
          <w:lang w:eastAsia="en-AU"/>
        </w:rPr>
        <w:t xml:space="preserve"> </w:t>
      </w:r>
      <w:hyperlink r:id="rId34" w:history="1">
        <w:r w:rsidRPr="000E00FA">
          <w:rPr>
            <w:rStyle w:val="Hyperlink"/>
            <w:lang w:eastAsia="en-AU"/>
          </w:rPr>
          <w:t>[2022] ZACC 7</w:t>
        </w:r>
      </w:hyperlink>
    </w:p>
    <w:p w14:paraId="7FAFA358" w14:textId="77777777" w:rsidR="00DD0272" w:rsidRDefault="00DD0272" w:rsidP="00DD0272">
      <w:pPr>
        <w:rPr>
          <w:lang w:eastAsia="en-AU"/>
        </w:rPr>
      </w:pPr>
    </w:p>
    <w:p w14:paraId="101A654D" w14:textId="77777777" w:rsidR="00DD0272" w:rsidRPr="00DB68FF" w:rsidRDefault="00DD0272" w:rsidP="00DD0272">
      <w:pPr>
        <w:rPr>
          <w:lang w:eastAsia="en-AU"/>
        </w:rPr>
      </w:pPr>
      <w:r>
        <w:rPr>
          <w:b/>
          <w:bCs/>
          <w:lang w:eastAsia="en-AU"/>
        </w:rPr>
        <w:t xml:space="preserve">Judgment delivered: </w:t>
      </w:r>
      <w:r>
        <w:rPr>
          <w:lang w:eastAsia="en-AU"/>
        </w:rPr>
        <w:t>1 March 2022</w:t>
      </w:r>
    </w:p>
    <w:p w14:paraId="5FACF80A" w14:textId="77777777" w:rsidR="00DD0272" w:rsidRDefault="00DD0272" w:rsidP="00DD0272">
      <w:pPr>
        <w:rPr>
          <w:b/>
          <w:bCs/>
          <w:lang w:eastAsia="en-AU"/>
        </w:rPr>
      </w:pPr>
    </w:p>
    <w:p w14:paraId="09B472E6" w14:textId="77777777" w:rsidR="00DD0272" w:rsidRDefault="00DD0272" w:rsidP="00DD0272">
      <w:pPr>
        <w:rPr>
          <w:lang w:eastAsia="en-AU"/>
        </w:rPr>
      </w:pPr>
      <w:r>
        <w:rPr>
          <w:b/>
          <w:bCs/>
          <w:lang w:eastAsia="en-AU"/>
        </w:rPr>
        <w:t>Coram:</w:t>
      </w:r>
      <w:r w:rsidRPr="00DB68FF">
        <w:t xml:space="preserve"> </w:t>
      </w:r>
      <w:r w:rsidRPr="006A3D35">
        <w:rPr>
          <w:lang w:eastAsia="en-AU"/>
        </w:rPr>
        <w:t>Madlanga J, Madondo AJ, Majiedt J, Pillay, Rogers A</w:t>
      </w:r>
      <w:r>
        <w:rPr>
          <w:lang w:eastAsia="en-AU"/>
        </w:rPr>
        <w:t>J</w:t>
      </w:r>
      <w:r w:rsidRPr="006A3D35">
        <w:rPr>
          <w:lang w:eastAsia="en-AU"/>
        </w:rPr>
        <w:t>J, Theron J, Tlaletsi AJ and Tshiqi J</w:t>
      </w:r>
    </w:p>
    <w:p w14:paraId="6AA89E2B" w14:textId="77777777" w:rsidR="00DD0272" w:rsidRDefault="00DD0272" w:rsidP="00DD0272">
      <w:pPr>
        <w:rPr>
          <w:b/>
          <w:bCs/>
          <w:lang w:eastAsia="en-AU"/>
        </w:rPr>
      </w:pPr>
    </w:p>
    <w:p w14:paraId="61C8D5CC" w14:textId="77777777" w:rsidR="00DD0272" w:rsidRDefault="00DD0272" w:rsidP="00DD0272">
      <w:pPr>
        <w:rPr>
          <w:b/>
          <w:bCs/>
          <w:lang w:eastAsia="en-AU"/>
        </w:rPr>
      </w:pPr>
      <w:r>
        <w:rPr>
          <w:b/>
          <w:bCs/>
          <w:lang w:eastAsia="en-AU"/>
        </w:rPr>
        <w:t>Catchwords:</w:t>
      </w:r>
    </w:p>
    <w:p w14:paraId="70BEEED0" w14:textId="77777777" w:rsidR="00DD0272" w:rsidRDefault="00DD0272" w:rsidP="00DD0272">
      <w:pPr>
        <w:rPr>
          <w:b/>
          <w:bCs/>
          <w:lang w:eastAsia="en-AU"/>
        </w:rPr>
      </w:pPr>
    </w:p>
    <w:p w14:paraId="67DC9D7E" w14:textId="38007CD5" w:rsidR="00DD0272" w:rsidRDefault="00DD0272" w:rsidP="00DD0272">
      <w:pPr>
        <w:pStyle w:val="Catchwords"/>
      </w:pPr>
      <w:r>
        <w:t>Industrial Law – Right to strike – Interdictory relief – Where protected strike called by first applicant commenced at premises of first respondent</w:t>
      </w:r>
      <w:r w:rsidR="00411AFF">
        <w:t xml:space="preserve"> </w:t>
      </w:r>
      <w:r>
        <w:t xml:space="preserve">involving some 364 workers – Where </w:t>
      </w:r>
      <w:r w:rsidRPr="00490CB8">
        <w:t xml:space="preserve">strike triggered incidents of intimidation, damage to property, unlawful interference with </w:t>
      </w:r>
      <w:r w:rsidR="00411AFF">
        <w:t>first respondent</w:t>
      </w:r>
      <w:r w:rsidRPr="00490CB8">
        <w:t>’s business operations and numerous breaches of Picketing Rules</w:t>
      </w:r>
      <w:r>
        <w:t xml:space="preserve"> – Where </w:t>
      </w:r>
      <w:r w:rsidR="00411AFF">
        <w:t>first respondent</w:t>
      </w:r>
      <w:r>
        <w:t xml:space="preserve"> sought rule nisi interdicting </w:t>
      </w:r>
      <w:r w:rsidR="00FF7F6F">
        <w:t>first applicant</w:t>
      </w:r>
      <w:r w:rsidR="006C09F3">
        <w:t>,</w:t>
      </w:r>
      <w:r>
        <w:t xml:space="preserve"> each of 364 workers </w:t>
      </w:r>
      <w:r w:rsidR="006C09F3">
        <w:t xml:space="preserve">(referred to as "Individual Respondents") and people who </w:t>
      </w:r>
      <w:r w:rsidR="006C09F3">
        <w:lastRenderedPageBreak/>
        <w:t xml:space="preserve">associated with Individual Respondents (referred to as "Unidentifiable Respondents") </w:t>
      </w:r>
      <w:r>
        <w:t xml:space="preserve">from unlawfully interfering with </w:t>
      </w:r>
      <w:r w:rsidR="00411AFF">
        <w:t>first respondent's</w:t>
      </w:r>
      <w:r>
        <w:t xml:space="preserve"> operations –</w:t>
      </w:r>
      <w:r w:rsidR="006C09F3">
        <w:t xml:space="preserve"> </w:t>
      </w:r>
      <w:r>
        <w:t xml:space="preserve">Where </w:t>
      </w:r>
      <w:r w:rsidRPr="00026138">
        <w:t xml:space="preserve">Labour Appeal Court accepted Labour Court’s rejection of </w:t>
      </w:r>
      <w:r w:rsidR="002C6EE4">
        <w:t>"</w:t>
      </w:r>
      <w:r w:rsidRPr="00026138">
        <w:t>requirement of establishing link between interdicted individuals and impugned conduct</w:t>
      </w:r>
      <w:r w:rsidR="002C6EE4">
        <w:t>"</w:t>
      </w:r>
      <w:r>
        <w:t xml:space="preserve"> – Whether </w:t>
      </w:r>
      <w:r w:rsidRPr="006A3D35">
        <w:t xml:space="preserve">employer faced with unlawful conduct committed during protected strike </w:t>
      </w:r>
      <w:r>
        <w:t xml:space="preserve">can </w:t>
      </w:r>
      <w:r w:rsidRPr="006A3D35">
        <w:t>interdict employees participating in strike without linking each employee to unlawful conduct</w:t>
      </w:r>
      <w:r>
        <w:t xml:space="preserve"> – Whether there </w:t>
      </w:r>
      <w:r w:rsidRPr="006A3D35">
        <w:t>must be rational factual connection between actual or threatened unlawful conduct and persons against whom interdict is sought</w:t>
      </w:r>
      <w:r>
        <w:t xml:space="preserve">. </w:t>
      </w:r>
    </w:p>
    <w:p w14:paraId="1592D566" w14:textId="77777777" w:rsidR="00DD0272" w:rsidRDefault="00DD0272" w:rsidP="00DD0272">
      <w:pPr>
        <w:rPr>
          <w:b/>
          <w:bCs/>
          <w:lang w:eastAsia="en-AU"/>
        </w:rPr>
      </w:pPr>
    </w:p>
    <w:p w14:paraId="3D116FBD" w14:textId="77777777" w:rsidR="00DD0272" w:rsidRPr="000E00FA" w:rsidRDefault="00DD0272" w:rsidP="00DD0272">
      <w:pPr>
        <w:rPr>
          <w:lang w:eastAsia="en-AU"/>
        </w:rPr>
      </w:pPr>
      <w:r>
        <w:rPr>
          <w:b/>
          <w:bCs/>
          <w:lang w:eastAsia="en-AU"/>
        </w:rPr>
        <w:t>Held (8:0):</w:t>
      </w:r>
      <w:r>
        <w:rPr>
          <w:lang w:eastAsia="en-AU"/>
        </w:rPr>
        <w:t xml:space="preserve"> Leave to appeal granted; appeal upheld in part. </w:t>
      </w:r>
    </w:p>
    <w:p w14:paraId="60F87CA6" w14:textId="77777777" w:rsidR="00DD0272" w:rsidRDefault="00DD0272" w:rsidP="00DD0272">
      <w:pPr>
        <w:pStyle w:val="BullDivider2"/>
        <w:rPr>
          <w:rFonts w:cs="Arial"/>
          <w:highlight w:val="yellow"/>
        </w:rPr>
      </w:pPr>
    </w:p>
    <w:p w14:paraId="3ADA4C40" w14:textId="77777777" w:rsidR="00DD0272" w:rsidRPr="00DD0272" w:rsidRDefault="00DD0272" w:rsidP="00DD0272">
      <w:pPr>
        <w:rPr>
          <w:lang w:eastAsia="en-AU"/>
        </w:rPr>
      </w:pPr>
    </w:p>
    <w:p w14:paraId="1926BC8F" w14:textId="23BAE78A" w:rsidR="00F855D9" w:rsidRDefault="00D91A39" w:rsidP="00F855D9">
      <w:pPr>
        <w:pStyle w:val="Heading1"/>
      </w:pPr>
      <w:r>
        <w:t xml:space="preserve">Intellectual Property </w:t>
      </w:r>
    </w:p>
    <w:p w14:paraId="7E1C7DAE" w14:textId="77777777" w:rsidR="00F855D9" w:rsidRPr="00C411ED" w:rsidRDefault="00F855D9" w:rsidP="00F855D9">
      <w:pPr>
        <w:rPr>
          <w:lang w:eastAsia="en-AU"/>
        </w:rPr>
      </w:pPr>
    </w:p>
    <w:p w14:paraId="260E8435" w14:textId="31A187C2" w:rsidR="00F855D9" w:rsidRPr="00C411ED" w:rsidRDefault="00D91A39" w:rsidP="00F855D9">
      <w:pPr>
        <w:keepNext/>
        <w:outlineLvl w:val="1"/>
        <w:rPr>
          <w:rFonts w:ascii="Arial" w:hAnsi="Arial" w:cs="Arial"/>
          <w:bCs/>
          <w:sz w:val="28"/>
          <w:szCs w:val="28"/>
          <w:lang w:eastAsia="en-AU"/>
        </w:rPr>
      </w:pPr>
      <w:proofErr w:type="spellStart"/>
      <w:r w:rsidRPr="00D91A39">
        <w:rPr>
          <w:rFonts w:ascii="Arial" w:hAnsi="Arial" w:cs="Arial"/>
          <w:bCs/>
          <w:i/>
          <w:iCs/>
          <w:sz w:val="28"/>
          <w:szCs w:val="28"/>
          <w:lang w:eastAsia="en-AU"/>
        </w:rPr>
        <w:t>Unicolors</w:t>
      </w:r>
      <w:proofErr w:type="spellEnd"/>
      <w:r w:rsidRPr="00D91A39">
        <w:rPr>
          <w:rFonts w:ascii="Arial" w:hAnsi="Arial" w:cs="Arial"/>
          <w:bCs/>
          <w:i/>
          <w:iCs/>
          <w:sz w:val="28"/>
          <w:szCs w:val="28"/>
          <w:lang w:eastAsia="en-AU"/>
        </w:rPr>
        <w:t xml:space="preserve"> Inc. v H&amp;M Hennes &amp; Mauritz L. P.</w:t>
      </w:r>
    </w:p>
    <w:p w14:paraId="6AE7B37E" w14:textId="2D7FE5FD" w:rsidR="00D91A39" w:rsidRPr="002F4F7E" w:rsidRDefault="00D91A39" w:rsidP="00D91A39">
      <w:pPr>
        <w:rPr>
          <w:lang w:eastAsia="en-AU"/>
        </w:rPr>
      </w:pPr>
      <w:r>
        <w:rPr>
          <w:b/>
          <w:lang w:eastAsia="en-AU"/>
        </w:rPr>
        <w:t xml:space="preserve">Supreme </w:t>
      </w:r>
      <w:r w:rsidRPr="002F4F7E">
        <w:rPr>
          <w:b/>
          <w:lang w:eastAsia="en-AU"/>
        </w:rPr>
        <w:t>Court</w:t>
      </w:r>
      <w:r>
        <w:rPr>
          <w:b/>
          <w:lang w:eastAsia="en-AU"/>
        </w:rPr>
        <w:t xml:space="preserve"> of the United States: </w:t>
      </w:r>
      <w:hyperlink r:id="rId35" w:history="1">
        <w:r w:rsidRPr="00D91A39">
          <w:rPr>
            <w:rStyle w:val="Hyperlink"/>
            <w:bCs/>
            <w:lang w:eastAsia="en-AU"/>
          </w:rPr>
          <w:t>Docket No. 20–915</w:t>
        </w:r>
      </w:hyperlink>
    </w:p>
    <w:p w14:paraId="1AC2629A" w14:textId="77777777" w:rsidR="00F855D9" w:rsidRPr="00C411ED" w:rsidRDefault="00F855D9" w:rsidP="00F855D9">
      <w:pPr>
        <w:rPr>
          <w:lang w:eastAsia="en-AU"/>
        </w:rPr>
      </w:pPr>
    </w:p>
    <w:p w14:paraId="2E4D78A6" w14:textId="65153B59" w:rsidR="00F855D9" w:rsidRPr="00C411ED" w:rsidRDefault="00F855D9" w:rsidP="00F855D9">
      <w:pPr>
        <w:rPr>
          <w:lang w:eastAsia="en-AU"/>
        </w:rPr>
      </w:pPr>
      <w:r w:rsidRPr="00C411ED">
        <w:rPr>
          <w:b/>
          <w:lang w:eastAsia="en-AU"/>
        </w:rPr>
        <w:t>Judgment delivered:</w:t>
      </w:r>
      <w:r w:rsidRPr="00C411ED">
        <w:rPr>
          <w:lang w:eastAsia="en-AU"/>
        </w:rPr>
        <w:t xml:space="preserve"> </w:t>
      </w:r>
      <w:r w:rsidR="00D91A39">
        <w:rPr>
          <w:lang w:eastAsia="en-AU"/>
        </w:rPr>
        <w:t>24 February 2022</w:t>
      </w:r>
    </w:p>
    <w:p w14:paraId="6D1A55D0" w14:textId="77777777" w:rsidR="00F855D9" w:rsidRPr="00C411ED" w:rsidRDefault="00F855D9" w:rsidP="00F855D9">
      <w:pPr>
        <w:rPr>
          <w:lang w:eastAsia="en-AU"/>
        </w:rPr>
      </w:pPr>
    </w:p>
    <w:p w14:paraId="47392DDB" w14:textId="77777777" w:rsidR="00D91A39" w:rsidRDefault="00F855D9" w:rsidP="00D91A39">
      <w:pPr>
        <w:rPr>
          <w:lang w:eastAsia="en-AU"/>
        </w:rPr>
      </w:pPr>
      <w:r w:rsidRPr="00C411ED">
        <w:rPr>
          <w:b/>
          <w:lang w:eastAsia="en-AU"/>
        </w:rPr>
        <w:t xml:space="preserve">Coram: </w:t>
      </w:r>
      <w:r w:rsidR="00D91A39">
        <w:rPr>
          <w:lang w:eastAsia="en-AU"/>
        </w:rPr>
        <w:t>Roberts CJ, Thomas, Breyer, Alito, Sotomayor, Kagan, Gorsuch,</w:t>
      </w:r>
    </w:p>
    <w:p w14:paraId="265B00C7" w14:textId="77A0F6E8" w:rsidR="00F855D9" w:rsidRPr="00C411ED" w:rsidRDefault="00D91A39" w:rsidP="00D91A39">
      <w:pPr>
        <w:rPr>
          <w:lang w:eastAsia="en-AU"/>
        </w:rPr>
      </w:pPr>
      <w:r>
        <w:rPr>
          <w:lang w:eastAsia="en-AU"/>
        </w:rPr>
        <w:t>Kavanaugh and Barrett JJ</w:t>
      </w:r>
    </w:p>
    <w:p w14:paraId="0C39A1A5" w14:textId="77777777" w:rsidR="00F855D9" w:rsidRPr="00C411ED" w:rsidRDefault="00F855D9" w:rsidP="00F855D9">
      <w:pPr>
        <w:rPr>
          <w:lang w:eastAsia="en-AU"/>
        </w:rPr>
      </w:pPr>
    </w:p>
    <w:p w14:paraId="19FAF822" w14:textId="77777777" w:rsidR="00F855D9" w:rsidRPr="00C411ED" w:rsidRDefault="00F855D9" w:rsidP="00F855D9">
      <w:pPr>
        <w:rPr>
          <w:b/>
          <w:lang w:eastAsia="en-AU"/>
        </w:rPr>
      </w:pPr>
      <w:r w:rsidRPr="00C411ED">
        <w:rPr>
          <w:b/>
          <w:lang w:eastAsia="en-AU"/>
        </w:rPr>
        <w:t>Catchwords:</w:t>
      </w:r>
    </w:p>
    <w:p w14:paraId="4C0DE4E0" w14:textId="77777777" w:rsidR="00F855D9" w:rsidRPr="00C411ED" w:rsidRDefault="00F855D9" w:rsidP="00F855D9">
      <w:pPr>
        <w:rPr>
          <w:b/>
          <w:highlight w:val="yellow"/>
          <w:lang w:eastAsia="en-AU"/>
        </w:rPr>
      </w:pPr>
    </w:p>
    <w:p w14:paraId="4C124BE0" w14:textId="044E38E4" w:rsidR="00F855D9" w:rsidRPr="00C411ED" w:rsidRDefault="00D91A39" w:rsidP="009147D6">
      <w:pPr>
        <w:ind w:left="720"/>
        <w:rPr>
          <w:lang w:eastAsia="en-AU"/>
        </w:rPr>
      </w:pPr>
      <w:r>
        <w:rPr>
          <w:lang w:eastAsia="en-AU"/>
        </w:rPr>
        <w:t xml:space="preserve">Intellectual property – Copyright – Infringement </w:t>
      </w:r>
      <w:r w:rsidR="00F3411A">
        <w:rPr>
          <w:lang w:eastAsia="en-AU"/>
        </w:rPr>
        <w:t xml:space="preserve">– </w:t>
      </w:r>
      <w:r w:rsidR="009147D6">
        <w:rPr>
          <w:lang w:eastAsia="en-AU"/>
        </w:rPr>
        <w:t xml:space="preserve">Where valid copyright registration provides copyright holder with right to bring </w:t>
      </w:r>
      <w:r w:rsidR="002C6EE4">
        <w:rPr>
          <w:lang w:eastAsia="en-AU"/>
        </w:rPr>
        <w:t>"</w:t>
      </w:r>
      <w:r w:rsidR="009147D6">
        <w:rPr>
          <w:lang w:eastAsia="en-AU"/>
        </w:rPr>
        <w:t>civil action for infringement</w:t>
      </w:r>
      <w:r w:rsidR="002C6EE4">
        <w:rPr>
          <w:lang w:eastAsia="en-AU"/>
        </w:rPr>
        <w:t>"</w:t>
      </w:r>
      <w:r w:rsidR="009147D6">
        <w:rPr>
          <w:lang w:eastAsia="en-AU"/>
        </w:rPr>
        <w:t xml:space="preserve"> of copyrighted work under </w:t>
      </w:r>
      <w:r w:rsidR="006C09F3" w:rsidRPr="00411AFF">
        <w:rPr>
          <w:i/>
          <w:iCs/>
          <w:lang w:eastAsia="en-AU"/>
        </w:rPr>
        <w:t>Copyright Act</w:t>
      </w:r>
      <w:r w:rsidR="006C09F3">
        <w:rPr>
          <w:lang w:eastAsia="en-AU"/>
        </w:rPr>
        <w:t xml:space="preserve"> </w:t>
      </w:r>
      <w:r w:rsidR="009147D6">
        <w:rPr>
          <w:lang w:eastAsia="en-AU"/>
        </w:rPr>
        <w:t xml:space="preserve">17 USC §411(a) – Where </w:t>
      </w:r>
      <w:proofErr w:type="spellStart"/>
      <w:r w:rsidR="009147D6">
        <w:rPr>
          <w:lang w:eastAsia="en-AU"/>
        </w:rPr>
        <w:t>Unicolors</w:t>
      </w:r>
      <w:proofErr w:type="spellEnd"/>
      <w:r w:rsidR="009147D6">
        <w:rPr>
          <w:lang w:eastAsia="en-AU"/>
        </w:rPr>
        <w:t xml:space="preserve">, owner of </w:t>
      </w:r>
      <w:r w:rsidR="00D5269B">
        <w:rPr>
          <w:lang w:eastAsia="en-AU"/>
        </w:rPr>
        <w:t>v</w:t>
      </w:r>
      <w:r w:rsidR="009147D6">
        <w:rPr>
          <w:lang w:eastAsia="en-AU"/>
        </w:rPr>
        <w:t>arious fabric design</w:t>
      </w:r>
      <w:r w:rsidR="00D5269B" w:rsidRPr="00D5269B">
        <w:rPr>
          <w:lang w:eastAsia="en-AU"/>
        </w:rPr>
        <w:t xml:space="preserve"> </w:t>
      </w:r>
      <w:r w:rsidR="00D5269B">
        <w:rPr>
          <w:lang w:eastAsia="en-AU"/>
        </w:rPr>
        <w:t>copyrights</w:t>
      </w:r>
      <w:r w:rsidR="009147D6">
        <w:rPr>
          <w:lang w:eastAsia="en-AU"/>
        </w:rPr>
        <w:t>, filed copyright infringement action against H&amp;M Hennes &amp; Mauritz (</w:t>
      </w:r>
      <w:r w:rsidR="002C6EE4">
        <w:rPr>
          <w:lang w:eastAsia="en-AU"/>
        </w:rPr>
        <w:t>"</w:t>
      </w:r>
      <w:r w:rsidR="009147D6">
        <w:rPr>
          <w:lang w:eastAsia="en-AU"/>
        </w:rPr>
        <w:t>H&amp;M</w:t>
      </w:r>
      <w:r w:rsidR="002C6EE4">
        <w:rPr>
          <w:lang w:eastAsia="en-AU"/>
        </w:rPr>
        <w:t>"</w:t>
      </w:r>
      <w:r w:rsidR="009147D6">
        <w:rPr>
          <w:lang w:eastAsia="en-AU"/>
        </w:rPr>
        <w:t>) – Where H&amp;M sought judgment</w:t>
      </w:r>
      <w:r w:rsidR="00D5269B">
        <w:rPr>
          <w:lang w:eastAsia="en-AU"/>
        </w:rPr>
        <w:t>,</w:t>
      </w:r>
      <w:r w:rsidR="009147D6">
        <w:rPr>
          <w:lang w:eastAsia="en-AU"/>
        </w:rPr>
        <w:t xml:space="preserve"> arguing </w:t>
      </w:r>
      <w:proofErr w:type="spellStart"/>
      <w:r w:rsidR="009147D6">
        <w:rPr>
          <w:lang w:eastAsia="en-AU"/>
        </w:rPr>
        <w:t>Unicolors</w:t>
      </w:r>
      <w:proofErr w:type="spellEnd"/>
      <w:r w:rsidR="009147D6">
        <w:rPr>
          <w:lang w:eastAsia="en-AU"/>
        </w:rPr>
        <w:t xml:space="preserve"> could not maintain infringement suit because </w:t>
      </w:r>
      <w:proofErr w:type="spellStart"/>
      <w:r w:rsidR="009147D6">
        <w:rPr>
          <w:lang w:eastAsia="en-AU"/>
        </w:rPr>
        <w:t>Unicolors</w:t>
      </w:r>
      <w:proofErr w:type="spellEnd"/>
      <w:r w:rsidR="009147D6">
        <w:rPr>
          <w:lang w:eastAsia="en-AU"/>
        </w:rPr>
        <w:t xml:space="preserve"> knowingly included inaccurate information on registration application, rendering registration invalid – Where alleged inaccuracy stemmed from </w:t>
      </w:r>
      <w:proofErr w:type="spellStart"/>
      <w:r w:rsidR="009147D6">
        <w:rPr>
          <w:lang w:eastAsia="en-AU"/>
        </w:rPr>
        <w:t>Unicolors</w:t>
      </w:r>
      <w:proofErr w:type="spellEnd"/>
      <w:r w:rsidR="009147D6">
        <w:rPr>
          <w:lang w:eastAsia="en-AU"/>
        </w:rPr>
        <w:t xml:space="preserve"> having filed single application seeking registration for 31 separate works despite Copyright Office regulation that provide</w:t>
      </w:r>
      <w:r w:rsidR="00D5269B">
        <w:rPr>
          <w:lang w:eastAsia="en-AU"/>
        </w:rPr>
        <w:t>d</w:t>
      </w:r>
      <w:r w:rsidR="009147D6">
        <w:rPr>
          <w:lang w:eastAsia="en-AU"/>
        </w:rPr>
        <w:t xml:space="preserve"> single application may cover multiple works only if included in same unit of publication – Where H&amp;M argued </w:t>
      </w:r>
      <w:proofErr w:type="spellStart"/>
      <w:r w:rsidR="009147D6">
        <w:rPr>
          <w:lang w:eastAsia="en-AU"/>
        </w:rPr>
        <w:t>Unicolors</w:t>
      </w:r>
      <w:proofErr w:type="spellEnd"/>
      <w:r w:rsidR="009147D6">
        <w:rPr>
          <w:lang w:eastAsia="en-AU"/>
        </w:rPr>
        <w:t xml:space="preserve"> did not meet requirement because </w:t>
      </w:r>
      <w:proofErr w:type="spellStart"/>
      <w:r w:rsidR="009147D6">
        <w:rPr>
          <w:lang w:eastAsia="en-AU"/>
        </w:rPr>
        <w:t>Unicolors</w:t>
      </w:r>
      <w:proofErr w:type="spellEnd"/>
      <w:r w:rsidR="009147D6">
        <w:rPr>
          <w:lang w:eastAsia="en-AU"/>
        </w:rPr>
        <w:t xml:space="preserve"> initially made some of 31 designs available for sale exclusively to certain customers, while offering rest to general public – Where District Court determined because </w:t>
      </w:r>
      <w:proofErr w:type="spellStart"/>
      <w:r w:rsidR="009147D6">
        <w:rPr>
          <w:lang w:eastAsia="en-AU"/>
        </w:rPr>
        <w:t>Unicolors</w:t>
      </w:r>
      <w:proofErr w:type="spellEnd"/>
      <w:r w:rsidR="009147D6">
        <w:rPr>
          <w:lang w:eastAsia="en-AU"/>
        </w:rPr>
        <w:t xml:space="preserve"> did not know, when it filed application, of failure to satisfy single unit of publication requirement, </w:t>
      </w:r>
      <w:proofErr w:type="spellStart"/>
      <w:r w:rsidR="009147D6">
        <w:rPr>
          <w:lang w:eastAsia="en-AU"/>
        </w:rPr>
        <w:t>Unicolors</w:t>
      </w:r>
      <w:proofErr w:type="spellEnd"/>
      <w:r w:rsidR="009147D6">
        <w:rPr>
          <w:lang w:eastAsia="en-AU"/>
        </w:rPr>
        <w:t xml:space="preserve">’ copyright registration remained valid by operation of safe harbor provision under §411(b)(1)(A) </w:t>
      </w:r>
      <w:r w:rsidR="00D5269B">
        <w:rPr>
          <w:lang w:eastAsia="en-AU"/>
        </w:rPr>
        <w:t xml:space="preserve">– Where </w:t>
      </w:r>
      <w:r w:rsidR="00D5269B" w:rsidRPr="00D5269B">
        <w:rPr>
          <w:lang w:eastAsia="en-AU"/>
        </w:rPr>
        <w:t>§411(b)(1)(A)</w:t>
      </w:r>
      <w:r w:rsidR="00D5269B">
        <w:rPr>
          <w:lang w:eastAsia="en-AU"/>
        </w:rPr>
        <w:t xml:space="preserve"> </w:t>
      </w:r>
      <w:r w:rsidR="009147D6">
        <w:rPr>
          <w:lang w:eastAsia="en-AU"/>
        </w:rPr>
        <w:t xml:space="preserve">provided certificate </w:t>
      </w:r>
      <w:r w:rsidR="00D5269B">
        <w:rPr>
          <w:lang w:eastAsia="en-AU"/>
        </w:rPr>
        <w:t xml:space="preserve">of registration valid, regardless of whether certificate contained inaccurate information, unless information included with knowledge it inaccurate </w:t>
      </w:r>
      <w:r w:rsidR="009147D6">
        <w:rPr>
          <w:lang w:eastAsia="en-AU"/>
        </w:rPr>
        <w:t xml:space="preserve">– Where, on appeal, Ninth Circuit determined did not matter whether </w:t>
      </w:r>
      <w:proofErr w:type="spellStart"/>
      <w:r w:rsidR="009147D6">
        <w:rPr>
          <w:lang w:eastAsia="en-AU"/>
        </w:rPr>
        <w:t>Unicolors</w:t>
      </w:r>
      <w:proofErr w:type="spellEnd"/>
      <w:r w:rsidR="009147D6">
        <w:rPr>
          <w:lang w:eastAsia="en-AU"/>
        </w:rPr>
        <w:t xml:space="preserve"> aware of failure to satisfy single unit of publication requirement, because safe harbor excuses only good</w:t>
      </w:r>
      <w:r w:rsidR="001E0061">
        <w:rPr>
          <w:lang w:eastAsia="en-AU"/>
        </w:rPr>
        <w:t xml:space="preserve"> </w:t>
      </w:r>
      <w:r w:rsidR="009147D6">
        <w:rPr>
          <w:lang w:eastAsia="en-AU"/>
        </w:rPr>
        <w:t xml:space="preserve">faith mistakes of fact, not law – Where Ninth Circuit reasoned </w:t>
      </w:r>
      <w:proofErr w:type="spellStart"/>
      <w:r w:rsidR="009147D6">
        <w:rPr>
          <w:lang w:eastAsia="en-AU"/>
        </w:rPr>
        <w:t>Unicolors</w:t>
      </w:r>
      <w:proofErr w:type="spellEnd"/>
      <w:r w:rsidR="009147D6">
        <w:rPr>
          <w:lang w:eastAsia="en-AU"/>
        </w:rPr>
        <w:t xml:space="preserve"> had known relevant facts, so knowledge of law (or lack thereof) irrelevant </w:t>
      </w:r>
      <w:r w:rsidR="00D5269B">
        <w:rPr>
          <w:lang w:eastAsia="en-AU"/>
        </w:rPr>
        <w:t xml:space="preserve">– Whether </w:t>
      </w:r>
      <w:r w:rsidR="00D5269B" w:rsidRPr="00D5269B">
        <w:rPr>
          <w:lang w:eastAsia="en-AU"/>
        </w:rPr>
        <w:t>§411(b)</w:t>
      </w:r>
      <w:r w:rsidR="00D5269B">
        <w:rPr>
          <w:lang w:eastAsia="en-AU"/>
        </w:rPr>
        <w:t xml:space="preserve"> </w:t>
      </w:r>
      <w:r w:rsidR="00D5269B">
        <w:rPr>
          <w:lang w:eastAsia="en-AU"/>
        </w:rPr>
        <w:lastRenderedPageBreak/>
        <w:t xml:space="preserve">distinguishes between mistake of law and mistake of fact – Proper scope of phrase </w:t>
      </w:r>
      <w:r w:rsidR="002C6EE4">
        <w:rPr>
          <w:lang w:eastAsia="en-AU"/>
        </w:rPr>
        <w:t>"</w:t>
      </w:r>
      <w:r w:rsidR="00D5269B">
        <w:rPr>
          <w:lang w:eastAsia="en-AU"/>
        </w:rPr>
        <w:t>with knowledge it inaccurate</w:t>
      </w:r>
      <w:r w:rsidR="002C6EE4">
        <w:rPr>
          <w:lang w:eastAsia="en-AU"/>
        </w:rPr>
        <w:t>"</w:t>
      </w:r>
      <w:r w:rsidR="00D5269B">
        <w:rPr>
          <w:lang w:eastAsia="en-AU"/>
        </w:rPr>
        <w:t>.</w:t>
      </w:r>
    </w:p>
    <w:p w14:paraId="1B52D8DD" w14:textId="77777777" w:rsidR="00F855D9" w:rsidRDefault="00F855D9" w:rsidP="00F855D9">
      <w:pPr>
        <w:rPr>
          <w:b/>
          <w:bCs/>
          <w:lang w:eastAsia="en-AU"/>
        </w:rPr>
      </w:pPr>
    </w:p>
    <w:p w14:paraId="54565C31" w14:textId="5D0BD066" w:rsidR="00F855D9" w:rsidRPr="00DB68FF" w:rsidRDefault="00F855D9" w:rsidP="00F855D9">
      <w:pPr>
        <w:rPr>
          <w:lang w:eastAsia="en-AU"/>
        </w:rPr>
      </w:pPr>
      <w:r>
        <w:rPr>
          <w:b/>
          <w:bCs/>
          <w:lang w:eastAsia="en-AU"/>
        </w:rPr>
        <w:t>Held (</w:t>
      </w:r>
      <w:r w:rsidR="00D91A39">
        <w:rPr>
          <w:b/>
          <w:bCs/>
          <w:lang w:eastAsia="en-AU"/>
        </w:rPr>
        <w:t>6</w:t>
      </w:r>
      <w:r>
        <w:rPr>
          <w:b/>
          <w:bCs/>
          <w:lang w:eastAsia="en-AU"/>
        </w:rPr>
        <w:t>:</w:t>
      </w:r>
      <w:r w:rsidR="00D91A39">
        <w:rPr>
          <w:b/>
          <w:bCs/>
          <w:lang w:eastAsia="en-AU"/>
        </w:rPr>
        <w:t>3</w:t>
      </w:r>
      <w:r>
        <w:rPr>
          <w:b/>
          <w:bCs/>
          <w:lang w:eastAsia="en-AU"/>
        </w:rPr>
        <w:t xml:space="preserve">): </w:t>
      </w:r>
      <w:r w:rsidR="003434A4">
        <w:rPr>
          <w:lang w:eastAsia="en-AU"/>
        </w:rPr>
        <w:t>Judgment of Court of Appeals for Ninth Circuit</w:t>
      </w:r>
      <w:r w:rsidR="00D5269B">
        <w:rPr>
          <w:lang w:eastAsia="en-AU"/>
        </w:rPr>
        <w:t xml:space="preserve"> </w:t>
      </w:r>
      <w:proofErr w:type="gramStart"/>
      <w:r w:rsidR="00D5269B">
        <w:rPr>
          <w:lang w:eastAsia="en-AU"/>
        </w:rPr>
        <w:t>vacated</w:t>
      </w:r>
      <w:proofErr w:type="gramEnd"/>
      <w:r w:rsidR="00A2177E">
        <w:rPr>
          <w:lang w:eastAsia="en-AU"/>
        </w:rPr>
        <w:t xml:space="preserve"> and case remanded</w:t>
      </w:r>
      <w:r>
        <w:rPr>
          <w:lang w:eastAsia="en-AU"/>
        </w:rPr>
        <w:t>.</w:t>
      </w:r>
    </w:p>
    <w:p w14:paraId="1C7D6E96" w14:textId="77777777" w:rsidR="00504DB3" w:rsidRPr="00B546B2" w:rsidRDefault="00504DB3" w:rsidP="00504DB3">
      <w:pPr>
        <w:pStyle w:val="BullDivider2"/>
        <w:rPr>
          <w:rFonts w:cs="Arial"/>
          <w:highlight w:val="yellow"/>
        </w:rPr>
      </w:pPr>
    </w:p>
    <w:p w14:paraId="755F895E" w14:textId="444444B2" w:rsidR="00FF2863" w:rsidRDefault="00FF2863" w:rsidP="00FF2863"/>
    <w:p w14:paraId="0A0C49DE" w14:textId="7A036C5C" w:rsidR="00FF2863" w:rsidRDefault="00FF2863" w:rsidP="00FF2863">
      <w:pPr>
        <w:pStyle w:val="Heading1"/>
      </w:pPr>
      <w:r>
        <w:t xml:space="preserve">Practice and </w:t>
      </w:r>
      <w:r w:rsidR="00ED7BC3">
        <w:t>P</w:t>
      </w:r>
      <w:r>
        <w:t>rocedure</w:t>
      </w:r>
    </w:p>
    <w:p w14:paraId="2534933B" w14:textId="77777777" w:rsidR="00C411ED" w:rsidRPr="00C411ED" w:rsidRDefault="00C411ED" w:rsidP="00C411ED">
      <w:pPr>
        <w:rPr>
          <w:lang w:eastAsia="en-AU"/>
        </w:rPr>
      </w:pPr>
    </w:p>
    <w:p w14:paraId="6D00F880" w14:textId="2F0C7B77" w:rsidR="00C411ED" w:rsidRPr="00C411ED" w:rsidRDefault="006724E8" w:rsidP="00C411ED">
      <w:pPr>
        <w:keepNext/>
        <w:outlineLvl w:val="1"/>
        <w:rPr>
          <w:rFonts w:ascii="Arial" w:hAnsi="Arial" w:cs="Arial"/>
          <w:bCs/>
          <w:sz w:val="28"/>
          <w:szCs w:val="28"/>
          <w:lang w:eastAsia="en-AU"/>
        </w:rPr>
      </w:pPr>
      <w:r w:rsidRPr="006724E8">
        <w:rPr>
          <w:rFonts w:ascii="Arial" w:hAnsi="Arial" w:cs="Arial"/>
          <w:bCs/>
          <w:i/>
          <w:iCs/>
          <w:sz w:val="28"/>
          <w:szCs w:val="28"/>
          <w:lang w:eastAsia="en-AU"/>
        </w:rPr>
        <w:t xml:space="preserve">Municipal Manager O.R. Tambo District Municipality </w:t>
      </w:r>
      <w:r>
        <w:rPr>
          <w:rFonts w:ascii="Arial" w:hAnsi="Arial" w:cs="Arial"/>
          <w:bCs/>
          <w:i/>
          <w:iCs/>
          <w:sz w:val="28"/>
          <w:szCs w:val="28"/>
          <w:lang w:eastAsia="en-AU"/>
        </w:rPr>
        <w:t>&amp; Anor</w:t>
      </w:r>
      <w:r w:rsidRPr="006724E8">
        <w:rPr>
          <w:rFonts w:ascii="Arial" w:hAnsi="Arial" w:cs="Arial"/>
          <w:bCs/>
          <w:i/>
          <w:iCs/>
          <w:sz w:val="28"/>
          <w:szCs w:val="28"/>
          <w:lang w:eastAsia="en-AU"/>
        </w:rPr>
        <w:t xml:space="preserve"> v </w:t>
      </w:r>
      <w:proofErr w:type="spellStart"/>
      <w:r w:rsidRPr="006724E8">
        <w:rPr>
          <w:rFonts w:ascii="Arial" w:hAnsi="Arial" w:cs="Arial"/>
          <w:bCs/>
          <w:i/>
          <w:iCs/>
          <w:sz w:val="28"/>
          <w:szCs w:val="28"/>
          <w:lang w:eastAsia="en-AU"/>
        </w:rPr>
        <w:t>Ndabeni</w:t>
      </w:r>
      <w:proofErr w:type="spellEnd"/>
    </w:p>
    <w:p w14:paraId="594A3DEF" w14:textId="35882BEE" w:rsidR="00C411ED" w:rsidRPr="00C411ED" w:rsidRDefault="00C411ED" w:rsidP="00C411ED">
      <w:pPr>
        <w:rPr>
          <w:lang w:eastAsia="en-AU"/>
        </w:rPr>
      </w:pPr>
      <w:r w:rsidRPr="00C411ED">
        <w:rPr>
          <w:b/>
          <w:lang w:eastAsia="en-AU"/>
        </w:rPr>
        <w:t xml:space="preserve">Constitutional Court of South Africa: </w:t>
      </w:r>
      <w:hyperlink r:id="rId36" w:history="1">
        <w:r>
          <w:rPr>
            <w:color w:val="0000FF"/>
            <w:u w:val="single"/>
          </w:rPr>
          <w:t>[2022] ZACC 3</w:t>
        </w:r>
      </w:hyperlink>
    </w:p>
    <w:p w14:paraId="1036E859" w14:textId="77777777" w:rsidR="00C411ED" w:rsidRPr="00C411ED" w:rsidRDefault="00C411ED" w:rsidP="00C411ED">
      <w:pPr>
        <w:rPr>
          <w:lang w:eastAsia="en-AU"/>
        </w:rPr>
      </w:pPr>
    </w:p>
    <w:p w14:paraId="257C4EBD" w14:textId="2C1B4F53" w:rsidR="00C411ED" w:rsidRPr="00C411ED" w:rsidRDefault="00C411ED" w:rsidP="00C411ED">
      <w:pPr>
        <w:rPr>
          <w:lang w:eastAsia="en-AU"/>
        </w:rPr>
      </w:pPr>
      <w:r w:rsidRPr="00C411ED">
        <w:rPr>
          <w:b/>
          <w:lang w:eastAsia="en-AU"/>
        </w:rPr>
        <w:t>Judgment delivered:</w:t>
      </w:r>
      <w:r w:rsidRPr="00C411ED">
        <w:rPr>
          <w:lang w:eastAsia="en-AU"/>
        </w:rPr>
        <w:t xml:space="preserve"> 1</w:t>
      </w:r>
      <w:r w:rsidR="006724E8">
        <w:rPr>
          <w:lang w:eastAsia="en-AU"/>
        </w:rPr>
        <w:t>4</w:t>
      </w:r>
      <w:r w:rsidRPr="00C411ED">
        <w:rPr>
          <w:lang w:eastAsia="en-AU"/>
        </w:rPr>
        <w:t xml:space="preserve"> February 2022</w:t>
      </w:r>
    </w:p>
    <w:p w14:paraId="2CE5692D" w14:textId="77777777" w:rsidR="00C411ED" w:rsidRPr="00C411ED" w:rsidRDefault="00C411ED" w:rsidP="00C411ED">
      <w:pPr>
        <w:rPr>
          <w:lang w:eastAsia="en-AU"/>
        </w:rPr>
      </w:pPr>
    </w:p>
    <w:p w14:paraId="7800A5E2" w14:textId="77777777" w:rsidR="00C411ED" w:rsidRPr="00C411ED" w:rsidRDefault="00C411ED" w:rsidP="00C411ED">
      <w:pPr>
        <w:rPr>
          <w:lang w:eastAsia="en-AU"/>
        </w:rPr>
      </w:pPr>
      <w:r w:rsidRPr="00C411ED">
        <w:rPr>
          <w:b/>
          <w:lang w:eastAsia="en-AU"/>
        </w:rPr>
        <w:t xml:space="preserve">Coram: </w:t>
      </w:r>
      <w:r w:rsidRPr="00C411ED">
        <w:rPr>
          <w:lang w:eastAsia="en-AU"/>
        </w:rPr>
        <w:t>Madlanga J, Madondo AJ, Majiedt, Mhlantla JJ, Pillay, Rogers AJJ, Theron J, Tlaletsi AJ and Tshiqi J</w:t>
      </w:r>
    </w:p>
    <w:p w14:paraId="4BE8B454" w14:textId="77777777" w:rsidR="00C411ED" w:rsidRPr="00C411ED" w:rsidRDefault="00C411ED" w:rsidP="00C411ED">
      <w:pPr>
        <w:rPr>
          <w:lang w:eastAsia="en-AU"/>
        </w:rPr>
      </w:pPr>
    </w:p>
    <w:p w14:paraId="395AE3A4" w14:textId="77777777" w:rsidR="00C411ED" w:rsidRPr="00C411ED" w:rsidRDefault="00C411ED" w:rsidP="00C411ED">
      <w:pPr>
        <w:rPr>
          <w:b/>
          <w:lang w:eastAsia="en-AU"/>
        </w:rPr>
      </w:pPr>
      <w:r w:rsidRPr="00C411ED">
        <w:rPr>
          <w:b/>
          <w:lang w:eastAsia="en-AU"/>
        </w:rPr>
        <w:t>Catchwords:</w:t>
      </w:r>
    </w:p>
    <w:p w14:paraId="6EDBDE58" w14:textId="77777777" w:rsidR="00C411ED" w:rsidRPr="00C411ED" w:rsidRDefault="00C411ED" w:rsidP="00C411ED">
      <w:pPr>
        <w:rPr>
          <w:b/>
          <w:highlight w:val="yellow"/>
          <w:lang w:eastAsia="en-AU"/>
        </w:rPr>
      </w:pPr>
    </w:p>
    <w:p w14:paraId="03EDD906" w14:textId="75A02D50" w:rsidR="00C411ED" w:rsidRPr="00C411ED" w:rsidRDefault="008E2E52" w:rsidP="00C411ED">
      <w:pPr>
        <w:ind w:left="720"/>
        <w:rPr>
          <w:lang w:eastAsia="en-AU"/>
        </w:rPr>
      </w:pPr>
      <w:r>
        <w:rPr>
          <w:lang w:eastAsia="en-AU"/>
        </w:rPr>
        <w:t>Practice and procedure</w:t>
      </w:r>
      <w:r w:rsidR="00C411ED" w:rsidRPr="00C411ED">
        <w:rPr>
          <w:lang w:eastAsia="en-AU"/>
        </w:rPr>
        <w:t xml:space="preserve"> – </w:t>
      </w:r>
      <w:r w:rsidR="00FB197D">
        <w:rPr>
          <w:lang w:eastAsia="en-AU"/>
        </w:rPr>
        <w:t xml:space="preserve">Nullity of court order – </w:t>
      </w:r>
      <w:r w:rsidR="00E51F63">
        <w:rPr>
          <w:lang w:eastAsia="en-AU"/>
        </w:rPr>
        <w:t xml:space="preserve">Contempt – Where </w:t>
      </w:r>
      <w:proofErr w:type="spellStart"/>
      <w:r w:rsidR="00E51F63">
        <w:rPr>
          <w:lang w:eastAsia="en-AU"/>
        </w:rPr>
        <w:t>Ndabeni</w:t>
      </w:r>
      <w:proofErr w:type="spellEnd"/>
      <w:r w:rsidR="00E51F63">
        <w:rPr>
          <w:lang w:eastAsia="en-AU"/>
        </w:rPr>
        <w:t xml:space="preserve"> employed on fixed term contract by Municipality – Where Municipality </w:t>
      </w:r>
      <w:r w:rsidR="00E51F63" w:rsidRPr="00E51F63">
        <w:rPr>
          <w:lang w:eastAsia="en-AU"/>
        </w:rPr>
        <w:t xml:space="preserve">passed Resolution 10/11 </w:t>
      </w:r>
      <w:r w:rsidR="00E51F63">
        <w:rPr>
          <w:lang w:eastAsia="en-AU"/>
        </w:rPr>
        <w:t xml:space="preserve">converting </w:t>
      </w:r>
      <w:r w:rsidR="00E51F63" w:rsidRPr="00E51F63">
        <w:rPr>
          <w:lang w:eastAsia="en-AU"/>
        </w:rPr>
        <w:t>contract employees to permanent employees</w:t>
      </w:r>
      <w:r w:rsidR="00E51F63">
        <w:rPr>
          <w:lang w:eastAsia="en-AU"/>
        </w:rPr>
        <w:t xml:space="preserve"> – Where </w:t>
      </w:r>
      <w:r w:rsidR="00E51F63" w:rsidRPr="00E51F63">
        <w:rPr>
          <w:lang w:eastAsia="en-AU"/>
        </w:rPr>
        <w:t xml:space="preserve">Resolution 10/11 </w:t>
      </w:r>
      <w:r w:rsidR="00E51F63">
        <w:rPr>
          <w:lang w:eastAsia="en-AU"/>
        </w:rPr>
        <w:t xml:space="preserve">did not apply to </w:t>
      </w:r>
      <w:proofErr w:type="spellStart"/>
      <w:r w:rsidR="00E51F63">
        <w:rPr>
          <w:lang w:eastAsia="en-AU"/>
        </w:rPr>
        <w:t>Ndabeni</w:t>
      </w:r>
      <w:proofErr w:type="spellEnd"/>
      <w:r w:rsidR="00E51F63">
        <w:rPr>
          <w:lang w:eastAsia="en-AU"/>
        </w:rPr>
        <w:t xml:space="preserve"> – Where </w:t>
      </w:r>
      <w:proofErr w:type="spellStart"/>
      <w:r w:rsidR="00E51F63">
        <w:rPr>
          <w:lang w:eastAsia="en-AU"/>
        </w:rPr>
        <w:t>Ndabeni</w:t>
      </w:r>
      <w:proofErr w:type="spellEnd"/>
      <w:r w:rsidR="00E51F63">
        <w:rPr>
          <w:lang w:eastAsia="en-AU"/>
        </w:rPr>
        <w:t xml:space="preserve"> sought order declaring employment permanent </w:t>
      </w:r>
      <w:r w:rsidR="00092C1A">
        <w:rPr>
          <w:lang w:eastAsia="en-AU"/>
        </w:rPr>
        <w:t>–</w:t>
      </w:r>
      <w:r w:rsidR="00E51F63">
        <w:rPr>
          <w:lang w:eastAsia="en-AU"/>
        </w:rPr>
        <w:t xml:space="preserve"> </w:t>
      </w:r>
      <w:r w:rsidR="00092C1A">
        <w:rPr>
          <w:lang w:eastAsia="en-AU"/>
        </w:rPr>
        <w:t xml:space="preserve">Where High Court made order in favour of </w:t>
      </w:r>
      <w:proofErr w:type="spellStart"/>
      <w:r w:rsidR="00092C1A">
        <w:rPr>
          <w:lang w:eastAsia="en-AU"/>
        </w:rPr>
        <w:t>Ndabeni</w:t>
      </w:r>
      <w:proofErr w:type="spellEnd"/>
      <w:r w:rsidR="00092C1A">
        <w:rPr>
          <w:lang w:eastAsia="en-AU"/>
        </w:rPr>
        <w:t xml:space="preserve"> (</w:t>
      </w:r>
      <w:r w:rsidR="002C6EE4">
        <w:rPr>
          <w:lang w:eastAsia="en-AU"/>
        </w:rPr>
        <w:t>"</w:t>
      </w:r>
      <w:proofErr w:type="spellStart"/>
      <w:r w:rsidR="00092C1A">
        <w:rPr>
          <w:lang w:eastAsia="en-AU"/>
        </w:rPr>
        <w:t>Mjali</w:t>
      </w:r>
      <w:proofErr w:type="spellEnd"/>
      <w:r w:rsidR="00092C1A">
        <w:rPr>
          <w:lang w:eastAsia="en-AU"/>
        </w:rPr>
        <w:t xml:space="preserve"> J order</w:t>
      </w:r>
      <w:r w:rsidR="002C6EE4">
        <w:rPr>
          <w:lang w:eastAsia="en-AU"/>
        </w:rPr>
        <w:t>"</w:t>
      </w:r>
      <w:r w:rsidR="00092C1A">
        <w:rPr>
          <w:lang w:eastAsia="en-AU"/>
        </w:rPr>
        <w:t xml:space="preserve">) – </w:t>
      </w:r>
      <w:r w:rsidR="001C691E">
        <w:rPr>
          <w:lang w:eastAsia="en-AU"/>
        </w:rPr>
        <w:t>Where, almost four years after commencement of litigation, Municipal Manager realised that implementing</w:t>
      </w:r>
      <w:r w:rsidR="00092C1A">
        <w:rPr>
          <w:lang w:eastAsia="en-AU"/>
        </w:rPr>
        <w:t xml:space="preserve"> </w:t>
      </w:r>
      <w:proofErr w:type="spellStart"/>
      <w:r w:rsidR="001C691E" w:rsidRPr="001C691E">
        <w:rPr>
          <w:lang w:eastAsia="en-AU"/>
        </w:rPr>
        <w:t>Mjali</w:t>
      </w:r>
      <w:proofErr w:type="spellEnd"/>
      <w:r w:rsidR="001C691E" w:rsidRPr="001C691E">
        <w:rPr>
          <w:lang w:eastAsia="en-AU"/>
        </w:rPr>
        <w:t xml:space="preserve"> J order</w:t>
      </w:r>
      <w:r w:rsidR="006724E8">
        <w:rPr>
          <w:lang w:eastAsia="en-AU"/>
        </w:rPr>
        <w:t>,</w:t>
      </w:r>
      <w:r w:rsidR="001C691E" w:rsidRPr="001C691E">
        <w:rPr>
          <w:lang w:eastAsia="en-AU"/>
        </w:rPr>
        <w:t xml:space="preserve"> </w:t>
      </w:r>
      <w:r w:rsidR="001C691E">
        <w:rPr>
          <w:lang w:eastAsia="en-AU"/>
        </w:rPr>
        <w:t>when no post on staff establishment</w:t>
      </w:r>
      <w:r w:rsidR="006724E8">
        <w:rPr>
          <w:lang w:eastAsia="en-AU"/>
        </w:rPr>
        <w:t>,</w:t>
      </w:r>
      <w:r w:rsidR="001C691E">
        <w:rPr>
          <w:lang w:eastAsia="en-AU"/>
        </w:rPr>
        <w:t xml:space="preserve"> would result in Municipal Manager being personally liable </w:t>
      </w:r>
      <w:r w:rsidR="00BF68B5">
        <w:rPr>
          <w:lang w:eastAsia="en-AU"/>
        </w:rPr>
        <w:t xml:space="preserve">for irregular and wasteful expenditure pursuant to s 66(5) of </w:t>
      </w:r>
      <w:r w:rsidR="00BF68B5" w:rsidRPr="00FB197D">
        <w:rPr>
          <w:i/>
          <w:iCs/>
          <w:lang w:eastAsia="en-AU"/>
        </w:rPr>
        <w:t>Local Government: Municipal Systems Act</w:t>
      </w:r>
      <w:r w:rsidR="00BF68B5">
        <w:rPr>
          <w:lang w:eastAsia="en-AU"/>
        </w:rPr>
        <w:t xml:space="preserve"> – Where </w:t>
      </w:r>
      <w:r w:rsidR="00BF68B5" w:rsidRPr="00BF68B5">
        <w:rPr>
          <w:lang w:eastAsia="en-AU"/>
        </w:rPr>
        <w:t xml:space="preserve">Municipal Parties contended </w:t>
      </w:r>
      <w:proofErr w:type="spellStart"/>
      <w:r w:rsidR="00BF68B5" w:rsidRPr="00BF68B5">
        <w:rPr>
          <w:lang w:eastAsia="en-AU"/>
        </w:rPr>
        <w:t>Mjali</w:t>
      </w:r>
      <w:proofErr w:type="spellEnd"/>
      <w:r w:rsidR="00BF68B5" w:rsidRPr="00BF68B5">
        <w:rPr>
          <w:lang w:eastAsia="en-AU"/>
        </w:rPr>
        <w:t xml:space="preserve"> J order nullity </w:t>
      </w:r>
      <w:r w:rsidR="00BF68B5">
        <w:rPr>
          <w:lang w:eastAsia="en-AU"/>
        </w:rPr>
        <w:t>–</w:t>
      </w:r>
      <w:r w:rsidR="00EE1B37">
        <w:rPr>
          <w:lang w:eastAsia="en-AU"/>
        </w:rPr>
        <w:t xml:space="preserve"> Where majority of Supreme Court of Appeal held </w:t>
      </w:r>
      <w:proofErr w:type="spellStart"/>
      <w:r w:rsidR="00EE1B37">
        <w:rPr>
          <w:lang w:eastAsia="en-AU"/>
        </w:rPr>
        <w:t>Mjali</w:t>
      </w:r>
      <w:proofErr w:type="spellEnd"/>
      <w:r w:rsidR="00EE1B37">
        <w:rPr>
          <w:lang w:eastAsia="en-AU"/>
        </w:rPr>
        <w:t xml:space="preserve"> J order not nullity and Municipal Parties were in contempt –</w:t>
      </w:r>
      <w:r w:rsidR="006724E8">
        <w:rPr>
          <w:lang w:eastAsia="en-AU"/>
        </w:rPr>
        <w:t xml:space="preserve"> </w:t>
      </w:r>
      <w:r>
        <w:rPr>
          <w:lang w:eastAsia="en-AU"/>
        </w:rPr>
        <w:t xml:space="preserve">Whether </w:t>
      </w:r>
      <w:proofErr w:type="spellStart"/>
      <w:r w:rsidR="002B75D6" w:rsidRPr="002B75D6">
        <w:rPr>
          <w:lang w:eastAsia="en-AU"/>
        </w:rPr>
        <w:t>Mjali</w:t>
      </w:r>
      <w:proofErr w:type="spellEnd"/>
      <w:r w:rsidR="002B75D6" w:rsidRPr="002B75D6">
        <w:rPr>
          <w:lang w:eastAsia="en-AU"/>
        </w:rPr>
        <w:t xml:space="preserve"> J </w:t>
      </w:r>
      <w:r>
        <w:rPr>
          <w:lang w:eastAsia="en-AU"/>
        </w:rPr>
        <w:t>order null</w:t>
      </w:r>
      <w:r w:rsidR="00FB197D">
        <w:rPr>
          <w:lang w:eastAsia="en-AU"/>
        </w:rPr>
        <w:t>ity</w:t>
      </w:r>
      <w:r>
        <w:rPr>
          <w:lang w:eastAsia="en-AU"/>
        </w:rPr>
        <w:t xml:space="preserve"> and unenforceable – </w:t>
      </w:r>
      <w:r w:rsidR="00EE1B37">
        <w:rPr>
          <w:lang w:eastAsia="en-AU"/>
        </w:rPr>
        <w:t xml:space="preserve">Whether Municipal Parties in contempt – Whether Municipal Parties should be compelled to comply with </w:t>
      </w:r>
      <w:proofErr w:type="spellStart"/>
      <w:r w:rsidR="00EE1B37" w:rsidRPr="002B75D6">
        <w:rPr>
          <w:lang w:eastAsia="en-AU"/>
        </w:rPr>
        <w:t>Mjali</w:t>
      </w:r>
      <w:proofErr w:type="spellEnd"/>
      <w:r w:rsidR="00EE1B37" w:rsidRPr="002B75D6">
        <w:rPr>
          <w:lang w:eastAsia="en-AU"/>
        </w:rPr>
        <w:t xml:space="preserve"> J </w:t>
      </w:r>
      <w:r w:rsidR="00EE1B37">
        <w:rPr>
          <w:lang w:eastAsia="en-AU"/>
        </w:rPr>
        <w:t xml:space="preserve">order – </w:t>
      </w:r>
      <w:r>
        <w:rPr>
          <w:lang w:eastAsia="en-AU"/>
        </w:rPr>
        <w:t>Whether special costs order justified.</w:t>
      </w:r>
    </w:p>
    <w:p w14:paraId="56AB62D1" w14:textId="77777777" w:rsidR="00C411ED" w:rsidRPr="00C411ED" w:rsidRDefault="00C411ED" w:rsidP="00C411ED">
      <w:pPr>
        <w:rPr>
          <w:b/>
          <w:lang w:eastAsia="en-AU"/>
        </w:rPr>
      </w:pPr>
    </w:p>
    <w:p w14:paraId="07FAC924" w14:textId="77777777" w:rsidR="00C411ED" w:rsidRPr="00C411ED" w:rsidRDefault="00C411ED" w:rsidP="00C411ED">
      <w:pPr>
        <w:rPr>
          <w:bCs/>
          <w:lang w:eastAsia="en-AU"/>
        </w:rPr>
      </w:pPr>
      <w:r w:rsidRPr="00C411ED">
        <w:rPr>
          <w:b/>
          <w:lang w:eastAsia="en-AU"/>
        </w:rPr>
        <w:t xml:space="preserve">Held (9:0): </w:t>
      </w:r>
      <w:r w:rsidRPr="00C411ED">
        <w:rPr>
          <w:bCs/>
          <w:lang w:eastAsia="en-AU"/>
        </w:rPr>
        <w:t xml:space="preserve">Application dismissed. </w:t>
      </w:r>
    </w:p>
    <w:p w14:paraId="5548F4DF" w14:textId="77777777" w:rsidR="00794D30" w:rsidRPr="00181993" w:rsidRDefault="00794D30" w:rsidP="00794D30">
      <w:pPr>
        <w:pStyle w:val="BullDivider1"/>
        <w:pBdr>
          <w:bottom w:val="dotted" w:sz="4" w:space="0" w:color="auto"/>
        </w:pBdr>
      </w:pPr>
    </w:p>
    <w:p w14:paraId="6AE6FECD" w14:textId="77777777" w:rsidR="00794D30" w:rsidRDefault="00794D30" w:rsidP="00794D30"/>
    <w:p w14:paraId="7AB9A73C" w14:textId="5E8C844E" w:rsidR="00CE08F1" w:rsidRDefault="00CE08F1" w:rsidP="00CE08F1">
      <w:pPr>
        <w:pStyle w:val="Heading2"/>
      </w:pPr>
      <w:r w:rsidRPr="00CE08F1">
        <w:t xml:space="preserve">Public Prosecutors Office of the Athens Court of Appeal v O'Connor </w:t>
      </w:r>
    </w:p>
    <w:p w14:paraId="765248F8" w14:textId="7187D70E" w:rsidR="00CE08F1" w:rsidRDefault="00CE08F1" w:rsidP="00CE08F1">
      <w:pPr>
        <w:rPr>
          <w:lang w:eastAsia="en-AU"/>
        </w:rPr>
      </w:pPr>
      <w:r>
        <w:rPr>
          <w:b/>
          <w:bCs/>
          <w:lang w:eastAsia="en-AU"/>
        </w:rPr>
        <w:t>Supreme Court of the United Kingdom</w:t>
      </w:r>
      <w:r w:rsidRPr="006B0D58">
        <w:rPr>
          <w:b/>
          <w:bCs/>
          <w:lang w:eastAsia="en-AU"/>
        </w:rPr>
        <w:t>:</w:t>
      </w:r>
      <w:r>
        <w:rPr>
          <w:lang w:eastAsia="en-AU"/>
        </w:rPr>
        <w:t xml:space="preserve"> </w:t>
      </w:r>
      <w:hyperlink r:id="rId37" w:history="1">
        <w:r>
          <w:rPr>
            <w:rStyle w:val="Hyperlink"/>
            <w:lang w:eastAsia="en-AU"/>
          </w:rPr>
          <w:t>[2022] UKSC 4</w:t>
        </w:r>
      </w:hyperlink>
    </w:p>
    <w:p w14:paraId="4DC63898" w14:textId="77777777" w:rsidR="00CE08F1" w:rsidRDefault="00CE08F1" w:rsidP="00CE08F1">
      <w:pPr>
        <w:rPr>
          <w:lang w:eastAsia="en-AU"/>
        </w:rPr>
      </w:pPr>
    </w:p>
    <w:p w14:paraId="48760BA4" w14:textId="463087C0" w:rsidR="00CE08F1" w:rsidRPr="00DB68FF" w:rsidRDefault="00CE08F1" w:rsidP="00CE08F1">
      <w:pPr>
        <w:rPr>
          <w:lang w:eastAsia="en-AU"/>
        </w:rPr>
      </w:pPr>
      <w:r>
        <w:rPr>
          <w:b/>
          <w:bCs/>
          <w:lang w:eastAsia="en-AU"/>
        </w:rPr>
        <w:t xml:space="preserve">Judgment delivered: </w:t>
      </w:r>
      <w:r w:rsidR="00F622FF">
        <w:rPr>
          <w:lang w:eastAsia="en-AU"/>
        </w:rPr>
        <w:t>2</w:t>
      </w:r>
      <w:r>
        <w:rPr>
          <w:lang w:eastAsia="en-AU"/>
        </w:rPr>
        <w:t xml:space="preserve"> February 2022</w:t>
      </w:r>
    </w:p>
    <w:p w14:paraId="73A9660C" w14:textId="77777777" w:rsidR="00CE08F1" w:rsidRDefault="00CE08F1" w:rsidP="00CE08F1">
      <w:pPr>
        <w:rPr>
          <w:b/>
          <w:bCs/>
          <w:lang w:eastAsia="en-AU"/>
        </w:rPr>
      </w:pPr>
    </w:p>
    <w:p w14:paraId="44BCC189" w14:textId="16A2892F" w:rsidR="00CE08F1" w:rsidRPr="00DB68FF" w:rsidRDefault="00CE08F1" w:rsidP="00CE08F1">
      <w:pPr>
        <w:rPr>
          <w:lang w:eastAsia="en-AU"/>
        </w:rPr>
      </w:pPr>
      <w:r>
        <w:rPr>
          <w:b/>
          <w:bCs/>
          <w:lang w:eastAsia="en-AU"/>
        </w:rPr>
        <w:t>Coram:</w:t>
      </w:r>
      <w:r w:rsidRPr="00DB68FF">
        <w:t xml:space="preserve"> </w:t>
      </w:r>
      <w:r w:rsidRPr="00CE08F1">
        <w:rPr>
          <w:lang w:eastAsia="en-AU"/>
        </w:rPr>
        <w:t>Lord Reed, Lord Hamblen, Lord Leggatt, Lord Burrows</w:t>
      </w:r>
      <w:r>
        <w:rPr>
          <w:lang w:eastAsia="en-AU"/>
        </w:rPr>
        <w:t xml:space="preserve"> and</w:t>
      </w:r>
      <w:r w:rsidRPr="00CE08F1">
        <w:rPr>
          <w:lang w:eastAsia="en-AU"/>
        </w:rPr>
        <w:t xml:space="preserve"> Lord Stephens</w:t>
      </w:r>
    </w:p>
    <w:p w14:paraId="18598342" w14:textId="77777777" w:rsidR="00CE08F1" w:rsidRDefault="00CE08F1" w:rsidP="00CE08F1">
      <w:pPr>
        <w:rPr>
          <w:b/>
          <w:bCs/>
          <w:lang w:eastAsia="en-AU"/>
        </w:rPr>
      </w:pPr>
    </w:p>
    <w:p w14:paraId="3D0D3053" w14:textId="77777777" w:rsidR="00CE08F1" w:rsidRDefault="00CE08F1" w:rsidP="00CE08F1">
      <w:pPr>
        <w:rPr>
          <w:b/>
          <w:bCs/>
          <w:lang w:eastAsia="en-AU"/>
        </w:rPr>
      </w:pPr>
      <w:r>
        <w:rPr>
          <w:b/>
          <w:bCs/>
          <w:lang w:eastAsia="en-AU"/>
        </w:rPr>
        <w:t>Catchwords:</w:t>
      </w:r>
    </w:p>
    <w:p w14:paraId="3E03C694" w14:textId="77777777" w:rsidR="00CE08F1" w:rsidRDefault="00CE08F1" w:rsidP="00CE08F1">
      <w:pPr>
        <w:rPr>
          <w:b/>
          <w:bCs/>
          <w:lang w:eastAsia="en-AU"/>
        </w:rPr>
      </w:pPr>
    </w:p>
    <w:p w14:paraId="31E60138" w14:textId="587017F8" w:rsidR="00CE08F1" w:rsidRDefault="00CE08F1" w:rsidP="00CE08F1">
      <w:pPr>
        <w:pStyle w:val="Catchwords"/>
      </w:pPr>
      <w:r>
        <w:t xml:space="preserve">Practice and procedure – Application for leave to appeal – Statutory interpretation – </w:t>
      </w:r>
      <w:r w:rsidR="003108B3">
        <w:t xml:space="preserve">Where s 26(5) of </w:t>
      </w:r>
      <w:r w:rsidR="003108B3" w:rsidRPr="00EE748B">
        <w:rPr>
          <w:i/>
          <w:iCs/>
        </w:rPr>
        <w:t>Extradition Act 2003</w:t>
      </w:r>
      <w:r w:rsidR="003108B3">
        <w:t xml:space="preserve"> provided where </w:t>
      </w:r>
      <w:r w:rsidR="003108B3">
        <w:lastRenderedPageBreak/>
        <w:t xml:space="preserve">person gives notice of application for leave to appeal after end of permitted period, High Court must not for that reason refuse to entertain application if person did everything reasonably possible to ensure notice given as soon as could be given – Where Court of Appeal of Athens issued European Arrest Warrant </w:t>
      </w:r>
      <w:r w:rsidR="007D3C0D">
        <w:t>requesting extradition of respondent – Where respondent resisted application for extradition – Where Belfast Recorder's Court ordered extradition – Where, after ruling, respondent instructed solicitor to appeal and solicitor announced</w:t>
      </w:r>
      <w:r w:rsidR="00EE748B">
        <w:t>,</w:t>
      </w:r>
      <w:r w:rsidR="007D3C0D">
        <w:t xml:space="preserve"> </w:t>
      </w:r>
      <w:r w:rsidR="00EE748B">
        <w:t xml:space="preserve">orally in court, </w:t>
      </w:r>
      <w:r w:rsidR="007D3C0D">
        <w:t>appeal would be lodged</w:t>
      </w:r>
      <w:r w:rsidR="00186837">
        <w:t xml:space="preserve"> </w:t>
      </w:r>
      <w:r w:rsidR="007D3C0D">
        <w:t xml:space="preserve">– Where </w:t>
      </w:r>
      <w:r w:rsidR="006E79BC">
        <w:t xml:space="preserve">application for leave to appeal lodged by respondent's solicitor, but omitted to serve it on appellant until three weeks later – Where accepted failure to serve notice fault of solicitor – Where Divisional Court in Northern Island interpreted s 26(5) </w:t>
      </w:r>
      <w:r w:rsidR="00F622FF">
        <w:t>such</w:t>
      </w:r>
      <w:r w:rsidR="006E79BC">
        <w:t xml:space="preserve"> that not necessary to hold person responsible for failings of legal representatives – </w:t>
      </w:r>
      <w:r>
        <w:t>Whether distinction</w:t>
      </w:r>
      <w:r w:rsidR="00EE1B37">
        <w:t xml:space="preserve"> exists</w:t>
      </w:r>
      <w:r>
        <w:t xml:space="preserve"> between actions of person who has done everything possible to give notice of application for leave to appeal to High Court against extradition order within time limit and actions of person's legal representative who has not</w:t>
      </w:r>
      <w:r w:rsidR="003108B3">
        <w:t xml:space="preserve"> – Proper test under s 26(5)</w:t>
      </w:r>
      <w:r w:rsidR="00EE748B" w:rsidRPr="00EE748B">
        <w:t xml:space="preserve"> </w:t>
      </w:r>
      <w:r w:rsidR="00EE748B">
        <w:t xml:space="preserve">of </w:t>
      </w:r>
      <w:r w:rsidR="00EE748B" w:rsidRPr="00EE748B">
        <w:rPr>
          <w:i/>
          <w:iCs/>
        </w:rPr>
        <w:t>Extradition Act</w:t>
      </w:r>
      <w:r w:rsidR="003108B3">
        <w:t xml:space="preserve">. </w:t>
      </w:r>
    </w:p>
    <w:p w14:paraId="5FC998EF" w14:textId="77777777" w:rsidR="00CE08F1" w:rsidRDefault="00CE08F1" w:rsidP="00CE08F1">
      <w:pPr>
        <w:rPr>
          <w:b/>
          <w:bCs/>
          <w:lang w:eastAsia="en-AU"/>
        </w:rPr>
      </w:pPr>
    </w:p>
    <w:p w14:paraId="53FCEFA0" w14:textId="7FB8EC87" w:rsidR="00CE08F1" w:rsidRPr="00DB68FF" w:rsidRDefault="00CE08F1" w:rsidP="00CE08F1">
      <w:pPr>
        <w:rPr>
          <w:lang w:eastAsia="en-AU"/>
        </w:rPr>
      </w:pPr>
      <w:r>
        <w:rPr>
          <w:b/>
          <w:bCs/>
          <w:lang w:eastAsia="en-AU"/>
        </w:rPr>
        <w:t>Held (5:0):</w:t>
      </w:r>
      <w:r>
        <w:rPr>
          <w:lang w:eastAsia="en-AU"/>
        </w:rPr>
        <w:t xml:space="preserve"> Appeal </w:t>
      </w:r>
      <w:r w:rsidR="006E79BC">
        <w:rPr>
          <w:lang w:eastAsia="en-AU"/>
        </w:rPr>
        <w:t>dismissed</w:t>
      </w:r>
      <w:r>
        <w:rPr>
          <w:lang w:eastAsia="en-AU"/>
        </w:rPr>
        <w:t>.</w:t>
      </w:r>
    </w:p>
    <w:p w14:paraId="6BF660B2" w14:textId="77777777" w:rsidR="00E0031A" w:rsidRPr="00B546B2" w:rsidRDefault="00E0031A" w:rsidP="00E0031A">
      <w:pPr>
        <w:pStyle w:val="BullDivider2"/>
        <w:rPr>
          <w:rFonts w:cs="Arial"/>
          <w:highlight w:val="yellow"/>
        </w:rPr>
      </w:pPr>
    </w:p>
    <w:p w14:paraId="65E87A0F" w14:textId="77777777" w:rsidR="00E0031A" w:rsidRDefault="00E0031A" w:rsidP="00E0031A"/>
    <w:p w14:paraId="229F72C8" w14:textId="54C45EDA" w:rsidR="00E0031A" w:rsidRDefault="00E0031A" w:rsidP="00E0031A">
      <w:pPr>
        <w:pStyle w:val="Heading1"/>
      </w:pPr>
      <w:r>
        <w:t>Privacy</w:t>
      </w:r>
    </w:p>
    <w:p w14:paraId="5A033A9F" w14:textId="77777777" w:rsidR="00E0031A" w:rsidRDefault="00E0031A" w:rsidP="00E0031A">
      <w:pPr>
        <w:rPr>
          <w:lang w:eastAsia="en-AU"/>
        </w:rPr>
      </w:pPr>
    </w:p>
    <w:p w14:paraId="48ECC90B" w14:textId="7669E7F2" w:rsidR="00E0031A" w:rsidRDefault="00E0031A" w:rsidP="00E0031A">
      <w:pPr>
        <w:pStyle w:val="Heading2"/>
      </w:pPr>
      <w:r>
        <w:t>Bloomberg LP v ZXC</w:t>
      </w:r>
    </w:p>
    <w:p w14:paraId="3EE97853" w14:textId="2F0732EE" w:rsidR="00E0031A" w:rsidRDefault="00E0031A" w:rsidP="00E0031A">
      <w:pPr>
        <w:rPr>
          <w:lang w:eastAsia="en-AU"/>
        </w:rPr>
      </w:pPr>
      <w:r>
        <w:rPr>
          <w:b/>
          <w:bCs/>
          <w:lang w:eastAsia="en-AU"/>
        </w:rPr>
        <w:t>Supreme Court of the United Kingdom</w:t>
      </w:r>
      <w:r w:rsidRPr="006B0D58">
        <w:rPr>
          <w:b/>
          <w:bCs/>
          <w:lang w:eastAsia="en-AU"/>
        </w:rPr>
        <w:t>:</w:t>
      </w:r>
      <w:r>
        <w:rPr>
          <w:lang w:eastAsia="en-AU"/>
        </w:rPr>
        <w:t xml:space="preserve"> </w:t>
      </w:r>
      <w:hyperlink r:id="rId38" w:history="1">
        <w:r w:rsidRPr="00E0031A">
          <w:rPr>
            <w:rStyle w:val="Hyperlink"/>
          </w:rPr>
          <w:t>[2022] UKSC 5</w:t>
        </w:r>
      </w:hyperlink>
    </w:p>
    <w:p w14:paraId="1DB9CD04" w14:textId="77777777" w:rsidR="00E0031A" w:rsidRDefault="00E0031A" w:rsidP="00E0031A">
      <w:pPr>
        <w:rPr>
          <w:lang w:eastAsia="en-AU"/>
        </w:rPr>
      </w:pPr>
    </w:p>
    <w:p w14:paraId="7BFAC327" w14:textId="18C04BD1" w:rsidR="00E0031A" w:rsidRPr="00DB68FF" w:rsidRDefault="00E0031A" w:rsidP="00E0031A">
      <w:pPr>
        <w:rPr>
          <w:lang w:eastAsia="en-AU"/>
        </w:rPr>
      </w:pPr>
      <w:r>
        <w:rPr>
          <w:b/>
          <w:bCs/>
          <w:lang w:eastAsia="en-AU"/>
        </w:rPr>
        <w:t xml:space="preserve">Judgment delivered: </w:t>
      </w:r>
      <w:r w:rsidR="00F622FF">
        <w:rPr>
          <w:lang w:eastAsia="en-AU"/>
        </w:rPr>
        <w:t>16 February</w:t>
      </w:r>
      <w:r>
        <w:rPr>
          <w:lang w:eastAsia="en-AU"/>
        </w:rPr>
        <w:t xml:space="preserve"> 2022</w:t>
      </w:r>
    </w:p>
    <w:p w14:paraId="5E1DB1EB" w14:textId="77777777" w:rsidR="00E0031A" w:rsidRDefault="00E0031A" w:rsidP="00E0031A">
      <w:pPr>
        <w:rPr>
          <w:b/>
          <w:bCs/>
          <w:lang w:eastAsia="en-AU"/>
        </w:rPr>
      </w:pPr>
    </w:p>
    <w:p w14:paraId="7DDA519D" w14:textId="7BC0DFEF" w:rsidR="00E0031A" w:rsidRDefault="00E0031A" w:rsidP="00E0031A">
      <w:pPr>
        <w:rPr>
          <w:lang w:eastAsia="en-AU"/>
        </w:rPr>
      </w:pPr>
      <w:r>
        <w:rPr>
          <w:b/>
          <w:bCs/>
          <w:lang w:eastAsia="en-AU"/>
        </w:rPr>
        <w:t>Coram:</w:t>
      </w:r>
      <w:r w:rsidRPr="00DB68FF">
        <w:t xml:space="preserve"> </w:t>
      </w:r>
      <w:r w:rsidRPr="00E0031A">
        <w:rPr>
          <w:lang w:eastAsia="en-AU"/>
        </w:rPr>
        <w:t>Lord Reed, Lord Lloyd-Jones, Lord Sales, Lord Hamblen</w:t>
      </w:r>
      <w:r>
        <w:rPr>
          <w:lang w:eastAsia="en-AU"/>
        </w:rPr>
        <w:t xml:space="preserve"> and</w:t>
      </w:r>
      <w:r w:rsidRPr="00E0031A">
        <w:rPr>
          <w:lang w:eastAsia="en-AU"/>
        </w:rPr>
        <w:t xml:space="preserve"> Lord Stephens</w:t>
      </w:r>
    </w:p>
    <w:p w14:paraId="4FFE8E5A" w14:textId="77777777" w:rsidR="00E0031A" w:rsidRDefault="00E0031A" w:rsidP="00E0031A">
      <w:pPr>
        <w:rPr>
          <w:b/>
          <w:bCs/>
          <w:lang w:eastAsia="en-AU"/>
        </w:rPr>
      </w:pPr>
    </w:p>
    <w:p w14:paraId="3B79F13E" w14:textId="77777777" w:rsidR="00E0031A" w:rsidRDefault="00E0031A" w:rsidP="00E0031A">
      <w:pPr>
        <w:rPr>
          <w:b/>
          <w:bCs/>
          <w:lang w:eastAsia="en-AU"/>
        </w:rPr>
      </w:pPr>
      <w:r>
        <w:rPr>
          <w:b/>
          <w:bCs/>
          <w:lang w:eastAsia="en-AU"/>
        </w:rPr>
        <w:t>Catchwords:</w:t>
      </w:r>
    </w:p>
    <w:p w14:paraId="50289F14" w14:textId="77777777" w:rsidR="00E0031A" w:rsidRDefault="00E0031A" w:rsidP="00E0031A">
      <w:pPr>
        <w:rPr>
          <w:b/>
          <w:bCs/>
          <w:lang w:eastAsia="en-AU"/>
        </w:rPr>
      </w:pPr>
    </w:p>
    <w:p w14:paraId="416BAE03" w14:textId="2C088926" w:rsidR="00E0031A" w:rsidRDefault="00E0031A" w:rsidP="00B84E84">
      <w:pPr>
        <w:pStyle w:val="Catchwords"/>
      </w:pPr>
      <w:r>
        <w:t xml:space="preserve">Privacy – Misuse of private information </w:t>
      </w:r>
      <w:r w:rsidR="00F622FF">
        <w:t xml:space="preserve">– Proper approach to reasonable expectation of privacy </w:t>
      </w:r>
      <w:r>
        <w:t xml:space="preserve">– Where </w:t>
      </w:r>
      <w:r w:rsidR="00411AFF">
        <w:t xml:space="preserve">UK </w:t>
      </w:r>
      <w:r>
        <w:t>criminal law enforcement body (</w:t>
      </w:r>
      <w:r w:rsidR="002C6EE4">
        <w:t>"</w:t>
      </w:r>
      <w:r>
        <w:t>UKLEB</w:t>
      </w:r>
      <w:r w:rsidR="002C6EE4">
        <w:t>"</w:t>
      </w:r>
      <w:r>
        <w:t xml:space="preserve">) </w:t>
      </w:r>
      <w:r w:rsidR="00F622FF">
        <w:t>investigated</w:t>
      </w:r>
      <w:r>
        <w:t xml:space="preserve"> company</w:t>
      </w:r>
      <w:r w:rsidR="00F622FF">
        <w:t>,</w:t>
      </w:r>
      <w:r>
        <w:t xml:space="preserve"> </w:t>
      </w:r>
      <w:r w:rsidR="00F622FF">
        <w:t xml:space="preserve">specifically division of company for which ZXC responsible, </w:t>
      </w:r>
      <w:r>
        <w:t xml:space="preserve">which operated overseas in several foreign </w:t>
      </w:r>
      <w:r w:rsidR="00EE748B">
        <w:t>countries</w:t>
      </w:r>
      <w:r w:rsidR="00F622FF">
        <w:t xml:space="preserve"> </w:t>
      </w:r>
      <w:r>
        <w:t xml:space="preserve">– Where Bloomberg published article containing information almost exclusively obtained from confidential </w:t>
      </w:r>
      <w:r w:rsidR="00B84E84">
        <w:t xml:space="preserve">Letter of Request by UKLEB to foreign state – Where ZXC brought claim for misuse of private information arising out of article – Whether </w:t>
      </w:r>
      <w:r w:rsidR="00F622FF">
        <w:t xml:space="preserve">there exists </w:t>
      </w:r>
      <w:r w:rsidR="00B84E84">
        <w:t xml:space="preserve">general rule that person under criminal investigation has, prior to being charged, reasonable expectation of privacy in respect of information relating to investigation – Whether, outside breach of confidence claim, fact that information published about criminal investigation originated from confidential law enforcement document rendered information private and/or undermined Bloomberg’s ability to rely on public interest in its disclosure. </w:t>
      </w:r>
    </w:p>
    <w:p w14:paraId="5AFF8A92" w14:textId="77777777" w:rsidR="00E0031A" w:rsidRDefault="00E0031A" w:rsidP="00E0031A">
      <w:pPr>
        <w:rPr>
          <w:b/>
          <w:bCs/>
          <w:lang w:eastAsia="en-AU"/>
        </w:rPr>
      </w:pPr>
    </w:p>
    <w:p w14:paraId="1873E8F2" w14:textId="4763747B" w:rsidR="00E0031A" w:rsidRPr="00DB68FF" w:rsidRDefault="00E0031A" w:rsidP="00E0031A">
      <w:pPr>
        <w:rPr>
          <w:lang w:eastAsia="en-AU"/>
        </w:rPr>
      </w:pPr>
      <w:r>
        <w:rPr>
          <w:b/>
          <w:bCs/>
          <w:lang w:eastAsia="en-AU"/>
        </w:rPr>
        <w:t>Held (5:0):</w:t>
      </w:r>
      <w:r>
        <w:rPr>
          <w:lang w:eastAsia="en-AU"/>
        </w:rPr>
        <w:t xml:space="preserve"> Appeal dismissed.</w:t>
      </w:r>
    </w:p>
    <w:p w14:paraId="04098541" w14:textId="77777777" w:rsidR="00DB68FF" w:rsidRPr="00B546B2" w:rsidRDefault="00DB68FF" w:rsidP="00DB68FF">
      <w:pPr>
        <w:pStyle w:val="BullDivider2"/>
        <w:rPr>
          <w:rFonts w:cs="Arial"/>
          <w:highlight w:val="yellow"/>
        </w:rPr>
      </w:pPr>
    </w:p>
    <w:p w14:paraId="7C49C89B" w14:textId="62090A17" w:rsidR="00DB68FF" w:rsidRDefault="00DB68FF" w:rsidP="00DB68FF"/>
    <w:p w14:paraId="0FD51157" w14:textId="7060ED45" w:rsidR="00DB68FF" w:rsidRDefault="00DB68FF" w:rsidP="00DB68FF">
      <w:pPr>
        <w:pStyle w:val="Heading1"/>
      </w:pPr>
      <w:r>
        <w:t xml:space="preserve">Property </w:t>
      </w:r>
    </w:p>
    <w:p w14:paraId="1881C728" w14:textId="347B0ED6" w:rsidR="00DB68FF" w:rsidRDefault="00DB68FF" w:rsidP="00DB68FF">
      <w:pPr>
        <w:rPr>
          <w:lang w:eastAsia="en-AU"/>
        </w:rPr>
      </w:pPr>
    </w:p>
    <w:p w14:paraId="031780B8" w14:textId="77777777" w:rsidR="00DD0272" w:rsidRPr="00DD0272" w:rsidRDefault="00DD0272" w:rsidP="00DD0272">
      <w:pPr>
        <w:keepNext/>
        <w:outlineLvl w:val="1"/>
        <w:rPr>
          <w:rFonts w:ascii="Arial" w:hAnsi="Arial" w:cs="Arial"/>
          <w:bCs/>
          <w:i/>
          <w:iCs/>
          <w:sz w:val="28"/>
          <w:szCs w:val="28"/>
          <w:lang w:eastAsia="en-AU"/>
        </w:rPr>
      </w:pPr>
      <w:r w:rsidRPr="00DD0272">
        <w:rPr>
          <w:rFonts w:ascii="Arial" w:hAnsi="Arial" w:cs="Arial"/>
          <w:bCs/>
          <w:i/>
          <w:iCs/>
          <w:sz w:val="28"/>
          <w:szCs w:val="28"/>
          <w:lang w:eastAsia="en-AU"/>
        </w:rPr>
        <w:t xml:space="preserve">Croydon London Borough Council v </w:t>
      </w:r>
      <w:proofErr w:type="spellStart"/>
      <w:r w:rsidRPr="00DD0272">
        <w:rPr>
          <w:rFonts w:ascii="Arial" w:hAnsi="Arial" w:cs="Arial"/>
          <w:bCs/>
          <w:i/>
          <w:iCs/>
          <w:sz w:val="28"/>
          <w:szCs w:val="28"/>
          <w:lang w:eastAsia="en-AU"/>
        </w:rPr>
        <w:t>Kalonga</w:t>
      </w:r>
      <w:proofErr w:type="spellEnd"/>
      <w:r w:rsidRPr="00DD0272">
        <w:rPr>
          <w:rFonts w:ascii="Arial" w:hAnsi="Arial" w:cs="Arial"/>
          <w:bCs/>
          <w:i/>
          <w:iCs/>
          <w:sz w:val="28"/>
          <w:szCs w:val="28"/>
          <w:lang w:eastAsia="en-AU"/>
        </w:rPr>
        <w:t xml:space="preserve"> </w:t>
      </w:r>
    </w:p>
    <w:p w14:paraId="37B1B4B6" w14:textId="77777777" w:rsidR="00DD0272" w:rsidRPr="00DD0272" w:rsidRDefault="00DD0272" w:rsidP="00DD0272">
      <w:pPr>
        <w:rPr>
          <w:lang w:eastAsia="en-AU"/>
        </w:rPr>
      </w:pPr>
      <w:r w:rsidRPr="00DD0272">
        <w:rPr>
          <w:b/>
          <w:bCs/>
          <w:lang w:eastAsia="en-AU"/>
        </w:rPr>
        <w:t>Supreme Court of the United Kingdom:</w:t>
      </w:r>
      <w:r w:rsidRPr="00DD0272">
        <w:rPr>
          <w:lang w:eastAsia="en-AU"/>
        </w:rPr>
        <w:t xml:space="preserve"> </w:t>
      </w:r>
      <w:hyperlink r:id="rId39" w:history="1">
        <w:r w:rsidRPr="00DD0272">
          <w:rPr>
            <w:color w:val="0000FF"/>
            <w:u w:val="single"/>
            <w:lang w:eastAsia="en-AU"/>
          </w:rPr>
          <w:t xml:space="preserve">[2022] UKSC </w:t>
        </w:r>
      </w:hyperlink>
      <w:r w:rsidRPr="00DD0272">
        <w:rPr>
          <w:color w:val="0000FF"/>
          <w:u w:val="single"/>
          <w:lang w:eastAsia="en-AU"/>
        </w:rPr>
        <w:t>7</w:t>
      </w:r>
    </w:p>
    <w:p w14:paraId="376E87DB" w14:textId="77777777" w:rsidR="00DD0272" w:rsidRPr="00DD0272" w:rsidRDefault="00DD0272" w:rsidP="00DD0272">
      <w:pPr>
        <w:rPr>
          <w:lang w:eastAsia="en-AU"/>
        </w:rPr>
      </w:pPr>
    </w:p>
    <w:p w14:paraId="265EAFF5" w14:textId="77777777" w:rsidR="00DD0272" w:rsidRPr="00DD0272" w:rsidRDefault="00DD0272" w:rsidP="00DD0272">
      <w:pPr>
        <w:rPr>
          <w:lang w:eastAsia="en-AU"/>
        </w:rPr>
      </w:pPr>
      <w:r w:rsidRPr="00DD0272">
        <w:rPr>
          <w:b/>
          <w:bCs/>
          <w:lang w:eastAsia="en-AU"/>
        </w:rPr>
        <w:t xml:space="preserve">Judgment delivered: </w:t>
      </w:r>
      <w:r w:rsidRPr="00DD0272">
        <w:rPr>
          <w:lang w:eastAsia="en-AU"/>
        </w:rPr>
        <w:t>9 March 2022</w:t>
      </w:r>
    </w:p>
    <w:p w14:paraId="199103DA" w14:textId="77777777" w:rsidR="00DD0272" w:rsidRPr="00DD0272" w:rsidRDefault="00DD0272" w:rsidP="00DD0272">
      <w:pPr>
        <w:rPr>
          <w:b/>
          <w:bCs/>
          <w:lang w:eastAsia="en-AU"/>
        </w:rPr>
      </w:pPr>
    </w:p>
    <w:p w14:paraId="6B4D7E5C" w14:textId="77777777" w:rsidR="00DD0272" w:rsidRPr="00DD0272" w:rsidRDefault="00DD0272" w:rsidP="00DD0272">
      <w:pPr>
        <w:rPr>
          <w:lang w:eastAsia="en-AU"/>
        </w:rPr>
      </w:pPr>
      <w:r w:rsidRPr="00DD0272">
        <w:rPr>
          <w:b/>
          <w:bCs/>
          <w:lang w:eastAsia="en-AU"/>
        </w:rPr>
        <w:t>Coram:</w:t>
      </w:r>
      <w:r w:rsidRPr="00DD0272">
        <w:t xml:space="preserve"> </w:t>
      </w:r>
      <w:r w:rsidRPr="00DD0272">
        <w:rPr>
          <w:lang w:eastAsia="en-AU"/>
        </w:rPr>
        <w:t>Lord Briggs, Lady Arden, Lord Kitchin, Lord Leggatt and Lord Stephens</w:t>
      </w:r>
    </w:p>
    <w:p w14:paraId="16F58A28" w14:textId="77777777" w:rsidR="00DD0272" w:rsidRPr="00DD0272" w:rsidRDefault="00DD0272" w:rsidP="00DD0272">
      <w:pPr>
        <w:rPr>
          <w:b/>
          <w:bCs/>
          <w:lang w:eastAsia="en-AU"/>
        </w:rPr>
      </w:pPr>
    </w:p>
    <w:p w14:paraId="64C1E863" w14:textId="77777777" w:rsidR="00DD0272" w:rsidRPr="00DD0272" w:rsidRDefault="00DD0272" w:rsidP="00DD0272">
      <w:pPr>
        <w:rPr>
          <w:b/>
          <w:bCs/>
          <w:lang w:eastAsia="en-AU"/>
        </w:rPr>
      </w:pPr>
      <w:r w:rsidRPr="00DD0272">
        <w:rPr>
          <w:b/>
          <w:bCs/>
          <w:lang w:eastAsia="en-AU"/>
        </w:rPr>
        <w:t>Catchwords:</w:t>
      </w:r>
    </w:p>
    <w:p w14:paraId="7DFCFF38" w14:textId="77777777" w:rsidR="00DD0272" w:rsidRPr="00DD0272" w:rsidRDefault="00DD0272" w:rsidP="00DD0272">
      <w:pPr>
        <w:rPr>
          <w:b/>
          <w:bCs/>
          <w:lang w:eastAsia="en-AU"/>
        </w:rPr>
      </w:pPr>
    </w:p>
    <w:p w14:paraId="125326DF" w14:textId="5F545F28" w:rsidR="00DD0272" w:rsidRPr="00DD0272" w:rsidRDefault="00DD0272" w:rsidP="00DD0272">
      <w:pPr>
        <w:ind w:left="720"/>
        <w:rPr>
          <w:b/>
          <w:bCs/>
          <w:lang w:eastAsia="en-AU"/>
        </w:rPr>
      </w:pPr>
      <w:r w:rsidRPr="002C32C0">
        <w:rPr>
          <w:lang w:eastAsia="en-AU"/>
        </w:rPr>
        <w:t>Property – Secure tenancies – Fixed term – Termination of secure tenancy by landlord – Where statutory regime for secure tenancies first introduced by</w:t>
      </w:r>
      <w:r w:rsidRPr="002C32C0">
        <w:rPr>
          <w:i/>
          <w:iCs/>
          <w:lang w:eastAsia="en-AU"/>
        </w:rPr>
        <w:t xml:space="preserve"> Housing Act 1980</w:t>
      </w:r>
      <w:r w:rsidRPr="002C32C0">
        <w:rPr>
          <w:lang w:eastAsia="en-AU"/>
        </w:rPr>
        <w:t xml:space="preserve"> (</w:t>
      </w:r>
      <w:r w:rsidR="002C6EE4">
        <w:rPr>
          <w:lang w:eastAsia="en-AU"/>
        </w:rPr>
        <w:t>"</w:t>
      </w:r>
      <w:r w:rsidRPr="002C32C0">
        <w:rPr>
          <w:lang w:eastAsia="en-AU"/>
        </w:rPr>
        <w:t>1980 Act</w:t>
      </w:r>
      <w:r w:rsidR="002C6EE4">
        <w:rPr>
          <w:lang w:eastAsia="en-AU"/>
        </w:rPr>
        <w:t>"</w:t>
      </w:r>
      <w:r w:rsidRPr="002C32C0">
        <w:rPr>
          <w:lang w:eastAsia="en-AU"/>
        </w:rPr>
        <w:t xml:space="preserve">), with provisions consolidated in </w:t>
      </w:r>
      <w:r w:rsidRPr="002C32C0">
        <w:rPr>
          <w:i/>
          <w:iCs/>
          <w:lang w:eastAsia="en-AU"/>
        </w:rPr>
        <w:t>Housing Act 1985</w:t>
      </w:r>
      <w:r w:rsidRPr="002C32C0">
        <w:rPr>
          <w:lang w:eastAsia="en-AU"/>
        </w:rPr>
        <w:t xml:space="preserve"> (</w:t>
      </w:r>
      <w:r w:rsidR="002C6EE4">
        <w:rPr>
          <w:lang w:eastAsia="en-AU"/>
        </w:rPr>
        <w:t>"</w:t>
      </w:r>
      <w:r w:rsidRPr="002C32C0">
        <w:rPr>
          <w:lang w:eastAsia="en-AU"/>
        </w:rPr>
        <w:t>1985 Act</w:t>
      </w:r>
      <w:r w:rsidR="002C6EE4">
        <w:rPr>
          <w:lang w:eastAsia="en-AU"/>
        </w:rPr>
        <w:t>"</w:t>
      </w:r>
      <w:r w:rsidRPr="002C32C0">
        <w:rPr>
          <w:lang w:eastAsia="en-AU"/>
        </w:rPr>
        <w:t xml:space="preserve">) – Where statutory regime provided tenancy not be brought to end by landlord otherwise than as provided for in 1985 Act – </w:t>
      </w:r>
      <w:r w:rsidR="00AB0568" w:rsidRPr="002C32C0">
        <w:rPr>
          <w:lang w:eastAsia="en-AU"/>
        </w:rPr>
        <w:t>Where s 82(3) of 1985 Act provided for termination of fixed term secure tenancy, containing forfeiture provision, by court order</w:t>
      </w:r>
      <w:r w:rsidR="002C32C0" w:rsidRPr="002C32C0">
        <w:rPr>
          <w:lang w:eastAsia="en-AU"/>
        </w:rPr>
        <w:t xml:space="preserve"> </w:t>
      </w:r>
      <w:r w:rsidRPr="002C32C0">
        <w:rPr>
          <w:lang w:eastAsia="en-AU"/>
        </w:rPr>
        <w:t xml:space="preserve">– Where </w:t>
      </w:r>
      <w:r w:rsidR="00F622FF">
        <w:rPr>
          <w:lang w:eastAsia="en-AU"/>
        </w:rPr>
        <w:t>appellant</w:t>
      </w:r>
      <w:r w:rsidRPr="002C32C0">
        <w:rPr>
          <w:lang w:eastAsia="en-AU"/>
        </w:rPr>
        <w:t xml:space="preserve"> granted respondent </w:t>
      </w:r>
      <w:r w:rsidR="002C6EE4">
        <w:rPr>
          <w:lang w:eastAsia="en-AU"/>
        </w:rPr>
        <w:t>"</w:t>
      </w:r>
      <w:r w:rsidRPr="002C32C0">
        <w:rPr>
          <w:lang w:eastAsia="en-AU"/>
        </w:rPr>
        <w:t>flexible</w:t>
      </w:r>
      <w:r w:rsidR="002C6EE4">
        <w:rPr>
          <w:lang w:eastAsia="en-AU"/>
        </w:rPr>
        <w:t>"</w:t>
      </w:r>
      <w:r w:rsidRPr="002C32C0">
        <w:rPr>
          <w:lang w:eastAsia="en-AU"/>
        </w:rPr>
        <w:t xml:space="preserve"> secure tenancy for fixed term of five years – Where </w:t>
      </w:r>
      <w:r w:rsidR="00584359">
        <w:rPr>
          <w:lang w:eastAsia="en-AU"/>
        </w:rPr>
        <w:t>appellant</w:t>
      </w:r>
      <w:r w:rsidRPr="002C32C0">
        <w:rPr>
          <w:lang w:eastAsia="en-AU"/>
        </w:rPr>
        <w:t xml:space="preserve"> served </w:t>
      </w:r>
      <w:r w:rsidR="00746CDB" w:rsidRPr="002C32C0">
        <w:rPr>
          <w:lang w:eastAsia="en-AU"/>
        </w:rPr>
        <w:t xml:space="preserve">standard form </w:t>
      </w:r>
      <w:r w:rsidRPr="002C32C0">
        <w:rPr>
          <w:lang w:eastAsia="en-AU"/>
        </w:rPr>
        <w:t>notice of intention to seek possession of property</w:t>
      </w:r>
      <w:r w:rsidR="00746CDB" w:rsidRPr="002C32C0">
        <w:rPr>
          <w:lang w:eastAsia="en-AU"/>
        </w:rPr>
        <w:t xml:space="preserve"> relying on grounds 1 and 2 of Sch 2 of 1985 Act, being rent arrears and anti</w:t>
      </w:r>
      <w:r w:rsidR="001E0061">
        <w:rPr>
          <w:lang w:eastAsia="en-AU"/>
        </w:rPr>
        <w:noBreakHyphen/>
      </w:r>
      <w:r w:rsidR="00746CDB" w:rsidRPr="002C32C0">
        <w:rPr>
          <w:lang w:eastAsia="en-AU"/>
        </w:rPr>
        <w:t>social behaviour, and issued claim in County Court seeking possession of property</w:t>
      </w:r>
      <w:r w:rsidRPr="002C32C0">
        <w:rPr>
          <w:lang w:eastAsia="en-AU"/>
        </w:rPr>
        <w:t xml:space="preserve"> </w:t>
      </w:r>
      <w:r w:rsidR="00746CDB" w:rsidRPr="002C32C0">
        <w:rPr>
          <w:lang w:eastAsia="en-AU"/>
        </w:rPr>
        <w:t xml:space="preserve">– Where no claim of forfeiture made </w:t>
      </w:r>
      <w:r w:rsidR="00AB0568" w:rsidRPr="002C32C0">
        <w:rPr>
          <w:lang w:eastAsia="en-AU"/>
        </w:rPr>
        <w:t xml:space="preserve">– </w:t>
      </w:r>
      <w:r w:rsidRPr="002C32C0">
        <w:rPr>
          <w:lang w:eastAsia="en-AU"/>
        </w:rPr>
        <w:t>Whether existence of provision for forfeiture in tenancy agreement and its exercise by obtaining termination order in lieu of forfeiture under section 82(3) of 1985 Act only way to bring to end secure fixed</w:t>
      </w:r>
      <w:r w:rsidR="001E0061">
        <w:rPr>
          <w:lang w:eastAsia="en-AU"/>
        </w:rPr>
        <w:noBreakHyphen/>
      </w:r>
      <w:r w:rsidRPr="002C32C0">
        <w:rPr>
          <w:lang w:eastAsia="en-AU"/>
        </w:rPr>
        <w:t>term tenancy</w:t>
      </w:r>
      <w:r w:rsidR="002C32C0">
        <w:rPr>
          <w:lang w:eastAsia="en-AU"/>
        </w:rPr>
        <w:t xml:space="preserve"> </w:t>
      </w:r>
      <w:r w:rsidRPr="002C32C0">
        <w:rPr>
          <w:lang w:eastAsia="en-AU"/>
        </w:rPr>
        <w:t xml:space="preserve">– Whether secure tenancy regime in 1980 Act and 1985 Act adds statutory security to contractual and proprietary security already conferred by tenancy, or whether replaces, and thereby to some extent reduces or removes, contractual and proprietary security – Whether </w:t>
      </w:r>
      <w:r w:rsidR="002C32C0">
        <w:rPr>
          <w:lang w:eastAsia="en-AU"/>
        </w:rPr>
        <w:t>respondent's</w:t>
      </w:r>
      <w:r w:rsidRPr="002C32C0">
        <w:rPr>
          <w:lang w:eastAsia="en-AU"/>
        </w:rPr>
        <w:t xml:space="preserve"> tenancy agreement contained provision for forfeiture</w:t>
      </w:r>
      <w:r w:rsidR="002C32C0" w:rsidRPr="002C32C0">
        <w:rPr>
          <w:lang w:eastAsia="en-AU"/>
        </w:rPr>
        <w:t>.</w:t>
      </w:r>
    </w:p>
    <w:p w14:paraId="1B06E6A5" w14:textId="77777777" w:rsidR="00DD0272" w:rsidRPr="00DD0272" w:rsidRDefault="00DD0272" w:rsidP="00DD0272">
      <w:pPr>
        <w:rPr>
          <w:b/>
          <w:bCs/>
          <w:lang w:eastAsia="en-AU"/>
        </w:rPr>
      </w:pPr>
    </w:p>
    <w:p w14:paraId="72CB132B" w14:textId="77777777" w:rsidR="00DD0272" w:rsidRPr="00DD0272" w:rsidRDefault="00DD0272" w:rsidP="00DD0272">
      <w:pPr>
        <w:rPr>
          <w:lang w:eastAsia="en-AU"/>
        </w:rPr>
      </w:pPr>
      <w:r w:rsidRPr="00DD0272">
        <w:rPr>
          <w:b/>
          <w:bCs/>
          <w:lang w:eastAsia="en-AU"/>
        </w:rPr>
        <w:t>Held (5:0):</w:t>
      </w:r>
      <w:r w:rsidRPr="00DD0272">
        <w:rPr>
          <w:lang w:eastAsia="en-AU"/>
        </w:rPr>
        <w:t xml:space="preserve"> Appeal allowed in part.</w:t>
      </w:r>
    </w:p>
    <w:p w14:paraId="73AB408B" w14:textId="77777777" w:rsidR="00DD0272" w:rsidRPr="00DD0272" w:rsidRDefault="00DD0272" w:rsidP="00DD0272">
      <w:pPr>
        <w:pStyle w:val="BullDivider1"/>
        <w:rPr>
          <w:highlight w:val="yellow"/>
        </w:rPr>
      </w:pPr>
    </w:p>
    <w:p w14:paraId="6FF503C0" w14:textId="77777777" w:rsidR="00DD0272" w:rsidRDefault="00DD0272" w:rsidP="00DB68FF">
      <w:pPr>
        <w:rPr>
          <w:lang w:eastAsia="en-AU"/>
        </w:rPr>
      </w:pPr>
    </w:p>
    <w:p w14:paraId="3D2BB420" w14:textId="02107517" w:rsidR="00DB68FF" w:rsidRDefault="00DB68FF" w:rsidP="006B0D58">
      <w:pPr>
        <w:pStyle w:val="Heading2"/>
      </w:pPr>
      <w:proofErr w:type="spellStart"/>
      <w:r w:rsidRPr="00DB68FF">
        <w:t>FirstPort</w:t>
      </w:r>
      <w:proofErr w:type="spellEnd"/>
      <w:r w:rsidRPr="00DB68FF">
        <w:t xml:space="preserve"> Property Services Ltd v Settlers Court RTM Company</w:t>
      </w:r>
      <w:r>
        <w:t xml:space="preserve"> &amp; Ors</w:t>
      </w:r>
    </w:p>
    <w:p w14:paraId="2708E298" w14:textId="1880AC27" w:rsidR="00DB68FF" w:rsidRDefault="00DB68FF" w:rsidP="00DB68FF">
      <w:pPr>
        <w:rPr>
          <w:lang w:eastAsia="en-AU"/>
        </w:rPr>
      </w:pPr>
      <w:r>
        <w:rPr>
          <w:b/>
          <w:bCs/>
          <w:lang w:eastAsia="en-AU"/>
        </w:rPr>
        <w:t>Supreme Court of the United Kingdom</w:t>
      </w:r>
      <w:r w:rsidRPr="006B0D58">
        <w:rPr>
          <w:b/>
          <w:bCs/>
          <w:lang w:eastAsia="en-AU"/>
        </w:rPr>
        <w:t>:</w:t>
      </w:r>
      <w:r>
        <w:rPr>
          <w:lang w:eastAsia="en-AU"/>
        </w:rPr>
        <w:t xml:space="preserve"> </w:t>
      </w:r>
      <w:hyperlink r:id="rId40" w:history="1">
        <w:r w:rsidRPr="00DB68FF">
          <w:rPr>
            <w:rStyle w:val="Hyperlink"/>
            <w:lang w:eastAsia="en-AU"/>
          </w:rPr>
          <w:t>[2022] UKSC 1</w:t>
        </w:r>
      </w:hyperlink>
    </w:p>
    <w:p w14:paraId="1B5917C2" w14:textId="43F131D0" w:rsidR="00DB68FF" w:rsidRDefault="00DB68FF" w:rsidP="00DB68FF">
      <w:pPr>
        <w:rPr>
          <w:lang w:eastAsia="en-AU"/>
        </w:rPr>
      </w:pPr>
    </w:p>
    <w:p w14:paraId="1710C538" w14:textId="6C05120E" w:rsidR="00DB68FF" w:rsidRPr="00DB68FF" w:rsidRDefault="00DB68FF" w:rsidP="00DB68FF">
      <w:pPr>
        <w:rPr>
          <w:lang w:eastAsia="en-AU"/>
        </w:rPr>
      </w:pPr>
      <w:r>
        <w:rPr>
          <w:b/>
          <w:bCs/>
          <w:lang w:eastAsia="en-AU"/>
        </w:rPr>
        <w:t xml:space="preserve">Judgment delivered: </w:t>
      </w:r>
      <w:r>
        <w:rPr>
          <w:lang w:eastAsia="en-AU"/>
        </w:rPr>
        <w:t>12 January 2022</w:t>
      </w:r>
    </w:p>
    <w:p w14:paraId="71E5E36D" w14:textId="1B52C562" w:rsidR="00DB68FF" w:rsidRDefault="00DB68FF" w:rsidP="00DB68FF">
      <w:pPr>
        <w:rPr>
          <w:b/>
          <w:bCs/>
          <w:lang w:eastAsia="en-AU"/>
        </w:rPr>
      </w:pPr>
    </w:p>
    <w:p w14:paraId="516B12F2" w14:textId="4C557EB1" w:rsidR="00DB68FF" w:rsidRPr="00DB68FF" w:rsidRDefault="00DB68FF" w:rsidP="00DB68FF">
      <w:pPr>
        <w:rPr>
          <w:lang w:eastAsia="en-AU"/>
        </w:rPr>
      </w:pPr>
      <w:r>
        <w:rPr>
          <w:b/>
          <w:bCs/>
          <w:lang w:eastAsia="en-AU"/>
        </w:rPr>
        <w:t>Coram:</w:t>
      </w:r>
      <w:r w:rsidRPr="00DB68FF">
        <w:t xml:space="preserve"> </w:t>
      </w:r>
      <w:r w:rsidRPr="00DB68FF">
        <w:rPr>
          <w:lang w:eastAsia="en-AU"/>
        </w:rPr>
        <w:t>Lord Briggs, Lord Sales, Lord Leggatt, Lord Burrows</w:t>
      </w:r>
      <w:r>
        <w:rPr>
          <w:lang w:eastAsia="en-AU"/>
        </w:rPr>
        <w:t xml:space="preserve"> and</w:t>
      </w:r>
      <w:r w:rsidRPr="00DB68FF">
        <w:rPr>
          <w:lang w:eastAsia="en-AU"/>
        </w:rPr>
        <w:t xml:space="preserve"> Lady Rose</w:t>
      </w:r>
    </w:p>
    <w:p w14:paraId="274A34F5" w14:textId="64DE6974" w:rsidR="00DB68FF" w:rsidRDefault="00DB68FF" w:rsidP="00DB68FF">
      <w:pPr>
        <w:rPr>
          <w:b/>
          <w:bCs/>
          <w:lang w:eastAsia="en-AU"/>
        </w:rPr>
      </w:pPr>
    </w:p>
    <w:p w14:paraId="438067CC" w14:textId="1B807464" w:rsidR="00DB68FF" w:rsidRDefault="00DB68FF" w:rsidP="00DB68FF">
      <w:pPr>
        <w:rPr>
          <w:b/>
          <w:bCs/>
          <w:lang w:eastAsia="en-AU"/>
        </w:rPr>
      </w:pPr>
      <w:r>
        <w:rPr>
          <w:b/>
          <w:bCs/>
          <w:lang w:eastAsia="en-AU"/>
        </w:rPr>
        <w:t>Catchwords:</w:t>
      </w:r>
    </w:p>
    <w:p w14:paraId="29FDE018" w14:textId="0B8AC24D" w:rsidR="00DB68FF" w:rsidRDefault="00DB68FF" w:rsidP="00DB68FF">
      <w:pPr>
        <w:rPr>
          <w:b/>
          <w:bCs/>
          <w:lang w:eastAsia="en-AU"/>
        </w:rPr>
      </w:pPr>
    </w:p>
    <w:p w14:paraId="654CC5AF" w14:textId="42D3681C" w:rsidR="00DB68FF" w:rsidRDefault="00DB68FF" w:rsidP="00884995">
      <w:pPr>
        <w:pStyle w:val="Catchwords"/>
      </w:pPr>
      <w:r>
        <w:t>Property</w:t>
      </w:r>
      <w:r w:rsidR="00ED7BC3">
        <w:t xml:space="preserve"> </w:t>
      </w:r>
      <w:r w:rsidR="00AF08C5">
        <w:t>–</w:t>
      </w:r>
      <w:r>
        <w:t xml:space="preserve"> </w:t>
      </w:r>
      <w:r w:rsidR="00AF08C5">
        <w:t>Leaseholds – Right to manage (</w:t>
      </w:r>
      <w:r w:rsidR="002C6EE4">
        <w:t>"</w:t>
      </w:r>
      <w:r w:rsidR="00AF08C5">
        <w:t>RTM</w:t>
      </w:r>
      <w:r w:rsidR="002C6EE4">
        <w:t>"</w:t>
      </w:r>
      <w:r w:rsidR="00AF08C5">
        <w:t xml:space="preserve">) – Where </w:t>
      </w:r>
      <w:r w:rsidR="00AF08C5" w:rsidRPr="00AF08C5">
        <w:rPr>
          <w:i/>
          <w:iCs/>
        </w:rPr>
        <w:t>Commonhold and Leasehold Reform Act 2002</w:t>
      </w:r>
      <w:r w:rsidR="00AF08C5">
        <w:t xml:space="preserve"> (</w:t>
      </w:r>
      <w:r w:rsidR="002C6EE4">
        <w:t>"</w:t>
      </w:r>
      <w:r w:rsidR="00AF08C5">
        <w:t>2002 Act</w:t>
      </w:r>
      <w:r w:rsidR="002C6EE4">
        <w:t>"</w:t>
      </w:r>
      <w:r w:rsidR="00AF08C5">
        <w:t xml:space="preserve">) enabled long leasehold tenants of residential flats to take over management of building of which flats form part through medium of </w:t>
      </w:r>
      <w:r w:rsidR="00584359">
        <w:t xml:space="preserve">RTM </w:t>
      </w:r>
      <w:r w:rsidR="00AF08C5">
        <w:t xml:space="preserve">company – Where building formed part of larger estate containing communal estate facilities – Where </w:t>
      </w:r>
      <w:r w:rsidR="00AF08C5">
        <w:lastRenderedPageBreak/>
        <w:t xml:space="preserve">appellant </w:t>
      </w:r>
      <w:r w:rsidR="008D5A31">
        <w:t>responsible for management of</w:t>
      </w:r>
      <w:r w:rsidR="00AF08C5">
        <w:t xml:space="preserve"> estate facilities </w:t>
      </w:r>
      <w:r w:rsidR="008D5A31">
        <w:t>and entitled to payment of service charges from lessees – Where appellant contended estate facilities not form part of premises over which RTM extended –</w:t>
      </w:r>
      <w:r w:rsidR="00EB1F1A">
        <w:t xml:space="preserve"> Where Upper Tribunal considered itself bound to decide question in favour of respondents by decision in </w:t>
      </w:r>
      <w:r w:rsidR="00EB1F1A" w:rsidRPr="00EB1F1A">
        <w:rPr>
          <w:i/>
          <w:iCs/>
        </w:rPr>
        <w:t>Gala Unity Ltd v Ariadne Road RTM Co Ltd</w:t>
      </w:r>
      <w:r w:rsidR="00EB1F1A" w:rsidRPr="00EB1F1A">
        <w:t xml:space="preserve"> [2013] 1 WLR 988</w:t>
      </w:r>
      <w:r w:rsidR="00411AFF">
        <w:t xml:space="preserve"> </w:t>
      </w:r>
      <w:r w:rsidR="00EB1F1A">
        <w:t xml:space="preserve">– </w:t>
      </w:r>
      <w:r w:rsidR="00AF08C5">
        <w:t>Whether 2002 Act confers upon RTM company any, and if so what, rights of management of estate facilities</w:t>
      </w:r>
      <w:r w:rsidR="00884995">
        <w:t xml:space="preserve"> – Whether </w:t>
      </w:r>
      <w:r w:rsidR="00884995" w:rsidRPr="00884995">
        <w:rPr>
          <w:i/>
          <w:iCs/>
        </w:rPr>
        <w:t xml:space="preserve">Gala Unity </w:t>
      </w:r>
      <w:r w:rsidR="00884995">
        <w:t xml:space="preserve">correctly decided. </w:t>
      </w:r>
    </w:p>
    <w:p w14:paraId="301E2C51" w14:textId="1096DB39" w:rsidR="00DB68FF" w:rsidRDefault="00DB68FF" w:rsidP="00DB68FF">
      <w:pPr>
        <w:rPr>
          <w:b/>
          <w:bCs/>
          <w:lang w:eastAsia="en-AU"/>
        </w:rPr>
      </w:pPr>
    </w:p>
    <w:p w14:paraId="0664CB3D" w14:textId="75EB3385" w:rsidR="00DB68FF" w:rsidRDefault="00DB68FF" w:rsidP="00DB68FF">
      <w:pPr>
        <w:rPr>
          <w:lang w:eastAsia="en-AU"/>
        </w:rPr>
      </w:pPr>
      <w:r>
        <w:rPr>
          <w:b/>
          <w:bCs/>
          <w:lang w:eastAsia="en-AU"/>
        </w:rPr>
        <w:t>Held (5:0):</w:t>
      </w:r>
      <w:r>
        <w:rPr>
          <w:lang w:eastAsia="en-AU"/>
        </w:rPr>
        <w:t xml:space="preserve"> Appeal allowed.</w:t>
      </w:r>
    </w:p>
    <w:p w14:paraId="3AC9FEFA" w14:textId="77777777" w:rsidR="00794D30" w:rsidRPr="00181993" w:rsidRDefault="00794D30" w:rsidP="00794D30">
      <w:pPr>
        <w:pStyle w:val="BullDivider1"/>
        <w:pBdr>
          <w:bottom w:val="dotted" w:sz="4" w:space="0" w:color="auto"/>
        </w:pBdr>
      </w:pPr>
    </w:p>
    <w:p w14:paraId="72478413" w14:textId="77777777" w:rsidR="00794D30" w:rsidRDefault="00794D30" w:rsidP="00794D30"/>
    <w:p w14:paraId="5B24602A" w14:textId="730FDD68" w:rsidR="00794D30" w:rsidRDefault="00794D30" w:rsidP="00794D30">
      <w:pPr>
        <w:pStyle w:val="Heading2"/>
        <w:rPr>
          <w:i w:val="0"/>
          <w:iCs w:val="0"/>
        </w:rPr>
      </w:pPr>
      <w:r w:rsidRPr="00A2177E">
        <w:t>Winland</w:t>
      </w:r>
      <w:r>
        <w:t xml:space="preserve"> Finance Ltd v Gain Hero Finance Ltd </w:t>
      </w:r>
    </w:p>
    <w:p w14:paraId="42ADDF6F" w14:textId="32B5687F" w:rsidR="00794D30" w:rsidRDefault="00794D30" w:rsidP="00794D30">
      <w:pPr>
        <w:rPr>
          <w:lang w:eastAsia="en-AU"/>
        </w:rPr>
      </w:pPr>
      <w:r>
        <w:rPr>
          <w:b/>
          <w:bCs/>
          <w:lang w:eastAsia="en-AU"/>
        </w:rPr>
        <w:t xml:space="preserve">Hong Kong Court of Final Appeal: </w:t>
      </w:r>
      <w:hyperlink r:id="rId41" w:history="1">
        <w:r w:rsidRPr="00794D30">
          <w:rPr>
            <w:rStyle w:val="Hyperlink"/>
            <w:lang w:eastAsia="en-AU"/>
          </w:rPr>
          <w:t>[2022] HKCFA 3</w:t>
        </w:r>
      </w:hyperlink>
    </w:p>
    <w:p w14:paraId="7476A27B" w14:textId="06443A6E" w:rsidR="00794D30" w:rsidRDefault="00794D30" w:rsidP="00794D30">
      <w:pPr>
        <w:rPr>
          <w:lang w:eastAsia="en-AU"/>
        </w:rPr>
      </w:pPr>
    </w:p>
    <w:p w14:paraId="02823740" w14:textId="49C004B6" w:rsidR="00794D30" w:rsidRDefault="00794D30" w:rsidP="00794D30">
      <w:pPr>
        <w:rPr>
          <w:lang w:eastAsia="en-AU"/>
        </w:rPr>
      </w:pPr>
      <w:r>
        <w:rPr>
          <w:b/>
          <w:bCs/>
          <w:lang w:eastAsia="en-AU"/>
        </w:rPr>
        <w:t xml:space="preserve">Judgment delivered: </w:t>
      </w:r>
      <w:r>
        <w:rPr>
          <w:lang w:eastAsia="en-AU"/>
        </w:rPr>
        <w:t>11 February 2022</w:t>
      </w:r>
    </w:p>
    <w:p w14:paraId="66818378" w14:textId="119D8C21" w:rsidR="00794D30" w:rsidRDefault="00794D30" w:rsidP="00794D30">
      <w:pPr>
        <w:rPr>
          <w:lang w:eastAsia="en-AU"/>
        </w:rPr>
      </w:pPr>
    </w:p>
    <w:p w14:paraId="3DF7552C" w14:textId="5DFB331F" w:rsidR="00794D30" w:rsidRPr="00794D30" w:rsidRDefault="00794D30" w:rsidP="00794D30">
      <w:pPr>
        <w:rPr>
          <w:rFonts w:ascii="Arial" w:hAnsi="Arial" w:cs="Arial"/>
          <w:sz w:val="24"/>
          <w:szCs w:val="24"/>
          <w:lang w:eastAsia="en-AU"/>
        </w:rPr>
      </w:pPr>
      <w:r>
        <w:rPr>
          <w:b/>
          <w:bCs/>
          <w:lang w:eastAsia="en-AU"/>
        </w:rPr>
        <w:t>Coram:</w:t>
      </w:r>
      <w:r>
        <w:rPr>
          <w:lang w:eastAsia="en-AU"/>
        </w:rPr>
        <w:t xml:space="preserve"> </w:t>
      </w:r>
      <w:r w:rsidRPr="00794D30">
        <w:rPr>
          <w:rFonts w:ascii="Arial" w:hAnsi="Arial" w:cs="Arial"/>
          <w:sz w:val="24"/>
          <w:szCs w:val="24"/>
          <w:lang w:eastAsia="en-AU"/>
        </w:rPr>
        <w:t>Cheung</w:t>
      </w:r>
      <w:r>
        <w:rPr>
          <w:rFonts w:ascii="Arial" w:hAnsi="Arial" w:cs="Arial"/>
          <w:sz w:val="24"/>
          <w:szCs w:val="24"/>
          <w:lang w:eastAsia="en-AU"/>
        </w:rPr>
        <w:t xml:space="preserve"> CJ</w:t>
      </w:r>
      <w:r w:rsidRPr="00794D30">
        <w:rPr>
          <w:rFonts w:ascii="Arial" w:hAnsi="Arial" w:cs="Arial"/>
          <w:sz w:val="24"/>
          <w:szCs w:val="24"/>
          <w:lang w:eastAsia="en-AU"/>
        </w:rPr>
        <w:t xml:space="preserve">, Ribeiro PJ, </w:t>
      </w:r>
      <w:proofErr w:type="spellStart"/>
      <w:r w:rsidRPr="00794D30">
        <w:rPr>
          <w:rFonts w:ascii="Arial" w:hAnsi="Arial" w:cs="Arial"/>
          <w:sz w:val="24"/>
          <w:szCs w:val="24"/>
          <w:lang w:eastAsia="en-AU"/>
        </w:rPr>
        <w:t>Bokhary</w:t>
      </w:r>
      <w:proofErr w:type="spellEnd"/>
      <w:r w:rsidRPr="00794D30">
        <w:rPr>
          <w:rFonts w:ascii="Arial" w:hAnsi="Arial" w:cs="Arial"/>
          <w:sz w:val="24"/>
          <w:szCs w:val="24"/>
          <w:lang w:eastAsia="en-AU"/>
        </w:rPr>
        <w:t xml:space="preserve">, </w:t>
      </w:r>
      <w:r>
        <w:rPr>
          <w:rFonts w:ascii="Arial" w:hAnsi="Arial" w:cs="Arial"/>
          <w:sz w:val="24"/>
          <w:szCs w:val="24"/>
          <w:lang w:eastAsia="en-AU"/>
        </w:rPr>
        <w:t xml:space="preserve">Chan </w:t>
      </w:r>
      <w:r w:rsidRPr="00794D30">
        <w:rPr>
          <w:rFonts w:ascii="Arial" w:hAnsi="Arial" w:cs="Arial"/>
          <w:sz w:val="24"/>
          <w:szCs w:val="24"/>
          <w:lang w:eastAsia="en-AU"/>
        </w:rPr>
        <w:t xml:space="preserve">and </w:t>
      </w:r>
      <w:proofErr w:type="spellStart"/>
      <w:r w:rsidRPr="00794D30">
        <w:rPr>
          <w:rFonts w:ascii="Arial" w:hAnsi="Arial" w:cs="Arial"/>
          <w:sz w:val="24"/>
          <w:szCs w:val="24"/>
          <w:lang w:eastAsia="en-AU"/>
        </w:rPr>
        <w:t>McLachlin</w:t>
      </w:r>
      <w:proofErr w:type="spellEnd"/>
      <w:r w:rsidRPr="00794D30">
        <w:rPr>
          <w:rFonts w:ascii="Arial" w:hAnsi="Arial" w:cs="Arial"/>
          <w:sz w:val="24"/>
          <w:szCs w:val="24"/>
          <w:lang w:eastAsia="en-AU"/>
        </w:rPr>
        <w:t xml:space="preserve"> NPJ</w:t>
      </w:r>
      <w:r>
        <w:rPr>
          <w:rFonts w:ascii="Arial" w:hAnsi="Arial" w:cs="Arial"/>
          <w:sz w:val="24"/>
          <w:szCs w:val="24"/>
          <w:lang w:eastAsia="en-AU"/>
        </w:rPr>
        <w:t>J</w:t>
      </w:r>
    </w:p>
    <w:p w14:paraId="6415994A" w14:textId="08E50E59" w:rsidR="00794D30" w:rsidRDefault="00794D30" w:rsidP="00794D30">
      <w:pPr>
        <w:rPr>
          <w:lang w:eastAsia="en-AU"/>
        </w:rPr>
      </w:pPr>
    </w:p>
    <w:p w14:paraId="566416E4" w14:textId="30E5AE69" w:rsidR="00794D30" w:rsidRDefault="00794D30" w:rsidP="00794D30">
      <w:pPr>
        <w:rPr>
          <w:lang w:eastAsia="en-AU"/>
        </w:rPr>
      </w:pPr>
      <w:r>
        <w:rPr>
          <w:b/>
          <w:bCs/>
          <w:lang w:eastAsia="en-AU"/>
        </w:rPr>
        <w:t>Catchwords:</w:t>
      </w:r>
    </w:p>
    <w:p w14:paraId="7660C516" w14:textId="7975E01D" w:rsidR="00794D30" w:rsidRDefault="00794D30" w:rsidP="00794D30">
      <w:pPr>
        <w:rPr>
          <w:lang w:eastAsia="en-AU"/>
        </w:rPr>
      </w:pPr>
    </w:p>
    <w:p w14:paraId="3A23B3F1" w14:textId="26931007" w:rsidR="00794D30" w:rsidRPr="00794D30" w:rsidRDefault="00794D30" w:rsidP="00794D30">
      <w:pPr>
        <w:pStyle w:val="Catchwords"/>
      </w:pPr>
      <w:r>
        <w:t>Property – Real property –</w:t>
      </w:r>
      <w:r w:rsidR="00C86961">
        <w:t xml:space="preserve"> Assignment – Where </w:t>
      </w:r>
      <w:r w:rsidR="00623606" w:rsidRPr="00623606">
        <w:t xml:space="preserve">Tang </w:t>
      </w:r>
      <w:proofErr w:type="spellStart"/>
      <w:r w:rsidR="00623606" w:rsidRPr="00623606">
        <w:t>Shung</w:t>
      </w:r>
      <w:proofErr w:type="spellEnd"/>
      <w:r w:rsidR="00623606" w:rsidRPr="00623606">
        <w:t xml:space="preserve"> Ching Sabin registered owner of </w:t>
      </w:r>
      <w:r w:rsidR="00623606">
        <w:t>flat and car space (</w:t>
      </w:r>
      <w:r w:rsidR="002C6EE4">
        <w:t>"</w:t>
      </w:r>
      <w:r w:rsidR="00623606">
        <w:t>Property</w:t>
      </w:r>
      <w:r w:rsidR="002C6EE4">
        <w:t>"</w:t>
      </w:r>
      <w:r w:rsidR="00623606">
        <w:t xml:space="preserve">) in residential development constructed under government housing scheme for civil servants – Where Property assigned subject to </w:t>
      </w:r>
      <w:r w:rsidR="002C6EE4">
        <w:t>"</w:t>
      </w:r>
      <w:r w:rsidR="00623606">
        <w:t>non alienation</w:t>
      </w:r>
      <w:r w:rsidR="002C6EE4">
        <w:t>"</w:t>
      </w:r>
      <w:r w:rsidR="00623606">
        <w:t xml:space="preserve"> covenants, which prohibit</w:t>
      </w:r>
      <w:r w:rsidR="00EB1F1A">
        <w:t>ed</w:t>
      </w:r>
      <w:r w:rsidR="00623606">
        <w:t xml:space="preserve"> Tang from assigning, mortgaging, charging or otherwise parting with possession of Property or interest therein, or entering into any agreement to do so, without written consent of Financial Secretary Incorporated (</w:t>
      </w:r>
      <w:r w:rsidR="002C6EE4">
        <w:t>"</w:t>
      </w:r>
      <w:r w:rsidR="00623606">
        <w:t>FSI</w:t>
      </w:r>
      <w:r w:rsidR="002C6EE4">
        <w:t>"</w:t>
      </w:r>
      <w:r w:rsidR="00623606">
        <w:t>) – Where, to secure performance of non</w:t>
      </w:r>
      <w:r w:rsidR="001E0061">
        <w:noBreakHyphen/>
      </w:r>
      <w:r w:rsidR="00623606">
        <w:t>alienation covenants, Tang gave legal charge over Property in favour of FSI – Where legal charge, like assignment containing non</w:t>
      </w:r>
      <w:r w:rsidR="001E0061">
        <w:noBreakHyphen/>
      </w:r>
      <w:r w:rsidR="00623606">
        <w:t xml:space="preserve">alienation covenants, registered in Land Registry – Where Tang borrowed from loan companies, including </w:t>
      </w:r>
      <w:r w:rsidR="00584359">
        <w:t>from appellant and respondent</w:t>
      </w:r>
      <w:r w:rsidR="00623606">
        <w:t xml:space="preserve"> – Where</w:t>
      </w:r>
      <w:r w:rsidR="00C830C2">
        <w:t xml:space="preserve"> Tang assigned</w:t>
      </w:r>
      <w:r w:rsidR="00623606">
        <w:t xml:space="preserve"> </w:t>
      </w:r>
      <w:r w:rsidR="00623606" w:rsidRPr="00623606">
        <w:t xml:space="preserve">balance of future proceeds of sale of Property to </w:t>
      </w:r>
      <w:r w:rsidR="00584359">
        <w:t>appellant</w:t>
      </w:r>
      <w:r w:rsidR="00623606" w:rsidRPr="00623606">
        <w:t xml:space="preserve"> as security for repayment of loan</w:t>
      </w:r>
      <w:r w:rsidR="00C830C2">
        <w:t xml:space="preserve"> – Where Tang subsequently borrowed from </w:t>
      </w:r>
      <w:r w:rsidR="00584359">
        <w:t>respondent</w:t>
      </w:r>
      <w:r w:rsidR="00C830C2">
        <w:t xml:space="preserve"> under loan agreement whereby Tang agreed not </w:t>
      </w:r>
      <w:r w:rsidR="00EB1F1A">
        <w:t xml:space="preserve">to </w:t>
      </w:r>
      <w:r w:rsidR="00C830C2" w:rsidRPr="00C830C2">
        <w:t>sell or create or enter into any charge, lien or other encumbrance over Property or otherwise dispose of Property until full repayment</w:t>
      </w:r>
      <w:r w:rsidR="00C830C2">
        <w:t xml:space="preserve"> – Where loans could not be secured, but loan agreements registered in Land Registry – Where Tang defaulted on loan to </w:t>
      </w:r>
      <w:r w:rsidR="00584359">
        <w:t>respondent</w:t>
      </w:r>
      <w:r w:rsidR="00C830C2">
        <w:t xml:space="preserve"> – Where </w:t>
      </w:r>
      <w:r w:rsidR="00584359">
        <w:t>respondent</w:t>
      </w:r>
      <w:r w:rsidR="00C830C2">
        <w:t xml:space="preserve"> obtained judgment against Tang and </w:t>
      </w:r>
      <w:r w:rsidR="00C830C2" w:rsidRPr="00C830C2">
        <w:t xml:space="preserve">charging order </w:t>
      </w:r>
      <w:r w:rsidR="00C830C2" w:rsidRPr="00EB28F5">
        <w:t>nisi</w:t>
      </w:r>
      <w:r w:rsidR="00C830C2" w:rsidRPr="00C830C2">
        <w:t xml:space="preserve"> against Property in enforcement of judgment debt</w:t>
      </w:r>
      <w:r w:rsidR="00C830C2">
        <w:t xml:space="preserve"> – Where </w:t>
      </w:r>
      <w:r w:rsidR="00584359">
        <w:t>appellant</w:t>
      </w:r>
      <w:r w:rsidR="00C830C2">
        <w:t xml:space="preserve"> informed of intended sale of Property and </w:t>
      </w:r>
      <w:r w:rsidR="00584359">
        <w:t>contended</w:t>
      </w:r>
      <w:r w:rsidR="00C830C2">
        <w:t xml:space="preserve"> price below market and </w:t>
      </w:r>
      <w:r w:rsidR="00584359">
        <w:t>appellant</w:t>
      </w:r>
      <w:r w:rsidR="00C830C2">
        <w:t xml:space="preserve"> held priority over </w:t>
      </w:r>
      <w:r w:rsidR="00584359">
        <w:t>respondent</w:t>
      </w:r>
      <w:r w:rsidR="00C830C2">
        <w:t xml:space="preserve"> to proceeds of sale –</w:t>
      </w:r>
      <w:r w:rsidR="00EB1F1A">
        <w:t xml:space="preserve"> Where Court of Appeal drew distinction between </w:t>
      </w:r>
      <w:r w:rsidR="00584359">
        <w:t>respondent</w:t>
      </w:r>
      <w:r w:rsidR="00EB1F1A">
        <w:t xml:space="preserve">'s interest in land and </w:t>
      </w:r>
      <w:r w:rsidR="00584359">
        <w:t>appellant's</w:t>
      </w:r>
      <w:r w:rsidR="00EB1F1A">
        <w:t xml:space="preserve"> interest in proceeds – Where Court of Appeal held as Tang had to defer to </w:t>
      </w:r>
      <w:r w:rsidR="00584359">
        <w:t>respondent</w:t>
      </w:r>
      <w:r w:rsidR="00EB1F1A">
        <w:t xml:space="preserve"> in claim to proceeds, </w:t>
      </w:r>
      <w:r w:rsidR="00584359">
        <w:t>appellant</w:t>
      </w:r>
      <w:r w:rsidR="00EB1F1A">
        <w:t xml:space="preserve"> (as assignee of Tang's rights) could not enjoy better rights –</w:t>
      </w:r>
      <w:r w:rsidR="00C830C2">
        <w:t xml:space="preserve"> </w:t>
      </w:r>
      <w:r>
        <w:t xml:space="preserve">Proper approach to </w:t>
      </w:r>
      <w:r w:rsidRPr="00794D30">
        <w:t xml:space="preserve">priority </w:t>
      </w:r>
      <w:r>
        <w:t>of</w:t>
      </w:r>
      <w:r w:rsidRPr="00794D30">
        <w:t xml:space="preserve"> sale proceeds of real property as between earlier assignee of </w:t>
      </w:r>
      <w:r>
        <w:t>p</w:t>
      </w:r>
      <w:r w:rsidRPr="00794D30">
        <w:t xml:space="preserve">roceeds pursuant to equitable assignment before Property </w:t>
      </w:r>
      <w:r>
        <w:t>sold and</w:t>
      </w:r>
      <w:r w:rsidRPr="00794D30">
        <w:t xml:space="preserve"> judgment creditor who obtained later charging order against </w:t>
      </w:r>
      <w:r>
        <w:t>p</w:t>
      </w:r>
      <w:r w:rsidRPr="00794D30">
        <w:t>roperty.</w:t>
      </w:r>
    </w:p>
    <w:p w14:paraId="6DA607F2" w14:textId="5B5990BF" w:rsidR="00794D30" w:rsidRDefault="00794D30" w:rsidP="00794D30">
      <w:pPr>
        <w:rPr>
          <w:lang w:eastAsia="en-AU"/>
        </w:rPr>
      </w:pPr>
    </w:p>
    <w:p w14:paraId="5314E033" w14:textId="427AAD8C" w:rsidR="00794D30" w:rsidRPr="00DB68FF" w:rsidRDefault="008D63DC" w:rsidP="00DB68FF">
      <w:pPr>
        <w:rPr>
          <w:lang w:eastAsia="en-AU"/>
        </w:rPr>
      </w:pPr>
      <w:r>
        <w:rPr>
          <w:b/>
          <w:bCs/>
          <w:lang w:eastAsia="en-AU"/>
        </w:rPr>
        <w:lastRenderedPageBreak/>
        <w:t>Held (5:0):</w:t>
      </w:r>
      <w:r>
        <w:rPr>
          <w:lang w:eastAsia="en-AU"/>
        </w:rPr>
        <w:t xml:space="preserve"> Appeal dismissed.</w:t>
      </w:r>
      <w:r w:rsidR="00794D30">
        <w:rPr>
          <w:lang w:eastAsia="en-AU"/>
        </w:rPr>
        <w:t xml:space="preserve"> </w:t>
      </w:r>
    </w:p>
    <w:p w14:paraId="6D70526C" w14:textId="1992822C" w:rsidR="00DB68FF" w:rsidRDefault="00DB68FF" w:rsidP="00DB68FF">
      <w:pPr>
        <w:pStyle w:val="BullDivider2"/>
        <w:rPr>
          <w:rFonts w:cs="Arial"/>
          <w:highlight w:val="yellow"/>
        </w:rPr>
      </w:pPr>
    </w:p>
    <w:p w14:paraId="0916E5F6" w14:textId="77777777" w:rsidR="00DB68FF" w:rsidRDefault="00DB68FF" w:rsidP="00DB68FF"/>
    <w:p w14:paraId="48879F50" w14:textId="35984E53" w:rsidR="00AD58B8" w:rsidRDefault="00AD58B8" w:rsidP="00AD58B8">
      <w:pPr>
        <w:pStyle w:val="Heading1"/>
      </w:pPr>
      <w:r>
        <w:t xml:space="preserve">Social Security </w:t>
      </w:r>
    </w:p>
    <w:p w14:paraId="25220EFD" w14:textId="26A5D2C8" w:rsidR="00AD58B8" w:rsidRDefault="00AD58B8" w:rsidP="00AD58B8">
      <w:pPr>
        <w:rPr>
          <w:lang w:eastAsia="en-AU"/>
        </w:rPr>
      </w:pPr>
    </w:p>
    <w:p w14:paraId="2F019B59" w14:textId="65A8DB89" w:rsidR="00AD58B8" w:rsidRPr="002F4F7E" w:rsidRDefault="00AD58B8" w:rsidP="00AD58B8">
      <w:pPr>
        <w:pStyle w:val="Heading2"/>
      </w:pPr>
      <w:r>
        <w:t xml:space="preserve">Hughes v </w:t>
      </w:r>
      <w:proofErr w:type="spellStart"/>
      <w:r>
        <w:t>Northwestern</w:t>
      </w:r>
      <w:proofErr w:type="spellEnd"/>
      <w:r>
        <w:t xml:space="preserve"> University</w:t>
      </w:r>
    </w:p>
    <w:p w14:paraId="6BB16CF6" w14:textId="4D57668A" w:rsidR="00AD58B8" w:rsidRPr="002F4F7E" w:rsidRDefault="00AD58B8" w:rsidP="00AD58B8">
      <w:pPr>
        <w:rPr>
          <w:lang w:eastAsia="en-AU"/>
        </w:rPr>
      </w:pPr>
      <w:r>
        <w:rPr>
          <w:b/>
          <w:lang w:eastAsia="en-AU"/>
        </w:rPr>
        <w:t xml:space="preserve">Supreme </w:t>
      </w:r>
      <w:r w:rsidRPr="002F4F7E">
        <w:rPr>
          <w:b/>
          <w:lang w:eastAsia="en-AU"/>
        </w:rPr>
        <w:t>Court</w:t>
      </w:r>
      <w:r>
        <w:rPr>
          <w:b/>
          <w:lang w:eastAsia="en-AU"/>
        </w:rPr>
        <w:t xml:space="preserve"> of the United States: </w:t>
      </w:r>
      <w:hyperlink r:id="rId42" w:history="1">
        <w:r w:rsidRPr="00A712C0">
          <w:rPr>
            <w:rStyle w:val="Hyperlink"/>
            <w:bCs/>
            <w:lang w:eastAsia="en-AU"/>
          </w:rPr>
          <w:t xml:space="preserve">Docket No. </w:t>
        </w:r>
        <w:r>
          <w:rPr>
            <w:rStyle w:val="Hyperlink"/>
            <w:bCs/>
            <w:lang w:eastAsia="en-AU"/>
          </w:rPr>
          <w:t>19-1401</w:t>
        </w:r>
      </w:hyperlink>
    </w:p>
    <w:p w14:paraId="10AE0C16" w14:textId="77777777" w:rsidR="00AD58B8" w:rsidRPr="002F4F7E" w:rsidRDefault="00AD58B8" w:rsidP="00AD58B8">
      <w:pPr>
        <w:rPr>
          <w:lang w:eastAsia="en-AU"/>
        </w:rPr>
      </w:pPr>
    </w:p>
    <w:p w14:paraId="00125F12" w14:textId="657750E9" w:rsidR="00AD58B8" w:rsidRPr="002F4F7E" w:rsidRDefault="00AD58B8" w:rsidP="00AD58B8">
      <w:pPr>
        <w:rPr>
          <w:lang w:eastAsia="en-AU"/>
        </w:rPr>
      </w:pPr>
      <w:r w:rsidRPr="002F4F7E">
        <w:rPr>
          <w:b/>
          <w:lang w:eastAsia="en-AU"/>
        </w:rPr>
        <w:t>Judgment delivered:</w:t>
      </w:r>
      <w:r w:rsidRPr="002F4F7E">
        <w:rPr>
          <w:lang w:eastAsia="en-AU"/>
        </w:rPr>
        <w:t xml:space="preserve"> </w:t>
      </w:r>
      <w:r>
        <w:rPr>
          <w:lang w:eastAsia="en-AU"/>
        </w:rPr>
        <w:t>24 January 2022</w:t>
      </w:r>
    </w:p>
    <w:p w14:paraId="5BD5D60E" w14:textId="77777777" w:rsidR="00AD58B8" w:rsidRPr="002F4F7E" w:rsidRDefault="00AD58B8" w:rsidP="00AD58B8">
      <w:pPr>
        <w:rPr>
          <w:lang w:eastAsia="en-AU"/>
        </w:rPr>
      </w:pPr>
    </w:p>
    <w:p w14:paraId="3581D0D9" w14:textId="77777777" w:rsidR="00AD58B8" w:rsidRDefault="00AD58B8" w:rsidP="00AD58B8">
      <w:pPr>
        <w:rPr>
          <w:lang w:eastAsia="en-AU"/>
        </w:rPr>
      </w:pPr>
      <w:r w:rsidRPr="002F4F7E">
        <w:rPr>
          <w:b/>
          <w:lang w:eastAsia="en-AU"/>
        </w:rPr>
        <w:t xml:space="preserve">Coram: </w:t>
      </w:r>
      <w:r>
        <w:rPr>
          <w:lang w:eastAsia="en-AU"/>
        </w:rPr>
        <w:t>Roberts CJ, Thomas, Breyer, Alito, Sotomayor, Kagan, Gorsuch,</w:t>
      </w:r>
    </w:p>
    <w:p w14:paraId="5035DC50" w14:textId="2BAE8D73" w:rsidR="00AD58B8" w:rsidRDefault="00AD58B8" w:rsidP="00AD58B8">
      <w:pPr>
        <w:rPr>
          <w:lang w:eastAsia="en-AU"/>
        </w:rPr>
      </w:pPr>
      <w:r>
        <w:rPr>
          <w:lang w:eastAsia="en-AU"/>
        </w:rPr>
        <w:t>and Kavanaugh JJ</w:t>
      </w:r>
    </w:p>
    <w:p w14:paraId="3D51CDD7" w14:textId="77777777" w:rsidR="00AD58B8" w:rsidRPr="002F4F7E" w:rsidRDefault="00AD58B8" w:rsidP="00AD58B8">
      <w:pPr>
        <w:rPr>
          <w:lang w:eastAsia="en-AU"/>
        </w:rPr>
      </w:pPr>
    </w:p>
    <w:p w14:paraId="065296B6" w14:textId="77777777" w:rsidR="00AD58B8" w:rsidRPr="002F4F7E" w:rsidRDefault="00AD58B8" w:rsidP="00AD58B8">
      <w:pPr>
        <w:rPr>
          <w:b/>
          <w:lang w:eastAsia="en-AU"/>
        </w:rPr>
      </w:pPr>
      <w:r>
        <w:rPr>
          <w:b/>
          <w:lang w:eastAsia="en-AU"/>
        </w:rPr>
        <w:t>Catchwords:</w:t>
      </w:r>
    </w:p>
    <w:p w14:paraId="296C8349" w14:textId="77777777" w:rsidR="00AD58B8" w:rsidRPr="00856E9C" w:rsidRDefault="00AD58B8" w:rsidP="00AD58B8">
      <w:pPr>
        <w:rPr>
          <w:b/>
          <w:highlight w:val="yellow"/>
          <w:lang w:eastAsia="en-AU"/>
        </w:rPr>
      </w:pPr>
    </w:p>
    <w:p w14:paraId="1D25C556" w14:textId="434DC733" w:rsidR="00AD58B8" w:rsidRPr="00532C8E" w:rsidRDefault="00AD58B8" w:rsidP="00532C8E">
      <w:pPr>
        <w:ind w:left="720"/>
        <w:rPr>
          <w:i/>
          <w:iCs/>
          <w:lang w:eastAsia="en-AU"/>
        </w:rPr>
      </w:pPr>
      <w:r>
        <w:rPr>
          <w:lang w:eastAsia="en-AU"/>
        </w:rPr>
        <w:t xml:space="preserve">Social security – Retirement plans – </w:t>
      </w:r>
      <w:r w:rsidR="006B27B6">
        <w:rPr>
          <w:lang w:eastAsia="en-AU"/>
        </w:rPr>
        <w:t xml:space="preserve">Where, under </w:t>
      </w:r>
      <w:r w:rsidR="006B27B6" w:rsidRPr="006B27B6">
        <w:rPr>
          <w:lang w:eastAsia="en-AU"/>
        </w:rPr>
        <w:t>§1104(a)(1)(B)</w:t>
      </w:r>
      <w:r w:rsidR="00EB1F1A">
        <w:rPr>
          <w:lang w:eastAsia="en-AU"/>
        </w:rPr>
        <w:t xml:space="preserve"> </w:t>
      </w:r>
      <w:r w:rsidR="006B27B6">
        <w:rPr>
          <w:lang w:eastAsia="en-AU"/>
        </w:rPr>
        <w:t xml:space="preserve">of </w:t>
      </w:r>
      <w:r w:rsidR="006B27B6" w:rsidRPr="006B27B6">
        <w:rPr>
          <w:i/>
          <w:iCs/>
          <w:lang w:eastAsia="en-AU"/>
        </w:rPr>
        <w:t>Employee Retirement Income Security Act of</w:t>
      </w:r>
      <w:r w:rsidR="006B27B6">
        <w:rPr>
          <w:i/>
          <w:iCs/>
          <w:lang w:eastAsia="en-AU"/>
        </w:rPr>
        <w:t xml:space="preserve"> </w:t>
      </w:r>
      <w:r w:rsidR="006B27B6" w:rsidRPr="006B27B6">
        <w:rPr>
          <w:i/>
          <w:iCs/>
          <w:lang w:eastAsia="en-AU"/>
        </w:rPr>
        <w:t>1974</w:t>
      </w:r>
      <w:r w:rsidR="006B27B6">
        <w:rPr>
          <w:lang w:eastAsia="en-AU"/>
        </w:rPr>
        <w:t xml:space="preserve"> (</w:t>
      </w:r>
      <w:r w:rsidR="002C6EE4">
        <w:rPr>
          <w:lang w:eastAsia="en-AU"/>
        </w:rPr>
        <w:t>"</w:t>
      </w:r>
      <w:r w:rsidR="006B27B6" w:rsidRPr="00411AFF">
        <w:rPr>
          <w:lang w:eastAsia="en-AU"/>
        </w:rPr>
        <w:t>ERISA</w:t>
      </w:r>
      <w:r w:rsidR="002C6EE4">
        <w:rPr>
          <w:lang w:eastAsia="en-AU"/>
        </w:rPr>
        <w:t>"</w:t>
      </w:r>
      <w:r w:rsidR="006B27B6">
        <w:rPr>
          <w:lang w:eastAsia="en-AU"/>
        </w:rPr>
        <w:t xml:space="preserve">), plan fiduciaries </w:t>
      </w:r>
      <w:r w:rsidR="0039160C">
        <w:rPr>
          <w:lang w:eastAsia="en-AU"/>
        </w:rPr>
        <w:t>required to</w:t>
      </w:r>
      <w:r w:rsidR="006B27B6">
        <w:rPr>
          <w:lang w:eastAsia="en-AU"/>
        </w:rPr>
        <w:t xml:space="preserve"> discharge duties with care, skill, prudence, and diligence that prudent man acting in like capacity and familiar with such matters would use – Where fiduciary duty of prudence governed conduct of respondents, who administered several retirement plans on behalf of current and former employees of </w:t>
      </w:r>
      <w:proofErr w:type="spellStart"/>
      <w:r w:rsidR="006B27B6">
        <w:rPr>
          <w:lang w:eastAsia="en-AU"/>
        </w:rPr>
        <w:t>Northwestern</w:t>
      </w:r>
      <w:proofErr w:type="spellEnd"/>
      <w:r w:rsidR="006B27B6">
        <w:rPr>
          <w:lang w:eastAsia="en-AU"/>
        </w:rPr>
        <w:t xml:space="preserve"> University, including petitioners – </w:t>
      </w:r>
      <w:r w:rsidR="00532C8E">
        <w:rPr>
          <w:lang w:eastAsia="en-AU"/>
        </w:rPr>
        <w:t xml:space="preserve">Where Seventh Circuit held petitioners’ allegations </w:t>
      </w:r>
      <w:r w:rsidR="00EE748B">
        <w:rPr>
          <w:lang w:eastAsia="en-AU"/>
        </w:rPr>
        <w:t xml:space="preserve">of </w:t>
      </w:r>
      <w:r w:rsidR="00C86961">
        <w:rPr>
          <w:lang w:eastAsia="en-AU"/>
        </w:rPr>
        <w:t xml:space="preserve">imprudent decisions </w:t>
      </w:r>
      <w:r w:rsidR="00532C8E">
        <w:rPr>
          <w:lang w:eastAsia="en-AU"/>
        </w:rPr>
        <w:t>fail</w:t>
      </w:r>
      <w:r w:rsidR="0039160C">
        <w:rPr>
          <w:lang w:eastAsia="en-AU"/>
        </w:rPr>
        <w:t>ed</w:t>
      </w:r>
      <w:r w:rsidR="00532C8E">
        <w:rPr>
          <w:lang w:eastAsia="en-AU"/>
        </w:rPr>
        <w:t xml:space="preserve"> as matter of law, in part based on </w:t>
      </w:r>
      <w:r w:rsidR="00C86961">
        <w:rPr>
          <w:lang w:eastAsia="en-AU"/>
        </w:rPr>
        <w:t>C</w:t>
      </w:r>
      <w:r w:rsidR="00532C8E">
        <w:rPr>
          <w:lang w:eastAsia="en-AU"/>
        </w:rPr>
        <w:t>ourt’s determination that petitioners’ preferred type of low</w:t>
      </w:r>
      <w:r w:rsidR="001E0061">
        <w:rPr>
          <w:lang w:eastAsia="en-AU"/>
        </w:rPr>
        <w:noBreakHyphen/>
      </w:r>
      <w:r w:rsidR="00532C8E">
        <w:rPr>
          <w:lang w:eastAsia="en-AU"/>
        </w:rPr>
        <w:t xml:space="preserve">cost investments available as plan options which eliminated concerns other plan options were imprudent – Proper approach to </w:t>
      </w:r>
      <w:r w:rsidR="00532C8E" w:rsidRPr="00411AFF">
        <w:rPr>
          <w:lang w:eastAsia="en-AU"/>
        </w:rPr>
        <w:t>ERISA's</w:t>
      </w:r>
      <w:r w:rsidR="00532C8E">
        <w:rPr>
          <w:lang w:eastAsia="en-AU"/>
        </w:rPr>
        <w:t xml:space="preserve"> duty of prudence – Whether violation of duty of prudence as articulated in </w:t>
      </w:r>
      <w:r w:rsidR="00532C8E">
        <w:rPr>
          <w:i/>
          <w:iCs/>
          <w:lang w:eastAsia="en-AU"/>
        </w:rPr>
        <w:t xml:space="preserve">Tibble </w:t>
      </w:r>
      <w:r w:rsidR="00532C8E" w:rsidRPr="00532C8E">
        <w:rPr>
          <w:i/>
          <w:iCs/>
          <w:lang w:eastAsia="en-AU"/>
        </w:rPr>
        <w:t>v Edison Int’l</w:t>
      </w:r>
      <w:r w:rsidR="00532C8E" w:rsidRPr="00532C8E">
        <w:rPr>
          <w:lang w:eastAsia="en-AU"/>
        </w:rPr>
        <w:t xml:space="preserve"> </w:t>
      </w:r>
      <w:r w:rsidR="0039160C" w:rsidRPr="00532C8E">
        <w:rPr>
          <w:lang w:eastAsia="en-AU"/>
        </w:rPr>
        <w:t>(2015)</w:t>
      </w:r>
      <w:r w:rsidR="0039160C">
        <w:rPr>
          <w:lang w:eastAsia="en-AU"/>
        </w:rPr>
        <w:t xml:space="preserve"> </w:t>
      </w:r>
      <w:r w:rsidR="00532C8E" w:rsidRPr="00532C8E">
        <w:rPr>
          <w:lang w:eastAsia="en-AU"/>
        </w:rPr>
        <w:t>575 US 523</w:t>
      </w:r>
      <w:r w:rsidR="00532C8E">
        <w:rPr>
          <w:lang w:eastAsia="en-AU"/>
        </w:rPr>
        <w:t xml:space="preserve">. </w:t>
      </w:r>
    </w:p>
    <w:p w14:paraId="559A3229" w14:textId="77777777" w:rsidR="00AD58B8" w:rsidRDefault="00AD58B8" w:rsidP="00AD58B8">
      <w:pPr>
        <w:rPr>
          <w:lang w:eastAsia="en-AU"/>
        </w:rPr>
      </w:pPr>
    </w:p>
    <w:p w14:paraId="17833134" w14:textId="292B5A88" w:rsidR="00AD58B8" w:rsidRDefault="00AD58B8" w:rsidP="00AD58B8">
      <w:pPr>
        <w:rPr>
          <w:lang w:eastAsia="en-AU"/>
        </w:rPr>
      </w:pPr>
      <w:r w:rsidRPr="002F4F7E">
        <w:rPr>
          <w:b/>
          <w:lang w:eastAsia="en-AU"/>
        </w:rPr>
        <w:t>Held (</w:t>
      </w:r>
      <w:r>
        <w:rPr>
          <w:b/>
          <w:lang w:eastAsia="en-AU"/>
        </w:rPr>
        <w:t>8:0</w:t>
      </w:r>
      <w:r w:rsidRPr="002F4F7E">
        <w:rPr>
          <w:b/>
          <w:lang w:eastAsia="en-AU"/>
        </w:rPr>
        <w:t xml:space="preserve">): </w:t>
      </w:r>
      <w:r>
        <w:rPr>
          <w:lang w:eastAsia="en-AU"/>
        </w:rPr>
        <w:t xml:space="preserve">Judgment of Court of Appeals </w:t>
      </w:r>
      <w:r w:rsidR="00A2177E">
        <w:rPr>
          <w:lang w:eastAsia="en-AU"/>
        </w:rPr>
        <w:t xml:space="preserve">for </w:t>
      </w:r>
      <w:r w:rsidR="00EB28F5">
        <w:rPr>
          <w:lang w:eastAsia="en-AU"/>
        </w:rPr>
        <w:t xml:space="preserve">the </w:t>
      </w:r>
      <w:r w:rsidR="00A2177E">
        <w:rPr>
          <w:lang w:eastAsia="en-AU"/>
        </w:rPr>
        <w:t xml:space="preserve">Seventh Circuit </w:t>
      </w:r>
      <w:proofErr w:type="gramStart"/>
      <w:r w:rsidR="00532C8E">
        <w:rPr>
          <w:lang w:eastAsia="en-AU"/>
        </w:rPr>
        <w:t>vacated</w:t>
      </w:r>
      <w:proofErr w:type="gramEnd"/>
      <w:r w:rsidR="00532C8E">
        <w:rPr>
          <w:lang w:eastAsia="en-AU"/>
        </w:rPr>
        <w:t xml:space="preserve"> and case remanded</w:t>
      </w:r>
      <w:r>
        <w:rPr>
          <w:lang w:eastAsia="en-AU"/>
        </w:rPr>
        <w:t xml:space="preserve">. </w:t>
      </w:r>
    </w:p>
    <w:p w14:paraId="29495118" w14:textId="4328D417" w:rsidR="00DD0272" w:rsidRDefault="00DD0272" w:rsidP="00972DAA">
      <w:pPr>
        <w:pStyle w:val="BullDivider2"/>
        <w:rPr>
          <w:highlight w:val="yellow"/>
        </w:rPr>
      </w:pPr>
    </w:p>
    <w:p w14:paraId="105D3BBE" w14:textId="77777777" w:rsidR="00972DAA" w:rsidRPr="00972DAA" w:rsidRDefault="00972DAA" w:rsidP="00972DAA">
      <w:pPr>
        <w:rPr>
          <w:highlight w:val="yellow"/>
          <w:lang w:eastAsia="en-AU"/>
        </w:rPr>
      </w:pPr>
    </w:p>
    <w:p w14:paraId="7FB84EE8" w14:textId="77777777" w:rsidR="00DD0272" w:rsidRPr="00DD0272" w:rsidRDefault="00DD0272" w:rsidP="00DD0272">
      <w:pPr>
        <w:tabs>
          <w:tab w:val="left" w:pos="5375"/>
        </w:tabs>
        <w:outlineLvl w:val="0"/>
        <w:rPr>
          <w:rFonts w:ascii="Garamond" w:hAnsi="Garamond"/>
          <w:b/>
          <w:sz w:val="44"/>
          <w:szCs w:val="24"/>
          <w:lang w:eastAsia="en-AU"/>
        </w:rPr>
      </w:pPr>
      <w:r w:rsidRPr="00DD0272">
        <w:rPr>
          <w:rFonts w:ascii="Garamond" w:hAnsi="Garamond"/>
          <w:b/>
          <w:sz w:val="44"/>
          <w:szCs w:val="24"/>
          <w:lang w:eastAsia="en-AU"/>
        </w:rPr>
        <w:t>Taxation</w:t>
      </w:r>
    </w:p>
    <w:p w14:paraId="5CB80FD8" w14:textId="77777777" w:rsidR="00DD0272" w:rsidRPr="00DD0272" w:rsidRDefault="00DD0272" w:rsidP="00DD0272">
      <w:pPr>
        <w:rPr>
          <w:lang w:eastAsia="en-AU"/>
        </w:rPr>
      </w:pPr>
    </w:p>
    <w:p w14:paraId="1C44AB29" w14:textId="77777777" w:rsidR="00DD0272" w:rsidRPr="00DD0272" w:rsidRDefault="00DD0272" w:rsidP="00DD0272">
      <w:pPr>
        <w:keepNext/>
        <w:outlineLvl w:val="1"/>
        <w:rPr>
          <w:rFonts w:ascii="Arial" w:hAnsi="Arial" w:cs="Arial"/>
          <w:bCs/>
          <w:i/>
          <w:iCs/>
          <w:sz w:val="28"/>
          <w:szCs w:val="28"/>
          <w:lang w:eastAsia="en-AU"/>
        </w:rPr>
      </w:pPr>
      <w:r w:rsidRPr="00DD0272">
        <w:rPr>
          <w:rFonts w:ascii="Arial" w:hAnsi="Arial" w:cs="Arial"/>
          <w:bCs/>
          <w:i/>
          <w:iCs/>
          <w:sz w:val="28"/>
          <w:szCs w:val="28"/>
          <w:lang w:eastAsia="en-AU"/>
        </w:rPr>
        <w:t>Barnard Labuschagne Incorporated v South African Revenue Service &amp; Anor</w:t>
      </w:r>
    </w:p>
    <w:p w14:paraId="116707A2" w14:textId="77777777" w:rsidR="00DD0272" w:rsidRPr="00DD0272" w:rsidRDefault="00DD0272" w:rsidP="00DD0272">
      <w:pPr>
        <w:rPr>
          <w:lang w:eastAsia="en-AU"/>
        </w:rPr>
      </w:pPr>
      <w:r w:rsidRPr="00DD0272">
        <w:rPr>
          <w:b/>
          <w:bCs/>
          <w:lang w:eastAsia="en-AU"/>
        </w:rPr>
        <w:t>Constitutional Court of South Africa:</w:t>
      </w:r>
      <w:r w:rsidRPr="00DD0272">
        <w:rPr>
          <w:lang w:eastAsia="en-AU"/>
        </w:rPr>
        <w:t xml:space="preserve"> </w:t>
      </w:r>
      <w:hyperlink r:id="rId43" w:history="1">
        <w:r w:rsidRPr="00DD0272">
          <w:rPr>
            <w:color w:val="0000FF"/>
            <w:u w:val="single"/>
            <w:lang w:eastAsia="en-AU"/>
          </w:rPr>
          <w:t>[2022] ZACC 8</w:t>
        </w:r>
      </w:hyperlink>
    </w:p>
    <w:p w14:paraId="389C8D1F" w14:textId="77777777" w:rsidR="00DD0272" w:rsidRPr="00DD0272" w:rsidRDefault="00DD0272" w:rsidP="00DD0272">
      <w:pPr>
        <w:rPr>
          <w:lang w:eastAsia="en-AU"/>
        </w:rPr>
      </w:pPr>
    </w:p>
    <w:p w14:paraId="68DEABBC" w14:textId="45ADD13D" w:rsidR="00DD0272" w:rsidRPr="00DD0272" w:rsidRDefault="00DD0272" w:rsidP="00DD0272">
      <w:pPr>
        <w:rPr>
          <w:lang w:eastAsia="en-AU"/>
        </w:rPr>
      </w:pPr>
      <w:r w:rsidRPr="00DD0272">
        <w:rPr>
          <w:b/>
          <w:bCs/>
          <w:lang w:eastAsia="en-AU"/>
        </w:rPr>
        <w:t xml:space="preserve">Judgment delivered: </w:t>
      </w:r>
      <w:r w:rsidR="00EB28F5">
        <w:rPr>
          <w:lang w:eastAsia="en-AU"/>
        </w:rPr>
        <w:t>11</w:t>
      </w:r>
      <w:r w:rsidRPr="00DD0272">
        <w:rPr>
          <w:lang w:eastAsia="en-AU"/>
        </w:rPr>
        <w:t xml:space="preserve"> March 2022</w:t>
      </w:r>
    </w:p>
    <w:p w14:paraId="416F4475" w14:textId="77777777" w:rsidR="00DD0272" w:rsidRPr="00DD0272" w:rsidRDefault="00DD0272" w:rsidP="00DD0272">
      <w:pPr>
        <w:rPr>
          <w:b/>
          <w:bCs/>
          <w:lang w:eastAsia="en-AU"/>
        </w:rPr>
      </w:pPr>
    </w:p>
    <w:p w14:paraId="64A20B54" w14:textId="77777777" w:rsidR="00DD0272" w:rsidRPr="00DD0272" w:rsidRDefault="00DD0272" w:rsidP="00DD0272">
      <w:pPr>
        <w:rPr>
          <w:lang w:eastAsia="en-AU"/>
        </w:rPr>
      </w:pPr>
      <w:r w:rsidRPr="00DD0272">
        <w:rPr>
          <w:b/>
          <w:bCs/>
          <w:lang w:eastAsia="en-AU"/>
        </w:rPr>
        <w:t>Coram:</w:t>
      </w:r>
      <w:r w:rsidRPr="00DD0272">
        <w:t xml:space="preserve"> </w:t>
      </w:r>
      <w:r w:rsidRPr="00DD0272">
        <w:rPr>
          <w:lang w:eastAsia="en-AU"/>
        </w:rPr>
        <w:t>Madlanga J, Madondo AJ, Majiedt, Mhlantla JJ, Pillay, Rogers AJJ, Theron J, Tlaletsi AJ and Tshiqi J</w:t>
      </w:r>
    </w:p>
    <w:p w14:paraId="379972A7" w14:textId="77777777" w:rsidR="00DD0272" w:rsidRPr="00DD0272" w:rsidRDefault="00DD0272" w:rsidP="00DD0272">
      <w:pPr>
        <w:rPr>
          <w:b/>
          <w:bCs/>
          <w:lang w:eastAsia="en-AU"/>
        </w:rPr>
      </w:pPr>
    </w:p>
    <w:p w14:paraId="14D0420B" w14:textId="77777777" w:rsidR="00DD0272" w:rsidRPr="00DD0272" w:rsidRDefault="00DD0272" w:rsidP="00DD0272">
      <w:pPr>
        <w:rPr>
          <w:b/>
          <w:bCs/>
          <w:lang w:eastAsia="en-AU"/>
        </w:rPr>
      </w:pPr>
      <w:r w:rsidRPr="00DD0272">
        <w:rPr>
          <w:b/>
          <w:bCs/>
          <w:lang w:eastAsia="en-AU"/>
        </w:rPr>
        <w:t>Catchwords:</w:t>
      </w:r>
    </w:p>
    <w:p w14:paraId="14825D84" w14:textId="77777777" w:rsidR="00DD0272" w:rsidRPr="00DD0272" w:rsidRDefault="00DD0272" w:rsidP="00DD0272">
      <w:pPr>
        <w:rPr>
          <w:b/>
          <w:bCs/>
          <w:lang w:eastAsia="en-AU"/>
        </w:rPr>
      </w:pPr>
    </w:p>
    <w:p w14:paraId="684A494C" w14:textId="19DFBEE1" w:rsidR="00DD0272" w:rsidRPr="00DD0272" w:rsidRDefault="00DD0272" w:rsidP="00DD0272">
      <w:pPr>
        <w:ind w:left="720"/>
        <w:rPr>
          <w:lang w:eastAsia="en-AU"/>
        </w:rPr>
      </w:pPr>
      <w:r w:rsidRPr="00DD0272">
        <w:rPr>
          <w:lang w:eastAsia="en-AU"/>
        </w:rPr>
        <w:t>Taxation – Tax judgment – Recission – Where South African Revenue Service (</w:t>
      </w:r>
      <w:r w:rsidR="002C6EE4">
        <w:rPr>
          <w:lang w:eastAsia="en-AU"/>
        </w:rPr>
        <w:t>"</w:t>
      </w:r>
      <w:r w:rsidRPr="00DD0272">
        <w:rPr>
          <w:lang w:eastAsia="en-AU"/>
        </w:rPr>
        <w:t>SARS</w:t>
      </w:r>
      <w:r w:rsidR="002C6EE4">
        <w:rPr>
          <w:lang w:eastAsia="en-AU"/>
        </w:rPr>
        <w:t>"</w:t>
      </w:r>
      <w:r w:rsidRPr="00DD0272">
        <w:rPr>
          <w:lang w:eastAsia="en-AU"/>
        </w:rPr>
        <w:t xml:space="preserve">) filed with Registrar of High Court of South Africa certified </w:t>
      </w:r>
      <w:r w:rsidRPr="00DD0272">
        <w:rPr>
          <w:lang w:eastAsia="en-AU"/>
        </w:rPr>
        <w:lastRenderedPageBreak/>
        <w:t xml:space="preserve">statement in terms of s 172(1) of </w:t>
      </w:r>
      <w:r w:rsidRPr="00DD0272">
        <w:rPr>
          <w:i/>
          <w:iCs/>
          <w:lang w:eastAsia="en-AU"/>
        </w:rPr>
        <w:t xml:space="preserve">Tax Administration Act </w:t>
      </w:r>
      <w:r w:rsidRPr="00DD0272">
        <w:rPr>
          <w:lang w:eastAsia="en-AU"/>
        </w:rPr>
        <w:t>(</w:t>
      </w:r>
      <w:r w:rsidR="002C6EE4">
        <w:rPr>
          <w:lang w:eastAsia="en-AU"/>
        </w:rPr>
        <w:t>"</w:t>
      </w:r>
      <w:r w:rsidRPr="00DD0272">
        <w:rPr>
          <w:lang w:eastAsia="en-AU"/>
        </w:rPr>
        <w:t>TAA</w:t>
      </w:r>
      <w:r w:rsidR="002C6EE4">
        <w:rPr>
          <w:lang w:eastAsia="en-AU"/>
        </w:rPr>
        <w:t>"</w:t>
      </w:r>
      <w:r w:rsidRPr="00DD0272">
        <w:rPr>
          <w:lang w:eastAsia="en-AU"/>
        </w:rPr>
        <w:t xml:space="preserve">) recording that </w:t>
      </w:r>
      <w:r w:rsidR="00960E13">
        <w:rPr>
          <w:lang w:eastAsia="en-AU"/>
        </w:rPr>
        <w:t>applicant</w:t>
      </w:r>
      <w:r w:rsidRPr="00DD0272">
        <w:rPr>
          <w:lang w:eastAsia="en-AU"/>
        </w:rPr>
        <w:t xml:space="preserve">, incorporated firm of attorneys, owed SARS R804,747 – Where, pursuant to s 174 of TAA, certified statement filed must be treated as civil judgment in favour of SARS </w:t>
      </w:r>
      <w:r w:rsidR="00960E13">
        <w:rPr>
          <w:lang w:eastAsia="en-AU"/>
        </w:rPr>
        <w:t>as</w:t>
      </w:r>
      <w:r w:rsidRPr="00DD0272">
        <w:rPr>
          <w:lang w:eastAsia="en-AU"/>
        </w:rPr>
        <w:t xml:space="preserve"> liquid debt for amount specified in statement – Where </w:t>
      </w:r>
      <w:r w:rsidR="00960E13">
        <w:rPr>
          <w:lang w:eastAsia="en-AU"/>
        </w:rPr>
        <w:t>applicant</w:t>
      </w:r>
      <w:r w:rsidRPr="00DD0272">
        <w:rPr>
          <w:lang w:eastAsia="en-AU"/>
        </w:rPr>
        <w:t xml:space="preserve"> brought application to rescind tax judgment on basis certified statement wrong because </w:t>
      </w:r>
      <w:r w:rsidR="00960E13">
        <w:rPr>
          <w:lang w:eastAsia="en-AU"/>
        </w:rPr>
        <w:t>applicant</w:t>
      </w:r>
      <w:r w:rsidRPr="00DD0272">
        <w:rPr>
          <w:lang w:eastAsia="en-AU"/>
        </w:rPr>
        <w:t xml:space="preserve"> made payments which SARS failed to appropriate to relevant assessed taxes – Whether tax judgment </w:t>
      </w:r>
      <w:r w:rsidR="00960E13">
        <w:rPr>
          <w:lang w:eastAsia="en-AU"/>
        </w:rPr>
        <w:t>"</w:t>
      </w:r>
      <w:r w:rsidRPr="00DD0272">
        <w:rPr>
          <w:lang w:eastAsia="en-AU"/>
        </w:rPr>
        <w:t>susceptible of recission</w:t>
      </w:r>
      <w:r w:rsidR="00960E13">
        <w:rPr>
          <w:lang w:eastAsia="en-AU"/>
        </w:rPr>
        <w:t>"</w:t>
      </w:r>
      <w:r w:rsidRPr="00DD0272">
        <w:rPr>
          <w:lang w:eastAsia="en-AU"/>
        </w:rPr>
        <w:t xml:space="preserve"> – Whether, if not susceptible </w:t>
      </w:r>
      <w:r w:rsidR="00960E13">
        <w:rPr>
          <w:lang w:eastAsia="en-AU"/>
        </w:rPr>
        <w:t>of</w:t>
      </w:r>
      <w:r w:rsidRPr="00DD0272">
        <w:rPr>
          <w:lang w:eastAsia="en-AU"/>
        </w:rPr>
        <w:t xml:space="preserve"> recission, ss 172 and 174 are constitutionally invalid. </w:t>
      </w:r>
    </w:p>
    <w:p w14:paraId="04EAD93B" w14:textId="77777777" w:rsidR="00DD0272" w:rsidRPr="00DD0272" w:rsidRDefault="00DD0272" w:rsidP="00DD0272">
      <w:pPr>
        <w:rPr>
          <w:b/>
          <w:bCs/>
          <w:lang w:eastAsia="en-AU"/>
        </w:rPr>
      </w:pPr>
    </w:p>
    <w:p w14:paraId="409C6022" w14:textId="77777777" w:rsidR="00DD0272" w:rsidRPr="00DD0272" w:rsidRDefault="00DD0272" w:rsidP="00DD0272">
      <w:pPr>
        <w:rPr>
          <w:lang w:eastAsia="en-AU"/>
        </w:rPr>
      </w:pPr>
      <w:r w:rsidRPr="00DD0272">
        <w:rPr>
          <w:b/>
          <w:bCs/>
          <w:lang w:eastAsia="en-AU"/>
        </w:rPr>
        <w:t>Held (9:0):</w:t>
      </w:r>
      <w:r w:rsidRPr="00DD0272">
        <w:rPr>
          <w:lang w:eastAsia="en-AU"/>
        </w:rPr>
        <w:t xml:space="preserve"> Leave to appeal granted; appeal upheld. </w:t>
      </w:r>
    </w:p>
    <w:p w14:paraId="4A20DEEE" w14:textId="7FA5C8A7" w:rsidR="00DD0272" w:rsidRDefault="00DD0272" w:rsidP="001E62DA">
      <w:pPr>
        <w:pStyle w:val="BullDivider1"/>
        <w:rPr>
          <w:highlight w:val="yellow"/>
        </w:rPr>
      </w:pPr>
    </w:p>
    <w:p w14:paraId="25809F20" w14:textId="77777777" w:rsidR="001E62DA" w:rsidRPr="001E62DA" w:rsidRDefault="001E62DA" w:rsidP="001E62DA">
      <w:pPr>
        <w:rPr>
          <w:highlight w:val="yellow"/>
          <w:lang w:eastAsia="en-AU"/>
        </w:rPr>
      </w:pPr>
    </w:p>
    <w:p w14:paraId="52655F9F" w14:textId="77777777" w:rsidR="001E62DA" w:rsidRPr="001E62DA" w:rsidRDefault="001E62DA" w:rsidP="001E62DA">
      <w:pPr>
        <w:keepNext/>
        <w:outlineLvl w:val="1"/>
        <w:rPr>
          <w:rFonts w:ascii="Arial" w:hAnsi="Arial" w:cs="Arial"/>
          <w:bCs/>
          <w:i/>
          <w:iCs/>
          <w:sz w:val="28"/>
          <w:szCs w:val="28"/>
          <w:lang w:eastAsia="en-AU"/>
        </w:rPr>
      </w:pPr>
      <w:r w:rsidRPr="001E62DA">
        <w:rPr>
          <w:rFonts w:ascii="Arial" w:hAnsi="Arial" w:cs="Arial"/>
          <w:bCs/>
          <w:i/>
          <w:iCs/>
          <w:sz w:val="28"/>
          <w:szCs w:val="28"/>
          <w:lang w:eastAsia="en-AU"/>
        </w:rPr>
        <w:t xml:space="preserve">Commissioners for Her Majesty's Revenue and Customs v NCL Investments Ltd &amp; Anor </w:t>
      </w:r>
    </w:p>
    <w:p w14:paraId="16123E2A" w14:textId="77777777" w:rsidR="001E62DA" w:rsidRPr="001E62DA" w:rsidRDefault="001E62DA" w:rsidP="001E62DA">
      <w:pPr>
        <w:rPr>
          <w:lang w:eastAsia="en-AU"/>
        </w:rPr>
      </w:pPr>
      <w:r w:rsidRPr="001E62DA">
        <w:rPr>
          <w:b/>
          <w:bCs/>
          <w:lang w:eastAsia="en-AU"/>
        </w:rPr>
        <w:t>Supreme Court of the United Kingdom:</w:t>
      </w:r>
      <w:r w:rsidRPr="001E62DA">
        <w:rPr>
          <w:lang w:eastAsia="en-AU"/>
        </w:rPr>
        <w:t xml:space="preserve"> </w:t>
      </w:r>
      <w:hyperlink r:id="rId44" w:history="1">
        <w:r w:rsidRPr="001E62DA">
          <w:rPr>
            <w:color w:val="0000FF"/>
            <w:u w:val="single"/>
            <w:lang w:eastAsia="en-AU"/>
          </w:rPr>
          <w:t>[2022] UKSC 9</w:t>
        </w:r>
      </w:hyperlink>
    </w:p>
    <w:p w14:paraId="54E79E35" w14:textId="77777777" w:rsidR="001E62DA" w:rsidRPr="001E62DA" w:rsidRDefault="001E62DA" w:rsidP="001E62DA">
      <w:pPr>
        <w:rPr>
          <w:lang w:eastAsia="en-AU"/>
        </w:rPr>
      </w:pPr>
    </w:p>
    <w:p w14:paraId="54AD45FF" w14:textId="77777777" w:rsidR="001E62DA" w:rsidRPr="001E62DA" w:rsidRDefault="001E62DA" w:rsidP="001E62DA">
      <w:pPr>
        <w:rPr>
          <w:lang w:eastAsia="en-AU"/>
        </w:rPr>
      </w:pPr>
      <w:r w:rsidRPr="001E62DA">
        <w:rPr>
          <w:b/>
          <w:bCs/>
          <w:lang w:eastAsia="en-AU"/>
        </w:rPr>
        <w:t xml:space="preserve">Judgment delivered: </w:t>
      </w:r>
      <w:r w:rsidRPr="001E62DA">
        <w:rPr>
          <w:lang w:eastAsia="en-AU"/>
        </w:rPr>
        <w:t>23 March 2022</w:t>
      </w:r>
    </w:p>
    <w:p w14:paraId="16633350" w14:textId="77777777" w:rsidR="001E62DA" w:rsidRPr="001E62DA" w:rsidRDefault="001E62DA" w:rsidP="001E62DA">
      <w:pPr>
        <w:rPr>
          <w:b/>
          <w:bCs/>
          <w:lang w:eastAsia="en-AU"/>
        </w:rPr>
      </w:pPr>
    </w:p>
    <w:p w14:paraId="76B43836" w14:textId="77777777" w:rsidR="001E62DA" w:rsidRPr="001E62DA" w:rsidRDefault="001E62DA" w:rsidP="001E62DA">
      <w:pPr>
        <w:rPr>
          <w:lang w:eastAsia="en-AU"/>
        </w:rPr>
      </w:pPr>
      <w:r w:rsidRPr="001E62DA">
        <w:rPr>
          <w:b/>
          <w:bCs/>
          <w:lang w:eastAsia="en-AU"/>
        </w:rPr>
        <w:t>Coram:</w:t>
      </w:r>
      <w:r w:rsidRPr="001E62DA">
        <w:t xml:space="preserve"> </w:t>
      </w:r>
      <w:r w:rsidRPr="001E62DA">
        <w:rPr>
          <w:lang w:eastAsia="en-AU"/>
        </w:rPr>
        <w:t>Lord Reed, Lord Briggs, Lord Sales, Lord Hamblen and Lady Rose</w:t>
      </w:r>
    </w:p>
    <w:p w14:paraId="7ADD59A3" w14:textId="77777777" w:rsidR="001E62DA" w:rsidRPr="001E62DA" w:rsidRDefault="001E62DA" w:rsidP="001E62DA">
      <w:pPr>
        <w:rPr>
          <w:b/>
          <w:bCs/>
          <w:lang w:eastAsia="en-AU"/>
        </w:rPr>
      </w:pPr>
    </w:p>
    <w:p w14:paraId="18C4C352" w14:textId="77777777" w:rsidR="001E62DA" w:rsidRPr="001E62DA" w:rsidRDefault="001E62DA" w:rsidP="001E62DA">
      <w:pPr>
        <w:rPr>
          <w:b/>
          <w:bCs/>
          <w:lang w:eastAsia="en-AU"/>
        </w:rPr>
      </w:pPr>
      <w:r w:rsidRPr="001E62DA">
        <w:rPr>
          <w:b/>
          <w:bCs/>
          <w:lang w:eastAsia="en-AU"/>
        </w:rPr>
        <w:t>Catchwords:</w:t>
      </w:r>
    </w:p>
    <w:p w14:paraId="4F85D311" w14:textId="77777777" w:rsidR="001E62DA" w:rsidRPr="001E62DA" w:rsidRDefault="001E62DA" w:rsidP="001E62DA">
      <w:pPr>
        <w:rPr>
          <w:b/>
          <w:bCs/>
          <w:lang w:eastAsia="en-AU"/>
        </w:rPr>
      </w:pPr>
    </w:p>
    <w:p w14:paraId="5BFF0871" w14:textId="39CC7298" w:rsidR="001E62DA" w:rsidRPr="001E62DA" w:rsidRDefault="001E62DA" w:rsidP="00914F04">
      <w:pPr>
        <w:ind w:left="720"/>
        <w:rPr>
          <w:lang w:eastAsia="en-AU"/>
        </w:rPr>
      </w:pPr>
      <w:r w:rsidRPr="00176DDE">
        <w:rPr>
          <w:lang w:eastAsia="en-AU"/>
        </w:rPr>
        <w:t>Taxation –</w:t>
      </w:r>
      <w:r w:rsidR="00176DDE" w:rsidRPr="00176DDE">
        <w:rPr>
          <w:lang w:eastAsia="en-AU"/>
        </w:rPr>
        <w:t xml:space="preserve"> </w:t>
      </w:r>
      <w:r w:rsidRPr="00176DDE">
        <w:rPr>
          <w:lang w:eastAsia="en-AU"/>
        </w:rPr>
        <w:t xml:space="preserve">Share option scheme </w:t>
      </w:r>
      <w:r w:rsidR="00EC5D8C" w:rsidRPr="00176DDE">
        <w:rPr>
          <w:lang w:eastAsia="en-AU"/>
        </w:rPr>
        <w:t>– Where respondent companies (</w:t>
      </w:r>
      <w:r w:rsidR="002C6EE4">
        <w:rPr>
          <w:lang w:eastAsia="en-AU"/>
        </w:rPr>
        <w:t>"</w:t>
      </w:r>
      <w:r w:rsidR="00EC5D8C" w:rsidRPr="00176DDE">
        <w:rPr>
          <w:lang w:eastAsia="en-AU"/>
        </w:rPr>
        <w:t>Companies</w:t>
      </w:r>
      <w:r w:rsidR="002C6EE4">
        <w:rPr>
          <w:lang w:eastAsia="en-AU"/>
        </w:rPr>
        <w:t>"</w:t>
      </w:r>
      <w:r w:rsidR="00EC5D8C" w:rsidRPr="00176DDE">
        <w:rPr>
          <w:lang w:eastAsia="en-AU"/>
        </w:rPr>
        <w:t xml:space="preserve">) granted employees share options in ultimate holding company </w:t>
      </w:r>
      <w:r w:rsidR="00176DDE" w:rsidRPr="00176DDE">
        <w:rPr>
          <w:lang w:eastAsia="en-AU"/>
        </w:rPr>
        <w:t>– Where accounting debits (</w:t>
      </w:r>
      <w:r w:rsidR="002C6EE4">
        <w:rPr>
          <w:lang w:eastAsia="en-AU"/>
        </w:rPr>
        <w:t>"</w:t>
      </w:r>
      <w:r w:rsidR="00176DDE" w:rsidRPr="00176DDE">
        <w:rPr>
          <w:lang w:eastAsia="en-AU"/>
        </w:rPr>
        <w:t>Debits</w:t>
      </w:r>
      <w:r w:rsidR="002C6EE4">
        <w:rPr>
          <w:lang w:eastAsia="en-AU"/>
        </w:rPr>
        <w:t>"</w:t>
      </w:r>
      <w:r w:rsidR="00176DDE" w:rsidRPr="00176DDE">
        <w:rPr>
          <w:lang w:eastAsia="en-AU"/>
        </w:rPr>
        <w:t xml:space="preserve">) made in accounts of Companies, for corporation tax purposes, as result of grant of share options </w:t>
      </w:r>
      <w:r w:rsidR="00EC5D8C" w:rsidRPr="00176DDE">
        <w:rPr>
          <w:lang w:eastAsia="en-AU"/>
        </w:rPr>
        <w:t>– Where Companies required by International Financial Reporting Standard 2 to recognise profit and loss accounts that services of their employees, remunerated in part by options, had consumed in generating profits</w:t>
      </w:r>
      <w:r w:rsidR="00176DDE">
        <w:rPr>
          <w:lang w:eastAsia="en-AU"/>
        </w:rPr>
        <w:t xml:space="preserve"> </w:t>
      </w:r>
      <w:r w:rsidR="00176DDE" w:rsidRPr="00176DDE">
        <w:rPr>
          <w:lang w:eastAsia="en-AU"/>
        </w:rPr>
        <w:t xml:space="preserve">– </w:t>
      </w:r>
      <w:r w:rsidR="00914F04" w:rsidRPr="00176DDE">
        <w:rPr>
          <w:lang w:eastAsia="en-AU"/>
        </w:rPr>
        <w:t xml:space="preserve">Whether disregarding Debits </w:t>
      </w:r>
      <w:r w:rsidR="002C6EE4">
        <w:rPr>
          <w:lang w:eastAsia="en-AU"/>
        </w:rPr>
        <w:t>"</w:t>
      </w:r>
      <w:r w:rsidR="00914F04" w:rsidRPr="00176DDE">
        <w:rPr>
          <w:lang w:eastAsia="en-AU"/>
        </w:rPr>
        <w:t>adjustment required or authorised by law</w:t>
      </w:r>
      <w:r w:rsidR="002C6EE4">
        <w:rPr>
          <w:lang w:eastAsia="en-AU"/>
        </w:rPr>
        <w:t>"</w:t>
      </w:r>
      <w:r w:rsidR="00914F04" w:rsidRPr="00176DDE">
        <w:rPr>
          <w:lang w:eastAsia="en-AU"/>
        </w:rPr>
        <w:t xml:space="preserve"> within</w:t>
      </w:r>
      <w:r w:rsidR="00914F04">
        <w:rPr>
          <w:lang w:eastAsia="en-AU"/>
        </w:rPr>
        <w:t xml:space="preserve"> meaning of </w:t>
      </w:r>
      <w:r w:rsidR="00D719DF">
        <w:rPr>
          <w:lang w:eastAsia="en-AU"/>
        </w:rPr>
        <w:t xml:space="preserve">s </w:t>
      </w:r>
      <w:r w:rsidR="00914F04">
        <w:rPr>
          <w:lang w:eastAsia="en-AU"/>
        </w:rPr>
        <w:t xml:space="preserve">46(1) of CTA 2009 – Whether </w:t>
      </w:r>
      <w:r w:rsidR="00914F04" w:rsidRPr="00914F04">
        <w:rPr>
          <w:lang w:eastAsia="en-AU"/>
        </w:rPr>
        <w:t xml:space="preserve">deduction disallowed by </w:t>
      </w:r>
      <w:r w:rsidR="00914F04">
        <w:rPr>
          <w:lang w:eastAsia="en-AU"/>
        </w:rPr>
        <w:t>s</w:t>
      </w:r>
      <w:r w:rsidR="00914F04" w:rsidRPr="00914F04">
        <w:rPr>
          <w:lang w:eastAsia="en-AU"/>
        </w:rPr>
        <w:t xml:space="preserve"> 54(1)(a) </w:t>
      </w:r>
      <w:r w:rsidR="00914F04">
        <w:rPr>
          <w:lang w:eastAsia="en-AU"/>
        </w:rPr>
        <w:t xml:space="preserve">of </w:t>
      </w:r>
      <w:r w:rsidR="00914F04" w:rsidRPr="00914F04">
        <w:rPr>
          <w:lang w:eastAsia="en-AU"/>
        </w:rPr>
        <w:t>CTA 2009</w:t>
      </w:r>
      <w:r w:rsidR="00176DDE">
        <w:rPr>
          <w:lang w:eastAsia="en-AU"/>
        </w:rPr>
        <w:t xml:space="preserve">, prohibiting deductions for </w:t>
      </w:r>
      <w:r w:rsidR="002C6EE4">
        <w:rPr>
          <w:lang w:eastAsia="en-AU"/>
        </w:rPr>
        <w:t>"</w:t>
      </w:r>
      <w:r w:rsidR="00176DDE">
        <w:rPr>
          <w:lang w:eastAsia="en-AU"/>
        </w:rPr>
        <w:t>expenses not incurred wholly and exclusively for purposes of trade</w:t>
      </w:r>
      <w:r w:rsidR="002C6EE4">
        <w:rPr>
          <w:lang w:eastAsia="en-AU"/>
        </w:rPr>
        <w:t>"</w:t>
      </w:r>
      <w:r w:rsidR="00914F04">
        <w:rPr>
          <w:lang w:eastAsia="en-AU"/>
        </w:rPr>
        <w:t xml:space="preserve"> – Whether deduction disallowed by s 53 CTA 2009, which provided no deduction allowed for </w:t>
      </w:r>
      <w:r w:rsidR="002C6EE4">
        <w:rPr>
          <w:lang w:eastAsia="en-AU"/>
        </w:rPr>
        <w:t>"</w:t>
      </w:r>
      <w:r w:rsidR="00914F04">
        <w:rPr>
          <w:lang w:eastAsia="en-AU"/>
        </w:rPr>
        <w:t>items of capital nature</w:t>
      </w:r>
      <w:r w:rsidR="002C6EE4">
        <w:rPr>
          <w:lang w:eastAsia="en-AU"/>
        </w:rPr>
        <w:t>"</w:t>
      </w:r>
      <w:r w:rsidR="00176DDE">
        <w:rPr>
          <w:lang w:eastAsia="en-AU"/>
        </w:rPr>
        <w:t xml:space="preserve"> – </w:t>
      </w:r>
      <w:r w:rsidR="00176DDE" w:rsidRPr="00176DDE">
        <w:rPr>
          <w:lang w:eastAsia="en-AU"/>
        </w:rPr>
        <w:t xml:space="preserve">Whether deduction is disallowed (or deferred) by </w:t>
      </w:r>
      <w:r w:rsidR="00D719DF">
        <w:rPr>
          <w:lang w:eastAsia="en-AU"/>
        </w:rPr>
        <w:t>s</w:t>
      </w:r>
      <w:r w:rsidR="00176DDE" w:rsidRPr="00176DDE">
        <w:rPr>
          <w:lang w:eastAsia="en-AU"/>
        </w:rPr>
        <w:t xml:space="preserve"> 1290 CTA 2009</w:t>
      </w:r>
      <w:r w:rsidR="00176DDE">
        <w:rPr>
          <w:lang w:eastAsia="en-AU"/>
        </w:rPr>
        <w:t xml:space="preserve">, </w:t>
      </w:r>
      <w:r w:rsidR="005D7EDC">
        <w:rPr>
          <w:lang w:eastAsia="en-AU"/>
        </w:rPr>
        <w:t>restricting deductions of employee benefit contributions</w:t>
      </w:r>
      <w:r w:rsidR="00914F04">
        <w:rPr>
          <w:lang w:eastAsia="en-AU"/>
        </w:rPr>
        <w:t xml:space="preserve">. </w:t>
      </w:r>
    </w:p>
    <w:p w14:paraId="61F3CC03" w14:textId="77777777" w:rsidR="001E62DA" w:rsidRPr="001E62DA" w:rsidRDefault="001E62DA" w:rsidP="001E62DA">
      <w:pPr>
        <w:rPr>
          <w:b/>
          <w:bCs/>
          <w:lang w:eastAsia="en-AU"/>
        </w:rPr>
      </w:pPr>
    </w:p>
    <w:p w14:paraId="60E67DAF" w14:textId="31B0B568" w:rsidR="001E62DA" w:rsidRPr="001E62DA" w:rsidRDefault="001E62DA" w:rsidP="001E62DA">
      <w:pPr>
        <w:rPr>
          <w:lang w:eastAsia="en-AU"/>
        </w:rPr>
      </w:pPr>
      <w:r w:rsidRPr="001E62DA">
        <w:rPr>
          <w:b/>
          <w:bCs/>
          <w:lang w:eastAsia="en-AU"/>
        </w:rPr>
        <w:t>Held (5:0):</w:t>
      </w:r>
      <w:r w:rsidRPr="001E62DA">
        <w:rPr>
          <w:lang w:eastAsia="en-AU"/>
        </w:rPr>
        <w:t xml:space="preserve"> Appeal dismissed.</w:t>
      </w:r>
    </w:p>
    <w:p w14:paraId="2F3F15C3" w14:textId="77777777" w:rsidR="001E62DA" w:rsidRPr="00DD0272" w:rsidRDefault="001E62DA" w:rsidP="00DD0272">
      <w:pPr>
        <w:pBdr>
          <w:bottom w:val="double" w:sz="6" w:space="1" w:color="auto"/>
        </w:pBdr>
        <w:rPr>
          <w:rFonts w:cs="Arial"/>
          <w:szCs w:val="20"/>
          <w:highlight w:val="yellow"/>
          <w:lang w:eastAsia="en-AU"/>
        </w:rPr>
      </w:pPr>
    </w:p>
    <w:p w14:paraId="6A151D7C" w14:textId="77777777" w:rsidR="00DD0272" w:rsidRPr="00DD0272" w:rsidRDefault="00DD0272" w:rsidP="00DD0272"/>
    <w:p w14:paraId="471913C2" w14:textId="77777777" w:rsidR="00DD0272" w:rsidRPr="00DD0272" w:rsidRDefault="00DD0272" w:rsidP="00DD0272">
      <w:pPr>
        <w:tabs>
          <w:tab w:val="left" w:pos="5375"/>
        </w:tabs>
        <w:outlineLvl w:val="0"/>
        <w:rPr>
          <w:rFonts w:ascii="Garamond" w:hAnsi="Garamond"/>
          <w:b/>
          <w:sz w:val="44"/>
          <w:szCs w:val="24"/>
          <w:lang w:eastAsia="en-AU"/>
        </w:rPr>
      </w:pPr>
      <w:r w:rsidRPr="00DD0272">
        <w:rPr>
          <w:rFonts w:ascii="Garamond" w:hAnsi="Garamond"/>
          <w:b/>
          <w:sz w:val="44"/>
          <w:szCs w:val="24"/>
          <w:lang w:eastAsia="en-AU"/>
        </w:rPr>
        <w:t>Voting Rights</w:t>
      </w:r>
    </w:p>
    <w:p w14:paraId="2817E107" w14:textId="77777777" w:rsidR="00DD0272" w:rsidRPr="00DD0272" w:rsidRDefault="00DD0272" w:rsidP="00DD0272">
      <w:pPr>
        <w:rPr>
          <w:lang w:eastAsia="en-AU"/>
        </w:rPr>
      </w:pPr>
    </w:p>
    <w:p w14:paraId="3720A46F" w14:textId="77777777" w:rsidR="00DD0272" w:rsidRPr="00DD0272" w:rsidRDefault="00DD0272" w:rsidP="00DD0272">
      <w:pPr>
        <w:keepNext/>
        <w:outlineLvl w:val="1"/>
        <w:rPr>
          <w:rFonts w:ascii="Arial" w:hAnsi="Arial" w:cs="Arial"/>
          <w:bCs/>
          <w:i/>
          <w:iCs/>
          <w:sz w:val="28"/>
          <w:szCs w:val="28"/>
          <w:lang w:eastAsia="en-AU"/>
        </w:rPr>
      </w:pPr>
      <w:r w:rsidRPr="00DD0272">
        <w:rPr>
          <w:rFonts w:ascii="Arial" w:hAnsi="Arial" w:cs="Arial"/>
          <w:bCs/>
          <w:i/>
          <w:iCs/>
          <w:sz w:val="28"/>
          <w:szCs w:val="28"/>
          <w:lang w:eastAsia="en-AU"/>
        </w:rPr>
        <w:t>Wisconsin Legislature v Wisconsin Elections Commission</w:t>
      </w:r>
    </w:p>
    <w:p w14:paraId="7A50F676" w14:textId="77777777" w:rsidR="00DD0272" w:rsidRPr="00DD0272" w:rsidRDefault="00DD0272" w:rsidP="00DD0272">
      <w:pPr>
        <w:rPr>
          <w:lang w:eastAsia="en-AU"/>
        </w:rPr>
      </w:pPr>
      <w:r w:rsidRPr="00DD0272">
        <w:rPr>
          <w:b/>
          <w:bCs/>
          <w:lang w:eastAsia="en-AU"/>
        </w:rPr>
        <w:t>Supreme Court of the United States:</w:t>
      </w:r>
      <w:r w:rsidRPr="00DD0272">
        <w:rPr>
          <w:lang w:eastAsia="en-AU"/>
        </w:rPr>
        <w:t xml:space="preserve"> </w:t>
      </w:r>
      <w:hyperlink r:id="rId45" w:history="1">
        <w:r w:rsidRPr="00DD0272">
          <w:rPr>
            <w:color w:val="0000FF"/>
            <w:u w:val="single"/>
          </w:rPr>
          <w:t>Docket No. 21A471</w:t>
        </w:r>
      </w:hyperlink>
    </w:p>
    <w:p w14:paraId="0F0BF94B" w14:textId="77777777" w:rsidR="00DD0272" w:rsidRPr="00DD0272" w:rsidRDefault="00DD0272" w:rsidP="00DD0272">
      <w:pPr>
        <w:rPr>
          <w:lang w:eastAsia="en-AU"/>
        </w:rPr>
      </w:pPr>
    </w:p>
    <w:p w14:paraId="59675F6D" w14:textId="77777777" w:rsidR="00DD0272" w:rsidRPr="00DD0272" w:rsidRDefault="00DD0272" w:rsidP="00DD0272">
      <w:pPr>
        <w:rPr>
          <w:lang w:eastAsia="en-AU"/>
        </w:rPr>
      </w:pPr>
      <w:r w:rsidRPr="00DD0272">
        <w:rPr>
          <w:b/>
          <w:bCs/>
          <w:lang w:eastAsia="en-AU"/>
        </w:rPr>
        <w:t xml:space="preserve">Judgment delivered: </w:t>
      </w:r>
      <w:r w:rsidRPr="00DD0272">
        <w:rPr>
          <w:lang w:eastAsia="en-AU"/>
        </w:rPr>
        <w:t>23 March 2022</w:t>
      </w:r>
    </w:p>
    <w:p w14:paraId="6DC4C6BD" w14:textId="77777777" w:rsidR="00DD0272" w:rsidRPr="00DD0272" w:rsidRDefault="00DD0272" w:rsidP="00DD0272">
      <w:pPr>
        <w:rPr>
          <w:b/>
          <w:bCs/>
          <w:lang w:eastAsia="en-AU"/>
        </w:rPr>
      </w:pPr>
    </w:p>
    <w:p w14:paraId="31094150" w14:textId="77777777" w:rsidR="00DD0272" w:rsidRPr="00DD0272" w:rsidRDefault="00DD0272" w:rsidP="00DD0272">
      <w:pPr>
        <w:rPr>
          <w:lang w:eastAsia="en-AU"/>
        </w:rPr>
      </w:pPr>
      <w:r w:rsidRPr="00DD0272">
        <w:rPr>
          <w:b/>
          <w:bCs/>
          <w:lang w:eastAsia="en-AU"/>
        </w:rPr>
        <w:t>Coram:</w:t>
      </w:r>
      <w:r w:rsidRPr="00DD0272">
        <w:t xml:space="preserve"> </w:t>
      </w:r>
      <w:r w:rsidRPr="00DD0272">
        <w:rPr>
          <w:lang w:eastAsia="en-AU"/>
        </w:rPr>
        <w:t>Roberts CJ, Thomas, Breyer, Alito, Sotomayor, Kagan, Gorsuch,</w:t>
      </w:r>
    </w:p>
    <w:p w14:paraId="4B1B6F41" w14:textId="77777777" w:rsidR="00DD0272" w:rsidRPr="00DD0272" w:rsidRDefault="00DD0272" w:rsidP="00DD0272">
      <w:pPr>
        <w:rPr>
          <w:lang w:eastAsia="en-AU"/>
        </w:rPr>
      </w:pPr>
      <w:r w:rsidRPr="00DD0272">
        <w:rPr>
          <w:lang w:eastAsia="en-AU"/>
        </w:rPr>
        <w:t>Kavanaugh and Barrett JJ</w:t>
      </w:r>
    </w:p>
    <w:p w14:paraId="7687FE9B" w14:textId="77777777" w:rsidR="00DD0272" w:rsidRPr="00DD0272" w:rsidRDefault="00DD0272" w:rsidP="00DD0272">
      <w:pPr>
        <w:rPr>
          <w:b/>
          <w:bCs/>
          <w:lang w:eastAsia="en-AU"/>
        </w:rPr>
      </w:pPr>
    </w:p>
    <w:p w14:paraId="5A3F7306" w14:textId="77777777" w:rsidR="00DD0272" w:rsidRPr="00DD0272" w:rsidRDefault="00DD0272" w:rsidP="00DD0272">
      <w:pPr>
        <w:rPr>
          <w:b/>
          <w:bCs/>
          <w:lang w:eastAsia="en-AU"/>
        </w:rPr>
      </w:pPr>
      <w:r w:rsidRPr="00DD0272">
        <w:rPr>
          <w:b/>
          <w:bCs/>
          <w:lang w:eastAsia="en-AU"/>
        </w:rPr>
        <w:t>Catchwords:</w:t>
      </w:r>
    </w:p>
    <w:p w14:paraId="4F2C8A9D" w14:textId="77777777" w:rsidR="00DD0272" w:rsidRPr="00DD0272" w:rsidRDefault="00DD0272" w:rsidP="00DD0272">
      <w:pPr>
        <w:rPr>
          <w:b/>
          <w:bCs/>
          <w:lang w:eastAsia="en-AU"/>
        </w:rPr>
      </w:pPr>
    </w:p>
    <w:p w14:paraId="7ACE9647" w14:textId="37AA7EED" w:rsidR="00DD0272" w:rsidRPr="00DD0272" w:rsidRDefault="00DD0272" w:rsidP="00DD0272">
      <w:pPr>
        <w:ind w:left="720"/>
        <w:rPr>
          <w:lang w:eastAsia="en-AU"/>
        </w:rPr>
      </w:pPr>
      <w:r w:rsidRPr="00DD0272">
        <w:rPr>
          <w:lang w:eastAsia="en-AU"/>
        </w:rPr>
        <w:t>Voting rights – Redistricting – Where, following 2020 census, Wisconsin’s State Assembly and Senate districts no longer equally apportioned – Where, after reaching impasse, Wisconsin Legislature and Governor turned to Wisconsin Supreme Court (</w:t>
      </w:r>
      <w:r w:rsidR="002C6EE4">
        <w:rPr>
          <w:lang w:eastAsia="en-AU"/>
        </w:rPr>
        <w:t>"</w:t>
      </w:r>
      <w:r w:rsidRPr="00DD0272">
        <w:rPr>
          <w:lang w:eastAsia="en-AU"/>
        </w:rPr>
        <w:t>WSC</w:t>
      </w:r>
      <w:r w:rsidR="002C6EE4">
        <w:rPr>
          <w:lang w:eastAsia="en-AU"/>
        </w:rPr>
        <w:t>"</w:t>
      </w:r>
      <w:r w:rsidRPr="00DD0272">
        <w:rPr>
          <w:lang w:eastAsia="en-AU"/>
        </w:rPr>
        <w:t xml:space="preserve">) – Where WSC invited parties to propose maps complying with State Constitution, Federal Constitution, and </w:t>
      </w:r>
      <w:r w:rsidRPr="00DD0272">
        <w:rPr>
          <w:i/>
          <w:iCs/>
          <w:lang w:eastAsia="en-AU"/>
        </w:rPr>
        <w:t>Voting Rights Act of 1965</w:t>
      </w:r>
      <w:r w:rsidRPr="00DD0272">
        <w:rPr>
          <w:lang w:eastAsia="en-AU"/>
        </w:rPr>
        <w:t xml:space="preserve"> (</w:t>
      </w:r>
      <w:r w:rsidR="002C6EE4">
        <w:rPr>
          <w:lang w:eastAsia="en-AU"/>
        </w:rPr>
        <w:t>"</w:t>
      </w:r>
      <w:r w:rsidRPr="00DD0272">
        <w:rPr>
          <w:lang w:eastAsia="en-AU"/>
        </w:rPr>
        <w:t>VRA</w:t>
      </w:r>
      <w:r w:rsidR="002C6EE4">
        <w:rPr>
          <w:lang w:eastAsia="en-AU"/>
        </w:rPr>
        <w:t>"</w:t>
      </w:r>
      <w:r w:rsidRPr="00DD0272">
        <w:rPr>
          <w:lang w:eastAsia="en-AU"/>
        </w:rPr>
        <w:t>) – Where WSC issued decision selecting Assembly and Senate maps that Governor proposed which created seven majority</w:t>
      </w:r>
      <w:r w:rsidR="001E0061">
        <w:rPr>
          <w:lang w:eastAsia="en-AU"/>
        </w:rPr>
        <w:noBreakHyphen/>
      </w:r>
      <w:r w:rsidRPr="00DD0272">
        <w:rPr>
          <w:lang w:eastAsia="en-AU"/>
        </w:rPr>
        <w:t>black districts – Where WSC held it could not be satisfied that seven</w:t>
      </w:r>
      <w:r w:rsidR="001E0061">
        <w:rPr>
          <w:lang w:eastAsia="en-AU"/>
        </w:rPr>
        <w:noBreakHyphen/>
      </w:r>
      <w:r w:rsidRPr="00DD0272">
        <w:rPr>
          <w:lang w:eastAsia="en-AU"/>
        </w:rPr>
        <w:t>majority black Assembly districts were required by VRA, but concluded Governor's map complied with Equal Protection Clause of Fourteenth Amendment – Whether WSC selected race</w:t>
      </w:r>
      <w:r w:rsidR="001E0061">
        <w:rPr>
          <w:lang w:eastAsia="en-AU"/>
        </w:rPr>
        <w:noBreakHyphen/>
      </w:r>
      <w:r w:rsidRPr="00DD0272">
        <w:rPr>
          <w:lang w:eastAsia="en-AU"/>
        </w:rPr>
        <w:t xml:space="preserve">based maps without sufficient justification in violation of Equal Protection Clause – Proper approach to relationship between </w:t>
      </w:r>
      <w:r w:rsidR="00D719DF" w:rsidRPr="00D719DF">
        <w:rPr>
          <w:lang w:eastAsia="en-AU"/>
        </w:rPr>
        <w:t>Equal Protection Clause</w:t>
      </w:r>
      <w:r w:rsidRPr="00DD0272">
        <w:rPr>
          <w:lang w:eastAsia="en-AU"/>
        </w:rPr>
        <w:t xml:space="preserve"> and VRA. </w:t>
      </w:r>
    </w:p>
    <w:p w14:paraId="62681B8D" w14:textId="77777777" w:rsidR="00DD0272" w:rsidRPr="00DD0272" w:rsidRDefault="00DD0272" w:rsidP="00DD0272">
      <w:pPr>
        <w:rPr>
          <w:b/>
          <w:bCs/>
          <w:lang w:eastAsia="en-AU"/>
        </w:rPr>
      </w:pPr>
    </w:p>
    <w:p w14:paraId="4EF5D081" w14:textId="77777777" w:rsidR="00DD0272" w:rsidRPr="00DD0272" w:rsidRDefault="00DD0272" w:rsidP="00DD0272">
      <w:pPr>
        <w:rPr>
          <w:lang w:eastAsia="en-AU"/>
        </w:rPr>
      </w:pPr>
      <w:r w:rsidRPr="00DD0272">
        <w:rPr>
          <w:b/>
          <w:bCs/>
          <w:lang w:eastAsia="en-AU"/>
        </w:rPr>
        <w:t>Held (7:2):</w:t>
      </w:r>
      <w:r w:rsidRPr="00DD0272">
        <w:rPr>
          <w:lang w:eastAsia="en-AU"/>
        </w:rPr>
        <w:t xml:space="preserve"> Judgment of the Supreme Court of Wisconsin reversed as to the selection of the Governor’s State Assembly and Senate maps; case remanded. </w:t>
      </w:r>
    </w:p>
    <w:p w14:paraId="474CCE5D" w14:textId="77777777" w:rsidR="00DD0272" w:rsidRPr="00DD0272" w:rsidRDefault="00DD0272" w:rsidP="00DD0272">
      <w:pPr>
        <w:pBdr>
          <w:bottom w:val="double" w:sz="6" w:space="1" w:color="auto"/>
        </w:pBdr>
        <w:rPr>
          <w:rFonts w:cs="Arial"/>
          <w:szCs w:val="20"/>
          <w:highlight w:val="yellow"/>
          <w:lang w:eastAsia="en-AU"/>
        </w:rPr>
      </w:pPr>
    </w:p>
    <w:p w14:paraId="68959608" w14:textId="77777777" w:rsidR="00DD0272" w:rsidRPr="00DD0272" w:rsidRDefault="00DD0272" w:rsidP="00DD0272">
      <w:pPr>
        <w:rPr>
          <w:highlight w:val="yellow"/>
          <w:lang w:eastAsia="en-AU"/>
        </w:rPr>
      </w:pPr>
    </w:p>
    <w:p w14:paraId="73D15E07" w14:textId="77777777" w:rsidR="00DD0272" w:rsidRPr="00DD0272" w:rsidRDefault="00DD0272" w:rsidP="00DD0272">
      <w:pPr>
        <w:rPr>
          <w:highlight w:val="yellow"/>
          <w:lang w:eastAsia="en-AU"/>
        </w:rPr>
      </w:pPr>
    </w:p>
    <w:sectPr w:rsidR="00DD0272" w:rsidRPr="00DD0272" w:rsidSect="00F4611C">
      <w:footerReference w:type="default" r:id="rId4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1B33" w14:textId="77777777" w:rsidR="00584359" w:rsidRDefault="00584359" w:rsidP="00803531">
      <w:r>
        <w:separator/>
      </w:r>
    </w:p>
  </w:endnote>
  <w:endnote w:type="continuationSeparator" w:id="0">
    <w:p w14:paraId="0F6154EE" w14:textId="77777777" w:rsidR="00584359" w:rsidRDefault="00584359"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CC53" w14:textId="1BE13D13" w:rsidR="00584359" w:rsidRDefault="00584359" w:rsidP="00FF7AAF">
    <w:pPr>
      <w:pStyle w:val="Footer"/>
    </w:pPr>
    <w:r>
      <w:t xml:space="preserve">ODB </w:t>
    </w:r>
    <w:r w:rsidRPr="007203D3">
      <w:t>(202</w:t>
    </w:r>
    <w:r>
      <w:t>2</w:t>
    </w:r>
    <w:r w:rsidRPr="007203D3">
      <w:t xml:space="preserve">) </w:t>
    </w:r>
    <w:r>
      <w:t>19:1</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4E8C" w14:textId="77777777" w:rsidR="00584359" w:rsidRDefault="00584359" w:rsidP="00803531">
      <w:r>
        <w:separator/>
      </w:r>
    </w:p>
  </w:footnote>
  <w:footnote w:type="continuationSeparator" w:id="0">
    <w:p w14:paraId="6896ECCB" w14:textId="77777777" w:rsidR="00584359" w:rsidRDefault="00584359"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3A8C"/>
    <w:rsid w:val="000057E1"/>
    <w:rsid w:val="0000611F"/>
    <w:rsid w:val="000061F8"/>
    <w:rsid w:val="00007833"/>
    <w:rsid w:val="0001028C"/>
    <w:rsid w:val="00012586"/>
    <w:rsid w:val="00014F57"/>
    <w:rsid w:val="00016876"/>
    <w:rsid w:val="00020080"/>
    <w:rsid w:val="000206E8"/>
    <w:rsid w:val="0002136F"/>
    <w:rsid w:val="00022533"/>
    <w:rsid w:val="000254ED"/>
    <w:rsid w:val="00025A72"/>
    <w:rsid w:val="0002797C"/>
    <w:rsid w:val="000300A3"/>
    <w:rsid w:val="00034778"/>
    <w:rsid w:val="00035ADE"/>
    <w:rsid w:val="00036B97"/>
    <w:rsid w:val="00040440"/>
    <w:rsid w:val="00040616"/>
    <w:rsid w:val="00041979"/>
    <w:rsid w:val="00044344"/>
    <w:rsid w:val="0004581A"/>
    <w:rsid w:val="00054234"/>
    <w:rsid w:val="00055030"/>
    <w:rsid w:val="00056565"/>
    <w:rsid w:val="00056AFF"/>
    <w:rsid w:val="00057B6F"/>
    <w:rsid w:val="00057E62"/>
    <w:rsid w:val="000608CF"/>
    <w:rsid w:val="0006158D"/>
    <w:rsid w:val="00061DE2"/>
    <w:rsid w:val="00063EAE"/>
    <w:rsid w:val="00064190"/>
    <w:rsid w:val="00066E88"/>
    <w:rsid w:val="00071C1F"/>
    <w:rsid w:val="00071E8B"/>
    <w:rsid w:val="0007274E"/>
    <w:rsid w:val="00075100"/>
    <w:rsid w:val="0007563A"/>
    <w:rsid w:val="00076788"/>
    <w:rsid w:val="0008349F"/>
    <w:rsid w:val="00083B55"/>
    <w:rsid w:val="0008559E"/>
    <w:rsid w:val="00085806"/>
    <w:rsid w:val="00092C1A"/>
    <w:rsid w:val="00092FB3"/>
    <w:rsid w:val="00097C28"/>
    <w:rsid w:val="000A0C44"/>
    <w:rsid w:val="000A0D8C"/>
    <w:rsid w:val="000A1252"/>
    <w:rsid w:val="000A148B"/>
    <w:rsid w:val="000A1BDC"/>
    <w:rsid w:val="000A28E4"/>
    <w:rsid w:val="000A32A4"/>
    <w:rsid w:val="000A3B5A"/>
    <w:rsid w:val="000A52DA"/>
    <w:rsid w:val="000A546C"/>
    <w:rsid w:val="000B2704"/>
    <w:rsid w:val="000B2CC5"/>
    <w:rsid w:val="000B404F"/>
    <w:rsid w:val="000B4066"/>
    <w:rsid w:val="000B64D7"/>
    <w:rsid w:val="000C0320"/>
    <w:rsid w:val="000C0D72"/>
    <w:rsid w:val="000C0DD6"/>
    <w:rsid w:val="000C13EC"/>
    <w:rsid w:val="000C26C1"/>
    <w:rsid w:val="000C68B4"/>
    <w:rsid w:val="000C70A6"/>
    <w:rsid w:val="000D1D3A"/>
    <w:rsid w:val="000D28D6"/>
    <w:rsid w:val="000D2EE4"/>
    <w:rsid w:val="000D3E8D"/>
    <w:rsid w:val="000D5142"/>
    <w:rsid w:val="000E1466"/>
    <w:rsid w:val="000E1CE7"/>
    <w:rsid w:val="000E2BAA"/>
    <w:rsid w:val="000E3315"/>
    <w:rsid w:val="000E58D2"/>
    <w:rsid w:val="000E5BD7"/>
    <w:rsid w:val="000E5F48"/>
    <w:rsid w:val="000E7F45"/>
    <w:rsid w:val="000F0DBE"/>
    <w:rsid w:val="000F0F86"/>
    <w:rsid w:val="000F35BD"/>
    <w:rsid w:val="000F389D"/>
    <w:rsid w:val="000F4DC5"/>
    <w:rsid w:val="000F7D3C"/>
    <w:rsid w:val="00100B3E"/>
    <w:rsid w:val="001018FD"/>
    <w:rsid w:val="001026B7"/>
    <w:rsid w:val="001036AC"/>
    <w:rsid w:val="00103F4B"/>
    <w:rsid w:val="0010659C"/>
    <w:rsid w:val="00106FCA"/>
    <w:rsid w:val="00112D8A"/>
    <w:rsid w:val="001139AF"/>
    <w:rsid w:val="00113C18"/>
    <w:rsid w:val="00115250"/>
    <w:rsid w:val="001158DF"/>
    <w:rsid w:val="00117699"/>
    <w:rsid w:val="00121E50"/>
    <w:rsid w:val="001224D8"/>
    <w:rsid w:val="00122779"/>
    <w:rsid w:val="00125B7B"/>
    <w:rsid w:val="0012760C"/>
    <w:rsid w:val="0013001F"/>
    <w:rsid w:val="00130C04"/>
    <w:rsid w:val="001328C3"/>
    <w:rsid w:val="00133E53"/>
    <w:rsid w:val="001348BB"/>
    <w:rsid w:val="001364EF"/>
    <w:rsid w:val="00136EE9"/>
    <w:rsid w:val="00137559"/>
    <w:rsid w:val="0013755F"/>
    <w:rsid w:val="00137667"/>
    <w:rsid w:val="00140FCC"/>
    <w:rsid w:val="00142680"/>
    <w:rsid w:val="00143ADC"/>
    <w:rsid w:val="001451E5"/>
    <w:rsid w:val="0014649A"/>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0099"/>
    <w:rsid w:val="001730B2"/>
    <w:rsid w:val="001761EF"/>
    <w:rsid w:val="001762D9"/>
    <w:rsid w:val="001765A2"/>
    <w:rsid w:val="00176DDE"/>
    <w:rsid w:val="00176E3A"/>
    <w:rsid w:val="00176FC8"/>
    <w:rsid w:val="00180393"/>
    <w:rsid w:val="0018118A"/>
    <w:rsid w:val="001812FD"/>
    <w:rsid w:val="00181993"/>
    <w:rsid w:val="00181C26"/>
    <w:rsid w:val="00181C2D"/>
    <w:rsid w:val="00182267"/>
    <w:rsid w:val="00182F80"/>
    <w:rsid w:val="00183809"/>
    <w:rsid w:val="001845F8"/>
    <w:rsid w:val="00184BF6"/>
    <w:rsid w:val="00185B04"/>
    <w:rsid w:val="001861E1"/>
    <w:rsid w:val="00186837"/>
    <w:rsid w:val="0018777A"/>
    <w:rsid w:val="0019053F"/>
    <w:rsid w:val="0019057F"/>
    <w:rsid w:val="00190714"/>
    <w:rsid w:val="00193C5B"/>
    <w:rsid w:val="00193D7D"/>
    <w:rsid w:val="00194719"/>
    <w:rsid w:val="00197443"/>
    <w:rsid w:val="001A1741"/>
    <w:rsid w:val="001A19C8"/>
    <w:rsid w:val="001A1BEC"/>
    <w:rsid w:val="001A3C19"/>
    <w:rsid w:val="001A3D22"/>
    <w:rsid w:val="001A5535"/>
    <w:rsid w:val="001A674A"/>
    <w:rsid w:val="001B0F99"/>
    <w:rsid w:val="001B2725"/>
    <w:rsid w:val="001B34E9"/>
    <w:rsid w:val="001B44B0"/>
    <w:rsid w:val="001B62EE"/>
    <w:rsid w:val="001B6F90"/>
    <w:rsid w:val="001C02C1"/>
    <w:rsid w:val="001C691E"/>
    <w:rsid w:val="001D1234"/>
    <w:rsid w:val="001D187A"/>
    <w:rsid w:val="001D1F45"/>
    <w:rsid w:val="001D36B4"/>
    <w:rsid w:val="001D376F"/>
    <w:rsid w:val="001D4B11"/>
    <w:rsid w:val="001E0061"/>
    <w:rsid w:val="001E3306"/>
    <w:rsid w:val="001E333A"/>
    <w:rsid w:val="001E3CAD"/>
    <w:rsid w:val="001E5A46"/>
    <w:rsid w:val="001E6171"/>
    <w:rsid w:val="001E62DA"/>
    <w:rsid w:val="001F09C4"/>
    <w:rsid w:val="001F2076"/>
    <w:rsid w:val="001F33E7"/>
    <w:rsid w:val="001F3418"/>
    <w:rsid w:val="00201B76"/>
    <w:rsid w:val="00201D90"/>
    <w:rsid w:val="00205443"/>
    <w:rsid w:val="00205B04"/>
    <w:rsid w:val="00207229"/>
    <w:rsid w:val="00207628"/>
    <w:rsid w:val="002110A3"/>
    <w:rsid w:val="00211DFA"/>
    <w:rsid w:val="00212027"/>
    <w:rsid w:val="00212845"/>
    <w:rsid w:val="0021397A"/>
    <w:rsid w:val="00213C1A"/>
    <w:rsid w:val="00213D2B"/>
    <w:rsid w:val="00216046"/>
    <w:rsid w:val="002209A5"/>
    <w:rsid w:val="0022191E"/>
    <w:rsid w:val="00221F4D"/>
    <w:rsid w:val="002225AA"/>
    <w:rsid w:val="002233EB"/>
    <w:rsid w:val="0022481A"/>
    <w:rsid w:val="002267EA"/>
    <w:rsid w:val="00227473"/>
    <w:rsid w:val="00227577"/>
    <w:rsid w:val="00230A69"/>
    <w:rsid w:val="002347CA"/>
    <w:rsid w:val="002367D5"/>
    <w:rsid w:val="00236AC3"/>
    <w:rsid w:val="00240E8A"/>
    <w:rsid w:val="002410CC"/>
    <w:rsid w:val="002433A8"/>
    <w:rsid w:val="00243A33"/>
    <w:rsid w:val="002459E4"/>
    <w:rsid w:val="00245A3F"/>
    <w:rsid w:val="00246EF5"/>
    <w:rsid w:val="00247287"/>
    <w:rsid w:val="002477DC"/>
    <w:rsid w:val="00250F94"/>
    <w:rsid w:val="00251B4F"/>
    <w:rsid w:val="00251D0F"/>
    <w:rsid w:val="0025252A"/>
    <w:rsid w:val="002526F0"/>
    <w:rsid w:val="00252F31"/>
    <w:rsid w:val="00254090"/>
    <w:rsid w:val="002540B8"/>
    <w:rsid w:val="002704EC"/>
    <w:rsid w:val="00270925"/>
    <w:rsid w:val="00270FCA"/>
    <w:rsid w:val="0027369F"/>
    <w:rsid w:val="00274D19"/>
    <w:rsid w:val="00276923"/>
    <w:rsid w:val="00280499"/>
    <w:rsid w:val="00281809"/>
    <w:rsid w:val="002839D9"/>
    <w:rsid w:val="0028505C"/>
    <w:rsid w:val="00285C50"/>
    <w:rsid w:val="00286BC6"/>
    <w:rsid w:val="002904E1"/>
    <w:rsid w:val="00292ECB"/>
    <w:rsid w:val="002936F6"/>
    <w:rsid w:val="00296137"/>
    <w:rsid w:val="00297845"/>
    <w:rsid w:val="002A3C55"/>
    <w:rsid w:val="002A44D4"/>
    <w:rsid w:val="002A527B"/>
    <w:rsid w:val="002A69DC"/>
    <w:rsid w:val="002A6DD4"/>
    <w:rsid w:val="002B1336"/>
    <w:rsid w:val="002B1A95"/>
    <w:rsid w:val="002B4119"/>
    <w:rsid w:val="002B47B1"/>
    <w:rsid w:val="002B58BD"/>
    <w:rsid w:val="002B75D6"/>
    <w:rsid w:val="002B7B5E"/>
    <w:rsid w:val="002C0A90"/>
    <w:rsid w:val="002C2C37"/>
    <w:rsid w:val="002C32C0"/>
    <w:rsid w:val="002C3E68"/>
    <w:rsid w:val="002C5401"/>
    <w:rsid w:val="002C5856"/>
    <w:rsid w:val="002C6EE4"/>
    <w:rsid w:val="002D134E"/>
    <w:rsid w:val="002E0A88"/>
    <w:rsid w:val="002E2518"/>
    <w:rsid w:val="002E3D12"/>
    <w:rsid w:val="002E5D09"/>
    <w:rsid w:val="002E6996"/>
    <w:rsid w:val="002E7C04"/>
    <w:rsid w:val="002F18CF"/>
    <w:rsid w:val="002F220E"/>
    <w:rsid w:val="002F2A65"/>
    <w:rsid w:val="002F3DE5"/>
    <w:rsid w:val="002F40F5"/>
    <w:rsid w:val="002F41DC"/>
    <w:rsid w:val="002F4B3A"/>
    <w:rsid w:val="002F4F7E"/>
    <w:rsid w:val="002F5F93"/>
    <w:rsid w:val="002F73D6"/>
    <w:rsid w:val="002F7A17"/>
    <w:rsid w:val="002F7D66"/>
    <w:rsid w:val="00300A88"/>
    <w:rsid w:val="00301AC5"/>
    <w:rsid w:val="00301B43"/>
    <w:rsid w:val="00304307"/>
    <w:rsid w:val="00307804"/>
    <w:rsid w:val="0031010D"/>
    <w:rsid w:val="00310522"/>
    <w:rsid w:val="003108B3"/>
    <w:rsid w:val="00310A4E"/>
    <w:rsid w:val="00310EE6"/>
    <w:rsid w:val="0031754B"/>
    <w:rsid w:val="003178CF"/>
    <w:rsid w:val="0032013E"/>
    <w:rsid w:val="003208D9"/>
    <w:rsid w:val="0032098B"/>
    <w:rsid w:val="0032244A"/>
    <w:rsid w:val="00326031"/>
    <w:rsid w:val="003261E1"/>
    <w:rsid w:val="0033020E"/>
    <w:rsid w:val="00332F75"/>
    <w:rsid w:val="003434A4"/>
    <w:rsid w:val="0034457C"/>
    <w:rsid w:val="003470D1"/>
    <w:rsid w:val="00351E4C"/>
    <w:rsid w:val="00353F9E"/>
    <w:rsid w:val="003553B8"/>
    <w:rsid w:val="003579AA"/>
    <w:rsid w:val="003604E8"/>
    <w:rsid w:val="00360F0A"/>
    <w:rsid w:val="0036233C"/>
    <w:rsid w:val="00363764"/>
    <w:rsid w:val="0036633D"/>
    <w:rsid w:val="0037207F"/>
    <w:rsid w:val="003727FC"/>
    <w:rsid w:val="0037306C"/>
    <w:rsid w:val="0037370F"/>
    <w:rsid w:val="00373D30"/>
    <w:rsid w:val="00375515"/>
    <w:rsid w:val="0037654C"/>
    <w:rsid w:val="00376C9D"/>
    <w:rsid w:val="00380978"/>
    <w:rsid w:val="00381899"/>
    <w:rsid w:val="0038382C"/>
    <w:rsid w:val="00385DA8"/>
    <w:rsid w:val="003868AD"/>
    <w:rsid w:val="00387C34"/>
    <w:rsid w:val="00387DCC"/>
    <w:rsid w:val="003908CA"/>
    <w:rsid w:val="0039160C"/>
    <w:rsid w:val="00394C86"/>
    <w:rsid w:val="003A011E"/>
    <w:rsid w:val="003A1231"/>
    <w:rsid w:val="003A156B"/>
    <w:rsid w:val="003A1962"/>
    <w:rsid w:val="003A3A72"/>
    <w:rsid w:val="003A3C15"/>
    <w:rsid w:val="003A7D12"/>
    <w:rsid w:val="003B13F6"/>
    <w:rsid w:val="003B18B6"/>
    <w:rsid w:val="003B405E"/>
    <w:rsid w:val="003B5377"/>
    <w:rsid w:val="003C0017"/>
    <w:rsid w:val="003C18F0"/>
    <w:rsid w:val="003C25CB"/>
    <w:rsid w:val="003C28A6"/>
    <w:rsid w:val="003C4007"/>
    <w:rsid w:val="003C606F"/>
    <w:rsid w:val="003C6712"/>
    <w:rsid w:val="003C7439"/>
    <w:rsid w:val="003D1498"/>
    <w:rsid w:val="003D72BF"/>
    <w:rsid w:val="003D7578"/>
    <w:rsid w:val="003E0190"/>
    <w:rsid w:val="003E027B"/>
    <w:rsid w:val="003E17B7"/>
    <w:rsid w:val="003E27C2"/>
    <w:rsid w:val="003E31C1"/>
    <w:rsid w:val="003F165A"/>
    <w:rsid w:val="003F1AD9"/>
    <w:rsid w:val="003F26EE"/>
    <w:rsid w:val="003F270F"/>
    <w:rsid w:val="003F3508"/>
    <w:rsid w:val="003F4132"/>
    <w:rsid w:val="003F418A"/>
    <w:rsid w:val="003F5341"/>
    <w:rsid w:val="003F6485"/>
    <w:rsid w:val="004007CD"/>
    <w:rsid w:val="00401A7C"/>
    <w:rsid w:val="00403C92"/>
    <w:rsid w:val="004056FE"/>
    <w:rsid w:val="0040595D"/>
    <w:rsid w:val="00405DFD"/>
    <w:rsid w:val="004061FF"/>
    <w:rsid w:val="00406C77"/>
    <w:rsid w:val="00411AFF"/>
    <w:rsid w:val="00412E8D"/>
    <w:rsid w:val="004138B3"/>
    <w:rsid w:val="004145EF"/>
    <w:rsid w:val="00414F67"/>
    <w:rsid w:val="00415D91"/>
    <w:rsid w:val="004211CE"/>
    <w:rsid w:val="00423F69"/>
    <w:rsid w:val="00424660"/>
    <w:rsid w:val="00427221"/>
    <w:rsid w:val="004273FD"/>
    <w:rsid w:val="00430424"/>
    <w:rsid w:val="0043209B"/>
    <w:rsid w:val="0043549F"/>
    <w:rsid w:val="00436081"/>
    <w:rsid w:val="004402BC"/>
    <w:rsid w:val="00444A54"/>
    <w:rsid w:val="00445279"/>
    <w:rsid w:val="00451339"/>
    <w:rsid w:val="00451E71"/>
    <w:rsid w:val="00455298"/>
    <w:rsid w:val="00455553"/>
    <w:rsid w:val="00455B96"/>
    <w:rsid w:val="004570E7"/>
    <w:rsid w:val="0046101B"/>
    <w:rsid w:val="00462AEB"/>
    <w:rsid w:val="0046475B"/>
    <w:rsid w:val="00465D90"/>
    <w:rsid w:val="00466473"/>
    <w:rsid w:val="00466689"/>
    <w:rsid w:val="004668F6"/>
    <w:rsid w:val="004676C3"/>
    <w:rsid w:val="004707D0"/>
    <w:rsid w:val="004711A0"/>
    <w:rsid w:val="00471F89"/>
    <w:rsid w:val="00475D39"/>
    <w:rsid w:val="00476476"/>
    <w:rsid w:val="00477A68"/>
    <w:rsid w:val="00480F84"/>
    <w:rsid w:val="0048113B"/>
    <w:rsid w:val="00481FA6"/>
    <w:rsid w:val="00482C3A"/>
    <w:rsid w:val="00484053"/>
    <w:rsid w:val="0048654B"/>
    <w:rsid w:val="00486A6F"/>
    <w:rsid w:val="00486B32"/>
    <w:rsid w:val="00490E9B"/>
    <w:rsid w:val="00493062"/>
    <w:rsid w:val="00497BA0"/>
    <w:rsid w:val="00497C2A"/>
    <w:rsid w:val="004A179F"/>
    <w:rsid w:val="004B33B5"/>
    <w:rsid w:val="004B4405"/>
    <w:rsid w:val="004B509B"/>
    <w:rsid w:val="004B5AE4"/>
    <w:rsid w:val="004B7772"/>
    <w:rsid w:val="004C01B0"/>
    <w:rsid w:val="004C3A90"/>
    <w:rsid w:val="004C5D19"/>
    <w:rsid w:val="004D1BDA"/>
    <w:rsid w:val="004D416B"/>
    <w:rsid w:val="004D4446"/>
    <w:rsid w:val="004D4D99"/>
    <w:rsid w:val="004D5C54"/>
    <w:rsid w:val="004E43DD"/>
    <w:rsid w:val="004E5A9D"/>
    <w:rsid w:val="004F2FA3"/>
    <w:rsid w:val="004F5D25"/>
    <w:rsid w:val="004F76BF"/>
    <w:rsid w:val="004F79DE"/>
    <w:rsid w:val="004F7B7B"/>
    <w:rsid w:val="00502BC3"/>
    <w:rsid w:val="00502C3F"/>
    <w:rsid w:val="00503C5F"/>
    <w:rsid w:val="00504DB3"/>
    <w:rsid w:val="00510C1C"/>
    <w:rsid w:val="00512244"/>
    <w:rsid w:val="0051272D"/>
    <w:rsid w:val="00513DBC"/>
    <w:rsid w:val="00514E2E"/>
    <w:rsid w:val="00516BB6"/>
    <w:rsid w:val="005176FF"/>
    <w:rsid w:val="005208B3"/>
    <w:rsid w:val="00521A62"/>
    <w:rsid w:val="00521CE7"/>
    <w:rsid w:val="0052287E"/>
    <w:rsid w:val="00524296"/>
    <w:rsid w:val="00525007"/>
    <w:rsid w:val="00532C8E"/>
    <w:rsid w:val="0053305E"/>
    <w:rsid w:val="00533C10"/>
    <w:rsid w:val="005344BB"/>
    <w:rsid w:val="00541281"/>
    <w:rsid w:val="00542209"/>
    <w:rsid w:val="005428DC"/>
    <w:rsid w:val="00545ED8"/>
    <w:rsid w:val="005465A4"/>
    <w:rsid w:val="005561AE"/>
    <w:rsid w:val="00560229"/>
    <w:rsid w:val="00562037"/>
    <w:rsid w:val="00562D37"/>
    <w:rsid w:val="00564976"/>
    <w:rsid w:val="00566941"/>
    <w:rsid w:val="0057096E"/>
    <w:rsid w:val="00572002"/>
    <w:rsid w:val="00573E57"/>
    <w:rsid w:val="00575041"/>
    <w:rsid w:val="005779CA"/>
    <w:rsid w:val="005817A0"/>
    <w:rsid w:val="00581EE1"/>
    <w:rsid w:val="00582E63"/>
    <w:rsid w:val="00584359"/>
    <w:rsid w:val="00586493"/>
    <w:rsid w:val="005912F2"/>
    <w:rsid w:val="00592667"/>
    <w:rsid w:val="0059269E"/>
    <w:rsid w:val="00592E31"/>
    <w:rsid w:val="00593341"/>
    <w:rsid w:val="00593789"/>
    <w:rsid w:val="005942A7"/>
    <w:rsid w:val="005946CD"/>
    <w:rsid w:val="0059495F"/>
    <w:rsid w:val="00596966"/>
    <w:rsid w:val="00597CED"/>
    <w:rsid w:val="00597F08"/>
    <w:rsid w:val="005A0C20"/>
    <w:rsid w:val="005A1474"/>
    <w:rsid w:val="005A2193"/>
    <w:rsid w:val="005A38CD"/>
    <w:rsid w:val="005B2468"/>
    <w:rsid w:val="005C1893"/>
    <w:rsid w:val="005C34ED"/>
    <w:rsid w:val="005C4729"/>
    <w:rsid w:val="005C6023"/>
    <w:rsid w:val="005C6B57"/>
    <w:rsid w:val="005D10AC"/>
    <w:rsid w:val="005D156B"/>
    <w:rsid w:val="005D1CEE"/>
    <w:rsid w:val="005D2400"/>
    <w:rsid w:val="005D4626"/>
    <w:rsid w:val="005D6F06"/>
    <w:rsid w:val="005D7EDC"/>
    <w:rsid w:val="005E08A5"/>
    <w:rsid w:val="005E1ABA"/>
    <w:rsid w:val="005E2B34"/>
    <w:rsid w:val="005E5DAF"/>
    <w:rsid w:val="005E642A"/>
    <w:rsid w:val="005E6984"/>
    <w:rsid w:val="005F0B55"/>
    <w:rsid w:val="005F122D"/>
    <w:rsid w:val="005F12F6"/>
    <w:rsid w:val="005F4AE2"/>
    <w:rsid w:val="005F6CE0"/>
    <w:rsid w:val="00605527"/>
    <w:rsid w:val="00611030"/>
    <w:rsid w:val="00611AB9"/>
    <w:rsid w:val="00613431"/>
    <w:rsid w:val="00613AC2"/>
    <w:rsid w:val="006151E0"/>
    <w:rsid w:val="006153D8"/>
    <w:rsid w:val="00615569"/>
    <w:rsid w:val="00616B64"/>
    <w:rsid w:val="0062060A"/>
    <w:rsid w:val="00620F1A"/>
    <w:rsid w:val="00622208"/>
    <w:rsid w:val="00622DC8"/>
    <w:rsid w:val="00623606"/>
    <w:rsid w:val="00623BCE"/>
    <w:rsid w:val="00623E1A"/>
    <w:rsid w:val="0062493B"/>
    <w:rsid w:val="006261C0"/>
    <w:rsid w:val="006278AB"/>
    <w:rsid w:val="00630D68"/>
    <w:rsid w:val="006316BF"/>
    <w:rsid w:val="006325A7"/>
    <w:rsid w:val="006338A2"/>
    <w:rsid w:val="006372D1"/>
    <w:rsid w:val="00637F18"/>
    <w:rsid w:val="0064033F"/>
    <w:rsid w:val="00645B16"/>
    <w:rsid w:val="00647B8A"/>
    <w:rsid w:val="006502A0"/>
    <w:rsid w:val="00650C85"/>
    <w:rsid w:val="00652264"/>
    <w:rsid w:val="00652D36"/>
    <w:rsid w:val="00663A7B"/>
    <w:rsid w:val="0066751B"/>
    <w:rsid w:val="00671C14"/>
    <w:rsid w:val="00671EB9"/>
    <w:rsid w:val="00672358"/>
    <w:rsid w:val="006724E8"/>
    <w:rsid w:val="00673127"/>
    <w:rsid w:val="00676627"/>
    <w:rsid w:val="00682D76"/>
    <w:rsid w:val="0068351E"/>
    <w:rsid w:val="006838F1"/>
    <w:rsid w:val="00683E9E"/>
    <w:rsid w:val="0068509F"/>
    <w:rsid w:val="006850AA"/>
    <w:rsid w:val="00686CDB"/>
    <w:rsid w:val="00686F0E"/>
    <w:rsid w:val="00687C34"/>
    <w:rsid w:val="00690E6E"/>
    <w:rsid w:val="006918AE"/>
    <w:rsid w:val="00693251"/>
    <w:rsid w:val="006932CA"/>
    <w:rsid w:val="00695E0C"/>
    <w:rsid w:val="00697360"/>
    <w:rsid w:val="006A138D"/>
    <w:rsid w:val="006A151A"/>
    <w:rsid w:val="006A1D9D"/>
    <w:rsid w:val="006A5C01"/>
    <w:rsid w:val="006A6DF4"/>
    <w:rsid w:val="006A752A"/>
    <w:rsid w:val="006B093A"/>
    <w:rsid w:val="006B0D58"/>
    <w:rsid w:val="006B27B6"/>
    <w:rsid w:val="006B3318"/>
    <w:rsid w:val="006B33AD"/>
    <w:rsid w:val="006C05E8"/>
    <w:rsid w:val="006C09F3"/>
    <w:rsid w:val="006C160C"/>
    <w:rsid w:val="006C1C53"/>
    <w:rsid w:val="006C1DE4"/>
    <w:rsid w:val="006C2695"/>
    <w:rsid w:val="006C2C13"/>
    <w:rsid w:val="006C33F4"/>
    <w:rsid w:val="006C4198"/>
    <w:rsid w:val="006C5722"/>
    <w:rsid w:val="006C6AF2"/>
    <w:rsid w:val="006C6C3E"/>
    <w:rsid w:val="006D1EC0"/>
    <w:rsid w:val="006D6D8D"/>
    <w:rsid w:val="006D7988"/>
    <w:rsid w:val="006E0DAD"/>
    <w:rsid w:val="006E1B64"/>
    <w:rsid w:val="006E2F10"/>
    <w:rsid w:val="006E3044"/>
    <w:rsid w:val="006E78AB"/>
    <w:rsid w:val="006E79BC"/>
    <w:rsid w:val="006F600C"/>
    <w:rsid w:val="006F6ED2"/>
    <w:rsid w:val="007008E3"/>
    <w:rsid w:val="00704703"/>
    <w:rsid w:val="0070640F"/>
    <w:rsid w:val="007069DF"/>
    <w:rsid w:val="0070760D"/>
    <w:rsid w:val="00710B48"/>
    <w:rsid w:val="007135C3"/>
    <w:rsid w:val="0071397E"/>
    <w:rsid w:val="00713AE7"/>
    <w:rsid w:val="00714E18"/>
    <w:rsid w:val="00715DED"/>
    <w:rsid w:val="0071767F"/>
    <w:rsid w:val="0071770A"/>
    <w:rsid w:val="007201C7"/>
    <w:rsid w:val="007203D3"/>
    <w:rsid w:val="00722DDC"/>
    <w:rsid w:val="00724E3B"/>
    <w:rsid w:val="0072515B"/>
    <w:rsid w:val="00725613"/>
    <w:rsid w:val="00725F4B"/>
    <w:rsid w:val="0072624B"/>
    <w:rsid w:val="0072661E"/>
    <w:rsid w:val="007266A7"/>
    <w:rsid w:val="00727206"/>
    <w:rsid w:val="007309C2"/>
    <w:rsid w:val="0073602A"/>
    <w:rsid w:val="00737850"/>
    <w:rsid w:val="00740DFB"/>
    <w:rsid w:val="00741440"/>
    <w:rsid w:val="007432F8"/>
    <w:rsid w:val="0074411F"/>
    <w:rsid w:val="00744449"/>
    <w:rsid w:val="00745856"/>
    <w:rsid w:val="00746CDB"/>
    <w:rsid w:val="00746FF8"/>
    <w:rsid w:val="00752075"/>
    <w:rsid w:val="0075257C"/>
    <w:rsid w:val="007529F1"/>
    <w:rsid w:val="007633E1"/>
    <w:rsid w:val="00764E1E"/>
    <w:rsid w:val="00765EAD"/>
    <w:rsid w:val="00766808"/>
    <w:rsid w:val="00770B55"/>
    <w:rsid w:val="007731EB"/>
    <w:rsid w:val="00774670"/>
    <w:rsid w:val="0077573D"/>
    <w:rsid w:val="0077597A"/>
    <w:rsid w:val="007803CD"/>
    <w:rsid w:val="00782A2B"/>
    <w:rsid w:val="007847F9"/>
    <w:rsid w:val="00784C6D"/>
    <w:rsid w:val="00784EDC"/>
    <w:rsid w:val="0078525A"/>
    <w:rsid w:val="007907B8"/>
    <w:rsid w:val="00790FB6"/>
    <w:rsid w:val="007918BA"/>
    <w:rsid w:val="0079309C"/>
    <w:rsid w:val="007936F1"/>
    <w:rsid w:val="00794233"/>
    <w:rsid w:val="00794D30"/>
    <w:rsid w:val="00797321"/>
    <w:rsid w:val="007A097C"/>
    <w:rsid w:val="007A1CD2"/>
    <w:rsid w:val="007A348E"/>
    <w:rsid w:val="007A4E3A"/>
    <w:rsid w:val="007A56A5"/>
    <w:rsid w:val="007A5E89"/>
    <w:rsid w:val="007B3B4F"/>
    <w:rsid w:val="007B5D52"/>
    <w:rsid w:val="007B6094"/>
    <w:rsid w:val="007B64CB"/>
    <w:rsid w:val="007B702B"/>
    <w:rsid w:val="007B7E38"/>
    <w:rsid w:val="007C00A9"/>
    <w:rsid w:val="007C18FC"/>
    <w:rsid w:val="007C1F73"/>
    <w:rsid w:val="007C2DD7"/>
    <w:rsid w:val="007C3A3F"/>
    <w:rsid w:val="007C3F85"/>
    <w:rsid w:val="007D36E4"/>
    <w:rsid w:val="007D3C0D"/>
    <w:rsid w:val="007D5C60"/>
    <w:rsid w:val="007D6B07"/>
    <w:rsid w:val="007E18F1"/>
    <w:rsid w:val="007E4414"/>
    <w:rsid w:val="007E4731"/>
    <w:rsid w:val="007E4E01"/>
    <w:rsid w:val="007E6410"/>
    <w:rsid w:val="007E6997"/>
    <w:rsid w:val="007E6C8E"/>
    <w:rsid w:val="007E7A4C"/>
    <w:rsid w:val="007F4D06"/>
    <w:rsid w:val="007F70E0"/>
    <w:rsid w:val="007F7BF3"/>
    <w:rsid w:val="00801EB1"/>
    <w:rsid w:val="008021B1"/>
    <w:rsid w:val="00803531"/>
    <w:rsid w:val="00804839"/>
    <w:rsid w:val="0080621A"/>
    <w:rsid w:val="00807023"/>
    <w:rsid w:val="00810B1D"/>
    <w:rsid w:val="008139A1"/>
    <w:rsid w:val="00820B22"/>
    <w:rsid w:val="00822F97"/>
    <w:rsid w:val="008259F5"/>
    <w:rsid w:val="00831DA4"/>
    <w:rsid w:val="00832CF6"/>
    <w:rsid w:val="008369B1"/>
    <w:rsid w:val="00841E1C"/>
    <w:rsid w:val="008422D7"/>
    <w:rsid w:val="00843627"/>
    <w:rsid w:val="00843F25"/>
    <w:rsid w:val="0084666F"/>
    <w:rsid w:val="008478BF"/>
    <w:rsid w:val="00855546"/>
    <w:rsid w:val="0085571B"/>
    <w:rsid w:val="00856E9C"/>
    <w:rsid w:val="00857556"/>
    <w:rsid w:val="0085775F"/>
    <w:rsid w:val="00857AED"/>
    <w:rsid w:val="00862711"/>
    <w:rsid w:val="00863B33"/>
    <w:rsid w:val="008642DB"/>
    <w:rsid w:val="008646F4"/>
    <w:rsid w:val="008656C4"/>
    <w:rsid w:val="00866165"/>
    <w:rsid w:val="00871674"/>
    <w:rsid w:val="00872B47"/>
    <w:rsid w:val="00874300"/>
    <w:rsid w:val="00874DE2"/>
    <w:rsid w:val="008764AC"/>
    <w:rsid w:val="0087655A"/>
    <w:rsid w:val="00877428"/>
    <w:rsid w:val="0088018F"/>
    <w:rsid w:val="00883861"/>
    <w:rsid w:val="00884995"/>
    <w:rsid w:val="00884DAE"/>
    <w:rsid w:val="00887E18"/>
    <w:rsid w:val="008904D1"/>
    <w:rsid w:val="00896DA1"/>
    <w:rsid w:val="00897F37"/>
    <w:rsid w:val="008A18EA"/>
    <w:rsid w:val="008A1C86"/>
    <w:rsid w:val="008A30A6"/>
    <w:rsid w:val="008A7973"/>
    <w:rsid w:val="008B24F1"/>
    <w:rsid w:val="008B7C35"/>
    <w:rsid w:val="008C0595"/>
    <w:rsid w:val="008C1EB6"/>
    <w:rsid w:val="008C2552"/>
    <w:rsid w:val="008C2FA1"/>
    <w:rsid w:val="008C35EC"/>
    <w:rsid w:val="008C3797"/>
    <w:rsid w:val="008D0EC0"/>
    <w:rsid w:val="008D564E"/>
    <w:rsid w:val="008D5A31"/>
    <w:rsid w:val="008D63DC"/>
    <w:rsid w:val="008D798F"/>
    <w:rsid w:val="008E0D98"/>
    <w:rsid w:val="008E174A"/>
    <w:rsid w:val="008E1D99"/>
    <w:rsid w:val="008E20BF"/>
    <w:rsid w:val="008E2E52"/>
    <w:rsid w:val="008E3CD8"/>
    <w:rsid w:val="008E3EA2"/>
    <w:rsid w:val="008E481B"/>
    <w:rsid w:val="008E492B"/>
    <w:rsid w:val="008E50C4"/>
    <w:rsid w:val="008E557B"/>
    <w:rsid w:val="008E5ADE"/>
    <w:rsid w:val="008E7B0E"/>
    <w:rsid w:val="008F2CD3"/>
    <w:rsid w:val="008F5E54"/>
    <w:rsid w:val="008F6960"/>
    <w:rsid w:val="00901F51"/>
    <w:rsid w:val="009027B9"/>
    <w:rsid w:val="00903658"/>
    <w:rsid w:val="00904275"/>
    <w:rsid w:val="00904725"/>
    <w:rsid w:val="009069C9"/>
    <w:rsid w:val="00907721"/>
    <w:rsid w:val="009147D6"/>
    <w:rsid w:val="00914F04"/>
    <w:rsid w:val="0091587B"/>
    <w:rsid w:val="0091673B"/>
    <w:rsid w:val="0091707B"/>
    <w:rsid w:val="0092254A"/>
    <w:rsid w:val="00923481"/>
    <w:rsid w:val="00925702"/>
    <w:rsid w:val="00931E25"/>
    <w:rsid w:val="009322C7"/>
    <w:rsid w:val="00936AF4"/>
    <w:rsid w:val="009373E9"/>
    <w:rsid w:val="009412C1"/>
    <w:rsid w:val="0094245A"/>
    <w:rsid w:val="00942C19"/>
    <w:rsid w:val="00943C54"/>
    <w:rsid w:val="009447C6"/>
    <w:rsid w:val="0094631A"/>
    <w:rsid w:val="0094779B"/>
    <w:rsid w:val="00947F07"/>
    <w:rsid w:val="009508A5"/>
    <w:rsid w:val="00951B95"/>
    <w:rsid w:val="00951CE9"/>
    <w:rsid w:val="00952749"/>
    <w:rsid w:val="00957249"/>
    <w:rsid w:val="009605CB"/>
    <w:rsid w:val="00960E13"/>
    <w:rsid w:val="0096245A"/>
    <w:rsid w:val="009645AE"/>
    <w:rsid w:val="00966174"/>
    <w:rsid w:val="0096631E"/>
    <w:rsid w:val="0097079E"/>
    <w:rsid w:val="00970E42"/>
    <w:rsid w:val="009728AC"/>
    <w:rsid w:val="00972DAA"/>
    <w:rsid w:val="00975C67"/>
    <w:rsid w:val="00977220"/>
    <w:rsid w:val="00977827"/>
    <w:rsid w:val="00980CF0"/>
    <w:rsid w:val="0098121E"/>
    <w:rsid w:val="00981BD5"/>
    <w:rsid w:val="00982827"/>
    <w:rsid w:val="00982F1C"/>
    <w:rsid w:val="009843E2"/>
    <w:rsid w:val="009862C3"/>
    <w:rsid w:val="009872CB"/>
    <w:rsid w:val="00990A83"/>
    <w:rsid w:val="00990E6E"/>
    <w:rsid w:val="00991AA0"/>
    <w:rsid w:val="00995728"/>
    <w:rsid w:val="009967A9"/>
    <w:rsid w:val="009972A1"/>
    <w:rsid w:val="009A1D79"/>
    <w:rsid w:val="009A3808"/>
    <w:rsid w:val="009A6970"/>
    <w:rsid w:val="009A7227"/>
    <w:rsid w:val="009B00D7"/>
    <w:rsid w:val="009B0EDE"/>
    <w:rsid w:val="009B198F"/>
    <w:rsid w:val="009B3DA0"/>
    <w:rsid w:val="009C2781"/>
    <w:rsid w:val="009C2F5B"/>
    <w:rsid w:val="009C3C84"/>
    <w:rsid w:val="009C47BB"/>
    <w:rsid w:val="009D0CE8"/>
    <w:rsid w:val="009D4472"/>
    <w:rsid w:val="009D60C9"/>
    <w:rsid w:val="009D6C37"/>
    <w:rsid w:val="009D70EC"/>
    <w:rsid w:val="009E043A"/>
    <w:rsid w:val="009E0762"/>
    <w:rsid w:val="009E1B62"/>
    <w:rsid w:val="009E27D3"/>
    <w:rsid w:val="009E4E3B"/>
    <w:rsid w:val="009E6626"/>
    <w:rsid w:val="009E7027"/>
    <w:rsid w:val="009E7A40"/>
    <w:rsid w:val="009F02C0"/>
    <w:rsid w:val="009F108B"/>
    <w:rsid w:val="009F57D3"/>
    <w:rsid w:val="009F5C93"/>
    <w:rsid w:val="009F6369"/>
    <w:rsid w:val="009F7953"/>
    <w:rsid w:val="00A0049B"/>
    <w:rsid w:val="00A00E2D"/>
    <w:rsid w:val="00A041BD"/>
    <w:rsid w:val="00A0485B"/>
    <w:rsid w:val="00A05F03"/>
    <w:rsid w:val="00A106F0"/>
    <w:rsid w:val="00A1286B"/>
    <w:rsid w:val="00A13CCB"/>
    <w:rsid w:val="00A1405C"/>
    <w:rsid w:val="00A2177E"/>
    <w:rsid w:val="00A21EDB"/>
    <w:rsid w:val="00A26321"/>
    <w:rsid w:val="00A269EB"/>
    <w:rsid w:val="00A26ADD"/>
    <w:rsid w:val="00A30029"/>
    <w:rsid w:val="00A33A66"/>
    <w:rsid w:val="00A33D5B"/>
    <w:rsid w:val="00A355CF"/>
    <w:rsid w:val="00A3585F"/>
    <w:rsid w:val="00A361B5"/>
    <w:rsid w:val="00A36292"/>
    <w:rsid w:val="00A42AC1"/>
    <w:rsid w:val="00A441AF"/>
    <w:rsid w:val="00A441EE"/>
    <w:rsid w:val="00A44FFD"/>
    <w:rsid w:val="00A462DE"/>
    <w:rsid w:val="00A52FC1"/>
    <w:rsid w:val="00A5353A"/>
    <w:rsid w:val="00A540F3"/>
    <w:rsid w:val="00A55A1E"/>
    <w:rsid w:val="00A61EB6"/>
    <w:rsid w:val="00A6296E"/>
    <w:rsid w:val="00A63EE9"/>
    <w:rsid w:val="00A64B41"/>
    <w:rsid w:val="00A64DBD"/>
    <w:rsid w:val="00A70785"/>
    <w:rsid w:val="00A7097D"/>
    <w:rsid w:val="00A712C0"/>
    <w:rsid w:val="00A71EE6"/>
    <w:rsid w:val="00A71FEB"/>
    <w:rsid w:val="00A72725"/>
    <w:rsid w:val="00A72756"/>
    <w:rsid w:val="00A748E9"/>
    <w:rsid w:val="00A75DEB"/>
    <w:rsid w:val="00A76068"/>
    <w:rsid w:val="00A76322"/>
    <w:rsid w:val="00A76441"/>
    <w:rsid w:val="00A77C4F"/>
    <w:rsid w:val="00A80B66"/>
    <w:rsid w:val="00A842F5"/>
    <w:rsid w:val="00A84B2A"/>
    <w:rsid w:val="00A8509C"/>
    <w:rsid w:val="00A8527A"/>
    <w:rsid w:val="00A86693"/>
    <w:rsid w:val="00A87537"/>
    <w:rsid w:val="00A91E3E"/>
    <w:rsid w:val="00A93C9D"/>
    <w:rsid w:val="00A96319"/>
    <w:rsid w:val="00A9649F"/>
    <w:rsid w:val="00A97E6E"/>
    <w:rsid w:val="00AA16C5"/>
    <w:rsid w:val="00AA5773"/>
    <w:rsid w:val="00AA7142"/>
    <w:rsid w:val="00AB0568"/>
    <w:rsid w:val="00AB06BE"/>
    <w:rsid w:val="00AB09A3"/>
    <w:rsid w:val="00AB1D69"/>
    <w:rsid w:val="00AB5B8F"/>
    <w:rsid w:val="00AB637F"/>
    <w:rsid w:val="00AB6C1E"/>
    <w:rsid w:val="00AB70E4"/>
    <w:rsid w:val="00AC1B7C"/>
    <w:rsid w:val="00AC5C26"/>
    <w:rsid w:val="00AC796A"/>
    <w:rsid w:val="00AD03CB"/>
    <w:rsid w:val="00AD3B0D"/>
    <w:rsid w:val="00AD458D"/>
    <w:rsid w:val="00AD58B8"/>
    <w:rsid w:val="00AE00FF"/>
    <w:rsid w:val="00AE1227"/>
    <w:rsid w:val="00AE20CC"/>
    <w:rsid w:val="00AE3817"/>
    <w:rsid w:val="00AE3F09"/>
    <w:rsid w:val="00AE777D"/>
    <w:rsid w:val="00AF04B7"/>
    <w:rsid w:val="00AF08C5"/>
    <w:rsid w:val="00AF173A"/>
    <w:rsid w:val="00AF1A52"/>
    <w:rsid w:val="00AF2E40"/>
    <w:rsid w:val="00AF3DDA"/>
    <w:rsid w:val="00AF4FBD"/>
    <w:rsid w:val="00AF6748"/>
    <w:rsid w:val="00AF7805"/>
    <w:rsid w:val="00B00DCE"/>
    <w:rsid w:val="00B126DF"/>
    <w:rsid w:val="00B134C9"/>
    <w:rsid w:val="00B143C1"/>
    <w:rsid w:val="00B1533C"/>
    <w:rsid w:val="00B16B90"/>
    <w:rsid w:val="00B20BAC"/>
    <w:rsid w:val="00B21345"/>
    <w:rsid w:val="00B22890"/>
    <w:rsid w:val="00B26F7B"/>
    <w:rsid w:val="00B322AC"/>
    <w:rsid w:val="00B32FD1"/>
    <w:rsid w:val="00B3795C"/>
    <w:rsid w:val="00B40915"/>
    <w:rsid w:val="00B42849"/>
    <w:rsid w:val="00B44229"/>
    <w:rsid w:val="00B4444C"/>
    <w:rsid w:val="00B46543"/>
    <w:rsid w:val="00B524E6"/>
    <w:rsid w:val="00B52602"/>
    <w:rsid w:val="00B5291F"/>
    <w:rsid w:val="00B546B2"/>
    <w:rsid w:val="00B546C7"/>
    <w:rsid w:val="00B61C9D"/>
    <w:rsid w:val="00B63F4A"/>
    <w:rsid w:val="00B64298"/>
    <w:rsid w:val="00B645EB"/>
    <w:rsid w:val="00B662CB"/>
    <w:rsid w:val="00B72933"/>
    <w:rsid w:val="00B7382A"/>
    <w:rsid w:val="00B73873"/>
    <w:rsid w:val="00B74415"/>
    <w:rsid w:val="00B75931"/>
    <w:rsid w:val="00B7677C"/>
    <w:rsid w:val="00B810DB"/>
    <w:rsid w:val="00B82D8F"/>
    <w:rsid w:val="00B842BB"/>
    <w:rsid w:val="00B84E84"/>
    <w:rsid w:val="00B85220"/>
    <w:rsid w:val="00B872D8"/>
    <w:rsid w:val="00B8794F"/>
    <w:rsid w:val="00B901EB"/>
    <w:rsid w:val="00B917F7"/>
    <w:rsid w:val="00B918CA"/>
    <w:rsid w:val="00B94016"/>
    <w:rsid w:val="00B94B98"/>
    <w:rsid w:val="00B9663F"/>
    <w:rsid w:val="00B96B5D"/>
    <w:rsid w:val="00BA038E"/>
    <w:rsid w:val="00BA12DA"/>
    <w:rsid w:val="00BA2C1C"/>
    <w:rsid w:val="00BA3275"/>
    <w:rsid w:val="00BA5434"/>
    <w:rsid w:val="00BA5561"/>
    <w:rsid w:val="00BB192E"/>
    <w:rsid w:val="00BB4E16"/>
    <w:rsid w:val="00BB7403"/>
    <w:rsid w:val="00BC0102"/>
    <w:rsid w:val="00BC0DCB"/>
    <w:rsid w:val="00BC1C47"/>
    <w:rsid w:val="00BC4126"/>
    <w:rsid w:val="00BC495C"/>
    <w:rsid w:val="00BC6272"/>
    <w:rsid w:val="00BC6A53"/>
    <w:rsid w:val="00BD1BCD"/>
    <w:rsid w:val="00BD2773"/>
    <w:rsid w:val="00BD44EF"/>
    <w:rsid w:val="00BD4CCE"/>
    <w:rsid w:val="00BD594D"/>
    <w:rsid w:val="00BD64FD"/>
    <w:rsid w:val="00BE0A72"/>
    <w:rsid w:val="00BE4B5C"/>
    <w:rsid w:val="00BE6F44"/>
    <w:rsid w:val="00BE7C05"/>
    <w:rsid w:val="00BF09D7"/>
    <w:rsid w:val="00BF202A"/>
    <w:rsid w:val="00BF278C"/>
    <w:rsid w:val="00BF41C9"/>
    <w:rsid w:val="00BF53DA"/>
    <w:rsid w:val="00BF544A"/>
    <w:rsid w:val="00BF61D3"/>
    <w:rsid w:val="00BF68B5"/>
    <w:rsid w:val="00BF7050"/>
    <w:rsid w:val="00BF7F59"/>
    <w:rsid w:val="00C00890"/>
    <w:rsid w:val="00C00B9C"/>
    <w:rsid w:val="00C01203"/>
    <w:rsid w:val="00C04017"/>
    <w:rsid w:val="00C04C71"/>
    <w:rsid w:val="00C04F0A"/>
    <w:rsid w:val="00C0731B"/>
    <w:rsid w:val="00C108EB"/>
    <w:rsid w:val="00C11CE9"/>
    <w:rsid w:val="00C12033"/>
    <w:rsid w:val="00C126F4"/>
    <w:rsid w:val="00C1379D"/>
    <w:rsid w:val="00C14712"/>
    <w:rsid w:val="00C15D3D"/>
    <w:rsid w:val="00C171CF"/>
    <w:rsid w:val="00C21C21"/>
    <w:rsid w:val="00C24A27"/>
    <w:rsid w:val="00C255D7"/>
    <w:rsid w:val="00C25FB2"/>
    <w:rsid w:val="00C266D0"/>
    <w:rsid w:val="00C27968"/>
    <w:rsid w:val="00C3130D"/>
    <w:rsid w:val="00C31C4D"/>
    <w:rsid w:val="00C34ACD"/>
    <w:rsid w:val="00C35CEA"/>
    <w:rsid w:val="00C36EAB"/>
    <w:rsid w:val="00C36F20"/>
    <w:rsid w:val="00C37A21"/>
    <w:rsid w:val="00C411ED"/>
    <w:rsid w:val="00C41C8F"/>
    <w:rsid w:val="00C43005"/>
    <w:rsid w:val="00C43750"/>
    <w:rsid w:val="00C45B38"/>
    <w:rsid w:val="00C46CD7"/>
    <w:rsid w:val="00C523E1"/>
    <w:rsid w:val="00C52986"/>
    <w:rsid w:val="00C52E19"/>
    <w:rsid w:val="00C53635"/>
    <w:rsid w:val="00C53CB1"/>
    <w:rsid w:val="00C5582E"/>
    <w:rsid w:val="00C57A4A"/>
    <w:rsid w:val="00C57B2E"/>
    <w:rsid w:val="00C57EDA"/>
    <w:rsid w:val="00C62BCC"/>
    <w:rsid w:val="00C64042"/>
    <w:rsid w:val="00C64669"/>
    <w:rsid w:val="00C669F2"/>
    <w:rsid w:val="00C66EEA"/>
    <w:rsid w:val="00C67053"/>
    <w:rsid w:val="00C73F20"/>
    <w:rsid w:val="00C7408A"/>
    <w:rsid w:val="00C76386"/>
    <w:rsid w:val="00C80723"/>
    <w:rsid w:val="00C814B6"/>
    <w:rsid w:val="00C81FDF"/>
    <w:rsid w:val="00C823A2"/>
    <w:rsid w:val="00C830C2"/>
    <w:rsid w:val="00C84221"/>
    <w:rsid w:val="00C842B4"/>
    <w:rsid w:val="00C845A5"/>
    <w:rsid w:val="00C84C60"/>
    <w:rsid w:val="00C86961"/>
    <w:rsid w:val="00C86968"/>
    <w:rsid w:val="00C86DB5"/>
    <w:rsid w:val="00C878DC"/>
    <w:rsid w:val="00C9037B"/>
    <w:rsid w:val="00C920EA"/>
    <w:rsid w:val="00C92457"/>
    <w:rsid w:val="00C9411B"/>
    <w:rsid w:val="00C94151"/>
    <w:rsid w:val="00C942EC"/>
    <w:rsid w:val="00C945CD"/>
    <w:rsid w:val="00CA023B"/>
    <w:rsid w:val="00CA1A8B"/>
    <w:rsid w:val="00CA272C"/>
    <w:rsid w:val="00CA6DEE"/>
    <w:rsid w:val="00CB4AB1"/>
    <w:rsid w:val="00CB7D0D"/>
    <w:rsid w:val="00CC3EE2"/>
    <w:rsid w:val="00CD052A"/>
    <w:rsid w:val="00CD370E"/>
    <w:rsid w:val="00CD4C21"/>
    <w:rsid w:val="00CD588B"/>
    <w:rsid w:val="00CD6DF9"/>
    <w:rsid w:val="00CE0463"/>
    <w:rsid w:val="00CE08F1"/>
    <w:rsid w:val="00CE143B"/>
    <w:rsid w:val="00CE1F0B"/>
    <w:rsid w:val="00CE4734"/>
    <w:rsid w:val="00CE7B46"/>
    <w:rsid w:val="00CE7D1F"/>
    <w:rsid w:val="00CF2037"/>
    <w:rsid w:val="00CF2118"/>
    <w:rsid w:val="00CF2EE4"/>
    <w:rsid w:val="00CF2F85"/>
    <w:rsid w:val="00CF390C"/>
    <w:rsid w:val="00CF3E0A"/>
    <w:rsid w:val="00CF4A40"/>
    <w:rsid w:val="00CF4BAD"/>
    <w:rsid w:val="00CF5F1D"/>
    <w:rsid w:val="00CF6522"/>
    <w:rsid w:val="00CF7D91"/>
    <w:rsid w:val="00D00CB2"/>
    <w:rsid w:val="00D01559"/>
    <w:rsid w:val="00D01B2B"/>
    <w:rsid w:val="00D02995"/>
    <w:rsid w:val="00D02AB1"/>
    <w:rsid w:val="00D03610"/>
    <w:rsid w:val="00D05067"/>
    <w:rsid w:val="00D053C2"/>
    <w:rsid w:val="00D064D1"/>
    <w:rsid w:val="00D10889"/>
    <w:rsid w:val="00D12FE1"/>
    <w:rsid w:val="00D13389"/>
    <w:rsid w:val="00D1415B"/>
    <w:rsid w:val="00D14ABB"/>
    <w:rsid w:val="00D2466A"/>
    <w:rsid w:val="00D261B4"/>
    <w:rsid w:val="00D26209"/>
    <w:rsid w:val="00D33BB4"/>
    <w:rsid w:val="00D353B7"/>
    <w:rsid w:val="00D35C49"/>
    <w:rsid w:val="00D368ED"/>
    <w:rsid w:val="00D442F5"/>
    <w:rsid w:val="00D44D58"/>
    <w:rsid w:val="00D5269B"/>
    <w:rsid w:val="00D533AE"/>
    <w:rsid w:val="00D55396"/>
    <w:rsid w:val="00D6032E"/>
    <w:rsid w:val="00D609C9"/>
    <w:rsid w:val="00D63737"/>
    <w:rsid w:val="00D638CE"/>
    <w:rsid w:val="00D66C5A"/>
    <w:rsid w:val="00D67CE9"/>
    <w:rsid w:val="00D707DF"/>
    <w:rsid w:val="00D70C3C"/>
    <w:rsid w:val="00D719DF"/>
    <w:rsid w:val="00D72047"/>
    <w:rsid w:val="00D74A04"/>
    <w:rsid w:val="00D76DBC"/>
    <w:rsid w:val="00D85ADD"/>
    <w:rsid w:val="00D86799"/>
    <w:rsid w:val="00D91A39"/>
    <w:rsid w:val="00D92BCB"/>
    <w:rsid w:val="00DA1139"/>
    <w:rsid w:val="00DA2E1E"/>
    <w:rsid w:val="00DA50A4"/>
    <w:rsid w:val="00DA6539"/>
    <w:rsid w:val="00DA716A"/>
    <w:rsid w:val="00DA7718"/>
    <w:rsid w:val="00DA784A"/>
    <w:rsid w:val="00DB286E"/>
    <w:rsid w:val="00DB2F9F"/>
    <w:rsid w:val="00DB35B7"/>
    <w:rsid w:val="00DB45BF"/>
    <w:rsid w:val="00DB4DCD"/>
    <w:rsid w:val="00DB68FF"/>
    <w:rsid w:val="00DC0A2A"/>
    <w:rsid w:val="00DC21D7"/>
    <w:rsid w:val="00DC23F0"/>
    <w:rsid w:val="00DC5651"/>
    <w:rsid w:val="00DD0272"/>
    <w:rsid w:val="00DD069C"/>
    <w:rsid w:val="00DD0E02"/>
    <w:rsid w:val="00DD2117"/>
    <w:rsid w:val="00DD23CD"/>
    <w:rsid w:val="00DD2509"/>
    <w:rsid w:val="00DD3F51"/>
    <w:rsid w:val="00DD6F39"/>
    <w:rsid w:val="00DD7AA6"/>
    <w:rsid w:val="00DE2E88"/>
    <w:rsid w:val="00DE7246"/>
    <w:rsid w:val="00DF0647"/>
    <w:rsid w:val="00DF2800"/>
    <w:rsid w:val="00DF3C3C"/>
    <w:rsid w:val="00DF3D26"/>
    <w:rsid w:val="00DF3F30"/>
    <w:rsid w:val="00DF4F5E"/>
    <w:rsid w:val="00DF5656"/>
    <w:rsid w:val="00DF6E99"/>
    <w:rsid w:val="00E0031A"/>
    <w:rsid w:val="00E033CB"/>
    <w:rsid w:val="00E0403A"/>
    <w:rsid w:val="00E05630"/>
    <w:rsid w:val="00E074A4"/>
    <w:rsid w:val="00E10FC0"/>
    <w:rsid w:val="00E13CA8"/>
    <w:rsid w:val="00E1593E"/>
    <w:rsid w:val="00E16894"/>
    <w:rsid w:val="00E17FBA"/>
    <w:rsid w:val="00E20A20"/>
    <w:rsid w:val="00E21C93"/>
    <w:rsid w:val="00E22946"/>
    <w:rsid w:val="00E26939"/>
    <w:rsid w:val="00E27B87"/>
    <w:rsid w:val="00E3127A"/>
    <w:rsid w:val="00E33092"/>
    <w:rsid w:val="00E33D79"/>
    <w:rsid w:val="00E35778"/>
    <w:rsid w:val="00E4074E"/>
    <w:rsid w:val="00E42421"/>
    <w:rsid w:val="00E42799"/>
    <w:rsid w:val="00E4327A"/>
    <w:rsid w:val="00E50483"/>
    <w:rsid w:val="00E51F63"/>
    <w:rsid w:val="00E55670"/>
    <w:rsid w:val="00E558DF"/>
    <w:rsid w:val="00E55EE2"/>
    <w:rsid w:val="00E56A89"/>
    <w:rsid w:val="00E60FA6"/>
    <w:rsid w:val="00E61903"/>
    <w:rsid w:val="00E61DCD"/>
    <w:rsid w:val="00E663D8"/>
    <w:rsid w:val="00E67830"/>
    <w:rsid w:val="00E70882"/>
    <w:rsid w:val="00E7172E"/>
    <w:rsid w:val="00E85439"/>
    <w:rsid w:val="00E8575C"/>
    <w:rsid w:val="00E912B0"/>
    <w:rsid w:val="00E94F92"/>
    <w:rsid w:val="00E97847"/>
    <w:rsid w:val="00EA0F12"/>
    <w:rsid w:val="00EA1A06"/>
    <w:rsid w:val="00EA1EAB"/>
    <w:rsid w:val="00EA3214"/>
    <w:rsid w:val="00EA5757"/>
    <w:rsid w:val="00EA70E8"/>
    <w:rsid w:val="00EA7D9C"/>
    <w:rsid w:val="00EA7FDA"/>
    <w:rsid w:val="00EB1F1A"/>
    <w:rsid w:val="00EB283D"/>
    <w:rsid w:val="00EB28F5"/>
    <w:rsid w:val="00EB590C"/>
    <w:rsid w:val="00EB7407"/>
    <w:rsid w:val="00EC41B4"/>
    <w:rsid w:val="00EC41CF"/>
    <w:rsid w:val="00EC5166"/>
    <w:rsid w:val="00EC5D8C"/>
    <w:rsid w:val="00EC60B6"/>
    <w:rsid w:val="00EC7F1D"/>
    <w:rsid w:val="00ED2C5F"/>
    <w:rsid w:val="00ED45AE"/>
    <w:rsid w:val="00ED5369"/>
    <w:rsid w:val="00ED7BC3"/>
    <w:rsid w:val="00EE1B37"/>
    <w:rsid w:val="00EE48E8"/>
    <w:rsid w:val="00EE4CE8"/>
    <w:rsid w:val="00EE70FE"/>
    <w:rsid w:val="00EE748B"/>
    <w:rsid w:val="00EF01D1"/>
    <w:rsid w:val="00EF30C8"/>
    <w:rsid w:val="00EF37CB"/>
    <w:rsid w:val="00EF4382"/>
    <w:rsid w:val="00EF4D2B"/>
    <w:rsid w:val="00EF585F"/>
    <w:rsid w:val="00EF7DAF"/>
    <w:rsid w:val="00F00E88"/>
    <w:rsid w:val="00F03D57"/>
    <w:rsid w:val="00F04A61"/>
    <w:rsid w:val="00F04B2A"/>
    <w:rsid w:val="00F06381"/>
    <w:rsid w:val="00F06DF0"/>
    <w:rsid w:val="00F10F65"/>
    <w:rsid w:val="00F11F88"/>
    <w:rsid w:val="00F149EA"/>
    <w:rsid w:val="00F154C7"/>
    <w:rsid w:val="00F15CDF"/>
    <w:rsid w:val="00F17000"/>
    <w:rsid w:val="00F20E8C"/>
    <w:rsid w:val="00F217CC"/>
    <w:rsid w:val="00F22BAC"/>
    <w:rsid w:val="00F2546E"/>
    <w:rsid w:val="00F25729"/>
    <w:rsid w:val="00F25C93"/>
    <w:rsid w:val="00F266E4"/>
    <w:rsid w:val="00F26987"/>
    <w:rsid w:val="00F27E18"/>
    <w:rsid w:val="00F27F0A"/>
    <w:rsid w:val="00F306EA"/>
    <w:rsid w:val="00F3411A"/>
    <w:rsid w:val="00F348D7"/>
    <w:rsid w:val="00F360E8"/>
    <w:rsid w:val="00F37068"/>
    <w:rsid w:val="00F40001"/>
    <w:rsid w:val="00F415C0"/>
    <w:rsid w:val="00F41B80"/>
    <w:rsid w:val="00F44EBC"/>
    <w:rsid w:val="00F4611C"/>
    <w:rsid w:val="00F47822"/>
    <w:rsid w:val="00F47E3C"/>
    <w:rsid w:val="00F50EAD"/>
    <w:rsid w:val="00F50EB7"/>
    <w:rsid w:val="00F52642"/>
    <w:rsid w:val="00F53491"/>
    <w:rsid w:val="00F6073F"/>
    <w:rsid w:val="00F61E31"/>
    <w:rsid w:val="00F622FF"/>
    <w:rsid w:val="00F62E74"/>
    <w:rsid w:val="00F6423C"/>
    <w:rsid w:val="00F652F7"/>
    <w:rsid w:val="00F65A30"/>
    <w:rsid w:val="00F730ED"/>
    <w:rsid w:val="00F736AD"/>
    <w:rsid w:val="00F75389"/>
    <w:rsid w:val="00F75EE0"/>
    <w:rsid w:val="00F76B50"/>
    <w:rsid w:val="00F77720"/>
    <w:rsid w:val="00F80FFC"/>
    <w:rsid w:val="00F819E2"/>
    <w:rsid w:val="00F84BF1"/>
    <w:rsid w:val="00F855D9"/>
    <w:rsid w:val="00F868DB"/>
    <w:rsid w:val="00F9027D"/>
    <w:rsid w:val="00F9118B"/>
    <w:rsid w:val="00F9194B"/>
    <w:rsid w:val="00F922A9"/>
    <w:rsid w:val="00F92F0D"/>
    <w:rsid w:val="00F94AB0"/>
    <w:rsid w:val="00F94E4E"/>
    <w:rsid w:val="00F97C80"/>
    <w:rsid w:val="00FA0788"/>
    <w:rsid w:val="00FA0EBE"/>
    <w:rsid w:val="00FA3A60"/>
    <w:rsid w:val="00FA3FFB"/>
    <w:rsid w:val="00FA4E05"/>
    <w:rsid w:val="00FB197D"/>
    <w:rsid w:val="00FB3D6A"/>
    <w:rsid w:val="00FB5FB8"/>
    <w:rsid w:val="00FB66BD"/>
    <w:rsid w:val="00FB6A21"/>
    <w:rsid w:val="00FB716D"/>
    <w:rsid w:val="00FB7B89"/>
    <w:rsid w:val="00FC2B5A"/>
    <w:rsid w:val="00FC377C"/>
    <w:rsid w:val="00FC5141"/>
    <w:rsid w:val="00FC73C9"/>
    <w:rsid w:val="00FD0187"/>
    <w:rsid w:val="00FD3202"/>
    <w:rsid w:val="00FD4B31"/>
    <w:rsid w:val="00FD5DB9"/>
    <w:rsid w:val="00FD6966"/>
    <w:rsid w:val="00FD6A89"/>
    <w:rsid w:val="00FE1ADE"/>
    <w:rsid w:val="00FE3139"/>
    <w:rsid w:val="00FE4C31"/>
    <w:rsid w:val="00FE611E"/>
    <w:rsid w:val="00FE7055"/>
    <w:rsid w:val="00FF2863"/>
    <w:rsid w:val="00FF2CE6"/>
    <w:rsid w:val="00FF48E9"/>
    <w:rsid w:val="00FF75B8"/>
    <w:rsid w:val="00FF7799"/>
    <w:rsid w:val="00FF7AAF"/>
    <w:rsid w:val="00FF7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F30"/>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208">
      <w:bodyDiv w:val="1"/>
      <w:marLeft w:val="0"/>
      <w:marRight w:val="0"/>
      <w:marTop w:val="0"/>
      <w:marBottom w:val="0"/>
      <w:divBdr>
        <w:top w:val="none" w:sz="0" w:space="0" w:color="auto"/>
        <w:left w:val="none" w:sz="0" w:space="0" w:color="auto"/>
        <w:bottom w:val="none" w:sz="0" w:space="0" w:color="auto"/>
        <w:right w:val="none" w:sz="0" w:space="0" w:color="auto"/>
      </w:divBdr>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448349020">
      <w:bodyDiv w:val="1"/>
      <w:marLeft w:val="0"/>
      <w:marRight w:val="0"/>
      <w:marTop w:val="0"/>
      <w:marBottom w:val="0"/>
      <w:divBdr>
        <w:top w:val="none" w:sz="0" w:space="0" w:color="auto"/>
        <w:left w:val="none" w:sz="0" w:space="0" w:color="auto"/>
        <w:bottom w:val="none" w:sz="0" w:space="0" w:color="auto"/>
        <w:right w:val="none" w:sz="0" w:space="0" w:color="auto"/>
      </w:divBdr>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673801568">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remecourt.uk/cases/docs/uksc-2021-0062-judgment.pdf" TargetMode="External"/><Relationship Id="rId18" Type="http://schemas.openxmlformats.org/officeDocument/2006/relationships/hyperlink" Target="https://www.supremecourt.gov/opinions/21pdf/20-601_new_g20h.pdf" TargetMode="External"/><Relationship Id="rId26" Type="http://schemas.openxmlformats.org/officeDocument/2006/relationships/hyperlink" Target="https://www.supremecourt.gov/opinions/21pdf/20-443_new_2d8f.pdf" TargetMode="External"/><Relationship Id="rId39" Type="http://schemas.openxmlformats.org/officeDocument/2006/relationships/hyperlink" Target="https://www.supremecourt.uk/cases/docs/uksc-2021-0044-judgment.pdf" TargetMode="External"/><Relationship Id="rId21" Type="http://schemas.openxmlformats.org/officeDocument/2006/relationships/hyperlink" Target="https://www.saflii.org/za/cases/ZACC/2022/1.html" TargetMode="External"/><Relationship Id="rId34" Type="http://schemas.openxmlformats.org/officeDocument/2006/relationships/hyperlink" Target="https://www.saflii.org/za/cases/ZACC/2022/7.html" TargetMode="External"/><Relationship Id="rId42" Type="http://schemas.openxmlformats.org/officeDocument/2006/relationships/hyperlink" Target="https://www.supremecourt.gov/opinions/21pdf/19-1401_m6io.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monlii.org/sg/cases/SGCA/2022/24.pdf" TargetMode="External"/><Relationship Id="rId29" Type="http://schemas.openxmlformats.org/officeDocument/2006/relationships/hyperlink" Target="https://www.supremecourt.uk/cases/docs/uksc-2019-0054-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za/cases/ZACC/2022/9.html" TargetMode="External"/><Relationship Id="rId24" Type="http://schemas.openxmlformats.org/officeDocument/2006/relationships/hyperlink" Target="https://decisions.scc-csc.ca/scc-csc/scc-csc/en/item/19276/index.do" TargetMode="External"/><Relationship Id="rId32" Type="http://schemas.openxmlformats.org/officeDocument/2006/relationships/hyperlink" Target="https://www.supremecourt.uk/cases/docs/uksc-2020-0185-judgment.pdf" TargetMode="External"/><Relationship Id="rId37" Type="http://schemas.openxmlformats.org/officeDocument/2006/relationships/hyperlink" Target="https://www.supremecourt.uk/cases/docs/uksc-2018-0129-judgment.pdf" TargetMode="External"/><Relationship Id="rId40" Type="http://schemas.openxmlformats.org/officeDocument/2006/relationships/hyperlink" Target="https://www.supremecourt.uk/cases/docs/uksc-2020-0066-judgment.pdf" TargetMode="External"/><Relationship Id="rId45" Type="http://schemas.openxmlformats.org/officeDocument/2006/relationships/hyperlink" Target="https://www.supremecourt.gov/opinions/21pdf/21a471_097c.pdf" TargetMode="External"/><Relationship Id="rId5" Type="http://schemas.openxmlformats.org/officeDocument/2006/relationships/webSettings" Target="webSettings.xml"/><Relationship Id="rId15" Type="http://schemas.openxmlformats.org/officeDocument/2006/relationships/hyperlink" Target="http://www.commonlii.org/sg/cases/SGCA/2022/1.pdf" TargetMode="External"/><Relationship Id="rId23" Type="http://schemas.openxmlformats.org/officeDocument/2006/relationships/hyperlink" Target="https://decisions.scc-csc.ca/scc-csc/scc-csc/en/item/19275/index.do" TargetMode="External"/><Relationship Id="rId28" Type="http://schemas.openxmlformats.org/officeDocument/2006/relationships/hyperlink" Target="https://www.saflii.org/za/cases/ZACC/2022/13.html" TargetMode="External"/><Relationship Id="rId36" Type="http://schemas.openxmlformats.org/officeDocument/2006/relationships/hyperlink" Target="https://www.saflii.org/za/cases/ZACC/2022/3.html" TargetMode="External"/><Relationship Id="rId10" Type="http://schemas.openxmlformats.org/officeDocument/2006/relationships/hyperlink" Target="https://www.supremecourt.gov/opinions/21pdf/20-828_5ie6.pdf" TargetMode="External"/><Relationship Id="rId19" Type="http://schemas.openxmlformats.org/officeDocument/2006/relationships/hyperlink" Target="https://www.supremecourt.gov/opinions/21pdf/20-804_j426.pdf" TargetMode="External"/><Relationship Id="rId31" Type="http://schemas.openxmlformats.org/officeDocument/2006/relationships/hyperlink" Target="https://www.supremecourt.gov/opinions/21pdf/20-827_i426.pdf" TargetMode="External"/><Relationship Id="rId44" Type="http://schemas.openxmlformats.org/officeDocument/2006/relationships/hyperlink" Target="https://www.supremecourt.uk/cases/docs/uksc-2020-0125-judgment.pdf" TargetMode="External"/><Relationship Id="rId4" Type="http://schemas.openxmlformats.org/officeDocument/2006/relationships/settings" Target="settings.xml"/><Relationship Id="rId9" Type="http://schemas.openxmlformats.org/officeDocument/2006/relationships/hyperlink" Target="https://www.supremecourt.gov/opinions/21pdf/20-480_b97c.pdf" TargetMode="External"/><Relationship Id="rId14" Type="http://schemas.openxmlformats.org/officeDocument/2006/relationships/hyperlink" Target="https://www.supremecourt.gov/opinions/21pdf/20-1143_m6hn.pdf" TargetMode="External"/><Relationship Id="rId22" Type="http://schemas.openxmlformats.org/officeDocument/2006/relationships/hyperlink" Target="http://www.commonlii.org/sg/cases/SGCA/2022/16.pdf" TargetMode="External"/><Relationship Id="rId27" Type="http://schemas.openxmlformats.org/officeDocument/2006/relationships/hyperlink" Target="https://www.supremecourt.gov/opinions/21pdf/20-5279_new_h315.pdf" TargetMode="External"/><Relationship Id="rId30" Type="http://schemas.openxmlformats.org/officeDocument/2006/relationships/hyperlink" Target="https://www.supremecourt.gov/opinions/21pdf/20-637_new_6khn.pdf" TargetMode="External"/><Relationship Id="rId35" Type="http://schemas.openxmlformats.org/officeDocument/2006/relationships/hyperlink" Target="https://www.supremecourt.gov/opinions/21pdf/20-915_pol1.pdf" TargetMode="External"/><Relationship Id="rId43" Type="http://schemas.openxmlformats.org/officeDocument/2006/relationships/hyperlink" Target="https://www.saflii.org/za/cases/ZACC/2022/8.htm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upremecourt.gov/opinions/21pdf/21a244_hgci.pdf" TargetMode="External"/><Relationship Id="rId17" Type="http://schemas.openxmlformats.org/officeDocument/2006/relationships/hyperlink" Target="https://decisions.scc-csc.ca/scc-csc/scc-csc/en/item/19244/index.do" TargetMode="External"/><Relationship Id="rId25" Type="http://schemas.openxmlformats.org/officeDocument/2006/relationships/hyperlink" Target="https://www.supremecourt.gov/opinions/21pdf/21-5592_feah.pdf" TargetMode="External"/><Relationship Id="rId33" Type="http://schemas.openxmlformats.org/officeDocument/2006/relationships/hyperlink" Target="https://www.supremecourt.uk/cases/docs/uksc-2020-0076-judgment.pdf" TargetMode="External"/><Relationship Id="rId38" Type="http://schemas.openxmlformats.org/officeDocument/2006/relationships/hyperlink" Target="https://www.supremecourt.uk/cases/docs/uksc-2020-0122-judgment.pdf" TargetMode="External"/><Relationship Id="rId46" Type="http://schemas.openxmlformats.org/officeDocument/2006/relationships/footer" Target="footer1.xml"/><Relationship Id="rId20" Type="http://schemas.openxmlformats.org/officeDocument/2006/relationships/hyperlink" Target="https://decisions.scc-csc.ca/scc-csc/scc-csc/en/item/19135/index.do" TargetMode="External"/><Relationship Id="rId41" Type="http://schemas.openxmlformats.org/officeDocument/2006/relationships/hyperlink" Target="https://www.hklii.hk/eng/hk/cases/hkcfa/202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F46D-BD04-4AC7-BACD-5206821D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7405</Words>
  <Characters>47765</Characters>
  <Application>Microsoft Office Word</Application>
  <DocSecurity>0</DocSecurity>
  <Lines>398</Lines>
  <Paragraphs>110</Paragraphs>
  <ScaleCrop>false</ScaleCrop>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2022-05-03T23:36:00Z</dcterms:created>
  <dcterms:modified xsi:type="dcterms:W3CDTF">2022-05-03T23:36:00Z</dcterms:modified>
</cp:coreProperties>
</file>