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E22C" w14:textId="77777777" w:rsidR="009D0CE8" w:rsidRPr="00B546B2" w:rsidRDefault="007A348E" w:rsidP="009D0CE8">
      <w:pPr>
        <w:jc w:val="left"/>
      </w:pPr>
      <w:r>
        <w:rPr>
          <w:noProof/>
        </w:rPr>
        <w:drawing>
          <wp:anchor distT="0" distB="0" distL="114300" distR="114300" simplePos="0" relativeHeight="251658240" behindDoc="0" locked="0" layoutInCell="1" allowOverlap="1" wp14:anchorId="0A22408F" wp14:editId="5F136E03">
            <wp:simplePos x="0" y="0"/>
            <wp:positionH relativeFrom="margin">
              <wp:align>center</wp:align>
            </wp:positionH>
            <wp:positionV relativeFrom="margin">
              <wp:align>top</wp:align>
            </wp:positionV>
            <wp:extent cx="764540" cy="6553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5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CE8" w:rsidRPr="00B546B2">
        <w:tab/>
      </w:r>
      <w:r w:rsidR="009D0CE8" w:rsidRPr="00B546B2">
        <w:br w:type="textWrapping" w:clear="all"/>
      </w:r>
    </w:p>
    <w:p w14:paraId="734E8A79" w14:textId="77777777" w:rsidR="009D0CE8" w:rsidRPr="00B546B2" w:rsidRDefault="009D0CE8" w:rsidP="009D0CE8">
      <w:pPr>
        <w:jc w:val="center"/>
      </w:pPr>
    </w:p>
    <w:p w14:paraId="272331A7" w14:textId="77777777" w:rsidR="009D0CE8" w:rsidRPr="00B546B2" w:rsidRDefault="009D0CE8" w:rsidP="009D0CE8">
      <w:pPr>
        <w:pStyle w:val="BullTitle1"/>
      </w:pPr>
      <w:bookmarkStart w:id="0" w:name="Top"/>
      <w:r w:rsidRPr="00B546B2">
        <w:t xml:space="preserve">Overseas </w:t>
      </w:r>
      <w:bookmarkStart w:id="1" w:name="Home"/>
      <w:r w:rsidRPr="00B546B2">
        <w:t xml:space="preserve">Decisions </w:t>
      </w:r>
      <w:bookmarkEnd w:id="1"/>
      <w:r w:rsidRPr="00B546B2">
        <w:t>Bulletin</w:t>
      </w:r>
    </w:p>
    <w:bookmarkEnd w:id="0"/>
    <w:p w14:paraId="0C34AA83" w14:textId="77777777" w:rsidR="009D0CE8" w:rsidRPr="00B546B2" w:rsidRDefault="009D0CE8" w:rsidP="009D0CE8"/>
    <w:p w14:paraId="5B7E2B12" w14:textId="77777777" w:rsidR="009D0CE8" w:rsidRPr="00B546B2" w:rsidRDefault="009D0CE8" w:rsidP="009D0CE8">
      <w:pPr>
        <w:pStyle w:val="BullTitle2"/>
      </w:pPr>
      <w:r w:rsidRPr="00B546B2">
        <w:t xml:space="preserve">Produced by the Legal Research Officer, </w:t>
      </w:r>
      <w:r w:rsidRPr="00B546B2">
        <w:br/>
        <w:t>High Court of Australia Library</w:t>
      </w:r>
    </w:p>
    <w:p w14:paraId="12473652" w14:textId="77777777" w:rsidR="009D0CE8" w:rsidRPr="00B546B2" w:rsidRDefault="009D0CE8" w:rsidP="009D0CE8">
      <w:pPr>
        <w:pStyle w:val="BullTitle3"/>
      </w:pPr>
    </w:p>
    <w:p w14:paraId="50FBA707" w14:textId="20AA1C63" w:rsidR="009D0CE8" w:rsidRPr="007203D3" w:rsidRDefault="009D0CE8" w:rsidP="009D0CE8">
      <w:pPr>
        <w:pStyle w:val="BullTitle3"/>
      </w:pPr>
      <w:r w:rsidRPr="007203D3">
        <w:t xml:space="preserve">Volume </w:t>
      </w:r>
      <w:r w:rsidR="00DF030A">
        <w:t>20</w:t>
      </w:r>
      <w:r w:rsidRPr="007203D3">
        <w:t xml:space="preserve"> Number </w:t>
      </w:r>
      <w:r w:rsidR="00DF030A">
        <w:t>1</w:t>
      </w:r>
      <w:r w:rsidRPr="007203D3">
        <w:t xml:space="preserve"> (</w:t>
      </w:r>
      <w:r w:rsidR="00A7097D" w:rsidRPr="007203D3">
        <w:t xml:space="preserve">1 </w:t>
      </w:r>
      <w:r w:rsidR="00DF030A">
        <w:t>January</w:t>
      </w:r>
      <w:r w:rsidR="007E4E01" w:rsidRPr="007203D3">
        <w:t xml:space="preserve"> –</w:t>
      </w:r>
      <w:r w:rsidR="00727206" w:rsidRPr="007203D3">
        <w:t xml:space="preserve"> </w:t>
      </w:r>
      <w:r w:rsidR="00035AB1">
        <w:t>28 February</w:t>
      </w:r>
      <w:r w:rsidR="00DB68FF">
        <w:t xml:space="preserve"> 202</w:t>
      </w:r>
      <w:r w:rsidR="00035AB1">
        <w:t>3</w:t>
      </w:r>
      <w:r w:rsidRPr="007203D3">
        <w:t>)</w:t>
      </w:r>
    </w:p>
    <w:p w14:paraId="61439D12" w14:textId="77777777" w:rsidR="009D0CE8" w:rsidRPr="00B546B2" w:rsidRDefault="009D0CE8" w:rsidP="009D0CE8"/>
    <w:p w14:paraId="79ED9A18" w14:textId="345CD8C8" w:rsidR="00AE777D" w:rsidRDefault="009D0CE8" w:rsidP="000F35BD">
      <w:r w:rsidRPr="00B546B2">
        <w:t>Decisions of the Supreme Court of the United Kingdom, the Supreme Court of Canada, the Supreme Court of the United States, the Constitutional Court of South Africa, the Supreme Court of New Zealand and the Hong Kong Court of Final Appeal. Admiralty, arbitration and constitutional decisions of the Court of Appeal of Singapore.</w:t>
      </w:r>
    </w:p>
    <w:p w14:paraId="7EC448AD" w14:textId="77777777" w:rsidR="0006330B" w:rsidRDefault="0006330B" w:rsidP="0006330B">
      <w:pPr>
        <w:pStyle w:val="BullDivider2"/>
      </w:pPr>
      <w:bookmarkStart w:id="2" w:name="_Hlk109025049"/>
    </w:p>
    <w:p w14:paraId="79511076" w14:textId="77777777" w:rsidR="003C1D58" w:rsidRDefault="003C1D58" w:rsidP="003C1D58">
      <w:pPr>
        <w:rPr>
          <w:lang w:eastAsia="en-AU"/>
        </w:rPr>
      </w:pPr>
    </w:p>
    <w:p w14:paraId="1B73250C" w14:textId="2DD63D39" w:rsidR="006B2559" w:rsidRDefault="006B2559" w:rsidP="006B2559">
      <w:pPr>
        <w:pStyle w:val="Heading1"/>
      </w:pPr>
      <w:r>
        <w:t xml:space="preserve">Banking and Finance </w:t>
      </w:r>
    </w:p>
    <w:p w14:paraId="21922152" w14:textId="77777777" w:rsidR="006B2559" w:rsidRDefault="006B2559" w:rsidP="006B2559">
      <w:pPr>
        <w:rPr>
          <w:lang w:eastAsia="en-AU"/>
        </w:rPr>
      </w:pPr>
    </w:p>
    <w:p w14:paraId="7E1502F4" w14:textId="77777777" w:rsidR="006B2559" w:rsidRPr="003505AF" w:rsidRDefault="006B2559" w:rsidP="006B2559">
      <w:pPr>
        <w:pStyle w:val="Heading2"/>
      </w:pPr>
      <w:r w:rsidRPr="003505AF">
        <w:t xml:space="preserve">Pt </w:t>
      </w:r>
      <w:proofErr w:type="spellStart"/>
      <w:r w:rsidRPr="003505AF">
        <w:t>Asuransi</w:t>
      </w:r>
      <w:proofErr w:type="spellEnd"/>
      <w:r w:rsidRPr="003505AF">
        <w:t xml:space="preserve"> </w:t>
      </w:r>
      <w:proofErr w:type="spellStart"/>
      <w:r w:rsidRPr="003505AF">
        <w:t>Tugu</w:t>
      </w:r>
      <w:proofErr w:type="spellEnd"/>
      <w:r w:rsidRPr="003505AF">
        <w:t xml:space="preserve"> </w:t>
      </w:r>
      <w:proofErr w:type="spellStart"/>
      <w:r w:rsidRPr="003505AF">
        <w:t>Pratama</w:t>
      </w:r>
      <w:proofErr w:type="spellEnd"/>
      <w:r w:rsidRPr="003505AF">
        <w:t xml:space="preserve"> Indonesia TBK v Citibank NA </w:t>
      </w:r>
    </w:p>
    <w:p w14:paraId="071F4561" w14:textId="77777777" w:rsidR="006B2559" w:rsidRPr="003505AF" w:rsidRDefault="006B2559" w:rsidP="006B2559">
      <w:pPr>
        <w:rPr>
          <w:lang w:eastAsia="en-AU"/>
        </w:rPr>
      </w:pPr>
      <w:r w:rsidRPr="003505AF">
        <w:rPr>
          <w:b/>
          <w:bCs/>
          <w:lang w:eastAsia="en-AU"/>
        </w:rPr>
        <w:t xml:space="preserve">Hong Kong Court of Final Appeal: </w:t>
      </w:r>
      <w:hyperlink r:id="rId9" w:history="1">
        <w:r w:rsidRPr="003505AF">
          <w:rPr>
            <w:rStyle w:val="Hyperlink"/>
            <w:lang w:eastAsia="en-AU"/>
          </w:rPr>
          <w:t>[2023] HKCFA 3</w:t>
        </w:r>
      </w:hyperlink>
    </w:p>
    <w:p w14:paraId="55B53BBB" w14:textId="77777777" w:rsidR="006B2559" w:rsidRPr="003505AF" w:rsidRDefault="006B2559" w:rsidP="006B2559">
      <w:pPr>
        <w:rPr>
          <w:lang w:eastAsia="en-AU"/>
        </w:rPr>
      </w:pPr>
    </w:p>
    <w:p w14:paraId="24C15631" w14:textId="77777777" w:rsidR="006B2559" w:rsidRPr="003505AF" w:rsidRDefault="006B2559" w:rsidP="006B2559">
      <w:pPr>
        <w:rPr>
          <w:lang w:eastAsia="en-AU"/>
        </w:rPr>
      </w:pPr>
      <w:r w:rsidRPr="003505AF">
        <w:rPr>
          <w:b/>
          <w:bCs/>
          <w:lang w:eastAsia="en-AU"/>
        </w:rPr>
        <w:t xml:space="preserve">Reasons delivered: </w:t>
      </w:r>
      <w:r w:rsidRPr="003505AF">
        <w:rPr>
          <w:lang w:eastAsia="en-AU"/>
        </w:rPr>
        <w:t>6 February 2023</w:t>
      </w:r>
    </w:p>
    <w:p w14:paraId="281466CD" w14:textId="77777777" w:rsidR="006B2559" w:rsidRPr="003505AF" w:rsidRDefault="006B2559" w:rsidP="006B2559">
      <w:pPr>
        <w:rPr>
          <w:b/>
          <w:bCs/>
          <w:lang w:eastAsia="en-AU"/>
        </w:rPr>
      </w:pPr>
    </w:p>
    <w:p w14:paraId="31B88783" w14:textId="77777777" w:rsidR="006B2559" w:rsidRPr="003505AF" w:rsidRDefault="006B2559" w:rsidP="006B2559">
      <w:pPr>
        <w:rPr>
          <w:lang w:eastAsia="en-AU"/>
        </w:rPr>
      </w:pPr>
      <w:r w:rsidRPr="003505AF">
        <w:rPr>
          <w:b/>
          <w:bCs/>
          <w:lang w:eastAsia="en-AU"/>
        </w:rPr>
        <w:t>Coram:</w:t>
      </w:r>
      <w:r w:rsidRPr="003505AF">
        <w:t xml:space="preserve"> Cheung CJ, Ribeiro, Fok, Lam PJJ and Lord Sumption NPJ</w:t>
      </w:r>
    </w:p>
    <w:p w14:paraId="0F33798B" w14:textId="77777777" w:rsidR="006B2559" w:rsidRPr="003505AF" w:rsidRDefault="006B2559" w:rsidP="006B2559">
      <w:pPr>
        <w:rPr>
          <w:b/>
          <w:bCs/>
          <w:lang w:eastAsia="en-AU"/>
        </w:rPr>
      </w:pPr>
    </w:p>
    <w:p w14:paraId="44CA91E0" w14:textId="77777777" w:rsidR="006B2559" w:rsidRPr="003505AF" w:rsidRDefault="006B2559" w:rsidP="006B2559">
      <w:pPr>
        <w:rPr>
          <w:b/>
          <w:bCs/>
          <w:lang w:eastAsia="en-AU"/>
        </w:rPr>
      </w:pPr>
      <w:r w:rsidRPr="003505AF">
        <w:rPr>
          <w:b/>
          <w:bCs/>
          <w:lang w:eastAsia="en-AU"/>
        </w:rPr>
        <w:t>Catchwords:</w:t>
      </w:r>
    </w:p>
    <w:p w14:paraId="2A4B2A0C" w14:textId="77777777" w:rsidR="006B2559" w:rsidRPr="003505AF" w:rsidRDefault="006B2559" w:rsidP="006B2559">
      <w:pPr>
        <w:rPr>
          <w:b/>
          <w:bCs/>
          <w:lang w:eastAsia="en-AU"/>
        </w:rPr>
      </w:pPr>
    </w:p>
    <w:p w14:paraId="2098E8E0" w14:textId="5D0EDBE7" w:rsidR="006B2559" w:rsidRDefault="006B2559" w:rsidP="00462DCD">
      <w:pPr>
        <w:pStyle w:val="Catchwords"/>
      </w:pPr>
      <w:r w:rsidRPr="003505AF">
        <w:t xml:space="preserve">Banking and finance – </w:t>
      </w:r>
      <w:r w:rsidR="004924B0" w:rsidRPr="003505AF">
        <w:t xml:space="preserve">Authority – </w:t>
      </w:r>
      <w:r w:rsidR="008E23B4">
        <w:t>"</w:t>
      </w:r>
      <w:r w:rsidR="004924B0" w:rsidRPr="003505AF">
        <w:t>Put on inquiry</w:t>
      </w:r>
      <w:r w:rsidR="008E23B4">
        <w:t>"</w:t>
      </w:r>
      <w:r w:rsidR="004924B0" w:rsidRPr="003505AF">
        <w:t xml:space="preserve"> – </w:t>
      </w:r>
      <w:r w:rsidR="00F733E5" w:rsidRPr="003505AF">
        <w:t xml:space="preserve">Contributory negligence </w:t>
      </w:r>
      <w:r w:rsidRPr="003505AF">
        <w:t>– Where banker paid money out of customer</w:t>
      </w:r>
      <w:r w:rsidR="008E23B4">
        <w:t>'</w:t>
      </w:r>
      <w:r w:rsidRPr="003505AF">
        <w:t xml:space="preserve">s account on dishonest instructions of authorised signatory – Where banker owes all ordinary duties of agent, including duty to exercise reasonable skill and care: </w:t>
      </w:r>
      <w:r w:rsidRPr="003505AF">
        <w:rPr>
          <w:i/>
          <w:iCs/>
        </w:rPr>
        <w:t xml:space="preserve">Barclays Bank plc v </w:t>
      </w:r>
      <w:proofErr w:type="spellStart"/>
      <w:r w:rsidRPr="003505AF">
        <w:rPr>
          <w:i/>
          <w:iCs/>
        </w:rPr>
        <w:t>Quincecare</w:t>
      </w:r>
      <w:proofErr w:type="spellEnd"/>
      <w:r w:rsidRPr="003505AF">
        <w:rPr>
          <w:i/>
          <w:iCs/>
        </w:rPr>
        <w:t xml:space="preserve"> Ltd</w:t>
      </w:r>
      <w:r w:rsidRPr="003505AF">
        <w:t xml:space="preserve"> [1992] 4 All ER 363 (</w:t>
      </w:r>
      <w:r w:rsidR="008E23B4">
        <w:t>"</w:t>
      </w:r>
      <w:proofErr w:type="spellStart"/>
      <w:r w:rsidRPr="003505AF">
        <w:rPr>
          <w:i/>
          <w:iCs/>
        </w:rPr>
        <w:t>Quincecare</w:t>
      </w:r>
      <w:proofErr w:type="spellEnd"/>
      <w:r w:rsidRPr="003505AF">
        <w:rPr>
          <w:i/>
          <w:iCs/>
        </w:rPr>
        <w:t xml:space="preserve"> </w:t>
      </w:r>
      <w:r w:rsidRPr="003505AF">
        <w:t>duty</w:t>
      </w:r>
      <w:r w:rsidR="008E23B4">
        <w:t>"</w:t>
      </w:r>
      <w:r w:rsidRPr="003505AF">
        <w:t>)</w:t>
      </w:r>
      <w:r w:rsidR="00CA2D84" w:rsidRPr="003505AF">
        <w:t xml:space="preserve"> </w:t>
      </w:r>
      <w:r w:rsidRPr="003505AF">
        <w:t xml:space="preserve">– </w:t>
      </w:r>
      <w:r w:rsidR="00A61EE1" w:rsidRPr="003505AF">
        <w:t xml:space="preserve">Where s </w:t>
      </w:r>
      <w:r w:rsidR="00462DCD" w:rsidRPr="003505AF">
        <w:t xml:space="preserve">21 of Law Amendment and Reform (Consolidation) Ordinance (Cap 23) </w:t>
      </w:r>
      <w:r w:rsidR="003505AF" w:rsidRPr="003505AF">
        <w:t>(</w:t>
      </w:r>
      <w:r w:rsidR="008E23B4">
        <w:t>"</w:t>
      </w:r>
      <w:r w:rsidR="003505AF" w:rsidRPr="003505AF">
        <w:t>Ordinance</w:t>
      </w:r>
      <w:r w:rsidR="008E23B4">
        <w:t>"</w:t>
      </w:r>
      <w:r w:rsidR="003505AF" w:rsidRPr="003505AF">
        <w:t xml:space="preserve">) </w:t>
      </w:r>
      <w:r w:rsidR="00462DCD" w:rsidRPr="003505AF">
        <w:t xml:space="preserve">provides where person suffers damage as result partly of own fault and partly of fault of any other person, a claim in respect of that damage shall not be defeated, but damages reduced to such extent as court thinks just and equitable – </w:t>
      </w:r>
      <w:r w:rsidRPr="003505AF">
        <w:t>Whether customer</w:t>
      </w:r>
      <w:r w:rsidR="008E23B4">
        <w:t>'</w:t>
      </w:r>
      <w:r w:rsidRPr="003505AF">
        <w:t>s claim to recover balance which ought to be standing in account with banker, which account has been emptied by unauthorised payments, ought properly to sound in debt (to which contributory negligence not a defence)</w:t>
      </w:r>
      <w:r w:rsidR="00764CE3" w:rsidRPr="003505AF">
        <w:t xml:space="preserve"> – Whether claim in respect of </w:t>
      </w:r>
      <w:r w:rsidR="008E23B4">
        <w:t>"</w:t>
      </w:r>
      <w:r w:rsidR="00764CE3" w:rsidRPr="003505AF">
        <w:t>damage</w:t>
      </w:r>
      <w:r w:rsidR="008E23B4">
        <w:t>"</w:t>
      </w:r>
      <w:r w:rsidR="00764CE3" w:rsidRPr="003505AF">
        <w:t xml:space="preserve"> for purposes of s 21 of </w:t>
      </w:r>
      <w:r w:rsidR="003505AF" w:rsidRPr="003505AF">
        <w:t>Ordinance.</w:t>
      </w:r>
      <w:r w:rsidR="003505AF">
        <w:t xml:space="preserve"> </w:t>
      </w:r>
    </w:p>
    <w:p w14:paraId="2B7B1959" w14:textId="77777777" w:rsidR="00CA2D84" w:rsidRDefault="00CA2D84" w:rsidP="006B2559">
      <w:pPr>
        <w:pStyle w:val="Catchwords"/>
      </w:pPr>
    </w:p>
    <w:p w14:paraId="00D5B18D" w14:textId="48ADED87" w:rsidR="00CA2D84" w:rsidRPr="004B4F9D" w:rsidRDefault="00CA2D84" w:rsidP="006B2559">
      <w:pPr>
        <w:pStyle w:val="Catchwords"/>
      </w:pPr>
      <w:r>
        <w:t xml:space="preserve">Limitations </w:t>
      </w:r>
      <w:r w:rsidRPr="00CA2D84">
        <w:t xml:space="preserve">– </w:t>
      </w:r>
      <w:r>
        <w:t xml:space="preserve">Cause of action – Date of accrual – </w:t>
      </w:r>
      <w:r w:rsidRPr="00CA2D84">
        <w:t xml:space="preserve">Whether, in context of contract between banker and customer (debtor/creditor), if banker invalidly </w:t>
      </w:r>
      <w:r w:rsidRPr="00CA2D84">
        <w:lastRenderedPageBreak/>
        <w:t>terminates contract, thereby evincing intention no longer to be bound by banker/customer relationship, invalid termination (unless and until accepted by customer as bringing contract to an end) is of any relevance in identifying (for purposes of Limitation Ordinance</w:t>
      </w:r>
      <w:r w:rsidR="007828E7">
        <w:t xml:space="preserve"> (Cap 347)</w:t>
      </w:r>
      <w:r w:rsidRPr="00CA2D84">
        <w:t>) date of accrual of customer</w:t>
      </w:r>
      <w:r w:rsidR="008E23B4">
        <w:t>'</w:t>
      </w:r>
      <w:r w:rsidRPr="00CA2D84">
        <w:t>s cause of action to recover back amount which ought to be standing in account, or any cause of action for damages for breach of the banker</w:t>
      </w:r>
      <w:r w:rsidR="008E23B4">
        <w:t>'</w:t>
      </w:r>
      <w:r w:rsidRPr="00CA2D84">
        <w:t xml:space="preserve">s </w:t>
      </w:r>
      <w:proofErr w:type="spellStart"/>
      <w:r w:rsidRPr="00CA2D84">
        <w:rPr>
          <w:i/>
          <w:iCs/>
        </w:rPr>
        <w:t>Quincecare</w:t>
      </w:r>
      <w:proofErr w:type="spellEnd"/>
      <w:r w:rsidRPr="00CA2D84">
        <w:t xml:space="preserve"> duty</w:t>
      </w:r>
      <w:r w:rsidR="00C2171B">
        <w:t xml:space="preserve">. </w:t>
      </w:r>
    </w:p>
    <w:p w14:paraId="252A9D0A" w14:textId="77777777" w:rsidR="006B2559" w:rsidRPr="005E2809" w:rsidRDefault="006B2559" w:rsidP="006B2559">
      <w:pPr>
        <w:pStyle w:val="Catchwords"/>
      </w:pPr>
    </w:p>
    <w:p w14:paraId="6ED73CEE" w14:textId="77777777" w:rsidR="006B2559" w:rsidRDefault="006B2559" w:rsidP="006B2559">
      <w:pPr>
        <w:rPr>
          <w:lang w:eastAsia="en-AU"/>
        </w:rPr>
      </w:pPr>
      <w:r>
        <w:rPr>
          <w:b/>
          <w:bCs/>
          <w:lang w:eastAsia="en-AU"/>
        </w:rPr>
        <w:t>Held (5:0):</w:t>
      </w:r>
      <w:r w:rsidRPr="00FD6C82">
        <w:rPr>
          <w:lang w:eastAsia="en-AU"/>
        </w:rPr>
        <w:t xml:space="preserve"> </w:t>
      </w:r>
      <w:r>
        <w:rPr>
          <w:lang w:eastAsia="en-AU"/>
        </w:rPr>
        <w:t xml:space="preserve">Appeal allowed.   </w:t>
      </w:r>
    </w:p>
    <w:p w14:paraId="1334E096" w14:textId="77777777" w:rsidR="006B2559" w:rsidRDefault="006B2559" w:rsidP="006B2559">
      <w:pPr>
        <w:pStyle w:val="BullDivider2"/>
      </w:pPr>
    </w:p>
    <w:p w14:paraId="712E8ADD" w14:textId="77777777" w:rsidR="006B2559" w:rsidRPr="003C1D58" w:rsidRDefault="006B2559" w:rsidP="003C1D58">
      <w:pPr>
        <w:rPr>
          <w:lang w:eastAsia="en-AU"/>
        </w:rPr>
      </w:pPr>
    </w:p>
    <w:p w14:paraId="492835CB" w14:textId="4AF45093" w:rsidR="003C1D58" w:rsidRDefault="003C1D58" w:rsidP="003C1D58">
      <w:pPr>
        <w:pStyle w:val="Heading1"/>
      </w:pPr>
      <w:r>
        <w:t>Bankruptcy</w:t>
      </w:r>
    </w:p>
    <w:p w14:paraId="26A48D2E" w14:textId="77777777" w:rsidR="003C1D58" w:rsidRDefault="003C1D58" w:rsidP="003C1D58">
      <w:pPr>
        <w:rPr>
          <w:lang w:eastAsia="en-AU"/>
        </w:rPr>
      </w:pPr>
    </w:p>
    <w:p w14:paraId="11C8EEC9" w14:textId="6DFCC7C4" w:rsidR="003C1D58" w:rsidRDefault="003C1D58" w:rsidP="003C1D58">
      <w:pPr>
        <w:pStyle w:val="Heading2"/>
      </w:pPr>
      <w:proofErr w:type="spellStart"/>
      <w:r w:rsidRPr="003C1D58">
        <w:t>Bartenwerfer</w:t>
      </w:r>
      <w:proofErr w:type="spellEnd"/>
      <w:r w:rsidRPr="003C1D58">
        <w:t xml:space="preserve"> v Buckley</w:t>
      </w:r>
    </w:p>
    <w:p w14:paraId="647D5D06" w14:textId="71AB8B95" w:rsidR="003C1D58" w:rsidRPr="00F77F62" w:rsidRDefault="003C1D58" w:rsidP="003C1D58">
      <w:pPr>
        <w:rPr>
          <w:lang w:eastAsia="en-AU"/>
        </w:rPr>
      </w:pPr>
      <w:r>
        <w:rPr>
          <w:b/>
          <w:bCs/>
          <w:lang w:eastAsia="en-AU"/>
        </w:rPr>
        <w:t>Supreme Court of the United States</w:t>
      </w:r>
      <w:r w:rsidRPr="006B0D58">
        <w:rPr>
          <w:b/>
          <w:bCs/>
          <w:lang w:eastAsia="en-AU"/>
        </w:rPr>
        <w:t>:</w:t>
      </w:r>
      <w:r>
        <w:rPr>
          <w:b/>
          <w:bCs/>
          <w:lang w:eastAsia="en-AU"/>
        </w:rPr>
        <w:t xml:space="preserve"> </w:t>
      </w:r>
      <w:hyperlink r:id="rId10" w:history="1">
        <w:r>
          <w:rPr>
            <w:rStyle w:val="Hyperlink"/>
            <w:lang w:eastAsia="en-AU"/>
          </w:rPr>
          <w:t>Docket No 21-908</w:t>
        </w:r>
      </w:hyperlink>
      <w:r>
        <w:rPr>
          <w:lang w:eastAsia="en-AU"/>
        </w:rPr>
        <w:t xml:space="preserve"> </w:t>
      </w:r>
    </w:p>
    <w:p w14:paraId="38669E60" w14:textId="77777777" w:rsidR="003C1D58" w:rsidRDefault="003C1D58" w:rsidP="003C1D58">
      <w:pPr>
        <w:rPr>
          <w:lang w:eastAsia="en-AU"/>
        </w:rPr>
      </w:pPr>
    </w:p>
    <w:p w14:paraId="53D691A1" w14:textId="77777777" w:rsidR="003C1D58" w:rsidRPr="00DB68FF" w:rsidRDefault="003C1D58" w:rsidP="003C1D58">
      <w:pPr>
        <w:rPr>
          <w:lang w:eastAsia="en-AU"/>
        </w:rPr>
      </w:pPr>
      <w:r>
        <w:rPr>
          <w:b/>
          <w:bCs/>
          <w:lang w:eastAsia="en-AU"/>
        </w:rPr>
        <w:t xml:space="preserve">Reasons delivered: </w:t>
      </w:r>
      <w:r>
        <w:rPr>
          <w:lang w:eastAsia="en-AU"/>
        </w:rPr>
        <w:t>22 February 2023</w:t>
      </w:r>
    </w:p>
    <w:p w14:paraId="699DB5A3" w14:textId="77777777" w:rsidR="003C1D58" w:rsidRDefault="003C1D58" w:rsidP="003C1D58">
      <w:pPr>
        <w:rPr>
          <w:b/>
          <w:bCs/>
          <w:lang w:eastAsia="en-AU"/>
        </w:rPr>
      </w:pPr>
    </w:p>
    <w:p w14:paraId="624E1A7C" w14:textId="77777777" w:rsidR="003C1D58" w:rsidRDefault="003C1D58" w:rsidP="003C1D58">
      <w:pPr>
        <w:rPr>
          <w:lang w:eastAsia="en-AU"/>
        </w:rPr>
      </w:pPr>
      <w:r>
        <w:rPr>
          <w:b/>
          <w:bCs/>
          <w:lang w:eastAsia="en-AU"/>
        </w:rPr>
        <w:t>Coram:</w:t>
      </w:r>
      <w:r w:rsidRPr="00DB68FF">
        <w:t xml:space="preserve"> </w:t>
      </w:r>
      <w:r>
        <w:rPr>
          <w:lang w:eastAsia="en-AU"/>
        </w:rPr>
        <w:t>Roberts CJ, Thomas, Alito, Sotomayor, Kagan, Gorsuch, Kavanaugh, Barrett and Jackson JJ</w:t>
      </w:r>
    </w:p>
    <w:p w14:paraId="695AF2F1" w14:textId="77777777" w:rsidR="003C1D58" w:rsidRDefault="003C1D58" w:rsidP="003C1D58">
      <w:pPr>
        <w:rPr>
          <w:b/>
          <w:bCs/>
          <w:lang w:eastAsia="en-AU"/>
        </w:rPr>
      </w:pPr>
    </w:p>
    <w:p w14:paraId="6126F6F8" w14:textId="77777777" w:rsidR="003C1D58" w:rsidRDefault="003C1D58" w:rsidP="003C1D58">
      <w:pPr>
        <w:rPr>
          <w:b/>
          <w:bCs/>
          <w:lang w:eastAsia="en-AU"/>
        </w:rPr>
      </w:pPr>
      <w:r>
        <w:rPr>
          <w:b/>
          <w:bCs/>
          <w:lang w:eastAsia="en-AU"/>
        </w:rPr>
        <w:t>Catchwords:</w:t>
      </w:r>
    </w:p>
    <w:p w14:paraId="2EDD65C1" w14:textId="77777777" w:rsidR="003C1D58" w:rsidRDefault="003C1D58" w:rsidP="003C1D58">
      <w:pPr>
        <w:rPr>
          <w:b/>
          <w:bCs/>
          <w:lang w:eastAsia="en-AU"/>
        </w:rPr>
      </w:pPr>
    </w:p>
    <w:p w14:paraId="7E9578E6" w14:textId="1E1716B8" w:rsidR="003C1D58" w:rsidRPr="004B4F9D" w:rsidRDefault="003C1D58" w:rsidP="00605C85">
      <w:pPr>
        <w:pStyle w:val="Catchwords"/>
      </w:pPr>
      <w:r>
        <w:t xml:space="preserve">Bankruptcy </w:t>
      </w:r>
      <w:r w:rsidR="00605C85">
        <w:t>–</w:t>
      </w:r>
      <w:r w:rsidR="004202A1">
        <w:t xml:space="preserve"> Discharging debt – Fraud –</w:t>
      </w:r>
      <w:r>
        <w:t xml:space="preserve"> </w:t>
      </w:r>
      <w:r w:rsidR="00CD51F7">
        <w:t xml:space="preserve">Culpability – </w:t>
      </w:r>
      <w:r w:rsidR="00D1028E">
        <w:t>Imputation</w:t>
      </w:r>
      <w:r w:rsidR="00EB33C4">
        <w:t xml:space="preserve"> of knowledge</w:t>
      </w:r>
      <w:r w:rsidR="00D1028E">
        <w:t xml:space="preserve"> – </w:t>
      </w:r>
      <w:r w:rsidR="00605C85">
        <w:t xml:space="preserve">Where petitioner and husband, Mr </w:t>
      </w:r>
      <w:proofErr w:type="spellStart"/>
      <w:r w:rsidR="00605C85">
        <w:t>Bartenwerfer</w:t>
      </w:r>
      <w:proofErr w:type="spellEnd"/>
      <w:r w:rsidR="00605C85">
        <w:t xml:space="preserve">, remodelled house jointly owned, with </w:t>
      </w:r>
      <w:r w:rsidR="00605C85" w:rsidRPr="00605C85">
        <w:t xml:space="preserve">Mr </w:t>
      </w:r>
      <w:proofErr w:type="spellStart"/>
      <w:r w:rsidR="00605C85" w:rsidRPr="00605C85">
        <w:t>Bartenwerfer</w:t>
      </w:r>
      <w:proofErr w:type="spellEnd"/>
      <w:r w:rsidR="00605C85" w:rsidRPr="00605C85">
        <w:t xml:space="preserve"> </w:t>
      </w:r>
      <w:r w:rsidR="00605C85">
        <w:t xml:space="preserve">taking charge and petitioner remaining largely uninvolved – Where house sold to respondent and, in conjunction with sale, petitioner and </w:t>
      </w:r>
      <w:r w:rsidR="00605C85" w:rsidRPr="00605C85">
        <w:t xml:space="preserve">Mr </w:t>
      </w:r>
      <w:proofErr w:type="spellStart"/>
      <w:r w:rsidR="00605C85" w:rsidRPr="00605C85">
        <w:t>Bartenwerfer</w:t>
      </w:r>
      <w:proofErr w:type="spellEnd"/>
      <w:r w:rsidR="00605C85" w:rsidRPr="00605C85">
        <w:t xml:space="preserve"> </w:t>
      </w:r>
      <w:r w:rsidR="00605C85">
        <w:t xml:space="preserve">attested to having disclosed all material facts related to property – Where, after purchase, respondent discovered several defects that </w:t>
      </w:r>
      <w:proofErr w:type="spellStart"/>
      <w:r w:rsidR="00605C85">
        <w:t>Bartenwerfers</w:t>
      </w:r>
      <w:proofErr w:type="spellEnd"/>
      <w:r w:rsidR="00605C85">
        <w:t xml:space="preserve"> had failed to disclose – Where respondent sued in California state court and won, leaving </w:t>
      </w:r>
      <w:proofErr w:type="spellStart"/>
      <w:r w:rsidR="00605C85">
        <w:t>Bartenwerfers</w:t>
      </w:r>
      <w:proofErr w:type="spellEnd"/>
      <w:r w:rsidR="00605C85">
        <w:t xml:space="preserve"> jointly responsible for over $200,000 in damages – Where </w:t>
      </w:r>
      <w:proofErr w:type="spellStart"/>
      <w:r w:rsidR="00605C85">
        <w:t>Bartenwerfers</w:t>
      </w:r>
      <w:proofErr w:type="spellEnd"/>
      <w:r w:rsidR="00605C85">
        <w:t xml:space="preserve"> filed for Chapter 7 bankruptcy – Where respondent filed adversary complaint in bankruptcy proceeding, alleging that debt owed on state-court judgment nondischargeable under Bankruptcy Code</w:t>
      </w:r>
      <w:r w:rsidR="008E23B4">
        <w:t>'</w:t>
      </w:r>
      <w:r w:rsidR="00605C85">
        <w:t xml:space="preserve">s exception to discharge of any debt for money to extent obtained by </w:t>
      </w:r>
      <w:r w:rsidR="008E23B4">
        <w:t>"</w:t>
      </w:r>
      <w:r w:rsidR="00605C85">
        <w:t xml:space="preserve">false </w:t>
      </w:r>
      <w:proofErr w:type="spellStart"/>
      <w:r w:rsidR="00605C85">
        <w:t>pretenses</w:t>
      </w:r>
      <w:proofErr w:type="spellEnd"/>
      <w:r w:rsidR="00605C85">
        <w:t>, a false representation, or actual fraud</w:t>
      </w:r>
      <w:r w:rsidR="008E23B4">
        <w:t>"</w:t>
      </w:r>
      <w:r w:rsidR="00605C85">
        <w:t xml:space="preserve"> (11 USC §523(a)(2)(A)) – Where Bankruptcy Court found </w:t>
      </w:r>
      <w:r w:rsidR="00605C85" w:rsidRPr="00605C85">
        <w:t xml:space="preserve">Mr </w:t>
      </w:r>
      <w:proofErr w:type="spellStart"/>
      <w:r w:rsidR="00605C85" w:rsidRPr="00605C85">
        <w:t>Bartenwerfer</w:t>
      </w:r>
      <w:proofErr w:type="spellEnd"/>
      <w:r w:rsidR="00605C85" w:rsidRPr="00605C85">
        <w:t xml:space="preserve"> </w:t>
      </w:r>
      <w:r w:rsidR="00605C85">
        <w:t xml:space="preserve">committed fraud and imputed his fraudulent intent to petitioner because two had formed legal partnership to renovate and sell property – Where Bankruptcy Appellate Panel disagreed, holding §523(a)(2)(A) barred </w:t>
      </w:r>
      <w:r w:rsidR="00CA5C10">
        <w:t>petitioner</w:t>
      </w:r>
      <w:r w:rsidR="00605C85">
        <w:t xml:space="preserve"> from discharging debt</w:t>
      </w:r>
      <w:r w:rsidR="004202A1">
        <w:t xml:space="preserve"> </w:t>
      </w:r>
      <w:r w:rsidR="00605C85">
        <w:t xml:space="preserve">only if she knew or had reason to know of </w:t>
      </w:r>
      <w:r w:rsidR="00605C85" w:rsidRPr="00605C85">
        <w:t xml:space="preserve">Mr </w:t>
      </w:r>
      <w:proofErr w:type="spellStart"/>
      <w:r w:rsidR="00605C85" w:rsidRPr="00605C85">
        <w:t>Bartenwerfer</w:t>
      </w:r>
      <w:r w:rsidR="008E23B4">
        <w:t>'</w:t>
      </w:r>
      <w:r w:rsidR="00605C85">
        <w:t>s</w:t>
      </w:r>
      <w:proofErr w:type="spellEnd"/>
      <w:r w:rsidR="00605C85" w:rsidRPr="00605C85">
        <w:t xml:space="preserve"> </w:t>
      </w:r>
      <w:r w:rsidR="00605C85">
        <w:t>fraud – Where, on remand, Bankruptcy Court determined petitioner lacked such knowledge</w:t>
      </w:r>
      <w:r w:rsidR="007C77A5">
        <w:t xml:space="preserve"> –</w:t>
      </w:r>
      <w:r w:rsidR="00605C85">
        <w:t xml:space="preserve"> Where Bankruptcy</w:t>
      </w:r>
      <w:r w:rsidR="007C77A5">
        <w:t xml:space="preserve"> </w:t>
      </w:r>
      <w:r w:rsidR="00605C85">
        <w:t xml:space="preserve">Appellate Panel affirmed, but Ninth Circuit reversed in relevant part, </w:t>
      </w:r>
      <w:r w:rsidR="003431C0">
        <w:t>i</w:t>
      </w:r>
      <w:r w:rsidR="00605C85">
        <w:t xml:space="preserve">nvoking </w:t>
      </w:r>
      <w:r w:rsidR="00605C85" w:rsidRPr="003431C0">
        <w:rPr>
          <w:i/>
          <w:iCs/>
        </w:rPr>
        <w:t xml:space="preserve">Strang v </w:t>
      </w:r>
      <w:proofErr w:type="spellStart"/>
      <w:r w:rsidR="00605C85" w:rsidRPr="003431C0">
        <w:rPr>
          <w:i/>
          <w:iCs/>
        </w:rPr>
        <w:t>Bradner</w:t>
      </w:r>
      <w:proofErr w:type="spellEnd"/>
      <w:r w:rsidR="00605C85">
        <w:t>, 114 U</w:t>
      </w:r>
      <w:r w:rsidR="003431C0">
        <w:t>S</w:t>
      </w:r>
      <w:r w:rsidR="00605C85">
        <w:t xml:space="preserve"> 555 </w:t>
      </w:r>
      <w:r w:rsidR="003431C0">
        <w:t xml:space="preserve">– Whether </w:t>
      </w:r>
      <w:r w:rsidR="003431C0" w:rsidRPr="003431C0">
        <w:t>§523(a)(2)(A)</w:t>
      </w:r>
      <w:r w:rsidR="003431C0">
        <w:t xml:space="preserve"> precludes petitioner from discharging in bankruptcy a debt obtained by fraud, regardless of culpability. </w:t>
      </w:r>
    </w:p>
    <w:p w14:paraId="474BFCF3" w14:textId="77777777" w:rsidR="003C1D58" w:rsidRPr="005E2809" w:rsidRDefault="003C1D58" w:rsidP="003C1D58">
      <w:pPr>
        <w:pStyle w:val="Catchwords"/>
      </w:pPr>
    </w:p>
    <w:p w14:paraId="4933D79C" w14:textId="5DA5CFCA" w:rsidR="003C1D58" w:rsidRDefault="003C1D58" w:rsidP="003C1D58">
      <w:pPr>
        <w:rPr>
          <w:lang w:eastAsia="en-AU"/>
        </w:rPr>
      </w:pPr>
      <w:r>
        <w:rPr>
          <w:b/>
          <w:bCs/>
          <w:lang w:eastAsia="en-AU"/>
        </w:rPr>
        <w:t>Held (9:0):</w:t>
      </w:r>
      <w:r w:rsidRPr="00FD6C82">
        <w:rPr>
          <w:lang w:eastAsia="en-AU"/>
        </w:rPr>
        <w:t xml:space="preserve"> </w:t>
      </w:r>
      <w:r>
        <w:rPr>
          <w:lang w:eastAsia="en-AU"/>
        </w:rPr>
        <w:t xml:space="preserve">Decision of the United States Court of Appeals for the Ninth Circuit affirmed.  </w:t>
      </w:r>
    </w:p>
    <w:p w14:paraId="64E353A3" w14:textId="77777777" w:rsidR="003C1D58" w:rsidRDefault="003C1D58" w:rsidP="009A0DD2">
      <w:pPr>
        <w:pStyle w:val="BullDivider2"/>
      </w:pPr>
    </w:p>
    <w:p w14:paraId="6E27CE4B" w14:textId="77777777" w:rsidR="00757CF8" w:rsidRPr="008E54EB" w:rsidRDefault="00757CF8" w:rsidP="00757CF8">
      <w:pPr>
        <w:rPr>
          <w:lang w:eastAsia="en-AU"/>
        </w:rPr>
      </w:pPr>
    </w:p>
    <w:p w14:paraId="611FC6FF" w14:textId="47DCE0AE" w:rsidR="00E170A0" w:rsidRDefault="00E170A0" w:rsidP="00E170A0">
      <w:pPr>
        <w:pStyle w:val="Heading1"/>
      </w:pPr>
      <w:r>
        <w:t xml:space="preserve">Constitutional Law </w:t>
      </w:r>
    </w:p>
    <w:p w14:paraId="0A07D92D" w14:textId="77777777" w:rsidR="009030BB" w:rsidRPr="009030BB" w:rsidRDefault="009030BB" w:rsidP="009030BB">
      <w:pPr>
        <w:rPr>
          <w:lang w:eastAsia="en-AU"/>
        </w:rPr>
      </w:pPr>
    </w:p>
    <w:p w14:paraId="4280248B" w14:textId="77777777" w:rsidR="009030BB" w:rsidRDefault="009030BB" w:rsidP="009030BB">
      <w:pPr>
        <w:pStyle w:val="Heading2"/>
      </w:pPr>
      <w:proofErr w:type="spellStart"/>
      <w:r w:rsidRPr="00195095">
        <w:t>Agribee</w:t>
      </w:r>
      <w:proofErr w:type="spellEnd"/>
      <w:r w:rsidRPr="00195095">
        <w:t xml:space="preserve"> Beef Fund (Pty) Ltd v Eastern Cape Development Agency</w:t>
      </w:r>
    </w:p>
    <w:p w14:paraId="4906C662" w14:textId="77777777" w:rsidR="009030BB" w:rsidRPr="00087C56" w:rsidRDefault="009030BB" w:rsidP="009030BB">
      <w:pPr>
        <w:rPr>
          <w:lang w:eastAsia="en-AU"/>
        </w:rPr>
      </w:pPr>
      <w:r>
        <w:rPr>
          <w:b/>
          <w:bCs/>
          <w:lang w:eastAsia="en-AU"/>
        </w:rPr>
        <w:t>Constitutional Court of South Africa</w:t>
      </w:r>
      <w:r w:rsidRPr="006B0D58">
        <w:rPr>
          <w:b/>
          <w:bCs/>
          <w:lang w:eastAsia="en-AU"/>
        </w:rPr>
        <w:t>:</w:t>
      </w:r>
      <w:r>
        <w:rPr>
          <w:b/>
          <w:bCs/>
          <w:lang w:eastAsia="en-AU"/>
        </w:rPr>
        <w:t xml:space="preserve"> </w:t>
      </w:r>
      <w:hyperlink r:id="rId11" w:history="1">
        <w:r w:rsidRPr="00195095">
          <w:rPr>
            <w:rStyle w:val="Hyperlink"/>
            <w:lang w:eastAsia="en-AU"/>
          </w:rPr>
          <w:t>[2023] ZACC 6</w:t>
        </w:r>
      </w:hyperlink>
    </w:p>
    <w:p w14:paraId="23F567EF" w14:textId="77777777" w:rsidR="009030BB" w:rsidRDefault="009030BB" w:rsidP="009030BB">
      <w:pPr>
        <w:rPr>
          <w:lang w:eastAsia="en-AU"/>
        </w:rPr>
      </w:pPr>
    </w:p>
    <w:p w14:paraId="18A0F67F" w14:textId="77777777" w:rsidR="009030BB" w:rsidRPr="00DB68FF" w:rsidRDefault="009030BB" w:rsidP="009030BB">
      <w:pPr>
        <w:rPr>
          <w:lang w:eastAsia="en-AU"/>
        </w:rPr>
      </w:pPr>
      <w:r>
        <w:rPr>
          <w:b/>
          <w:bCs/>
          <w:lang w:eastAsia="en-AU"/>
        </w:rPr>
        <w:t xml:space="preserve">Reasons delivered: </w:t>
      </w:r>
      <w:r>
        <w:rPr>
          <w:lang w:eastAsia="en-AU"/>
        </w:rPr>
        <w:t>1 February 2023</w:t>
      </w:r>
    </w:p>
    <w:p w14:paraId="721D223A" w14:textId="77777777" w:rsidR="009030BB" w:rsidRDefault="009030BB" w:rsidP="009030BB">
      <w:pPr>
        <w:rPr>
          <w:b/>
          <w:bCs/>
          <w:lang w:eastAsia="en-AU"/>
        </w:rPr>
      </w:pPr>
    </w:p>
    <w:p w14:paraId="62B6FED5" w14:textId="77777777" w:rsidR="009030BB" w:rsidRPr="00DB68FF" w:rsidRDefault="009030BB" w:rsidP="009030BB">
      <w:pPr>
        <w:rPr>
          <w:lang w:eastAsia="en-AU"/>
        </w:rPr>
      </w:pPr>
      <w:r>
        <w:rPr>
          <w:b/>
          <w:bCs/>
          <w:lang w:eastAsia="en-AU"/>
        </w:rPr>
        <w:t>Coram:</w:t>
      </w:r>
      <w:r w:rsidRPr="00C37FA7">
        <w:t xml:space="preserve"> </w:t>
      </w:r>
      <w:proofErr w:type="spellStart"/>
      <w:r w:rsidRPr="006E1F64">
        <w:t>Zondo</w:t>
      </w:r>
      <w:proofErr w:type="spellEnd"/>
      <w:r w:rsidRPr="006E1F64">
        <w:t xml:space="preserve"> CJ, Maya DCJ, </w:t>
      </w:r>
      <w:proofErr w:type="spellStart"/>
      <w:r w:rsidRPr="006E1F64">
        <w:t>Baqwa</w:t>
      </w:r>
      <w:proofErr w:type="spellEnd"/>
      <w:r w:rsidRPr="006E1F64">
        <w:t xml:space="preserve"> AJ, </w:t>
      </w:r>
      <w:proofErr w:type="spellStart"/>
      <w:r w:rsidRPr="006E1F64">
        <w:t>Kollapen</w:t>
      </w:r>
      <w:proofErr w:type="spellEnd"/>
      <w:r w:rsidRPr="006E1F64">
        <w:t xml:space="preserve">, </w:t>
      </w:r>
      <w:proofErr w:type="spellStart"/>
      <w:r w:rsidRPr="006E1F64">
        <w:t>Madlanga</w:t>
      </w:r>
      <w:proofErr w:type="spellEnd"/>
      <w:r w:rsidRPr="006E1F64">
        <w:t xml:space="preserve">, Majiedt </w:t>
      </w:r>
      <w:r>
        <w:t>JJ</w:t>
      </w:r>
      <w:r w:rsidRPr="006E1F64">
        <w:t>, Mbatha AJ, Rogers, and Tshiqi J</w:t>
      </w:r>
      <w:r>
        <w:t>J</w:t>
      </w:r>
    </w:p>
    <w:p w14:paraId="215B23A6" w14:textId="77777777" w:rsidR="009030BB" w:rsidRDefault="009030BB" w:rsidP="009030BB">
      <w:pPr>
        <w:rPr>
          <w:b/>
          <w:bCs/>
          <w:lang w:eastAsia="en-AU"/>
        </w:rPr>
      </w:pPr>
    </w:p>
    <w:p w14:paraId="40734ADB" w14:textId="77777777" w:rsidR="009030BB" w:rsidRDefault="009030BB" w:rsidP="009030BB">
      <w:pPr>
        <w:rPr>
          <w:b/>
          <w:bCs/>
          <w:lang w:eastAsia="en-AU"/>
        </w:rPr>
      </w:pPr>
      <w:r>
        <w:rPr>
          <w:b/>
          <w:bCs/>
          <w:lang w:eastAsia="en-AU"/>
        </w:rPr>
        <w:t>Catchwords:</w:t>
      </w:r>
    </w:p>
    <w:p w14:paraId="220B8C33" w14:textId="77777777" w:rsidR="009030BB" w:rsidRDefault="009030BB" w:rsidP="009030BB">
      <w:pPr>
        <w:rPr>
          <w:b/>
          <w:bCs/>
          <w:lang w:eastAsia="en-AU"/>
        </w:rPr>
      </w:pPr>
    </w:p>
    <w:p w14:paraId="300E55CC" w14:textId="4BFF0505" w:rsidR="009030BB" w:rsidRPr="00090FA3" w:rsidRDefault="009030BB" w:rsidP="009030BB">
      <w:pPr>
        <w:pStyle w:val="Catchwords"/>
      </w:pPr>
      <w:r>
        <w:t xml:space="preserve">Constitutional law – Procurement – Goods and services – Mootness – Where s 217(1) of </w:t>
      </w:r>
      <w:r>
        <w:rPr>
          <w:i/>
          <w:iCs/>
        </w:rPr>
        <w:t>Constitution</w:t>
      </w:r>
      <w:r>
        <w:t xml:space="preserve"> provides w</w:t>
      </w:r>
      <w:r w:rsidRPr="0082365E">
        <w:t>hen organ of state contracts for goods or services, must do so in accordance with system which is fair, equitable, transparent, competitive and cost-effective</w:t>
      </w:r>
      <w:r>
        <w:t xml:space="preserve"> – Where tripartite agreement between organs of state and private party entered into, requiring private party to provide </w:t>
      </w:r>
      <w:r w:rsidRPr="007F67EB">
        <w:t xml:space="preserve">smallholder farmers with </w:t>
      </w:r>
      <w:r>
        <w:t>goods and services</w:t>
      </w:r>
      <w:r w:rsidRPr="007F67EB">
        <w:t>, paid for with public funds</w:t>
      </w:r>
      <w:r>
        <w:t xml:space="preserve"> – Whether tripartite agreement between two organs of state and private entity, in furtherance of objects of organs of state, subject to s 217(1) of </w:t>
      </w:r>
      <w:r>
        <w:rPr>
          <w:i/>
          <w:iCs/>
        </w:rPr>
        <w:t>Constitution</w:t>
      </w:r>
      <w:r>
        <w:t xml:space="preserve"> – Whether matter moot in circumstances where contractual nexus between parties expired in March 2021. </w:t>
      </w:r>
    </w:p>
    <w:p w14:paraId="30FE41B6" w14:textId="77777777" w:rsidR="009030BB" w:rsidRPr="005E2809" w:rsidRDefault="009030BB" w:rsidP="009030BB">
      <w:pPr>
        <w:pStyle w:val="Catchwords"/>
      </w:pPr>
    </w:p>
    <w:p w14:paraId="252BAB5A" w14:textId="77777777" w:rsidR="009030BB" w:rsidRDefault="009030BB" w:rsidP="009030BB">
      <w:pPr>
        <w:rPr>
          <w:lang w:eastAsia="en-AU"/>
        </w:rPr>
      </w:pPr>
      <w:r>
        <w:rPr>
          <w:b/>
          <w:bCs/>
          <w:lang w:eastAsia="en-AU"/>
        </w:rPr>
        <w:t>Held (9:0):</w:t>
      </w:r>
      <w:r w:rsidRPr="00FD6C82">
        <w:rPr>
          <w:lang w:eastAsia="en-AU"/>
        </w:rPr>
        <w:t xml:space="preserve"> </w:t>
      </w:r>
      <w:r>
        <w:rPr>
          <w:lang w:eastAsia="en-AU"/>
        </w:rPr>
        <w:t xml:space="preserve">Appeal upheld.   </w:t>
      </w:r>
    </w:p>
    <w:p w14:paraId="0F856D34" w14:textId="77777777" w:rsidR="003729F7" w:rsidRDefault="003729F7" w:rsidP="009030BB">
      <w:pPr>
        <w:pStyle w:val="BullDivider1"/>
      </w:pPr>
    </w:p>
    <w:p w14:paraId="394B2427" w14:textId="77777777" w:rsidR="009030BB" w:rsidRPr="009030BB" w:rsidRDefault="009030BB" w:rsidP="009030BB">
      <w:pPr>
        <w:rPr>
          <w:lang w:eastAsia="en-AU"/>
        </w:rPr>
      </w:pPr>
    </w:p>
    <w:p w14:paraId="4AAE150D" w14:textId="7DC59663" w:rsidR="0028609E" w:rsidRPr="00C55FE5" w:rsidRDefault="0028609E" w:rsidP="0028609E">
      <w:r w:rsidRPr="00C55FE5">
        <w:rPr>
          <w:rFonts w:ascii="Arial" w:hAnsi="Arial" w:cs="Arial"/>
          <w:bCs/>
          <w:i/>
          <w:iCs/>
          <w:sz w:val="28"/>
          <w:szCs w:val="28"/>
          <w:lang w:eastAsia="en-AU"/>
        </w:rPr>
        <w:t>In the matter of an application by James Hugh Allister and others for Judicial Review</w:t>
      </w:r>
      <w:r w:rsidRPr="00C55FE5">
        <w:rPr>
          <w:rStyle w:val="Heading2Char"/>
        </w:rPr>
        <w:t xml:space="preserve">; </w:t>
      </w:r>
      <w:r w:rsidR="003729F7" w:rsidRPr="00C55FE5">
        <w:rPr>
          <w:rStyle w:val="Heading2Char"/>
        </w:rPr>
        <w:t xml:space="preserve">In the matter of an application by Clifford </w:t>
      </w:r>
      <w:proofErr w:type="spellStart"/>
      <w:r w:rsidR="003729F7" w:rsidRPr="00C55FE5">
        <w:rPr>
          <w:rStyle w:val="Heading2Char"/>
        </w:rPr>
        <w:t>Peeples</w:t>
      </w:r>
      <w:proofErr w:type="spellEnd"/>
      <w:r w:rsidR="003729F7" w:rsidRPr="00C55FE5">
        <w:rPr>
          <w:rStyle w:val="Heading2Char"/>
        </w:rPr>
        <w:t xml:space="preserve"> for Judicial Review</w:t>
      </w:r>
      <w:r w:rsidRPr="00C55FE5">
        <w:rPr>
          <w:rStyle w:val="Heading2Char"/>
        </w:rPr>
        <w:tab/>
      </w:r>
    </w:p>
    <w:p w14:paraId="010EDC3B" w14:textId="31F2CC53" w:rsidR="003729F7" w:rsidRPr="00F77F62" w:rsidRDefault="003729F7" w:rsidP="003729F7">
      <w:pPr>
        <w:rPr>
          <w:lang w:eastAsia="en-AU"/>
        </w:rPr>
      </w:pPr>
      <w:r w:rsidRPr="00C55FE5">
        <w:rPr>
          <w:b/>
          <w:bCs/>
          <w:lang w:eastAsia="en-AU"/>
        </w:rPr>
        <w:t>Supreme Court of the United</w:t>
      </w:r>
      <w:r>
        <w:rPr>
          <w:b/>
          <w:bCs/>
          <w:lang w:eastAsia="en-AU"/>
        </w:rPr>
        <w:t xml:space="preserve"> Kingdom</w:t>
      </w:r>
      <w:r w:rsidRPr="006B0D58">
        <w:rPr>
          <w:b/>
          <w:bCs/>
          <w:lang w:eastAsia="en-AU"/>
        </w:rPr>
        <w:t>:</w:t>
      </w:r>
      <w:r>
        <w:rPr>
          <w:b/>
          <w:bCs/>
          <w:lang w:eastAsia="en-AU"/>
        </w:rPr>
        <w:t xml:space="preserve"> </w:t>
      </w:r>
      <w:hyperlink r:id="rId12" w:history="1">
        <w:r w:rsidR="00B06366" w:rsidRPr="00B06366">
          <w:rPr>
            <w:rStyle w:val="Hyperlink"/>
            <w:lang w:eastAsia="en-AU"/>
          </w:rPr>
          <w:t>[2023] UKSC 5</w:t>
        </w:r>
      </w:hyperlink>
      <w:r w:rsidR="00B06366">
        <w:rPr>
          <w:lang w:eastAsia="en-AU"/>
        </w:rPr>
        <w:t xml:space="preserve"> </w:t>
      </w:r>
    </w:p>
    <w:p w14:paraId="3223641A" w14:textId="77777777" w:rsidR="003729F7" w:rsidRDefault="003729F7" w:rsidP="003729F7">
      <w:pPr>
        <w:rPr>
          <w:lang w:eastAsia="en-AU"/>
        </w:rPr>
      </w:pPr>
    </w:p>
    <w:p w14:paraId="12C41AC8" w14:textId="7132BD7F" w:rsidR="003729F7" w:rsidRPr="00DB68FF" w:rsidRDefault="003729F7" w:rsidP="003729F7">
      <w:pPr>
        <w:rPr>
          <w:lang w:eastAsia="en-AU"/>
        </w:rPr>
      </w:pPr>
      <w:r>
        <w:rPr>
          <w:b/>
          <w:bCs/>
          <w:lang w:eastAsia="en-AU"/>
        </w:rPr>
        <w:t xml:space="preserve">Reasons delivered: </w:t>
      </w:r>
      <w:r w:rsidR="00B06366">
        <w:rPr>
          <w:lang w:eastAsia="en-AU"/>
        </w:rPr>
        <w:t>8 February</w:t>
      </w:r>
      <w:r>
        <w:rPr>
          <w:lang w:eastAsia="en-AU"/>
        </w:rPr>
        <w:t xml:space="preserve"> 2023</w:t>
      </w:r>
    </w:p>
    <w:p w14:paraId="084427C4" w14:textId="77777777" w:rsidR="003729F7" w:rsidRDefault="003729F7" w:rsidP="003729F7">
      <w:pPr>
        <w:rPr>
          <w:b/>
          <w:bCs/>
          <w:lang w:eastAsia="en-AU"/>
        </w:rPr>
      </w:pPr>
    </w:p>
    <w:p w14:paraId="39B62F68" w14:textId="30B7A689" w:rsidR="003729F7" w:rsidRPr="00DB68FF" w:rsidRDefault="003729F7" w:rsidP="003729F7">
      <w:pPr>
        <w:rPr>
          <w:lang w:eastAsia="en-AU"/>
        </w:rPr>
      </w:pPr>
      <w:r>
        <w:rPr>
          <w:b/>
          <w:bCs/>
          <w:lang w:eastAsia="en-AU"/>
        </w:rPr>
        <w:t>Coram:</w:t>
      </w:r>
      <w:r w:rsidRPr="00DB68FF">
        <w:t xml:space="preserve"> </w:t>
      </w:r>
      <w:r>
        <w:rPr>
          <w:lang w:eastAsia="en-AU"/>
        </w:rPr>
        <w:t xml:space="preserve">Lord </w:t>
      </w:r>
      <w:r w:rsidR="00B06366">
        <w:rPr>
          <w:lang w:eastAsia="en-AU"/>
        </w:rPr>
        <w:t>Reed, Lord Hodge, Lord Lloyd-Jones, Lord Sales and Lord Stephens</w:t>
      </w:r>
      <w:r>
        <w:rPr>
          <w:lang w:eastAsia="en-AU"/>
        </w:rPr>
        <w:t xml:space="preserve"> </w:t>
      </w:r>
    </w:p>
    <w:p w14:paraId="1D457686" w14:textId="77777777" w:rsidR="003729F7" w:rsidRDefault="003729F7" w:rsidP="003729F7">
      <w:pPr>
        <w:rPr>
          <w:b/>
          <w:bCs/>
          <w:lang w:eastAsia="en-AU"/>
        </w:rPr>
      </w:pPr>
    </w:p>
    <w:p w14:paraId="0CE0A449" w14:textId="77777777" w:rsidR="003729F7" w:rsidRDefault="003729F7" w:rsidP="003729F7">
      <w:pPr>
        <w:rPr>
          <w:b/>
          <w:bCs/>
          <w:lang w:eastAsia="en-AU"/>
        </w:rPr>
      </w:pPr>
      <w:r>
        <w:rPr>
          <w:b/>
          <w:bCs/>
          <w:lang w:eastAsia="en-AU"/>
        </w:rPr>
        <w:t>Catchwords:</w:t>
      </w:r>
    </w:p>
    <w:p w14:paraId="210B4170" w14:textId="77777777" w:rsidR="003729F7" w:rsidRDefault="003729F7" w:rsidP="003729F7">
      <w:pPr>
        <w:rPr>
          <w:b/>
          <w:bCs/>
          <w:lang w:eastAsia="en-AU"/>
        </w:rPr>
      </w:pPr>
    </w:p>
    <w:p w14:paraId="5834D289" w14:textId="3790C3C6" w:rsidR="00674CFE" w:rsidRDefault="001F6780" w:rsidP="00CE1190">
      <w:pPr>
        <w:pStyle w:val="Catchwords"/>
      </w:pPr>
      <w:r>
        <w:t xml:space="preserve">Constitutional law </w:t>
      </w:r>
      <w:r w:rsidR="005A0157">
        <w:t xml:space="preserve">– </w:t>
      </w:r>
      <w:r w:rsidR="00674CFE">
        <w:t xml:space="preserve">Where, post </w:t>
      </w:r>
      <w:r w:rsidR="00975B72">
        <w:t>United Kingdom</w:t>
      </w:r>
      <w:r w:rsidR="008E23B4">
        <w:t>'</w:t>
      </w:r>
      <w:r w:rsidR="00975B72">
        <w:t>s</w:t>
      </w:r>
      <w:r w:rsidR="002C2F51">
        <w:t xml:space="preserve"> (UK)</w:t>
      </w:r>
      <w:r w:rsidR="00975B72">
        <w:t xml:space="preserve"> decision to leave E</w:t>
      </w:r>
      <w:r w:rsidR="00341442">
        <w:t xml:space="preserve">uropean </w:t>
      </w:r>
      <w:r w:rsidR="00975B72">
        <w:t>U</w:t>
      </w:r>
      <w:r w:rsidR="00341442">
        <w:t>nion (</w:t>
      </w:r>
      <w:r w:rsidR="008E23B4">
        <w:t>"</w:t>
      </w:r>
      <w:r w:rsidR="00341442">
        <w:t>EU</w:t>
      </w:r>
      <w:r w:rsidR="008E23B4">
        <w:t>"</w:t>
      </w:r>
      <w:r w:rsidR="00341442">
        <w:t>)</w:t>
      </w:r>
      <w:r w:rsidR="00975B72">
        <w:t xml:space="preserve">, UK Parliament passed </w:t>
      </w:r>
      <w:r w:rsidR="00CE1190" w:rsidRPr="003A3BFF">
        <w:rPr>
          <w:i/>
          <w:iCs/>
        </w:rPr>
        <w:t>European Union Withdrawal Agreement Act 2020</w:t>
      </w:r>
      <w:r w:rsidR="00CE1190">
        <w:t xml:space="preserve"> providing for formal execution and ratification of Withdrawal Agreement between the UK and the EU, including </w:t>
      </w:r>
      <w:r w:rsidR="00C10A23">
        <w:t>Northern Ireland Protocol</w:t>
      </w:r>
      <w:r w:rsidR="002C2F51">
        <w:t xml:space="preserve"> (</w:t>
      </w:r>
      <w:r w:rsidR="008E23B4">
        <w:t>"</w:t>
      </w:r>
      <w:r w:rsidR="002C2F51">
        <w:t>Protocol</w:t>
      </w:r>
      <w:r w:rsidR="008E23B4">
        <w:t>"</w:t>
      </w:r>
      <w:r w:rsidR="002C2F51">
        <w:t>) – Where Protocol</w:t>
      </w:r>
      <w:r w:rsidR="00CE1190">
        <w:t xml:space="preserve"> came into operation on 1 February 2020</w:t>
      </w:r>
      <w:r w:rsidR="002C2F51">
        <w:t xml:space="preserve"> and</w:t>
      </w:r>
      <w:r w:rsidR="00CE1190">
        <w:t xml:space="preserve"> provides framework for post-withdrawal arrangements in Northern Ireland </w:t>
      </w:r>
      <w:r w:rsidR="002C2F51">
        <w:t>(</w:t>
      </w:r>
      <w:r w:rsidR="008E23B4">
        <w:t>"</w:t>
      </w:r>
      <w:r w:rsidR="002C2F51">
        <w:t>NI</w:t>
      </w:r>
      <w:r w:rsidR="008E23B4">
        <w:t>"</w:t>
      </w:r>
      <w:r w:rsidR="002C2F51">
        <w:t xml:space="preserve">) – Where </w:t>
      </w:r>
      <w:r w:rsidR="00CE1190">
        <w:t>Article 18 of Protocol requires UK to provide opportunity for democratic consent in NI to continued application of Articles 5 to 10 of Protocol</w:t>
      </w:r>
      <w:r w:rsidR="002C2F51">
        <w:t xml:space="preserve"> – Where </w:t>
      </w:r>
      <w:r w:rsidR="00CE1190">
        <w:t>Protocol on Ireland/Northern Ireland (Democratic Consent Process) (EU Exit) Regulations 2020 (</w:t>
      </w:r>
      <w:r w:rsidR="008E23B4">
        <w:t>"</w:t>
      </w:r>
      <w:r w:rsidR="00CE1190">
        <w:t>2020 Regulations</w:t>
      </w:r>
      <w:r w:rsidR="008E23B4">
        <w:t>"</w:t>
      </w:r>
      <w:r w:rsidR="00CE1190">
        <w:t xml:space="preserve">) implement in domestic law mechanism for obtaining </w:t>
      </w:r>
      <w:r w:rsidR="00CE1190">
        <w:lastRenderedPageBreak/>
        <w:t>democratic consent</w:t>
      </w:r>
      <w:r w:rsidR="00940A8E">
        <w:t xml:space="preserve"> – Where appellants </w:t>
      </w:r>
      <w:r w:rsidR="00CE1190">
        <w:t xml:space="preserve">brought judicial review applications challenging Protocol and 2020 Regulations </w:t>
      </w:r>
      <w:r w:rsidR="00940A8E">
        <w:t xml:space="preserve">– Whether </w:t>
      </w:r>
      <w:r w:rsidR="00CE1190">
        <w:t xml:space="preserve">Protocol and 2020 Regulations incompatible with </w:t>
      </w:r>
      <w:r w:rsidR="00CE1190" w:rsidRPr="001F66A5">
        <w:rPr>
          <w:i/>
          <w:iCs/>
        </w:rPr>
        <w:t>Acts of Union 1800</w:t>
      </w:r>
      <w:r w:rsidR="00CE1190">
        <w:t>, and specifically Article VI which provides that subjects of Great Britain and Ireland shall be on same footing with respect to trade, and that any future treaty entered into with foreign power shall preserve that footing</w:t>
      </w:r>
      <w:r w:rsidR="001F66A5">
        <w:t xml:space="preserve"> – Whether</w:t>
      </w:r>
      <w:r w:rsidR="00CE1190">
        <w:t xml:space="preserve"> Protocol incompatible </w:t>
      </w:r>
      <w:r w:rsidR="00CE1190" w:rsidRPr="00964913">
        <w:t>with</w:t>
      </w:r>
      <w:r w:rsidR="00CE1190" w:rsidRPr="001F66A5">
        <w:rPr>
          <w:i/>
          <w:iCs/>
        </w:rPr>
        <w:t xml:space="preserve"> Northern Ireland Act 1998</w:t>
      </w:r>
      <w:r w:rsidR="00CE1190">
        <w:t xml:space="preserve">, specifically </w:t>
      </w:r>
      <w:r w:rsidR="001F66A5">
        <w:t>s</w:t>
      </w:r>
      <w:r w:rsidR="00CE1190">
        <w:t xml:space="preserve"> 1(1) which provides </w:t>
      </w:r>
      <w:r w:rsidR="00586CF3">
        <w:t>NI</w:t>
      </w:r>
      <w:r w:rsidR="00CE1190">
        <w:t xml:space="preserve"> in its entirety remains part of United Kingdom and shall not cease to be so without consent of majority of people of </w:t>
      </w:r>
      <w:r w:rsidR="00586CF3">
        <w:t>NI</w:t>
      </w:r>
      <w:r w:rsidR="00CE1190">
        <w:t xml:space="preserve"> voting</w:t>
      </w:r>
      <w:r w:rsidR="00F65F25">
        <w:t xml:space="preserve"> – Whether </w:t>
      </w:r>
      <w:r w:rsidR="00CE1190">
        <w:t xml:space="preserve">2020 Regulations unlawfully eliminated constitutional safeguard enshrined in </w:t>
      </w:r>
      <w:r w:rsidR="00F65F25">
        <w:t>s</w:t>
      </w:r>
      <w:r w:rsidR="00CE1190">
        <w:t xml:space="preserve"> 42 of </w:t>
      </w:r>
      <w:r w:rsidR="00CE1190" w:rsidRPr="00F65F25">
        <w:rPr>
          <w:i/>
          <w:iCs/>
        </w:rPr>
        <w:t>Northern Ireland Act</w:t>
      </w:r>
      <w:r w:rsidR="00CE1190">
        <w:t>, which requires Assembly votes to have cross-community support</w:t>
      </w:r>
      <w:r w:rsidR="00C0606E">
        <w:t xml:space="preserve">. </w:t>
      </w:r>
    </w:p>
    <w:p w14:paraId="18E3E551" w14:textId="77777777" w:rsidR="003729F7" w:rsidRPr="005E2809" w:rsidRDefault="003729F7" w:rsidP="003729F7">
      <w:pPr>
        <w:pStyle w:val="Catchwords"/>
      </w:pPr>
    </w:p>
    <w:p w14:paraId="79E10520" w14:textId="59BD6D0C" w:rsidR="003729F7" w:rsidRDefault="003729F7" w:rsidP="003729F7">
      <w:pPr>
        <w:rPr>
          <w:lang w:eastAsia="en-AU"/>
        </w:rPr>
      </w:pPr>
      <w:r>
        <w:rPr>
          <w:b/>
          <w:bCs/>
          <w:lang w:eastAsia="en-AU"/>
        </w:rPr>
        <w:t>Held (</w:t>
      </w:r>
      <w:r w:rsidR="001F6780">
        <w:rPr>
          <w:b/>
          <w:bCs/>
          <w:lang w:eastAsia="en-AU"/>
        </w:rPr>
        <w:t>5:0</w:t>
      </w:r>
      <w:r>
        <w:rPr>
          <w:b/>
          <w:bCs/>
          <w:lang w:eastAsia="en-AU"/>
        </w:rPr>
        <w:t>):</w:t>
      </w:r>
      <w:r w:rsidRPr="00FD6C82">
        <w:rPr>
          <w:lang w:eastAsia="en-AU"/>
        </w:rPr>
        <w:t xml:space="preserve"> </w:t>
      </w:r>
      <w:r>
        <w:rPr>
          <w:lang w:eastAsia="en-AU"/>
        </w:rPr>
        <w:t xml:space="preserve">Appeal </w:t>
      </w:r>
      <w:r w:rsidR="001F6780">
        <w:rPr>
          <w:lang w:eastAsia="en-AU"/>
        </w:rPr>
        <w:t>dismissed</w:t>
      </w:r>
      <w:r>
        <w:rPr>
          <w:lang w:eastAsia="en-AU"/>
        </w:rPr>
        <w:t xml:space="preserve">.   </w:t>
      </w:r>
    </w:p>
    <w:p w14:paraId="488E9F60" w14:textId="77777777" w:rsidR="003729F7" w:rsidRDefault="003729F7" w:rsidP="003729F7">
      <w:pPr>
        <w:pStyle w:val="BullDivider1"/>
      </w:pPr>
    </w:p>
    <w:p w14:paraId="26BCDF16" w14:textId="77777777" w:rsidR="003729F7" w:rsidRDefault="003729F7" w:rsidP="006F7EEC">
      <w:pPr>
        <w:rPr>
          <w:lang w:eastAsia="en-AU"/>
        </w:rPr>
      </w:pPr>
    </w:p>
    <w:p w14:paraId="02AFBFF8" w14:textId="4E180DDF" w:rsidR="00264C7B" w:rsidRDefault="00264C7B" w:rsidP="00264C7B">
      <w:pPr>
        <w:pStyle w:val="Heading2"/>
      </w:pPr>
      <w:r>
        <w:t xml:space="preserve">R v </w:t>
      </w:r>
      <w:proofErr w:type="spellStart"/>
      <w:r>
        <w:t>Hilbach</w:t>
      </w:r>
      <w:proofErr w:type="spellEnd"/>
      <w:r>
        <w:t xml:space="preserve"> </w:t>
      </w:r>
    </w:p>
    <w:p w14:paraId="2B6436D5" w14:textId="372862ED" w:rsidR="00264C7B" w:rsidRPr="00F77F62" w:rsidRDefault="00264C7B" w:rsidP="00264C7B">
      <w:pPr>
        <w:rPr>
          <w:lang w:eastAsia="en-AU"/>
        </w:rPr>
      </w:pPr>
      <w:r>
        <w:rPr>
          <w:b/>
          <w:bCs/>
          <w:lang w:eastAsia="en-AU"/>
        </w:rPr>
        <w:t>Supreme Court of Canada</w:t>
      </w:r>
      <w:r w:rsidRPr="006B0D58">
        <w:rPr>
          <w:b/>
          <w:bCs/>
          <w:lang w:eastAsia="en-AU"/>
        </w:rPr>
        <w:t>:</w:t>
      </w:r>
      <w:r>
        <w:rPr>
          <w:b/>
          <w:bCs/>
          <w:lang w:eastAsia="en-AU"/>
        </w:rPr>
        <w:t xml:space="preserve"> </w:t>
      </w:r>
      <w:hyperlink r:id="rId13" w:history="1">
        <w:r>
          <w:rPr>
            <w:rStyle w:val="Hyperlink"/>
            <w:lang w:eastAsia="en-AU"/>
          </w:rPr>
          <w:t>[2023] SCC 3</w:t>
        </w:r>
      </w:hyperlink>
    </w:p>
    <w:p w14:paraId="3E984387" w14:textId="77777777" w:rsidR="00264C7B" w:rsidRDefault="00264C7B" w:rsidP="00264C7B">
      <w:pPr>
        <w:rPr>
          <w:lang w:eastAsia="en-AU"/>
        </w:rPr>
      </w:pPr>
    </w:p>
    <w:p w14:paraId="72635AB8" w14:textId="77777777" w:rsidR="00264C7B" w:rsidRPr="00DB68FF" w:rsidRDefault="00264C7B" w:rsidP="00264C7B">
      <w:pPr>
        <w:rPr>
          <w:lang w:eastAsia="en-AU"/>
        </w:rPr>
      </w:pPr>
      <w:r>
        <w:rPr>
          <w:b/>
          <w:bCs/>
          <w:lang w:eastAsia="en-AU"/>
        </w:rPr>
        <w:t xml:space="preserve">Reasons delivered: </w:t>
      </w:r>
      <w:r>
        <w:rPr>
          <w:lang w:eastAsia="en-AU"/>
        </w:rPr>
        <w:t>27 January 2023</w:t>
      </w:r>
    </w:p>
    <w:p w14:paraId="689C4C63" w14:textId="77777777" w:rsidR="00264C7B" w:rsidRDefault="00264C7B" w:rsidP="00264C7B">
      <w:pPr>
        <w:rPr>
          <w:b/>
          <w:bCs/>
          <w:lang w:eastAsia="en-AU"/>
        </w:rPr>
      </w:pPr>
    </w:p>
    <w:p w14:paraId="4F2B626E" w14:textId="77777777" w:rsidR="00264C7B" w:rsidRPr="00DB68FF" w:rsidRDefault="00264C7B" w:rsidP="00264C7B">
      <w:pPr>
        <w:rPr>
          <w:lang w:eastAsia="en-AU"/>
        </w:rPr>
      </w:pPr>
      <w:r>
        <w:rPr>
          <w:b/>
          <w:bCs/>
          <w:lang w:eastAsia="en-AU"/>
        </w:rPr>
        <w:t>Coram:</w:t>
      </w:r>
      <w:r w:rsidRPr="00DB68FF">
        <w:t xml:space="preserve"> </w:t>
      </w:r>
      <w:r w:rsidRPr="00E170A0">
        <w:rPr>
          <w:lang w:eastAsia="en-AU"/>
        </w:rPr>
        <w:t xml:space="preserve">Wagner </w:t>
      </w:r>
      <w:r>
        <w:rPr>
          <w:lang w:eastAsia="en-AU"/>
        </w:rPr>
        <w:t>CJ,</w:t>
      </w:r>
      <w:r w:rsidRPr="00E170A0">
        <w:rPr>
          <w:lang w:eastAsia="en-AU"/>
        </w:rPr>
        <w:t xml:space="preserve"> Moldaver, Karakatsanis, Côté, Brown, Rowe, Martin, Kasirer and Jamal JJ</w:t>
      </w:r>
    </w:p>
    <w:p w14:paraId="4E6C0873" w14:textId="77777777" w:rsidR="00264C7B" w:rsidRDefault="00264C7B" w:rsidP="00264C7B">
      <w:pPr>
        <w:rPr>
          <w:b/>
          <w:bCs/>
          <w:lang w:eastAsia="en-AU"/>
        </w:rPr>
      </w:pPr>
    </w:p>
    <w:p w14:paraId="218D1299" w14:textId="77777777" w:rsidR="00264C7B" w:rsidRDefault="00264C7B" w:rsidP="00264C7B">
      <w:pPr>
        <w:rPr>
          <w:b/>
          <w:bCs/>
          <w:lang w:eastAsia="en-AU"/>
        </w:rPr>
      </w:pPr>
      <w:r>
        <w:rPr>
          <w:b/>
          <w:bCs/>
          <w:lang w:eastAsia="en-AU"/>
        </w:rPr>
        <w:t>Catchwords:</w:t>
      </w:r>
    </w:p>
    <w:p w14:paraId="3C0F43DC" w14:textId="77777777" w:rsidR="00264C7B" w:rsidRDefault="00264C7B" w:rsidP="00264C7B">
      <w:pPr>
        <w:rPr>
          <w:b/>
          <w:bCs/>
          <w:lang w:eastAsia="en-AU"/>
        </w:rPr>
      </w:pPr>
    </w:p>
    <w:p w14:paraId="30AB2551" w14:textId="10935B1F" w:rsidR="00264C7B" w:rsidRPr="0034676E" w:rsidRDefault="00264C7B" w:rsidP="00264C7B">
      <w:pPr>
        <w:pStyle w:val="Catchwords"/>
      </w:pPr>
      <w:r w:rsidRPr="00E170A0">
        <w:t xml:space="preserve">Constitutional law </w:t>
      </w:r>
      <w:r>
        <w:t>–</w:t>
      </w:r>
      <w:r w:rsidRPr="00E170A0">
        <w:t xml:space="preserve"> </w:t>
      </w:r>
      <w:r w:rsidR="00005CA1" w:rsidRPr="00005CA1">
        <w:t xml:space="preserve">Charter of Rights </w:t>
      </w:r>
      <w:r w:rsidR="008E23B4">
        <w:t>–</w:t>
      </w:r>
      <w:r w:rsidR="00005CA1" w:rsidRPr="00005CA1">
        <w:t xml:space="preserve"> Cruel and unusual treatment or punishment </w:t>
      </w:r>
      <w:r w:rsidR="008E23B4">
        <w:t>–</w:t>
      </w:r>
      <w:r w:rsidR="00005CA1" w:rsidRPr="00005CA1">
        <w:t xml:space="preserve"> Sentencing </w:t>
      </w:r>
      <w:r w:rsidR="008E23B4">
        <w:t>–</w:t>
      </w:r>
      <w:r w:rsidR="00005CA1" w:rsidRPr="00005CA1">
        <w:t xml:space="preserve"> Mandatory minimum sentence </w:t>
      </w:r>
      <w:r w:rsidR="008E23B4">
        <w:t>–</w:t>
      </w:r>
      <w:r w:rsidR="00005CA1" w:rsidRPr="00005CA1">
        <w:t xml:space="preserve"> Robbery </w:t>
      </w:r>
      <w:r w:rsidR="008E23B4">
        <w:t>–</w:t>
      </w:r>
      <w:r w:rsidR="00005CA1" w:rsidRPr="00005CA1">
        <w:t xml:space="preserve"> </w:t>
      </w:r>
      <w:r w:rsidR="00005CA1">
        <w:t>Where a</w:t>
      </w:r>
      <w:r w:rsidR="00005CA1" w:rsidRPr="00005CA1">
        <w:t xml:space="preserve">ccused convicted of robbery committed with restricted or prohibited firearm and of robbery committed with ordinary firearm </w:t>
      </w:r>
      <w:r w:rsidR="008E23B4">
        <w:t>–</w:t>
      </w:r>
      <w:r w:rsidR="00005CA1" w:rsidRPr="00005CA1">
        <w:t xml:space="preserve"> </w:t>
      </w:r>
      <w:r w:rsidR="00005CA1">
        <w:t>Where a</w:t>
      </w:r>
      <w:r w:rsidR="00005CA1" w:rsidRPr="00005CA1">
        <w:t>ccused challeng</w:t>
      </w:r>
      <w:r w:rsidR="00005CA1">
        <w:t>ed</w:t>
      </w:r>
      <w:r w:rsidR="00005CA1" w:rsidRPr="00005CA1">
        <w:t xml:space="preserve"> constitutionality of mandatory minimum sentence of five years</w:t>
      </w:r>
      <w:r w:rsidR="008E23B4">
        <w:t>'</w:t>
      </w:r>
      <w:r w:rsidR="00005CA1" w:rsidRPr="00005CA1">
        <w:t xml:space="preserve"> imprisonment prescribed for robbery committed with restricted or prohibited firearm and of mandatory minimum sentence of four years</w:t>
      </w:r>
      <w:r w:rsidR="008E23B4">
        <w:t>'</w:t>
      </w:r>
      <w:r w:rsidR="00005CA1" w:rsidRPr="00005CA1">
        <w:t xml:space="preserve"> imprisonment prescribed for robbery committed with ordinary firearm </w:t>
      </w:r>
      <w:r w:rsidR="008E23B4">
        <w:t>–</w:t>
      </w:r>
      <w:r w:rsidR="00005CA1" w:rsidRPr="00005CA1">
        <w:t xml:space="preserve"> Whether mandatory minimum sentences constitute cruel and unusual punishment </w:t>
      </w:r>
      <w:r w:rsidR="008E23B4">
        <w:t>–</w:t>
      </w:r>
      <w:r w:rsidR="00005CA1" w:rsidRPr="00005CA1">
        <w:t xml:space="preserve"> </w:t>
      </w:r>
      <w:r w:rsidR="00005CA1" w:rsidRPr="00005CA1">
        <w:rPr>
          <w:i/>
          <w:iCs/>
        </w:rPr>
        <w:t>Canadian Charter of Rights and Freedoms</w:t>
      </w:r>
      <w:r w:rsidR="00005CA1" w:rsidRPr="00005CA1">
        <w:t xml:space="preserve">, s 12 </w:t>
      </w:r>
      <w:r w:rsidR="008E23B4">
        <w:t>–</w:t>
      </w:r>
      <w:r w:rsidR="00005CA1" w:rsidRPr="00005CA1">
        <w:t xml:space="preserve"> </w:t>
      </w:r>
      <w:r w:rsidR="00005CA1" w:rsidRPr="00005CA1">
        <w:rPr>
          <w:i/>
          <w:iCs/>
        </w:rPr>
        <w:t>Criminal Code</w:t>
      </w:r>
      <w:r w:rsidR="00005CA1" w:rsidRPr="00005CA1">
        <w:t>, R</w:t>
      </w:r>
      <w:r w:rsidR="00005CA1">
        <w:t>SC</w:t>
      </w:r>
      <w:r w:rsidR="00005CA1" w:rsidRPr="00005CA1">
        <w:t xml:space="preserve"> 1985, c C</w:t>
      </w:r>
      <w:r w:rsidR="00005CA1" w:rsidRPr="00005CA1">
        <w:rPr>
          <w:rFonts w:ascii="Cambria Math" w:hAnsi="Cambria Math" w:cs="Cambria Math"/>
        </w:rPr>
        <w:t>‑</w:t>
      </w:r>
      <w:r w:rsidR="00005CA1" w:rsidRPr="00005CA1">
        <w:t>46, ss 344(1)(a)(</w:t>
      </w:r>
      <w:proofErr w:type="spellStart"/>
      <w:r w:rsidR="00005CA1" w:rsidRPr="00005CA1">
        <w:t>i</w:t>
      </w:r>
      <w:proofErr w:type="spellEnd"/>
      <w:r w:rsidR="00005CA1" w:rsidRPr="00005CA1">
        <w:t>), (a.1).</w:t>
      </w:r>
    </w:p>
    <w:p w14:paraId="30C35876" w14:textId="77777777" w:rsidR="00264C7B" w:rsidRPr="005E2809" w:rsidRDefault="00264C7B" w:rsidP="00264C7B">
      <w:pPr>
        <w:pStyle w:val="Catchwords"/>
      </w:pPr>
    </w:p>
    <w:p w14:paraId="51257E02" w14:textId="7F744313" w:rsidR="00264C7B" w:rsidRDefault="00264C7B" w:rsidP="00264C7B">
      <w:pPr>
        <w:rPr>
          <w:lang w:eastAsia="en-AU"/>
        </w:rPr>
      </w:pPr>
      <w:r>
        <w:rPr>
          <w:b/>
          <w:bCs/>
          <w:lang w:eastAsia="en-AU"/>
        </w:rPr>
        <w:t>Held (</w:t>
      </w:r>
      <w:r w:rsidR="00EC564B">
        <w:rPr>
          <w:b/>
          <w:bCs/>
          <w:lang w:eastAsia="en-AU"/>
        </w:rPr>
        <w:t>7</w:t>
      </w:r>
      <w:r>
        <w:rPr>
          <w:b/>
          <w:bCs/>
          <w:lang w:eastAsia="en-AU"/>
        </w:rPr>
        <w:t>:</w:t>
      </w:r>
      <w:r w:rsidR="00EC564B">
        <w:rPr>
          <w:b/>
          <w:bCs/>
          <w:lang w:eastAsia="en-AU"/>
        </w:rPr>
        <w:t>2</w:t>
      </w:r>
      <w:r>
        <w:rPr>
          <w:b/>
          <w:bCs/>
          <w:lang w:eastAsia="en-AU"/>
        </w:rPr>
        <w:t>):</w:t>
      </w:r>
      <w:r w:rsidRPr="00FD6C82">
        <w:rPr>
          <w:lang w:eastAsia="en-AU"/>
        </w:rPr>
        <w:t xml:space="preserve"> </w:t>
      </w:r>
      <w:r>
        <w:rPr>
          <w:lang w:eastAsia="en-AU"/>
        </w:rPr>
        <w:t xml:space="preserve">Appeal allowed.   </w:t>
      </w:r>
    </w:p>
    <w:p w14:paraId="0F3F1906" w14:textId="77777777" w:rsidR="00264C7B" w:rsidRDefault="00264C7B" w:rsidP="00FE53D6">
      <w:pPr>
        <w:pStyle w:val="BullDivider1"/>
      </w:pPr>
    </w:p>
    <w:p w14:paraId="7E41B4D4" w14:textId="77777777" w:rsidR="00264C7B" w:rsidRPr="006F7EEC" w:rsidRDefault="00264C7B" w:rsidP="006F7EEC">
      <w:pPr>
        <w:rPr>
          <w:lang w:eastAsia="en-AU"/>
        </w:rPr>
      </w:pPr>
    </w:p>
    <w:p w14:paraId="04098A87" w14:textId="52354B3A" w:rsidR="00E170A0" w:rsidRDefault="00E170A0" w:rsidP="00E170A0">
      <w:pPr>
        <w:pStyle w:val="Heading2"/>
      </w:pPr>
      <w:r>
        <w:t xml:space="preserve">R v </w:t>
      </w:r>
      <w:r w:rsidR="00C407D6">
        <w:t>Hills</w:t>
      </w:r>
      <w:r>
        <w:t xml:space="preserve"> </w:t>
      </w:r>
    </w:p>
    <w:p w14:paraId="7D141682" w14:textId="11D52A09" w:rsidR="00E170A0" w:rsidRPr="00F77F62" w:rsidRDefault="00E170A0" w:rsidP="00E170A0">
      <w:pPr>
        <w:rPr>
          <w:lang w:eastAsia="en-AU"/>
        </w:rPr>
      </w:pPr>
      <w:r>
        <w:rPr>
          <w:b/>
          <w:bCs/>
          <w:lang w:eastAsia="en-AU"/>
        </w:rPr>
        <w:t>Supreme Court of Canada</w:t>
      </w:r>
      <w:r w:rsidRPr="006B0D58">
        <w:rPr>
          <w:b/>
          <w:bCs/>
          <w:lang w:eastAsia="en-AU"/>
        </w:rPr>
        <w:t>:</w:t>
      </w:r>
      <w:r>
        <w:rPr>
          <w:b/>
          <w:bCs/>
          <w:lang w:eastAsia="en-AU"/>
        </w:rPr>
        <w:t xml:space="preserve"> </w:t>
      </w:r>
      <w:hyperlink r:id="rId14" w:history="1">
        <w:r w:rsidRPr="00C407D6">
          <w:rPr>
            <w:rStyle w:val="Hyperlink"/>
            <w:lang w:eastAsia="en-AU"/>
          </w:rPr>
          <w:t>[202</w:t>
        </w:r>
        <w:r w:rsidR="00C407D6" w:rsidRPr="00C407D6">
          <w:rPr>
            <w:rStyle w:val="Hyperlink"/>
            <w:lang w:eastAsia="en-AU"/>
          </w:rPr>
          <w:t>3</w:t>
        </w:r>
        <w:r w:rsidRPr="00C407D6">
          <w:rPr>
            <w:rStyle w:val="Hyperlink"/>
            <w:lang w:eastAsia="en-AU"/>
          </w:rPr>
          <w:t xml:space="preserve">] SCC </w:t>
        </w:r>
        <w:r w:rsidR="00C407D6" w:rsidRPr="00C407D6">
          <w:rPr>
            <w:rStyle w:val="Hyperlink"/>
            <w:lang w:eastAsia="en-AU"/>
          </w:rPr>
          <w:t>2</w:t>
        </w:r>
      </w:hyperlink>
    </w:p>
    <w:p w14:paraId="06B085A5" w14:textId="77777777" w:rsidR="00E170A0" w:rsidRDefault="00E170A0" w:rsidP="00E170A0">
      <w:pPr>
        <w:rPr>
          <w:lang w:eastAsia="en-AU"/>
        </w:rPr>
      </w:pPr>
    </w:p>
    <w:p w14:paraId="3D03CDB4" w14:textId="1D510E1C" w:rsidR="00E170A0" w:rsidRPr="00DB68FF" w:rsidRDefault="00E170A0" w:rsidP="00E170A0">
      <w:pPr>
        <w:rPr>
          <w:lang w:eastAsia="en-AU"/>
        </w:rPr>
      </w:pPr>
      <w:r>
        <w:rPr>
          <w:b/>
          <w:bCs/>
          <w:lang w:eastAsia="en-AU"/>
        </w:rPr>
        <w:t xml:space="preserve">Reasons delivered: </w:t>
      </w:r>
      <w:r w:rsidR="00C407D6">
        <w:rPr>
          <w:lang w:eastAsia="en-AU"/>
        </w:rPr>
        <w:t>27 January 2023</w:t>
      </w:r>
    </w:p>
    <w:p w14:paraId="55F74629" w14:textId="77777777" w:rsidR="00E170A0" w:rsidRDefault="00E170A0" w:rsidP="00E170A0">
      <w:pPr>
        <w:rPr>
          <w:b/>
          <w:bCs/>
          <w:lang w:eastAsia="en-AU"/>
        </w:rPr>
      </w:pPr>
    </w:p>
    <w:p w14:paraId="0A4B6F96" w14:textId="633A0657" w:rsidR="00E170A0" w:rsidRPr="00DB68FF" w:rsidRDefault="00E170A0" w:rsidP="00E170A0">
      <w:pPr>
        <w:rPr>
          <w:lang w:eastAsia="en-AU"/>
        </w:rPr>
      </w:pPr>
      <w:r>
        <w:rPr>
          <w:b/>
          <w:bCs/>
          <w:lang w:eastAsia="en-AU"/>
        </w:rPr>
        <w:t>Coram:</w:t>
      </w:r>
      <w:r w:rsidRPr="00DB68FF">
        <w:t xml:space="preserve"> </w:t>
      </w:r>
      <w:r w:rsidRPr="00E170A0">
        <w:rPr>
          <w:lang w:eastAsia="en-AU"/>
        </w:rPr>
        <w:t xml:space="preserve">Wagner </w:t>
      </w:r>
      <w:r>
        <w:rPr>
          <w:lang w:eastAsia="en-AU"/>
        </w:rPr>
        <w:t>CJ,</w:t>
      </w:r>
      <w:r w:rsidRPr="00E170A0">
        <w:rPr>
          <w:lang w:eastAsia="en-AU"/>
        </w:rPr>
        <w:t xml:space="preserve"> Moldaver, Karakatsanis, Côté, Brown, Rowe, Martin, Kasirer and Jamal JJ</w:t>
      </w:r>
    </w:p>
    <w:p w14:paraId="0B04750F" w14:textId="77777777" w:rsidR="00E170A0" w:rsidRDefault="00E170A0" w:rsidP="00E170A0">
      <w:pPr>
        <w:rPr>
          <w:b/>
          <w:bCs/>
          <w:lang w:eastAsia="en-AU"/>
        </w:rPr>
      </w:pPr>
    </w:p>
    <w:p w14:paraId="450B7054" w14:textId="77777777" w:rsidR="00E170A0" w:rsidRDefault="00E170A0" w:rsidP="00E170A0">
      <w:pPr>
        <w:rPr>
          <w:b/>
          <w:bCs/>
          <w:lang w:eastAsia="en-AU"/>
        </w:rPr>
      </w:pPr>
      <w:r>
        <w:rPr>
          <w:b/>
          <w:bCs/>
          <w:lang w:eastAsia="en-AU"/>
        </w:rPr>
        <w:t>Catchwords:</w:t>
      </w:r>
    </w:p>
    <w:p w14:paraId="62E122FA" w14:textId="77777777" w:rsidR="00E170A0" w:rsidRDefault="00E170A0" w:rsidP="00E170A0">
      <w:pPr>
        <w:rPr>
          <w:b/>
          <w:bCs/>
          <w:lang w:eastAsia="en-AU"/>
        </w:rPr>
      </w:pPr>
    </w:p>
    <w:p w14:paraId="7207B034" w14:textId="78FD669C" w:rsidR="00E170A0" w:rsidRPr="0034676E" w:rsidRDefault="00E170A0" w:rsidP="00E170A0">
      <w:pPr>
        <w:pStyle w:val="Catchwords"/>
      </w:pPr>
      <w:r w:rsidRPr="00E170A0">
        <w:lastRenderedPageBreak/>
        <w:t xml:space="preserve">Constitutional law </w:t>
      </w:r>
      <w:r w:rsidR="00311023">
        <w:t>–</w:t>
      </w:r>
      <w:r w:rsidRPr="00E170A0">
        <w:t xml:space="preserve"> </w:t>
      </w:r>
      <w:r w:rsidR="0011587F" w:rsidRPr="0011587F">
        <w:t xml:space="preserve">Charter of Rights </w:t>
      </w:r>
      <w:r w:rsidR="008E23B4">
        <w:t>–</w:t>
      </w:r>
      <w:r w:rsidR="0011587F" w:rsidRPr="0011587F">
        <w:t xml:space="preserve"> Cruel and unusual treatment or punishment </w:t>
      </w:r>
      <w:r w:rsidR="008E23B4">
        <w:t>–</w:t>
      </w:r>
      <w:r w:rsidR="0011587F" w:rsidRPr="0011587F">
        <w:t xml:space="preserve"> Sentencing </w:t>
      </w:r>
      <w:r w:rsidR="008E23B4">
        <w:t>–</w:t>
      </w:r>
      <w:r w:rsidR="0011587F" w:rsidRPr="0011587F">
        <w:t xml:space="preserve"> Mandatory minimum sentence </w:t>
      </w:r>
      <w:r w:rsidR="008E23B4">
        <w:t>–</w:t>
      </w:r>
      <w:r w:rsidR="0011587F" w:rsidRPr="0011587F">
        <w:t xml:space="preserve"> Discharging firearm </w:t>
      </w:r>
      <w:r w:rsidR="008E23B4">
        <w:t>–</w:t>
      </w:r>
      <w:r w:rsidR="0011587F" w:rsidRPr="0011587F">
        <w:t xml:space="preserve"> </w:t>
      </w:r>
      <w:r w:rsidR="0030082E">
        <w:t>Where a</w:t>
      </w:r>
      <w:r w:rsidR="0011587F" w:rsidRPr="0011587F">
        <w:t xml:space="preserve">ccused convicted of discharging firearm into or at place knowing that or being reckless as to whether another person present in place </w:t>
      </w:r>
      <w:r w:rsidR="008E23B4">
        <w:t>–</w:t>
      </w:r>
      <w:r w:rsidR="0011587F" w:rsidRPr="0011587F">
        <w:t xml:space="preserve"> </w:t>
      </w:r>
      <w:r w:rsidR="0030082E">
        <w:t>Where a</w:t>
      </w:r>
      <w:r w:rsidR="0011587F" w:rsidRPr="0011587F">
        <w:t>ccused challeng</w:t>
      </w:r>
      <w:r w:rsidR="0030082E">
        <w:t>ed</w:t>
      </w:r>
      <w:r w:rsidR="0011587F" w:rsidRPr="0011587F">
        <w:t xml:space="preserve"> constitutionality of mandatory minimum sentence of four years</w:t>
      </w:r>
      <w:r w:rsidR="008E23B4">
        <w:t>'</w:t>
      </w:r>
      <w:r w:rsidR="0011587F" w:rsidRPr="0011587F">
        <w:t xml:space="preserve"> imprisonment prescribed for offence </w:t>
      </w:r>
      <w:r w:rsidR="008E23B4">
        <w:t>–</w:t>
      </w:r>
      <w:r w:rsidR="0011587F" w:rsidRPr="0011587F">
        <w:t xml:space="preserve"> Whether mandatory minimum sentence constitutes cruel and unusual punishment </w:t>
      </w:r>
      <w:r w:rsidR="008E23B4">
        <w:t>–</w:t>
      </w:r>
      <w:r w:rsidR="0011587F" w:rsidRPr="0011587F">
        <w:t xml:space="preserve"> </w:t>
      </w:r>
      <w:r w:rsidR="0011587F" w:rsidRPr="0011587F">
        <w:rPr>
          <w:i/>
          <w:iCs/>
        </w:rPr>
        <w:t>Canadian Charter of Rights and Freedoms</w:t>
      </w:r>
      <w:r w:rsidR="0011587F" w:rsidRPr="0011587F">
        <w:t xml:space="preserve">, s 12 </w:t>
      </w:r>
      <w:r w:rsidR="008E23B4">
        <w:t>–</w:t>
      </w:r>
      <w:r w:rsidR="0011587F" w:rsidRPr="0011587F">
        <w:t xml:space="preserve"> </w:t>
      </w:r>
      <w:r w:rsidR="0011587F" w:rsidRPr="008A59BA">
        <w:rPr>
          <w:i/>
          <w:iCs/>
        </w:rPr>
        <w:t>Criminal Code</w:t>
      </w:r>
      <w:r w:rsidR="0011587F" w:rsidRPr="0011587F">
        <w:t>, RSC 1985, c C</w:t>
      </w:r>
      <w:r w:rsidR="0011587F" w:rsidRPr="0011587F">
        <w:rPr>
          <w:rFonts w:ascii="Cambria Math" w:hAnsi="Cambria Math" w:cs="Cambria Math"/>
        </w:rPr>
        <w:t>‑</w:t>
      </w:r>
      <w:r w:rsidR="0011587F" w:rsidRPr="0011587F">
        <w:t>46, ss 244.2(1)(a), 244.2(3)(b).</w:t>
      </w:r>
    </w:p>
    <w:p w14:paraId="2BFF9D7F" w14:textId="77777777" w:rsidR="00E170A0" w:rsidRPr="005E2809" w:rsidRDefault="00E170A0" w:rsidP="00E170A0">
      <w:pPr>
        <w:pStyle w:val="Catchwords"/>
      </w:pPr>
    </w:p>
    <w:p w14:paraId="0849EC7A" w14:textId="4B7E561A" w:rsidR="00E170A0" w:rsidRDefault="00E170A0" w:rsidP="00E170A0">
      <w:pPr>
        <w:rPr>
          <w:lang w:eastAsia="en-AU"/>
        </w:rPr>
      </w:pPr>
      <w:r>
        <w:rPr>
          <w:b/>
          <w:bCs/>
          <w:lang w:eastAsia="en-AU"/>
        </w:rPr>
        <w:t>Held (</w:t>
      </w:r>
      <w:r w:rsidR="0011587F">
        <w:rPr>
          <w:b/>
          <w:bCs/>
          <w:lang w:eastAsia="en-AU"/>
        </w:rPr>
        <w:t>8</w:t>
      </w:r>
      <w:r>
        <w:rPr>
          <w:b/>
          <w:bCs/>
          <w:lang w:eastAsia="en-AU"/>
        </w:rPr>
        <w:t>:</w:t>
      </w:r>
      <w:r w:rsidR="0011587F">
        <w:rPr>
          <w:b/>
          <w:bCs/>
          <w:lang w:eastAsia="en-AU"/>
        </w:rPr>
        <w:t>1</w:t>
      </w:r>
      <w:r>
        <w:rPr>
          <w:b/>
          <w:bCs/>
          <w:lang w:eastAsia="en-AU"/>
        </w:rPr>
        <w:t>):</w:t>
      </w:r>
      <w:r w:rsidRPr="00FD6C82">
        <w:rPr>
          <w:lang w:eastAsia="en-AU"/>
        </w:rPr>
        <w:t xml:space="preserve"> </w:t>
      </w:r>
      <w:r>
        <w:rPr>
          <w:lang w:eastAsia="en-AU"/>
        </w:rPr>
        <w:t xml:space="preserve">Appeal allowed.   </w:t>
      </w:r>
    </w:p>
    <w:p w14:paraId="2E20D9B2" w14:textId="77777777" w:rsidR="00246FCF" w:rsidRDefault="00246FCF" w:rsidP="00246FCF">
      <w:pPr>
        <w:pStyle w:val="BullDivider1"/>
      </w:pPr>
    </w:p>
    <w:p w14:paraId="6DF39E80" w14:textId="77777777" w:rsidR="00246FCF" w:rsidRPr="00246FCF" w:rsidRDefault="00246FCF" w:rsidP="00246FCF">
      <w:pPr>
        <w:rPr>
          <w:lang w:eastAsia="en-AU"/>
        </w:rPr>
      </w:pPr>
    </w:p>
    <w:p w14:paraId="3D4C4A1F" w14:textId="77777777" w:rsidR="00246FCF" w:rsidRDefault="00246FCF" w:rsidP="00246FCF">
      <w:pPr>
        <w:pStyle w:val="Heading2"/>
      </w:pPr>
      <w:proofErr w:type="spellStart"/>
      <w:r>
        <w:t>Tse</w:t>
      </w:r>
      <w:proofErr w:type="spellEnd"/>
      <w:r>
        <w:t xml:space="preserve"> Henry Edward v Commissioner of Registration </w:t>
      </w:r>
    </w:p>
    <w:p w14:paraId="32C45F0B" w14:textId="77777777" w:rsidR="00246FCF" w:rsidRPr="00087C56" w:rsidRDefault="00246FCF" w:rsidP="00246FCF">
      <w:pPr>
        <w:rPr>
          <w:lang w:eastAsia="en-AU"/>
        </w:rPr>
      </w:pPr>
      <w:r>
        <w:rPr>
          <w:b/>
          <w:bCs/>
          <w:lang w:eastAsia="en-AU"/>
        </w:rPr>
        <w:t>Hong Kong Court of Final Appeal</w:t>
      </w:r>
      <w:r w:rsidRPr="006B0D58">
        <w:rPr>
          <w:b/>
          <w:bCs/>
          <w:lang w:eastAsia="en-AU"/>
        </w:rPr>
        <w:t>:</w:t>
      </w:r>
      <w:r>
        <w:rPr>
          <w:b/>
          <w:bCs/>
          <w:lang w:eastAsia="en-AU"/>
        </w:rPr>
        <w:t xml:space="preserve"> </w:t>
      </w:r>
      <w:hyperlink r:id="rId15" w:history="1">
        <w:r>
          <w:rPr>
            <w:rStyle w:val="Hyperlink"/>
            <w:lang w:eastAsia="en-AU"/>
          </w:rPr>
          <w:t>[2023] HKCFA 4</w:t>
        </w:r>
      </w:hyperlink>
    </w:p>
    <w:p w14:paraId="327EE7A3" w14:textId="77777777" w:rsidR="00246FCF" w:rsidRDefault="00246FCF" w:rsidP="00246FCF">
      <w:pPr>
        <w:rPr>
          <w:lang w:eastAsia="en-AU"/>
        </w:rPr>
      </w:pPr>
    </w:p>
    <w:p w14:paraId="49892C5C" w14:textId="77777777" w:rsidR="00246FCF" w:rsidRPr="00DB68FF" w:rsidRDefault="00246FCF" w:rsidP="00246FCF">
      <w:pPr>
        <w:rPr>
          <w:lang w:eastAsia="en-AU"/>
        </w:rPr>
      </w:pPr>
      <w:r>
        <w:rPr>
          <w:b/>
          <w:bCs/>
          <w:lang w:eastAsia="en-AU"/>
        </w:rPr>
        <w:t xml:space="preserve">Reasons delivered: </w:t>
      </w:r>
      <w:r>
        <w:rPr>
          <w:lang w:eastAsia="en-AU"/>
        </w:rPr>
        <w:t>6 February 2023</w:t>
      </w:r>
    </w:p>
    <w:p w14:paraId="2E779E97" w14:textId="77777777" w:rsidR="00246FCF" w:rsidRDefault="00246FCF" w:rsidP="00246FCF">
      <w:pPr>
        <w:rPr>
          <w:b/>
          <w:bCs/>
          <w:lang w:eastAsia="en-AU"/>
        </w:rPr>
      </w:pPr>
    </w:p>
    <w:p w14:paraId="3E0BC02D" w14:textId="77777777" w:rsidR="00246FCF" w:rsidRPr="00DB68FF" w:rsidRDefault="00246FCF" w:rsidP="00246FCF">
      <w:pPr>
        <w:rPr>
          <w:lang w:eastAsia="en-AU"/>
        </w:rPr>
      </w:pPr>
      <w:r>
        <w:rPr>
          <w:b/>
          <w:bCs/>
          <w:lang w:eastAsia="en-AU"/>
        </w:rPr>
        <w:t>Coram:</w:t>
      </w:r>
      <w:r w:rsidRPr="00C37FA7">
        <w:t xml:space="preserve"> </w:t>
      </w:r>
      <w:r w:rsidRPr="009D7404">
        <w:t>Cheung</w:t>
      </w:r>
      <w:r>
        <w:t xml:space="preserve"> CJ</w:t>
      </w:r>
      <w:r w:rsidRPr="009D7404">
        <w:t>, Ribeiro, Fok, Lam PJ</w:t>
      </w:r>
      <w:r>
        <w:t>J</w:t>
      </w:r>
      <w:r w:rsidRPr="009D7404">
        <w:t xml:space="preserve"> and Lord Sumption NPJ</w:t>
      </w:r>
    </w:p>
    <w:p w14:paraId="63D85676" w14:textId="77777777" w:rsidR="00246FCF" w:rsidRDefault="00246FCF" w:rsidP="00246FCF">
      <w:pPr>
        <w:rPr>
          <w:b/>
          <w:bCs/>
          <w:lang w:eastAsia="en-AU"/>
        </w:rPr>
      </w:pPr>
    </w:p>
    <w:p w14:paraId="7D79DE15" w14:textId="77777777" w:rsidR="00246FCF" w:rsidRDefault="00246FCF" w:rsidP="00246FCF">
      <w:pPr>
        <w:rPr>
          <w:b/>
          <w:bCs/>
          <w:lang w:eastAsia="en-AU"/>
        </w:rPr>
      </w:pPr>
      <w:r>
        <w:rPr>
          <w:b/>
          <w:bCs/>
          <w:lang w:eastAsia="en-AU"/>
        </w:rPr>
        <w:t>Catchwords:</w:t>
      </w:r>
    </w:p>
    <w:p w14:paraId="4749B713" w14:textId="77777777" w:rsidR="00246FCF" w:rsidRDefault="00246FCF" w:rsidP="00246FCF">
      <w:pPr>
        <w:rPr>
          <w:b/>
          <w:bCs/>
          <w:lang w:eastAsia="en-AU"/>
        </w:rPr>
      </w:pPr>
    </w:p>
    <w:p w14:paraId="35020424" w14:textId="31AE0289" w:rsidR="00246FCF" w:rsidRDefault="00C97BB1" w:rsidP="00246FCF">
      <w:pPr>
        <w:pStyle w:val="Catchwords"/>
        <w:rPr>
          <w:highlight w:val="yellow"/>
        </w:rPr>
      </w:pPr>
      <w:r w:rsidRPr="005536E3">
        <w:t xml:space="preserve">Constitutional law – Rights – Right to privacy – Article 14 of Bill of Rights </w:t>
      </w:r>
      <w:r w:rsidR="00246FCF" w:rsidRPr="005536E3">
        <w:t xml:space="preserve">– Judicial review – </w:t>
      </w:r>
      <w:r w:rsidR="00205FF1" w:rsidRPr="005536E3">
        <w:t xml:space="preserve">Where Article 14 provides no one shall be subjected to arbitrary or unlawful interference with </w:t>
      </w:r>
      <w:r w:rsidR="00863DA0" w:rsidRPr="005536E3">
        <w:t xml:space="preserve">privacy and everyone has right to protection of law against such interference or attacks – </w:t>
      </w:r>
      <w:r w:rsidR="00246FCF" w:rsidRPr="005536E3">
        <w:t>Where residents required to register for Hong Kong Identity Card (</w:t>
      </w:r>
      <w:r w:rsidR="008E23B4">
        <w:t>"</w:t>
      </w:r>
      <w:r w:rsidR="00246FCF" w:rsidRPr="005536E3">
        <w:t>HKID card</w:t>
      </w:r>
      <w:r w:rsidR="008E23B4">
        <w:t>"</w:t>
      </w:r>
      <w:r w:rsidR="00246FCF" w:rsidRPr="005536E3">
        <w:t>) – Where HKID card indicates whether holder male or female (</w:t>
      </w:r>
      <w:r w:rsidR="008E23B4">
        <w:t>"</w:t>
      </w:r>
      <w:r w:rsidR="00246FCF" w:rsidRPr="005536E3">
        <w:t>gender marker</w:t>
      </w:r>
      <w:r w:rsidR="008E23B4">
        <w:t>"</w:t>
      </w:r>
      <w:r w:rsidR="00246FCF" w:rsidRPr="005536E3">
        <w:t>) – Where  two appellants female to male (</w:t>
      </w:r>
      <w:r w:rsidR="008E23B4">
        <w:t>"</w:t>
      </w:r>
      <w:proofErr w:type="spellStart"/>
      <w:r w:rsidR="00246FCF" w:rsidRPr="005536E3">
        <w:t>FtM</w:t>
      </w:r>
      <w:proofErr w:type="spellEnd"/>
      <w:r w:rsidR="008E23B4">
        <w:t>"</w:t>
      </w:r>
      <w:r w:rsidR="00246FCF" w:rsidRPr="005536E3">
        <w:t>) transgender persons</w:t>
      </w:r>
      <w:r w:rsidR="004769B6">
        <w:t xml:space="preserve"> </w:t>
      </w:r>
      <w:r w:rsidR="00246FCF" w:rsidRPr="005536E3">
        <w:t>– Where appellants applied to Commissioner of Registration to have gender markers on HKID cards amended to reflect acquired gender – Where</w:t>
      </w:r>
      <w:r w:rsidR="00246FCF">
        <w:t xml:space="preserve"> Commissioner refused applications on basis appellants had not undergone certain surgical procedures required under published guidelines to qualify for change – Whether </w:t>
      </w:r>
      <w:r w:rsidR="00E176F0">
        <w:t>Commissioner</w:t>
      </w:r>
      <w:r w:rsidR="008E23B4">
        <w:t>'</w:t>
      </w:r>
      <w:r w:rsidR="00E176F0">
        <w:t>s refusal violates appellants</w:t>
      </w:r>
      <w:r w:rsidR="008E23B4">
        <w:t>'</w:t>
      </w:r>
      <w:r w:rsidR="00E176F0">
        <w:t xml:space="preserve"> constitutional right to privacy under Article 14</w:t>
      </w:r>
      <w:r w:rsidR="008C20D4">
        <w:t xml:space="preserve"> – Whether declaration ought to be made that published guidelines unconstitutional. </w:t>
      </w:r>
    </w:p>
    <w:p w14:paraId="3C4BC187" w14:textId="77777777" w:rsidR="00246FCF" w:rsidRPr="005E2809" w:rsidRDefault="00246FCF" w:rsidP="00246FCF">
      <w:pPr>
        <w:pStyle w:val="Catchwords"/>
      </w:pPr>
    </w:p>
    <w:p w14:paraId="414C32A2" w14:textId="77777777" w:rsidR="00246FCF" w:rsidRDefault="00246FCF" w:rsidP="00246FCF">
      <w:pPr>
        <w:rPr>
          <w:lang w:eastAsia="en-AU"/>
        </w:rPr>
      </w:pPr>
      <w:r>
        <w:rPr>
          <w:b/>
          <w:bCs/>
          <w:lang w:eastAsia="en-AU"/>
        </w:rPr>
        <w:t>Held (5:0):</w:t>
      </w:r>
      <w:r w:rsidRPr="00FD6C82">
        <w:rPr>
          <w:lang w:eastAsia="en-AU"/>
        </w:rPr>
        <w:t xml:space="preserve"> </w:t>
      </w:r>
      <w:r>
        <w:rPr>
          <w:lang w:eastAsia="en-AU"/>
        </w:rPr>
        <w:t xml:space="preserve">Appeal allowed.   </w:t>
      </w:r>
    </w:p>
    <w:p w14:paraId="077FE56E" w14:textId="77777777" w:rsidR="00264C7B" w:rsidRDefault="00264C7B" w:rsidP="00EF075F">
      <w:pPr>
        <w:pStyle w:val="BullDivider2"/>
      </w:pPr>
    </w:p>
    <w:p w14:paraId="75F3B347" w14:textId="77777777" w:rsidR="005A5641" w:rsidRPr="00A3266C" w:rsidRDefault="005A5641" w:rsidP="005A5641">
      <w:pPr>
        <w:rPr>
          <w:lang w:eastAsia="en-AU"/>
        </w:rPr>
      </w:pPr>
    </w:p>
    <w:p w14:paraId="2131B2B7" w14:textId="1D92FA26" w:rsidR="005A5641" w:rsidRDefault="005A5641" w:rsidP="005A5641">
      <w:pPr>
        <w:pStyle w:val="Heading1"/>
      </w:pPr>
      <w:r>
        <w:t xml:space="preserve">Contract </w:t>
      </w:r>
    </w:p>
    <w:p w14:paraId="716923DE" w14:textId="77777777" w:rsidR="002043A7" w:rsidRDefault="002043A7" w:rsidP="002043A7">
      <w:pPr>
        <w:rPr>
          <w:lang w:eastAsia="en-AU"/>
        </w:rPr>
      </w:pPr>
    </w:p>
    <w:p w14:paraId="699202BE" w14:textId="3BAC39F0" w:rsidR="002043A7" w:rsidRPr="009A0DD2" w:rsidRDefault="002043A7" w:rsidP="002043A7">
      <w:pPr>
        <w:pStyle w:val="Heading2"/>
      </w:pPr>
      <w:r w:rsidRPr="009A0DD2">
        <w:t>Barton v Morris</w:t>
      </w:r>
    </w:p>
    <w:p w14:paraId="2180200C" w14:textId="1994A0CF" w:rsidR="002043A7" w:rsidRPr="009A0DD2" w:rsidRDefault="002043A7" w:rsidP="002043A7">
      <w:pPr>
        <w:rPr>
          <w:lang w:eastAsia="en-AU"/>
        </w:rPr>
      </w:pPr>
      <w:r w:rsidRPr="009A0DD2">
        <w:rPr>
          <w:b/>
          <w:bCs/>
          <w:lang w:eastAsia="en-AU"/>
        </w:rPr>
        <w:t xml:space="preserve">Supreme Court of the United Kingdom: </w:t>
      </w:r>
      <w:hyperlink r:id="rId16" w:history="1">
        <w:r w:rsidR="0013536D" w:rsidRPr="009A0DD2">
          <w:rPr>
            <w:rStyle w:val="Hyperlink"/>
            <w:lang w:eastAsia="en-AU"/>
          </w:rPr>
          <w:t>[2023] UKSC 3</w:t>
        </w:r>
      </w:hyperlink>
    </w:p>
    <w:p w14:paraId="4B5A2AD9" w14:textId="77777777" w:rsidR="002043A7" w:rsidRPr="009A0DD2" w:rsidRDefault="002043A7" w:rsidP="002043A7">
      <w:pPr>
        <w:rPr>
          <w:lang w:eastAsia="en-AU"/>
        </w:rPr>
      </w:pPr>
    </w:p>
    <w:p w14:paraId="5D2AB367" w14:textId="5140BA97" w:rsidR="002043A7" w:rsidRPr="009A0DD2" w:rsidRDefault="002043A7" w:rsidP="002043A7">
      <w:pPr>
        <w:rPr>
          <w:lang w:eastAsia="en-AU"/>
        </w:rPr>
      </w:pPr>
      <w:r w:rsidRPr="009A0DD2">
        <w:rPr>
          <w:b/>
          <w:bCs/>
          <w:lang w:eastAsia="en-AU"/>
        </w:rPr>
        <w:t xml:space="preserve">Reasons delivered: </w:t>
      </w:r>
      <w:r w:rsidR="0013536D" w:rsidRPr="009A0DD2">
        <w:rPr>
          <w:lang w:eastAsia="en-AU"/>
        </w:rPr>
        <w:t>25</w:t>
      </w:r>
      <w:r w:rsidRPr="009A0DD2">
        <w:rPr>
          <w:lang w:eastAsia="en-AU"/>
        </w:rPr>
        <w:t xml:space="preserve"> January 2023</w:t>
      </w:r>
    </w:p>
    <w:p w14:paraId="4A3157D3" w14:textId="77777777" w:rsidR="002043A7" w:rsidRPr="009A0DD2" w:rsidRDefault="002043A7" w:rsidP="002043A7">
      <w:pPr>
        <w:rPr>
          <w:b/>
          <w:bCs/>
          <w:lang w:eastAsia="en-AU"/>
        </w:rPr>
      </w:pPr>
    </w:p>
    <w:p w14:paraId="62031896" w14:textId="51F4BE98" w:rsidR="002043A7" w:rsidRPr="009A0DD2" w:rsidRDefault="002043A7" w:rsidP="002043A7">
      <w:pPr>
        <w:rPr>
          <w:lang w:eastAsia="en-AU"/>
        </w:rPr>
      </w:pPr>
      <w:r w:rsidRPr="009A0DD2">
        <w:rPr>
          <w:b/>
          <w:bCs/>
          <w:lang w:eastAsia="en-AU"/>
        </w:rPr>
        <w:t>Coram:</w:t>
      </w:r>
      <w:r w:rsidRPr="009A0DD2">
        <w:t xml:space="preserve"> </w:t>
      </w:r>
      <w:r w:rsidRPr="009A0DD2">
        <w:rPr>
          <w:lang w:eastAsia="en-AU"/>
        </w:rPr>
        <w:t xml:space="preserve">Lord Briggs, </w:t>
      </w:r>
      <w:r w:rsidR="0013536D" w:rsidRPr="009A0DD2">
        <w:rPr>
          <w:lang w:eastAsia="en-AU"/>
        </w:rPr>
        <w:t xml:space="preserve">Lord Leggatt, Lord Burrows, Lord Stephens and Lady Rose </w:t>
      </w:r>
    </w:p>
    <w:p w14:paraId="2BD311A7" w14:textId="77777777" w:rsidR="002043A7" w:rsidRPr="009A0DD2" w:rsidRDefault="002043A7" w:rsidP="002043A7">
      <w:pPr>
        <w:rPr>
          <w:b/>
          <w:bCs/>
          <w:lang w:eastAsia="en-AU"/>
        </w:rPr>
      </w:pPr>
    </w:p>
    <w:p w14:paraId="5B59015E" w14:textId="77777777" w:rsidR="002043A7" w:rsidRPr="009A0DD2" w:rsidRDefault="002043A7" w:rsidP="002043A7">
      <w:pPr>
        <w:rPr>
          <w:b/>
          <w:bCs/>
          <w:lang w:eastAsia="en-AU"/>
        </w:rPr>
      </w:pPr>
      <w:r w:rsidRPr="009A0DD2">
        <w:rPr>
          <w:b/>
          <w:bCs/>
          <w:lang w:eastAsia="en-AU"/>
        </w:rPr>
        <w:t>Catchwords:</w:t>
      </w:r>
    </w:p>
    <w:p w14:paraId="00965ADA" w14:textId="77777777" w:rsidR="002043A7" w:rsidRPr="009A0DD2" w:rsidRDefault="002043A7" w:rsidP="002043A7">
      <w:pPr>
        <w:rPr>
          <w:b/>
          <w:bCs/>
          <w:lang w:eastAsia="en-AU"/>
        </w:rPr>
      </w:pPr>
    </w:p>
    <w:p w14:paraId="0F25D3A4" w14:textId="0B3A2FE9" w:rsidR="007A3CF6" w:rsidRDefault="0013536D" w:rsidP="00E27EAB">
      <w:pPr>
        <w:pStyle w:val="Catchwords"/>
      </w:pPr>
      <w:r w:rsidRPr="009A0DD2">
        <w:t>Contract</w:t>
      </w:r>
      <w:r w:rsidR="00223BD6" w:rsidRPr="009A0DD2">
        <w:t xml:space="preserve"> – Oral contract </w:t>
      </w:r>
      <w:r w:rsidR="00CB2DDD" w:rsidRPr="009A0DD2">
        <w:t>–</w:t>
      </w:r>
      <w:r w:rsidR="00CE73FB" w:rsidRPr="009A0DD2">
        <w:t xml:space="preserve"> Implied term –</w:t>
      </w:r>
      <w:r w:rsidR="00E27EAB" w:rsidRPr="009A0DD2">
        <w:t xml:space="preserve"> </w:t>
      </w:r>
      <w:r w:rsidR="00413CBF" w:rsidRPr="009A0DD2">
        <w:t xml:space="preserve">Business necessity – </w:t>
      </w:r>
      <w:r w:rsidR="00E27EAB" w:rsidRPr="009A0DD2">
        <w:t xml:space="preserve">Where first respondent performed service for fourth respondent by introducing to </w:t>
      </w:r>
      <w:r w:rsidR="00B648AD" w:rsidRPr="00B648AD">
        <w:t xml:space="preserve">fourth respondent </w:t>
      </w:r>
      <w:r w:rsidR="00E27EAB" w:rsidRPr="009A0DD2">
        <w:t xml:space="preserve">buyer who ultimately bought property that </w:t>
      </w:r>
      <w:r w:rsidR="00B648AD" w:rsidRPr="00B648AD">
        <w:t xml:space="preserve">fourth respondent </w:t>
      </w:r>
      <w:r w:rsidR="00E27EAB" w:rsidRPr="009A0DD2">
        <w:t xml:space="preserve">owned and </w:t>
      </w:r>
      <w:r w:rsidR="00B52CAD" w:rsidRPr="009A0DD2">
        <w:t>wished</w:t>
      </w:r>
      <w:r w:rsidR="00E27EAB" w:rsidRPr="009A0DD2">
        <w:t xml:space="preserve"> to sell</w:t>
      </w:r>
      <w:r w:rsidR="00B52CAD" w:rsidRPr="009A0DD2">
        <w:t xml:space="preserve"> – Where </w:t>
      </w:r>
      <w:r w:rsidR="00E27EAB" w:rsidRPr="009A0DD2">
        <w:t xml:space="preserve">buyer paid </w:t>
      </w:r>
      <w:r w:rsidR="00B648AD" w:rsidRPr="00B648AD">
        <w:t xml:space="preserve">fourth respondent </w:t>
      </w:r>
      <w:r w:rsidR="00E27EAB" w:rsidRPr="009A0DD2">
        <w:t>£6 million for property</w:t>
      </w:r>
      <w:r w:rsidR="00B52CAD" w:rsidRPr="009A0DD2">
        <w:t xml:space="preserve"> – Where </w:t>
      </w:r>
      <w:r w:rsidR="0098182C" w:rsidRPr="009A0DD2">
        <w:t xml:space="preserve">High Court judge sitting at first instance held first respondent </w:t>
      </w:r>
      <w:r w:rsidR="00E27EAB" w:rsidRPr="009A0DD2">
        <w:t>not</w:t>
      </w:r>
      <w:r w:rsidR="00B25225" w:rsidRPr="009A0DD2">
        <w:t xml:space="preserve"> </w:t>
      </w:r>
      <w:r w:rsidR="00E27EAB" w:rsidRPr="009A0DD2">
        <w:t>entitled to payment</w:t>
      </w:r>
      <w:r w:rsidR="00B25225" w:rsidRPr="009A0DD2">
        <w:t xml:space="preserve"> – Where </w:t>
      </w:r>
      <w:r w:rsidR="00E27EAB" w:rsidRPr="009A0DD2">
        <w:t>no written agreement on</w:t>
      </w:r>
      <w:r w:rsidR="00B25225" w:rsidRPr="009A0DD2">
        <w:t xml:space="preserve"> </w:t>
      </w:r>
      <w:r w:rsidR="00E27EAB" w:rsidRPr="009A0DD2">
        <w:t xml:space="preserve">which </w:t>
      </w:r>
      <w:r w:rsidR="00B25225" w:rsidRPr="009A0DD2">
        <w:t>first respondent</w:t>
      </w:r>
      <w:r w:rsidR="00E27EAB" w:rsidRPr="009A0DD2">
        <w:t xml:space="preserve"> or </w:t>
      </w:r>
      <w:r w:rsidR="00B648AD" w:rsidRPr="00B648AD">
        <w:t xml:space="preserve">fourth respondent </w:t>
      </w:r>
      <w:r w:rsidR="00E27EAB" w:rsidRPr="009A0DD2">
        <w:t>could rely, but judge found that they arrived at binding oral agreement</w:t>
      </w:r>
      <w:r w:rsidR="00B25225" w:rsidRPr="009A0DD2">
        <w:t xml:space="preserve"> whereby</w:t>
      </w:r>
      <w:r w:rsidR="00E27EAB" w:rsidRPr="009A0DD2">
        <w:t xml:space="preserve"> </w:t>
      </w:r>
      <w:r w:rsidR="00B25225" w:rsidRPr="009A0DD2">
        <w:t>first respondent</w:t>
      </w:r>
      <w:r w:rsidR="00E27EAB" w:rsidRPr="009A0DD2">
        <w:t xml:space="preserve"> would be paid £1.2</w:t>
      </w:r>
      <w:r w:rsidR="006D0505" w:rsidRPr="009A0DD2">
        <w:t xml:space="preserve"> </w:t>
      </w:r>
      <w:r w:rsidR="00E27EAB" w:rsidRPr="009A0DD2">
        <w:t xml:space="preserve">million for making introduction if </w:t>
      </w:r>
      <w:r w:rsidR="007A3CF6" w:rsidRPr="009A0DD2">
        <w:t>buyer</w:t>
      </w:r>
      <w:r w:rsidR="00E27EAB" w:rsidRPr="009A0DD2">
        <w:t xml:space="preserve"> bought property for £6.5 million</w:t>
      </w:r>
      <w:r w:rsidR="007A3CF6" w:rsidRPr="009A0DD2">
        <w:t xml:space="preserve"> – Where, because </w:t>
      </w:r>
      <w:r w:rsidR="00E27EAB" w:rsidRPr="009A0DD2">
        <w:t xml:space="preserve">contract made no provision as to what would happen if property sold to </w:t>
      </w:r>
      <w:r w:rsidR="007A3CF6" w:rsidRPr="009A0DD2">
        <w:t>buyer</w:t>
      </w:r>
      <w:r w:rsidR="00E27EAB" w:rsidRPr="009A0DD2">
        <w:t xml:space="preserve"> for less than £6.5 million, no contractual obligation</w:t>
      </w:r>
      <w:r w:rsidR="007A3CF6" w:rsidRPr="009A0DD2">
        <w:t xml:space="preserve"> </w:t>
      </w:r>
      <w:r w:rsidR="00E27EAB" w:rsidRPr="009A0DD2">
        <w:t xml:space="preserve">on </w:t>
      </w:r>
      <w:r w:rsidR="00B648AD" w:rsidRPr="00B648AD">
        <w:t xml:space="preserve">fourth respondent </w:t>
      </w:r>
      <w:r w:rsidR="00E27EAB" w:rsidRPr="009A0DD2">
        <w:t xml:space="preserve">to pay anything to </w:t>
      </w:r>
      <w:r w:rsidR="007A3CF6" w:rsidRPr="009A0DD2">
        <w:t>first respondent</w:t>
      </w:r>
      <w:r w:rsidR="00297F2B" w:rsidRPr="009A0DD2">
        <w:t xml:space="preserve"> – Where Court of Appeal</w:t>
      </w:r>
      <w:r w:rsidR="00297F2B">
        <w:t xml:space="preserve"> allowed appeal </w:t>
      </w:r>
      <w:r w:rsidR="00675BB9">
        <w:t xml:space="preserve">– Where two members of Court of Appeal suggested </w:t>
      </w:r>
      <w:r w:rsidR="00231061">
        <w:t xml:space="preserve">possible implication of term into contract that reasonable fee would be paid if buyer bought property for less than </w:t>
      </w:r>
      <w:r w:rsidR="00231061" w:rsidRPr="00231061">
        <w:t>£6.5 million</w:t>
      </w:r>
      <w:r w:rsidR="00CE73FB">
        <w:t xml:space="preserve"> – Whether first respondent entitled to relief on basis of implied term. </w:t>
      </w:r>
    </w:p>
    <w:p w14:paraId="5E640533" w14:textId="77777777" w:rsidR="00034684" w:rsidRDefault="00034684" w:rsidP="00E27EAB">
      <w:pPr>
        <w:pStyle w:val="Catchwords"/>
      </w:pPr>
    </w:p>
    <w:p w14:paraId="6D655C7C" w14:textId="65DBB0D4" w:rsidR="00CB2DDD" w:rsidRPr="004B4F9D" w:rsidRDefault="00034684" w:rsidP="00C444F7">
      <w:pPr>
        <w:pStyle w:val="Catchwords"/>
      </w:pPr>
      <w:r>
        <w:t xml:space="preserve">Restitution – Unjust enrichment </w:t>
      </w:r>
      <w:r w:rsidR="006C1350">
        <w:t xml:space="preserve">– Where first respondent argued, in absence of </w:t>
      </w:r>
      <w:r w:rsidR="00635A30">
        <w:t xml:space="preserve">contract, </w:t>
      </w:r>
      <w:r w:rsidR="00B648AD" w:rsidRPr="00B648AD">
        <w:t xml:space="preserve">fourth respondent </w:t>
      </w:r>
      <w:r w:rsidR="006E4FBE">
        <w:t>unjustly enriched at first respondent</w:t>
      </w:r>
      <w:r w:rsidR="008E23B4">
        <w:t>'</w:t>
      </w:r>
      <w:r w:rsidR="006E4FBE">
        <w:t xml:space="preserve">s expense </w:t>
      </w:r>
      <w:r w:rsidR="0049626B">
        <w:t>–</w:t>
      </w:r>
      <w:r w:rsidR="006E4FBE">
        <w:t xml:space="preserve"> </w:t>
      </w:r>
      <w:r w:rsidR="0049626B">
        <w:t xml:space="preserve">Where High Court judge </w:t>
      </w:r>
      <w:r w:rsidR="00E27EAB">
        <w:t>relied on principle</w:t>
      </w:r>
      <w:r w:rsidR="0049626B">
        <w:t xml:space="preserve"> </w:t>
      </w:r>
      <w:r w:rsidR="00E27EAB">
        <w:t xml:space="preserve">in </w:t>
      </w:r>
      <w:r w:rsidR="00E27EAB" w:rsidRPr="0049626B">
        <w:rPr>
          <w:i/>
          <w:iCs/>
        </w:rPr>
        <w:t xml:space="preserve">MacDonald Dickens &amp; Macklin v Costello </w:t>
      </w:r>
      <w:r w:rsidR="00E27EAB">
        <w:t xml:space="preserve">[2012] QB 244 </w:t>
      </w:r>
      <w:r w:rsidR="0049626B">
        <w:t xml:space="preserve">that </w:t>
      </w:r>
      <w:r w:rsidR="00E27EAB">
        <w:t>applied to preclude any claim for unjust enrichment because such claim would</w:t>
      </w:r>
      <w:r w:rsidR="0049626B">
        <w:t xml:space="preserve"> </w:t>
      </w:r>
      <w:r w:rsidR="00E27EAB">
        <w:t>undermine contractual terms agreed between parties</w:t>
      </w:r>
      <w:r w:rsidR="009F37E9">
        <w:t xml:space="preserve"> – Where Court of Appeal held </w:t>
      </w:r>
      <w:r w:rsidR="00646E78">
        <w:t xml:space="preserve">silence of contract as to what would happen if sale to buyer was for less than £6.5 million meant contract did not rule out claim in unjust enrichment – Where Court of Appeal held </w:t>
      </w:r>
      <w:r w:rsidR="00B648AD" w:rsidRPr="00B648AD">
        <w:t xml:space="preserve">fourth respondent </w:t>
      </w:r>
      <w:r w:rsidR="00646E78">
        <w:t>would be unjustly enriched if it took benefit of introduction without paying first respondent reasonable fee</w:t>
      </w:r>
      <w:r w:rsidR="009D03BE">
        <w:t xml:space="preserve"> – Whether </w:t>
      </w:r>
      <w:r w:rsidR="00B648AD" w:rsidRPr="00B648AD">
        <w:t xml:space="preserve">fourth respondent </w:t>
      </w:r>
      <w:r w:rsidR="009D03BE">
        <w:t xml:space="preserve">unjustly enriched </w:t>
      </w:r>
      <w:r w:rsidR="00F12E3A">
        <w:t xml:space="preserve">– Whether unjust factor sufficient to </w:t>
      </w:r>
      <w:r w:rsidR="007F3C88">
        <w:t>entitle</w:t>
      </w:r>
      <w:r w:rsidR="00CE73FB">
        <w:t xml:space="preserve"> first respondent to relief on basis of unjust enrichment. </w:t>
      </w:r>
    </w:p>
    <w:p w14:paraId="55534E4B" w14:textId="77777777" w:rsidR="002043A7" w:rsidRPr="005E2809" w:rsidRDefault="002043A7" w:rsidP="002043A7">
      <w:pPr>
        <w:pStyle w:val="Catchwords"/>
      </w:pPr>
    </w:p>
    <w:p w14:paraId="77EF658D" w14:textId="6BB2A05D" w:rsidR="002043A7" w:rsidRDefault="002043A7" w:rsidP="002043A7">
      <w:pPr>
        <w:rPr>
          <w:lang w:eastAsia="en-AU"/>
        </w:rPr>
      </w:pPr>
      <w:r>
        <w:rPr>
          <w:b/>
          <w:bCs/>
          <w:lang w:eastAsia="en-AU"/>
        </w:rPr>
        <w:t>Held (</w:t>
      </w:r>
      <w:r w:rsidR="00D639B5">
        <w:rPr>
          <w:b/>
          <w:bCs/>
          <w:lang w:eastAsia="en-AU"/>
        </w:rPr>
        <w:t>3</w:t>
      </w:r>
      <w:r>
        <w:rPr>
          <w:b/>
          <w:bCs/>
          <w:lang w:eastAsia="en-AU"/>
        </w:rPr>
        <w:t>:</w:t>
      </w:r>
      <w:r w:rsidR="00D639B5">
        <w:rPr>
          <w:b/>
          <w:bCs/>
          <w:lang w:eastAsia="en-AU"/>
        </w:rPr>
        <w:t>2</w:t>
      </w:r>
      <w:r>
        <w:rPr>
          <w:b/>
          <w:bCs/>
          <w:lang w:eastAsia="en-AU"/>
        </w:rPr>
        <w:t>):</w:t>
      </w:r>
      <w:r w:rsidRPr="00FD6C82">
        <w:rPr>
          <w:lang w:eastAsia="en-AU"/>
        </w:rPr>
        <w:t xml:space="preserve"> </w:t>
      </w:r>
      <w:r>
        <w:rPr>
          <w:lang w:eastAsia="en-AU"/>
        </w:rPr>
        <w:t xml:space="preserve">Appeal allowed.   </w:t>
      </w:r>
    </w:p>
    <w:p w14:paraId="1C03E93D" w14:textId="77777777" w:rsidR="00A3266C" w:rsidRDefault="00A3266C" w:rsidP="005A5641">
      <w:pPr>
        <w:pStyle w:val="BullDivider2"/>
      </w:pPr>
    </w:p>
    <w:p w14:paraId="1F20B42D" w14:textId="77777777" w:rsidR="005A5641" w:rsidRPr="005A5641" w:rsidRDefault="005A5641" w:rsidP="005A5641">
      <w:pPr>
        <w:rPr>
          <w:lang w:eastAsia="en-AU"/>
        </w:rPr>
      </w:pPr>
    </w:p>
    <w:p w14:paraId="148A5FA9" w14:textId="3FFDED92" w:rsidR="00A3266C" w:rsidRDefault="00A3266C" w:rsidP="00A3266C">
      <w:pPr>
        <w:pStyle w:val="Heading1"/>
      </w:pPr>
      <w:r>
        <w:t>Courts and Judges</w:t>
      </w:r>
    </w:p>
    <w:p w14:paraId="06AFEF2A" w14:textId="77777777" w:rsidR="00A92B7F" w:rsidRDefault="00A92B7F" w:rsidP="00A92B7F">
      <w:pPr>
        <w:rPr>
          <w:lang w:eastAsia="en-AU"/>
        </w:rPr>
      </w:pPr>
    </w:p>
    <w:p w14:paraId="2676DD59" w14:textId="77777777" w:rsidR="00A92B7F" w:rsidRDefault="00A92B7F" w:rsidP="00A92B7F">
      <w:pPr>
        <w:pStyle w:val="Heading2"/>
      </w:pPr>
      <w:r w:rsidRPr="00514809">
        <w:t xml:space="preserve">Minister of Tourism v </w:t>
      </w:r>
      <w:proofErr w:type="spellStart"/>
      <w:r w:rsidRPr="00514809">
        <w:t>Afriforum</w:t>
      </w:r>
      <w:proofErr w:type="spellEnd"/>
      <w:r w:rsidRPr="00514809">
        <w:t xml:space="preserve"> NPC </w:t>
      </w:r>
    </w:p>
    <w:p w14:paraId="391676ED" w14:textId="77777777" w:rsidR="00A92B7F" w:rsidRPr="00514809" w:rsidRDefault="00A92B7F" w:rsidP="00A92B7F">
      <w:pPr>
        <w:rPr>
          <w:lang w:eastAsia="en-AU"/>
        </w:rPr>
      </w:pPr>
      <w:r>
        <w:rPr>
          <w:b/>
          <w:bCs/>
          <w:lang w:eastAsia="en-AU"/>
        </w:rPr>
        <w:t>Constitutional Court of South Africa</w:t>
      </w:r>
      <w:r w:rsidRPr="006B0D58">
        <w:rPr>
          <w:b/>
          <w:bCs/>
          <w:lang w:eastAsia="en-AU"/>
        </w:rPr>
        <w:t>:</w:t>
      </w:r>
      <w:r>
        <w:rPr>
          <w:b/>
          <w:bCs/>
          <w:lang w:eastAsia="en-AU"/>
        </w:rPr>
        <w:t xml:space="preserve"> </w:t>
      </w:r>
      <w:hyperlink r:id="rId17" w:history="1">
        <w:r w:rsidRPr="00514809">
          <w:rPr>
            <w:rStyle w:val="Hyperlink"/>
            <w:lang w:eastAsia="en-AU"/>
          </w:rPr>
          <w:t>[2023] ZACC 7</w:t>
        </w:r>
      </w:hyperlink>
    </w:p>
    <w:p w14:paraId="2DDD228A" w14:textId="77777777" w:rsidR="00A92B7F" w:rsidRDefault="00A92B7F" w:rsidP="00A92B7F">
      <w:pPr>
        <w:rPr>
          <w:lang w:eastAsia="en-AU"/>
        </w:rPr>
      </w:pPr>
    </w:p>
    <w:p w14:paraId="1782C3B4" w14:textId="77777777" w:rsidR="00A92B7F" w:rsidRPr="00DB68FF" w:rsidRDefault="00A92B7F" w:rsidP="00A92B7F">
      <w:pPr>
        <w:rPr>
          <w:lang w:eastAsia="en-AU"/>
        </w:rPr>
      </w:pPr>
      <w:r>
        <w:rPr>
          <w:b/>
          <w:bCs/>
          <w:lang w:eastAsia="en-AU"/>
        </w:rPr>
        <w:t xml:space="preserve">Reasons delivered: </w:t>
      </w:r>
      <w:r>
        <w:rPr>
          <w:lang w:eastAsia="en-AU"/>
        </w:rPr>
        <w:t>8 February 2023</w:t>
      </w:r>
    </w:p>
    <w:p w14:paraId="0E9A9361" w14:textId="77777777" w:rsidR="00A92B7F" w:rsidRDefault="00A92B7F" w:rsidP="00A92B7F">
      <w:pPr>
        <w:rPr>
          <w:b/>
          <w:bCs/>
          <w:lang w:eastAsia="en-AU"/>
        </w:rPr>
      </w:pPr>
    </w:p>
    <w:p w14:paraId="5B14B28C" w14:textId="77777777" w:rsidR="00A92B7F" w:rsidRPr="00DB68FF" w:rsidRDefault="00A92B7F" w:rsidP="00A92B7F">
      <w:pPr>
        <w:rPr>
          <w:lang w:eastAsia="en-AU"/>
        </w:rPr>
      </w:pPr>
      <w:r>
        <w:rPr>
          <w:b/>
          <w:bCs/>
          <w:lang w:eastAsia="en-AU"/>
        </w:rPr>
        <w:t>Coram:</w:t>
      </w:r>
      <w:r w:rsidRPr="00C37FA7">
        <w:t xml:space="preserve"> </w:t>
      </w:r>
      <w:proofErr w:type="spellStart"/>
      <w:r w:rsidRPr="00135B71">
        <w:t>Zondo</w:t>
      </w:r>
      <w:proofErr w:type="spellEnd"/>
      <w:r w:rsidRPr="00135B71">
        <w:t xml:space="preserve"> CJ, Maya DCJ, </w:t>
      </w:r>
      <w:proofErr w:type="spellStart"/>
      <w:r w:rsidRPr="00135B71">
        <w:t>Baqwa</w:t>
      </w:r>
      <w:proofErr w:type="spellEnd"/>
      <w:r w:rsidRPr="00135B71">
        <w:t xml:space="preserve"> AJ, </w:t>
      </w:r>
      <w:proofErr w:type="spellStart"/>
      <w:r w:rsidRPr="00135B71">
        <w:t>Madlanga</w:t>
      </w:r>
      <w:proofErr w:type="spellEnd"/>
      <w:r w:rsidRPr="00135B71">
        <w:t xml:space="preserve">, </w:t>
      </w:r>
      <w:proofErr w:type="spellStart"/>
      <w:r w:rsidRPr="00135B71">
        <w:t>Majiedt</w:t>
      </w:r>
      <w:proofErr w:type="spellEnd"/>
      <w:r w:rsidRPr="00135B71">
        <w:t xml:space="preserve">, </w:t>
      </w:r>
      <w:proofErr w:type="spellStart"/>
      <w:r w:rsidRPr="00135B71">
        <w:t>Mathopo</w:t>
      </w:r>
      <w:proofErr w:type="spellEnd"/>
      <w:r w:rsidRPr="00135B71">
        <w:t xml:space="preserve"> </w:t>
      </w:r>
      <w:r>
        <w:t>J</w:t>
      </w:r>
      <w:r w:rsidRPr="00135B71">
        <w:t>J, Mbatha AJ, Rogers, and Tshiqi J</w:t>
      </w:r>
      <w:r>
        <w:t>J</w:t>
      </w:r>
    </w:p>
    <w:p w14:paraId="44129B8C" w14:textId="77777777" w:rsidR="00A92B7F" w:rsidRDefault="00A92B7F" w:rsidP="00A92B7F">
      <w:pPr>
        <w:rPr>
          <w:b/>
          <w:bCs/>
          <w:lang w:eastAsia="en-AU"/>
        </w:rPr>
      </w:pPr>
    </w:p>
    <w:p w14:paraId="18E618E9" w14:textId="77777777" w:rsidR="00A92B7F" w:rsidRDefault="00A92B7F" w:rsidP="00A92B7F">
      <w:pPr>
        <w:rPr>
          <w:b/>
          <w:bCs/>
          <w:lang w:eastAsia="en-AU"/>
        </w:rPr>
      </w:pPr>
      <w:r>
        <w:rPr>
          <w:b/>
          <w:bCs/>
          <w:lang w:eastAsia="en-AU"/>
        </w:rPr>
        <w:t>Catchwords:</w:t>
      </w:r>
    </w:p>
    <w:p w14:paraId="4E566E52" w14:textId="77777777" w:rsidR="00A92B7F" w:rsidRDefault="00A92B7F" w:rsidP="00A92B7F">
      <w:pPr>
        <w:rPr>
          <w:b/>
          <w:bCs/>
          <w:lang w:eastAsia="en-AU"/>
        </w:rPr>
      </w:pPr>
    </w:p>
    <w:p w14:paraId="64D32B29" w14:textId="6878F62A" w:rsidR="00A92B7F" w:rsidRPr="00B8673F" w:rsidRDefault="00A92B7F" w:rsidP="00A92B7F">
      <w:pPr>
        <w:pStyle w:val="Catchwords"/>
      </w:pPr>
      <w:r>
        <w:t xml:space="preserve">Courts and judges </w:t>
      </w:r>
      <w:r w:rsidR="009520AA">
        <w:t>–</w:t>
      </w:r>
      <w:r>
        <w:t xml:space="preserve"> </w:t>
      </w:r>
      <w:r w:rsidR="009520AA">
        <w:t>Leave to appeal – Mootness –</w:t>
      </w:r>
      <w:r w:rsidR="003F473A">
        <w:t xml:space="preserve"> Reasonable prospects of success –</w:t>
      </w:r>
      <w:r w:rsidR="009520AA">
        <w:t xml:space="preserve"> Where </w:t>
      </w:r>
      <w:r w:rsidR="00732C47">
        <w:t xml:space="preserve">application </w:t>
      </w:r>
      <w:r w:rsidR="00DC1804">
        <w:t xml:space="preserve">for leave to appeal brought against </w:t>
      </w:r>
      <w:r w:rsidR="00FF1196" w:rsidRPr="00FF1196">
        <w:t>Supreme Court of Appeal</w:t>
      </w:r>
      <w:r w:rsidR="008E23B4">
        <w:t>'</w:t>
      </w:r>
      <w:r w:rsidR="00FF1196" w:rsidRPr="00FF1196">
        <w:t xml:space="preserve">s judgment and order </w:t>
      </w:r>
      <w:r w:rsidR="00FF1196">
        <w:t>relating</w:t>
      </w:r>
      <w:r w:rsidR="00FF1196" w:rsidRPr="00FF1196">
        <w:t xml:space="preserve"> to whether Minister </w:t>
      </w:r>
      <w:r w:rsidR="00FF1196">
        <w:t xml:space="preserve">for </w:t>
      </w:r>
      <w:r w:rsidR="00FF1196">
        <w:lastRenderedPageBreak/>
        <w:t>Tourism o</w:t>
      </w:r>
      <w:r w:rsidR="00FF1196" w:rsidRPr="00FF1196">
        <w:t xml:space="preserve">bliged or entitled to include Broad Based Black Economic Empowerment status level criteria among criteria that Department of Tourism used to select businesses that would be given grants out of </w:t>
      </w:r>
      <w:r w:rsidR="00C02F95">
        <w:t>Covid</w:t>
      </w:r>
      <w:r w:rsidR="004B682A">
        <w:t>-19</w:t>
      </w:r>
      <w:r w:rsidR="00FF1196" w:rsidRPr="00FF1196">
        <w:t xml:space="preserve"> Tourism Relief Fund</w:t>
      </w:r>
      <w:r w:rsidR="00990888">
        <w:t xml:space="preserve"> – Where Supreme Court of Appeal declared Minister</w:t>
      </w:r>
      <w:r w:rsidR="008E23B4">
        <w:t>'</w:t>
      </w:r>
      <w:r w:rsidR="00990888">
        <w:t>s decision unlawful – Where Minister sought leave to appeal, but application opposed on</w:t>
      </w:r>
      <w:r w:rsidR="00BD43BC">
        <w:t xml:space="preserve"> basis that matter moot and there no reasonable prospects of success</w:t>
      </w:r>
      <w:r w:rsidR="00D54B0B">
        <w:t xml:space="preserve"> – Whether leave to appeal </w:t>
      </w:r>
      <w:r w:rsidR="00037C62">
        <w:t xml:space="preserve">should be granted </w:t>
      </w:r>
      <w:r w:rsidR="00296611">
        <w:t>in circumstances where</w:t>
      </w:r>
      <w:r w:rsidR="00037C62">
        <w:t xml:space="preserve"> dispute relate</w:t>
      </w:r>
      <w:r w:rsidR="00EB1D39">
        <w:t>s</w:t>
      </w:r>
      <w:r w:rsidR="00037C62">
        <w:t xml:space="preserve"> to Fund established under </w:t>
      </w:r>
      <w:r w:rsidR="00B8673F">
        <w:rPr>
          <w:i/>
          <w:iCs/>
        </w:rPr>
        <w:t>Disaster Management Act 57 of 2002</w:t>
      </w:r>
      <w:r w:rsidR="00B8673F">
        <w:t xml:space="preserve"> </w:t>
      </w:r>
      <w:r w:rsidR="00EB1D39">
        <w:t>(</w:t>
      </w:r>
      <w:r w:rsidR="008E23B4">
        <w:t>"</w:t>
      </w:r>
      <w:r w:rsidR="00EB1D39">
        <w:t>DM Act</w:t>
      </w:r>
      <w:r w:rsidR="008E23B4">
        <w:t>"</w:t>
      </w:r>
      <w:r w:rsidR="00EB1D39">
        <w:t xml:space="preserve">) </w:t>
      </w:r>
      <w:r w:rsidR="00B8673F">
        <w:t>during state of disaster, where state of disaster terminated</w:t>
      </w:r>
      <w:r w:rsidR="00296611">
        <w:t xml:space="preserve">, </w:t>
      </w:r>
      <w:r w:rsidR="009F07E2">
        <w:t xml:space="preserve">where order of Supreme Court of Appeal specific to powers which Minister </w:t>
      </w:r>
      <w:r w:rsidR="00EB1D39">
        <w:t xml:space="preserve">had purported to exercise under DM Act, where order </w:t>
      </w:r>
      <w:r w:rsidR="00EB1BEF">
        <w:t xml:space="preserve">did not authorise recovery of funds paid from Fund, and Fund been exhausted. </w:t>
      </w:r>
    </w:p>
    <w:p w14:paraId="142BA8E7" w14:textId="77777777" w:rsidR="00A92B7F" w:rsidRPr="005E2809" w:rsidRDefault="00A92B7F" w:rsidP="00A92B7F">
      <w:pPr>
        <w:pStyle w:val="Catchwords"/>
      </w:pPr>
    </w:p>
    <w:p w14:paraId="69FB53B2" w14:textId="77777777" w:rsidR="00A92B7F" w:rsidRDefault="00A92B7F" w:rsidP="00A92B7F">
      <w:pPr>
        <w:rPr>
          <w:lang w:eastAsia="en-AU"/>
        </w:rPr>
      </w:pPr>
      <w:r>
        <w:rPr>
          <w:b/>
          <w:bCs/>
          <w:lang w:eastAsia="en-AU"/>
        </w:rPr>
        <w:t>Held (9:0):</w:t>
      </w:r>
      <w:r w:rsidRPr="00FD6C82">
        <w:rPr>
          <w:lang w:eastAsia="en-AU"/>
        </w:rPr>
        <w:t xml:space="preserve"> </w:t>
      </w:r>
      <w:r>
        <w:rPr>
          <w:lang w:eastAsia="en-AU"/>
        </w:rPr>
        <w:t xml:space="preserve">Leave to appeal refused.   </w:t>
      </w:r>
    </w:p>
    <w:p w14:paraId="46C16C92" w14:textId="77777777" w:rsidR="00A92B7F" w:rsidRDefault="00A92B7F" w:rsidP="00A92B7F">
      <w:pPr>
        <w:pStyle w:val="BullDivider1"/>
      </w:pPr>
    </w:p>
    <w:p w14:paraId="522CBF9F" w14:textId="77777777" w:rsidR="00195095" w:rsidRPr="00195095" w:rsidRDefault="00195095" w:rsidP="00195095">
      <w:pPr>
        <w:rPr>
          <w:lang w:eastAsia="en-AU"/>
        </w:rPr>
      </w:pPr>
    </w:p>
    <w:p w14:paraId="1590E079" w14:textId="0F99673D" w:rsidR="00432D70" w:rsidRDefault="00432D70" w:rsidP="00432D70">
      <w:pPr>
        <w:pStyle w:val="Heading2"/>
      </w:pPr>
      <w:r>
        <w:t>R v R</w:t>
      </w:r>
    </w:p>
    <w:p w14:paraId="720034D5" w14:textId="7CDE9E45" w:rsidR="00432D70" w:rsidRPr="00087C56" w:rsidRDefault="00432D70" w:rsidP="00432D70">
      <w:pPr>
        <w:rPr>
          <w:lang w:eastAsia="en-AU"/>
        </w:rPr>
      </w:pPr>
      <w:r>
        <w:rPr>
          <w:b/>
          <w:bCs/>
          <w:lang w:eastAsia="en-AU"/>
        </w:rPr>
        <w:t>Constitutional Court of South Africa</w:t>
      </w:r>
      <w:r w:rsidRPr="006B0D58">
        <w:rPr>
          <w:b/>
          <w:bCs/>
          <w:lang w:eastAsia="en-AU"/>
        </w:rPr>
        <w:t>:</w:t>
      </w:r>
      <w:r>
        <w:rPr>
          <w:b/>
          <w:bCs/>
          <w:lang w:eastAsia="en-AU"/>
        </w:rPr>
        <w:t xml:space="preserve"> </w:t>
      </w:r>
      <w:hyperlink r:id="rId18" w:history="1">
        <w:r w:rsidR="0010535C" w:rsidRPr="0010535C">
          <w:rPr>
            <w:rStyle w:val="Hyperlink"/>
            <w:lang w:eastAsia="en-AU"/>
          </w:rPr>
          <w:t>[2023] ZACC 5</w:t>
        </w:r>
      </w:hyperlink>
    </w:p>
    <w:p w14:paraId="0CF7B609" w14:textId="77777777" w:rsidR="00432D70" w:rsidRDefault="00432D70" w:rsidP="00432D70">
      <w:pPr>
        <w:rPr>
          <w:lang w:eastAsia="en-AU"/>
        </w:rPr>
      </w:pPr>
    </w:p>
    <w:p w14:paraId="160F250E" w14:textId="2E12644B" w:rsidR="00432D70" w:rsidRPr="00DB68FF" w:rsidRDefault="00432D70" w:rsidP="00432D70">
      <w:pPr>
        <w:rPr>
          <w:lang w:eastAsia="en-AU"/>
        </w:rPr>
      </w:pPr>
      <w:r>
        <w:rPr>
          <w:b/>
          <w:bCs/>
          <w:lang w:eastAsia="en-AU"/>
        </w:rPr>
        <w:t xml:space="preserve">Reasons delivered: </w:t>
      </w:r>
      <w:r w:rsidR="0010535C">
        <w:rPr>
          <w:lang w:eastAsia="en-AU"/>
        </w:rPr>
        <w:t>1 February</w:t>
      </w:r>
      <w:r>
        <w:rPr>
          <w:lang w:eastAsia="en-AU"/>
        </w:rPr>
        <w:t xml:space="preserve"> 2023</w:t>
      </w:r>
    </w:p>
    <w:p w14:paraId="5E0D3CE3" w14:textId="77777777" w:rsidR="00432D70" w:rsidRDefault="00432D70" w:rsidP="00432D70">
      <w:pPr>
        <w:rPr>
          <w:b/>
          <w:bCs/>
          <w:lang w:eastAsia="en-AU"/>
        </w:rPr>
      </w:pPr>
    </w:p>
    <w:p w14:paraId="3CE5B026" w14:textId="0E8B9124" w:rsidR="00432D70" w:rsidRPr="00DB68FF" w:rsidRDefault="00432D70" w:rsidP="00432D70">
      <w:pPr>
        <w:rPr>
          <w:lang w:eastAsia="en-AU"/>
        </w:rPr>
      </w:pPr>
      <w:r>
        <w:rPr>
          <w:b/>
          <w:bCs/>
          <w:lang w:eastAsia="en-AU"/>
        </w:rPr>
        <w:t>Coram:</w:t>
      </w:r>
      <w:r w:rsidRPr="00C37FA7">
        <w:t xml:space="preserve"> </w:t>
      </w:r>
      <w:proofErr w:type="spellStart"/>
      <w:r w:rsidR="003F414A" w:rsidRPr="003F414A">
        <w:t>Baqwa</w:t>
      </w:r>
      <w:proofErr w:type="spellEnd"/>
      <w:r w:rsidR="003F414A" w:rsidRPr="003F414A">
        <w:t xml:space="preserve"> AJ, </w:t>
      </w:r>
      <w:proofErr w:type="spellStart"/>
      <w:r w:rsidR="003F414A" w:rsidRPr="003F414A">
        <w:t>Kollapen</w:t>
      </w:r>
      <w:proofErr w:type="spellEnd"/>
      <w:r w:rsidR="003F414A" w:rsidRPr="003F414A">
        <w:t xml:space="preserve">, </w:t>
      </w:r>
      <w:proofErr w:type="spellStart"/>
      <w:r w:rsidR="003F414A" w:rsidRPr="003F414A">
        <w:t>Madlanga</w:t>
      </w:r>
      <w:proofErr w:type="spellEnd"/>
      <w:r w:rsidR="003F414A">
        <w:t>,</w:t>
      </w:r>
      <w:r w:rsidR="003F414A" w:rsidRPr="003F414A">
        <w:t xml:space="preserve"> </w:t>
      </w:r>
      <w:proofErr w:type="spellStart"/>
      <w:r w:rsidR="003F414A" w:rsidRPr="003F414A">
        <w:t>Majiedt</w:t>
      </w:r>
      <w:proofErr w:type="spellEnd"/>
      <w:r w:rsidR="003F414A" w:rsidRPr="003F414A">
        <w:t xml:space="preserve">, </w:t>
      </w:r>
      <w:proofErr w:type="spellStart"/>
      <w:r w:rsidR="003F414A" w:rsidRPr="003F414A">
        <w:t>Mathopo</w:t>
      </w:r>
      <w:proofErr w:type="spellEnd"/>
      <w:r w:rsidR="003F414A" w:rsidRPr="003F414A">
        <w:t xml:space="preserve">, </w:t>
      </w:r>
      <w:proofErr w:type="spellStart"/>
      <w:r w:rsidR="003F414A" w:rsidRPr="003F414A">
        <w:t>Mhlantla</w:t>
      </w:r>
      <w:proofErr w:type="spellEnd"/>
      <w:r w:rsidR="003F414A" w:rsidRPr="003F414A">
        <w:t xml:space="preserve">, Rogers and Tshiqi </w:t>
      </w:r>
      <w:r w:rsidR="003F414A">
        <w:t>J</w:t>
      </w:r>
      <w:r w:rsidR="003F414A" w:rsidRPr="003F414A">
        <w:t>J</w:t>
      </w:r>
    </w:p>
    <w:p w14:paraId="52A379EB" w14:textId="77777777" w:rsidR="00432D70" w:rsidRDefault="00432D70" w:rsidP="00432D70">
      <w:pPr>
        <w:rPr>
          <w:b/>
          <w:bCs/>
          <w:lang w:eastAsia="en-AU"/>
        </w:rPr>
      </w:pPr>
    </w:p>
    <w:p w14:paraId="64891D96" w14:textId="77777777" w:rsidR="00432D70" w:rsidRDefault="00432D70" w:rsidP="00432D70">
      <w:pPr>
        <w:rPr>
          <w:b/>
          <w:bCs/>
          <w:lang w:eastAsia="en-AU"/>
        </w:rPr>
      </w:pPr>
      <w:r>
        <w:rPr>
          <w:b/>
          <w:bCs/>
          <w:lang w:eastAsia="en-AU"/>
        </w:rPr>
        <w:t>Catchwords:</w:t>
      </w:r>
    </w:p>
    <w:p w14:paraId="7B40EEF0" w14:textId="77777777" w:rsidR="00432D70" w:rsidRDefault="00432D70" w:rsidP="00432D70">
      <w:pPr>
        <w:rPr>
          <w:b/>
          <w:bCs/>
          <w:lang w:eastAsia="en-AU"/>
        </w:rPr>
      </w:pPr>
    </w:p>
    <w:p w14:paraId="051B592A" w14:textId="4FE76750" w:rsidR="00432D70" w:rsidRPr="004B4F9D" w:rsidRDefault="00432D70" w:rsidP="00432D70">
      <w:pPr>
        <w:pStyle w:val="Catchwords"/>
      </w:pPr>
      <w:r>
        <w:t xml:space="preserve">Courts and judges – </w:t>
      </w:r>
      <w:r w:rsidR="003F414A">
        <w:t xml:space="preserve">Contempt of court – Variation of court orders </w:t>
      </w:r>
      <w:r w:rsidR="00620D88">
        <w:t xml:space="preserve">– Where applicant and respondent </w:t>
      </w:r>
      <w:r w:rsidR="00CF0D77">
        <w:t xml:space="preserve">parties to divorce proceedings – Where respondent applied to have applicant held in contempt of earlier High Court </w:t>
      </w:r>
      <w:r w:rsidR="00FB3DE5">
        <w:t>order</w:t>
      </w:r>
      <w:r w:rsidR="00CF0D77">
        <w:t xml:space="preserve"> – Where </w:t>
      </w:r>
      <w:r w:rsidR="00FB3DE5">
        <w:t xml:space="preserve">applicant sought to challenge </w:t>
      </w:r>
      <w:r w:rsidR="00690F65">
        <w:t xml:space="preserve">contempt orders </w:t>
      </w:r>
      <w:r w:rsidR="00C65078">
        <w:t>– Where challenge</w:t>
      </w:r>
      <w:r w:rsidR="00690F65">
        <w:t xml:space="preserve"> </w:t>
      </w:r>
      <w:r w:rsidR="00550161">
        <w:t>concern</w:t>
      </w:r>
      <w:r w:rsidR="00C65078">
        <w:t>ed</w:t>
      </w:r>
      <w:r w:rsidR="00550161">
        <w:t xml:space="preserve"> two paragraphs of order in divorce proceedings: (1) </w:t>
      </w:r>
      <w:r w:rsidR="00853F5D">
        <w:t xml:space="preserve">para 2.3, requiring applicant to pay over to respondent share of net rentals </w:t>
      </w:r>
      <w:r w:rsidR="00031FAF">
        <w:t xml:space="preserve">concerning property High Court had declared jointly owned; and (2) paras 2.4 and 2.6, </w:t>
      </w:r>
      <w:r w:rsidR="002041F9">
        <w:t xml:space="preserve">requiring </w:t>
      </w:r>
      <w:r w:rsidR="00143B36">
        <w:t xml:space="preserve">transfer of certain property – Where </w:t>
      </w:r>
      <w:r w:rsidR="002041F9">
        <w:t>High Court</w:t>
      </w:r>
      <w:r w:rsidR="00143B36">
        <w:t>, in contempt proceedings</w:t>
      </w:r>
      <w:r w:rsidR="0092052F">
        <w:t>,</w:t>
      </w:r>
      <w:r w:rsidR="002041F9">
        <w:t xml:space="preserve"> </w:t>
      </w:r>
      <w:r w:rsidR="0092052F" w:rsidRPr="0092052F">
        <w:t xml:space="preserve">unilaterally varied orders in both paragraphs 2.4 and 2.6 and made orders that </w:t>
      </w:r>
      <w:r w:rsidR="0092052F">
        <w:t>neither party</w:t>
      </w:r>
      <w:r w:rsidR="0092052F" w:rsidRPr="0092052F">
        <w:t xml:space="preserve"> had prayed for</w:t>
      </w:r>
      <w:r w:rsidR="00736548">
        <w:t xml:space="preserve"> – Where High Court relied on </w:t>
      </w:r>
      <w:r w:rsidR="00841551" w:rsidRPr="00841551">
        <w:t>rule 42(1)(c) of Uniform Rules of Court, which grants</w:t>
      </w:r>
      <w:r w:rsidR="00841551">
        <w:t xml:space="preserve"> Court</w:t>
      </w:r>
      <w:r w:rsidR="00841551" w:rsidRPr="00841551">
        <w:t>, of its own accord, or upon application by affected party, power to vary or rescind earlier order if it granted as result of mistake common to parties</w:t>
      </w:r>
      <w:r w:rsidR="00125054">
        <w:t xml:space="preserve"> – </w:t>
      </w:r>
      <w:r w:rsidR="003431EF">
        <w:t xml:space="preserve">Whether </w:t>
      </w:r>
      <w:r w:rsidR="00920203">
        <w:t xml:space="preserve">applicant in contempt – Whether, if applicant in contempt, High Court could impose sentence </w:t>
      </w:r>
      <w:r w:rsidR="00BA0524">
        <w:t xml:space="preserve">of direct imprisonment, conditional upon payment of amount of money alleged equivalent to arrear rental income – Whether </w:t>
      </w:r>
      <w:r w:rsidR="006F42C9">
        <w:t>High Court could vary earlier order</w:t>
      </w:r>
      <w:r w:rsidR="00100D41">
        <w:t>s</w:t>
      </w:r>
      <w:r w:rsidR="006F42C9">
        <w:t xml:space="preserve"> – </w:t>
      </w:r>
      <w:r w:rsidR="00125054">
        <w:t xml:space="preserve">Whether High Court </w:t>
      </w:r>
      <w:r w:rsidR="00EF0129">
        <w:t xml:space="preserve">correctly invoked rule 42(1)(c) – Whether order of contempt can flow from order couched in </w:t>
      </w:r>
      <w:r w:rsidR="003431EF">
        <w:t>declaratory</w:t>
      </w:r>
      <w:r w:rsidR="00EF0129">
        <w:t xml:space="preserve"> terms</w:t>
      </w:r>
      <w:r w:rsidR="00100D41">
        <w:t>.</w:t>
      </w:r>
      <w:r w:rsidR="00EF0129">
        <w:t xml:space="preserve"> </w:t>
      </w:r>
    </w:p>
    <w:p w14:paraId="053849FF" w14:textId="77777777" w:rsidR="00432D70" w:rsidRPr="005E2809" w:rsidRDefault="00432D70" w:rsidP="00432D70">
      <w:pPr>
        <w:pStyle w:val="Catchwords"/>
      </w:pPr>
    </w:p>
    <w:p w14:paraId="2A6251B3" w14:textId="0767E3EB" w:rsidR="00432D70" w:rsidRDefault="00432D70" w:rsidP="00F47056">
      <w:pPr>
        <w:rPr>
          <w:lang w:eastAsia="en-AU"/>
        </w:rPr>
      </w:pPr>
      <w:r>
        <w:rPr>
          <w:b/>
          <w:bCs/>
          <w:lang w:eastAsia="en-AU"/>
        </w:rPr>
        <w:t>Held (</w:t>
      </w:r>
      <w:r w:rsidR="00941AA9">
        <w:rPr>
          <w:b/>
          <w:bCs/>
          <w:lang w:eastAsia="en-AU"/>
        </w:rPr>
        <w:t>8</w:t>
      </w:r>
      <w:r>
        <w:rPr>
          <w:b/>
          <w:bCs/>
          <w:lang w:eastAsia="en-AU"/>
        </w:rPr>
        <w:t>:0):</w:t>
      </w:r>
      <w:r w:rsidRPr="00FD6C82">
        <w:rPr>
          <w:lang w:eastAsia="en-AU"/>
        </w:rPr>
        <w:t xml:space="preserve"> </w:t>
      </w:r>
      <w:r w:rsidR="00941AA9">
        <w:rPr>
          <w:lang w:eastAsia="en-AU"/>
        </w:rPr>
        <w:t>A</w:t>
      </w:r>
      <w:r>
        <w:rPr>
          <w:lang w:eastAsia="en-AU"/>
        </w:rPr>
        <w:t xml:space="preserve">ppeal upheld.   </w:t>
      </w:r>
    </w:p>
    <w:p w14:paraId="1098F07C" w14:textId="77777777" w:rsidR="00A3266C" w:rsidRDefault="00A3266C" w:rsidP="00A3266C">
      <w:pPr>
        <w:pStyle w:val="BullDivider2"/>
      </w:pPr>
    </w:p>
    <w:p w14:paraId="77C70BAD" w14:textId="77777777" w:rsidR="005A2A7D" w:rsidRPr="005A2A7D" w:rsidRDefault="005A2A7D" w:rsidP="005A2A7D">
      <w:pPr>
        <w:rPr>
          <w:lang w:eastAsia="en-AU"/>
        </w:rPr>
      </w:pPr>
    </w:p>
    <w:p w14:paraId="248D41FF" w14:textId="7BB955EF" w:rsidR="005A2A7D" w:rsidRDefault="005A2A7D" w:rsidP="005A2A7D">
      <w:pPr>
        <w:pStyle w:val="Heading1"/>
      </w:pPr>
      <w:r>
        <w:lastRenderedPageBreak/>
        <w:t>Criminal procedure</w:t>
      </w:r>
    </w:p>
    <w:p w14:paraId="5A29956C" w14:textId="77777777" w:rsidR="005A2A7D" w:rsidRDefault="005A2A7D" w:rsidP="005A2A7D">
      <w:pPr>
        <w:rPr>
          <w:lang w:eastAsia="en-AU"/>
        </w:rPr>
      </w:pPr>
    </w:p>
    <w:p w14:paraId="08563C82" w14:textId="77777777" w:rsidR="005A2A7D" w:rsidRDefault="005A2A7D" w:rsidP="005A2A7D">
      <w:pPr>
        <w:pStyle w:val="Heading2"/>
      </w:pPr>
      <w:r>
        <w:t xml:space="preserve">Cruz v Arizona </w:t>
      </w:r>
    </w:p>
    <w:p w14:paraId="6F5C0CC2" w14:textId="77777777" w:rsidR="005A2A7D" w:rsidRPr="00F77F62" w:rsidRDefault="005A2A7D" w:rsidP="005A2A7D">
      <w:pPr>
        <w:rPr>
          <w:lang w:eastAsia="en-AU"/>
        </w:rPr>
      </w:pPr>
      <w:r>
        <w:rPr>
          <w:b/>
          <w:bCs/>
          <w:lang w:eastAsia="en-AU"/>
        </w:rPr>
        <w:t>Supreme Court of the United States</w:t>
      </w:r>
      <w:r w:rsidRPr="006B0D58">
        <w:rPr>
          <w:b/>
          <w:bCs/>
          <w:lang w:eastAsia="en-AU"/>
        </w:rPr>
        <w:t>:</w:t>
      </w:r>
      <w:r>
        <w:rPr>
          <w:b/>
          <w:bCs/>
          <w:lang w:eastAsia="en-AU"/>
        </w:rPr>
        <w:t xml:space="preserve"> </w:t>
      </w:r>
      <w:hyperlink r:id="rId19" w:history="1">
        <w:r>
          <w:rPr>
            <w:rStyle w:val="Hyperlink"/>
            <w:lang w:eastAsia="en-AU"/>
          </w:rPr>
          <w:t>Docket No 21-846</w:t>
        </w:r>
      </w:hyperlink>
      <w:r>
        <w:rPr>
          <w:lang w:eastAsia="en-AU"/>
        </w:rPr>
        <w:t xml:space="preserve"> </w:t>
      </w:r>
    </w:p>
    <w:p w14:paraId="39625DE5" w14:textId="77777777" w:rsidR="005A2A7D" w:rsidRDefault="005A2A7D" w:rsidP="005A2A7D">
      <w:pPr>
        <w:rPr>
          <w:lang w:eastAsia="en-AU"/>
        </w:rPr>
      </w:pPr>
    </w:p>
    <w:p w14:paraId="0DB8F7EE" w14:textId="77777777" w:rsidR="005A2A7D" w:rsidRPr="00DB68FF" w:rsidRDefault="005A2A7D" w:rsidP="005A2A7D">
      <w:pPr>
        <w:rPr>
          <w:lang w:eastAsia="en-AU"/>
        </w:rPr>
      </w:pPr>
      <w:r>
        <w:rPr>
          <w:b/>
          <w:bCs/>
          <w:lang w:eastAsia="en-AU"/>
        </w:rPr>
        <w:t xml:space="preserve">Reasons delivered: </w:t>
      </w:r>
      <w:r>
        <w:rPr>
          <w:lang w:eastAsia="en-AU"/>
        </w:rPr>
        <w:t>22 February 2023</w:t>
      </w:r>
    </w:p>
    <w:p w14:paraId="0C0C21DB" w14:textId="77777777" w:rsidR="005A2A7D" w:rsidRDefault="005A2A7D" w:rsidP="005A2A7D">
      <w:pPr>
        <w:rPr>
          <w:b/>
          <w:bCs/>
          <w:lang w:eastAsia="en-AU"/>
        </w:rPr>
      </w:pPr>
    </w:p>
    <w:p w14:paraId="487B9178" w14:textId="77777777" w:rsidR="005A2A7D" w:rsidRDefault="005A2A7D" w:rsidP="005A2A7D">
      <w:pPr>
        <w:rPr>
          <w:lang w:eastAsia="en-AU"/>
        </w:rPr>
      </w:pPr>
      <w:r>
        <w:rPr>
          <w:b/>
          <w:bCs/>
          <w:lang w:eastAsia="en-AU"/>
        </w:rPr>
        <w:t>Coram:</w:t>
      </w:r>
      <w:r w:rsidRPr="00DB68FF">
        <w:t xml:space="preserve"> </w:t>
      </w:r>
      <w:r>
        <w:rPr>
          <w:lang w:eastAsia="en-AU"/>
        </w:rPr>
        <w:t>Roberts CJ, Thomas, Alito, Sotomayor, Kagan, Gorsuch, Kavanaugh, Barrett and Jackson JJ</w:t>
      </w:r>
    </w:p>
    <w:p w14:paraId="47888A4D" w14:textId="77777777" w:rsidR="005A2A7D" w:rsidRDefault="005A2A7D" w:rsidP="005A2A7D">
      <w:pPr>
        <w:rPr>
          <w:b/>
          <w:bCs/>
          <w:lang w:eastAsia="en-AU"/>
        </w:rPr>
      </w:pPr>
    </w:p>
    <w:p w14:paraId="5C2E806A" w14:textId="77777777" w:rsidR="005A2A7D" w:rsidRDefault="005A2A7D" w:rsidP="005A2A7D">
      <w:pPr>
        <w:rPr>
          <w:b/>
          <w:bCs/>
          <w:lang w:eastAsia="en-AU"/>
        </w:rPr>
      </w:pPr>
      <w:r>
        <w:rPr>
          <w:b/>
          <w:bCs/>
          <w:lang w:eastAsia="en-AU"/>
        </w:rPr>
        <w:t>Catchwords:</w:t>
      </w:r>
    </w:p>
    <w:p w14:paraId="7F01578B" w14:textId="77777777" w:rsidR="005A2A7D" w:rsidRDefault="005A2A7D" w:rsidP="005A2A7D">
      <w:pPr>
        <w:rPr>
          <w:b/>
          <w:bCs/>
          <w:lang w:eastAsia="en-AU"/>
        </w:rPr>
      </w:pPr>
    </w:p>
    <w:p w14:paraId="7188650E" w14:textId="10359387" w:rsidR="005A2A7D" w:rsidRPr="00DC5BE2" w:rsidRDefault="005A2A7D" w:rsidP="005A2A7D">
      <w:pPr>
        <w:pStyle w:val="Catchwords"/>
      </w:pPr>
      <w:r>
        <w:t xml:space="preserve">Criminal procedure – </w:t>
      </w:r>
      <w:r w:rsidR="00C83C9F">
        <w:t>Post</w:t>
      </w:r>
      <w:r w:rsidR="00ED3350">
        <w:t>-</w:t>
      </w:r>
      <w:r w:rsidR="00C83C9F">
        <w:t xml:space="preserve">conviction petition – </w:t>
      </w:r>
      <w:r w:rsidR="00576296">
        <w:t xml:space="preserve">"Significant change in law" – </w:t>
      </w:r>
      <w:r>
        <w:t xml:space="preserve">Where petitioner found guilty of capital murder by Arizona jury and sentenced to death – Where, at trial and on direct appeal, petitioner argued that under </w:t>
      </w:r>
      <w:r w:rsidRPr="00AF4D84">
        <w:rPr>
          <w:i/>
          <w:iCs/>
        </w:rPr>
        <w:t>Simmons v South Carolina</w:t>
      </w:r>
      <w:r>
        <w:t xml:space="preserve">, 512 US 154, he should have been allowed to inform jury that life sentence in Arizona would be without parole – Where trial court and Arizona Supreme Court held Arizona's capital sentencing scheme did not trigger application of </w:t>
      </w:r>
      <w:r w:rsidRPr="00AF4D84">
        <w:rPr>
          <w:i/>
          <w:iCs/>
        </w:rPr>
        <w:t>Simmons</w:t>
      </w:r>
      <w:r>
        <w:rPr>
          <w:i/>
          <w:iCs/>
        </w:rPr>
        <w:t xml:space="preserve"> </w:t>
      </w:r>
      <w:r>
        <w:t xml:space="preserve">– Where, after Cruz's conviction became final, Supreme Court held in </w:t>
      </w:r>
      <w:r w:rsidRPr="00AF4D84">
        <w:rPr>
          <w:i/>
          <w:iCs/>
        </w:rPr>
        <w:t>Lynch v Arizona</w:t>
      </w:r>
      <w:r>
        <w:t xml:space="preserve">, 578 US 613 at 615, that it was fundamental error to conclude that </w:t>
      </w:r>
      <w:r w:rsidRPr="00AF4D84">
        <w:rPr>
          <w:i/>
          <w:iCs/>
        </w:rPr>
        <w:t>Simmons</w:t>
      </w:r>
      <w:r>
        <w:t xml:space="preserve"> "did not apply" – Where petitioner sought to raise </w:t>
      </w:r>
      <w:r w:rsidRPr="00AF4D84">
        <w:rPr>
          <w:i/>
          <w:iCs/>
        </w:rPr>
        <w:t>Simmons</w:t>
      </w:r>
      <w:r>
        <w:t xml:space="preserve"> issue again in state post</w:t>
      </w:r>
      <w:r w:rsidR="009E29A2">
        <w:t>-</w:t>
      </w:r>
      <w:r>
        <w:t xml:space="preserve">conviction petition under Arizona Rule of Criminal Procedure 32.1(g), which permits defendant to bring successive petition if significant change in law that, if applicable to defendant's case, would probably overturn defendant's judgment or sentence – Where  Arizona Supreme Court denied relief – Where US Supreme Court does not decide question of federal law in case if state court's judgment rests on state law ground </w:t>
      </w:r>
      <w:r w:rsidR="00845742">
        <w:t>i</w:t>
      </w:r>
      <w:r>
        <w:t>ndependent of federal question and adequate to support judgment (</w:t>
      </w:r>
      <w:r w:rsidRPr="00DC5BE2">
        <w:rPr>
          <w:i/>
          <w:iCs/>
        </w:rPr>
        <w:t>Coleman v Thompson</w:t>
      </w:r>
      <w:r>
        <w:t xml:space="preserve">, 501 US 722 at 729) – Whether </w:t>
      </w:r>
      <w:r w:rsidRPr="00DC5BE2">
        <w:t>Arizona Supreme Court</w:t>
      </w:r>
      <w:r>
        <w:t>'</w:t>
      </w:r>
      <w:r w:rsidRPr="00DC5BE2">
        <w:t xml:space="preserve">s holding that </w:t>
      </w:r>
      <w:r w:rsidRPr="00DC5BE2">
        <w:rPr>
          <w:i/>
          <w:iCs/>
        </w:rPr>
        <w:t>Lynch</w:t>
      </w:r>
      <w:r w:rsidRPr="00DC5BE2">
        <w:t xml:space="preserve"> was not significant change in law </w:t>
      </w:r>
      <w:r>
        <w:t xml:space="preserve">falls within exception identified in </w:t>
      </w:r>
      <w:r>
        <w:rPr>
          <w:i/>
          <w:iCs/>
        </w:rPr>
        <w:t>Coleman</w:t>
      </w:r>
      <w:r>
        <w:t xml:space="preserve">. </w:t>
      </w:r>
    </w:p>
    <w:p w14:paraId="1899CA24" w14:textId="77777777" w:rsidR="005A2A7D" w:rsidRPr="005E2809" w:rsidRDefault="005A2A7D" w:rsidP="005A2A7D">
      <w:pPr>
        <w:pStyle w:val="Catchwords"/>
      </w:pPr>
    </w:p>
    <w:p w14:paraId="5EEC8AE3" w14:textId="77777777" w:rsidR="005A2A7D" w:rsidRDefault="005A2A7D" w:rsidP="005A2A7D">
      <w:pPr>
        <w:rPr>
          <w:lang w:eastAsia="en-AU"/>
        </w:rPr>
      </w:pPr>
      <w:r>
        <w:rPr>
          <w:b/>
          <w:bCs/>
          <w:lang w:eastAsia="en-AU"/>
        </w:rPr>
        <w:t>Held (5:4):</w:t>
      </w:r>
      <w:r w:rsidRPr="00FD6C82">
        <w:rPr>
          <w:lang w:eastAsia="en-AU"/>
        </w:rPr>
        <w:t xml:space="preserve"> </w:t>
      </w:r>
      <w:r>
        <w:rPr>
          <w:lang w:eastAsia="en-AU"/>
        </w:rPr>
        <w:t xml:space="preserve">Decision of the Supreme Court of Arizona vacated and remanded.  </w:t>
      </w:r>
    </w:p>
    <w:p w14:paraId="2EF8F664" w14:textId="77777777" w:rsidR="00264C7B" w:rsidRDefault="00264C7B" w:rsidP="00E60AB0">
      <w:pPr>
        <w:pStyle w:val="BullDivider2"/>
      </w:pPr>
    </w:p>
    <w:p w14:paraId="073612F2" w14:textId="77777777" w:rsidR="00E60AB0" w:rsidRPr="00E60AB0" w:rsidRDefault="00E60AB0" w:rsidP="00E60AB0">
      <w:pPr>
        <w:rPr>
          <w:lang w:eastAsia="en-AU"/>
        </w:rPr>
      </w:pPr>
    </w:p>
    <w:p w14:paraId="6E576BDD" w14:textId="636362C5" w:rsidR="00EF075F" w:rsidRDefault="00EF075F" w:rsidP="00EF075F">
      <w:pPr>
        <w:pStyle w:val="Heading1"/>
      </w:pPr>
      <w:r>
        <w:t xml:space="preserve">Discrimination </w:t>
      </w:r>
    </w:p>
    <w:p w14:paraId="2AD1E3F0" w14:textId="77777777" w:rsidR="00EF075F" w:rsidRDefault="00EF075F" w:rsidP="00EF075F">
      <w:pPr>
        <w:rPr>
          <w:lang w:eastAsia="en-AU"/>
        </w:rPr>
      </w:pPr>
    </w:p>
    <w:p w14:paraId="51224255" w14:textId="2FE95F47" w:rsidR="00EF075F" w:rsidRPr="009A0DD2" w:rsidRDefault="00380A86" w:rsidP="00380A86">
      <w:pPr>
        <w:pStyle w:val="Heading2"/>
      </w:pPr>
      <w:r w:rsidRPr="009A0DD2">
        <w:t>McCue (as guardian for Andrew McCue) v Glasgow City Council</w:t>
      </w:r>
    </w:p>
    <w:p w14:paraId="2A57900C" w14:textId="560B842E" w:rsidR="00EF075F" w:rsidRPr="009A0DD2" w:rsidRDefault="00EF075F" w:rsidP="00EF075F">
      <w:pPr>
        <w:rPr>
          <w:lang w:eastAsia="en-AU"/>
        </w:rPr>
      </w:pPr>
      <w:r w:rsidRPr="009A0DD2">
        <w:rPr>
          <w:b/>
          <w:bCs/>
          <w:lang w:eastAsia="en-AU"/>
        </w:rPr>
        <w:t xml:space="preserve">Supreme Court of </w:t>
      </w:r>
      <w:r w:rsidR="00D60274" w:rsidRPr="009A0DD2">
        <w:rPr>
          <w:b/>
          <w:bCs/>
          <w:lang w:eastAsia="en-AU"/>
        </w:rPr>
        <w:t>the United Kingdom</w:t>
      </w:r>
      <w:r w:rsidRPr="009A0DD2">
        <w:rPr>
          <w:b/>
          <w:bCs/>
          <w:lang w:eastAsia="en-AU"/>
        </w:rPr>
        <w:t xml:space="preserve">: </w:t>
      </w:r>
      <w:hyperlink r:id="rId20" w:history="1">
        <w:r w:rsidR="00D60274" w:rsidRPr="009A0DD2">
          <w:rPr>
            <w:rStyle w:val="Hyperlink"/>
            <w:lang w:eastAsia="en-AU"/>
          </w:rPr>
          <w:t>[2023] UKSC 1</w:t>
        </w:r>
      </w:hyperlink>
    </w:p>
    <w:p w14:paraId="7C3DD5AD" w14:textId="77777777" w:rsidR="00EF075F" w:rsidRPr="009A0DD2" w:rsidRDefault="00EF075F" w:rsidP="00EF075F">
      <w:pPr>
        <w:rPr>
          <w:lang w:eastAsia="en-AU"/>
        </w:rPr>
      </w:pPr>
    </w:p>
    <w:p w14:paraId="6B3B4C53" w14:textId="53967BAF" w:rsidR="00EF075F" w:rsidRPr="009A0DD2" w:rsidRDefault="00EF075F" w:rsidP="00EF075F">
      <w:pPr>
        <w:rPr>
          <w:lang w:eastAsia="en-AU"/>
        </w:rPr>
      </w:pPr>
      <w:r w:rsidRPr="009A0DD2">
        <w:rPr>
          <w:b/>
          <w:bCs/>
          <w:lang w:eastAsia="en-AU"/>
        </w:rPr>
        <w:t xml:space="preserve">Reasons delivered: </w:t>
      </w:r>
      <w:r w:rsidR="00A60532" w:rsidRPr="009A0DD2">
        <w:rPr>
          <w:lang w:eastAsia="en-AU"/>
        </w:rPr>
        <w:t>11 January</w:t>
      </w:r>
      <w:r w:rsidRPr="009A0DD2">
        <w:rPr>
          <w:lang w:eastAsia="en-AU"/>
        </w:rPr>
        <w:t xml:space="preserve"> 2023</w:t>
      </w:r>
    </w:p>
    <w:p w14:paraId="5CEBFD5E" w14:textId="77777777" w:rsidR="00EF075F" w:rsidRPr="009A0DD2" w:rsidRDefault="00EF075F" w:rsidP="00EF075F">
      <w:pPr>
        <w:rPr>
          <w:b/>
          <w:bCs/>
          <w:lang w:eastAsia="en-AU"/>
        </w:rPr>
      </w:pPr>
    </w:p>
    <w:p w14:paraId="6463EAAB" w14:textId="548B4803" w:rsidR="00EF075F" w:rsidRPr="009A0DD2" w:rsidRDefault="00EF075F" w:rsidP="00EF075F">
      <w:pPr>
        <w:rPr>
          <w:lang w:eastAsia="en-AU"/>
        </w:rPr>
      </w:pPr>
      <w:r w:rsidRPr="009A0DD2">
        <w:rPr>
          <w:b/>
          <w:bCs/>
          <w:lang w:eastAsia="en-AU"/>
        </w:rPr>
        <w:t>Coram:</w:t>
      </w:r>
      <w:r w:rsidRPr="009A0DD2">
        <w:t xml:space="preserve"> </w:t>
      </w:r>
      <w:r w:rsidR="00A60532" w:rsidRPr="009A0DD2">
        <w:rPr>
          <w:lang w:eastAsia="en-AU"/>
        </w:rPr>
        <w:t>Lord Reed, Lord Lloyd-Jones, Lord Sales, Lord Burrows and Lord Stephens</w:t>
      </w:r>
    </w:p>
    <w:p w14:paraId="682E950F" w14:textId="77777777" w:rsidR="00EF075F" w:rsidRPr="009A0DD2" w:rsidRDefault="00EF075F" w:rsidP="00EF075F">
      <w:pPr>
        <w:rPr>
          <w:b/>
          <w:bCs/>
          <w:lang w:eastAsia="en-AU"/>
        </w:rPr>
      </w:pPr>
    </w:p>
    <w:p w14:paraId="5E1952B7" w14:textId="77777777" w:rsidR="00EF075F" w:rsidRPr="009A0DD2" w:rsidRDefault="00EF075F" w:rsidP="00EF075F">
      <w:pPr>
        <w:rPr>
          <w:b/>
          <w:bCs/>
          <w:lang w:eastAsia="en-AU"/>
        </w:rPr>
      </w:pPr>
      <w:r w:rsidRPr="009A0DD2">
        <w:rPr>
          <w:b/>
          <w:bCs/>
          <w:lang w:eastAsia="en-AU"/>
        </w:rPr>
        <w:t>Catchwords:</w:t>
      </w:r>
    </w:p>
    <w:p w14:paraId="0C871066" w14:textId="77777777" w:rsidR="00EF075F" w:rsidRPr="009A0DD2" w:rsidRDefault="00EF075F" w:rsidP="00EF075F">
      <w:pPr>
        <w:rPr>
          <w:b/>
          <w:bCs/>
          <w:lang w:eastAsia="en-AU"/>
        </w:rPr>
      </w:pPr>
    </w:p>
    <w:p w14:paraId="348CCB55" w14:textId="1CEDDEC3" w:rsidR="00EF075F" w:rsidRPr="004B4F9D" w:rsidRDefault="00A60532" w:rsidP="006F7B2F">
      <w:pPr>
        <w:pStyle w:val="Catchwords"/>
      </w:pPr>
      <w:r w:rsidRPr="009A0DD2">
        <w:t xml:space="preserve">Discrimination – Disability </w:t>
      </w:r>
      <w:r w:rsidR="002E79F4" w:rsidRPr="009A0DD2">
        <w:t>–</w:t>
      </w:r>
      <w:r w:rsidRPr="009A0DD2">
        <w:t xml:space="preserve"> </w:t>
      </w:r>
      <w:r w:rsidR="002E79F4" w:rsidRPr="009A0DD2">
        <w:rPr>
          <w:i/>
          <w:iCs/>
        </w:rPr>
        <w:t>Equality Act 2010</w:t>
      </w:r>
      <w:r w:rsidR="007919BC" w:rsidRPr="009A0DD2">
        <w:t xml:space="preserve"> (UK) – Where appellant </w:t>
      </w:r>
      <w:r w:rsidR="007630DD" w:rsidRPr="009A0DD2">
        <w:t>guardian for her son</w:t>
      </w:r>
      <w:r w:rsidR="00690A0C" w:rsidRPr="009A0DD2">
        <w:t xml:space="preserve"> (</w:t>
      </w:r>
      <w:r w:rsidR="008E23B4">
        <w:t>"</w:t>
      </w:r>
      <w:r w:rsidR="00690A0C" w:rsidRPr="009A0DD2">
        <w:t>Mr McCue</w:t>
      </w:r>
      <w:r w:rsidR="008E23B4">
        <w:t>"</w:t>
      </w:r>
      <w:r w:rsidR="00690A0C" w:rsidRPr="009A0DD2">
        <w:t>)</w:t>
      </w:r>
      <w:r w:rsidR="007630DD" w:rsidRPr="009A0DD2">
        <w:t xml:space="preserve"> who has Down</w:t>
      </w:r>
      <w:r w:rsidR="008E23B4">
        <w:t>'</w:t>
      </w:r>
      <w:r w:rsidR="007630DD" w:rsidRPr="009A0DD2">
        <w:t xml:space="preserve">s Syndrome and </w:t>
      </w:r>
      <w:r w:rsidR="00690A0C" w:rsidRPr="009A0DD2">
        <w:t xml:space="preserve">disabled </w:t>
      </w:r>
      <w:r w:rsidR="00690A0C" w:rsidRPr="009A0DD2">
        <w:lastRenderedPageBreak/>
        <w:t xml:space="preserve">within meaning of s 6 of </w:t>
      </w:r>
      <w:r w:rsidR="00690A0C" w:rsidRPr="009A0DD2">
        <w:rPr>
          <w:i/>
          <w:iCs/>
        </w:rPr>
        <w:t>Equality Act</w:t>
      </w:r>
      <w:r w:rsidR="00690A0C" w:rsidRPr="009A0DD2">
        <w:t xml:space="preserve"> – Where </w:t>
      </w:r>
      <w:r w:rsidR="003762F2" w:rsidRPr="009A0DD2">
        <w:t>Mr McCue</w:t>
      </w:r>
      <w:r w:rsidR="008E23B4">
        <w:t>'</w:t>
      </w:r>
      <w:r w:rsidR="003762F2" w:rsidRPr="009A0DD2">
        <w:t>s disability results in him being provided with community care services by respondent</w:t>
      </w:r>
      <w:r w:rsidR="00CF1D99" w:rsidRPr="009A0DD2">
        <w:t xml:space="preserve"> pursuant to </w:t>
      </w:r>
      <w:r w:rsidR="00CF1D99" w:rsidRPr="009A0DD2">
        <w:rPr>
          <w:i/>
          <w:iCs/>
        </w:rPr>
        <w:t>Social Work (Scotland) Act 1968</w:t>
      </w:r>
      <w:r w:rsidR="00CF1D99" w:rsidRPr="009A0DD2">
        <w:t xml:space="preserve"> </w:t>
      </w:r>
      <w:r w:rsidR="00CB27FD" w:rsidRPr="009A0DD2">
        <w:t>(</w:t>
      </w:r>
      <w:r w:rsidR="008E23B4">
        <w:t>"</w:t>
      </w:r>
      <w:r w:rsidR="00CB27FD" w:rsidRPr="009A0DD2">
        <w:t>1968</w:t>
      </w:r>
      <w:r w:rsidR="00CB27FD">
        <w:t xml:space="preserve"> Act</w:t>
      </w:r>
      <w:r w:rsidR="008E23B4">
        <w:t>"</w:t>
      </w:r>
      <w:r w:rsidR="00CB27FD">
        <w:t xml:space="preserve">) </w:t>
      </w:r>
      <w:r w:rsidR="00B810A4">
        <w:t>–</w:t>
      </w:r>
      <w:r w:rsidR="00CB27FD">
        <w:t xml:space="preserve"> </w:t>
      </w:r>
      <w:r w:rsidR="00B810A4">
        <w:t>Where s 12(4) of 1968</w:t>
      </w:r>
      <w:r w:rsidR="007D1AD6">
        <w:t xml:space="preserve"> Act</w:t>
      </w:r>
      <w:r w:rsidR="00B810A4">
        <w:t xml:space="preserve"> provides assistance may be given unconditionally or subject to conditions </w:t>
      </w:r>
      <w:r w:rsidR="0003628B">
        <w:t xml:space="preserve">as </w:t>
      </w:r>
      <w:r w:rsidR="00723E2A">
        <w:t xml:space="preserve">to repayment </w:t>
      </w:r>
      <w:r w:rsidR="004614A8">
        <w:t xml:space="preserve">of assistance as </w:t>
      </w:r>
      <w:r w:rsidR="0003628B">
        <w:t xml:space="preserve">local authority may consider reasonable </w:t>
      </w:r>
      <w:r w:rsidR="004B4F9D">
        <w:t>–</w:t>
      </w:r>
      <w:r w:rsidR="0003628B">
        <w:t xml:space="preserve"> </w:t>
      </w:r>
      <w:r w:rsidR="004B4F9D">
        <w:t xml:space="preserve">Where s </w:t>
      </w:r>
      <w:r w:rsidR="00A6488D">
        <w:t>15</w:t>
      </w:r>
      <w:r w:rsidR="004B4F9D">
        <w:t xml:space="preserve"> of </w:t>
      </w:r>
      <w:r w:rsidR="004B4F9D">
        <w:rPr>
          <w:i/>
          <w:iCs/>
        </w:rPr>
        <w:t>Equality Act</w:t>
      </w:r>
      <w:r w:rsidR="004B4F9D">
        <w:t xml:space="preserve"> provides </w:t>
      </w:r>
      <w:r w:rsidR="00A6488D">
        <w:t xml:space="preserve">person discriminates against disabled person if </w:t>
      </w:r>
      <w:r w:rsidR="00363DC0">
        <w:t>they treat person unfavourably because of disability and cannot demonstrate treatment is proportionate means of achieving legitimate aim</w:t>
      </w:r>
      <w:r w:rsidR="009257FC">
        <w:t xml:space="preserve"> </w:t>
      </w:r>
      <w:r w:rsidR="00363DC0">
        <w:t xml:space="preserve">– Where </w:t>
      </w:r>
      <w:r w:rsidR="007C3ED0">
        <w:t xml:space="preserve">s 20 of </w:t>
      </w:r>
      <w:r w:rsidR="007C3ED0">
        <w:rPr>
          <w:i/>
          <w:iCs/>
        </w:rPr>
        <w:t>Equality Act</w:t>
      </w:r>
      <w:r w:rsidR="007C3ED0">
        <w:t xml:space="preserve"> imposes duty to make adjustments </w:t>
      </w:r>
      <w:r w:rsidR="001874DC">
        <w:t>–</w:t>
      </w:r>
      <w:r w:rsidR="007C3ED0">
        <w:t xml:space="preserve"> </w:t>
      </w:r>
      <w:r w:rsidR="001874DC">
        <w:t xml:space="preserve">Where </w:t>
      </w:r>
      <w:r w:rsidR="00980D3B">
        <w:t>respondent</w:t>
      </w:r>
      <w:r w:rsidR="006F7B2F">
        <w:t xml:space="preserve"> Council</w:t>
      </w:r>
      <w:r w:rsidR="008E23B4">
        <w:t>'</w:t>
      </w:r>
      <w:r w:rsidR="00980D3B">
        <w:t xml:space="preserve">s policy document provides that consideration will be given to representations to take into account </w:t>
      </w:r>
      <w:r w:rsidR="003432FB">
        <w:t xml:space="preserve">specific </w:t>
      </w:r>
      <w:r w:rsidR="00192EBD">
        <w:t xml:space="preserve">costs in relation to disability related expenditure, with effect that </w:t>
      </w:r>
      <w:r w:rsidR="00EE69AC">
        <w:t xml:space="preserve">it is left to judgment of relevant Council officials whether </w:t>
      </w:r>
      <w:r w:rsidR="00336B41">
        <w:t xml:space="preserve">any particular item of expenditure claimed to be disability related expenditure is of character and amount </w:t>
      </w:r>
      <w:r w:rsidR="00650180">
        <w:t>so as to affect what is reasonably practicable for</w:t>
      </w:r>
      <w:r w:rsidR="00337D42">
        <w:t xml:space="preserve"> </w:t>
      </w:r>
      <w:r w:rsidR="001029B9">
        <w:t>individual</w:t>
      </w:r>
      <w:r w:rsidR="00650180">
        <w:t xml:space="preserve"> to pay for </w:t>
      </w:r>
      <w:r w:rsidR="001029B9">
        <w:t>service</w:t>
      </w:r>
      <w:r w:rsidR="006F7B2F">
        <w:t xml:space="preserve"> – Where appellant made representations to Council on Mr McCue</w:t>
      </w:r>
      <w:r w:rsidR="008E23B4">
        <w:t>'</w:t>
      </w:r>
      <w:r w:rsidR="006F7B2F">
        <w:t>s behalf that he bears various items of disability related expenditure which ought to be brought into account by Council when assessing amount for which he</w:t>
      </w:r>
      <w:r w:rsidR="0030466D">
        <w:t xml:space="preserve"> </w:t>
      </w:r>
      <w:r w:rsidR="006F7B2F">
        <w:t>is charged for provision of services</w:t>
      </w:r>
      <w:r w:rsidR="0030466D">
        <w:t>, but representations largely unsuccessful</w:t>
      </w:r>
      <w:r w:rsidR="006D3094">
        <w:t xml:space="preserve"> – Whether Council</w:t>
      </w:r>
      <w:r w:rsidR="008E23B4">
        <w:t>'</w:t>
      </w:r>
      <w:r w:rsidR="006D3094">
        <w:t xml:space="preserve">s policy discriminatory. </w:t>
      </w:r>
      <w:r w:rsidR="0030466D">
        <w:t xml:space="preserve"> </w:t>
      </w:r>
      <w:r w:rsidR="001029B9">
        <w:t xml:space="preserve"> </w:t>
      </w:r>
    </w:p>
    <w:p w14:paraId="18615126" w14:textId="77777777" w:rsidR="00EF075F" w:rsidRPr="005E2809" w:rsidRDefault="00EF075F" w:rsidP="00EF075F">
      <w:pPr>
        <w:pStyle w:val="Catchwords"/>
      </w:pPr>
    </w:p>
    <w:p w14:paraId="6872ED67" w14:textId="67C9F47D" w:rsidR="00EF075F" w:rsidRDefault="00EF075F" w:rsidP="00EF075F">
      <w:pPr>
        <w:rPr>
          <w:lang w:eastAsia="en-AU"/>
        </w:rPr>
      </w:pPr>
      <w:r>
        <w:rPr>
          <w:b/>
          <w:bCs/>
          <w:lang w:eastAsia="en-AU"/>
        </w:rPr>
        <w:t>Held (</w:t>
      </w:r>
      <w:r w:rsidR="00846297">
        <w:rPr>
          <w:b/>
          <w:bCs/>
          <w:lang w:eastAsia="en-AU"/>
        </w:rPr>
        <w:t>5</w:t>
      </w:r>
      <w:r>
        <w:rPr>
          <w:b/>
          <w:bCs/>
          <w:lang w:eastAsia="en-AU"/>
        </w:rPr>
        <w:t>:</w:t>
      </w:r>
      <w:r w:rsidR="00846297">
        <w:rPr>
          <w:b/>
          <w:bCs/>
          <w:lang w:eastAsia="en-AU"/>
        </w:rPr>
        <w:t>0</w:t>
      </w:r>
      <w:r>
        <w:rPr>
          <w:b/>
          <w:bCs/>
          <w:lang w:eastAsia="en-AU"/>
        </w:rPr>
        <w:t>):</w:t>
      </w:r>
      <w:r w:rsidRPr="00FD6C82">
        <w:rPr>
          <w:lang w:eastAsia="en-AU"/>
        </w:rPr>
        <w:t xml:space="preserve"> </w:t>
      </w:r>
      <w:r>
        <w:rPr>
          <w:lang w:eastAsia="en-AU"/>
        </w:rPr>
        <w:t xml:space="preserve">Appeal </w:t>
      </w:r>
      <w:r w:rsidR="00846297">
        <w:rPr>
          <w:lang w:eastAsia="en-AU"/>
        </w:rPr>
        <w:t>dismissed</w:t>
      </w:r>
      <w:r>
        <w:rPr>
          <w:lang w:eastAsia="en-AU"/>
        </w:rPr>
        <w:t xml:space="preserve">.   </w:t>
      </w:r>
    </w:p>
    <w:p w14:paraId="1C0A7704" w14:textId="26272E72" w:rsidR="00EF075F" w:rsidRDefault="00EF075F" w:rsidP="000F1D59">
      <w:pPr>
        <w:pStyle w:val="BullDivider2"/>
      </w:pPr>
    </w:p>
    <w:p w14:paraId="23559D1A" w14:textId="77777777" w:rsidR="00F97AB1" w:rsidRDefault="00F97AB1" w:rsidP="00F97AB1">
      <w:pPr>
        <w:rPr>
          <w:lang w:eastAsia="en-AU"/>
        </w:rPr>
      </w:pPr>
    </w:p>
    <w:p w14:paraId="2678A3B9" w14:textId="4AC87F01" w:rsidR="00F97AB1" w:rsidRDefault="00F97AB1" w:rsidP="00F97AB1">
      <w:pPr>
        <w:pStyle w:val="Heading1"/>
      </w:pPr>
      <w:r>
        <w:t>Evidence</w:t>
      </w:r>
    </w:p>
    <w:p w14:paraId="7D2DA94D" w14:textId="77777777" w:rsidR="00F97AB1" w:rsidRDefault="00F97AB1" w:rsidP="00F97AB1">
      <w:pPr>
        <w:rPr>
          <w:lang w:eastAsia="en-AU"/>
        </w:rPr>
      </w:pPr>
    </w:p>
    <w:p w14:paraId="5BC4D88C" w14:textId="176281A9" w:rsidR="00F97AB1" w:rsidRPr="009A0DD2" w:rsidRDefault="00F97AB1" w:rsidP="00F97AB1">
      <w:pPr>
        <w:pStyle w:val="Heading2"/>
      </w:pPr>
      <w:r w:rsidRPr="009A0DD2">
        <w:t>Kapa v S</w:t>
      </w:r>
    </w:p>
    <w:p w14:paraId="29B44A27" w14:textId="661D8921" w:rsidR="00F97AB1" w:rsidRPr="009A0DD2" w:rsidRDefault="00F97AB1" w:rsidP="00F97AB1">
      <w:pPr>
        <w:rPr>
          <w:lang w:eastAsia="en-AU"/>
        </w:rPr>
      </w:pPr>
      <w:r w:rsidRPr="009A0DD2">
        <w:rPr>
          <w:b/>
          <w:bCs/>
          <w:lang w:eastAsia="en-AU"/>
        </w:rPr>
        <w:t xml:space="preserve">Constitutional Court of South Africa: </w:t>
      </w:r>
      <w:hyperlink r:id="rId21" w:history="1">
        <w:r w:rsidR="00B75CAB" w:rsidRPr="009A0DD2">
          <w:rPr>
            <w:rStyle w:val="Hyperlink"/>
            <w:lang w:eastAsia="en-AU"/>
          </w:rPr>
          <w:t>[2023] ZACC 1</w:t>
        </w:r>
      </w:hyperlink>
    </w:p>
    <w:p w14:paraId="048D851A" w14:textId="77777777" w:rsidR="00F97AB1" w:rsidRPr="009A0DD2" w:rsidRDefault="00F97AB1" w:rsidP="00F97AB1">
      <w:pPr>
        <w:rPr>
          <w:lang w:eastAsia="en-AU"/>
        </w:rPr>
      </w:pPr>
    </w:p>
    <w:p w14:paraId="4437DC22" w14:textId="7FAB4053" w:rsidR="00F97AB1" w:rsidRPr="00DB68FF" w:rsidRDefault="00F97AB1" w:rsidP="00F97AB1">
      <w:pPr>
        <w:rPr>
          <w:lang w:eastAsia="en-AU"/>
        </w:rPr>
      </w:pPr>
      <w:r w:rsidRPr="009A0DD2">
        <w:rPr>
          <w:b/>
          <w:bCs/>
          <w:lang w:eastAsia="en-AU"/>
        </w:rPr>
        <w:t xml:space="preserve">Reasons delivered: </w:t>
      </w:r>
      <w:r w:rsidR="00087C56" w:rsidRPr="009A0DD2">
        <w:rPr>
          <w:lang w:eastAsia="en-AU"/>
        </w:rPr>
        <w:t>24</w:t>
      </w:r>
      <w:r w:rsidRPr="009A0DD2">
        <w:rPr>
          <w:lang w:eastAsia="en-AU"/>
        </w:rPr>
        <w:t xml:space="preserve"> January 2023</w:t>
      </w:r>
    </w:p>
    <w:p w14:paraId="2E04EC34" w14:textId="77777777" w:rsidR="00F97AB1" w:rsidRDefault="00F97AB1" w:rsidP="00F97AB1">
      <w:pPr>
        <w:rPr>
          <w:b/>
          <w:bCs/>
          <w:lang w:eastAsia="en-AU"/>
        </w:rPr>
      </w:pPr>
    </w:p>
    <w:p w14:paraId="0DE6574B" w14:textId="725AF338" w:rsidR="00F97AB1" w:rsidRPr="00DB68FF" w:rsidRDefault="00F97AB1" w:rsidP="00F97AB1">
      <w:pPr>
        <w:rPr>
          <w:lang w:eastAsia="en-AU"/>
        </w:rPr>
      </w:pPr>
      <w:r>
        <w:rPr>
          <w:b/>
          <w:bCs/>
          <w:lang w:eastAsia="en-AU"/>
        </w:rPr>
        <w:t>Coram:</w:t>
      </w:r>
      <w:r w:rsidRPr="00DB68FF">
        <w:t xml:space="preserve"> </w:t>
      </w:r>
      <w:proofErr w:type="spellStart"/>
      <w:r w:rsidR="006A4746" w:rsidRPr="006A4746">
        <w:t>Baqwa</w:t>
      </w:r>
      <w:proofErr w:type="spellEnd"/>
      <w:r w:rsidR="006A4746" w:rsidRPr="006A4746">
        <w:t xml:space="preserve"> AJ, </w:t>
      </w:r>
      <w:proofErr w:type="spellStart"/>
      <w:r w:rsidR="006A4746" w:rsidRPr="006A4746">
        <w:t>Kollapen</w:t>
      </w:r>
      <w:proofErr w:type="spellEnd"/>
      <w:r w:rsidR="006A4746" w:rsidRPr="006A4746">
        <w:t xml:space="preserve">, </w:t>
      </w:r>
      <w:proofErr w:type="spellStart"/>
      <w:r w:rsidR="006A4746" w:rsidRPr="006A4746">
        <w:t>Madlanga</w:t>
      </w:r>
      <w:proofErr w:type="spellEnd"/>
      <w:r w:rsidR="006A4746" w:rsidRPr="006A4746">
        <w:t xml:space="preserve">, </w:t>
      </w:r>
      <w:proofErr w:type="spellStart"/>
      <w:r w:rsidR="006A4746" w:rsidRPr="006A4746">
        <w:t>Majiedt</w:t>
      </w:r>
      <w:proofErr w:type="spellEnd"/>
      <w:r w:rsidR="006A4746" w:rsidRPr="006A4746">
        <w:t xml:space="preserve">, </w:t>
      </w:r>
      <w:proofErr w:type="spellStart"/>
      <w:r w:rsidR="006A4746" w:rsidRPr="006A4746">
        <w:t>Mathopo</w:t>
      </w:r>
      <w:proofErr w:type="spellEnd"/>
      <w:r w:rsidR="006A4746" w:rsidRPr="006A4746">
        <w:t xml:space="preserve"> J</w:t>
      </w:r>
      <w:r w:rsidR="006A4746">
        <w:t>J</w:t>
      </w:r>
      <w:r w:rsidR="006A4746" w:rsidRPr="006A4746">
        <w:t>, Mbatha AJ, Mhlantla, Rogers and Tshiqi J</w:t>
      </w:r>
      <w:r w:rsidR="006A4746">
        <w:t>J</w:t>
      </w:r>
    </w:p>
    <w:p w14:paraId="58AF87E6" w14:textId="77777777" w:rsidR="00F97AB1" w:rsidRDefault="00F97AB1" w:rsidP="00F97AB1">
      <w:pPr>
        <w:rPr>
          <w:b/>
          <w:bCs/>
          <w:lang w:eastAsia="en-AU"/>
        </w:rPr>
      </w:pPr>
    </w:p>
    <w:p w14:paraId="60FD7079" w14:textId="77777777" w:rsidR="00F97AB1" w:rsidRDefault="00F97AB1" w:rsidP="00F97AB1">
      <w:pPr>
        <w:rPr>
          <w:b/>
          <w:bCs/>
          <w:lang w:eastAsia="en-AU"/>
        </w:rPr>
      </w:pPr>
      <w:r>
        <w:rPr>
          <w:b/>
          <w:bCs/>
          <w:lang w:eastAsia="en-AU"/>
        </w:rPr>
        <w:t>Catchwords:</w:t>
      </w:r>
    </w:p>
    <w:p w14:paraId="75D0BDB3" w14:textId="77777777" w:rsidR="00F97AB1" w:rsidRDefault="00F97AB1" w:rsidP="00F97AB1">
      <w:pPr>
        <w:rPr>
          <w:b/>
          <w:bCs/>
          <w:lang w:eastAsia="en-AU"/>
        </w:rPr>
      </w:pPr>
    </w:p>
    <w:p w14:paraId="640A83DF" w14:textId="381199B5" w:rsidR="00F97AB1" w:rsidRPr="004B4F9D" w:rsidRDefault="00087C56" w:rsidP="00F97AB1">
      <w:pPr>
        <w:pStyle w:val="Catchwords"/>
      </w:pPr>
      <w:r>
        <w:t>Evidence</w:t>
      </w:r>
      <w:r w:rsidR="00F97AB1">
        <w:t xml:space="preserve"> </w:t>
      </w:r>
      <w:r w:rsidR="006A4746">
        <w:t>–</w:t>
      </w:r>
      <w:r w:rsidR="00845742">
        <w:t xml:space="preserve"> H</w:t>
      </w:r>
      <w:r w:rsidR="006A4746">
        <w:t xml:space="preserve">earsay </w:t>
      </w:r>
      <w:r w:rsidR="00B45D34">
        <w:t xml:space="preserve">– Where </w:t>
      </w:r>
      <w:r w:rsidR="00B35E46">
        <w:t xml:space="preserve">applicant convicted of murder – Where </w:t>
      </w:r>
      <w:r w:rsidR="00BD531D">
        <w:t>s 3(1)</w:t>
      </w:r>
      <w:r w:rsidR="009569F6">
        <w:t>(c)</w:t>
      </w:r>
      <w:r w:rsidR="00BD531D">
        <w:t xml:space="preserve"> of </w:t>
      </w:r>
      <w:r w:rsidR="00BD531D">
        <w:rPr>
          <w:i/>
          <w:iCs/>
        </w:rPr>
        <w:t>Law of Evidence Amendment Act</w:t>
      </w:r>
      <w:r w:rsidR="00276172">
        <w:rPr>
          <w:i/>
          <w:iCs/>
        </w:rPr>
        <w:t xml:space="preserve"> 45 of 1988</w:t>
      </w:r>
      <w:r w:rsidR="00276172">
        <w:t xml:space="preserve"> </w:t>
      </w:r>
      <w:r w:rsidR="00BD5FA6">
        <w:t>(</w:t>
      </w:r>
      <w:r w:rsidR="008E23B4">
        <w:t>"</w:t>
      </w:r>
      <w:r w:rsidR="00BD5FA6">
        <w:t>Hearsay Act</w:t>
      </w:r>
      <w:r w:rsidR="008E23B4">
        <w:t>"</w:t>
      </w:r>
      <w:r w:rsidR="00BD5FA6">
        <w:t xml:space="preserve">) </w:t>
      </w:r>
      <w:r w:rsidR="001C5DEB">
        <w:t xml:space="preserve">provides court </w:t>
      </w:r>
      <w:r w:rsidR="007B3643">
        <w:t xml:space="preserve">may admit hearsay evidence, with regard to certain considerations, where </w:t>
      </w:r>
      <w:r w:rsidR="00171005">
        <w:t>court</w:t>
      </w:r>
      <w:r w:rsidR="00D85156">
        <w:t xml:space="preserve"> of opinion evidence should be admitted in interests of justice – Where </w:t>
      </w:r>
      <w:r w:rsidR="007012B8">
        <w:t xml:space="preserve">High Court admitted statement of Ms </w:t>
      </w:r>
      <w:proofErr w:type="spellStart"/>
      <w:r w:rsidR="007012B8">
        <w:t>Dasi</w:t>
      </w:r>
      <w:proofErr w:type="spellEnd"/>
      <w:r w:rsidR="007012B8">
        <w:t xml:space="preserve"> who died before applicant</w:t>
      </w:r>
      <w:r w:rsidR="008E23B4">
        <w:t>'</w:t>
      </w:r>
      <w:r w:rsidR="007012B8">
        <w:t xml:space="preserve">s trial </w:t>
      </w:r>
      <w:r w:rsidR="009270B5">
        <w:t>–</w:t>
      </w:r>
      <w:r w:rsidR="007012B8">
        <w:t xml:space="preserve"> </w:t>
      </w:r>
      <w:r w:rsidR="003B3003">
        <w:t xml:space="preserve">Where applicant sought leave to appeal against conviction and sentence – </w:t>
      </w:r>
      <w:r w:rsidR="009270B5">
        <w:t xml:space="preserve">Whether in interests of justice for condonation for late filing of application to be granted </w:t>
      </w:r>
      <w:r w:rsidR="0078023B">
        <w:t xml:space="preserve">– Whether </w:t>
      </w:r>
      <w:r w:rsidR="008D4CD5">
        <w:t xml:space="preserve">in </w:t>
      </w:r>
      <w:r w:rsidR="008D4CD5" w:rsidRPr="008D4CD5">
        <w:t xml:space="preserve">interests of justice to admit hearsay evidence </w:t>
      </w:r>
      <w:r w:rsidR="008D4CD5">
        <w:t>in terms of s</w:t>
      </w:r>
      <w:r w:rsidR="008D4CD5" w:rsidRPr="008D4CD5">
        <w:t xml:space="preserve"> 3(1)(c) of Hearsay Act</w:t>
      </w:r>
      <w:r w:rsidR="003D23F9">
        <w:t xml:space="preserve"> – Whether evidence of Ms </w:t>
      </w:r>
      <w:proofErr w:type="spellStart"/>
      <w:r w:rsidR="003D23F9">
        <w:t>Dasi</w:t>
      </w:r>
      <w:proofErr w:type="spellEnd"/>
      <w:r w:rsidR="003D23F9">
        <w:t xml:space="preserve"> had sufficient probative value</w:t>
      </w:r>
      <w:r w:rsidR="00BD5FA6">
        <w:t>.</w:t>
      </w:r>
      <w:r w:rsidR="00F97AB1">
        <w:t xml:space="preserve"> </w:t>
      </w:r>
    </w:p>
    <w:p w14:paraId="0271E7FE" w14:textId="77777777" w:rsidR="00F97AB1" w:rsidRPr="005E2809" w:rsidRDefault="00F97AB1" w:rsidP="00F97AB1">
      <w:pPr>
        <w:pStyle w:val="Catchwords"/>
      </w:pPr>
    </w:p>
    <w:p w14:paraId="66DDB6EA" w14:textId="1E0C3169" w:rsidR="00F97AB1" w:rsidRDefault="00F97AB1" w:rsidP="00F97AB1">
      <w:pPr>
        <w:rPr>
          <w:lang w:eastAsia="en-AU"/>
        </w:rPr>
      </w:pPr>
      <w:r>
        <w:rPr>
          <w:b/>
          <w:bCs/>
          <w:lang w:eastAsia="en-AU"/>
        </w:rPr>
        <w:t>Held (</w:t>
      </w:r>
      <w:r w:rsidR="006A4746">
        <w:rPr>
          <w:b/>
          <w:bCs/>
          <w:lang w:eastAsia="en-AU"/>
        </w:rPr>
        <w:t>6</w:t>
      </w:r>
      <w:r>
        <w:rPr>
          <w:b/>
          <w:bCs/>
          <w:lang w:eastAsia="en-AU"/>
        </w:rPr>
        <w:t>:</w:t>
      </w:r>
      <w:r w:rsidR="006A4746">
        <w:rPr>
          <w:b/>
          <w:bCs/>
          <w:lang w:eastAsia="en-AU"/>
        </w:rPr>
        <w:t>3</w:t>
      </w:r>
      <w:r>
        <w:rPr>
          <w:b/>
          <w:bCs/>
          <w:lang w:eastAsia="en-AU"/>
        </w:rPr>
        <w:t>):</w:t>
      </w:r>
      <w:r w:rsidRPr="00FD6C82">
        <w:rPr>
          <w:lang w:eastAsia="en-AU"/>
        </w:rPr>
        <w:t xml:space="preserve"> </w:t>
      </w:r>
      <w:r w:rsidR="00087C56">
        <w:rPr>
          <w:lang w:eastAsia="en-AU"/>
        </w:rPr>
        <w:t>Condonation granted; leave to appeal granted; appeal dismissed</w:t>
      </w:r>
      <w:r>
        <w:rPr>
          <w:lang w:eastAsia="en-AU"/>
        </w:rPr>
        <w:t xml:space="preserve">.   </w:t>
      </w:r>
    </w:p>
    <w:p w14:paraId="62BF1F53" w14:textId="77777777" w:rsidR="00F97AB1" w:rsidRDefault="00F97AB1" w:rsidP="00F97AB1">
      <w:pPr>
        <w:pStyle w:val="BullDivider2"/>
      </w:pPr>
    </w:p>
    <w:p w14:paraId="482D85B5" w14:textId="77777777" w:rsidR="000F1D59" w:rsidRPr="000F1D59" w:rsidRDefault="000F1D59" w:rsidP="000F1D59">
      <w:pPr>
        <w:rPr>
          <w:lang w:eastAsia="en-AU"/>
        </w:rPr>
      </w:pPr>
    </w:p>
    <w:p w14:paraId="1EA85EEB" w14:textId="47F179B6" w:rsidR="003C1D58" w:rsidRDefault="003C1D58" w:rsidP="003C1D58">
      <w:pPr>
        <w:pStyle w:val="Heading1"/>
      </w:pPr>
      <w:r>
        <w:lastRenderedPageBreak/>
        <w:t xml:space="preserve">Industrial Law </w:t>
      </w:r>
    </w:p>
    <w:p w14:paraId="3C4E2288" w14:textId="77777777" w:rsidR="003C1D58" w:rsidRDefault="003C1D58" w:rsidP="003C1D58">
      <w:pPr>
        <w:rPr>
          <w:lang w:eastAsia="en-AU"/>
        </w:rPr>
      </w:pPr>
    </w:p>
    <w:p w14:paraId="1C8F87FC" w14:textId="6803F804" w:rsidR="003C1D58" w:rsidRDefault="003C1D58" w:rsidP="003C1D58">
      <w:pPr>
        <w:pStyle w:val="Heading2"/>
      </w:pPr>
      <w:r w:rsidRPr="003C1D58">
        <w:t>Helix Energy Solutions Group, Inc v Hewitt</w:t>
      </w:r>
    </w:p>
    <w:p w14:paraId="49609A73" w14:textId="449BDD23" w:rsidR="003C1D58" w:rsidRPr="00F77F62" w:rsidRDefault="003C1D58" w:rsidP="003C1D58">
      <w:pPr>
        <w:rPr>
          <w:lang w:eastAsia="en-AU"/>
        </w:rPr>
      </w:pPr>
      <w:r>
        <w:rPr>
          <w:b/>
          <w:bCs/>
          <w:lang w:eastAsia="en-AU"/>
        </w:rPr>
        <w:t>Supreme Court of the United States</w:t>
      </w:r>
      <w:r w:rsidRPr="006B0D58">
        <w:rPr>
          <w:b/>
          <w:bCs/>
          <w:lang w:eastAsia="en-AU"/>
        </w:rPr>
        <w:t>:</w:t>
      </w:r>
      <w:r>
        <w:rPr>
          <w:b/>
          <w:bCs/>
          <w:lang w:eastAsia="en-AU"/>
        </w:rPr>
        <w:t xml:space="preserve"> </w:t>
      </w:r>
      <w:hyperlink r:id="rId22" w:history="1">
        <w:r>
          <w:rPr>
            <w:rStyle w:val="Hyperlink"/>
            <w:lang w:eastAsia="en-AU"/>
          </w:rPr>
          <w:t>Docket No 21-984</w:t>
        </w:r>
      </w:hyperlink>
      <w:r>
        <w:rPr>
          <w:lang w:eastAsia="en-AU"/>
        </w:rPr>
        <w:t xml:space="preserve"> </w:t>
      </w:r>
    </w:p>
    <w:p w14:paraId="1A1207B2" w14:textId="77777777" w:rsidR="003C1D58" w:rsidRDefault="003C1D58" w:rsidP="003C1D58">
      <w:pPr>
        <w:rPr>
          <w:lang w:eastAsia="en-AU"/>
        </w:rPr>
      </w:pPr>
    </w:p>
    <w:p w14:paraId="40BDE9F1" w14:textId="77777777" w:rsidR="003C1D58" w:rsidRPr="00DB68FF" w:rsidRDefault="003C1D58" w:rsidP="003C1D58">
      <w:pPr>
        <w:rPr>
          <w:lang w:eastAsia="en-AU"/>
        </w:rPr>
      </w:pPr>
      <w:r>
        <w:rPr>
          <w:b/>
          <w:bCs/>
          <w:lang w:eastAsia="en-AU"/>
        </w:rPr>
        <w:t xml:space="preserve">Reasons delivered: </w:t>
      </w:r>
      <w:r>
        <w:rPr>
          <w:lang w:eastAsia="en-AU"/>
        </w:rPr>
        <w:t>22 February 2023</w:t>
      </w:r>
    </w:p>
    <w:p w14:paraId="50C497D2" w14:textId="77777777" w:rsidR="003C1D58" w:rsidRDefault="003C1D58" w:rsidP="003C1D58">
      <w:pPr>
        <w:rPr>
          <w:b/>
          <w:bCs/>
          <w:lang w:eastAsia="en-AU"/>
        </w:rPr>
      </w:pPr>
    </w:p>
    <w:p w14:paraId="210121E4" w14:textId="77777777" w:rsidR="003C1D58" w:rsidRDefault="003C1D58" w:rsidP="003C1D58">
      <w:pPr>
        <w:rPr>
          <w:lang w:eastAsia="en-AU"/>
        </w:rPr>
      </w:pPr>
      <w:r>
        <w:rPr>
          <w:b/>
          <w:bCs/>
          <w:lang w:eastAsia="en-AU"/>
        </w:rPr>
        <w:t>Coram:</w:t>
      </w:r>
      <w:r w:rsidRPr="00DB68FF">
        <w:t xml:space="preserve"> </w:t>
      </w:r>
      <w:r>
        <w:rPr>
          <w:lang w:eastAsia="en-AU"/>
        </w:rPr>
        <w:t>Roberts CJ, Thomas, Alito, Sotomayor, Kagan, Gorsuch, Kavanaugh, Barrett and Jackson JJ</w:t>
      </w:r>
    </w:p>
    <w:p w14:paraId="437DF00F" w14:textId="77777777" w:rsidR="003C1D58" w:rsidRDefault="003C1D58" w:rsidP="003C1D58">
      <w:pPr>
        <w:rPr>
          <w:b/>
          <w:bCs/>
          <w:lang w:eastAsia="en-AU"/>
        </w:rPr>
      </w:pPr>
    </w:p>
    <w:p w14:paraId="516F4D2F" w14:textId="77777777" w:rsidR="003C1D58" w:rsidRDefault="003C1D58" w:rsidP="003C1D58">
      <w:pPr>
        <w:rPr>
          <w:b/>
          <w:bCs/>
          <w:lang w:eastAsia="en-AU"/>
        </w:rPr>
      </w:pPr>
      <w:r>
        <w:rPr>
          <w:b/>
          <w:bCs/>
          <w:lang w:eastAsia="en-AU"/>
        </w:rPr>
        <w:t>Catchwords:</w:t>
      </w:r>
    </w:p>
    <w:p w14:paraId="35F0E6D5" w14:textId="77777777" w:rsidR="003C1D58" w:rsidRDefault="003C1D58" w:rsidP="003C1D58">
      <w:pPr>
        <w:rPr>
          <w:b/>
          <w:bCs/>
          <w:lang w:eastAsia="en-AU"/>
        </w:rPr>
      </w:pPr>
    </w:p>
    <w:p w14:paraId="7997A94C" w14:textId="729F12AC" w:rsidR="003C1D58" w:rsidRPr="004B4F9D" w:rsidRDefault="003C1D58" w:rsidP="00B70BB1">
      <w:pPr>
        <w:pStyle w:val="Catchwords"/>
      </w:pPr>
      <w:r>
        <w:t xml:space="preserve">Industrial law </w:t>
      </w:r>
      <w:r w:rsidR="000F1D59">
        <w:t>–</w:t>
      </w:r>
      <w:r>
        <w:t xml:space="preserve"> </w:t>
      </w:r>
      <w:r w:rsidR="000F1D59">
        <w:t xml:space="preserve">Overtime – </w:t>
      </w:r>
      <w:r w:rsidR="000F1D59" w:rsidRPr="00BC128F">
        <w:rPr>
          <w:i/>
          <w:iCs/>
        </w:rPr>
        <w:t xml:space="preserve">Fair </w:t>
      </w:r>
      <w:proofErr w:type="spellStart"/>
      <w:r w:rsidR="000F1D59" w:rsidRPr="00BC128F">
        <w:rPr>
          <w:i/>
          <w:iCs/>
        </w:rPr>
        <w:t>Labor</w:t>
      </w:r>
      <w:proofErr w:type="spellEnd"/>
      <w:r w:rsidR="000F1D59" w:rsidRPr="00BC128F">
        <w:rPr>
          <w:i/>
          <w:iCs/>
        </w:rPr>
        <w:t xml:space="preserve"> Standards Act of 1938</w:t>
      </w:r>
      <w:r w:rsidR="000F1D59">
        <w:t xml:space="preserve"> (</w:t>
      </w:r>
      <w:r w:rsidR="008E23B4">
        <w:t>"</w:t>
      </w:r>
      <w:r w:rsidR="000F1D59">
        <w:t>FLSA</w:t>
      </w:r>
      <w:r w:rsidR="008E23B4">
        <w:t>"</w:t>
      </w:r>
      <w:r w:rsidR="000F1D59">
        <w:t xml:space="preserve">) – </w:t>
      </w:r>
      <w:r w:rsidR="008E23B4">
        <w:t>"</w:t>
      </w:r>
      <w:r w:rsidR="000F1D59">
        <w:t>Bona fide executive</w:t>
      </w:r>
      <w:r w:rsidR="008E23B4">
        <w:t>"</w:t>
      </w:r>
      <w:r w:rsidR="000F1D59">
        <w:t xml:space="preserve"> standard –</w:t>
      </w:r>
      <w:r w:rsidR="00A3583A">
        <w:t xml:space="preserve"> Salary-basis test –</w:t>
      </w:r>
      <w:r w:rsidR="000F1D59">
        <w:t xml:space="preserve"> Where respondent filed action against petitioner seeking overtime pay under FLSA – Where FLSA  guarantees overtime pay to covered employees when they work more than 40 hours per week – Where respondent worked for petitioner on offshore rig from 2014 to 2017, working </w:t>
      </w:r>
      <w:r w:rsidR="000F1D59" w:rsidRPr="000F1D59">
        <w:t xml:space="preserve">84 hours </w:t>
      </w:r>
      <w:r w:rsidR="00BF5C85">
        <w:t>per</w:t>
      </w:r>
      <w:r w:rsidR="000F1D59" w:rsidRPr="000F1D59">
        <w:t xml:space="preserve"> week while on vessel</w:t>
      </w:r>
      <w:r w:rsidR="000F1D59">
        <w:t xml:space="preserve"> – Where respondent paid daily-rate with no overtime compensation and earned over $200,000 annually – Where petitioner asserted that </w:t>
      </w:r>
      <w:r w:rsidR="00802A7C">
        <w:t>respondent</w:t>
      </w:r>
      <w:r w:rsidR="000F1D59">
        <w:t xml:space="preserve"> exempt from FLSA beca</w:t>
      </w:r>
      <w:r w:rsidR="00802A7C">
        <w:t xml:space="preserve">use he qualified as </w:t>
      </w:r>
      <w:r w:rsidR="008E23B4">
        <w:t>"</w:t>
      </w:r>
      <w:r w:rsidR="00802A7C">
        <w:t>bona fide executive</w:t>
      </w:r>
      <w:r w:rsidR="008E23B4">
        <w:t>"</w:t>
      </w:r>
      <w:r w:rsidR="00802A7C">
        <w:t xml:space="preserve"> (</w:t>
      </w:r>
      <w:r w:rsidR="00802A7C" w:rsidRPr="00802A7C">
        <w:t xml:space="preserve">29 </w:t>
      </w:r>
      <w:r w:rsidR="00802A7C">
        <w:t>USC</w:t>
      </w:r>
      <w:r w:rsidR="00802A7C" w:rsidRPr="00802A7C">
        <w:t xml:space="preserve"> §213(a)(1)</w:t>
      </w:r>
      <w:r w:rsidR="00802A7C">
        <w:t xml:space="preserve">) </w:t>
      </w:r>
      <w:r w:rsidR="00031DAC">
        <w:t>–</w:t>
      </w:r>
      <w:r w:rsidR="00802A7C">
        <w:t xml:space="preserve"> </w:t>
      </w:r>
      <w:r w:rsidR="00031DAC">
        <w:t>Where employee considered bona fide executive excluded from the FLSA</w:t>
      </w:r>
      <w:r w:rsidR="008E23B4">
        <w:t>'</w:t>
      </w:r>
      <w:r w:rsidR="00031DAC">
        <w:t>s protections if employee meets three distinct tests</w:t>
      </w:r>
      <w:r w:rsidR="002F1394">
        <w:t>, including</w:t>
      </w:r>
      <w:r w:rsidR="00031DAC">
        <w:t xml:space="preserve"> </w:t>
      </w:r>
      <w:r w:rsidR="008E23B4">
        <w:t>"</w:t>
      </w:r>
      <w:r w:rsidR="00031DAC">
        <w:t>salary basis</w:t>
      </w:r>
      <w:r w:rsidR="008E23B4">
        <w:t>"</w:t>
      </w:r>
      <w:r w:rsidR="00031DAC">
        <w:t xml:space="preserve"> test, requiring employee receive predetermined and fixed salary</w:t>
      </w:r>
      <w:r w:rsidR="002F1394">
        <w:t xml:space="preserve"> </w:t>
      </w:r>
      <w:r w:rsidR="00031DAC">
        <w:t xml:space="preserve">– Where Secretary of </w:t>
      </w:r>
      <w:proofErr w:type="spellStart"/>
      <w:r w:rsidR="00031DAC">
        <w:t>Labor</w:t>
      </w:r>
      <w:proofErr w:type="spellEnd"/>
      <w:r w:rsidR="00031DAC">
        <w:t xml:space="preserve"> implemented bona fide executive standard through two separate rules, one </w:t>
      </w:r>
      <w:r w:rsidR="008E23B4">
        <w:t>"</w:t>
      </w:r>
      <w:r w:rsidR="00031DAC">
        <w:t>general rule</w:t>
      </w:r>
      <w:r w:rsidR="008E23B4">
        <w:t>"</w:t>
      </w:r>
      <w:r w:rsidR="00031DAC">
        <w:t xml:space="preserve"> applying to employees making less than</w:t>
      </w:r>
      <w:r w:rsidR="00A3583A">
        <w:t xml:space="preserve"> </w:t>
      </w:r>
      <w:r w:rsidR="00031DAC">
        <w:t xml:space="preserve">$100,000 in annual compensation, and </w:t>
      </w:r>
      <w:r w:rsidR="00A3583A">
        <w:t>one</w:t>
      </w:r>
      <w:r w:rsidR="00031DAC">
        <w:t xml:space="preserve"> addressing</w:t>
      </w:r>
      <w:r w:rsidR="00A3583A">
        <w:t xml:space="preserve"> </w:t>
      </w:r>
      <w:r w:rsidR="008E23B4">
        <w:t>"</w:t>
      </w:r>
      <w:r w:rsidR="00031DAC">
        <w:t>highly compensated employees</w:t>
      </w:r>
      <w:r w:rsidR="008E23B4">
        <w:t>"</w:t>
      </w:r>
      <w:r w:rsidR="00031DAC">
        <w:t xml:space="preserve"> (</w:t>
      </w:r>
      <w:r w:rsidR="008E23B4">
        <w:t>"</w:t>
      </w:r>
      <w:r w:rsidR="00031DAC">
        <w:t>HCEs</w:t>
      </w:r>
      <w:r w:rsidR="008E23B4">
        <w:t>"</w:t>
      </w:r>
      <w:r w:rsidR="00031DAC">
        <w:t>) who make at least $100,000</w:t>
      </w:r>
      <w:r w:rsidR="00A3583A">
        <w:t xml:space="preserve"> </w:t>
      </w:r>
      <w:r w:rsidR="00031DAC">
        <w:t xml:space="preserve">per year </w:t>
      </w:r>
      <w:r w:rsidR="00A3583A">
        <w:t>(</w:t>
      </w:r>
      <w:r w:rsidR="00031DAC">
        <w:t>29 CFR §§541.100, 541.601(a), (b)(1)</w:t>
      </w:r>
      <w:r w:rsidR="00A3583A">
        <w:t>)</w:t>
      </w:r>
      <w:r w:rsidR="007C6C41">
        <w:t>, but both considering</w:t>
      </w:r>
      <w:r w:rsidR="00A3583A">
        <w:t xml:space="preserve"> </w:t>
      </w:r>
      <w:r w:rsidR="00031DAC">
        <w:t>employees to be executives when</w:t>
      </w:r>
      <w:r w:rsidR="005B42F7">
        <w:t>, relevantly,</w:t>
      </w:r>
      <w:r w:rsidR="00031DAC">
        <w:t xml:space="preserve"> they are</w:t>
      </w:r>
      <w:r w:rsidR="00A3583A">
        <w:t xml:space="preserve"> c</w:t>
      </w:r>
      <w:r w:rsidR="00031DAC">
        <w:t>ompensated on salary basis</w:t>
      </w:r>
      <w:r w:rsidR="00A3583A">
        <w:t xml:space="preserve"> (</w:t>
      </w:r>
      <w:r w:rsidR="008E23B4">
        <w:t>"</w:t>
      </w:r>
      <w:r w:rsidR="00A3583A">
        <w:t>salary-basis test</w:t>
      </w:r>
      <w:r w:rsidR="008E23B4">
        <w:t>"</w:t>
      </w:r>
      <w:r w:rsidR="00A3583A">
        <w:t>)</w:t>
      </w:r>
      <w:r w:rsidR="007810D8">
        <w:t xml:space="preserve"> </w:t>
      </w:r>
      <w:r w:rsidR="006362E6">
        <w:t xml:space="preserve">– Where District Court held respondent compensated on salary basis – Where Court of Appeals for Fifth Circuit reversed based on examination of regulations giving content to salary-basis test – Where </w:t>
      </w:r>
      <w:r w:rsidR="00B00176">
        <w:t>Court</w:t>
      </w:r>
      <w:r w:rsidR="006362E6">
        <w:t xml:space="preserve"> concluded daily-rate employees did not fall within </w:t>
      </w:r>
      <w:r w:rsidR="006362E6" w:rsidRPr="006362E6">
        <w:t>§541.602(a)</w:t>
      </w:r>
      <w:r w:rsidR="006362E6">
        <w:t xml:space="preserve"> which provided </w:t>
      </w:r>
      <w:r w:rsidR="00B00176">
        <w:t>employee will be considered paid on salary-basis if employee regularly receives each pay period on weekly, or less frequent basis, predetermined amount constituting all or part of employee</w:t>
      </w:r>
      <w:r w:rsidR="008E23B4">
        <w:t>'</w:t>
      </w:r>
      <w:r w:rsidR="00B00176">
        <w:t xml:space="preserve">s compensation – Where Court held daily-rate workers can qualify as paid on salary basis only through </w:t>
      </w:r>
      <w:r w:rsidR="008E23B4">
        <w:t>"</w:t>
      </w:r>
      <w:r w:rsidR="00B00176">
        <w:t>special rule</w:t>
      </w:r>
      <w:r w:rsidR="008E23B4">
        <w:t>"</w:t>
      </w:r>
      <w:r w:rsidR="00B00176">
        <w:t xml:space="preserve"> of §541.604(b), which focuses on workers whose compensation is computed on hourly, daily or shift basis</w:t>
      </w:r>
      <w:r w:rsidR="00B70BB1">
        <w:t>, but that respondent</w:t>
      </w:r>
      <w:r w:rsidR="008E23B4">
        <w:t>'</w:t>
      </w:r>
      <w:r w:rsidR="00B70BB1">
        <w:t xml:space="preserve">s compensation did not satisfy </w:t>
      </w:r>
      <w:r w:rsidR="00B70BB1" w:rsidRPr="00B70BB1">
        <w:t>§604(b)</w:t>
      </w:r>
      <w:r w:rsidR="008E23B4">
        <w:t>'</w:t>
      </w:r>
      <w:r w:rsidR="00B70BB1" w:rsidRPr="00B70BB1">
        <w:t>s conditions</w:t>
      </w:r>
      <w:r w:rsidR="00B70BB1">
        <w:t xml:space="preserve"> – Whether respondent an executive exempt from FLSA</w:t>
      </w:r>
      <w:r w:rsidR="008E23B4">
        <w:t>'</w:t>
      </w:r>
      <w:r w:rsidR="00B70BB1">
        <w:t>s overtime pay guarantee</w:t>
      </w:r>
      <w:r w:rsidR="006362E6">
        <w:t xml:space="preserve"> </w:t>
      </w:r>
      <w:r w:rsidR="00B70BB1">
        <w:t xml:space="preserve">– Whether respondent paid on salary basis under </w:t>
      </w:r>
      <w:r w:rsidR="00B70BB1" w:rsidRPr="00B70BB1">
        <w:t>§602(a)</w:t>
      </w:r>
      <w:r w:rsidR="00B70BB1">
        <w:t xml:space="preserve">. </w:t>
      </w:r>
    </w:p>
    <w:p w14:paraId="4A46BDA6" w14:textId="77777777" w:rsidR="003C1D58" w:rsidRPr="005E2809" w:rsidRDefault="003C1D58" w:rsidP="003C1D58">
      <w:pPr>
        <w:pStyle w:val="Catchwords"/>
      </w:pPr>
    </w:p>
    <w:p w14:paraId="16E658A8" w14:textId="4A1345AE" w:rsidR="003C1D58" w:rsidRDefault="003C1D58" w:rsidP="003C1D58">
      <w:pPr>
        <w:rPr>
          <w:lang w:eastAsia="en-AU"/>
        </w:rPr>
      </w:pPr>
      <w:r>
        <w:rPr>
          <w:b/>
          <w:bCs/>
          <w:lang w:eastAsia="en-AU"/>
        </w:rPr>
        <w:t>Held (6:3):</w:t>
      </w:r>
      <w:r w:rsidRPr="00FD6C82">
        <w:rPr>
          <w:lang w:eastAsia="en-AU"/>
        </w:rPr>
        <w:t xml:space="preserve"> </w:t>
      </w:r>
      <w:r>
        <w:rPr>
          <w:lang w:eastAsia="en-AU"/>
        </w:rPr>
        <w:t xml:space="preserve">Decision of the United States Court of Appeals for the Fifth Circuit affirmed.  </w:t>
      </w:r>
    </w:p>
    <w:p w14:paraId="1DE3E639" w14:textId="0D94FDDF" w:rsidR="003C1D58" w:rsidRDefault="003C1D58" w:rsidP="00105CF5">
      <w:pPr>
        <w:pStyle w:val="BullDivider2"/>
      </w:pPr>
    </w:p>
    <w:p w14:paraId="27DC1A12" w14:textId="77777777" w:rsidR="00105CF5" w:rsidRPr="00105CF5" w:rsidRDefault="00105CF5" w:rsidP="00105CF5">
      <w:pPr>
        <w:rPr>
          <w:lang w:eastAsia="en-AU"/>
        </w:rPr>
      </w:pPr>
    </w:p>
    <w:p w14:paraId="74B96CBC" w14:textId="3E86FDAE" w:rsidR="00105CF5" w:rsidRDefault="00105CF5" w:rsidP="00105CF5">
      <w:pPr>
        <w:pStyle w:val="Heading1"/>
      </w:pPr>
      <w:r>
        <w:t>Limitation of Actions</w:t>
      </w:r>
    </w:p>
    <w:p w14:paraId="088D5C97" w14:textId="77777777" w:rsidR="00105CF5" w:rsidRDefault="00105CF5" w:rsidP="00105CF5">
      <w:pPr>
        <w:rPr>
          <w:lang w:eastAsia="en-AU"/>
        </w:rPr>
      </w:pPr>
    </w:p>
    <w:p w14:paraId="3225BCBC" w14:textId="77777777" w:rsidR="00105CF5" w:rsidRDefault="00105CF5" w:rsidP="00105CF5">
      <w:pPr>
        <w:pStyle w:val="Heading2"/>
      </w:pPr>
      <w:r w:rsidRPr="00862145">
        <w:t>Arellano v McDonough</w:t>
      </w:r>
    </w:p>
    <w:p w14:paraId="6CC654C2" w14:textId="77777777" w:rsidR="00105CF5" w:rsidRPr="00F77F62" w:rsidRDefault="00105CF5" w:rsidP="00105CF5">
      <w:pPr>
        <w:rPr>
          <w:lang w:eastAsia="en-AU"/>
        </w:rPr>
      </w:pPr>
      <w:r>
        <w:rPr>
          <w:b/>
          <w:bCs/>
          <w:lang w:eastAsia="en-AU"/>
        </w:rPr>
        <w:t>Supreme Court of the United States</w:t>
      </w:r>
      <w:r w:rsidRPr="006B0D58">
        <w:rPr>
          <w:b/>
          <w:bCs/>
          <w:lang w:eastAsia="en-AU"/>
        </w:rPr>
        <w:t>:</w:t>
      </w:r>
      <w:r>
        <w:rPr>
          <w:b/>
          <w:bCs/>
          <w:lang w:eastAsia="en-AU"/>
        </w:rPr>
        <w:t xml:space="preserve"> </w:t>
      </w:r>
      <w:hyperlink r:id="rId23" w:history="1">
        <w:r w:rsidRPr="00862145">
          <w:rPr>
            <w:rStyle w:val="Hyperlink"/>
            <w:lang w:eastAsia="en-AU"/>
          </w:rPr>
          <w:t>Docket No 21-432</w:t>
        </w:r>
      </w:hyperlink>
      <w:r>
        <w:rPr>
          <w:lang w:eastAsia="en-AU"/>
        </w:rPr>
        <w:t xml:space="preserve"> </w:t>
      </w:r>
    </w:p>
    <w:p w14:paraId="0FAE75DD" w14:textId="77777777" w:rsidR="00105CF5" w:rsidRDefault="00105CF5" w:rsidP="00105CF5">
      <w:pPr>
        <w:rPr>
          <w:lang w:eastAsia="en-AU"/>
        </w:rPr>
      </w:pPr>
    </w:p>
    <w:p w14:paraId="32EC5B9B" w14:textId="77777777" w:rsidR="00105CF5" w:rsidRPr="00DB68FF" w:rsidRDefault="00105CF5" w:rsidP="00105CF5">
      <w:pPr>
        <w:rPr>
          <w:lang w:eastAsia="en-AU"/>
        </w:rPr>
      </w:pPr>
      <w:r>
        <w:rPr>
          <w:b/>
          <w:bCs/>
          <w:lang w:eastAsia="en-AU"/>
        </w:rPr>
        <w:t xml:space="preserve">Reasons delivered: </w:t>
      </w:r>
      <w:r>
        <w:rPr>
          <w:lang w:eastAsia="en-AU"/>
        </w:rPr>
        <w:t>23 January 2023</w:t>
      </w:r>
    </w:p>
    <w:p w14:paraId="30830541" w14:textId="77777777" w:rsidR="00105CF5" w:rsidRDefault="00105CF5" w:rsidP="00105CF5">
      <w:pPr>
        <w:rPr>
          <w:b/>
          <w:bCs/>
          <w:lang w:eastAsia="en-AU"/>
        </w:rPr>
      </w:pPr>
    </w:p>
    <w:p w14:paraId="2D6D4E14" w14:textId="77777777" w:rsidR="00105CF5" w:rsidRDefault="00105CF5" w:rsidP="00105CF5">
      <w:pPr>
        <w:rPr>
          <w:lang w:eastAsia="en-AU"/>
        </w:rPr>
      </w:pPr>
      <w:r>
        <w:rPr>
          <w:b/>
          <w:bCs/>
          <w:lang w:eastAsia="en-AU"/>
        </w:rPr>
        <w:t>Coram:</w:t>
      </w:r>
      <w:r w:rsidRPr="00DB68FF">
        <w:t xml:space="preserve"> </w:t>
      </w:r>
      <w:r w:rsidRPr="00A715DF">
        <w:rPr>
          <w:lang w:eastAsia="en-AU"/>
        </w:rPr>
        <w:t>Roberts CJ, Thomas, Alito, Sotomayor, Kagan, Gorsuch, Kavanaugh, Barrett and Jackson JJ</w:t>
      </w:r>
    </w:p>
    <w:p w14:paraId="55592956" w14:textId="77777777" w:rsidR="00105CF5" w:rsidRDefault="00105CF5" w:rsidP="00105CF5">
      <w:pPr>
        <w:rPr>
          <w:b/>
          <w:bCs/>
          <w:lang w:eastAsia="en-AU"/>
        </w:rPr>
      </w:pPr>
    </w:p>
    <w:p w14:paraId="58939A70" w14:textId="77777777" w:rsidR="00105CF5" w:rsidRDefault="00105CF5" w:rsidP="00105CF5">
      <w:pPr>
        <w:rPr>
          <w:b/>
          <w:bCs/>
          <w:lang w:eastAsia="en-AU"/>
        </w:rPr>
      </w:pPr>
      <w:r>
        <w:rPr>
          <w:b/>
          <w:bCs/>
          <w:lang w:eastAsia="en-AU"/>
        </w:rPr>
        <w:t>Catchwords:</w:t>
      </w:r>
    </w:p>
    <w:p w14:paraId="31989E7E" w14:textId="77777777" w:rsidR="00105CF5" w:rsidRDefault="00105CF5" w:rsidP="00105CF5">
      <w:pPr>
        <w:rPr>
          <w:b/>
          <w:bCs/>
          <w:lang w:eastAsia="en-AU"/>
        </w:rPr>
      </w:pPr>
    </w:p>
    <w:p w14:paraId="47051F84" w14:textId="6394F886" w:rsidR="00105CF5" w:rsidRPr="004B4F9D" w:rsidRDefault="00105CF5" w:rsidP="00105CF5">
      <w:pPr>
        <w:pStyle w:val="Catchwords"/>
      </w:pPr>
      <w:r>
        <w:t xml:space="preserve">Limitation of </w:t>
      </w:r>
      <w:r w:rsidR="003611D1">
        <w:t>a</w:t>
      </w:r>
      <w:r>
        <w:t>ctions – Statute of limitations – Equitable tolling – Where 30 years after petitioner</w:t>
      </w:r>
      <w:r w:rsidR="008E23B4">
        <w:t>'</w:t>
      </w:r>
      <w:r>
        <w:t>s discharge from Navy, he applied for disability compensation – Where petitioner granted service-connected disability benefits from Department of Veterans Affairs (</w:t>
      </w:r>
      <w:r w:rsidR="008E23B4">
        <w:t>"</w:t>
      </w:r>
      <w:r>
        <w:t>VA</w:t>
      </w:r>
      <w:r w:rsidR="008E23B4">
        <w:t>"</w:t>
      </w:r>
      <w:r>
        <w:t>) – Where, applying default rule in 38 USC §5110(a)(1), VA assigned effective date of 3 June 2011, being day agency received petitioner</w:t>
      </w:r>
      <w:r w:rsidR="008E23B4">
        <w:t>'</w:t>
      </w:r>
      <w:r>
        <w:t>s claim, to disability award – Where petitioner appealed, arguing award</w:t>
      </w:r>
      <w:r w:rsidR="008E23B4">
        <w:t>'</w:t>
      </w:r>
      <w:r>
        <w:t>s effective date should be governed by exception in §5110(b)(1), which makes effective date of award day following date of veteran</w:t>
      </w:r>
      <w:r w:rsidR="008E23B4">
        <w:t>'</w:t>
      </w:r>
      <w:r>
        <w:t>s discharge if application received within one year from such date of discharge – Where, alleging that he had been too ill to know of availability of disability benefits, petitioner maintained that exception</w:t>
      </w:r>
      <w:r w:rsidR="008E23B4">
        <w:t>'</w:t>
      </w:r>
      <w:r>
        <w:t>s one-year grace period should be equitably tolled to make award effective on or about day after discharge from military service in 1981 – Where VA</w:t>
      </w:r>
      <w:r w:rsidR="008E23B4">
        <w:t>'</w:t>
      </w:r>
      <w:r>
        <w:t>s Board of Veterans</w:t>
      </w:r>
      <w:r w:rsidR="008E23B4">
        <w:t>'</w:t>
      </w:r>
      <w:r>
        <w:t xml:space="preserve"> Appeals denied petitioner</w:t>
      </w:r>
      <w:r w:rsidR="008E23B4">
        <w:t>'</w:t>
      </w:r>
      <w:r>
        <w:t xml:space="preserve">s request, and Court of Appeals for Veterans Claims and Federal Circuit affirmed – Whether </w:t>
      </w:r>
      <w:r w:rsidRPr="002E305E">
        <w:t>§5110(b)(1</w:t>
      </w:r>
      <w:r>
        <w:t>) subject to equitable tolling.</w:t>
      </w:r>
    </w:p>
    <w:p w14:paraId="2A96D954" w14:textId="77777777" w:rsidR="00105CF5" w:rsidRPr="005E2809" w:rsidRDefault="00105CF5" w:rsidP="00105CF5">
      <w:pPr>
        <w:pStyle w:val="Catchwords"/>
      </w:pPr>
    </w:p>
    <w:p w14:paraId="781C4534" w14:textId="77777777" w:rsidR="00105CF5" w:rsidRDefault="00105CF5" w:rsidP="00105CF5">
      <w:pPr>
        <w:rPr>
          <w:lang w:eastAsia="en-AU"/>
        </w:rPr>
      </w:pPr>
      <w:r>
        <w:rPr>
          <w:b/>
          <w:bCs/>
          <w:lang w:eastAsia="en-AU"/>
        </w:rPr>
        <w:t>Held (9:0):</w:t>
      </w:r>
      <w:r w:rsidRPr="00FD6C82">
        <w:rPr>
          <w:lang w:eastAsia="en-AU"/>
        </w:rPr>
        <w:t xml:space="preserve"> </w:t>
      </w:r>
      <w:r>
        <w:rPr>
          <w:lang w:eastAsia="en-AU"/>
        </w:rPr>
        <w:t xml:space="preserve">Decision of the United States Court of Appeals for the Federal Circuit affirmed.    </w:t>
      </w:r>
    </w:p>
    <w:p w14:paraId="67AC146E" w14:textId="4324E0CE" w:rsidR="00A715DF" w:rsidRDefault="00A715DF" w:rsidP="008A1F4D">
      <w:pPr>
        <w:pStyle w:val="BullDivider2"/>
      </w:pPr>
    </w:p>
    <w:p w14:paraId="78D11633" w14:textId="77777777" w:rsidR="008A1F4D" w:rsidRPr="008A1F4D" w:rsidRDefault="008A1F4D" w:rsidP="008A1F4D">
      <w:pPr>
        <w:rPr>
          <w:lang w:eastAsia="en-AU"/>
        </w:rPr>
      </w:pPr>
    </w:p>
    <w:p w14:paraId="4CA45FD0" w14:textId="3FAAF436" w:rsidR="008A1F4D" w:rsidRDefault="008A1F4D" w:rsidP="008A1F4D">
      <w:pPr>
        <w:pStyle w:val="Heading1"/>
      </w:pPr>
      <w:r>
        <w:t>Property</w:t>
      </w:r>
    </w:p>
    <w:p w14:paraId="72690508" w14:textId="77777777" w:rsidR="007B5216" w:rsidRDefault="007B5216" w:rsidP="007B5216">
      <w:pPr>
        <w:rPr>
          <w:lang w:eastAsia="en-AU"/>
        </w:rPr>
      </w:pPr>
    </w:p>
    <w:p w14:paraId="41F30A41" w14:textId="77777777" w:rsidR="007B5216" w:rsidRPr="00EA0A75" w:rsidRDefault="007B5216" w:rsidP="00EA0A75">
      <w:pPr>
        <w:pStyle w:val="Heading2"/>
        <w:rPr>
          <w:i w:val="0"/>
          <w:iCs w:val="0"/>
        </w:rPr>
      </w:pPr>
      <w:r w:rsidRPr="00EA0A75">
        <w:rPr>
          <w:rStyle w:val="Heading2Char"/>
          <w:i/>
          <w:iCs/>
          <w:lang w:val="en-AU"/>
        </w:rPr>
        <w:t>Aviva Investors Ground Rent GP Ltd v Williams</w:t>
      </w:r>
    </w:p>
    <w:p w14:paraId="23DD2D51" w14:textId="77777777" w:rsidR="007B5216" w:rsidRPr="00F77F62" w:rsidRDefault="007B5216" w:rsidP="007B5216">
      <w:pPr>
        <w:rPr>
          <w:lang w:eastAsia="en-AU"/>
        </w:rPr>
      </w:pPr>
      <w:r>
        <w:rPr>
          <w:b/>
          <w:bCs/>
          <w:lang w:eastAsia="en-AU"/>
        </w:rPr>
        <w:t>Supreme Court of the United Kingdom</w:t>
      </w:r>
      <w:r w:rsidRPr="006B0D58">
        <w:rPr>
          <w:b/>
          <w:bCs/>
          <w:lang w:eastAsia="en-AU"/>
        </w:rPr>
        <w:t>:</w:t>
      </w:r>
      <w:r>
        <w:rPr>
          <w:b/>
          <w:bCs/>
          <w:lang w:eastAsia="en-AU"/>
        </w:rPr>
        <w:t xml:space="preserve"> </w:t>
      </w:r>
      <w:hyperlink r:id="rId24" w:history="1">
        <w:r>
          <w:rPr>
            <w:rStyle w:val="Hyperlink"/>
            <w:lang w:eastAsia="en-AU"/>
          </w:rPr>
          <w:t>[2023] UKSC 6</w:t>
        </w:r>
      </w:hyperlink>
      <w:r>
        <w:rPr>
          <w:lang w:eastAsia="en-AU"/>
        </w:rPr>
        <w:t xml:space="preserve"> </w:t>
      </w:r>
    </w:p>
    <w:p w14:paraId="77203DC3" w14:textId="77777777" w:rsidR="007B5216" w:rsidRDefault="007B5216" w:rsidP="007B5216">
      <w:pPr>
        <w:rPr>
          <w:lang w:eastAsia="en-AU"/>
        </w:rPr>
      </w:pPr>
    </w:p>
    <w:p w14:paraId="2AEE4AAB" w14:textId="77777777" w:rsidR="007B5216" w:rsidRPr="00DB68FF" w:rsidRDefault="007B5216" w:rsidP="007B5216">
      <w:pPr>
        <w:rPr>
          <w:lang w:eastAsia="en-AU"/>
        </w:rPr>
      </w:pPr>
      <w:r>
        <w:rPr>
          <w:b/>
          <w:bCs/>
          <w:lang w:eastAsia="en-AU"/>
        </w:rPr>
        <w:t xml:space="preserve">Reasons delivered: </w:t>
      </w:r>
      <w:r>
        <w:rPr>
          <w:lang w:eastAsia="en-AU"/>
        </w:rPr>
        <w:t>8 February 2023</w:t>
      </w:r>
    </w:p>
    <w:p w14:paraId="12B33A18" w14:textId="77777777" w:rsidR="007B5216" w:rsidRDefault="007B5216" w:rsidP="007B5216">
      <w:pPr>
        <w:rPr>
          <w:b/>
          <w:bCs/>
          <w:lang w:eastAsia="en-AU"/>
        </w:rPr>
      </w:pPr>
    </w:p>
    <w:p w14:paraId="00C87880" w14:textId="77777777" w:rsidR="007B5216" w:rsidRPr="00DB68FF" w:rsidRDefault="007B5216" w:rsidP="007B5216">
      <w:pPr>
        <w:rPr>
          <w:lang w:eastAsia="en-AU"/>
        </w:rPr>
      </w:pPr>
      <w:r>
        <w:rPr>
          <w:b/>
          <w:bCs/>
          <w:lang w:eastAsia="en-AU"/>
        </w:rPr>
        <w:t>Coram:</w:t>
      </w:r>
      <w:r w:rsidRPr="00DB68FF">
        <w:t xml:space="preserve"> </w:t>
      </w:r>
      <w:r>
        <w:rPr>
          <w:lang w:eastAsia="en-AU"/>
        </w:rPr>
        <w:t xml:space="preserve">Lord Reed, Lord Briggs, Lord Kitchin, Lord Sales and Lord Richards </w:t>
      </w:r>
    </w:p>
    <w:p w14:paraId="25C36872" w14:textId="77777777" w:rsidR="007B5216" w:rsidRDefault="007B5216" w:rsidP="007B5216">
      <w:pPr>
        <w:rPr>
          <w:b/>
          <w:bCs/>
          <w:lang w:eastAsia="en-AU"/>
        </w:rPr>
      </w:pPr>
    </w:p>
    <w:p w14:paraId="548A9BC1" w14:textId="77777777" w:rsidR="007B5216" w:rsidRDefault="007B5216" w:rsidP="007B5216">
      <w:pPr>
        <w:rPr>
          <w:b/>
          <w:bCs/>
          <w:lang w:eastAsia="en-AU"/>
        </w:rPr>
      </w:pPr>
      <w:r>
        <w:rPr>
          <w:b/>
          <w:bCs/>
          <w:lang w:eastAsia="en-AU"/>
        </w:rPr>
        <w:t>Catchwords:</w:t>
      </w:r>
    </w:p>
    <w:p w14:paraId="6486253F" w14:textId="77777777" w:rsidR="007B5216" w:rsidRDefault="007B5216" w:rsidP="007B5216">
      <w:pPr>
        <w:rPr>
          <w:b/>
          <w:bCs/>
          <w:lang w:eastAsia="en-AU"/>
        </w:rPr>
      </w:pPr>
    </w:p>
    <w:p w14:paraId="094FDA3A" w14:textId="249F5623" w:rsidR="007B5216" w:rsidRDefault="00775D37" w:rsidP="007B5216">
      <w:pPr>
        <w:pStyle w:val="Catchwords"/>
      </w:pPr>
      <w:r>
        <w:t xml:space="preserve">Property – Real property – Leases </w:t>
      </w:r>
      <w:r w:rsidR="007B5216">
        <w:t>–</w:t>
      </w:r>
      <w:r w:rsidR="00D64193">
        <w:t xml:space="preserve"> </w:t>
      </w:r>
      <w:r w:rsidR="007B5216">
        <w:t>First-tier Tribunal (Property Chamber) (</w:t>
      </w:r>
      <w:r w:rsidR="008E23B4">
        <w:t>"</w:t>
      </w:r>
      <w:proofErr w:type="spellStart"/>
      <w:r w:rsidR="007B5216">
        <w:t>FtT</w:t>
      </w:r>
      <w:proofErr w:type="spellEnd"/>
      <w:r w:rsidR="008E23B4">
        <w:t>"</w:t>
      </w:r>
      <w:r w:rsidR="007B5216">
        <w:t xml:space="preserve">) – Where s 27A of </w:t>
      </w:r>
      <w:r w:rsidR="007B5216">
        <w:rPr>
          <w:i/>
          <w:iCs/>
        </w:rPr>
        <w:t>Landlord and Tenant Act 1985</w:t>
      </w:r>
      <w:r w:rsidR="007B5216">
        <w:t xml:space="preserve"> introduced to regulate levying of service charges by landlords under leases of residential property in respect of expenditure upon repairs and services – Where s 27A(1) provides application may be made to appropriate tribunal for determination whether service charge payable and circumstances as to payment – Where </w:t>
      </w:r>
      <w:proofErr w:type="spellStart"/>
      <w:r w:rsidR="007B5216">
        <w:t>FtT</w:t>
      </w:r>
      <w:proofErr w:type="spellEnd"/>
      <w:r w:rsidR="007B5216">
        <w:t xml:space="preserve"> </w:t>
      </w:r>
      <w:r w:rsidR="008E23B4">
        <w:t>"</w:t>
      </w:r>
      <w:r w:rsidR="007B5216">
        <w:t>appropriate tribunal</w:t>
      </w:r>
      <w:r w:rsidR="008E23B4">
        <w:t>"</w:t>
      </w:r>
      <w:r w:rsidR="007B5216">
        <w:t xml:space="preserve"> in England – Where s 27A(6) </w:t>
      </w:r>
      <w:r w:rsidR="007B5216">
        <w:lastRenderedPageBreak/>
        <w:t xml:space="preserve">provides agreement by tenant void in so far as it purports to provide for determination in particular manner – </w:t>
      </w:r>
      <w:r w:rsidR="00A32042">
        <w:t>Proper approach to</w:t>
      </w:r>
      <w:r w:rsidR="007B5216">
        <w:t xml:space="preserve"> s 27A(6) </w:t>
      </w:r>
      <w:r w:rsidR="00A32042">
        <w:t>where</w:t>
      </w:r>
      <w:r w:rsidR="007B5216">
        <w:t xml:space="preserve"> contractual provision in lease provides for tenant to pay fixed proportion of common costs or costs landlord reasonably determine</w:t>
      </w:r>
      <w:r w:rsidR="001646B5">
        <w:t xml:space="preserve"> – Whether </w:t>
      </w:r>
      <w:r w:rsidR="002B372D">
        <w:t xml:space="preserve">tenant and landlord able to invoke </w:t>
      </w:r>
      <w:proofErr w:type="spellStart"/>
      <w:r w:rsidR="002B372D">
        <w:t>FtT</w:t>
      </w:r>
      <w:r w:rsidR="008E23B4">
        <w:t>'</w:t>
      </w:r>
      <w:r w:rsidR="002B372D">
        <w:t>s</w:t>
      </w:r>
      <w:proofErr w:type="spellEnd"/>
      <w:r w:rsidR="002B372D">
        <w:t xml:space="preserve"> jurisdiction under s 27A. </w:t>
      </w:r>
    </w:p>
    <w:p w14:paraId="0CE1C9B2" w14:textId="77777777" w:rsidR="00DD0137" w:rsidRDefault="00DD0137" w:rsidP="007B5216">
      <w:pPr>
        <w:pStyle w:val="Catchwords"/>
      </w:pPr>
    </w:p>
    <w:p w14:paraId="14FE76C1" w14:textId="5AA46615" w:rsidR="00DD0137" w:rsidRPr="00FB6794" w:rsidRDefault="00DD0137" w:rsidP="007B5216">
      <w:pPr>
        <w:pStyle w:val="Catchwords"/>
      </w:pPr>
      <w:r>
        <w:t xml:space="preserve">Statutory interpretation – Anti-avoidance provision </w:t>
      </w:r>
      <w:r w:rsidR="0016094B">
        <w:t>–</w:t>
      </w:r>
      <w:r w:rsidR="009667CD">
        <w:t xml:space="preserve"> Mischief provision designed to combat </w:t>
      </w:r>
      <w:r w:rsidR="00B85F46">
        <w:t>–</w:t>
      </w:r>
      <w:r w:rsidR="009667CD">
        <w:t xml:space="preserve"> </w:t>
      </w:r>
      <w:r w:rsidR="00D64193">
        <w:t xml:space="preserve">Freedom to contract </w:t>
      </w:r>
      <w:r w:rsidR="007064EA">
        <w:t xml:space="preserve">– Proper approach to construction of statutory </w:t>
      </w:r>
      <w:r w:rsidR="00DE0042">
        <w:t>provision</w:t>
      </w:r>
      <w:r w:rsidR="004022DB">
        <w:t xml:space="preserve"> by appellate court. </w:t>
      </w:r>
      <w:r w:rsidR="004A3477">
        <w:t xml:space="preserve"> </w:t>
      </w:r>
    </w:p>
    <w:p w14:paraId="57738B9B" w14:textId="77777777" w:rsidR="007B5216" w:rsidRPr="005E2809" w:rsidRDefault="007B5216" w:rsidP="007B5216">
      <w:pPr>
        <w:pStyle w:val="Catchwords"/>
      </w:pPr>
    </w:p>
    <w:p w14:paraId="06BF9D6B" w14:textId="77777777" w:rsidR="007B5216" w:rsidRDefault="007B5216" w:rsidP="007B5216">
      <w:pPr>
        <w:rPr>
          <w:lang w:eastAsia="en-AU"/>
        </w:rPr>
      </w:pPr>
      <w:r>
        <w:rPr>
          <w:b/>
          <w:bCs/>
          <w:lang w:eastAsia="en-AU"/>
        </w:rPr>
        <w:t>Held (5:</w:t>
      </w:r>
      <w:r w:rsidRPr="00DE0042">
        <w:rPr>
          <w:b/>
          <w:bCs/>
          <w:lang w:eastAsia="en-AU"/>
        </w:rPr>
        <w:t>0):</w:t>
      </w:r>
      <w:r w:rsidRPr="00DE0042">
        <w:rPr>
          <w:lang w:eastAsia="en-AU"/>
        </w:rPr>
        <w:t xml:space="preserve"> Appeal dismissed.</w:t>
      </w:r>
      <w:r>
        <w:rPr>
          <w:lang w:eastAsia="en-AU"/>
        </w:rPr>
        <w:t xml:space="preserve">   </w:t>
      </w:r>
    </w:p>
    <w:p w14:paraId="58FC9118" w14:textId="77777777" w:rsidR="008A1F4D" w:rsidRDefault="008A1F4D" w:rsidP="007B5216">
      <w:pPr>
        <w:pStyle w:val="BullDivider1"/>
      </w:pPr>
    </w:p>
    <w:p w14:paraId="6E4C9742" w14:textId="77777777" w:rsidR="007B5216" w:rsidRPr="007B5216" w:rsidRDefault="007B5216" w:rsidP="007B5216">
      <w:pPr>
        <w:rPr>
          <w:lang w:eastAsia="en-AU"/>
        </w:rPr>
      </w:pPr>
    </w:p>
    <w:p w14:paraId="6C571A16" w14:textId="2347DD71" w:rsidR="008A1F4D" w:rsidRDefault="008A1F4D" w:rsidP="008A1F4D">
      <w:pPr>
        <w:pStyle w:val="Heading2"/>
      </w:pPr>
      <w:r>
        <w:t xml:space="preserve">Delaware v Pennsylvania </w:t>
      </w:r>
    </w:p>
    <w:p w14:paraId="6490AC0F" w14:textId="7C20B9D2" w:rsidR="008A1F4D" w:rsidRPr="00F77F62" w:rsidRDefault="008A1F4D" w:rsidP="008A1F4D">
      <w:pPr>
        <w:rPr>
          <w:lang w:eastAsia="en-AU"/>
        </w:rPr>
      </w:pPr>
      <w:r>
        <w:rPr>
          <w:b/>
          <w:bCs/>
          <w:lang w:eastAsia="en-AU"/>
        </w:rPr>
        <w:t>Supreme Court of the United States</w:t>
      </w:r>
      <w:r w:rsidRPr="006B0D58">
        <w:rPr>
          <w:b/>
          <w:bCs/>
          <w:lang w:eastAsia="en-AU"/>
        </w:rPr>
        <w:t>:</w:t>
      </w:r>
      <w:r>
        <w:rPr>
          <w:b/>
          <w:bCs/>
          <w:lang w:eastAsia="en-AU"/>
        </w:rPr>
        <w:t xml:space="preserve"> </w:t>
      </w:r>
      <w:hyperlink r:id="rId25" w:history="1">
        <w:r>
          <w:rPr>
            <w:rStyle w:val="Hyperlink"/>
            <w:lang w:eastAsia="en-AU"/>
          </w:rPr>
          <w:t xml:space="preserve">Docket No 145, </w:t>
        </w:r>
        <w:proofErr w:type="spellStart"/>
        <w:r>
          <w:rPr>
            <w:rStyle w:val="Hyperlink"/>
            <w:lang w:eastAsia="en-AU"/>
          </w:rPr>
          <w:t>Orig</w:t>
        </w:r>
        <w:proofErr w:type="spellEnd"/>
      </w:hyperlink>
      <w:r>
        <w:rPr>
          <w:lang w:eastAsia="en-AU"/>
        </w:rPr>
        <w:t xml:space="preserve"> </w:t>
      </w:r>
    </w:p>
    <w:p w14:paraId="1D25B536" w14:textId="77777777" w:rsidR="008A1F4D" w:rsidRDefault="008A1F4D" w:rsidP="008A1F4D">
      <w:pPr>
        <w:rPr>
          <w:lang w:eastAsia="en-AU"/>
        </w:rPr>
      </w:pPr>
    </w:p>
    <w:p w14:paraId="4AA59276" w14:textId="36FC27F0" w:rsidR="008A1F4D" w:rsidRPr="00DB68FF" w:rsidRDefault="008A1F4D" w:rsidP="008A1F4D">
      <w:pPr>
        <w:rPr>
          <w:lang w:eastAsia="en-AU"/>
        </w:rPr>
      </w:pPr>
      <w:r>
        <w:rPr>
          <w:b/>
          <w:bCs/>
          <w:lang w:eastAsia="en-AU"/>
        </w:rPr>
        <w:t xml:space="preserve">Reasons delivered: </w:t>
      </w:r>
      <w:r>
        <w:rPr>
          <w:lang w:eastAsia="en-AU"/>
        </w:rPr>
        <w:t>28 January 2023</w:t>
      </w:r>
    </w:p>
    <w:p w14:paraId="4CF09B66" w14:textId="77777777" w:rsidR="008A1F4D" w:rsidRDefault="008A1F4D" w:rsidP="008A1F4D">
      <w:pPr>
        <w:rPr>
          <w:b/>
          <w:bCs/>
          <w:lang w:eastAsia="en-AU"/>
        </w:rPr>
      </w:pPr>
    </w:p>
    <w:p w14:paraId="45866C6D" w14:textId="77777777" w:rsidR="008A1F4D" w:rsidRDefault="008A1F4D" w:rsidP="008A1F4D">
      <w:pPr>
        <w:rPr>
          <w:lang w:eastAsia="en-AU"/>
        </w:rPr>
      </w:pPr>
      <w:r>
        <w:rPr>
          <w:b/>
          <w:bCs/>
          <w:lang w:eastAsia="en-AU"/>
        </w:rPr>
        <w:t>Coram:</w:t>
      </w:r>
      <w:r w:rsidRPr="00DB68FF">
        <w:t xml:space="preserve"> </w:t>
      </w:r>
      <w:r w:rsidRPr="00A715DF">
        <w:rPr>
          <w:lang w:eastAsia="en-AU"/>
        </w:rPr>
        <w:t>Roberts CJ, Thomas, Alito, Sotomayor, Kagan, Gorsuch, Kavanaugh, Barrett and Jackson JJ</w:t>
      </w:r>
    </w:p>
    <w:p w14:paraId="50FA594E" w14:textId="77777777" w:rsidR="008A1F4D" w:rsidRDefault="008A1F4D" w:rsidP="008A1F4D">
      <w:pPr>
        <w:rPr>
          <w:b/>
          <w:bCs/>
          <w:lang w:eastAsia="en-AU"/>
        </w:rPr>
      </w:pPr>
    </w:p>
    <w:p w14:paraId="2F40D8A8" w14:textId="77777777" w:rsidR="008A1F4D" w:rsidRDefault="008A1F4D" w:rsidP="008A1F4D">
      <w:pPr>
        <w:rPr>
          <w:b/>
          <w:bCs/>
          <w:lang w:eastAsia="en-AU"/>
        </w:rPr>
      </w:pPr>
      <w:r>
        <w:rPr>
          <w:b/>
          <w:bCs/>
          <w:lang w:eastAsia="en-AU"/>
        </w:rPr>
        <w:t>Catchwords:</w:t>
      </w:r>
    </w:p>
    <w:p w14:paraId="65C47E45" w14:textId="77777777" w:rsidR="008A1F4D" w:rsidRDefault="008A1F4D" w:rsidP="008A1F4D">
      <w:pPr>
        <w:rPr>
          <w:b/>
          <w:bCs/>
          <w:lang w:eastAsia="en-AU"/>
        </w:rPr>
      </w:pPr>
    </w:p>
    <w:p w14:paraId="3E2D03B8" w14:textId="36245202" w:rsidR="008A1F4D" w:rsidRPr="004B4F9D" w:rsidRDefault="008A1F4D" w:rsidP="002E7D5D">
      <w:pPr>
        <w:pStyle w:val="Catchwords"/>
      </w:pPr>
      <w:r>
        <w:t xml:space="preserve">Property – Escheatment </w:t>
      </w:r>
      <w:r w:rsidR="006A718E">
        <w:t xml:space="preserve">– </w:t>
      </w:r>
      <w:r w:rsidR="00453DEB">
        <w:t xml:space="preserve">Intangible property – </w:t>
      </w:r>
      <w:r w:rsidR="006A718E">
        <w:t xml:space="preserve">Where State may take custody of abandoned property located within its borders through </w:t>
      </w:r>
      <w:r w:rsidR="008E23B4">
        <w:t>"</w:t>
      </w:r>
      <w:r w:rsidR="006A718E">
        <w:t>escheatment</w:t>
      </w:r>
      <w:r w:rsidR="008E23B4">
        <w:t>"</w:t>
      </w:r>
      <w:r w:rsidR="006A718E">
        <w:t xml:space="preserve"> process – Where, when abandoned property intangible, lack of physical location gives rise to multiple States having arguable claims </w:t>
      </w:r>
      <w:r w:rsidR="002E7D5D">
        <w:t>–</w:t>
      </w:r>
      <w:r w:rsidR="006A718E">
        <w:t xml:space="preserve"> </w:t>
      </w:r>
      <w:r w:rsidR="002E7D5D">
        <w:t>Where Agent Checks and Teller</w:t>
      </w:r>
      <w:r w:rsidR="008E23B4">
        <w:t>'</w:t>
      </w:r>
      <w:r w:rsidR="002E7D5D">
        <w:t>s Checks (</w:t>
      </w:r>
      <w:r w:rsidR="008E23B4">
        <w:t>"</w:t>
      </w:r>
      <w:r w:rsidR="002E7D5D">
        <w:t>Disputed Instruments</w:t>
      </w:r>
      <w:r w:rsidR="008E23B4">
        <w:t>"</w:t>
      </w:r>
      <w:r w:rsidR="002E7D5D">
        <w:t xml:space="preserve">) are prepaid financial instruments used to transfer funds to named payee – Where, when </w:t>
      </w:r>
      <w:r w:rsidR="008302F7">
        <w:t>Disputed Instruments</w:t>
      </w:r>
      <w:r w:rsidR="002E7D5D">
        <w:t xml:space="preserve"> not presented for payment within certain period of time, they are deemed abandoned, and, currently, MoneyGram applies common-law escheatment practices outlined in </w:t>
      </w:r>
      <w:r w:rsidR="002E7D5D" w:rsidRPr="002E7D5D">
        <w:rPr>
          <w:i/>
          <w:iCs/>
        </w:rPr>
        <w:t>Texas v New Jersey</w:t>
      </w:r>
      <w:r w:rsidR="002E7D5D">
        <w:t>, 379 US 674</w:t>
      </w:r>
      <w:r w:rsidR="002E7D5D" w:rsidRPr="002E7D5D">
        <w:t xml:space="preserve"> </w:t>
      </w:r>
      <w:r w:rsidR="002E7D5D">
        <w:t>at 680–682, where Court established rule that proceeds of abandoned financial products should escheat to State of creditor</w:t>
      </w:r>
      <w:r w:rsidR="008E23B4">
        <w:t>'</w:t>
      </w:r>
      <w:r w:rsidR="002E7D5D">
        <w:t>s last known address or, where such records not kept, to State in which company holding funds is incorporated – Where MoneyGram does not keep records of creditor addresses for Disputed Instruments and applies the secondary common law</w:t>
      </w:r>
      <w:r w:rsidR="00453DEB">
        <w:t xml:space="preserve"> </w:t>
      </w:r>
      <w:r w:rsidR="002E7D5D">
        <w:t>rule and transmits abandoned proceeds to State of incorporation – Where States invoked Court</w:t>
      </w:r>
      <w:r w:rsidR="008E23B4">
        <w:t>'</w:t>
      </w:r>
      <w:r w:rsidR="002E7D5D">
        <w:t xml:space="preserve">s original jurisdiction </w:t>
      </w:r>
      <w:r w:rsidR="001F2A68">
        <w:t xml:space="preserve">to determine whether abandoned proceeds of Disputed Instruments governed </w:t>
      </w:r>
      <w:r w:rsidR="001F2A68" w:rsidRPr="001F2A68">
        <w:rPr>
          <w:i/>
          <w:iCs/>
        </w:rPr>
        <w:t xml:space="preserve">Disposition of Abandoned Money Orders and </w:t>
      </w:r>
      <w:proofErr w:type="spellStart"/>
      <w:r w:rsidR="001F2A68" w:rsidRPr="001F2A68">
        <w:rPr>
          <w:i/>
          <w:iCs/>
        </w:rPr>
        <w:t>Traveler</w:t>
      </w:r>
      <w:r w:rsidR="008E23B4">
        <w:rPr>
          <w:i/>
          <w:iCs/>
        </w:rPr>
        <w:t>'</w:t>
      </w:r>
      <w:r w:rsidR="001F2A68" w:rsidRPr="001F2A68">
        <w:rPr>
          <w:i/>
          <w:iCs/>
        </w:rPr>
        <w:t>s</w:t>
      </w:r>
      <w:proofErr w:type="spellEnd"/>
      <w:r w:rsidR="001F2A68" w:rsidRPr="001F2A68">
        <w:rPr>
          <w:i/>
          <w:iCs/>
        </w:rPr>
        <w:t xml:space="preserve"> Checks Act</w:t>
      </w:r>
      <w:r w:rsidR="001F2A68" w:rsidRPr="001F2A68">
        <w:t xml:space="preserve"> (</w:t>
      </w:r>
      <w:r w:rsidR="008E23B4">
        <w:t>"</w:t>
      </w:r>
      <w:r w:rsidR="001F2A68" w:rsidRPr="001F2A68">
        <w:t>FDA</w:t>
      </w:r>
      <w:r w:rsidR="008E23B4">
        <w:t>"</w:t>
      </w:r>
      <w:r w:rsidR="001F2A68" w:rsidRPr="001F2A68">
        <w:t xml:space="preserve">) rather than </w:t>
      </w:r>
      <w:r w:rsidR="001F2A68">
        <w:t>common law – Where FDA provides money order or other similar instrument should generally escheat to State in which such instrument purchased (</w:t>
      </w:r>
      <w:r w:rsidR="001F2A68" w:rsidRPr="001F2A68">
        <w:t xml:space="preserve">12 </w:t>
      </w:r>
      <w:r w:rsidR="001F2A68">
        <w:t>USC</w:t>
      </w:r>
      <w:r w:rsidR="001F2A68" w:rsidRPr="001F2A68">
        <w:t xml:space="preserve"> §2503</w:t>
      </w:r>
      <w:r w:rsidR="001F2A68">
        <w:t>) – Where Court consolidated actions and appointed Special Master – Where Special Master, in First Interim Report, concluded Disputed Instruments were covered by FDA – Where Special Master reassessed after oral argument in Supreme Court and issued second report, concluding many of Disputed Instruments were or could be third party bank checks excluded from FDA</w:t>
      </w:r>
      <w:r w:rsidR="00453DEB">
        <w:t xml:space="preserve"> – Whether </w:t>
      </w:r>
      <w:r w:rsidR="00453DEB" w:rsidRPr="00453DEB">
        <w:t xml:space="preserve">Disputed Instruments </w:t>
      </w:r>
      <w:r w:rsidR="00453DEB">
        <w:t>constitute</w:t>
      </w:r>
      <w:r w:rsidR="00453DEB" w:rsidRPr="00453DEB">
        <w:t xml:space="preserve"> money order</w:t>
      </w:r>
      <w:r w:rsidR="00453DEB">
        <w:t>s so as</w:t>
      </w:r>
      <w:r w:rsidR="00453DEB" w:rsidRPr="00453DEB">
        <w:t xml:space="preserve"> to fall within FDA</w:t>
      </w:r>
      <w:r w:rsidR="00453DEB">
        <w:t xml:space="preserve">. </w:t>
      </w:r>
    </w:p>
    <w:p w14:paraId="5FF47DD6" w14:textId="77777777" w:rsidR="008A1F4D" w:rsidRPr="005E2809" w:rsidRDefault="008A1F4D" w:rsidP="008A1F4D">
      <w:pPr>
        <w:pStyle w:val="Catchwords"/>
      </w:pPr>
    </w:p>
    <w:p w14:paraId="418C6C55" w14:textId="43F09606" w:rsidR="008A1F4D" w:rsidRDefault="008A1F4D" w:rsidP="008A1F4D">
      <w:pPr>
        <w:rPr>
          <w:lang w:eastAsia="en-AU"/>
        </w:rPr>
      </w:pPr>
      <w:r>
        <w:rPr>
          <w:b/>
          <w:bCs/>
          <w:lang w:eastAsia="en-AU"/>
        </w:rPr>
        <w:lastRenderedPageBreak/>
        <w:t>Held (9:0</w:t>
      </w:r>
      <w:r w:rsidR="00635934">
        <w:rPr>
          <w:b/>
          <w:bCs/>
          <w:lang w:eastAsia="en-AU"/>
        </w:rPr>
        <w:t>; 5:4 (</w:t>
      </w:r>
      <w:r w:rsidR="00592106">
        <w:rPr>
          <w:b/>
          <w:bCs/>
          <w:lang w:eastAsia="en-AU"/>
        </w:rPr>
        <w:t>Thomas, Alito,</w:t>
      </w:r>
      <w:r w:rsidR="006A718E">
        <w:rPr>
          <w:b/>
          <w:bCs/>
          <w:lang w:eastAsia="en-AU"/>
        </w:rPr>
        <w:t xml:space="preserve"> Gorsuch and Barrett JJ dissenting in part</w:t>
      </w:r>
      <w:r w:rsidR="00635934">
        <w:rPr>
          <w:b/>
          <w:bCs/>
          <w:lang w:eastAsia="en-AU"/>
        </w:rPr>
        <w:t>)</w:t>
      </w:r>
      <w:r>
        <w:rPr>
          <w:b/>
          <w:bCs/>
          <w:lang w:eastAsia="en-AU"/>
        </w:rPr>
        <w:t>):</w:t>
      </w:r>
      <w:r w:rsidRPr="00FD6C82">
        <w:rPr>
          <w:lang w:eastAsia="en-AU"/>
        </w:rPr>
        <w:t xml:space="preserve"> </w:t>
      </w:r>
      <w:r w:rsidR="006A718E">
        <w:rPr>
          <w:lang w:eastAsia="en-AU"/>
        </w:rPr>
        <w:t>e</w:t>
      </w:r>
      <w:r w:rsidR="006A718E" w:rsidRPr="006A718E">
        <w:rPr>
          <w:lang w:eastAsia="en-AU"/>
        </w:rPr>
        <w:t>xceptions to Special Master</w:t>
      </w:r>
      <w:r w:rsidR="008E23B4">
        <w:rPr>
          <w:lang w:eastAsia="en-AU"/>
        </w:rPr>
        <w:t>'</w:t>
      </w:r>
      <w:r w:rsidR="006A718E" w:rsidRPr="006A718E">
        <w:rPr>
          <w:lang w:eastAsia="en-AU"/>
        </w:rPr>
        <w:t>s First Interim Report overruled; First Interim Report and order adopted to the extent consistent with opinion; and cases remanded.</w:t>
      </w:r>
    </w:p>
    <w:p w14:paraId="24523FD6" w14:textId="77777777" w:rsidR="00095860" w:rsidRDefault="00095860" w:rsidP="00540AA3">
      <w:pPr>
        <w:pStyle w:val="BullDivider1"/>
      </w:pPr>
    </w:p>
    <w:p w14:paraId="624AA8DC" w14:textId="77777777" w:rsidR="00095860" w:rsidRDefault="00095860" w:rsidP="00095860">
      <w:pPr>
        <w:rPr>
          <w:lang w:eastAsia="en-AU"/>
        </w:rPr>
      </w:pPr>
    </w:p>
    <w:p w14:paraId="653CF9E8" w14:textId="241EC296" w:rsidR="00095860" w:rsidRDefault="00540AA3" w:rsidP="00540AA3">
      <w:pPr>
        <w:pStyle w:val="Heading2"/>
      </w:pPr>
      <w:r>
        <w:t>Sara &amp; Hossein Asset Holdings Ltd (a company incorporated in the British Virgin Islands) v Blacks Outdoor Retail Ltd</w:t>
      </w:r>
    </w:p>
    <w:p w14:paraId="6F4C1F08" w14:textId="04D7EC93" w:rsidR="00095860" w:rsidRPr="00F77F62" w:rsidRDefault="00095860" w:rsidP="00095860">
      <w:pPr>
        <w:rPr>
          <w:lang w:eastAsia="en-AU"/>
        </w:rPr>
      </w:pPr>
      <w:r>
        <w:rPr>
          <w:b/>
          <w:bCs/>
          <w:lang w:eastAsia="en-AU"/>
        </w:rPr>
        <w:t>Supreme Court of the United Kingdom</w:t>
      </w:r>
      <w:r w:rsidRPr="006B0D58">
        <w:rPr>
          <w:b/>
          <w:bCs/>
          <w:lang w:eastAsia="en-AU"/>
        </w:rPr>
        <w:t>:</w:t>
      </w:r>
      <w:r>
        <w:rPr>
          <w:b/>
          <w:bCs/>
          <w:lang w:eastAsia="en-AU"/>
        </w:rPr>
        <w:t xml:space="preserve"> </w:t>
      </w:r>
      <w:hyperlink r:id="rId26" w:history="1">
        <w:r w:rsidR="00540AA3">
          <w:rPr>
            <w:rStyle w:val="Hyperlink"/>
            <w:lang w:eastAsia="en-AU"/>
          </w:rPr>
          <w:t>[2023] UKSC 2</w:t>
        </w:r>
      </w:hyperlink>
    </w:p>
    <w:p w14:paraId="564F695F" w14:textId="77777777" w:rsidR="00095860" w:rsidRDefault="00095860" w:rsidP="00095860">
      <w:pPr>
        <w:rPr>
          <w:lang w:eastAsia="en-AU"/>
        </w:rPr>
      </w:pPr>
    </w:p>
    <w:p w14:paraId="3F8A37E8" w14:textId="4E1F7CFA" w:rsidR="00095860" w:rsidRPr="00DB68FF" w:rsidRDefault="00095860" w:rsidP="00095860">
      <w:pPr>
        <w:rPr>
          <w:lang w:eastAsia="en-AU"/>
        </w:rPr>
      </w:pPr>
      <w:r>
        <w:rPr>
          <w:b/>
          <w:bCs/>
          <w:lang w:eastAsia="en-AU"/>
        </w:rPr>
        <w:t xml:space="preserve">Reasons delivered: </w:t>
      </w:r>
      <w:r>
        <w:rPr>
          <w:lang w:eastAsia="en-AU"/>
        </w:rPr>
        <w:t>1</w:t>
      </w:r>
      <w:r w:rsidR="00540AA3">
        <w:rPr>
          <w:lang w:eastAsia="en-AU"/>
        </w:rPr>
        <w:t>8</w:t>
      </w:r>
      <w:r>
        <w:rPr>
          <w:lang w:eastAsia="en-AU"/>
        </w:rPr>
        <w:t xml:space="preserve"> </w:t>
      </w:r>
      <w:r w:rsidR="00540AA3">
        <w:rPr>
          <w:lang w:eastAsia="en-AU"/>
        </w:rPr>
        <w:t>January</w:t>
      </w:r>
      <w:r>
        <w:rPr>
          <w:lang w:eastAsia="en-AU"/>
        </w:rPr>
        <w:t xml:space="preserve"> 2023</w:t>
      </w:r>
    </w:p>
    <w:p w14:paraId="348F8351" w14:textId="77777777" w:rsidR="00095860" w:rsidRDefault="00095860" w:rsidP="00095860">
      <w:pPr>
        <w:rPr>
          <w:b/>
          <w:bCs/>
          <w:lang w:eastAsia="en-AU"/>
        </w:rPr>
      </w:pPr>
    </w:p>
    <w:p w14:paraId="00AD9192" w14:textId="4DF3334C" w:rsidR="00095860" w:rsidRPr="00DB68FF" w:rsidRDefault="00095860" w:rsidP="00095860">
      <w:pPr>
        <w:rPr>
          <w:lang w:eastAsia="en-AU"/>
        </w:rPr>
      </w:pPr>
      <w:r>
        <w:rPr>
          <w:b/>
          <w:bCs/>
          <w:lang w:eastAsia="en-AU"/>
        </w:rPr>
        <w:t>Coram:</w:t>
      </w:r>
      <w:r w:rsidRPr="00DB68FF">
        <w:t xml:space="preserve"> </w:t>
      </w:r>
      <w:r>
        <w:rPr>
          <w:lang w:eastAsia="en-AU"/>
        </w:rPr>
        <w:t xml:space="preserve">Lord </w:t>
      </w:r>
      <w:r w:rsidR="00540AA3">
        <w:rPr>
          <w:lang w:eastAsia="en-AU"/>
        </w:rPr>
        <w:t>Hodge, Lord Briggs, Lord Kitchin, Lord Sales and Lord Hamblen</w:t>
      </w:r>
    </w:p>
    <w:p w14:paraId="1DB64B08" w14:textId="77777777" w:rsidR="00095860" w:rsidRDefault="00095860" w:rsidP="00095860">
      <w:pPr>
        <w:rPr>
          <w:b/>
          <w:bCs/>
          <w:lang w:eastAsia="en-AU"/>
        </w:rPr>
      </w:pPr>
    </w:p>
    <w:p w14:paraId="75694633" w14:textId="77777777" w:rsidR="00095860" w:rsidRDefault="00095860" w:rsidP="00095860">
      <w:pPr>
        <w:rPr>
          <w:b/>
          <w:bCs/>
          <w:lang w:eastAsia="en-AU"/>
        </w:rPr>
      </w:pPr>
      <w:r>
        <w:rPr>
          <w:b/>
          <w:bCs/>
          <w:lang w:eastAsia="en-AU"/>
        </w:rPr>
        <w:t>Catchwords:</w:t>
      </w:r>
    </w:p>
    <w:p w14:paraId="62B70521" w14:textId="77777777" w:rsidR="00095860" w:rsidRDefault="00095860" w:rsidP="00095860">
      <w:pPr>
        <w:rPr>
          <w:b/>
          <w:bCs/>
          <w:lang w:eastAsia="en-AU"/>
        </w:rPr>
      </w:pPr>
    </w:p>
    <w:p w14:paraId="224CA91E" w14:textId="1467C249" w:rsidR="00095860" w:rsidRPr="004B4F9D" w:rsidRDefault="00540AA3" w:rsidP="00483E62">
      <w:pPr>
        <w:pStyle w:val="Catchwords"/>
      </w:pPr>
      <w:r>
        <w:t xml:space="preserve">Property – Real </w:t>
      </w:r>
      <w:r w:rsidR="003D0BFE">
        <w:t>p</w:t>
      </w:r>
      <w:r>
        <w:t xml:space="preserve">roperty </w:t>
      </w:r>
      <w:r w:rsidR="00BD37BB">
        <w:t xml:space="preserve">– Lease </w:t>
      </w:r>
      <w:r w:rsidR="004E6C4A">
        <w:t xml:space="preserve">– Service charge – Landlord certification of sum payable – Where </w:t>
      </w:r>
      <w:r w:rsidR="00CD74F6">
        <w:t>appellant tenant</w:t>
      </w:r>
      <w:r w:rsidR="005C2B86">
        <w:t xml:space="preserve"> rented commercial </w:t>
      </w:r>
      <w:r w:rsidR="00FD5DD9">
        <w:t xml:space="preserve">property from respondent </w:t>
      </w:r>
      <w:r w:rsidR="00F27A20">
        <w:t>– Where respondent claimed service charge arrears from appellant under leases – Where leases provided</w:t>
      </w:r>
      <w:r w:rsidR="00B878B6">
        <w:t xml:space="preserve"> landlord should provide certificate as to amount of total cost and sum payable by tenant and that this was</w:t>
      </w:r>
      <w:r w:rsidR="009D50DA">
        <w:t xml:space="preserve"> </w:t>
      </w:r>
      <w:r w:rsidR="00B878B6">
        <w:t xml:space="preserve">to be </w:t>
      </w:r>
      <w:r w:rsidR="008E23B4">
        <w:t>"</w:t>
      </w:r>
      <w:r w:rsidR="00B878B6">
        <w:t>conclusive</w:t>
      </w:r>
      <w:r w:rsidR="008E23B4">
        <w:t>"</w:t>
      </w:r>
      <w:r w:rsidR="00B878B6">
        <w:t xml:space="preserve"> in absence of </w:t>
      </w:r>
      <w:r w:rsidR="008E23B4">
        <w:t>"</w:t>
      </w:r>
      <w:r w:rsidR="00B878B6">
        <w:t>manifest or mathematical error or fraud</w:t>
      </w:r>
      <w:r w:rsidR="008E23B4">
        <w:t>"</w:t>
      </w:r>
      <w:r w:rsidR="00863F9C">
        <w:t xml:space="preserve"> </w:t>
      </w:r>
      <w:r w:rsidR="008D140A">
        <w:t>–</w:t>
      </w:r>
      <w:r w:rsidR="00863F9C">
        <w:t xml:space="preserve"> Where</w:t>
      </w:r>
      <w:r w:rsidR="008D140A">
        <w:t xml:space="preserve"> </w:t>
      </w:r>
      <w:r w:rsidR="00863F9C">
        <w:t xml:space="preserve">appellant argued </w:t>
      </w:r>
      <w:r w:rsidR="0006734A">
        <w:t>certification conclusive as to amount of costs incurred by landlord but not as to tenant</w:t>
      </w:r>
      <w:r w:rsidR="008E23B4">
        <w:t>'</w:t>
      </w:r>
      <w:r w:rsidR="0006734A">
        <w:t xml:space="preserve">s service charge liability </w:t>
      </w:r>
      <w:r w:rsidR="00543C8E">
        <w:t>–</w:t>
      </w:r>
      <w:r w:rsidR="0006734A">
        <w:t xml:space="preserve"> </w:t>
      </w:r>
      <w:r w:rsidR="00543C8E">
        <w:t xml:space="preserve">Where respondent </w:t>
      </w:r>
      <w:r w:rsidR="00483E62">
        <w:t>made application for summary judgment in respect of money claim for certified service charges, which was dismissed by Deputy Master in High Court</w:t>
      </w:r>
      <w:r w:rsidR="00543C8E">
        <w:t xml:space="preserve"> – Where respondent</w:t>
      </w:r>
      <w:r w:rsidR="008E23B4">
        <w:t>'</w:t>
      </w:r>
      <w:r w:rsidR="00543C8E">
        <w:t>s</w:t>
      </w:r>
      <w:r w:rsidR="00483E62">
        <w:t xml:space="preserve"> appeal dismissed by Deputy Judge of High Court</w:t>
      </w:r>
      <w:r w:rsidR="00543C8E">
        <w:t xml:space="preserve">, but </w:t>
      </w:r>
      <w:r w:rsidR="00483E62">
        <w:t xml:space="preserve">Court of Appeal allowed </w:t>
      </w:r>
      <w:r w:rsidR="00543C8E">
        <w:t>respondent</w:t>
      </w:r>
      <w:r w:rsidR="008E23B4">
        <w:t>'</w:t>
      </w:r>
      <w:r w:rsidR="00543C8E">
        <w:t>s</w:t>
      </w:r>
      <w:r w:rsidR="00483E62">
        <w:t xml:space="preserve"> second appeal</w:t>
      </w:r>
      <w:r w:rsidR="00F35F1F">
        <w:t xml:space="preserve"> – Whether respondent</w:t>
      </w:r>
      <w:r w:rsidR="008E23B4">
        <w:t>'</w:t>
      </w:r>
      <w:r w:rsidR="00F35F1F">
        <w:t xml:space="preserve">s certification of service charge has </w:t>
      </w:r>
      <w:r w:rsidR="008E23B4">
        <w:t>"</w:t>
      </w:r>
      <w:r w:rsidR="00E72B18">
        <w:t>conclusive</w:t>
      </w:r>
      <w:r w:rsidR="008E23B4">
        <w:t>"</w:t>
      </w:r>
      <w:r w:rsidR="00E72B18">
        <w:t xml:space="preserve"> effect </w:t>
      </w:r>
      <w:r w:rsidR="00B912FE">
        <w:t>for appellant</w:t>
      </w:r>
      <w:r w:rsidR="008E23B4">
        <w:t>'</w:t>
      </w:r>
      <w:r w:rsidR="00B912FE">
        <w:t xml:space="preserve">s liability. </w:t>
      </w:r>
    </w:p>
    <w:p w14:paraId="7200AD7A" w14:textId="77777777" w:rsidR="00095860" w:rsidRPr="005E2809" w:rsidRDefault="00095860" w:rsidP="00095860">
      <w:pPr>
        <w:pStyle w:val="Catchwords"/>
      </w:pPr>
    </w:p>
    <w:p w14:paraId="1F0C0966" w14:textId="06D4C68F" w:rsidR="00095860" w:rsidRDefault="00095860" w:rsidP="00095860">
      <w:pPr>
        <w:rPr>
          <w:lang w:eastAsia="en-AU"/>
        </w:rPr>
      </w:pPr>
      <w:r>
        <w:rPr>
          <w:b/>
          <w:bCs/>
          <w:lang w:eastAsia="en-AU"/>
        </w:rPr>
        <w:t>Held (</w:t>
      </w:r>
      <w:r w:rsidR="00006A55">
        <w:rPr>
          <w:b/>
          <w:bCs/>
          <w:lang w:eastAsia="en-AU"/>
        </w:rPr>
        <w:t>4</w:t>
      </w:r>
      <w:r>
        <w:rPr>
          <w:b/>
          <w:bCs/>
          <w:lang w:eastAsia="en-AU"/>
        </w:rPr>
        <w:t>:</w:t>
      </w:r>
      <w:r w:rsidR="00006A55">
        <w:rPr>
          <w:b/>
          <w:bCs/>
          <w:lang w:eastAsia="en-AU"/>
        </w:rPr>
        <w:t>1</w:t>
      </w:r>
      <w:r>
        <w:rPr>
          <w:b/>
          <w:bCs/>
          <w:lang w:eastAsia="en-AU"/>
        </w:rPr>
        <w:t>):</w:t>
      </w:r>
      <w:r w:rsidRPr="00FD6C82">
        <w:rPr>
          <w:lang w:eastAsia="en-AU"/>
        </w:rPr>
        <w:t xml:space="preserve"> </w:t>
      </w:r>
      <w:r>
        <w:rPr>
          <w:lang w:eastAsia="en-AU"/>
        </w:rPr>
        <w:t xml:space="preserve">Appeal </w:t>
      </w:r>
      <w:r w:rsidR="00006A55">
        <w:rPr>
          <w:lang w:eastAsia="en-AU"/>
        </w:rPr>
        <w:t>allowed in part</w:t>
      </w:r>
      <w:r>
        <w:rPr>
          <w:lang w:eastAsia="en-AU"/>
        </w:rPr>
        <w:t xml:space="preserve">.   </w:t>
      </w:r>
    </w:p>
    <w:p w14:paraId="2BD14D12" w14:textId="77777777" w:rsidR="00095860" w:rsidRDefault="00095860" w:rsidP="00095860">
      <w:pPr>
        <w:pStyle w:val="BullDivider2"/>
      </w:pPr>
    </w:p>
    <w:p w14:paraId="6F0C28A6" w14:textId="77777777" w:rsidR="001550CD" w:rsidRPr="00A3266C" w:rsidRDefault="001550CD" w:rsidP="001550CD">
      <w:pPr>
        <w:rPr>
          <w:lang w:eastAsia="en-AU"/>
        </w:rPr>
      </w:pPr>
    </w:p>
    <w:p w14:paraId="40806210" w14:textId="69376DB4" w:rsidR="001550CD" w:rsidRDefault="001550CD" w:rsidP="001550CD">
      <w:pPr>
        <w:pStyle w:val="Heading1"/>
      </w:pPr>
      <w:r>
        <w:t>Remedies</w:t>
      </w:r>
    </w:p>
    <w:p w14:paraId="183EE019" w14:textId="77777777" w:rsidR="001550CD" w:rsidRDefault="001550CD" w:rsidP="001550CD">
      <w:pPr>
        <w:rPr>
          <w:lang w:eastAsia="en-AU"/>
        </w:rPr>
      </w:pPr>
    </w:p>
    <w:p w14:paraId="3F27E238" w14:textId="77777777" w:rsidR="001550CD" w:rsidRDefault="001550CD" w:rsidP="001550CD">
      <w:pPr>
        <w:pStyle w:val="Heading2"/>
      </w:pPr>
      <w:proofErr w:type="spellStart"/>
      <w:r w:rsidRPr="00AC7A65">
        <w:t>Mfoza</w:t>
      </w:r>
      <w:proofErr w:type="spellEnd"/>
      <w:r w:rsidRPr="00AC7A65">
        <w:t xml:space="preserve"> Service Station (Pty) Ltd v Engen Petroleum Ltd</w:t>
      </w:r>
    </w:p>
    <w:p w14:paraId="781E4E97" w14:textId="77777777" w:rsidR="001550CD" w:rsidRPr="00087C56" w:rsidRDefault="001550CD" w:rsidP="001550CD">
      <w:pPr>
        <w:rPr>
          <w:lang w:eastAsia="en-AU"/>
        </w:rPr>
      </w:pPr>
      <w:r>
        <w:rPr>
          <w:b/>
          <w:bCs/>
          <w:lang w:eastAsia="en-AU"/>
        </w:rPr>
        <w:t>Constitutional Court of South Africa</w:t>
      </w:r>
      <w:r w:rsidRPr="006B0D58">
        <w:rPr>
          <w:b/>
          <w:bCs/>
          <w:lang w:eastAsia="en-AU"/>
        </w:rPr>
        <w:t>:</w:t>
      </w:r>
      <w:r>
        <w:rPr>
          <w:b/>
          <w:bCs/>
          <w:lang w:eastAsia="en-AU"/>
        </w:rPr>
        <w:t xml:space="preserve"> </w:t>
      </w:r>
      <w:hyperlink r:id="rId27" w:history="1">
        <w:r w:rsidRPr="00AC7A65">
          <w:rPr>
            <w:rStyle w:val="Hyperlink"/>
            <w:lang w:eastAsia="en-AU"/>
          </w:rPr>
          <w:t>[2023] ZACC 3</w:t>
        </w:r>
      </w:hyperlink>
    </w:p>
    <w:p w14:paraId="3DB9E54D" w14:textId="77777777" w:rsidR="001550CD" w:rsidRDefault="001550CD" w:rsidP="001550CD">
      <w:pPr>
        <w:rPr>
          <w:lang w:eastAsia="en-AU"/>
        </w:rPr>
      </w:pPr>
    </w:p>
    <w:p w14:paraId="1F9E8AEC" w14:textId="77777777" w:rsidR="001550CD" w:rsidRPr="00DB68FF" w:rsidRDefault="001550CD" w:rsidP="001550CD">
      <w:pPr>
        <w:rPr>
          <w:lang w:eastAsia="en-AU"/>
        </w:rPr>
      </w:pPr>
      <w:r>
        <w:rPr>
          <w:b/>
          <w:bCs/>
          <w:lang w:eastAsia="en-AU"/>
        </w:rPr>
        <w:t xml:space="preserve">Reasons delivered: </w:t>
      </w:r>
      <w:r>
        <w:rPr>
          <w:lang w:eastAsia="en-AU"/>
        </w:rPr>
        <w:t>1 February 2023</w:t>
      </w:r>
    </w:p>
    <w:p w14:paraId="2044524F" w14:textId="77777777" w:rsidR="001550CD" w:rsidRDefault="001550CD" w:rsidP="001550CD">
      <w:pPr>
        <w:rPr>
          <w:b/>
          <w:bCs/>
          <w:lang w:eastAsia="en-AU"/>
        </w:rPr>
      </w:pPr>
    </w:p>
    <w:p w14:paraId="78165A9E" w14:textId="77777777" w:rsidR="001550CD" w:rsidRPr="00DB68FF" w:rsidRDefault="001550CD" w:rsidP="001550CD">
      <w:pPr>
        <w:rPr>
          <w:lang w:eastAsia="en-AU"/>
        </w:rPr>
      </w:pPr>
      <w:r>
        <w:rPr>
          <w:b/>
          <w:bCs/>
          <w:lang w:eastAsia="en-AU"/>
        </w:rPr>
        <w:t>Coram:</w:t>
      </w:r>
      <w:r w:rsidRPr="00C37FA7">
        <w:t xml:space="preserve"> </w:t>
      </w:r>
      <w:proofErr w:type="spellStart"/>
      <w:r w:rsidRPr="00E438BF">
        <w:t>Kollapen</w:t>
      </w:r>
      <w:proofErr w:type="spellEnd"/>
      <w:r w:rsidRPr="00E438BF">
        <w:t xml:space="preserve">, </w:t>
      </w:r>
      <w:proofErr w:type="spellStart"/>
      <w:r w:rsidRPr="00E438BF">
        <w:t>Madlanga</w:t>
      </w:r>
      <w:proofErr w:type="spellEnd"/>
      <w:r w:rsidRPr="00E438BF">
        <w:t xml:space="preserve">, </w:t>
      </w:r>
      <w:proofErr w:type="spellStart"/>
      <w:r w:rsidRPr="00E438BF">
        <w:t>Majiedt</w:t>
      </w:r>
      <w:proofErr w:type="spellEnd"/>
      <w:r w:rsidRPr="00E438BF">
        <w:t xml:space="preserve">, </w:t>
      </w:r>
      <w:proofErr w:type="spellStart"/>
      <w:r w:rsidRPr="00E438BF">
        <w:t>Mathopo</w:t>
      </w:r>
      <w:proofErr w:type="spellEnd"/>
      <w:r w:rsidRPr="00E438BF">
        <w:t>, Mhlantla J</w:t>
      </w:r>
      <w:r>
        <w:t>J</w:t>
      </w:r>
      <w:r w:rsidRPr="00E438BF">
        <w:t xml:space="preserve">, Mlambo AJ, Theron, </w:t>
      </w:r>
      <w:proofErr w:type="spellStart"/>
      <w:r w:rsidRPr="00E438BF">
        <w:t>Tshiqi</w:t>
      </w:r>
      <w:proofErr w:type="spellEnd"/>
      <w:r w:rsidRPr="00E438BF">
        <w:t xml:space="preserve"> J</w:t>
      </w:r>
      <w:r>
        <w:t>J</w:t>
      </w:r>
      <w:r w:rsidRPr="00E438BF">
        <w:t xml:space="preserve"> and </w:t>
      </w:r>
      <w:proofErr w:type="spellStart"/>
      <w:r w:rsidRPr="00E438BF">
        <w:t>Unterhalter</w:t>
      </w:r>
      <w:proofErr w:type="spellEnd"/>
      <w:r w:rsidRPr="00E438BF">
        <w:t xml:space="preserve"> AJ</w:t>
      </w:r>
    </w:p>
    <w:p w14:paraId="0C9F48E7" w14:textId="77777777" w:rsidR="001550CD" w:rsidRDefault="001550CD" w:rsidP="001550CD">
      <w:pPr>
        <w:rPr>
          <w:b/>
          <w:bCs/>
          <w:lang w:eastAsia="en-AU"/>
        </w:rPr>
      </w:pPr>
    </w:p>
    <w:p w14:paraId="55BC6FCD" w14:textId="77777777" w:rsidR="001550CD" w:rsidRDefault="001550CD" w:rsidP="001550CD">
      <w:pPr>
        <w:rPr>
          <w:b/>
          <w:bCs/>
          <w:lang w:eastAsia="en-AU"/>
        </w:rPr>
      </w:pPr>
      <w:r>
        <w:rPr>
          <w:b/>
          <w:bCs/>
          <w:lang w:eastAsia="en-AU"/>
        </w:rPr>
        <w:t>Catchwords:</w:t>
      </w:r>
    </w:p>
    <w:p w14:paraId="3919F9EB" w14:textId="77777777" w:rsidR="001550CD" w:rsidRDefault="001550CD" w:rsidP="001550CD">
      <w:pPr>
        <w:rPr>
          <w:b/>
          <w:bCs/>
          <w:lang w:eastAsia="en-AU"/>
        </w:rPr>
      </w:pPr>
    </w:p>
    <w:p w14:paraId="34957C2C" w14:textId="1127509F" w:rsidR="001550CD" w:rsidRPr="004B4F9D" w:rsidRDefault="001550CD" w:rsidP="001550CD">
      <w:pPr>
        <w:pStyle w:val="Catchwords"/>
      </w:pPr>
      <w:r>
        <w:t xml:space="preserve">Remedies – Damages – Arbitration – Award – Powers of arbitrator – Where s </w:t>
      </w:r>
      <w:r w:rsidRPr="004B3F45">
        <w:t xml:space="preserve">12B(4)(a) of </w:t>
      </w:r>
      <w:r w:rsidRPr="004B3F45">
        <w:rPr>
          <w:i/>
          <w:iCs/>
        </w:rPr>
        <w:t>Petroleum Products Act 120 of 1977</w:t>
      </w:r>
      <w:r>
        <w:t xml:space="preserve"> </w:t>
      </w:r>
      <w:r w:rsidRPr="004B3F45">
        <w:t xml:space="preserve">empowers arbitrator to determine whether petroleum wholesalers or retailers have engaged in unfair or unreasonable contractual practices and, if so, to make such award </w:t>
      </w:r>
      <w:r w:rsidRPr="004B3F45">
        <w:lastRenderedPageBreak/>
        <w:t xml:space="preserve">as </w:t>
      </w:r>
      <w:r>
        <w:t>arbitrator</w:t>
      </w:r>
      <w:r w:rsidRPr="004B3F45">
        <w:t xml:space="preserve"> deems necessary to correct such practice</w:t>
      </w:r>
      <w:r>
        <w:t xml:space="preserve"> – Whether damages available remedy under s 12B(4)(a). </w:t>
      </w:r>
    </w:p>
    <w:p w14:paraId="65C9689E" w14:textId="77777777" w:rsidR="001550CD" w:rsidRPr="005E2809" w:rsidRDefault="001550CD" w:rsidP="001550CD">
      <w:pPr>
        <w:pStyle w:val="Catchwords"/>
      </w:pPr>
    </w:p>
    <w:p w14:paraId="7ABF5DEC" w14:textId="77777777" w:rsidR="001550CD" w:rsidRDefault="001550CD" w:rsidP="001550CD">
      <w:pPr>
        <w:rPr>
          <w:lang w:eastAsia="en-AU"/>
        </w:rPr>
      </w:pPr>
      <w:r>
        <w:rPr>
          <w:b/>
          <w:bCs/>
          <w:lang w:eastAsia="en-AU"/>
        </w:rPr>
        <w:t>Held (6:3):</w:t>
      </w:r>
      <w:r w:rsidRPr="00FD6C82">
        <w:rPr>
          <w:lang w:eastAsia="en-AU"/>
        </w:rPr>
        <w:t xml:space="preserve"> </w:t>
      </w:r>
      <w:r>
        <w:rPr>
          <w:lang w:eastAsia="en-AU"/>
        </w:rPr>
        <w:t xml:space="preserve">Leave to appeal granted; appeal dismissed.   </w:t>
      </w:r>
    </w:p>
    <w:p w14:paraId="7054A30A" w14:textId="77777777" w:rsidR="004C07B2" w:rsidRDefault="004C07B2" w:rsidP="004C07B2">
      <w:pPr>
        <w:pStyle w:val="BullDivider1"/>
      </w:pPr>
    </w:p>
    <w:p w14:paraId="79FFB51C" w14:textId="77777777" w:rsidR="004C07B2" w:rsidRPr="0096719F" w:rsidRDefault="004C07B2" w:rsidP="004C07B2">
      <w:pPr>
        <w:rPr>
          <w:lang w:eastAsia="en-AU"/>
        </w:rPr>
      </w:pPr>
    </w:p>
    <w:p w14:paraId="61D3E463" w14:textId="77777777" w:rsidR="004C07B2" w:rsidRDefault="004C07B2" w:rsidP="004C07B2">
      <w:pPr>
        <w:pStyle w:val="Heading2"/>
      </w:pPr>
      <w:r w:rsidRPr="00871EAF">
        <w:t>Rissik Street One Stop CC t/a Rissik Street Engen v Engen Petroleum Ltd</w:t>
      </w:r>
    </w:p>
    <w:p w14:paraId="18ED957D" w14:textId="77777777" w:rsidR="004C07B2" w:rsidRPr="000711B1" w:rsidRDefault="004C07B2" w:rsidP="004C07B2">
      <w:pPr>
        <w:rPr>
          <w:lang w:eastAsia="en-AU"/>
        </w:rPr>
      </w:pPr>
      <w:r>
        <w:rPr>
          <w:b/>
          <w:bCs/>
          <w:lang w:eastAsia="en-AU"/>
        </w:rPr>
        <w:t>Constitutional Court of South Africa</w:t>
      </w:r>
      <w:r w:rsidRPr="006B0D58">
        <w:rPr>
          <w:b/>
          <w:bCs/>
          <w:lang w:eastAsia="en-AU"/>
        </w:rPr>
        <w:t>:</w:t>
      </w:r>
      <w:r>
        <w:rPr>
          <w:b/>
          <w:bCs/>
          <w:lang w:eastAsia="en-AU"/>
        </w:rPr>
        <w:t xml:space="preserve"> </w:t>
      </w:r>
      <w:hyperlink r:id="rId28" w:history="1">
        <w:r w:rsidRPr="000711B1">
          <w:rPr>
            <w:rStyle w:val="Hyperlink"/>
            <w:lang w:eastAsia="en-AU"/>
          </w:rPr>
          <w:t>[2023] ZACC 4</w:t>
        </w:r>
      </w:hyperlink>
    </w:p>
    <w:p w14:paraId="6D8CA8FC" w14:textId="77777777" w:rsidR="004C07B2" w:rsidRDefault="004C07B2" w:rsidP="004C07B2">
      <w:pPr>
        <w:rPr>
          <w:lang w:eastAsia="en-AU"/>
        </w:rPr>
      </w:pPr>
    </w:p>
    <w:p w14:paraId="483BBDD0" w14:textId="77777777" w:rsidR="004C07B2" w:rsidRPr="00DB68FF" w:rsidRDefault="004C07B2" w:rsidP="004C07B2">
      <w:pPr>
        <w:rPr>
          <w:lang w:eastAsia="en-AU"/>
        </w:rPr>
      </w:pPr>
      <w:r>
        <w:rPr>
          <w:b/>
          <w:bCs/>
          <w:lang w:eastAsia="en-AU"/>
        </w:rPr>
        <w:t xml:space="preserve">Reasons delivered: </w:t>
      </w:r>
      <w:r>
        <w:rPr>
          <w:lang w:eastAsia="en-AU"/>
        </w:rPr>
        <w:t>1 February 2023</w:t>
      </w:r>
    </w:p>
    <w:p w14:paraId="36EDAE8D" w14:textId="77777777" w:rsidR="004C07B2" w:rsidRDefault="004C07B2" w:rsidP="004C07B2">
      <w:pPr>
        <w:rPr>
          <w:b/>
          <w:bCs/>
          <w:lang w:eastAsia="en-AU"/>
        </w:rPr>
      </w:pPr>
    </w:p>
    <w:p w14:paraId="574E36D4" w14:textId="77777777" w:rsidR="004C07B2" w:rsidRPr="00DB68FF" w:rsidRDefault="004C07B2" w:rsidP="004C07B2">
      <w:pPr>
        <w:rPr>
          <w:lang w:eastAsia="en-AU"/>
        </w:rPr>
      </w:pPr>
      <w:r>
        <w:rPr>
          <w:b/>
          <w:bCs/>
          <w:lang w:eastAsia="en-AU"/>
        </w:rPr>
        <w:t>Coram:</w:t>
      </w:r>
      <w:r w:rsidRPr="00C37FA7">
        <w:t xml:space="preserve"> </w:t>
      </w:r>
      <w:proofErr w:type="spellStart"/>
      <w:r w:rsidRPr="000711B1">
        <w:t>Zondo</w:t>
      </w:r>
      <w:proofErr w:type="spellEnd"/>
      <w:r w:rsidRPr="000711B1">
        <w:t xml:space="preserve"> CJ, </w:t>
      </w:r>
      <w:proofErr w:type="spellStart"/>
      <w:r w:rsidRPr="000711B1">
        <w:t>Baqwa</w:t>
      </w:r>
      <w:proofErr w:type="spellEnd"/>
      <w:r w:rsidRPr="000711B1">
        <w:t xml:space="preserve"> AJ, </w:t>
      </w:r>
      <w:proofErr w:type="spellStart"/>
      <w:r w:rsidRPr="000711B1">
        <w:t>Kollapen</w:t>
      </w:r>
      <w:proofErr w:type="spellEnd"/>
      <w:r w:rsidRPr="000711B1">
        <w:t xml:space="preserve">, </w:t>
      </w:r>
      <w:proofErr w:type="spellStart"/>
      <w:r w:rsidRPr="000711B1">
        <w:t>Madlanga</w:t>
      </w:r>
      <w:proofErr w:type="spellEnd"/>
      <w:r w:rsidRPr="000711B1">
        <w:t xml:space="preserve">, </w:t>
      </w:r>
      <w:proofErr w:type="spellStart"/>
      <w:r w:rsidRPr="000711B1">
        <w:t>Majiedt</w:t>
      </w:r>
      <w:proofErr w:type="spellEnd"/>
      <w:r w:rsidRPr="000711B1">
        <w:t xml:space="preserve"> J</w:t>
      </w:r>
      <w:r>
        <w:t>J</w:t>
      </w:r>
      <w:r w:rsidRPr="000711B1">
        <w:t>, Mbatha AJ, Mhlantla, Rogers and Tshiqi J</w:t>
      </w:r>
      <w:r>
        <w:t>J</w:t>
      </w:r>
    </w:p>
    <w:p w14:paraId="6E9A5A86" w14:textId="77777777" w:rsidR="004C07B2" w:rsidRDefault="004C07B2" w:rsidP="004C07B2">
      <w:pPr>
        <w:rPr>
          <w:b/>
          <w:bCs/>
          <w:lang w:eastAsia="en-AU"/>
        </w:rPr>
      </w:pPr>
    </w:p>
    <w:p w14:paraId="328FBC05" w14:textId="77777777" w:rsidR="004C07B2" w:rsidRDefault="004C07B2" w:rsidP="004C07B2">
      <w:pPr>
        <w:rPr>
          <w:b/>
          <w:bCs/>
          <w:lang w:eastAsia="en-AU"/>
        </w:rPr>
      </w:pPr>
      <w:r>
        <w:rPr>
          <w:b/>
          <w:bCs/>
          <w:lang w:eastAsia="en-AU"/>
        </w:rPr>
        <w:t>Catchwords:</w:t>
      </w:r>
    </w:p>
    <w:p w14:paraId="4F2CD0AD" w14:textId="77777777" w:rsidR="004C07B2" w:rsidRDefault="004C07B2" w:rsidP="004C07B2">
      <w:pPr>
        <w:rPr>
          <w:b/>
          <w:bCs/>
          <w:lang w:eastAsia="en-AU"/>
        </w:rPr>
      </w:pPr>
    </w:p>
    <w:p w14:paraId="054E53EB" w14:textId="6119E1DC" w:rsidR="004C07B2" w:rsidRPr="004B4F9D" w:rsidRDefault="004C07B2" w:rsidP="004C07B2">
      <w:pPr>
        <w:pStyle w:val="Catchwords"/>
      </w:pPr>
      <w:r>
        <w:t xml:space="preserve">Remedies </w:t>
      </w:r>
      <w:r w:rsidR="00E4274F">
        <w:t>–</w:t>
      </w:r>
      <w:r>
        <w:t xml:space="preserve"> </w:t>
      </w:r>
      <w:r w:rsidR="00E73D1A">
        <w:t>Statutory power</w:t>
      </w:r>
      <w:r>
        <w:t xml:space="preserve"> – Purpose – </w:t>
      </w:r>
      <w:r w:rsidR="007B29D9">
        <w:t xml:space="preserve">Where first applicant </w:t>
      </w:r>
      <w:r w:rsidR="00D85F34">
        <w:t>and respondent parties to operating lease</w:t>
      </w:r>
      <w:r w:rsidR="00B30A0C">
        <w:t xml:space="preserve"> – Where </w:t>
      </w:r>
      <w:r w:rsidR="002E4E72">
        <w:t xml:space="preserve">dispute arose between parties </w:t>
      </w:r>
      <w:r w:rsidR="009E294D">
        <w:t xml:space="preserve">regarding right of sale in operating lease and dispute submitted to arbitration pursuant to s </w:t>
      </w:r>
      <w:r w:rsidR="00260476">
        <w:t xml:space="preserve">12B of </w:t>
      </w:r>
      <w:r w:rsidR="00260476" w:rsidRPr="00D40C67">
        <w:rPr>
          <w:i/>
          <w:iCs/>
        </w:rPr>
        <w:t>Petroleum Products Act 120 of 1977</w:t>
      </w:r>
      <w:r w:rsidR="00D40C67">
        <w:t xml:space="preserve"> (</w:t>
      </w:r>
      <w:r w:rsidR="008E23B4">
        <w:t>"</w:t>
      </w:r>
      <w:r w:rsidR="00D40C67">
        <w:t>PPA</w:t>
      </w:r>
      <w:r w:rsidR="008E23B4">
        <w:t>"</w:t>
      </w:r>
      <w:r w:rsidR="00D40C67">
        <w:t>) – Where</w:t>
      </w:r>
      <w:r w:rsidR="006139C0">
        <w:t xml:space="preserve">, pursuant to </w:t>
      </w:r>
      <w:r w:rsidR="00252E94">
        <w:t>s</w:t>
      </w:r>
      <w:r w:rsidR="00D40C67">
        <w:t xml:space="preserve"> </w:t>
      </w:r>
      <w:r w:rsidR="00C23738">
        <w:t xml:space="preserve">12B(4)(a) </w:t>
      </w:r>
      <w:r w:rsidR="008F41C3">
        <w:t xml:space="preserve">arbitrator has power to </w:t>
      </w:r>
      <w:r w:rsidR="00A01D9E">
        <w:t>determine whether alleged contractual practices unfair or unreasonable and, if so</w:t>
      </w:r>
      <w:r w:rsidR="00655863">
        <w:t xml:space="preserve">, to make award deemed necessary </w:t>
      </w:r>
      <w:r w:rsidR="004F140B">
        <w:t xml:space="preserve">to correct such practice – </w:t>
      </w:r>
      <w:r>
        <w:t>Whether arbitrator has remedial power pursuant to 12B(4)</w:t>
      </w:r>
      <w:r w:rsidR="00AA0424">
        <w:t>(a)</w:t>
      </w:r>
      <w:r>
        <w:t xml:space="preserve"> of PPA to allow party to agreement to continue in occupation of leased premises after expiration of operating lease in circumstances where neither renewal nor extension of operating lease sought, but where continued occupation may be necessary to correct unfair or unreasonable contractual practice – Whether party who submits request for referral to arbitration in terms of s 12B of PPA obliged, at time of request, to set out nature of relief sought – Whether court can grant stay of eviction proceedings pending determination of arbitration under section 12B of PPA. </w:t>
      </w:r>
    </w:p>
    <w:p w14:paraId="28F61465" w14:textId="77777777" w:rsidR="004C07B2" w:rsidRPr="005E2809" w:rsidRDefault="004C07B2" w:rsidP="004C07B2">
      <w:pPr>
        <w:pStyle w:val="Catchwords"/>
      </w:pPr>
    </w:p>
    <w:p w14:paraId="03793F1C" w14:textId="77777777" w:rsidR="004C07B2" w:rsidRDefault="004C07B2" w:rsidP="004C07B2">
      <w:pPr>
        <w:rPr>
          <w:lang w:eastAsia="en-AU"/>
        </w:rPr>
      </w:pPr>
      <w:r>
        <w:rPr>
          <w:b/>
          <w:bCs/>
          <w:lang w:eastAsia="en-AU"/>
        </w:rPr>
        <w:t>Held (9:0):</w:t>
      </w:r>
      <w:r w:rsidRPr="00FD6C82">
        <w:rPr>
          <w:lang w:eastAsia="en-AU"/>
        </w:rPr>
        <w:t xml:space="preserve"> </w:t>
      </w:r>
      <w:r>
        <w:rPr>
          <w:lang w:eastAsia="en-AU"/>
        </w:rPr>
        <w:t xml:space="preserve">Leave to appeal granted; appeal upheld.   </w:t>
      </w:r>
    </w:p>
    <w:p w14:paraId="1A830F7D" w14:textId="77777777" w:rsidR="001550CD" w:rsidRDefault="001550CD" w:rsidP="001550CD">
      <w:pPr>
        <w:pStyle w:val="BullDivider2"/>
      </w:pPr>
    </w:p>
    <w:p w14:paraId="3320136A" w14:textId="77777777" w:rsidR="008A1F4D" w:rsidRPr="008A1F4D" w:rsidRDefault="008A1F4D" w:rsidP="008A1F4D">
      <w:pPr>
        <w:rPr>
          <w:lang w:eastAsia="en-AU"/>
        </w:rPr>
      </w:pPr>
    </w:p>
    <w:p w14:paraId="21B96103" w14:textId="42D803D6" w:rsidR="00862145" w:rsidRDefault="00862145" w:rsidP="00862145">
      <w:pPr>
        <w:pStyle w:val="Heading1"/>
      </w:pPr>
      <w:r>
        <w:t>Statutory Interpretation</w:t>
      </w:r>
    </w:p>
    <w:p w14:paraId="4EA57766" w14:textId="3CE25880" w:rsidR="00DB6AB9" w:rsidRDefault="00DB6AB9" w:rsidP="00DB6AB9">
      <w:pPr>
        <w:rPr>
          <w:lang w:eastAsia="en-AU"/>
        </w:rPr>
      </w:pPr>
    </w:p>
    <w:p w14:paraId="45EF8E8C" w14:textId="7054BC92" w:rsidR="00DB6AB9" w:rsidRDefault="00DB6AB9" w:rsidP="00DB6AB9">
      <w:pPr>
        <w:pStyle w:val="Heading2"/>
      </w:pPr>
      <w:r>
        <w:t xml:space="preserve">Bittner v United States </w:t>
      </w:r>
    </w:p>
    <w:p w14:paraId="123C6A7A" w14:textId="4BC5E76C" w:rsidR="00DB6AB9" w:rsidRPr="00F77F62" w:rsidRDefault="00DB6AB9" w:rsidP="00DB6AB9">
      <w:pPr>
        <w:rPr>
          <w:lang w:eastAsia="en-AU"/>
        </w:rPr>
      </w:pPr>
      <w:r>
        <w:rPr>
          <w:b/>
          <w:bCs/>
          <w:lang w:eastAsia="en-AU"/>
        </w:rPr>
        <w:t>Supreme Court of the United States</w:t>
      </w:r>
      <w:r w:rsidRPr="006B0D58">
        <w:rPr>
          <w:b/>
          <w:bCs/>
          <w:lang w:eastAsia="en-AU"/>
        </w:rPr>
        <w:t>:</w:t>
      </w:r>
      <w:r>
        <w:rPr>
          <w:b/>
          <w:bCs/>
          <w:lang w:eastAsia="en-AU"/>
        </w:rPr>
        <w:t xml:space="preserve"> </w:t>
      </w:r>
      <w:hyperlink r:id="rId29" w:history="1">
        <w:r>
          <w:rPr>
            <w:rStyle w:val="Hyperlink"/>
            <w:lang w:eastAsia="en-AU"/>
          </w:rPr>
          <w:t>Docket No 21-1195</w:t>
        </w:r>
      </w:hyperlink>
      <w:r>
        <w:rPr>
          <w:lang w:eastAsia="en-AU"/>
        </w:rPr>
        <w:t xml:space="preserve"> </w:t>
      </w:r>
    </w:p>
    <w:p w14:paraId="32CD8717" w14:textId="77777777" w:rsidR="00DB6AB9" w:rsidRDefault="00DB6AB9" w:rsidP="00DB6AB9">
      <w:pPr>
        <w:rPr>
          <w:lang w:eastAsia="en-AU"/>
        </w:rPr>
      </w:pPr>
    </w:p>
    <w:p w14:paraId="11C43CBF" w14:textId="3A32284B" w:rsidR="00DB6AB9" w:rsidRPr="00DB68FF" w:rsidRDefault="00DB6AB9" w:rsidP="00DB6AB9">
      <w:pPr>
        <w:rPr>
          <w:lang w:eastAsia="en-AU"/>
        </w:rPr>
      </w:pPr>
      <w:r>
        <w:rPr>
          <w:b/>
          <w:bCs/>
          <w:lang w:eastAsia="en-AU"/>
        </w:rPr>
        <w:t xml:space="preserve">Reasons delivered: </w:t>
      </w:r>
      <w:r>
        <w:rPr>
          <w:lang w:eastAsia="en-AU"/>
        </w:rPr>
        <w:t>28 February 2023</w:t>
      </w:r>
    </w:p>
    <w:p w14:paraId="305B387D" w14:textId="77777777" w:rsidR="00DB6AB9" w:rsidRDefault="00DB6AB9" w:rsidP="00DB6AB9">
      <w:pPr>
        <w:rPr>
          <w:b/>
          <w:bCs/>
          <w:lang w:eastAsia="en-AU"/>
        </w:rPr>
      </w:pPr>
    </w:p>
    <w:p w14:paraId="3692E9BA" w14:textId="77777777" w:rsidR="00DB6AB9" w:rsidRDefault="00DB6AB9" w:rsidP="00DB6AB9">
      <w:pPr>
        <w:rPr>
          <w:lang w:eastAsia="en-AU"/>
        </w:rPr>
      </w:pPr>
      <w:r>
        <w:rPr>
          <w:b/>
          <w:bCs/>
          <w:lang w:eastAsia="en-AU"/>
        </w:rPr>
        <w:t>Coram:</w:t>
      </w:r>
      <w:r w:rsidRPr="00DB68FF">
        <w:t xml:space="preserve"> </w:t>
      </w:r>
      <w:r>
        <w:rPr>
          <w:lang w:eastAsia="en-AU"/>
        </w:rPr>
        <w:t>Roberts CJ, Thomas, Alito, Sotomayor, Kagan, Gorsuch, Kavanaugh, Barrett and Jackson JJ</w:t>
      </w:r>
    </w:p>
    <w:p w14:paraId="3D1D6800" w14:textId="77777777" w:rsidR="00DB6AB9" w:rsidRDefault="00DB6AB9" w:rsidP="00DB6AB9">
      <w:pPr>
        <w:rPr>
          <w:b/>
          <w:bCs/>
          <w:lang w:eastAsia="en-AU"/>
        </w:rPr>
      </w:pPr>
    </w:p>
    <w:p w14:paraId="2C2BA344" w14:textId="77777777" w:rsidR="00DB6AB9" w:rsidRDefault="00DB6AB9" w:rsidP="00DB6AB9">
      <w:pPr>
        <w:rPr>
          <w:b/>
          <w:bCs/>
          <w:lang w:eastAsia="en-AU"/>
        </w:rPr>
      </w:pPr>
      <w:r>
        <w:rPr>
          <w:b/>
          <w:bCs/>
          <w:lang w:eastAsia="en-AU"/>
        </w:rPr>
        <w:t>Catchwords:</w:t>
      </w:r>
    </w:p>
    <w:p w14:paraId="21232453" w14:textId="77777777" w:rsidR="00DB6AB9" w:rsidRDefault="00DB6AB9" w:rsidP="00DB6AB9">
      <w:pPr>
        <w:rPr>
          <w:b/>
          <w:bCs/>
          <w:lang w:eastAsia="en-AU"/>
        </w:rPr>
      </w:pPr>
    </w:p>
    <w:p w14:paraId="3A1CB9BF" w14:textId="02379E81" w:rsidR="00ED7068" w:rsidRDefault="00DB6AB9" w:rsidP="00ED7068">
      <w:pPr>
        <w:pStyle w:val="Catchwords"/>
      </w:pPr>
      <w:r>
        <w:t xml:space="preserve">Statutory </w:t>
      </w:r>
      <w:r w:rsidR="00845742">
        <w:t>i</w:t>
      </w:r>
      <w:r>
        <w:t xml:space="preserve">nterpretation </w:t>
      </w:r>
      <w:r w:rsidR="00ED7068">
        <w:t>–</w:t>
      </w:r>
      <w:r>
        <w:t xml:space="preserve"> </w:t>
      </w:r>
      <w:r w:rsidR="00ED7068">
        <w:t xml:space="preserve">Where </w:t>
      </w:r>
      <w:r w:rsidR="00ED7068" w:rsidRPr="000B4D6C">
        <w:rPr>
          <w:i/>
          <w:iCs/>
        </w:rPr>
        <w:t>Bank Secrecy Act</w:t>
      </w:r>
      <w:r w:rsidR="00ED7068">
        <w:t xml:space="preserve"> </w:t>
      </w:r>
      <w:r w:rsidR="00A967DD">
        <w:t>(</w:t>
      </w:r>
      <w:r w:rsidR="008E23B4">
        <w:t>"</w:t>
      </w:r>
      <w:r w:rsidR="00A967DD">
        <w:t>BSA</w:t>
      </w:r>
      <w:r w:rsidR="008E23B4">
        <w:t>"</w:t>
      </w:r>
      <w:r w:rsidR="00A967DD">
        <w:t xml:space="preserve">) </w:t>
      </w:r>
      <w:r w:rsidR="00ED7068">
        <w:t xml:space="preserve">requires persons with certain financial interests in foreign accounts to file annual </w:t>
      </w:r>
      <w:r w:rsidR="00ED7068">
        <w:lastRenderedPageBreak/>
        <w:t>report (</w:t>
      </w:r>
      <w:r w:rsidR="008E23B4">
        <w:t>"</w:t>
      </w:r>
      <w:r w:rsidR="00ED7068">
        <w:t>FBAR</w:t>
      </w:r>
      <w:r w:rsidR="008E23B4">
        <w:t>"</w:t>
      </w:r>
      <w:r w:rsidR="00ED7068">
        <w:t xml:space="preserve">) – Where statute imposes maximum $10,000 penalty for </w:t>
      </w:r>
      <w:r w:rsidR="00B73261">
        <w:t>unwilful</w:t>
      </w:r>
      <w:r w:rsidR="00ED7068">
        <w:t xml:space="preserve"> violations of law – Where petitioner learned of his BSA reporting obligations and submitted required </w:t>
      </w:r>
      <w:r w:rsidR="00A967DD">
        <w:t>FBARs</w:t>
      </w:r>
      <w:r w:rsidR="00ED7068">
        <w:t xml:space="preserve"> covering five years (2007 through</w:t>
      </w:r>
      <w:r w:rsidR="00A967DD">
        <w:t xml:space="preserve"> </w:t>
      </w:r>
      <w:r w:rsidR="00ED7068">
        <w:t>2011)</w:t>
      </w:r>
      <w:r w:rsidR="00A967DD">
        <w:t xml:space="preserve"> – Where</w:t>
      </w:r>
      <w:r w:rsidR="00ED7068">
        <w:t xml:space="preserve"> government deemed </w:t>
      </w:r>
      <w:r w:rsidR="00A967DD">
        <w:t>petitioner</w:t>
      </w:r>
      <w:r w:rsidR="008E23B4">
        <w:t>'</w:t>
      </w:r>
      <w:r w:rsidR="00A967DD">
        <w:t>s</w:t>
      </w:r>
      <w:r w:rsidR="00ED7068">
        <w:t xml:space="preserve"> late-filed reports deficient</w:t>
      </w:r>
      <w:r w:rsidR="00A967DD">
        <w:t xml:space="preserve"> </w:t>
      </w:r>
      <w:r w:rsidR="00ED7068">
        <w:t xml:space="preserve">because reports did not address all accounts to which </w:t>
      </w:r>
      <w:r w:rsidR="00A967DD">
        <w:t xml:space="preserve">petitioner </w:t>
      </w:r>
      <w:r w:rsidR="00ED7068">
        <w:t>had either signatory authority or qualifying interest</w:t>
      </w:r>
      <w:r w:rsidR="00A967DD">
        <w:t xml:space="preserve"> – Where petitioner</w:t>
      </w:r>
      <w:r w:rsidR="00ED7068">
        <w:t xml:space="preserve"> filed</w:t>
      </w:r>
    </w:p>
    <w:p w14:paraId="5C35359B" w14:textId="6530702B" w:rsidR="00DB6AB9" w:rsidRPr="004B4F9D" w:rsidRDefault="00ED7068" w:rsidP="00A967DD">
      <w:pPr>
        <w:pStyle w:val="Catchwords"/>
      </w:pPr>
      <w:r>
        <w:t>corrected FBARs providing information for each of his accounts</w:t>
      </w:r>
      <w:r w:rsidR="00845742">
        <w:t xml:space="preserve"> </w:t>
      </w:r>
      <w:r w:rsidR="00A967DD">
        <w:t>– Where</w:t>
      </w:r>
      <w:r w:rsidR="00845742">
        <w:t xml:space="preserve"> </w:t>
      </w:r>
      <w:r>
        <w:t xml:space="preserve">government neither contested accuracy of </w:t>
      </w:r>
      <w:r w:rsidR="00A967DD">
        <w:t>petitioner</w:t>
      </w:r>
      <w:r w:rsidR="008E23B4">
        <w:t>'</w:t>
      </w:r>
      <w:r w:rsidR="00A967DD">
        <w:t>s</w:t>
      </w:r>
      <w:r>
        <w:t xml:space="preserve"> new filings nor</w:t>
      </w:r>
      <w:r w:rsidR="00A967DD">
        <w:t xml:space="preserve"> </w:t>
      </w:r>
      <w:r>
        <w:t xml:space="preserve">suggested previous errors were </w:t>
      </w:r>
      <w:r w:rsidR="00B73261">
        <w:t>wilful</w:t>
      </w:r>
      <w:r w:rsidR="00A967DD">
        <w:t>,</w:t>
      </w:r>
      <w:r>
        <w:t xml:space="preserve"> </w:t>
      </w:r>
      <w:r w:rsidR="00A967DD">
        <w:t>but took</w:t>
      </w:r>
      <w:r>
        <w:t xml:space="preserve"> view that </w:t>
      </w:r>
      <w:r w:rsidR="00B73261">
        <w:t>unwilful</w:t>
      </w:r>
      <w:r>
        <w:t xml:space="preserve"> penalties apply to each account not accurately or timely reported</w:t>
      </w:r>
      <w:r w:rsidR="00A967DD">
        <w:t xml:space="preserve"> – Where,</w:t>
      </w:r>
      <w:r>
        <w:t xml:space="preserve"> </w:t>
      </w:r>
      <w:r w:rsidR="00A967DD">
        <w:t>petitioner</w:t>
      </w:r>
      <w:r w:rsidR="008E23B4">
        <w:t>'</w:t>
      </w:r>
      <w:r w:rsidR="00A967DD">
        <w:t>s</w:t>
      </w:r>
      <w:r>
        <w:t xml:space="preserve"> five late</w:t>
      </w:r>
      <w:r w:rsidR="00A967DD">
        <w:t>-</w:t>
      </w:r>
      <w:r>
        <w:t xml:space="preserve">filed </w:t>
      </w:r>
      <w:r w:rsidR="00A967DD">
        <w:t>FBARs</w:t>
      </w:r>
      <w:r>
        <w:t xml:space="preserve"> involved 272 accounts</w:t>
      </w:r>
      <w:r w:rsidR="00A967DD">
        <w:t xml:space="preserve"> and </w:t>
      </w:r>
      <w:r>
        <w:t>government</w:t>
      </w:r>
      <w:r w:rsidR="00A967DD">
        <w:t xml:space="preserve"> </w:t>
      </w:r>
      <w:r>
        <w:t>calculated penalty due at $2.72 million</w:t>
      </w:r>
      <w:r w:rsidR="00A967DD">
        <w:t xml:space="preserve"> – Where petitioner</w:t>
      </w:r>
      <w:r>
        <w:t xml:space="preserve"> challenged </w:t>
      </w:r>
      <w:r w:rsidR="00A967DD">
        <w:t>penalty</w:t>
      </w:r>
      <w:r>
        <w:t>, arguing BSA authorizes maximum penalty</w:t>
      </w:r>
      <w:r w:rsidR="00A967DD">
        <w:t xml:space="preserve"> </w:t>
      </w:r>
      <w:r>
        <w:t xml:space="preserve">for </w:t>
      </w:r>
      <w:r w:rsidR="00B73261">
        <w:t>unwilful</w:t>
      </w:r>
      <w:r>
        <w:t xml:space="preserve"> violations of $10,000 per </w:t>
      </w:r>
      <w:r w:rsidR="00A967DD">
        <w:t>FBAR</w:t>
      </w:r>
      <w:r>
        <w:t>, not per account</w:t>
      </w:r>
      <w:r w:rsidR="00A967DD">
        <w:t xml:space="preserve"> – Where </w:t>
      </w:r>
      <w:r>
        <w:t>Fifth Circuit upheld government</w:t>
      </w:r>
      <w:r w:rsidR="008E23B4">
        <w:t>'</w:t>
      </w:r>
      <w:r>
        <w:t>s assessment</w:t>
      </w:r>
      <w:r w:rsidR="00A967DD">
        <w:t xml:space="preserve"> – Whether BSA</w:t>
      </w:r>
      <w:r w:rsidR="008E23B4">
        <w:t>'</w:t>
      </w:r>
      <w:r w:rsidR="00A967DD">
        <w:t xml:space="preserve">s $10,000 maximum penalty for </w:t>
      </w:r>
      <w:r w:rsidR="00B73261">
        <w:t>unwilful</w:t>
      </w:r>
      <w:r w:rsidR="00A967DD">
        <w:t xml:space="preserve"> failure to file compliant FBAR accrues on per-FBAR or per-account basis</w:t>
      </w:r>
      <w:r>
        <w:t>.</w:t>
      </w:r>
    </w:p>
    <w:p w14:paraId="005650A8" w14:textId="77777777" w:rsidR="00DB6AB9" w:rsidRPr="005E2809" w:rsidRDefault="00DB6AB9" w:rsidP="00DB6AB9">
      <w:pPr>
        <w:pStyle w:val="Catchwords"/>
      </w:pPr>
    </w:p>
    <w:p w14:paraId="0A60EC3D" w14:textId="6B181C27" w:rsidR="00DB6AB9" w:rsidRDefault="00DB6AB9" w:rsidP="00DB6AB9">
      <w:pPr>
        <w:rPr>
          <w:lang w:eastAsia="en-AU"/>
        </w:rPr>
      </w:pPr>
      <w:r>
        <w:rPr>
          <w:b/>
          <w:bCs/>
          <w:lang w:eastAsia="en-AU"/>
        </w:rPr>
        <w:t>Held (5:4):</w:t>
      </w:r>
      <w:r w:rsidRPr="00FD6C82">
        <w:rPr>
          <w:lang w:eastAsia="en-AU"/>
        </w:rPr>
        <w:t xml:space="preserve"> </w:t>
      </w:r>
      <w:r>
        <w:rPr>
          <w:lang w:eastAsia="en-AU"/>
        </w:rPr>
        <w:t xml:space="preserve">Decision of the United States Court of Appeals for the Fifth Circuit affirmed.  </w:t>
      </w:r>
    </w:p>
    <w:p w14:paraId="3F3FB7AF" w14:textId="77777777" w:rsidR="000403F0" w:rsidRDefault="000403F0" w:rsidP="000403F0">
      <w:pPr>
        <w:pStyle w:val="BullDivider2"/>
        <w:pBdr>
          <w:bottom w:val="double" w:sz="6" w:space="0" w:color="auto"/>
        </w:pBdr>
      </w:pPr>
    </w:p>
    <w:p w14:paraId="0A768773" w14:textId="77777777" w:rsidR="000403F0" w:rsidRDefault="000403F0" w:rsidP="000403F0">
      <w:pPr>
        <w:rPr>
          <w:lang w:eastAsia="en-AU"/>
        </w:rPr>
      </w:pPr>
    </w:p>
    <w:p w14:paraId="0036F636" w14:textId="5065CB13" w:rsidR="000403F0" w:rsidRDefault="000403F0" w:rsidP="000403F0">
      <w:pPr>
        <w:pStyle w:val="Heading1"/>
      </w:pPr>
      <w:r>
        <w:t>Taxation</w:t>
      </w:r>
    </w:p>
    <w:p w14:paraId="57902845" w14:textId="77777777" w:rsidR="000403F0" w:rsidRDefault="000403F0" w:rsidP="000403F0">
      <w:pPr>
        <w:rPr>
          <w:lang w:eastAsia="en-AU"/>
        </w:rPr>
      </w:pPr>
    </w:p>
    <w:p w14:paraId="5065B0D0" w14:textId="3EF9BB0B" w:rsidR="000403F0" w:rsidRDefault="00B60D88" w:rsidP="000403F0">
      <w:pPr>
        <w:pStyle w:val="Heading2"/>
      </w:pPr>
      <w:r w:rsidRPr="00B60D88">
        <w:t>News Corp UK &amp; Ireland Ltd v Commissioners for His Majesty</w:t>
      </w:r>
      <w:r w:rsidR="008E23B4">
        <w:t>'</w:t>
      </w:r>
      <w:r w:rsidRPr="00B60D88">
        <w:t>s Revenue and Customs</w:t>
      </w:r>
    </w:p>
    <w:p w14:paraId="683D0A4E" w14:textId="33DC9F4B" w:rsidR="000403F0" w:rsidRPr="00F77F62" w:rsidRDefault="000403F0" w:rsidP="000403F0">
      <w:pPr>
        <w:rPr>
          <w:lang w:eastAsia="en-AU"/>
        </w:rPr>
      </w:pPr>
      <w:r>
        <w:rPr>
          <w:b/>
          <w:bCs/>
          <w:lang w:eastAsia="en-AU"/>
        </w:rPr>
        <w:t>Supreme Court of the United Kingdom</w:t>
      </w:r>
      <w:r w:rsidRPr="006B0D58">
        <w:rPr>
          <w:b/>
          <w:bCs/>
          <w:lang w:eastAsia="en-AU"/>
        </w:rPr>
        <w:t>:</w:t>
      </w:r>
      <w:r>
        <w:rPr>
          <w:b/>
          <w:bCs/>
          <w:lang w:eastAsia="en-AU"/>
        </w:rPr>
        <w:t xml:space="preserve"> </w:t>
      </w:r>
      <w:hyperlink r:id="rId30" w:history="1">
        <w:r w:rsidR="00B60D88">
          <w:rPr>
            <w:rStyle w:val="Hyperlink"/>
            <w:lang w:eastAsia="en-AU"/>
          </w:rPr>
          <w:t>[2023] UKSC 7</w:t>
        </w:r>
      </w:hyperlink>
    </w:p>
    <w:p w14:paraId="08C13E03" w14:textId="77777777" w:rsidR="000403F0" w:rsidRDefault="000403F0" w:rsidP="000403F0">
      <w:pPr>
        <w:rPr>
          <w:lang w:eastAsia="en-AU"/>
        </w:rPr>
      </w:pPr>
    </w:p>
    <w:p w14:paraId="7874AD3D" w14:textId="7415BBA2" w:rsidR="000403F0" w:rsidRPr="00DB68FF" w:rsidRDefault="000403F0" w:rsidP="000403F0">
      <w:pPr>
        <w:rPr>
          <w:lang w:eastAsia="en-AU"/>
        </w:rPr>
      </w:pPr>
      <w:r>
        <w:rPr>
          <w:b/>
          <w:bCs/>
          <w:lang w:eastAsia="en-AU"/>
        </w:rPr>
        <w:t xml:space="preserve">Reasons delivered: </w:t>
      </w:r>
      <w:r w:rsidR="00B60D88">
        <w:rPr>
          <w:lang w:eastAsia="en-AU"/>
        </w:rPr>
        <w:t>22</w:t>
      </w:r>
      <w:r>
        <w:rPr>
          <w:lang w:eastAsia="en-AU"/>
        </w:rPr>
        <w:t xml:space="preserve"> February 2023</w:t>
      </w:r>
    </w:p>
    <w:p w14:paraId="2F26E72F" w14:textId="77777777" w:rsidR="000403F0" w:rsidRDefault="000403F0" w:rsidP="000403F0">
      <w:pPr>
        <w:rPr>
          <w:b/>
          <w:bCs/>
          <w:lang w:eastAsia="en-AU"/>
        </w:rPr>
      </w:pPr>
    </w:p>
    <w:p w14:paraId="027FD0D1" w14:textId="023CF1F2" w:rsidR="000403F0" w:rsidRPr="00DB68FF" w:rsidRDefault="000403F0" w:rsidP="000403F0">
      <w:pPr>
        <w:rPr>
          <w:lang w:eastAsia="en-AU"/>
        </w:rPr>
      </w:pPr>
      <w:r>
        <w:rPr>
          <w:b/>
          <w:bCs/>
          <w:lang w:eastAsia="en-AU"/>
        </w:rPr>
        <w:t>Coram:</w:t>
      </w:r>
      <w:r w:rsidRPr="00DB68FF">
        <w:t xml:space="preserve"> </w:t>
      </w:r>
      <w:r w:rsidR="00B60D88">
        <w:rPr>
          <w:lang w:eastAsia="en-AU"/>
        </w:rPr>
        <w:t>Lord Hodge,</w:t>
      </w:r>
      <w:r>
        <w:rPr>
          <w:lang w:eastAsia="en-AU"/>
        </w:rPr>
        <w:t xml:space="preserve"> Lord Kitchen, Lord </w:t>
      </w:r>
      <w:r w:rsidR="00B60D88">
        <w:rPr>
          <w:lang w:eastAsia="en-AU"/>
        </w:rPr>
        <w:t>Hamblen,</w:t>
      </w:r>
      <w:r>
        <w:rPr>
          <w:lang w:eastAsia="en-AU"/>
        </w:rPr>
        <w:t xml:space="preserve"> Lord Leggatt</w:t>
      </w:r>
      <w:r w:rsidR="00B60D88">
        <w:rPr>
          <w:lang w:eastAsia="en-AU"/>
        </w:rPr>
        <w:t xml:space="preserve"> and Lord Burrows</w:t>
      </w:r>
    </w:p>
    <w:p w14:paraId="7C7A9420" w14:textId="77777777" w:rsidR="000403F0" w:rsidRDefault="000403F0" w:rsidP="000403F0">
      <w:pPr>
        <w:rPr>
          <w:b/>
          <w:bCs/>
          <w:lang w:eastAsia="en-AU"/>
        </w:rPr>
      </w:pPr>
    </w:p>
    <w:p w14:paraId="0591844B" w14:textId="77777777" w:rsidR="000403F0" w:rsidRDefault="000403F0" w:rsidP="000403F0">
      <w:pPr>
        <w:rPr>
          <w:b/>
          <w:bCs/>
          <w:lang w:eastAsia="en-AU"/>
        </w:rPr>
      </w:pPr>
      <w:r>
        <w:rPr>
          <w:b/>
          <w:bCs/>
          <w:lang w:eastAsia="en-AU"/>
        </w:rPr>
        <w:t>Catchwords:</w:t>
      </w:r>
    </w:p>
    <w:p w14:paraId="3A8CF49B" w14:textId="77777777" w:rsidR="000403F0" w:rsidRDefault="000403F0" w:rsidP="000403F0">
      <w:pPr>
        <w:rPr>
          <w:b/>
          <w:bCs/>
          <w:lang w:eastAsia="en-AU"/>
        </w:rPr>
      </w:pPr>
    </w:p>
    <w:p w14:paraId="4C90C376" w14:textId="233F1494" w:rsidR="000403F0" w:rsidRPr="004B4F9D" w:rsidRDefault="00B60D88" w:rsidP="000403F0">
      <w:pPr>
        <w:pStyle w:val="Catchwords"/>
      </w:pPr>
      <w:r>
        <w:t xml:space="preserve">Taxation </w:t>
      </w:r>
      <w:r w:rsidR="000C2402">
        <w:t xml:space="preserve">– </w:t>
      </w:r>
      <w:r w:rsidR="007D7D56">
        <w:t>Value Added Tax (</w:t>
      </w:r>
      <w:r w:rsidR="008E23B4">
        <w:t>"</w:t>
      </w:r>
      <w:r w:rsidR="007D7D56">
        <w:t>VAT</w:t>
      </w:r>
      <w:r w:rsidR="008E23B4">
        <w:t>"</w:t>
      </w:r>
      <w:r w:rsidR="007D7D56">
        <w:t xml:space="preserve">) – </w:t>
      </w:r>
      <w:r w:rsidR="00A847FA">
        <w:t xml:space="preserve">Zero-rating – </w:t>
      </w:r>
      <w:r w:rsidR="008E23B4">
        <w:t>"</w:t>
      </w:r>
      <w:r w:rsidR="000C2402">
        <w:t>Always speaking</w:t>
      </w:r>
      <w:r w:rsidR="008E23B4">
        <w:t>"</w:t>
      </w:r>
      <w:r w:rsidR="000C2402">
        <w:t xml:space="preserve"> </w:t>
      </w:r>
      <w:r w:rsidR="00A847FA">
        <w:t>principle</w:t>
      </w:r>
      <w:r w:rsidR="00926853">
        <w:t xml:space="preserve"> </w:t>
      </w:r>
      <w:r w:rsidR="009E51BE">
        <w:t xml:space="preserve">of statutory interpretation </w:t>
      </w:r>
      <w:r w:rsidR="00926853">
        <w:t xml:space="preserve">– </w:t>
      </w:r>
      <w:r w:rsidR="006B4A7D">
        <w:t xml:space="preserve">Where appellant publisher of </w:t>
      </w:r>
      <w:r w:rsidR="006B4A7D" w:rsidRPr="006B4A7D">
        <w:t xml:space="preserve">The Times, The Sunday Times, The Sun and The Sun on Sunday </w:t>
      </w:r>
      <w:r w:rsidR="006B4A7D">
        <w:t>(</w:t>
      </w:r>
      <w:r w:rsidR="008E23B4">
        <w:t>"</w:t>
      </w:r>
      <w:r w:rsidR="00882306">
        <w:t>Publications</w:t>
      </w:r>
      <w:r w:rsidR="008E23B4">
        <w:t>"</w:t>
      </w:r>
      <w:r w:rsidR="006B4A7D">
        <w:t xml:space="preserve">) – </w:t>
      </w:r>
      <w:r w:rsidR="00882306">
        <w:t>Where appellant argues</w:t>
      </w:r>
      <w:r w:rsidR="00882306" w:rsidRPr="00882306">
        <w:t xml:space="preserve"> digital editions of </w:t>
      </w:r>
      <w:r w:rsidR="00882306">
        <w:t>Publications</w:t>
      </w:r>
      <w:r w:rsidR="00882306" w:rsidRPr="00882306">
        <w:t xml:space="preserve"> subject to zero-rate VAT for period 30 August 2010 </w:t>
      </w:r>
      <w:r w:rsidR="00882306">
        <w:t>to</w:t>
      </w:r>
      <w:r w:rsidR="00882306" w:rsidRPr="00882306">
        <w:t xml:space="preserve"> 4 December 2016, as </w:t>
      </w:r>
      <w:r w:rsidR="008E23B4">
        <w:t>"</w:t>
      </w:r>
      <w:r w:rsidR="00882306" w:rsidRPr="00882306">
        <w:t>newspapers</w:t>
      </w:r>
      <w:r w:rsidR="008E23B4">
        <w:t>"</w:t>
      </w:r>
      <w:r w:rsidR="00882306" w:rsidRPr="00882306">
        <w:t xml:space="preserve"> for purposes of </w:t>
      </w:r>
      <w:r w:rsidR="004E6696" w:rsidRPr="004E6696">
        <w:rPr>
          <w:i/>
          <w:iCs/>
        </w:rPr>
        <w:t>Value Added Tax Act 1994</w:t>
      </w:r>
      <w:r w:rsidR="004E6696" w:rsidRPr="004E6696">
        <w:t xml:space="preserve"> (</w:t>
      </w:r>
      <w:r w:rsidR="008E23B4">
        <w:t>"</w:t>
      </w:r>
      <w:r w:rsidR="004E6696" w:rsidRPr="004E6696">
        <w:t>VAT Act</w:t>
      </w:r>
      <w:r w:rsidR="008E23B4">
        <w:t>"</w:t>
      </w:r>
      <w:r w:rsidR="004E6696" w:rsidRPr="004E6696">
        <w:t>)</w:t>
      </w:r>
      <w:r w:rsidR="004E6696">
        <w:t xml:space="preserve"> – Where </w:t>
      </w:r>
      <w:r w:rsidR="004475A3">
        <w:t>His Majesty</w:t>
      </w:r>
      <w:r w:rsidR="008E23B4">
        <w:t>'</w:t>
      </w:r>
      <w:r w:rsidR="004475A3">
        <w:t xml:space="preserve">s </w:t>
      </w:r>
      <w:r w:rsidR="00691D20">
        <w:t xml:space="preserve">Revenue and Customs </w:t>
      </w:r>
      <w:r w:rsidR="00882306" w:rsidRPr="00882306">
        <w:t xml:space="preserve">found </w:t>
      </w:r>
      <w:r w:rsidR="00691D20">
        <w:t>appellant</w:t>
      </w:r>
      <w:r w:rsidR="00882306" w:rsidRPr="00882306">
        <w:t xml:space="preserve"> not entitled to zero-rate supply of </w:t>
      </w:r>
      <w:r w:rsidR="00691D20">
        <w:t xml:space="preserve">digital editions of Publications – Where appellant </w:t>
      </w:r>
      <w:r w:rsidR="00882306" w:rsidRPr="00882306">
        <w:t>appealed decisions</w:t>
      </w:r>
      <w:r w:rsidR="00691D20">
        <w:t xml:space="preserve"> – Where </w:t>
      </w:r>
      <w:r w:rsidR="00882306" w:rsidRPr="00882306">
        <w:t>First-tier Tribunal found digital editions</w:t>
      </w:r>
      <w:r w:rsidR="00691D20">
        <w:t xml:space="preserve"> of Publications</w:t>
      </w:r>
      <w:r w:rsidR="00882306" w:rsidRPr="00882306">
        <w:t xml:space="preserve"> not </w:t>
      </w:r>
      <w:r w:rsidR="008E23B4">
        <w:t>"</w:t>
      </w:r>
      <w:r w:rsidR="00882306" w:rsidRPr="00882306">
        <w:t>newspapers</w:t>
      </w:r>
      <w:r w:rsidR="008E23B4">
        <w:t>"</w:t>
      </w:r>
      <w:r w:rsidR="00882306" w:rsidRPr="00882306">
        <w:t xml:space="preserve"> for purposes of VAT Act, and rejected </w:t>
      </w:r>
      <w:r w:rsidR="00691D20">
        <w:t>appellant</w:t>
      </w:r>
      <w:r w:rsidR="008E23B4">
        <w:t>'</w:t>
      </w:r>
      <w:r w:rsidR="00882306" w:rsidRPr="00882306">
        <w:t>s claim for recovery of over £35 million</w:t>
      </w:r>
      <w:r w:rsidR="00691D20">
        <w:t xml:space="preserve"> – Where </w:t>
      </w:r>
      <w:r w:rsidR="00882306" w:rsidRPr="00882306">
        <w:t>Upper Tribunal allowed News Corp</w:t>
      </w:r>
      <w:r w:rsidR="008E23B4">
        <w:t>'</w:t>
      </w:r>
      <w:r w:rsidR="00882306" w:rsidRPr="00882306">
        <w:t>s subsequent appeal</w:t>
      </w:r>
      <w:r w:rsidR="00691D20">
        <w:t xml:space="preserve">, but </w:t>
      </w:r>
      <w:r w:rsidR="00882306" w:rsidRPr="00882306">
        <w:t>Court of Appeal</w:t>
      </w:r>
      <w:r w:rsidR="00691D20">
        <w:t xml:space="preserve"> overturned decision – Where </w:t>
      </w:r>
      <w:r w:rsidR="0055019B">
        <w:t>appellant</w:t>
      </w:r>
      <w:r w:rsidR="00882306" w:rsidRPr="00882306">
        <w:t xml:space="preserve"> </w:t>
      </w:r>
      <w:r w:rsidR="007C4940">
        <w:t>appealed</w:t>
      </w:r>
      <w:r w:rsidR="00882306" w:rsidRPr="00882306">
        <w:t xml:space="preserve"> to Supreme Court</w:t>
      </w:r>
      <w:r w:rsidR="0055019B">
        <w:t xml:space="preserve"> – </w:t>
      </w:r>
      <w:r w:rsidR="00926853">
        <w:t xml:space="preserve">Whether </w:t>
      </w:r>
      <w:r w:rsidR="00926853" w:rsidRPr="00926853">
        <w:t xml:space="preserve">supplies of digital </w:t>
      </w:r>
      <w:r w:rsidR="0055019B">
        <w:t>editions of Publications</w:t>
      </w:r>
      <w:r w:rsidR="00926853" w:rsidRPr="00926853">
        <w:t xml:space="preserve"> not supplies of </w:t>
      </w:r>
      <w:r w:rsidR="008E23B4">
        <w:t>"</w:t>
      </w:r>
      <w:r w:rsidR="00926853" w:rsidRPr="00926853">
        <w:t>newspapers</w:t>
      </w:r>
      <w:r w:rsidR="008E23B4">
        <w:t>"</w:t>
      </w:r>
      <w:r w:rsidR="00926853" w:rsidRPr="00926853">
        <w:t xml:space="preserve"> within meaning of </w:t>
      </w:r>
      <w:r w:rsidR="00912806">
        <w:t>VAT Act</w:t>
      </w:r>
      <w:r w:rsidR="00926853" w:rsidRPr="00926853">
        <w:t xml:space="preserve"> such that they could not be zero-rated for </w:t>
      </w:r>
      <w:r w:rsidR="00912806">
        <w:t xml:space="preserve">VAT. </w:t>
      </w:r>
    </w:p>
    <w:p w14:paraId="68A767F2" w14:textId="77777777" w:rsidR="000403F0" w:rsidRPr="005E2809" w:rsidRDefault="000403F0" w:rsidP="000403F0">
      <w:pPr>
        <w:pStyle w:val="Catchwords"/>
      </w:pPr>
    </w:p>
    <w:p w14:paraId="119DDAF3" w14:textId="173EA0DE" w:rsidR="000403F0" w:rsidRPr="008E54EB" w:rsidRDefault="000403F0" w:rsidP="000403F0">
      <w:pPr>
        <w:rPr>
          <w:lang w:eastAsia="en-AU"/>
        </w:rPr>
      </w:pPr>
      <w:r>
        <w:rPr>
          <w:b/>
          <w:bCs/>
          <w:lang w:eastAsia="en-AU"/>
        </w:rPr>
        <w:lastRenderedPageBreak/>
        <w:t>Held (</w:t>
      </w:r>
      <w:r w:rsidR="00231B86">
        <w:rPr>
          <w:b/>
          <w:bCs/>
          <w:lang w:eastAsia="en-AU"/>
        </w:rPr>
        <w:t>5:0</w:t>
      </w:r>
      <w:r>
        <w:rPr>
          <w:b/>
          <w:bCs/>
          <w:lang w:eastAsia="en-AU"/>
        </w:rPr>
        <w:t>):</w:t>
      </w:r>
      <w:r w:rsidRPr="00FD6C82">
        <w:rPr>
          <w:lang w:eastAsia="en-AU"/>
        </w:rPr>
        <w:t xml:space="preserve"> </w:t>
      </w:r>
      <w:r>
        <w:rPr>
          <w:lang w:eastAsia="en-AU"/>
        </w:rPr>
        <w:t xml:space="preserve">Appeal </w:t>
      </w:r>
      <w:r w:rsidR="00231B86">
        <w:rPr>
          <w:lang w:eastAsia="en-AU"/>
        </w:rPr>
        <w:t>dismissed</w:t>
      </w:r>
      <w:r>
        <w:rPr>
          <w:lang w:eastAsia="en-AU"/>
        </w:rPr>
        <w:t xml:space="preserve">.   </w:t>
      </w:r>
    </w:p>
    <w:p w14:paraId="1F1BA70B" w14:textId="71990803" w:rsidR="008E54EB" w:rsidRDefault="008E54EB" w:rsidP="009717F2">
      <w:pPr>
        <w:pStyle w:val="BullDivider2"/>
        <w:pBdr>
          <w:bottom w:val="double" w:sz="6" w:space="0" w:color="auto"/>
        </w:pBdr>
      </w:pPr>
    </w:p>
    <w:p w14:paraId="2D7DBCD9" w14:textId="77777777" w:rsidR="00212946" w:rsidRDefault="00212946" w:rsidP="00212946">
      <w:pPr>
        <w:rPr>
          <w:lang w:eastAsia="en-AU"/>
        </w:rPr>
      </w:pPr>
    </w:p>
    <w:p w14:paraId="4BC29C22" w14:textId="5855BB92" w:rsidR="00212946" w:rsidRDefault="00212946" w:rsidP="00212946">
      <w:pPr>
        <w:pStyle w:val="Heading1"/>
      </w:pPr>
      <w:r>
        <w:t>Tort</w:t>
      </w:r>
    </w:p>
    <w:p w14:paraId="03ECB340" w14:textId="77777777" w:rsidR="00212946" w:rsidRDefault="00212946" w:rsidP="00212946">
      <w:pPr>
        <w:rPr>
          <w:lang w:eastAsia="en-AU"/>
        </w:rPr>
      </w:pPr>
    </w:p>
    <w:p w14:paraId="2AA54B22" w14:textId="21B15752" w:rsidR="00212946" w:rsidRPr="0069720E" w:rsidRDefault="003849A9" w:rsidP="00212946">
      <w:pPr>
        <w:pStyle w:val="Heading2"/>
      </w:pPr>
      <w:proofErr w:type="spellStart"/>
      <w:r w:rsidRPr="0069720E">
        <w:t>Fearn</w:t>
      </w:r>
      <w:proofErr w:type="spellEnd"/>
      <w:r w:rsidRPr="0069720E">
        <w:t xml:space="preserve"> v Board of Trustees of the Tate Gallery</w:t>
      </w:r>
    </w:p>
    <w:p w14:paraId="224029A0" w14:textId="6814417D" w:rsidR="00212946" w:rsidRPr="0069720E" w:rsidRDefault="00212946" w:rsidP="00212946">
      <w:pPr>
        <w:rPr>
          <w:lang w:eastAsia="en-AU"/>
        </w:rPr>
      </w:pPr>
      <w:r w:rsidRPr="0069720E">
        <w:rPr>
          <w:b/>
          <w:bCs/>
          <w:lang w:eastAsia="en-AU"/>
        </w:rPr>
        <w:t xml:space="preserve">Supreme Court of the United Kingdom: </w:t>
      </w:r>
      <w:hyperlink r:id="rId31" w:history="1">
        <w:r w:rsidR="003849A9" w:rsidRPr="0069720E">
          <w:rPr>
            <w:rStyle w:val="Hyperlink"/>
            <w:lang w:eastAsia="en-AU"/>
          </w:rPr>
          <w:t>[2023] UKSC 4</w:t>
        </w:r>
      </w:hyperlink>
    </w:p>
    <w:p w14:paraId="1289A38A" w14:textId="77777777" w:rsidR="00212946" w:rsidRPr="0069720E" w:rsidRDefault="00212946" w:rsidP="00212946">
      <w:pPr>
        <w:rPr>
          <w:lang w:eastAsia="en-AU"/>
        </w:rPr>
      </w:pPr>
    </w:p>
    <w:p w14:paraId="45539264" w14:textId="53165663" w:rsidR="00212946" w:rsidRPr="0069720E" w:rsidRDefault="00212946" w:rsidP="00212946">
      <w:pPr>
        <w:rPr>
          <w:lang w:eastAsia="en-AU"/>
        </w:rPr>
      </w:pPr>
      <w:r w:rsidRPr="0069720E">
        <w:rPr>
          <w:b/>
          <w:bCs/>
          <w:lang w:eastAsia="en-AU"/>
        </w:rPr>
        <w:t xml:space="preserve">Reasons delivered: </w:t>
      </w:r>
      <w:r w:rsidR="002703EB" w:rsidRPr="0069720E">
        <w:rPr>
          <w:lang w:eastAsia="en-AU"/>
        </w:rPr>
        <w:t>1 February</w:t>
      </w:r>
      <w:r w:rsidRPr="0069720E">
        <w:rPr>
          <w:lang w:eastAsia="en-AU"/>
        </w:rPr>
        <w:t xml:space="preserve"> 2023</w:t>
      </w:r>
    </w:p>
    <w:p w14:paraId="3223D514" w14:textId="77777777" w:rsidR="00212946" w:rsidRPr="0069720E" w:rsidRDefault="00212946" w:rsidP="00212946">
      <w:pPr>
        <w:rPr>
          <w:b/>
          <w:bCs/>
          <w:lang w:eastAsia="en-AU"/>
        </w:rPr>
      </w:pPr>
    </w:p>
    <w:p w14:paraId="23B2366F" w14:textId="6708373C" w:rsidR="00212946" w:rsidRPr="0069720E" w:rsidRDefault="00212946" w:rsidP="00212946">
      <w:pPr>
        <w:rPr>
          <w:lang w:eastAsia="en-AU"/>
        </w:rPr>
      </w:pPr>
      <w:r w:rsidRPr="0069720E">
        <w:rPr>
          <w:b/>
          <w:bCs/>
          <w:lang w:eastAsia="en-AU"/>
        </w:rPr>
        <w:t>Coram:</w:t>
      </w:r>
      <w:r w:rsidRPr="0069720E">
        <w:t xml:space="preserve"> </w:t>
      </w:r>
      <w:r w:rsidRPr="0069720E">
        <w:rPr>
          <w:lang w:eastAsia="en-AU"/>
        </w:rPr>
        <w:t xml:space="preserve">Lord Reed, Lord Lloyd-Jones, </w:t>
      </w:r>
      <w:r w:rsidR="008C0DEF" w:rsidRPr="0069720E">
        <w:rPr>
          <w:lang w:eastAsia="en-AU"/>
        </w:rPr>
        <w:t xml:space="preserve">Lord Kitchen, </w:t>
      </w:r>
      <w:r w:rsidRPr="0069720E">
        <w:rPr>
          <w:lang w:eastAsia="en-AU"/>
        </w:rPr>
        <w:t>Lord Sales</w:t>
      </w:r>
      <w:r w:rsidR="008C0DEF" w:rsidRPr="0069720E">
        <w:rPr>
          <w:lang w:eastAsia="en-AU"/>
        </w:rPr>
        <w:t xml:space="preserve"> and Lord Leggatt</w:t>
      </w:r>
    </w:p>
    <w:p w14:paraId="06DF15D2" w14:textId="77777777" w:rsidR="00212946" w:rsidRPr="0069720E" w:rsidRDefault="00212946" w:rsidP="00212946">
      <w:pPr>
        <w:rPr>
          <w:b/>
          <w:bCs/>
          <w:lang w:eastAsia="en-AU"/>
        </w:rPr>
      </w:pPr>
    </w:p>
    <w:p w14:paraId="3754D66E" w14:textId="77777777" w:rsidR="00212946" w:rsidRPr="0069720E" w:rsidRDefault="00212946" w:rsidP="00212946">
      <w:pPr>
        <w:rPr>
          <w:b/>
          <w:bCs/>
          <w:lang w:eastAsia="en-AU"/>
        </w:rPr>
      </w:pPr>
      <w:r w:rsidRPr="0069720E">
        <w:rPr>
          <w:b/>
          <w:bCs/>
          <w:lang w:eastAsia="en-AU"/>
        </w:rPr>
        <w:t>Catchwords:</w:t>
      </w:r>
    </w:p>
    <w:p w14:paraId="4CB31C31" w14:textId="77777777" w:rsidR="00212946" w:rsidRPr="0069720E" w:rsidRDefault="00212946" w:rsidP="00212946">
      <w:pPr>
        <w:rPr>
          <w:b/>
          <w:bCs/>
          <w:lang w:eastAsia="en-AU"/>
        </w:rPr>
      </w:pPr>
    </w:p>
    <w:p w14:paraId="49CEC596" w14:textId="54753C19" w:rsidR="00212946" w:rsidRDefault="008C0DEF" w:rsidP="00197A26">
      <w:pPr>
        <w:pStyle w:val="Catchwords"/>
      </w:pPr>
      <w:r w:rsidRPr="0069720E">
        <w:t>Tort</w:t>
      </w:r>
      <w:r w:rsidR="00212946" w:rsidRPr="0069720E">
        <w:t xml:space="preserve"> </w:t>
      </w:r>
      <w:r w:rsidR="001B54D4" w:rsidRPr="0069720E">
        <w:t>–</w:t>
      </w:r>
      <w:r w:rsidR="00212946" w:rsidRPr="0069720E">
        <w:t xml:space="preserve"> </w:t>
      </w:r>
      <w:r w:rsidR="002D2E52" w:rsidRPr="0069720E">
        <w:t>Private n</w:t>
      </w:r>
      <w:r w:rsidR="001B54D4" w:rsidRPr="0069720E">
        <w:t xml:space="preserve">uisance </w:t>
      </w:r>
      <w:r w:rsidR="003A7568" w:rsidRPr="0069720E">
        <w:t xml:space="preserve">– </w:t>
      </w:r>
      <w:r w:rsidR="00B36782" w:rsidRPr="0069720E">
        <w:t xml:space="preserve">Unreasonable interference – </w:t>
      </w:r>
      <w:r w:rsidR="00BD1773">
        <w:t xml:space="preserve">Public interest – </w:t>
      </w:r>
      <w:r w:rsidR="003A7568" w:rsidRPr="0069720E">
        <w:t xml:space="preserve">Where </w:t>
      </w:r>
      <w:r w:rsidR="008B6ADB" w:rsidRPr="0069720E">
        <w:t xml:space="preserve">public viewing gallery </w:t>
      </w:r>
      <w:r w:rsidR="00F91E3C" w:rsidRPr="0069720E">
        <w:t xml:space="preserve">on </w:t>
      </w:r>
      <w:r w:rsidR="008B6ADB" w:rsidRPr="0069720E">
        <w:t>top floor of</w:t>
      </w:r>
      <w:r w:rsidR="008423C5" w:rsidRPr="0069720E">
        <w:t xml:space="preserve"> </w:t>
      </w:r>
      <w:proofErr w:type="spellStart"/>
      <w:r w:rsidR="008423C5" w:rsidRPr="0069720E">
        <w:t>Blavatnik</w:t>
      </w:r>
      <w:proofErr w:type="spellEnd"/>
      <w:r w:rsidR="008423C5" w:rsidRPr="0069720E">
        <w:t xml:space="preserve"> Building, part of Tate Modern art</w:t>
      </w:r>
      <w:r w:rsidR="008B6ADB" w:rsidRPr="0069720E">
        <w:t xml:space="preserve"> m</w:t>
      </w:r>
      <w:r w:rsidR="008423C5" w:rsidRPr="0069720E">
        <w:t>useum</w:t>
      </w:r>
      <w:r w:rsidR="00B04795" w:rsidRPr="0069720E">
        <w:t xml:space="preserve">, </w:t>
      </w:r>
      <w:r w:rsidR="00583918" w:rsidRPr="0069720E">
        <w:t>provides visitor</w:t>
      </w:r>
      <w:r w:rsidR="000450CE" w:rsidRPr="0069720E">
        <w:t>s</w:t>
      </w:r>
      <w:r w:rsidR="00583918" w:rsidRPr="0069720E">
        <w:t xml:space="preserve"> with view</w:t>
      </w:r>
      <w:r w:rsidR="000450CE" w:rsidRPr="0069720E">
        <w:t>s</w:t>
      </w:r>
      <w:r w:rsidR="00583918" w:rsidRPr="0069720E">
        <w:t xml:space="preserve"> into claimants</w:t>
      </w:r>
      <w:r w:rsidR="008E23B4">
        <w:t>'</w:t>
      </w:r>
      <w:r w:rsidR="00583918" w:rsidRPr="0069720E">
        <w:t xml:space="preserve"> living areas </w:t>
      </w:r>
      <w:r w:rsidR="00E85E0A" w:rsidRPr="0069720E">
        <w:t>– Where walls of claimants</w:t>
      </w:r>
      <w:r w:rsidR="008E23B4">
        <w:t>'</w:t>
      </w:r>
      <w:r w:rsidR="00E85E0A" w:rsidRPr="0069720E">
        <w:t xml:space="preserve"> flats constructed mainly of glass and viewing </w:t>
      </w:r>
      <w:r w:rsidR="001321C7" w:rsidRPr="0069720E">
        <w:t xml:space="preserve">gallery provides </w:t>
      </w:r>
      <w:r w:rsidR="008E23B4">
        <w:t>"</w:t>
      </w:r>
      <w:r w:rsidR="001321C7" w:rsidRPr="0069720E">
        <w:t>uninterrupted view of how claimants seek to conduct their lives</w:t>
      </w:r>
      <w:r w:rsidR="008E23B4">
        <w:t>"</w:t>
      </w:r>
      <w:r w:rsidR="00EA05B4">
        <w:t xml:space="preserve"> </w:t>
      </w:r>
      <w:r w:rsidR="00F4205B" w:rsidRPr="0069720E">
        <w:t xml:space="preserve">– </w:t>
      </w:r>
      <w:r w:rsidR="00197A26" w:rsidRPr="0069720E">
        <w:t>Where trial judge held intrusive viewing from neighbouring property can give rise to claim for nuisance, but intrusion experienced did not amount to a nuisance as Tate</w:t>
      </w:r>
      <w:r w:rsidR="008E23B4">
        <w:t>'</w:t>
      </w:r>
      <w:r w:rsidR="00197A26" w:rsidRPr="0069720E">
        <w:t xml:space="preserve">s use of top floor of </w:t>
      </w:r>
      <w:proofErr w:type="spellStart"/>
      <w:r w:rsidR="00197A26" w:rsidRPr="0069720E">
        <w:t>Blavatnik</w:t>
      </w:r>
      <w:proofErr w:type="spellEnd"/>
      <w:r w:rsidR="00197A26" w:rsidRPr="0069720E">
        <w:t xml:space="preserve"> Building reasonable and claimants responsible for own misfortune – Where Court of Appeal </w:t>
      </w:r>
      <w:r w:rsidR="000F0CAE" w:rsidRPr="0069720E">
        <w:t>held trial judge</w:t>
      </w:r>
      <w:r w:rsidR="008E23B4">
        <w:t>'</w:t>
      </w:r>
      <w:r w:rsidR="000F0CAE" w:rsidRPr="0069720E">
        <w:t xml:space="preserve">s reasoning involved material errors of law and that, correctly applied, facts </w:t>
      </w:r>
      <w:r w:rsidR="00E41910" w:rsidRPr="0069720E">
        <w:t xml:space="preserve">should support common law nuisance, but dismissed appeal because </w:t>
      </w:r>
      <w:r w:rsidR="008E23B4">
        <w:t>"</w:t>
      </w:r>
      <w:r w:rsidR="00E41910" w:rsidRPr="0069720E">
        <w:t>overlooking</w:t>
      </w:r>
      <w:r w:rsidR="008E23B4">
        <w:t>"</w:t>
      </w:r>
      <w:r w:rsidR="00E41910" w:rsidRPr="0069720E">
        <w:t xml:space="preserve"> cannot count as nuisance –</w:t>
      </w:r>
      <w:r w:rsidR="007E787D" w:rsidRPr="0069720E">
        <w:t xml:space="preserve"> </w:t>
      </w:r>
      <w:r w:rsidR="00F4205B" w:rsidRPr="0069720E">
        <w:t>Proper approach to private nuisance</w:t>
      </w:r>
      <w:r w:rsidR="003C0F9C" w:rsidRPr="0069720E">
        <w:t xml:space="preserve"> – Whether visual </w:t>
      </w:r>
      <w:r w:rsidR="00247111">
        <w:t>intrusion</w:t>
      </w:r>
      <w:r w:rsidR="003C0F9C" w:rsidRPr="0069720E">
        <w:t xml:space="preserve"> can constitute nuisance </w:t>
      </w:r>
      <w:r w:rsidR="0069720E" w:rsidRPr="0069720E">
        <w:t>– Proper approach to considerations of public interest in assessments of nuisance</w:t>
      </w:r>
      <w:r w:rsidR="00247111">
        <w:t xml:space="preserve">. </w:t>
      </w:r>
    </w:p>
    <w:p w14:paraId="72903195" w14:textId="77777777" w:rsidR="00EA05B4" w:rsidRDefault="00EA05B4" w:rsidP="00197A26">
      <w:pPr>
        <w:pStyle w:val="Catchwords"/>
      </w:pPr>
    </w:p>
    <w:p w14:paraId="28805198" w14:textId="4E51F71B" w:rsidR="00EA05B4" w:rsidRPr="0069720E" w:rsidRDefault="00EA05B4" w:rsidP="00197A26">
      <w:pPr>
        <w:pStyle w:val="Catchwords"/>
      </w:pPr>
      <w:r>
        <w:t xml:space="preserve">Remedies – Injunction – Damages </w:t>
      </w:r>
      <w:r w:rsidRPr="00EA05B4">
        <w:t>– Where claimants seek injunction requiring Board of Trustees of Tate Gallery to prevent members of public from viewing flats from relevant part of viewing gallery walkway or alternatively, award of damages</w:t>
      </w:r>
      <w:r>
        <w:t xml:space="preserve"> </w:t>
      </w:r>
      <w:r w:rsidRPr="0069720E">
        <w:t xml:space="preserve">– </w:t>
      </w:r>
      <w:r w:rsidR="00375D43">
        <w:t xml:space="preserve">Whether appropriate for Supreme Court to determine remedy – </w:t>
      </w:r>
      <w:r w:rsidRPr="0069720E">
        <w:t xml:space="preserve">Whether injunction or damages appropriate remedy.  </w:t>
      </w:r>
    </w:p>
    <w:p w14:paraId="6212E758" w14:textId="77777777" w:rsidR="008423C5" w:rsidRPr="0069720E" w:rsidRDefault="008423C5" w:rsidP="008423C5">
      <w:pPr>
        <w:pStyle w:val="Catchwords"/>
      </w:pPr>
    </w:p>
    <w:p w14:paraId="1C7EDD51" w14:textId="42BD81A9" w:rsidR="00212946" w:rsidRDefault="00212946" w:rsidP="00212946">
      <w:pPr>
        <w:rPr>
          <w:lang w:eastAsia="en-AU"/>
        </w:rPr>
      </w:pPr>
      <w:r w:rsidRPr="0069720E">
        <w:rPr>
          <w:b/>
          <w:bCs/>
          <w:lang w:eastAsia="en-AU"/>
        </w:rPr>
        <w:t>Held (</w:t>
      </w:r>
      <w:r w:rsidR="004601B1" w:rsidRPr="0069720E">
        <w:rPr>
          <w:b/>
          <w:bCs/>
          <w:lang w:eastAsia="en-AU"/>
        </w:rPr>
        <w:t>3</w:t>
      </w:r>
      <w:r w:rsidRPr="0069720E">
        <w:rPr>
          <w:b/>
          <w:bCs/>
          <w:lang w:eastAsia="en-AU"/>
        </w:rPr>
        <w:t>:</w:t>
      </w:r>
      <w:r w:rsidR="004601B1" w:rsidRPr="0069720E">
        <w:rPr>
          <w:b/>
          <w:bCs/>
          <w:lang w:eastAsia="en-AU"/>
        </w:rPr>
        <w:t>2</w:t>
      </w:r>
      <w:r w:rsidRPr="0069720E">
        <w:rPr>
          <w:b/>
          <w:bCs/>
          <w:lang w:eastAsia="en-AU"/>
        </w:rPr>
        <w:t>):</w:t>
      </w:r>
      <w:r w:rsidRPr="0069720E">
        <w:rPr>
          <w:lang w:eastAsia="en-AU"/>
        </w:rPr>
        <w:t xml:space="preserve"> Appeal </w:t>
      </w:r>
      <w:r w:rsidR="004601B1" w:rsidRPr="0069720E">
        <w:rPr>
          <w:lang w:eastAsia="en-AU"/>
        </w:rPr>
        <w:t>allowed</w:t>
      </w:r>
      <w:r w:rsidRPr="0069720E">
        <w:rPr>
          <w:lang w:eastAsia="en-AU"/>
        </w:rPr>
        <w:t>.</w:t>
      </w:r>
      <w:r>
        <w:rPr>
          <w:lang w:eastAsia="en-AU"/>
        </w:rPr>
        <w:t xml:space="preserve">   </w:t>
      </w:r>
    </w:p>
    <w:p w14:paraId="49FD2D63" w14:textId="77777777" w:rsidR="00212946" w:rsidRDefault="00212946" w:rsidP="00212946">
      <w:pPr>
        <w:pStyle w:val="BullDivider2"/>
      </w:pPr>
    </w:p>
    <w:p w14:paraId="16D53EAC" w14:textId="77777777" w:rsidR="00DB6AB9" w:rsidRPr="00DB6AB9" w:rsidRDefault="00DB6AB9" w:rsidP="00DB6AB9">
      <w:pPr>
        <w:rPr>
          <w:lang w:eastAsia="en-AU"/>
        </w:rPr>
      </w:pPr>
    </w:p>
    <w:p w14:paraId="6C72C6A6" w14:textId="77777777" w:rsidR="00264C7B" w:rsidRPr="00264C7B" w:rsidRDefault="00264C7B" w:rsidP="00264C7B">
      <w:pPr>
        <w:rPr>
          <w:lang w:eastAsia="en-AU"/>
        </w:rPr>
      </w:pPr>
    </w:p>
    <w:p w14:paraId="36DE39A3" w14:textId="77777777" w:rsidR="001D2448" w:rsidRPr="008E54EB" w:rsidRDefault="001D2448" w:rsidP="001D2448">
      <w:pPr>
        <w:rPr>
          <w:lang w:eastAsia="en-AU"/>
        </w:rPr>
      </w:pPr>
    </w:p>
    <w:bookmarkEnd w:id="2"/>
    <w:p w14:paraId="18288866" w14:textId="77777777" w:rsidR="001F691E" w:rsidRPr="008E54EB" w:rsidRDefault="001F691E" w:rsidP="001F691E">
      <w:pPr>
        <w:rPr>
          <w:lang w:eastAsia="en-AU"/>
        </w:rPr>
      </w:pPr>
    </w:p>
    <w:p w14:paraId="70654FED" w14:textId="77777777" w:rsidR="00004023" w:rsidRPr="008E54EB" w:rsidRDefault="00004023" w:rsidP="00004023">
      <w:pPr>
        <w:rPr>
          <w:lang w:eastAsia="en-AU"/>
        </w:rPr>
      </w:pPr>
    </w:p>
    <w:p w14:paraId="7415B250" w14:textId="77777777" w:rsidR="000F78EF" w:rsidRPr="00734DF1" w:rsidRDefault="000F78EF" w:rsidP="00734DF1">
      <w:pPr>
        <w:rPr>
          <w:lang w:eastAsia="en-AU"/>
        </w:rPr>
      </w:pPr>
    </w:p>
    <w:sectPr w:rsidR="000F78EF" w:rsidRPr="00734DF1" w:rsidSect="00F4611C">
      <w:footerReference w:type="default" r:id="rId3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96AEA" w14:textId="77777777" w:rsidR="007A5147" w:rsidRDefault="007A5147" w:rsidP="00803531">
      <w:r>
        <w:separator/>
      </w:r>
    </w:p>
  </w:endnote>
  <w:endnote w:type="continuationSeparator" w:id="0">
    <w:p w14:paraId="6DFDE380" w14:textId="77777777" w:rsidR="007A5147" w:rsidRDefault="007A5147" w:rsidP="00803531">
      <w:r>
        <w:continuationSeparator/>
      </w:r>
    </w:p>
  </w:endnote>
  <w:endnote w:type="continuationNotice" w:id="1">
    <w:p w14:paraId="66FF57AF" w14:textId="77777777" w:rsidR="007A5147" w:rsidRDefault="007A5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CC53" w14:textId="7523CE22" w:rsidR="00ED59BD" w:rsidRDefault="00ED59BD" w:rsidP="00FF7AAF">
    <w:pPr>
      <w:pStyle w:val="Footer"/>
    </w:pPr>
    <w:r>
      <w:t xml:space="preserve">ODB </w:t>
    </w:r>
    <w:r w:rsidRPr="007203D3">
      <w:t>(202</w:t>
    </w:r>
    <w:r w:rsidR="005E663C">
      <w:t>3</w:t>
    </w:r>
    <w:r w:rsidRPr="007203D3">
      <w:t xml:space="preserve">) </w:t>
    </w:r>
    <w:r w:rsidR="00BA7B10">
      <w:t>20</w:t>
    </w:r>
    <w:r>
      <w:t>:</w:t>
    </w:r>
    <w:r w:rsidR="00BA7B10">
      <w:t>1</w:t>
    </w:r>
    <w:r>
      <w:tab/>
    </w:r>
    <w:r>
      <w:tab/>
    </w:r>
    <w:hyperlink w:anchor="_top" w:history="1">
      <w:r w:rsidRPr="00D10889">
        <w:rPr>
          <w:rStyle w:val="Hyperlink"/>
        </w:rPr>
        <w:t>Return to Top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F3730" w14:textId="77777777" w:rsidR="007A5147" w:rsidRDefault="007A5147" w:rsidP="00803531">
      <w:r>
        <w:separator/>
      </w:r>
    </w:p>
  </w:footnote>
  <w:footnote w:type="continuationSeparator" w:id="0">
    <w:p w14:paraId="18E618A9" w14:textId="77777777" w:rsidR="007A5147" w:rsidRDefault="007A5147" w:rsidP="00803531">
      <w:r>
        <w:continuationSeparator/>
      </w:r>
    </w:p>
  </w:footnote>
  <w:footnote w:type="continuationNotice" w:id="1">
    <w:p w14:paraId="73BE861A" w14:textId="77777777" w:rsidR="007A5147" w:rsidRDefault="007A51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AE56D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E261D1D"/>
    <w:multiLevelType w:val="hybridMultilevel"/>
    <w:tmpl w:val="A2C84320"/>
    <w:lvl w:ilvl="0" w:tplc="3558C7F6">
      <w:numFmt w:val="bullet"/>
      <w:lvlText w:val="-"/>
      <w:lvlJc w:val="left"/>
      <w:pPr>
        <w:ind w:left="1080" w:hanging="360"/>
      </w:pPr>
      <w:rPr>
        <w:rFonts w:ascii="Verdana" w:eastAsia="Times New Roman" w:hAnsi="Verdana"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681979740">
    <w:abstractNumId w:val="0"/>
  </w:num>
  <w:num w:numId="2" w16cid:durableId="1149401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FC1ABC9-96F7-48C6-8917-90547F4220EA}"/>
    <w:docVar w:name="dgnword-eventsink" w:val="90600792"/>
  </w:docVars>
  <w:rsids>
    <w:rsidRoot w:val="00D533AE"/>
    <w:rsid w:val="0000074F"/>
    <w:rsid w:val="00002FAE"/>
    <w:rsid w:val="00003A2A"/>
    <w:rsid w:val="00003A8C"/>
    <w:rsid w:val="00004023"/>
    <w:rsid w:val="00004CD4"/>
    <w:rsid w:val="000057E1"/>
    <w:rsid w:val="00005CA1"/>
    <w:rsid w:val="00005D24"/>
    <w:rsid w:val="0000611F"/>
    <w:rsid w:val="000061F8"/>
    <w:rsid w:val="00006A55"/>
    <w:rsid w:val="00007833"/>
    <w:rsid w:val="0001028C"/>
    <w:rsid w:val="000105AB"/>
    <w:rsid w:val="00010E77"/>
    <w:rsid w:val="0001130F"/>
    <w:rsid w:val="000115E9"/>
    <w:rsid w:val="00012586"/>
    <w:rsid w:val="00014F57"/>
    <w:rsid w:val="00016876"/>
    <w:rsid w:val="00017A0A"/>
    <w:rsid w:val="00020080"/>
    <w:rsid w:val="000206E8"/>
    <w:rsid w:val="00020CA5"/>
    <w:rsid w:val="0002136F"/>
    <w:rsid w:val="00021644"/>
    <w:rsid w:val="00021797"/>
    <w:rsid w:val="00022533"/>
    <w:rsid w:val="000228E6"/>
    <w:rsid w:val="000254ED"/>
    <w:rsid w:val="00025A72"/>
    <w:rsid w:val="00026056"/>
    <w:rsid w:val="00026138"/>
    <w:rsid w:val="00026A8E"/>
    <w:rsid w:val="0002797C"/>
    <w:rsid w:val="000300A3"/>
    <w:rsid w:val="00030C7F"/>
    <w:rsid w:val="000315E1"/>
    <w:rsid w:val="00031DAC"/>
    <w:rsid w:val="00031E1E"/>
    <w:rsid w:val="00031FAF"/>
    <w:rsid w:val="00034684"/>
    <w:rsid w:val="00034778"/>
    <w:rsid w:val="00034D54"/>
    <w:rsid w:val="00035AB1"/>
    <w:rsid w:val="00035ADE"/>
    <w:rsid w:val="00035CC5"/>
    <w:rsid w:val="0003628B"/>
    <w:rsid w:val="00036B97"/>
    <w:rsid w:val="00037AD3"/>
    <w:rsid w:val="00037AF4"/>
    <w:rsid w:val="00037C62"/>
    <w:rsid w:val="000403F0"/>
    <w:rsid w:val="00040440"/>
    <w:rsid w:val="00040616"/>
    <w:rsid w:val="00041979"/>
    <w:rsid w:val="00043A3C"/>
    <w:rsid w:val="00044344"/>
    <w:rsid w:val="000450CE"/>
    <w:rsid w:val="0004581A"/>
    <w:rsid w:val="00050208"/>
    <w:rsid w:val="00051E43"/>
    <w:rsid w:val="00052C6C"/>
    <w:rsid w:val="00054234"/>
    <w:rsid w:val="000545EC"/>
    <w:rsid w:val="00054AB4"/>
    <w:rsid w:val="00055030"/>
    <w:rsid w:val="00055596"/>
    <w:rsid w:val="00055B70"/>
    <w:rsid w:val="00056565"/>
    <w:rsid w:val="00056AFF"/>
    <w:rsid w:val="00057B6F"/>
    <w:rsid w:val="00057E62"/>
    <w:rsid w:val="000608CF"/>
    <w:rsid w:val="00060FA6"/>
    <w:rsid w:val="0006158D"/>
    <w:rsid w:val="00061CF5"/>
    <w:rsid w:val="00061DE2"/>
    <w:rsid w:val="0006330B"/>
    <w:rsid w:val="000637AA"/>
    <w:rsid w:val="00063EAE"/>
    <w:rsid w:val="00064CAB"/>
    <w:rsid w:val="00066E88"/>
    <w:rsid w:val="0006734A"/>
    <w:rsid w:val="000711B1"/>
    <w:rsid w:val="00071C1F"/>
    <w:rsid w:val="00071E8B"/>
    <w:rsid w:val="0007274E"/>
    <w:rsid w:val="000750A3"/>
    <w:rsid w:val="00075100"/>
    <w:rsid w:val="0007563A"/>
    <w:rsid w:val="00076788"/>
    <w:rsid w:val="0008049E"/>
    <w:rsid w:val="0008349F"/>
    <w:rsid w:val="0008350F"/>
    <w:rsid w:val="000839C7"/>
    <w:rsid w:val="00083B55"/>
    <w:rsid w:val="0008559E"/>
    <w:rsid w:val="00085806"/>
    <w:rsid w:val="00087C56"/>
    <w:rsid w:val="00090988"/>
    <w:rsid w:val="00090FA3"/>
    <w:rsid w:val="00092165"/>
    <w:rsid w:val="0009236C"/>
    <w:rsid w:val="00092468"/>
    <w:rsid w:val="00092C1A"/>
    <w:rsid w:val="00092FB3"/>
    <w:rsid w:val="00095860"/>
    <w:rsid w:val="00096382"/>
    <w:rsid w:val="0009650B"/>
    <w:rsid w:val="00097B1A"/>
    <w:rsid w:val="00097C28"/>
    <w:rsid w:val="000A0C44"/>
    <w:rsid w:val="000A0D8C"/>
    <w:rsid w:val="000A1252"/>
    <w:rsid w:val="000A148B"/>
    <w:rsid w:val="000A1BDC"/>
    <w:rsid w:val="000A28E4"/>
    <w:rsid w:val="000A310E"/>
    <w:rsid w:val="000A31A7"/>
    <w:rsid w:val="000A32A4"/>
    <w:rsid w:val="000A3B5A"/>
    <w:rsid w:val="000A3D26"/>
    <w:rsid w:val="000A52DA"/>
    <w:rsid w:val="000A546C"/>
    <w:rsid w:val="000A7A0D"/>
    <w:rsid w:val="000A7F8D"/>
    <w:rsid w:val="000B0D09"/>
    <w:rsid w:val="000B1498"/>
    <w:rsid w:val="000B1F84"/>
    <w:rsid w:val="000B2704"/>
    <w:rsid w:val="000B2CC5"/>
    <w:rsid w:val="000B404F"/>
    <w:rsid w:val="000B4066"/>
    <w:rsid w:val="000B4D6C"/>
    <w:rsid w:val="000B5664"/>
    <w:rsid w:val="000B5F78"/>
    <w:rsid w:val="000B64D7"/>
    <w:rsid w:val="000C0320"/>
    <w:rsid w:val="000C0D72"/>
    <w:rsid w:val="000C0DD6"/>
    <w:rsid w:val="000C13EC"/>
    <w:rsid w:val="000C1A6A"/>
    <w:rsid w:val="000C2402"/>
    <w:rsid w:val="000C26C1"/>
    <w:rsid w:val="000C2DD0"/>
    <w:rsid w:val="000C5141"/>
    <w:rsid w:val="000C588B"/>
    <w:rsid w:val="000C70A6"/>
    <w:rsid w:val="000C73D2"/>
    <w:rsid w:val="000D1D3A"/>
    <w:rsid w:val="000D28D6"/>
    <w:rsid w:val="000D2EE4"/>
    <w:rsid w:val="000D3E8D"/>
    <w:rsid w:val="000D5142"/>
    <w:rsid w:val="000D56ED"/>
    <w:rsid w:val="000E00FA"/>
    <w:rsid w:val="000E0B90"/>
    <w:rsid w:val="000E1CE7"/>
    <w:rsid w:val="000E2492"/>
    <w:rsid w:val="000E2780"/>
    <w:rsid w:val="000E2BAA"/>
    <w:rsid w:val="000E2DE2"/>
    <w:rsid w:val="000E3315"/>
    <w:rsid w:val="000E3477"/>
    <w:rsid w:val="000E3809"/>
    <w:rsid w:val="000E58D2"/>
    <w:rsid w:val="000E5BD7"/>
    <w:rsid w:val="000E5F48"/>
    <w:rsid w:val="000E62A0"/>
    <w:rsid w:val="000E7259"/>
    <w:rsid w:val="000E7F45"/>
    <w:rsid w:val="000F00EC"/>
    <w:rsid w:val="000F0CAE"/>
    <w:rsid w:val="000F0DBE"/>
    <w:rsid w:val="000F0E0C"/>
    <w:rsid w:val="000F0F86"/>
    <w:rsid w:val="000F1D59"/>
    <w:rsid w:val="000F3577"/>
    <w:rsid w:val="000F35BD"/>
    <w:rsid w:val="000F389D"/>
    <w:rsid w:val="000F4DC5"/>
    <w:rsid w:val="000F577F"/>
    <w:rsid w:val="000F78EF"/>
    <w:rsid w:val="000F7D3C"/>
    <w:rsid w:val="000F7EB8"/>
    <w:rsid w:val="00100016"/>
    <w:rsid w:val="00100603"/>
    <w:rsid w:val="00100818"/>
    <w:rsid w:val="00100B3E"/>
    <w:rsid w:val="00100D41"/>
    <w:rsid w:val="001018FD"/>
    <w:rsid w:val="00101B7F"/>
    <w:rsid w:val="001026B7"/>
    <w:rsid w:val="001029B9"/>
    <w:rsid w:val="00102B83"/>
    <w:rsid w:val="00102CDD"/>
    <w:rsid w:val="001036AC"/>
    <w:rsid w:val="001039CF"/>
    <w:rsid w:val="00103F4B"/>
    <w:rsid w:val="00104016"/>
    <w:rsid w:val="0010535C"/>
    <w:rsid w:val="00105CF5"/>
    <w:rsid w:val="0010659C"/>
    <w:rsid w:val="00106FCA"/>
    <w:rsid w:val="001075FC"/>
    <w:rsid w:val="001105C9"/>
    <w:rsid w:val="00110C71"/>
    <w:rsid w:val="00112D8A"/>
    <w:rsid w:val="0011389A"/>
    <w:rsid w:val="001139AF"/>
    <w:rsid w:val="00113C18"/>
    <w:rsid w:val="00114DF5"/>
    <w:rsid w:val="00114FE1"/>
    <w:rsid w:val="00115250"/>
    <w:rsid w:val="0011587F"/>
    <w:rsid w:val="001158DF"/>
    <w:rsid w:val="00117699"/>
    <w:rsid w:val="00121490"/>
    <w:rsid w:val="00121E50"/>
    <w:rsid w:val="001224D8"/>
    <w:rsid w:val="00122779"/>
    <w:rsid w:val="0012390A"/>
    <w:rsid w:val="00125054"/>
    <w:rsid w:val="00125B7B"/>
    <w:rsid w:val="001262CA"/>
    <w:rsid w:val="0012760C"/>
    <w:rsid w:val="00127628"/>
    <w:rsid w:val="001277EA"/>
    <w:rsid w:val="0013001F"/>
    <w:rsid w:val="00130C04"/>
    <w:rsid w:val="001321C7"/>
    <w:rsid w:val="001328C3"/>
    <w:rsid w:val="00133E53"/>
    <w:rsid w:val="0013420A"/>
    <w:rsid w:val="0013424C"/>
    <w:rsid w:val="001344D4"/>
    <w:rsid w:val="00134623"/>
    <w:rsid w:val="001348BB"/>
    <w:rsid w:val="0013536D"/>
    <w:rsid w:val="00135A7F"/>
    <w:rsid w:val="00135B71"/>
    <w:rsid w:val="001364EF"/>
    <w:rsid w:val="00136EE9"/>
    <w:rsid w:val="00137559"/>
    <w:rsid w:val="0013755F"/>
    <w:rsid w:val="00137667"/>
    <w:rsid w:val="00140FCC"/>
    <w:rsid w:val="001411E3"/>
    <w:rsid w:val="00142005"/>
    <w:rsid w:val="001422EB"/>
    <w:rsid w:val="00142680"/>
    <w:rsid w:val="00142ED6"/>
    <w:rsid w:val="0014355C"/>
    <w:rsid w:val="00143ADC"/>
    <w:rsid w:val="00143B36"/>
    <w:rsid w:val="001451E5"/>
    <w:rsid w:val="00145B33"/>
    <w:rsid w:val="001468A0"/>
    <w:rsid w:val="0014793D"/>
    <w:rsid w:val="00150915"/>
    <w:rsid w:val="00150962"/>
    <w:rsid w:val="001525E8"/>
    <w:rsid w:val="00152A41"/>
    <w:rsid w:val="00154743"/>
    <w:rsid w:val="001550CD"/>
    <w:rsid w:val="00155A72"/>
    <w:rsid w:val="0016094B"/>
    <w:rsid w:val="00161796"/>
    <w:rsid w:val="001627C5"/>
    <w:rsid w:val="001638E7"/>
    <w:rsid w:val="001639F4"/>
    <w:rsid w:val="00164073"/>
    <w:rsid w:val="001646B5"/>
    <w:rsid w:val="00164A02"/>
    <w:rsid w:val="0016544D"/>
    <w:rsid w:val="00166D65"/>
    <w:rsid w:val="001671EE"/>
    <w:rsid w:val="00167400"/>
    <w:rsid w:val="001677D4"/>
    <w:rsid w:val="00170099"/>
    <w:rsid w:val="00171005"/>
    <w:rsid w:val="00171475"/>
    <w:rsid w:val="0017188F"/>
    <w:rsid w:val="001719C4"/>
    <w:rsid w:val="00171D60"/>
    <w:rsid w:val="00171D67"/>
    <w:rsid w:val="00172D88"/>
    <w:rsid w:val="001730B2"/>
    <w:rsid w:val="00173AD7"/>
    <w:rsid w:val="001761EF"/>
    <w:rsid w:val="001762D9"/>
    <w:rsid w:val="001765A2"/>
    <w:rsid w:val="00176E3A"/>
    <w:rsid w:val="00176FC8"/>
    <w:rsid w:val="00180393"/>
    <w:rsid w:val="0018118A"/>
    <w:rsid w:val="001812FD"/>
    <w:rsid w:val="00181993"/>
    <w:rsid w:val="00181C26"/>
    <w:rsid w:val="00181C2D"/>
    <w:rsid w:val="00182267"/>
    <w:rsid w:val="00182C83"/>
    <w:rsid w:val="00182D1F"/>
    <w:rsid w:val="00182F80"/>
    <w:rsid w:val="00183809"/>
    <w:rsid w:val="001845F8"/>
    <w:rsid w:val="001848F2"/>
    <w:rsid w:val="00184BF6"/>
    <w:rsid w:val="0018579C"/>
    <w:rsid w:val="0018589E"/>
    <w:rsid w:val="00185B04"/>
    <w:rsid w:val="001861E1"/>
    <w:rsid w:val="00187356"/>
    <w:rsid w:val="001873C5"/>
    <w:rsid w:val="001874DC"/>
    <w:rsid w:val="0018777A"/>
    <w:rsid w:val="0019053F"/>
    <w:rsid w:val="0019057F"/>
    <w:rsid w:val="00190714"/>
    <w:rsid w:val="00192EBD"/>
    <w:rsid w:val="00193C5B"/>
    <w:rsid w:val="00193D7D"/>
    <w:rsid w:val="00194719"/>
    <w:rsid w:val="00194888"/>
    <w:rsid w:val="00195095"/>
    <w:rsid w:val="00196A59"/>
    <w:rsid w:val="00197443"/>
    <w:rsid w:val="00197A26"/>
    <w:rsid w:val="001A061F"/>
    <w:rsid w:val="001A0B45"/>
    <w:rsid w:val="001A1741"/>
    <w:rsid w:val="001A19C8"/>
    <w:rsid w:val="001A1BEC"/>
    <w:rsid w:val="001A2C9C"/>
    <w:rsid w:val="001A2E79"/>
    <w:rsid w:val="001A3B6A"/>
    <w:rsid w:val="001A3C19"/>
    <w:rsid w:val="001A3D22"/>
    <w:rsid w:val="001A5535"/>
    <w:rsid w:val="001A5C63"/>
    <w:rsid w:val="001A6440"/>
    <w:rsid w:val="001A674A"/>
    <w:rsid w:val="001B0F99"/>
    <w:rsid w:val="001B2725"/>
    <w:rsid w:val="001B34E9"/>
    <w:rsid w:val="001B3CF2"/>
    <w:rsid w:val="001B44B0"/>
    <w:rsid w:val="001B54D4"/>
    <w:rsid w:val="001B62EE"/>
    <w:rsid w:val="001B6F90"/>
    <w:rsid w:val="001B761E"/>
    <w:rsid w:val="001C02C1"/>
    <w:rsid w:val="001C2589"/>
    <w:rsid w:val="001C2D43"/>
    <w:rsid w:val="001C4ACB"/>
    <w:rsid w:val="001C5DEB"/>
    <w:rsid w:val="001C687E"/>
    <w:rsid w:val="001C691E"/>
    <w:rsid w:val="001D1234"/>
    <w:rsid w:val="001D142A"/>
    <w:rsid w:val="001D1F45"/>
    <w:rsid w:val="001D2448"/>
    <w:rsid w:val="001D36B4"/>
    <w:rsid w:val="001D376F"/>
    <w:rsid w:val="001D42D3"/>
    <w:rsid w:val="001D4B11"/>
    <w:rsid w:val="001D5531"/>
    <w:rsid w:val="001D7174"/>
    <w:rsid w:val="001E0264"/>
    <w:rsid w:val="001E2573"/>
    <w:rsid w:val="001E3306"/>
    <w:rsid w:val="001E333A"/>
    <w:rsid w:val="001E3CAD"/>
    <w:rsid w:val="001E3D65"/>
    <w:rsid w:val="001E3F43"/>
    <w:rsid w:val="001E4188"/>
    <w:rsid w:val="001E439D"/>
    <w:rsid w:val="001E5A46"/>
    <w:rsid w:val="001E6171"/>
    <w:rsid w:val="001E764B"/>
    <w:rsid w:val="001F09C4"/>
    <w:rsid w:val="001F0F91"/>
    <w:rsid w:val="001F19EB"/>
    <w:rsid w:val="001F2076"/>
    <w:rsid w:val="001F2A68"/>
    <w:rsid w:val="001F33E7"/>
    <w:rsid w:val="001F3418"/>
    <w:rsid w:val="001F4C22"/>
    <w:rsid w:val="001F66A5"/>
    <w:rsid w:val="001F6780"/>
    <w:rsid w:val="001F691E"/>
    <w:rsid w:val="001F6B02"/>
    <w:rsid w:val="001F7E52"/>
    <w:rsid w:val="002003EB"/>
    <w:rsid w:val="00200C5F"/>
    <w:rsid w:val="00200EDF"/>
    <w:rsid w:val="00201B76"/>
    <w:rsid w:val="00201D15"/>
    <w:rsid w:val="00201D90"/>
    <w:rsid w:val="002041F9"/>
    <w:rsid w:val="002043A7"/>
    <w:rsid w:val="002044FD"/>
    <w:rsid w:val="002053C5"/>
    <w:rsid w:val="00205443"/>
    <w:rsid w:val="00205B04"/>
    <w:rsid w:val="00205FF1"/>
    <w:rsid w:val="002062F9"/>
    <w:rsid w:val="0020654B"/>
    <w:rsid w:val="00206E02"/>
    <w:rsid w:val="00207229"/>
    <w:rsid w:val="00207F21"/>
    <w:rsid w:val="0021061E"/>
    <w:rsid w:val="002110A3"/>
    <w:rsid w:val="002118D1"/>
    <w:rsid w:val="00211DFA"/>
    <w:rsid w:val="00212027"/>
    <w:rsid w:val="00212845"/>
    <w:rsid w:val="00212946"/>
    <w:rsid w:val="00212982"/>
    <w:rsid w:val="0021397A"/>
    <w:rsid w:val="00213C1A"/>
    <w:rsid w:val="00213D2B"/>
    <w:rsid w:val="00214EFF"/>
    <w:rsid w:val="00215505"/>
    <w:rsid w:val="0021552D"/>
    <w:rsid w:val="0021648E"/>
    <w:rsid w:val="002209A5"/>
    <w:rsid w:val="00221547"/>
    <w:rsid w:val="0022191E"/>
    <w:rsid w:val="00221F4D"/>
    <w:rsid w:val="002225AA"/>
    <w:rsid w:val="002233EB"/>
    <w:rsid w:val="00223BD6"/>
    <w:rsid w:val="00224164"/>
    <w:rsid w:val="0022481A"/>
    <w:rsid w:val="002267EA"/>
    <w:rsid w:val="00227473"/>
    <w:rsid w:val="00227577"/>
    <w:rsid w:val="002308A4"/>
    <w:rsid w:val="002309E1"/>
    <w:rsid w:val="00230A69"/>
    <w:rsid w:val="00231061"/>
    <w:rsid w:val="00231394"/>
    <w:rsid w:val="00231B86"/>
    <w:rsid w:val="00232574"/>
    <w:rsid w:val="002347CA"/>
    <w:rsid w:val="002367D5"/>
    <w:rsid w:val="00236AC3"/>
    <w:rsid w:val="00240E8A"/>
    <w:rsid w:val="002410CC"/>
    <w:rsid w:val="00241E11"/>
    <w:rsid w:val="002433A8"/>
    <w:rsid w:val="00243A33"/>
    <w:rsid w:val="002459E4"/>
    <w:rsid w:val="00245A3F"/>
    <w:rsid w:val="00246EF5"/>
    <w:rsid w:val="00246FCF"/>
    <w:rsid w:val="00247111"/>
    <w:rsid w:val="00247287"/>
    <w:rsid w:val="002477DC"/>
    <w:rsid w:val="00250F94"/>
    <w:rsid w:val="00251B4F"/>
    <w:rsid w:val="00251D0F"/>
    <w:rsid w:val="0025244A"/>
    <w:rsid w:val="0025252A"/>
    <w:rsid w:val="002526F0"/>
    <w:rsid w:val="00252E94"/>
    <w:rsid w:val="00252F31"/>
    <w:rsid w:val="00254090"/>
    <w:rsid w:val="002540B8"/>
    <w:rsid w:val="00255673"/>
    <w:rsid w:val="002578EB"/>
    <w:rsid w:val="00257BA7"/>
    <w:rsid w:val="00260476"/>
    <w:rsid w:val="00261F48"/>
    <w:rsid w:val="00262FCF"/>
    <w:rsid w:val="002631DF"/>
    <w:rsid w:val="00263A68"/>
    <w:rsid w:val="00264513"/>
    <w:rsid w:val="00264C7B"/>
    <w:rsid w:val="00264FFF"/>
    <w:rsid w:val="002659F7"/>
    <w:rsid w:val="00265F84"/>
    <w:rsid w:val="00267795"/>
    <w:rsid w:val="00267F08"/>
    <w:rsid w:val="002703EB"/>
    <w:rsid w:val="002704D4"/>
    <w:rsid w:val="002704EC"/>
    <w:rsid w:val="00270925"/>
    <w:rsid w:val="00270FCA"/>
    <w:rsid w:val="002717B0"/>
    <w:rsid w:val="0027369F"/>
    <w:rsid w:val="00274645"/>
    <w:rsid w:val="00274D19"/>
    <w:rsid w:val="00276172"/>
    <w:rsid w:val="00276923"/>
    <w:rsid w:val="00280329"/>
    <w:rsid w:val="00280499"/>
    <w:rsid w:val="00281451"/>
    <w:rsid w:val="00281809"/>
    <w:rsid w:val="00282EED"/>
    <w:rsid w:val="002839D9"/>
    <w:rsid w:val="002840CD"/>
    <w:rsid w:val="0028505C"/>
    <w:rsid w:val="002859A6"/>
    <w:rsid w:val="00285C50"/>
    <w:rsid w:val="0028609E"/>
    <w:rsid w:val="002861E5"/>
    <w:rsid w:val="00286BC6"/>
    <w:rsid w:val="00287D30"/>
    <w:rsid w:val="002904E1"/>
    <w:rsid w:val="002936F6"/>
    <w:rsid w:val="00293A28"/>
    <w:rsid w:val="00296137"/>
    <w:rsid w:val="00296611"/>
    <w:rsid w:val="00297845"/>
    <w:rsid w:val="00297E73"/>
    <w:rsid w:val="00297F2B"/>
    <w:rsid w:val="002A3C55"/>
    <w:rsid w:val="002A527B"/>
    <w:rsid w:val="002A69DC"/>
    <w:rsid w:val="002A6DD4"/>
    <w:rsid w:val="002B1336"/>
    <w:rsid w:val="002B1A95"/>
    <w:rsid w:val="002B2218"/>
    <w:rsid w:val="002B22D6"/>
    <w:rsid w:val="002B372D"/>
    <w:rsid w:val="002B3D43"/>
    <w:rsid w:val="002B4119"/>
    <w:rsid w:val="002B47B1"/>
    <w:rsid w:val="002B58BD"/>
    <w:rsid w:val="002B5D86"/>
    <w:rsid w:val="002B75D6"/>
    <w:rsid w:val="002B7B5E"/>
    <w:rsid w:val="002C0A90"/>
    <w:rsid w:val="002C0C85"/>
    <w:rsid w:val="002C2C37"/>
    <w:rsid w:val="002C2F51"/>
    <w:rsid w:val="002C3D8F"/>
    <w:rsid w:val="002C3E68"/>
    <w:rsid w:val="002C5401"/>
    <w:rsid w:val="002C5856"/>
    <w:rsid w:val="002C7FF1"/>
    <w:rsid w:val="002D058F"/>
    <w:rsid w:val="002D134E"/>
    <w:rsid w:val="002D1801"/>
    <w:rsid w:val="002D2E52"/>
    <w:rsid w:val="002E02E0"/>
    <w:rsid w:val="002E0A88"/>
    <w:rsid w:val="002E0DF8"/>
    <w:rsid w:val="002E10EF"/>
    <w:rsid w:val="002E2518"/>
    <w:rsid w:val="002E2A48"/>
    <w:rsid w:val="002E305E"/>
    <w:rsid w:val="002E3240"/>
    <w:rsid w:val="002E3D12"/>
    <w:rsid w:val="002E3F62"/>
    <w:rsid w:val="002E41D4"/>
    <w:rsid w:val="002E4E72"/>
    <w:rsid w:val="002E5D09"/>
    <w:rsid w:val="002E60B8"/>
    <w:rsid w:val="002E6437"/>
    <w:rsid w:val="002E79F4"/>
    <w:rsid w:val="002E7C04"/>
    <w:rsid w:val="002E7D5D"/>
    <w:rsid w:val="002E7FE6"/>
    <w:rsid w:val="002F1394"/>
    <w:rsid w:val="002F18CF"/>
    <w:rsid w:val="002F20BA"/>
    <w:rsid w:val="002F220E"/>
    <w:rsid w:val="002F24FB"/>
    <w:rsid w:val="002F2A65"/>
    <w:rsid w:val="002F2FDB"/>
    <w:rsid w:val="002F3DE5"/>
    <w:rsid w:val="002F40F5"/>
    <w:rsid w:val="002F41DC"/>
    <w:rsid w:val="002F4A74"/>
    <w:rsid w:val="002F4B3A"/>
    <w:rsid w:val="002F4F7E"/>
    <w:rsid w:val="002F59D5"/>
    <w:rsid w:val="002F5F93"/>
    <w:rsid w:val="002F73D6"/>
    <w:rsid w:val="002F77AA"/>
    <w:rsid w:val="002F7A17"/>
    <w:rsid w:val="002F7D66"/>
    <w:rsid w:val="002F7E0F"/>
    <w:rsid w:val="0030082E"/>
    <w:rsid w:val="00300A88"/>
    <w:rsid w:val="00300CF0"/>
    <w:rsid w:val="00301AC5"/>
    <w:rsid w:val="00301B43"/>
    <w:rsid w:val="00301B7E"/>
    <w:rsid w:val="00301BDC"/>
    <w:rsid w:val="00303817"/>
    <w:rsid w:val="003040D7"/>
    <w:rsid w:val="00304307"/>
    <w:rsid w:val="0030466D"/>
    <w:rsid w:val="00304775"/>
    <w:rsid w:val="00306C83"/>
    <w:rsid w:val="00307804"/>
    <w:rsid w:val="0031010D"/>
    <w:rsid w:val="0031033E"/>
    <w:rsid w:val="00310522"/>
    <w:rsid w:val="003108B3"/>
    <w:rsid w:val="00310A4E"/>
    <w:rsid w:val="00310EE6"/>
    <w:rsid w:val="00311023"/>
    <w:rsid w:val="00312151"/>
    <w:rsid w:val="003143F6"/>
    <w:rsid w:val="00316630"/>
    <w:rsid w:val="00316BE7"/>
    <w:rsid w:val="00316FF3"/>
    <w:rsid w:val="0031754B"/>
    <w:rsid w:val="003178CF"/>
    <w:rsid w:val="0032013E"/>
    <w:rsid w:val="003204FC"/>
    <w:rsid w:val="003208D9"/>
    <w:rsid w:val="0032098B"/>
    <w:rsid w:val="0032244A"/>
    <w:rsid w:val="00322644"/>
    <w:rsid w:val="003239BC"/>
    <w:rsid w:val="00326031"/>
    <w:rsid w:val="003261E1"/>
    <w:rsid w:val="0033020E"/>
    <w:rsid w:val="00331190"/>
    <w:rsid w:val="00332F75"/>
    <w:rsid w:val="0033367F"/>
    <w:rsid w:val="00334871"/>
    <w:rsid w:val="00336B41"/>
    <w:rsid w:val="00336E0A"/>
    <w:rsid w:val="00337D42"/>
    <w:rsid w:val="00341442"/>
    <w:rsid w:val="00342708"/>
    <w:rsid w:val="003431C0"/>
    <w:rsid w:val="003431EF"/>
    <w:rsid w:val="003432FB"/>
    <w:rsid w:val="003434A4"/>
    <w:rsid w:val="0034498F"/>
    <w:rsid w:val="0034676E"/>
    <w:rsid w:val="003470D1"/>
    <w:rsid w:val="003476ED"/>
    <w:rsid w:val="003505AF"/>
    <w:rsid w:val="0035094B"/>
    <w:rsid w:val="00351E4C"/>
    <w:rsid w:val="003521E2"/>
    <w:rsid w:val="00352E2B"/>
    <w:rsid w:val="00353F9E"/>
    <w:rsid w:val="00355039"/>
    <w:rsid w:val="003553B8"/>
    <w:rsid w:val="003557BE"/>
    <w:rsid w:val="00356491"/>
    <w:rsid w:val="003567C8"/>
    <w:rsid w:val="003579AA"/>
    <w:rsid w:val="003604E8"/>
    <w:rsid w:val="00360F0A"/>
    <w:rsid w:val="003611D1"/>
    <w:rsid w:val="00362029"/>
    <w:rsid w:val="0036233C"/>
    <w:rsid w:val="00363764"/>
    <w:rsid w:val="00363D63"/>
    <w:rsid w:val="00363DC0"/>
    <w:rsid w:val="0036633D"/>
    <w:rsid w:val="0036647E"/>
    <w:rsid w:val="00367779"/>
    <w:rsid w:val="00367DAC"/>
    <w:rsid w:val="003704E0"/>
    <w:rsid w:val="0037207F"/>
    <w:rsid w:val="003729F7"/>
    <w:rsid w:val="0037306C"/>
    <w:rsid w:val="003736C0"/>
    <w:rsid w:val="0037370F"/>
    <w:rsid w:val="00373D30"/>
    <w:rsid w:val="003743FC"/>
    <w:rsid w:val="00375515"/>
    <w:rsid w:val="00375CAD"/>
    <w:rsid w:val="00375D43"/>
    <w:rsid w:val="003762F2"/>
    <w:rsid w:val="0037654C"/>
    <w:rsid w:val="00376C9D"/>
    <w:rsid w:val="00380978"/>
    <w:rsid w:val="00380A86"/>
    <w:rsid w:val="00381899"/>
    <w:rsid w:val="003818B5"/>
    <w:rsid w:val="00383781"/>
    <w:rsid w:val="0038382C"/>
    <w:rsid w:val="003840DF"/>
    <w:rsid w:val="00384312"/>
    <w:rsid w:val="003849A9"/>
    <w:rsid w:val="00385DA8"/>
    <w:rsid w:val="003868AD"/>
    <w:rsid w:val="00387361"/>
    <w:rsid w:val="00387C34"/>
    <w:rsid w:val="00387C86"/>
    <w:rsid w:val="00387DCC"/>
    <w:rsid w:val="003908CA"/>
    <w:rsid w:val="00390D15"/>
    <w:rsid w:val="0039160C"/>
    <w:rsid w:val="00391B48"/>
    <w:rsid w:val="00394A4B"/>
    <w:rsid w:val="00394C86"/>
    <w:rsid w:val="003956EC"/>
    <w:rsid w:val="003A011E"/>
    <w:rsid w:val="003A1231"/>
    <w:rsid w:val="003A156B"/>
    <w:rsid w:val="003A1623"/>
    <w:rsid w:val="003A1962"/>
    <w:rsid w:val="003A3A72"/>
    <w:rsid w:val="003A3BFF"/>
    <w:rsid w:val="003A3C15"/>
    <w:rsid w:val="003A649B"/>
    <w:rsid w:val="003A7557"/>
    <w:rsid w:val="003A7568"/>
    <w:rsid w:val="003A7630"/>
    <w:rsid w:val="003A7D12"/>
    <w:rsid w:val="003A7FB8"/>
    <w:rsid w:val="003B13F6"/>
    <w:rsid w:val="003B18B3"/>
    <w:rsid w:val="003B18B6"/>
    <w:rsid w:val="003B3003"/>
    <w:rsid w:val="003B353F"/>
    <w:rsid w:val="003B405E"/>
    <w:rsid w:val="003B5377"/>
    <w:rsid w:val="003B6E8F"/>
    <w:rsid w:val="003B7630"/>
    <w:rsid w:val="003C0017"/>
    <w:rsid w:val="003C05FA"/>
    <w:rsid w:val="003C0F9C"/>
    <w:rsid w:val="003C18F0"/>
    <w:rsid w:val="003C1D58"/>
    <w:rsid w:val="003C25CB"/>
    <w:rsid w:val="003C28A6"/>
    <w:rsid w:val="003C2D1C"/>
    <w:rsid w:val="003C4007"/>
    <w:rsid w:val="003C52C1"/>
    <w:rsid w:val="003C606F"/>
    <w:rsid w:val="003C636A"/>
    <w:rsid w:val="003C643C"/>
    <w:rsid w:val="003C645E"/>
    <w:rsid w:val="003C6712"/>
    <w:rsid w:val="003C7439"/>
    <w:rsid w:val="003D0BFE"/>
    <w:rsid w:val="003D13DC"/>
    <w:rsid w:val="003D1498"/>
    <w:rsid w:val="003D14AE"/>
    <w:rsid w:val="003D23F9"/>
    <w:rsid w:val="003D33E3"/>
    <w:rsid w:val="003D387B"/>
    <w:rsid w:val="003D3ADE"/>
    <w:rsid w:val="003D571A"/>
    <w:rsid w:val="003D580B"/>
    <w:rsid w:val="003D72BF"/>
    <w:rsid w:val="003D7578"/>
    <w:rsid w:val="003E0190"/>
    <w:rsid w:val="003E027B"/>
    <w:rsid w:val="003E17B7"/>
    <w:rsid w:val="003E1D76"/>
    <w:rsid w:val="003E27C2"/>
    <w:rsid w:val="003E31C1"/>
    <w:rsid w:val="003E59CA"/>
    <w:rsid w:val="003E5E1D"/>
    <w:rsid w:val="003F165A"/>
    <w:rsid w:val="003F1AD9"/>
    <w:rsid w:val="003F1E92"/>
    <w:rsid w:val="003F243F"/>
    <w:rsid w:val="003F25A4"/>
    <w:rsid w:val="003F26EE"/>
    <w:rsid w:val="003F270F"/>
    <w:rsid w:val="003F3508"/>
    <w:rsid w:val="003F4132"/>
    <w:rsid w:val="003F414A"/>
    <w:rsid w:val="003F418A"/>
    <w:rsid w:val="003F442E"/>
    <w:rsid w:val="003F473A"/>
    <w:rsid w:val="003F5341"/>
    <w:rsid w:val="003F6485"/>
    <w:rsid w:val="004007CD"/>
    <w:rsid w:val="00401725"/>
    <w:rsid w:val="00401A7C"/>
    <w:rsid w:val="004022DB"/>
    <w:rsid w:val="0040331D"/>
    <w:rsid w:val="00403A14"/>
    <w:rsid w:val="00403C92"/>
    <w:rsid w:val="004056FE"/>
    <w:rsid w:val="0040595D"/>
    <w:rsid w:val="00405DFD"/>
    <w:rsid w:val="004061FF"/>
    <w:rsid w:val="0040652A"/>
    <w:rsid w:val="00406C77"/>
    <w:rsid w:val="004106E1"/>
    <w:rsid w:val="00410836"/>
    <w:rsid w:val="0041187A"/>
    <w:rsid w:val="00412E8D"/>
    <w:rsid w:val="004138B3"/>
    <w:rsid w:val="00413CBF"/>
    <w:rsid w:val="00414072"/>
    <w:rsid w:val="004141F4"/>
    <w:rsid w:val="00414576"/>
    <w:rsid w:val="004145EF"/>
    <w:rsid w:val="00414F67"/>
    <w:rsid w:val="00415D91"/>
    <w:rsid w:val="004202A1"/>
    <w:rsid w:val="004211CE"/>
    <w:rsid w:val="004227EF"/>
    <w:rsid w:val="004230FE"/>
    <w:rsid w:val="00423F69"/>
    <w:rsid w:val="00424660"/>
    <w:rsid w:val="00427221"/>
    <w:rsid w:val="004273FD"/>
    <w:rsid w:val="00430424"/>
    <w:rsid w:val="00430F34"/>
    <w:rsid w:val="0043193D"/>
    <w:rsid w:val="0043209B"/>
    <w:rsid w:val="00432D70"/>
    <w:rsid w:val="00433157"/>
    <w:rsid w:val="00433684"/>
    <w:rsid w:val="0043549F"/>
    <w:rsid w:val="00436081"/>
    <w:rsid w:val="004364A2"/>
    <w:rsid w:val="004402BC"/>
    <w:rsid w:val="004402FC"/>
    <w:rsid w:val="00441FFE"/>
    <w:rsid w:val="00442815"/>
    <w:rsid w:val="00443EA4"/>
    <w:rsid w:val="00444A54"/>
    <w:rsid w:val="0044525E"/>
    <w:rsid w:val="00445279"/>
    <w:rsid w:val="004475A3"/>
    <w:rsid w:val="0045094E"/>
    <w:rsid w:val="004511D1"/>
    <w:rsid w:val="00451339"/>
    <w:rsid w:val="00451E71"/>
    <w:rsid w:val="00453DEB"/>
    <w:rsid w:val="00455298"/>
    <w:rsid w:val="00455359"/>
    <w:rsid w:val="0045542D"/>
    <w:rsid w:val="00455553"/>
    <w:rsid w:val="00455B96"/>
    <w:rsid w:val="0045622B"/>
    <w:rsid w:val="00456D5F"/>
    <w:rsid w:val="004570E7"/>
    <w:rsid w:val="004601B1"/>
    <w:rsid w:val="0046101B"/>
    <w:rsid w:val="004614A8"/>
    <w:rsid w:val="00462AEB"/>
    <w:rsid w:val="00462DCD"/>
    <w:rsid w:val="00463285"/>
    <w:rsid w:val="004634E8"/>
    <w:rsid w:val="00463AA4"/>
    <w:rsid w:val="00464542"/>
    <w:rsid w:val="0046475B"/>
    <w:rsid w:val="00465D90"/>
    <w:rsid w:val="00466473"/>
    <w:rsid w:val="00466689"/>
    <w:rsid w:val="004668F6"/>
    <w:rsid w:val="004676C3"/>
    <w:rsid w:val="00470579"/>
    <w:rsid w:val="004707D0"/>
    <w:rsid w:val="004711A0"/>
    <w:rsid w:val="00471F89"/>
    <w:rsid w:val="00475D39"/>
    <w:rsid w:val="004761F2"/>
    <w:rsid w:val="00476476"/>
    <w:rsid w:val="004769B6"/>
    <w:rsid w:val="00477A68"/>
    <w:rsid w:val="00480F84"/>
    <w:rsid w:val="00481FA6"/>
    <w:rsid w:val="00482C3A"/>
    <w:rsid w:val="00483240"/>
    <w:rsid w:val="00483E62"/>
    <w:rsid w:val="00484053"/>
    <w:rsid w:val="004862CA"/>
    <w:rsid w:val="0048654B"/>
    <w:rsid w:val="00486A6F"/>
    <w:rsid w:val="00486B32"/>
    <w:rsid w:val="00490A1F"/>
    <w:rsid w:val="00490CB8"/>
    <w:rsid w:val="00490E9B"/>
    <w:rsid w:val="0049133B"/>
    <w:rsid w:val="004924B0"/>
    <w:rsid w:val="00492FF7"/>
    <w:rsid w:val="00493062"/>
    <w:rsid w:val="00493CF7"/>
    <w:rsid w:val="0049626B"/>
    <w:rsid w:val="004976D0"/>
    <w:rsid w:val="00497BA0"/>
    <w:rsid w:val="00497C2A"/>
    <w:rsid w:val="004A179F"/>
    <w:rsid w:val="004A3477"/>
    <w:rsid w:val="004A38AE"/>
    <w:rsid w:val="004A433E"/>
    <w:rsid w:val="004B2D8D"/>
    <w:rsid w:val="004B33B5"/>
    <w:rsid w:val="004B3F45"/>
    <w:rsid w:val="004B4405"/>
    <w:rsid w:val="004B4A3C"/>
    <w:rsid w:val="004B4F9D"/>
    <w:rsid w:val="004B509B"/>
    <w:rsid w:val="004B539B"/>
    <w:rsid w:val="004B5688"/>
    <w:rsid w:val="004B5A51"/>
    <w:rsid w:val="004B5AE4"/>
    <w:rsid w:val="004B682A"/>
    <w:rsid w:val="004B6EF9"/>
    <w:rsid w:val="004B7772"/>
    <w:rsid w:val="004B7BF1"/>
    <w:rsid w:val="004C01B0"/>
    <w:rsid w:val="004C07B2"/>
    <w:rsid w:val="004C0A99"/>
    <w:rsid w:val="004C2877"/>
    <w:rsid w:val="004C3A90"/>
    <w:rsid w:val="004C455C"/>
    <w:rsid w:val="004C5D19"/>
    <w:rsid w:val="004C5FDA"/>
    <w:rsid w:val="004C6201"/>
    <w:rsid w:val="004C75EA"/>
    <w:rsid w:val="004C7913"/>
    <w:rsid w:val="004D1BDA"/>
    <w:rsid w:val="004D3043"/>
    <w:rsid w:val="004D372F"/>
    <w:rsid w:val="004D416B"/>
    <w:rsid w:val="004D442A"/>
    <w:rsid w:val="004D4446"/>
    <w:rsid w:val="004D4D99"/>
    <w:rsid w:val="004D5C54"/>
    <w:rsid w:val="004D626C"/>
    <w:rsid w:val="004E003E"/>
    <w:rsid w:val="004E167F"/>
    <w:rsid w:val="004E2F3A"/>
    <w:rsid w:val="004E3EE0"/>
    <w:rsid w:val="004E43DD"/>
    <w:rsid w:val="004E4B75"/>
    <w:rsid w:val="004E51ED"/>
    <w:rsid w:val="004E5A9D"/>
    <w:rsid w:val="004E6696"/>
    <w:rsid w:val="004E67ED"/>
    <w:rsid w:val="004E6C4A"/>
    <w:rsid w:val="004F12D7"/>
    <w:rsid w:val="004F140B"/>
    <w:rsid w:val="004F2F68"/>
    <w:rsid w:val="004F2FA3"/>
    <w:rsid w:val="004F464D"/>
    <w:rsid w:val="004F57B0"/>
    <w:rsid w:val="004F5D25"/>
    <w:rsid w:val="004F673F"/>
    <w:rsid w:val="004F6CF6"/>
    <w:rsid w:val="004F6F98"/>
    <w:rsid w:val="004F76BF"/>
    <w:rsid w:val="004F79DE"/>
    <w:rsid w:val="004F7B7B"/>
    <w:rsid w:val="0050060C"/>
    <w:rsid w:val="00502BC3"/>
    <w:rsid w:val="00502C3F"/>
    <w:rsid w:val="00503C07"/>
    <w:rsid w:val="00503C5F"/>
    <w:rsid w:val="00504A46"/>
    <w:rsid w:val="00504DB3"/>
    <w:rsid w:val="00505AB5"/>
    <w:rsid w:val="00506D7D"/>
    <w:rsid w:val="00506E8A"/>
    <w:rsid w:val="00510C1C"/>
    <w:rsid w:val="00511970"/>
    <w:rsid w:val="00512244"/>
    <w:rsid w:val="0051272D"/>
    <w:rsid w:val="00513BC8"/>
    <w:rsid w:val="00513DBC"/>
    <w:rsid w:val="00514809"/>
    <w:rsid w:val="00514E2E"/>
    <w:rsid w:val="00515A03"/>
    <w:rsid w:val="00515F52"/>
    <w:rsid w:val="00516157"/>
    <w:rsid w:val="00516BB6"/>
    <w:rsid w:val="005176FF"/>
    <w:rsid w:val="00520063"/>
    <w:rsid w:val="00520549"/>
    <w:rsid w:val="005208B3"/>
    <w:rsid w:val="00521A62"/>
    <w:rsid w:val="00521CE7"/>
    <w:rsid w:val="0052287E"/>
    <w:rsid w:val="0052289E"/>
    <w:rsid w:val="0052332B"/>
    <w:rsid w:val="00524296"/>
    <w:rsid w:val="00525007"/>
    <w:rsid w:val="0052533A"/>
    <w:rsid w:val="00525AD9"/>
    <w:rsid w:val="00530E7D"/>
    <w:rsid w:val="00531FE9"/>
    <w:rsid w:val="00532C8E"/>
    <w:rsid w:val="00532E47"/>
    <w:rsid w:val="0053305E"/>
    <w:rsid w:val="00533C10"/>
    <w:rsid w:val="0053424B"/>
    <w:rsid w:val="005344BB"/>
    <w:rsid w:val="0053508D"/>
    <w:rsid w:val="005400F4"/>
    <w:rsid w:val="00540AA3"/>
    <w:rsid w:val="00541281"/>
    <w:rsid w:val="00541647"/>
    <w:rsid w:val="00542209"/>
    <w:rsid w:val="005428DC"/>
    <w:rsid w:val="0054341C"/>
    <w:rsid w:val="00543C8E"/>
    <w:rsid w:val="00544662"/>
    <w:rsid w:val="005453E7"/>
    <w:rsid w:val="0054560C"/>
    <w:rsid w:val="00545ED8"/>
    <w:rsid w:val="005465A4"/>
    <w:rsid w:val="00550161"/>
    <w:rsid w:val="0055019B"/>
    <w:rsid w:val="005502AC"/>
    <w:rsid w:val="00550A67"/>
    <w:rsid w:val="00550F0B"/>
    <w:rsid w:val="00552D66"/>
    <w:rsid w:val="005536E3"/>
    <w:rsid w:val="00554C26"/>
    <w:rsid w:val="00556045"/>
    <w:rsid w:val="005561AE"/>
    <w:rsid w:val="00560229"/>
    <w:rsid w:val="005602BC"/>
    <w:rsid w:val="00561E1A"/>
    <w:rsid w:val="00562037"/>
    <w:rsid w:val="005627D5"/>
    <w:rsid w:val="00562D37"/>
    <w:rsid w:val="00563120"/>
    <w:rsid w:val="00563703"/>
    <w:rsid w:val="0056379D"/>
    <w:rsid w:val="0056417B"/>
    <w:rsid w:val="00564976"/>
    <w:rsid w:val="00565483"/>
    <w:rsid w:val="0056558E"/>
    <w:rsid w:val="005657D7"/>
    <w:rsid w:val="00565986"/>
    <w:rsid w:val="00566941"/>
    <w:rsid w:val="00570661"/>
    <w:rsid w:val="0057096E"/>
    <w:rsid w:val="00570F4C"/>
    <w:rsid w:val="00572002"/>
    <w:rsid w:val="005730B4"/>
    <w:rsid w:val="00573E57"/>
    <w:rsid w:val="0057418F"/>
    <w:rsid w:val="00575041"/>
    <w:rsid w:val="00576170"/>
    <w:rsid w:val="00576296"/>
    <w:rsid w:val="005779CA"/>
    <w:rsid w:val="005779E6"/>
    <w:rsid w:val="0058126D"/>
    <w:rsid w:val="005817A0"/>
    <w:rsid w:val="00581EE1"/>
    <w:rsid w:val="00582CAB"/>
    <w:rsid w:val="005838DF"/>
    <w:rsid w:val="00583918"/>
    <w:rsid w:val="00583D8E"/>
    <w:rsid w:val="00583E47"/>
    <w:rsid w:val="00584079"/>
    <w:rsid w:val="00585E05"/>
    <w:rsid w:val="00586493"/>
    <w:rsid w:val="00586CF3"/>
    <w:rsid w:val="00587AF3"/>
    <w:rsid w:val="005900C6"/>
    <w:rsid w:val="005912F2"/>
    <w:rsid w:val="00592106"/>
    <w:rsid w:val="00592667"/>
    <w:rsid w:val="0059269E"/>
    <w:rsid w:val="00592E31"/>
    <w:rsid w:val="00592EEB"/>
    <w:rsid w:val="00593341"/>
    <w:rsid w:val="005936A5"/>
    <w:rsid w:val="00593789"/>
    <w:rsid w:val="005942A7"/>
    <w:rsid w:val="005946CD"/>
    <w:rsid w:val="0059495F"/>
    <w:rsid w:val="005966B5"/>
    <w:rsid w:val="00596966"/>
    <w:rsid w:val="00597CED"/>
    <w:rsid w:val="00597F08"/>
    <w:rsid w:val="005A00F7"/>
    <w:rsid w:val="005A0157"/>
    <w:rsid w:val="005A0232"/>
    <w:rsid w:val="005A05A8"/>
    <w:rsid w:val="005A0C20"/>
    <w:rsid w:val="005A1145"/>
    <w:rsid w:val="005A1474"/>
    <w:rsid w:val="005A2193"/>
    <w:rsid w:val="005A2A7D"/>
    <w:rsid w:val="005A38CD"/>
    <w:rsid w:val="005A5641"/>
    <w:rsid w:val="005A56BA"/>
    <w:rsid w:val="005A5C92"/>
    <w:rsid w:val="005A5D20"/>
    <w:rsid w:val="005A7D6A"/>
    <w:rsid w:val="005A7E79"/>
    <w:rsid w:val="005B00E5"/>
    <w:rsid w:val="005B04E4"/>
    <w:rsid w:val="005B2468"/>
    <w:rsid w:val="005B42F7"/>
    <w:rsid w:val="005C08BC"/>
    <w:rsid w:val="005C1893"/>
    <w:rsid w:val="005C2B86"/>
    <w:rsid w:val="005C2C3B"/>
    <w:rsid w:val="005C34ED"/>
    <w:rsid w:val="005C45AB"/>
    <w:rsid w:val="005C4729"/>
    <w:rsid w:val="005C6023"/>
    <w:rsid w:val="005C6854"/>
    <w:rsid w:val="005C6873"/>
    <w:rsid w:val="005C6B57"/>
    <w:rsid w:val="005C6C8C"/>
    <w:rsid w:val="005D0F12"/>
    <w:rsid w:val="005D10AC"/>
    <w:rsid w:val="005D156B"/>
    <w:rsid w:val="005D1CEE"/>
    <w:rsid w:val="005D2036"/>
    <w:rsid w:val="005D2400"/>
    <w:rsid w:val="005D246B"/>
    <w:rsid w:val="005D3835"/>
    <w:rsid w:val="005D4626"/>
    <w:rsid w:val="005D536D"/>
    <w:rsid w:val="005D6F06"/>
    <w:rsid w:val="005D7D8A"/>
    <w:rsid w:val="005E08A5"/>
    <w:rsid w:val="005E1A5C"/>
    <w:rsid w:val="005E1ABA"/>
    <w:rsid w:val="005E1BB1"/>
    <w:rsid w:val="005E2809"/>
    <w:rsid w:val="005E2B34"/>
    <w:rsid w:val="005E4FD9"/>
    <w:rsid w:val="005E5DAF"/>
    <w:rsid w:val="005E61F7"/>
    <w:rsid w:val="005E642A"/>
    <w:rsid w:val="005E663C"/>
    <w:rsid w:val="005E6984"/>
    <w:rsid w:val="005F0017"/>
    <w:rsid w:val="005F015C"/>
    <w:rsid w:val="005F0415"/>
    <w:rsid w:val="005F0B55"/>
    <w:rsid w:val="005F122D"/>
    <w:rsid w:val="005F12F6"/>
    <w:rsid w:val="005F316B"/>
    <w:rsid w:val="005F4301"/>
    <w:rsid w:val="005F4AE2"/>
    <w:rsid w:val="005F5920"/>
    <w:rsid w:val="005F6CE0"/>
    <w:rsid w:val="005F741E"/>
    <w:rsid w:val="005F797A"/>
    <w:rsid w:val="00602CC9"/>
    <w:rsid w:val="006051CC"/>
    <w:rsid w:val="00605527"/>
    <w:rsid w:val="00605C85"/>
    <w:rsid w:val="0061036C"/>
    <w:rsid w:val="00611030"/>
    <w:rsid w:val="00611AB9"/>
    <w:rsid w:val="00613431"/>
    <w:rsid w:val="006139C0"/>
    <w:rsid w:val="00613AC2"/>
    <w:rsid w:val="00614486"/>
    <w:rsid w:val="006149DE"/>
    <w:rsid w:val="006151E0"/>
    <w:rsid w:val="006153D8"/>
    <w:rsid w:val="00615569"/>
    <w:rsid w:val="00615F18"/>
    <w:rsid w:val="00616370"/>
    <w:rsid w:val="00616610"/>
    <w:rsid w:val="00616B64"/>
    <w:rsid w:val="0062001F"/>
    <w:rsid w:val="0062060A"/>
    <w:rsid w:val="00620D88"/>
    <w:rsid w:val="00620F1A"/>
    <w:rsid w:val="00621D92"/>
    <w:rsid w:val="00622208"/>
    <w:rsid w:val="00622DC8"/>
    <w:rsid w:val="00623606"/>
    <w:rsid w:val="00623BCE"/>
    <w:rsid w:val="00623E1A"/>
    <w:rsid w:val="00624136"/>
    <w:rsid w:val="0062493B"/>
    <w:rsid w:val="006261C0"/>
    <w:rsid w:val="006278AB"/>
    <w:rsid w:val="006306F9"/>
    <w:rsid w:val="00630D68"/>
    <w:rsid w:val="006316BF"/>
    <w:rsid w:val="006325A7"/>
    <w:rsid w:val="006338A2"/>
    <w:rsid w:val="00635934"/>
    <w:rsid w:val="00635A30"/>
    <w:rsid w:val="006362E6"/>
    <w:rsid w:val="006372D1"/>
    <w:rsid w:val="00637F18"/>
    <w:rsid w:val="0064033F"/>
    <w:rsid w:val="0064081A"/>
    <w:rsid w:val="00643724"/>
    <w:rsid w:val="00645424"/>
    <w:rsid w:val="00645B16"/>
    <w:rsid w:val="00646089"/>
    <w:rsid w:val="00646728"/>
    <w:rsid w:val="0064693F"/>
    <w:rsid w:val="00646E78"/>
    <w:rsid w:val="00647B8A"/>
    <w:rsid w:val="00650180"/>
    <w:rsid w:val="006502A0"/>
    <w:rsid w:val="00650C85"/>
    <w:rsid w:val="006521FC"/>
    <w:rsid w:val="00652264"/>
    <w:rsid w:val="00652B7B"/>
    <w:rsid w:val="00652D36"/>
    <w:rsid w:val="0065349D"/>
    <w:rsid w:val="00654F92"/>
    <w:rsid w:val="006550D3"/>
    <w:rsid w:val="00655863"/>
    <w:rsid w:val="0066318E"/>
    <w:rsid w:val="00663A7B"/>
    <w:rsid w:val="00664216"/>
    <w:rsid w:val="0066751B"/>
    <w:rsid w:val="00671C14"/>
    <w:rsid w:val="00671EB9"/>
    <w:rsid w:val="00672358"/>
    <w:rsid w:val="00673127"/>
    <w:rsid w:val="00673E03"/>
    <w:rsid w:val="00674CFE"/>
    <w:rsid w:val="0067599C"/>
    <w:rsid w:val="00675BB9"/>
    <w:rsid w:val="00676627"/>
    <w:rsid w:val="00680786"/>
    <w:rsid w:val="00680BE8"/>
    <w:rsid w:val="00682D76"/>
    <w:rsid w:val="00682D7A"/>
    <w:rsid w:val="00682FA6"/>
    <w:rsid w:val="0068351E"/>
    <w:rsid w:val="006838F1"/>
    <w:rsid w:val="00683E9E"/>
    <w:rsid w:val="0068509F"/>
    <w:rsid w:val="006850AA"/>
    <w:rsid w:val="0068658F"/>
    <w:rsid w:val="00686CDB"/>
    <w:rsid w:val="00686D14"/>
    <w:rsid w:val="00686F0E"/>
    <w:rsid w:val="00687C34"/>
    <w:rsid w:val="00687EBF"/>
    <w:rsid w:val="00690A0C"/>
    <w:rsid w:val="00690A99"/>
    <w:rsid w:val="00690E6E"/>
    <w:rsid w:val="00690F65"/>
    <w:rsid w:val="006918AE"/>
    <w:rsid w:val="00691D20"/>
    <w:rsid w:val="0069201F"/>
    <w:rsid w:val="00693251"/>
    <w:rsid w:val="006932CA"/>
    <w:rsid w:val="00695C80"/>
    <w:rsid w:val="00695E0C"/>
    <w:rsid w:val="006960CA"/>
    <w:rsid w:val="00696867"/>
    <w:rsid w:val="0069720E"/>
    <w:rsid w:val="006A138D"/>
    <w:rsid w:val="006A151A"/>
    <w:rsid w:val="006A1D9D"/>
    <w:rsid w:val="006A251F"/>
    <w:rsid w:val="006A338A"/>
    <w:rsid w:val="006A393F"/>
    <w:rsid w:val="006A3D35"/>
    <w:rsid w:val="006A4746"/>
    <w:rsid w:val="006A4D8C"/>
    <w:rsid w:val="006A5C01"/>
    <w:rsid w:val="006A6DF4"/>
    <w:rsid w:val="006A718E"/>
    <w:rsid w:val="006A752A"/>
    <w:rsid w:val="006B093A"/>
    <w:rsid w:val="006B0D58"/>
    <w:rsid w:val="006B124F"/>
    <w:rsid w:val="006B2559"/>
    <w:rsid w:val="006B27B6"/>
    <w:rsid w:val="006B28A4"/>
    <w:rsid w:val="006B298B"/>
    <w:rsid w:val="006B2C10"/>
    <w:rsid w:val="006B3318"/>
    <w:rsid w:val="006B33AD"/>
    <w:rsid w:val="006B3941"/>
    <w:rsid w:val="006B4A7D"/>
    <w:rsid w:val="006B7556"/>
    <w:rsid w:val="006C05E8"/>
    <w:rsid w:val="006C1350"/>
    <w:rsid w:val="006C160C"/>
    <w:rsid w:val="006C1C53"/>
    <w:rsid w:val="006C1DE4"/>
    <w:rsid w:val="006C2695"/>
    <w:rsid w:val="006C2C13"/>
    <w:rsid w:val="006C33F4"/>
    <w:rsid w:val="006C3EC7"/>
    <w:rsid w:val="006C3FAF"/>
    <w:rsid w:val="006C4198"/>
    <w:rsid w:val="006C5722"/>
    <w:rsid w:val="006C6AF2"/>
    <w:rsid w:val="006C6C3E"/>
    <w:rsid w:val="006D02A6"/>
    <w:rsid w:val="006D0505"/>
    <w:rsid w:val="006D05D1"/>
    <w:rsid w:val="006D1EC0"/>
    <w:rsid w:val="006D1F90"/>
    <w:rsid w:val="006D2807"/>
    <w:rsid w:val="006D2D9D"/>
    <w:rsid w:val="006D3094"/>
    <w:rsid w:val="006D3854"/>
    <w:rsid w:val="006D5922"/>
    <w:rsid w:val="006D6D8D"/>
    <w:rsid w:val="006D7988"/>
    <w:rsid w:val="006D7A46"/>
    <w:rsid w:val="006E0DAD"/>
    <w:rsid w:val="006E16BE"/>
    <w:rsid w:val="006E1B64"/>
    <w:rsid w:val="006E1F64"/>
    <w:rsid w:val="006E1F75"/>
    <w:rsid w:val="006E228C"/>
    <w:rsid w:val="006E2F10"/>
    <w:rsid w:val="006E3044"/>
    <w:rsid w:val="006E3DE5"/>
    <w:rsid w:val="006E4FBE"/>
    <w:rsid w:val="006E78AB"/>
    <w:rsid w:val="006E79BC"/>
    <w:rsid w:val="006F069B"/>
    <w:rsid w:val="006F172D"/>
    <w:rsid w:val="006F33AC"/>
    <w:rsid w:val="006F42C9"/>
    <w:rsid w:val="006F600C"/>
    <w:rsid w:val="006F6076"/>
    <w:rsid w:val="006F6ED2"/>
    <w:rsid w:val="006F7B2F"/>
    <w:rsid w:val="006F7EEC"/>
    <w:rsid w:val="007008E3"/>
    <w:rsid w:val="007012B8"/>
    <w:rsid w:val="00704703"/>
    <w:rsid w:val="0070640F"/>
    <w:rsid w:val="007064EA"/>
    <w:rsid w:val="007069DF"/>
    <w:rsid w:val="00710B48"/>
    <w:rsid w:val="007135C3"/>
    <w:rsid w:val="0071397E"/>
    <w:rsid w:val="00713AE7"/>
    <w:rsid w:val="00714BEB"/>
    <w:rsid w:val="00714E18"/>
    <w:rsid w:val="00715DED"/>
    <w:rsid w:val="0071767F"/>
    <w:rsid w:val="0071770A"/>
    <w:rsid w:val="00717E3E"/>
    <w:rsid w:val="007201C7"/>
    <w:rsid w:val="007203D3"/>
    <w:rsid w:val="007221B2"/>
    <w:rsid w:val="00722563"/>
    <w:rsid w:val="00723E2A"/>
    <w:rsid w:val="00724E3B"/>
    <w:rsid w:val="0072515B"/>
    <w:rsid w:val="007252FC"/>
    <w:rsid w:val="00725613"/>
    <w:rsid w:val="00725F4B"/>
    <w:rsid w:val="0072624B"/>
    <w:rsid w:val="0072661E"/>
    <w:rsid w:val="007266A7"/>
    <w:rsid w:val="00727206"/>
    <w:rsid w:val="00730595"/>
    <w:rsid w:val="007309C2"/>
    <w:rsid w:val="00730E03"/>
    <w:rsid w:val="00731B84"/>
    <w:rsid w:val="00732B7D"/>
    <w:rsid w:val="00732C47"/>
    <w:rsid w:val="00732DBE"/>
    <w:rsid w:val="00734541"/>
    <w:rsid w:val="00734DDA"/>
    <w:rsid w:val="00734DF1"/>
    <w:rsid w:val="00735027"/>
    <w:rsid w:val="0073602A"/>
    <w:rsid w:val="00736548"/>
    <w:rsid w:val="00736CC8"/>
    <w:rsid w:val="00737850"/>
    <w:rsid w:val="00740DFB"/>
    <w:rsid w:val="00741440"/>
    <w:rsid w:val="0074221A"/>
    <w:rsid w:val="007431C1"/>
    <w:rsid w:val="007432F8"/>
    <w:rsid w:val="0074411F"/>
    <w:rsid w:val="00744449"/>
    <w:rsid w:val="00745856"/>
    <w:rsid w:val="00746FF8"/>
    <w:rsid w:val="00747A20"/>
    <w:rsid w:val="00750687"/>
    <w:rsid w:val="00750C00"/>
    <w:rsid w:val="00752075"/>
    <w:rsid w:val="0075257C"/>
    <w:rsid w:val="007529F1"/>
    <w:rsid w:val="00755F07"/>
    <w:rsid w:val="00757CF8"/>
    <w:rsid w:val="007630DD"/>
    <w:rsid w:val="007633E1"/>
    <w:rsid w:val="00764CE3"/>
    <w:rsid w:val="00764E1E"/>
    <w:rsid w:val="00764FD5"/>
    <w:rsid w:val="00765439"/>
    <w:rsid w:val="00765EAD"/>
    <w:rsid w:val="00766808"/>
    <w:rsid w:val="00767CC3"/>
    <w:rsid w:val="00770195"/>
    <w:rsid w:val="00770B4C"/>
    <w:rsid w:val="00770B55"/>
    <w:rsid w:val="00770D6F"/>
    <w:rsid w:val="00771494"/>
    <w:rsid w:val="00772BF7"/>
    <w:rsid w:val="007731EB"/>
    <w:rsid w:val="00774670"/>
    <w:rsid w:val="007751AB"/>
    <w:rsid w:val="0077573D"/>
    <w:rsid w:val="0077597A"/>
    <w:rsid w:val="00775D37"/>
    <w:rsid w:val="0077639A"/>
    <w:rsid w:val="0078023B"/>
    <w:rsid w:val="007803CD"/>
    <w:rsid w:val="007809E1"/>
    <w:rsid w:val="007810D8"/>
    <w:rsid w:val="007818A8"/>
    <w:rsid w:val="007828E7"/>
    <w:rsid w:val="00782A2B"/>
    <w:rsid w:val="007847F9"/>
    <w:rsid w:val="00784EDC"/>
    <w:rsid w:val="00784F78"/>
    <w:rsid w:val="0078525A"/>
    <w:rsid w:val="00785971"/>
    <w:rsid w:val="00786FC4"/>
    <w:rsid w:val="00787268"/>
    <w:rsid w:val="007907B8"/>
    <w:rsid w:val="00790FB6"/>
    <w:rsid w:val="007918BA"/>
    <w:rsid w:val="007919BC"/>
    <w:rsid w:val="007921CE"/>
    <w:rsid w:val="0079309C"/>
    <w:rsid w:val="007936F1"/>
    <w:rsid w:val="00793A60"/>
    <w:rsid w:val="00794233"/>
    <w:rsid w:val="00794D30"/>
    <w:rsid w:val="00794D34"/>
    <w:rsid w:val="0079644D"/>
    <w:rsid w:val="00796B49"/>
    <w:rsid w:val="00797321"/>
    <w:rsid w:val="007A097C"/>
    <w:rsid w:val="007A1301"/>
    <w:rsid w:val="007A1CD2"/>
    <w:rsid w:val="007A348E"/>
    <w:rsid w:val="007A3CF6"/>
    <w:rsid w:val="007A4E3A"/>
    <w:rsid w:val="007A5147"/>
    <w:rsid w:val="007A522F"/>
    <w:rsid w:val="007A56A5"/>
    <w:rsid w:val="007A5E89"/>
    <w:rsid w:val="007B25BA"/>
    <w:rsid w:val="007B29D9"/>
    <w:rsid w:val="007B2F1E"/>
    <w:rsid w:val="007B3643"/>
    <w:rsid w:val="007B3B4F"/>
    <w:rsid w:val="007B467D"/>
    <w:rsid w:val="007B5216"/>
    <w:rsid w:val="007B5D52"/>
    <w:rsid w:val="007B6094"/>
    <w:rsid w:val="007B64CB"/>
    <w:rsid w:val="007B702B"/>
    <w:rsid w:val="007B7D9E"/>
    <w:rsid w:val="007B7E38"/>
    <w:rsid w:val="007C00A9"/>
    <w:rsid w:val="007C0472"/>
    <w:rsid w:val="007C1890"/>
    <w:rsid w:val="007C18FC"/>
    <w:rsid w:val="007C1F73"/>
    <w:rsid w:val="007C2DD7"/>
    <w:rsid w:val="007C3A3F"/>
    <w:rsid w:val="007C3ED0"/>
    <w:rsid w:val="007C3F85"/>
    <w:rsid w:val="007C4940"/>
    <w:rsid w:val="007C4B73"/>
    <w:rsid w:val="007C6BE8"/>
    <w:rsid w:val="007C6C41"/>
    <w:rsid w:val="007C71F1"/>
    <w:rsid w:val="007C77A5"/>
    <w:rsid w:val="007D0848"/>
    <w:rsid w:val="007D12B7"/>
    <w:rsid w:val="007D1AD6"/>
    <w:rsid w:val="007D36E4"/>
    <w:rsid w:val="007D3C0D"/>
    <w:rsid w:val="007D5326"/>
    <w:rsid w:val="007D5C60"/>
    <w:rsid w:val="007D6B07"/>
    <w:rsid w:val="007D7D56"/>
    <w:rsid w:val="007E088F"/>
    <w:rsid w:val="007E10D9"/>
    <w:rsid w:val="007E18F1"/>
    <w:rsid w:val="007E1B6B"/>
    <w:rsid w:val="007E2466"/>
    <w:rsid w:val="007E2CF1"/>
    <w:rsid w:val="007E4414"/>
    <w:rsid w:val="007E4731"/>
    <w:rsid w:val="007E4E01"/>
    <w:rsid w:val="007E62F9"/>
    <w:rsid w:val="007E6410"/>
    <w:rsid w:val="007E6C8E"/>
    <w:rsid w:val="007E787D"/>
    <w:rsid w:val="007E7A4C"/>
    <w:rsid w:val="007F021E"/>
    <w:rsid w:val="007F0418"/>
    <w:rsid w:val="007F284B"/>
    <w:rsid w:val="007F3C88"/>
    <w:rsid w:val="007F488F"/>
    <w:rsid w:val="007F4D06"/>
    <w:rsid w:val="007F589C"/>
    <w:rsid w:val="007F66C3"/>
    <w:rsid w:val="007F67EB"/>
    <w:rsid w:val="007F70E0"/>
    <w:rsid w:val="007F7BF3"/>
    <w:rsid w:val="007F7CC8"/>
    <w:rsid w:val="00801EB1"/>
    <w:rsid w:val="008021B1"/>
    <w:rsid w:val="00802263"/>
    <w:rsid w:val="00802A7C"/>
    <w:rsid w:val="00803531"/>
    <w:rsid w:val="008035FC"/>
    <w:rsid w:val="0080385C"/>
    <w:rsid w:val="00804418"/>
    <w:rsid w:val="00804839"/>
    <w:rsid w:val="00804E7B"/>
    <w:rsid w:val="0080588D"/>
    <w:rsid w:val="00805B9D"/>
    <w:rsid w:val="00805D51"/>
    <w:rsid w:val="0080621A"/>
    <w:rsid w:val="00807023"/>
    <w:rsid w:val="00807506"/>
    <w:rsid w:val="0081000A"/>
    <w:rsid w:val="00810B1D"/>
    <w:rsid w:val="00811A00"/>
    <w:rsid w:val="00811F01"/>
    <w:rsid w:val="0081222B"/>
    <w:rsid w:val="008139A1"/>
    <w:rsid w:val="00815FE2"/>
    <w:rsid w:val="0082065B"/>
    <w:rsid w:val="00820B22"/>
    <w:rsid w:val="00821AA0"/>
    <w:rsid w:val="008229B6"/>
    <w:rsid w:val="00822F97"/>
    <w:rsid w:val="0082365E"/>
    <w:rsid w:val="008259F5"/>
    <w:rsid w:val="00825BB4"/>
    <w:rsid w:val="008262FB"/>
    <w:rsid w:val="0082645C"/>
    <w:rsid w:val="00827269"/>
    <w:rsid w:val="008302F7"/>
    <w:rsid w:val="008313C6"/>
    <w:rsid w:val="00831DA4"/>
    <w:rsid w:val="00832CF6"/>
    <w:rsid w:val="00832FDE"/>
    <w:rsid w:val="0083451F"/>
    <w:rsid w:val="008346CA"/>
    <w:rsid w:val="00834979"/>
    <w:rsid w:val="008355AF"/>
    <w:rsid w:val="008369B1"/>
    <w:rsid w:val="00841551"/>
    <w:rsid w:val="008418C0"/>
    <w:rsid w:val="00841E1C"/>
    <w:rsid w:val="008422D7"/>
    <w:rsid w:val="008423C5"/>
    <w:rsid w:val="00843627"/>
    <w:rsid w:val="00843F25"/>
    <w:rsid w:val="008446BC"/>
    <w:rsid w:val="008448DC"/>
    <w:rsid w:val="00845183"/>
    <w:rsid w:val="00845742"/>
    <w:rsid w:val="00845A89"/>
    <w:rsid w:val="00846297"/>
    <w:rsid w:val="0084666F"/>
    <w:rsid w:val="008478BF"/>
    <w:rsid w:val="00852786"/>
    <w:rsid w:val="00852DD5"/>
    <w:rsid w:val="00853F5D"/>
    <w:rsid w:val="00855546"/>
    <w:rsid w:val="0085571B"/>
    <w:rsid w:val="00855AA9"/>
    <w:rsid w:val="0085640C"/>
    <w:rsid w:val="00856E9C"/>
    <w:rsid w:val="00856EE5"/>
    <w:rsid w:val="00857556"/>
    <w:rsid w:val="0085775F"/>
    <w:rsid w:val="00861727"/>
    <w:rsid w:val="00861F0B"/>
    <w:rsid w:val="00862145"/>
    <w:rsid w:val="00862711"/>
    <w:rsid w:val="00862DB9"/>
    <w:rsid w:val="0086314B"/>
    <w:rsid w:val="00863B33"/>
    <w:rsid w:val="00863DA0"/>
    <w:rsid w:val="00863F9C"/>
    <w:rsid w:val="008642DB"/>
    <w:rsid w:val="00864420"/>
    <w:rsid w:val="008644C3"/>
    <w:rsid w:val="008646F4"/>
    <w:rsid w:val="008650AA"/>
    <w:rsid w:val="008656C4"/>
    <w:rsid w:val="00866165"/>
    <w:rsid w:val="00870015"/>
    <w:rsid w:val="00870743"/>
    <w:rsid w:val="00871674"/>
    <w:rsid w:val="00871EAF"/>
    <w:rsid w:val="00872B47"/>
    <w:rsid w:val="0087384E"/>
    <w:rsid w:val="0087412D"/>
    <w:rsid w:val="00874300"/>
    <w:rsid w:val="00874DE2"/>
    <w:rsid w:val="008760A6"/>
    <w:rsid w:val="008764AC"/>
    <w:rsid w:val="0087655A"/>
    <w:rsid w:val="00876683"/>
    <w:rsid w:val="00877428"/>
    <w:rsid w:val="0088018F"/>
    <w:rsid w:val="008809F4"/>
    <w:rsid w:val="00880B50"/>
    <w:rsid w:val="00881F9E"/>
    <w:rsid w:val="00882306"/>
    <w:rsid w:val="00882713"/>
    <w:rsid w:val="00883861"/>
    <w:rsid w:val="008839F5"/>
    <w:rsid w:val="008841E8"/>
    <w:rsid w:val="00884995"/>
    <w:rsid w:val="00884C1D"/>
    <w:rsid w:val="00884DAE"/>
    <w:rsid w:val="00887E18"/>
    <w:rsid w:val="008904D1"/>
    <w:rsid w:val="00891A25"/>
    <w:rsid w:val="0089342C"/>
    <w:rsid w:val="00895FF2"/>
    <w:rsid w:val="00896BD9"/>
    <w:rsid w:val="00896DA1"/>
    <w:rsid w:val="00897F37"/>
    <w:rsid w:val="00897FCA"/>
    <w:rsid w:val="008A18EA"/>
    <w:rsid w:val="008A1C86"/>
    <w:rsid w:val="008A1E52"/>
    <w:rsid w:val="008A1F4D"/>
    <w:rsid w:val="008A224F"/>
    <w:rsid w:val="008A30A6"/>
    <w:rsid w:val="008A59BA"/>
    <w:rsid w:val="008A7973"/>
    <w:rsid w:val="008B0273"/>
    <w:rsid w:val="008B24F1"/>
    <w:rsid w:val="008B3B24"/>
    <w:rsid w:val="008B6008"/>
    <w:rsid w:val="008B6ADB"/>
    <w:rsid w:val="008B7C35"/>
    <w:rsid w:val="008C0595"/>
    <w:rsid w:val="008C0DEF"/>
    <w:rsid w:val="008C1E28"/>
    <w:rsid w:val="008C1EB5"/>
    <w:rsid w:val="008C1EB6"/>
    <w:rsid w:val="008C20D4"/>
    <w:rsid w:val="008C2552"/>
    <w:rsid w:val="008C2FA1"/>
    <w:rsid w:val="008C35EC"/>
    <w:rsid w:val="008C3797"/>
    <w:rsid w:val="008C41EA"/>
    <w:rsid w:val="008C42BF"/>
    <w:rsid w:val="008C5E39"/>
    <w:rsid w:val="008C6D98"/>
    <w:rsid w:val="008C7CD7"/>
    <w:rsid w:val="008D0750"/>
    <w:rsid w:val="008D0EC0"/>
    <w:rsid w:val="008D1237"/>
    <w:rsid w:val="008D140A"/>
    <w:rsid w:val="008D4CD5"/>
    <w:rsid w:val="008D564E"/>
    <w:rsid w:val="008D5A31"/>
    <w:rsid w:val="008D63DC"/>
    <w:rsid w:val="008D798F"/>
    <w:rsid w:val="008D79D9"/>
    <w:rsid w:val="008E0D98"/>
    <w:rsid w:val="008E174A"/>
    <w:rsid w:val="008E1D99"/>
    <w:rsid w:val="008E20BF"/>
    <w:rsid w:val="008E23B4"/>
    <w:rsid w:val="008E2E52"/>
    <w:rsid w:val="008E335E"/>
    <w:rsid w:val="008E3450"/>
    <w:rsid w:val="008E3CD8"/>
    <w:rsid w:val="008E3EA2"/>
    <w:rsid w:val="008E430A"/>
    <w:rsid w:val="008E481B"/>
    <w:rsid w:val="008E492B"/>
    <w:rsid w:val="008E4ED0"/>
    <w:rsid w:val="008E50C4"/>
    <w:rsid w:val="008E54EB"/>
    <w:rsid w:val="008E557B"/>
    <w:rsid w:val="008E5ADE"/>
    <w:rsid w:val="008E7B0E"/>
    <w:rsid w:val="008F139E"/>
    <w:rsid w:val="008F1D76"/>
    <w:rsid w:val="008F22D1"/>
    <w:rsid w:val="008F2C5E"/>
    <w:rsid w:val="008F2CD3"/>
    <w:rsid w:val="008F41C3"/>
    <w:rsid w:val="008F451B"/>
    <w:rsid w:val="008F58B1"/>
    <w:rsid w:val="008F5E54"/>
    <w:rsid w:val="008F6960"/>
    <w:rsid w:val="00901ABD"/>
    <w:rsid w:val="00901F51"/>
    <w:rsid w:val="009027B9"/>
    <w:rsid w:val="009030BB"/>
    <w:rsid w:val="00903658"/>
    <w:rsid w:val="00903880"/>
    <w:rsid w:val="00904275"/>
    <w:rsid w:val="00904725"/>
    <w:rsid w:val="00904BD6"/>
    <w:rsid w:val="009069C9"/>
    <w:rsid w:val="00907721"/>
    <w:rsid w:val="00912806"/>
    <w:rsid w:val="00913B50"/>
    <w:rsid w:val="009147D6"/>
    <w:rsid w:val="0091587B"/>
    <w:rsid w:val="0091673B"/>
    <w:rsid w:val="0091707B"/>
    <w:rsid w:val="00920203"/>
    <w:rsid w:val="0092052F"/>
    <w:rsid w:val="00921D7C"/>
    <w:rsid w:val="0092254A"/>
    <w:rsid w:val="00922DAD"/>
    <w:rsid w:val="00923481"/>
    <w:rsid w:val="009255DD"/>
    <w:rsid w:val="00925702"/>
    <w:rsid w:val="009257FC"/>
    <w:rsid w:val="00926853"/>
    <w:rsid w:val="00926C32"/>
    <w:rsid w:val="00926E48"/>
    <w:rsid w:val="009270B5"/>
    <w:rsid w:val="00927660"/>
    <w:rsid w:val="00931079"/>
    <w:rsid w:val="00931E25"/>
    <w:rsid w:val="009322C7"/>
    <w:rsid w:val="00936AF4"/>
    <w:rsid w:val="00936D2B"/>
    <w:rsid w:val="009373E9"/>
    <w:rsid w:val="00940A8E"/>
    <w:rsid w:val="009412C1"/>
    <w:rsid w:val="00941AA9"/>
    <w:rsid w:val="0094245A"/>
    <w:rsid w:val="00942C19"/>
    <w:rsid w:val="00943C54"/>
    <w:rsid w:val="009447C6"/>
    <w:rsid w:val="00944A5D"/>
    <w:rsid w:val="0094631A"/>
    <w:rsid w:val="009466AE"/>
    <w:rsid w:val="0094779B"/>
    <w:rsid w:val="00947F07"/>
    <w:rsid w:val="009507C0"/>
    <w:rsid w:val="00950EEA"/>
    <w:rsid w:val="00951016"/>
    <w:rsid w:val="00951B95"/>
    <w:rsid w:val="00951CE9"/>
    <w:rsid w:val="009520AA"/>
    <w:rsid w:val="00952749"/>
    <w:rsid w:val="00953FB6"/>
    <w:rsid w:val="009542D4"/>
    <w:rsid w:val="009556B8"/>
    <w:rsid w:val="009569F6"/>
    <w:rsid w:val="00957249"/>
    <w:rsid w:val="00957596"/>
    <w:rsid w:val="009605CB"/>
    <w:rsid w:val="0096170D"/>
    <w:rsid w:val="0096245A"/>
    <w:rsid w:val="009645AE"/>
    <w:rsid w:val="00964913"/>
    <w:rsid w:val="00964B31"/>
    <w:rsid w:val="0096517A"/>
    <w:rsid w:val="00966174"/>
    <w:rsid w:val="0096619C"/>
    <w:rsid w:val="0096631E"/>
    <w:rsid w:val="0096637C"/>
    <w:rsid w:val="009667CD"/>
    <w:rsid w:val="0096719F"/>
    <w:rsid w:val="00970962"/>
    <w:rsid w:val="00970E42"/>
    <w:rsid w:val="009717F2"/>
    <w:rsid w:val="009728AC"/>
    <w:rsid w:val="00975B72"/>
    <w:rsid w:val="00975C67"/>
    <w:rsid w:val="00977220"/>
    <w:rsid w:val="00977827"/>
    <w:rsid w:val="00977F3F"/>
    <w:rsid w:val="009801F0"/>
    <w:rsid w:val="00980CF0"/>
    <w:rsid w:val="00980D3B"/>
    <w:rsid w:val="0098121E"/>
    <w:rsid w:val="0098182C"/>
    <w:rsid w:val="00981BD5"/>
    <w:rsid w:val="00982827"/>
    <w:rsid w:val="00982CA1"/>
    <w:rsid w:val="00982F1C"/>
    <w:rsid w:val="00983C4D"/>
    <w:rsid w:val="009843E2"/>
    <w:rsid w:val="00984D38"/>
    <w:rsid w:val="00985FF5"/>
    <w:rsid w:val="009862C3"/>
    <w:rsid w:val="00986373"/>
    <w:rsid w:val="009872CB"/>
    <w:rsid w:val="00987A4F"/>
    <w:rsid w:val="00990888"/>
    <w:rsid w:val="00990A83"/>
    <w:rsid w:val="00990E6E"/>
    <w:rsid w:val="00991AA0"/>
    <w:rsid w:val="0099321F"/>
    <w:rsid w:val="00995728"/>
    <w:rsid w:val="009967A9"/>
    <w:rsid w:val="009972A1"/>
    <w:rsid w:val="009A0DD2"/>
    <w:rsid w:val="009A1C14"/>
    <w:rsid w:val="009A1D79"/>
    <w:rsid w:val="009A3808"/>
    <w:rsid w:val="009A4FBD"/>
    <w:rsid w:val="009A64C3"/>
    <w:rsid w:val="009A6970"/>
    <w:rsid w:val="009A7227"/>
    <w:rsid w:val="009B00D7"/>
    <w:rsid w:val="009B0EDE"/>
    <w:rsid w:val="009B198F"/>
    <w:rsid w:val="009B3DA0"/>
    <w:rsid w:val="009B4FC7"/>
    <w:rsid w:val="009C00E0"/>
    <w:rsid w:val="009C0CD8"/>
    <w:rsid w:val="009C2781"/>
    <w:rsid w:val="009C278B"/>
    <w:rsid w:val="009C2F5B"/>
    <w:rsid w:val="009C3C84"/>
    <w:rsid w:val="009C3D28"/>
    <w:rsid w:val="009C47BB"/>
    <w:rsid w:val="009C5AD3"/>
    <w:rsid w:val="009C6130"/>
    <w:rsid w:val="009C675B"/>
    <w:rsid w:val="009C6A05"/>
    <w:rsid w:val="009C6CF7"/>
    <w:rsid w:val="009C7C4E"/>
    <w:rsid w:val="009D03BE"/>
    <w:rsid w:val="009D0C51"/>
    <w:rsid w:val="009D0CE8"/>
    <w:rsid w:val="009D1447"/>
    <w:rsid w:val="009D21A4"/>
    <w:rsid w:val="009D4472"/>
    <w:rsid w:val="009D4C24"/>
    <w:rsid w:val="009D50DA"/>
    <w:rsid w:val="009D60C9"/>
    <w:rsid w:val="009D6C37"/>
    <w:rsid w:val="009D6C9F"/>
    <w:rsid w:val="009D6E6B"/>
    <w:rsid w:val="009D70EC"/>
    <w:rsid w:val="009D7404"/>
    <w:rsid w:val="009E043A"/>
    <w:rsid w:val="009E0762"/>
    <w:rsid w:val="009E1B62"/>
    <w:rsid w:val="009E27D3"/>
    <w:rsid w:val="009E294D"/>
    <w:rsid w:val="009E29A2"/>
    <w:rsid w:val="009E2EE1"/>
    <w:rsid w:val="009E4E3B"/>
    <w:rsid w:val="009E51BE"/>
    <w:rsid w:val="009E65DD"/>
    <w:rsid w:val="009E6626"/>
    <w:rsid w:val="009E7027"/>
    <w:rsid w:val="009E704B"/>
    <w:rsid w:val="009E7A40"/>
    <w:rsid w:val="009F02C0"/>
    <w:rsid w:val="009F05B0"/>
    <w:rsid w:val="009F07E2"/>
    <w:rsid w:val="009F108B"/>
    <w:rsid w:val="009F284A"/>
    <w:rsid w:val="009F2D13"/>
    <w:rsid w:val="009F37E9"/>
    <w:rsid w:val="009F3E21"/>
    <w:rsid w:val="009F57D3"/>
    <w:rsid w:val="009F5C93"/>
    <w:rsid w:val="009F5E77"/>
    <w:rsid w:val="009F6369"/>
    <w:rsid w:val="009F7953"/>
    <w:rsid w:val="00A00134"/>
    <w:rsid w:val="00A0049B"/>
    <w:rsid w:val="00A00E2D"/>
    <w:rsid w:val="00A015BA"/>
    <w:rsid w:val="00A018AA"/>
    <w:rsid w:val="00A01D9E"/>
    <w:rsid w:val="00A041BD"/>
    <w:rsid w:val="00A0485B"/>
    <w:rsid w:val="00A05F03"/>
    <w:rsid w:val="00A06529"/>
    <w:rsid w:val="00A106F0"/>
    <w:rsid w:val="00A10D24"/>
    <w:rsid w:val="00A1286B"/>
    <w:rsid w:val="00A12F00"/>
    <w:rsid w:val="00A13CCB"/>
    <w:rsid w:val="00A1405C"/>
    <w:rsid w:val="00A16C6C"/>
    <w:rsid w:val="00A17AB8"/>
    <w:rsid w:val="00A20185"/>
    <w:rsid w:val="00A210E2"/>
    <w:rsid w:val="00A2177E"/>
    <w:rsid w:val="00A21EDB"/>
    <w:rsid w:val="00A22D93"/>
    <w:rsid w:val="00A231CB"/>
    <w:rsid w:val="00A243F4"/>
    <w:rsid w:val="00A24BF5"/>
    <w:rsid w:val="00A24E70"/>
    <w:rsid w:val="00A26089"/>
    <w:rsid w:val="00A26321"/>
    <w:rsid w:val="00A269EB"/>
    <w:rsid w:val="00A26ADD"/>
    <w:rsid w:val="00A2764D"/>
    <w:rsid w:val="00A30029"/>
    <w:rsid w:val="00A30E2E"/>
    <w:rsid w:val="00A31225"/>
    <w:rsid w:val="00A32042"/>
    <w:rsid w:val="00A3266C"/>
    <w:rsid w:val="00A32A18"/>
    <w:rsid w:val="00A33A66"/>
    <w:rsid w:val="00A33D5B"/>
    <w:rsid w:val="00A34ADE"/>
    <w:rsid w:val="00A355CF"/>
    <w:rsid w:val="00A3583A"/>
    <w:rsid w:val="00A3585F"/>
    <w:rsid w:val="00A361B5"/>
    <w:rsid w:val="00A36292"/>
    <w:rsid w:val="00A368C2"/>
    <w:rsid w:val="00A3754D"/>
    <w:rsid w:val="00A37E95"/>
    <w:rsid w:val="00A40879"/>
    <w:rsid w:val="00A4276F"/>
    <w:rsid w:val="00A42AC1"/>
    <w:rsid w:val="00A43AE2"/>
    <w:rsid w:val="00A441AF"/>
    <w:rsid w:val="00A441EE"/>
    <w:rsid w:val="00A44FFD"/>
    <w:rsid w:val="00A462DE"/>
    <w:rsid w:val="00A479EC"/>
    <w:rsid w:val="00A513D2"/>
    <w:rsid w:val="00A52FC1"/>
    <w:rsid w:val="00A5353A"/>
    <w:rsid w:val="00A53F15"/>
    <w:rsid w:val="00A540F3"/>
    <w:rsid w:val="00A54C08"/>
    <w:rsid w:val="00A551AC"/>
    <w:rsid w:val="00A557A9"/>
    <w:rsid w:val="00A55A1E"/>
    <w:rsid w:val="00A56BEE"/>
    <w:rsid w:val="00A60532"/>
    <w:rsid w:val="00A60877"/>
    <w:rsid w:val="00A61EB6"/>
    <w:rsid w:val="00A61EE1"/>
    <w:rsid w:val="00A6226F"/>
    <w:rsid w:val="00A62916"/>
    <w:rsid w:val="00A6296E"/>
    <w:rsid w:val="00A62C3D"/>
    <w:rsid w:val="00A63EE9"/>
    <w:rsid w:val="00A6488D"/>
    <w:rsid w:val="00A64B41"/>
    <w:rsid w:val="00A64DBD"/>
    <w:rsid w:val="00A663F4"/>
    <w:rsid w:val="00A67A35"/>
    <w:rsid w:val="00A67B0E"/>
    <w:rsid w:val="00A67C7C"/>
    <w:rsid w:val="00A70785"/>
    <w:rsid w:val="00A7097D"/>
    <w:rsid w:val="00A70BA5"/>
    <w:rsid w:val="00A71155"/>
    <w:rsid w:val="00A712C0"/>
    <w:rsid w:val="00A715DF"/>
    <w:rsid w:val="00A71EE6"/>
    <w:rsid w:val="00A71F1F"/>
    <w:rsid w:val="00A71FEB"/>
    <w:rsid w:val="00A72725"/>
    <w:rsid w:val="00A72756"/>
    <w:rsid w:val="00A73BBA"/>
    <w:rsid w:val="00A74661"/>
    <w:rsid w:val="00A748E9"/>
    <w:rsid w:val="00A75DEB"/>
    <w:rsid w:val="00A76036"/>
    <w:rsid w:val="00A76068"/>
    <w:rsid w:val="00A76322"/>
    <w:rsid w:val="00A76441"/>
    <w:rsid w:val="00A76E00"/>
    <w:rsid w:val="00A776AC"/>
    <w:rsid w:val="00A80B66"/>
    <w:rsid w:val="00A81B65"/>
    <w:rsid w:val="00A842F5"/>
    <w:rsid w:val="00A847FA"/>
    <w:rsid w:val="00A84B2A"/>
    <w:rsid w:val="00A8509C"/>
    <w:rsid w:val="00A8527A"/>
    <w:rsid w:val="00A86693"/>
    <w:rsid w:val="00A87537"/>
    <w:rsid w:val="00A90B7F"/>
    <w:rsid w:val="00A92B7F"/>
    <w:rsid w:val="00A93C9D"/>
    <w:rsid w:val="00A96319"/>
    <w:rsid w:val="00A9649F"/>
    <w:rsid w:val="00A967DD"/>
    <w:rsid w:val="00A97E6E"/>
    <w:rsid w:val="00AA0424"/>
    <w:rsid w:val="00AA16C5"/>
    <w:rsid w:val="00AA4853"/>
    <w:rsid w:val="00AA5448"/>
    <w:rsid w:val="00AA5773"/>
    <w:rsid w:val="00AA5C83"/>
    <w:rsid w:val="00AA7142"/>
    <w:rsid w:val="00AA7492"/>
    <w:rsid w:val="00AB00CE"/>
    <w:rsid w:val="00AB033A"/>
    <w:rsid w:val="00AB06BE"/>
    <w:rsid w:val="00AB09A3"/>
    <w:rsid w:val="00AB1D69"/>
    <w:rsid w:val="00AB23CC"/>
    <w:rsid w:val="00AB2CA2"/>
    <w:rsid w:val="00AB3473"/>
    <w:rsid w:val="00AB42F9"/>
    <w:rsid w:val="00AB513E"/>
    <w:rsid w:val="00AB5B8F"/>
    <w:rsid w:val="00AB5F10"/>
    <w:rsid w:val="00AB637F"/>
    <w:rsid w:val="00AB68DC"/>
    <w:rsid w:val="00AB6C1E"/>
    <w:rsid w:val="00AB70E4"/>
    <w:rsid w:val="00AC0757"/>
    <w:rsid w:val="00AC0B9E"/>
    <w:rsid w:val="00AC1B7C"/>
    <w:rsid w:val="00AC56D9"/>
    <w:rsid w:val="00AC74B1"/>
    <w:rsid w:val="00AC75D4"/>
    <w:rsid w:val="00AC796A"/>
    <w:rsid w:val="00AC7A65"/>
    <w:rsid w:val="00AD03CB"/>
    <w:rsid w:val="00AD12BD"/>
    <w:rsid w:val="00AD2C47"/>
    <w:rsid w:val="00AD35F2"/>
    <w:rsid w:val="00AD3B0D"/>
    <w:rsid w:val="00AD458D"/>
    <w:rsid w:val="00AD58B8"/>
    <w:rsid w:val="00AD67A8"/>
    <w:rsid w:val="00AE00FF"/>
    <w:rsid w:val="00AE0A2E"/>
    <w:rsid w:val="00AE1227"/>
    <w:rsid w:val="00AE1EC0"/>
    <w:rsid w:val="00AE20CC"/>
    <w:rsid w:val="00AE3164"/>
    <w:rsid w:val="00AE3817"/>
    <w:rsid w:val="00AE3F09"/>
    <w:rsid w:val="00AE5A48"/>
    <w:rsid w:val="00AE60AF"/>
    <w:rsid w:val="00AE777D"/>
    <w:rsid w:val="00AE7934"/>
    <w:rsid w:val="00AF04B7"/>
    <w:rsid w:val="00AF08C5"/>
    <w:rsid w:val="00AF173A"/>
    <w:rsid w:val="00AF1A52"/>
    <w:rsid w:val="00AF1C2D"/>
    <w:rsid w:val="00AF1FCB"/>
    <w:rsid w:val="00AF2E40"/>
    <w:rsid w:val="00AF3DDA"/>
    <w:rsid w:val="00AF4D84"/>
    <w:rsid w:val="00AF4FBD"/>
    <w:rsid w:val="00AF66FD"/>
    <w:rsid w:val="00AF6748"/>
    <w:rsid w:val="00AF6C4B"/>
    <w:rsid w:val="00AF7805"/>
    <w:rsid w:val="00B00176"/>
    <w:rsid w:val="00B0063C"/>
    <w:rsid w:val="00B00DCE"/>
    <w:rsid w:val="00B01414"/>
    <w:rsid w:val="00B020ED"/>
    <w:rsid w:val="00B04795"/>
    <w:rsid w:val="00B06366"/>
    <w:rsid w:val="00B072D7"/>
    <w:rsid w:val="00B126DF"/>
    <w:rsid w:val="00B132A1"/>
    <w:rsid w:val="00B134C9"/>
    <w:rsid w:val="00B143C1"/>
    <w:rsid w:val="00B1533C"/>
    <w:rsid w:val="00B1550B"/>
    <w:rsid w:val="00B16B90"/>
    <w:rsid w:val="00B16BD2"/>
    <w:rsid w:val="00B17450"/>
    <w:rsid w:val="00B209AD"/>
    <w:rsid w:val="00B20BAC"/>
    <w:rsid w:val="00B21345"/>
    <w:rsid w:val="00B21A1B"/>
    <w:rsid w:val="00B225CC"/>
    <w:rsid w:val="00B22890"/>
    <w:rsid w:val="00B22BEA"/>
    <w:rsid w:val="00B22CD3"/>
    <w:rsid w:val="00B23198"/>
    <w:rsid w:val="00B2358A"/>
    <w:rsid w:val="00B24777"/>
    <w:rsid w:val="00B24FB8"/>
    <w:rsid w:val="00B25225"/>
    <w:rsid w:val="00B26F7B"/>
    <w:rsid w:val="00B30335"/>
    <w:rsid w:val="00B30A0C"/>
    <w:rsid w:val="00B322AC"/>
    <w:rsid w:val="00B32FD1"/>
    <w:rsid w:val="00B331CE"/>
    <w:rsid w:val="00B35219"/>
    <w:rsid w:val="00B35E46"/>
    <w:rsid w:val="00B366F2"/>
    <w:rsid w:val="00B36782"/>
    <w:rsid w:val="00B37144"/>
    <w:rsid w:val="00B3795C"/>
    <w:rsid w:val="00B40915"/>
    <w:rsid w:val="00B40C98"/>
    <w:rsid w:val="00B42849"/>
    <w:rsid w:val="00B44229"/>
    <w:rsid w:val="00B4444C"/>
    <w:rsid w:val="00B44AC8"/>
    <w:rsid w:val="00B4521D"/>
    <w:rsid w:val="00B45D34"/>
    <w:rsid w:val="00B46543"/>
    <w:rsid w:val="00B476B0"/>
    <w:rsid w:val="00B520ED"/>
    <w:rsid w:val="00B524E6"/>
    <w:rsid w:val="00B52602"/>
    <w:rsid w:val="00B5291F"/>
    <w:rsid w:val="00B52CAD"/>
    <w:rsid w:val="00B53993"/>
    <w:rsid w:val="00B546B2"/>
    <w:rsid w:val="00B546C7"/>
    <w:rsid w:val="00B5616D"/>
    <w:rsid w:val="00B60B68"/>
    <w:rsid w:val="00B60D88"/>
    <w:rsid w:val="00B61C9D"/>
    <w:rsid w:val="00B63873"/>
    <w:rsid w:val="00B63F4A"/>
    <w:rsid w:val="00B64298"/>
    <w:rsid w:val="00B645EB"/>
    <w:rsid w:val="00B648AD"/>
    <w:rsid w:val="00B662CB"/>
    <w:rsid w:val="00B66347"/>
    <w:rsid w:val="00B66885"/>
    <w:rsid w:val="00B70BB1"/>
    <w:rsid w:val="00B72933"/>
    <w:rsid w:val="00B72B9A"/>
    <w:rsid w:val="00B73261"/>
    <w:rsid w:val="00B7382A"/>
    <w:rsid w:val="00B73873"/>
    <w:rsid w:val="00B74174"/>
    <w:rsid w:val="00B74415"/>
    <w:rsid w:val="00B75931"/>
    <w:rsid w:val="00B75CAB"/>
    <w:rsid w:val="00B7677C"/>
    <w:rsid w:val="00B810A4"/>
    <w:rsid w:val="00B810DB"/>
    <w:rsid w:val="00B82D8F"/>
    <w:rsid w:val="00B842BB"/>
    <w:rsid w:val="00B84E84"/>
    <w:rsid w:val="00B85220"/>
    <w:rsid w:val="00B85F46"/>
    <w:rsid w:val="00B8673F"/>
    <w:rsid w:val="00B872D8"/>
    <w:rsid w:val="00B878B6"/>
    <w:rsid w:val="00B8794F"/>
    <w:rsid w:val="00B901EB"/>
    <w:rsid w:val="00B912FE"/>
    <w:rsid w:val="00B917F7"/>
    <w:rsid w:val="00B918CA"/>
    <w:rsid w:val="00B94016"/>
    <w:rsid w:val="00B94B98"/>
    <w:rsid w:val="00B9663F"/>
    <w:rsid w:val="00B96B5D"/>
    <w:rsid w:val="00BA038E"/>
    <w:rsid w:val="00BA0524"/>
    <w:rsid w:val="00BA2C1C"/>
    <w:rsid w:val="00BA3275"/>
    <w:rsid w:val="00BA4573"/>
    <w:rsid w:val="00BA5434"/>
    <w:rsid w:val="00BA5488"/>
    <w:rsid w:val="00BA5561"/>
    <w:rsid w:val="00BA7B10"/>
    <w:rsid w:val="00BB192E"/>
    <w:rsid w:val="00BB1BAB"/>
    <w:rsid w:val="00BB461A"/>
    <w:rsid w:val="00BB4E16"/>
    <w:rsid w:val="00BB5941"/>
    <w:rsid w:val="00BB7403"/>
    <w:rsid w:val="00BC0102"/>
    <w:rsid w:val="00BC0DCB"/>
    <w:rsid w:val="00BC128F"/>
    <w:rsid w:val="00BC1C47"/>
    <w:rsid w:val="00BC1CB5"/>
    <w:rsid w:val="00BC2F97"/>
    <w:rsid w:val="00BC4126"/>
    <w:rsid w:val="00BC495C"/>
    <w:rsid w:val="00BC6272"/>
    <w:rsid w:val="00BC6A53"/>
    <w:rsid w:val="00BD0303"/>
    <w:rsid w:val="00BD1773"/>
    <w:rsid w:val="00BD1BCD"/>
    <w:rsid w:val="00BD232E"/>
    <w:rsid w:val="00BD2773"/>
    <w:rsid w:val="00BD37BB"/>
    <w:rsid w:val="00BD43BC"/>
    <w:rsid w:val="00BD4475"/>
    <w:rsid w:val="00BD44EF"/>
    <w:rsid w:val="00BD4CCE"/>
    <w:rsid w:val="00BD531D"/>
    <w:rsid w:val="00BD594D"/>
    <w:rsid w:val="00BD5FA6"/>
    <w:rsid w:val="00BD64FD"/>
    <w:rsid w:val="00BE0179"/>
    <w:rsid w:val="00BE0A72"/>
    <w:rsid w:val="00BE228E"/>
    <w:rsid w:val="00BE4775"/>
    <w:rsid w:val="00BE4B5C"/>
    <w:rsid w:val="00BE50A6"/>
    <w:rsid w:val="00BE5DF4"/>
    <w:rsid w:val="00BE65B0"/>
    <w:rsid w:val="00BE6E52"/>
    <w:rsid w:val="00BE6F44"/>
    <w:rsid w:val="00BE7C05"/>
    <w:rsid w:val="00BF0960"/>
    <w:rsid w:val="00BF09D7"/>
    <w:rsid w:val="00BF202A"/>
    <w:rsid w:val="00BF263E"/>
    <w:rsid w:val="00BF278C"/>
    <w:rsid w:val="00BF3835"/>
    <w:rsid w:val="00BF41C9"/>
    <w:rsid w:val="00BF520B"/>
    <w:rsid w:val="00BF53DA"/>
    <w:rsid w:val="00BF544A"/>
    <w:rsid w:val="00BF5C85"/>
    <w:rsid w:val="00BF61D3"/>
    <w:rsid w:val="00BF68B5"/>
    <w:rsid w:val="00BF7050"/>
    <w:rsid w:val="00BF7D3E"/>
    <w:rsid w:val="00BF7F59"/>
    <w:rsid w:val="00C0042F"/>
    <w:rsid w:val="00C00B9C"/>
    <w:rsid w:val="00C01203"/>
    <w:rsid w:val="00C01947"/>
    <w:rsid w:val="00C02F95"/>
    <w:rsid w:val="00C0365F"/>
    <w:rsid w:val="00C04017"/>
    <w:rsid w:val="00C04C71"/>
    <w:rsid w:val="00C0606E"/>
    <w:rsid w:val="00C06D24"/>
    <w:rsid w:val="00C0731B"/>
    <w:rsid w:val="00C077E6"/>
    <w:rsid w:val="00C108EB"/>
    <w:rsid w:val="00C10A23"/>
    <w:rsid w:val="00C11CE9"/>
    <w:rsid w:val="00C12033"/>
    <w:rsid w:val="00C126F4"/>
    <w:rsid w:val="00C1379D"/>
    <w:rsid w:val="00C14712"/>
    <w:rsid w:val="00C14F50"/>
    <w:rsid w:val="00C15D3D"/>
    <w:rsid w:val="00C16050"/>
    <w:rsid w:val="00C163FB"/>
    <w:rsid w:val="00C171CF"/>
    <w:rsid w:val="00C21498"/>
    <w:rsid w:val="00C2171B"/>
    <w:rsid w:val="00C21C21"/>
    <w:rsid w:val="00C21D3B"/>
    <w:rsid w:val="00C23738"/>
    <w:rsid w:val="00C24A27"/>
    <w:rsid w:val="00C255D7"/>
    <w:rsid w:val="00C2585B"/>
    <w:rsid w:val="00C25FB2"/>
    <w:rsid w:val="00C266D0"/>
    <w:rsid w:val="00C27968"/>
    <w:rsid w:val="00C30756"/>
    <w:rsid w:val="00C30DCA"/>
    <w:rsid w:val="00C3130D"/>
    <w:rsid w:val="00C31C4D"/>
    <w:rsid w:val="00C32641"/>
    <w:rsid w:val="00C3271B"/>
    <w:rsid w:val="00C32A96"/>
    <w:rsid w:val="00C34ACD"/>
    <w:rsid w:val="00C35CEA"/>
    <w:rsid w:val="00C36EAB"/>
    <w:rsid w:val="00C36F20"/>
    <w:rsid w:val="00C3715C"/>
    <w:rsid w:val="00C372A9"/>
    <w:rsid w:val="00C37A21"/>
    <w:rsid w:val="00C37FA7"/>
    <w:rsid w:val="00C407D6"/>
    <w:rsid w:val="00C41058"/>
    <w:rsid w:val="00C411ED"/>
    <w:rsid w:val="00C413E7"/>
    <w:rsid w:val="00C43005"/>
    <w:rsid w:val="00C4310B"/>
    <w:rsid w:val="00C43750"/>
    <w:rsid w:val="00C43802"/>
    <w:rsid w:val="00C43EC8"/>
    <w:rsid w:val="00C444F7"/>
    <w:rsid w:val="00C45688"/>
    <w:rsid w:val="00C45B38"/>
    <w:rsid w:val="00C46CD7"/>
    <w:rsid w:val="00C523E1"/>
    <w:rsid w:val="00C52986"/>
    <w:rsid w:val="00C52E19"/>
    <w:rsid w:val="00C52FCB"/>
    <w:rsid w:val="00C53635"/>
    <w:rsid w:val="00C539D8"/>
    <w:rsid w:val="00C53CB1"/>
    <w:rsid w:val="00C5582E"/>
    <w:rsid w:val="00C55844"/>
    <w:rsid w:val="00C55CDF"/>
    <w:rsid w:val="00C55FE5"/>
    <w:rsid w:val="00C57A4A"/>
    <w:rsid w:val="00C57B2E"/>
    <w:rsid w:val="00C57EDA"/>
    <w:rsid w:val="00C61262"/>
    <w:rsid w:val="00C61E59"/>
    <w:rsid w:val="00C62BCC"/>
    <w:rsid w:val="00C64042"/>
    <w:rsid w:val="00C64669"/>
    <w:rsid w:val="00C65078"/>
    <w:rsid w:val="00C658D3"/>
    <w:rsid w:val="00C669F2"/>
    <w:rsid w:val="00C66EEA"/>
    <w:rsid w:val="00C67053"/>
    <w:rsid w:val="00C675B7"/>
    <w:rsid w:val="00C7000D"/>
    <w:rsid w:val="00C70F2B"/>
    <w:rsid w:val="00C71BDD"/>
    <w:rsid w:val="00C71DEE"/>
    <w:rsid w:val="00C73F20"/>
    <w:rsid w:val="00C7408A"/>
    <w:rsid w:val="00C75EC9"/>
    <w:rsid w:val="00C76386"/>
    <w:rsid w:val="00C80723"/>
    <w:rsid w:val="00C80E0E"/>
    <w:rsid w:val="00C8125B"/>
    <w:rsid w:val="00C81FDF"/>
    <w:rsid w:val="00C823A2"/>
    <w:rsid w:val="00C830C2"/>
    <w:rsid w:val="00C83197"/>
    <w:rsid w:val="00C83C9F"/>
    <w:rsid w:val="00C84221"/>
    <w:rsid w:val="00C842B4"/>
    <w:rsid w:val="00C845A5"/>
    <w:rsid w:val="00C84C60"/>
    <w:rsid w:val="00C86961"/>
    <w:rsid w:val="00C86968"/>
    <w:rsid w:val="00C86DB5"/>
    <w:rsid w:val="00C86F20"/>
    <w:rsid w:val="00C878DC"/>
    <w:rsid w:val="00C900E7"/>
    <w:rsid w:val="00C9037B"/>
    <w:rsid w:val="00C90C14"/>
    <w:rsid w:val="00C91759"/>
    <w:rsid w:val="00C920EA"/>
    <w:rsid w:val="00C92457"/>
    <w:rsid w:val="00C93554"/>
    <w:rsid w:val="00C93EFC"/>
    <w:rsid w:val="00C9411B"/>
    <w:rsid w:val="00C94151"/>
    <w:rsid w:val="00C942EC"/>
    <w:rsid w:val="00C945CD"/>
    <w:rsid w:val="00C94989"/>
    <w:rsid w:val="00C94DA9"/>
    <w:rsid w:val="00C97BB1"/>
    <w:rsid w:val="00CA023B"/>
    <w:rsid w:val="00CA1986"/>
    <w:rsid w:val="00CA1A8B"/>
    <w:rsid w:val="00CA1F1D"/>
    <w:rsid w:val="00CA272C"/>
    <w:rsid w:val="00CA2D84"/>
    <w:rsid w:val="00CA5C10"/>
    <w:rsid w:val="00CA6DEE"/>
    <w:rsid w:val="00CA705E"/>
    <w:rsid w:val="00CA7E3B"/>
    <w:rsid w:val="00CB0270"/>
    <w:rsid w:val="00CB0F60"/>
    <w:rsid w:val="00CB27FD"/>
    <w:rsid w:val="00CB2DDD"/>
    <w:rsid w:val="00CB4AB1"/>
    <w:rsid w:val="00CB4F32"/>
    <w:rsid w:val="00CB642A"/>
    <w:rsid w:val="00CB7D0D"/>
    <w:rsid w:val="00CB7E26"/>
    <w:rsid w:val="00CC0669"/>
    <w:rsid w:val="00CC0F82"/>
    <w:rsid w:val="00CC1C92"/>
    <w:rsid w:val="00CC3EE2"/>
    <w:rsid w:val="00CC5A01"/>
    <w:rsid w:val="00CC6992"/>
    <w:rsid w:val="00CC7990"/>
    <w:rsid w:val="00CD052A"/>
    <w:rsid w:val="00CD1399"/>
    <w:rsid w:val="00CD370E"/>
    <w:rsid w:val="00CD4C21"/>
    <w:rsid w:val="00CD51F7"/>
    <w:rsid w:val="00CD588B"/>
    <w:rsid w:val="00CD6603"/>
    <w:rsid w:val="00CD6629"/>
    <w:rsid w:val="00CD6630"/>
    <w:rsid w:val="00CD6C67"/>
    <w:rsid w:val="00CD6DF9"/>
    <w:rsid w:val="00CD74F6"/>
    <w:rsid w:val="00CD770D"/>
    <w:rsid w:val="00CD7AE7"/>
    <w:rsid w:val="00CE0463"/>
    <w:rsid w:val="00CE08F1"/>
    <w:rsid w:val="00CE1190"/>
    <w:rsid w:val="00CE143B"/>
    <w:rsid w:val="00CE1F0B"/>
    <w:rsid w:val="00CE1FB8"/>
    <w:rsid w:val="00CE3A7D"/>
    <w:rsid w:val="00CE4734"/>
    <w:rsid w:val="00CE512F"/>
    <w:rsid w:val="00CE73FB"/>
    <w:rsid w:val="00CE7B46"/>
    <w:rsid w:val="00CE7D1F"/>
    <w:rsid w:val="00CF0D77"/>
    <w:rsid w:val="00CF1D99"/>
    <w:rsid w:val="00CF2037"/>
    <w:rsid w:val="00CF2118"/>
    <w:rsid w:val="00CF2169"/>
    <w:rsid w:val="00CF2EE4"/>
    <w:rsid w:val="00CF2F85"/>
    <w:rsid w:val="00CF390C"/>
    <w:rsid w:val="00CF3E0A"/>
    <w:rsid w:val="00CF466D"/>
    <w:rsid w:val="00CF4A40"/>
    <w:rsid w:val="00CF4BAD"/>
    <w:rsid w:val="00CF6522"/>
    <w:rsid w:val="00CF6804"/>
    <w:rsid w:val="00CF7D91"/>
    <w:rsid w:val="00D00CB2"/>
    <w:rsid w:val="00D01559"/>
    <w:rsid w:val="00D01B2B"/>
    <w:rsid w:val="00D02995"/>
    <w:rsid w:val="00D02AB1"/>
    <w:rsid w:val="00D03610"/>
    <w:rsid w:val="00D05067"/>
    <w:rsid w:val="00D053C2"/>
    <w:rsid w:val="00D064D1"/>
    <w:rsid w:val="00D072D4"/>
    <w:rsid w:val="00D07474"/>
    <w:rsid w:val="00D1028E"/>
    <w:rsid w:val="00D10889"/>
    <w:rsid w:val="00D115BE"/>
    <w:rsid w:val="00D12FE1"/>
    <w:rsid w:val="00D13141"/>
    <w:rsid w:val="00D13389"/>
    <w:rsid w:val="00D1415B"/>
    <w:rsid w:val="00D14ABB"/>
    <w:rsid w:val="00D16E16"/>
    <w:rsid w:val="00D20298"/>
    <w:rsid w:val="00D2060B"/>
    <w:rsid w:val="00D20A14"/>
    <w:rsid w:val="00D22F82"/>
    <w:rsid w:val="00D24067"/>
    <w:rsid w:val="00D2466A"/>
    <w:rsid w:val="00D261B4"/>
    <w:rsid w:val="00D26209"/>
    <w:rsid w:val="00D26F57"/>
    <w:rsid w:val="00D30590"/>
    <w:rsid w:val="00D31B15"/>
    <w:rsid w:val="00D32C26"/>
    <w:rsid w:val="00D33BB4"/>
    <w:rsid w:val="00D353B7"/>
    <w:rsid w:val="00D358AB"/>
    <w:rsid w:val="00D35B2C"/>
    <w:rsid w:val="00D35C49"/>
    <w:rsid w:val="00D368ED"/>
    <w:rsid w:val="00D40A79"/>
    <w:rsid w:val="00D40BCD"/>
    <w:rsid w:val="00D40C67"/>
    <w:rsid w:val="00D40D9F"/>
    <w:rsid w:val="00D440A4"/>
    <w:rsid w:val="00D442F5"/>
    <w:rsid w:val="00D44DD3"/>
    <w:rsid w:val="00D45F11"/>
    <w:rsid w:val="00D5269B"/>
    <w:rsid w:val="00D52E28"/>
    <w:rsid w:val="00D533AE"/>
    <w:rsid w:val="00D54B0B"/>
    <w:rsid w:val="00D55396"/>
    <w:rsid w:val="00D55EC6"/>
    <w:rsid w:val="00D60274"/>
    <w:rsid w:val="00D6032E"/>
    <w:rsid w:val="00D60803"/>
    <w:rsid w:val="00D609C9"/>
    <w:rsid w:val="00D60FD2"/>
    <w:rsid w:val="00D63737"/>
    <w:rsid w:val="00D638CE"/>
    <w:rsid w:val="00D639B5"/>
    <w:rsid w:val="00D64193"/>
    <w:rsid w:val="00D657DB"/>
    <w:rsid w:val="00D66C5A"/>
    <w:rsid w:val="00D67CE9"/>
    <w:rsid w:val="00D67DEE"/>
    <w:rsid w:val="00D7042E"/>
    <w:rsid w:val="00D707DF"/>
    <w:rsid w:val="00D70C3C"/>
    <w:rsid w:val="00D7104F"/>
    <w:rsid w:val="00D71919"/>
    <w:rsid w:val="00D71BCF"/>
    <w:rsid w:val="00D72047"/>
    <w:rsid w:val="00D73883"/>
    <w:rsid w:val="00D74A04"/>
    <w:rsid w:val="00D74BE4"/>
    <w:rsid w:val="00D766D6"/>
    <w:rsid w:val="00D76DBC"/>
    <w:rsid w:val="00D771D5"/>
    <w:rsid w:val="00D777A4"/>
    <w:rsid w:val="00D777D5"/>
    <w:rsid w:val="00D814B0"/>
    <w:rsid w:val="00D81CA6"/>
    <w:rsid w:val="00D83653"/>
    <w:rsid w:val="00D85156"/>
    <w:rsid w:val="00D85ADD"/>
    <w:rsid w:val="00D85F34"/>
    <w:rsid w:val="00D86799"/>
    <w:rsid w:val="00D87321"/>
    <w:rsid w:val="00D876CC"/>
    <w:rsid w:val="00D91312"/>
    <w:rsid w:val="00D91328"/>
    <w:rsid w:val="00D9157E"/>
    <w:rsid w:val="00D91A39"/>
    <w:rsid w:val="00D91B1C"/>
    <w:rsid w:val="00D9297B"/>
    <w:rsid w:val="00D92B70"/>
    <w:rsid w:val="00D92BCB"/>
    <w:rsid w:val="00D933DC"/>
    <w:rsid w:val="00D93AD6"/>
    <w:rsid w:val="00D96E32"/>
    <w:rsid w:val="00DA1139"/>
    <w:rsid w:val="00DA20CC"/>
    <w:rsid w:val="00DA2967"/>
    <w:rsid w:val="00DA2E1E"/>
    <w:rsid w:val="00DA3FF2"/>
    <w:rsid w:val="00DA5009"/>
    <w:rsid w:val="00DA50A4"/>
    <w:rsid w:val="00DA6539"/>
    <w:rsid w:val="00DA657B"/>
    <w:rsid w:val="00DA716A"/>
    <w:rsid w:val="00DA7718"/>
    <w:rsid w:val="00DA784A"/>
    <w:rsid w:val="00DB088F"/>
    <w:rsid w:val="00DB0D01"/>
    <w:rsid w:val="00DB1C95"/>
    <w:rsid w:val="00DB286E"/>
    <w:rsid w:val="00DB2F9F"/>
    <w:rsid w:val="00DB35B7"/>
    <w:rsid w:val="00DB45BF"/>
    <w:rsid w:val="00DB4DCD"/>
    <w:rsid w:val="00DB504C"/>
    <w:rsid w:val="00DB5A4E"/>
    <w:rsid w:val="00DB5E34"/>
    <w:rsid w:val="00DB68FF"/>
    <w:rsid w:val="00DB6AB9"/>
    <w:rsid w:val="00DB773A"/>
    <w:rsid w:val="00DC0A2A"/>
    <w:rsid w:val="00DC1804"/>
    <w:rsid w:val="00DC1B93"/>
    <w:rsid w:val="00DC21D7"/>
    <w:rsid w:val="00DC23CC"/>
    <w:rsid w:val="00DC23F0"/>
    <w:rsid w:val="00DC4360"/>
    <w:rsid w:val="00DC5099"/>
    <w:rsid w:val="00DC5651"/>
    <w:rsid w:val="00DC5BE2"/>
    <w:rsid w:val="00DD0137"/>
    <w:rsid w:val="00DD069C"/>
    <w:rsid w:val="00DD075E"/>
    <w:rsid w:val="00DD0E02"/>
    <w:rsid w:val="00DD2117"/>
    <w:rsid w:val="00DD228E"/>
    <w:rsid w:val="00DD23CD"/>
    <w:rsid w:val="00DD2509"/>
    <w:rsid w:val="00DD3F51"/>
    <w:rsid w:val="00DD45DE"/>
    <w:rsid w:val="00DD6094"/>
    <w:rsid w:val="00DD6F39"/>
    <w:rsid w:val="00DD7AA6"/>
    <w:rsid w:val="00DE0042"/>
    <w:rsid w:val="00DE0CCF"/>
    <w:rsid w:val="00DE2E88"/>
    <w:rsid w:val="00DE391F"/>
    <w:rsid w:val="00DE3D2F"/>
    <w:rsid w:val="00DE46DB"/>
    <w:rsid w:val="00DE552B"/>
    <w:rsid w:val="00DE68E6"/>
    <w:rsid w:val="00DE7246"/>
    <w:rsid w:val="00DE7D33"/>
    <w:rsid w:val="00DF030A"/>
    <w:rsid w:val="00DF0647"/>
    <w:rsid w:val="00DF0CFB"/>
    <w:rsid w:val="00DF27E2"/>
    <w:rsid w:val="00DF2800"/>
    <w:rsid w:val="00DF34A3"/>
    <w:rsid w:val="00DF3C3C"/>
    <w:rsid w:val="00DF3D26"/>
    <w:rsid w:val="00DF4CA5"/>
    <w:rsid w:val="00DF4F5E"/>
    <w:rsid w:val="00DF5656"/>
    <w:rsid w:val="00DF57D9"/>
    <w:rsid w:val="00DF6E99"/>
    <w:rsid w:val="00E0031A"/>
    <w:rsid w:val="00E033CB"/>
    <w:rsid w:val="00E0403A"/>
    <w:rsid w:val="00E04836"/>
    <w:rsid w:val="00E04974"/>
    <w:rsid w:val="00E050B3"/>
    <w:rsid w:val="00E05630"/>
    <w:rsid w:val="00E074A4"/>
    <w:rsid w:val="00E107A4"/>
    <w:rsid w:val="00E10FC0"/>
    <w:rsid w:val="00E11A9D"/>
    <w:rsid w:val="00E13329"/>
    <w:rsid w:val="00E13CA8"/>
    <w:rsid w:val="00E14266"/>
    <w:rsid w:val="00E15527"/>
    <w:rsid w:val="00E1593E"/>
    <w:rsid w:val="00E16894"/>
    <w:rsid w:val="00E168AE"/>
    <w:rsid w:val="00E16C7E"/>
    <w:rsid w:val="00E170A0"/>
    <w:rsid w:val="00E176F0"/>
    <w:rsid w:val="00E17FBA"/>
    <w:rsid w:val="00E20A20"/>
    <w:rsid w:val="00E21C93"/>
    <w:rsid w:val="00E22946"/>
    <w:rsid w:val="00E23FA8"/>
    <w:rsid w:val="00E266BB"/>
    <w:rsid w:val="00E2683F"/>
    <w:rsid w:val="00E26939"/>
    <w:rsid w:val="00E26DE6"/>
    <w:rsid w:val="00E275B0"/>
    <w:rsid w:val="00E27B87"/>
    <w:rsid w:val="00E27CA6"/>
    <w:rsid w:val="00E27EAB"/>
    <w:rsid w:val="00E33092"/>
    <w:rsid w:val="00E33D79"/>
    <w:rsid w:val="00E3538E"/>
    <w:rsid w:val="00E35778"/>
    <w:rsid w:val="00E3584E"/>
    <w:rsid w:val="00E36621"/>
    <w:rsid w:val="00E376D3"/>
    <w:rsid w:val="00E4074E"/>
    <w:rsid w:val="00E41910"/>
    <w:rsid w:val="00E41C8D"/>
    <w:rsid w:val="00E42421"/>
    <w:rsid w:val="00E4274F"/>
    <w:rsid w:val="00E42799"/>
    <w:rsid w:val="00E4327A"/>
    <w:rsid w:val="00E438BF"/>
    <w:rsid w:val="00E460CD"/>
    <w:rsid w:val="00E50483"/>
    <w:rsid w:val="00E51150"/>
    <w:rsid w:val="00E51F63"/>
    <w:rsid w:val="00E52940"/>
    <w:rsid w:val="00E533AF"/>
    <w:rsid w:val="00E53C33"/>
    <w:rsid w:val="00E55670"/>
    <w:rsid w:val="00E558DF"/>
    <w:rsid w:val="00E55EE2"/>
    <w:rsid w:val="00E56A89"/>
    <w:rsid w:val="00E57474"/>
    <w:rsid w:val="00E60AB0"/>
    <w:rsid w:val="00E60EE6"/>
    <w:rsid w:val="00E60FA6"/>
    <w:rsid w:val="00E610A7"/>
    <w:rsid w:val="00E63B1D"/>
    <w:rsid w:val="00E663D8"/>
    <w:rsid w:val="00E67830"/>
    <w:rsid w:val="00E70882"/>
    <w:rsid w:val="00E7172E"/>
    <w:rsid w:val="00E72989"/>
    <w:rsid w:val="00E72B18"/>
    <w:rsid w:val="00E73D1A"/>
    <w:rsid w:val="00E819BC"/>
    <w:rsid w:val="00E85439"/>
    <w:rsid w:val="00E8575C"/>
    <w:rsid w:val="00E85E0A"/>
    <w:rsid w:val="00E86268"/>
    <w:rsid w:val="00E86C3B"/>
    <w:rsid w:val="00E87918"/>
    <w:rsid w:val="00E90183"/>
    <w:rsid w:val="00E912B0"/>
    <w:rsid w:val="00E92F52"/>
    <w:rsid w:val="00E94F92"/>
    <w:rsid w:val="00E97847"/>
    <w:rsid w:val="00EA05B4"/>
    <w:rsid w:val="00EA0A75"/>
    <w:rsid w:val="00EA0F12"/>
    <w:rsid w:val="00EA1EAB"/>
    <w:rsid w:val="00EA1FB9"/>
    <w:rsid w:val="00EA315D"/>
    <w:rsid w:val="00EA3214"/>
    <w:rsid w:val="00EA5757"/>
    <w:rsid w:val="00EA70E8"/>
    <w:rsid w:val="00EA7D9C"/>
    <w:rsid w:val="00EA7FDA"/>
    <w:rsid w:val="00EB0959"/>
    <w:rsid w:val="00EB1BEF"/>
    <w:rsid w:val="00EB1D39"/>
    <w:rsid w:val="00EB1F1A"/>
    <w:rsid w:val="00EB1F65"/>
    <w:rsid w:val="00EB283D"/>
    <w:rsid w:val="00EB33C4"/>
    <w:rsid w:val="00EB590C"/>
    <w:rsid w:val="00EB6080"/>
    <w:rsid w:val="00EB7407"/>
    <w:rsid w:val="00EC003A"/>
    <w:rsid w:val="00EC16E6"/>
    <w:rsid w:val="00EC1EAA"/>
    <w:rsid w:val="00EC3AD6"/>
    <w:rsid w:val="00EC41B4"/>
    <w:rsid w:val="00EC41CF"/>
    <w:rsid w:val="00EC5166"/>
    <w:rsid w:val="00EC5608"/>
    <w:rsid w:val="00EC564B"/>
    <w:rsid w:val="00EC60B6"/>
    <w:rsid w:val="00EC7F1D"/>
    <w:rsid w:val="00ED0127"/>
    <w:rsid w:val="00ED287C"/>
    <w:rsid w:val="00ED2C5F"/>
    <w:rsid w:val="00ED3350"/>
    <w:rsid w:val="00ED45AE"/>
    <w:rsid w:val="00ED4CD8"/>
    <w:rsid w:val="00ED4EBF"/>
    <w:rsid w:val="00ED50F8"/>
    <w:rsid w:val="00ED5369"/>
    <w:rsid w:val="00ED59BD"/>
    <w:rsid w:val="00ED6C5D"/>
    <w:rsid w:val="00ED7068"/>
    <w:rsid w:val="00ED7BC3"/>
    <w:rsid w:val="00EE10FF"/>
    <w:rsid w:val="00EE1B37"/>
    <w:rsid w:val="00EE48E8"/>
    <w:rsid w:val="00EE4AE3"/>
    <w:rsid w:val="00EE4CE8"/>
    <w:rsid w:val="00EE5F1C"/>
    <w:rsid w:val="00EE69AC"/>
    <w:rsid w:val="00EE70FE"/>
    <w:rsid w:val="00EE748B"/>
    <w:rsid w:val="00EF0129"/>
    <w:rsid w:val="00EF01D1"/>
    <w:rsid w:val="00EF075F"/>
    <w:rsid w:val="00EF0E48"/>
    <w:rsid w:val="00EF2116"/>
    <w:rsid w:val="00EF24D4"/>
    <w:rsid w:val="00EF30C8"/>
    <w:rsid w:val="00EF37CB"/>
    <w:rsid w:val="00EF4382"/>
    <w:rsid w:val="00EF4528"/>
    <w:rsid w:val="00EF4D2B"/>
    <w:rsid w:val="00EF585F"/>
    <w:rsid w:val="00EF7CA9"/>
    <w:rsid w:val="00EF7DAF"/>
    <w:rsid w:val="00F00606"/>
    <w:rsid w:val="00F00E88"/>
    <w:rsid w:val="00F02C23"/>
    <w:rsid w:val="00F032EF"/>
    <w:rsid w:val="00F03D57"/>
    <w:rsid w:val="00F04233"/>
    <w:rsid w:val="00F04A61"/>
    <w:rsid w:val="00F04B2A"/>
    <w:rsid w:val="00F04FBD"/>
    <w:rsid w:val="00F06381"/>
    <w:rsid w:val="00F06577"/>
    <w:rsid w:val="00F06DF0"/>
    <w:rsid w:val="00F07266"/>
    <w:rsid w:val="00F10F65"/>
    <w:rsid w:val="00F11F88"/>
    <w:rsid w:val="00F12453"/>
    <w:rsid w:val="00F12455"/>
    <w:rsid w:val="00F12E3A"/>
    <w:rsid w:val="00F1326E"/>
    <w:rsid w:val="00F149EA"/>
    <w:rsid w:val="00F154C7"/>
    <w:rsid w:val="00F15CDF"/>
    <w:rsid w:val="00F17000"/>
    <w:rsid w:val="00F170D5"/>
    <w:rsid w:val="00F20384"/>
    <w:rsid w:val="00F20E8C"/>
    <w:rsid w:val="00F217CC"/>
    <w:rsid w:val="00F22BAC"/>
    <w:rsid w:val="00F24628"/>
    <w:rsid w:val="00F2546E"/>
    <w:rsid w:val="00F25729"/>
    <w:rsid w:val="00F2592B"/>
    <w:rsid w:val="00F25C93"/>
    <w:rsid w:val="00F266E4"/>
    <w:rsid w:val="00F26987"/>
    <w:rsid w:val="00F27A20"/>
    <w:rsid w:val="00F27E18"/>
    <w:rsid w:val="00F27F0A"/>
    <w:rsid w:val="00F306EA"/>
    <w:rsid w:val="00F30F20"/>
    <w:rsid w:val="00F320C7"/>
    <w:rsid w:val="00F3411A"/>
    <w:rsid w:val="00F348D7"/>
    <w:rsid w:val="00F35F1F"/>
    <w:rsid w:val="00F360E8"/>
    <w:rsid w:val="00F37068"/>
    <w:rsid w:val="00F37A02"/>
    <w:rsid w:val="00F37ACB"/>
    <w:rsid w:val="00F40001"/>
    <w:rsid w:val="00F407AF"/>
    <w:rsid w:val="00F410E5"/>
    <w:rsid w:val="00F415C0"/>
    <w:rsid w:val="00F417BE"/>
    <w:rsid w:val="00F41B80"/>
    <w:rsid w:val="00F4205B"/>
    <w:rsid w:val="00F44EBC"/>
    <w:rsid w:val="00F4611C"/>
    <w:rsid w:val="00F464FD"/>
    <w:rsid w:val="00F46AA0"/>
    <w:rsid w:val="00F46CAC"/>
    <w:rsid w:val="00F47056"/>
    <w:rsid w:val="00F47822"/>
    <w:rsid w:val="00F47E3C"/>
    <w:rsid w:val="00F50EAD"/>
    <w:rsid w:val="00F50EB7"/>
    <w:rsid w:val="00F522D7"/>
    <w:rsid w:val="00F52642"/>
    <w:rsid w:val="00F53491"/>
    <w:rsid w:val="00F545F2"/>
    <w:rsid w:val="00F554CA"/>
    <w:rsid w:val="00F55826"/>
    <w:rsid w:val="00F57DC1"/>
    <w:rsid w:val="00F6073F"/>
    <w:rsid w:val="00F60F76"/>
    <w:rsid w:val="00F6173F"/>
    <w:rsid w:val="00F61E31"/>
    <w:rsid w:val="00F62E74"/>
    <w:rsid w:val="00F6423C"/>
    <w:rsid w:val="00F64562"/>
    <w:rsid w:val="00F64910"/>
    <w:rsid w:val="00F652F7"/>
    <w:rsid w:val="00F65A30"/>
    <w:rsid w:val="00F65F25"/>
    <w:rsid w:val="00F67683"/>
    <w:rsid w:val="00F67F5D"/>
    <w:rsid w:val="00F72A60"/>
    <w:rsid w:val="00F72D9C"/>
    <w:rsid w:val="00F730ED"/>
    <w:rsid w:val="00F733E5"/>
    <w:rsid w:val="00F736AD"/>
    <w:rsid w:val="00F7395B"/>
    <w:rsid w:val="00F73BCB"/>
    <w:rsid w:val="00F74F2E"/>
    <w:rsid w:val="00F75389"/>
    <w:rsid w:val="00F75B6F"/>
    <w:rsid w:val="00F75EE0"/>
    <w:rsid w:val="00F76B50"/>
    <w:rsid w:val="00F775AE"/>
    <w:rsid w:val="00F77720"/>
    <w:rsid w:val="00F77F62"/>
    <w:rsid w:val="00F80266"/>
    <w:rsid w:val="00F80FFC"/>
    <w:rsid w:val="00F81233"/>
    <w:rsid w:val="00F819E2"/>
    <w:rsid w:val="00F82DBB"/>
    <w:rsid w:val="00F845B8"/>
    <w:rsid w:val="00F84BF1"/>
    <w:rsid w:val="00F855D9"/>
    <w:rsid w:val="00F868DB"/>
    <w:rsid w:val="00F87A5F"/>
    <w:rsid w:val="00F9027D"/>
    <w:rsid w:val="00F9118B"/>
    <w:rsid w:val="00F917CF"/>
    <w:rsid w:val="00F9194B"/>
    <w:rsid w:val="00F91E3C"/>
    <w:rsid w:val="00F922A9"/>
    <w:rsid w:val="00F92F0D"/>
    <w:rsid w:val="00F93227"/>
    <w:rsid w:val="00F935C4"/>
    <w:rsid w:val="00F949B6"/>
    <w:rsid w:val="00F94AB0"/>
    <w:rsid w:val="00F94E4E"/>
    <w:rsid w:val="00F97055"/>
    <w:rsid w:val="00F97AB1"/>
    <w:rsid w:val="00F97C80"/>
    <w:rsid w:val="00FA0788"/>
    <w:rsid w:val="00FA0EBE"/>
    <w:rsid w:val="00FA1C7B"/>
    <w:rsid w:val="00FA3A60"/>
    <w:rsid w:val="00FA3FFB"/>
    <w:rsid w:val="00FA4E05"/>
    <w:rsid w:val="00FA55D3"/>
    <w:rsid w:val="00FB0DFF"/>
    <w:rsid w:val="00FB1471"/>
    <w:rsid w:val="00FB197D"/>
    <w:rsid w:val="00FB29ED"/>
    <w:rsid w:val="00FB3D6A"/>
    <w:rsid w:val="00FB3DE5"/>
    <w:rsid w:val="00FB3ED7"/>
    <w:rsid w:val="00FB5FB8"/>
    <w:rsid w:val="00FB605F"/>
    <w:rsid w:val="00FB66BD"/>
    <w:rsid w:val="00FB6794"/>
    <w:rsid w:val="00FB6965"/>
    <w:rsid w:val="00FB6A21"/>
    <w:rsid w:val="00FB716D"/>
    <w:rsid w:val="00FB7B89"/>
    <w:rsid w:val="00FB7DBF"/>
    <w:rsid w:val="00FC02E1"/>
    <w:rsid w:val="00FC2B5A"/>
    <w:rsid w:val="00FC377C"/>
    <w:rsid w:val="00FC5101"/>
    <w:rsid w:val="00FC5141"/>
    <w:rsid w:val="00FC52C6"/>
    <w:rsid w:val="00FC73C9"/>
    <w:rsid w:val="00FD0187"/>
    <w:rsid w:val="00FD04CC"/>
    <w:rsid w:val="00FD0E3D"/>
    <w:rsid w:val="00FD157A"/>
    <w:rsid w:val="00FD267D"/>
    <w:rsid w:val="00FD3202"/>
    <w:rsid w:val="00FD4A83"/>
    <w:rsid w:val="00FD4B31"/>
    <w:rsid w:val="00FD5519"/>
    <w:rsid w:val="00FD5DB9"/>
    <w:rsid w:val="00FD5DD9"/>
    <w:rsid w:val="00FD6966"/>
    <w:rsid w:val="00FD6A89"/>
    <w:rsid w:val="00FD6C82"/>
    <w:rsid w:val="00FE0F7E"/>
    <w:rsid w:val="00FE1518"/>
    <w:rsid w:val="00FE1ADE"/>
    <w:rsid w:val="00FE27F9"/>
    <w:rsid w:val="00FE3139"/>
    <w:rsid w:val="00FE4C31"/>
    <w:rsid w:val="00FE53D6"/>
    <w:rsid w:val="00FE611E"/>
    <w:rsid w:val="00FE6D12"/>
    <w:rsid w:val="00FE7055"/>
    <w:rsid w:val="00FE7522"/>
    <w:rsid w:val="00FF1196"/>
    <w:rsid w:val="00FF15E0"/>
    <w:rsid w:val="00FF2863"/>
    <w:rsid w:val="00FF2CE6"/>
    <w:rsid w:val="00FF3591"/>
    <w:rsid w:val="00FF47D5"/>
    <w:rsid w:val="00FF48E9"/>
    <w:rsid w:val="00FF75B8"/>
    <w:rsid w:val="00FF7799"/>
    <w:rsid w:val="00FF7A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074ED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Helvetica"/>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6B8"/>
    <w:pPr>
      <w:spacing w:after="0" w:line="240" w:lineRule="auto"/>
      <w:jc w:val="both"/>
    </w:pPr>
    <w:rPr>
      <w:rFonts w:ascii="Verdana" w:hAnsi="Verdana" w:cs="Times New Roman"/>
      <w:sz w:val="22"/>
      <w:szCs w:val="22"/>
    </w:rPr>
  </w:style>
  <w:style w:type="paragraph" w:styleId="Heading1">
    <w:name w:val="heading 1"/>
    <w:basedOn w:val="Normal"/>
    <w:next w:val="Normal"/>
    <w:link w:val="Heading1Char"/>
    <w:uiPriority w:val="9"/>
    <w:qFormat/>
    <w:rsid w:val="00764FD5"/>
    <w:pPr>
      <w:tabs>
        <w:tab w:val="left" w:pos="5375"/>
      </w:tabs>
      <w:outlineLvl w:val="0"/>
    </w:pPr>
    <w:rPr>
      <w:rFonts w:ascii="Garamond" w:hAnsi="Garamond"/>
      <w:b/>
      <w:sz w:val="44"/>
      <w:szCs w:val="24"/>
      <w:lang w:eastAsia="en-AU"/>
    </w:rPr>
  </w:style>
  <w:style w:type="paragraph" w:styleId="Heading2">
    <w:name w:val="heading 2"/>
    <w:basedOn w:val="Normal"/>
    <w:next w:val="Normal"/>
    <w:link w:val="Heading2Char"/>
    <w:uiPriority w:val="9"/>
    <w:qFormat/>
    <w:rsid w:val="009D0CE8"/>
    <w:pPr>
      <w:keepNext/>
      <w:outlineLvl w:val="1"/>
    </w:pPr>
    <w:rPr>
      <w:rFonts w:ascii="Arial" w:hAnsi="Arial" w:cs="Arial"/>
      <w:bCs/>
      <w:i/>
      <w:iCs/>
      <w:sz w:val="28"/>
      <w:szCs w:val="28"/>
      <w:lang w:eastAsia="en-AU"/>
    </w:rPr>
  </w:style>
  <w:style w:type="paragraph" w:styleId="Heading3">
    <w:name w:val="heading 3"/>
    <w:basedOn w:val="Normal"/>
    <w:next w:val="Normal"/>
    <w:link w:val="Heading3Char"/>
    <w:uiPriority w:val="9"/>
    <w:unhideWhenUsed/>
    <w:qFormat/>
    <w:rsid w:val="009D0CE8"/>
    <w:pPr>
      <w:keepNext/>
      <w:keepLines/>
      <w:spacing w:before="20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64FD5"/>
    <w:rPr>
      <w:rFonts w:ascii="Garamond" w:hAnsi="Garamond" w:cs="Times New Roman"/>
      <w:b/>
      <w:sz w:val="44"/>
      <w:szCs w:val="24"/>
      <w:lang w:eastAsia="en-AU"/>
    </w:rPr>
  </w:style>
  <w:style w:type="character" w:customStyle="1" w:styleId="Heading2Char">
    <w:name w:val="Heading 2 Char"/>
    <w:basedOn w:val="DefaultParagraphFont"/>
    <w:link w:val="Heading2"/>
    <w:uiPriority w:val="9"/>
    <w:locked/>
    <w:rsid w:val="009D0CE8"/>
    <w:rPr>
      <w:rFonts w:ascii="Arial" w:hAnsi="Arial" w:cs="Arial"/>
      <w:bCs/>
      <w:i/>
      <w:iCs/>
      <w:sz w:val="28"/>
      <w:szCs w:val="28"/>
      <w:lang w:val="x-none" w:eastAsia="en-AU"/>
    </w:rPr>
  </w:style>
  <w:style w:type="character" w:customStyle="1" w:styleId="Heading3Char">
    <w:name w:val="Heading 3 Char"/>
    <w:basedOn w:val="DefaultParagraphFont"/>
    <w:link w:val="Heading3"/>
    <w:uiPriority w:val="9"/>
    <w:locked/>
    <w:rsid w:val="009D0CE8"/>
    <w:rPr>
      <w:rFonts w:asciiTheme="majorHAnsi" w:eastAsiaTheme="majorEastAsia" w:hAnsiTheme="majorHAnsi" w:cs="Times New Roman"/>
      <w:b/>
      <w:bCs/>
      <w:color w:val="4F81BD" w:themeColor="accent1"/>
      <w:sz w:val="22"/>
      <w:szCs w:val="22"/>
    </w:rPr>
  </w:style>
  <w:style w:type="character" w:styleId="FootnoteReference">
    <w:name w:val="footnote reference"/>
    <w:basedOn w:val="DefaultParagraphFont"/>
    <w:uiPriority w:val="99"/>
    <w:semiHidden/>
    <w:unhideWhenUsed/>
    <w:rsid w:val="00797321"/>
    <w:rPr>
      <w:rFonts w:ascii="Calibri" w:hAnsi="Calibri" w:cs="Times New Roman"/>
      <w:sz w:val="20"/>
      <w:vertAlign w:val="superscript"/>
    </w:rPr>
  </w:style>
  <w:style w:type="paragraph" w:customStyle="1" w:styleId="BullTitle1">
    <w:name w:val="Bull Title1"/>
    <w:basedOn w:val="Normal"/>
    <w:next w:val="Normal"/>
    <w:rsid w:val="009D0CE8"/>
    <w:pPr>
      <w:jc w:val="center"/>
    </w:pPr>
    <w:rPr>
      <w:rFonts w:ascii="Garamond" w:hAnsi="Garamond"/>
      <w:b/>
      <w:smallCaps/>
      <w:sz w:val="56"/>
      <w:szCs w:val="52"/>
      <w:lang w:eastAsia="en-AU"/>
    </w:rPr>
  </w:style>
  <w:style w:type="paragraph" w:customStyle="1" w:styleId="BullTitle2">
    <w:name w:val="Bull Title2"/>
    <w:basedOn w:val="Normal"/>
    <w:next w:val="Normal"/>
    <w:rsid w:val="009D0CE8"/>
    <w:pPr>
      <w:jc w:val="center"/>
    </w:pPr>
    <w:rPr>
      <w:rFonts w:ascii="Garamond" w:hAnsi="Garamond"/>
      <w:sz w:val="36"/>
      <w:szCs w:val="32"/>
      <w:lang w:eastAsia="en-AU"/>
    </w:rPr>
  </w:style>
  <w:style w:type="paragraph" w:customStyle="1" w:styleId="BullTitle3">
    <w:name w:val="Bull Title3"/>
    <w:basedOn w:val="Normal"/>
    <w:next w:val="Normal"/>
    <w:rsid w:val="009D0CE8"/>
    <w:pPr>
      <w:jc w:val="center"/>
    </w:pPr>
    <w:rPr>
      <w:szCs w:val="24"/>
      <w:lang w:eastAsia="en-AU"/>
    </w:rPr>
  </w:style>
  <w:style w:type="paragraph" w:customStyle="1" w:styleId="BullDivider2">
    <w:name w:val="Bull Divider2"/>
    <w:basedOn w:val="Normal"/>
    <w:next w:val="Normal"/>
    <w:rsid w:val="009D0CE8"/>
    <w:pPr>
      <w:pBdr>
        <w:bottom w:val="double" w:sz="6" w:space="1" w:color="auto"/>
      </w:pBdr>
    </w:pPr>
    <w:rPr>
      <w:szCs w:val="20"/>
      <w:lang w:eastAsia="en-AU"/>
    </w:rPr>
  </w:style>
  <w:style w:type="character" w:styleId="Hyperlink">
    <w:name w:val="Hyperlink"/>
    <w:basedOn w:val="DefaultParagraphFont"/>
    <w:uiPriority w:val="99"/>
    <w:rsid w:val="009D0CE8"/>
    <w:rPr>
      <w:rFonts w:cs="Times New Roman"/>
      <w:color w:val="0000FF"/>
      <w:u w:val="single"/>
    </w:rPr>
  </w:style>
  <w:style w:type="paragraph" w:customStyle="1" w:styleId="BullDivider1">
    <w:name w:val="Bull Divider1"/>
    <w:basedOn w:val="Normal"/>
    <w:next w:val="Normal"/>
    <w:rsid w:val="009D0CE8"/>
    <w:pPr>
      <w:pBdr>
        <w:bottom w:val="dotted" w:sz="4" w:space="1" w:color="auto"/>
      </w:pBdr>
    </w:pPr>
    <w:rPr>
      <w:szCs w:val="20"/>
      <w:lang w:eastAsia="en-AU"/>
    </w:rPr>
  </w:style>
  <w:style w:type="character" w:customStyle="1" w:styleId="decisia-reflex2-icon">
    <w:name w:val="decisia-reflex2-icon"/>
    <w:rsid w:val="009D0CE8"/>
  </w:style>
  <w:style w:type="paragraph" w:customStyle="1" w:styleId="sccnormaldoublespacing">
    <w:name w:val="sccnormaldoublespacing"/>
    <w:basedOn w:val="Normal"/>
    <w:rsid w:val="009D0CE8"/>
    <w:pPr>
      <w:spacing w:before="100" w:beforeAutospacing="1" w:after="100" w:afterAutospacing="1"/>
    </w:pPr>
    <w:rPr>
      <w:rFonts w:ascii="Times New Roman" w:hAnsi="Times New Roman"/>
      <w:sz w:val="24"/>
      <w:szCs w:val="24"/>
      <w:lang w:eastAsia="en-AU"/>
    </w:rPr>
  </w:style>
  <w:style w:type="paragraph" w:customStyle="1" w:styleId="MediumGrid21">
    <w:name w:val="Medium Grid 21"/>
    <w:uiPriority w:val="1"/>
    <w:qFormat/>
    <w:rsid w:val="009D0CE8"/>
    <w:pPr>
      <w:spacing w:after="0" w:line="240" w:lineRule="auto"/>
    </w:pPr>
    <w:rPr>
      <w:rFonts w:ascii="Verdana" w:hAnsi="Verdana" w:cs="Times New Roman"/>
      <w:sz w:val="22"/>
      <w:szCs w:val="22"/>
    </w:rPr>
  </w:style>
  <w:style w:type="character" w:styleId="FollowedHyperlink">
    <w:name w:val="FollowedHyperlink"/>
    <w:basedOn w:val="DefaultParagraphFont"/>
    <w:uiPriority w:val="99"/>
    <w:semiHidden/>
    <w:unhideWhenUsed/>
    <w:rsid w:val="009D0CE8"/>
    <w:rPr>
      <w:rFonts w:cs="Times New Roman"/>
      <w:color w:val="800080"/>
      <w:u w:val="single"/>
    </w:rPr>
  </w:style>
  <w:style w:type="paragraph" w:customStyle="1" w:styleId="Default">
    <w:name w:val="Default"/>
    <w:rsid w:val="009D0CE8"/>
    <w:pPr>
      <w:autoSpaceDE w:val="0"/>
      <w:autoSpaceDN w:val="0"/>
      <w:adjustRightInd w:val="0"/>
      <w:spacing w:after="0" w:line="240" w:lineRule="auto"/>
    </w:pPr>
    <w:rPr>
      <w:rFonts w:ascii="Garamond" w:hAnsi="Garamond" w:cs="Garamond"/>
      <w:color w:val="000000"/>
      <w:sz w:val="24"/>
      <w:szCs w:val="24"/>
      <w:lang w:eastAsia="en-AU"/>
    </w:rPr>
  </w:style>
  <w:style w:type="paragraph" w:styleId="BalloonText">
    <w:name w:val="Balloon Text"/>
    <w:basedOn w:val="Normal"/>
    <w:link w:val="BalloonTextChar"/>
    <w:uiPriority w:val="99"/>
    <w:semiHidden/>
    <w:unhideWhenUsed/>
    <w:rsid w:val="009D0C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CE8"/>
    <w:rPr>
      <w:rFonts w:ascii="Tahoma" w:hAnsi="Tahoma" w:cs="Tahoma"/>
      <w:sz w:val="16"/>
      <w:szCs w:val="16"/>
    </w:rPr>
  </w:style>
  <w:style w:type="paragraph" w:styleId="Header">
    <w:name w:val="header"/>
    <w:basedOn w:val="Normal"/>
    <w:link w:val="HeaderChar"/>
    <w:uiPriority w:val="99"/>
    <w:unhideWhenUsed/>
    <w:rsid w:val="009D0CE8"/>
    <w:pPr>
      <w:tabs>
        <w:tab w:val="center" w:pos="4513"/>
        <w:tab w:val="right" w:pos="9026"/>
      </w:tabs>
    </w:pPr>
  </w:style>
  <w:style w:type="character" w:customStyle="1" w:styleId="HeaderChar">
    <w:name w:val="Header Char"/>
    <w:basedOn w:val="DefaultParagraphFont"/>
    <w:link w:val="Header"/>
    <w:uiPriority w:val="99"/>
    <w:locked/>
    <w:rsid w:val="009D0CE8"/>
    <w:rPr>
      <w:rFonts w:ascii="Verdana" w:hAnsi="Verdana" w:cs="Times New Roman"/>
      <w:sz w:val="22"/>
      <w:szCs w:val="22"/>
    </w:rPr>
  </w:style>
  <w:style w:type="paragraph" w:styleId="Footer">
    <w:name w:val="footer"/>
    <w:basedOn w:val="Normal"/>
    <w:link w:val="FooterChar"/>
    <w:uiPriority w:val="99"/>
    <w:unhideWhenUsed/>
    <w:rsid w:val="009D0CE8"/>
    <w:pPr>
      <w:tabs>
        <w:tab w:val="center" w:pos="4513"/>
        <w:tab w:val="right" w:pos="9026"/>
      </w:tabs>
    </w:pPr>
  </w:style>
  <w:style w:type="character" w:customStyle="1" w:styleId="FooterChar">
    <w:name w:val="Footer Char"/>
    <w:basedOn w:val="DefaultParagraphFont"/>
    <w:link w:val="Footer"/>
    <w:uiPriority w:val="99"/>
    <w:locked/>
    <w:rsid w:val="009D0CE8"/>
    <w:rPr>
      <w:rFonts w:ascii="Verdana" w:hAnsi="Verdana" w:cs="Times New Roman"/>
      <w:sz w:val="22"/>
      <w:szCs w:val="22"/>
    </w:rPr>
  </w:style>
  <w:style w:type="paragraph" w:styleId="NormalWeb">
    <w:name w:val="Normal (Web)"/>
    <w:basedOn w:val="Normal"/>
    <w:uiPriority w:val="99"/>
    <w:unhideWhenUsed/>
    <w:rsid w:val="009D0CE8"/>
    <w:pPr>
      <w:spacing w:before="100" w:beforeAutospacing="1" w:after="100" w:afterAutospacing="1"/>
      <w:jc w:val="left"/>
    </w:pPr>
    <w:rPr>
      <w:rFonts w:ascii="Times" w:hAnsi="Times"/>
      <w:sz w:val="20"/>
      <w:szCs w:val="20"/>
    </w:rPr>
  </w:style>
  <w:style w:type="character" w:styleId="CommentReference">
    <w:name w:val="annotation reference"/>
    <w:basedOn w:val="DefaultParagraphFont"/>
    <w:uiPriority w:val="99"/>
    <w:semiHidden/>
    <w:unhideWhenUsed/>
    <w:rsid w:val="009D0CE8"/>
    <w:rPr>
      <w:rFonts w:cs="Times New Roman"/>
      <w:sz w:val="16"/>
      <w:szCs w:val="16"/>
    </w:rPr>
  </w:style>
  <w:style w:type="paragraph" w:styleId="CommentText">
    <w:name w:val="annotation text"/>
    <w:basedOn w:val="Normal"/>
    <w:link w:val="CommentTextChar"/>
    <w:uiPriority w:val="99"/>
    <w:semiHidden/>
    <w:unhideWhenUsed/>
    <w:rsid w:val="009D0CE8"/>
    <w:rPr>
      <w:sz w:val="20"/>
      <w:szCs w:val="20"/>
    </w:rPr>
  </w:style>
  <w:style w:type="character" w:customStyle="1" w:styleId="CommentTextChar">
    <w:name w:val="Comment Text Char"/>
    <w:basedOn w:val="DefaultParagraphFont"/>
    <w:link w:val="CommentText"/>
    <w:uiPriority w:val="99"/>
    <w:semiHidden/>
    <w:locked/>
    <w:rsid w:val="009D0CE8"/>
    <w:rPr>
      <w:rFonts w:ascii="Verdana" w:hAnsi="Verdana" w:cs="Times New Roman"/>
    </w:rPr>
  </w:style>
  <w:style w:type="paragraph" w:styleId="CommentSubject">
    <w:name w:val="annotation subject"/>
    <w:basedOn w:val="CommentText"/>
    <w:next w:val="CommentText"/>
    <w:link w:val="CommentSubjectChar"/>
    <w:uiPriority w:val="99"/>
    <w:semiHidden/>
    <w:unhideWhenUsed/>
    <w:rsid w:val="009D0CE8"/>
    <w:rPr>
      <w:b/>
      <w:bCs/>
    </w:rPr>
  </w:style>
  <w:style w:type="character" w:customStyle="1" w:styleId="CommentSubjectChar">
    <w:name w:val="Comment Subject Char"/>
    <w:basedOn w:val="CommentTextChar"/>
    <w:link w:val="CommentSubject"/>
    <w:uiPriority w:val="99"/>
    <w:semiHidden/>
    <w:locked/>
    <w:rsid w:val="009D0CE8"/>
    <w:rPr>
      <w:rFonts w:ascii="Verdana" w:hAnsi="Verdana" w:cs="Times New Roman"/>
      <w:b/>
      <w:bCs/>
    </w:rPr>
  </w:style>
  <w:style w:type="paragraph" w:customStyle="1" w:styleId="western">
    <w:name w:val="western"/>
    <w:basedOn w:val="Normal"/>
    <w:rsid w:val="009D0CE8"/>
    <w:pPr>
      <w:spacing w:before="100" w:beforeAutospacing="1" w:after="100" w:afterAutospacing="1"/>
      <w:jc w:val="left"/>
    </w:pPr>
    <w:rPr>
      <w:rFonts w:ascii="Times New Roman" w:hAnsi="Times New Roman"/>
      <w:sz w:val="24"/>
      <w:szCs w:val="24"/>
      <w:lang w:eastAsia="en-AU"/>
    </w:rPr>
  </w:style>
  <w:style w:type="paragraph" w:styleId="ListParagraph">
    <w:name w:val="List Paragraph"/>
    <w:basedOn w:val="Normal"/>
    <w:uiPriority w:val="72"/>
    <w:rsid w:val="009D0CE8"/>
    <w:pPr>
      <w:ind w:left="720"/>
      <w:contextualSpacing/>
    </w:pPr>
  </w:style>
  <w:style w:type="paragraph" w:styleId="Revision">
    <w:name w:val="Revision"/>
    <w:hidden/>
    <w:uiPriority w:val="71"/>
    <w:rsid w:val="009D0CE8"/>
    <w:pPr>
      <w:spacing w:after="0" w:line="240" w:lineRule="auto"/>
    </w:pPr>
    <w:rPr>
      <w:rFonts w:ascii="Verdana" w:hAnsi="Verdana" w:cs="Times New Roman"/>
      <w:sz w:val="22"/>
      <w:szCs w:val="22"/>
    </w:rPr>
  </w:style>
  <w:style w:type="character" w:styleId="Strong">
    <w:name w:val="Strong"/>
    <w:basedOn w:val="DefaultParagraphFont"/>
    <w:uiPriority w:val="22"/>
    <w:qFormat/>
    <w:rsid w:val="009D0CE8"/>
    <w:rPr>
      <w:rFonts w:cs="Times New Roman"/>
      <w:b/>
      <w:bCs/>
    </w:rPr>
  </w:style>
  <w:style w:type="character" w:customStyle="1" w:styleId="sccappellantforindexchar">
    <w:name w:val="sccappellantforindexchar"/>
    <w:basedOn w:val="DefaultParagraphFont"/>
    <w:rsid w:val="009D0CE8"/>
    <w:rPr>
      <w:rFonts w:cs="Times New Roman"/>
    </w:rPr>
  </w:style>
  <w:style w:type="character" w:customStyle="1" w:styleId="sccrespondentforindexchar">
    <w:name w:val="sccrespondentforindexchar"/>
    <w:basedOn w:val="DefaultParagraphFont"/>
    <w:rsid w:val="009D0CE8"/>
    <w:rPr>
      <w:rFonts w:cs="Times New Roman"/>
    </w:rPr>
  </w:style>
  <w:style w:type="character" w:customStyle="1" w:styleId="i">
    <w:name w:val="i"/>
    <w:basedOn w:val="DefaultParagraphFont"/>
    <w:rsid w:val="009D0CE8"/>
    <w:rPr>
      <w:rFonts w:cs="Times New Roman"/>
    </w:rPr>
  </w:style>
  <w:style w:type="character" w:styleId="UnresolvedMention">
    <w:name w:val="Unresolved Mention"/>
    <w:basedOn w:val="DefaultParagraphFont"/>
    <w:uiPriority w:val="99"/>
    <w:semiHidden/>
    <w:unhideWhenUsed/>
    <w:rsid w:val="002704EC"/>
    <w:rPr>
      <w:rFonts w:cs="Times New Roman"/>
      <w:color w:val="605E5C"/>
      <w:shd w:val="clear" w:color="auto" w:fill="E1DFDD"/>
    </w:rPr>
  </w:style>
  <w:style w:type="paragraph" w:customStyle="1" w:styleId="Catchwords">
    <w:name w:val="Catchwords"/>
    <w:basedOn w:val="Normal"/>
    <w:qFormat/>
    <w:rsid w:val="00DB68FF"/>
    <w:pPr>
      <w:ind w:left="720"/>
    </w:pPr>
    <w:rPr>
      <w:lang w:eastAsia="en-AU"/>
    </w:rPr>
  </w:style>
  <w:style w:type="paragraph" w:styleId="NoSpacing">
    <w:name w:val="No Spacing"/>
    <w:uiPriority w:val="1"/>
    <w:qFormat/>
    <w:rsid w:val="00342708"/>
    <w:pPr>
      <w:spacing w:after="0" w:line="240" w:lineRule="auto"/>
      <w:jc w:val="both"/>
    </w:pPr>
    <w:rPr>
      <w:rFonts w:ascii="Verdana" w:hAnsi="Verdan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3511">
      <w:bodyDiv w:val="1"/>
      <w:marLeft w:val="0"/>
      <w:marRight w:val="0"/>
      <w:marTop w:val="0"/>
      <w:marBottom w:val="0"/>
      <w:divBdr>
        <w:top w:val="none" w:sz="0" w:space="0" w:color="auto"/>
        <w:left w:val="none" w:sz="0" w:space="0" w:color="auto"/>
        <w:bottom w:val="none" w:sz="0" w:space="0" w:color="auto"/>
        <w:right w:val="none" w:sz="0" w:space="0" w:color="auto"/>
      </w:divBdr>
    </w:div>
    <w:div w:id="30349843">
      <w:bodyDiv w:val="1"/>
      <w:marLeft w:val="0"/>
      <w:marRight w:val="0"/>
      <w:marTop w:val="0"/>
      <w:marBottom w:val="0"/>
      <w:divBdr>
        <w:top w:val="none" w:sz="0" w:space="0" w:color="auto"/>
        <w:left w:val="none" w:sz="0" w:space="0" w:color="auto"/>
        <w:bottom w:val="none" w:sz="0" w:space="0" w:color="auto"/>
        <w:right w:val="none" w:sz="0" w:space="0" w:color="auto"/>
      </w:divBdr>
    </w:div>
    <w:div w:id="42564465">
      <w:bodyDiv w:val="1"/>
      <w:marLeft w:val="0"/>
      <w:marRight w:val="0"/>
      <w:marTop w:val="0"/>
      <w:marBottom w:val="0"/>
      <w:divBdr>
        <w:top w:val="none" w:sz="0" w:space="0" w:color="auto"/>
        <w:left w:val="none" w:sz="0" w:space="0" w:color="auto"/>
        <w:bottom w:val="none" w:sz="0" w:space="0" w:color="auto"/>
        <w:right w:val="none" w:sz="0" w:space="0" w:color="auto"/>
      </w:divBdr>
    </w:div>
    <w:div w:id="47147902">
      <w:bodyDiv w:val="1"/>
      <w:marLeft w:val="0"/>
      <w:marRight w:val="0"/>
      <w:marTop w:val="0"/>
      <w:marBottom w:val="0"/>
      <w:divBdr>
        <w:top w:val="none" w:sz="0" w:space="0" w:color="auto"/>
        <w:left w:val="none" w:sz="0" w:space="0" w:color="auto"/>
        <w:bottom w:val="none" w:sz="0" w:space="0" w:color="auto"/>
        <w:right w:val="none" w:sz="0" w:space="0" w:color="auto"/>
      </w:divBdr>
    </w:div>
    <w:div w:id="47383482">
      <w:bodyDiv w:val="1"/>
      <w:marLeft w:val="0"/>
      <w:marRight w:val="0"/>
      <w:marTop w:val="0"/>
      <w:marBottom w:val="0"/>
      <w:divBdr>
        <w:top w:val="none" w:sz="0" w:space="0" w:color="auto"/>
        <w:left w:val="none" w:sz="0" w:space="0" w:color="auto"/>
        <w:bottom w:val="none" w:sz="0" w:space="0" w:color="auto"/>
        <w:right w:val="none" w:sz="0" w:space="0" w:color="auto"/>
      </w:divBdr>
    </w:div>
    <w:div w:id="48118642">
      <w:bodyDiv w:val="1"/>
      <w:marLeft w:val="0"/>
      <w:marRight w:val="0"/>
      <w:marTop w:val="0"/>
      <w:marBottom w:val="0"/>
      <w:divBdr>
        <w:top w:val="none" w:sz="0" w:space="0" w:color="auto"/>
        <w:left w:val="none" w:sz="0" w:space="0" w:color="auto"/>
        <w:bottom w:val="none" w:sz="0" w:space="0" w:color="auto"/>
        <w:right w:val="none" w:sz="0" w:space="0" w:color="auto"/>
      </w:divBdr>
    </w:div>
    <w:div w:id="53168771">
      <w:bodyDiv w:val="1"/>
      <w:marLeft w:val="0"/>
      <w:marRight w:val="0"/>
      <w:marTop w:val="0"/>
      <w:marBottom w:val="0"/>
      <w:divBdr>
        <w:top w:val="none" w:sz="0" w:space="0" w:color="auto"/>
        <w:left w:val="none" w:sz="0" w:space="0" w:color="auto"/>
        <w:bottom w:val="none" w:sz="0" w:space="0" w:color="auto"/>
        <w:right w:val="none" w:sz="0" w:space="0" w:color="auto"/>
      </w:divBdr>
    </w:div>
    <w:div w:id="62139984">
      <w:bodyDiv w:val="1"/>
      <w:marLeft w:val="0"/>
      <w:marRight w:val="0"/>
      <w:marTop w:val="0"/>
      <w:marBottom w:val="0"/>
      <w:divBdr>
        <w:top w:val="none" w:sz="0" w:space="0" w:color="auto"/>
        <w:left w:val="none" w:sz="0" w:space="0" w:color="auto"/>
        <w:bottom w:val="none" w:sz="0" w:space="0" w:color="auto"/>
        <w:right w:val="none" w:sz="0" w:space="0" w:color="auto"/>
      </w:divBdr>
    </w:div>
    <w:div w:id="89816141">
      <w:bodyDiv w:val="1"/>
      <w:marLeft w:val="0"/>
      <w:marRight w:val="0"/>
      <w:marTop w:val="0"/>
      <w:marBottom w:val="0"/>
      <w:divBdr>
        <w:top w:val="none" w:sz="0" w:space="0" w:color="auto"/>
        <w:left w:val="none" w:sz="0" w:space="0" w:color="auto"/>
        <w:bottom w:val="none" w:sz="0" w:space="0" w:color="auto"/>
        <w:right w:val="none" w:sz="0" w:space="0" w:color="auto"/>
      </w:divBdr>
    </w:div>
    <w:div w:id="106000529">
      <w:bodyDiv w:val="1"/>
      <w:marLeft w:val="0"/>
      <w:marRight w:val="0"/>
      <w:marTop w:val="0"/>
      <w:marBottom w:val="0"/>
      <w:divBdr>
        <w:top w:val="none" w:sz="0" w:space="0" w:color="auto"/>
        <w:left w:val="none" w:sz="0" w:space="0" w:color="auto"/>
        <w:bottom w:val="none" w:sz="0" w:space="0" w:color="auto"/>
        <w:right w:val="none" w:sz="0" w:space="0" w:color="auto"/>
      </w:divBdr>
    </w:div>
    <w:div w:id="120421944">
      <w:bodyDiv w:val="1"/>
      <w:marLeft w:val="0"/>
      <w:marRight w:val="0"/>
      <w:marTop w:val="0"/>
      <w:marBottom w:val="0"/>
      <w:divBdr>
        <w:top w:val="none" w:sz="0" w:space="0" w:color="auto"/>
        <w:left w:val="none" w:sz="0" w:space="0" w:color="auto"/>
        <w:bottom w:val="none" w:sz="0" w:space="0" w:color="auto"/>
        <w:right w:val="none" w:sz="0" w:space="0" w:color="auto"/>
      </w:divBdr>
    </w:div>
    <w:div w:id="155802388">
      <w:bodyDiv w:val="1"/>
      <w:marLeft w:val="0"/>
      <w:marRight w:val="0"/>
      <w:marTop w:val="0"/>
      <w:marBottom w:val="0"/>
      <w:divBdr>
        <w:top w:val="none" w:sz="0" w:space="0" w:color="auto"/>
        <w:left w:val="none" w:sz="0" w:space="0" w:color="auto"/>
        <w:bottom w:val="none" w:sz="0" w:space="0" w:color="auto"/>
        <w:right w:val="none" w:sz="0" w:space="0" w:color="auto"/>
      </w:divBdr>
    </w:div>
    <w:div w:id="165443624">
      <w:bodyDiv w:val="1"/>
      <w:marLeft w:val="0"/>
      <w:marRight w:val="0"/>
      <w:marTop w:val="0"/>
      <w:marBottom w:val="0"/>
      <w:divBdr>
        <w:top w:val="none" w:sz="0" w:space="0" w:color="auto"/>
        <w:left w:val="none" w:sz="0" w:space="0" w:color="auto"/>
        <w:bottom w:val="none" w:sz="0" w:space="0" w:color="auto"/>
        <w:right w:val="none" w:sz="0" w:space="0" w:color="auto"/>
      </w:divBdr>
    </w:div>
    <w:div w:id="210701537">
      <w:bodyDiv w:val="1"/>
      <w:marLeft w:val="0"/>
      <w:marRight w:val="0"/>
      <w:marTop w:val="0"/>
      <w:marBottom w:val="0"/>
      <w:divBdr>
        <w:top w:val="none" w:sz="0" w:space="0" w:color="auto"/>
        <w:left w:val="none" w:sz="0" w:space="0" w:color="auto"/>
        <w:bottom w:val="none" w:sz="0" w:space="0" w:color="auto"/>
        <w:right w:val="none" w:sz="0" w:space="0" w:color="auto"/>
      </w:divBdr>
      <w:divsChild>
        <w:div w:id="1624458386">
          <w:marLeft w:val="0"/>
          <w:marRight w:val="0"/>
          <w:marTop w:val="0"/>
          <w:marBottom w:val="0"/>
          <w:divBdr>
            <w:top w:val="none" w:sz="0" w:space="0" w:color="auto"/>
            <w:left w:val="none" w:sz="0" w:space="0" w:color="auto"/>
            <w:bottom w:val="single" w:sz="6" w:space="0" w:color="D6D6D6"/>
            <w:right w:val="none" w:sz="0" w:space="0" w:color="auto"/>
          </w:divBdr>
          <w:divsChild>
            <w:div w:id="1999259856">
              <w:marLeft w:val="0"/>
              <w:marRight w:val="0"/>
              <w:marTop w:val="0"/>
              <w:marBottom w:val="0"/>
              <w:divBdr>
                <w:top w:val="none" w:sz="0" w:space="0" w:color="auto"/>
                <w:left w:val="none" w:sz="0" w:space="0" w:color="auto"/>
                <w:bottom w:val="none" w:sz="0" w:space="0" w:color="auto"/>
                <w:right w:val="none" w:sz="0" w:space="0" w:color="auto"/>
              </w:divBdr>
            </w:div>
          </w:divsChild>
        </w:div>
        <w:div w:id="487523512">
          <w:marLeft w:val="0"/>
          <w:marRight w:val="0"/>
          <w:marTop w:val="0"/>
          <w:marBottom w:val="0"/>
          <w:divBdr>
            <w:top w:val="none" w:sz="0" w:space="0" w:color="auto"/>
            <w:left w:val="none" w:sz="0" w:space="0" w:color="auto"/>
            <w:bottom w:val="single" w:sz="6" w:space="0" w:color="D6D6D6"/>
            <w:right w:val="none" w:sz="0" w:space="0" w:color="auto"/>
          </w:divBdr>
          <w:divsChild>
            <w:div w:id="1094865268">
              <w:marLeft w:val="0"/>
              <w:marRight w:val="0"/>
              <w:marTop w:val="0"/>
              <w:marBottom w:val="0"/>
              <w:divBdr>
                <w:top w:val="none" w:sz="0" w:space="0" w:color="auto"/>
                <w:left w:val="none" w:sz="0" w:space="0" w:color="auto"/>
                <w:bottom w:val="none" w:sz="0" w:space="0" w:color="auto"/>
                <w:right w:val="none" w:sz="0" w:space="0" w:color="auto"/>
              </w:divBdr>
            </w:div>
            <w:div w:id="1916547179">
              <w:marLeft w:val="0"/>
              <w:marRight w:val="0"/>
              <w:marTop w:val="0"/>
              <w:marBottom w:val="0"/>
              <w:divBdr>
                <w:top w:val="none" w:sz="0" w:space="0" w:color="auto"/>
                <w:left w:val="none" w:sz="0" w:space="0" w:color="auto"/>
                <w:bottom w:val="none" w:sz="0" w:space="0" w:color="auto"/>
                <w:right w:val="none" w:sz="0" w:space="0" w:color="auto"/>
              </w:divBdr>
            </w:div>
          </w:divsChild>
        </w:div>
        <w:div w:id="1513228169">
          <w:marLeft w:val="0"/>
          <w:marRight w:val="0"/>
          <w:marTop w:val="0"/>
          <w:marBottom w:val="0"/>
          <w:divBdr>
            <w:top w:val="none" w:sz="0" w:space="0" w:color="auto"/>
            <w:left w:val="none" w:sz="0" w:space="0" w:color="auto"/>
            <w:bottom w:val="single" w:sz="6" w:space="0" w:color="D6D6D6"/>
            <w:right w:val="none" w:sz="0" w:space="0" w:color="auto"/>
          </w:divBdr>
          <w:divsChild>
            <w:div w:id="578515214">
              <w:marLeft w:val="0"/>
              <w:marRight w:val="0"/>
              <w:marTop w:val="0"/>
              <w:marBottom w:val="0"/>
              <w:divBdr>
                <w:top w:val="none" w:sz="0" w:space="0" w:color="auto"/>
                <w:left w:val="none" w:sz="0" w:space="0" w:color="auto"/>
                <w:bottom w:val="none" w:sz="0" w:space="0" w:color="auto"/>
                <w:right w:val="none" w:sz="0" w:space="0" w:color="auto"/>
              </w:divBdr>
            </w:div>
            <w:div w:id="16489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63234">
      <w:bodyDiv w:val="1"/>
      <w:marLeft w:val="0"/>
      <w:marRight w:val="0"/>
      <w:marTop w:val="0"/>
      <w:marBottom w:val="0"/>
      <w:divBdr>
        <w:top w:val="none" w:sz="0" w:space="0" w:color="auto"/>
        <w:left w:val="none" w:sz="0" w:space="0" w:color="auto"/>
        <w:bottom w:val="none" w:sz="0" w:space="0" w:color="auto"/>
        <w:right w:val="none" w:sz="0" w:space="0" w:color="auto"/>
      </w:divBdr>
    </w:div>
    <w:div w:id="294214654">
      <w:bodyDiv w:val="1"/>
      <w:marLeft w:val="0"/>
      <w:marRight w:val="0"/>
      <w:marTop w:val="0"/>
      <w:marBottom w:val="0"/>
      <w:divBdr>
        <w:top w:val="none" w:sz="0" w:space="0" w:color="auto"/>
        <w:left w:val="none" w:sz="0" w:space="0" w:color="auto"/>
        <w:bottom w:val="none" w:sz="0" w:space="0" w:color="auto"/>
        <w:right w:val="none" w:sz="0" w:space="0" w:color="auto"/>
      </w:divBdr>
    </w:div>
    <w:div w:id="321663386">
      <w:bodyDiv w:val="1"/>
      <w:marLeft w:val="0"/>
      <w:marRight w:val="0"/>
      <w:marTop w:val="0"/>
      <w:marBottom w:val="0"/>
      <w:divBdr>
        <w:top w:val="none" w:sz="0" w:space="0" w:color="auto"/>
        <w:left w:val="none" w:sz="0" w:space="0" w:color="auto"/>
        <w:bottom w:val="none" w:sz="0" w:space="0" w:color="auto"/>
        <w:right w:val="none" w:sz="0" w:space="0" w:color="auto"/>
      </w:divBdr>
    </w:div>
    <w:div w:id="327488888">
      <w:bodyDiv w:val="1"/>
      <w:marLeft w:val="0"/>
      <w:marRight w:val="0"/>
      <w:marTop w:val="0"/>
      <w:marBottom w:val="0"/>
      <w:divBdr>
        <w:top w:val="none" w:sz="0" w:space="0" w:color="auto"/>
        <w:left w:val="none" w:sz="0" w:space="0" w:color="auto"/>
        <w:bottom w:val="none" w:sz="0" w:space="0" w:color="auto"/>
        <w:right w:val="none" w:sz="0" w:space="0" w:color="auto"/>
      </w:divBdr>
      <w:divsChild>
        <w:div w:id="684017661">
          <w:marLeft w:val="0"/>
          <w:marRight w:val="0"/>
          <w:marTop w:val="0"/>
          <w:marBottom w:val="0"/>
          <w:divBdr>
            <w:top w:val="none" w:sz="0" w:space="0" w:color="auto"/>
            <w:left w:val="none" w:sz="0" w:space="0" w:color="auto"/>
            <w:bottom w:val="none" w:sz="0" w:space="0" w:color="auto"/>
            <w:right w:val="none" w:sz="0" w:space="0" w:color="auto"/>
          </w:divBdr>
        </w:div>
        <w:div w:id="1189104746">
          <w:marLeft w:val="0"/>
          <w:marRight w:val="0"/>
          <w:marTop w:val="0"/>
          <w:marBottom w:val="0"/>
          <w:divBdr>
            <w:top w:val="none" w:sz="0" w:space="0" w:color="auto"/>
            <w:left w:val="none" w:sz="0" w:space="0" w:color="auto"/>
            <w:bottom w:val="none" w:sz="0" w:space="0" w:color="auto"/>
            <w:right w:val="none" w:sz="0" w:space="0" w:color="auto"/>
          </w:divBdr>
        </w:div>
      </w:divsChild>
    </w:div>
    <w:div w:id="331638765">
      <w:bodyDiv w:val="1"/>
      <w:marLeft w:val="0"/>
      <w:marRight w:val="0"/>
      <w:marTop w:val="0"/>
      <w:marBottom w:val="0"/>
      <w:divBdr>
        <w:top w:val="none" w:sz="0" w:space="0" w:color="auto"/>
        <w:left w:val="none" w:sz="0" w:space="0" w:color="auto"/>
        <w:bottom w:val="none" w:sz="0" w:space="0" w:color="auto"/>
        <w:right w:val="none" w:sz="0" w:space="0" w:color="auto"/>
      </w:divBdr>
    </w:div>
    <w:div w:id="385448197">
      <w:bodyDiv w:val="1"/>
      <w:marLeft w:val="0"/>
      <w:marRight w:val="0"/>
      <w:marTop w:val="0"/>
      <w:marBottom w:val="0"/>
      <w:divBdr>
        <w:top w:val="none" w:sz="0" w:space="0" w:color="auto"/>
        <w:left w:val="none" w:sz="0" w:space="0" w:color="auto"/>
        <w:bottom w:val="none" w:sz="0" w:space="0" w:color="auto"/>
        <w:right w:val="none" w:sz="0" w:space="0" w:color="auto"/>
      </w:divBdr>
    </w:div>
    <w:div w:id="392892224">
      <w:bodyDiv w:val="1"/>
      <w:marLeft w:val="0"/>
      <w:marRight w:val="0"/>
      <w:marTop w:val="0"/>
      <w:marBottom w:val="0"/>
      <w:divBdr>
        <w:top w:val="none" w:sz="0" w:space="0" w:color="auto"/>
        <w:left w:val="none" w:sz="0" w:space="0" w:color="auto"/>
        <w:bottom w:val="none" w:sz="0" w:space="0" w:color="auto"/>
        <w:right w:val="none" w:sz="0" w:space="0" w:color="auto"/>
      </w:divBdr>
    </w:div>
    <w:div w:id="404573776">
      <w:bodyDiv w:val="1"/>
      <w:marLeft w:val="0"/>
      <w:marRight w:val="0"/>
      <w:marTop w:val="0"/>
      <w:marBottom w:val="0"/>
      <w:divBdr>
        <w:top w:val="none" w:sz="0" w:space="0" w:color="auto"/>
        <w:left w:val="none" w:sz="0" w:space="0" w:color="auto"/>
        <w:bottom w:val="none" w:sz="0" w:space="0" w:color="auto"/>
        <w:right w:val="none" w:sz="0" w:space="0" w:color="auto"/>
      </w:divBdr>
    </w:div>
    <w:div w:id="435104766">
      <w:bodyDiv w:val="1"/>
      <w:marLeft w:val="0"/>
      <w:marRight w:val="0"/>
      <w:marTop w:val="0"/>
      <w:marBottom w:val="0"/>
      <w:divBdr>
        <w:top w:val="none" w:sz="0" w:space="0" w:color="auto"/>
        <w:left w:val="none" w:sz="0" w:space="0" w:color="auto"/>
        <w:bottom w:val="none" w:sz="0" w:space="0" w:color="auto"/>
        <w:right w:val="none" w:sz="0" w:space="0" w:color="auto"/>
      </w:divBdr>
    </w:div>
    <w:div w:id="464277841">
      <w:bodyDiv w:val="1"/>
      <w:marLeft w:val="0"/>
      <w:marRight w:val="0"/>
      <w:marTop w:val="0"/>
      <w:marBottom w:val="0"/>
      <w:divBdr>
        <w:top w:val="none" w:sz="0" w:space="0" w:color="auto"/>
        <w:left w:val="none" w:sz="0" w:space="0" w:color="auto"/>
        <w:bottom w:val="none" w:sz="0" w:space="0" w:color="auto"/>
        <w:right w:val="none" w:sz="0" w:space="0" w:color="auto"/>
      </w:divBdr>
    </w:div>
    <w:div w:id="479886582">
      <w:bodyDiv w:val="1"/>
      <w:marLeft w:val="0"/>
      <w:marRight w:val="0"/>
      <w:marTop w:val="0"/>
      <w:marBottom w:val="0"/>
      <w:divBdr>
        <w:top w:val="none" w:sz="0" w:space="0" w:color="auto"/>
        <w:left w:val="none" w:sz="0" w:space="0" w:color="auto"/>
        <w:bottom w:val="none" w:sz="0" w:space="0" w:color="auto"/>
        <w:right w:val="none" w:sz="0" w:space="0" w:color="auto"/>
      </w:divBdr>
    </w:div>
    <w:div w:id="489568122">
      <w:bodyDiv w:val="1"/>
      <w:marLeft w:val="0"/>
      <w:marRight w:val="0"/>
      <w:marTop w:val="0"/>
      <w:marBottom w:val="0"/>
      <w:divBdr>
        <w:top w:val="none" w:sz="0" w:space="0" w:color="auto"/>
        <w:left w:val="none" w:sz="0" w:space="0" w:color="auto"/>
        <w:bottom w:val="none" w:sz="0" w:space="0" w:color="auto"/>
        <w:right w:val="none" w:sz="0" w:space="0" w:color="auto"/>
      </w:divBdr>
    </w:div>
    <w:div w:id="492069829">
      <w:bodyDiv w:val="1"/>
      <w:marLeft w:val="0"/>
      <w:marRight w:val="0"/>
      <w:marTop w:val="0"/>
      <w:marBottom w:val="0"/>
      <w:divBdr>
        <w:top w:val="none" w:sz="0" w:space="0" w:color="auto"/>
        <w:left w:val="none" w:sz="0" w:space="0" w:color="auto"/>
        <w:bottom w:val="none" w:sz="0" w:space="0" w:color="auto"/>
        <w:right w:val="none" w:sz="0" w:space="0" w:color="auto"/>
      </w:divBdr>
    </w:div>
    <w:div w:id="502018013">
      <w:bodyDiv w:val="1"/>
      <w:marLeft w:val="0"/>
      <w:marRight w:val="0"/>
      <w:marTop w:val="0"/>
      <w:marBottom w:val="0"/>
      <w:divBdr>
        <w:top w:val="none" w:sz="0" w:space="0" w:color="auto"/>
        <w:left w:val="none" w:sz="0" w:space="0" w:color="auto"/>
        <w:bottom w:val="none" w:sz="0" w:space="0" w:color="auto"/>
        <w:right w:val="none" w:sz="0" w:space="0" w:color="auto"/>
      </w:divBdr>
      <w:divsChild>
        <w:div w:id="1601137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375252">
      <w:bodyDiv w:val="1"/>
      <w:marLeft w:val="0"/>
      <w:marRight w:val="0"/>
      <w:marTop w:val="0"/>
      <w:marBottom w:val="0"/>
      <w:divBdr>
        <w:top w:val="none" w:sz="0" w:space="0" w:color="auto"/>
        <w:left w:val="none" w:sz="0" w:space="0" w:color="auto"/>
        <w:bottom w:val="none" w:sz="0" w:space="0" w:color="auto"/>
        <w:right w:val="none" w:sz="0" w:space="0" w:color="auto"/>
      </w:divBdr>
    </w:div>
    <w:div w:id="577129261">
      <w:bodyDiv w:val="1"/>
      <w:marLeft w:val="0"/>
      <w:marRight w:val="0"/>
      <w:marTop w:val="0"/>
      <w:marBottom w:val="0"/>
      <w:divBdr>
        <w:top w:val="none" w:sz="0" w:space="0" w:color="auto"/>
        <w:left w:val="none" w:sz="0" w:space="0" w:color="auto"/>
        <w:bottom w:val="none" w:sz="0" w:space="0" w:color="auto"/>
        <w:right w:val="none" w:sz="0" w:space="0" w:color="auto"/>
      </w:divBdr>
    </w:div>
    <w:div w:id="624776453">
      <w:bodyDiv w:val="1"/>
      <w:marLeft w:val="0"/>
      <w:marRight w:val="0"/>
      <w:marTop w:val="0"/>
      <w:marBottom w:val="0"/>
      <w:divBdr>
        <w:top w:val="none" w:sz="0" w:space="0" w:color="auto"/>
        <w:left w:val="none" w:sz="0" w:space="0" w:color="auto"/>
        <w:bottom w:val="none" w:sz="0" w:space="0" w:color="auto"/>
        <w:right w:val="none" w:sz="0" w:space="0" w:color="auto"/>
      </w:divBdr>
    </w:div>
    <w:div w:id="638732325">
      <w:bodyDiv w:val="1"/>
      <w:marLeft w:val="0"/>
      <w:marRight w:val="0"/>
      <w:marTop w:val="0"/>
      <w:marBottom w:val="0"/>
      <w:divBdr>
        <w:top w:val="none" w:sz="0" w:space="0" w:color="auto"/>
        <w:left w:val="none" w:sz="0" w:space="0" w:color="auto"/>
        <w:bottom w:val="none" w:sz="0" w:space="0" w:color="auto"/>
        <w:right w:val="none" w:sz="0" w:space="0" w:color="auto"/>
      </w:divBdr>
    </w:div>
    <w:div w:id="646668012">
      <w:bodyDiv w:val="1"/>
      <w:marLeft w:val="0"/>
      <w:marRight w:val="0"/>
      <w:marTop w:val="0"/>
      <w:marBottom w:val="0"/>
      <w:divBdr>
        <w:top w:val="none" w:sz="0" w:space="0" w:color="auto"/>
        <w:left w:val="none" w:sz="0" w:space="0" w:color="auto"/>
        <w:bottom w:val="none" w:sz="0" w:space="0" w:color="auto"/>
        <w:right w:val="none" w:sz="0" w:space="0" w:color="auto"/>
      </w:divBdr>
    </w:div>
    <w:div w:id="671685333">
      <w:bodyDiv w:val="1"/>
      <w:marLeft w:val="0"/>
      <w:marRight w:val="0"/>
      <w:marTop w:val="0"/>
      <w:marBottom w:val="0"/>
      <w:divBdr>
        <w:top w:val="none" w:sz="0" w:space="0" w:color="auto"/>
        <w:left w:val="none" w:sz="0" w:space="0" w:color="auto"/>
        <w:bottom w:val="none" w:sz="0" w:space="0" w:color="auto"/>
        <w:right w:val="none" w:sz="0" w:space="0" w:color="auto"/>
      </w:divBdr>
    </w:div>
    <w:div w:id="713432380">
      <w:bodyDiv w:val="1"/>
      <w:marLeft w:val="0"/>
      <w:marRight w:val="0"/>
      <w:marTop w:val="0"/>
      <w:marBottom w:val="0"/>
      <w:divBdr>
        <w:top w:val="none" w:sz="0" w:space="0" w:color="auto"/>
        <w:left w:val="none" w:sz="0" w:space="0" w:color="auto"/>
        <w:bottom w:val="none" w:sz="0" w:space="0" w:color="auto"/>
        <w:right w:val="none" w:sz="0" w:space="0" w:color="auto"/>
      </w:divBdr>
    </w:div>
    <w:div w:id="722949339">
      <w:bodyDiv w:val="1"/>
      <w:marLeft w:val="0"/>
      <w:marRight w:val="0"/>
      <w:marTop w:val="0"/>
      <w:marBottom w:val="0"/>
      <w:divBdr>
        <w:top w:val="none" w:sz="0" w:space="0" w:color="auto"/>
        <w:left w:val="none" w:sz="0" w:space="0" w:color="auto"/>
        <w:bottom w:val="none" w:sz="0" w:space="0" w:color="auto"/>
        <w:right w:val="none" w:sz="0" w:space="0" w:color="auto"/>
      </w:divBdr>
    </w:div>
    <w:div w:id="736320294">
      <w:bodyDiv w:val="1"/>
      <w:marLeft w:val="0"/>
      <w:marRight w:val="0"/>
      <w:marTop w:val="0"/>
      <w:marBottom w:val="0"/>
      <w:divBdr>
        <w:top w:val="none" w:sz="0" w:space="0" w:color="auto"/>
        <w:left w:val="none" w:sz="0" w:space="0" w:color="auto"/>
        <w:bottom w:val="none" w:sz="0" w:space="0" w:color="auto"/>
        <w:right w:val="none" w:sz="0" w:space="0" w:color="auto"/>
      </w:divBdr>
    </w:div>
    <w:div w:id="739597381">
      <w:bodyDiv w:val="1"/>
      <w:marLeft w:val="0"/>
      <w:marRight w:val="0"/>
      <w:marTop w:val="0"/>
      <w:marBottom w:val="0"/>
      <w:divBdr>
        <w:top w:val="none" w:sz="0" w:space="0" w:color="auto"/>
        <w:left w:val="none" w:sz="0" w:space="0" w:color="auto"/>
        <w:bottom w:val="none" w:sz="0" w:space="0" w:color="auto"/>
        <w:right w:val="none" w:sz="0" w:space="0" w:color="auto"/>
      </w:divBdr>
    </w:div>
    <w:div w:id="742876198">
      <w:bodyDiv w:val="1"/>
      <w:marLeft w:val="0"/>
      <w:marRight w:val="0"/>
      <w:marTop w:val="0"/>
      <w:marBottom w:val="0"/>
      <w:divBdr>
        <w:top w:val="none" w:sz="0" w:space="0" w:color="auto"/>
        <w:left w:val="none" w:sz="0" w:space="0" w:color="auto"/>
        <w:bottom w:val="none" w:sz="0" w:space="0" w:color="auto"/>
        <w:right w:val="none" w:sz="0" w:space="0" w:color="auto"/>
      </w:divBdr>
    </w:div>
    <w:div w:id="772046405">
      <w:bodyDiv w:val="1"/>
      <w:marLeft w:val="0"/>
      <w:marRight w:val="0"/>
      <w:marTop w:val="0"/>
      <w:marBottom w:val="0"/>
      <w:divBdr>
        <w:top w:val="none" w:sz="0" w:space="0" w:color="auto"/>
        <w:left w:val="none" w:sz="0" w:space="0" w:color="auto"/>
        <w:bottom w:val="none" w:sz="0" w:space="0" w:color="auto"/>
        <w:right w:val="none" w:sz="0" w:space="0" w:color="auto"/>
      </w:divBdr>
    </w:div>
    <w:div w:id="772240903">
      <w:bodyDiv w:val="1"/>
      <w:marLeft w:val="0"/>
      <w:marRight w:val="0"/>
      <w:marTop w:val="0"/>
      <w:marBottom w:val="0"/>
      <w:divBdr>
        <w:top w:val="none" w:sz="0" w:space="0" w:color="auto"/>
        <w:left w:val="none" w:sz="0" w:space="0" w:color="auto"/>
        <w:bottom w:val="none" w:sz="0" w:space="0" w:color="auto"/>
        <w:right w:val="none" w:sz="0" w:space="0" w:color="auto"/>
      </w:divBdr>
    </w:div>
    <w:div w:id="784152510">
      <w:bodyDiv w:val="1"/>
      <w:marLeft w:val="0"/>
      <w:marRight w:val="0"/>
      <w:marTop w:val="0"/>
      <w:marBottom w:val="0"/>
      <w:divBdr>
        <w:top w:val="none" w:sz="0" w:space="0" w:color="auto"/>
        <w:left w:val="none" w:sz="0" w:space="0" w:color="auto"/>
        <w:bottom w:val="none" w:sz="0" w:space="0" w:color="auto"/>
        <w:right w:val="none" w:sz="0" w:space="0" w:color="auto"/>
      </w:divBdr>
    </w:div>
    <w:div w:id="793839010">
      <w:bodyDiv w:val="1"/>
      <w:marLeft w:val="0"/>
      <w:marRight w:val="0"/>
      <w:marTop w:val="0"/>
      <w:marBottom w:val="0"/>
      <w:divBdr>
        <w:top w:val="none" w:sz="0" w:space="0" w:color="auto"/>
        <w:left w:val="none" w:sz="0" w:space="0" w:color="auto"/>
        <w:bottom w:val="none" w:sz="0" w:space="0" w:color="auto"/>
        <w:right w:val="none" w:sz="0" w:space="0" w:color="auto"/>
      </w:divBdr>
    </w:div>
    <w:div w:id="811480334">
      <w:bodyDiv w:val="1"/>
      <w:marLeft w:val="0"/>
      <w:marRight w:val="0"/>
      <w:marTop w:val="0"/>
      <w:marBottom w:val="0"/>
      <w:divBdr>
        <w:top w:val="none" w:sz="0" w:space="0" w:color="auto"/>
        <w:left w:val="none" w:sz="0" w:space="0" w:color="auto"/>
        <w:bottom w:val="none" w:sz="0" w:space="0" w:color="auto"/>
        <w:right w:val="none" w:sz="0" w:space="0" w:color="auto"/>
      </w:divBdr>
    </w:div>
    <w:div w:id="817957253">
      <w:bodyDiv w:val="1"/>
      <w:marLeft w:val="0"/>
      <w:marRight w:val="0"/>
      <w:marTop w:val="0"/>
      <w:marBottom w:val="0"/>
      <w:divBdr>
        <w:top w:val="none" w:sz="0" w:space="0" w:color="auto"/>
        <w:left w:val="none" w:sz="0" w:space="0" w:color="auto"/>
        <w:bottom w:val="none" w:sz="0" w:space="0" w:color="auto"/>
        <w:right w:val="none" w:sz="0" w:space="0" w:color="auto"/>
      </w:divBdr>
    </w:div>
    <w:div w:id="821770956">
      <w:bodyDiv w:val="1"/>
      <w:marLeft w:val="0"/>
      <w:marRight w:val="0"/>
      <w:marTop w:val="0"/>
      <w:marBottom w:val="0"/>
      <w:divBdr>
        <w:top w:val="none" w:sz="0" w:space="0" w:color="auto"/>
        <w:left w:val="none" w:sz="0" w:space="0" w:color="auto"/>
        <w:bottom w:val="none" w:sz="0" w:space="0" w:color="auto"/>
        <w:right w:val="none" w:sz="0" w:space="0" w:color="auto"/>
      </w:divBdr>
    </w:div>
    <w:div w:id="837622371">
      <w:bodyDiv w:val="1"/>
      <w:marLeft w:val="0"/>
      <w:marRight w:val="0"/>
      <w:marTop w:val="0"/>
      <w:marBottom w:val="0"/>
      <w:divBdr>
        <w:top w:val="none" w:sz="0" w:space="0" w:color="auto"/>
        <w:left w:val="none" w:sz="0" w:space="0" w:color="auto"/>
        <w:bottom w:val="none" w:sz="0" w:space="0" w:color="auto"/>
        <w:right w:val="none" w:sz="0" w:space="0" w:color="auto"/>
      </w:divBdr>
    </w:div>
    <w:div w:id="895551484">
      <w:bodyDiv w:val="1"/>
      <w:marLeft w:val="0"/>
      <w:marRight w:val="0"/>
      <w:marTop w:val="0"/>
      <w:marBottom w:val="0"/>
      <w:divBdr>
        <w:top w:val="none" w:sz="0" w:space="0" w:color="auto"/>
        <w:left w:val="none" w:sz="0" w:space="0" w:color="auto"/>
        <w:bottom w:val="none" w:sz="0" w:space="0" w:color="auto"/>
        <w:right w:val="none" w:sz="0" w:space="0" w:color="auto"/>
      </w:divBdr>
    </w:div>
    <w:div w:id="937298512">
      <w:bodyDiv w:val="1"/>
      <w:marLeft w:val="0"/>
      <w:marRight w:val="0"/>
      <w:marTop w:val="0"/>
      <w:marBottom w:val="0"/>
      <w:divBdr>
        <w:top w:val="none" w:sz="0" w:space="0" w:color="auto"/>
        <w:left w:val="none" w:sz="0" w:space="0" w:color="auto"/>
        <w:bottom w:val="none" w:sz="0" w:space="0" w:color="auto"/>
        <w:right w:val="none" w:sz="0" w:space="0" w:color="auto"/>
      </w:divBdr>
    </w:div>
    <w:div w:id="952176008">
      <w:bodyDiv w:val="1"/>
      <w:marLeft w:val="0"/>
      <w:marRight w:val="0"/>
      <w:marTop w:val="0"/>
      <w:marBottom w:val="0"/>
      <w:divBdr>
        <w:top w:val="none" w:sz="0" w:space="0" w:color="auto"/>
        <w:left w:val="none" w:sz="0" w:space="0" w:color="auto"/>
        <w:bottom w:val="none" w:sz="0" w:space="0" w:color="auto"/>
        <w:right w:val="none" w:sz="0" w:space="0" w:color="auto"/>
      </w:divBdr>
      <w:divsChild>
        <w:div w:id="405687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282172">
      <w:bodyDiv w:val="1"/>
      <w:marLeft w:val="0"/>
      <w:marRight w:val="0"/>
      <w:marTop w:val="0"/>
      <w:marBottom w:val="0"/>
      <w:divBdr>
        <w:top w:val="none" w:sz="0" w:space="0" w:color="auto"/>
        <w:left w:val="none" w:sz="0" w:space="0" w:color="auto"/>
        <w:bottom w:val="none" w:sz="0" w:space="0" w:color="auto"/>
        <w:right w:val="none" w:sz="0" w:space="0" w:color="auto"/>
      </w:divBdr>
    </w:div>
    <w:div w:id="968436521">
      <w:bodyDiv w:val="1"/>
      <w:marLeft w:val="0"/>
      <w:marRight w:val="0"/>
      <w:marTop w:val="0"/>
      <w:marBottom w:val="0"/>
      <w:divBdr>
        <w:top w:val="none" w:sz="0" w:space="0" w:color="auto"/>
        <w:left w:val="none" w:sz="0" w:space="0" w:color="auto"/>
        <w:bottom w:val="none" w:sz="0" w:space="0" w:color="auto"/>
        <w:right w:val="none" w:sz="0" w:space="0" w:color="auto"/>
      </w:divBdr>
    </w:div>
    <w:div w:id="995837989">
      <w:bodyDiv w:val="1"/>
      <w:marLeft w:val="0"/>
      <w:marRight w:val="0"/>
      <w:marTop w:val="0"/>
      <w:marBottom w:val="0"/>
      <w:divBdr>
        <w:top w:val="none" w:sz="0" w:space="0" w:color="auto"/>
        <w:left w:val="none" w:sz="0" w:space="0" w:color="auto"/>
        <w:bottom w:val="none" w:sz="0" w:space="0" w:color="auto"/>
        <w:right w:val="none" w:sz="0" w:space="0" w:color="auto"/>
      </w:divBdr>
    </w:div>
    <w:div w:id="1004085841">
      <w:bodyDiv w:val="1"/>
      <w:marLeft w:val="0"/>
      <w:marRight w:val="0"/>
      <w:marTop w:val="0"/>
      <w:marBottom w:val="0"/>
      <w:divBdr>
        <w:top w:val="none" w:sz="0" w:space="0" w:color="auto"/>
        <w:left w:val="none" w:sz="0" w:space="0" w:color="auto"/>
        <w:bottom w:val="none" w:sz="0" w:space="0" w:color="auto"/>
        <w:right w:val="none" w:sz="0" w:space="0" w:color="auto"/>
      </w:divBdr>
    </w:div>
    <w:div w:id="1012609209">
      <w:bodyDiv w:val="1"/>
      <w:marLeft w:val="0"/>
      <w:marRight w:val="0"/>
      <w:marTop w:val="0"/>
      <w:marBottom w:val="0"/>
      <w:divBdr>
        <w:top w:val="none" w:sz="0" w:space="0" w:color="auto"/>
        <w:left w:val="none" w:sz="0" w:space="0" w:color="auto"/>
        <w:bottom w:val="none" w:sz="0" w:space="0" w:color="auto"/>
        <w:right w:val="none" w:sz="0" w:space="0" w:color="auto"/>
      </w:divBdr>
    </w:div>
    <w:div w:id="1018627066">
      <w:bodyDiv w:val="1"/>
      <w:marLeft w:val="0"/>
      <w:marRight w:val="0"/>
      <w:marTop w:val="0"/>
      <w:marBottom w:val="0"/>
      <w:divBdr>
        <w:top w:val="none" w:sz="0" w:space="0" w:color="auto"/>
        <w:left w:val="none" w:sz="0" w:space="0" w:color="auto"/>
        <w:bottom w:val="none" w:sz="0" w:space="0" w:color="auto"/>
        <w:right w:val="none" w:sz="0" w:space="0" w:color="auto"/>
      </w:divBdr>
    </w:div>
    <w:div w:id="1020812471">
      <w:bodyDiv w:val="1"/>
      <w:marLeft w:val="0"/>
      <w:marRight w:val="0"/>
      <w:marTop w:val="0"/>
      <w:marBottom w:val="0"/>
      <w:divBdr>
        <w:top w:val="none" w:sz="0" w:space="0" w:color="auto"/>
        <w:left w:val="none" w:sz="0" w:space="0" w:color="auto"/>
        <w:bottom w:val="none" w:sz="0" w:space="0" w:color="auto"/>
        <w:right w:val="none" w:sz="0" w:space="0" w:color="auto"/>
      </w:divBdr>
    </w:div>
    <w:div w:id="1069881071">
      <w:bodyDiv w:val="1"/>
      <w:marLeft w:val="0"/>
      <w:marRight w:val="0"/>
      <w:marTop w:val="0"/>
      <w:marBottom w:val="0"/>
      <w:divBdr>
        <w:top w:val="none" w:sz="0" w:space="0" w:color="auto"/>
        <w:left w:val="none" w:sz="0" w:space="0" w:color="auto"/>
        <w:bottom w:val="none" w:sz="0" w:space="0" w:color="auto"/>
        <w:right w:val="none" w:sz="0" w:space="0" w:color="auto"/>
      </w:divBdr>
    </w:div>
    <w:div w:id="1130778751">
      <w:bodyDiv w:val="1"/>
      <w:marLeft w:val="0"/>
      <w:marRight w:val="0"/>
      <w:marTop w:val="0"/>
      <w:marBottom w:val="0"/>
      <w:divBdr>
        <w:top w:val="none" w:sz="0" w:space="0" w:color="auto"/>
        <w:left w:val="none" w:sz="0" w:space="0" w:color="auto"/>
        <w:bottom w:val="none" w:sz="0" w:space="0" w:color="auto"/>
        <w:right w:val="none" w:sz="0" w:space="0" w:color="auto"/>
      </w:divBdr>
    </w:div>
    <w:div w:id="1153566421">
      <w:bodyDiv w:val="1"/>
      <w:marLeft w:val="0"/>
      <w:marRight w:val="0"/>
      <w:marTop w:val="0"/>
      <w:marBottom w:val="0"/>
      <w:divBdr>
        <w:top w:val="none" w:sz="0" w:space="0" w:color="auto"/>
        <w:left w:val="none" w:sz="0" w:space="0" w:color="auto"/>
        <w:bottom w:val="none" w:sz="0" w:space="0" w:color="auto"/>
        <w:right w:val="none" w:sz="0" w:space="0" w:color="auto"/>
      </w:divBdr>
    </w:div>
    <w:div w:id="1247379403">
      <w:bodyDiv w:val="1"/>
      <w:marLeft w:val="0"/>
      <w:marRight w:val="0"/>
      <w:marTop w:val="0"/>
      <w:marBottom w:val="0"/>
      <w:divBdr>
        <w:top w:val="none" w:sz="0" w:space="0" w:color="auto"/>
        <w:left w:val="none" w:sz="0" w:space="0" w:color="auto"/>
        <w:bottom w:val="none" w:sz="0" w:space="0" w:color="auto"/>
        <w:right w:val="none" w:sz="0" w:space="0" w:color="auto"/>
      </w:divBdr>
    </w:div>
    <w:div w:id="1256134237">
      <w:bodyDiv w:val="1"/>
      <w:marLeft w:val="0"/>
      <w:marRight w:val="0"/>
      <w:marTop w:val="0"/>
      <w:marBottom w:val="0"/>
      <w:divBdr>
        <w:top w:val="none" w:sz="0" w:space="0" w:color="auto"/>
        <w:left w:val="none" w:sz="0" w:space="0" w:color="auto"/>
        <w:bottom w:val="none" w:sz="0" w:space="0" w:color="auto"/>
        <w:right w:val="none" w:sz="0" w:space="0" w:color="auto"/>
      </w:divBdr>
    </w:div>
    <w:div w:id="1258830779">
      <w:bodyDiv w:val="1"/>
      <w:marLeft w:val="0"/>
      <w:marRight w:val="0"/>
      <w:marTop w:val="0"/>
      <w:marBottom w:val="0"/>
      <w:divBdr>
        <w:top w:val="none" w:sz="0" w:space="0" w:color="auto"/>
        <w:left w:val="none" w:sz="0" w:space="0" w:color="auto"/>
        <w:bottom w:val="none" w:sz="0" w:space="0" w:color="auto"/>
        <w:right w:val="none" w:sz="0" w:space="0" w:color="auto"/>
      </w:divBdr>
    </w:div>
    <w:div w:id="1347944863">
      <w:bodyDiv w:val="1"/>
      <w:marLeft w:val="0"/>
      <w:marRight w:val="0"/>
      <w:marTop w:val="0"/>
      <w:marBottom w:val="0"/>
      <w:divBdr>
        <w:top w:val="none" w:sz="0" w:space="0" w:color="auto"/>
        <w:left w:val="none" w:sz="0" w:space="0" w:color="auto"/>
        <w:bottom w:val="none" w:sz="0" w:space="0" w:color="auto"/>
        <w:right w:val="none" w:sz="0" w:space="0" w:color="auto"/>
      </w:divBdr>
    </w:div>
    <w:div w:id="1576083674">
      <w:bodyDiv w:val="1"/>
      <w:marLeft w:val="0"/>
      <w:marRight w:val="0"/>
      <w:marTop w:val="0"/>
      <w:marBottom w:val="0"/>
      <w:divBdr>
        <w:top w:val="none" w:sz="0" w:space="0" w:color="auto"/>
        <w:left w:val="none" w:sz="0" w:space="0" w:color="auto"/>
        <w:bottom w:val="none" w:sz="0" w:space="0" w:color="auto"/>
        <w:right w:val="none" w:sz="0" w:space="0" w:color="auto"/>
      </w:divBdr>
    </w:div>
    <w:div w:id="1601988573">
      <w:bodyDiv w:val="1"/>
      <w:marLeft w:val="0"/>
      <w:marRight w:val="0"/>
      <w:marTop w:val="0"/>
      <w:marBottom w:val="0"/>
      <w:divBdr>
        <w:top w:val="none" w:sz="0" w:space="0" w:color="auto"/>
        <w:left w:val="none" w:sz="0" w:space="0" w:color="auto"/>
        <w:bottom w:val="none" w:sz="0" w:space="0" w:color="auto"/>
        <w:right w:val="none" w:sz="0" w:space="0" w:color="auto"/>
      </w:divBdr>
    </w:div>
    <w:div w:id="1611663562">
      <w:bodyDiv w:val="1"/>
      <w:marLeft w:val="0"/>
      <w:marRight w:val="0"/>
      <w:marTop w:val="0"/>
      <w:marBottom w:val="0"/>
      <w:divBdr>
        <w:top w:val="none" w:sz="0" w:space="0" w:color="auto"/>
        <w:left w:val="none" w:sz="0" w:space="0" w:color="auto"/>
        <w:bottom w:val="none" w:sz="0" w:space="0" w:color="auto"/>
        <w:right w:val="none" w:sz="0" w:space="0" w:color="auto"/>
      </w:divBdr>
    </w:div>
    <w:div w:id="1641300581">
      <w:bodyDiv w:val="1"/>
      <w:marLeft w:val="0"/>
      <w:marRight w:val="0"/>
      <w:marTop w:val="0"/>
      <w:marBottom w:val="0"/>
      <w:divBdr>
        <w:top w:val="none" w:sz="0" w:space="0" w:color="auto"/>
        <w:left w:val="none" w:sz="0" w:space="0" w:color="auto"/>
        <w:bottom w:val="none" w:sz="0" w:space="0" w:color="auto"/>
        <w:right w:val="none" w:sz="0" w:space="0" w:color="auto"/>
      </w:divBdr>
    </w:div>
    <w:div w:id="1654525825">
      <w:bodyDiv w:val="1"/>
      <w:marLeft w:val="0"/>
      <w:marRight w:val="0"/>
      <w:marTop w:val="0"/>
      <w:marBottom w:val="0"/>
      <w:divBdr>
        <w:top w:val="none" w:sz="0" w:space="0" w:color="auto"/>
        <w:left w:val="none" w:sz="0" w:space="0" w:color="auto"/>
        <w:bottom w:val="none" w:sz="0" w:space="0" w:color="auto"/>
        <w:right w:val="none" w:sz="0" w:space="0" w:color="auto"/>
      </w:divBdr>
    </w:div>
    <w:div w:id="1663584123">
      <w:bodyDiv w:val="1"/>
      <w:marLeft w:val="0"/>
      <w:marRight w:val="0"/>
      <w:marTop w:val="0"/>
      <w:marBottom w:val="0"/>
      <w:divBdr>
        <w:top w:val="none" w:sz="0" w:space="0" w:color="auto"/>
        <w:left w:val="none" w:sz="0" w:space="0" w:color="auto"/>
        <w:bottom w:val="none" w:sz="0" w:space="0" w:color="auto"/>
        <w:right w:val="none" w:sz="0" w:space="0" w:color="auto"/>
      </w:divBdr>
      <w:divsChild>
        <w:div w:id="96681516">
          <w:blockQuote w:val="1"/>
          <w:marLeft w:val="720"/>
          <w:marRight w:val="720"/>
          <w:marTop w:val="100"/>
          <w:marBottom w:val="100"/>
          <w:divBdr>
            <w:top w:val="none" w:sz="0" w:space="0" w:color="auto"/>
            <w:left w:val="none" w:sz="0" w:space="0" w:color="auto"/>
            <w:bottom w:val="none" w:sz="0" w:space="0" w:color="auto"/>
            <w:right w:val="none" w:sz="0" w:space="0" w:color="auto"/>
          </w:divBdr>
        </w:div>
        <w:div w:id="822165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698179">
      <w:bodyDiv w:val="1"/>
      <w:marLeft w:val="0"/>
      <w:marRight w:val="0"/>
      <w:marTop w:val="0"/>
      <w:marBottom w:val="0"/>
      <w:divBdr>
        <w:top w:val="none" w:sz="0" w:space="0" w:color="auto"/>
        <w:left w:val="none" w:sz="0" w:space="0" w:color="auto"/>
        <w:bottom w:val="none" w:sz="0" w:space="0" w:color="auto"/>
        <w:right w:val="none" w:sz="0" w:space="0" w:color="auto"/>
      </w:divBdr>
    </w:div>
    <w:div w:id="1709455994">
      <w:bodyDiv w:val="1"/>
      <w:marLeft w:val="0"/>
      <w:marRight w:val="0"/>
      <w:marTop w:val="0"/>
      <w:marBottom w:val="0"/>
      <w:divBdr>
        <w:top w:val="none" w:sz="0" w:space="0" w:color="auto"/>
        <w:left w:val="none" w:sz="0" w:space="0" w:color="auto"/>
        <w:bottom w:val="none" w:sz="0" w:space="0" w:color="auto"/>
        <w:right w:val="none" w:sz="0" w:space="0" w:color="auto"/>
      </w:divBdr>
    </w:div>
    <w:div w:id="1721048819">
      <w:bodyDiv w:val="1"/>
      <w:marLeft w:val="0"/>
      <w:marRight w:val="0"/>
      <w:marTop w:val="0"/>
      <w:marBottom w:val="0"/>
      <w:divBdr>
        <w:top w:val="none" w:sz="0" w:space="0" w:color="auto"/>
        <w:left w:val="none" w:sz="0" w:space="0" w:color="auto"/>
        <w:bottom w:val="none" w:sz="0" w:space="0" w:color="auto"/>
        <w:right w:val="none" w:sz="0" w:space="0" w:color="auto"/>
      </w:divBdr>
    </w:div>
    <w:div w:id="1757938184">
      <w:bodyDiv w:val="1"/>
      <w:marLeft w:val="0"/>
      <w:marRight w:val="0"/>
      <w:marTop w:val="0"/>
      <w:marBottom w:val="0"/>
      <w:divBdr>
        <w:top w:val="none" w:sz="0" w:space="0" w:color="auto"/>
        <w:left w:val="none" w:sz="0" w:space="0" w:color="auto"/>
        <w:bottom w:val="none" w:sz="0" w:space="0" w:color="auto"/>
        <w:right w:val="none" w:sz="0" w:space="0" w:color="auto"/>
      </w:divBdr>
    </w:div>
    <w:div w:id="1831479072">
      <w:bodyDiv w:val="1"/>
      <w:marLeft w:val="0"/>
      <w:marRight w:val="0"/>
      <w:marTop w:val="0"/>
      <w:marBottom w:val="0"/>
      <w:divBdr>
        <w:top w:val="none" w:sz="0" w:space="0" w:color="auto"/>
        <w:left w:val="none" w:sz="0" w:space="0" w:color="auto"/>
        <w:bottom w:val="none" w:sz="0" w:space="0" w:color="auto"/>
        <w:right w:val="none" w:sz="0" w:space="0" w:color="auto"/>
      </w:divBdr>
    </w:div>
    <w:div w:id="1841309840">
      <w:bodyDiv w:val="1"/>
      <w:marLeft w:val="0"/>
      <w:marRight w:val="0"/>
      <w:marTop w:val="0"/>
      <w:marBottom w:val="0"/>
      <w:divBdr>
        <w:top w:val="none" w:sz="0" w:space="0" w:color="auto"/>
        <w:left w:val="none" w:sz="0" w:space="0" w:color="auto"/>
        <w:bottom w:val="none" w:sz="0" w:space="0" w:color="auto"/>
        <w:right w:val="none" w:sz="0" w:space="0" w:color="auto"/>
      </w:divBdr>
    </w:div>
    <w:div w:id="1841577366">
      <w:bodyDiv w:val="1"/>
      <w:marLeft w:val="0"/>
      <w:marRight w:val="0"/>
      <w:marTop w:val="0"/>
      <w:marBottom w:val="0"/>
      <w:divBdr>
        <w:top w:val="none" w:sz="0" w:space="0" w:color="auto"/>
        <w:left w:val="none" w:sz="0" w:space="0" w:color="auto"/>
        <w:bottom w:val="none" w:sz="0" w:space="0" w:color="auto"/>
        <w:right w:val="none" w:sz="0" w:space="0" w:color="auto"/>
      </w:divBdr>
    </w:div>
    <w:div w:id="1842815716">
      <w:bodyDiv w:val="1"/>
      <w:marLeft w:val="0"/>
      <w:marRight w:val="0"/>
      <w:marTop w:val="0"/>
      <w:marBottom w:val="0"/>
      <w:divBdr>
        <w:top w:val="none" w:sz="0" w:space="0" w:color="auto"/>
        <w:left w:val="none" w:sz="0" w:space="0" w:color="auto"/>
        <w:bottom w:val="none" w:sz="0" w:space="0" w:color="auto"/>
        <w:right w:val="none" w:sz="0" w:space="0" w:color="auto"/>
      </w:divBdr>
    </w:div>
    <w:div w:id="1847092306">
      <w:bodyDiv w:val="1"/>
      <w:marLeft w:val="0"/>
      <w:marRight w:val="0"/>
      <w:marTop w:val="0"/>
      <w:marBottom w:val="0"/>
      <w:divBdr>
        <w:top w:val="none" w:sz="0" w:space="0" w:color="auto"/>
        <w:left w:val="none" w:sz="0" w:space="0" w:color="auto"/>
        <w:bottom w:val="none" w:sz="0" w:space="0" w:color="auto"/>
        <w:right w:val="none" w:sz="0" w:space="0" w:color="auto"/>
      </w:divBdr>
    </w:div>
    <w:div w:id="1880162414">
      <w:bodyDiv w:val="1"/>
      <w:marLeft w:val="0"/>
      <w:marRight w:val="0"/>
      <w:marTop w:val="0"/>
      <w:marBottom w:val="0"/>
      <w:divBdr>
        <w:top w:val="none" w:sz="0" w:space="0" w:color="auto"/>
        <w:left w:val="none" w:sz="0" w:space="0" w:color="auto"/>
        <w:bottom w:val="none" w:sz="0" w:space="0" w:color="auto"/>
        <w:right w:val="none" w:sz="0" w:space="0" w:color="auto"/>
      </w:divBdr>
    </w:div>
    <w:div w:id="1900749140">
      <w:bodyDiv w:val="1"/>
      <w:marLeft w:val="0"/>
      <w:marRight w:val="0"/>
      <w:marTop w:val="0"/>
      <w:marBottom w:val="0"/>
      <w:divBdr>
        <w:top w:val="none" w:sz="0" w:space="0" w:color="auto"/>
        <w:left w:val="none" w:sz="0" w:space="0" w:color="auto"/>
        <w:bottom w:val="none" w:sz="0" w:space="0" w:color="auto"/>
        <w:right w:val="none" w:sz="0" w:space="0" w:color="auto"/>
      </w:divBdr>
    </w:div>
    <w:div w:id="1905603036">
      <w:bodyDiv w:val="1"/>
      <w:marLeft w:val="0"/>
      <w:marRight w:val="0"/>
      <w:marTop w:val="0"/>
      <w:marBottom w:val="0"/>
      <w:divBdr>
        <w:top w:val="none" w:sz="0" w:space="0" w:color="auto"/>
        <w:left w:val="none" w:sz="0" w:space="0" w:color="auto"/>
        <w:bottom w:val="none" w:sz="0" w:space="0" w:color="auto"/>
        <w:right w:val="none" w:sz="0" w:space="0" w:color="auto"/>
      </w:divBdr>
    </w:div>
    <w:div w:id="1945916047">
      <w:bodyDiv w:val="1"/>
      <w:marLeft w:val="0"/>
      <w:marRight w:val="0"/>
      <w:marTop w:val="0"/>
      <w:marBottom w:val="0"/>
      <w:divBdr>
        <w:top w:val="none" w:sz="0" w:space="0" w:color="auto"/>
        <w:left w:val="none" w:sz="0" w:space="0" w:color="auto"/>
        <w:bottom w:val="none" w:sz="0" w:space="0" w:color="auto"/>
        <w:right w:val="none" w:sz="0" w:space="0" w:color="auto"/>
      </w:divBdr>
    </w:div>
    <w:div w:id="1996179011">
      <w:bodyDiv w:val="1"/>
      <w:marLeft w:val="0"/>
      <w:marRight w:val="0"/>
      <w:marTop w:val="0"/>
      <w:marBottom w:val="0"/>
      <w:divBdr>
        <w:top w:val="none" w:sz="0" w:space="0" w:color="auto"/>
        <w:left w:val="none" w:sz="0" w:space="0" w:color="auto"/>
        <w:bottom w:val="none" w:sz="0" w:space="0" w:color="auto"/>
        <w:right w:val="none" w:sz="0" w:space="0" w:color="auto"/>
      </w:divBdr>
    </w:div>
    <w:div w:id="2022471539">
      <w:marLeft w:val="0"/>
      <w:marRight w:val="0"/>
      <w:marTop w:val="0"/>
      <w:marBottom w:val="0"/>
      <w:divBdr>
        <w:top w:val="none" w:sz="0" w:space="0" w:color="auto"/>
        <w:left w:val="none" w:sz="0" w:space="0" w:color="auto"/>
        <w:bottom w:val="none" w:sz="0" w:space="0" w:color="auto"/>
        <w:right w:val="none" w:sz="0" w:space="0" w:color="auto"/>
      </w:divBdr>
    </w:div>
    <w:div w:id="2022471540">
      <w:marLeft w:val="0"/>
      <w:marRight w:val="0"/>
      <w:marTop w:val="0"/>
      <w:marBottom w:val="0"/>
      <w:divBdr>
        <w:top w:val="none" w:sz="0" w:space="0" w:color="auto"/>
        <w:left w:val="none" w:sz="0" w:space="0" w:color="auto"/>
        <w:bottom w:val="none" w:sz="0" w:space="0" w:color="auto"/>
        <w:right w:val="none" w:sz="0" w:space="0" w:color="auto"/>
      </w:divBdr>
    </w:div>
    <w:div w:id="2022471541">
      <w:marLeft w:val="0"/>
      <w:marRight w:val="0"/>
      <w:marTop w:val="0"/>
      <w:marBottom w:val="0"/>
      <w:divBdr>
        <w:top w:val="none" w:sz="0" w:space="0" w:color="auto"/>
        <w:left w:val="none" w:sz="0" w:space="0" w:color="auto"/>
        <w:bottom w:val="none" w:sz="0" w:space="0" w:color="auto"/>
        <w:right w:val="none" w:sz="0" w:space="0" w:color="auto"/>
      </w:divBdr>
    </w:div>
    <w:div w:id="2022471543">
      <w:marLeft w:val="0"/>
      <w:marRight w:val="0"/>
      <w:marTop w:val="0"/>
      <w:marBottom w:val="0"/>
      <w:divBdr>
        <w:top w:val="none" w:sz="0" w:space="0" w:color="auto"/>
        <w:left w:val="none" w:sz="0" w:space="0" w:color="auto"/>
        <w:bottom w:val="none" w:sz="0" w:space="0" w:color="auto"/>
        <w:right w:val="none" w:sz="0" w:space="0" w:color="auto"/>
      </w:divBdr>
    </w:div>
    <w:div w:id="2022471554">
      <w:marLeft w:val="0"/>
      <w:marRight w:val="0"/>
      <w:marTop w:val="0"/>
      <w:marBottom w:val="0"/>
      <w:divBdr>
        <w:top w:val="none" w:sz="0" w:space="0" w:color="auto"/>
        <w:left w:val="none" w:sz="0" w:space="0" w:color="auto"/>
        <w:bottom w:val="none" w:sz="0" w:space="0" w:color="auto"/>
        <w:right w:val="none" w:sz="0" w:space="0" w:color="auto"/>
      </w:divBdr>
    </w:div>
    <w:div w:id="2022471557">
      <w:marLeft w:val="0"/>
      <w:marRight w:val="0"/>
      <w:marTop w:val="0"/>
      <w:marBottom w:val="0"/>
      <w:divBdr>
        <w:top w:val="none" w:sz="0" w:space="0" w:color="auto"/>
        <w:left w:val="none" w:sz="0" w:space="0" w:color="auto"/>
        <w:bottom w:val="none" w:sz="0" w:space="0" w:color="auto"/>
        <w:right w:val="none" w:sz="0" w:space="0" w:color="auto"/>
      </w:divBdr>
    </w:div>
    <w:div w:id="2022471563">
      <w:marLeft w:val="0"/>
      <w:marRight w:val="0"/>
      <w:marTop w:val="0"/>
      <w:marBottom w:val="0"/>
      <w:divBdr>
        <w:top w:val="none" w:sz="0" w:space="0" w:color="auto"/>
        <w:left w:val="none" w:sz="0" w:space="0" w:color="auto"/>
        <w:bottom w:val="none" w:sz="0" w:space="0" w:color="auto"/>
        <w:right w:val="none" w:sz="0" w:space="0" w:color="auto"/>
      </w:divBdr>
    </w:div>
    <w:div w:id="2022471570">
      <w:marLeft w:val="0"/>
      <w:marRight w:val="0"/>
      <w:marTop w:val="0"/>
      <w:marBottom w:val="0"/>
      <w:divBdr>
        <w:top w:val="none" w:sz="0" w:space="0" w:color="auto"/>
        <w:left w:val="none" w:sz="0" w:space="0" w:color="auto"/>
        <w:bottom w:val="none" w:sz="0" w:space="0" w:color="auto"/>
        <w:right w:val="none" w:sz="0" w:space="0" w:color="auto"/>
      </w:divBdr>
    </w:div>
    <w:div w:id="2022471585">
      <w:marLeft w:val="0"/>
      <w:marRight w:val="0"/>
      <w:marTop w:val="0"/>
      <w:marBottom w:val="0"/>
      <w:divBdr>
        <w:top w:val="none" w:sz="0" w:space="0" w:color="auto"/>
        <w:left w:val="none" w:sz="0" w:space="0" w:color="auto"/>
        <w:bottom w:val="none" w:sz="0" w:space="0" w:color="auto"/>
        <w:right w:val="none" w:sz="0" w:space="0" w:color="auto"/>
      </w:divBdr>
      <w:divsChild>
        <w:div w:id="2022471544">
          <w:marLeft w:val="0"/>
          <w:marRight w:val="0"/>
          <w:marTop w:val="0"/>
          <w:marBottom w:val="0"/>
          <w:divBdr>
            <w:top w:val="none" w:sz="0" w:space="0" w:color="auto"/>
            <w:left w:val="none" w:sz="0" w:space="0" w:color="auto"/>
            <w:bottom w:val="none" w:sz="0" w:space="0" w:color="auto"/>
            <w:right w:val="none" w:sz="0" w:space="0" w:color="auto"/>
          </w:divBdr>
          <w:divsChild>
            <w:div w:id="2022471571">
              <w:marLeft w:val="0"/>
              <w:marRight w:val="0"/>
              <w:marTop w:val="0"/>
              <w:marBottom w:val="0"/>
              <w:divBdr>
                <w:top w:val="none" w:sz="0" w:space="0" w:color="auto"/>
                <w:left w:val="none" w:sz="0" w:space="0" w:color="auto"/>
                <w:bottom w:val="none" w:sz="0" w:space="0" w:color="auto"/>
                <w:right w:val="none" w:sz="0" w:space="0" w:color="auto"/>
              </w:divBdr>
              <w:divsChild>
                <w:div w:id="2022471577">
                  <w:marLeft w:val="0"/>
                  <w:marRight w:val="0"/>
                  <w:marTop w:val="0"/>
                  <w:marBottom w:val="0"/>
                  <w:divBdr>
                    <w:top w:val="none" w:sz="0" w:space="0" w:color="auto"/>
                    <w:left w:val="none" w:sz="0" w:space="0" w:color="auto"/>
                    <w:bottom w:val="none" w:sz="0" w:space="0" w:color="auto"/>
                    <w:right w:val="none" w:sz="0" w:space="0" w:color="auto"/>
                  </w:divBdr>
                  <w:divsChild>
                    <w:div w:id="2022471547">
                      <w:marLeft w:val="0"/>
                      <w:marRight w:val="0"/>
                      <w:marTop w:val="0"/>
                      <w:marBottom w:val="0"/>
                      <w:divBdr>
                        <w:top w:val="none" w:sz="0" w:space="0" w:color="auto"/>
                        <w:left w:val="none" w:sz="0" w:space="0" w:color="auto"/>
                        <w:bottom w:val="none" w:sz="0" w:space="0" w:color="auto"/>
                        <w:right w:val="none" w:sz="0" w:space="0" w:color="auto"/>
                      </w:divBdr>
                    </w:div>
                    <w:div w:id="20224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45">
          <w:marLeft w:val="0"/>
          <w:marRight w:val="0"/>
          <w:marTop w:val="0"/>
          <w:marBottom w:val="0"/>
          <w:divBdr>
            <w:top w:val="none" w:sz="0" w:space="0" w:color="auto"/>
            <w:left w:val="none" w:sz="0" w:space="0" w:color="auto"/>
            <w:bottom w:val="none" w:sz="0" w:space="0" w:color="auto"/>
            <w:right w:val="none" w:sz="0" w:space="0" w:color="auto"/>
          </w:divBdr>
          <w:divsChild>
            <w:div w:id="2022471587">
              <w:marLeft w:val="0"/>
              <w:marRight w:val="0"/>
              <w:marTop w:val="0"/>
              <w:marBottom w:val="0"/>
              <w:divBdr>
                <w:top w:val="none" w:sz="0" w:space="0" w:color="auto"/>
                <w:left w:val="none" w:sz="0" w:space="0" w:color="auto"/>
                <w:bottom w:val="none" w:sz="0" w:space="0" w:color="auto"/>
                <w:right w:val="none" w:sz="0" w:space="0" w:color="auto"/>
              </w:divBdr>
              <w:divsChild>
                <w:div w:id="2022471566">
                  <w:marLeft w:val="0"/>
                  <w:marRight w:val="0"/>
                  <w:marTop w:val="0"/>
                  <w:marBottom w:val="0"/>
                  <w:divBdr>
                    <w:top w:val="none" w:sz="0" w:space="0" w:color="auto"/>
                    <w:left w:val="none" w:sz="0" w:space="0" w:color="auto"/>
                    <w:bottom w:val="none" w:sz="0" w:space="0" w:color="auto"/>
                    <w:right w:val="none" w:sz="0" w:space="0" w:color="auto"/>
                  </w:divBdr>
                  <w:divsChild>
                    <w:div w:id="20224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48">
          <w:marLeft w:val="0"/>
          <w:marRight w:val="0"/>
          <w:marTop w:val="0"/>
          <w:marBottom w:val="0"/>
          <w:divBdr>
            <w:top w:val="none" w:sz="0" w:space="0" w:color="auto"/>
            <w:left w:val="none" w:sz="0" w:space="0" w:color="auto"/>
            <w:bottom w:val="none" w:sz="0" w:space="0" w:color="auto"/>
            <w:right w:val="none" w:sz="0" w:space="0" w:color="auto"/>
          </w:divBdr>
        </w:div>
        <w:div w:id="2022471551">
          <w:marLeft w:val="0"/>
          <w:marRight w:val="0"/>
          <w:marTop w:val="0"/>
          <w:marBottom w:val="0"/>
          <w:divBdr>
            <w:top w:val="none" w:sz="0" w:space="0" w:color="auto"/>
            <w:left w:val="none" w:sz="0" w:space="0" w:color="auto"/>
            <w:bottom w:val="none" w:sz="0" w:space="0" w:color="auto"/>
            <w:right w:val="none" w:sz="0" w:space="0" w:color="auto"/>
          </w:divBdr>
          <w:divsChild>
            <w:div w:id="2022471561">
              <w:marLeft w:val="0"/>
              <w:marRight w:val="0"/>
              <w:marTop w:val="0"/>
              <w:marBottom w:val="0"/>
              <w:divBdr>
                <w:top w:val="none" w:sz="0" w:space="0" w:color="auto"/>
                <w:left w:val="none" w:sz="0" w:space="0" w:color="auto"/>
                <w:bottom w:val="none" w:sz="0" w:space="0" w:color="auto"/>
                <w:right w:val="none" w:sz="0" w:space="0" w:color="auto"/>
              </w:divBdr>
              <w:divsChild>
                <w:div w:id="2022471584">
                  <w:marLeft w:val="0"/>
                  <w:marRight w:val="0"/>
                  <w:marTop w:val="0"/>
                  <w:marBottom w:val="0"/>
                  <w:divBdr>
                    <w:top w:val="none" w:sz="0" w:space="0" w:color="auto"/>
                    <w:left w:val="none" w:sz="0" w:space="0" w:color="auto"/>
                    <w:bottom w:val="none" w:sz="0" w:space="0" w:color="auto"/>
                    <w:right w:val="none" w:sz="0" w:space="0" w:color="auto"/>
                  </w:divBdr>
                  <w:divsChild>
                    <w:div w:id="2022471564">
                      <w:marLeft w:val="0"/>
                      <w:marRight w:val="0"/>
                      <w:marTop w:val="0"/>
                      <w:marBottom w:val="0"/>
                      <w:divBdr>
                        <w:top w:val="none" w:sz="0" w:space="0" w:color="auto"/>
                        <w:left w:val="none" w:sz="0" w:space="0" w:color="auto"/>
                        <w:bottom w:val="none" w:sz="0" w:space="0" w:color="auto"/>
                        <w:right w:val="none" w:sz="0" w:space="0" w:color="auto"/>
                      </w:divBdr>
                    </w:div>
                    <w:div w:id="2022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52">
          <w:marLeft w:val="0"/>
          <w:marRight w:val="0"/>
          <w:marTop w:val="0"/>
          <w:marBottom w:val="0"/>
          <w:divBdr>
            <w:top w:val="none" w:sz="0" w:space="0" w:color="auto"/>
            <w:left w:val="none" w:sz="0" w:space="0" w:color="auto"/>
            <w:bottom w:val="none" w:sz="0" w:space="0" w:color="auto"/>
            <w:right w:val="none" w:sz="0" w:space="0" w:color="auto"/>
          </w:divBdr>
        </w:div>
        <w:div w:id="2022471553">
          <w:marLeft w:val="0"/>
          <w:marRight w:val="0"/>
          <w:marTop w:val="0"/>
          <w:marBottom w:val="0"/>
          <w:divBdr>
            <w:top w:val="none" w:sz="0" w:space="0" w:color="auto"/>
            <w:left w:val="none" w:sz="0" w:space="0" w:color="auto"/>
            <w:bottom w:val="none" w:sz="0" w:space="0" w:color="auto"/>
            <w:right w:val="none" w:sz="0" w:space="0" w:color="auto"/>
          </w:divBdr>
        </w:div>
        <w:div w:id="2022471560">
          <w:marLeft w:val="0"/>
          <w:marRight w:val="0"/>
          <w:marTop w:val="0"/>
          <w:marBottom w:val="0"/>
          <w:divBdr>
            <w:top w:val="none" w:sz="0" w:space="0" w:color="auto"/>
            <w:left w:val="none" w:sz="0" w:space="0" w:color="auto"/>
            <w:bottom w:val="none" w:sz="0" w:space="0" w:color="auto"/>
            <w:right w:val="none" w:sz="0" w:space="0" w:color="auto"/>
          </w:divBdr>
          <w:divsChild>
            <w:div w:id="2022471569">
              <w:marLeft w:val="0"/>
              <w:marRight w:val="0"/>
              <w:marTop w:val="0"/>
              <w:marBottom w:val="0"/>
              <w:divBdr>
                <w:top w:val="none" w:sz="0" w:space="0" w:color="auto"/>
                <w:left w:val="none" w:sz="0" w:space="0" w:color="auto"/>
                <w:bottom w:val="none" w:sz="0" w:space="0" w:color="auto"/>
                <w:right w:val="none" w:sz="0" w:space="0" w:color="auto"/>
              </w:divBdr>
              <w:divsChild>
                <w:div w:id="2022471579">
                  <w:marLeft w:val="0"/>
                  <w:marRight w:val="0"/>
                  <w:marTop w:val="0"/>
                  <w:marBottom w:val="0"/>
                  <w:divBdr>
                    <w:top w:val="none" w:sz="0" w:space="0" w:color="auto"/>
                    <w:left w:val="none" w:sz="0" w:space="0" w:color="auto"/>
                    <w:bottom w:val="none" w:sz="0" w:space="0" w:color="auto"/>
                    <w:right w:val="none" w:sz="0" w:space="0" w:color="auto"/>
                  </w:divBdr>
                  <w:divsChild>
                    <w:div w:id="20224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62">
          <w:marLeft w:val="0"/>
          <w:marRight w:val="0"/>
          <w:marTop w:val="0"/>
          <w:marBottom w:val="0"/>
          <w:divBdr>
            <w:top w:val="none" w:sz="0" w:space="0" w:color="auto"/>
            <w:left w:val="none" w:sz="0" w:space="0" w:color="auto"/>
            <w:bottom w:val="none" w:sz="0" w:space="0" w:color="auto"/>
            <w:right w:val="none" w:sz="0" w:space="0" w:color="auto"/>
          </w:divBdr>
          <w:divsChild>
            <w:div w:id="2022471578">
              <w:marLeft w:val="0"/>
              <w:marRight w:val="0"/>
              <w:marTop w:val="0"/>
              <w:marBottom w:val="0"/>
              <w:divBdr>
                <w:top w:val="none" w:sz="0" w:space="0" w:color="auto"/>
                <w:left w:val="none" w:sz="0" w:space="0" w:color="auto"/>
                <w:bottom w:val="none" w:sz="0" w:space="0" w:color="auto"/>
                <w:right w:val="none" w:sz="0" w:space="0" w:color="auto"/>
              </w:divBdr>
              <w:divsChild>
                <w:div w:id="2022471582">
                  <w:marLeft w:val="0"/>
                  <w:marRight w:val="0"/>
                  <w:marTop w:val="0"/>
                  <w:marBottom w:val="0"/>
                  <w:divBdr>
                    <w:top w:val="none" w:sz="0" w:space="0" w:color="auto"/>
                    <w:left w:val="none" w:sz="0" w:space="0" w:color="auto"/>
                    <w:bottom w:val="none" w:sz="0" w:space="0" w:color="auto"/>
                    <w:right w:val="none" w:sz="0" w:space="0" w:color="auto"/>
                  </w:divBdr>
                  <w:divsChild>
                    <w:div w:id="20224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65">
          <w:marLeft w:val="0"/>
          <w:marRight w:val="0"/>
          <w:marTop w:val="0"/>
          <w:marBottom w:val="0"/>
          <w:divBdr>
            <w:top w:val="none" w:sz="0" w:space="0" w:color="auto"/>
            <w:left w:val="none" w:sz="0" w:space="0" w:color="auto"/>
            <w:bottom w:val="none" w:sz="0" w:space="0" w:color="auto"/>
            <w:right w:val="none" w:sz="0" w:space="0" w:color="auto"/>
          </w:divBdr>
        </w:div>
        <w:div w:id="2022471567">
          <w:marLeft w:val="0"/>
          <w:marRight w:val="0"/>
          <w:marTop w:val="0"/>
          <w:marBottom w:val="0"/>
          <w:divBdr>
            <w:top w:val="none" w:sz="0" w:space="0" w:color="auto"/>
            <w:left w:val="none" w:sz="0" w:space="0" w:color="auto"/>
            <w:bottom w:val="none" w:sz="0" w:space="0" w:color="auto"/>
            <w:right w:val="none" w:sz="0" w:space="0" w:color="auto"/>
          </w:divBdr>
        </w:div>
        <w:div w:id="2022471572">
          <w:marLeft w:val="0"/>
          <w:marRight w:val="0"/>
          <w:marTop w:val="0"/>
          <w:marBottom w:val="0"/>
          <w:divBdr>
            <w:top w:val="none" w:sz="0" w:space="0" w:color="auto"/>
            <w:left w:val="none" w:sz="0" w:space="0" w:color="auto"/>
            <w:bottom w:val="none" w:sz="0" w:space="0" w:color="auto"/>
            <w:right w:val="none" w:sz="0" w:space="0" w:color="auto"/>
          </w:divBdr>
        </w:div>
        <w:div w:id="2022471573">
          <w:marLeft w:val="0"/>
          <w:marRight w:val="0"/>
          <w:marTop w:val="0"/>
          <w:marBottom w:val="0"/>
          <w:divBdr>
            <w:top w:val="none" w:sz="0" w:space="0" w:color="auto"/>
            <w:left w:val="none" w:sz="0" w:space="0" w:color="auto"/>
            <w:bottom w:val="none" w:sz="0" w:space="0" w:color="auto"/>
            <w:right w:val="none" w:sz="0" w:space="0" w:color="auto"/>
          </w:divBdr>
          <w:divsChild>
            <w:div w:id="2022471549">
              <w:marLeft w:val="0"/>
              <w:marRight w:val="0"/>
              <w:marTop w:val="0"/>
              <w:marBottom w:val="0"/>
              <w:divBdr>
                <w:top w:val="none" w:sz="0" w:space="0" w:color="auto"/>
                <w:left w:val="none" w:sz="0" w:space="0" w:color="auto"/>
                <w:bottom w:val="none" w:sz="0" w:space="0" w:color="auto"/>
                <w:right w:val="none" w:sz="0" w:space="0" w:color="auto"/>
              </w:divBdr>
              <w:divsChild>
                <w:div w:id="2022471580">
                  <w:marLeft w:val="0"/>
                  <w:marRight w:val="0"/>
                  <w:marTop w:val="0"/>
                  <w:marBottom w:val="0"/>
                  <w:divBdr>
                    <w:top w:val="none" w:sz="0" w:space="0" w:color="auto"/>
                    <w:left w:val="none" w:sz="0" w:space="0" w:color="auto"/>
                    <w:bottom w:val="none" w:sz="0" w:space="0" w:color="auto"/>
                    <w:right w:val="none" w:sz="0" w:space="0" w:color="auto"/>
                  </w:divBdr>
                  <w:divsChild>
                    <w:div w:id="2022471542">
                      <w:marLeft w:val="0"/>
                      <w:marRight w:val="0"/>
                      <w:marTop w:val="0"/>
                      <w:marBottom w:val="0"/>
                      <w:divBdr>
                        <w:top w:val="none" w:sz="0" w:space="0" w:color="auto"/>
                        <w:left w:val="none" w:sz="0" w:space="0" w:color="auto"/>
                        <w:bottom w:val="none" w:sz="0" w:space="0" w:color="auto"/>
                        <w:right w:val="none" w:sz="0" w:space="0" w:color="auto"/>
                      </w:divBdr>
                    </w:div>
                    <w:div w:id="20224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74">
          <w:marLeft w:val="0"/>
          <w:marRight w:val="0"/>
          <w:marTop w:val="0"/>
          <w:marBottom w:val="0"/>
          <w:divBdr>
            <w:top w:val="none" w:sz="0" w:space="0" w:color="auto"/>
            <w:left w:val="none" w:sz="0" w:space="0" w:color="auto"/>
            <w:bottom w:val="none" w:sz="0" w:space="0" w:color="auto"/>
            <w:right w:val="none" w:sz="0" w:space="0" w:color="auto"/>
          </w:divBdr>
          <w:divsChild>
            <w:div w:id="2022471581">
              <w:marLeft w:val="0"/>
              <w:marRight w:val="0"/>
              <w:marTop w:val="0"/>
              <w:marBottom w:val="0"/>
              <w:divBdr>
                <w:top w:val="none" w:sz="0" w:space="0" w:color="auto"/>
                <w:left w:val="none" w:sz="0" w:space="0" w:color="auto"/>
                <w:bottom w:val="none" w:sz="0" w:space="0" w:color="auto"/>
                <w:right w:val="none" w:sz="0" w:space="0" w:color="auto"/>
              </w:divBdr>
              <w:divsChild>
                <w:div w:id="2022471556">
                  <w:marLeft w:val="0"/>
                  <w:marRight w:val="0"/>
                  <w:marTop w:val="0"/>
                  <w:marBottom w:val="0"/>
                  <w:divBdr>
                    <w:top w:val="none" w:sz="0" w:space="0" w:color="auto"/>
                    <w:left w:val="none" w:sz="0" w:space="0" w:color="auto"/>
                    <w:bottom w:val="none" w:sz="0" w:space="0" w:color="auto"/>
                    <w:right w:val="none" w:sz="0" w:space="0" w:color="auto"/>
                  </w:divBdr>
                  <w:divsChild>
                    <w:div w:id="20224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89">
          <w:marLeft w:val="0"/>
          <w:marRight w:val="0"/>
          <w:marTop w:val="0"/>
          <w:marBottom w:val="0"/>
          <w:divBdr>
            <w:top w:val="none" w:sz="0" w:space="0" w:color="auto"/>
            <w:left w:val="none" w:sz="0" w:space="0" w:color="auto"/>
            <w:bottom w:val="none" w:sz="0" w:space="0" w:color="auto"/>
            <w:right w:val="none" w:sz="0" w:space="0" w:color="auto"/>
          </w:divBdr>
          <w:divsChild>
            <w:div w:id="2022471583">
              <w:marLeft w:val="0"/>
              <w:marRight w:val="0"/>
              <w:marTop w:val="0"/>
              <w:marBottom w:val="0"/>
              <w:divBdr>
                <w:top w:val="none" w:sz="0" w:space="0" w:color="auto"/>
                <w:left w:val="none" w:sz="0" w:space="0" w:color="auto"/>
                <w:bottom w:val="none" w:sz="0" w:space="0" w:color="auto"/>
                <w:right w:val="none" w:sz="0" w:space="0" w:color="auto"/>
              </w:divBdr>
              <w:divsChild>
                <w:div w:id="2022471575">
                  <w:marLeft w:val="0"/>
                  <w:marRight w:val="0"/>
                  <w:marTop w:val="0"/>
                  <w:marBottom w:val="0"/>
                  <w:divBdr>
                    <w:top w:val="none" w:sz="0" w:space="0" w:color="auto"/>
                    <w:left w:val="none" w:sz="0" w:space="0" w:color="auto"/>
                    <w:bottom w:val="none" w:sz="0" w:space="0" w:color="auto"/>
                    <w:right w:val="none" w:sz="0" w:space="0" w:color="auto"/>
                  </w:divBdr>
                  <w:divsChild>
                    <w:div w:id="20224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90">
          <w:marLeft w:val="0"/>
          <w:marRight w:val="0"/>
          <w:marTop w:val="0"/>
          <w:marBottom w:val="0"/>
          <w:divBdr>
            <w:top w:val="none" w:sz="0" w:space="0" w:color="auto"/>
            <w:left w:val="none" w:sz="0" w:space="0" w:color="auto"/>
            <w:bottom w:val="none" w:sz="0" w:space="0" w:color="auto"/>
            <w:right w:val="none" w:sz="0" w:space="0" w:color="auto"/>
          </w:divBdr>
        </w:div>
      </w:divsChild>
    </w:div>
    <w:div w:id="2022471588">
      <w:marLeft w:val="0"/>
      <w:marRight w:val="0"/>
      <w:marTop w:val="0"/>
      <w:marBottom w:val="0"/>
      <w:divBdr>
        <w:top w:val="none" w:sz="0" w:space="0" w:color="auto"/>
        <w:left w:val="none" w:sz="0" w:space="0" w:color="auto"/>
        <w:bottom w:val="none" w:sz="0" w:space="0" w:color="auto"/>
        <w:right w:val="none" w:sz="0" w:space="0" w:color="auto"/>
      </w:divBdr>
    </w:div>
    <w:div w:id="2022471591">
      <w:marLeft w:val="0"/>
      <w:marRight w:val="0"/>
      <w:marTop w:val="0"/>
      <w:marBottom w:val="0"/>
      <w:divBdr>
        <w:top w:val="none" w:sz="0" w:space="0" w:color="auto"/>
        <w:left w:val="none" w:sz="0" w:space="0" w:color="auto"/>
        <w:bottom w:val="none" w:sz="0" w:space="0" w:color="auto"/>
        <w:right w:val="none" w:sz="0" w:space="0" w:color="auto"/>
      </w:divBdr>
    </w:div>
    <w:div w:id="2022471592">
      <w:marLeft w:val="0"/>
      <w:marRight w:val="0"/>
      <w:marTop w:val="0"/>
      <w:marBottom w:val="0"/>
      <w:divBdr>
        <w:top w:val="none" w:sz="0" w:space="0" w:color="auto"/>
        <w:left w:val="none" w:sz="0" w:space="0" w:color="auto"/>
        <w:bottom w:val="none" w:sz="0" w:space="0" w:color="auto"/>
        <w:right w:val="none" w:sz="0" w:space="0" w:color="auto"/>
      </w:divBdr>
    </w:div>
    <w:div w:id="2022582078">
      <w:bodyDiv w:val="1"/>
      <w:marLeft w:val="0"/>
      <w:marRight w:val="0"/>
      <w:marTop w:val="0"/>
      <w:marBottom w:val="0"/>
      <w:divBdr>
        <w:top w:val="none" w:sz="0" w:space="0" w:color="auto"/>
        <w:left w:val="none" w:sz="0" w:space="0" w:color="auto"/>
        <w:bottom w:val="none" w:sz="0" w:space="0" w:color="auto"/>
        <w:right w:val="none" w:sz="0" w:space="0" w:color="auto"/>
      </w:divBdr>
    </w:div>
    <w:div w:id="2065833763">
      <w:bodyDiv w:val="1"/>
      <w:marLeft w:val="0"/>
      <w:marRight w:val="0"/>
      <w:marTop w:val="0"/>
      <w:marBottom w:val="0"/>
      <w:divBdr>
        <w:top w:val="none" w:sz="0" w:space="0" w:color="auto"/>
        <w:left w:val="none" w:sz="0" w:space="0" w:color="auto"/>
        <w:bottom w:val="none" w:sz="0" w:space="0" w:color="auto"/>
        <w:right w:val="none" w:sz="0" w:space="0" w:color="auto"/>
      </w:divBdr>
    </w:div>
    <w:div w:id="2068607828">
      <w:bodyDiv w:val="1"/>
      <w:marLeft w:val="0"/>
      <w:marRight w:val="0"/>
      <w:marTop w:val="0"/>
      <w:marBottom w:val="0"/>
      <w:divBdr>
        <w:top w:val="none" w:sz="0" w:space="0" w:color="auto"/>
        <w:left w:val="none" w:sz="0" w:space="0" w:color="auto"/>
        <w:bottom w:val="none" w:sz="0" w:space="0" w:color="auto"/>
        <w:right w:val="none" w:sz="0" w:space="0" w:color="auto"/>
      </w:divBdr>
    </w:div>
    <w:div w:id="2082942212">
      <w:bodyDiv w:val="1"/>
      <w:marLeft w:val="0"/>
      <w:marRight w:val="0"/>
      <w:marTop w:val="0"/>
      <w:marBottom w:val="0"/>
      <w:divBdr>
        <w:top w:val="none" w:sz="0" w:space="0" w:color="auto"/>
        <w:left w:val="none" w:sz="0" w:space="0" w:color="auto"/>
        <w:bottom w:val="none" w:sz="0" w:space="0" w:color="auto"/>
        <w:right w:val="none" w:sz="0" w:space="0" w:color="auto"/>
      </w:divBdr>
    </w:div>
    <w:div w:id="2111201008">
      <w:bodyDiv w:val="1"/>
      <w:marLeft w:val="0"/>
      <w:marRight w:val="0"/>
      <w:marTop w:val="0"/>
      <w:marBottom w:val="0"/>
      <w:divBdr>
        <w:top w:val="none" w:sz="0" w:space="0" w:color="auto"/>
        <w:left w:val="none" w:sz="0" w:space="0" w:color="auto"/>
        <w:bottom w:val="none" w:sz="0" w:space="0" w:color="auto"/>
        <w:right w:val="none" w:sz="0" w:space="0" w:color="auto"/>
      </w:divBdr>
    </w:div>
    <w:div w:id="211231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cisions.scc-csc.ca/scc-csc/scc-csc/en/item/19639/index.do" TargetMode="External"/><Relationship Id="rId18" Type="http://schemas.openxmlformats.org/officeDocument/2006/relationships/hyperlink" Target="https://www.saflii.org/za/cases/ZACC/2023/5.html" TargetMode="External"/><Relationship Id="rId26" Type="http://schemas.openxmlformats.org/officeDocument/2006/relationships/hyperlink" Target="https://www.supremecourt.uk/docs/uksc-2021-0027-judgment.pdf" TargetMode="External"/><Relationship Id="rId3" Type="http://schemas.openxmlformats.org/officeDocument/2006/relationships/styles" Target="styles.xml"/><Relationship Id="rId21" Type="http://schemas.openxmlformats.org/officeDocument/2006/relationships/hyperlink" Target="https://www.saflii.org/za/cases/ZACC/2023/1.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upremecourt.uk/cases/docs/uksc-2022-0089-0093-judgment.pdf" TargetMode="External"/><Relationship Id="rId17" Type="http://schemas.openxmlformats.org/officeDocument/2006/relationships/hyperlink" Target="https://www.saflii.org/za/cases/ZACC/2023/7.html" TargetMode="External"/><Relationship Id="rId25" Type="http://schemas.openxmlformats.org/officeDocument/2006/relationships/hyperlink" Target="https://www.supremecourt.gov/opinions/22pdf/21-432_f2bh.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upremecourt.uk/cases/docs/uksc-2020-0002-judgment.pdf" TargetMode="External"/><Relationship Id="rId20" Type="http://schemas.openxmlformats.org/officeDocument/2006/relationships/hyperlink" Target="https://www.supremecourt.uk/docs/uksc-2021-0028-judgment.pdf" TargetMode="External"/><Relationship Id="rId29" Type="http://schemas.openxmlformats.org/officeDocument/2006/relationships/hyperlink" Target="https://www.supremecourt.gov/opinions/22pdf/21-1195_h3c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lii.org/za/cases/ZACC/2023/6.html" TargetMode="External"/><Relationship Id="rId24" Type="http://schemas.openxmlformats.org/officeDocument/2006/relationships/hyperlink" Target="https://www.supremecourt.uk/cases/docs/uksc-2021-0059-judgment.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klii.hk/eng/hk/cases/hkcfa/2023/4.html" TargetMode="External"/><Relationship Id="rId23" Type="http://schemas.openxmlformats.org/officeDocument/2006/relationships/hyperlink" Target="https://www.supremecourt.gov/opinions/22pdf/21-432_f2bh.pdf" TargetMode="External"/><Relationship Id="rId28" Type="http://schemas.openxmlformats.org/officeDocument/2006/relationships/hyperlink" Target="saflii.org/za/cases/ZACC/2023/4.html" TargetMode="External"/><Relationship Id="rId10" Type="http://schemas.openxmlformats.org/officeDocument/2006/relationships/hyperlink" Target="https://www.supremecourt.gov/opinions/22pdf/21-908_n6io.pdf" TargetMode="External"/><Relationship Id="rId19" Type="http://schemas.openxmlformats.org/officeDocument/2006/relationships/hyperlink" Target="https://www.supremecourt.gov/opinions/22pdf/21-846_lkgn.pdf" TargetMode="External"/><Relationship Id="rId31" Type="http://schemas.openxmlformats.org/officeDocument/2006/relationships/hyperlink" Target="https://www.supremecourt.uk/cases/docs/uksc-2020-0056-judgment.pdf" TargetMode="External"/><Relationship Id="rId4" Type="http://schemas.openxmlformats.org/officeDocument/2006/relationships/settings" Target="settings.xml"/><Relationship Id="rId9" Type="http://schemas.openxmlformats.org/officeDocument/2006/relationships/hyperlink" Target="https://www.hklii.hk/eng/hk/cases/hkcfa/2023/3.html" TargetMode="External"/><Relationship Id="rId14" Type="http://schemas.openxmlformats.org/officeDocument/2006/relationships/hyperlink" Target="https://decisions.scc-csc.ca/scc-csc/scc-csc/en/item/19638/index.do" TargetMode="External"/><Relationship Id="rId22" Type="http://schemas.openxmlformats.org/officeDocument/2006/relationships/hyperlink" Target="https://www.supremecourt.gov/opinions/22pdf/21-984_j426.pdf" TargetMode="External"/><Relationship Id="rId27" Type="http://schemas.openxmlformats.org/officeDocument/2006/relationships/hyperlink" Target="https://www.saflii.org/za/cases/ZACC/2023/3.html" TargetMode="External"/><Relationship Id="rId30" Type="http://schemas.openxmlformats.org/officeDocument/2006/relationships/hyperlink" Target="https://www.supremecourt.uk/cases/docs/uksc-2021-0047-judgment.pdf"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3CEE5-8979-436A-AD37-0CD267CB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5245</Words>
  <Characters>32645</Characters>
  <Application>Microsoft Office Word</Application>
  <DocSecurity>0</DocSecurity>
  <Lines>272</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2023-03-16T00:10:00Z</dcterms:created>
  <dcterms:modified xsi:type="dcterms:W3CDTF">2023-03-16T00:10:00Z</dcterms:modified>
</cp:coreProperties>
</file>