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1866D" w14:textId="50A176EC" w:rsidR="0045059D" w:rsidRDefault="0045059D" w:rsidP="0045059D">
      <w:pPr>
        <w:pStyle w:val="BodyText"/>
        <w:kinsoku w:val="0"/>
        <w:overflowPunct w:val="0"/>
        <w:ind w:left="4021"/>
        <w:rPr>
          <w:sz w:val="20"/>
          <w:szCs w:val="20"/>
        </w:rPr>
      </w:pPr>
      <w:r>
        <w:rPr>
          <w:noProof/>
          <w:sz w:val="20"/>
          <w:szCs w:val="20"/>
        </w:rPr>
        <w:drawing>
          <wp:anchor distT="0" distB="0" distL="114300" distR="114300" simplePos="0" relativeHeight="251658240" behindDoc="0" locked="0" layoutInCell="1" allowOverlap="1" wp14:anchorId="721B9DBC" wp14:editId="42B629A6">
            <wp:simplePos x="0" y="0"/>
            <wp:positionH relativeFrom="column">
              <wp:posOffset>2628900</wp:posOffset>
            </wp:positionH>
            <wp:positionV relativeFrom="paragraph">
              <wp:posOffset>0</wp:posOffset>
            </wp:positionV>
            <wp:extent cx="104775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anchor>
        </w:drawing>
      </w:r>
      <w:r w:rsidR="00D06052">
        <w:rPr>
          <w:sz w:val="20"/>
          <w:szCs w:val="20"/>
        </w:rPr>
        <w:br w:type="textWrapping" w:clear="all"/>
      </w:r>
    </w:p>
    <w:p w14:paraId="5DBED7F7" w14:textId="77777777" w:rsidR="0045059D" w:rsidRDefault="0045059D" w:rsidP="0045059D">
      <w:pPr>
        <w:pStyle w:val="BodyText"/>
        <w:kinsoku w:val="0"/>
        <w:overflowPunct w:val="0"/>
        <w:spacing w:before="6"/>
        <w:rPr>
          <w:sz w:val="15"/>
          <w:szCs w:val="15"/>
        </w:rPr>
      </w:pPr>
    </w:p>
    <w:p w14:paraId="7D700CCC" w14:textId="77777777" w:rsidR="0045059D" w:rsidRPr="002C3B34" w:rsidRDefault="0045059D" w:rsidP="0045059D">
      <w:pPr>
        <w:pStyle w:val="BodyText"/>
        <w:kinsoku w:val="0"/>
        <w:overflowPunct w:val="0"/>
        <w:spacing w:before="6"/>
        <w:rPr>
          <w:sz w:val="16"/>
          <w:szCs w:val="15"/>
        </w:rPr>
        <w:sectPr w:rsidR="0045059D" w:rsidRPr="002C3B34" w:rsidSect="0045059D">
          <w:headerReference w:type="default" r:id="rId11"/>
          <w:headerReference w:type="first" r:id="rId12"/>
          <w:pgSz w:w="11910" w:h="16850"/>
          <w:pgMar w:top="709" w:right="840" w:bottom="0" w:left="1200" w:header="720" w:footer="720" w:gutter="0"/>
          <w:cols w:space="720"/>
          <w:noEndnote/>
          <w:titlePg/>
          <w:docGrid w:linePitch="299"/>
        </w:sectPr>
      </w:pPr>
    </w:p>
    <w:p w14:paraId="4EA7E7CB" w14:textId="77777777" w:rsidR="0045059D" w:rsidRDefault="0045059D" w:rsidP="0045059D">
      <w:pPr>
        <w:pStyle w:val="BodyText"/>
        <w:kinsoku w:val="0"/>
        <w:overflowPunct w:val="0"/>
        <w:spacing w:before="92"/>
        <w:ind w:left="2356"/>
        <w:jc w:val="center"/>
        <w:rPr>
          <w:rFonts w:ascii="Arial" w:hAnsi="Arial" w:cs="Arial"/>
          <w:spacing w:val="-39"/>
          <w:sz w:val="28"/>
          <w:szCs w:val="28"/>
        </w:rPr>
      </w:pPr>
      <w:bookmarkStart w:id="0" w:name="_GoBack"/>
      <w:r>
        <w:rPr>
          <w:rFonts w:ascii="Arial" w:hAnsi="Arial" w:cs="Arial"/>
          <w:spacing w:val="26"/>
          <w:sz w:val="28"/>
          <w:szCs w:val="28"/>
        </w:rPr>
        <w:t>HIGH COURT OF AUSTRALIA</w:t>
      </w:r>
    </w:p>
    <w:bookmarkEnd w:id="0"/>
    <w:p w14:paraId="1A742FFD" w14:textId="77777777" w:rsidR="0045059D" w:rsidRDefault="0045059D" w:rsidP="0045059D">
      <w:pPr>
        <w:pStyle w:val="BodyText"/>
        <w:kinsoku w:val="0"/>
        <w:overflowPunct w:val="0"/>
        <w:spacing w:before="5"/>
        <w:rPr>
          <w:rFonts w:ascii="Arial" w:hAnsi="Arial" w:cs="Arial"/>
          <w:sz w:val="38"/>
          <w:szCs w:val="38"/>
        </w:rPr>
      </w:pPr>
      <w:r>
        <w:br w:type="column"/>
      </w:r>
    </w:p>
    <w:p w14:paraId="7661BD32" w14:textId="658EB978" w:rsidR="0045059D" w:rsidRPr="00EE02C7" w:rsidRDefault="00826C6C" w:rsidP="0045059D">
      <w:pPr>
        <w:pStyle w:val="BodyText"/>
        <w:kinsoku w:val="0"/>
        <w:overflowPunct w:val="0"/>
        <w:spacing w:before="5"/>
        <w:jc w:val="right"/>
        <w:rPr>
          <w:rFonts w:ascii="Arial" w:hAnsi="Arial" w:cs="Arial"/>
          <w:sz w:val="38"/>
          <w:szCs w:val="38"/>
        </w:rPr>
        <w:sectPr w:rsidR="0045059D" w:rsidRPr="00EE02C7">
          <w:type w:val="continuous"/>
          <w:pgSz w:w="11910" w:h="16850"/>
          <w:pgMar w:top="1040" w:right="840" w:bottom="0" w:left="1200" w:header="720" w:footer="720" w:gutter="0"/>
          <w:cols w:num="2" w:space="720" w:equalWidth="0">
            <w:col w:w="7151" w:space="40"/>
            <w:col w:w="2679"/>
          </w:cols>
          <w:noEndnote/>
        </w:sectPr>
      </w:pPr>
      <w:r>
        <w:t>1</w:t>
      </w:r>
      <w:r w:rsidR="00BB7FD0">
        <w:t>9 May</w:t>
      </w:r>
      <w:r w:rsidR="0045059D">
        <w:t xml:space="preserve"> 2021</w:t>
      </w:r>
    </w:p>
    <w:p w14:paraId="1EA42186" w14:textId="77777777" w:rsidR="0045059D" w:rsidRPr="002C3B34" w:rsidRDefault="0045059D" w:rsidP="0045059D">
      <w:pPr>
        <w:pStyle w:val="BodyText"/>
        <w:kinsoku w:val="0"/>
        <w:overflowPunct w:val="0"/>
        <w:spacing w:before="5"/>
        <w:rPr>
          <w:sz w:val="16"/>
          <w:szCs w:val="18"/>
        </w:rPr>
      </w:pPr>
    </w:p>
    <w:p w14:paraId="19A6DCFC" w14:textId="21213519" w:rsidR="0045059D" w:rsidRDefault="009617EC" w:rsidP="0045059D">
      <w:pPr>
        <w:pStyle w:val="BodyText"/>
        <w:kinsoku w:val="0"/>
        <w:overflowPunct w:val="0"/>
        <w:ind w:right="89"/>
        <w:jc w:val="center"/>
      </w:pPr>
      <w:r>
        <w:rPr>
          <w:u w:val="single"/>
        </w:rPr>
        <w:t>MZAPC</w:t>
      </w:r>
      <w:r w:rsidR="00914D6A">
        <w:rPr>
          <w:u w:val="single"/>
        </w:rPr>
        <w:t xml:space="preserve"> </w:t>
      </w:r>
      <w:r w:rsidR="004F6997">
        <w:rPr>
          <w:u w:val="single"/>
        </w:rPr>
        <w:t xml:space="preserve">v </w:t>
      </w:r>
      <w:r>
        <w:rPr>
          <w:u w:val="single"/>
        </w:rPr>
        <w:t>MINISTER FOR IMMIGRATION AND BORDER PROTECTIO</w:t>
      </w:r>
      <w:r w:rsidR="003A0E22">
        <w:rPr>
          <w:u w:val="single"/>
        </w:rPr>
        <w:t xml:space="preserve">N </w:t>
      </w:r>
      <w:r w:rsidR="007F04C9">
        <w:rPr>
          <w:u w:val="single"/>
        </w:rPr>
        <w:t>&amp;</w:t>
      </w:r>
      <w:r w:rsidR="003A0E22">
        <w:rPr>
          <w:u w:val="single"/>
        </w:rPr>
        <w:t xml:space="preserve"> ANOR</w:t>
      </w:r>
      <w:r w:rsidR="0045059D">
        <w:br/>
        <w:t>[202</w:t>
      </w:r>
      <w:r w:rsidR="00914D6A">
        <w:t>1</w:t>
      </w:r>
      <w:r w:rsidR="0045059D">
        <w:t xml:space="preserve">] HCA </w:t>
      </w:r>
      <w:r w:rsidR="00653317">
        <w:t>17</w:t>
      </w:r>
    </w:p>
    <w:p w14:paraId="31787814" w14:textId="77777777" w:rsidR="0045059D" w:rsidRPr="002C3B34" w:rsidRDefault="0045059D" w:rsidP="0045059D">
      <w:pPr>
        <w:pStyle w:val="BodyText"/>
        <w:kinsoku w:val="0"/>
        <w:overflowPunct w:val="0"/>
        <w:rPr>
          <w:sz w:val="16"/>
        </w:rPr>
      </w:pPr>
    </w:p>
    <w:p w14:paraId="5561B05C" w14:textId="1B157AE6" w:rsidR="0058600E" w:rsidRDefault="0058600E" w:rsidP="0058600E">
      <w:pPr>
        <w:jc w:val="both"/>
      </w:pPr>
      <w:r>
        <w:t>Today the High Court dismissed an appeal from the Federal Court of Australia concerning the content and proof of "materiality"</w:t>
      </w:r>
      <w:r w:rsidR="005E6F90">
        <w:t xml:space="preserve"> </w:t>
      </w:r>
      <w:r w:rsidR="005E6F90">
        <w:softHyphen/>
        <w:t xml:space="preserve">– </w:t>
      </w:r>
      <w:r w:rsidR="00FA33DE">
        <w:t>a threshold which</w:t>
      </w:r>
      <w:r w:rsidR="007430D3">
        <w:t xml:space="preserve"> is</w:t>
      </w:r>
      <w:r w:rsidR="00FA33DE">
        <w:t xml:space="preserve"> </w:t>
      </w:r>
      <w:r>
        <w:t xml:space="preserve">ordinarily required to exist for a breach of an express or implied condition of a conferral of statutory decision-making </w:t>
      </w:r>
      <w:r w:rsidR="00494550">
        <w:t>authority</w:t>
      </w:r>
      <w:r>
        <w:t xml:space="preserve"> to result in jurisdictional error. </w:t>
      </w:r>
    </w:p>
    <w:p w14:paraId="356F1EA8" w14:textId="6B89AD55" w:rsidR="00E506ED" w:rsidRDefault="00E506ED" w:rsidP="0058600E">
      <w:pPr>
        <w:jc w:val="both"/>
      </w:pPr>
    </w:p>
    <w:p w14:paraId="5E9BE478" w14:textId="219C52A3" w:rsidR="002306D9" w:rsidRDefault="00E506ED" w:rsidP="0058600E">
      <w:pPr>
        <w:jc w:val="both"/>
      </w:pPr>
      <w:r>
        <w:t>The appellant, a citizen of India, had applied</w:t>
      </w:r>
      <w:r w:rsidR="00BF214C">
        <w:t xml:space="preserve"> to the </w:t>
      </w:r>
      <w:r w:rsidR="00494550">
        <w:t>Refugee</w:t>
      </w:r>
      <w:r w:rsidR="0049151E">
        <w:t xml:space="preserve"> Review Tribunal ("Tribunal")</w:t>
      </w:r>
      <w:r>
        <w:t xml:space="preserve"> for merits review of a decision</w:t>
      </w:r>
      <w:r w:rsidR="00A608C8">
        <w:t xml:space="preserve"> </w:t>
      </w:r>
      <w:r>
        <w:t>to refuse him</w:t>
      </w:r>
      <w:r w:rsidR="00A608C8">
        <w:t xml:space="preserve"> a protection visa under the </w:t>
      </w:r>
      <w:r w:rsidR="00A608C8" w:rsidRPr="00301251">
        <w:rPr>
          <w:i/>
        </w:rPr>
        <w:t>Migration Act 1958</w:t>
      </w:r>
      <w:r w:rsidR="00A608C8">
        <w:t xml:space="preserve"> (Cth) ("the Act")</w:t>
      </w:r>
      <w:r w:rsidR="0049151E">
        <w:t xml:space="preserve">. In </w:t>
      </w:r>
      <w:r w:rsidR="003665D5">
        <w:t xml:space="preserve">the context of that review, the Secretary </w:t>
      </w:r>
      <w:r w:rsidR="00964DC8">
        <w:t>of</w:t>
      </w:r>
      <w:r w:rsidR="003665D5">
        <w:t xml:space="preserve"> the Department of </w:t>
      </w:r>
      <w:r w:rsidR="00964DC8">
        <w:t xml:space="preserve">Immigration and Border Protection notified the Tribunal </w:t>
      </w:r>
      <w:r w:rsidR="00A57AE3">
        <w:t>that</w:t>
      </w:r>
      <w:r w:rsidR="007C3144">
        <w:t xml:space="preserve"> s</w:t>
      </w:r>
      <w:r w:rsidR="00EE3E20">
        <w:t> </w:t>
      </w:r>
      <w:r w:rsidR="007C3144">
        <w:t>438(1)(b) of the Act applied to</w:t>
      </w:r>
      <w:r w:rsidR="00A57AE3">
        <w:t xml:space="preserve"> certain documents</w:t>
      </w:r>
      <w:r w:rsidR="005A6D45">
        <w:t>, including a "Court Outcomes Report"</w:t>
      </w:r>
      <w:r w:rsidR="00962AC9">
        <w:t>,</w:t>
      </w:r>
      <w:r w:rsidR="005A6D45">
        <w:t xml:space="preserve"> </w:t>
      </w:r>
      <w:r w:rsidR="007C3144">
        <w:t>which revealed that the appellant had been convicted of, among other things, the offence of "</w:t>
      </w:r>
      <w:r w:rsidR="007F04C9">
        <w:t>s</w:t>
      </w:r>
      <w:r w:rsidR="007C3144">
        <w:t xml:space="preserve">tate </w:t>
      </w:r>
      <w:r w:rsidR="007F04C9">
        <w:t>f</w:t>
      </w:r>
      <w:r w:rsidR="007C3144">
        <w:t xml:space="preserve">alse </w:t>
      </w:r>
      <w:r w:rsidR="007F04C9">
        <w:t>n</w:t>
      </w:r>
      <w:r w:rsidR="007C3144">
        <w:t>ame</w:t>
      </w:r>
      <w:r w:rsidR="00155E17">
        <w:t>"</w:t>
      </w:r>
      <w:r w:rsidR="007F04C9">
        <w:t>.</w:t>
      </w:r>
      <w:r w:rsidR="00155E17">
        <w:t xml:space="preserve"> The s 438 notification was not disclosed to the appellant, and the Tribunal</w:t>
      </w:r>
      <w:r w:rsidR="00962AC9">
        <w:t>'s</w:t>
      </w:r>
      <w:r w:rsidR="00155E17">
        <w:t xml:space="preserve"> reasons made no reference to the notification nor to any of the documents specified in the notification.</w:t>
      </w:r>
      <w:r w:rsidR="00EE0660">
        <w:t xml:space="preserve"> </w:t>
      </w:r>
      <w:r w:rsidR="001C06C1">
        <w:t xml:space="preserve">The Federal Circuit Court </w:t>
      </w:r>
      <w:r w:rsidR="00D03626">
        <w:t xml:space="preserve">of Australia </w:t>
      </w:r>
      <w:r w:rsidR="001C06C1">
        <w:t xml:space="preserve">dismissed an application for judicial review of the Tribunal's decision. </w:t>
      </w:r>
      <w:r w:rsidR="00A905CA">
        <w:t xml:space="preserve">The appellant </w:t>
      </w:r>
      <w:r w:rsidR="001C06C1">
        <w:t xml:space="preserve">then </w:t>
      </w:r>
      <w:r w:rsidR="00A905CA">
        <w:t>appealed to the Federal Court</w:t>
      </w:r>
      <w:r w:rsidR="00D21635">
        <w:t xml:space="preserve">. </w:t>
      </w:r>
      <w:r w:rsidR="001C06C1">
        <w:t>Before</w:t>
      </w:r>
      <w:r w:rsidR="00A905CA">
        <w:t xml:space="preserve"> the</w:t>
      </w:r>
      <w:r w:rsidR="001C06C1">
        <w:t xml:space="preserve"> Federal Court</w:t>
      </w:r>
      <w:r w:rsidR="00A905CA">
        <w:t>, there</w:t>
      </w:r>
      <w:r w:rsidR="007E09CF">
        <w:t xml:space="preserve"> </w:t>
      </w:r>
      <w:r w:rsidR="0058600E">
        <w:t xml:space="preserve">was no dispute that the </w:t>
      </w:r>
      <w:r w:rsidR="00A905CA">
        <w:t xml:space="preserve">Tribunal's </w:t>
      </w:r>
      <w:r w:rsidR="0058600E">
        <w:t xml:space="preserve">failure to disclose the notification to the appellant had breached </w:t>
      </w:r>
      <w:r w:rsidR="00A905CA">
        <w:t>the</w:t>
      </w:r>
      <w:r w:rsidR="0058600E">
        <w:t xml:space="preserve"> implied condition of procedural fairness. The parties were at issue only in relation to the materiality of th</w:t>
      </w:r>
      <w:r w:rsidR="00E23A96">
        <w:t>e</w:t>
      </w:r>
      <w:r w:rsidR="00DA3694">
        <w:t xml:space="preserve"> conceded</w:t>
      </w:r>
      <w:r w:rsidR="0058600E">
        <w:t xml:space="preserve"> breach.</w:t>
      </w:r>
      <w:r w:rsidR="00A905CA">
        <w:t xml:space="preserve"> </w:t>
      </w:r>
      <w:r w:rsidR="00952140">
        <w:t xml:space="preserve">The question of materiality, </w:t>
      </w:r>
      <w:r w:rsidR="007E3D74">
        <w:t xml:space="preserve">the </w:t>
      </w:r>
      <w:r w:rsidR="00052404">
        <w:t xml:space="preserve">Federal </w:t>
      </w:r>
      <w:r w:rsidR="007E3D74">
        <w:t xml:space="preserve">Court </w:t>
      </w:r>
      <w:r w:rsidR="007C3CFD">
        <w:t>recognised, turn</w:t>
      </w:r>
      <w:r w:rsidR="001269AF">
        <w:t xml:space="preserve">ed on whether disclosure could </w:t>
      </w:r>
      <w:r w:rsidR="00691829">
        <w:t>realistically have resulted in the Tribunal having made a different decision.</w:t>
      </w:r>
      <w:r w:rsidR="00105C98">
        <w:t xml:space="preserve"> </w:t>
      </w:r>
      <w:r w:rsidR="006E606D">
        <w:t xml:space="preserve">The Federal Court </w:t>
      </w:r>
      <w:r w:rsidR="00105C98">
        <w:t xml:space="preserve">accepted that question could not be answered </w:t>
      </w:r>
      <w:r w:rsidR="00CE45AB">
        <w:t xml:space="preserve">in the affirmative without first finding that </w:t>
      </w:r>
      <w:r w:rsidR="00325F18">
        <w:t xml:space="preserve">the Tribunal had in fact taken information covered by the notification into account in making its decision. </w:t>
      </w:r>
      <w:r w:rsidR="00CB251D">
        <w:t xml:space="preserve">Unable to find on the evidence </w:t>
      </w:r>
      <w:r w:rsidR="00643353">
        <w:t>that the Tribunal had taken the information into account</w:t>
      </w:r>
      <w:r w:rsidR="00357957">
        <w:t xml:space="preserve">, </w:t>
      </w:r>
      <w:r w:rsidR="009B5968">
        <w:t xml:space="preserve">the Federal Court </w:t>
      </w:r>
      <w:r w:rsidR="00C650CC">
        <w:t>dismissed the appeal</w:t>
      </w:r>
      <w:r w:rsidR="00C650CC" w:rsidRPr="00C650CC">
        <w:t xml:space="preserve">. </w:t>
      </w:r>
    </w:p>
    <w:p w14:paraId="7BB2B079" w14:textId="77777777" w:rsidR="009B5968" w:rsidRDefault="009B5968" w:rsidP="0058600E">
      <w:pPr>
        <w:jc w:val="both"/>
      </w:pPr>
    </w:p>
    <w:p w14:paraId="07984223" w14:textId="65C6B8C8" w:rsidR="00F43541" w:rsidRDefault="0058600E" w:rsidP="00F43541">
      <w:pPr>
        <w:jc w:val="both"/>
      </w:pPr>
      <w:r>
        <w:t>The appellant's primary ground of appeal</w:t>
      </w:r>
      <w:r w:rsidR="009B5968">
        <w:t xml:space="preserve"> before the High Court</w:t>
      </w:r>
      <w:r>
        <w:t xml:space="preserve"> </w:t>
      </w:r>
      <w:r w:rsidR="00A8279F">
        <w:t xml:space="preserve">consisted of two strands. </w:t>
      </w:r>
      <w:r w:rsidR="00371296">
        <w:t xml:space="preserve">First, the appellant </w:t>
      </w:r>
      <w:r w:rsidR="00A87A93">
        <w:t xml:space="preserve">disputed that he needed to </w:t>
      </w:r>
      <w:r w:rsidR="00E06C16">
        <w:t xml:space="preserve">prove that the Tribunal took information covered by the notification into account </w:t>
      </w:r>
      <w:r w:rsidR="006A63C8">
        <w:t xml:space="preserve">in order to establish materiality. </w:t>
      </w:r>
      <w:r w:rsidR="000E35C6">
        <w:t xml:space="preserve">He </w:t>
      </w:r>
      <w:r w:rsidR="00CD70EA">
        <w:t>argued</w:t>
      </w:r>
      <w:r w:rsidR="000E35C6">
        <w:t xml:space="preserve"> that once he had </w:t>
      </w:r>
      <w:r w:rsidR="00F46A7B">
        <w:t>demonstrated by way of reasonable conjecture that the Tribunal could have taken the information covered by the notification into account</w:t>
      </w:r>
      <w:r w:rsidR="00443218">
        <w:t xml:space="preserve"> adversely to him</w:t>
      </w:r>
      <w:r w:rsidR="000E35C6">
        <w:t xml:space="preserve"> </w:t>
      </w:r>
      <w:r w:rsidR="00CC1677">
        <w:t xml:space="preserve">and that, if it did, it could have been persuaded by him to make a different decision </w:t>
      </w:r>
      <w:r w:rsidR="004F665A">
        <w:t xml:space="preserve">if it had disclosed the notification to him, the onus then </w:t>
      </w:r>
      <w:r w:rsidR="003E667C">
        <w:t xml:space="preserve">shifted onto the </w:t>
      </w:r>
      <w:r w:rsidR="00160B69">
        <w:t xml:space="preserve">first </w:t>
      </w:r>
      <w:r w:rsidR="003E667C">
        <w:t xml:space="preserve">respondent to prove that disclosure of the notification could not have </w:t>
      </w:r>
      <w:r w:rsidR="00C30F0D">
        <w:t xml:space="preserve">resulted in the Tribunal having made a different decision. Second, the appellant contended that </w:t>
      </w:r>
      <w:r w:rsidR="00CF500E">
        <w:t>the Federal Court</w:t>
      </w:r>
      <w:r w:rsidR="00C30F0D">
        <w:t xml:space="preserve"> independently erred by erecting and acting on </w:t>
      </w:r>
      <w:r w:rsidR="00575A3A">
        <w:t xml:space="preserve">a presumption of fact that the Tribunal did not take </w:t>
      </w:r>
      <w:r w:rsidR="00851617">
        <w:t>information covered by the notification into accoun</w:t>
      </w:r>
      <w:r w:rsidR="00297CF7">
        <w:t>t</w:t>
      </w:r>
      <w:r w:rsidR="003E05A2">
        <w:t xml:space="preserve"> </w:t>
      </w:r>
      <w:r w:rsidR="003E05A2" w:rsidRPr="00D70195">
        <w:t xml:space="preserve">because </w:t>
      </w:r>
      <w:r w:rsidR="004822EB" w:rsidRPr="00D70195">
        <w:t xml:space="preserve">there was no </w:t>
      </w:r>
      <w:r w:rsidR="003E05A2" w:rsidRPr="00D70195">
        <w:t>reference to the information in its reasons</w:t>
      </w:r>
      <w:r w:rsidR="00297CF7" w:rsidRPr="00D70195">
        <w:t xml:space="preserve">. </w:t>
      </w:r>
    </w:p>
    <w:p w14:paraId="37C8059A" w14:textId="77777777" w:rsidR="00F43541" w:rsidRDefault="00F43541" w:rsidP="00F43541">
      <w:pPr>
        <w:jc w:val="both"/>
      </w:pPr>
    </w:p>
    <w:p w14:paraId="78E8BC32" w14:textId="33E90197" w:rsidR="00F43541" w:rsidRPr="00F43541" w:rsidRDefault="00F43541" w:rsidP="00F43541">
      <w:pPr>
        <w:jc w:val="both"/>
      </w:pPr>
      <w:r>
        <w:t xml:space="preserve">The High Court was unanimous in dismissing the appeal but did so for different reasons. A majority of four Justices held that the counterfactual question of whether the decision in fact made could have been different had the breach not occurred cannot be answered without first determining the basal factual question of how the decision that was in fact made was in fact made. The majority held that the onus of proof in relation to materiality lies on the plaintiff, who bears the overall onus of proving jurisdictional error. The majority also rejected the second strand of the appellant's primary ground of appeal, holding that no such "presumption" exists. Finding that there was no basis in the evidence to find that the Tribunal took the information into account, the majority ultimately dismissed the appeal. The other three Justices also dismissed the appeal. The principal difference between the judgments concerned the question of which party bears the onus of proof in relation to materiality. Three Justices held that once error is identified by an applicant, the onus of proving that the error is immaterial to the decision that was reached should be on the party who seeks to affirm the decision's validity – namely, the Executive. </w:t>
      </w:r>
    </w:p>
    <w:p w14:paraId="2014669D" w14:textId="77777777" w:rsidR="0045059D" w:rsidRPr="002C3B34" w:rsidRDefault="0045059D" w:rsidP="00107D6A">
      <w:pPr>
        <w:pStyle w:val="ListParagraph"/>
        <w:tabs>
          <w:tab w:val="left" w:pos="464"/>
        </w:tabs>
        <w:kinsoku w:val="0"/>
        <w:overflowPunct w:val="0"/>
        <w:ind w:firstLine="0"/>
        <w:rPr>
          <w:i/>
          <w:iCs/>
          <w:sz w:val="20"/>
          <w:szCs w:val="22"/>
        </w:rPr>
      </w:pPr>
      <w:r w:rsidRPr="002C3B34">
        <w:rPr>
          <w:i/>
          <w:iCs/>
          <w:sz w:val="20"/>
          <w:szCs w:val="22"/>
        </w:rPr>
        <w:t>This</w:t>
      </w:r>
      <w:r w:rsidRPr="002C3B34">
        <w:rPr>
          <w:i/>
          <w:iCs/>
          <w:spacing w:val="-2"/>
          <w:sz w:val="20"/>
          <w:szCs w:val="22"/>
        </w:rPr>
        <w:t xml:space="preserve"> </w:t>
      </w:r>
      <w:r w:rsidRPr="002C3B34">
        <w:rPr>
          <w:i/>
          <w:iCs/>
          <w:sz w:val="20"/>
          <w:szCs w:val="22"/>
        </w:rPr>
        <w:t>statement</w:t>
      </w:r>
      <w:r w:rsidRPr="002C3B34">
        <w:rPr>
          <w:i/>
          <w:iCs/>
          <w:spacing w:val="-2"/>
          <w:sz w:val="20"/>
          <w:szCs w:val="22"/>
        </w:rPr>
        <w:t xml:space="preserve"> </w:t>
      </w:r>
      <w:r w:rsidRPr="002C3B34">
        <w:rPr>
          <w:i/>
          <w:iCs/>
          <w:sz w:val="20"/>
          <w:szCs w:val="22"/>
        </w:rPr>
        <w:t>is</w:t>
      </w:r>
      <w:r w:rsidRPr="002C3B34">
        <w:rPr>
          <w:i/>
          <w:iCs/>
          <w:spacing w:val="-2"/>
          <w:sz w:val="20"/>
          <w:szCs w:val="22"/>
        </w:rPr>
        <w:t xml:space="preserve"> </w:t>
      </w:r>
      <w:r w:rsidRPr="002C3B34">
        <w:rPr>
          <w:i/>
          <w:iCs/>
          <w:sz w:val="20"/>
          <w:szCs w:val="22"/>
        </w:rPr>
        <w:t>not</w:t>
      </w:r>
      <w:r w:rsidRPr="002C3B34">
        <w:rPr>
          <w:i/>
          <w:iCs/>
          <w:spacing w:val="-2"/>
          <w:sz w:val="20"/>
          <w:szCs w:val="22"/>
        </w:rPr>
        <w:t xml:space="preserve"> </w:t>
      </w:r>
      <w:r w:rsidRPr="002C3B34">
        <w:rPr>
          <w:i/>
          <w:iCs/>
          <w:sz w:val="20"/>
          <w:szCs w:val="22"/>
        </w:rPr>
        <w:t>intended</w:t>
      </w:r>
      <w:r w:rsidRPr="002C3B34">
        <w:rPr>
          <w:i/>
          <w:iCs/>
          <w:spacing w:val="-3"/>
          <w:sz w:val="20"/>
          <w:szCs w:val="22"/>
        </w:rPr>
        <w:t xml:space="preserve"> </w:t>
      </w:r>
      <w:r w:rsidRPr="002C3B34">
        <w:rPr>
          <w:i/>
          <w:iCs/>
          <w:sz w:val="20"/>
          <w:szCs w:val="22"/>
        </w:rPr>
        <w:t>to</w:t>
      </w:r>
      <w:r w:rsidRPr="002C3B34">
        <w:rPr>
          <w:i/>
          <w:iCs/>
          <w:spacing w:val="-3"/>
          <w:sz w:val="20"/>
          <w:szCs w:val="22"/>
        </w:rPr>
        <w:t xml:space="preserve"> </w:t>
      </w:r>
      <w:r w:rsidRPr="002C3B34">
        <w:rPr>
          <w:i/>
          <w:iCs/>
          <w:sz w:val="20"/>
          <w:szCs w:val="22"/>
        </w:rPr>
        <w:t>be</w:t>
      </w:r>
      <w:r w:rsidRPr="002C3B34">
        <w:rPr>
          <w:i/>
          <w:iCs/>
          <w:spacing w:val="-2"/>
          <w:sz w:val="20"/>
          <w:szCs w:val="22"/>
        </w:rPr>
        <w:t xml:space="preserve"> </w:t>
      </w:r>
      <w:r w:rsidRPr="002C3B34">
        <w:rPr>
          <w:i/>
          <w:iCs/>
          <w:sz w:val="20"/>
          <w:szCs w:val="22"/>
        </w:rPr>
        <w:t>a</w:t>
      </w:r>
      <w:r w:rsidRPr="002C3B34">
        <w:rPr>
          <w:i/>
          <w:iCs/>
          <w:spacing w:val="-2"/>
          <w:sz w:val="20"/>
          <w:szCs w:val="22"/>
        </w:rPr>
        <w:t xml:space="preserve"> </w:t>
      </w:r>
      <w:r w:rsidRPr="002C3B34">
        <w:rPr>
          <w:i/>
          <w:iCs/>
          <w:sz w:val="20"/>
          <w:szCs w:val="22"/>
        </w:rPr>
        <w:t>substitute</w:t>
      </w:r>
      <w:r w:rsidRPr="002C3B34">
        <w:rPr>
          <w:i/>
          <w:iCs/>
          <w:spacing w:val="-2"/>
          <w:sz w:val="20"/>
          <w:szCs w:val="22"/>
        </w:rPr>
        <w:t xml:space="preserve"> </w:t>
      </w:r>
      <w:r w:rsidRPr="002C3B34">
        <w:rPr>
          <w:i/>
          <w:iCs/>
          <w:sz w:val="20"/>
          <w:szCs w:val="22"/>
        </w:rPr>
        <w:t>for</w:t>
      </w:r>
      <w:r w:rsidRPr="002C3B34">
        <w:rPr>
          <w:i/>
          <w:iCs/>
          <w:spacing w:val="-2"/>
          <w:sz w:val="20"/>
          <w:szCs w:val="22"/>
        </w:rPr>
        <w:t xml:space="preserve"> </w:t>
      </w:r>
      <w:r w:rsidRPr="002C3B34">
        <w:rPr>
          <w:i/>
          <w:iCs/>
          <w:sz w:val="20"/>
          <w:szCs w:val="22"/>
        </w:rPr>
        <w:t>the</w:t>
      </w:r>
      <w:r w:rsidRPr="002C3B34">
        <w:rPr>
          <w:i/>
          <w:iCs/>
          <w:spacing w:val="-5"/>
          <w:sz w:val="20"/>
          <w:szCs w:val="22"/>
        </w:rPr>
        <w:t xml:space="preserve"> </w:t>
      </w:r>
      <w:r w:rsidRPr="002C3B34">
        <w:rPr>
          <w:i/>
          <w:iCs/>
          <w:sz w:val="20"/>
          <w:szCs w:val="22"/>
        </w:rPr>
        <w:t>reasons</w:t>
      </w:r>
      <w:r w:rsidRPr="002C3B34">
        <w:rPr>
          <w:i/>
          <w:iCs/>
          <w:spacing w:val="-2"/>
          <w:sz w:val="20"/>
          <w:szCs w:val="22"/>
        </w:rPr>
        <w:t xml:space="preserve"> </w:t>
      </w:r>
      <w:r w:rsidRPr="002C3B34">
        <w:rPr>
          <w:i/>
          <w:iCs/>
          <w:sz w:val="20"/>
          <w:szCs w:val="22"/>
        </w:rPr>
        <w:t>of</w:t>
      </w:r>
      <w:r w:rsidRPr="002C3B34">
        <w:rPr>
          <w:i/>
          <w:iCs/>
          <w:spacing w:val="-2"/>
          <w:sz w:val="20"/>
          <w:szCs w:val="22"/>
        </w:rPr>
        <w:t xml:space="preserve"> </w:t>
      </w:r>
      <w:r w:rsidRPr="002C3B34">
        <w:rPr>
          <w:i/>
          <w:iCs/>
          <w:sz w:val="20"/>
          <w:szCs w:val="22"/>
        </w:rPr>
        <w:t>the</w:t>
      </w:r>
      <w:r w:rsidRPr="002C3B34">
        <w:rPr>
          <w:i/>
          <w:iCs/>
          <w:spacing w:val="-2"/>
          <w:sz w:val="20"/>
          <w:szCs w:val="22"/>
        </w:rPr>
        <w:t xml:space="preserve"> </w:t>
      </w:r>
      <w:r w:rsidRPr="002C3B34">
        <w:rPr>
          <w:i/>
          <w:iCs/>
          <w:sz w:val="20"/>
          <w:szCs w:val="22"/>
        </w:rPr>
        <w:t>High</w:t>
      </w:r>
      <w:r w:rsidRPr="002C3B34">
        <w:rPr>
          <w:i/>
          <w:iCs/>
          <w:spacing w:val="-2"/>
          <w:sz w:val="20"/>
          <w:szCs w:val="22"/>
        </w:rPr>
        <w:t xml:space="preserve"> </w:t>
      </w:r>
      <w:r w:rsidRPr="002C3B34">
        <w:rPr>
          <w:i/>
          <w:iCs/>
          <w:sz w:val="20"/>
          <w:szCs w:val="22"/>
        </w:rPr>
        <w:t>Court</w:t>
      </w:r>
      <w:r w:rsidRPr="002C3B34">
        <w:rPr>
          <w:i/>
          <w:iCs/>
          <w:spacing w:val="-2"/>
          <w:sz w:val="20"/>
          <w:szCs w:val="22"/>
        </w:rPr>
        <w:t xml:space="preserve"> </w:t>
      </w:r>
      <w:r w:rsidRPr="002C3B34">
        <w:rPr>
          <w:i/>
          <w:iCs/>
          <w:sz w:val="20"/>
          <w:szCs w:val="22"/>
        </w:rPr>
        <w:t>or</w:t>
      </w:r>
      <w:r w:rsidRPr="002C3B34">
        <w:rPr>
          <w:i/>
          <w:iCs/>
          <w:spacing w:val="-2"/>
          <w:sz w:val="20"/>
          <w:szCs w:val="22"/>
        </w:rPr>
        <w:t xml:space="preserve"> </w:t>
      </w:r>
      <w:r w:rsidRPr="002C3B34">
        <w:rPr>
          <w:i/>
          <w:iCs/>
          <w:sz w:val="20"/>
          <w:szCs w:val="22"/>
        </w:rPr>
        <w:t>to</w:t>
      </w:r>
      <w:r w:rsidRPr="002C3B34">
        <w:rPr>
          <w:i/>
          <w:iCs/>
          <w:spacing w:val="-3"/>
          <w:sz w:val="20"/>
          <w:szCs w:val="22"/>
        </w:rPr>
        <w:t xml:space="preserve"> </w:t>
      </w:r>
      <w:r w:rsidRPr="002C3B34">
        <w:rPr>
          <w:i/>
          <w:iCs/>
          <w:sz w:val="20"/>
          <w:szCs w:val="22"/>
        </w:rPr>
        <w:t>be</w:t>
      </w:r>
      <w:r w:rsidRPr="002C3B34">
        <w:rPr>
          <w:i/>
          <w:iCs/>
          <w:spacing w:val="-2"/>
          <w:sz w:val="20"/>
          <w:szCs w:val="22"/>
        </w:rPr>
        <w:t xml:space="preserve"> </w:t>
      </w:r>
      <w:r w:rsidRPr="002C3B34">
        <w:rPr>
          <w:i/>
          <w:iCs/>
          <w:sz w:val="20"/>
          <w:szCs w:val="22"/>
        </w:rPr>
        <w:t>used</w:t>
      </w:r>
      <w:r w:rsidRPr="002C3B34">
        <w:rPr>
          <w:i/>
          <w:iCs/>
          <w:spacing w:val="-5"/>
          <w:sz w:val="20"/>
          <w:szCs w:val="22"/>
        </w:rPr>
        <w:t xml:space="preserve"> </w:t>
      </w:r>
      <w:r w:rsidRPr="002C3B34">
        <w:rPr>
          <w:i/>
          <w:iCs/>
          <w:sz w:val="20"/>
          <w:szCs w:val="22"/>
        </w:rPr>
        <w:t>in</w:t>
      </w:r>
      <w:r w:rsidRPr="002C3B34">
        <w:rPr>
          <w:i/>
          <w:iCs/>
          <w:spacing w:val="-3"/>
          <w:sz w:val="20"/>
          <w:szCs w:val="22"/>
        </w:rPr>
        <w:t xml:space="preserve"> </w:t>
      </w:r>
      <w:r w:rsidRPr="002C3B34">
        <w:rPr>
          <w:i/>
          <w:iCs/>
          <w:sz w:val="20"/>
          <w:szCs w:val="22"/>
        </w:rPr>
        <w:t>any later consideration of the Court’s reasons.</w:t>
      </w:r>
    </w:p>
    <w:p w14:paraId="49B156E6" w14:textId="77777777" w:rsidR="0045059D" w:rsidRDefault="0045059D" w:rsidP="0045059D">
      <w:pPr>
        <w:pStyle w:val="BodyText"/>
        <w:tabs>
          <w:tab w:val="left" w:pos="4307"/>
        </w:tabs>
        <w:kinsoku w:val="0"/>
        <w:overflowPunct w:val="0"/>
        <w:spacing w:before="146"/>
        <w:ind w:left="1879" w:right="2240"/>
        <w:jc w:val="center"/>
        <w:rPr>
          <w:rFonts w:ascii="Arial" w:hAnsi="Arial" w:cs="Arial"/>
          <w:b/>
          <w:bCs/>
          <w:sz w:val="16"/>
          <w:szCs w:val="16"/>
        </w:rPr>
      </w:pPr>
      <w:r>
        <w:rPr>
          <w:rFonts w:ascii="Arial" w:hAnsi="Arial" w:cs="Arial"/>
          <w:b/>
          <w:bCs/>
          <w:sz w:val="16"/>
          <w:szCs w:val="16"/>
        </w:rPr>
        <w:t>Please direct enquiries to Ben Wickham, Senior Executive Deputy</w:t>
      </w:r>
      <w:r>
        <w:rPr>
          <w:rFonts w:ascii="Arial" w:hAnsi="Arial" w:cs="Arial"/>
          <w:b/>
          <w:bCs/>
          <w:spacing w:val="-29"/>
          <w:sz w:val="16"/>
          <w:szCs w:val="16"/>
        </w:rPr>
        <w:t xml:space="preserve"> </w:t>
      </w:r>
      <w:r>
        <w:rPr>
          <w:rFonts w:ascii="Arial" w:hAnsi="Arial" w:cs="Arial"/>
          <w:b/>
          <w:bCs/>
          <w:sz w:val="16"/>
          <w:szCs w:val="16"/>
        </w:rPr>
        <w:t>Registrar Telephone: (02)</w:t>
      </w:r>
      <w:r>
        <w:rPr>
          <w:rFonts w:ascii="Arial" w:hAnsi="Arial" w:cs="Arial"/>
          <w:b/>
          <w:bCs/>
          <w:spacing w:val="-3"/>
          <w:sz w:val="16"/>
          <w:szCs w:val="16"/>
        </w:rPr>
        <w:t xml:space="preserve"> </w:t>
      </w:r>
      <w:r>
        <w:rPr>
          <w:rFonts w:ascii="Arial" w:hAnsi="Arial" w:cs="Arial"/>
          <w:b/>
          <w:bCs/>
          <w:sz w:val="16"/>
          <w:szCs w:val="16"/>
        </w:rPr>
        <w:t>6270</w:t>
      </w:r>
      <w:r>
        <w:rPr>
          <w:rFonts w:ascii="Arial" w:hAnsi="Arial" w:cs="Arial"/>
          <w:b/>
          <w:bCs/>
          <w:spacing w:val="-1"/>
          <w:sz w:val="16"/>
          <w:szCs w:val="16"/>
        </w:rPr>
        <w:t xml:space="preserve"> </w:t>
      </w:r>
      <w:r>
        <w:rPr>
          <w:rFonts w:ascii="Arial" w:hAnsi="Arial" w:cs="Arial"/>
          <w:b/>
          <w:bCs/>
          <w:sz w:val="16"/>
          <w:szCs w:val="16"/>
        </w:rPr>
        <w:t>6893</w:t>
      </w:r>
      <w:r>
        <w:rPr>
          <w:rFonts w:ascii="Arial" w:hAnsi="Arial" w:cs="Arial"/>
          <w:b/>
          <w:bCs/>
          <w:sz w:val="16"/>
          <w:szCs w:val="16"/>
        </w:rPr>
        <w:tab/>
        <w:t>Fax: (02) 6270</w:t>
      </w:r>
      <w:r>
        <w:rPr>
          <w:rFonts w:ascii="Arial" w:hAnsi="Arial" w:cs="Arial"/>
          <w:b/>
          <w:bCs/>
          <w:spacing w:val="1"/>
          <w:sz w:val="16"/>
          <w:szCs w:val="16"/>
        </w:rPr>
        <w:t xml:space="preserve"> </w:t>
      </w:r>
      <w:r>
        <w:rPr>
          <w:rFonts w:ascii="Arial" w:hAnsi="Arial" w:cs="Arial"/>
          <w:b/>
          <w:bCs/>
          <w:sz w:val="16"/>
          <w:szCs w:val="16"/>
        </w:rPr>
        <w:t>6868</w:t>
      </w:r>
    </w:p>
    <w:p w14:paraId="335F826F" w14:textId="77777777" w:rsidR="00755EE2" w:rsidRPr="00F43992" w:rsidRDefault="0045059D" w:rsidP="00F43992">
      <w:pPr>
        <w:pStyle w:val="BodyText"/>
        <w:tabs>
          <w:tab w:val="left" w:pos="2894"/>
        </w:tabs>
        <w:kinsoku w:val="0"/>
        <w:overflowPunct w:val="0"/>
        <w:spacing w:line="183" w:lineRule="exact"/>
        <w:ind w:right="360"/>
        <w:jc w:val="center"/>
        <w:rPr>
          <w:rFonts w:ascii="Arial" w:hAnsi="Arial" w:cs="Arial"/>
          <w:b/>
          <w:bCs/>
          <w:sz w:val="16"/>
          <w:szCs w:val="16"/>
        </w:rPr>
      </w:pPr>
      <w:r>
        <w:rPr>
          <w:rFonts w:ascii="Arial" w:hAnsi="Arial" w:cs="Arial"/>
          <w:b/>
          <w:bCs/>
          <w:sz w:val="16"/>
          <w:szCs w:val="16"/>
        </w:rPr>
        <w:t>Email:</w:t>
      </w:r>
      <w:r>
        <w:rPr>
          <w:rFonts w:ascii="Arial" w:hAnsi="Arial" w:cs="Arial"/>
          <w:b/>
          <w:bCs/>
          <w:spacing w:val="-3"/>
          <w:sz w:val="16"/>
          <w:szCs w:val="16"/>
        </w:rPr>
        <w:t xml:space="preserve"> </w:t>
      </w:r>
      <w:hyperlink r:id="rId13" w:history="1">
        <w:r>
          <w:rPr>
            <w:rFonts w:ascii="Arial" w:hAnsi="Arial" w:cs="Arial"/>
            <w:b/>
            <w:bCs/>
            <w:sz w:val="16"/>
            <w:szCs w:val="16"/>
          </w:rPr>
          <w:t>enquiries@hcourt.gov.au</w:t>
        </w:r>
      </w:hyperlink>
      <w:r>
        <w:rPr>
          <w:rFonts w:ascii="Arial" w:hAnsi="Arial" w:cs="Arial"/>
          <w:b/>
          <w:bCs/>
          <w:sz w:val="16"/>
          <w:szCs w:val="16"/>
        </w:rPr>
        <w:tab/>
        <w:t xml:space="preserve">Website: </w:t>
      </w:r>
      <w:hyperlink r:id="rId14" w:history="1">
        <w:r>
          <w:rPr>
            <w:rFonts w:ascii="Arial" w:hAnsi="Arial" w:cs="Arial"/>
            <w:b/>
            <w:bCs/>
            <w:sz w:val="16"/>
            <w:szCs w:val="16"/>
          </w:rPr>
          <w:t>www.hcourt.gov.au</w:t>
        </w:r>
      </w:hyperlink>
    </w:p>
    <w:sectPr w:rsidR="00755EE2" w:rsidRPr="00F43992" w:rsidSect="003C587F">
      <w:type w:val="continuous"/>
      <w:pgSz w:w="11910" w:h="16850"/>
      <w:pgMar w:top="1040" w:right="840" w:bottom="0" w:left="1200" w:header="720" w:footer="720" w:gutter="0"/>
      <w:cols w:space="720" w:equalWidth="0">
        <w:col w:w="987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BEEC5" w14:textId="77777777" w:rsidR="00456AA4" w:rsidRDefault="00456AA4" w:rsidP="0045059D">
      <w:r>
        <w:separator/>
      </w:r>
    </w:p>
  </w:endnote>
  <w:endnote w:type="continuationSeparator" w:id="0">
    <w:p w14:paraId="6C13342A" w14:textId="77777777" w:rsidR="00456AA4" w:rsidRDefault="00456AA4" w:rsidP="0045059D">
      <w:r>
        <w:continuationSeparator/>
      </w:r>
    </w:p>
  </w:endnote>
  <w:endnote w:type="continuationNotice" w:id="1">
    <w:p w14:paraId="1EAFC22C" w14:textId="77777777" w:rsidR="00456AA4" w:rsidRDefault="00456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445E" w14:textId="77777777" w:rsidR="00456AA4" w:rsidRDefault="00456AA4" w:rsidP="0045059D">
      <w:r>
        <w:separator/>
      </w:r>
    </w:p>
  </w:footnote>
  <w:footnote w:type="continuationSeparator" w:id="0">
    <w:p w14:paraId="5EE3D7AE" w14:textId="77777777" w:rsidR="00456AA4" w:rsidRDefault="00456AA4" w:rsidP="0045059D">
      <w:r>
        <w:continuationSeparator/>
      </w:r>
    </w:p>
  </w:footnote>
  <w:footnote w:type="continuationNotice" w:id="1">
    <w:p w14:paraId="62B441B7" w14:textId="77777777" w:rsidR="00456AA4" w:rsidRDefault="00456A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6C6B8" w14:textId="77241942" w:rsidR="003C587F" w:rsidRDefault="003C587F" w:rsidP="003C58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3481" w14:textId="4819C402" w:rsidR="003C587F" w:rsidRDefault="003C587F" w:rsidP="003C58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63" w:hanging="361"/>
      </w:pPr>
      <w:rPr>
        <w:rFonts w:ascii="Symbol" w:hAnsi="Symbol"/>
        <w:b w:val="0"/>
        <w:w w:val="100"/>
        <w:sz w:val="22"/>
      </w:rPr>
    </w:lvl>
    <w:lvl w:ilvl="1">
      <w:numFmt w:val="bullet"/>
      <w:lvlText w:val="•"/>
      <w:lvlJc w:val="left"/>
      <w:pPr>
        <w:ind w:left="1400" w:hanging="361"/>
      </w:pPr>
    </w:lvl>
    <w:lvl w:ilvl="2">
      <w:numFmt w:val="bullet"/>
      <w:lvlText w:val="•"/>
      <w:lvlJc w:val="left"/>
      <w:pPr>
        <w:ind w:left="2341" w:hanging="361"/>
      </w:pPr>
    </w:lvl>
    <w:lvl w:ilvl="3">
      <w:numFmt w:val="bullet"/>
      <w:lvlText w:val="•"/>
      <w:lvlJc w:val="left"/>
      <w:pPr>
        <w:ind w:left="3281" w:hanging="361"/>
      </w:pPr>
    </w:lvl>
    <w:lvl w:ilvl="4">
      <w:numFmt w:val="bullet"/>
      <w:lvlText w:val="•"/>
      <w:lvlJc w:val="left"/>
      <w:pPr>
        <w:ind w:left="4222" w:hanging="361"/>
      </w:pPr>
    </w:lvl>
    <w:lvl w:ilvl="5">
      <w:numFmt w:val="bullet"/>
      <w:lvlText w:val="•"/>
      <w:lvlJc w:val="left"/>
      <w:pPr>
        <w:ind w:left="5163" w:hanging="361"/>
      </w:pPr>
    </w:lvl>
    <w:lvl w:ilvl="6">
      <w:numFmt w:val="bullet"/>
      <w:lvlText w:val="•"/>
      <w:lvlJc w:val="left"/>
      <w:pPr>
        <w:ind w:left="6103" w:hanging="361"/>
      </w:pPr>
    </w:lvl>
    <w:lvl w:ilvl="7">
      <w:numFmt w:val="bullet"/>
      <w:lvlText w:val="•"/>
      <w:lvlJc w:val="left"/>
      <w:pPr>
        <w:ind w:left="7044" w:hanging="361"/>
      </w:pPr>
    </w:lvl>
    <w:lvl w:ilvl="8">
      <w:numFmt w:val="bullet"/>
      <w:lvlText w:val="•"/>
      <w:lvlJc w:val="left"/>
      <w:pPr>
        <w:ind w:left="7985"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9D"/>
    <w:rsid w:val="00010C51"/>
    <w:rsid w:val="00012CD8"/>
    <w:rsid w:val="00016139"/>
    <w:rsid w:val="00021B08"/>
    <w:rsid w:val="00023FDC"/>
    <w:rsid w:val="00026F5A"/>
    <w:rsid w:val="00031F9F"/>
    <w:rsid w:val="00033359"/>
    <w:rsid w:val="00037575"/>
    <w:rsid w:val="00041243"/>
    <w:rsid w:val="00052295"/>
    <w:rsid w:val="00052404"/>
    <w:rsid w:val="000562D7"/>
    <w:rsid w:val="000640C4"/>
    <w:rsid w:val="00066FEB"/>
    <w:rsid w:val="00067B66"/>
    <w:rsid w:val="00080464"/>
    <w:rsid w:val="00080B7E"/>
    <w:rsid w:val="00082CE7"/>
    <w:rsid w:val="00082EE7"/>
    <w:rsid w:val="00093A8B"/>
    <w:rsid w:val="00093ADC"/>
    <w:rsid w:val="00095AD4"/>
    <w:rsid w:val="000A06B1"/>
    <w:rsid w:val="000A61C4"/>
    <w:rsid w:val="000A6E6E"/>
    <w:rsid w:val="000B08EF"/>
    <w:rsid w:val="000C0E31"/>
    <w:rsid w:val="000C142B"/>
    <w:rsid w:val="000C29E4"/>
    <w:rsid w:val="000C5235"/>
    <w:rsid w:val="000D2F7C"/>
    <w:rsid w:val="000D5E92"/>
    <w:rsid w:val="000D6F1D"/>
    <w:rsid w:val="000E35C6"/>
    <w:rsid w:val="000E409B"/>
    <w:rsid w:val="000E60D7"/>
    <w:rsid w:val="000E6591"/>
    <w:rsid w:val="000E6DA6"/>
    <w:rsid w:val="00103813"/>
    <w:rsid w:val="00103B59"/>
    <w:rsid w:val="00105C98"/>
    <w:rsid w:val="001063D5"/>
    <w:rsid w:val="00107D6A"/>
    <w:rsid w:val="00113730"/>
    <w:rsid w:val="001261B1"/>
    <w:rsid w:val="001269AF"/>
    <w:rsid w:val="00155E17"/>
    <w:rsid w:val="00156D7B"/>
    <w:rsid w:val="00160658"/>
    <w:rsid w:val="00160B69"/>
    <w:rsid w:val="00160C95"/>
    <w:rsid w:val="00164836"/>
    <w:rsid w:val="001672D8"/>
    <w:rsid w:val="00171329"/>
    <w:rsid w:val="00171CEF"/>
    <w:rsid w:val="001776EC"/>
    <w:rsid w:val="001A1580"/>
    <w:rsid w:val="001B2230"/>
    <w:rsid w:val="001C06C1"/>
    <w:rsid w:val="001C5D0D"/>
    <w:rsid w:val="001D1233"/>
    <w:rsid w:val="001D60D0"/>
    <w:rsid w:val="001E2E25"/>
    <w:rsid w:val="001E33FD"/>
    <w:rsid w:val="001F2C6C"/>
    <w:rsid w:val="00203305"/>
    <w:rsid w:val="00204429"/>
    <w:rsid w:val="0020565A"/>
    <w:rsid w:val="00211EEE"/>
    <w:rsid w:val="00214FEF"/>
    <w:rsid w:val="00217AC9"/>
    <w:rsid w:val="00224A0B"/>
    <w:rsid w:val="002273EE"/>
    <w:rsid w:val="00227796"/>
    <w:rsid w:val="002306D9"/>
    <w:rsid w:val="00231155"/>
    <w:rsid w:val="00233FE3"/>
    <w:rsid w:val="00235F96"/>
    <w:rsid w:val="00240452"/>
    <w:rsid w:val="002472AE"/>
    <w:rsid w:val="00247A5A"/>
    <w:rsid w:val="002510B9"/>
    <w:rsid w:val="00252623"/>
    <w:rsid w:val="002549A2"/>
    <w:rsid w:val="00255686"/>
    <w:rsid w:val="00257036"/>
    <w:rsid w:val="00257AD3"/>
    <w:rsid w:val="0026583E"/>
    <w:rsid w:val="002712B2"/>
    <w:rsid w:val="0027269C"/>
    <w:rsid w:val="00272790"/>
    <w:rsid w:val="00275C32"/>
    <w:rsid w:val="00277FED"/>
    <w:rsid w:val="002856B0"/>
    <w:rsid w:val="0028698A"/>
    <w:rsid w:val="00296933"/>
    <w:rsid w:val="00297CF7"/>
    <w:rsid w:val="002A49C9"/>
    <w:rsid w:val="002B0E99"/>
    <w:rsid w:val="002B23D8"/>
    <w:rsid w:val="002B2D38"/>
    <w:rsid w:val="002C1850"/>
    <w:rsid w:val="002C1EE0"/>
    <w:rsid w:val="002C2D09"/>
    <w:rsid w:val="002C6E59"/>
    <w:rsid w:val="002C7193"/>
    <w:rsid w:val="002C7288"/>
    <w:rsid w:val="002D2DDA"/>
    <w:rsid w:val="002F0960"/>
    <w:rsid w:val="002F1442"/>
    <w:rsid w:val="002F182F"/>
    <w:rsid w:val="002F444A"/>
    <w:rsid w:val="002F623F"/>
    <w:rsid w:val="002F796F"/>
    <w:rsid w:val="00302CFB"/>
    <w:rsid w:val="00306CDB"/>
    <w:rsid w:val="0032168B"/>
    <w:rsid w:val="00324913"/>
    <w:rsid w:val="00325F18"/>
    <w:rsid w:val="0033140D"/>
    <w:rsid w:val="0033272F"/>
    <w:rsid w:val="003332DE"/>
    <w:rsid w:val="003353B6"/>
    <w:rsid w:val="00340CCD"/>
    <w:rsid w:val="00341049"/>
    <w:rsid w:val="00342C29"/>
    <w:rsid w:val="00344681"/>
    <w:rsid w:val="00355BEA"/>
    <w:rsid w:val="00357957"/>
    <w:rsid w:val="00364598"/>
    <w:rsid w:val="003665D5"/>
    <w:rsid w:val="0036766E"/>
    <w:rsid w:val="00371296"/>
    <w:rsid w:val="003777A1"/>
    <w:rsid w:val="003801D0"/>
    <w:rsid w:val="003837A3"/>
    <w:rsid w:val="003911DA"/>
    <w:rsid w:val="003A0E22"/>
    <w:rsid w:val="003A54D7"/>
    <w:rsid w:val="003B5226"/>
    <w:rsid w:val="003C2412"/>
    <w:rsid w:val="003C587F"/>
    <w:rsid w:val="003E05A2"/>
    <w:rsid w:val="003E667C"/>
    <w:rsid w:val="003F47E2"/>
    <w:rsid w:val="00404549"/>
    <w:rsid w:val="00406653"/>
    <w:rsid w:val="00413A68"/>
    <w:rsid w:val="00423612"/>
    <w:rsid w:val="00423CDD"/>
    <w:rsid w:val="0043431C"/>
    <w:rsid w:val="00436BFE"/>
    <w:rsid w:val="00437055"/>
    <w:rsid w:val="00441784"/>
    <w:rsid w:val="00443218"/>
    <w:rsid w:val="0045059D"/>
    <w:rsid w:val="00453159"/>
    <w:rsid w:val="00456AA4"/>
    <w:rsid w:val="00456CA6"/>
    <w:rsid w:val="00463C48"/>
    <w:rsid w:val="004653D0"/>
    <w:rsid w:val="00470A8F"/>
    <w:rsid w:val="00473224"/>
    <w:rsid w:val="00480949"/>
    <w:rsid w:val="004822EB"/>
    <w:rsid w:val="0048259E"/>
    <w:rsid w:val="00485903"/>
    <w:rsid w:val="0049151E"/>
    <w:rsid w:val="004922EE"/>
    <w:rsid w:val="0049337F"/>
    <w:rsid w:val="00494550"/>
    <w:rsid w:val="004A06DE"/>
    <w:rsid w:val="004A227F"/>
    <w:rsid w:val="004A3F02"/>
    <w:rsid w:val="004A7D76"/>
    <w:rsid w:val="004C62D5"/>
    <w:rsid w:val="004D69AB"/>
    <w:rsid w:val="004E002D"/>
    <w:rsid w:val="004F0C05"/>
    <w:rsid w:val="004F1F51"/>
    <w:rsid w:val="004F295E"/>
    <w:rsid w:val="004F665A"/>
    <w:rsid w:val="004F6997"/>
    <w:rsid w:val="00500106"/>
    <w:rsid w:val="00502DA8"/>
    <w:rsid w:val="00504BAC"/>
    <w:rsid w:val="00526B43"/>
    <w:rsid w:val="0056008C"/>
    <w:rsid w:val="0056128A"/>
    <w:rsid w:val="0056200F"/>
    <w:rsid w:val="0056276B"/>
    <w:rsid w:val="00567AB9"/>
    <w:rsid w:val="00572200"/>
    <w:rsid w:val="00572FED"/>
    <w:rsid w:val="00575A3A"/>
    <w:rsid w:val="00581ED2"/>
    <w:rsid w:val="0058600E"/>
    <w:rsid w:val="005904B7"/>
    <w:rsid w:val="0059452D"/>
    <w:rsid w:val="005A3ACD"/>
    <w:rsid w:val="005A6D45"/>
    <w:rsid w:val="005A735B"/>
    <w:rsid w:val="005B0A3B"/>
    <w:rsid w:val="005B315A"/>
    <w:rsid w:val="005C0EF4"/>
    <w:rsid w:val="005C4469"/>
    <w:rsid w:val="005C4702"/>
    <w:rsid w:val="005D012A"/>
    <w:rsid w:val="005E2837"/>
    <w:rsid w:val="005E6F90"/>
    <w:rsid w:val="005F1059"/>
    <w:rsid w:val="005F7E5C"/>
    <w:rsid w:val="00600A6F"/>
    <w:rsid w:val="0061249F"/>
    <w:rsid w:val="00622576"/>
    <w:rsid w:val="00627C8E"/>
    <w:rsid w:val="00631A3C"/>
    <w:rsid w:val="00633670"/>
    <w:rsid w:val="00637FC7"/>
    <w:rsid w:val="006402BE"/>
    <w:rsid w:val="006420B5"/>
    <w:rsid w:val="00643353"/>
    <w:rsid w:val="00653317"/>
    <w:rsid w:val="0065485E"/>
    <w:rsid w:val="00665C80"/>
    <w:rsid w:val="00671F57"/>
    <w:rsid w:val="00675A52"/>
    <w:rsid w:val="00691478"/>
    <w:rsid w:val="00691829"/>
    <w:rsid w:val="00692681"/>
    <w:rsid w:val="006929B4"/>
    <w:rsid w:val="006A3319"/>
    <w:rsid w:val="006A35A3"/>
    <w:rsid w:val="006A63C8"/>
    <w:rsid w:val="006B7E0B"/>
    <w:rsid w:val="006C62B6"/>
    <w:rsid w:val="006C68D3"/>
    <w:rsid w:val="006D016A"/>
    <w:rsid w:val="006D2762"/>
    <w:rsid w:val="006D326B"/>
    <w:rsid w:val="006E606D"/>
    <w:rsid w:val="006F369E"/>
    <w:rsid w:val="006F6908"/>
    <w:rsid w:val="007003D6"/>
    <w:rsid w:val="007063B1"/>
    <w:rsid w:val="007078E0"/>
    <w:rsid w:val="007103F1"/>
    <w:rsid w:val="00710DC2"/>
    <w:rsid w:val="007139B1"/>
    <w:rsid w:val="00730E61"/>
    <w:rsid w:val="00731746"/>
    <w:rsid w:val="00733628"/>
    <w:rsid w:val="00734F61"/>
    <w:rsid w:val="007430D3"/>
    <w:rsid w:val="007437BD"/>
    <w:rsid w:val="007466B2"/>
    <w:rsid w:val="00755EE2"/>
    <w:rsid w:val="0075649D"/>
    <w:rsid w:val="0075655A"/>
    <w:rsid w:val="00767EA0"/>
    <w:rsid w:val="0077585F"/>
    <w:rsid w:val="00781025"/>
    <w:rsid w:val="00783B01"/>
    <w:rsid w:val="0079212D"/>
    <w:rsid w:val="007A3E01"/>
    <w:rsid w:val="007B003A"/>
    <w:rsid w:val="007B257E"/>
    <w:rsid w:val="007B7638"/>
    <w:rsid w:val="007C10AC"/>
    <w:rsid w:val="007C3144"/>
    <w:rsid w:val="007C3CFD"/>
    <w:rsid w:val="007D28A3"/>
    <w:rsid w:val="007D3799"/>
    <w:rsid w:val="007E0367"/>
    <w:rsid w:val="007E09CF"/>
    <w:rsid w:val="007E3D74"/>
    <w:rsid w:val="007E76F5"/>
    <w:rsid w:val="007F04C9"/>
    <w:rsid w:val="007F0913"/>
    <w:rsid w:val="007F2DD4"/>
    <w:rsid w:val="007F5839"/>
    <w:rsid w:val="007F620B"/>
    <w:rsid w:val="00805595"/>
    <w:rsid w:val="00816AB2"/>
    <w:rsid w:val="008219D5"/>
    <w:rsid w:val="00826C6C"/>
    <w:rsid w:val="00826DF2"/>
    <w:rsid w:val="008274A1"/>
    <w:rsid w:val="0082772E"/>
    <w:rsid w:val="00830137"/>
    <w:rsid w:val="008301F3"/>
    <w:rsid w:val="008346F9"/>
    <w:rsid w:val="00836AAD"/>
    <w:rsid w:val="00840CB7"/>
    <w:rsid w:val="00841FEC"/>
    <w:rsid w:val="00842603"/>
    <w:rsid w:val="0084372D"/>
    <w:rsid w:val="00844349"/>
    <w:rsid w:val="00845622"/>
    <w:rsid w:val="0085117A"/>
    <w:rsid w:val="00851617"/>
    <w:rsid w:val="008545D1"/>
    <w:rsid w:val="008570E9"/>
    <w:rsid w:val="0085796F"/>
    <w:rsid w:val="00861D56"/>
    <w:rsid w:val="008807D2"/>
    <w:rsid w:val="008809B7"/>
    <w:rsid w:val="00882467"/>
    <w:rsid w:val="00882B55"/>
    <w:rsid w:val="00892EAA"/>
    <w:rsid w:val="008A58B8"/>
    <w:rsid w:val="008B241B"/>
    <w:rsid w:val="008B4376"/>
    <w:rsid w:val="008C3A7E"/>
    <w:rsid w:val="008D4F38"/>
    <w:rsid w:val="008D6882"/>
    <w:rsid w:val="008E473F"/>
    <w:rsid w:val="008E7DD5"/>
    <w:rsid w:val="008F4B38"/>
    <w:rsid w:val="00903319"/>
    <w:rsid w:val="009110C7"/>
    <w:rsid w:val="00914D6A"/>
    <w:rsid w:val="009161CF"/>
    <w:rsid w:val="00916374"/>
    <w:rsid w:val="00916D47"/>
    <w:rsid w:val="00923BBE"/>
    <w:rsid w:val="009256B7"/>
    <w:rsid w:val="0092778B"/>
    <w:rsid w:val="00942E76"/>
    <w:rsid w:val="0094698B"/>
    <w:rsid w:val="009474C9"/>
    <w:rsid w:val="009478BB"/>
    <w:rsid w:val="00951E1E"/>
    <w:rsid w:val="00952140"/>
    <w:rsid w:val="009552AF"/>
    <w:rsid w:val="009617EC"/>
    <w:rsid w:val="00961DC8"/>
    <w:rsid w:val="00962AC9"/>
    <w:rsid w:val="00964DC8"/>
    <w:rsid w:val="0096796B"/>
    <w:rsid w:val="009759E3"/>
    <w:rsid w:val="0098006D"/>
    <w:rsid w:val="00982163"/>
    <w:rsid w:val="00990255"/>
    <w:rsid w:val="009906FE"/>
    <w:rsid w:val="00990EA6"/>
    <w:rsid w:val="009926F3"/>
    <w:rsid w:val="009A41F9"/>
    <w:rsid w:val="009A5F7A"/>
    <w:rsid w:val="009B3F9A"/>
    <w:rsid w:val="009B5968"/>
    <w:rsid w:val="009C532B"/>
    <w:rsid w:val="009D4AEF"/>
    <w:rsid w:val="009E2492"/>
    <w:rsid w:val="009F1AB1"/>
    <w:rsid w:val="009F1C7E"/>
    <w:rsid w:val="009F51D2"/>
    <w:rsid w:val="00A01BFF"/>
    <w:rsid w:val="00A0366C"/>
    <w:rsid w:val="00A074A3"/>
    <w:rsid w:val="00A206C0"/>
    <w:rsid w:val="00A32397"/>
    <w:rsid w:val="00A42506"/>
    <w:rsid w:val="00A4698D"/>
    <w:rsid w:val="00A4735D"/>
    <w:rsid w:val="00A505FF"/>
    <w:rsid w:val="00A538B1"/>
    <w:rsid w:val="00A561C8"/>
    <w:rsid w:val="00A57AE3"/>
    <w:rsid w:val="00A608C8"/>
    <w:rsid w:val="00A67935"/>
    <w:rsid w:val="00A816ED"/>
    <w:rsid w:val="00A81A4E"/>
    <w:rsid w:val="00A823DB"/>
    <w:rsid w:val="00A8279F"/>
    <w:rsid w:val="00A87A93"/>
    <w:rsid w:val="00A905CA"/>
    <w:rsid w:val="00A94D63"/>
    <w:rsid w:val="00AB1099"/>
    <w:rsid w:val="00AB3203"/>
    <w:rsid w:val="00AB670B"/>
    <w:rsid w:val="00AC031C"/>
    <w:rsid w:val="00AC41D9"/>
    <w:rsid w:val="00AC4C8D"/>
    <w:rsid w:val="00AC60A7"/>
    <w:rsid w:val="00AC646D"/>
    <w:rsid w:val="00AD0E8F"/>
    <w:rsid w:val="00AD108B"/>
    <w:rsid w:val="00AE619F"/>
    <w:rsid w:val="00AF0280"/>
    <w:rsid w:val="00B00023"/>
    <w:rsid w:val="00B00EBA"/>
    <w:rsid w:val="00B12083"/>
    <w:rsid w:val="00B15C9C"/>
    <w:rsid w:val="00B163B1"/>
    <w:rsid w:val="00B16BA7"/>
    <w:rsid w:val="00B177E3"/>
    <w:rsid w:val="00B20D1D"/>
    <w:rsid w:val="00B2124B"/>
    <w:rsid w:val="00B2310C"/>
    <w:rsid w:val="00B24447"/>
    <w:rsid w:val="00B2465E"/>
    <w:rsid w:val="00B31ACB"/>
    <w:rsid w:val="00B33722"/>
    <w:rsid w:val="00B43298"/>
    <w:rsid w:val="00B442BA"/>
    <w:rsid w:val="00B443CA"/>
    <w:rsid w:val="00B50BFE"/>
    <w:rsid w:val="00B55055"/>
    <w:rsid w:val="00B55E17"/>
    <w:rsid w:val="00B56268"/>
    <w:rsid w:val="00B56614"/>
    <w:rsid w:val="00B60732"/>
    <w:rsid w:val="00B610D9"/>
    <w:rsid w:val="00B64674"/>
    <w:rsid w:val="00B64A40"/>
    <w:rsid w:val="00B65F47"/>
    <w:rsid w:val="00B71180"/>
    <w:rsid w:val="00B716E9"/>
    <w:rsid w:val="00B80E0C"/>
    <w:rsid w:val="00B8250E"/>
    <w:rsid w:val="00B91557"/>
    <w:rsid w:val="00BA2F16"/>
    <w:rsid w:val="00BA3EBC"/>
    <w:rsid w:val="00BA6694"/>
    <w:rsid w:val="00BA7D69"/>
    <w:rsid w:val="00BB6BE5"/>
    <w:rsid w:val="00BB6F88"/>
    <w:rsid w:val="00BB7205"/>
    <w:rsid w:val="00BB7FD0"/>
    <w:rsid w:val="00BC4CAC"/>
    <w:rsid w:val="00BC5492"/>
    <w:rsid w:val="00BD2E74"/>
    <w:rsid w:val="00BD55E5"/>
    <w:rsid w:val="00BD7BC5"/>
    <w:rsid w:val="00BE0596"/>
    <w:rsid w:val="00BE4917"/>
    <w:rsid w:val="00BF1066"/>
    <w:rsid w:val="00BF214C"/>
    <w:rsid w:val="00BF2598"/>
    <w:rsid w:val="00BF3F28"/>
    <w:rsid w:val="00C039D3"/>
    <w:rsid w:val="00C11366"/>
    <w:rsid w:val="00C12644"/>
    <w:rsid w:val="00C13546"/>
    <w:rsid w:val="00C15BE0"/>
    <w:rsid w:val="00C23C4B"/>
    <w:rsid w:val="00C24E36"/>
    <w:rsid w:val="00C26325"/>
    <w:rsid w:val="00C30F0D"/>
    <w:rsid w:val="00C32DE5"/>
    <w:rsid w:val="00C355CF"/>
    <w:rsid w:val="00C369E5"/>
    <w:rsid w:val="00C37EF6"/>
    <w:rsid w:val="00C41A76"/>
    <w:rsid w:val="00C45422"/>
    <w:rsid w:val="00C536F8"/>
    <w:rsid w:val="00C539FC"/>
    <w:rsid w:val="00C56FDA"/>
    <w:rsid w:val="00C650CC"/>
    <w:rsid w:val="00C81E90"/>
    <w:rsid w:val="00C83575"/>
    <w:rsid w:val="00C90CC2"/>
    <w:rsid w:val="00C939A3"/>
    <w:rsid w:val="00C93C92"/>
    <w:rsid w:val="00CA1D8E"/>
    <w:rsid w:val="00CA7B37"/>
    <w:rsid w:val="00CB251D"/>
    <w:rsid w:val="00CB5714"/>
    <w:rsid w:val="00CC0969"/>
    <w:rsid w:val="00CC1677"/>
    <w:rsid w:val="00CC283D"/>
    <w:rsid w:val="00CD4522"/>
    <w:rsid w:val="00CD5843"/>
    <w:rsid w:val="00CD65A0"/>
    <w:rsid w:val="00CD70EA"/>
    <w:rsid w:val="00CE4425"/>
    <w:rsid w:val="00CE45AB"/>
    <w:rsid w:val="00CF500E"/>
    <w:rsid w:val="00CF6E70"/>
    <w:rsid w:val="00CF79D5"/>
    <w:rsid w:val="00D00345"/>
    <w:rsid w:val="00D03626"/>
    <w:rsid w:val="00D06052"/>
    <w:rsid w:val="00D123AE"/>
    <w:rsid w:val="00D143A9"/>
    <w:rsid w:val="00D14484"/>
    <w:rsid w:val="00D16F71"/>
    <w:rsid w:val="00D17072"/>
    <w:rsid w:val="00D1759B"/>
    <w:rsid w:val="00D21635"/>
    <w:rsid w:val="00D25F92"/>
    <w:rsid w:val="00D316B4"/>
    <w:rsid w:val="00D4758C"/>
    <w:rsid w:val="00D53F92"/>
    <w:rsid w:val="00D541A5"/>
    <w:rsid w:val="00D5445E"/>
    <w:rsid w:val="00D66860"/>
    <w:rsid w:val="00D70195"/>
    <w:rsid w:val="00D70473"/>
    <w:rsid w:val="00D7117A"/>
    <w:rsid w:val="00D75251"/>
    <w:rsid w:val="00D86A0F"/>
    <w:rsid w:val="00D93905"/>
    <w:rsid w:val="00DA23A2"/>
    <w:rsid w:val="00DA3694"/>
    <w:rsid w:val="00DB112A"/>
    <w:rsid w:val="00DB1D2C"/>
    <w:rsid w:val="00DB36B1"/>
    <w:rsid w:val="00DB59F1"/>
    <w:rsid w:val="00DB6F74"/>
    <w:rsid w:val="00DC132E"/>
    <w:rsid w:val="00DC5E50"/>
    <w:rsid w:val="00DE0B76"/>
    <w:rsid w:val="00DF2310"/>
    <w:rsid w:val="00DF3B38"/>
    <w:rsid w:val="00E0585A"/>
    <w:rsid w:val="00E06C08"/>
    <w:rsid w:val="00E06C16"/>
    <w:rsid w:val="00E1768A"/>
    <w:rsid w:val="00E23A96"/>
    <w:rsid w:val="00E47266"/>
    <w:rsid w:val="00E506ED"/>
    <w:rsid w:val="00E5408F"/>
    <w:rsid w:val="00E56C04"/>
    <w:rsid w:val="00E56F92"/>
    <w:rsid w:val="00E63D2E"/>
    <w:rsid w:val="00E6719B"/>
    <w:rsid w:val="00E754AC"/>
    <w:rsid w:val="00E77A0B"/>
    <w:rsid w:val="00E77B9E"/>
    <w:rsid w:val="00E83D76"/>
    <w:rsid w:val="00E847D6"/>
    <w:rsid w:val="00E85523"/>
    <w:rsid w:val="00E8784C"/>
    <w:rsid w:val="00E91C47"/>
    <w:rsid w:val="00E95074"/>
    <w:rsid w:val="00E95246"/>
    <w:rsid w:val="00E95F8A"/>
    <w:rsid w:val="00EA6B43"/>
    <w:rsid w:val="00EB0399"/>
    <w:rsid w:val="00EB2683"/>
    <w:rsid w:val="00EB3A7D"/>
    <w:rsid w:val="00EB5FC3"/>
    <w:rsid w:val="00EC0014"/>
    <w:rsid w:val="00EC30AA"/>
    <w:rsid w:val="00EC5BB1"/>
    <w:rsid w:val="00ED1A3D"/>
    <w:rsid w:val="00ED212B"/>
    <w:rsid w:val="00ED56DB"/>
    <w:rsid w:val="00EE0660"/>
    <w:rsid w:val="00EE08D3"/>
    <w:rsid w:val="00EE1E02"/>
    <w:rsid w:val="00EE3E20"/>
    <w:rsid w:val="00EE5773"/>
    <w:rsid w:val="00EE6E3E"/>
    <w:rsid w:val="00EF60B1"/>
    <w:rsid w:val="00EF6505"/>
    <w:rsid w:val="00F00F10"/>
    <w:rsid w:val="00F0102D"/>
    <w:rsid w:val="00F0716D"/>
    <w:rsid w:val="00F07DDE"/>
    <w:rsid w:val="00F11F2B"/>
    <w:rsid w:val="00F12C17"/>
    <w:rsid w:val="00F1559D"/>
    <w:rsid w:val="00F2176E"/>
    <w:rsid w:val="00F27253"/>
    <w:rsid w:val="00F32302"/>
    <w:rsid w:val="00F413D9"/>
    <w:rsid w:val="00F43541"/>
    <w:rsid w:val="00F43992"/>
    <w:rsid w:val="00F443B3"/>
    <w:rsid w:val="00F45BE6"/>
    <w:rsid w:val="00F46A7B"/>
    <w:rsid w:val="00F51139"/>
    <w:rsid w:val="00F51890"/>
    <w:rsid w:val="00F530FC"/>
    <w:rsid w:val="00F53A81"/>
    <w:rsid w:val="00F5577D"/>
    <w:rsid w:val="00F608DB"/>
    <w:rsid w:val="00F61F1F"/>
    <w:rsid w:val="00F6780C"/>
    <w:rsid w:val="00F73707"/>
    <w:rsid w:val="00F76135"/>
    <w:rsid w:val="00F8048D"/>
    <w:rsid w:val="00F848B2"/>
    <w:rsid w:val="00F91BA8"/>
    <w:rsid w:val="00FA33DE"/>
    <w:rsid w:val="00FA4C58"/>
    <w:rsid w:val="00FA4D8A"/>
    <w:rsid w:val="00FA54CC"/>
    <w:rsid w:val="00FB153D"/>
    <w:rsid w:val="00FB5183"/>
    <w:rsid w:val="00FB6871"/>
    <w:rsid w:val="00FC47DF"/>
    <w:rsid w:val="00FD1573"/>
    <w:rsid w:val="00FD7A4B"/>
    <w:rsid w:val="00FD7C8D"/>
    <w:rsid w:val="00FE014F"/>
    <w:rsid w:val="00FE40A9"/>
    <w:rsid w:val="00FE5A9E"/>
    <w:rsid w:val="00FF0DD4"/>
    <w:rsid w:val="00FF30C1"/>
    <w:rsid w:val="00FF6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95B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5059D"/>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059D"/>
    <w:rPr>
      <w:sz w:val="24"/>
      <w:szCs w:val="24"/>
    </w:rPr>
  </w:style>
  <w:style w:type="character" w:customStyle="1" w:styleId="BodyTextChar">
    <w:name w:val="Body Text Char"/>
    <w:basedOn w:val="DefaultParagraphFont"/>
    <w:link w:val="BodyText"/>
    <w:uiPriority w:val="1"/>
    <w:rsid w:val="0045059D"/>
    <w:rPr>
      <w:rFonts w:ascii="Times New Roman" w:eastAsiaTheme="minorEastAsia" w:hAnsi="Times New Roman" w:cs="Times New Roman"/>
      <w:sz w:val="24"/>
      <w:szCs w:val="24"/>
      <w:lang w:eastAsia="en-AU"/>
    </w:rPr>
  </w:style>
  <w:style w:type="paragraph" w:styleId="ListParagraph">
    <w:name w:val="List Paragraph"/>
    <w:basedOn w:val="Normal"/>
    <w:uiPriority w:val="1"/>
    <w:qFormat/>
    <w:rsid w:val="0045059D"/>
    <w:pPr>
      <w:spacing w:before="121"/>
      <w:ind w:left="463" w:right="462" w:hanging="360"/>
    </w:pPr>
    <w:rPr>
      <w:sz w:val="24"/>
      <w:szCs w:val="24"/>
    </w:rPr>
  </w:style>
  <w:style w:type="paragraph" w:styleId="Header">
    <w:name w:val="header"/>
    <w:basedOn w:val="Normal"/>
    <w:link w:val="HeaderChar"/>
    <w:uiPriority w:val="99"/>
    <w:unhideWhenUsed/>
    <w:rsid w:val="0045059D"/>
    <w:pPr>
      <w:tabs>
        <w:tab w:val="center" w:pos="4513"/>
        <w:tab w:val="right" w:pos="9026"/>
      </w:tabs>
    </w:pPr>
  </w:style>
  <w:style w:type="character" w:customStyle="1" w:styleId="HeaderChar">
    <w:name w:val="Header Char"/>
    <w:basedOn w:val="DefaultParagraphFont"/>
    <w:link w:val="Header"/>
    <w:uiPriority w:val="99"/>
    <w:rsid w:val="0045059D"/>
    <w:rPr>
      <w:rFonts w:ascii="Times New Roman" w:eastAsiaTheme="minorEastAsia" w:hAnsi="Times New Roman" w:cs="Times New Roman"/>
      <w:lang w:eastAsia="en-AU"/>
    </w:rPr>
  </w:style>
  <w:style w:type="paragraph" w:styleId="BalloonText">
    <w:name w:val="Balloon Text"/>
    <w:basedOn w:val="Normal"/>
    <w:link w:val="BalloonTextChar"/>
    <w:uiPriority w:val="99"/>
    <w:semiHidden/>
    <w:unhideWhenUsed/>
    <w:rsid w:val="00450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59D"/>
    <w:rPr>
      <w:rFonts w:ascii="Segoe UI" w:eastAsiaTheme="minorEastAsia" w:hAnsi="Segoe UI" w:cs="Segoe UI"/>
      <w:sz w:val="18"/>
      <w:szCs w:val="18"/>
      <w:lang w:eastAsia="en-AU"/>
    </w:rPr>
  </w:style>
  <w:style w:type="paragraph" w:styleId="Footer">
    <w:name w:val="footer"/>
    <w:basedOn w:val="Normal"/>
    <w:link w:val="FooterChar"/>
    <w:uiPriority w:val="99"/>
    <w:unhideWhenUsed/>
    <w:rsid w:val="0045059D"/>
    <w:pPr>
      <w:tabs>
        <w:tab w:val="center" w:pos="4513"/>
        <w:tab w:val="right" w:pos="9026"/>
      </w:tabs>
    </w:pPr>
  </w:style>
  <w:style w:type="character" w:customStyle="1" w:styleId="FooterChar">
    <w:name w:val="Footer Char"/>
    <w:basedOn w:val="DefaultParagraphFont"/>
    <w:link w:val="Footer"/>
    <w:uiPriority w:val="99"/>
    <w:rsid w:val="0045059D"/>
    <w:rPr>
      <w:rFonts w:ascii="Times New Roman" w:eastAsiaTheme="minorEastAsia"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5085">
      <w:bodyDiv w:val="1"/>
      <w:marLeft w:val="0"/>
      <w:marRight w:val="0"/>
      <w:marTop w:val="0"/>
      <w:marBottom w:val="0"/>
      <w:divBdr>
        <w:top w:val="none" w:sz="0" w:space="0" w:color="auto"/>
        <w:left w:val="none" w:sz="0" w:space="0" w:color="auto"/>
        <w:bottom w:val="none" w:sz="0" w:space="0" w:color="auto"/>
        <w:right w:val="none" w:sz="0" w:space="0" w:color="auto"/>
      </w:divBdr>
    </w:div>
    <w:div w:id="16219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hcour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cour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0" ma:contentTypeDescription="Create a new document." ma:contentTypeScope="" ma:versionID="8fe3c49d4c3a51b49b5820eb6965a167">
  <xsd:schema xmlns:xsd="http://www.w3.org/2001/XMLSchema" xmlns:xs="http://www.w3.org/2001/XMLSchema" xmlns:p="http://schemas.microsoft.com/office/2006/metadata/properties" xmlns:ns2="3cc3f26d-d9cc-46f3-89c7-f1482de8c8f1" targetNamespace="http://schemas.microsoft.com/office/2006/metadata/properties" ma:root="true" ma:fieldsID="17bf54a0125c5ec0ccecfca21bb236bd" ns2:_="">
    <xsd:import namespace="3cc3f26d-d9cc-46f3-89c7-f1482de8c8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FF491-F7FA-4317-AFC3-E883E36D5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8F5CE-6FDF-44E4-9AF9-69CCBD49BDB6}">
  <ds:schemaRefs>
    <ds:schemaRef ds:uri="http://schemas.microsoft.com/sharepoint/v3/contenttype/forms"/>
  </ds:schemaRefs>
</ds:datastoreItem>
</file>

<file path=customXml/itemProps3.xml><?xml version="1.0" encoding="utf-8"?>
<ds:datastoreItem xmlns:ds="http://schemas.openxmlformats.org/officeDocument/2006/customXml" ds:itemID="{93559788-D72C-4C42-9FAB-A76E179D09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3919</Characters>
  <Application>Microsoft Office Word</Application>
  <DocSecurity>0</DocSecurity>
  <Lines>60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4661</CharactersWithSpaces>
  <SharedDoc>false</SharedDoc>
  <HLinks>
    <vt:vector size="12" baseType="variant">
      <vt:variant>
        <vt:i4>4456514</vt:i4>
      </vt:variant>
      <vt:variant>
        <vt:i4>3</vt:i4>
      </vt:variant>
      <vt:variant>
        <vt:i4>0</vt:i4>
      </vt:variant>
      <vt:variant>
        <vt:i4>5</vt:i4>
      </vt:variant>
      <vt:variant>
        <vt:lpwstr>http://www.hcourt.gov.au/</vt:lpwstr>
      </vt:variant>
      <vt:variant>
        <vt:lpwstr/>
      </vt:variant>
      <vt:variant>
        <vt:i4>6946836</vt:i4>
      </vt:variant>
      <vt:variant>
        <vt:i4>0</vt:i4>
      </vt:variant>
      <vt:variant>
        <vt:i4>0</vt:i4>
      </vt:variant>
      <vt:variant>
        <vt:i4>5</vt:i4>
      </vt:variant>
      <vt:variant>
        <vt:lpwstr>mailto:enquiries@hcourt.gov.au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dc:description/>
  <cp:lastModifiedBy/>
  <cp:revision>1</cp:revision>
  <cp:lastPrinted>2021-03-06T02:19:00Z</cp:lastPrinted>
  <dcterms:created xsi:type="dcterms:W3CDTF">2021-05-18T23:48:00Z</dcterms:created>
  <dcterms:modified xsi:type="dcterms:W3CDTF">2021-05-18T23:48:00Z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ies>
</file>