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72BDE" w14:textId="77777777" w:rsidR="00310A6C" w:rsidRDefault="00310A6C">
      <w:pPr>
        <w:ind w:right="-285"/>
      </w:pPr>
    </w:p>
    <w:p w14:paraId="389AAAAE" w14:textId="77777777" w:rsidR="00443C39" w:rsidRDefault="00443C39" w:rsidP="00443C39">
      <w:pPr>
        <w:framePr w:w="2019" w:h="430" w:hSpace="181" w:wrap="notBeside" w:vAnchor="text" w:hAnchor="page" w:x="9081" w:y="-550"/>
        <w:shd w:val="solid" w:color="FFFFFF" w:fill="FFFFFF"/>
        <w:rPr>
          <w:rFonts w:ascii="Arial" w:hAnsi="Arial"/>
          <w:sz w:val="18"/>
        </w:rPr>
      </w:pPr>
    </w:p>
    <w:p w14:paraId="2092B68C" w14:textId="7C399798" w:rsidR="00443C39" w:rsidRDefault="006175A0" w:rsidP="00443C39">
      <w:pPr>
        <w:framePr w:w="2019" w:h="430" w:hSpace="181" w:wrap="notBeside" w:vAnchor="text" w:hAnchor="page" w:x="9081" w:y="-550"/>
        <w:shd w:val="solid" w:color="FFFFFF" w:fill="FFFFFF"/>
      </w:pPr>
      <w:r>
        <w:t>4 August</w:t>
      </w:r>
      <w:r w:rsidR="003D776B">
        <w:t xml:space="preserve"> 2021</w:t>
      </w:r>
    </w:p>
    <w:p w14:paraId="2370F426" w14:textId="61CD9E83" w:rsidR="005F16F6" w:rsidRDefault="00865ABB" w:rsidP="00E95A71">
      <w:pPr>
        <w:ind w:right="-285"/>
        <w:jc w:val="center"/>
        <w:rPr>
          <w:u w:val="single"/>
        </w:rPr>
      </w:pPr>
      <w:r>
        <w:rPr>
          <w:u w:val="single"/>
        </w:rPr>
        <w:t>WORKPAC PTY LTD</w:t>
      </w:r>
      <w:r w:rsidR="003F0C4C">
        <w:rPr>
          <w:u w:val="single"/>
        </w:rPr>
        <w:t xml:space="preserve"> v </w:t>
      </w:r>
      <w:r>
        <w:rPr>
          <w:u w:val="single"/>
        </w:rPr>
        <w:t xml:space="preserve">ROSSATO </w:t>
      </w:r>
      <w:r w:rsidR="003F0C4C">
        <w:rPr>
          <w:u w:val="single"/>
        </w:rPr>
        <w:t>&amp; ORS</w:t>
      </w:r>
    </w:p>
    <w:p w14:paraId="3F532322" w14:textId="33A90B8F" w:rsidR="00310A6C" w:rsidRPr="005F16F6" w:rsidRDefault="00E95A71" w:rsidP="00E95A71">
      <w:pPr>
        <w:ind w:right="-285"/>
        <w:jc w:val="center"/>
      </w:pPr>
      <w:r w:rsidRPr="005F16F6">
        <w:t>[20</w:t>
      </w:r>
      <w:r w:rsidR="006F703C">
        <w:t>21</w:t>
      </w:r>
      <w:r w:rsidRPr="005F16F6">
        <w:t xml:space="preserve">] </w:t>
      </w:r>
      <w:smartTag w:uri="urn:schemas-microsoft-com:office:smarttags" w:element="stockticker">
        <w:r w:rsidRPr="005F16F6">
          <w:t>HCA</w:t>
        </w:r>
      </w:smartTag>
      <w:r w:rsidRPr="005F16F6">
        <w:t xml:space="preserve"> </w:t>
      </w:r>
      <w:bookmarkStart w:id="0" w:name="_GoBack"/>
      <w:r w:rsidR="00723003">
        <w:t>23</w:t>
      </w:r>
    </w:p>
    <w:bookmarkEnd w:id="0"/>
    <w:p w14:paraId="6A3CC01C" w14:textId="77777777" w:rsidR="000474B9" w:rsidRPr="00873C60" w:rsidRDefault="000474B9" w:rsidP="00873C60">
      <w:pPr>
        <w:ind w:right="-285"/>
        <w:jc w:val="center"/>
      </w:pPr>
    </w:p>
    <w:p w14:paraId="3C9BD5A4" w14:textId="37A81652" w:rsidR="00010BD4" w:rsidRDefault="00C51B8D" w:rsidP="00176DC4">
      <w:pPr>
        <w:ind w:right="-285"/>
      </w:pPr>
      <w:r>
        <w:t>Today</w:t>
      </w:r>
      <w:r w:rsidR="00767C34">
        <w:t>,</w:t>
      </w:r>
      <w:r>
        <w:t xml:space="preserve"> the High Court </w:t>
      </w:r>
      <w:r w:rsidR="006750A0">
        <w:t xml:space="preserve">unanimously </w:t>
      </w:r>
      <w:r w:rsidR="00F01645">
        <w:t>allowed</w:t>
      </w:r>
      <w:r w:rsidR="006F109B">
        <w:t xml:space="preserve"> an appeal from a judgment of </w:t>
      </w:r>
      <w:r w:rsidR="00BF5FC0">
        <w:t>the Full Court of the Federal Court of Australia</w:t>
      </w:r>
      <w:r w:rsidR="009D393C">
        <w:t>. The appeal concerned</w:t>
      </w:r>
      <w:r w:rsidR="00B95436">
        <w:t xml:space="preserve"> </w:t>
      </w:r>
      <w:r w:rsidR="005D6A9A">
        <w:t>the nature of casual employment</w:t>
      </w:r>
      <w:r w:rsidR="005769C2">
        <w:t xml:space="preserve">. </w:t>
      </w:r>
      <w:r w:rsidR="00F8002E">
        <w:t xml:space="preserve">The </w:t>
      </w:r>
      <w:r w:rsidR="00AE7333">
        <w:t xml:space="preserve">first </w:t>
      </w:r>
      <w:r w:rsidR="00F8002E">
        <w:t xml:space="preserve">respondent ("Mr Rossato") was employed </w:t>
      </w:r>
      <w:r w:rsidR="006E2907">
        <w:t xml:space="preserve">as a production worker </w:t>
      </w:r>
      <w:r w:rsidR="00F8002E">
        <w:t xml:space="preserve">by the appellant labour-hire company ("WorkPac") </w:t>
      </w:r>
      <w:r w:rsidR="0057690A">
        <w:t>under a series of six contracts</w:t>
      </w:r>
      <w:r w:rsidR="00505DAF">
        <w:t>, or "assignments",</w:t>
      </w:r>
      <w:r w:rsidR="004577E3">
        <w:t xml:space="preserve"> to perform work for </w:t>
      </w:r>
      <w:r w:rsidR="00977B3B">
        <w:t>one of WorkPac's</w:t>
      </w:r>
      <w:r w:rsidR="004577E3">
        <w:t xml:space="preserve"> client</w:t>
      </w:r>
      <w:r w:rsidR="00977B3B">
        <w:t>s</w:t>
      </w:r>
      <w:r w:rsidR="00F6390B">
        <w:t>. At all relevant times, WorkPac treated Mr</w:t>
      </w:r>
      <w:r w:rsidR="00AE7333">
        <w:t> </w:t>
      </w:r>
      <w:r w:rsidR="00F6390B">
        <w:t xml:space="preserve">Rossato as a casual employee, </w:t>
      </w:r>
      <w:r w:rsidR="009B4A77">
        <w:t>such</w:t>
      </w:r>
      <w:r w:rsidR="003E5DFF">
        <w:t xml:space="preserve"> that Mr</w:t>
      </w:r>
      <w:r w:rsidR="00D74F0B">
        <w:t xml:space="preserve"> Rossato was not paid the leave and public holiday entitlements owed by employers to </w:t>
      </w:r>
      <w:r w:rsidR="00DE17AA">
        <w:t>non</w:t>
      </w:r>
      <w:r w:rsidR="00DE17AA">
        <w:noBreakHyphen/>
        <w:t>casual employees </w:t>
      </w:r>
      <w:r w:rsidR="006E5559">
        <w:t xml:space="preserve">pursuant to the </w:t>
      </w:r>
      <w:r w:rsidR="006E5559">
        <w:rPr>
          <w:i/>
        </w:rPr>
        <w:t xml:space="preserve">Fair Work Act 2009 </w:t>
      </w:r>
      <w:r w:rsidR="006E5559">
        <w:t xml:space="preserve">(Cth) ("the Act") and the enterprise agreement which governed </w:t>
      </w:r>
      <w:r w:rsidR="00D41685">
        <w:t>his employment</w:t>
      </w:r>
      <w:r w:rsidR="00DE17AA">
        <w:t>.</w:t>
      </w:r>
      <w:r w:rsidR="00D74F0B">
        <w:t xml:space="preserve"> </w:t>
      </w:r>
    </w:p>
    <w:p w14:paraId="1B61C93F" w14:textId="7D54FC34" w:rsidR="00010BD4" w:rsidRDefault="00010BD4" w:rsidP="00176DC4">
      <w:pPr>
        <w:ind w:right="-285"/>
      </w:pPr>
    </w:p>
    <w:p w14:paraId="405C42CA" w14:textId="61073020" w:rsidR="00010BD4" w:rsidRPr="00010BD4" w:rsidRDefault="006C20E0" w:rsidP="00176DC4">
      <w:pPr>
        <w:ind w:right="-285"/>
      </w:pPr>
      <w:r>
        <w:t xml:space="preserve">On 16 August 2018, </w:t>
      </w:r>
      <w:r w:rsidR="00D24842">
        <w:t xml:space="preserve">judgment </w:t>
      </w:r>
      <w:r w:rsidR="004D5BB2">
        <w:t xml:space="preserve">was delivered </w:t>
      </w:r>
      <w:r w:rsidR="00D24842">
        <w:t>in</w:t>
      </w:r>
      <w:r w:rsidR="00010BD4">
        <w:t xml:space="preserve"> </w:t>
      </w:r>
      <w:r w:rsidR="00010BD4">
        <w:rPr>
          <w:i/>
        </w:rPr>
        <w:t>WorkPac Pty Ltd v Skene</w:t>
      </w:r>
      <w:r w:rsidR="00010BD4">
        <w:t xml:space="preserve"> </w:t>
      </w:r>
      <w:r w:rsidR="00360730">
        <w:t>(2018) 264 FCR 536</w:t>
      </w:r>
      <w:r w:rsidR="00D24842">
        <w:t xml:space="preserve">. </w:t>
      </w:r>
      <w:r w:rsidR="00360730">
        <w:t xml:space="preserve">In that decision, </w:t>
      </w:r>
      <w:r w:rsidR="004D5BB2">
        <w:t>it was</w:t>
      </w:r>
      <w:r w:rsidR="00D24842">
        <w:t xml:space="preserve"> </w:t>
      </w:r>
      <w:r w:rsidR="00010BD4">
        <w:t>held that Mr</w:t>
      </w:r>
      <w:r w:rsidR="00360730">
        <w:t> </w:t>
      </w:r>
      <w:r w:rsidR="00010BD4">
        <w:t xml:space="preserve">Skene, </w:t>
      </w:r>
      <w:r w:rsidR="00360730">
        <w:t xml:space="preserve">who had been </w:t>
      </w:r>
      <w:r>
        <w:t xml:space="preserve">employed </w:t>
      </w:r>
      <w:r w:rsidR="00360730">
        <w:t xml:space="preserve">by WorkPac </w:t>
      </w:r>
      <w:r>
        <w:t>in circumstances similar to those of Mr Rossato, was not a casual employee</w:t>
      </w:r>
      <w:r w:rsidR="00D24842">
        <w:t>.</w:t>
      </w:r>
      <w:r w:rsidR="00D65627">
        <w:t xml:space="preserve"> In reliance on that decision, Mr Rossato claimed </w:t>
      </w:r>
      <w:r w:rsidR="00ED06C0">
        <w:t xml:space="preserve">that he was likewise not a casual employee, and was therefore entitled to be paid for untaken annual leave, public holidays, and periods of personal leave and compassionate leave </w:t>
      </w:r>
      <w:r w:rsidR="00516E8A">
        <w:t>taken during his employment.</w:t>
      </w:r>
      <w:r w:rsidR="00082861">
        <w:t xml:space="preserve"> WorkPac denied his claims and filed an originating application in the Federal Court seeking declarations that Mr Rossato had been a casual employee for the purposes of the Act and the </w:t>
      </w:r>
      <w:r w:rsidR="00D41685">
        <w:t xml:space="preserve">relevant </w:t>
      </w:r>
      <w:r w:rsidR="00082861">
        <w:t>enterprise agreement</w:t>
      </w:r>
      <w:r w:rsidR="00D523C9">
        <w:t>.</w:t>
      </w:r>
      <w:r w:rsidR="000C0AC0">
        <w:t xml:space="preserve"> </w:t>
      </w:r>
      <w:r w:rsidR="000C0AC0" w:rsidRPr="00805D22">
        <w:t xml:space="preserve">In the alternative, WorkPac claimed to be entitled to </w:t>
      </w:r>
      <w:r w:rsidR="00BA6B04" w:rsidRPr="00805D22">
        <w:t xml:space="preserve">a </w:t>
      </w:r>
      <w:r w:rsidR="000C0AC0" w:rsidRPr="00805D22">
        <w:t>set</w:t>
      </w:r>
      <w:r w:rsidR="00284F20" w:rsidRPr="00805D22">
        <w:t xml:space="preserve"> </w:t>
      </w:r>
      <w:r w:rsidR="000C0AC0" w:rsidRPr="00805D22">
        <w:t>off</w:t>
      </w:r>
      <w:r w:rsidR="00E91F29" w:rsidRPr="00805D22">
        <w:t>,</w:t>
      </w:r>
      <w:r w:rsidR="000C0AC0" w:rsidRPr="00805D22">
        <w:t xml:space="preserve"> </w:t>
      </w:r>
      <w:r w:rsidR="00F803AA" w:rsidRPr="00805D22">
        <w:t xml:space="preserve">or </w:t>
      </w:r>
      <w:r w:rsidR="00386C5A" w:rsidRPr="00805D22">
        <w:t xml:space="preserve">to </w:t>
      </w:r>
      <w:r w:rsidR="00F803AA" w:rsidRPr="00805D22">
        <w:t>restitution</w:t>
      </w:r>
      <w:r w:rsidR="00E91F29" w:rsidRPr="00805D22">
        <w:t>,</w:t>
      </w:r>
      <w:r w:rsidR="00F803AA" w:rsidRPr="00805D22">
        <w:t xml:space="preserve"> in respect of </w:t>
      </w:r>
      <w:r w:rsidR="000C0AC0" w:rsidRPr="00805D22">
        <w:t xml:space="preserve">payments it had made </w:t>
      </w:r>
      <w:r w:rsidR="00F803AA" w:rsidRPr="00805D22">
        <w:t xml:space="preserve">to Mr Rossato in compensation for, or in lieu of, the entitlements </w:t>
      </w:r>
      <w:r w:rsidR="00E91F29" w:rsidRPr="00805D22">
        <w:t>claimed by Mr Rossato</w:t>
      </w:r>
      <w:r w:rsidR="00082861" w:rsidRPr="00805D22">
        <w:t>.</w:t>
      </w:r>
    </w:p>
    <w:p w14:paraId="3FBB076B" w14:textId="2C49A563" w:rsidR="00455823" w:rsidRDefault="00455823" w:rsidP="00176DC4">
      <w:pPr>
        <w:ind w:right="-285"/>
      </w:pPr>
      <w:r>
        <w:t xml:space="preserve"> </w:t>
      </w:r>
    </w:p>
    <w:p w14:paraId="5E510B2D" w14:textId="0DA6F4A1" w:rsidR="002E6C33" w:rsidRDefault="00EB7CC6" w:rsidP="00176DC4">
      <w:pPr>
        <w:ind w:right="-285"/>
      </w:pPr>
      <w:r>
        <w:t xml:space="preserve">The Full Court </w:t>
      </w:r>
      <w:r w:rsidR="003B0E63">
        <w:t>concluded that Mr Rossato was not a casual employee for the purposes of the Act and the enterprise agreement</w:t>
      </w:r>
      <w:r w:rsidR="00C82263">
        <w:t>,</w:t>
      </w:r>
      <w:r w:rsidR="0042746E">
        <w:t xml:space="preserve"> and </w:t>
      </w:r>
      <w:r w:rsidR="009033FD">
        <w:t>declared</w:t>
      </w:r>
      <w:r w:rsidR="0042746E">
        <w:t xml:space="preserve"> that Mr Rossato </w:t>
      </w:r>
      <w:r w:rsidR="00284F20">
        <w:t>was entitled to the payments</w:t>
      </w:r>
      <w:r w:rsidR="0042746E">
        <w:t xml:space="preserve"> he claimed</w:t>
      </w:r>
      <w:r w:rsidR="00284F20">
        <w:t>. The Full Court also rejected WorkPac's set off and restitution claims</w:t>
      </w:r>
      <w:r w:rsidR="003B0E63">
        <w:t>.</w:t>
      </w:r>
      <w:r w:rsidR="002279A4">
        <w:t xml:space="preserve"> By grant of special leave, WorkPac appealed to the High Court</w:t>
      </w:r>
      <w:r w:rsidR="0048438C">
        <w:t>.</w:t>
      </w:r>
      <w:r w:rsidR="009E77E4">
        <w:t xml:space="preserve"> </w:t>
      </w:r>
    </w:p>
    <w:p w14:paraId="762CE1F4" w14:textId="32E54228" w:rsidR="0048438C" w:rsidRDefault="0048438C" w:rsidP="00176DC4">
      <w:pPr>
        <w:ind w:right="-285"/>
      </w:pPr>
    </w:p>
    <w:p w14:paraId="291E90C5" w14:textId="1185E926" w:rsidR="001C1EBD" w:rsidRDefault="00067475" w:rsidP="00BB4DA5">
      <w:pPr>
        <w:ind w:right="-285"/>
      </w:pPr>
      <w:r>
        <w:t xml:space="preserve">The High Court held that </w:t>
      </w:r>
      <w:r w:rsidR="003268B4">
        <w:t xml:space="preserve">a "casual employee" is an employee who has no firm </w:t>
      </w:r>
      <w:r w:rsidR="00297061">
        <w:t xml:space="preserve">advance commitment from the employer </w:t>
      </w:r>
      <w:r w:rsidR="00A01FDF">
        <w:t>as to the duration of the employee's employment or the days (or hours) the employee will work</w:t>
      </w:r>
      <w:r w:rsidR="00297061">
        <w:t xml:space="preserve">, </w:t>
      </w:r>
      <w:r w:rsidR="00C82263">
        <w:t>and</w:t>
      </w:r>
      <w:r w:rsidR="00297061">
        <w:t xml:space="preserve"> provides </w:t>
      </w:r>
      <w:r w:rsidR="00C82263">
        <w:t>no</w:t>
      </w:r>
      <w:r w:rsidR="00297061">
        <w:t xml:space="preserve"> reciprocal commitment to the employer.</w:t>
      </w:r>
      <w:r w:rsidR="00A3353E">
        <w:t xml:space="preserve"> </w:t>
      </w:r>
      <w:r w:rsidR="00DF21A1">
        <w:t>Where parties commit the terms of their employment relationship to a written contract and thereafter adhere to those terms, t</w:t>
      </w:r>
      <w:r w:rsidR="004657A3">
        <w:t xml:space="preserve">he </w:t>
      </w:r>
      <w:r w:rsidR="00DF21A1">
        <w:t xml:space="preserve">requisite firm advance </w:t>
      </w:r>
      <w:r w:rsidR="004657A3">
        <w:t xml:space="preserve">commitment must be </w:t>
      </w:r>
      <w:r w:rsidR="00DF21A1">
        <w:t xml:space="preserve">found </w:t>
      </w:r>
      <w:r w:rsidR="004657A3">
        <w:t>in the binding contractual obligations</w:t>
      </w:r>
      <w:r w:rsidR="00C82263">
        <w:t xml:space="preserve"> of the parties</w:t>
      </w:r>
      <w:r w:rsidR="008E48C1">
        <w:t>;</w:t>
      </w:r>
      <w:r w:rsidR="00C15A4C">
        <w:t xml:space="preserve"> </w:t>
      </w:r>
      <w:r w:rsidR="008E48C1">
        <w:t>a</w:t>
      </w:r>
      <w:r w:rsidR="00C15A4C">
        <w:t xml:space="preserve"> mere expectation of continuing employment on a regular and systematic basis is not sufficient</w:t>
      </w:r>
      <w:r w:rsidR="008E48C1">
        <w:t xml:space="preserve"> for the purposes of the Act</w:t>
      </w:r>
      <w:r w:rsidR="00C15A4C">
        <w:t>.</w:t>
      </w:r>
      <w:r w:rsidR="00E86D4A">
        <w:t xml:space="preserve"> </w:t>
      </w:r>
      <w:r w:rsidR="000D3778">
        <w:t xml:space="preserve">Mr Rossato's employment was expressly </w:t>
      </w:r>
      <w:r w:rsidR="00505DAF">
        <w:t>on an "assignment-by-assignment basis"</w:t>
      </w:r>
      <w:r w:rsidR="00A87B31">
        <w:t>. Mr Rossato was entitled to accept or reject any offer of an assignment, and</w:t>
      </w:r>
      <w:r w:rsidR="00505DAF">
        <w:t xml:space="preserve"> </w:t>
      </w:r>
      <w:r w:rsidR="00493070">
        <w:t xml:space="preserve">at the completion of </w:t>
      </w:r>
      <w:r w:rsidR="00A87B31">
        <w:t xml:space="preserve">each assignment </w:t>
      </w:r>
      <w:r w:rsidR="00493070">
        <w:t xml:space="preserve">WorkPac was under no obligation to offer further assignments. </w:t>
      </w:r>
      <w:r w:rsidR="00275860">
        <w:t>That Mr Rossato</w:t>
      </w:r>
      <w:r w:rsidR="0015632E">
        <w:t xml:space="preserve"> was to work in accordance with</w:t>
      </w:r>
      <w:r w:rsidR="00550B3B">
        <w:t xml:space="preserve"> an established shift structure fixed long in advance</w:t>
      </w:r>
      <w:r w:rsidR="0015632E">
        <w:t xml:space="preserve"> by rosters</w:t>
      </w:r>
      <w:r w:rsidR="00550B3B">
        <w:t xml:space="preserve"> </w:t>
      </w:r>
      <w:r w:rsidR="002D1598">
        <w:t xml:space="preserve">did not </w:t>
      </w:r>
      <w:r w:rsidR="00A22DDB">
        <w:t>establish</w:t>
      </w:r>
      <w:r w:rsidR="000F790E">
        <w:t xml:space="preserve"> a commitment to an ongoing employment relationship </w:t>
      </w:r>
      <w:r w:rsidR="00943BB9">
        <w:t>beyond the completion of each assignment</w:t>
      </w:r>
      <w:r w:rsidR="00550B3B">
        <w:t>.</w:t>
      </w:r>
      <w:r w:rsidR="00A22DDB">
        <w:t xml:space="preserve"> </w:t>
      </w:r>
      <w:r w:rsidR="00ED67DE">
        <w:t>In carrying out each assignment, Mr Rossato worked as a casual employee for the purposes of the Act and the enterprise agreement.</w:t>
      </w:r>
      <w:r w:rsidR="00AC00BE">
        <w:t xml:space="preserve"> On that footing, it was unnecessary to consider WorkPac's set off and restitution claims.</w:t>
      </w:r>
    </w:p>
    <w:p w14:paraId="594E0316" w14:textId="77777777" w:rsidR="004A63FA" w:rsidRDefault="004A63FA" w:rsidP="00BB4DA5">
      <w:pPr>
        <w:ind w:right="-285"/>
      </w:pPr>
    </w:p>
    <w:p w14:paraId="14A4AD29" w14:textId="77777777" w:rsidR="001C1EBD" w:rsidRPr="00427C3A" w:rsidRDefault="000F1746" w:rsidP="00427C3A">
      <w:pPr>
        <w:numPr>
          <w:ilvl w:val="0"/>
          <w:numId w:val="2"/>
        </w:numPr>
        <w:rPr>
          <w:sz w:val="22"/>
          <w:szCs w:val="22"/>
        </w:rPr>
      </w:pPr>
      <w:r>
        <w:rPr>
          <w:i/>
          <w:snapToGrid w:val="0"/>
          <w:sz w:val="22"/>
          <w:szCs w:val="22"/>
          <w:lang w:eastAsia="en-US"/>
        </w:rPr>
        <w:t>This state</w:t>
      </w:r>
      <w:r w:rsidR="001C1EBD" w:rsidRPr="001C1EBD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Court’s reasons.</w:t>
      </w:r>
    </w:p>
    <w:sectPr w:rsidR="001C1EBD" w:rsidRPr="00427C3A">
      <w:headerReference w:type="even" r:id="rId10"/>
      <w:headerReference w:type="default" r:id="rId11"/>
      <w:headerReference w:type="first" r:id="rId12"/>
      <w:footerReference w:type="first" r:id="rId13"/>
      <w:pgSz w:w="11907" w:h="16840" w:code="9"/>
      <w:pgMar w:top="1134" w:right="1304" w:bottom="284" w:left="130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AC393" w14:textId="77777777" w:rsidR="0087571D" w:rsidRDefault="0087571D">
      <w:r>
        <w:separator/>
      </w:r>
    </w:p>
  </w:endnote>
  <w:endnote w:type="continuationSeparator" w:id="0">
    <w:p w14:paraId="6E334A1F" w14:textId="77777777" w:rsidR="0087571D" w:rsidRDefault="0087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4DC62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Please direct enquiries to </w:t>
    </w:r>
    <w:r w:rsidR="00235037">
      <w:rPr>
        <w:rFonts w:ascii="Arial" w:hAnsi="Arial"/>
        <w:b/>
        <w:sz w:val="16"/>
      </w:rPr>
      <w:t>Ben Wickham, Senior Executive Deputy Registrar</w:t>
    </w:r>
  </w:p>
  <w:p w14:paraId="775779C9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Telephone: (02) 6270 6</w:t>
    </w:r>
    <w:r w:rsidR="00235037">
      <w:rPr>
        <w:rFonts w:ascii="Arial" w:hAnsi="Arial"/>
        <w:b/>
        <w:sz w:val="16"/>
      </w:rPr>
      <w:t>893</w:t>
    </w:r>
    <w:r>
      <w:rPr>
        <w:rFonts w:ascii="Arial" w:hAnsi="Arial"/>
        <w:b/>
        <w:sz w:val="16"/>
      </w:rPr>
      <w:t xml:space="preserve">          Fax: (02) 6270 6868          </w:t>
    </w:r>
  </w:p>
  <w:p w14:paraId="71E7FA4B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>Email: enquiries</w:t>
    </w:r>
    <w:r w:rsidRPr="00E95A71">
      <w:rPr>
        <w:rFonts w:ascii="Arial" w:hAnsi="Arial"/>
        <w:b/>
        <w:sz w:val="16"/>
      </w:rPr>
      <w:t>@hcourt.gov.au</w:t>
    </w:r>
    <w:r>
      <w:rPr>
        <w:rFonts w:ascii="Arial" w:hAnsi="Arial"/>
        <w:b/>
        <w:sz w:val="16"/>
      </w:rPr>
      <w:t xml:space="preserve">          Website: www.hcourt.gov.au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1BE16" w14:textId="77777777" w:rsidR="0087571D" w:rsidRDefault="0087571D">
      <w:r>
        <w:separator/>
      </w:r>
    </w:p>
  </w:footnote>
  <w:footnote w:type="continuationSeparator" w:id="0">
    <w:p w14:paraId="31A81799" w14:textId="77777777" w:rsidR="0087571D" w:rsidRDefault="00875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0C937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C41E04" w14:textId="77777777" w:rsidR="00C83B24" w:rsidRDefault="00C83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AD601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660DEF2" w14:textId="77777777" w:rsidR="00C83B24" w:rsidRDefault="00C83B24">
    <w:pPr>
      <w:pStyle w:val="Header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688C7" w14:textId="28035DF6" w:rsidR="00C83B24" w:rsidRPr="001F4E13" w:rsidRDefault="000F116A" w:rsidP="001F4E13">
    <w:pPr>
      <w:pStyle w:val="Header"/>
      <w:jc w:val="center"/>
    </w:pPr>
    <w:r>
      <w:rPr>
        <w:noProof/>
        <w:lang w:val="en-US" w:eastAsia="zh-TW"/>
      </w:rPr>
      <w:object w:dxaOrig="1440" w:dyaOrig="1440" w14:anchorId="2FA20C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94pt;margin-top:22.3pt;width:84.8pt;height:60.3pt;z-index:251657728;visibility:visible;mso-wrap-edited:f" o:allowincell="f">
          <v:imagedata r:id="rId1" o:title="" gain="2147483647f"/>
          <w10:wrap type="topAndBottom"/>
        </v:shape>
        <o:OLEObject Type="Embed" ProgID="Word.Picture.8" ShapeID="_x0000_s2050" DrawAspect="Content" ObjectID="_1689576606" r:id="rId2"/>
      </w:object>
    </w:r>
  </w:p>
  <w:p w14:paraId="39BA1FD2" w14:textId="77777777" w:rsidR="00C83B24" w:rsidRDefault="00C83B24">
    <w:pPr>
      <w:spacing w:before="200" w:after="200"/>
      <w:jc w:val="center"/>
      <w:rPr>
        <w:rFonts w:ascii="Arial" w:hAnsi="Arial"/>
        <w:spacing w:val="40"/>
        <w:position w:val="6"/>
        <w:sz w:val="28"/>
      </w:rPr>
    </w:pPr>
    <w:r>
      <w:rPr>
        <w:rFonts w:ascii="Arial" w:hAnsi="Arial"/>
        <w:spacing w:val="40"/>
        <w:position w:val="6"/>
        <w:sz w:val="28"/>
      </w:rPr>
      <w:t xml:space="preserve">HIGH COURT OF </w:t>
    </w:r>
    <w:smartTag w:uri="urn:schemas-microsoft-com:office:smarttags" w:element="country-region">
      <w:smartTag w:uri="urn:schemas-microsoft-com:office:smarttags" w:element="place">
        <w:r>
          <w:rPr>
            <w:rFonts w:ascii="Arial" w:hAnsi="Arial"/>
            <w:spacing w:val="40"/>
            <w:position w:val="6"/>
            <w:sz w:val="28"/>
          </w:rPr>
          <w:t>AUSTRALIA</w:t>
        </w:r>
      </w:smartTag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57886"/>
    <w:multiLevelType w:val="hybridMultilevel"/>
    <w:tmpl w:val="0FB4B2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41CBF"/>
    <w:multiLevelType w:val="singleLevel"/>
    <w:tmpl w:val="0C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8C6"/>
    <w:rsid w:val="00002CCE"/>
    <w:rsid w:val="00010BD4"/>
    <w:rsid w:val="0001369A"/>
    <w:rsid w:val="000214CD"/>
    <w:rsid w:val="00044661"/>
    <w:rsid w:val="00047003"/>
    <w:rsid w:val="000474B9"/>
    <w:rsid w:val="000541B3"/>
    <w:rsid w:val="00063708"/>
    <w:rsid w:val="00067475"/>
    <w:rsid w:val="000724ED"/>
    <w:rsid w:val="00082861"/>
    <w:rsid w:val="000A2A5B"/>
    <w:rsid w:val="000B1F3A"/>
    <w:rsid w:val="000B4AFC"/>
    <w:rsid w:val="000B5515"/>
    <w:rsid w:val="000C0AC0"/>
    <w:rsid w:val="000C3E54"/>
    <w:rsid w:val="000D3778"/>
    <w:rsid w:val="000E1B58"/>
    <w:rsid w:val="000F0F48"/>
    <w:rsid w:val="000F116A"/>
    <w:rsid w:val="000F1746"/>
    <w:rsid w:val="000F450B"/>
    <w:rsid w:val="000F790E"/>
    <w:rsid w:val="001002E1"/>
    <w:rsid w:val="001026A9"/>
    <w:rsid w:val="0011328C"/>
    <w:rsid w:val="001433C9"/>
    <w:rsid w:val="0015632E"/>
    <w:rsid w:val="00176B02"/>
    <w:rsid w:val="00176DC4"/>
    <w:rsid w:val="0018501A"/>
    <w:rsid w:val="001C1EBD"/>
    <w:rsid w:val="001F4E13"/>
    <w:rsid w:val="002279A4"/>
    <w:rsid w:val="00235037"/>
    <w:rsid w:val="00241BCF"/>
    <w:rsid w:val="002570BA"/>
    <w:rsid w:val="00270F9C"/>
    <w:rsid w:val="00275860"/>
    <w:rsid w:val="00284F20"/>
    <w:rsid w:val="00297061"/>
    <w:rsid w:val="002A1E4A"/>
    <w:rsid w:val="002C1B9F"/>
    <w:rsid w:val="002D1598"/>
    <w:rsid w:val="002D2DE8"/>
    <w:rsid w:val="002E6C33"/>
    <w:rsid w:val="00310A6C"/>
    <w:rsid w:val="003268B4"/>
    <w:rsid w:val="003478EA"/>
    <w:rsid w:val="00360730"/>
    <w:rsid w:val="00360A4A"/>
    <w:rsid w:val="00364AE8"/>
    <w:rsid w:val="00371651"/>
    <w:rsid w:val="0037175D"/>
    <w:rsid w:val="003753AD"/>
    <w:rsid w:val="00386C5A"/>
    <w:rsid w:val="003A2309"/>
    <w:rsid w:val="003B0E63"/>
    <w:rsid w:val="003B4AEC"/>
    <w:rsid w:val="003D526E"/>
    <w:rsid w:val="003D776B"/>
    <w:rsid w:val="003E0FBB"/>
    <w:rsid w:val="003E551B"/>
    <w:rsid w:val="003E5DFF"/>
    <w:rsid w:val="003F0C4C"/>
    <w:rsid w:val="003F261D"/>
    <w:rsid w:val="0042746E"/>
    <w:rsid w:val="00427C3A"/>
    <w:rsid w:val="00443509"/>
    <w:rsid w:val="00443C39"/>
    <w:rsid w:val="004443B0"/>
    <w:rsid w:val="004508C6"/>
    <w:rsid w:val="00455823"/>
    <w:rsid w:val="004577E3"/>
    <w:rsid w:val="00462272"/>
    <w:rsid w:val="004657A3"/>
    <w:rsid w:val="004756FE"/>
    <w:rsid w:val="0048438C"/>
    <w:rsid w:val="00484859"/>
    <w:rsid w:val="00493070"/>
    <w:rsid w:val="004A63FA"/>
    <w:rsid w:val="004B266A"/>
    <w:rsid w:val="004B61EA"/>
    <w:rsid w:val="004C0778"/>
    <w:rsid w:val="004C262F"/>
    <w:rsid w:val="004D5BB2"/>
    <w:rsid w:val="00505DAF"/>
    <w:rsid w:val="005115F1"/>
    <w:rsid w:val="00516E8A"/>
    <w:rsid w:val="005333BF"/>
    <w:rsid w:val="0053344F"/>
    <w:rsid w:val="00533D4D"/>
    <w:rsid w:val="00534230"/>
    <w:rsid w:val="00536E3B"/>
    <w:rsid w:val="00550B3B"/>
    <w:rsid w:val="00562661"/>
    <w:rsid w:val="005665E4"/>
    <w:rsid w:val="0057690A"/>
    <w:rsid w:val="005769C2"/>
    <w:rsid w:val="005A55B0"/>
    <w:rsid w:val="005B49BE"/>
    <w:rsid w:val="005D6A9A"/>
    <w:rsid w:val="005E0742"/>
    <w:rsid w:val="005E1829"/>
    <w:rsid w:val="005E7691"/>
    <w:rsid w:val="005F16F6"/>
    <w:rsid w:val="005F40F2"/>
    <w:rsid w:val="00600B69"/>
    <w:rsid w:val="00600C38"/>
    <w:rsid w:val="0061641D"/>
    <w:rsid w:val="006175A0"/>
    <w:rsid w:val="00626BC9"/>
    <w:rsid w:val="00645D5D"/>
    <w:rsid w:val="006750A0"/>
    <w:rsid w:val="006804BC"/>
    <w:rsid w:val="00684C1A"/>
    <w:rsid w:val="006A0AF4"/>
    <w:rsid w:val="006C20E0"/>
    <w:rsid w:val="006E214B"/>
    <w:rsid w:val="006E2907"/>
    <w:rsid w:val="006E5559"/>
    <w:rsid w:val="006F109B"/>
    <w:rsid w:val="006F3C49"/>
    <w:rsid w:val="006F59CA"/>
    <w:rsid w:val="006F703C"/>
    <w:rsid w:val="007044E7"/>
    <w:rsid w:val="00723003"/>
    <w:rsid w:val="00727404"/>
    <w:rsid w:val="007348E1"/>
    <w:rsid w:val="0073659C"/>
    <w:rsid w:val="007432AA"/>
    <w:rsid w:val="00767C34"/>
    <w:rsid w:val="00770CA0"/>
    <w:rsid w:val="00773A11"/>
    <w:rsid w:val="00776FEE"/>
    <w:rsid w:val="00777688"/>
    <w:rsid w:val="007876EC"/>
    <w:rsid w:val="0079234D"/>
    <w:rsid w:val="007A52EF"/>
    <w:rsid w:val="007B2049"/>
    <w:rsid w:val="007D54FE"/>
    <w:rsid w:val="007D7287"/>
    <w:rsid w:val="007E1387"/>
    <w:rsid w:val="007E1BF2"/>
    <w:rsid w:val="007F383E"/>
    <w:rsid w:val="00805D22"/>
    <w:rsid w:val="00807838"/>
    <w:rsid w:val="0082612B"/>
    <w:rsid w:val="00833A3A"/>
    <w:rsid w:val="008476EB"/>
    <w:rsid w:val="00853D00"/>
    <w:rsid w:val="008548A3"/>
    <w:rsid w:val="00865ABB"/>
    <w:rsid w:val="00873C60"/>
    <w:rsid w:val="0087571D"/>
    <w:rsid w:val="00880AE5"/>
    <w:rsid w:val="00883DE9"/>
    <w:rsid w:val="008A2165"/>
    <w:rsid w:val="008C3901"/>
    <w:rsid w:val="008C457B"/>
    <w:rsid w:val="008E48C1"/>
    <w:rsid w:val="008E71A0"/>
    <w:rsid w:val="00900E5D"/>
    <w:rsid w:val="00901E2A"/>
    <w:rsid w:val="009033FD"/>
    <w:rsid w:val="009077AA"/>
    <w:rsid w:val="00922A47"/>
    <w:rsid w:val="00924EA9"/>
    <w:rsid w:val="00943BB9"/>
    <w:rsid w:val="00963E9B"/>
    <w:rsid w:val="0097518F"/>
    <w:rsid w:val="0097660F"/>
    <w:rsid w:val="00977B3B"/>
    <w:rsid w:val="009B4A77"/>
    <w:rsid w:val="009D0517"/>
    <w:rsid w:val="009D393C"/>
    <w:rsid w:val="009D5678"/>
    <w:rsid w:val="009D7E6D"/>
    <w:rsid w:val="009E4FD0"/>
    <w:rsid w:val="009E77E4"/>
    <w:rsid w:val="009F66CB"/>
    <w:rsid w:val="00A00C4A"/>
    <w:rsid w:val="00A01FDF"/>
    <w:rsid w:val="00A02019"/>
    <w:rsid w:val="00A05BF2"/>
    <w:rsid w:val="00A10BEE"/>
    <w:rsid w:val="00A13679"/>
    <w:rsid w:val="00A21DB1"/>
    <w:rsid w:val="00A22DDB"/>
    <w:rsid w:val="00A3353E"/>
    <w:rsid w:val="00A33BC6"/>
    <w:rsid w:val="00A649A1"/>
    <w:rsid w:val="00A87B31"/>
    <w:rsid w:val="00AA56B4"/>
    <w:rsid w:val="00AA762D"/>
    <w:rsid w:val="00AC00BE"/>
    <w:rsid w:val="00AC4E10"/>
    <w:rsid w:val="00AD7915"/>
    <w:rsid w:val="00AE0348"/>
    <w:rsid w:val="00AE0F1B"/>
    <w:rsid w:val="00AE21F7"/>
    <w:rsid w:val="00AE60CD"/>
    <w:rsid w:val="00AE64A3"/>
    <w:rsid w:val="00AE7333"/>
    <w:rsid w:val="00B50683"/>
    <w:rsid w:val="00B67F84"/>
    <w:rsid w:val="00B74C78"/>
    <w:rsid w:val="00B950E8"/>
    <w:rsid w:val="00B95436"/>
    <w:rsid w:val="00BA0881"/>
    <w:rsid w:val="00BA1B00"/>
    <w:rsid w:val="00BA6B04"/>
    <w:rsid w:val="00BB4DA5"/>
    <w:rsid w:val="00BB5941"/>
    <w:rsid w:val="00BC0791"/>
    <w:rsid w:val="00BC185A"/>
    <w:rsid w:val="00BC1A25"/>
    <w:rsid w:val="00BE52EA"/>
    <w:rsid w:val="00BF5FC0"/>
    <w:rsid w:val="00C15A4C"/>
    <w:rsid w:val="00C23284"/>
    <w:rsid w:val="00C27325"/>
    <w:rsid w:val="00C35D98"/>
    <w:rsid w:val="00C42B11"/>
    <w:rsid w:val="00C51B8D"/>
    <w:rsid w:val="00C53F55"/>
    <w:rsid w:val="00C62339"/>
    <w:rsid w:val="00C82263"/>
    <w:rsid w:val="00C83A17"/>
    <w:rsid w:val="00C83B24"/>
    <w:rsid w:val="00CA4DDB"/>
    <w:rsid w:val="00CB08A6"/>
    <w:rsid w:val="00CB676F"/>
    <w:rsid w:val="00CC2779"/>
    <w:rsid w:val="00CE719D"/>
    <w:rsid w:val="00CF47EB"/>
    <w:rsid w:val="00D02178"/>
    <w:rsid w:val="00D033AC"/>
    <w:rsid w:val="00D06098"/>
    <w:rsid w:val="00D24842"/>
    <w:rsid w:val="00D37C1E"/>
    <w:rsid w:val="00D41685"/>
    <w:rsid w:val="00D46F69"/>
    <w:rsid w:val="00D47328"/>
    <w:rsid w:val="00D50FFC"/>
    <w:rsid w:val="00D523C9"/>
    <w:rsid w:val="00D61254"/>
    <w:rsid w:val="00D65627"/>
    <w:rsid w:val="00D74F0B"/>
    <w:rsid w:val="00D77446"/>
    <w:rsid w:val="00D83A6B"/>
    <w:rsid w:val="00D917A9"/>
    <w:rsid w:val="00DB22CB"/>
    <w:rsid w:val="00DB7641"/>
    <w:rsid w:val="00DD3312"/>
    <w:rsid w:val="00DD33D2"/>
    <w:rsid w:val="00DE17AA"/>
    <w:rsid w:val="00DE21A8"/>
    <w:rsid w:val="00DE6136"/>
    <w:rsid w:val="00DF21A1"/>
    <w:rsid w:val="00E3374C"/>
    <w:rsid w:val="00E368EF"/>
    <w:rsid w:val="00E57850"/>
    <w:rsid w:val="00E60678"/>
    <w:rsid w:val="00E71C43"/>
    <w:rsid w:val="00E86D4A"/>
    <w:rsid w:val="00E91F29"/>
    <w:rsid w:val="00E95A71"/>
    <w:rsid w:val="00E96DF7"/>
    <w:rsid w:val="00EB7CC6"/>
    <w:rsid w:val="00ED06C0"/>
    <w:rsid w:val="00ED353C"/>
    <w:rsid w:val="00ED55AB"/>
    <w:rsid w:val="00ED67DE"/>
    <w:rsid w:val="00EF128B"/>
    <w:rsid w:val="00EF2E75"/>
    <w:rsid w:val="00F01645"/>
    <w:rsid w:val="00F16BD6"/>
    <w:rsid w:val="00F269CF"/>
    <w:rsid w:val="00F37B55"/>
    <w:rsid w:val="00F43116"/>
    <w:rsid w:val="00F51B87"/>
    <w:rsid w:val="00F6390B"/>
    <w:rsid w:val="00F8002E"/>
    <w:rsid w:val="00F803AA"/>
    <w:rsid w:val="00FA75F4"/>
    <w:rsid w:val="00FB22EB"/>
    <w:rsid w:val="00FB3198"/>
    <w:rsid w:val="00FB4588"/>
    <w:rsid w:val="00FB6094"/>
    <w:rsid w:val="00FD224B"/>
    <w:rsid w:val="00FD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2051"/>
    <o:shapelayout v:ext="edit">
      <o:idmap v:ext="edit" data="1"/>
    </o:shapelayout>
  </w:shapeDefaults>
  <w:decimalSymbol w:val="."/>
  <w:listSeparator w:val=","/>
  <w14:docId w14:val="3D6053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indent">
    <w:name w:val="indent"/>
    <w:basedOn w:val="Normal"/>
    <w:pPr>
      <w:ind w:left="425" w:hanging="425"/>
    </w:pPr>
  </w:style>
  <w:style w:type="paragraph" w:customStyle="1" w:styleId="indent2">
    <w:name w:val="indent2"/>
    <w:basedOn w:val="indent"/>
    <w:pPr>
      <w:ind w:left="850"/>
    </w:pPr>
  </w:style>
  <w:style w:type="paragraph" w:customStyle="1" w:styleId="indent3">
    <w:name w:val="indent3"/>
    <w:basedOn w:val="indent2"/>
    <w:pPr>
      <w:ind w:left="1701"/>
    </w:pPr>
  </w:style>
  <w:style w:type="paragraph" w:styleId="Caption">
    <w:name w:val="caption"/>
    <w:basedOn w:val="Normal"/>
    <w:next w:val="Normal"/>
    <w:qFormat/>
    <w:pPr>
      <w:framePr w:w="2449" w:h="682" w:hSpace="181" w:wrap="notBeside" w:vAnchor="text" w:hAnchor="page" w:x="8640" w:y="-270"/>
      <w:ind w:right="-285"/>
    </w:pPr>
    <w:rPr>
      <w:rFonts w:ascii="Arial" w:hAnsi="Arial"/>
      <w:b/>
      <w:sz w:val="20"/>
    </w:rPr>
  </w:style>
  <w:style w:type="paragraph" w:styleId="FootnoteText">
    <w:name w:val="footnote text"/>
    <w:basedOn w:val="Normal"/>
    <w:semiHidden/>
    <w:rsid w:val="000474B9"/>
    <w:rPr>
      <w:sz w:val="20"/>
    </w:rPr>
  </w:style>
  <w:style w:type="character" w:styleId="FootnoteReference">
    <w:name w:val="footnote reference"/>
    <w:semiHidden/>
    <w:rsid w:val="000474B9"/>
    <w:rPr>
      <w:vertAlign w:val="superscript"/>
    </w:rPr>
  </w:style>
  <w:style w:type="character" w:styleId="Hyperlink">
    <w:name w:val="Hyperlink"/>
    <w:rsid w:val="00E95A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9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hen\High%20Court%20of%20Australia\Justice%20Keane%20-%20Chambers%20Folders\Associates\Research\Famin%20Ahmed\16.%20Deguisa\JS%20CW\Judgment%20summar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2D2EC4F8DE44A8C0C478B82839881" ma:contentTypeVersion="10" ma:contentTypeDescription="Create a new document." ma:contentTypeScope="" ma:versionID="58d6870fdd15d4ec924560cac8df627e">
  <xsd:schema xmlns:xsd="http://www.w3.org/2001/XMLSchema" xmlns:xs="http://www.w3.org/2001/XMLSchema" xmlns:p="http://schemas.microsoft.com/office/2006/metadata/properties" xmlns:ns2="3cc3f26d-d9cc-46f3-89c7-f1482de8c8f1" targetNamespace="http://schemas.microsoft.com/office/2006/metadata/properties" ma:root="true" ma:fieldsID="ce7248f3e425aaaca2909018d98d2ef8" ns2:_="">
    <xsd:import namespace="3cc3f26d-d9cc-46f3-89c7-f1482de8c8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3f26d-d9cc-46f3-89c7-f1482de8c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6F76A3-4F67-41B4-8C9A-612D55415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3f26d-d9cc-46f3-89c7-f1482de8c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85C442-69D4-4F73-977F-32773C2C0028}">
  <ds:schemaRefs>
    <ds:schemaRef ds:uri="http://www.w3.org/XML/1998/namespace"/>
    <ds:schemaRef ds:uri="http://purl.org/dc/elements/1.1/"/>
    <ds:schemaRef ds:uri="3cc3f26d-d9cc-46f3-89c7-f1482de8c8f1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53FFCB2-0CED-42F4-A3E7-71F17485CC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Judgment summary template.dot</Template>
  <TotalTime>0</TotalTime>
  <Pages>1</Pages>
  <Words>576</Words>
  <Characters>2897</Characters>
  <Application>Microsoft Office Word</Application>
  <DocSecurity>0</DocSecurity>
  <Lines>48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Manager/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/>
  <cp:keywords/>
  <cp:lastModifiedBy/>
  <cp:revision>1</cp:revision>
  <cp:lastPrinted>2021-07-16T00:48:00Z</cp:lastPrinted>
  <dcterms:created xsi:type="dcterms:W3CDTF">2021-08-04T00:04:00Z</dcterms:created>
  <dcterms:modified xsi:type="dcterms:W3CDTF">2021-08-04T00:04:00Z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0x0101001F32D2EC4F8DE44A8C0C478B82839881</vt:lpwstr>
  </property>
</Properties>
</file>