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882D" w14:textId="77777777" w:rsidR="00310A6C" w:rsidRDefault="00310A6C">
      <w:pPr>
        <w:ind w:right="-285"/>
      </w:pPr>
    </w:p>
    <w:p w14:paraId="4E650176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13F5E0EA" w14:textId="77777777" w:rsidR="00443C39" w:rsidRDefault="000922F9" w:rsidP="00443C39">
      <w:pPr>
        <w:framePr w:w="2019" w:h="430" w:hSpace="181" w:wrap="notBeside" w:vAnchor="text" w:hAnchor="page" w:x="9081" w:y="-550"/>
        <w:shd w:val="solid" w:color="FFFFFF" w:fill="FFFFFF"/>
      </w:pPr>
      <w:r>
        <w:t>15 June 2022</w:t>
      </w:r>
    </w:p>
    <w:p w14:paraId="5AC22AB4" w14:textId="77777777" w:rsidR="000F1746" w:rsidRDefault="000F1746">
      <w:pPr>
        <w:ind w:right="-285"/>
      </w:pPr>
    </w:p>
    <w:p w14:paraId="65ED0FFC" w14:textId="77777777" w:rsidR="00252A5B" w:rsidRDefault="00252A5B" w:rsidP="00E95A71">
      <w:pPr>
        <w:ind w:right="-285"/>
        <w:jc w:val="center"/>
        <w:rPr>
          <w:u w:val="single"/>
        </w:rPr>
      </w:pPr>
      <w:r w:rsidRPr="00252A5B">
        <w:rPr>
          <w:u w:val="single"/>
        </w:rPr>
        <w:t xml:space="preserve">HILL </w:t>
      </w:r>
      <w:r>
        <w:rPr>
          <w:u w:val="single"/>
        </w:rPr>
        <w:t>v</w:t>
      </w:r>
      <w:r w:rsidRPr="00252A5B">
        <w:rPr>
          <w:u w:val="single"/>
        </w:rPr>
        <w:t xml:space="preserve"> ZUDA PTY LTD AS TRUSTEE FOR THE HOLLY SUPERANNUATION FUND &amp; ORS </w:t>
      </w:r>
    </w:p>
    <w:p w14:paraId="528B1328" w14:textId="48E970F7" w:rsidR="00310A6C" w:rsidRPr="005F16F6" w:rsidRDefault="00E95A71" w:rsidP="00E95A71">
      <w:pPr>
        <w:ind w:right="-285"/>
        <w:jc w:val="center"/>
      </w:pPr>
      <w:r w:rsidRPr="005F16F6">
        <w:t>[20</w:t>
      </w:r>
      <w:r w:rsidR="00252A5B">
        <w:t>22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="002149D8">
        <w:t xml:space="preserve"> 21</w:t>
      </w:r>
    </w:p>
    <w:p w14:paraId="3C6AD2DA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6927CF8F" w14:textId="77777777" w:rsidR="000474B9" w:rsidRPr="000474B9" w:rsidRDefault="000474B9" w:rsidP="00F1020B">
      <w:pPr>
        <w:ind w:right="-285"/>
        <w:rPr>
          <w:u w:val="single"/>
        </w:rPr>
      </w:pPr>
    </w:p>
    <w:p w14:paraId="37527D09" w14:textId="2ACA9CDE" w:rsidR="00AC081F" w:rsidRPr="00694B1A" w:rsidRDefault="00040AD9" w:rsidP="00F1020B">
      <w:pPr>
        <w:ind w:right="-285"/>
      </w:pPr>
      <w:r>
        <w:t xml:space="preserve">Today, the High Court unanimously dismissed an appeal from a decision of the </w:t>
      </w:r>
      <w:r w:rsidR="009B459C">
        <w:t xml:space="preserve">Court of Appeal of the Supreme </w:t>
      </w:r>
      <w:r w:rsidR="009B459C" w:rsidRPr="00C73FF1">
        <w:t xml:space="preserve">Court of </w:t>
      </w:r>
      <w:r w:rsidRPr="00C73FF1">
        <w:t>Western Australia</w:t>
      </w:r>
      <w:r w:rsidR="00A957C1">
        <w:t xml:space="preserve"> </w:t>
      </w:r>
      <w:r w:rsidR="00A7665D">
        <w:t xml:space="preserve">concerning the </w:t>
      </w:r>
      <w:r w:rsidR="00694B1A">
        <w:t xml:space="preserve">operation of reg 6.17A of the </w:t>
      </w:r>
      <w:r w:rsidR="00694B1A">
        <w:rPr>
          <w:i/>
        </w:rPr>
        <w:t xml:space="preserve">Superannuation Industry (Supervision) Regulations 1994 </w:t>
      </w:r>
      <w:r w:rsidR="00694B1A">
        <w:t>(Cth). That regulation relevantly prescribe</w:t>
      </w:r>
      <w:r w:rsidR="004D207F">
        <w:t>d</w:t>
      </w:r>
      <w:r w:rsidR="00694B1A">
        <w:t xml:space="preserve"> standards for </w:t>
      </w:r>
      <w:r w:rsidR="00261AE0">
        <w:t xml:space="preserve">how </w:t>
      </w:r>
      <w:r w:rsidR="004E013C">
        <w:t xml:space="preserve">a </w:t>
      </w:r>
      <w:r w:rsidR="00076FE6">
        <w:t xml:space="preserve">member of a regulated superannuation fund </w:t>
      </w:r>
      <w:r w:rsidR="0030023D">
        <w:t xml:space="preserve">is </w:t>
      </w:r>
      <w:r w:rsidR="00CE3795">
        <w:t xml:space="preserve">to </w:t>
      </w:r>
      <w:r w:rsidR="00076FE6">
        <w:t xml:space="preserve">give notice requiring the trustee of the fund to pay the member's </w:t>
      </w:r>
      <w:r w:rsidR="00694B1A">
        <w:t xml:space="preserve">benefits </w:t>
      </w:r>
      <w:r w:rsidR="00076FE6">
        <w:t xml:space="preserve">to a nominated person </w:t>
      </w:r>
      <w:r w:rsidR="00694B1A">
        <w:t xml:space="preserve">on or after the </w:t>
      </w:r>
      <w:r w:rsidR="00076FE6">
        <w:t xml:space="preserve">member's </w:t>
      </w:r>
      <w:r w:rsidR="00694B1A">
        <w:t xml:space="preserve">death. </w:t>
      </w:r>
      <w:r w:rsidR="00782398">
        <w:t xml:space="preserve">The primary issue </w:t>
      </w:r>
      <w:r w:rsidR="00694B1A">
        <w:t xml:space="preserve">in the appeal </w:t>
      </w:r>
      <w:r w:rsidR="00782398">
        <w:t xml:space="preserve">was whether </w:t>
      </w:r>
      <w:r w:rsidR="00694B1A">
        <w:t xml:space="preserve">reg 6.17A </w:t>
      </w:r>
      <w:r w:rsidR="00C85C05">
        <w:t>applie</w:t>
      </w:r>
      <w:r w:rsidR="004D207F">
        <w:t>d</w:t>
      </w:r>
      <w:r w:rsidR="00694B1A">
        <w:t xml:space="preserve"> </w:t>
      </w:r>
      <w:r w:rsidR="009E76F3">
        <w:t>to</w:t>
      </w:r>
      <w:r w:rsidR="00E6678B">
        <w:t xml:space="preserve"> </w:t>
      </w:r>
      <w:r w:rsidR="00AC081F">
        <w:t xml:space="preserve">a </w:t>
      </w:r>
      <w:r w:rsidR="005C1394">
        <w:t>self managed superannuation fund</w:t>
      </w:r>
      <w:r w:rsidR="00A12A47">
        <w:t xml:space="preserve"> ("SMSF").</w:t>
      </w:r>
      <w:r w:rsidR="00991AA4">
        <w:t xml:space="preserve"> </w:t>
      </w:r>
    </w:p>
    <w:p w14:paraId="7293A52C" w14:textId="77777777" w:rsidR="00040AD9" w:rsidRDefault="00040AD9" w:rsidP="00F1020B">
      <w:pPr>
        <w:ind w:right="-285"/>
      </w:pPr>
    </w:p>
    <w:p w14:paraId="25348032" w14:textId="78655BD6" w:rsidR="00652894" w:rsidRDefault="00B03907" w:rsidP="00F1020B">
      <w:pPr>
        <w:ind w:right="-285"/>
        <w:rPr>
          <w:b/>
        </w:rPr>
      </w:pPr>
      <w:r>
        <w:t xml:space="preserve">Zuda Pty Ltd </w:t>
      </w:r>
      <w:r w:rsidR="00984E2B">
        <w:t>("Zuda")</w:t>
      </w:r>
      <w:r>
        <w:t xml:space="preserve"> was the trustee of an SMSF known as the Holly Superannuation Fund</w:t>
      </w:r>
      <w:r w:rsidR="005111ED">
        <w:t xml:space="preserve"> ("the</w:t>
      </w:r>
      <w:r w:rsidR="004E013C">
        <w:t> </w:t>
      </w:r>
      <w:r w:rsidR="005111ED">
        <w:t>Fund")</w:t>
      </w:r>
      <w:r>
        <w:t xml:space="preserve">. </w:t>
      </w:r>
      <w:r w:rsidR="0047116F">
        <w:t>Mr</w:t>
      </w:r>
      <w:r w:rsidR="003324A2">
        <w:t> </w:t>
      </w:r>
      <w:r w:rsidR="0047116F">
        <w:t>Sodhy and Ms</w:t>
      </w:r>
      <w:r w:rsidR="003324A2">
        <w:t> </w:t>
      </w:r>
      <w:r w:rsidR="0047116F">
        <w:t>Murray were each a member of the Fund and a director of Zuda.</w:t>
      </w:r>
      <w:r w:rsidR="0094682B">
        <w:t xml:space="preserve"> </w:t>
      </w:r>
      <w:r w:rsidR="009417B8">
        <w:t xml:space="preserve">The </w:t>
      </w:r>
      <w:r w:rsidR="0047116F">
        <w:t>relevant t</w:t>
      </w:r>
      <w:r w:rsidR="009417B8">
        <w:t xml:space="preserve">rust deed </w:t>
      </w:r>
      <w:r w:rsidR="00CD4066">
        <w:t xml:space="preserve">for the Fund </w:t>
      </w:r>
      <w:r w:rsidR="009417B8">
        <w:t xml:space="preserve">was amended in 2011 to insert a clause described as a "binding death benefit nomination", according to which, if </w:t>
      </w:r>
      <w:r w:rsidR="00C10A95">
        <w:t xml:space="preserve">either </w:t>
      </w:r>
      <w:r w:rsidR="0047116F">
        <w:t>member</w:t>
      </w:r>
      <w:r w:rsidR="009417B8">
        <w:t xml:space="preserve"> of the Fund died, Zuda was required to distribute the whole of the deceased member's balance in the Fund to the </w:t>
      </w:r>
      <w:r w:rsidR="0047116F">
        <w:t>surviving member.</w:t>
      </w:r>
      <w:r w:rsidR="00D3308A">
        <w:t xml:space="preserve"> </w:t>
      </w:r>
      <w:r w:rsidR="00782398">
        <w:t xml:space="preserve">Mr Sodhy died </w:t>
      </w:r>
      <w:r w:rsidR="0043031C">
        <w:t xml:space="preserve">on 22 </w:t>
      </w:r>
      <w:r w:rsidR="00782398">
        <w:t xml:space="preserve">November 2016. Ms Hill, the </w:t>
      </w:r>
      <w:r w:rsidR="004D43E2">
        <w:t>only child</w:t>
      </w:r>
      <w:r w:rsidR="00782398">
        <w:t xml:space="preserve"> of Mr Sodhy, commenced </w:t>
      </w:r>
      <w:r w:rsidR="00F60946">
        <w:t xml:space="preserve">a </w:t>
      </w:r>
      <w:r w:rsidR="00782398">
        <w:t>proceeding</w:t>
      </w:r>
      <w:r w:rsidR="00F60946">
        <w:t xml:space="preserve"> </w:t>
      </w:r>
      <w:r w:rsidR="00782398">
        <w:t>in the Supreme Court of Western Australia</w:t>
      </w:r>
      <w:r w:rsidR="000F3340">
        <w:t xml:space="preserve">, arguing that the </w:t>
      </w:r>
      <w:r w:rsidR="00782398">
        <w:t xml:space="preserve">binding death benefit nomination </w:t>
      </w:r>
      <w:r w:rsidR="00656F20">
        <w:t xml:space="preserve">clause </w:t>
      </w:r>
      <w:r w:rsidR="00782398">
        <w:t xml:space="preserve">was of no force and effect on the basis that it did not comply with </w:t>
      </w:r>
      <w:r w:rsidR="007F7092">
        <w:t xml:space="preserve">the </w:t>
      </w:r>
      <w:r w:rsidR="00A67C6D">
        <w:t xml:space="preserve">standards prescribed by </w:t>
      </w:r>
      <w:r w:rsidR="00782398">
        <w:t>reg 6.17A.</w:t>
      </w:r>
      <w:r w:rsidR="001C4FC5">
        <w:t xml:space="preserve"> </w:t>
      </w:r>
    </w:p>
    <w:p w14:paraId="6A26D7B3" w14:textId="77777777" w:rsidR="00652894" w:rsidRDefault="00652894" w:rsidP="00F1020B">
      <w:pPr>
        <w:ind w:right="-285"/>
        <w:rPr>
          <w:b/>
        </w:rPr>
      </w:pPr>
    </w:p>
    <w:p w14:paraId="6F2DF08D" w14:textId="568F756E" w:rsidR="00C85C05" w:rsidRPr="00197462" w:rsidRDefault="00E37638" w:rsidP="00F1020B">
      <w:pPr>
        <w:ind w:right="-285"/>
        <w:rPr>
          <w:b/>
        </w:rPr>
      </w:pPr>
      <w:r>
        <w:t>The</w:t>
      </w:r>
      <w:r w:rsidR="00776124">
        <w:t xml:space="preserve"> Supreme Court </w:t>
      </w:r>
      <w:r w:rsidR="00C85C05" w:rsidRPr="00991AA4">
        <w:t xml:space="preserve">summarily </w:t>
      </w:r>
      <w:r w:rsidR="00776124" w:rsidRPr="00991AA4">
        <w:t xml:space="preserve">dismissed the </w:t>
      </w:r>
      <w:r w:rsidR="00C85C05" w:rsidRPr="00991AA4">
        <w:t xml:space="preserve">proceeding on the basis that reg 6.17A </w:t>
      </w:r>
      <w:r w:rsidR="00FB0253">
        <w:t xml:space="preserve">did not apply </w:t>
      </w:r>
      <w:r w:rsidR="00C85C05" w:rsidRPr="00991AA4">
        <w:t xml:space="preserve">to </w:t>
      </w:r>
      <w:r w:rsidR="00CA7373">
        <w:t>the Fund as an</w:t>
      </w:r>
      <w:r w:rsidR="00C85C05" w:rsidRPr="00991AA4">
        <w:t xml:space="preserve"> SMSF. The Court of Appeal concluded that there was no error in that holding and so dismissed an appeal </w:t>
      </w:r>
      <w:r w:rsidR="00717E0E" w:rsidRPr="00991AA4">
        <w:t xml:space="preserve">from the order for summary dismissal. </w:t>
      </w:r>
      <w:r w:rsidR="003159C3">
        <w:t>In reaching that conclusion, the</w:t>
      </w:r>
      <w:r w:rsidR="00717E0E" w:rsidRPr="00991AA4">
        <w:t xml:space="preserve"> Court of Appeal </w:t>
      </w:r>
      <w:r w:rsidR="003159C3">
        <w:t xml:space="preserve">adopted </w:t>
      </w:r>
      <w:r w:rsidR="00833B81">
        <w:t xml:space="preserve">a </w:t>
      </w:r>
      <w:r w:rsidR="00717E0E" w:rsidRPr="00991AA4">
        <w:t>construction of reg 6.17A expressed by the Full Court of the Supreme Court of South Australia</w:t>
      </w:r>
      <w:r w:rsidR="003159C3">
        <w:t xml:space="preserve">, on the basis that it was bound to follow the </w:t>
      </w:r>
      <w:r w:rsidR="00B54310">
        <w:t>"</w:t>
      </w:r>
      <w:r w:rsidR="003159C3">
        <w:t>seriously considered dicta</w:t>
      </w:r>
      <w:r w:rsidR="00B54310">
        <w:t>"</w:t>
      </w:r>
      <w:r w:rsidR="003159C3">
        <w:t xml:space="preserve"> of an intermediate appellate court unless</w:t>
      </w:r>
      <w:r w:rsidR="00036971">
        <w:t xml:space="preserve"> convinced that</w:t>
      </w:r>
      <w:r w:rsidR="003159C3">
        <w:t xml:space="preserve"> </w:t>
      </w:r>
      <w:r w:rsidR="000A1E8D">
        <w:t xml:space="preserve">the </w:t>
      </w:r>
      <w:r w:rsidR="00817F0D">
        <w:t xml:space="preserve">other court's </w:t>
      </w:r>
      <w:r w:rsidR="00A70FD6">
        <w:t xml:space="preserve">reasoning </w:t>
      </w:r>
      <w:r w:rsidR="00CF5B6E">
        <w:t xml:space="preserve">was </w:t>
      </w:r>
      <w:r w:rsidR="00B17F63">
        <w:t>"</w:t>
      </w:r>
      <w:r w:rsidR="00CF5B6E">
        <w:t>plainly wrong</w:t>
      </w:r>
      <w:r w:rsidR="00B17F63">
        <w:t>"</w:t>
      </w:r>
      <w:r w:rsidR="00197462">
        <w:t>.</w:t>
      </w:r>
    </w:p>
    <w:p w14:paraId="50723B18" w14:textId="77777777" w:rsidR="00C85C05" w:rsidRPr="00991AA4" w:rsidRDefault="00C85C05" w:rsidP="00F1020B">
      <w:pPr>
        <w:ind w:right="-285"/>
      </w:pPr>
    </w:p>
    <w:p w14:paraId="4951FAE2" w14:textId="74A3AFF8" w:rsidR="00B03907" w:rsidRPr="00CF5B6E" w:rsidRDefault="00717E0E" w:rsidP="00F1020B">
      <w:pPr>
        <w:ind w:right="-285"/>
        <w:rPr>
          <w:b/>
        </w:rPr>
      </w:pPr>
      <w:r w:rsidRPr="00991AA4">
        <w:t xml:space="preserve">The </w:t>
      </w:r>
      <w:r w:rsidR="00865993">
        <w:t xml:space="preserve">High </w:t>
      </w:r>
      <w:r w:rsidRPr="00991AA4">
        <w:t>Court held that reg 6.17A, properly construed, did not apply to an SMSF</w:t>
      </w:r>
      <w:r w:rsidR="003C2FB6" w:rsidRPr="00991AA4">
        <w:t>.</w:t>
      </w:r>
      <w:r w:rsidR="00113FDC">
        <w:rPr>
          <w:b/>
        </w:rPr>
        <w:t xml:space="preserve"> </w:t>
      </w:r>
      <w:r w:rsidR="003C2FB6" w:rsidRPr="00991AA4">
        <w:t xml:space="preserve">That construction was consistent with the extrinsic materials and the purposes of reg 6.17A. The </w:t>
      </w:r>
      <w:r w:rsidRPr="00991AA4">
        <w:t xml:space="preserve">Court of Appeal was </w:t>
      </w:r>
      <w:r w:rsidR="003C2FB6" w:rsidRPr="00991AA4">
        <w:t xml:space="preserve">therefore </w:t>
      </w:r>
      <w:r w:rsidRPr="00991AA4">
        <w:t xml:space="preserve">correct </w:t>
      </w:r>
      <w:r w:rsidR="00A00596">
        <w:t>in its conclusion</w:t>
      </w:r>
      <w:r w:rsidR="003C2FB6" w:rsidRPr="00991AA4">
        <w:t xml:space="preserve">, </w:t>
      </w:r>
      <w:r w:rsidR="00B25A48">
        <w:t>al</w:t>
      </w:r>
      <w:r w:rsidR="003C2FB6" w:rsidRPr="00991AA4">
        <w:t xml:space="preserve">though it ought to have reached </w:t>
      </w:r>
      <w:r w:rsidR="00385B81">
        <w:t xml:space="preserve">that </w:t>
      </w:r>
      <w:r w:rsidR="003C2FB6" w:rsidRPr="00991AA4">
        <w:t xml:space="preserve">conclusion </w:t>
      </w:r>
      <w:r w:rsidR="00A00596">
        <w:t xml:space="preserve">by </w:t>
      </w:r>
      <w:r w:rsidR="003C2FB6" w:rsidRPr="00991AA4">
        <w:t xml:space="preserve">construing </w:t>
      </w:r>
      <w:r w:rsidR="00A00596">
        <w:t xml:space="preserve">reg 6.17A </w:t>
      </w:r>
      <w:r w:rsidR="003C2FB6" w:rsidRPr="00991AA4">
        <w:t>for itself</w:t>
      </w:r>
      <w:r w:rsidRPr="00991AA4">
        <w:t>.</w:t>
      </w:r>
      <w:r w:rsidR="001C4FC5">
        <w:t xml:space="preserve"> </w:t>
      </w:r>
      <w:r w:rsidR="00CF5B6E">
        <w:t>I</w:t>
      </w:r>
      <w:r w:rsidR="00CF5B6E" w:rsidRPr="00CF5B6E">
        <w:t>ntermediate appellate courts and trial judges are not bound to follow obiter dicta of other intermediate appellate courts, although they would ordinarily be expected to give great weight to them.</w:t>
      </w:r>
      <w:r w:rsidR="00CF5B6E">
        <w:t xml:space="preserve"> </w:t>
      </w:r>
    </w:p>
    <w:p w14:paraId="691290E8" w14:textId="77777777" w:rsidR="001C1EBD" w:rsidRDefault="001C1EBD" w:rsidP="00873C60">
      <w:pPr>
        <w:spacing w:line="480" w:lineRule="auto"/>
        <w:ind w:right="-57"/>
      </w:pPr>
    </w:p>
    <w:p w14:paraId="084E0833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63CE" w14:textId="77777777" w:rsidR="003F0CAA" w:rsidRDefault="003F0CAA">
      <w:r>
        <w:separator/>
      </w:r>
    </w:p>
  </w:endnote>
  <w:endnote w:type="continuationSeparator" w:id="0">
    <w:p w14:paraId="3E8F144F" w14:textId="77777777" w:rsidR="003F0CAA" w:rsidRDefault="003F0CAA">
      <w:r>
        <w:continuationSeparator/>
      </w:r>
    </w:p>
  </w:endnote>
  <w:endnote w:type="continuationNotice" w:id="1">
    <w:p w14:paraId="48AA8B6F" w14:textId="77777777" w:rsidR="003F0CAA" w:rsidRDefault="003F0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8122" w14:textId="77777777" w:rsidR="0093650E" w:rsidRDefault="00936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68BD" w14:textId="77777777" w:rsidR="00090278" w:rsidRDefault="00090278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293CF95F" w14:textId="77777777" w:rsidR="00090278" w:rsidRDefault="00090278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23377BC5" w14:textId="77777777" w:rsidR="00090278" w:rsidRDefault="00090278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3FEE" w14:textId="77777777" w:rsidR="003F0CAA" w:rsidRDefault="003F0CAA">
      <w:r>
        <w:separator/>
      </w:r>
    </w:p>
  </w:footnote>
  <w:footnote w:type="continuationSeparator" w:id="0">
    <w:p w14:paraId="150520C5" w14:textId="77777777" w:rsidR="003F0CAA" w:rsidRDefault="003F0CAA">
      <w:r>
        <w:continuationSeparator/>
      </w:r>
    </w:p>
  </w:footnote>
  <w:footnote w:type="continuationNotice" w:id="1">
    <w:p w14:paraId="6B751F25" w14:textId="77777777" w:rsidR="003F0CAA" w:rsidRDefault="003F0C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5656" w14:textId="77777777" w:rsidR="00090278" w:rsidRDefault="000902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7D698" w14:textId="77777777" w:rsidR="00090278" w:rsidRDefault="00090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D79B" w14:textId="77777777" w:rsidR="00090278" w:rsidRDefault="000902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22428E" w14:textId="77777777" w:rsidR="00090278" w:rsidRDefault="00090278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9BB2" w14:textId="77777777" w:rsidR="00090278" w:rsidRDefault="00265626">
    <w:pPr>
      <w:pStyle w:val="Header"/>
      <w:jc w:val="center"/>
    </w:pPr>
    <w:r>
      <w:rPr>
        <w:noProof/>
        <w:lang w:val="en-US" w:eastAsia="zh-TW"/>
      </w:rPr>
      <w:object w:dxaOrig="1440" w:dyaOrig="1440" w14:anchorId="504E1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7728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716792547" r:id="rId2"/>
      </w:object>
    </w:r>
  </w:p>
  <w:p w14:paraId="722CE2B0" w14:textId="77777777" w:rsidR="00090278" w:rsidRDefault="00090278">
    <w:pPr>
      <w:spacing w:before="200" w:after="200"/>
      <w:jc w:val="center"/>
      <w:rPr>
        <w:rFonts w:ascii="Arial" w:hAnsi="Arial"/>
        <w:spacing w:val="40"/>
        <w:sz w:val="28"/>
      </w:rPr>
    </w:pPr>
  </w:p>
  <w:p w14:paraId="3F0170C6" w14:textId="77777777" w:rsidR="00090278" w:rsidRDefault="00090278">
    <w:pPr>
      <w:spacing w:before="200" w:after="200"/>
      <w:jc w:val="center"/>
      <w:rPr>
        <w:rFonts w:ascii="Arial" w:hAnsi="Arial"/>
        <w:spacing w:val="40"/>
        <w:sz w:val="28"/>
      </w:rPr>
    </w:pPr>
  </w:p>
  <w:p w14:paraId="35503911" w14:textId="77777777" w:rsidR="00090278" w:rsidRDefault="00090278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2EF"/>
    <w:rsid w:val="00036971"/>
    <w:rsid w:val="00040AD9"/>
    <w:rsid w:val="000474B9"/>
    <w:rsid w:val="00062BA7"/>
    <w:rsid w:val="00076FE6"/>
    <w:rsid w:val="00090278"/>
    <w:rsid w:val="000922F9"/>
    <w:rsid w:val="000936B4"/>
    <w:rsid w:val="00097C05"/>
    <w:rsid w:val="000A1E8D"/>
    <w:rsid w:val="000A2A5B"/>
    <w:rsid w:val="000B05D2"/>
    <w:rsid w:val="000B4F3A"/>
    <w:rsid w:val="000C7F9B"/>
    <w:rsid w:val="000F0F48"/>
    <w:rsid w:val="000F1746"/>
    <w:rsid w:val="000F3340"/>
    <w:rsid w:val="000F36CF"/>
    <w:rsid w:val="000F6D9A"/>
    <w:rsid w:val="000F6DEC"/>
    <w:rsid w:val="001002E1"/>
    <w:rsid w:val="001056DE"/>
    <w:rsid w:val="00113FDC"/>
    <w:rsid w:val="00141880"/>
    <w:rsid w:val="001665C3"/>
    <w:rsid w:val="00171A8B"/>
    <w:rsid w:val="001930FE"/>
    <w:rsid w:val="00197462"/>
    <w:rsid w:val="001A2FCC"/>
    <w:rsid w:val="001C1EBD"/>
    <w:rsid w:val="001C4FC5"/>
    <w:rsid w:val="001E4DF2"/>
    <w:rsid w:val="0021438F"/>
    <w:rsid w:val="002149D8"/>
    <w:rsid w:val="002349C2"/>
    <w:rsid w:val="00235037"/>
    <w:rsid w:val="00252A5B"/>
    <w:rsid w:val="00261AE0"/>
    <w:rsid w:val="00265626"/>
    <w:rsid w:val="00280FF1"/>
    <w:rsid w:val="002D2DE8"/>
    <w:rsid w:val="002E1635"/>
    <w:rsid w:val="0030023D"/>
    <w:rsid w:val="00305004"/>
    <w:rsid w:val="00310A6C"/>
    <w:rsid w:val="003159C3"/>
    <w:rsid w:val="003324A2"/>
    <w:rsid w:val="0034523B"/>
    <w:rsid w:val="00360A4A"/>
    <w:rsid w:val="00374ECA"/>
    <w:rsid w:val="0038208B"/>
    <w:rsid w:val="00385B81"/>
    <w:rsid w:val="00392BEC"/>
    <w:rsid w:val="00392E12"/>
    <w:rsid w:val="003C2FB6"/>
    <w:rsid w:val="003D4EC7"/>
    <w:rsid w:val="003D5FCA"/>
    <w:rsid w:val="003F0CAA"/>
    <w:rsid w:val="00427C3A"/>
    <w:rsid w:val="0043031C"/>
    <w:rsid w:val="00443C39"/>
    <w:rsid w:val="0046063D"/>
    <w:rsid w:val="0047116F"/>
    <w:rsid w:val="004C262F"/>
    <w:rsid w:val="004D207F"/>
    <w:rsid w:val="004D43E2"/>
    <w:rsid w:val="004E013C"/>
    <w:rsid w:val="00505860"/>
    <w:rsid w:val="005111ED"/>
    <w:rsid w:val="005314DB"/>
    <w:rsid w:val="0055179D"/>
    <w:rsid w:val="005546E8"/>
    <w:rsid w:val="005665E4"/>
    <w:rsid w:val="005B45D3"/>
    <w:rsid w:val="005C1394"/>
    <w:rsid w:val="005D026F"/>
    <w:rsid w:val="005D22A2"/>
    <w:rsid w:val="005F16F6"/>
    <w:rsid w:val="006307F3"/>
    <w:rsid w:val="00633EAA"/>
    <w:rsid w:val="00652894"/>
    <w:rsid w:val="00656F20"/>
    <w:rsid w:val="00664E91"/>
    <w:rsid w:val="006826DA"/>
    <w:rsid w:val="00693CEF"/>
    <w:rsid w:val="00694B1A"/>
    <w:rsid w:val="0069757F"/>
    <w:rsid w:val="006E37BB"/>
    <w:rsid w:val="00704D7A"/>
    <w:rsid w:val="00707B44"/>
    <w:rsid w:val="00713760"/>
    <w:rsid w:val="00717E0E"/>
    <w:rsid w:val="00721959"/>
    <w:rsid w:val="00740F91"/>
    <w:rsid w:val="00751D2B"/>
    <w:rsid w:val="00776124"/>
    <w:rsid w:val="00782398"/>
    <w:rsid w:val="00795FD2"/>
    <w:rsid w:val="007A3C97"/>
    <w:rsid w:val="007A52EF"/>
    <w:rsid w:val="007E1387"/>
    <w:rsid w:val="007F7092"/>
    <w:rsid w:val="00817F0D"/>
    <w:rsid w:val="0082612B"/>
    <w:rsid w:val="00833B81"/>
    <w:rsid w:val="008548A3"/>
    <w:rsid w:val="00856517"/>
    <w:rsid w:val="00865993"/>
    <w:rsid w:val="00873C60"/>
    <w:rsid w:val="008B60AA"/>
    <w:rsid w:val="008C6FE8"/>
    <w:rsid w:val="008F79B8"/>
    <w:rsid w:val="009259FF"/>
    <w:rsid w:val="009355AF"/>
    <w:rsid w:val="0093650E"/>
    <w:rsid w:val="009417B8"/>
    <w:rsid w:val="0094682B"/>
    <w:rsid w:val="00946FA2"/>
    <w:rsid w:val="0097518F"/>
    <w:rsid w:val="00984E2B"/>
    <w:rsid w:val="00986F51"/>
    <w:rsid w:val="00991AA4"/>
    <w:rsid w:val="00997F4D"/>
    <w:rsid w:val="009B459C"/>
    <w:rsid w:val="009C48C6"/>
    <w:rsid w:val="009E3581"/>
    <w:rsid w:val="009E76F3"/>
    <w:rsid w:val="00A00596"/>
    <w:rsid w:val="00A11243"/>
    <w:rsid w:val="00A12A47"/>
    <w:rsid w:val="00A13679"/>
    <w:rsid w:val="00A14AB8"/>
    <w:rsid w:val="00A160F2"/>
    <w:rsid w:val="00A33BC6"/>
    <w:rsid w:val="00A41805"/>
    <w:rsid w:val="00A67C6D"/>
    <w:rsid w:val="00A70FD6"/>
    <w:rsid w:val="00A7665D"/>
    <w:rsid w:val="00A957C1"/>
    <w:rsid w:val="00AA56B4"/>
    <w:rsid w:val="00AA762D"/>
    <w:rsid w:val="00AB7FBD"/>
    <w:rsid w:val="00AC081F"/>
    <w:rsid w:val="00AC37A5"/>
    <w:rsid w:val="00AE1F55"/>
    <w:rsid w:val="00B03907"/>
    <w:rsid w:val="00B17F63"/>
    <w:rsid w:val="00B25A48"/>
    <w:rsid w:val="00B54310"/>
    <w:rsid w:val="00BE417E"/>
    <w:rsid w:val="00C10A95"/>
    <w:rsid w:val="00C27D21"/>
    <w:rsid w:val="00C42B11"/>
    <w:rsid w:val="00C47FCD"/>
    <w:rsid w:val="00C60C82"/>
    <w:rsid w:val="00C72751"/>
    <w:rsid w:val="00C73FF1"/>
    <w:rsid w:val="00C83A17"/>
    <w:rsid w:val="00C83B24"/>
    <w:rsid w:val="00C85C05"/>
    <w:rsid w:val="00CA2F05"/>
    <w:rsid w:val="00CA7373"/>
    <w:rsid w:val="00CC1DB4"/>
    <w:rsid w:val="00CD4066"/>
    <w:rsid w:val="00CD581A"/>
    <w:rsid w:val="00CE3795"/>
    <w:rsid w:val="00CF5B6E"/>
    <w:rsid w:val="00D264E2"/>
    <w:rsid w:val="00D3308A"/>
    <w:rsid w:val="00D364A3"/>
    <w:rsid w:val="00D50FFC"/>
    <w:rsid w:val="00D75953"/>
    <w:rsid w:val="00D80A12"/>
    <w:rsid w:val="00D924FC"/>
    <w:rsid w:val="00D95F3A"/>
    <w:rsid w:val="00DA7D5E"/>
    <w:rsid w:val="00DC5E94"/>
    <w:rsid w:val="00DE6136"/>
    <w:rsid w:val="00E0075D"/>
    <w:rsid w:val="00E368EF"/>
    <w:rsid w:val="00E37638"/>
    <w:rsid w:val="00E6678B"/>
    <w:rsid w:val="00E91B9B"/>
    <w:rsid w:val="00E95A71"/>
    <w:rsid w:val="00E96DF7"/>
    <w:rsid w:val="00EB1C57"/>
    <w:rsid w:val="00EF267D"/>
    <w:rsid w:val="00F1020B"/>
    <w:rsid w:val="00F41FE1"/>
    <w:rsid w:val="00F60946"/>
    <w:rsid w:val="00F71C7D"/>
    <w:rsid w:val="00F8474C"/>
    <w:rsid w:val="00FB0253"/>
    <w:rsid w:val="00FB3198"/>
    <w:rsid w:val="00FB5C8C"/>
    <w:rsid w:val="00FB6094"/>
    <w:rsid w:val="00FB64DD"/>
    <w:rsid w:val="00FC3DA7"/>
    <w:rsid w:val="00FD224B"/>
    <w:rsid w:val="00FF2B4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44EA93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5" ma:contentTypeDescription="Create a new document." ma:contentTypeScope="" ma:versionID="715d3002956755f8c2ed3cbb87338530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19bc1b7ccecf72d470460ce7ba1c21a5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513d7b-6904-409a-938d-c3a846df6e33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5b7fd-636f-49ec-b8cc-eb8a3f2ba19e" xsi:nil="true"/>
    <lcf76f155ced4ddcb4097134ff3c332f xmlns="3cc3f26d-d9cc-46f3-89c7-f1482de8c8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6BBAAA-6C45-492A-86B0-9446CC418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D75C-D3DE-4CAA-8BC9-7384DB9CC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DEC74-3C20-4732-B229-09776CF11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7730E-EECC-4C43-9AE4-67B07835F1BE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bc5b7fd-636f-49ec-b8cc-eb8a3f2ba19e"/>
    <ds:schemaRef ds:uri="http://schemas.microsoft.com/office/infopath/2007/PartnerControls"/>
    <ds:schemaRef ds:uri="3cc3f26d-d9cc-46f3-89c7-f1482de8c8f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2253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2003-02-17T22:40:00Z</cp:lastPrinted>
  <dcterms:created xsi:type="dcterms:W3CDTF">2022-06-15T00:03:00Z</dcterms:created>
  <dcterms:modified xsi:type="dcterms:W3CDTF">2022-06-15T00:03:00Z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