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EE0F" w14:textId="77777777" w:rsidR="00310A6C" w:rsidRDefault="00310A6C">
      <w:pPr>
        <w:ind w:right="-285"/>
      </w:pPr>
    </w:p>
    <w:p w14:paraId="34788027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0DD935AF" w14:textId="00EB28EC" w:rsidR="00443C39" w:rsidRDefault="0086414B" w:rsidP="00D006DF">
      <w:pPr>
        <w:framePr w:w="2019" w:h="430" w:hSpace="181" w:wrap="notBeside" w:vAnchor="text" w:hAnchor="page" w:x="9081" w:y="-550"/>
        <w:shd w:val="solid" w:color="FFFFFF" w:fill="FFFFFF"/>
        <w:jc w:val="right"/>
      </w:pPr>
      <w:r>
        <w:t>8 February 2023</w:t>
      </w:r>
    </w:p>
    <w:p w14:paraId="04408F17" w14:textId="2E54E20C" w:rsidR="005F16F6" w:rsidRDefault="0086414B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BRYANT &amp; ORS </w:t>
      </w:r>
      <w:r w:rsidR="003B0057">
        <w:rPr>
          <w:u w:val="single"/>
        </w:rPr>
        <w:t>v</w:t>
      </w:r>
      <w:r>
        <w:rPr>
          <w:u w:val="single"/>
        </w:rPr>
        <w:t xml:space="preserve"> BADENOCH INTEGRATED LOGGING</w:t>
      </w:r>
      <w:r w:rsidR="003B0057">
        <w:rPr>
          <w:u w:val="single"/>
        </w:rPr>
        <w:t xml:space="preserve"> PTY LTD</w:t>
      </w:r>
    </w:p>
    <w:p w14:paraId="3BBE1F93" w14:textId="2A6343FB" w:rsidR="00310A6C" w:rsidRPr="005F16F6" w:rsidRDefault="00E95A71" w:rsidP="00E95A71">
      <w:pPr>
        <w:ind w:right="-285"/>
        <w:jc w:val="center"/>
      </w:pPr>
      <w:r w:rsidRPr="005F16F6">
        <w:t>[20</w:t>
      </w:r>
      <w:r w:rsidR="003B0057">
        <w:t>23</w:t>
      </w:r>
      <w:r w:rsidRPr="005F16F6">
        <w:t xml:space="preserve">] </w:t>
      </w:r>
      <w:smartTag w:uri="urn:schemas-microsoft-com:office:smarttags" w:element="stockticker">
        <w:r w:rsidRPr="00870BA3">
          <w:t>HCA</w:t>
        </w:r>
      </w:smartTag>
      <w:r w:rsidRPr="00870BA3">
        <w:t xml:space="preserve"> </w:t>
      </w:r>
      <w:r w:rsidR="00870BA3" w:rsidRPr="00870BA3">
        <w:t>2</w:t>
      </w:r>
    </w:p>
    <w:p w14:paraId="4CA495C2" w14:textId="77777777" w:rsidR="000B63B4" w:rsidRPr="00873C60" w:rsidRDefault="000B63B4" w:rsidP="00B652F8">
      <w:pPr>
        <w:ind w:right="-285"/>
        <w:jc w:val="center"/>
      </w:pPr>
    </w:p>
    <w:p w14:paraId="342FFECE" w14:textId="00F4496E" w:rsidR="000F0F48" w:rsidRDefault="00121522" w:rsidP="00FF2472">
      <w:r>
        <w:t xml:space="preserve">Today, the High Court </w:t>
      </w:r>
      <w:r w:rsidR="00D45882" w:rsidRPr="00D45882">
        <w:t xml:space="preserve">unanimously </w:t>
      </w:r>
      <w:r>
        <w:t xml:space="preserve">dismissed an </w:t>
      </w:r>
      <w:r w:rsidRPr="00C74E58">
        <w:t>appeal</w:t>
      </w:r>
      <w:r>
        <w:t xml:space="preserve"> </w:t>
      </w:r>
      <w:r w:rsidR="00C74E58">
        <w:t>and cross</w:t>
      </w:r>
      <w:r w:rsidR="00C74E58">
        <w:noBreakHyphen/>
        <w:t xml:space="preserve">appeal </w:t>
      </w:r>
      <w:r>
        <w:t xml:space="preserve">from a decision of the </w:t>
      </w:r>
      <w:r w:rsidR="00B652F8">
        <w:t xml:space="preserve">Full Court of the Federal Court of Australia. </w:t>
      </w:r>
      <w:r w:rsidR="00890984">
        <w:t xml:space="preserve">The </w:t>
      </w:r>
      <w:r w:rsidR="002F2338">
        <w:t>case</w:t>
      </w:r>
      <w:r w:rsidR="00890984">
        <w:t xml:space="preserve"> concerned </w:t>
      </w:r>
      <w:r w:rsidR="000D68FF">
        <w:t>the operation of</w:t>
      </w:r>
      <w:r w:rsidR="007C49E6">
        <w:t xml:space="preserve"> </w:t>
      </w:r>
      <w:r w:rsidR="00E36A56">
        <w:t>voidable transactions in insolvency governed by</w:t>
      </w:r>
      <w:r w:rsidR="000D68FF">
        <w:t xml:space="preserve"> </w:t>
      </w:r>
      <w:r w:rsidR="00C1192B">
        <w:t>Pt 5.7B</w:t>
      </w:r>
      <w:r w:rsidR="003B2382">
        <w:t xml:space="preserve"> of the </w:t>
      </w:r>
      <w:r w:rsidR="003B2382" w:rsidRPr="003B2382">
        <w:rPr>
          <w:i/>
          <w:iCs/>
        </w:rPr>
        <w:t>Corporations Act 2001</w:t>
      </w:r>
      <w:r w:rsidR="003B2382">
        <w:t> (</w:t>
      </w:r>
      <w:proofErr w:type="spellStart"/>
      <w:r w:rsidR="003B2382">
        <w:t>Cth</w:t>
      </w:r>
      <w:proofErr w:type="spellEnd"/>
      <w:r w:rsidR="003B2382">
        <w:t xml:space="preserve">). </w:t>
      </w:r>
      <w:r w:rsidR="006A5A0F">
        <w:t>Within Pt 5.7B, s </w:t>
      </w:r>
      <w:r w:rsidR="00B977C7" w:rsidRPr="00B977C7">
        <w:t>588FA(3) is a statutory embodiment of the "running account principle"</w:t>
      </w:r>
      <w:r w:rsidR="00B977C7">
        <w:t>.</w:t>
      </w:r>
      <w:r w:rsidR="00201A5B" w:rsidRPr="00201A5B">
        <w:t xml:space="preserve"> The effect of s</w:t>
      </w:r>
      <w:r w:rsidR="00201A5B">
        <w:t> </w:t>
      </w:r>
      <w:r w:rsidR="00201A5B" w:rsidRPr="00201A5B">
        <w:t>588FA(3) is that if "a transaction is, for commercial purposes, an integral part of a continuing business relationship (for example, a running account)" between a company as debtor and a creditor, then all transactions forming part of that relationship are to be treated as if they together constituted a single transaction in determining if the transaction is an unfair preference given by the company to the creditor, voidable on application by a liquidator</w:t>
      </w:r>
      <w:r w:rsidR="00201A5B">
        <w:t xml:space="preserve">. </w:t>
      </w:r>
    </w:p>
    <w:p w14:paraId="304EE3C7" w14:textId="77777777" w:rsidR="00DE6136" w:rsidRDefault="00DE6136" w:rsidP="00FF2472"/>
    <w:p w14:paraId="5D8512F2" w14:textId="28CB5028" w:rsidR="00310A6C" w:rsidRDefault="00882DEB" w:rsidP="00FF2472">
      <w:r>
        <w:t xml:space="preserve">The appellants </w:t>
      </w:r>
      <w:r w:rsidR="004E5EFF">
        <w:t>were</w:t>
      </w:r>
      <w:r>
        <w:t xml:space="preserve"> </w:t>
      </w:r>
      <w:r w:rsidR="009A15DE">
        <w:t xml:space="preserve">the </w:t>
      </w:r>
      <w:r>
        <w:t xml:space="preserve">liquidators of </w:t>
      </w:r>
      <w:r w:rsidR="009A15DE">
        <w:t>a company ("</w:t>
      </w:r>
      <w:proofErr w:type="spellStart"/>
      <w:r w:rsidR="009A15DE">
        <w:t>Gunns</w:t>
      </w:r>
      <w:proofErr w:type="spellEnd"/>
      <w:r w:rsidR="009A15DE">
        <w:t>")</w:t>
      </w:r>
      <w:r w:rsidR="006C4044">
        <w:t xml:space="preserve">. </w:t>
      </w:r>
      <w:r w:rsidR="0001526C">
        <w:t xml:space="preserve">The respondent ("Badenoch") </w:t>
      </w:r>
      <w:r w:rsidR="0036505A">
        <w:t xml:space="preserve">entered into an agreement </w:t>
      </w:r>
      <w:r w:rsidR="000A0C95" w:rsidRPr="000A0C95">
        <w:t xml:space="preserve">to supply services to </w:t>
      </w:r>
      <w:proofErr w:type="spellStart"/>
      <w:r w:rsidR="000A0C95" w:rsidRPr="000A0C95">
        <w:t>Gunns</w:t>
      </w:r>
      <w:proofErr w:type="spellEnd"/>
      <w:r w:rsidR="000A0C95" w:rsidRPr="000A0C95">
        <w:t xml:space="preserve"> for harvesting and hauling timber</w:t>
      </w:r>
      <w:r w:rsidR="003618C4" w:rsidRPr="003618C4">
        <w:t>.</w:t>
      </w:r>
      <w:r w:rsidR="00352F50">
        <w:t xml:space="preserve"> </w:t>
      </w:r>
      <w:r w:rsidR="001576C5">
        <w:t xml:space="preserve">From 2010, </w:t>
      </w:r>
      <w:proofErr w:type="spellStart"/>
      <w:r w:rsidR="00352F50">
        <w:t>Gunns</w:t>
      </w:r>
      <w:proofErr w:type="spellEnd"/>
      <w:r w:rsidR="00352F50">
        <w:t xml:space="preserve"> suffered significant declines in revenue. </w:t>
      </w:r>
      <w:r w:rsidR="00352F50" w:rsidRPr="00352F50">
        <w:t xml:space="preserve">Badenoch continued to provide services to </w:t>
      </w:r>
      <w:proofErr w:type="spellStart"/>
      <w:r w:rsidR="00352F50" w:rsidRPr="00352F50">
        <w:t>Gunns</w:t>
      </w:r>
      <w:proofErr w:type="spellEnd"/>
      <w:r w:rsidR="00352F50" w:rsidRPr="00352F50">
        <w:t xml:space="preserve">, despite </w:t>
      </w:r>
      <w:proofErr w:type="spellStart"/>
      <w:r w:rsidR="00352F50" w:rsidRPr="00352F50">
        <w:t>Gunns</w:t>
      </w:r>
      <w:proofErr w:type="spellEnd"/>
      <w:r w:rsidR="00352F50" w:rsidRPr="00352F50">
        <w:t xml:space="preserve"> frequently being late in making payments or only making partial payments. </w:t>
      </w:r>
      <w:r w:rsidR="0045622B">
        <w:t>I</w:t>
      </w:r>
      <w:r w:rsidR="00352F50" w:rsidRPr="00352F50">
        <w:t xml:space="preserve">n August 2012, Badenoch agreed with </w:t>
      </w:r>
      <w:proofErr w:type="spellStart"/>
      <w:r w:rsidR="00352F50" w:rsidRPr="00352F50">
        <w:t>Gunns</w:t>
      </w:r>
      <w:proofErr w:type="spellEnd"/>
      <w:r w:rsidR="00352F50" w:rsidRPr="00352F50">
        <w:t xml:space="preserve"> to terminate the agreement on the basis that it would continue to supply some services for a further short period</w:t>
      </w:r>
      <w:r w:rsidR="00352F50">
        <w:t xml:space="preserve">. </w:t>
      </w:r>
      <w:r w:rsidR="00B23F5B">
        <w:t xml:space="preserve">On 25 September 2012, </w:t>
      </w:r>
      <w:proofErr w:type="spellStart"/>
      <w:r w:rsidR="00352F50">
        <w:t>Gunns</w:t>
      </w:r>
      <w:proofErr w:type="spellEnd"/>
      <w:r w:rsidR="00352F50">
        <w:t xml:space="preserve"> appointed liquidators.</w:t>
      </w:r>
      <w:r w:rsidR="003618C4">
        <w:t xml:space="preserve"> </w:t>
      </w:r>
      <w:r w:rsidR="009A15DE">
        <w:t>Th</w:t>
      </w:r>
      <w:r w:rsidR="00B70C76" w:rsidRPr="001A162A">
        <w:t>e liquidators applied</w:t>
      </w:r>
      <w:r w:rsidR="00666E61">
        <w:t xml:space="preserve"> under s 588FF(1)</w:t>
      </w:r>
      <w:r w:rsidR="00B70C76" w:rsidRPr="001A162A">
        <w:t xml:space="preserve"> to have </w:t>
      </w:r>
      <w:r w:rsidR="00A2706C">
        <w:t xml:space="preserve">a series of </w:t>
      </w:r>
      <w:r w:rsidR="00B70C76" w:rsidRPr="001A162A">
        <w:t xml:space="preserve">payments made by </w:t>
      </w:r>
      <w:proofErr w:type="spellStart"/>
      <w:r w:rsidR="00B70C76" w:rsidRPr="001A162A">
        <w:t>Gunns</w:t>
      </w:r>
      <w:proofErr w:type="spellEnd"/>
      <w:r w:rsidR="00B70C76" w:rsidRPr="001A162A">
        <w:t xml:space="preserve"> to Badenoch </w:t>
      </w:r>
      <w:r w:rsidR="00786D53">
        <w:t>within the</w:t>
      </w:r>
      <w:r w:rsidR="00855A78">
        <w:t xml:space="preserve"> </w:t>
      </w:r>
      <w:r w:rsidR="00CC3119">
        <w:t>six</w:t>
      </w:r>
      <w:r w:rsidR="00127F42">
        <w:t>-</w:t>
      </w:r>
      <w:r w:rsidR="00CC3119">
        <w:t xml:space="preserve">month </w:t>
      </w:r>
      <w:r w:rsidR="00855A78">
        <w:t xml:space="preserve">period ending on </w:t>
      </w:r>
      <w:r w:rsidR="00C82274">
        <w:t>25 September 2012</w:t>
      </w:r>
      <w:r w:rsidR="00786D53">
        <w:t xml:space="preserve"> </w:t>
      </w:r>
      <w:r w:rsidR="00B70C76" w:rsidRPr="001A162A">
        <w:t>declared to be voidable transactions</w:t>
      </w:r>
      <w:r w:rsidR="000A2E14">
        <w:t xml:space="preserve"> on the basis that they were unfair preferences</w:t>
      </w:r>
      <w:r w:rsidR="003B3DAC">
        <w:t>.</w:t>
      </w:r>
      <w:r w:rsidR="00870BA3">
        <w:t xml:space="preserve"> </w:t>
      </w:r>
      <w:r w:rsidR="007B50E8">
        <w:t xml:space="preserve">The liquidators </w:t>
      </w:r>
      <w:r w:rsidR="007B50E8" w:rsidRPr="007B50E8">
        <w:t>contended that, if there was a "continuing business relationship" so as to engage s</w:t>
      </w:r>
      <w:r w:rsidR="007B50E8">
        <w:t> </w:t>
      </w:r>
      <w:r w:rsidR="007B50E8" w:rsidRPr="007B50E8">
        <w:t>588FA(3), the</w:t>
      </w:r>
      <w:r w:rsidR="00697FAA">
        <w:t>y</w:t>
      </w:r>
      <w:r w:rsidR="007B50E8" w:rsidRPr="007B50E8">
        <w:t xml:space="preserve"> were entitled by the "peak indebtedness rule" to choose the starting date within </w:t>
      </w:r>
      <w:r w:rsidR="000A2E14">
        <w:t>that six</w:t>
      </w:r>
      <w:r w:rsidR="000A2E14">
        <w:noBreakHyphen/>
        <w:t xml:space="preserve">month </w:t>
      </w:r>
      <w:r w:rsidR="007B50E8" w:rsidRPr="007B50E8">
        <w:t xml:space="preserve">period to prove the existence of an unfair preference given by </w:t>
      </w:r>
      <w:proofErr w:type="spellStart"/>
      <w:r w:rsidR="007B50E8" w:rsidRPr="007B50E8">
        <w:t>Gunns</w:t>
      </w:r>
      <w:proofErr w:type="spellEnd"/>
      <w:r w:rsidR="007B50E8" w:rsidRPr="007B50E8">
        <w:t xml:space="preserve"> to Badenoch</w:t>
      </w:r>
      <w:r w:rsidR="007B50E8">
        <w:t>.</w:t>
      </w:r>
    </w:p>
    <w:p w14:paraId="5D001346" w14:textId="77777777" w:rsidR="008A3886" w:rsidRDefault="008A3886" w:rsidP="00FF2472"/>
    <w:p w14:paraId="6AB9C400" w14:textId="508BFC90" w:rsidR="008A3886" w:rsidRPr="00890E51" w:rsidRDefault="00C349BD" w:rsidP="00FF2472">
      <w:r w:rsidRPr="00890E51">
        <w:t xml:space="preserve">The primary judge </w:t>
      </w:r>
      <w:r w:rsidR="00767584" w:rsidRPr="00890E51">
        <w:t xml:space="preserve">held that </w:t>
      </w:r>
      <w:r w:rsidR="004B1F92" w:rsidRPr="00890E51">
        <w:t xml:space="preserve">the </w:t>
      </w:r>
      <w:r w:rsidRPr="00890E51">
        <w:t>"peak indebtedness rule"</w:t>
      </w:r>
      <w:r w:rsidR="00A948DC" w:rsidRPr="00890E51">
        <w:t xml:space="preserve"> </w:t>
      </w:r>
      <w:r w:rsidR="008F0503" w:rsidRPr="00890E51">
        <w:t>applied</w:t>
      </w:r>
      <w:r w:rsidR="00A948DC" w:rsidRPr="00890E51">
        <w:t xml:space="preserve"> under s 588FA(3)</w:t>
      </w:r>
      <w:r w:rsidR="0093212C" w:rsidRPr="00890E51">
        <w:t>.</w:t>
      </w:r>
      <w:r w:rsidR="007B50E8" w:rsidRPr="00890E51">
        <w:t xml:space="preserve"> The primary judge </w:t>
      </w:r>
      <w:r w:rsidR="00151CD8" w:rsidRPr="00890E51">
        <w:t xml:space="preserve">also </w:t>
      </w:r>
      <w:r w:rsidR="007B50E8" w:rsidRPr="00890E51">
        <w:t>held</w:t>
      </w:r>
      <w:r w:rsidR="004B1F92" w:rsidRPr="00890E51">
        <w:t xml:space="preserve"> that o</w:t>
      </w:r>
      <w:r w:rsidR="00CB5BE0" w:rsidRPr="00890E51">
        <w:t xml:space="preserve">nly two of the payments </w:t>
      </w:r>
      <w:r w:rsidR="006947DB" w:rsidRPr="00890E51">
        <w:t xml:space="preserve">(3 and 4) </w:t>
      </w:r>
      <w:r w:rsidR="000D4A77" w:rsidRPr="00890E51">
        <w:t xml:space="preserve">were </w:t>
      </w:r>
      <w:r w:rsidR="00CB5BE0" w:rsidRPr="00890E51">
        <w:t>made as a</w:t>
      </w:r>
      <w:r w:rsidR="005C0911" w:rsidRPr="00890E51">
        <w:t xml:space="preserve">n integral part of a </w:t>
      </w:r>
      <w:r w:rsidR="00CB5BE0" w:rsidRPr="00890E51">
        <w:t>continuing business relationship</w:t>
      </w:r>
      <w:r w:rsidR="000D4A77" w:rsidRPr="00890E51">
        <w:t xml:space="preserve"> involving a running </w:t>
      </w:r>
      <w:r w:rsidR="00817EE1" w:rsidRPr="00890E51">
        <w:t>account; and</w:t>
      </w:r>
      <w:r w:rsidR="004C179B" w:rsidRPr="00890E51">
        <w:t xml:space="preserve"> </w:t>
      </w:r>
      <w:r w:rsidR="004033ED" w:rsidRPr="00890E51">
        <w:t xml:space="preserve">the remaining payments </w:t>
      </w:r>
      <w:r w:rsidR="006947DB" w:rsidRPr="00890E51">
        <w:t>(1</w:t>
      </w:r>
      <w:r w:rsidR="001E3B92" w:rsidRPr="00890E51">
        <w:t> </w:t>
      </w:r>
      <w:r w:rsidR="006947DB" w:rsidRPr="00890E51">
        <w:t xml:space="preserve">and 2 and 5 to 11) </w:t>
      </w:r>
      <w:r w:rsidR="004033ED" w:rsidRPr="00890E51">
        <w:t>were not</w:t>
      </w:r>
      <w:r w:rsidR="0093212C" w:rsidRPr="00890E51">
        <w:t>.</w:t>
      </w:r>
      <w:r w:rsidR="004033ED" w:rsidRPr="00890E51">
        <w:t xml:space="preserve"> </w:t>
      </w:r>
      <w:r w:rsidR="00D678C6" w:rsidRPr="00890E51">
        <w:t>On appeal, t</w:t>
      </w:r>
      <w:r w:rsidR="00E97A87" w:rsidRPr="00890E51">
        <w:t>he Full Court held</w:t>
      </w:r>
      <w:r w:rsidR="00CE7B2E" w:rsidRPr="00890E51">
        <w:t xml:space="preserve"> </w:t>
      </w:r>
      <w:r w:rsidR="00E97A87" w:rsidRPr="00890E51">
        <w:t xml:space="preserve">that the "peak indebtedness rule" </w:t>
      </w:r>
      <w:r w:rsidR="00EF292C" w:rsidRPr="00890E51">
        <w:t>d</w:t>
      </w:r>
      <w:r w:rsidR="00127F42" w:rsidRPr="00890E51">
        <w:t>id</w:t>
      </w:r>
      <w:r w:rsidR="00EF292C" w:rsidRPr="00890E51">
        <w:t xml:space="preserve"> not apply</w:t>
      </w:r>
      <w:r w:rsidR="006947DB" w:rsidRPr="00890E51">
        <w:t xml:space="preserve"> </w:t>
      </w:r>
      <w:r w:rsidR="00673114" w:rsidRPr="00890E51">
        <w:t>under s 588FA(3)</w:t>
      </w:r>
      <w:r w:rsidR="00CE7B2E" w:rsidRPr="00890E51">
        <w:t>, and that payments</w:t>
      </w:r>
      <w:r w:rsidR="00241585" w:rsidRPr="00890E51">
        <w:t> </w:t>
      </w:r>
      <w:r w:rsidR="00CE7B2E" w:rsidRPr="00890E51">
        <w:t>1 and 2 were also part of the relationship</w:t>
      </w:r>
      <w:r w:rsidR="003B3DAC" w:rsidRPr="00890E51">
        <w:t>.</w:t>
      </w:r>
    </w:p>
    <w:p w14:paraId="23C10E18" w14:textId="77777777" w:rsidR="00C349BD" w:rsidRDefault="00C349BD" w:rsidP="00FF2472"/>
    <w:p w14:paraId="06CA69B1" w14:textId="621A0E25" w:rsidR="008A3886" w:rsidRDefault="00B17E49" w:rsidP="00FE01C2">
      <w:r>
        <w:t xml:space="preserve">The High Court </w:t>
      </w:r>
      <w:r w:rsidR="00FE01D4">
        <w:t>dismissed the appeal</w:t>
      </w:r>
      <w:r w:rsidR="00CE7B2E">
        <w:t>.</w:t>
      </w:r>
      <w:r w:rsidR="00FE01D4">
        <w:t xml:space="preserve"> The Court held that</w:t>
      </w:r>
      <w:r w:rsidR="002A0731">
        <w:t xml:space="preserve"> </w:t>
      </w:r>
      <w:r>
        <w:t>Pt </w:t>
      </w:r>
      <w:r w:rsidR="00E9078A" w:rsidRPr="00E9078A">
        <w:t>5.7B</w:t>
      </w:r>
      <w:r w:rsidR="00E9078A" w:rsidRPr="008B2381">
        <w:t xml:space="preserve"> </w:t>
      </w:r>
      <w:r w:rsidR="00A1412B">
        <w:t xml:space="preserve">of the </w:t>
      </w:r>
      <w:r w:rsidR="00A1412B">
        <w:rPr>
          <w:i/>
          <w:iCs/>
        </w:rPr>
        <w:t xml:space="preserve">Corporations Act </w:t>
      </w:r>
      <w:r w:rsidR="00E9078A" w:rsidRPr="00E9078A">
        <w:t>does not incorporate t</w:t>
      </w:r>
      <w:r w:rsidR="00E9078A" w:rsidRPr="00CE7B2E">
        <w:t>he "peak indebtedness rule".</w:t>
      </w:r>
      <w:r w:rsidR="004F5FA3" w:rsidRPr="00CE7B2E">
        <w:t xml:space="preserve"> </w:t>
      </w:r>
      <w:r w:rsidR="00FE01D4">
        <w:t>Further</w:t>
      </w:r>
      <w:r w:rsidR="00DB46D0" w:rsidRPr="00CE7B2E">
        <w:t>, wh</w:t>
      </w:r>
      <w:r w:rsidR="00DB46D0" w:rsidRPr="004800CE">
        <w:t xml:space="preserve">ether a "transaction is, for commercial purposes, an integral part of a continuing business relationship" </w:t>
      </w:r>
      <w:r w:rsidR="00DC2113" w:rsidRPr="00CE7B2E">
        <w:t xml:space="preserve">under s 588FA(3)(a) </w:t>
      </w:r>
      <w:r w:rsidR="00DB46D0" w:rsidRPr="004800CE">
        <w:t>i</w:t>
      </w:r>
      <w:r w:rsidR="00DB46D0">
        <w:t>nvolves</w:t>
      </w:r>
      <w:r w:rsidR="00DB46D0" w:rsidRPr="004800CE">
        <w:t xml:space="preserve"> an objective factual inquiry</w:t>
      </w:r>
      <w:r w:rsidR="00DC2113">
        <w:t xml:space="preserve"> as to the </w:t>
      </w:r>
      <w:r w:rsidR="00440891">
        <w:t>"business character" of the relevant transaction</w:t>
      </w:r>
      <w:r w:rsidR="003B3DAC">
        <w:t>.</w:t>
      </w:r>
      <w:r w:rsidR="00870BA3">
        <w:t xml:space="preserve"> </w:t>
      </w:r>
      <w:r w:rsidR="008F0503">
        <w:t>On that basis</w:t>
      </w:r>
      <w:r w:rsidR="003270D2">
        <w:t>, payments</w:t>
      </w:r>
      <w:r w:rsidR="005E6B95">
        <w:t xml:space="preserve"> 1</w:t>
      </w:r>
      <w:r w:rsidR="000A41D3">
        <w:t> </w:t>
      </w:r>
      <w:r w:rsidR="005E6B95">
        <w:t>and 2</w:t>
      </w:r>
      <w:r w:rsidR="003270D2">
        <w:t xml:space="preserve"> formed part of the continuing business relationship, </w:t>
      </w:r>
      <w:r w:rsidR="001E3B92">
        <w:t>but</w:t>
      </w:r>
      <w:r w:rsidR="002A0731">
        <w:t xml:space="preserve"> </w:t>
      </w:r>
      <w:r w:rsidR="003270D2">
        <w:t xml:space="preserve">payments </w:t>
      </w:r>
      <w:r w:rsidR="005E6B95">
        <w:t>5</w:t>
      </w:r>
      <w:r w:rsidR="000A0C95">
        <w:t> </w:t>
      </w:r>
      <w:r w:rsidR="005E6B95" w:rsidRPr="009C1981">
        <w:t>to 11</w:t>
      </w:r>
      <w:r w:rsidR="009C1981" w:rsidRPr="009C1981">
        <w:t xml:space="preserve"> </w:t>
      </w:r>
      <w:r w:rsidR="001E5769">
        <w:t>(</w:t>
      </w:r>
      <w:r w:rsidR="009C1981" w:rsidRPr="009C1981">
        <w:t>which occurred after the continuing business relationship had ceased</w:t>
      </w:r>
      <w:r w:rsidR="00717058">
        <w:t xml:space="preserve"> in August 2012</w:t>
      </w:r>
      <w:r w:rsidR="001E5769">
        <w:t>)</w:t>
      </w:r>
      <w:r w:rsidR="005E6B95" w:rsidRPr="009C1981">
        <w:t xml:space="preserve"> </w:t>
      </w:r>
      <w:r w:rsidR="003270D2" w:rsidRPr="009C1981">
        <w:t>did not</w:t>
      </w:r>
      <w:r w:rsidR="0093212C" w:rsidRPr="009C1981">
        <w:t>.</w:t>
      </w:r>
      <w:r w:rsidR="00B44683" w:rsidRPr="009C1981">
        <w:t xml:space="preserve"> </w:t>
      </w:r>
      <w:r w:rsidR="00FE01C2">
        <w:t>To be an unfair preference, the deemed single transaction under s</w:t>
      </w:r>
      <w:r w:rsidR="00441DC2">
        <w:t> </w:t>
      </w:r>
      <w:r w:rsidR="00FE01C2">
        <w:t xml:space="preserve">588FA(3) </w:t>
      </w:r>
      <w:r w:rsidR="00441DC2">
        <w:t>–</w:t>
      </w:r>
      <w:r w:rsidR="00FE01C2">
        <w:t xml:space="preserve"> being all of the transactions forming part of the relationship during the relevant period </w:t>
      </w:r>
      <w:r w:rsidR="00441DC2">
        <w:t>–</w:t>
      </w:r>
      <w:r w:rsidR="00FE01C2">
        <w:t xml:space="preserve"> was required to reduce the indebtedness of </w:t>
      </w:r>
      <w:proofErr w:type="spellStart"/>
      <w:r w:rsidR="00FE01C2">
        <w:t>Gunns</w:t>
      </w:r>
      <w:proofErr w:type="spellEnd"/>
      <w:r w:rsidR="00FE01C2">
        <w:t xml:space="preserve"> to Badenoch over that</w:t>
      </w:r>
      <w:r w:rsidR="00441DC2">
        <w:t xml:space="preserve"> </w:t>
      </w:r>
      <w:r w:rsidR="00FE01C2">
        <w:t>period.</w:t>
      </w:r>
      <w:r w:rsidR="00FE01C2" w:rsidRPr="009C1981">
        <w:t xml:space="preserve"> </w:t>
      </w:r>
      <w:r w:rsidR="00AE617A" w:rsidRPr="009C1981">
        <w:t>Bec</w:t>
      </w:r>
      <w:r w:rsidR="00AE617A">
        <w:t xml:space="preserve">ause the net </w:t>
      </w:r>
      <w:r w:rsidR="00681E27">
        <w:t>indebtedness</w:t>
      </w:r>
      <w:r w:rsidR="00AE617A">
        <w:t xml:space="preserve"> of </w:t>
      </w:r>
      <w:proofErr w:type="spellStart"/>
      <w:r w:rsidR="00AE617A">
        <w:t>Gunns</w:t>
      </w:r>
      <w:proofErr w:type="spellEnd"/>
      <w:r w:rsidR="00AE617A">
        <w:t xml:space="preserve"> to Badenoch increased </w:t>
      </w:r>
      <w:r w:rsidR="00F1489A">
        <w:t xml:space="preserve">over </w:t>
      </w:r>
      <w:r w:rsidR="004F5FA3">
        <w:t>the relevant period, there could be no unfair preference</w:t>
      </w:r>
      <w:r w:rsidR="000A0C95">
        <w:t>.</w:t>
      </w:r>
    </w:p>
    <w:p w14:paraId="5534BCF5" w14:textId="77777777" w:rsidR="00310A6C" w:rsidRDefault="00310A6C" w:rsidP="00B652F8">
      <w:pPr>
        <w:ind w:right="-57"/>
      </w:pPr>
    </w:p>
    <w:p w14:paraId="71DBCF77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1377BC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D9D3" w14:textId="77777777" w:rsidR="005122FD" w:rsidRDefault="005122FD">
      <w:r>
        <w:separator/>
      </w:r>
    </w:p>
  </w:endnote>
  <w:endnote w:type="continuationSeparator" w:id="0">
    <w:p w14:paraId="417843C8" w14:textId="77777777" w:rsidR="005122FD" w:rsidRDefault="005122FD">
      <w:r>
        <w:continuationSeparator/>
      </w:r>
    </w:p>
  </w:endnote>
  <w:endnote w:type="continuationNotice" w:id="1">
    <w:p w14:paraId="018A2CA7" w14:textId="77777777" w:rsidR="005122FD" w:rsidRDefault="0051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B4E3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2B233C16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1C4E6B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457B" w14:textId="77777777" w:rsidR="005122FD" w:rsidRDefault="005122FD">
      <w:r>
        <w:separator/>
      </w:r>
    </w:p>
  </w:footnote>
  <w:footnote w:type="continuationSeparator" w:id="0">
    <w:p w14:paraId="6AF82151" w14:textId="77777777" w:rsidR="005122FD" w:rsidRDefault="005122FD">
      <w:r>
        <w:continuationSeparator/>
      </w:r>
    </w:p>
  </w:footnote>
  <w:footnote w:type="continuationNotice" w:id="1">
    <w:p w14:paraId="75802D85" w14:textId="77777777" w:rsidR="005122FD" w:rsidRDefault="00512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7E5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105E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B2C3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04A8C93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25A" w14:textId="77777777" w:rsidR="00C83B24" w:rsidRDefault="00C65224">
    <w:pPr>
      <w:pStyle w:val="Header"/>
      <w:jc w:val="center"/>
    </w:pPr>
    <w:r>
      <w:rPr>
        <w:noProof/>
        <w:lang w:val="en-US" w:eastAsia="zh-TW"/>
      </w:rPr>
      <w:object w:dxaOrig="1440" w:dyaOrig="1440" w14:anchorId="22651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37356199" r:id="rId2"/>
      </w:object>
    </w:r>
  </w:p>
  <w:p w14:paraId="3E0E76AC" w14:textId="0B565E88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818836860">
    <w:abstractNumId w:val="0"/>
  </w:num>
  <w:num w:numId="2" w16cid:durableId="42253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4B"/>
    <w:rsid w:val="0001526C"/>
    <w:rsid w:val="0002599D"/>
    <w:rsid w:val="000474B9"/>
    <w:rsid w:val="00065EC6"/>
    <w:rsid w:val="00087CD4"/>
    <w:rsid w:val="000A0C95"/>
    <w:rsid w:val="000A2A5B"/>
    <w:rsid w:val="000A2E14"/>
    <w:rsid w:val="000A41D3"/>
    <w:rsid w:val="000B63B4"/>
    <w:rsid w:val="000D05E7"/>
    <w:rsid w:val="000D4A77"/>
    <w:rsid w:val="000D5AC6"/>
    <w:rsid w:val="000D68FF"/>
    <w:rsid w:val="000F0F48"/>
    <w:rsid w:val="000F1746"/>
    <w:rsid w:val="001002E1"/>
    <w:rsid w:val="001034C0"/>
    <w:rsid w:val="00121522"/>
    <w:rsid w:val="00127F42"/>
    <w:rsid w:val="001377BC"/>
    <w:rsid w:val="0014488A"/>
    <w:rsid w:val="00151CD8"/>
    <w:rsid w:val="001576C5"/>
    <w:rsid w:val="00165A2E"/>
    <w:rsid w:val="00167340"/>
    <w:rsid w:val="00170D89"/>
    <w:rsid w:val="00175574"/>
    <w:rsid w:val="001808C0"/>
    <w:rsid w:val="001B02D3"/>
    <w:rsid w:val="001B22FB"/>
    <w:rsid w:val="001C1EBD"/>
    <w:rsid w:val="001C55DE"/>
    <w:rsid w:val="001E3B92"/>
    <w:rsid w:val="001E5769"/>
    <w:rsid w:val="00201A5B"/>
    <w:rsid w:val="00216E0E"/>
    <w:rsid w:val="00222B9E"/>
    <w:rsid w:val="0022306F"/>
    <w:rsid w:val="00227C36"/>
    <w:rsid w:val="00235037"/>
    <w:rsid w:val="00241585"/>
    <w:rsid w:val="00256951"/>
    <w:rsid w:val="00257AC9"/>
    <w:rsid w:val="002654B6"/>
    <w:rsid w:val="00265FCD"/>
    <w:rsid w:val="0027490F"/>
    <w:rsid w:val="002A0731"/>
    <w:rsid w:val="002A3E10"/>
    <w:rsid w:val="002D2DE8"/>
    <w:rsid w:val="002F0617"/>
    <w:rsid w:val="002F2338"/>
    <w:rsid w:val="00310A6C"/>
    <w:rsid w:val="003219D9"/>
    <w:rsid w:val="00326C5A"/>
    <w:rsid w:val="003270D2"/>
    <w:rsid w:val="00352F50"/>
    <w:rsid w:val="0035681D"/>
    <w:rsid w:val="00360A4A"/>
    <w:rsid w:val="003618C4"/>
    <w:rsid w:val="0036505A"/>
    <w:rsid w:val="00397C24"/>
    <w:rsid w:val="003A30AD"/>
    <w:rsid w:val="003A42DF"/>
    <w:rsid w:val="003A7FE0"/>
    <w:rsid w:val="003B0057"/>
    <w:rsid w:val="003B2382"/>
    <w:rsid w:val="003B3DAC"/>
    <w:rsid w:val="003D56D3"/>
    <w:rsid w:val="003E01B1"/>
    <w:rsid w:val="003E55BB"/>
    <w:rsid w:val="004033ED"/>
    <w:rsid w:val="00427C3A"/>
    <w:rsid w:val="00432822"/>
    <w:rsid w:val="00436B3D"/>
    <w:rsid w:val="00440891"/>
    <w:rsid w:val="00441DC2"/>
    <w:rsid w:val="00442BF8"/>
    <w:rsid w:val="00443C39"/>
    <w:rsid w:val="00446E2D"/>
    <w:rsid w:val="0045622B"/>
    <w:rsid w:val="00480ECE"/>
    <w:rsid w:val="00485EDD"/>
    <w:rsid w:val="004B1F92"/>
    <w:rsid w:val="004C179B"/>
    <w:rsid w:val="004C262F"/>
    <w:rsid w:val="004E5EFF"/>
    <w:rsid w:val="004F5FA3"/>
    <w:rsid w:val="005122FD"/>
    <w:rsid w:val="00520D30"/>
    <w:rsid w:val="00531131"/>
    <w:rsid w:val="005436A9"/>
    <w:rsid w:val="005665E4"/>
    <w:rsid w:val="00571B08"/>
    <w:rsid w:val="00584A67"/>
    <w:rsid w:val="00584FA6"/>
    <w:rsid w:val="00585D8A"/>
    <w:rsid w:val="0059532B"/>
    <w:rsid w:val="005C0911"/>
    <w:rsid w:val="005C3F5E"/>
    <w:rsid w:val="005C4171"/>
    <w:rsid w:val="005D2016"/>
    <w:rsid w:val="005E6B95"/>
    <w:rsid w:val="005F16F6"/>
    <w:rsid w:val="005F3F22"/>
    <w:rsid w:val="005F4403"/>
    <w:rsid w:val="006013EE"/>
    <w:rsid w:val="0063529E"/>
    <w:rsid w:val="006574D6"/>
    <w:rsid w:val="00666E61"/>
    <w:rsid w:val="00673114"/>
    <w:rsid w:val="00681E27"/>
    <w:rsid w:val="00692BBC"/>
    <w:rsid w:val="00693983"/>
    <w:rsid w:val="006947DB"/>
    <w:rsid w:val="00697FAA"/>
    <w:rsid w:val="006A5A0F"/>
    <w:rsid w:val="006A791D"/>
    <w:rsid w:val="006B28F2"/>
    <w:rsid w:val="006B4055"/>
    <w:rsid w:val="006C31A5"/>
    <w:rsid w:val="006C4044"/>
    <w:rsid w:val="006C73BF"/>
    <w:rsid w:val="006E5A0E"/>
    <w:rsid w:val="0070786B"/>
    <w:rsid w:val="00715DD7"/>
    <w:rsid w:val="00716C1F"/>
    <w:rsid w:val="00717058"/>
    <w:rsid w:val="0072279B"/>
    <w:rsid w:val="0075797B"/>
    <w:rsid w:val="0076439B"/>
    <w:rsid w:val="00767584"/>
    <w:rsid w:val="007721C6"/>
    <w:rsid w:val="00786D53"/>
    <w:rsid w:val="00793D97"/>
    <w:rsid w:val="007940EF"/>
    <w:rsid w:val="007A52EF"/>
    <w:rsid w:val="007B50E8"/>
    <w:rsid w:val="007C49E6"/>
    <w:rsid w:val="007E1387"/>
    <w:rsid w:val="00817EE1"/>
    <w:rsid w:val="008214B8"/>
    <w:rsid w:val="0082612B"/>
    <w:rsid w:val="00831756"/>
    <w:rsid w:val="008548A3"/>
    <w:rsid w:val="00855A78"/>
    <w:rsid w:val="0085761A"/>
    <w:rsid w:val="0086414B"/>
    <w:rsid w:val="00870BA3"/>
    <w:rsid w:val="00871427"/>
    <w:rsid w:val="00873C60"/>
    <w:rsid w:val="00882DEB"/>
    <w:rsid w:val="00890984"/>
    <w:rsid w:val="00890E51"/>
    <w:rsid w:val="008919C4"/>
    <w:rsid w:val="008A3886"/>
    <w:rsid w:val="008B2381"/>
    <w:rsid w:val="008F0503"/>
    <w:rsid w:val="008F5F34"/>
    <w:rsid w:val="00927C35"/>
    <w:rsid w:val="009301A9"/>
    <w:rsid w:val="0093212C"/>
    <w:rsid w:val="00950678"/>
    <w:rsid w:val="00950DBE"/>
    <w:rsid w:val="00955BA5"/>
    <w:rsid w:val="00957585"/>
    <w:rsid w:val="00972356"/>
    <w:rsid w:val="009741ED"/>
    <w:rsid w:val="0097518F"/>
    <w:rsid w:val="00993E78"/>
    <w:rsid w:val="00995E40"/>
    <w:rsid w:val="009A15DE"/>
    <w:rsid w:val="009C1981"/>
    <w:rsid w:val="009D1AAD"/>
    <w:rsid w:val="009D7BEF"/>
    <w:rsid w:val="009D7DBF"/>
    <w:rsid w:val="009F52B6"/>
    <w:rsid w:val="009F7A0B"/>
    <w:rsid w:val="00A12F48"/>
    <w:rsid w:val="00A13679"/>
    <w:rsid w:val="00A1412B"/>
    <w:rsid w:val="00A2706C"/>
    <w:rsid w:val="00A33BC6"/>
    <w:rsid w:val="00A713EC"/>
    <w:rsid w:val="00A84145"/>
    <w:rsid w:val="00A87087"/>
    <w:rsid w:val="00A948DC"/>
    <w:rsid w:val="00A97648"/>
    <w:rsid w:val="00AA3BB6"/>
    <w:rsid w:val="00AA56B4"/>
    <w:rsid w:val="00AA762D"/>
    <w:rsid w:val="00AE059C"/>
    <w:rsid w:val="00AE3D25"/>
    <w:rsid w:val="00AE617A"/>
    <w:rsid w:val="00B07369"/>
    <w:rsid w:val="00B15BAB"/>
    <w:rsid w:val="00B16723"/>
    <w:rsid w:val="00B17E49"/>
    <w:rsid w:val="00B21EB9"/>
    <w:rsid w:val="00B23F5B"/>
    <w:rsid w:val="00B44683"/>
    <w:rsid w:val="00B47C3F"/>
    <w:rsid w:val="00B652F8"/>
    <w:rsid w:val="00B6732A"/>
    <w:rsid w:val="00B70C76"/>
    <w:rsid w:val="00B93509"/>
    <w:rsid w:val="00B96C7D"/>
    <w:rsid w:val="00B977C7"/>
    <w:rsid w:val="00BB0C49"/>
    <w:rsid w:val="00BB636E"/>
    <w:rsid w:val="00BC11A3"/>
    <w:rsid w:val="00BD4AF1"/>
    <w:rsid w:val="00BE18C1"/>
    <w:rsid w:val="00BF1F03"/>
    <w:rsid w:val="00C1192B"/>
    <w:rsid w:val="00C349BD"/>
    <w:rsid w:val="00C42B11"/>
    <w:rsid w:val="00C47DE2"/>
    <w:rsid w:val="00C65224"/>
    <w:rsid w:val="00C660F2"/>
    <w:rsid w:val="00C74E58"/>
    <w:rsid w:val="00C82274"/>
    <w:rsid w:val="00C83A17"/>
    <w:rsid w:val="00C83B24"/>
    <w:rsid w:val="00C97086"/>
    <w:rsid w:val="00CB5BE0"/>
    <w:rsid w:val="00CC3119"/>
    <w:rsid w:val="00CC694F"/>
    <w:rsid w:val="00CD44B5"/>
    <w:rsid w:val="00CE64FA"/>
    <w:rsid w:val="00CE68C2"/>
    <w:rsid w:val="00CE7B2E"/>
    <w:rsid w:val="00CF013F"/>
    <w:rsid w:val="00D006DF"/>
    <w:rsid w:val="00D01BC5"/>
    <w:rsid w:val="00D25E3F"/>
    <w:rsid w:val="00D45882"/>
    <w:rsid w:val="00D45CF7"/>
    <w:rsid w:val="00D50FFC"/>
    <w:rsid w:val="00D678C6"/>
    <w:rsid w:val="00D67ED2"/>
    <w:rsid w:val="00D85581"/>
    <w:rsid w:val="00DA1A55"/>
    <w:rsid w:val="00DB00C4"/>
    <w:rsid w:val="00DB46D0"/>
    <w:rsid w:val="00DC00C3"/>
    <w:rsid w:val="00DC2113"/>
    <w:rsid w:val="00DD424C"/>
    <w:rsid w:val="00DE6136"/>
    <w:rsid w:val="00E025E8"/>
    <w:rsid w:val="00E126C1"/>
    <w:rsid w:val="00E368EF"/>
    <w:rsid w:val="00E36A56"/>
    <w:rsid w:val="00E4418F"/>
    <w:rsid w:val="00E606F7"/>
    <w:rsid w:val="00E9078A"/>
    <w:rsid w:val="00E95A71"/>
    <w:rsid w:val="00E96DF7"/>
    <w:rsid w:val="00E97A87"/>
    <w:rsid w:val="00EB3954"/>
    <w:rsid w:val="00EC370D"/>
    <w:rsid w:val="00EC4A3D"/>
    <w:rsid w:val="00EC53EC"/>
    <w:rsid w:val="00EF292C"/>
    <w:rsid w:val="00F0372C"/>
    <w:rsid w:val="00F1489A"/>
    <w:rsid w:val="00F158A4"/>
    <w:rsid w:val="00F316B2"/>
    <w:rsid w:val="00F34F23"/>
    <w:rsid w:val="00F56CBE"/>
    <w:rsid w:val="00F65C38"/>
    <w:rsid w:val="00F838E7"/>
    <w:rsid w:val="00FB3198"/>
    <w:rsid w:val="00FB6094"/>
    <w:rsid w:val="00FB7FED"/>
    <w:rsid w:val="00FD224B"/>
    <w:rsid w:val="00FE01C2"/>
    <w:rsid w:val="00FE01D4"/>
    <w:rsid w:val="00FE0DC9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4145A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uiPriority w:val="53"/>
    <w:rsid w:val="000474B9"/>
    <w:rPr>
      <w:sz w:val="20"/>
    </w:rPr>
  </w:style>
  <w:style w:type="character" w:styleId="FootnoteReference">
    <w:name w:val="footnote reference"/>
    <w:uiPriority w:val="51"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40"/>
    <w:rPr>
      <w:b/>
      <w:bCs/>
    </w:rPr>
  </w:style>
  <w:style w:type="paragraph" w:styleId="Revision">
    <w:name w:val="Revision"/>
    <w:hidden/>
    <w:uiPriority w:val="99"/>
    <w:semiHidden/>
    <w:rsid w:val="00EC3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2023-02-07T23:10:00Z</dcterms:created>
  <dcterms:modified xsi:type="dcterms:W3CDTF">2023-02-07T23:10:00Z</dcterms:modified>
</cp:coreProperties>
</file>