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05C1" w14:textId="77777777" w:rsidR="00F03117" w:rsidRDefault="00F03117" w:rsidP="00913869"/>
    <w:tbl>
      <w:tblPr>
        <w:tblW w:w="0" w:type="auto"/>
        <w:tblLook w:val="04A0" w:firstRow="1" w:lastRow="0" w:firstColumn="1" w:lastColumn="0" w:noHBand="0" w:noVBand="1"/>
      </w:tblPr>
      <w:tblGrid>
        <w:gridCol w:w="7890"/>
        <w:gridCol w:w="849"/>
      </w:tblGrid>
      <w:tr w:rsidR="00F03117" w:rsidRPr="00007C4E" w14:paraId="200EEC29" w14:textId="77777777" w:rsidTr="00007C4E">
        <w:tc>
          <w:tcPr>
            <w:tcW w:w="8755" w:type="dxa"/>
            <w:gridSpan w:val="2"/>
            <w:shd w:val="clear" w:color="auto" w:fill="auto"/>
          </w:tcPr>
          <w:p w14:paraId="79D98DA8" w14:textId="5FBE409D" w:rsidR="00F03117" w:rsidRPr="00007C4E" w:rsidRDefault="00F56001" w:rsidP="00007C4E">
            <w:pPr>
              <w:tabs>
                <w:tab w:val="left" w:pos="851"/>
                <w:tab w:val="right" w:pos="8505"/>
              </w:tabs>
              <w:jc w:val="both"/>
              <w:rPr>
                <w:u w:val="single"/>
              </w:rPr>
            </w:pPr>
            <w:r>
              <w:rPr>
                <w:u w:val="single"/>
              </w:rPr>
              <w:t xml:space="preserve">Tuesday, </w:t>
            </w:r>
            <w:r w:rsidR="00C511ED">
              <w:rPr>
                <w:u w:val="single"/>
              </w:rPr>
              <w:t>5 March</w:t>
            </w:r>
            <w:r>
              <w:rPr>
                <w:u w:val="single"/>
              </w:rPr>
              <w:t xml:space="preserve"> 2024</w:t>
            </w:r>
            <w:r w:rsidR="001A29AE">
              <w:rPr>
                <w:u w:val="single"/>
              </w:rPr>
              <w:t xml:space="preserve"> </w:t>
            </w:r>
          </w:p>
          <w:p w14:paraId="2A1C705A" w14:textId="77777777" w:rsidR="00F03117" w:rsidRDefault="00F03117" w:rsidP="00007C4E">
            <w:pPr>
              <w:pStyle w:val="Title"/>
              <w:jc w:val="left"/>
            </w:pPr>
          </w:p>
        </w:tc>
      </w:tr>
      <w:tr w:rsidR="00F03117" w14:paraId="79901CF9" w14:textId="77777777" w:rsidTr="00007C4E">
        <w:tc>
          <w:tcPr>
            <w:tcW w:w="7905" w:type="dxa"/>
            <w:shd w:val="clear" w:color="auto" w:fill="auto"/>
          </w:tcPr>
          <w:p w14:paraId="7786B4F6" w14:textId="1D6B0B90" w:rsidR="00F03117" w:rsidRPr="00913869" w:rsidRDefault="00C511ED" w:rsidP="00913869">
            <w:pPr>
              <w:numPr>
                <w:ilvl w:val="0"/>
                <w:numId w:val="9"/>
              </w:numPr>
              <w:ind w:hanging="720"/>
            </w:pPr>
            <w:r>
              <w:t xml:space="preserve">Godolphin Australia Pty Ltd ACN </w:t>
            </w:r>
            <w:proofErr w:type="gramStart"/>
            <w:r>
              <w:t>093921021</w:t>
            </w:r>
            <w:r w:rsidR="00F56001">
              <w:t xml:space="preserve"> </w:t>
            </w:r>
            <w:r w:rsidR="00F03117" w:rsidRPr="00007C4E">
              <w:t xml:space="preserve"> v</w:t>
            </w:r>
            <w:proofErr w:type="gramEnd"/>
            <w:r w:rsidR="00F03117" w:rsidRPr="00007C4E">
              <w:t xml:space="preserve">  </w:t>
            </w:r>
            <w:r w:rsidR="003D6579">
              <w:br/>
            </w:r>
            <w:r>
              <w:t xml:space="preserve">Chief Commissioner of State Revenue </w:t>
            </w:r>
          </w:p>
        </w:tc>
        <w:tc>
          <w:tcPr>
            <w:tcW w:w="850" w:type="dxa"/>
            <w:shd w:val="clear" w:color="auto" w:fill="auto"/>
          </w:tcPr>
          <w:p w14:paraId="05D939EE" w14:textId="50BA0119" w:rsidR="00F03117" w:rsidRPr="00C65A07" w:rsidRDefault="00F56001" w:rsidP="00C65A07">
            <w:pPr>
              <w:pStyle w:val="Title"/>
              <w:rPr>
                <w:u w:val="none"/>
              </w:rPr>
            </w:pPr>
            <w:r>
              <w:rPr>
                <w:u w:val="none"/>
              </w:rPr>
              <w:t>1</w:t>
            </w:r>
          </w:p>
        </w:tc>
      </w:tr>
    </w:tbl>
    <w:p w14:paraId="28B48188" w14:textId="77777777" w:rsidR="00F03117" w:rsidRDefault="00F03117" w:rsidP="00913869"/>
    <w:tbl>
      <w:tblPr>
        <w:tblW w:w="0" w:type="auto"/>
        <w:tblLook w:val="04A0" w:firstRow="1" w:lastRow="0" w:firstColumn="1" w:lastColumn="0" w:noHBand="0" w:noVBand="1"/>
      </w:tblPr>
      <w:tblGrid>
        <w:gridCol w:w="7890"/>
        <w:gridCol w:w="849"/>
      </w:tblGrid>
      <w:tr w:rsidR="00925E41" w:rsidRPr="00007C4E" w14:paraId="6C7B840C" w14:textId="77777777" w:rsidTr="006552A0">
        <w:tc>
          <w:tcPr>
            <w:tcW w:w="8755" w:type="dxa"/>
            <w:gridSpan w:val="2"/>
            <w:shd w:val="clear" w:color="auto" w:fill="auto"/>
          </w:tcPr>
          <w:p w14:paraId="73EAD000" w14:textId="3180A44C" w:rsidR="00925E41" w:rsidRPr="00007C4E" w:rsidRDefault="00615559" w:rsidP="006552A0">
            <w:pPr>
              <w:tabs>
                <w:tab w:val="left" w:pos="851"/>
                <w:tab w:val="right" w:pos="8505"/>
              </w:tabs>
              <w:jc w:val="both"/>
              <w:rPr>
                <w:u w:val="single"/>
              </w:rPr>
            </w:pPr>
            <w:r>
              <w:rPr>
                <w:u w:val="single"/>
              </w:rPr>
              <w:t xml:space="preserve">Wednesday, </w:t>
            </w:r>
            <w:r w:rsidR="003B4B77">
              <w:rPr>
                <w:u w:val="single"/>
              </w:rPr>
              <w:t>6 March</w:t>
            </w:r>
            <w:r>
              <w:rPr>
                <w:u w:val="single"/>
              </w:rPr>
              <w:t xml:space="preserve"> 2024</w:t>
            </w:r>
            <w:r w:rsidR="00925E41">
              <w:rPr>
                <w:u w:val="single"/>
              </w:rPr>
              <w:t xml:space="preserve"> </w:t>
            </w:r>
          </w:p>
          <w:p w14:paraId="123A953A" w14:textId="77777777" w:rsidR="00925E41" w:rsidRDefault="00925E41" w:rsidP="006552A0">
            <w:pPr>
              <w:pStyle w:val="Title"/>
              <w:jc w:val="left"/>
            </w:pPr>
          </w:p>
        </w:tc>
      </w:tr>
      <w:tr w:rsidR="00925E41" w14:paraId="555FB305" w14:textId="77777777" w:rsidTr="006552A0">
        <w:tc>
          <w:tcPr>
            <w:tcW w:w="7905" w:type="dxa"/>
            <w:shd w:val="clear" w:color="auto" w:fill="auto"/>
          </w:tcPr>
          <w:p w14:paraId="5985A01E" w14:textId="034512EA" w:rsidR="00925E41" w:rsidRPr="00913869" w:rsidRDefault="003B4B77" w:rsidP="006552A0">
            <w:pPr>
              <w:numPr>
                <w:ilvl w:val="0"/>
                <w:numId w:val="9"/>
              </w:numPr>
              <w:ind w:hanging="720"/>
            </w:pPr>
            <w:proofErr w:type="spellStart"/>
            <w:r>
              <w:t>Mallonland</w:t>
            </w:r>
            <w:proofErr w:type="spellEnd"/>
            <w:r>
              <w:t xml:space="preserve"> Pty Ltd ACN 051 136 291 &amp; </w:t>
            </w:r>
            <w:proofErr w:type="gramStart"/>
            <w:r>
              <w:t>Anor</w:t>
            </w:r>
            <w:r w:rsidR="006C3287">
              <w:t xml:space="preserve"> </w:t>
            </w:r>
            <w:r w:rsidR="00925E41" w:rsidRPr="00007C4E">
              <w:t xml:space="preserve"> v</w:t>
            </w:r>
            <w:proofErr w:type="gramEnd"/>
            <w:r w:rsidR="00925E41" w:rsidRPr="00007C4E">
              <w:t xml:space="preserve">  </w:t>
            </w:r>
            <w:r w:rsidR="006C3287">
              <w:t>A</w:t>
            </w:r>
            <w:r>
              <w:t>dvanta Seeds Pty Ltd ACN 010 933 061</w:t>
            </w:r>
          </w:p>
        </w:tc>
        <w:tc>
          <w:tcPr>
            <w:tcW w:w="850" w:type="dxa"/>
            <w:shd w:val="clear" w:color="auto" w:fill="auto"/>
          </w:tcPr>
          <w:p w14:paraId="765C7E21" w14:textId="1EBD6B69" w:rsidR="00925E41" w:rsidRPr="00C65A07" w:rsidRDefault="00B05ACC" w:rsidP="006552A0">
            <w:pPr>
              <w:pStyle w:val="Title"/>
              <w:rPr>
                <w:u w:val="none"/>
              </w:rPr>
            </w:pPr>
            <w:r>
              <w:rPr>
                <w:u w:val="none"/>
              </w:rPr>
              <w:t>3</w:t>
            </w:r>
          </w:p>
        </w:tc>
      </w:tr>
    </w:tbl>
    <w:p w14:paraId="2FDA08A9" w14:textId="5363AA8C" w:rsidR="004B7828" w:rsidRDefault="004B7828" w:rsidP="00913869"/>
    <w:tbl>
      <w:tblPr>
        <w:tblW w:w="0" w:type="auto"/>
        <w:tblLook w:val="04A0" w:firstRow="1" w:lastRow="0" w:firstColumn="1" w:lastColumn="0" w:noHBand="0" w:noVBand="1"/>
      </w:tblPr>
      <w:tblGrid>
        <w:gridCol w:w="7890"/>
        <w:gridCol w:w="849"/>
      </w:tblGrid>
      <w:tr w:rsidR="00925E41" w:rsidRPr="00007C4E" w14:paraId="5E3D1C8F" w14:textId="77777777" w:rsidTr="006552A0">
        <w:tc>
          <w:tcPr>
            <w:tcW w:w="8755" w:type="dxa"/>
            <w:gridSpan w:val="2"/>
            <w:shd w:val="clear" w:color="auto" w:fill="auto"/>
          </w:tcPr>
          <w:p w14:paraId="5E505259" w14:textId="42E5E785" w:rsidR="00925E41" w:rsidRPr="00007C4E" w:rsidRDefault="005226F7" w:rsidP="006552A0">
            <w:pPr>
              <w:tabs>
                <w:tab w:val="left" w:pos="851"/>
                <w:tab w:val="right" w:pos="8505"/>
              </w:tabs>
              <w:jc w:val="both"/>
              <w:rPr>
                <w:u w:val="single"/>
              </w:rPr>
            </w:pPr>
            <w:r>
              <w:rPr>
                <w:u w:val="single"/>
              </w:rPr>
              <w:t>Thursday</w:t>
            </w:r>
            <w:r w:rsidR="00615559">
              <w:rPr>
                <w:u w:val="single"/>
              </w:rPr>
              <w:t>, 7</w:t>
            </w:r>
            <w:r>
              <w:rPr>
                <w:u w:val="single"/>
              </w:rPr>
              <w:t xml:space="preserve"> March</w:t>
            </w:r>
            <w:r w:rsidR="00615559">
              <w:rPr>
                <w:u w:val="single"/>
              </w:rPr>
              <w:t xml:space="preserve"> 2024 </w:t>
            </w:r>
            <w:r w:rsidR="00925E41">
              <w:rPr>
                <w:u w:val="single"/>
              </w:rPr>
              <w:t xml:space="preserve"> </w:t>
            </w:r>
          </w:p>
          <w:p w14:paraId="4A73F9A5" w14:textId="77777777" w:rsidR="00925E41" w:rsidRDefault="00925E41" w:rsidP="006552A0">
            <w:pPr>
              <w:pStyle w:val="Title"/>
              <w:jc w:val="left"/>
            </w:pPr>
          </w:p>
        </w:tc>
      </w:tr>
      <w:tr w:rsidR="00925E41" w14:paraId="5FC55D09" w14:textId="77777777" w:rsidTr="006552A0">
        <w:tc>
          <w:tcPr>
            <w:tcW w:w="7905" w:type="dxa"/>
            <w:shd w:val="clear" w:color="auto" w:fill="auto"/>
          </w:tcPr>
          <w:p w14:paraId="697D902F" w14:textId="4B41365A" w:rsidR="00925E41" w:rsidRPr="00913869" w:rsidRDefault="005226F7" w:rsidP="006552A0">
            <w:pPr>
              <w:numPr>
                <w:ilvl w:val="0"/>
                <w:numId w:val="9"/>
              </w:numPr>
              <w:ind w:hanging="720"/>
            </w:pPr>
            <w:proofErr w:type="spellStart"/>
            <w:r>
              <w:t>Greylag</w:t>
            </w:r>
            <w:proofErr w:type="spellEnd"/>
            <w:r>
              <w:t xml:space="preserve"> Goose Leasing 1410 Designated Activity Company </w:t>
            </w:r>
            <w:r>
              <w:br/>
              <w:t xml:space="preserve">&amp; </w:t>
            </w:r>
            <w:proofErr w:type="gramStart"/>
            <w:r>
              <w:t>Anor</w:t>
            </w:r>
            <w:r w:rsidR="00AE09E0">
              <w:t xml:space="preserve"> </w:t>
            </w:r>
            <w:r w:rsidR="00925E41" w:rsidRPr="00007C4E">
              <w:t xml:space="preserve"> v</w:t>
            </w:r>
            <w:proofErr w:type="gramEnd"/>
            <w:r w:rsidR="00925E41" w:rsidRPr="00007C4E">
              <w:t xml:space="preserve">  </w:t>
            </w:r>
            <w:r>
              <w:t>P.T. Garuda Indonesia Ltd</w:t>
            </w:r>
          </w:p>
        </w:tc>
        <w:tc>
          <w:tcPr>
            <w:tcW w:w="850" w:type="dxa"/>
            <w:shd w:val="clear" w:color="auto" w:fill="auto"/>
          </w:tcPr>
          <w:p w14:paraId="11114D0B" w14:textId="6B39FF07" w:rsidR="00925E41" w:rsidRPr="00C65A07" w:rsidRDefault="00EE29C5" w:rsidP="006552A0">
            <w:pPr>
              <w:pStyle w:val="Title"/>
              <w:rPr>
                <w:u w:val="none"/>
              </w:rPr>
            </w:pPr>
            <w:r>
              <w:rPr>
                <w:u w:val="none"/>
              </w:rPr>
              <w:t>5</w:t>
            </w:r>
          </w:p>
        </w:tc>
      </w:tr>
    </w:tbl>
    <w:p w14:paraId="31928DA2" w14:textId="318F0B65" w:rsidR="00925E41" w:rsidRDefault="00925E41" w:rsidP="00913869"/>
    <w:tbl>
      <w:tblPr>
        <w:tblW w:w="0" w:type="auto"/>
        <w:tblLook w:val="04A0" w:firstRow="1" w:lastRow="0" w:firstColumn="1" w:lastColumn="0" w:noHBand="0" w:noVBand="1"/>
      </w:tblPr>
      <w:tblGrid>
        <w:gridCol w:w="7890"/>
        <w:gridCol w:w="849"/>
      </w:tblGrid>
      <w:tr w:rsidR="00925E41" w:rsidRPr="00007C4E" w14:paraId="172B04D6" w14:textId="77777777" w:rsidTr="006552A0">
        <w:tc>
          <w:tcPr>
            <w:tcW w:w="8755" w:type="dxa"/>
            <w:gridSpan w:val="2"/>
            <w:shd w:val="clear" w:color="auto" w:fill="auto"/>
          </w:tcPr>
          <w:p w14:paraId="54398C8D" w14:textId="53F60456" w:rsidR="00925E41" w:rsidRPr="00007C4E" w:rsidRDefault="005C3122" w:rsidP="006552A0">
            <w:pPr>
              <w:tabs>
                <w:tab w:val="left" w:pos="851"/>
                <w:tab w:val="right" w:pos="8505"/>
              </w:tabs>
              <w:jc w:val="both"/>
              <w:rPr>
                <w:u w:val="single"/>
              </w:rPr>
            </w:pPr>
            <w:r>
              <w:rPr>
                <w:u w:val="single"/>
              </w:rPr>
              <w:t>Wednesday</w:t>
            </w:r>
            <w:r w:rsidR="00B41EEE">
              <w:rPr>
                <w:u w:val="single"/>
              </w:rPr>
              <w:t>, 13</w:t>
            </w:r>
            <w:r>
              <w:rPr>
                <w:u w:val="single"/>
              </w:rPr>
              <w:t xml:space="preserve"> March</w:t>
            </w:r>
            <w:r w:rsidR="00B41EEE">
              <w:rPr>
                <w:u w:val="single"/>
              </w:rPr>
              <w:t xml:space="preserve"> 2024</w:t>
            </w:r>
          </w:p>
          <w:p w14:paraId="3ED1F183" w14:textId="77777777" w:rsidR="00925E41" w:rsidRDefault="00925E41" w:rsidP="006552A0">
            <w:pPr>
              <w:pStyle w:val="Title"/>
              <w:jc w:val="left"/>
            </w:pPr>
          </w:p>
        </w:tc>
      </w:tr>
      <w:tr w:rsidR="00925E41" w14:paraId="64F54C04" w14:textId="77777777" w:rsidTr="006552A0">
        <w:tc>
          <w:tcPr>
            <w:tcW w:w="7905" w:type="dxa"/>
            <w:shd w:val="clear" w:color="auto" w:fill="auto"/>
          </w:tcPr>
          <w:p w14:paraId="68653BD7" w14:textId="0B33BE70" w:rsidR="00925E41" w:rsidRPr="00913869" w:rsidRDefault="005C3122" w:rsidP="006552A0">
            <w:pPr>
              <w:numPr>
                <w:ilvl w:val="0"/>
                <w:numId w:val="9"/>
              </w:numPr>
              <w:ind w:hanging="720"/>
            </w:pPr>
            <w:r>
              <w:t xml:space="preserve">The Director of Public </w:t>
            </w:r>
            <w:proofErr w:type="gramStart"/>
            <w:r>
              <w:t xml:space="preserve">Prosecutions  </w:t>
            </w:r>
            <w:r w:rsidR="00925E41" w:rsidRPr="00007C4E">
              <w:t>v</w:t>
            </w:r>
            <w:proofErr w:type="gramEnd"/>
            <w:r w:rsidR="00925E41" w:rsidRPr="00007C4E">
              <w:t xml:space="preserve">  </w:t>
            </w:r>
            <w:r>
              <w:t xml:space="preserve">Benjamin </w:t>
            </w:r>
            <w:proofErr w:type="spellStart"/>
            <w:r>
              <w:t>Roder</w:t>
            </w:r>
            <w:proofErr w:type="spellEnd"/>
            <w:r>
              <w:t xml:space="preserve"> </w:t>
            </w:r>
            <w:r>
              <w:br/>
              <w:t>(a pseudonym)</w:t>
            </w:r>
          </w:p>
        </w:tc>
        <w:tc>
          <w:tcPr>
            <w:tcW w:w="850" w:type="dxa"/>
            <w:shd w:val="clear" w:color="auto" w:fill="auto"/>
          </w:tcPr>
          <w:p w14:paraId="0EB5867E" w14:textId="77F0B57A" w:rsidR="00925E41" w:rsidRPr="00C65A07" w:rsidRDefault="0034798B" w:rsidP="006552A0">
            <w:pPr>
              <w:pStyle w:val="Title"/>
              <w:rPr>
                <w:u w:val="none"/>
              </w:rPr>
            </w:pPr>
            <w:r>
              <w:rPr>
                <w:u w:val="none"/>
              </w:rPr>
              <w:t>7</w:t>
            </w:r>
          </w:p>
        </w:tc>
      </w:tr>
    </w:tbl>
    <w:p w14:paraId="57B4F576" w14:textId="317210CB" w:rsidR="00925E41" w:rsidRDefault="00925E41" w:rsidP="00913869"/>
    <w:tbl>
      <w:tblPr>
        <w:tblW w:w="0" w:type="auto"/>
        <w:tblLook w:val="04A0" w:firstRow="1" w:lastRow="0" w:firstColumn="1" w:lastColumn="0" w:noHBand="0" w:noVBand="1"/>
      </w:tblPr>
      <w:tblGrid>
        <w:gridCol w:w="7890"/>
        <w:gridCol w:w="849"/>
      </w:tblGrid>
      <w:tr w:rsidR="00925E41" w:rsidRPr="00007C4E" w14:paraId="7E0DAB2D" w14:textId="77777777" w:rsidTr="006552A0">
        <w:tc>
          <w:tcPr>
            <w:tcW w:w="8755" w:type="dxa"/>
            <w:gridSpan w:val="2"/>
            <w:shd w:val="clear" w:color="auto" w:fill="auto"/>
          </w:tcPr>
          <w:p w14:paraId="5B223393" w14:textId="3FC987D4" w:rsidR="00925E41" w:rsidRPr="00007C4E" w:rsidRDefault="00000F16" w:rsidP="006552A0">
            <w:pPr>
              <w:tabs>
                <w:tab w:val="left" w:pos="851"/>
                <w:tab w:val="right" w:pos="8505"/>
              </w:tabs>
              <w:jc w:val="both"/>
              <w:rPr>
                <w:u w:val="single"/>
              </w:rPr>
            </w:pPr>
            <w:r>
              <w:rPr>
                <w:u w:val="single"/>
              </w:rPr>
              <w:t>Thursday</w:t>
            </w:r>
            <w:r w:rsidR="00DD5933">
              <w:rPr>
                <w:u w:val="single"/>
              </w:rPr>
              <w:t xml:space="preserve">, 14 </w:t>
            </w:r>
            <w:r>
              <w:rPr>
                <w:u w:val="single"/>
              </w:rPr>
              <w:t>March</w:t>
            </w:r>
            <w:r w:rsidR="00DD5933">
              <w:rPr>
                <w:u w:val="single"/>
              </w:rPr>
              <w:t xml:space="preserve"> 2024</w:t>
            </w:r>
            <w:r w:rsidR="00925E41">
              <w:rPr>
                <w:u w:val="single"/>
              </w:rPr>
              <w:t xml:space="preserve"> </w:t>
            </w:r>
          </w:p>
          <w:p w14:paraId="4A216432" w14:textId="77777777" w:rsidR="00925E41" w:rsidRDefault="00925E41" w:rsidP="006552A0">
            <w:pPr>
              <w:pStyle w:val="Title"/>
              <w:jc w:val="left"/>
            </w:pPr>
          </w:p>
        </w:tc>
      </w:tr>
      <w:tr w:rsidR="00925E41" w14:paraId="2760CD56" w14:textId="77777777" w:rsidTr="006552A0">
        <w:tc>
          <w:tcPr>
            <w:tcW w:w="7905" w:type="dxa"/>
            <w:shd w:val="clear" w:color="auto" w:fill="auto"/>
          </w:tcPr>
          <w:p w14:paraId="6D6CD575" w14:textId="61FB5C34" w:rsidR="00925E41" w:rsidRPr="00913869" w:rsidRDefault="00DE146F" w:rsidP="006552A0">
            <w:pPr>
              <w:numPr>
                <w:ilvl w:val="0"/>
                <w:numId w:val="9"/>
              </w:numPr>
              <w:ind w:hanging="720"/>
            </w:pPr>
            <w:proofErr w:type="gramStart"/>
            <w:r>
              <w:t>Bird</w:t>
            </w:r>
            <w:r w:rsidR="00DD5933">
              <w:t xml:space="preserve"> </w:t>
            </w:r>
            <w:r w:rsidR="00925E41" w:rsidRPr="00007C4E">
              <w:t xml:space="preserve"> v</w:t>
            </w:r>
            <w:proofErr w:type="gramEnd"/>
            <w:r w:rsidR="00925E41" w:rsidRPr="00007C4E">
              <w:t xml:space="preserve">  </w:t>
            </w:r>
            <w:r>
              <w:t>DP (a pseudonym)</w:t>
            </w:r>
          </w:p>
        </w:tc>
        <w:tc>
          <w:tcPr>
            <w:tcW w:w="850" w:type="dxa"/>
            <w:shd w:val="clear" w:color="auto" w:fill="auto"/>
          </w:tcPr>
          <w:p w14:paraId="0345C9F1" w14:textId="184B1529" w:rsidR="00925E41" w:rsidRPr="00C65A07" w:rsidRDefault="002322B7" w:rsidP="006552A0">
            <w:pPr>
              <w:pStyle w:val="Title"/>
              <w:rPr>
                <w:u w:val="none"/>
              </w:rPr>
            </w:pPr>
            <w:r>
              <w:rPr>
                <w:u w:val="none"/>
              </w:rPr>
              <w:t>9</w:t>
            </w:r>
          </w:p>
        </w:tc>
      </w:tr>
    </w:tbl>
    <w:p w14:paraId="7FFAFF54" w14:textId="47B22B38" w:rsidR="00925E41" w:rsidRDefault="00925E41" w:rsidP="00913869"/>
    <w:tbl>
      <w:tblPr>
        <w:tblW w:w="0" w:type="auto"/>
        <w:tblLook w:val="04A0" w:firstRow="1" w:lastRow="0" w:firstColumn="1" w:lastColumn="0" w:noHBand="0" w:noVBand="1"/>
      </w:tblPr>
      <w:tblGrid>
        <w:gridCol w:w="7890"/>
        <w:gridCol w:w="849"/>
      </w:tblGrid>
      <w:tr w:rsidR="00925E41" w:rsidRPr="00007C4E" w14:paraId="551F1A97" w14:textId="77777777" w:rsidTr="006552A0">
        <w:tc>
          <w:tcPr>
            <w:tcW w:w="8755" w:type="dxa"/>
            <w:gridSpan w:val="2"/>
            <w:shd w:val="clear" w:color="auto" w:fill="auto"/>
          </w:tcPr>
          <w:p w14:paraId="02EA0284" w14:textId="61D37C2D" w:rsidR="00925E41" w:rsidRPr="00007C4E" w:rsidRDefault="005543ED" w:rsidP="006552A0">
            <w:pPr>
              <w:tabs>
                <w:tab w:val="left" w:pos="851"/>
                <w:tab w:val="right" w:pos="8505"/>
              </w:tabs>
              <w:jc w:val="both"/>
              <w:rPr>
                <w:u w:val="single"/>
              </w:rPr>
            </w:pPr>
            <w:r>
              <w:rPr>
                <w:u w:val="single"/>
              </w:rPr>
              <w:t>Friday</w:t>
            </w:r>
            <w:r w:rsidR="00DD5933">
              <w:rPr>
                <w:u w:val="single"/>
              </w:rPr>
              <w:t xml:space="preserve">, 15 </w:t>
            </w:r>
            <w:r>
              <w:rPr>
                <w:u w:val="single"/>
              </w:rPr>
              <w:t>March</w:t>
            </w:r>
            <w:r w:rsidR="00DD5933">
              <w:rPr>
                <w:u w:val="single"/>
              </w:rPr>
              <w:t xml:space="preserve"> 2024</w:t>
            </w:r>
            <w:r w:rsidR="00925E41">
              <w:rPr>
                <w:u w:val="single"/>
              </w:rPr>
              <w:t xml:space="preserve"> </w:t>
            </w:r>
          </w:p>
          <w:p w14:paraId="666F410A" w14:textId="77777777" w:rsidR="00925E41" w:rsidRDefault="00925E41" w:rsidP="006552A0">
            <w:pPr>
              <w:pStyle w:val="Title"/>
              <w:jc w:val="left"/>
            </w:pPr>
          </w:p>
        </w:tc>
      </w:tr>
      <w:tr w:rsidR="00925E41" w14:paraId="76319221" w14:textId="77777777" w:rsidTr="006552A0">
        <w:tc>
          <w:tcPr>
            <w:tcW w:w="7905" w:type="dxa"/>
            <w:shd w:val="clear" w:color="auto" w:fill="auto"/>
          </w:tcPr>
          <w:p w14:paraId="254BEA4C" w14:textId="1CBF8E55" w:rsidR="00925E41" w:rsidRPr="00913869" w:rsidRDefault="005543ED" w:rsidP="006552A0">
            <w:pPr>
              <w:numPr>
                <w:ilvl w:val="0"/>
                <w:numId w:val="9"/>
              </w:numPr>
              <w:ind w:hanging="720"/>
            </w:pPr>
            <w:proofErr w:type="gramStart"/>
            <w:r>
              <w:t xml:space="preserve">Obian  </w:t>
            </w:r>
            <w:r w:rsidR="00925E41" w:rsidRPr="00007C4E">
              <w:t>v</w:t>
            </w:r>
            <w:proofErr w:type="gramEnd"/>
            <w:r w:rsidR="00925E41" w:rsidRPr="00007C4E">
              <w:t xml:space="preserve">  </w:t>
            </w:r>
            <w:r>
              <w:t>The King</w:t>
            </w:r>
          </w:p>
        </w:tc>
        <w:tc>
          <w:tcPr>
            <w:tcW w:w="850" w:type="dxa"/>
            <w:shd w:val="clear" w:color="auto" w:fill="auto"/>
          </w:tcPr>
          <w:p w14:paraId="6C683E79" w14:textId="621CEC96" w:rsidR="00925E41" w:rsidRPr="00C65A07" w:rsidRDefault="00312FB2" w:rsidP="006552A0">
            <w:pPr>
              <w:pStyle w:val="Title"/>
              <w:rPr>
                <w:u w:val="none"/>
              </w:rPr>
            </w:pPr>
            <w:r>
              <w:rPr>
                <w:u w:val="none"/>
              </w:rPr>
              <w:t>11</w:t>
            </w:r>
          </w:p>
        </w:tc>
      </w:tr>
    </w:tbl>
    <w:p w14:paraId="1930DF0F" w14:textId="77777777" w:rsidR="00925E41" w:rsidRDefault="00925E41" w:rsidP="00913869"/>
    <w:p w14:paraId="7B5199F8" w14:textId="048CB6E8" w:rsidR="00E32B79" w:rsidRDefault="00E32B79">
      <w:r>
        <w:br w:type="page"/>
      </w:r>
    </w:p>
    <w:p w14:paraId="78FC9319" w14:textId="77777777" w:rsidR="0023593D" w:rsidRPr="007008F4" w:rsidRDefault="0023593D" w:rsidP="0023593D">
      <w:pPr>
        <w:pStyle w:val="Heading1"/>
        <w:shd w:val="clear" w:color="auto" w:fill="FFFFFF"/>
        <w:spacing w:line="360" w:lineRule="atLeast"/>
        <w:ind w:right="425"/>
        <w:rPr>
          <w:rFonts w:cs="Arial"/>
          <w:b/>
          <w:color w:val="000000"/>
          <w:sz w:val="28"/>
          <w:szCs w:val="28"/>
        </w:rPr>
      </w:pPr>
      <w:r w:rsidRPr="00B91AE8">
        <w:rPr>
          <w:rFonts w:cs="Arial"/>
          <w:b/>
          <w:color w:val="000000"/>
          <w:sz w:val="28"/>
          <w:szCs w:val="28"/>
        </w:rPr>
        <w:lastRenderedPageBreak/>
        <w:t xml:space="preserve">GODOLPHIN AUSTRALIA PTY LTD ACN 093921021 </w:t>
      </w:r>
      <w:r>
        <w:rPr>
          <w:rFonts w:cs="Arial"/>
          <w:b/>
          <w:color w:val="000000"/>
          <w:sz w:val="28"/>
          <w:szCs w:val="28"/>
        </w:rPr>
        <w:t>v</w:t>
      </w:r>
      <w:r w:rsidRPr="00B91AE8">
        <w:rPr>
          <w:rFonts w:cs="Arial"/>
          <w:b/>
          <w:color w:val="000000"/>
          <w:sz w:val="28"/>
          <w:szCs w:val="28"/>
        </w:rPr>
        <w:t xml:space="preserve"> </w:t>
      </w:r>
      <w:r>
        <w:rPr>
          <w:rFonts w:cs="Arial"/>
          <w:b/>
          <w:color w:val="000000"/>
          <w:sz w:val="28"/>
          <w:szCs w:val="28"/>
        </w:rPr>
        <w:br/>
      </w:r>
      <w:r w:rsidRPr="00B91AE8">
        <w:rPr>
          <w:rFonts w:cs="Arial"/>
          <w:b/>
          <w:color w:val="000000"/>
          <w:sz w:val="28"/>
          <w:szCs w:val="28"/>
        </w:rPr>
        <w:t>CHIEF COMMISSIONER OF STATE REVENUE</w:t>
      </w:r>
      <w:r w:rsidRPr="0002731A">
        <w:rPr>
          <w:rFonts w:cs="Arial"/>
          <w:b/>
          <w:color w:val="000000"/>
          <w:sz w:val="28"/>
          <w:szCs w:val="28"/>
          <w:u w:val="none"/>
        </w:rPr>
        <w:t xml:space="preserve"> (S</w:t>
      </w:r>
      <w:r>
        <w:rPr>
          <w:rFonts w:cs="Arial"/>
          <w:b/>
          <w:color w:val="000000"/>
          <w:sz w:val="28"/>
          <w:szCs w:val="28"/>
          <w:u w:val="none"/>
        </w:rPr>
        <w:t>130/</w:t>
      </w:r>
      <w:r w:rsidRPr="0002731A">
        <w:rPr>
          <w:rFonts w:cs="Arial"/>
          <w:b/>
          <w:color w:val="000000"/>
          <w:sz w:val="28"/>
          <w:szCs w:val="28"/>
          <w:u w:val="none"/>
        </w:rPr>
        <w:t>202</w:t>
      </w:r>
      <w:r>
        <w:rPr>
          <w:rFonts w:cs="Arial"/>
          <w:b/>
          <w:color w:val="000000"/>
          <w:sz w:val="28"/>
          <w:szCs w:val="28"/>
          <w:u w:val="none"/>
        </w:rPr>
        <w:t>3</w:t>
      </w:r>
      <w:r w:rsidRPr="0002731A">
        <w:rPr>
          <w:rFonts w:cs="Arial"/>
          <w:b/>
          <w:color w:val="000000"/>
          <w:sz w:val="28"/>
          <w:szCs w:val="28"/>
          <w:u w:val="none"/>
        </w:rPr>
        <w:t>)</w:t>
      </w:r>
    </w:p>
    <w:p w14:paraId="0CA4229E" w14:textId="77777777" w:rsidR="0023593D" w:rsidRPr="00E651B8" w:rsidRDefault="0023593D" w:rsidP="0023593D">
      <w:pPr>
        <w:ind w:left="2694" w:hanging="2694"/>
        <w:rPr>
          <w:rFonts w:cs="Arial"/>
          <w:szCs w:val="24"/>
        </w:rPr>
      </w:pPr>
    </w:p>
    <w:p w14:paraId="0FD0B6AE" w14:textId="77777777" w:rsidR="0023593D" w:rsidRDefault="0023593D" w:rsidP="0023593D">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 xml:space="preserve">Court of Appeal of the Supreme Court of </w:t>
      </w:r>
      <w:r>
        <w:rPr>
          <w:rFonts w:cs="Arial"/>
          <w:szCs w:val="24"/>
        </w:rPr>
        <w:br/>
        <w:t>New South Wales</w:t>
      </w:r>
    </w:p>
    <w:p w14:paraId="54FCFC4A" w14:textId="77777777" w:rsidR="0023593D" w:rsidRPr="00F14559" w:rsidRDefault="0023593D" w:rsidP="0023593D">
      <w:pPr>
        <w:ind w:left="2552"/>
        <w:rPr>
          <w:rFonts w:cs="Arial"/>
          <w:szCs w:val="24"/>
        </w:rPr>
      </w:pPr>
      <w:r w:rsidRPr="00236C70">
        <w:rPr>
          <w:rFonts w:cs="Arial"/>
          <w:szCs w:val="24"/>
        </w:rPr>
        <w:t>[20</w:t>
      </w:r>
      <w:r>
        <w:rPr>
          <w:rFonts w:cs="Arial"/>
          <w:szCs w:val="24"/>
        </w:rPr>
        <w:t>23</w:t>
      </w:r>
      <w:r w:rsidRPr="00236C70">
        <w:rPr>
          <w:rFonts w:cs="Arial"/>
          <w:szCs w:val="24"/>
        </w:rPr>
        <w:t xml:space="preserve">] </w:t>
      </w:r>
      <w:r>
        <w:rPr>
          <w:rFonts w:cs="Arial"/>
          <w:szCs w:val="24"/>
        </w:rPr>
        <w:t>NSWCA 44</w:t>
      </w:r>
    </w:p>
    <w:p w14:paraId="08677CE0" w14:textId="77777777" w:rsidR="0023593D" w:rsidRPr="008A0364" w:rsidRDefault="0023593D" w:rsidP="0023593D">
      <w:pPr>
        <w:ind w:left="2694" w:hanging="2694"/>
        <w:rPr>
          <w:rFonts w:cs="Arial"/>
          <w:szCs w:val="24"/>
        </w:rPr>
      </w:pPr>
    </w:p>
    <w:p w14:paraId="052E56A0" w14:textId="77777777" w:rsidR="0023593D" w:rsidRDefault="0023593D" w:rsidP="0023593D">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20 March 2023</w:t>
      </w:r>
    </w:p>
    <w:p w14:paraId="5DBDE2E8" w14:textId="77777777" w:rsidR="0023593D" w:rsidRDefault="0023593D" w:rsidP="0023593D">
      <w:pPr>
        <w:ind w:left="2552" w:hanging="2552"/>
        <w:rPr>
          <w:rFonts w:cs="Arial"/>
          <w:szCs w:val="24"/>
        </w:rPr>
      </w:pPr>
    </w:p>
    <w:p w14:paraId="58B6D39E" w14:textId="77777777" w:rsidR="0023593D" w:rsidRDefault="0023593D" w:rsidP="0023593D">
      <w:pPr>
        <w:tabs>
          <w:tab w:val="left" w:pos="4536"/>
        </w:tabs>
        <w:ind w:left="2552" w:hanging="2552"/>
        <w:rPr>
          <w:rFonts w:cs="Arial"/>
          <w:szCs w:val="24"/>
        </w:rPr>
      </w:pPr>
      <w:r w:rsidRPr="00F33B75">
        <w:rPr>
          <w:rFonts w:cs="Arial"/>
          <w:szCs w:val="24"/>
          <w:u w:val="single"/>
        </w:rPr>
        <w:t>Special leave granted</w:t>
      </w:r>
      <w:r w:rsidRPr="00F33B75">
        <w:rPr>
          <w:rFonts w:cs="Arial"/>
          <w:szCs w:val="24"/>
        </w:rPr>
        <w:t>:</w:t>
      </w:r>
      <w:r>
        <w:rPr>
          <w:rFonts w:cs="Arial"/>
          <w:szCs w:val="24"/>
        </w:rPr>
        <w:tab/>
        <w:t>13 October 2023</w:t>
      </w:r>
    </w:p>
    <w:p w14:paraId="78E13F78" w14:textId="77777777" w:rsidR="0023593D" w:rsidRDefault="0023593D" w:rsidP="0023593D">
      <w:pPr>
        <w:rPr>
          <w:rFonts w:cs="Arial"/>
          <w:szCs w:val="24"/>
        </w:rPr>
      </w:pPr>
    </w:p>
    <w:p w14:paraId="744CCE16" w14:textId="77777777" w:rsidR="0023593D" w:rsidRDefault="0023593D" w:rsidP="0023593D">
      <w:pPr>
        <w:jc w:val="both"/>
        <w:rPr>
          <w:szCs w:val="24"/>
        </w:rPr>
      </w:pPr>
      <w:r>
        <w:rPr>
          <w:szCs w:val="24"/>
        </w:rPr>
        <w:t>The respondent (“the Commissioner”) assessed the appellant (“Godolphin”) for land tax for the 2014-2019 tax years on two rural properties that were used by Godolphin for the insemination, birth, weaning, breaking in and resting of thoroughbred racehorses.  Some of the subject land was also used for growing lucerne and maintaining cattle.</w:t>
      </w:r>
    </w:p>
    <w:p w14:paraId="418B069F" w14:textId="77777777" w:rsidR="0023593D" w:rsidRDefault="0023593D" w:rsidP="0023593D">
      <w:pPr>
        <w:jc w:val="both"/>
        <w:rPr>
          <w:szCs w:val="24"/>
        </w:rPr>
      </w:pPr>
    </w:p>
    <w:p w14:paraId="0D89D982" w14:textId="5EBD702A" w:rsidR="0023593D" w:rsidRDefault="0023593D" w:rsidP="0023593D">
      <w:pPr>
        <w:jc w:val="both"/>
        <w:rPr>
          <w:szCs w:val="24"/>
        </w:rPr>
      </w:pPr>
      <w:r>
        <w:rPr>
          <w:szCs w:val="24"/>
        </w:rPr>
        <w:t>Godolphin objected to the Commissioner’s assessments, and in subsequent Supreme Court proceedings it claimed to be entitled to the exemption from land tax provided by section 10</w:t>
      </w:r>
      <w:proofErr w:type="gramStart"/>
      <w:r>
        <w:rPr>
          <w:szCs w:val="24"/>
        </w:rPr>
        <w:t>AA(</w:t>
      </w:r>
      <w:proofErr w:type="gramEnd"/>
      <w:r>
        <w:rPr>
          <w:szCs w:val="24"/>
        </w:rPr>
        <w:t xml:space="preserve">1) of the </w:t>
      </w:r>
      <w:r w:rsidRPr="00044CDA">
        <w:rPr>
          <w:i/>
          <w:iCs/>
          <w:szCs w:val="24"/>
        </w:rPr>
        <w:t>Land Tax Management Act 1956</w:t>
      </w:r>
      <w:r>
        <w:rPr>
          <w:szCs w:val="24"/>
        </w:rPr>
        <w:t xml:space="preserve"> (NSW) </w:t>
      </w:r>
      <w:r w:rsidR="00F21E02">
        <w:rPr>
          <w:szCs w:val="24"/>
        </w:rPr>
        <w:br/>
      </w:r>
      <w:r>
        <w:rPr>
          <w:szCs w:val="24"/>
        </w:rPr>
        <w:t>(“the Act”) in respect of rural land used for primary production.  This was on the basis that the land’s “dominant use” was for “the maintenance of animals ... for the purpose of selling them or their natural increase or bodily produce”, in accordance with s 10AA(3)(b) of the Act.  The Commissioner’s position was that although the land was used for the maintenance of animals, the dominant use was for racing rather than breeding activities, such that the exemption did not apply.</w:t>
      </w:r>
    </w:p>
    <w:p w14:paraId="7C69F83C" w14:textId="77777777" w:rsidR="0023593D" w:rsidRDefault="0023593D" w:rsidP="0023593D">
      <w:pPr>
        <w:jc w:val="both"/>
        <w:rPr>
          <w:szCs w:val="24"/>
        </w:rPr>
      </w:pPr>
    </w:p>
    <w:p w14:paraId="086515DA" w14:textId="77777777" w:rsidR="0023593D" w:rsidRDefault="0023593D" w:rsidP="0023593D">
      <w:pPr>
        <w:jc w:val="both"/>
        <w:rPr>
          <w:szCs w:val="24"/>
        </w:rPr>
      </w:pPr>
      <w:r>
        <w:rPr>
          <w:szCs w:val="24"/>
        </w:rPr>
        <w:t xml:space="preserve">The primary judge, Ward CJ in Eq, upheld Godolphin’s objection and revoked the Commissioner’s assessments.  Her Honour found that the properties were part of an integrated operation, the dominant purpose of which was the </w:t>
      </w:r>
      <w:proofErr w:type="spellStart"/>
      <w:r>
        <w:rPr>
          <w:szCs w:val="24"/>
        </w:rPr>
        <w:t>maximisation</w:t>
      </w:r>
      <w:proofErr w:type="spellEnd"/>
      <w:r>
        <w:rPr>
          <w:szCs w:val="24"/>
        </w:rPr>
        <w:t xml:space="preserve"> of revenue from the sale of bodily produce and of progeny.</w:t>
      </w:r>
    </w:p>
    <w:p w14:paraId="29041002" w14:textId="77777777" w:rsidR="0023593D" w:rsidRDefault="0023593D" w:rsidP="0023593D">
      <w:pPr>
        <w:jc w:val="both"/>
        <w:rPr>
          <w:szCs w:val="24"/>
        </w:rPr>
      </w:pPr>
    </w:p>
    <w:p w14:paraId="1BE6DEF7" w14:textId="2484F5C4" w:rsidR="0023593D" w:rsidRDefault="0023593D" w:rsidP="0023593D">
      <w:pPr>
        <w:jc w:val="both"/>
        <w:rPr>
          <w:szCs w:val="24"/>
        </w:rPr>
      </w:pPr>
      <w:r>
        <w:rPr>
          <w:szCs w:val="24"/>
        </w:rPr>
        <w:t xml:space="preserve">An appeal by the Commissioner was allowed by the Court of Appeal (Kirk JA and Simpson AJA; Griffiths AJA dissenting).  The majority held that, although Godolphin used the land for the separate (although related) </w:t>
      </w:r>
      <w:r w:rsidRPr="0001189C">
        <w:rPr>
          <w:i/>
          <w:iCs/>
          <w:szCs w:val="24"/>
        </w:rPr>
        <w:t>purposes</w:t>
      </w:r>
      <w:r w:rsidRPr="00EC3B83">
        <w:rPr>
          <w:szCs w:val="24"/>
        </w:rPr>
        <w:t xml:space="preserve"> </w:t>
      </w:r>
      <w:r>
        <w:rPr>
          <w:szCs w:val="24"/>
        </w:rPr>
        <w:t xml:space="preserve">of sales and racing, </w:t>
      </w:r>
      <w:r w:rsidR="00F21E02">
        <w:rPr>
          <w:szCs w:val="24"/>
        </w:rPr>
        <w:br/>
      </w:r>
      <w:r>
        <w:rPr>
          <w:szCs w:val="24"/>
        </w:rPr>
        <w:t xml:space="preserve">the sales purpose being the more profitable, the use of the land for activities in pursuit of the racing purpose was not subservient to its use for the sales purpose.  Godolphin therefore had failed to establish the dominant </w:t>
      </w:r>
      <w:r w:rsidRPr="00F80FCF">
        <w:rPr>
          <w:i/>
          <w:iCs/>
          <w:szCs w:val="24"/>
        </w:rPr>
        <w:t>use</w:t>
      </w:r>
      <w:r>
        <w:rPr>
          <w:szCs w:val="24"/>
        </w:rPr>
        <w:t xml:space="preserve"> necessary for the success of its claimed exemption from land tax.</w:t>
      </w:r>
    </w:p>
    <w:p w14:paraId="03047317" w14:textId="77777777" w:rsidR="0023593D" w:rsidRDefault="0023593D" w:rsidP="0023593D">
      <w:pPr>
        <w:jc w:val="both"/>
        <w:rPr>
          <w:szCs w:val="24"/>
        </w:rPr>
      </w:pPr>
    </w:p>
    <w:p w14:paraId="5CBFE629" w14:textId="77777777" w:rsidR="0023593D" w:rsidRDefault="0023593D" w:rsidP="0023593D">
      <w:pPr>
        <w:jc w:val="both"/>
        <w:rPr>
          <w:szCs w:val="24"/>
        </w:rPr>
      </w:pPr>
      <w:r>
        <w:rPr>
          <w:szCs w:val="24"/>
        </w:rPr>
        <w:t xml:space="preserve">Griffiths AJA considered that the business operations were unusually symbiotic, and that the primary judge had correctly </w:t>
      </w:r>
      <w:proofErr w:type="spellStart"/>
      <w:r>
        <w:rPr>
          <w:szCs w:val="24"/>
        </w:rPr>
        <w:t>characterised</w:t>
      </w:r>
      <w:proofErr w:type="spellEnd"/>
      <w:r>
        <w:rPr>
          <w:szCs w:val="24"/>
        </w:rPr>
        <w:t xml:space="preserve"> Godolphin’s use of the land as an integrated operation in which the preparation of horses for racing was with the dominant purpose of </w:t>
      </w:r>
      <w:proofErr w:type="spellStart"/>
      <w:r>
        <w:rPr>
          <w:szCs w:val="24"/>
        </w:rPr>
        <w:t>maximising</w:t>
      </w:r>
      <w:proofErr w:type="spellEnd"/>
      <w:r>
        <w:rPr>
          <w:szCs w:val="24"/>
        </w:rPr>
        <w:t xml:space="preserve"> revenue from the sale of bodily produce and of progeny.</w:t>
      </w:r>
    </w:p>
    <w:p w14:paraId="170620C2" w14:textId="77777777" w:rsidR="00EC030E" w:rsidRDefault="00EC030E" w:rsidP="0023593D">
      <w:pPr>
        <w:jc w:val="both"/>
        <w:rPr>
          <w:szCs w:val="24"/>
        </w:rPr>
      </w:pPr>
    </w:p>
    <w:p w14:paraId="1A52B195" w14:textId="77190C9F" w:rsidR="0023593D" w:rsidRDefault="0023593D" w:rsidP="0023593D">
      <w:pPr>
        <w:jc w:val="both"/>
        <w:rPr>
          <w:rFonts w:cs="Arial"/>
          <w:szCs w:val="24"/>
        </w:rPr>
      </w:pPr>
      <w:r w:rsidRPr="00AD7885">
        <w:rPr>
          <w:rFonts w:cs="Arial"/>
          <w:szCs w:val="24"/>
        </w:rPr>
        <w:t>The ground</w:t>
      </w:r>
      <w:r>
        <w:rPr>
          <w:rFonts w:cs="Arial"/>
          <w:szCs w:val="24"/>
        </w:rPr>
        <w:t>s</w:t>
      </w:r>
      <w:r w:rsidRPr="00AD7885">
        <w:rPr>
          <w:rFonts w:cs="Arial"/>
          <w:szCs w:val="24"/>
        </w:rPr>
        <w:t xml:space="preserve"> </w:t>
      </w:r>
      <w:r>
        <w:rPr>
          <w:rFonts w:cs="Arial"/>
          <w:szCs w:val="24"/>
        </w:rPr>
        <w:t xml:space="preserve">of </w:t>
      </w:r>
      <w:r w:rsidRPr="00AD7885">
        <w:rPr>
          <w:rFonts w:cs="Arial"/>
          <w:szCs w:val="24"/>
        </w:rPr>
        <w:t xml:space="preserve">appeal </w:t>
      </w:r>
      <w:r>
        <w:rPr>
          <w:rFonts w:cs="Arial"/>
          <w:szCs w:val="24"/>
        </w:rPr>
        <w:t>include:</w:t>
      </w:r>
    </w:p>
    <w:p w14:paraId="717373FF" w14:textId="77777777" w:rsidR="0023593D" w:rsidRPr="00AD7885" w:rsidRDefault="0023593D" w:rsidP="0023593D">
      <w:pPr>
        <w:jc w:val="both"/>
        <w:rPr>
          <w:rFonts w:cs="Arial"/>
          <w:szCs w:val="24"/>
        </w:rPr>
      </w:pPr>
    </w:p>
    <w:p w14:paraId="18450804" w14:textId="0D587BA7" w:rsidR="00D64A82" w:rsidRDefault="0023593D" w:rsidP="00D64A82">
      <w:pPr>
        <w:numPr>
          <w:ilvl w:val="0"/>
          <w:numId w:val="10"/>
        </w:numPr>
        <w:autoSpaceDE w:val="0"/>
        <w:autoSpaceDN w:val="0"/>
        <w:adjustRightInd w:val="0"/>
        <w:ind w:left="425" w:hanging="425"/>
        <w:jc w:val="both"/>
        <w:rPr>
          <w:szCs w:val="24"/>
        </w:rPr>
      </w:pPr>
      <w:r>
        <w:rPr>
          <w:szCs w:val="24"/>
        </w:rPr>
        <w:t>The Court of Appeal erred in concluding that the requirement of dominance in s 10AA(3)(b) of the Act applies to both use and purpose</w:t>
      </w:r>
      <w:r w:rsidRPr="004E0DA2">
        <w:rPr>
          <w:szCs w:val="24"/>
        </w:rPr>
        <w:t>.</w:t>
      </w:r>
    </w:p>
    <w:p w14:paraId="1B9CE19C" w14:textId="77777777" w:rsidR="00AF7632" w:rsidRDefault="00AF7632" w:rsidP="00756B91">
      <w:pPr>
        <w:autoSpaceDE w:val="0"/>
        <w:autoSpaceDN w:val="0"/>
        <w:adjustRightInd w:val="0"/>
        <w:jc w:val="both"/>
        <w:rPr>
          <w:szCs w:val="24"/>
        </w:rPr>
      </w:pPr>
    </w:p>
    <w:p w14:paraId="4DCE37DF" w14:textId="77777777" w:rsidR="00FC088A" w:rsidRDefault="00FC088A" w:rsidP="00756B91">
      <w:pPr>
        <w:autoSpaceDE w:val="0"/>
        <w:autoSpaceDN w:val="0"/>
        <w:adjustRightInd w:val="0"/>
        <w:jc w:val="both"/>
        <w:rPr>
          <w:szCs w:val="24"/>
        </w:rPr>
      </w:pPr>
    </w:p>
    <w:p w14:paraId="36DD8846" w14:textId="77777777" w:rsidR="00FC088A" w:rsidRDefault="00FC088A" w:rsidP="00756B91">
      <w:pPr>
        <w:autoSpaceDE w:val="0"/>
        <w:autoSpaceDN w:val="0"/>
        <w:adjustRightInd w:val="0"/>
        <w:jc w:val="both"/>
        <w:rPr>
          <w:szCs w:val="24"/>
        </w:rPr>
      </w:pPr>
    </w:p>
    <w:p w14:paraId="0D321F89" w14:textId="77777777" w:rsidR="0023593D" w:rsidRPr="004E0DA2" w:rsidRDefault="0023593D" w:rsidP="0023593D">
      <w:pPr>
        <w:numPr>
          <w:ilvl w:val="0"/>
          <w:numId w:val="10"/>
        </w:numPr>
        <w:autoSpaceDE w:val="0"/>
        <w:autoSpaceDN w:val="0"/>
        <w:adjustRightInd w:val="0"/>
        <w:ind w:left="425" w:hanging="425"/>
        <w:jc w:val="both"/>
        <w:rPr>
          <w:szCs w:val="24"/>
        </w:rPr>
      </w:pPr>
      <w:r>
        <w:rPr>
          <w:szCs w:val="24"/>
        </w:rPr>
        <w:t>The Court of Appeal should have concluded that where the dominant use of the land involves the same physical activity for two or more complementary or overlapping purposes, one of which satisfies s 10AA(3)(b) of the Act and does not prevail over the other purpose, it is unnecessary to demonstrate separately that the exempt purpose is the dominant purpose.</w:t>
      </w:r>
    </w:p>
    <w:p w14:paraId="56F0879C" w14:textId="77777777" w:rsidR="0023593D" w:rsidRPr="00370193" w:rsidRDefault="0023593D" w:rsidP="0023593D">
      <w:pPr>
        <w:autoSpaceDE w:val="0"/>
        <w:autoSpaceDN w:val="0"/>
        <w:adjustRightInd w:val="0"/>
        <w:jc w:val="both"/>
        <w:rPr>
          <w:szCs w:val="24"/>
        </w:rPr>
      </w:pPr>
    </w:p>
    <w:p w14:paraId="648F5864" w14:textId="77777777" w:rsidR="0023593D" w:rsidRDefault="0023593D" w:rsidP="0023593D">
      <w:pPr>
        <w:jc w:val="both"/>
        <w:rPr>
          <w:szCs w:val="24"/>
        </w:rPr>
      </w:pPr>
      <w:r>
        <w:rPr>
          <w:szCs w:val="24"/>
        </w:rPr>
        <w:t>By notice of contention, the Chief Commissioner raises grounds including the following:</w:t>
      </w:r>
    </w:p>
    <w:p w14:paraId="6A3EE3AB" w14:textId="77777777" w:rsidR="0023593D" w:rsidRPr="00AD7885" w:rsidRDefault="0023593D" w:rsidP="0023593D">
      <w:pPr>
        <w:jc w:val="both"/>
        <w:rPr>
          <w:rFonts w:cs="Arial"/>
          <w:szCs w:val="24"/>
        </w:rPr>
      </w:pPr>
    </w:p>
    <w:p w14:paraId="09B1142E" w14:textId="77777777" w:rsidR="0023593D" w:rsidRDefault="0023593D" w:rsidP="0023593D">
      <w:pPr>
        <w:numPr>
          <w:ilvl w:val="0"/>
          <w:numId w:val="10"/>
        </w:numPr>
        <w:autoSpaceDE w:val="0"/>
        <w:autoSpaceDN w:val="0"/>
        <w:adjustRightInd w:val="0"/>
        <w:ind w:left="425" w:hanging="425"/>
        <w:jc w:val="both"/>
        <w:rPr>
          <w:szCs w:val="24"/>
        </w:rPr>
      </w:pPr>
      <w:proofErr w:type="gramStart"/>
      <w:r>
        <w:rPr>
          <w:szCs w:val="24"/>
        </w:rPr>
        <w:t>A majority of</w:t>
      </w:r>
      <w:proofErr w:type="gramEnd"/>
      <w:r>
        <w:rPr>
          <w:szCs w:val="24"/>
        </w:rPr>
        <w:t xml:space="preserve"> the Court of Appeal erred in:</w:t>
      </w:r>
    </w:p>
    <w:p w14:paraId="695FE241" w14:textId="77777777" w:rsidR="0023593D" w:rsidRPr="00236F98" w:rsidRDefault="0023593D" w:rsidP="0023593D">
      <w:pPr>
        <w:autoSpaceDE w:val="0"/>
        <w:autoSpaceDN w:val="0"/>
        <w:adjustRightInd w:val="0"/>
        <w:ind w:left="425"/>
        <w:jc w:val="both"/>
        <w:rPr>
          <w:szCs w:val="24"/>
        </w:rPr>
      </w:pPr>
    </w:p>
    <w:p w14:paraId="1E77C4A3" w14:textId="77777777" w:rsidR="0023593D" w:rsidRDefault="0023593D" w:rsidP="0023593D">
      <w:pPr>
        <w:numPr>
          <w:ilvl w:val="1"/>
          <w:numId w:val="10"/>
        </w:numPr>
        <w:autoSpaceDE w:val="0"/>
        <w:autoSpaceDN w:val="0"/>
        <w:adjustRightInd w:val="0"/>
        <w:ind w:left="907" w:hanging="482"/>
        <w:jc w:val="both"/>
        <w:rPr>
          <w:szCs w:val="24"/>
        </w:rPr>
      </w:pPr>
      <w:r>
        <w:rPr>
          <w:szCs w:val="24"/>
        </w:rPr>
        <w:t>finding that Godolphin was conducting an integrated operation on the land with dual purposes, and/or conducting the same or a single relevant physical activity on the land with dual purposes; and</w:t>
      </w:r>
    </w:p>
    <w:p w14:paraId="73BF5FB4" w14:textId="77777777" w:rsidR="0023593D" w:rsidRDefault="0023593D" w:rsidP="0023593D">
      <w:pPr>
        <w:autoSpaceDE w:val="0"/>
        <w:autoSpaceDN w:val="0"/>
        <w:adjustRightInd w:val="0"/>
        <w:ind w:left="907"/>
        <w:jc w:val="both"/>
        <w:rPr>
          <w:szCs w:val="24"/>
        </w:rPr>
      </w:pPr>
    </w:p>
    <w:p w14:paraId="0FC768F7" w14:textId="7FAC7929" w:rsidR="0023593D" w:rsidRDefault="0023593D" w:rsidP="0023593D">
      <w:pPr>
        <w:numPr>
          <w:ilvl w:val="1"/>
          <w:numId w:val="10"/>
        </w:numPr>
        <w:autoSpaceDE w:val="0"/>
        <w:autoSpaceDN w:val="0"/>
        <w:adjustRightInd w:val="0"/>
        <w:ind w:left="910" w:hanging="484"/>
        <w:jc w:val="both"/>
        <w:rPr>
          <w:szCs w:val="24"/>
        </w:rPr>
      </w:pPr>
      <w:r>
        <w:rPr>
          <w:szCs w:val="24"/>
        </w:rPr>
        <w:t>failing to find that Godolphin’s activities on the land involved two or more separate uses of the land, such that it was necessary to determine the dominant use of each parcel of land.</w:t>
      </w:r>
      <w:r w:rsidR="00CA144A">
        <w:rPr>
          <w:szCs w:val="24"/>
        </w:rPr>
        <w:t xml:space="preserve"> </w:t>
      </w:r>
    </w:p>
    <w:p w14:paraId="7CF32A10" w14:textId="77777777" w:rsidR="0023593D" w:rsidRDefault="0023593D" w:rsidP="0023593D">
      <w:pPr>
        <w:pStyle w:val="ListParagraph"/>
        <w:rPr>
          <w:szCs w:val="24"/>
        </w:rPr>
      </w:pPr>
    </w:p>
    <w:p w14:paraId="2CB37DF0" w14:textId="77777777" w:rsidR="0023593D" w:rsidRDefault="0023593D" w:rsidP="0023593D">
      <w:pPr>
        <w:autoSpaceDE w:val="0"/>
        <w:autoSpaceDN w:val="0"/>
        <w:adjustRightInd w:val="0"/>
        <w:jc w:val="both"/>
        <w:rPr>
          <w:szCs w:val="24"/>
        </w:rPr>
      </w:pPr>
    </w:p>
    <w:p w14:paraId="704056ED" w14:textId="6F53BB08" w:rsidR="0023593D" w:rsidRDefault="0023593D">
      <w:pPr>
        <w:rPr>
          <w:szCs w:val="24"/>
        </w:rPr>
      </w:pPr>
      <w:r>
        <w:rPr>
          <w:szCs w:val="24"/>
        </w:rPr>
        <w:br w:type="page"/>
      </w:r>
    </w:p>
    <w:p w14:paraId="39D9E5A4" w14:textId="77777777" w:rsidR="00EE29C5" w:rsidRPr="00E5208F" w:rsidRDefault="00EE29C5" w:rsidP="00EE29C5">
      <w:pPr>
        <w:rPr>
          <w:sz w:val="28"/>
          <w:szCs w:val="28"/>
        </w:rPr>
      </w:pPr>
      <w:r>
        <w:rPr>
          <w:b/>
          <w:sz w:val="28"/>
          <w:szCs w:val="28"/>
          <w:u w:val="single"/>
        </w:rPr>
        <w:lastRenderedPageBreak/>
        <w:t xml:space="preserve">MALLONLAND PTY LTD ACN 051 136 291 &amp; ANOR v </w:t>
      </w:r>
      <w:r>
        <w:rPr>
          <w:b/>
          <w:sz w:val="28"/>
          <w:szCs w:val="28"/>
          <w:u w:val="single"/>
        </w:rPr>
        <w:br/>
        <w:t>ADVANTA SEEDS PTY LTD ACN 010 933 061</w:t>
      </w:r>
      <w:r>
        <w:rPr>
          <w:b/>
          <w:sz w:val="28"/>
          <w:szCs w:val="28"/>
        </w:rPr>
        <w:t xml:space="preserve"> </w:t>
      </w:r>
      <w:r w:rsidRPr="00E5208F">
        <w:rPr>
          <w:b/>
          <w:sz w:val="28"/>
          <w:szCs w:val="28"/>
        </w:rPr>
        <w:t>(</w:t>
      </w:r>
      <w:r>
        <w:rPr>
          <w:b/>
          <w:sz w:val="28"/>
          <w:szCs w:val="28"/>
        </w:rPr>
        <w:t>B60/2023</w:t>
      </w:r>
      <w:r w:rsidRPr="00E5208F">
        <w:rPr>
          <w:b/>
          <w:sz w:val="28"/>
          <w:szCs w:val="28"/>
        </w:rPr>
        <w:t>)</w:t>
      </w:r>
    </w:p>
    <w:p w14:paraId="774B85D6" w14:textId="77777777" w:rsidR="00EE29C5" w:rsidRPr="00E5208F" w:rsidRDefault="00EE29C5" w:rsidP="00EE29C5">
      <w:pPr>
        <w:rPr>
          <w:szCs w:val="24"/>
        </w:rPr>
      </w:pPr>
    </w:p>
    <w:p w14:paraId="275A6AF7" w14:textId="77777777" w:rsidR="00EE29C5" w:rsidRDefault="00EE29C5" w:rsidP="00EE29C5">
      <w:pPr>
        <w:tabs>
          <w:tab w:val="left" w:pos="3969"/>
        </w:tabs>
        <w:rPr>
          <w:szCs w:val="24"/>
        </w:rPr>
      </w:pPr>
      <w:r>
        <w:rPr>
          <w:szCs w:val="24"/>
          <w:u w:val="single"/>
        </w:rPr>
        <w:t>Court appealed from</w:t>
      </w:r>
      <w:r>
        <w:rPr>
          <w:szCs w:val="24"/>
        </w:rPr>
        <w:t>:    Supreme Court of Queensland Court of Appeal</w:t>
      </w:r>
    </w:p>
    <w:p w14:paraId="52C641E6" w14:textId="77777777" w:rsidR="00EE29C5" w:rsidRDefault="00EE29C5" w:rsidP="00EE29C5">
      <w:pPr>
        <w:tabs>
          <w:tab w:val="left" w:pos="3969"/>
        </w:tabs>
        <w:rPr>
          <w:szCs w:val="24"/>
        </w:rPr>
      </w:pPr>
      <w:r>
        <w:rPr>
          <w:szCs w:val="24"/>
        </w:rPr>
        <w:t xml:space="preserve">                                      [2023] QCA 24</w:t>
      </w:r>
    </w:p>
    <w:p w14:paraId="1ADAE8ED" w14:textId="77777777" w:rsidR="00EE29C5" w:rsidRDefault="00EE29C5" w:rsidP="00EE29C5">
      <w:pPr>
        <w:tabs>
          <w:tab w:val="left" w:pos="3969"/>
        </w:tabs>
        <w:rPr>
          <w:szCs w:val="24"/>
        </w:rPr>
      </w:pPr>
    </w:p>
    <w:p w14:paraId="5B2693CD" w14:textId="77777777" w:rsidR="00EE29C5" w:rsidRPr="00E5208F" w:rsidRDefault="00EE29C5" w:rsidP="00EE29C5">
      <w:pPr>
        <w:tabs>
          <w:tab w:val="left" w:pos="3969"/>
        </w:tabs>
        <w:rPr>
          <w:szCs w:val="24"/>
        </w:rPr>
      </w:pPr>
      <w:r w:rsidRPr="00815B63">
        <w:rPr>
          <w:szCs w:val="24"/>
          <w:u w:val="single"/>
        </w:rPr>
        <w:t>Date of judgment</w:t>
      </w:r>
      <w:r>
        <w:rPr>
          <w:szCs w:val="24"/>
        </w:rPr>
        <w:t>:          28 February 2023</w:t>
      </w:r>
    </w:p>
    <w:p w14:paraId="72011927" w14:textId="77777777" w:rsidR="00EE29C5" w:rsidRPr="00E5208F" w:rsidRDefault="00EE29C5" w:rsidP="00EE29C5">
      <w:pPr>
        <w:rPr>
          <w:szCs w:val="24"/>
        </w:rPr>
      </w:pPr>
    </w:p>
    <w:p w14:paraId="2F2EECC6" w14:textId="77777777" w:rsidR="00EE29C5" w:rsidRDefault="00EE29C5" w:rsidP="00EE29C5">
      <w:pPr>
        <w:tabs>
          <w:tab w:val="left" w:pos="3969"/>
        </w:tabs>
        <w:rPr>
          <w:szCs w:val="24"/>
        </w:rPr>
      </w:pPr>
      <w:r>
        <w:rPr>
          <w:szCs w:val="24"/>
          <w:u w:val="single"/>
        </w:rPr>
        <w:t>Special leave granted</w:t>
      </w:r>
      <w:r>
        <w:rPr>
          <w:szCs w:val="24"/>
        </w:rPr>
        <w:t>:   13 October 2023</w:t>
      </w:r>
    </w:p>
    <w:p w14:paraId="363E284B" w14:textId="77777777" w:rsidR="00EE29C5" w:rsidRDefault="00EE29C5" w:rsidP="00EE29C5">
      <w:pPr>
        <w:pStyle w:val="NormalWeb"/>
        <w:shd w:val="clear" w:color="auto" w:fill="FFFFFF"/>
        <w:spacing w:before="0" w:beforeAutospacing="0" w:after="240" w:afterAutospacing="0"/>
        <w:jc w:val="both"/>
        <w:rPr>
          <w:rFonts w:ascii="Arial" w:hAnsi="Arial" w:cs="Arial"/>
          <w:iCs/>
          <w:lang w:val="en-US"/>
        </w:rPr>
      </w:pPr>
      <w:r w:rsidRPr="00DF65EB">
        <w:rPr>
          <w:rFonts w:ascii="Segoe UI" w:hAnsi="Segoe UI" w:cs="Segoe UI"/>
          <w:color w:val="000000" w:themeColor="text1"/>
        </w:rPr>
        <w:br/>
      </w:r>
      <w:r>
        <w:rPr>
          <w:rFonts w:ascii="Arial" w:hAnsi="Arial" w:cs="Arial"/>
          <w:iCs/>
          <w:lang w:val="en-US"/>
        </w:rPr>
        <w:t>Between 2010 and 2014, commercial sorghum farmers purchased sorghum seed, manufactured by the respondent and known as MR43, from intermediate suppliers and distributors.  The sorghum seed was packaged</w:t>
      </w:r>
      <w:r w:rsidRPr="007B2AEA">
        <w:rPr>
          <w:rFonts w:ascii="Arial" w:hAnsi="Arial" w:cs="Arial"/>
          <w:iCs/>
          <w:lang w:val="en-US"/>
        </w:rPr>
        <w:t xml:space="preserve"> in bag</w:t>
      </w:r>
      <w:r>
        <w:rPr>
          <w:rFonts w:ascii="Arial" w:hAnsi="Arial" w:cs="Arial"/>
          <w:iCs/>
          <w:lang w:val="en-US"/>
        </w:rPr>
        <w:t>s</w:t>
      </w:r>
      <w:r w:rsidRPr="007B2AEA">
        <w:rPr>
          <w:rFonts w:ascii="Arial" w:hAnsi="Arial" w:cs="Arial"/>
          <w:iCs/>
          <w:lang w:val="en-US"/>
        </w:rPr>
        <w:t xml:space="preserve"> </w:t>
      </w:r>
      <w:r>
        <w:rPr>
          <w:rFonts w:ascii="Arial" w:hAnsi="Arial" w:cs="Arial"/>
          <w:iCs/>
          <w:lang w:val="en-US"/>
        </w:rPr>
        <w:t xml:space="preserve">labelled </w:t>
      </w:r>
      <w:r w:rsidRPr="007B2AEA">
        <w:rPr>
          <w:rFonts w:ascii="Arial" w:hAnsi="Arial" w:cs="Arial"/>
          <w:iCs/>
          <w:lang w:val="en-US"/>
        </w:rPr>
        <w:t xml:space="preserve">with </w:t>
      </w:r>
      <w:r>
        <w:rPr>
          <w:rFonts w:ascii="Arial" w:hAnsi="Arial" w:cs="Arial"/>
          <w:iCs/>
          <w:lang w:val="en-US"/>
        </w:rPr>
        <w:t xml:space="preserve">the respondent’s terms and </w:t>
      </w:r>
      <w:r w:rsidRPr="007B2AEA">
        <w:rPr>
          <w:rFonts w:ascii="Arial" w:hAnsi="Arial" w:cs="Arial"/>
          <w:iCs/>
          <w:lang w:val="en-US"/>
        </w:rPr>
        <w:t>conditions</w:t>
      </w:r>
      <w:r>
        <w:rPr>
          <w:rFonts w:ascii="Arial" w:hAnsi="Arial" w:cs="Arial"/>
          <w:iCs/>
          <w:lang w:val="en-US"/>
        </w:rPr>
        <w:t xml:space="preserve"> of sale, which i</w:t>
      </w:r>
      <w:r w:rsidRPr="007B2AEA">
        <w:rPr>
          <w:rFonts w:ascii="Arial" w:hAnsi="Arial" w:cs="Arial"/>
          <w:iCs/>
          <w:lang w:val="en-US"/>
        </w:rPr>
        <w:t>nclud</w:t>
      </w:r>
      <w:r>
        <w:rPr>
          <w:rFonts w:ascii="Arial" w:hAnsi="Arial" w:cs="Arial"/>
          <w:iCs/>
          <w:lang w:val="en-US"/>
        </w:rPr>
        <w:t>ed</w:t>
      </w:r>
      <w:r w:rsidRPr="007B2AEA">
        <w:rPr>
          <w:rFonts w:ascii="Arial" w:hAnsi="Arial" w:cs="Arial"/>
          <w:iCs/>
          <w:lang w:val="en-US"/>
        </w:rPr>
        <w:t xml:space="preserve"> a disclaimer of liability</w:t>
      </w:r>
      <w:r>
        <w:rPr>
          <w:rFonts w:ascii="Arial" w:hAnsi="Arial" w:cs="Arial"/>
          <w:iCs/>
          <w:lang w:val="en-US"/>
        </w:rPr>
        <w:t>.  The</w:t>
      </w:r>
      <w:r w:rsidRPr="007B2AEA">
        <w:rPr>
          <w:rFonts w:ascii="Arial" w:hAnsi="Arial" w:cs="Arial"/>
          <w:iCs/>
          <w:lang w:val="en-US"/>
        </w:rPr>
        <w:t xml:space="preserve"> sorghum seed </w:t>
      </w:r>
      <w:r>
        <w:rPr>
          <w:rFonts w:ascii="Arial" w:hAnsi="Arial" w:cs="Arial"/>
          <w:iCs/>
          <w:lang w:val="en-US"/>
        </w:rPr>
        <w:t>was contaminated with a sorghum off-type known as shattercane.  After planting, the shattercane corrupted the sorghum.  The result was the intermingling of sorghum and weeds over several seasons.</w:t>
      </w:r>
      <w:r w:rsidRPr="007B2AEA">
        <w:rPr>
          <w:rFonts w:ascii="Arial" w:hAnsi="Arial" w:cs="Arial"/>
          <w:iCs/>
          <w:lang w:val="en-US"/>
        </w:rPr>
        <w:t xml:space="preserve"> </w:t>
      </w:r>
      <w:r>
        <w:rPr>
          <w:rFonts w:ascii="Arial" w:hAnsi="Arial" w:cs="Arial"/>
          <w:iCs/>
          <w:lang w:val="en-US"/>
        </w:rPr>
        <w:t xml:space="preserve"> The only way to prevent disruption of the farmers’ sorghum production was to stop growing sorghum and to remediate the fields. </w:t>
      </w:r>
    </w:p>
    <w:p w14:paraId="099CA036" w14:textId="7FB2483E" w:rsidR="00EE29C5" w:rsidRPr="007B2AEA" w:rsidRDefault="00EE29C5" w:rsidP="00EE29C5">
      <w:pPr>
        <w:pStyle w:val="NormalWeb"/>
        <w:shd w:val="clear" w:color="auto" w:fill="FFFFFF"/>
        <w:spacing w:before="0" w:beforeAutospacing="0" w:after="240" w:afterAutospacing="0"/>
        <w:jc w:val="both"/>
        <w:rPr>
          <w:rFonts w:ascii="Arial" w:hAnsi="Arial" w:cs="Arial"/>
          <w:iCs/>
          <w:lang w:val="en-US"/>
        </w:rPr>
      </w:pPr>
      <w:r>
        <w:rPr>
          <w:rFonts w:ascii="Arial" w:hAnsi="Arial" w:cs="Arial"/>
          <w:iCs/>
          <w:lang w:val="en-US"/>
        </w:rPr>
        <w:t>T</w:t>
      </w:r>
      <w:r w:rsidRPr="007B2AEA">
        <w:rPr>
          <w:rFonts w:ascii="Arial" w:hAnsi="Arial" w:cs="Arial"/>
          <w:iCs/>
          <w:lang w:val="en-US"/>
        </w:rPr>
        <w:t>he appellant</w:t>
      </w:r>
      <w:r>
        <w:rPr>
          <w:rFonts w:ascii="Arial" w:hAnsi="Arial" w:cs="Arial"/>
          <w:iCs/>
          <w:lang w:val="en-US"/>
        </w:rPr>
        <w:t>s commenced Supreme Court proceedings as</w:t>
      </w:r>
      <w:r w:rsidRPr="007B2AEA">
        <w:rPr>
          <w:rFonts w:ascii="Arial" w:hAnsi="Arial" w:cs="Arial"/>
          <w:iCs/>
          <w:lang w:val="en-US"/>
        </w:rPr>
        <w:t xml:space="preserve"> representative </w:t>
      </w:r>
      <w:r>
        <w:rPr>
          <w:rFonts w:ascii="Arial" w:hAnsi="Arial" w:cs="Arial"/>
          <w:iCs/>
          <w:lang w:val="en-US"/>
        </w:rPr>
        <w:t xml:space="preserve">parties under Part 13A of the </w:t>
      </w:r>
      <w:r>
        <w:rPr>
          <w:rFonts w:ascii="Arial" w:hAnsi="Arial" w:cs="Arial"/>
          <w:i/>
          <w:lang w:val="en-US"/>
        </w:rPr>
        <w:t xml:space="preserve">Civil Proceedings </w:t>
      </w:r>
      <w:r w:rsidRPr="00057385">
        <w:rPr>
          <w:rFonts w:ascii="Arial" w:hAnsi="Arial" w:cs="Arial"/>
          <w:i/>
          <w:lang w:val="en-US"/>
        </w:rPr>
        <w:t>Act 2011</w:t>
      </w:r>
      <w:r>
        <w:rPr>
          <w:rFonts w:ascii="Arial" w:hAnsi="Arial" w:cs="Arial"/>
          <w:iCs/>
          <w:lang w:val="en-US"/>
        </w:rPr>
        <w:t xml:space="preserve"> (Qld) </w:t>
      </w:r>
      <w:r w:rsidRPr="007B2AEA">
        <w:rPr>
          <w:rFonts w:ascii="Arial" w:hAnsi="Arial" w:cs="Arial"/>
          <w:iCs/>
          <w:lang w:val="en-US"/>
        </w:rPr>
        <w:t xml:space="preserve">on behalf of sorghum farmers impacted by the contaminated </w:t>
      </w:r>
      <w:r>
        <w:rPr>
          <w:rFonts w:ascii="Arial" w:hAnsi="Arial" w:cs="Arial"/>
          <w:iCs/>
          <w:lang w:val="en-US"/>
        </w:rPr>
        <w:t>MR43 seed</w:t>
      </w:r>
      <w:r w:rsidRPr="007B2AEA">
        <w:rPr>
          <w:rFonts w:ascii="Arial" w:hAnsi="Arial" w:cs="Arial"/>
          <w:iCs/>
          <w:lang w:val="en-US"/>
        </w:rPr>
        <w:t xml:space="preserve">. </w:t>
      </w:r>
      <w:r>
        <w:rPr>
          <w:rFonts w:ascii="Arial" w:hAnsi="Arial" w:cs="Arial"/>
          <w:iCs/>
          <w:lang w:val="en-US"/>
        </w:rPr>
        <w:t xml:space="preserve"> </w:t>
      </w:r>
      <w:r w:rsidRPr="007B2AEA">
        <w:rPr>
          <w:rFonts w:ascii="Arial" w:hAnsi="Arial" w:cs="Arial"/>
          <w:iCs/>
          <w:lang w:val="en-US"/>
        </w:rPr>
        <w:t>The</w:t>
      </w:r>
      <w:r>
        <w:rPr>
          <w:rFonts w:ascii="Arial" w:hAnsi="Arial" w:cs="Arial"/>
          <w:iCs/>
          <w:lang w:val="en-US"/>
        </w:rPr>
        <w:t xml:space="preserve"> appellants</w:t>
      </w:r>
      <w:r w:rsidRPr="007B2AEA">
        <w:rPr>
          <w:rFonts w:ascii="Arial" w:hAnsi="Arial" w:cs="Arial"/>
          <w:iCs/>
          <w:lang w:val="en-US"/>
        </w:rPr>
        <w:t xml:space="preserve"> </w:t>
      </w:r>
      <w:r>
        <w:rPr>
          <w:rFonts w:ascii="Arial" w:hAnsi="Arial" w:cs="Arial"/>
          <w:iCs/>
          <w:lang w:val="en-US"/>
        </w:rPr>
        <w:t xml:space="preserve">alleged that the respondent had breached a duty of care by engaging in misleading or deceptive conduct in connection with the supply of the seed, and claimed that they </w:t>
      </w:r>
      <w:r w:rsidR="004F08AD">
        <w:rPr>
          <w:rFonts w:ascii="Arial" w:hAnsi="Arial" w:cs="Arial"/>
          <w:iCs/>
          <w:lang w:val="en-US"/>
        </w:rPr>
        <w:br/>
      </w:r>
      <w:r>
        <w:rPr>
          <w:rFonts w:ascii="Arial" w:hAnsi="Arial" w:cs="Arial"/>
          <w:iCs/>
          <w:lang w:val="en-US"/>
        </w:rPr>
        <w:t xml:space="preserve">(the appellants) had suffered loss or damage caused by the respondent’s negligence.  The appellants submitted that the respondent had failed to conduct a grow-out of the contaminated seed before supplying it to the public, had failed to undertake scientific testing, and had failed to warn the appellants of the need to remove the shattercane.  The respondent denied the existence of a duty of care owed and argued that the damage alleged was pure economic loss that was not reasonably foreseeable, and that the label on the MR43 bags operated as a disclaimer of any assumption of responsibility. </w:t>
      </w:r>
    </w:p>
    <w:p w14:paraId="58BAFEB9" w14:textId="77777777" w:rsidR="00EE29C5" w:rsidRPr="003C3730" w:rsidRDefault="00EE29C5" w:rsidP="00EE29C5">
      <w:pPr>
        <w:pStyle w:val="NormalWeb"/>
        <w:shd w:val="clear" w:color="auto" w:fill="FFFFFF"/>
        <w:spacing w:before="0" w:beforeAutospacing="0" w:after="240" w:afterAutospacing="0"/>
        <w:jc w:val="both"/>
        <w:rPr>
          <w:rFonts w:ascii="Arial" w:hAnsi="Arial" w:cs="Arial"/>
          <w:iCs/>
          <w:lang w:val="en-US"/>
        </w:rPr>
      </w:pPr>
      <w:r w:rsidRPr="003C3730">
        <w:rPr>
          <w:rFonts w:ascii="Arial" w:hAnsi="Arial" w:cs="Arial"/>
          <w:iCs/>
          <w:lang w:val="en-US"/>
        </w:rPr>
        <w:t xml:space="preserve">The primary </w:t>
      </w:r>
      <w:r>
        <w:rPr>
          <w:rFonts w:ascii="Arial" w:hAnsi="Arial" w:cs="Arial"/>
          <w:iCs/>
          <w:lang w:val="en-US"/>
        </w:rPr>
        <w:t>j</w:t>
      </w:r>
      <w:r w:rsidRPr="003C3730">
        <w:rPr>
          <w:rFonts w:ascii="Arial" w:hAnsi="Arial" w:cs="Arial"/>
          <w:iCs/>
          <w:lang w:val="en-US"/>
        </w:rPr>
        <w:t>udge</w:t>
      </w:r>
      <w:r>
        <w:rPr>
          <w:rFonts w:ascii="Arial" w:hAnsi="Arial" w:cs="Arial"/>
          <w:iCs/>
          <w:lang w:val="en-US"/>
        </w:rPr>
        <w:t>,</w:t>
      </w:r>
      <w:r w:rsidRPr="003C3730">
        <w:rPr>
          <w:rFonts w:ascii="Arial" w:hAnsi="Arial" w:cs="Arial"/>
          <w:iCs/>
          <w:lang w:val="en-US"/>
        </w:rPr>
        <w:t xml:space="preserve"> Jackson J</w:t>
      </w:r>
      <w:r>
        <w:rPr>
          <w:rFonts w:ascii="Arial" w:hAnsi="Arial" w:cs="Arial"/>
          <w:iCs/>
          <w:lang w:val="en-US"/>
        </w:rPr>
        <w:t xml:space="preserve">, dismissed the appellants’ claim, holding </w:t>
      </w:r>
      <w:r w:rsidRPr="003C3730">
        <w:rPr>
          <w:rFonts w:ascii="Arial" w:hAnsi="Arial" w:cs="Arial"/>
          <w:iCs/>
          <w:lang w:val="en-US"/>
        </w:rPr>
        <w:t>that the salient features of vulnerability and coherence with</w:t>
      </w:r>
      <w:r>
        <w:rPr>
          <w:rFonts w:ascii="Arial" w:hAnsi="Arial" w:cs="Arial"/>
          <w:iCs/>
          <w:lang w:val="en-US"/>
        </w:rPr>
        <w:t>in</w:t>
      </w:r>
      <w:r w:rsidRPr="003C3730">
        <w:rPr>
          <w:rFonts w:ascii="Arial" w:hAnsi="Arial" w:cs="Arial"/>
          <w:iCs/>
          <w:lang w:val="en-US"/>
        </w:rPr>
        <w:t xml:space="preserve"> the existing legal framework did not support the existence of a duty of care owed by the respondent to the appellants. </w:t>
      </w:r>
      <w:r>
        <w:rPr>
          <w:rFonts w:ascii="Arial" w:hAnsi="Arial" w:cs="Arial"/>
          <w:iCs/>
          <w:lang w:val="en-US"/>
        </w:rPr>
        <w:t xml:space="preserve"> </w:t>
      </w:r>
      <w:r w:rsidRPr="003C3730">
        <w:rPr>
          <w:rFonts w:ascii="Arial" w:hAnsi="Arial" w:cs="Arial"/>
          <w:iCs/>
          <w:lang w:val="en-US"/>
        </w:rPr>
        <w:t>His Honour further held that the terms and conditions attached to the packaging of MR43 seeds amounted to a disclaimer of an assumption of responsibility</w:t>
      </w:r>
      <w:r>
        <w:rPr>
          <w:rFonts w:ascii="Arial" w:hAnsi="Arial" w:cs="Arial"/>
          <w:iCs/>
          <w:lang w:val="en-US"/>
        </w:rPr>
        <w:t>,</w:t>
      </w:r>
      <w:r w:rsidRPr="003C3730">
        <w:rPr>
          <w:rFonts w:ascii="Arial" w:hAnsi="Arial" w:cs="Arial"/>
          <w:iCs/>
          <w:lang w:val="en-US"/>
        </w:rPr>
        <w:t xml:space="preserve"> and therefore negated the existence of a</w:t>
      </w:r>
      <w:r>
        <w:rPr>
          <w:rFonts w:ascii="Arial" w:hAnsi="Arial" w:cs="Arial"/>
          <w:iCs/>
          <w:lang w:val="en-US"/>
        </w:rPr>
        <w:t>ny</w:t>
      </w:r>
      <w:r w:rsidRPr="003C3730">
        <w:rPr>
          <w:rFonts w:ascii="Arial" w:hAnsi="Arial" w:cs="Arial"/>
          <w:iCs/>
          <w:lang w:val="en-US"/>
        </w:rPr>
        <w:t xml:space="preserve"> duty of care to </w:t>
      </w:r>
      <w:r>
        <w:rPr>
          <w:rFonts w:ascii="Arial" w:hAnsi="Arial" w:cs="Arial"/>
          <w:iCs/>
          <w:lang w:val="en-US"/>
        </w:rPr>
        <w:t xml:space="preserve">prevent </w:t>
      </w:r>
      <w:r w:rsidRPr="003C3730">
        <w:rPr>
          <w:rFonts w:ascii="Arial" w:hAnsi="Arial" w:cs="Arial"/>
          <w:iCs/>
          <w:lang w:val="en-US"/>
        </w:rPr>
        <w:t>economic loss in the event of contamination.</w:t>
      </w:r>
    </w:p>
    <w:p w14:paraId="786CF5FB" w14:textId="77777777" w:rsidR="002F23A4" w:rsidRDefault="00EE29C5" w:rsidP="002F23A4">
      <w:pPr>
        <w:pStyle w:val="NormalWeb"/>
        <w:shd w:val="clear" w:color="auto" w:fill="FFFFFF"/>
        <w:spacing w:before="0" w:beforeAutospacing="0" w:after="240" w:afterAutospacing="0"/>
        <w:jc w:val="both"/>
        <w:rPr>
          <w:rFonts w:ascii="Arial" w:hAnsi="Arial" w:cs="Arial"/>
          <w:iCs/>
          <w:lang w:val="en-US"/>
        </w:rPr>
      </w:pPr>
      <w:r w:rsidRPr="003C3730">
        <w:rPr>
          <w:rFonts w:ascii="Arial" w:hAnsi="Arial" w:cs="Arial"/>
          <w:iCs/>
          <w:lang w:val="en-US"/>
        </w:rPr>
        <w:t>The Court of Appeal (Morrison</w:t>
      </w:r>
      <w:r>
        <w:rPr>
          <w:rFonts w:ascii="Arial" w:hAnsi="Arial" w:cs="Arial"/>
          <w:iCs/>
          <w:lang w:val="en-US"/>
        </w:rPr>
        <w:t xml:space="preserve"> and </w:t>
      </w:r>
      <w:r w:rsidRPr="003C3730">
        <w:rPr>
          <w:rFonts w:ascii="Arial" w:hAnsi="Arial" w:cs="Arial"/>
          <w:iCs/>
          <w:lang w:val="en-US"/>
        </w:rPr>
        <w:t xml:space="preserve">Bond JJA and Williams J) unanimously </w:t>
      </w:r>
      <w:r>
        <w:rPr>
          <w:rFonts w:ascii="Arial" w:hAnsi="Arial" w:cs="Arial"/>
          <w:iCs/>
          <w:lang w:val="en-US"/>
        </w:rPr>
        <w:t xml:space="preserve">dismissed an appeal by the appellants.  Their Honours held that </w:t>
      </w:r>
      <w:r w:rsidRPr="003C3730">
        <w:rPr>
          <w:rFonts w:ascii="Arial" w:hAnsi="Arial" w:cs="Arial"/>
          <w:iCs/>
          <w:lang w:val="en-US"/>
        </w:rPr>
        <w:t>an assumption</w:t>
      </w:r>
      <w:r>
        <w:rPr>
          <w:rFonts w:ascii="Arial" w:hAnsi="Arial" w:cs="Arial"/>
          <w:iCs/>
          <w:lang w:val="en-US"/>
        </w:rPr>
        <w:t xml:space="preserve"> of responsibility could </w:t>
      </w:r>
      <w:r w:rsidRPr="003C3730">
        <w:rPr>
          <w:rFonts w:ascii="Arial" w:hAnsi="Arial" w:cs="Arial"/>
          <w:iCs/>
          <w:lang w:val="en-US"/>
        </w:rPr>
        <w:t xml:space="preserve">be negated by an express disclaimer. </w:t>
      </w:r>
      <w:r>
        <w:rPr>
          <w:rFonts w:ascii="Arial" w:hAnsi="Arial" w:cs="Arial"/>
          <w:iCs/>
          <w:lang w:val="en-US"/>
        </w:rPr>
        <w:t xml:space="preserve"> The Court of Appeal was </w:t>
      </w:r>
      <w:r w:rsidRPr="003C3730">
        <w:rPr>
          <w:rFonts w:ascii="Arial" w:hAnsi="Arial" w:cs="Arial"/>
          <w:iCs/>
          <w:lang w:val="en-US"/>
        </w:rPr>
        <w:t xml:space="preserve">satisfied that the terms and conditions on the packaging </w:t>
      </w:r>
      <w:r>
        <w:rPr>
          <w:rFonts w:ascii="Arial" w:hAnsi="Arial" w:cs="Arial"/>
          <w:iCs/>
          <w:lang w:val="en-US"/>
        </w:rPr>
        <w:t xml:space="preserve">constituted </w:t>
      </w:r>
      <w:r w:rsidRPr="003C3730">
        <w:rPr>
          <w:rFonts w:ascii="Arial" w:hAnsi="Arial" w:cs="Arial"/>
          <w:iCs/>
          <w:lang w:val="en-US"/>
        </w:rPr>
        <w:t xml:space="preserve">a clear and prominent disclaimer </w:t>
      </w:r>
      <w:r>
        <w:rPr>
          <w:rFonts w:ascii="Arial" w:hAnsi="Arial" w:cs="Arial"/>
          <w:iCs/>
          <w:lang w:val="en-US"/>
        </w:rPr>
        <w:t>of</w:t>
      </w:r>
      <w:r w:rsidRPr="003C3730">
        <w:rPr>
          <w:rFonts w:ascii="Arial" w:hAnsi="Arial" w:cs="Arial"/>
          <w:iCs/>
          <w:lang w:val="en-US"/>
        </w:rPr>
        <w:t xml:space="preserve"> the respondent’s liability. </w:t>
      </w:r>
      <w:r>
        <w:rPr>
          <w:rFonts w:ascii="Arial" w:hAnsi="Arial" w:cs="Arial"/>
          <w:iCs/>
          <w:lang w:val="en-US"/>
        </w:rPr>
        <w:t xml:space="preserve"> </w:t>
      </w:r>
      <w:r w:rsidRPr="003C3730">
        <w:rPr>
          <w:rFonts w:ascii="Arial" w:hAnsi="Arial" w:cs="Arial"/>
          <w:iCs/>
          <w:lang w:val="en-US"/>
        </w:rPr>
        <w:t xml:space="preserve">Their </w:t>
      </w:r>
      <w:r>
        <w:rPr>
          <w:rFonts w:ascii="Arial" w:hAnsi="Arial" w:cs="Arial"/>
          <w:iCs/>
          <w:lang w:val="en-US"/>
        </w:rPr>
        <w:t xml:space="preserve">Honours </w:t>
      </w:r>
      <w:r w:rsidRPr="003C3730">
        <w:rPr>
          <w:rFonts w:ascii="Arial" w:hAnsi="Arial" w:cs="Arial"/>
          <w:iCs/>
          <w:lang w:val="en-US"/>
        </w:rPr>
        <w:t xml:space="preserve">held that the </w:t>
      </w:r>
      <w:proofErr w:type="gramStart"/>
      <w:r w:rsidRPr="003C3730">
        <w:rPr>
          <w:rFonts w:ascii="Arial" w:hAnsi="Arial" w:cs="Arial"/>
          <w:iCs/>
          <w:lang w:val="en-US"/>
        </w:rPr>
        <w:t>particular disclaimer</w:t>
      </w:r>
      <w:proofErr w:type="gramEnd"/>
      <w:r w:rsidRPr="003C3730">
        <w:rPr>
          <w:rFonts w:ascii="Arial" w:hAnsi="Arial" w:cs="Arial"/>
          <w:iCs/>
          <w:lang w:val="en-US"/>
        </w:rPr>
        <w:t xml:space="preserve"> was </w:t>
      </w:r>
      <w:r>
        <w:rPr>
          <w:rFonts w:ascii="Arial" w:hAnsi="Arial" w:cs="Arial"/>
          <w:iCs/>
          <w:lang w:val="en-US"/>
        </w:rPr>
        <w:t>an essential</w:t>
      </w:r>
      <w:r w:rsidRPr="003C3730">
        <w:rPr>
          <w:rFonts w:ascii="Arial" w:hAnsi="Arial" w:cs="Arial"/>
          <w:iCs/>
          <w:lang w:val="en-US"/>
        </w:rPr>
        <w:t xml:space="preserve"> characteristic of the product, affecting the end users’ choice to purchase that product over another product.</w:t>
      </w:r>
    </w:p>
    <w:p w14:paraId="4455AADB" w14:textId="77777777" w:rsidR="009C5ABD" w:rsidRDefault="009C5ABD" w:rsidP="008F4477">
      <w:pPr>
        <w:pStyle w:val="NormalWeb"/>
        <w:shd w:val="clear" w:color="auto" w:fill="FFFFFF"/>
        <w:spacing w:before="0" w:beforeAutospacing="0" w:after="0" w:afterAutospacing="0"/>
        <w:jc w:val="both"/>
        <w:rPr>
          <w:rFonts w:ascii="Arial" w:hAnsi="Arial" w:cs="Arial"/>
          <w:iCs/>
        </w:rPr>
      </w:pPr>
    </w:p>
    <w:p w14:paraId="7E18F0E1" w14:textId="77777777" w:rsidR="009C5ABD" w:rsidRDefault="009C5ABD" w:rsidP="008F4477">
      <w:pPr>
        <w:pStyle w:val="NormalWeb"/>
        <w:shd w:val="clear" w:color="auto" w:fill="FFFFFF"/>
        <w:spacing w:before="0" w:beforeAutospacing="0" w:after="0" w:afterAutospacing="0"/>
        <w:jc w:val="both"/>
        <w:rPr>
          <w:rFonts w:ascii="Arial" w:hAnsi="Arial" w:cs="Arial"/>
          <w:iCs/>
        </w:rPr>
      </w:pPr>
    </w:p>
    <w:p w14:paraId="62EFF320" w14:textId="77777777" w:rsidR="009C5ABD" w:rsidRDefault="009C5ABD" w:rsidP="008F4477">
      <w:pPr>
        <w:pStyle w:val="NormalWeb"/>
        <w:shd w:val="clear" w:color="auto" w:fill="FFFFFF"/>
        <w:spacing w:before="0" w:beforeAutospacing="0" w:after="0" w:afterAutospacing="0"/>
        <w:jc w:val="both"/>
        <w:rPr>
          <w:rFonts w:ascii="Arial" w:hAnsi="Arial" w:cs="Arial"/>
          <w:iCs/>
        </w:rPr>
      </w:pPr>
    </w:p>
    <w:p w14:paraId="35644E45" w14:textId="77777777" w:rsidR="009C5ABD" w:rsidRDefault="009C5ABD" w:rsidP="008F4477">
      <w:pPr>
        <w:pStyle w:val="NormalWeb"/>
        <w:shd w:val="clear" w:color="auto" w:fill="FFFFFF"/>
        <w:spacing w:before="0" w:beforeAutospacing="0" w:after="0" w:afterAutospacing="0"/>
        <w:jc w:val="both"/>
        <w:rPr>
          <w:rFonts w:ascii="Arial" w:hAnsi="Arial" w:cs="Arial"/>
          <w:iCs/>
        </w:rPr>
      </w:pPr>
    </w:p>
    <w:p w14:paraId="4205B3B6" w14:textId="2A4F0AF6" w:rsidR="00EE29C5" w:rsidRDefault="00EE29C5" w:rsidP="008F4477">
      <w:pPr>
        <w:pStyle w:val="NormalWeb"/>
        <w:shd w:val="clear" w:color="auto" w:fill="FFFFFF"/>
        <w:spacing w:before="0" w:beforeAutospacing="0" w:after="0" w:afterAutospacing="0"/>
        <w:jc w:val="both"/>
        <w:rPr>
          <w:rFonts w:ascii="Arial" w:hAnsi="Arial" w:cs="Arial"/>
          <w:iCs/>
        </w:rPr>
      </w:pPr>
      <w:r>
        <w:rPr>
          <w:rFonts w:ascii="Arial" w:hAnsi="Arial" w:cs="Arial"/>
          <w:iCs/>
        </w:rPr>
        <w:t>The grounds of appeal are:</w:t>
      </w:r>
    </w:p>
    <w:p w14:paraId="7161E9B2" w14:textId="77777777" w:rsidR="00B27C18" w:rsidRPr="002F23A4" w:rsidRDefault="00B27C18" w:rsidP="008F4477">
      <w:pPr>
        <w:pStyle w:val="NormalWeb"/>
        <w:shd w:val="clear" w:color="auto" w:fill="FFFFFF"/>
        <w:spacing w:before="0" w:beforeAutospacing="0" w:after="0" w:afterAutospacing="0"/>
        <w:jc w:val="both"/>
        <w:rPr>
          <w:rFonts w:ascii="Arial" w:hAnsi="Arial" w:cs="Arial"/>
          <w:iCs/>
          <w:lang w:val="en-US"/>
        </w:rPr>
      </w:pPr>
    </w:p>
    <w:p w14:paraId="6FCC260E" w14:textId="77777777" w:rsidR="00EE29C5" w:rsidRDefault="00EE29C5" w:rsidP="00EE29C5">
      <w:pPr>
        <w:pStyle w:val="ListParagraph"/>
        <w:numPr>
          <w:ilvl w:val="0"/>
          <w:numId w:val="11"/>
        </w:numPr>
        <w:ind w:left="426" w:hanging="426"/>
        <w:contextualSpacing w:val="0"/>
        <w:jc w:val="both"/>
        <w:rPr>
          <w:rFonts w:cs="Arial"/>
          <w:iCs/>
          <w:szCs w:val="24"/>
        </w:rPr>
      </w:pPr>
      <w:r>
        <w:rPr>
          <w:rFonts w:cs="Arial"/>
          <w:iCs/>
          <w:szCs w:val="24"/>
        </w:rPr>
        <w:t>The Court of Appeal erred in failing to find that the respondent manufacturer owed a duty of care to the appellant farmers as end users of its MR43 seed product, sold to them through distributors, to take reasonable care to avoid the risk that such end users who used the product as intended on their land for sorghum farming would sustain economic losses by reason of hidden defects in those goods.</w:t>
      </w:r>
    </w:p>
    <w:p w14:paraId="05DCD83B" w14:textId="77777777" w:rsidR="00EE29C5" w:rsidRDefault="00EE29C5" w:rsidP="00EE29C5">
      <w:pPr>
        <w:pStyle w:val="ListParagraph"/>
        <w:ind w:left="426" w:hanging="426"/>
        <w:rPr>
          <w:rFonts w:cs="Arial"/>
          <w:iCs/>
          <w:szCs w:val="24"/>
        </w:rPr>
      </w:pPr>
    </w:p>
    <w:p w14:paraId="04600DB4" w14:textId="77777777" w:rsidR="00EE29C5" w:rsidRPr="006C64FF" w:rsidRDefault="00EE29C5" w:rsidP="00EE29C5">
      <w:pPr>
        <w:pStyle w:val="ListParagraph"/>
        <w:numPr>
          <w:ilvl w:val="0"/>
          <w:numId w:val="11"/>
        </w:numPr>
        <w:ind w:left="426" w:hanging="426"/>
        <w:contextualSpacing w:val="0"/>
        <w:jc w:val="both"/>
        <w:rPr>
          <w:rFonts w:cs="Arial"/>
          <w:iCs/>
          <w:szCs w:val="24"/>
        </w:rPr>
      </w:pPr>
      <w:r w:rsidRPr="006C64FF">
        <w:rPr>
          <w:rFonts w:cs="Arial"/>
          <w:iCs/>
          <w:szCs w:val="24"/>
        </w:rPr>
        <w:t>The Court of Appeal erred, when approaching the question of whether the respondent owed such a duty of care as manufacturer to the appellant farmers, in finding that the presence of a disclaimer of liability on the product packaging for the MR43 seed product negated any assumption of responsibility by the respondent so as to preclude the duty of care on the part of the manufacturer arising (thereby overwhelming consideration of all other salient features).</w:t>
      </w:r>
    </w:p>
    <w:p w14:paraId="73FA63B1" w14:textId="77777777" w:rsidR="00EE29C5" w:rsidRDefault="00EE29C5" w:rsidP="00EE29C5">
      <w:pPr>
        <w:rPr>
          <w:rFonts w:cs="Arial"/>
          <w:iCs/>
          <w:szCs w:val="24"/>
        </w:rPr>
      </w:pPr>
    </w:p>
    <w:p w14:paraId="67CF6B12" w14:textId="77777777" w:rsidR="00EE29C5" w:rsidRDefault="00EE29C5" w:rsidP="00EE29C5">
      <w:pPr>
        <w:rPr>
          <w:rFonts w:cs="Arial"/>
          <w:iCs/>
          <w:szCs w:val="24"/>
        </w:rPr>
      </w:pPr>
      <w:r>
        <w:rPr>
          <w:rFonts w:cs="Arial"/>
          <w:iCs/>
          <w:szCs w:val="24"/>
        </w:rPr>
        <w:t>By notice of contention, the respondent seeks to raise grounds that include:</w:t>
      </w:r>
    </w:p>
    <w:p w14:paraId="1B4B6F6D" w14:textId="77777777" w:rsidR="00EE29C5" w:rsidRDefault="00EE29C5" w:rsidP="00EE29C5">
      <w:pPr>
        <w:rPr>
          <w:rFonts w:cs="Arial"/>
          <w:iCs/>
          <w:szCs w:val="24"/>
        </w:rPr>
      </w:pPr>
    </w:p>
    <w:p w14:paraId="37FE72ED" w14:textId="77777777" w:rsidR="00EE29C5" w:rsidRDefault="00EE29C5" w:rsidP="00EE29C5">
      <w:pPr>
        <w:pStyle w:val="ListParagraph"/>
        <w:numPr>
          <w:ilvl w:val="0"/>
          <w:numId w:val="11"/>
        </w:numPr>
        <w:ind w:left="426" w:hanging="426"/>
        <w:contextualSpacing w:val="0"/>
        <w:jc w:val="both"/>
        <w:rPr>
          <w:rFonts w:cs="Arial"/>
          <w:iCs/>
          <w:szCs w:val="24"/>
        </w:rPr>
      </w:pPr>
      <w:r>
        <w:rPr>
          <w:rFonts w:cs="Arial"/>
          <w:iCs/>
          <w:szCs w:val="24"/>
        </w:rPr>
        <w:t xml:space="preserve">The Court of Appeal should have found that the appellants’ claims were statute barred pursuant to section 82(2) of the </w:t>
      </w:r>
      <w:r w:rsidRPr="00C01FAF">
        <w:rPr>
          <w:rFonts w:cs="Arial"/>
          <w:i/>
          <w:szCs w:val="24"/>
        </w:rPr>
        <w:t>Trade Practices Act 1974</w:t>
      </w:r>
      <w:r>
        <w:rPr>
          <w:rFonts w:cs="Arial"/>
          <w:iCs/>
          <w:szCs w:val="24"/>
        </w:rPr>
        <w:t xml:space="preserve"> (Cth), s 236(2) of the </w:t>
      </w:r>
      <w:r w:rsidRPr="00BF2F8F">
        <w:rPr>
          <w:rFonts w:cs="Arial"/>
          <w:i/>
          <w:szCs w:val="24"/>
        </w:rPr>
        <w:t>Australian Consumer Law</w:t>
      </w:r>
      <w:r>
        <w:rPr>
          <w:rFonts w:cs="Arial"/>
          <w:iCs/>
          <w:szCs w:val="24"/>
        </w:rPr>
        <w:t xml:space="preserve">, s 10(1) of the </w:t>
      </w:r>
      <w:r w:rsidRPr="00BF2F8F">
        <w:rPr>
          <w:rFonts w:cs="Arial"/>
          <w:i/>
          <w:szCs w:val="24"/>
        </w:rPr>
        <w:t>Limitation of Actions Act 1974</w:t>
      </w:r>
      <w:r>
        <w:rPr>
          <w:rFonts w:cs="Arial"/>
          <w:iCs/>
          <w:szCs w:val="24"/>
        </w:rPr>
        <w:t xml:space="preserve"> (Qld) and s 14(1) of the </w:t>
      </w:r>
      <w:r w:rsidRPr="00BF2F8F">
        <w:rPr>
          <w:rFonts w:cs="Arial"/>
          <w:i/>
          <w:szCs w:val="24"/>
        </w:rPr>
        <w:t>Limitation Act 1969</w:t>
      </w:r>
      <w:r>
        <w:rPr>
          <w:rFonts w:cs="Arial"/>
          <w:iCs/>
          <w:szCs w:val="24"/>
        </w:rPr>
        <w:t xml:space="preserve"> (NSW). </w:t>
      </w:r>
    </w:p>
    <w:p w14:paraId="0A492C43" w14:textId="77777777" w:rsidR="00E16BC2" w:rsidRDefault="00E16BC2" w:rsidP="00E16BC2">
      <w:pPr>
        <w:jc w:val="both"/>
        <w:rPr>
          <w:rFonts w:cs="Arial"/>
          <w:iCs/>
          <w:szCs w:val="24"/>
        </w:rPr>
      </w:pPr>
    </w:p>
    <w:p w14:paraId="41B4441F" w14:textId="3BA63187" w:rsidR="00E16BC2" w:rsidRDefault="00E16BC2">
      <w:pPr>
        <w:rPr>
          <w:rFonts w:cs="Arial"/>
          <w:iCs/>
          <w:szCs w:val="24"/>
        </w:rPr>
      </w:pPr>
      <w:r>
        <w:rPr>
          <w:rFonts w:cs="Arial"/>
          <w:iCs/>
          <w:szCs w:val="24"/>
        </w:rPr>
        <w:br w:type="page"/>
      </w:r>
    </w:p>
    <w:p w14:paraId="44A13409" w14:textId="77777777" w:rsidR="00A1090B" w:rsidRPr="007008F4" w:rsidRDefault="00A1090B" w:rsidP="00A1090B">
      <w:pPr>
        <w:pStyle w:val="Heading1"/>
        <w:shd w:val="clear" w:color="auto" w:fill="FFFFFF"/>
        <w:spacing w:line="360" w:lineRule="atLeast"/>
        <w:ind w:right="425"/>
        <w:rPr>
          <w:rFonts w:cs="Arial"/>
          <w:b/>
          <w:color w:val="000000"/>
          <w:sz w:val="28"/>
          <w:szCs w:val="28"/>
        </w:rPr>
      </w:pPr>
      <w:r w:rsidRPr="00922F9C">
        <w:rPr>
          <w:rFonts w:cs="Arial"/>
          <w:b/>
          <w:color w:val="000000"/>
          <w:sz w:val="28"/>
          <w:szCs w:val="28"/>
        </w:rPr>
        <w:lastRenderedPageBreak/>
        <w:t xml:space="preserve">GREYLAG GOOSE LEASING 1410 DESIGNATED ACTIVITY COMPANY &amp; ANOR </w:t>
      </w:r>
      <w:r>
        <w:rPr>
          <w:rFonts w:cs="Arial"/>
          <w:b/>
          <w:color w:val="000000"/>
          <w:sz w:val="28"/>
          <w:szCs w:val="28"/>
        </w:rPr>
        <w:t>v</w:t>
      </w:r>
      <w:r w:rsidRPr="00922F9C">
        <w:rPr>
          <w:rFonts w:cs="Arial"/>
          <w:b/>
          <w:color w:val="000000"/>
          <w:sz w:val="28"/>
          <w:szCs w:val="28"/>
        </w:rPr>
        <w:t xml:space="preserve"> P.T. GARUDA INDONESIA LTD</w:t>
      </w:r>
      <w:r>
        <w:rPr>
          <w:rFonts w:cs="Arial"/>
          <w:b/>
          <w:color w:val="000000"/>
          <w:sz w:val="28"/>
          <w:szCs w:val="28"/>
          <w:u w:val="none"/>
        </w:rPr>
        <w:t xml:space="preserve"> </w:t>
      </w:r>
      <w:r w:rsidRPr="0002731A">
        <w:rPr>
          <w:rFonts w:cs="Arial"/>
          <w:b/>
          <w:color w:val="000000"/>
          <w:sz w:val="28"/>
          <w:szCs w:val="28"/>
          <w:u w:val="none"/>
        </w:rPr>
        <w:t>(S</w:t>
      </w:r>
      <w:r>
        <w:rPr>
          <w:rFonts w:cs="Arial"/>
          <w:b/>
          <w:color w:val="000000"/>
          <w:sz w:val="28"/>
          <w:szCs w:val="28"/>
          <w:u w:val="none"/>
        </w:rPr>
        <w:t>135/</w:t>
      </w:r>
      <w:r w:rsidRPr="0002731A">
        <w:rPr>
          <w:rFonts w:cs="Arial"/>
          <w:b/>
          <w:color w:val="000000"/>
          <w:sz w:val="28"/>
          <w:szCs w:val="28"/>
          <w:u w:val="none"/>
        </w:rPr>
        <w:t>202</w:t>
      </w:r>
      <w:r>
        <w:rPr>
          <w:rFonts w:cs="Arial"/>
          <w:b/>
          <w:color w:val="000000"/>
          <w:sz w:val="28"/>
          <w:szCs w:val="28"/>
          <w:u w:val="none"/>
        </w:rPr>
        <w:t>3</w:t>
      </w:r>
      <w:r w:rsidRPr="0002731A">
        <w:rPr>
          <w:rFonts w:cs="Arial"/>
          <w:b/>
          <w:color w:val="000000"/>
          <w:sz w:val="28"/>
          <w:szCs w:val="28"/>
          <w:u w:val="none"/>
        </w:rPr>
        <w:t>)</w:t>
      </w:r>
    </w:p>
    <w:p w14:paraId="775624F8" w14:textId="77777777" w:rsidR="00A1090B" w:rsidRPr="00E651B8" w:rsidRDefault="00A1090B" w:rsidP="00A1090B">
      <w:pPr>
        <w:ind w:left="2694" w:hanging="2694"/>
        <w:rPr>
          <w:rFonts w:cs="Arial"/>
          <w:szCs w:val="24"/>
        </w:rPr>
      </w:pPr>
    </w:p>
    <w:p w14:paraId="3ED526EB" w14:textId="77777777" w:rsidR="00A1090B" w:rsidRDefault="00A1090B" w:rsidP="00A1090B">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 xml:space="preserve">Court of Appeal of the Supreme Court of </w:t>
      </w:r>
      <w:r>
        <w:rPr>
          <w:rFonts w:cs="Arial"/>
          <w:szCs w:val="24"/>
        </w:rPr>
        <w:br/>
        <w:t>New South Wales</w:t>
      </w:r>
    </w:p>
    <w:p w14:paraId="1242E3B5" w14:textId="77777777" w:rsidR="00A1090B" w:rsidRPr="00F14559" w:rsidRDefault="00A1090B" w:rsidP="00A1090B">
      <w:pPr>
        <w:ind w:left="2552"/>
        <w:rPr>
          <w:rFonts w:cs="Arial"/>
          <w:szCs w:val="24"/>
        </w:rPr>
      </w:pPr>
      <w:r w:rsidRPr="00236C70">
        <w:rPr>
          <w:rFonts w:cs="Arial"/>
          <w:szCs w:val="24"/>
        </w:rPr>
        <w:t>[20</w:t>
      </w:r>
      <w:r>
        <w:rPr>
          <w:rFonts w:cs="Arial"/>
          <w:szCs w:val="24"/>
        </w:rPr>
        <w:t>23</w:t>
      </w:r>
      <w:r w:rsidRPr="00236C70">
        <w:rPr>
          <w:rFonts w:cs="Arial"/>
          <w:szCs w:val="24"/>
        </w:rPr>
        <w:t xml:space="preserve">] </w:t>
      </w:r>
      <w:r>
        <w:rPr>
          <w:rFonts w:cs="Arial"/>
          <w:szCs w:val="24"/>
        </w:rPr>
        <w:t>NSWCA 134</w:t>
      </w:r>
    </w:p>
    <w:p w14:paraId="2B266488" w14:textId="77777777" w:rsidR="00A1090B" w:rsidRPr="008A0364" w:rsidRDefault="00A1090B" w:rsidP="00A1090B">
      <w:pPr>
        <w:ind w:left="2694" w:hanging="2694"/>
        <w:rPr>
          <w:rFonts w:cs="Arial"/>
          <w:szCs w:val="24"/>
        </w:rPr>
      </w:pPr>
    </w:p>
    <w:p w14:paraId="7AEB7DB5" w14:textId="77777777" w:rsidR="00A1090B" w:rsidRDefault="00A1090B" w:rsidP="00A1090B">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14 June 2023</w:t>
      </w:r>
    </w:p>
    <w:p w14:paraId="374293D2" w14:textId="77777777" w:rsidR="00A1090B" w:rsidRDefault="00A1090B" w:rsidP="00A1090B">
      <w:pPr>
        <w:ind w:left="2552" w:hanging="2552"/>
        <w:rPr>
          <w:rFonts w:cs="Arial"/>
          <w:szCs w:val="24"/>
        </w:rPr>
      </w:pPr>
    </w:p>
    <w:p w14:paraId="102DBDED" w14:textId="77777777" w:rsidR="00A1090B" w:rsidRDefault="00A1090B" w:rsidP="00A1090B">
      <w:pPr>
        <w:tabs>
          <w:tab w:val="left" w:pos="4536"/>
        </w:tabs>
        <w:ind w:left="2552" w:hanging="2552"/>
        <w:rPr>
          <w:rFonts w:cs="Arial"/>
          <w:szCs w:val="24"/>
        </w:rPr>
      </w:pPr>
      <w:r w:rsidRPr="00F33B75">
        <w:rPr>
          <w:rFonts w:cs="Arial"/>
          <w:szCs w:val="24"/>
          <w:u w:val="single"/>
        </w:rPr>
        <w:t>Special leave granted</w:t>
      </w:r>
      <w:r w:rsidRPr="00F33B75">
        <w:rPr>
          <w:rFonts w:cs="Arial"/>
          <w:szCs w:val="24"/>
        </w:rPr>
        <w:t>:</w:t>
      </w:r>
      <w:r>
        <w:rPr>
          <w:rFonts w:cs="Arial"/>
          <w:szCs w:val="24"/>
        </w:rPr>
        <w:tab/>
        <w:t>19 October 2023</w:t>
      </w:r>
    </w:p>
    <w:p w14:paraId="45DBF062" w14:textId="77777777" w:rsidR="00A1090B" w:rsidRDefault="00A1090B" w:rsidP="00A1090B">
      <w:pPr>
        <w:rPr>
          <w:rFonts w:cs="Arial"/>
          <w:szCs w:val="24"/>
        </w:rPr>
      </w:pPr>
    </w:p>
    <w:p w14:paraId="21A1BDCA" w14:textId="6DCC3F69" w:rsidR="00A1090B" w:rsidRPr="009118C0" w:rsidRDefault="00A1090B" w:rsidP="00A1090B">
      <w:pPr>
        <w:jc w:val="both"/>
        <w:rPr>
          <w:szCs w:val="24"/>
        </w:rPr>
      </w:pPr>
      <w:r>
        <w:rPr>
          <w:szCs w:val="24"/>
        </w:rPr>
        <w:t>The appellants (together, “</w:t>
      </w:r>
      <w:proofErr w:type="spellStart"/>
      <w:r>
        <w:rPr>
          <w:szCs w:val="24"/>
        </w:rPr>
        <w:t>Greylag</w:t>
      </w:r>
      <w:proofErr w:type="spellEnd"/>
      <w:r>
        <w:rPr>
          <w:szCs w:val="24"/>
        </w:rPr>
        <w:t xml:space="preserve"> Goose”) lease aircraft to the respondent (“Garuda”), a company incorporated in Indonesia that operates that country’s national airline.  Garuda is registered in Australia as a foreign company </w:t>
      </w:r>
      <w:r w:rsidRPr="009118C0">
        <w:rPr>
          <w:szCs w:val="24"/>
        </w:rPr>
        <w:t xml:space="preserve">under </w:t>
      </w:r>
      <w:r w:rsidR="003240D8">
        <w:rPr>
          <w:szCs w:val="24"/>
        </w:rPr>
        <w:br/>
      </w:r>
      <w:r w:rsidRPr="009118C0">
        <w:rPr>
          <w:szCs w:val="24"/>
        </w:rPr>
        <w:t>P</w:t>
      </w:r>
      <w:r>
        <w:rPr>
          <w:szCs w:val="24"/>
        </w:rPr>
        <w:t>ar</w:t>
      </w:r>
      <w:r w:rsidRPr="009118C0">
        <w:rPr>
          <w:szCs w:val="24"/>
        </w:rPr>
        <w:t xml:space="preserve">t 5B.2 of the </w:t>
      </w:r>
      <w:r w:rsidRPr="009118C0">
        <w:rPr>
          <w:i/>
          <w:iCs/>
          <w:szCs w:val="24"/>
        </w:rPr>
        <w:t>Corporations Act 2001</w:t>
      </w:r>
      <w:r w:rsidRPr="009118C0">
        <w:rPr>
          <w:szCs w:val="24"/>
        </w:rPr>
        <w:t xml:space="preserve"> (Cth) (“the Corporations Act”).</w:t>
      </w:r>
    </w:p>
    <w:p w14:paraId="54FAAE39" w14:textId="77777777" w:rsidR="00A1090B" w:rsidRPr="009118C0" w:rsidRDefault="00A1090B" w:rsidP="00A1090B">
      <w:pPr>
        <w:jc w:val="both"/>
        <w:rPr>
          <w:szCs w:val="24"/>
        </w:rPr>
      </w:pPr>
    </w:p>
    <w:p w14:paraId="2FFA9142" w14:textId="4FA980B3" w:rsidR="00A1090B" w:rsidRDefault="00A1090B" w:rsidP="007B642B">
      <w:pPr>
        <w:jc w:val="both"/>
        <w:rPr>
          <w:szCs w:val="24"/>
        </w:rPr>
      </w:pPr>
      <w:r>
        <w:rPr>
          <w:szCs w:val="24"/>
        </w:rPr>
        <w:t xml:space="preserve">In August 2022, </w:t>
      </w:r>
      <w:proofErr w:type="spellStart"/>
      <w:r>
        <w:rPr>
          <w:szCs w:val="24"/>
        </w:rPr>
        <w:t>Greylag</w:t>
      </w:r>
      <w:proofErr w:type="spellEnd"/>
      <w:r>
        <w:rPr>
          <w:szCs w:val="24"/>
        </w:rPr>
        <w:t xml:space="preserve"> Goose applied for an order that Garuda be wound up in insolvency under Pt 5.7 of the Corporations Act.  In response, Garuda claimed immunity from the jurisdiction of Australian courts, under the </w:t>
      </w:r>
      <w:r w:rsidRPr="00DD6C3B">
        <w:rPr>
          <w:i/>
          <w:iCs/>
          <w:szCs w:val="24"/>
        </w:rPr>
        <w:t>Foreign States Immunities Act 1985</w:t>
      </w:r>
      <w:r>
        <w:rPr>
          <w:szCs w:val="24"/>
        </w:rPr>
        <w:t xml:space="preserve"> (Cth) (“the FSIA”).  That was pursuant to section 9 of the FSIA, which gives general immunity to “a foreign State”, and s 22, which provides that the immunity applies also to “a separate entity of a foreign State”.  Garuda came within the definition, contained in s 3 of the FSIA, of such a separate entity.  </w:t>
      </w:r>
      <w:r w:rsidR="003240D8">
        <w:rPr>
          <w:szCs w:val="24"/>
        </w:rPr>
        <w:br/>
      </w:r>
      <w:proofErr w:type="spellStart"/>
      <w:r>
        <w:rPr>
          <w:szCs w:val="24"/>
        </w:rPr>
        <w:t>Greylag</w:t>
      </w:r>
      <w:proofErr w:type="spellEnd"/>
      <w:r>
        <w:rPr>
          <w:szCs w:val="24"/>
        </w:rPr>
        <w:t xml:space="preserve"> Goose then relied on s 14(3) of the FSIA, which provides as follows: </w:t>
      </w:r>
    </w:p>
    <w:p w14:paraId="0AF2F4A9" w14:textId="77777777" w:rsidR="007B642B" w:rsidRDefault="007B642B" w:rsidP="007B642B">
      <w:pPr>
        <w:jc w:val="both"/>
        <w:rPr>
          <w:szCs w:val="24"/>
        </w:rPr>
      </w:pPr>
    </w:p>
    <w:p w14:paraId="3AA34E91" w14:textId="77777777" w:rsidR="00A1090B" w:rsidRDefault="00A1090B" w:rsidP="007B642B">
      <w:pPr>
        <w:ind w:left="709" w:hanging="425"/>
        <w:jc w:val="both"/>
        <w:rPr>
          <w:szCs w:val="24"/>
        </w:rPr>
      </w:pPr>
      <w:r w:rsidRPr="00966741">
        <w:rPr>
          <w:szCs w:val="24"/>
        </w:rPr>
        <w:t xml:space="preserve">(3) </w:t>
      </w:r>
      <w:r>
        <w:rPr>
          <w:szCs w:val="24"/>
        </w:rPr>
        <w:t xml:space="preserve"> </w:t>
      </w:r>
      <w:r w:rsidRPr="00966741">
        <w:rPr>
          <w:szCs w:val="24"/>
        </w:rPr>
        <w:t>A foreign State is not immune in a proceeding in so far as the proceeding concerns:</w:t>
      </w:r>
    </w:p>
    <w:p w14:paraId="10F5DAB2" w14:textId="77777777" w:rsidR="007B642B" w:rsidRPr="00966741" w:rsidRDefault="007B642B" w:rsidP="007B642B">
      <w:pPr>
        <w:ind w:left="709" w:hanging="425"/>
        <w:jc w:val="both"/>
        <w:rPr>
          <w:szCs w:val="24"/>
        </w:rPr>
      </w:pPr>
    </w:p>
    <w:p w14:paraId="2609F65B" w14:textId="3C8892CF" w:rsidR="00A1090B" w:rsidRPr="007B642B" w:rsidRDefault="00A1090B" w:rsidP="007B642B">
      <w:pPr>
        <w:pStyle w:val="ListParagraph"/>
        <w:numPr>
          <w:ilvl w:val="0"/>
          <w:numId w:val="12"/>
        </w:numPr>
        <w:jc w:val="both"/>
        <w:rPr>
          <w:szCs w:val="24"/>
        </w:rPr>
      </w:pPr>
      <w:r w:rsidRPr="007B642B">
        <w:rPr>
          <w:szCs w:val="24"/>
        </w:rPr>
        <w:t xml:space="preserve">bankruptcy, insolvency or the winding up of a body corporate; or </w:t>
      </w:r>
    </w:p>
    <w:p w14:paraId="6EFEB592" w14:textId="77777777" w:rsidR="007B642B" w:rsidRPr="007B642B" w:rsidRDefault="007B642B" w:rsidP="007B642B">
      <w:pPr>
        <w:pStyle w:val="ListParagraph"/>
        <w:ind w:left="1129"/>
        <w:jc w:val="both"/>
        <w:rPr>
          <w:szCs w:val="24"/>
        </w:rPr>
      </w:pPr>
    </w:p>
    <w:p w14:paraId="673CC730" w14:textId="77777777" w:rsidR="00A1090B" w:rsidRPr="00257094" w:rsidRDefault="00A1090B" w:rsidP="007B642B">
      <w:pPr>
        <w:ind w:left="709"/>
        <w:jc w:val="both"/>
        <w:rPr>
          <w:szCs w:val="24"/>
        </w:rPr>
      </w:pPr>
      <w:r w:rsidRPr="00257094">
        <w:rPr>
          <w:szCs w:val="24"/>
        </w:rPr>
        <w:t xml:space="preserve">(b)  ... </w:t>
      </w:r>
    </w:p>
    <w:p w14:paraId="21B27D3E" w14:textId="77777777" w:rsidR="00A1090B" w:rsidRDefault="00A1090B" w:rsidP="00A1090B">
      <w:pPr>
        <w:jc w:val="both"/>
        <w:rPr>
          <w:szCs w:val="24"/>
        </w:rPr>
      </w:pPr>
    </w:p>
    <w:p w14:paraId="577B7037" w14:textId="77777777" w:rsidR="00A1090B" w:rsidRDefault="00A1090B" w:rsidP="007B642B">
      <w:pPr>
        <w:jc w:val="both"/>
        <w:rPr>
          <w:szCs w:val="24"/>
        </w:rPr>
      </w:pPr>
      <w:r>
        <w:rPr>
          <w:szCs w:val="24"/>
        </w:rPr>
        <w:t xml:space="preserve">The primary judge, </w:t>
      </w:r>
      <w:proofErr w:type="spellStart"/>
      <w:r>
        <w:rPr>
          <w:szCs w:val="24"/>
        </w:rPr>
        <w:t>Hammerschlag</w:t>
      </w:r>
      <w:proofErr w:type="spellEnd"/>
      <w:r>
        <w:rPr>
          <w:szCs w:val="24"/>
        </w:rPr>
        <w:t xml:space="preserve"> CJ in Eq, upheld Garuda’s claim of immunity and set aside the originating process filed by </w:t>
      </w:r>
      <w:proofErr w:type="spellStart"/>
      <w:r>
        <w:rPr>
          <w:szCs w:val="24"/>
        </w:rPr>
        <w:t>Greylag</w:t>
      </w:r>
      <w:proofErr w:type="spellEnd"/>
      <w:r>
        <w:rPr>
          <w:szCs w:val="24"/>
        </w:rPr>
        <w:t xml:space="preserve"> Goose.  His Honour considered that the legislature would not have intended that s 14(3)(a) apply to a legal person (the State or its separate entity) the object of the immunity where that person was the subject of the proceeding.  If otherwise, s 14(3)(a) referred to the same person in two different ways, and its application would have the undesirable consequence that the immunity would not apply to the head of a foreign State the subject of bankruptcy proceedings.</w:t>
      </w:r>
    </w:p>
    <w:p w14:paraId="358CCCC4" w14:textId="77777777" w:rsidR="00A1090B" w:rsidRDefault="00A1090B" w:rsidP="00A1090B">
      <w:pPr>
        <w:jc w:val="both"/>
        <w:rPr>
          <w:szCs w:val="24"/>
        </w:rPr>
      </w:pPr>
    </w:p>
    <w:p w14:paraId="75984C6C" w14:textId="5D03683F" w:rsidR="00A1090B" w:rsidRDefault="00A1090B" w:rsidP="00A1090B">
      <w:pPr>
        <w:jc w:val="both"/>
        <w:rPr>
          <w:szCs w:val="24"/>
        </w:rPr>
      </w:pPr>
      <w:r>
        <w:rPr>
          <w:szCs w:val="24"/>
        </w:rPr>
        <w:t xml:space="preserve">An appeal by </w:t>
      </w:r>
      <w:proofErr w:type="spellStart"/>
      <w:r>
        <w:rPr>
          <w:szCs w:val="24"/>
        </w:rPr>
        <w:t>Greylag</w:t>
      </w:r>
      <w:proofErr w:type="spellEnd"/>
      <w:r>
        <w:rPr>
          <w:szCs w:val="24"/>
        </w:rPr>
        <w:t xml:space="preserve"> Goose was unanimously dismissed by the Court of Appeal (Bell CJ, Meagher and Kirk JJA).  The Court of Appeal held that the reference to a body corporate </w:t>
      </w:r>
      <w:proofErr w:type="spellStart"/>
      <w:r>
        <w:rPr>
          <w:szCs w:val="24"/>
        </w:rPr>
        <w:t>in s</w:t>
      </w:r>
      <w:proofErr w:type="spellEnd"/>
      <w:r>
        <w:rPr>
          <w:szCs w:val="24"/>
        </w:rPr>
        <w:t> 14(3)(a) should be interpreted to mean a body corporate in and of the Commonwealth.  This was after considering the historical context of s 14(3)(a) and of the FSIA more broadly.  Their Honours held that s 14(3)(a) related only to a bankruptcy, insolvency or winding up in which a foreign State claimed an interest in property with which a proceeding was concerned.  The provision did not render a foreign State or its separate entity susceptible to a winding up proceeding.</w:t>
      </w:r>
    </w:p>
    <w:p w14:paraId="60F24031" w14:textId="77777777" w:rsidR="00A1090B" w:rsidRDefault="00A1090B" w:rsidP="00A1090B">
      <w:pPr>
        <w:jc w:val="both"/>
        <w:rPr>
          <w:szCs w:val="24"/>
        </w:rPr>
      </w:pPr>
    </w:p>
    <w:p w14:paraId="5D393400" w14:textId="77777777" w:rsidR="008360F9" w:rsidRDefault="008360F9" w:rsidP="00A1090B">
      <w:pPr>
        <w:jc w:val="both"/>
        <w:rPr>
          <w:szCs w:val="24"/>
        </w:rPr>
      </w:pPr>
    </w:p>
    <w:p w14:paraId="1529FB6E" w14:textId="77777777" w:rsidR="008360F9" w:rsidRDefault="008360F9" w:rsidP="00A1090B">
      <w:pPr>
        <w:jc w:val="both"/>
        <w:rPr>
          <w:szCs w:val="24"/>
        </w:rPr>
      </w:pPr>
    </w:p>
    <w:p w14:paraId="6EB8C78A" w14:textId="768CDDE8" w:rsidR="00A1090B" w:rsidRDefault="00A1090B" w:rsidP="00A1090B">
      <w:pPr>
        <w:jc w:val="both"/>
        <w:rPr>
          <w:rFonts w:cs="Arial"/>
          <w:szCs w:val="24"/>
        </w:rPr>
      </w:pPr>
      <w:r w:rsidRPr="00AD7885">
        <w:rPr>
          <w:rFonts w:cs="Arial"/>
          <w:szCs w:val="24"/>
        </w:rPr>
        <w:lastRenderedPageBreak/>
        <w:t xml:space="preserve">The </w:t>
      </w:r>
      <w:r>
        <w:rPr>
          <w:rFonts w:cs="Arial"/>
          <w:szCs w:val="24"/>
        </w:rPr>
        <w:t xml:space="preserve">sole </w:t>
      </w:r>
      <w:r w:rsidRPr="00AD7885">
        <w:rPr>
          <w:rFonts w:cs="Arial"/>
          <w:szCs w:val="24"/>
        </w:rPr>
        <w:t xml:space="preserve">ground </w:t>
      </w:r>
      <w:r>
        <w:rPr>
          <w:rFonts w:cs="Arial"/>
          <w:szCs w:val="24"/>
        </w:rPr>
        <w:t xml:space="preserve">of </w:t>
      </w:r>
      <w:r w:rsidRPr="00AD7885">
        <w:rPr>
          <w:rFonts w:cs="Arial"/>
          <w:szCs w:val="24"/>
        </w:rPr>
        <w:t xml:space="preserve">appeal </w:t>
      </w:r>
      <w:r>
        <w:rPr>
          <w:rFonts w:cs="Arial"/>
          <w:szCs w:val="24"/>
        </w:rPr>
        <w:t>is:</w:t>
      </w:r>
    </w:p>
    <w:p w14:paraId="41CBE029" w14:textId="77777777" w:rsidR="00A1090B" w:rsidRPr="001D5FE3" w:rsidRDefault="00A1090B" w:rsidP="00A1090B">
      <w:pPr>
        <w:jc w:val="both"/>
        <w:rPr>
          <w:szCs w:val="24"/>
        </w:rPr>
      </w:pPr>
    </w:p>
    <w:p w14:paraId="45635571" w14:textId="77777777" w:rsidR="00A1090B" w:rsidRDefault="00A1090B" w:rsidP="00A1090B">
      <w:pPr>
        <w:numPr>
          <w:ilvl w:val="0"/>
          <w:numId w:val="10"/>
        </w:numPr>
        <w:autoSpaceDE w:val="0"/>
        <w:autoSpaceDN w:val="0"/>
        <w:adjustRightInd w:val="0"/>
        <w:spacing w:after="180"/>
        <w:ind w:left="425" w:hanging="425"/>
        <w:jc w:val="both"/>
        <w:rPr>
          <w:szCs w:val="24"/>
        </w:rPr>
      </w:pPr>
      <w:r>
        <w:rPr>
          <w:szCs w:val="24"/>
        </w:rPr>
        <w:t>The Court of Appeal erred in construing s 14(3)(a) of the FSIA as not applying to proceedings in so far as they concern the winding up, including in insolvency, of a body corporate that is a separate entity of a foreign State.</w:t>
      </w:r>
    </w:p>
    <w:p w14:paraId="371E8F5A" w14:textId="2A6E3861" w:rsidR="0034798B" w:rsidRDefault="0034798B">
      <w:pPr>
        <w:rPr>
          <w:szCs w:val="24"/>
        </w:rPr>
      </w:pPr>
      <w:r>
        <w:rPr>
          <w:szCs w:val="24"/>
        </w:rPr>
        <w:br w:type="page"/>
      </w:r>
    </w:p>
    <w:p w14:paraId="2C379580" w14:textId="77777777" w:rsidR="008751EB" w:rsidRPr="009C3E06" w:rsidRDefault="008751EB" w:rsidP="008751EB">
      <w:pPr>
        <w:rPr>
          <w:rFonts w:cs="Arial"/>
          <w:b/>
          <w:bCs/>
          <w:sz w:val="28"/>
          <w:szCs w:val="28"/>
          <w:u w:val="single"/>
        </w:rPr>
      </w:pPr>
      <w:r>
        <w:rPr>
          <w:rFonts w:cs="Arial"/>
          <w:b/>
          <w:bCs/>
          <w:sz w:val="28"/>
          <w:szCs w:val="28"/>
          <w:u w:val="single"/>
        </w:rPr>
        <w:lastRenderedPageBreak/>
        <w:t xml:space="preserve">THE </w:t>
      </w:r>
      <w:r w:rsidRPr="009C3E06">
        <w:rPr>
          <w:rFonts w:cs="Arial"/>
          <w:b/>
          <w:bCs/>
          <w:sz w:val="28"/>
          <w:szCs w:val="28"/>
          <w:u w:val="single"/>
        </w:rPr>
        <w:t xml:space="preserve">DIRECTOR OF PUBLIC PROSECUTIONS v </w:t>
      </w:r>
      <w:r>
        <w:rPr>
          <w:rFonts w:cs="Arial"/>
          <w:b/>
          <w:bCs/>
          <w:sz w:val="28"/>
          <w:szCs w:val="28"/>
          <w:u w:val="single"/>
        </w:rPr>
        <w:br/>
      </w:r>
      <w:r w:rsidRPr="009C3E06">
        <w:rPr>
          <w:rFonts w:cs="Arial"/>
          <w:b/>
          <w:bCs/>
          <w:sz w:val="28"/>
          <w:szCs w:val="28"/>
          <w:u w:val="single"/>
        </w:rPr>
        <w:t>BENJAMIN RODER (A PSEUDONYM)</w:t>
      </w:r>
      <w:r w:rsidRPr="009C3E06">
        <w:rPr>
          <w:rFonts w:cs="Arial"/>
          <w:b/>
          <w:bCs/>
          <w:sz w:val="28"/>
          <w:szCs w:val="28"/>
        </w:rPr>
        <w:t xml:space="preserve"> (M85/2023)</w:t>
      </w:r>
      <w:r w:rsidRPr="009C3E06">
        <w:rPr>
          <w:rFonts w:cs="Arial"/>
          <w:b/>
          <w:bCs/>
          <w:sz w:val="28"/>
          <w:szCs w:val="28"/>
          <w:u w:val="single"/>
        </w:rPr>
        <w:t xml:space="preserve"> </w:t>
      </w:r>
    </w:p>
    <w:p w14:paraId="6B6F1CD3" w14:textId="77777777" w:rsidR="008751EB" w:rsidRDefault="008751EB" w:rsidP="008751EB">
      <w:pPr>
        <w:ind w:left="3600" w:hanging="3600"/>
        <w:rPr>
          <w:rFonts w:cs="Arial"/>
          <w:szCs w:val="24"/>
          <w:u w:val="single"/>
        </w:rPr>
      </w:pPr>
    </w:p>
    <w:p w14:paraId="20B1B5E1" w14:textId="77777777" w:rsidR="008751EB" w:rsidRDefault="008751EB" w:rsidP="008751EB">
      <w:pPr>
        <w:ind w:left="3600" w:hanging="3600"/>
        <w:rPr>
          <w:rFonts w:cs="Arial"/>
          <w:szCs w:val="24"/>
        </w:rPr>
      </w:pPr>
      <w:r w:rsidRPr="00CD676E">
        <w:rPr>
          <w:rFonts w:cs="Arial"/>
          <w:szCs w:val="24"/>
          <w:u w:val="single"/>
        </w:rPr>
        <w:t>Court appealed from</w:t>
      </w:r>
      <w:r w:rsidRPr="00CD676E">
        <w:rPr>
          <w:rFonts w:cs="Arial"/>
          <w:szCs w:val="24"/>
        </w:rPr>
        <w:t>:</w:t>
      </w:r>
      <w:r w:rsidRPr="00CD676E">
        <w:rPr>
          <w:rFonts w:cs="Arial"/>
          <w:szCs w:val="24"/>
        </w:rPr>
        <w:tab/>
        <w:t xml:space="preserve">Supreme Court of Victoria Court of Appeal </w:t>
      </w:r>
      <w:r>
        <w:rPr>
          <w:rFonts w:cs="Arial"/>
          <w:szCs w:val="24"/>
        </w:rPr>
        <w:br/>
      </w:r>
      <w:r w:rsidRPr="00CD676E">
        <w:rPr>
          <w:rFonts w:cs="Arial"/>
          <w:szCs w:val="24"/>
        </w:rPr>
        <w:t>[2023] VSCA 262</w:t>
      </w:r>
    </w:p>
    <w:p w14:paraId="5C9B2984" w14:textId="77777777" w:rsidR="008751EB" w:rsidRPr="00CD676E" w:rsidRDefault="008751EB" w:rsidP="008751EB">
      <w:pPr>
        <w:ind w:left="3600" w:hanging="3600"/>
        <w:rPr>
          <w:rFonts w:cs="Arial"/>
          <w:szCs w:val="24"/>
        </w:rPr>
      </w:pPr>
    </w:p>
    <w:p w14:paraId="4794904F" w14:textId="5F702DD9" w:rsidR="008751EB" w:rsidRDefault="008751EB" w:rsidP="00547167">
      <w:pPr>
        <w:tabs>
          <w:tab w:val="left" w:pos="3544"/>
        </w:tabs>
        <w:jc w:val="both"/>
        <w:rPr>
          <w:rFonts w:cs="Arial"/>
          <w:szCs w:val="24"/>
        </w:rPr>
      </w:pPr>
      <w:r w:rsidRPr="00CD676E">
        <w:rPr>
          <w:rFonts w:cs="Arial"/>
          <w:szCs w:val="24"/>
          <w:u w:val="single"/>
        </w:rPr>
        <w:t>Date of judgment</w:t>
      </w:r>
      <w:r w:rsidRPr="00CD676E">
        <w:rPr>
          <w:rFonts w:cs="Arial"/>
          <w:szCs w:val="24"/>
        </w:rPr>
        <w:t>:</w:t>
      </w:r>
      <w:r w:rsidRPr="00CD676E">
        <w:rPr>
          <w:rFonts w:cs="Arial"/>
          <w:szCs w:val="24"/>
        </w:rPr>
        <w:tab/>
      </w:r>
      <w:r w:rsidR="00547167">
        <w:rPr>
          <w:rFonts w:cs="Arial"/>
          <w:szCs w:val="24"/>
        </w:rPr>
        <w:t xml:space="preserve"> </w:t>
      </w:r>
      <w:r w:rsidRPr="00CD676E">
        <w:rPr>
          <w:rFonts w:cs="Arial"/>
          <w:szCs w:val="24"/>
        </w:rPr>
        <w:t>31 October 2023</w:t>
      </w:r>
    </w:p>
    <w:p w14:paraId="2970FAFF" w14:textId="77777777" w:rsidR="008751EB" w:rsidRPr="00CD676E" w:rsidRDefault="008751EB" w:rsidP="008751EB">
      <w:pPr>
        <w:jc w:val="both"/>
        <w:rPr>
          <w:rFonts w:cs="Arial"/>
          <w:szCs w:val="24"/>
        </w:rPr>
      </w:pPr>
    </w:p>
    <w:p w14:paraId="6E59C95F" w14:textId="6D9BD903" w:rsidR="008751EB" w:rsidRDefault="008751EB" w:rsidP="00547167">
      <w:pPr>
        <w:tabs>
          <w:tab w:val="left" w:pos="3544"/>
        </w:tabs>
        <w:jc w:val="both"/>
        <w:rPr>
          <w:rFonts w:cs="Arial"/>
          <w:szCs w:val="24"/>
        </w:rPr>
      </w:pPr>
      <w:r>
        <w:rPr>
          <w:rFonts w:cs="Arial"/>
          <w:szCs w:val="24"/>
          <w:u w:val="single"/>
        </w:rPr>
        <w:t>Date referred to Full Court</w:t>
      </w:r>
      <w:r w:rsidRPr="00CD676E">
        <w:rPr>
          <w:rFonts w:cs="Arial"/>
          <w:szCs w:val="24"/>
        </w:rPr>
        <w:t>:</w:t>
      </w:r>
      <w:r w:rsidRPr="00CD676E">
        <w:rPr>
          <w:rFonts w:cs="Arial"/>
          <w:szCs w:val="24"/>
        </w:rPr>
        <w:tab/>
      </w:r>
      <w:r w:rsidR="00547167">
        <w:rPr>
          <w:rFonts w:cs="Arial"/>
          <w:szCs w:val="24"/>
        </w:rPr>
        <w:t xml:space="preserve"> </w:t>
      </w:r>
      <w:r>
        <w:rPr>
          <w:rFonts w:cs="Arial"/>
          <w:szCs w:val="24"/>
        </w:rPr>
        <w:t>7 December</w:t>
      </w:r>
      <w:r w:rsidRPr="00CD676E">
        <w:rPr>
          <w:rFonts w:cs="Arial"/>
          <w:szCs w:val="24"/>
        </w:rPr>
        <w:t xml:space="preserve"> 2023</w:t>
      </w:r>
    </w:p>
    <w:p w14:paraId="058F3F52" w14:textId="77777777" w:rsidR="008751EB" w:rsidRPr="00CD676E" w:rsidRDefault="008751EB" w:rsidP="008751EB">
      <w:pPr>
        <w:jc w:val="both"/>
        <w:rPr>
          <w:rFonts w:cs="Arial"/>
          <w:szCs w:val="24"/>
        </w:rPr>
      </w:pPr>
    </w:p>
    <w:p w14:paraId="637CDF5D" w14:textId="37DF67ED" w:rsidR="008751EB" w:rsidRDefault="008751EB" w:rsidP="008751EB">
      <w:pPr>
        <w:jc w:val="both"/>
        <w:rPr>
          <w:rFonts w:cs="Arial"/>
          <w:szCs w:val="24"/>
        </w:rPr>
      </w:pPr>
      <w:r>
        <w:rPr>
          <w:rFonts w:cs="Arial"/>
          <w:szCs w:val="24"/>
        </w:rPr>
        <w:t xml:space="preserve">The Respondent is charged with 27 sexual offences against two brothers, </w:t>
      </w:r>
      <w:r w:rsidR="002322B7">
        <w:rPr>
          <w:rFonts w:cs="Arial"/>
          <w:szCs w:val="24"/>
        </w:rPr>
        <w:br/>
      </w:r>
      <w:r>
        <w:rPr>
          <w:rFonts w:cs="Arial"/>
          <w:szCs w:val="24"/>
        </w:rPr>
        <w:t xml:space="preserve">MW and EW, alleged to have occurred between 1999 and 2011.  MW and EW were the respondent’s </w:t>
      </w:r>
      <w:proofErr w:type="gramStart"/>
      <w:r>
        <w:rPr>
          <w:rFonts w:cs="Arial"/>
          <w:szCs w:val="24"/>
        </w:rPr>
        <w:t>step-children</w:t>
      </w:r>
      <w:proofErr w:type="gramEnd"/>
      <w:r>
        <w:rPr>
          <w:rFonts w:cs="Arial"/>
          <w:szCs w:val="24"/>
        </w:rPr>
        <w:t xml:space="preserve"> during the relevant period.  The Respondent is facing trial in the County Court of Victoria for the offences charged. </w:t>
      </w:r>
    </w:p>
    <w:p w14:paraId="4891E3ED" w14:textId="77777777" w:rsidR="008751EB" w:rsidRDefault="008751EB" w:rsidP="008751EB">
      <w:pPr>
        <w:jc w:val="both"/>
        <w:rPr>
          <w:rFonts w:cs="Arial"/>
          <w:szCs w:val="24"/>
        </w:rPr>
      </w:pPr>
    </w:p>
    <w:p w14:paraId="1FE1DF94" w14:textId="2DE1B3AF" w:rsidR="008751EB" w:rsidRDefault="008751EB" w:rsidP="008751EB">
      <w:pPr>
        <w:jc w:val="both"/>
        <w:rPr>
          <w:rFonts w:cs="Arial"/>
          <w:szCs w:val="24"/>
        </w:rPr>
      </w:pPr>
      <w:r w:rsidRPr="00686008">
        <w:rPr>
          <w:rFonts w:cs="Arial"/>
          <w:szCs w:val="24"/>
        </w:rPr>
        <w:t>The Director of Public Prosecutions (</w:t>
      </w:r>
      <w:r>
        <w:rPr>
          <w:rFonts w:cs="Arial"/>
          <w:szCs w:val="24"/>
        </w:rPr>
        <w:t xml:space="preserve">“the </w:t>
      </w:r>
      <w:r w:rsidRPr="00686008">
        <w:rPr>
          <w:rFonts w:cs="Arial"/>
          <w:szCs w:val="24"/>
        </w:rPr>
        <w:t>DPP</w:t>
      </w:r>
      <w:r>
        <w:rPr>
          <w:rFonts w:cs="Arial"/>
          <w:szCs w:val="24"/>
        </w:rPr>
        <w:t>”</w:t>
      </w:r>
      <w:r w:rsidRPr="00686008">
        <w:rPr>
          <w:rFonts w:cs="Arial"/>
          <w:szCs w:val="24"/>
        </w:rPr>
        <w:t>) gave notice under s</w:t>
      </w:r>
      <w:r>
        <w:rPr>
          <w:rFonts w:cs="Arial"/>
          <w:szCs w:val="24"/>
        </w:rPr>
        <w:t>ection</w:t>
      </w:r>
      <w:r w:rsidRPr="00686008">
        <w:rPr>
          <w:rFonts w:cs="Arial"/>
          <w:szCs w:val="24"/>
        </w:rPr>
        <w:t xml:space="preserve"> 97(1)(a) of the </w:t>
      </w:r>
      <w:r w:rsidRPr="00686008">
        <w:rPr>
          <w:rFonts w:cs="Arial"/>
          <w:i/>
          <w:iCs/>
          <w:szCs w:val="24"/>
        </w:rPr>
        <w:t>Evidence Act 2008</w:t>
      </w:r>
      <w:r w:rsidRPr="00686008">
        <w:rPr>
          <w:rFonts w:cs="Arial"/>
          <w:szCs w:val="24"/>
        </w:rPr>
        <w:t xml:space="preserve"> (Vic) that they seek to rely at trial on the Respondent’s tendency to have an improper sexual interest in his </w:t>
      </w:r>
      <w:proofErr w:type="gramStart"/>
      <w:r w:rsidRPr="00686008">
        <w:rPr>
          <w:rFonts w:cs="Arial"/>
          <w:szCs w:val="24"/>
        </w:rPr>
        <w:t>step-children</w:t>
      </w:r>
      <w:proofErr w:type="gramEnd"/>
      <w:r w:rsidRPr="00686008">
        <w:rPr>
          <w:rFonts w:cs="Arial"/>
          <w:szCs w:val="24"/>
        </w:rPr>
        <w:t xml:space="preserve"> MW</w:t>
      </w:r>
      <w:r>
        <w:rPr>
          <w:rFonts w:cs="Arial"/>
          <w:szCs w:val="24"/>
        </w:rPr>
        <w:t xml:space="preserve"> and EW,</w:t>
      </w:r>
      <w:r w:rsidRPr="00686008">
        <w:rPr>
          <w:rFonts w:cs="Arial"/>
          <w:szCs w:val="24"/>
        </w:rPr>
        <w:t xml:space="preserve"> </w:t>
      </w:r>
      <w:r w:rsidR="00F530FE">
        <w:rPr>
          <w:rFonts w:cs="Arial"/>
          <w:szCs w:val="24"/>
        </w:rPr>
        <w:br/>
      </w:r>
      <w:r w:rsidRPr="00686008">
        <w:rPr>
          <w:rFonts w:cs="Arial"/>
          <w:szCs w:val="24"/>
        </w:rPr>
        <w:t xml:space="preserve">and a willingness to act on that sexual interest by engaging in sexual activity with them. </w:t>
      </w:r>
      <w:r>
        <w:rPr>
          <w:rFonts w:cs="Arial"/>
          <w:szCs w:val="24"/>
        </w:rPr>
        <w:t xml:space="preserve"> </w:t>
      </w:r>
      <w:r w:rsidRPr="00686008">
        <w:rPr>
          <w:rFonts w:cs="Arial"/>
          <w:szCs w:val="24"/>
        </w:rPr>
        <w:t xml:space="preserve">The DPP also seeks to rely at trial on the Respondent’s tendency to act in a particular way, including but not limited to, a tendency to use his position of trust, physical proximity to and relationship with his </w:t>
      </w:r>
      <w:proofErr w:type="gramStart"/>
      <w:r w:rsidRPr="00686008">
        <w:rPr>
          <w:rFonts w:cs="Arial"/>
          <w:szCs w:val="24"/>
        </w:rPr>
        <w:t>step-children</w:t>
      </w:r>
      <w:proofErr w:type="gramEnd"/>
      <w:r w:rsidRPr="00686008">
        <w:rPr>
          <w:rFonts w:cs="Arial"/>
          <w:szCs w:val="24"/>
        </w:rPr>
        <w:t xml:space="preserve"> to engage in sexual activity with each of them.</w:t>
      </w:r>
      <w:r>
        <w:rPr>
          <w:rFonts w:cs="Arial"/>
          <w:szCs w:val="24"/>
        </w:rPr>
        <w:t xml:space="preserve"> </w:t>
      </w:r>
    </w:p>
    <w:p w14:paraId="374AFA7F" w14:textId="77777777" w:rsidR="008751EB" w:rsidRPr="008A658C" w:rsidRDefault="008751EB" w:rsidP="008751EB">
      <w:pPr>
        <w:jc w:val="both"/>
        <w:rPr>
          <w:rFonts w:cs="Arial"/>
          <w:szCs w:val="24"/>
        </w:rPr>
      </w:pPr>
    </w:p>
    <w:p w14:paraId="5278A9C9" w14:textId="7080C02B" w:rsidR="008751EB" w:rsidRDefault="008751EB" w:rsidP="008751EB">
      <w:pPr>
        <w:jc w:val="both"/>
        <w:rPr>
          <w:rFonts w:cs="Arial"/>
          <w:szCs w:val="24"/>
        </w:rPr>
      </w:pPr>
      <w:r>
        <w:rPr>
          <w:rFonts w:cs="Arial"/>
          <w:szCs w:val="24"/>
        </w:rPr>
        <w:t xml:space="preserve">The DPP relies on every sexual act alleged in every charge on the indictment </w:t>
      </w:r>
      <w:r w:rsidR="00F530FE">
        <w:rPr>
          <w:rFonts w:cs="Arial"/>
          <w:szCs w:val="24"/>
        </w:rPr>
        <w:br/>
      </w:r>
      <w:r>
        <w:rPr>
          <w:rFonts w:cs="Arial"/>
          <w:szCs w:val="24"/>
        </w:rPr>
        <w:t xml:space="preserve">(“the charged acts”) as tendency evidence, and six other pieces of sexual misconduct which are not the subject of a charge (“the uncharged acts”).  At a </w:t>
      </w:r>
      <w:r w:rsidR="00F530FE">
        <w:rPr>
          <w:rFonts w:cs="Arial"/>
          <w:szCs w:val="24"/>
        </w:rPr>
        <w:br/>
      </w:r>
      <w:r>
        <w:rPr>
          <w:rFonts w:cs="Arial"/>
          <w:szCs w:val="24"/>
        </w:rPr>
        <w:t xml:space="preserve">pre-trial hearing counsel for the Respondent conceded that the charged acts and the uncharged acts were admissible as tendency evidence but submitted that the trial judge should direct the jury that, before using evidence of the charged acts as tendency evidence, they must be satisfied beyond reasonable doubt that those acts occurred.  Counsel for the Respondent relied on </w:t>
      </w:r>
      <w:r>
        <w:rPr>
          <w:rFonts w:cs="Arial"/>
          <w:i/>
          <w:iCs/>
          <w:szCs w:val="24"/>
        </w:rPr>
        <w:t xml:space="preserve">Dempsey (a pseudonym) v </w:t>
      </w:r>
      <w:r w:rsidR="00F530FE">
        <w:rPr>
          <w:rFonts w:cs="Arial"/>
          <w:i/>
          <w:iCs/>
          <w:szCs w:val="24"/>
        </w:rPr>
        <w:br/>
      </w:r>
      <w:r>
        <w:rPr>
          <w:rFonts w:cs="Arial"/>
          <w:i/>
          <w:iCs/>
          <w:szCs w:val="24"/>
        </w:rPr>
        <w:t>The Queen</w:t>
      </w:r>
      <w:r w:rsidR="00587F3C">
        <w:rPr>
          <w:rFonts w:cs="Arial"/>
          <w:i/>
          <w:iCs/>
          <w:szCs w:val="24"/>
        </w:rPr>
        <w:t xml:space="preserve"> </w:t>
      </w:r>
      <w:r>
        <w:rPr>
          <w:rFonts w:cs="Arial"/>
          <w:szCs w:val="24"/>
        </w:rPr>
        <w:t>[2019] VSCA 224 (Beach, Kaye, Ashley JJA) (“</w:t>
      </w:r>
      <w:r>
        <w:rPr>
          <w:rFonts w:cs="Arial"/>
          <w:i/>
          <w:iCs/>
          <w:szCs w:val="24"/>
        </w:rPr>
        <w:t>Dempsey</w:t>
      </w:r>
      <w:r>
        <w:rPr>
          <w:rFonts w:cs="Arial"/>
          <w:szCs w:val="24"/>
        </w:rPr>
        <w:t xml:space="preserve">”) in support of this submission.  The DPP submitted that such a direction was prohibited by s 61 of the </w:t>
      </w:r>
      <w:r>
        <w:rPr>
          <w:rFonts w:cs="Arial"/>
          <w:i/>
          <w:iCs/>
          <w:szCs w:val="24"/>
        </w:rPr>
        <w:t xml:space="preserve">Jury Directions Act 2015 </w:t>
      </w:r>
      <w:r>
        <w:rPr>
          <w:rFonts w:cs="Arial"/>
          <w:szCs w:val="24"/>
        </w:rPr>
        <w:t xml:space="preserve">(Vic) (“the JDA”), and that </w:t>
      </w:r>
      <w:r>
        <w:rPr>
          <w:rFonts w:cs="Arial"/>
          <w:i/>
          <w:iCs/>
          <w:szCs w:val="24"/>
        </w:rPr>
        <w:t>Dempsey</w:t>
      </w:r>
      <w:r>
        <w:rPr>
          <w:rFonts w:cs="Arial"/>
          <w:szCs w:val="24"/>
        </w:rPr>
        <w:t xml:space="preserve"> was not applicable. </w:t>
      </w:r>
    </w:p>
    <w:p w14:paraId="7A166114" w14:textId="77777777" w:rsidR="008751EB" w:rsidRPr="00137EED" w:rsidRDefault="008751EB" w:rsidP="008751EB">
      <w:pPr>
        <w:jc w:val="both"/>
        <w:rPr>
          <w:rFonts w:cs="Arial"/>
          <w:szCs w:val="24"/>
        </w:rPr>
      </w:pPr>
    </w:p>
    <w:p w14:paraId="47972D08" w14:textId="77777777" w:rsidR="008751EB" w:rsidRDefault="008751EB" w:rsidP="008751EB">
      <w:pPr>
        <w:jc w:val="both"/>
        <w:rPr>
          <w:rFonts w:cs="Arial"/>
          <w:szCs w:val="24"/>
        </w:rPr>
      </w:pPr>
      <w:r>
        <w:rPr>
          <w:rFonts w:cs="Arial"/>
          <w:szCs w:val="24"/>
        </w:rPr>
        <w:t xml:space="preserve">The judge accepted the principal submissions of the Respondent’s counsel and rejected those advanced by the prosecution, ruling that the jury should be directed that the charged acts must be proved beyond reasonable doubt before they could be used as tendency evidence.   </w:t>
      </w:r>
    </w:p>
    <w:p w14:paraId="0DA773FC" w14:textId="77777777" w:rsidR="008751EB" w:rsidRDefault="008751EB" w:rsidP="008751EB">
      <w:pPr>
        <w:jc w:val="both"/>
        <w:rPr>
          <w:rFonts w:cs="Arial"/>
          <w:szCs w:val="24"/>
        </w:rPr>
      </w:pPr>
    </w:p>
    <w:p w14:paraId="42A46F40" w14:textId="724751F5" w:rsidR="002322B7" w:rsidRDefault="008751EB" w:rsidP="008751EB">
      <w:pPr>
        <w:jc w:val="both"/>
        <w:rPr>
          <w:rFonts w:cs="Arial"/>
          <w:szCs w:val="24"/>
        </w:rPr>
      </w:pPr>
      <w:r>
        <w:rPr>
          <w:rFonts w:cs="Arial"/>
          <w:szCs w:val="24"/>
        </w:rPr>
        <w:t xml:space="preserve">The DPP sought leave to appeal the pre-trial ruling to the Supreme Court of Victoria Court of Appeal.  The Court of Appeal refused leave to appeal on the basis that they considered the central pillar of the trial judge’s ruling to be sound.   </w:t>
      </w:r>
      <w:r w:rsidR="00587F3C">
        <w:rPr>
          <w:rFonts w:cs="Arial"/>
          <w:szCs w:val="24"/>
        </w:rPr>
        <w:br/>
      </w:r>
      <w:r>
        <w:rPr>
          <w:rFonts w:cs="Arial"/>
          <w:szCs w:val="24"/>
        </w:rPr>
        <w:t xml:space="preserve">Counsel for the DPP submitted to the Court of Appeal that the jury must not be directed that they must be satisfied beyond reasonable doubt when using the charged acts for tendency purposes.  Apart from being prohibited by s 61 of the JDA, counsel for the DPP submitted that the proposed directions would impermissibly limit the evidence that the jury could </w:t>
      </w:r>
      <w:proofErr w:type="gramStart"/>
      <w:r>
        <w:rPr>
          <w:rFonts w:cs="Arial"/>
          <w:szCs w:val="24"/>
        </w:rPr>
        <w:t>take into account</w:t>
      </w:r>
      <w:proofErr w:type="gramEnd"/>
      <w:r>
        <w:rPr>
          <w:rFonts w:cs="Arial"/>
          <w:szCs w:val="24"/>
        </w:rPr>
        <w:t xml:space="preserve"> in considering whether the alleged tendencies have been established, to the uncharged acts and the charges that precede the charge then under consideration on the indictment.  </w:t>
      </w:r>
      <w:r w:rsidR="00587F3C">
        <w:rPr>
          <w:rFonts w:cs="Arial"/>
          <w:szCs w:val="24"/>
        </w:rPr>
        <w:br/>
      </w:r>
      <w:r>
        <w:rPr>
          <w:rFonts w:cs="Arial"/>
          <w:szCs w:val="24"/>
        </w:rPr>
        <w:t xml:space="preserve">In making these submissions, counsel for the DPP placed substantial reliance on a </w:t>
      </w:r>
      <w:r>
        <w:rPr>
          <w:rFonts w:cs="Arial"/>
          <w:szCs w:val="24"/>
        </w:rPr>
        <w:lastRenderedPageBreak/>
        <w:t xml:space="preserve">passage from the High Court’s reasons in </w:t>
      </w:r>
      <w:r>
        <w:rPr>
          <w:rFonts w:cs="Arial"/>
          <w:i/>
          <w:iCs/>
          <w:szCs w:val="24"/>
        </w:rPr>
        <w:t xml:space="preserve">R v Bauer </w:t>
      </w:r>
      <w:r>
        <w:rPr>
          <w:rFonts w:cs="Arial"/>
          <w:szCs w:val="24"/>
        </w:rPr>
        <w:t>(2018) 266 CLR 56, 97-9 [86] (“</w:t>
      </w:r>
      <w:r>
        <w:rPr>
          <w:rFonts w:cs="Arial"/>
          <w:i/>
          <w:iCs/>
          <w:szCs w:val="24"/>
        </w:rPr>
        <w:t>Bauer</w:t>
      </w:r>
      <w:r>
        <w:rPr>
          <w:rFonts w:cs="Arial"/>
          <w:szCs w:val="24"/>
        </w:rPr>
        <w:t xml:space="preserve">”). </w:t>
      </w:r>
    </w:p>
    <w:p w14:paraId="2B6D8A59" w14:textId="77777777" w:rsidR="00587F3C" w:rsidRDefault="00587F3C" w:rsidP="008751EB">
      <w:pPr>
        <w:jc w:val="both"/>
        <w:rPr>
          <w:rFonts w:cs="Arial"/>
          <w:szCs w:val="24"/>
        </w:rPr>
      </w:pPr>
    </w:p>
    <w:p w14:paraId="24FFF6EF" w14:textId="2E53099C" w:rsidR="008751EB" w:rsidRDefault="008751EB" w:rsidP="008751EB">
      <w:pPr>
        <w:jc w:val="both"/>
        <w:rPr>
          <w:rFonts w:cs="Arial"/>
          <w:szCs w:val="24"/>
        </w:rPr>
      </w:pPr>
      <w:r>
        <w:rPr>
          <w:rFonts w:cs="Arial"/>
          <w:szCs w:val="24"/>
        </w:rPr>
        <w:t xml:space="preserve">The Court of Appeal determined that the observations in </w:t>
      </w:r>
      <w:r>
        <w:rPr>
          <w:rFonts w:cs="Arial"/>
          <w:i/>
          <w:iCs/>
          <w:szCs w:val="24"/>
        </w:rPr>
        <w:t xml:space="preserve">Bauer </w:t>
      </w:r>
      <w:r>
        <w:rPr>
          <w:rFonts w:cs="Arial"/>
          <w:szCs w:val="24"/>
        </w:rPr>
        <w:t xml:space="preserve">relied upon by the DPP, do not purport to extend to cases in which charged acts are relied upon as tendency evidence.  Rather, the observations in </w:t>
      </w:r>
      <w:r>
        <w:rPr>
          <w:rFonts w:cs="Arial"/>
          <w:i/>
          <w:iCs/>
          <w:szCs w:val="24"/>
        </w:rPr>
        <w:t xml:space="preserve">Bauer </w:t>
      </w:r>
      <w:r>
        <w:rPr>
          <w:rFonts w:cs="Arial"/>
          <w:szCs w:val="24"/>
        </w:rPr>
        <w:t xml:space="preserve">are limited to the directions ordinarily to be given to a jury in a single complainant sexual offences case in which the prosecution is permitted to adduce evidence of uncharged acts as tendency evidence.  The Court of Appeal determined the present case was indistinguishable in any relevant sense from </w:t>
      </w:r>
      <w:r>
        <w:rPr>
          <w:rFonts w:cs="Arial"/>
          <w:i/>
          <w:iCs/>
          <w:szCs w:val="24"/>
        </w:rPr>
        <w:t xml:space="preserve">Dempsey </w:t>
      </w:r>
      <w:r>
        <w:rPr>
          <w:rFonts w:cs="Arial"/>
          <w:szCs w:val="24"/>
        </w:rPr>
        <w:t xml:space="preserve">and accordingly, </w:t>
      </w:r>
      <w:r>
        <w:rPr>
          <w:rFonts w:cs="Arial"/>
          <w:i/>
          <w:iCs/>
          <w:szCs w:val="24"/>
        </w:rPr>
        <w:t xml:space="preserve">Dempsey </w:t>
      </w:r>
      <w:r>
        <w:rPr>
          <w:rFonts w:cs="Arial"/>
          <w:szCs w:val="24"/>
        </w:rPr>
        <w:t xml:space="preserve">should be followed.  The Court of Appeal also confirmed that s 61 of the JDA requires a trial judge to direct the jury that the elements of the offence charged must be proved beyond reasonable doubt.  In the present case, every sexual act alleged in every charge on the indictment is an element of that charge.  A direction that any such element must be proved beyond reasonable doubt – no matter the use sought to be made of the evidence – would not offend s 61 of the JDA; rather it would plainly be in conformity with the section. </w:t>
      </w:r>
    </w:p>
    <w:p w14:paraId="0AB0F09D" w14:textId="77777777" w:rsidR="008751EB" w:rsidRPr="0050077E" w:rsidRDefault="008751EB" w:rsidP="008751EB">
      <w:pPr>
        <w:jc w:val="both"/>
        <w:rPr>
          <w:rFonts w:cs="Arial"/>
          <w:szCs w:val="24"/>
        </w:rPr>
      </w:pPr>
    </w:p>
    <w:p w14:paraId="410B7CF2" w14:textId="40E87E34" w:rsidR="008751EB" w:rsidRDefault="008751EB" w:rsidP="008751EB">
      <w:pPr>
        <w:jc w:val="both"/>
        <w:rPr>
          <w:rFonts w:cs="Arial"/>
          <w:szCs w:val="24"/>
        </w:rPr>
      </w:pPr>
      <w:r>
        <w:rPr>
          <w:rFonts w:cs="Arial"/>
          <w:szCs w:val="24"/>
        </w:rPr>
        <w:t xml:space="preserve">The Court of Appeal held that the trial judge was correct to hold that the jury should be directed that every charged act relied upon by the prosecution as tendency evidence must be proved beyond reasonable doubt before it can be so used.  </w:t>
      </w:r>
      <w:r w:rsidR="00587F3C">
        <w:rPr>
          <w:rFonts w:cs="Arial"/>
          <w:szCs w:val="24"/>
        </w:rPr>
        <w:br/>
      </w:r>
      <w:r>
        <w:rPr>
          <w:rFonts w:cs="Arial"/>
          <w:szCs w:val="24"/>
        </w:rPr>
        <w:t xml:space="preserve">To direct otherwise would be to risk confusing, and unacceptably undermining, </w:t>
      </w:r>
      <w:r w:rsidR="00587F3C">
        <w:rPr>
          <w:rFonts w:cs="Arial"/>
          <w:szCs w:val="24"/>
        </w:rPr>
        <w:br/>
      </w:r>
      <w:r>
        <w:rPr>
          <w:rFonts w:cs="Arial"/>
          <w:szCs w:val="24"/>
        </w:rPr>
        <w:t xml:space="preserve">the criminal standard of proof.    </w:t>
      </w:r>
    </w:p>
    <w:p w14:paraId="70C51572" w14:textId="77777777" w:rsidR="008751EB" w:rsidRDefault="008751EB" w:rsidP="008751EB">
      <w:pPr>
        <w:jc w:val="both"/>
        <w:rPr>
          <w:rFonts w:cs="Arial"/>
          <w:szCs w:val="24"/>
        </w:rPr>
      </w:pPr>
    </w:p>
    <w:p w14:paraId="53D4A5D5" w14:textId="77777777" w:rsidR="008751EB" w:rsidRDefault="008751EB" w:rsidP="008751EB">
      <w:pPr>
        <w:jc w:val="both"/>
        <w:rPr>
          <w:rFonts w:cs="Arial"/>
          <w:szCs w:val="24"/>
        </w:rPr>
      </w:pPr>
      <w:r>
        <w:rPr>
          <w:rFonts w:cs="Arial"/>
          <w:szCs w:val="24"/>
        </w:rPr>
        <w:t>On 7 December 2023, Gordon J referred the DPP’s application for special leave to appeal to the Full Court of the High Court of Australia for argument as if on appeal. The sole ground of appeal is:</w:t>
      </w:r>
    </w:p>
    <w:p w14:paraId="1FEABA1E" w14:textId="77777777" w:rsidR="008751EB" w:rsidRDefault="008751EB" w:rsidP="008751EB">
      <w:pPr>
        <w:jc w:val="both"/>
        <w:rPr>
          <w:rFonts w:cs="Arial"/>
          <w:szCs w:val="24"/>
        </w:rPr>
      </w:pPr>
    </w:p>
    <w:p w14:paraId="0AF2CD4B" w14:textId="77777777" w:rsidR="008751EB" w:rsidRDefault="008751EB" w:rsidP="008751EB">
      <w:pPr>
        <w:pStyle w:val="ListParagraph"/>
        <w:numPr>
          <w:ilvl w:val="0"/>
          <w:numId w:val="13"/>
        </w:numPr>
        <w:spacing w:line="259" w:lineRule="auto"/>
        <w:ind w:left="426" w:hanging="426"/>
        <w:jc w:val="both"/>
        <w:rPr>
          <w:rFonts w:cs="Arial"/>
          <w:szCs w:val="24"/>
        </w:rPr>
      </w:pPr>
      <w:r>
        <w:rPr>
          <w:rFonts w:cs="Arial"/>
          <w:szCs w:val="24"/>
        </w:rPr>
        <w:t>The Court of Appeal of the Supreme Court of Victoria erred in upholding the interlocutory decision of the Country Court of Victoria on the basis that:</w:t>
      </w:r>
    </w:p>
    <w:p w14:paraId="1FBA7929" w14:textId="77777777" w:rsidR="008751EB" w:rsidRDefault="008751EB" w:rsidP="008751EB">
      <w:pPr>
        <w:pStyle w:val="ListParagraph"/>
        <w:jc w:val="both"/>
        <w:rPr>
          <w:rFonts w:cs="Arial"/>
          <w:szCs w:val="24"/>
        </w:rPr>
      </w:pPr>
    </w:p>
    <w:p w14:paraId="4FC6D53D" w14:textId="77777777" w:rsidR="008751EB" w:rsidRDefault="008751EB" w:rsidP="008751EB">
      <w:pPr>
        <w:pStyle w:val="ListParagraph"/>
        <w:numPr>
          <w:ilvl w:val="1"/>
          <w:numId w:val="13"/>
        </w:numPr>
        <w:spacing w:line="259" w:lineRule="auto"/>
        <w:ind w:left="851" w:hanging="425"/>
        <w:jc w:val="both"/>
        <w:rPr>
          <w:rFonts w:cs="Arial"/>
          <w:szCs w:val="24"/>
        </w:rPr>
      </w:pPr>
      <w:r>
        <w:rPr>
          <w:rFonts w:cs="Arial"/>
          <w:szCs w:val="24"/>
        </w:rPr>
        <w:t xml:space="preserve">where a charged act is relied upon by the prosecution as evidence to prove a tendency, the jury should be directed that the charged act must be proved beyond reasonable doubt before it can be so used; and </w:t>
      </w:r>
    </w:p>
    <w:p w14:paraId="19EF599B" w14:textId="77777777" w:rsidR="008751EB" w:rsidRDefault="008751EB" w:rsidP="008751EB">
      <w:pPr>
        <w:pStyle w:val="ListParagraph"/>
        <w:ind w:left="1440"/>
        <w:jc w:val="both"/>
        <w:rPr>
          <w:rFonts w:cs="Arial"/>
          <w:szCs w:val="24"/>
        </w:rPr>
      </w:pPr>
    </w:p>
    <w:p w14:paraId="0E4D5DFD" w14:textId="77777777" w:rsidR="008751EB" w:rsidRPr="00FF3683" w:rsidRDefault="008751EB" w:rsidP="008751EB">
      <w:pPr>
        <w:pStyle w:val="ListParagraph"/>
        <w:numPr>
          <w:ilvl w:val="1"/>
          <w:numId w:val="13"/>
        </w:numPr>
        <w:spacing w:line="259" w:lineRule="auto"/>
        <w:ind w:left="851" w:hanging="425"/>
        <w:jc w:val="both"/>
        <w:rPr>
          <w:rFonts w:cs="Arial"/>
          <w:szCs w:val="24"/>
        </w:rPr>
      </w:pPr>
      <w:r>
        <w:rPr>
          <w:rFonts w:cs="Arial"/>
          <w:szCs w:val="24"/>
        </w:rPr>
        <w:t xml:space="preserve">such a direction is not prohibited by s 61 of the </w:t>
      </w:r>
      <w:r>
        <w:rPr>
          <w:rFonts w:cs="Arial"/>
          <w:i/>
          <w:iCs/>
          <w:szCs w:val="24"/>
        </w:rPr>
        <w:t xml:space="preserve">Jury Directions Act 2015 </w:t>
      </w:r>
      <w:r>
        <w:rPr>
          <w:rFonts w:cs="Arial"/>
          <w:szCs w:val="24"/>
        </w:rPr>
        <w:t xml:space="preserve">(Vic).  </w:t>
      </w:r>
    </w:p>
    <w:p w14:paraId="61759C0E" w14:textId="77777777" w:rsidR="0034798B" w:rsidRPr="00782302" w:rsidRDefault="0034798B" w:rsidP="0034798B">
      <w:pPr>
        <w:autoSpaceDE w:val="0"/>
        <w:autoSpaceDN w:val="0"/>
        <w:adjustRightInd w:val="0"/>
        <w:spacing w:after="180"/>
        <w:jc w:val="both"/>
        <w:rPr>
          <w:szCs w:val="24"/>
        </w:rPr>
      </w:pPr>
    </w:p>
    <w:p w14:paraId="2551A6D8" w14:textId="394CD253" w:rsidR="002322B7" w:rsidRDefault="002322B7">
      <w:pPr>
        <w:rPr>
          <w:rFonts w:cs="Arial"/>
          <w:iCs/>
          <w:szCs w:val="24"/>
        </w:rPr>
      </w:pPr>
      <w:r>
        <w:rPr>
          <w:rFonts w:cs="Arial"/>
          <w:iCs/>
          <w:szCs w:val="24"/>
        </w:rPr>
        <w:br w:type="page"/>
      </w:r>
    </w:p>
    <w:p w14:paraId="3A0F0E73" w14:textId="77777777" w:rsidR="0083051D" w:rsidRPr="0083051D" w:rsidRDefault="0083051D" w:rsidP="0083051D">
      <w:pPr>
        <w:pStyle w:val="Heading1"/>
        <w:rPr>
          <w:b/>
          <w:bCs/>
          <w:sz w:val="28"/>
          <w:szCs w:val="28"/>
        </w:rPr>
      </w:pPr>
      <w:r w:rsidRPr="0083051D">
        <w:rPr>
          <w:b/>
          <w:bCs/>
          <w:sz w:val="28"/>
          <w:szCs w:val="28"/>
        </w:rPr>
        <w:lastRenderedPageBreak/>
        <w:t>BIRD v DP (A PSEUDONYM)</w:t>
      </w:r>
      <w:r w:rsidRPr="0083051D">
        <w:rPr>
          <w:b/>
          <w:bCs/>
          <w:sz w:val="28"/>
          <w:szCs w:val="28"/>
          <w:u w:val="none"/>
        </w:rPr>
        <w:t xml:space="preserve"> (M82/2023)</w:t>
      </w:r>
    </w:p>
    <w:p w14:paraId="6EAA2206" w14:textId="77777777" w:rsidR="0083051D" w:rsidRPr="00A729C0" w:rsidRDefault="0083051D" w:rsidP="0083051D">
      <w:pPr>
        <w:tabs>
          <w:tab w:val="left" w:pos="0"/>
        </w:tabs>
        <w:ind w:left="3600" w:hanging="3600"/>
        <w:rPr>
          <w:rFonts w:cs="Arial"/>
          <w:szCs w:val="24"/>
        </w:rPr>
      </w:pPr>
    </w:p>
    <w:p w14:paraId="0FE82EA1" w14:textId="77777777" w:rsidR="0083051D" w:rsidRDefault="0083051D" w:rsidP="0083051D">
      <w:pPr>
        <w:rPr>
          <w:rFonts w:cs="Arial"/>
        </w:rPr>
      </w:pPr>
      <w:r w:rsidRPr="004B2258">
        <w:rPr>
          <w:rFonts w:cs="Arial"/>
          <w:szCs w:val="24"/>
          <w:u w:val="single"/>
        </w:rPr>
        <w:t>Court appealed from</w:t>
      </w:r>
      <w:r w:rsidRPr="004B2258">
        <w:rPr>
          <w:rFonts w:cs="Arial"/>
          <w:szCs w:val="24"/>
        </w:rPr>
        <w:t>:</w:t>
      </w:r>
      <w:r w:rsidRPr="004B2258">
        <w:rPr>
          <w:rFonts w:cs="Arial"/>
          <w:szCs w:val="24"/>
        </w:rPr>
        <w:tab/>
      </w:r>
      <w:r>
        <w:rPr>
          <w:rFonts w:cs="Arial"/>
          <w:szCs w:val="24"/>
        </w:rPr>
        <w:tab/>
      </w:r>
      <w:r>
        <w:rPr>
          <w:rFonts w:cs="Arial"/>
        </w:rPr>
        <w:t>Supreme Court of Victoria Court of Appeal</w:t>
      </w:r>
    </w:p>
    <w:p w14:paraId="59518013" w14:textId="022E856E" w:rsidR="0083051D" w:rsidRDefault="0083051D" w:rsidP="00EF04EB">
      <w:pPr>
        <w:ind w:left="2268" w:firstLine="1134"/>
        <w:rPr>
          <w:rFonts w:cs="Arial"/>
        </w:rPr>
      </w:pPr>
      <w:r w:rsidRPr="008B52CD">
        <w:rPr>
          <w:rFonts w:cs="Arial"/>
        </w:rPr>
        <w:t xml:space="preserve">[2023] VSCA </w:t>
      </w:r>
      <w:r>
        <w:rPr>
          <w:rFonts w:cs="Arial"/>
        </w:rPr>
        <w:t>66</w:t>
      </w:r>
    </w:p>
    <w:p w14:paraId="26AB2B7A" w14:textId="77777777" w:rsidR="0083051D" w:rsidRPr="004B2258" w:rsidRDefault="0083051D" w:rsidP="0083051D">
      <w:pPr>
        <w:rPr>
          <w:rFonts w:cs="Arial"/>
          <w:szCs w:val="24"/>
        </w:rPr>
      </w:pPr>
    </w:p>
    <w:p w14:paraId="0FAFA13E" w14:textId="167E3F09" w:rsidR="0083051D" w:rsidRDefault="0083051D" w:rsidP="00AF2155">
      <w:pPr>
        <w:ind w:left="3402" w:hanging="3402"/>
        <w:rPr>
          <w:rFonts w:cs="Arial"/>
          <w:szCs w:val="24"/>
        </w:rPr>
      </w:pPr>
      <w:r w:rsidRPr="004B2258">
        <w:rPr>
          <w:rFonts w:cs="Arial"/>
          <w:szCs w:val="24"/>
          <w:u w:val="single"/>
        </w:rPr>
        <w:t>Date of judgment</w:t>
      </w:r>
      <w:r w:rsidRPr="004B2258">
        <w:rPr>
          <w:rFonts w:cs="Arial"/>
          <w:szCs w:val="24"/>
        </w:rPr>
        <w:t>:</w:t>
      </w:r>
      <w:r w:rsidR="00AF2155">
        <w:rPr>
          <w:rFonts w:cs="Arial"/>
          <w:szCs w:val="24"/>
        </w:rPr>
        <w:tab/>
      </w:r>
      <w:r>
        <w:rPr>
          <w:rFonts w:cs="Arial"/>
          <w:szCs w:val="24"/>
        </w:rPr>
        <w:t>3 April 2023</w:t>
      </w:r>
    </w:p>
    <w:p w14:paraId="5FC98AA8" w14:textId="77777777" w:rsidR="0083051D" w:rsidRDefault="0083051D" w:rsidP="0083051D">
      <w:pPr>
        <w:ind w:left="3600" w:hanging="3600"/>
        <w:rPr>
          <w:rFonts w:cs="Arial"/>
          <w:szCs w:val="24"/>
        </w:rPr>
      </w:pPr>
    </w:p>
    <w:p w14:paraId="51D945A4" w14:textId="03996CE8" w:rsidR="0083051D" w:rsidRDefault="0083051D" w:rsidP="00AF2155">
      <w:pPr>
        <w:ind w:left="3402" w:hanging="3402"/>
        <w:rPr>
          <w:rFonts w:cs="Arial"/>
          <w:szCs w:val="24"/>
        </w:rPr>
      </w:pPr>
      <w:r>
        <w:rPr>
          <w:rFonts w:cs="Arial"/>
          <w:szCs w:val="24"/>
          <w:u w:val="single"/>
        </w:rPr>
        <w:t>Special leave granted</w:t>
      </w:r>
      <w:r>
        <w:rPr>
          <w:rFonts w:cs="Arial"/>
          <w:szCs w:val="24"/>
        </w:rPr>
        <w:t xml:space="preserve">: </w:t>
      </w:r>
      <w:r w:rsidR="00EF04EB">
        <w:rPr>
          <w:rFonts w:cs="Arial"/>
          <w:szCs w:val="24"/>
        </w:rPr>
        <w:tab/>
      </w:r>
      <w:r>
        <w:rPr>
          <w:rFonts w:cs="Arial"/>
          <w:szCs w:val="24"/>
        </w:rPr>
        <w:t>20 October 2023</w:t>
      </w:r>
    </w:p>
    <w:p w14:paraId="17519306" w14:textId="77777777" w:rsidR="0083051D" w:rsidRDefault="0083051D" w:rsidP="0083051D">
      <w:pPr>
        <w:tabs>
          <w:tab w:val="left" w:pos="0"/>
        </w:tabs>
        <w:rPr>
          <w:rFonts w:cs="Arial"/>
          <w:szCs w:val="24"/>
        </w:rPr>
      </w:pPr>
    </w:p>
    <w:p w14:paraId="2F821CFB" w14:textId="5B37E0C7" w:rsidR="0083051D" w:rsidRPr="00883F29" w:rsidRDefault="0083051D" w:rsidP="00EF04EB">
      <w:pPr>
        <w:autoSpaceDE w:val="0"/>
        <w:autoSpaceDN w:val="0"/>
        <w:adjustRightInd w:val="0"/>
        <w:jc w:val="both"/>
        <w:rPr>
          <w:rFonts w:eastAsia="TimesNewRomanPSMT" w:cs="Arial"/>
          <w:szCs w:val="24"/>
          <w:lang w:val="en-AU"/>
        </w:rPr>
      </w:pPr>
      <w:bookmarkStart w:id="0" w:name="para28"/>
      <w:bookmarkStart w:id="1" w:name="para4"/>
      <w:bookmarkStart w:id="2" w:name="Heading109"/>
      <w:bookmarkEnd w:id="0"/>
      <w:bookmarkEnd w:id="1"/>
      <w:bookmarkEnd w:id="2"/>
      <w:r w:rsidRPr="00883F29">
        <w:rPr>
          <w:rFonts w:eastAsia="TimesNewRomanPSMT" w:cs="Arial"/>
          <w:szCs w:val="24"/>
          <w:lang w:val="en-AU"/>
        </w:rPr>
        <w:t xml:space="preserve">In 2020, the respondent </w:t>
      </w:r>
      <w:r>
        <w:rPr>
          <w:rFonts w:eastAsia="TimesNewRomanPSMT" w:cs="Arial"/>
          <w:szCs w:val="24"/>
          <w:lang w:val="en-AU"/>
        </w:rPr>
        <w:t xml:space="preserve">(“DP”) </w:t>
      </w:r>
      <w:r w:rsidRPr="00883F29">
        <w:rPr>
          <w:rFonts w:eastAsia="TimesNewRomanPSMT" w:cs="Arial"/>
          <w:szCs w:val="24"/>
          <w:lang w:val="en-AU"/>
        </w:rPr>
        <w:t>commenced a proceeding in the Supreme Court in which he</w:t>
      </w:r>
      <w:r>
        <w:rPr>
          <w:rFonts w:eastAsia="TimesNewRomanPSMT" w:cs="Arial"/>
          <w:szCs w:val="24"/>
          <w:lang w:val="en-AU"/>
        </w:rPr>
        <w:t xml:space="preserve"> </w:t>
      </w:r>
      <w:r w:rsidRPr="00883F29">
        <w:rPr>
          <w:rFonts w:eastAsia="TimesNewRomanPSMT" w:cs="Arial"/>
          <w:szCs w:val="24"/>
          <w:lang w:val="en-AU"/>
        </w:rPr>
        <w:t xml:space="preserve">claimed damages for psychological injuries which he alleged he sustained </w:t>
      </w:r>
      <w:proofErr w:type="gramStart"/>
      <w:r w:rsidRPr="00883F29">
        <w:rPr>
          <w:rFonts w:eastAsia="TimesNewRomanPSMT" w:cs="Arial"/>
          <w:szCs w:val="24"/>
          <w:lang w:val="en-AU"/>
        </w:rPr>
        <w:t>as a result of</w:t>
      </w:r>
      <w:proofErr w:type="gramEnd"/>
      <w:r>
        <w:rPr>
          <w:rFonts w:eastAsia="TimesNewRomanPSMT" w:cs="Arial"/>
          <w:szCs w:val="24"/>
          <w:lang w:val="en-AU"/>
        </w:rPr>
        <w:t xml:space="preserve"> </w:t>
      </w:r>
      <w:r w:rsidRPr="00883F29">
        <w:rPr>
          <w:rFonts w:eastAsia="TimesNewRomanPSMT" w:cs="Arial"/>
          <w:szCs w:val="24"/>
          <w:lang w:val="en-AU"/>
        </w:rPr>
        <w:t>assaults committed by a Catholic priest, Father Bryan Coffey (</w:t>
      </w:r>
      <w:r>
        <w:rPr>
          <w:rFonts w:eastAsia="TimesNewRomanPSMT" w:cs="Arial"/>
          <w:szCs w:val="24"/>
          <w:lang w:val="en-AU"/>
        </w:rPr>
        <w:t>“</w:t>
      </w:r>
      <w:r w:rsidRPr="00883F29">
        <w:rPr>
          <w:rFonts w:eastAsia="TimesNewRomanPSMT" w:cs="Arial"/>
          <w:szCs w:val="24"/>
          <w:lang w:val="en-AU"/>
        </w:rPr>
        <w:t>Coffey</w:t>
      </w:r>
      <w:r>
        <w:rPr>
          <w:rFonts w:eastAsia="TimesNewRomanPSMT" w:cs="Arial"/>
          <w:szCs w:val="24"/>
          <w:lang w:val="en-AU"/>
        </w:rPr>
        <w:t>”</w:t>
      </w:r>
      <w:r w:rsidRPr="00883F29">
        <w:rPr>
          <w:rFonts w:eastAsia="TimesNewRomanPSMT" w:cs="Arial"/>
          <w:szCs w:val="24"/>
          <w:lang w:val="en-AU"/>
        </w:rPr>
        <w:t>)</w:t>
      </w:r>
      <w:r>
        <w:rPr>
          <w:rFonts w:eastAsia="TimesNewRomanPSMT" w:cs="Arial"/>
          <w:szCs w:val="24"/>
          <w:lang w:val="en-AU"/>
        </w:rPr>
        <w:t>,</w:t>
      </w:r>
      <w:r w:rsidRPr="00883F29">
        <w:rPr>
          <w:rFonts w:eastAsia="TimesNewRomanPSMT" w:cs="Arial"/>
          <w:szCs w:val="24"/>
          <w:lang w:val="en-AU"/>
        </w:rPr>
        <w:t xml:space="preserve"> at the home of</w:t>
      </w:r>
      <w:r>
        <w:rPr>
          <w:rFonts w:eastAsia="TimesNewRomanPSMT" w:cs="Arial"/>
          <w:szCs w:val="24"/>
          <w:lang w:val="en-AU"/>
        </w:rPr>
        <w:t xml:space="preserve"> </w:t>
      </w:r>
      <w:r w:rsidRPr="00883F29">
        <w:rPr>
          <w:rFonts w:eastAsia="TimesNewRomanPSMT" w:cs="Arial"/>
          <w:szCs w:val="24"/>
          <w:lang w:val="en-AU"/>
        </w:rPr>
        <w:t>his parents in Port Fairy in 1971.</w:t>
      </w:r>
      <w:r>
        <w:rPr>
          <w:rFonts w:eastAsia="TimesNewRomanPSMT" w:cs="Arial"/>
          <w:szCs w:val="24"/>
          <w:lang w:val="en-AU"/>
        </w:rPr>
        <w:t xml:space="preserve">  At the time of the alleged assaults Coffey was the assistant parish priest and taught at the local Catholic primary school which DP commenced attending in 1971.  DP </w:t>
      </w:r>
      <w:r w:rsidRPr="00883F29">
        <w:rPr>
          <w:rFonts w:eastAsia="TimesNewRomanPSMT" w:cs="Arial"/>
          <w:szCs w:val="24"/>
          <w:lang w:val="en-AU"/>
        </w:rPr>
        <w:t>instituted the proceeding against the Diocese of Ballarat (</w:t>
      </w:r>
      <w:r>
        <w:rPr>
          <w:rFonts w:eastAsia="TimesNewRomanPSMT" w:cs="Arial"/>
          <w:szCs w:val="24"/>
          <w:lang w:val="en-AU"/>
        </w:rPr>
        <w:t>“</w:t>
      </w:r>
      <w:r w:rsidRPr="00883F29">
        <w:rPr>
          <w:rFonts w:eastAsia="TimesNewRomanPSMT" w:cs="Arial"/>
          <w:szCs w:val="24"/>
          <w:lang w:val="en-AU"/>
        </w:rPr>
        <w:t>the Diocese</w:t>
      </w:r>
      <w:r>
        <w:rPr>
          <w:rFonts w:eastAsia="TimesNewRomanPSMT" w:cs="Arial"/>
          <w:szCs w:val="24"/>
          <w:lang w:val="en-AU"/>
        </w:rPr>
        <w:t>”</w:t>
      </w:r>
      <w:r w:rsidRPr="00883F29">
        <w:rPr>
          <w:rFonts w:eastAsia="TimesNewRomanPSMT" w:cs="Arial"/>
          <w:szCs w:val="24"/>
          <w:lang w:val="en-AU"/>
        </w:rPr>
        <w:t>)</w:t>
      </w:r>
      <w:r>
        <w:rPr>
          <w:rFonts w:eastAsia="TimesNewRomanPSMT" w:cs="Arial"/>
          <w:szCs w:val="24"/>
          <w:lang w:val="en-AU"/>
        </w:rPr>
        <w:t xml:space="preserve"> </w:t>
      </w:r>
      <w:r w:rsidRPr="00883F29">
        <w:rPr>
          <w:rFonts w:eastAsia="TimesNewRomanPSMT" w:cs="Arial"/>
          <w:szCs w:val="24"/>
          <w:lang w:val="en-AU"/>
        </w:rPr>
        <w:t>through the current Bishop, Paul Bird, who was the nominated defendant for the purpose</w:t>
      </w:r>
      <w:r>
        <w:rPr>
          <w:rFonts w:eastAsia="TimesNewRomanPSMT" w:cs="Arial"/>
          <w:szCs w:val="24"/>
          <w:lang w:val="en-AU"/>
        </w:rPr>
        <w:t xml:space="preserve"> </w:t>
      </w:r>
      <w:r w:rsidRPr="00883F29">
        <w:rPr>
          <w:rFonts w:eastAsia="TimesNewRomanPSMT" w:cs="Arial"/>
          <w:szCs w:val="24"/>
          <w:lang w:val="en-AU"/>
        </w:rPr>
        <w:t>of the proceeding pursuant to s</w:t>
      </w:r>
      <w:r>
        <w:rPr>
          <w:rFonts w:eastAsia="TimesNewRomanPSMT" w:cs="Arial"/>
          <w:szCs w:val="24"/>
          <w:lang w:val="en-AU"/>
        </w:rPr>
        <w:t>ection</w:t>
      </w:r>
      <w:r w:rsidRPr="00883F29">
        <w:rPr>
          <w:rFonts w:eastAsia="TimesNewRomanPSMT" w:cs="Arial"/>
          <w:szCs w:val="24"/>
          <w:lang w:val="en-AU"/>
        </w:rPr>
        <w:t xml:space="preserve"> 7 of the </w:t>
      </w:r>
      <w:r w:rsidRPr="00883F29">
        <w:rPr>
          <w:rFonts w:eastAsia="TimesNewRomanPSMT" w:cs="Arial"/>
          <w:i/>
          <w:iCs/>
          <w:szCs w:val="24"/>
          <w:lang w:val="en-AU"/>
        </w:rPr>
        <w:t>Legal Identity of Defendants (Organisational</w:t>
      </w:r>
      <w:r>
        <w:rPr>
          <w:rFonts w:eastAsia="TimesNewRomanPSMT" w:cs="Arial"/>
          <w:i/>
          <w:iCs/>
          <w:szCs w:val="24"/>
          <w:lang w:val="en-AU"/>
        </w:rPr>
        <w:t xml:space="preserve"> </w:t>
      </w:r>
      <w:r w:rsidRPr="00883F29">
        <w:rPr>
          <w:rFonts w:eastAsia="TimesNewRomanPSMT" w:cs="Arial"/>
          <w:i/>
          <w:iCs/>
          <w:szCs w:val="24"/>
          <w:lang w:val="en-AU"/>
        </w:rPr>
        <w:t>Child Abuse) Act 2018</w:t>
      </w:r>
      <w:r w:rsidRPr="00883F29">
        <w:rPr>
          <w:rFonts w:eastAsia="TimesNewRomanPSMT" w:cs="Arial"/>
          <w:szCs w:val="24"/>
          <w:lang w:val="en-AU"/>
        </w:rPr>
        <w:t xml:space="preserve">. </w:t>
      </w:r>
      <w:r>
        <w:rPr>
          <w:rFonts w:eastAsia="TimesNewRomanPSMT" w:cs="Arial"/>
          <w:szCs w:val="24"/>
          <w:lang w:val="en-AU"/>
        </w:rPr>
        <w:t xml:space="preserve"> DP’s </w:t>
      </w:r>
      <w:r w:rsidRPr="00883F29">
        <w:rPr>
          <w:rFonts w:eastAsia="TimesNewRomanPSMT" w:cs="Arial"/>
          <w:szCs w:val="24"/>
          <w:lang w:val="en-AU"/>
        </w:rPr>
        <w:t>claim was made on two bases</w:t>
      </w:r>
      <w:r>
        <w:rPr>
          <w:rFonts w:eastAsia="TimesNewRomanPSMT" w:cs="Arial"/>
          <w:szCs w:val="24"/>
          <w:lang w:val="en-AU"/>
        </w:rPr>
        <w:t>:</w:t>
      </w:r>
      <w:r w:rsidRPr="00883F29">
        <w:rPr>
          <w:rFonts w:eastAsia="TimesNewRomanPSMT" w:cs="Arial"/>
          <w:szCs w:val="24"/>
          <w:lang w:val="en-AU"/>
        </w:rPr>
        <w:t xml:space="preserve"> </w:t>
      </w:r>
      <w:r>
        <w:rPr>
          <w:rFonts w:eastAsia="TimesNewRomanPSMT" w:cs="Arial"/>
          <w:szCs w:val="24"/>
          <w:lang w:val="en-AU"/>
        </w:rPr>
        <w:t>f</w:t>
      </w:r>
      <w:r w:rsidRPr="00883F29">
        <w:rPr>
          <w:rFonts w:eastAsia="TimesNewRomanPSMT" w:cs="Arial"/>
          <w:szCs w:val="24"/>
          <w:lang w:val="en-AU"/>
        </w:rPr>
        <w:t>irst, that the Diocese was vicariously liable for the assaults</w:t>
      </w:r>
      <w:r>
        <w:rPr>
          <w:rFonts w:eastAsia="TimesNewRomanPSMT" w:cs="Arial"/>
          <w:szCs w:val="24"/>
          <w:lang w:val="en-AU"/>
        </w:rPr>
        <w:t xml:space="preserve"> </w:t>
      </w:r>
      <w:r w:rsidRPr="00883F29">
        <w:rPr>
          <w:rFonts w:eastAsia="TimesNewRomanPSMT" w:cs="Arial"/>
          <w:szCs w:val="24"/>
          <w:lang w:val="en-AU"/>
        </w:rPr>
        <w:t>committed by Coffey</w:t>
      </w:r>
      <w:r>
        <w:rPr>
          <w:rFonts w:eastAsia="TimesNewRomanPSMT" w:cs="Arial"/>
          <w:szCs w:val="24"/>
          <w:lang w:val="en-AU"/>
        </w:rPr>
        <w:t>; and s</w:t>
      </w:r>
      <w:r w:rsidRPr="00883F29">
        <w:rPr>
          <w:rFonts w:eastAsia="TimesNewRomanPSMT" w:cs="Arial"/>
          <w:szCs w:val="24"/>
          <w:lang w:val="en-AU"/>
        </w:rPr>
        <w:t>econdly, that the Diocese was directly liable in</w:t>
      </w:r>
      <w:r>
        <w:rPr>
          <w:rFonts w:eastAsia="TimesNewRomanPSMT" w:cs="Arial"/>
          <w:szCs w:val="24"/>
          <w:lang w:val="en-AU"/>
        </w:rPr>
        <w:t xml:space="preserve"> </w:t>
      </w:r>
      <w:r w:rsidRPr="00883F29">
        <w:rPr>
          <w:rFonts w:eastAsia="TimesNewRomanPSMT" w:cs="Arial"/>
          <w:szCs w:val="24"/>
          <w:lang w:val="en-AU"/>
        </w:rPr>
        <w:t xml:space="preserve">negligence </w:t>
      </w:r>
      <w:proofErr w:type="gramStart"/>
      <w:r w:rsidRPr="00883F29">
        <w:rPr>
          <w:rFonts w:eastAsia="TimesNewRomanPSMT" w:cs="Arial"/>
          <w:szCs w:val="24"/>
          <w:lang w:val="en-AU"/>
        </w:rPr>
        <w:t>as a result of</w:t>
      </w:r>
      <w:proofErr w:type="gramEnd"/>
      <w:r w:rsidRPr="00883F29">
        <w:rPr>
          <w:rFonts w:eastAsia="TimesNewRomanPSMT" w:cs="Arial"/>
          <w:szCs w:val="24"/>
          <w:lang w:val="en-AU"/>
        </w:rPr>
        <w:t xml:space="preserve"> the failure by the then Bishop of the Diocese to exercise</w:t>
      </w:r>
      <w:r>
        <w:rPr>
          <w:rFonts w:eastAsia="TimesNewRomanPSMT" w:cs="Arial"/>
          <w:szCs w:val="24"/>
          <w:lang w:val="en-AU"/>
        </w:rPr>
        <w:t xml:space="preserve"> </w:t>
      </w:r>
      <w:r w:rsidRPr="00883F29">
        <w:rPr>
          <w:rFonts w:eastAsia="TimesNewRomanPSMT" w:cs="Arial"/>
          <w:szCs w:val="24"/>
          <w:lang w:val="en-AU"/>
        </w:rPr>
        <w:t>reasonable care in his authority, supervision and control of the conduct of Coffey.</w:t>
      </w:r>
      <w:r w:rsidR="00CD4C85">
        <w:rPr>
          <w:rFonts w:eastAsia="TimesNewRomanPSMT" w:cs="Arial"/>
          <w:szCs w:val="24"/>
          <w:lang w:val="en-AU"/>
        </w:rPr>
        <w:t xml:space="preserve"> </w:t>
      </w:r>
    </w:p>
    <w:p w14:paraId="2D9E8DD2" w14:textId="77777777" w:rsidR="0083051D" w:rsidRDefault="0083051D" w:rsidP="00EF04EB">
      <w:pPr>
        <w:autoSpaceDE w:val="0"/>
        <w:autoSpaceDN w:val="0"/>
        <w:adjustRightInd w:val="0"/>
        <w:jc w:val="both"/>
        <w:rPr>
          <w:rFonts w:eastAsia="TimesNewRomanPSMT" w:cs="Arial"/>
          <w:szCs w:val="24"/>
          <w:lang w:val="en-AU"/>
        </w:rPr>
      </w:pPr>
    </w:p>
    <w:p w14:paraId="36B37374" w14:textId="74940509" w:rsidR="0083051D" w:rsidRDefault="0083051D" w:rsidP="00EF04EB">
      <w:pPr>
        <w:autoSpaceDE w:val="0"/>
        <w:autoSpaceDN w:val="0"/>
        <w:adjustRightInd w:val="0"/>
        <w:jc w:val="both"/>
        <w:rPr>
          <w:rFonts w:eastAsia="TimesNewRomanPSMT" w:cs="Arial"/>
          <w:szCs w:val="24"/>
          <w:lang w:val="en-AU"/>
        </w:rPr>
      </w:pPr>
      <w:r>
        <w:rPr>
          <w:rFonts w:eastAsia="TimesNewRomanPSMT" w:cs="Arial"/>
          <w:szCs w:val="24"/>
          <w:lang w:val="en-AU"/>
        </w:rPr>
        <w:t xml:space="preserve">The trial </w:t>
      </w:r>
      <w:r w:rsidRPr="00883F29">
        <w:rPr>
          <w:rFonts w:eastAsia="TimesNewRomanPSMT" w:cs="Arial"/>
          <w:szCs w:val="24"/>
          <w:lang w:val="en-AU"/>
        </w:rPr>
        <w:t>judge</w:t>
      </w:r>
      <w:r>
        <w:rPr>
          <w:rFonts w:eastAsia="TimesNewRomanPSMT" w:cs="Arial"/>
          <w:szCs w:val="24"/>
          <w:lang w:val="en-AU"/>
        </w:rPr>
        <w:t xml:space="preserve"> </w:t>
      </w:r>
      <w:r w:rsidRPr="00883F29">
        <w:rPr>
          <w:rFonts w:eastAsia="TimesNewRomanPSMT" w:cs="Arial"/>
          <w:szCs w:val="24"/>
          <w:lang w:val="en-AU"/>
        </w:rPr>
        <w:t>concluded that</w:t>
      </w:r>
      <w:r>
        <w:rPr>
          <w:rFonts w:eastAsia="TimesNewRomanPSMT" w:cs="Arial"/>
          <w:szCs w:val="24"/>
          <w:lang w:val="en-AU"/>
        </w:rPr>
        <w:t xml:space="preserve">, on balance, </w:t>
      </w:r>
      <w:r w:rsidRPr="00883F29">
        <w:rPr>
          <w:rFonts w:eastAsia="TimesNewRomanPSMT" w:cs="Arial"/>
          <w:szCs w:val="24"/>
          <w:lang w:val="en-AU"/>
        </w:rPr>
        <w:t xml:space="preserve">Coffey had committed the assaults which DP had alleged. </w:t>
      </w:r>
      <w:r>
        <w:rPr>
          <w:rFonts w:eastAsia="TimesNewRomanPSMT" w:cs="Arial"/>
          <w:szCs w:val="24"/>
          <w:lang w:val="en-AU"/>
        </w:rPr>
        <w:t xml:space="preserve"> </w:t>
      </w:r>
      <w:r w:rsidRPr="00883F29">
        <w:rPr>
          <w:rFonts w:eastAsia="TimesNewRomanPSMT" w:cs="Arial"/>
          <w:szCs w:val="24"/>
          <w:lang w:val="en-AU"/>
        </w:rPr>
        <w:t>His Honour held that</w:t>
      </w:r>
      <w:r>
        <w:rPr>
          <w:rFonts w:eastAsia="TimesNewRomanPSMT" w:cs="Arial"/>
          <w:szCs w:val="24"/>
          <w:lang w:val="en-AU"/>
        </w:rPr>
        <w:t>, notwithstanding the unlawful nature of Coffey’s acts,</w:t>
      </w:r>
      <w:r w:rsidRPr="00883F29">
        <w:rPr>
          <w:rFonts w:eastAsia="TimesNewRomanPSMT" w:cs="Arial"/>
          <w:szCs w:val="24"/>
          <w:lang w:val="en-AU"/>
        </w:rPr>
        <w:t xml:space="preserve"> the</w:t>
      </w:r>
      <w:r>
        <w:rPr>
          <w:rFonts w:eastAsia="TimesNewRomanPSMT" w:cs="Arial"/>
          <w:szCs w:val="24"/>
          <w:lang w:val="en-AU"/>
        </w:rPr>
        <w:t xml:space="preserve"> </w:t>
      </w:r>
      <w:r w:rsidRPr="00883F29">
        <w:rPr>
          <w:rFonts w:eastAsia="TimesNewRomanPSMT" w:cs="Arial"/>
          <w:szCs w:val="24"/>
          <w:lang w:val="en-AU"/>
        </w:rPr>
        <w:t>Diocese was vicariously liable for those assaults</w:t>
      </w:r>
      <w:r>
        <w:rPr>
          <w:rFonts w:eastAsia="TimesNewRomanPSMT" w:cs="Arial"/>
          <w:szCs w:val="24"/>
          <w:lang w:val="en-AU"/>
        </w:rPr>
        <w:t xml:space="preserve">. </w:t>
      </w:r>
      <w:r w:rsidRPr="00883F29">
        <w:rPr>
          <w:rFonts w:eastAsia="TimesNewRomanPSMT" w:cs="Arial"/>
          <w:szCs w:val="24"/>
          <w:lang w:val="en-AU"/>
        </w:rPr>
        <w:t xml:space="preserve"> </w:t>
      </w:r>
      <w:r w:rsidR="00894060">
        <w:rPr>
          <w:rFonts w:eastAsia="TimesNewRomanPSMT" w:cs="Arial"/>
          <w:szCs w:val="24"/>
          <w:lang w:val="en-AU"/>
        </w:rPr>
        <w:br/>
      </w:r>
      <w:r>
        <w:rPr>
          <w:rFonts w:eastAsia="TimesNewRomanPSMT" w:cs="Arial"/>
          <w:szCs w:val="24"/>
          <w:lang w:val="en-AU"/>
        </w:rPr>
        <w:t>However, the trial judge found that DP</w:t>
      </w:r>
      <w:r w:rsidRPr="00883F29">
        <w:rPr>
          <w:rFonts w:eastAsia="TimesNewRomanPSMT" w:cs="Arial"/>
          <w:szCs w:val="24"/>
          <w:lang w:val="en-AU"/>
        </w:rPr>
        <w:t xml:space="preserve"> had not</w:t>
      </w:r>
      <w:r>
        <w:rPr>
          <w:rFonts w:eastAsia="TimesNewRomanPSMT" w:cs="Arial"/>
          <w:szCs w:val="24"/>
          <w:lang w:val="en-AU"/>
        </w:rPr>
        <w:t xml:space="preserve"> </w:t>
      </w:r>
      <w:r w:rsidRPr="00883F29">
        <w:rPr>
          <w:rFonts w:eastAsia="TimesNewRomanPSMT" w:cs="Arial"/>
          <w:szCs w:val="24"/>
          <w:lang w:val="en-AU"/>
        </w:rPr>
        <w:t xml:space="preserve">established that the Diocese was directly liable to him in negligence. </w:t>
      </w:r>
      <w:r>
        <w:rPr>
          <w:rFonts w:eastAsia="TimesNewRomanPSMT" w:cs="Arial"/>
          <w:szCs w:val="24"/>
          <w:lang w:val="en-AU"/>
        </w:rPr>
        <w:t xml:space="preserve"> </w:t>
      </w:r>
      <w:r w:rsidRPr="00883F29">
        <w:rPr>
          <w:rFonts w:eastAsia="TimesNewRomanPSMT" w:cs="Arial"/>
          <w:szCs w:val="24"/>
          <w:lang w:val="en-AU"/>
        </w:rPr>
        <w:t>The judge assessed</w:t>
      </w:r>
      <w:r>
        <w:rPr>
          <w:rFonts w:eastAsia="TimesNewRomanPSMT" w:cs="Arial"/>
          <w:szCs w:val="24"/>
          <w:lang w:val="en-AU"/>
        </w:rPr>
        <w:t xml:space="preserve"> DP’s total damages at $230,000.</w:t>
      </w:r>
    </w:p>
    <w:p w14:paraId="1D60EB88" w14:textId="77777777" w:rsidR="0083051D" w:rsidRDefault="0083051D" w:rsidP="00EF04EB">
      <w:pPr>
        <w:tabs>
          <w:tab w:val="left" w:pos="0"/>
        </w:tabs>
        <w:jc w:val="both"/>
        <w:rPr>
          <w:rFonts w:cs="Arial"/>
          <w:szCs w:val="24"/>
        </w:rPr>
      </w:pPr>
    </w:p>
    <w:p w14:paraId="2A387156" w14:textId="6D922DB1" w:rsidR="0083051D" w:rsidRDefault="0083051D" w:rsidP="00EF04EB">
      <w:pPr>
        <w:autoSpaceDE w:val="0"/>
        <w:autoSpaceDN w:val="0"/>
        <w:adjustRightInd w:val="0"/>
        <w:jc w:val="both"/>
        <w:rPr>
          <w:rFonts w:eastAsia="TimesNewRomanPSMT" w:cs="Arial"/>
          <w:szCs w:val="24"/>
          <w:lang w:val="en-AU"/>
        </w:rPr>
      </w:pPr>
      <w:r>
        <w:rPr>
          <w:rFonts w:cs="Arial"/>
          <w:szCs w:val="24"/>
        </w:rPr>
        <w:t xml:space="preserve">The appellant sought leave to appeal to the Court of Appeal.  </w:t>
      </w:r>
      <w:r w:rsidRPr="00E41F1E">
        <w:rPr>
          <w:rFonts w:eastAsia="TimesNewRomanPSMT" w:cs="Arial"/>
          <w:szCs w:val="24"/>
          <w:lang w:val="en-AU"/>
        </w:rPr>
        <w:t xml:space="preserve">It was common ground </w:t>
      </w:r>
      <w:r>
        <w:rPr>
          <w:rFonts w:eastAsia="TimesNewRomanPSMT" w:cs="Arial"/>
          <w:szCs w:val="24"/>
          <w:lang w:val="en-AU"/>
        </w:rPr>
        <w:t xml:space="preserve">before the Court of Appeal </w:t>
      </w:r>
      <w:r w:rsidRPr="00E41F1E">
        <w:rPr>
          <w:rFonts w:eastAsia="TimesNewRomanPSMT" w:cs="Arial"/>
          <w:szCs w:val="24"/>
          <w:lang w:val="en-AU"/>
        </w:rPr>
        <w:t>that, at the relevant time, Coffey was neither an</w:t>
      </w:r>
      <w:r>
        <w:rPr>
          <w:rFonts w:eastAsia="TimesNewRomanPSMT" w:cs="Arial"/>
          <w:szCs w:val="24"/>
          <w:lang w:val="en-AU"/>
        </w:rPr>
        <w:t xml:space="preserve"> </w:t>
      </w:r>
      <w:r w:rsidRPr="00E41F1E">
        <w:rPr>
          <w:rFonts w:eastAsia="TimesNewRomanPSMT" w:cs="Arial"/>
          <w:szCs w:val="24"/>
          <w:lang w:val="en-AU"/>
        </w:rPr>
        <w:t xml:space="preserve">employee of the Diocese, nor was he an independent contractor engaged by it. </w:t>
      </w:r>
      <w:r>
        <w:rPr>
          <w:rFonts w:eastAsia="TimesNewRomanPSMT" w:cs="Arial"/>
          <w:szCs w:val="24"/>
          <w:lang w:val="en-AU"/>
        </w:rPr>
        <w:t xml:space="preserve"> </w:t>
      </w:r>
      <w:r w:rsidR="00894060">
        <w:rPr>
          <w:rFonts w:eastAsia="TimesNewRomanPSMT" w:cs="Arial"/>
          <w:szCs w:val="24"/>
          <w:lang w:val="en-AU"/>
        </w:rPr>
        <w:br/>
      </w:r>
      <w:r>
        <w:rPr>
          <w:rFonts w:eastAsia="TimesNewRomanPSMT" w:cs="Arial"/>
          <w:szCs w:val="24"/>
          <w:lang w:val="en-AU"/>
        </w:rPr>
        <w:t xml:space="preserve">The two issues before that Court were: a) </w:t>
      </w:r>
      <w:r w:rsidRPr="00E41F1E">
        <w:rPr>
          <w:rFonts w:eastAsia="TimesNewRomanPSMT" w:cs="Arial"/>
          <w:szCs w:val="24"/>
          <w:lang w:val="en-AU"/>
        </w:rPr>
        <w:t>whether the particular relationship between</w:t>
      </w:r>
      <w:r>
        <w:rPr>
          <w:rFonts w:eastAsia="TimesNewRomanPSMT" w:cs="Arial"/>
          <w:szCs w:val="24"/>
          <w:lang w:val="en-AU"/>
        </w:rPr>
        <w:t xml:space="preserve"> </w:t>
      </w:r>
      <w:r w:rsidRPr="00E41F1E">
        <w:rPr>
          <w:rFonts w:eastAsia="TimesNewRomanPSMT" w:cs="Arial"/>
          <w:szCs w:val="24"/>
          <w:lang w:val="en-AU"/>
        </w:rPr>
        <w:t>Coffey and the Diocese was one to which the principles of vicarious liability may, in an</w:t>
      </w:r>
      <w:r>
        <w:rPr>
          <w:rFonts w:eastAsia="TimesNewRomanPSMT" w:cs="Arial"/>
          <w:szCs w:val="24"/>
          <w:lang w:val="en-AU"/>
        </w:rPr>
        <w:t xml:space="preserve"> </w:t>
      </w:r>
      <w:r w:rsidRPr="00E41F1E">
        <w:rPr>
          <w:rFonts w:eastAsia="TimesNewRomanPSMT" w:cs="Arial"/>
          <w:szCs w:val="24"/>
          <w:lang w:val="en-AU"/>
        </w:rPr>
        <w:t>appropriate case, apply</w:t>
      </w:r>
      <w:r>
        <w:rPr>
          <w:rFonts w:eastAsia="TimesNewRomanPSMT" w:cs="Arial"/>
          <w:szCs w:val="24"/>
          <w:lang w:val="en-AU"/>
        </w:rPr>
        <w:t xml:space="preserve">; and b) if so, </w:t>
      </w:r>
      <w:r w:rsidRPr="00E41F1E">
        <w:rPr>
          <w:rFonts w:eastAsia="TimesNewRomanPSMT" w:cs="Arial"/>
          <w:szCs w:val="24"/>
          <w:lang w:val="en-AU"/>
        </w:rPr>
        <w:t>whether</w:t>
      </w:r>
      <w:r>
        <w:rPr>
          <w:rFonts w:eastAsia="TimesNewRomanPSMT" w:cs="Arial"/>
          <w:szCs w:val="24"/>
          <w:lang w:val="en-AU"/>
        </w:rPr>
        <w:t xml:space="preserve"> </w:t>
      </w:r>
      <w:r w:rsidRPr="00E41F1E">
        <w:rPr>
          <w:rFonts w:eastAsia="TimesNewRomanPSMT" w:cs="Arial"/>
          <w:szCs w:val="24"/>
          <w:lang w:val="en-AU"/>
        </w:rPr>
        <w:t xml:space="preserve">the criminal assaults committed by Coffey against </w:t>
      </w:r>
      <w:r>
        <w:rPr>
          <w:rFonts w:eastAsia="TimesNewRomanPSMT" w:cs="Arial"/>
          <w:szCs w:val="24"/>
          <w:lang w:val="en-AU"/>
        </w:rPr>
        <w:t xml:space="preserve">DP </w:t>
      </w:r>
      <w:r w:rsidRPr="00E41F1E">
        <w:rPr>
          <w:rFonts w:eastAsia="TimesNewRomanPSMT" w:cs="Arial"/>
          <w:szCs w:val="24"/>
          <w:lang w:val="en-AU"/>
        </w:rPr>
        <w:t>were sufficiently</w:t>
      </w:r>
      <w:r>
        <w:rPr>
          <w:rFonts w:eastAsia="TimesNewRomanPSMT" w:cs="Arial"/>
          <w:szCs w:val="24"/>
          <w:lang w:val="en-AU"/>
        </w:rPr>
        <w:t xml:space="preserve"> </w:t>
      </w:r>
      <w:r w:rsidRPr="00E41F1E">
        <w:rPr>
          <w:rFonts w:eastAsia="TimesNewRomanPSMT" w:cs="Arial"/>
          <w:szCs w:val="24"/>
          <w:lang w:val="en-AU"/>
        </w:rPr>
        <w:t>related to that relationship so as to give rise to a liability of the</w:t>
      </w:r>
      <w:r>
        <w:rPr>
          <w:rFonts w:eastAsia="TimesNewRomanPSMT" w:cs="Arial"/>
          <w:szCs w:val="24"/>
          <w:lang w:val="en-AU"/>
        </w:rPr>
        <w:t xml:space="preserve"> </w:t>
      </w:r>
      <w:r w:rsidRPr="00E41F1E">
        <w:rPr>
          <w:rFonts w:eastAsia="TimesNewRomanPSMT" w:cs="Arial"/>
          <w:szCs w:val="24"/>
          <w:lang w:val="en-AU"/>
        </w:rPr>
        <w:t>Diocese in respect of</w:t>
      </w:r>
      <w:r>
        <w:rPr>
          <w:rFonts w:eastAsia="TimesNewRomanPSMT" w:cs="Arial"/>
          <w:szCs w:val="24"/>
          <w:lang w:val="en-AU"/>
        </w:rPr>
        <w:t xml:space="preserve"> t</w:t>
      </w:r>
      <w:r w:rsidRPr="00E41F1E">
        <w:rPr>
          <w:rFonts w:eastAsia="TimesNewRomanPSMT" w:cs="Arial"/>
          <w:szCs w:val="24"/>
          <w:lang w:val="en-AU"/>
        </w:rPr>
        <w:t>hem</w:t>
      </w:r>
      <w:r>
        <w:rPr>
          <w:rFonts w:eastAsia="TimesNewRomanPSMT" w:cs="Arial"/>
          <w:szCs w:val="24"/>
          <w:lang w:val="en-AU"/>
        </w:rPr>
        <w:t xml:space="preserve">. </w:t>
      </w:r>
    </w:p>
    <w:p w14:paraId="5260BB2B" w14:textId="77777777" w:rsidR="0083051D" w:rsidRDefault="0083051D" w:rsidP="00EF04EB">
      <w:pPr>
        <w:autoSpaceDE w:val="0"/>
        <w:autoSpaceDN w:val="0"/>
        <w:adjustRightInd w:val="0"/>
        <w:jc w:val="both"/>
        <w:rPr>
          <w:rFonts w:eastAsia="TimesNewRomanPSMT" w:cs="Arial"/>
          <w:szCs w:val="24"/>
          <w:lang w:val="en-AU"/>
        </w:rPr>
      </w:pPr>
    </w:p>
    <w:p w14:paraId="63F95309" w14:textId="3CB13361" w:rsidR="0083051D" w:rsidRDefault="0083051D" w:rsidP="00EF04EB">
      <w:pPr>
        <w:autoSpaceDE w:val="0"/>
        <w:autoSpaceDN w:val="0"/>
        <w:adjustRightInd w:val="0"/>
        <w:jc w:val="both"/>
        <w:rPr>
          <w:rFonts w:eastAsia="TimesNewRomanPSMT" w:cs="Arial"/>
          <w:szCs w:val="24"/>
          <w:lang w:val="en-AU"/>
        </w:rPr>
      </w:pPr>
      <w:r>
        <w:rPr>
          <w:rFonts w:eastAsia="TimesNewRomanPSMT" w:cs="Arial"/>
          <w:szCs w:val="24"/>
          <w:lang w:val="en-AU"/>
        </w:rPr>
        <w:t>The Court of Appeal (Beach, Niall &amp; Kaye JJA) observed that t</w:t>
      </w:r>
      <w:r w:rsidRPr="00CB688B">
        <w:rPr>
          <w:rFonts w:eastAsia="TimesNewRomanPSMT" w:cs="Arial"/>
          <w:szCs w:val="24"/>
          <w:lang w:val="en-AU"/>
        </w:rPr>
        <w:t xml:space="preserve">he relationship between a diocese and a priest or assistant priest is, necessarily, </w:t>
      </w:r>
      <w:r w:rsidRPr="00CB688B">
        <w:rPr>
          <w:rFonts w:eastAsia="TimesNewRomanPSMT" w:cs="Arial"/>
          <w:i/>
          <w:iCs/>
          <w:szCs w:val="24"/>
          <w:lang w:val="en-AU"/>
        </w:rPr>
        <w:t>sui</w:t>
      </w:r>
      <w:r>
        <w:rPr>
          <w:rFonts w:eastAsia="TimesNewRomanPSMT" w:cs="Arial"/>
          <w:i/>
          <w:iCs/>
          <w:szCs w:val="24"/>
          <w:lang w:val="en-AU"/>
        </w:rPr>
        <w:t xml:space="preserve"> </w:t>
      </w:r>
      <w:r w:rsidRPr="00CB688B">
        <w:rPr>
          <w:rFonts w:eastAsia="TimesNewRomanPSMT" w:cs="Arial"/>
          <w:i/>
          <w:iCs/>
          <w:szCs w:val="24"/>
          <w:lang w:val="en-AU"/>
        </w:rPr>
        <w:t>generi</w:t>
      </w:r>
      <w:r>
        <w:rPr>
          <w:rFonts w:eastAsia="TimesNewRomanPSMT" w:cs="Arial"/>
          <w:i/>
          <w:iCs/>
          <w:szCs w:val="24"/>
          <w:lang w:val="en-AU"/>
        </w:rPr>
        <w:t xml:space="preserve">s </w:t>
      </w:r>
      <w:r w:rsidRPr="00CB688B">
        <w:rPr>
          <w:rFonts w:eastAsia="TimesNewRomanPSMT" w:cs="Arial"/>
          <w:szCs w:val="24"/>
          <w:lang w:val="en-AU"/>
        </w:rPr>
        <w:t>a</w:t>
      </w:r>
      <w:r>
        <w:rPr>
          <w:rFonts w:eastAsia="TimesNewRomanPSMT" w:cs="Arial"/>
          <w:szCs w:val="24"/>
          <w:lang w:val="en-AU"/>
        </w:rPr>
        <w:t xml:space="preserve">nd that </w:t>
      </w:r>
      <w:r w:rsidRPr="00CB688B">
        <w:rPr>
          <w:rFonts w:eastAsia="TimesNewRomanPSMT" w:cs="Arial"/>
          <w:szCs w:val="24"/>
          <w:lang w:val="en-AU"/>
        </w:rPr>
        <w:t>the relationship is founded in the context of the hierarchical</w:t>
      </w:r>
      <w:r>
        <w:rPr>
          <w:rFonts w:eastAsia="TimesNewRomanPSMT" w:cs="Arial"/>
          <w:szCs w:val="24"/>
          <w:lang w:val="en-AU"/>
        </w:rPr>
        <w:t xml:space="preserve"> </w:t>
      </w:r>
      <w:r w:rsidRPr="00CB688B">
        <w:rPr>
          <w:rFonts w:eastAsia="TimesNewRomanPSMT" w:cs="Arial"/>
          <w:szCs w:val="24"/>
          <w:lang w:val="en-AU"/>
        </w:rPr>
        <w:t>system of a Diocese of the Roman Catholic Church.</w:t>
      </w:r>
      <w:r>
        <w:rPr>
          <w:rFonts w:eastAsia="TimesNewRomanPSMT" w:cs="Arial"/>
          <w:szCs w:val="24"/>
          <w:lang w:val="en-AU"/>
        </w:rPr>
        <w:t xml:space="preserve">  The Court identified </w:t>
      </w:r>
      <w:r w:rsidRPr="00CB688B">
        <w:rPr>
          <w:rFonts w:eastAsia="TimesNewRomanPSMT" w:cs="Arial"/>
          <w:szCs w:val="24"/>
          <w:lang w:val="en-AU"/>
        </w:rPr>
        <w:t>that the question</w:t>
      </w:r>
      <w:r>
        <w:rPr>
          <w:rFonts w:eastAsia="TimesNewRomanPSMT" w:cs="Arial"/>
          <w:szCs w:val="24"/>
          <w:lang w:val="en-AU"/>
        </w:rPr>
        <w:t xml:space="preserve"> for determination</w:t>
      </w:r>
      <w:r w:rsidRPr="00CB688B">
        <w:rPr>
          <w:rFonts w:eastAsia="TimesNewRomanPSMT" w:cs="Arial"/>
          <w:szCs w:val="24"/>
          <w:lang w:val="en-AU"/>
        </w:rPr>
        <w:t xml:space="preserve"> </w:t>
      </w:r>
      <w:r>
        <w:rPr>
          <w:rFonts w:eastAsia="TimesNewRomanPSMT" w:cs="Arial"/>
          <w:szCs w:val="24"/>
          <w:lang w:val="en-AU"/>
        </w:rPr>
        <w:t xml:space="preserve">was </w:t>
      </w:r>
      <w:r w:rsidRPr="00CB688B">
        <w:rPr>
          <w:rFonts w:eastAsia="TimesNewRomanPSMT" w:cs="Arial"/>
          <w:szCs w:val="24"/>
          <w:lang w:val="en-AU"/>
        </w:rPr>
        <w:t xml:space="preserve">whether, applying the </w:t>
      </w:r>
      <w:r>
        <w:rPr>
          <w:rFonts w:eastAsia="TimesNewRomanPSMT" w:cs="Arial"/>
          <w:szCs w:val="24"/>
          <w:lang w:val="en-AU"/>
        </w:rPr>
        <w:t xml:space="preserve">relevant </w:t>
      </w:r>
      <w:r w:rsidRPr="00CB688B">
        <w:rPr>
          <w:rFonts w:eastAsia="TimesNewRomanPSMT" w:cs="Arial"/>
          <w:szCs w:val="24"/>
          <w:lang w:val="en-AU"/>
        </w:rPr>
        <w:t>principles</w:t>
      </w:r>
      <w:r>
        <w:rPr>
          <w:rFonts w:eastAsia="TimesNewRomanPSMT" w:cs="Arial"/>
          <w:szCs w:val="24"/>
          <w:lang w:val="en-AU"/>
        </w:rPr>
        <w:t>,</w:t>
      </w:r>
      <w:r w:rsidRPr="00CB688B">
        <w:rPr>
          <w:rFonts w:eastAsia="TimesNewRomanPSMT" w:cs="Arial"/>
          <w:szCs w:val="24"/>
          <w:lang w:val="en-AU"/>
        </w:rPr>
        <w:t xml:space="preserve"> the</w:t>
      </w:r>
      <w:r>
        <w:rPr>
          <w:rFonts w:eastAsia="TimesNewRomanPSMT" w:cs="Arial"/>
          <w:szCs w:val="24"/>
          <w:lang w:val="en-AU"/>
        </w:rPr>
        <w:t xml:space="preserve"> </w:t>
      </w:r>
      <w:r w:rsidRPr="00CB688B">
        <w:rPr>
          <w:rFonts w:eastAsia="TimesNewRomanPSMT" w:cs="Arial"/>
          <w:szCs w:val="24"/>
          <w:lang w:val="en-AU"/>
        </w:rPr>
        <w:t xml:space="preserve">evidence </w:t>
      </w:r>
      <w:r>
        <w:rPr>
          <w:rFonts w:eastAsia="TimesNewRomanPSMT" w:cs="Arial"/>
          <w:szCs w:val="24"/>
          <w:lang w:val="en-AU"/>
        </w:rPr>
        <w:t xml:space="preserve">revealed </w:t>
      </w:r>
      <w:r w:rsidRPr="00CB688B">
        <w:rPr>
          <w:rFonts w:eastAsia="TimesNewRomanPSMT" w:cs="Arial"/>
          <w:szCs w:val="24"/>
          <w:lang w:val="en-AU"/>
        </w:rPr>
        <w:t>that the content of the relationship between the Diocese</w:t>
      </w:r>
      <w:r>
        <w:rPr>
          <w:rFonts w:eastAsia="TimesNewRomanPSMT" w:cs="Arial"/>
          <w:szCs w:val="24"/>
          <w:lang w:val="en-AU"/>
        </w:rPr>
        <w:t xml:space="preserve"> </w:t>
      </w:r>
      <w:r w:rsidRPr="00CB688B">
        <w:rPr>
          <w:rFonts w:eastAsia="TimesNewRomanPSMT" w:cs="Arial"/>
          <w:szCs w:val="24"/>
          <w:lang w:val="en-AU"/>
        </w:rPr>
        <w:t>and Coffey, as an assistant priest within the Diocese, was such as would, in an</w:t>
      </w:r>
      <w:r w:rsidRPr="00CB688B">
        <w:rPr>
          <w:rFonts w:ascii="TimesNewRomanPSMT" w:eastAsia="TimesNewRomanPSMT" w:hAnsi="Times New Roman" w:cs="TimesNewRomanPSMT"/>
          <w:sz w:val="26"/>
          <w:szCs w:val="26"/>
          <w:lang w:val="en-AU"/>
        </w:rPr>
        <w:t xml:space="preserve"> </w:t>
      </w:r>
      <w:r w:rsidRPr="00CB688B">
        <w:rPr>
          <w:rFonts w:eastAsia="TimesNewRomanPSMT" w:cs="Arial"/>
          <w:szCs w:val="24"/>
          <w:lang w:val="en-AU"/>
        </w:rPr>
        <w:t>appropriate case, attract the principle of vicarious liability by the Diocese for a wrongful</w:t>
      </w:r>
      <w:r>
        <w:rPr>
          <w:rFonts w:eastAsia="TimesNewRomanPSMT" w:cs="Arial"/>
          <w:szCs w:val="24"/>
          <w:lang w:val="en-AU"/>
        </w:rPr>
        <w:t xml:space="preserve"> </w:t>
      </w:r>
      <w:r w:rsidRPr="00CB688B">
        <w:rPr>
          <w:rFonts w:eastAsia="TimesNewRomanPSMT" w:cs="Arial"/>
          <w:szCs w:val="24"/>
          <w:lang w:val="en-AU"/>
        </w:rPr>
        <w:t>act by Coffey in the performance of his work.</w:t>
      </w:r>
      <w:r>
        <w:rPr>
          <w:rFonts w:eastAsia="TimesNewRomanPSMT" w:cs="Arial"/>
          <w:szCs w:val="24"/>
          <w:lang w:val="en-AU"/>
        </w:rPr>
        <w:t xml:space="preserve">  The Court held that the trial judge was correct in concluding that the relationship between the Diocese and Coffey could render the Diocese vicariously liable.  The Court further held that the trial judge was justified in concluding that the position of power and intimacy invested in Coffey as an </w:t>
      </w:r>
      <w:r>
        <w:rPr>
          <w:rFonts w:eastAsia="TimesNewRomanPSMT" w:cs="Arial"/>
          <w:szCs w:val="24"/>
          <w:lang w:val="en-AU"/>
        </w:rPr>
        <w:lastRenderedPageBreak/>
        <w:t>assistant parish priest, provided him with not only the opportunity to sexually abuse DP, but also the occasion for the commission of those wrongful acts.</w:t>
      </w:r>
    </w:p>
    <w:p w14:paraId="0AEE3DAA" w14:textId="77777777" w:rsidR="0083051D" w:rsidRDefault="0083051D" w:rsidP="00EF04EB">
      <w:pPr>
        <w:tabs>
          <w:tab w:val="left" w:pos="0"/>
        </w:tabs>
        <w:jc w:val="both"/>
        <w:rPr>
          <w:rFonts w:cs="Arial"/>
          <w:szCs w:val="24"/>
        </w:rPr>
      </w:pPr>
      <w:r w:rsidRPr="00872ECB">
        <w:rPr>
          <w:rFonts w:cs="Arial"/>
          <w:szCs w:val="24"/>
        </w:rPr>
        <w:t xml:space="preserve">The </w:t>
      </w:r>
      <w:r>
        <w:rPr>
          <w:rFonts w:cs="Arial"/>
          <w:szCs w:val="24"/>
        </w:rPr>
        <w:t>grounds of appeal are</w:t>
      </w:r>
      <w:r w:rsidRPr="00872ECB">
        <w:rPr>
          <w:rFonts w:cs="Arial"/>
          <w:szCs w:val="24"/>
        </w:rPr>
        <w:t>:</w:t>
      </w:r>
    </w:p>
    <w:p w14:paraId="70C0527C" w14:textId="77777777" w:rsidR="0083051D" w:rsidRDefault="0083051D" w:rsidP="00EF04EB">
      <w:pPr>
        <w:tabs>
          <w:tab w:val="left" w:pos="0"/>
        </w:tabs>
        <w:jc w:val="both"/>
        <w:rPr>
          <w:rFonts w:cs="Arial"/>
          <w:szCs w:val="24"/>
        </w:rPr>
      </w:pPr>
    </w:p>
    <w:p w14:paraId="1D2953F0" w14:textId="77777777" w:rsidR="0083051D" w:rsidRDefault="0083051D" w:rsidP="00EF04EB">
      <w:pPr>
        <w:pStyle w:val="ListParagraph"/>
        <w:numPr>
          <w:ilvl w:val="0"/>
          <w:numId w:val="14"/>
        </w:numPr>
        <w:autoSpaceDE w:val="0"/>
        <w:autoSpaceDN w:val="0"/>
        <w:adjustRightInd w:val="0"/>
        <w:ind w:left="426" w:hanging="426"/>
        <w:contextualSpacing w:val="0"/>
        <w:jc w:val="both"/>
        <w:rPr>
          <w:rFonts w:cs="Arial"/>
          <w:szCs w:val="24"/>
          <w:lang w:val="en-AU"/>
        </w:rPr>
      </w:pPr>
      <w:r w:rsidRPr="00883F29">
        <w:rPr>
          <w:rFonts w:cs="Arial"/>
          <w:szCs w:val="24"/>
          <w:lang w:val="en-AU"/>
        </w:rPr>
        <w:t>Where:</w:t>
      </w:r>
    </w:p>
    <w:p w14:paraId="5585DF73" w14:textId="77777777" w:rsidR="0083051D" w:rsidRPr="00883F29" w:rsidRDefault="0083051D" w:rsidP="00EF04EB">
      <w:pPr>
        <w:pStyle w:val="ListParagraph"/>
        <w:autoSpaceDE w:val="0"/>
        <w:autoSpaceDN w:val="0"/>
        <w:adjustRightInd w:val="0"/>
        <w:ind w:left="360"/>
        <w:jc w:val="both"/>
        <w:rPr>
          <w:rFonts w:cs="Arial"/>
          <w:szCs w:val="24"/>
          <w:lang w:val="en-AU"/>
        </w:rPr>
      </w:pPr>
    </w:p>
    <w:p w14:paraId="0BDA20A3" w14:textId="77777777" w:rsidR="0083051D" w:rsidRDefault="0083051D" w:rsidP="00EF04EB">
      <w:pPr>
        <w:pStyle w:val="ListParagraph"/>
        <w:numPr>
          <w:ilvl w:val="0"/>
          <w:numId w:val="15"/>
        </w:numPr>
        <w:autoSpaceDE w:val="0"/>
        <w:autoSpaceDN w:val="0"/>
        <w:adjustRightInd w:val="0"/>
        <w:ind w:left="851" w:hanging="425"/>
        <w:contextualSpacing w:val="0"/>
        <w:jc w:val="both"/>
        <w:rPr>
          <w:rFonts w:cs="Arial"/>
          <w:szCs w:val="24"/>
          <w:lang w:val="en-AU"/>
        </w:rPr>
      </w:pPr>
      <w:r w:rsidRPr="00883F29">
        <w:rPr>
          <w:rFonts w:cs="Arial"/>
          <w:szCs w:val="24"/>
          <w:lang w:val="en-AU"/>
        </w:rPr>
        <w:t>there was an express finding that the tortfeasor was not in an employment</w:t>
      </w:r>
      <w:r>
        <w:rPr>
          <w:rFonts w:cs="Arial"/>
          <w:szCs w:val="24"/>
          <w:lang w:val="en-AU"/>
        </w:rPr>
        <w:t xml:space="preserve"> </w:t>
      </w:r>
      <w:r w:rsidRPr="00883F29">
        <w:rPr>
          <w:rFonts w:cs="Arial"/>
          <w:szCs w:val="24"/>
          <w:lang w:val="en-AU"/>
        </w:rPr>
        <w:t>relationship with the appellant {J, [211]; CA, [44]}; and</w:t>
      </w:r>
    </w:p>
    <w:p w14:paraId="4A22C93B" w14:textId="77777777" w:rsidR="0083051D" w:rsidRPr="00883F29" w:rsidRDefault="0083051D" w:rsidP="00EF04EB">
      <w:pPr>
        <w:pStyle w:val="ListParagraph"/>
        <w:autoSpaceDE w:val="0"/>
        <w:autoSpaceDN w:val="0"/>
        <w:adjustRightInd w:val="0"/>
        <w:ind w:left="1440"/>
        <w:jc w:val="both"/>
        <w:rPr>
          <w:rFonts w:cs="Arial"/>
          <w:szCs w:val="24"/>
          <w:lang w:val="en-AU"/>
        </w:rPr>
      </w:pPr>
    </w:p>
    <w:p w14:paraId="338EC93B" w14:textId="77777777" w:rsidR="0083051D" w:rsidRDefault="0083051D" w:rsidP="00EF04EB">
      <w:pPr>
        <w:pStyle w:val="ListParagraph"/>
        <w:numPr>
          <w:ilvl w:val="0"/>
          <w:numId w:val="15"/>
        </w:numPr>
        <w:autoSpaceDE w:val="0"/>
        <w:autoSpaceDN w:val="0"/>
        <w:adjustRightInd w:val="0"/>
        <w:ind w:left="851" w:hanging="425"/>
        <w:contextualSpacing w:val="0"/>
        <w:jc w:val="both"/>
        <w:rPr>
          <w:rFonts w:cs="Arial"/>
          <w:szCs w:val="24"/>
          <w:lang w:val="en-AU"/>
        </w:rPr>
      </w:pPr>
      <w:r w:rsidRPr="00883F29">
        <w:rPr>
          <w:rFonts w:cs="Arial"/>
          <w:szCs w:val="24"/>
          <w:lang w:val="en-AU"/>
        </w:rPr>
        <w:t>there was no finding that the tortious conduct occurred as part of</w:t>
      </w:r>
      <w:r>
        <w:rPr>
          <w:rFonts w:cs="Arial"/>
          <w:szCs w:val="24"/>
          <w:lang w:val="en-AU"/>
        </w:rPr>
        <w:t xml:space="preserve"> </w:t>
      </w:r>
      <w:r w:rsidRPr="00883F29">
        <w:rPr>
          <w:rFonts w:cs="Arial"/>
          <w:szCs w:val="24"/>
          <w:lang w:val="en-AU"/>
        </w:rPr>
        <w:t>any agency</w:t>
      </w:r>
      <w:r>
        <w:rPr>
          <w:rFonts w:cs="Arial"/>
          <w:szCs w:val="24"/>
          <w:lang w:val="en-AU"/>
        </w:rPr>
        <w:t xml:space="preserve"> </w:t>
      </w:r>
      <w:r w:rsidRPr="00883F29">
        <w:rPr>
          <w:rFonts w:cs="Arial"/>
          <w:szCs w:val="24"/>
          <w:lang w:val="en-AU"/>
        </w:rPr>
        <w:t>relationship between the tortfeasor and the appellant,</w:t>
      </w:r>
    </w:p>
    <w:p w14:paraId="07CAAC63" w14:textId="77777777" w:rsidR="0083051D" w:rsidRPr="00883F29" w:rsidRDefault="0083051D" w:rsidP="00EF04EB">
      <w:pPr>
        <w:pStyle w:val="ListParagraph"/>
        <w:autoSpaceDE w:val="0"/>
        <w:autoSpaceDN w:val="0"/>
        <w:adjustRightInd w:val="0"/>
        <w:ind w:left="0"/>
        <w:jc w:val="both"/>
        <w:rPr>
          <w:rFonts w:cs="Arial"/>
          <w:szCs w:val="24"/>
          <w:lang w:val="en-AU"/>
        </w:rPr>
      </w:pPr>
    </w:p>
    <w:p w14:paraId="0543FE2D" w14:textId="77777777" w:rsidR="0083051D" w:rsidRDefault="0083051D" w:rsidP="00EF04EB">
      <w:pPr>
        <w:pStyle w:val="ListParagraph"/>
        <w:autoSpaceDE w:val="0"/>
        <w:autoSpaceDN w:val="0"/>
        <w:adjustRightInd w:val="0"/>
        <w:ind w:left="426"/>
        <w:jc w:val="both"/>
        <w:rPr>
          <w:rFonts w:cs="Arial"/>
          <w:szCs w:val="24"/>
          <w:lang w:val="en-AU"/>
        </w:rPr>
      </w:pPr>
      <w:r w:rsidRPr="00883F29">
        <w:rPr>
          <w:rFonts w:cs="Arial"/>
          <w:szCs w:val="24"/>
          <w:lang w:val="en-AU"/>
        </w:rPr>
        <w:t>the Court of Appeal erred in holding that the appellant could be</w:t>
      </w:r>
      <w:r>
        <w:rPr>
          <w:rFonts w:cs="Arial"/>
          <w:szCs w:val="24"/>
          <w:lang w:val="en-AU"/>
        </w:rPr>
        <w:t xml:space="preserve"> </w:t>
      </w:r>
      <w:r w:rsidRPr="00883F29">
        <w:rPr>
          <w:rFonts w:cs="Arial"/>
          <w:szCs w:val="24"/>
          <w:lang w:val="en-AU"/>
        </w:rPr>
        <w:t>vicariously liable for that tortfeasor’s wrong {cf. CA, [130]}.</w:t>
      </w:r>
    </w:p>
    <w:p w14:paraId="1C7ABE45" w14:textId="77777777" w:rsidR="0083051D" w:rsidRPr="00EB3E14" w:rsidRDefault="0083051D" w:rsidP="00EF04EB">
      <w:pPr>
        <w:pStyle w:val="ListParagraph"/>
        <w:autoSpaceDE w:val="0"/>
        <w:autoSpaceDN w:val="0"/>
        <w:adjustRightInd w:val="0"/>
        <w:jc w:val="both"/>
        <w:rPr>
          <w:rFonts w:cs="Arial"/>
          <w:szCs w:val="24"/>
          <w:lang w:val="en-AU"/>
        </w:rPr>
      </w:pPr>
    </w:p>
    <w:p w14:paraId="2BE22034" w14:textId="5C572056" w:rsidR="0083051D" w:rsidRDefault="0083051D" w:rsidP="00EF04EB">
      <w:pPr>
        <w:pStyle w:val="ListParagraph"/>
        <w:numPr>
          <w:ilvl w:val="0"/>
          <w:numId w:val="14"/>
        </w:numPr>
        <w:autoSpaceDE w:val="0"/>
        <w:autoSpaceDN w:val="0"/>
        <w:adjustRightInd w:val="0"/>
        <w:ind w:left="426" w:hanging="426"/>
        <w:contextualSpacing w:val="0"/>
        <w:jc w:val="both"/>
        <w:rPr>
          <w:rFonts w:cs="Arial"/>
          <w:szCs w:val="24"/>
          <w:lang w:val="en-AU"/>
        </w:rPr>
      </w:pPr>
      <w:r w:rsidRPr="00883F29">
        <w:rPr>
          <w:rFonts w:cs="Arial"/>
          <w:szCs w:val="24"/>
          <w:lang w:val="en-AU"/>
        </w:rPr>
        <w:t>Assuming, contrary to Ground (1), that the relationship between the appellant and the</w:t>
      </w:r>
      <w:r>
        <w:rPr>
          <w:rFonts w:cs="Arial"/>
          <w:szCs w:val="24"/>
          <w:lang w:val="en-AU"/>
        </w:rPr>
        <w:t xml:space="preserve"> t</w:t>
      </w:r>
      <w:r w:rsidRPr="00883F29">
        <w:rPr>
          <w:rFonts w:cs="Arial"/>
          <w:szCs w:val="24"/>
          <w:lang w:val="en-AU"/>
        </w:rPr>
        <w:t xml:space="preserve">ortfeasor gave rise to a relationship of vicarious liability, </w:t>
      </w:r>
      <w:r w:rsidR="00A33BBF">
        <w:rPr>
          <w:rFonts w:cs="Arial"/>
          <w:szCs w:val="24"/>
          <w:lang w:val="en-AU"/>
        </w:rPr>
        <w:br/>
      </w:r>
      <w:r w:rsidRPr="00883F29">
        <w:rPr>
          <w:rFonts w:cs="Arial"/>
          <w:szCs w:val="24"/>
          <w:lang w:val="en-AU"/>
        </w:rPr>
        <w:t>the Court of Appeal erred in</w:t>
      </w:r>
      <w:r>
        <w:rPr>
          <w:rFonts w:cs="Arial"/>
          <w:szCs w:val="24"/>
          <w:lang w:val="en-AU"/>
        </w:rPr>
        <w:t xml:space="preserve"> </w:t>
      </w:r>
      <w:r w:rsidRPr="00883F29">
        <w:rPr>
          <w:rFonts w:cs="Arial"/>
          <w:szCs w:val="24"/>
          <w:lang w:val="en-AU"/>
        </w:rPr>
        <w:t>concluding, based on the general and non-specific evidence accepted by the Court, that</w:t>
      </w:r>
      <w:r>
        <w:rPr>
          <w:rFonts w:cs="Arial"/>
          <w:szCs w:val="24"/>
          <w:lang w:val="en-AU"/>
        </w:rPr>
        <w:t xml:space="preserve"> </w:t>
      </w:r>
      <w:r w:rsidRPr="00883F29">
        <w:rPr>
          <w:rFonts w:cs="Arial"/>
          <w:szCs w:val="24"/>
          <w:lang w:val="en-AU"/>
        </w:rPr>
        <w:t>the conduct of the tortfeasor was conduct for which the appellant ought be liable as</w:t>
      </w:r>
      <w:r>
        <w:rPr>
          <w:rFonts w:cs="Arial"/>
          <w:szCs w:val="24"/>
          <w:lang w:val="en-AU"/>
        </w:rPr>
        <w:t xml:space="preserve"> </w:t>
      </w:r>
      <w:r w:rsidRPr="00883F29">
        <w:rPr>
          <w:rFonts w:cs="Arial"/>
          <w:szCs w:val="24"/>
          <w:lang w:val="en-AU"/>
        </w:rPr>
        <w:t>having provided both the opportunity and the</w:t>
      </w:r>
      <w:r w:rsidR="00EF04EB">
        <w:rPr>
          <w:rFonts w:cs="Arial"/>
          <w:szCs w:val="24"/>
          <w:lang w:val="en-AU"/>
        </w:rPr>
        <w:t xml:space="preserve"> </w:t>
      </w:r>
      <w:r w:rsidRPr="00883F29">
        <w:rPr>
          <w:rFonts w:cs="Arial"/>
          <w:szCs w:val="24"/>
          <w:lang w:val="en-AU"/>
        </w:rPr>
        <w:t>occasion for its occurrence {CA, [148]}.</w:t>
      </w:r>
      <w:r>
        <w:rPr>
          <w:rFonts w:cs="Arial"/>
          <w:szCs w:val="24"/>
          <w:lang w:val="en-AU"/>
        </w:rPr>
        <w:t xml:space="preserve"> </w:t>
      </w:r>
    </w:p>
    <w:p w14:paraId="10AD86B8" w14:textId="77777777" w:rsidR="00240BA6" w:rsidRDefault="00240BA6" w:rsidP="00240BA6">
      <w:pPr>
        <w:autoSpaceDE w:val="0"/>
        <w:autoSpaceDN w:val="0"/>
        <w:adjustRightInd w:val="0"/>
        <w:jc w:val="both"/>
        <w:rPr>
          <w:rFonts w:cs="Arial"/>
          <w:szCs w:val="24"/>
          <w:lang w:val="en-AU"/>
        </w:rPr>
      </w:pPr>
    </w:p>
    <w:p w14:paraId="1D080A33" w14:textId="587BFAFA" w:rsidR="00240BA6" w:rsidRDefault="00240BA6">
      <w:pPr>
        <w:rPr>
          <w:rFonts w:cs="Arial"/>
          <w:szCs w:val="24"/>
          <w:lang w:val="en-AU"/>
        </w:rPr>
      </w:pPr>
      <w:r>
        <w:rPr>
          <w:rFonts w:cs="Arial"/>
          <w:szCs w:val="24"/>
          <w:lang w:val="en-AU"/>
        </w:rPr>
        <w:br w:type="page"/>
      </w:r>
    </w:p>
    <w:p w14:paraId="4FE2E8A1" w14:textId="77777777" w:rsidR="00894BFD" w:rsidRPr="00894BFD" w:rsidRDefault="00894BFD" w:rsidP="00894BFD">
      <w:pPr>
        <w:pStyle w:val="Heading1"/>
        <w:rPr>
          <w:b/>
          <w:bCs/>
          <w:sz w:val="28"/>
          <w:szCs w:val="28"/>
        </w:rPr>
      </w:pPr>
      <w:r w:rsidRPr="00894BFD">
        <w:rPr>
          <w:b/>
          <w:bCs/>
          <w:sz w:val="28"/>
          <w:szCs w:val="28"/>
        </w:rPr>
        <w:lastRenderedPageBreak/>
        <w:t>OBIAN v THE KING</w:t>
      </w:r>
      <w:r w:rsidRPr="00894BFD">
        <w:rPr>
          <w:b/>
          <w:bCs/>
          <w:sz w:val="28"/>
          <w:szCs w:val="28"/>
          <w:u w:val="none"/>
        </w:rPr>
        <w:t xml:space="preserve"> (M77/2023)</w:t>
      </w:r>
    </w:p>
    <w:p w14:paraId="4F034420" w14:textId="77777777" w:rsidR="00894BFD" w:rsidRPr="00A729C0" w:rsidRDefault="00894BFD" w:rsidP="00894BFD">
      <w:pPr>
        <w:tabs>
          <w:tab w:val="left" w:pos="0"/>
        </w:tabs>
        <w:ind w:left="3600"/>
        <w:rPr>
          <w:rFonts w:cs="Arial"/>
        </w:rPr>
      </w:pPr>
    </w:p>
    <w:p w14:paraId="4B595F15" w14:textId="7E77E331" w:rsidR="00894BFD" w:rsidRDefault="00894BFD" w:rsidP="00894BFD">
      <w:pPr>
        <w:rPr>
          <w:rFonts w:cs="Arial"/>
        </w:rPr>
      </w:pPr>
      <w:r w:rsidRPr="004B2258">
        <w:rPr>
          <w:rFonts w:cs="Arial"/>
          <w:u w:val="single"/>
        </w:rPr>
        <w:t>Court appealed from</w:t>
      </w:r>
      <w:r w:rsidRPr="004B2258">
        <w:rPr>
          <w:rFonts w:cs="Arial"/>
        </w:rPr>
        <w:t>:</w:t>
      </w:r>
      <w:r w:rsidRPr="004B2258">
        <w:rPr>
          <w:rFonts w:cs="Arial"/>
        </w:rPr>
        <w:tab/>
      </w:r>
      <w:r>
        <w:rPr>
          <w:rFonts w:cs="Arial"/>
        </w:rPr>
        <w:tab/>
        <w:t>Supreme Court of Victoria Court of Appeal</w:t>
      </w:r>
    </w:p>
    <w:p w14:paraId="3EA19234" w14:textId="77777777" w:rsidR="00894BFD" w:rsidRDefault="00894BFD" w:rsidP="00894BFD">
      <w:pPr>
        <w:ind w:left="2682" w:firstLine="720"/>
        <w:rPr>
          <w:rFonts w:cs="Arial"/>
        </w:rPr>
      </w:pPr>
      <w:r w:rsidRPr="008B52CD">
        <w:rPr>
          <w:rFonts w:cs="Arial"/>
        </w:rPr>
        <w:t>[2023] VSCA 18</w:t>
      </w:r>
    </w:p>
    <w:p w14:paraId="5772AC1B" w14:textId="77777777" w:rsidR="00894BFD" w:rsidRPr="004B2258" w:rsidRDefault="00894BFD" w:rsidP="00894BFD">
      <w:pPr>
        <w:ind w:left="3600"/>
        <w:rPr>
          <w:rFonts w:cs="Arial"/>
        </w:rPr>
      </w:pPr>
    </w:p>
    <w:p w14:paraId="65417221" w14:textId="77777777" w:rsidR="00894BFD" w:rsidRDefault="00894BFD" w:rsidP="00894BFD">
      <w:pPr>
        <w:rPr>
          <w:rFonts w:cs="Arial"/>
        </w:rPr>
      </w:pPr>
      <w:r w:rsidRPr="004B2258">
        <w:rPr>
          <w:rFonts w:cs="Arial"/>
          <w:u w:val="single"/>
        </w:rPr>
        <w:t>Date of judgment</w:t>
      </w:r>
      <w:r w:rsidRPr="004B2258">
        <w:rPr>
          <w:rFonts w:cs="Arial"/>
        </w:rPr>
        <w:t>:</w:t>
      </w:r>
      <w:r w:rsidRPr="004B2258">
        <w:rPr>
          <w:rFonts w:cs="Arial"/>
        </w:rPr>
        <w:tab/>
      </w:r>
      <w:r>
        <w:rPr>
          <w:rFonts w:cs="Arial"/>
        </w:rPr>
        <w:tab/>
        <w:t>16 February 2023</w:t>
      </w:r>
    </w:p>
    <w:p w14:paraId="1AC45287" w14:textId="77777777" w:rsidR="00894BFD" w:rsidRDefault="00894BFD" w:rsidP="00894BFD">
      <w:pPr>
        <w:ind w:left="3600"/>
        <w:rPr>
          <w:rFonts w:cs="Arial"/>
        </w:rPr>
      </w:pPr>
    </w:p>
    <w:p w14:paraId="789EC627" w14:textId="77777777" w:rsidR="00894BFD" w:rsidRDefault="00894BFD" w:rsidP="00894BFD">
      <w:pPr>
        <w:rPr>
          <w:rFonts w:cs="Arial"/>
        </w:rPr>
      </w:pPr>
      <w:r>
        <w:rPr>
          <w:rFonts w:cs="Arial"/>
          <w:u w:val="single"/>
        </w:rPr>
        <w:t>Special leave granted</w:t>
      </w:r>
      <w:r>
        <w:rPr>
          <w:rFonts w:cs="Arial"/>
        </w:rPr>
        <w:t xml:space="preserve">: </w:t>
      </w:r>
      <w:r>
        <w:rPr>
          <w:rFonts w:cs="Arial"/>
        </w:rPr>
        <w:tab/>
        <w:t>13 October 2023</w:t>
      </w:r>
    </w:p>
    <w:p w14:paraId="7E24C073" w14:textId="77777777" w:rsidR="00894BFD" w:rsidRPr="00EC78BC" w:rsidRDefault="00894BFD" w:rsidP="00894BFD">
      <w:pPr>
        <w:tabs>
          <w:tab w:val="left" w:pos="0"/>
        </w:tabs>
        <w:rPr>
          <w:rFonts w:cs="Arial"/>
        </w:rPr>
      </w:pPr>
    </w:p>
    <w:p w14:paraId="62F7E666" w14:textId="33305B1A" w:rsidR="00894BFD" w:rsidRDefault="00894BFD" w:rsidP="00894BFD">
      <w:pPr>
        <w:keepNext/>
        <w:autoSpaceDE w:val="0"/>
        <w:autoSpaceDN w:val="0"/>
        <w:adjustRightInd w:val="0"/>
        <w:jc w:val="both"/>
        <w:rPr>
          <w:rFonts w:cs="Arial"/>
        </w:rPr>
      </w:pPr>
      <w:r w:rsidRPr="00EC78BC">
        <w:rPr>
          <w:rFonts w:eastAsia="TimesNewRomanPSMT" w:cs="Arial"/>
        </w:rPr>
        <w:t xml:space="preserve">After </w:t>
      </w:r>
      <w:r>
        <w:rPr>
          <w:rFonts w:eastAsia="TimesNewRomanPSMT" w:cs="Arial"/>
        </w:rPr>
        <w:t xml:space="preserve">a lengthy </w:t>
      </w:r>
      <w:r w:rsidRPr="00EC78BC">
        <w:rPr>
          <w:rFonts w:eastAsia="TimesNewRomanPSMT" w:cs="Arial"/>
        </w:rPr>
        <w:t>trial</w:t>
      </w:r>
      <w:r>
        <w:rPr>
          <w:rFonts w:eastAsia="TimesNewRomanPSMT" w:cs="Arial"/>
        </w:rPr>
        <w:t xml:space="preserve"> (and a number of earlier trials where the jury had been discharged without verdict)</w:t>
      </w:r>
      <w:r w:rsidRPr="00EC78BC">
        <w:rPr>
          <w:rFonts w:eastAsia="TimesNewRomanPSMT" w:cs="Arial"/>
        </w:rPr>
        <w:t xml:space="preserve">, </w:t>
      </w:r>
      <w:r>
        <w:rPr>
          <w:rFonts w:eastAsia="TimesNewRomanPSMT" w:cs="Arial"/>
        </w:rPr>
        <w:t xml:space="preserve">a County Court </w:t>
      </w:r>
      <w:r w:rsidRPr="00EC78BC">
        <w:rPr>
          <w:rFonts w:eastAsia="TimesNewRomanPSMT" w:cs="Arial"/>
        </w:rPr>
        <w:t xml:space="preserve">jury found the </w:t>
      </w:r>
      <w:r>
        <w:rPr>
          <w:rFonts w:eastAsia="TimesNewRomanPSMT" w:cs="Arial"/>
        </w:rPr>
        <w:t xml:space="preserve">appellant (“Obian”) </w:t>
      </w:r>
      <w:r w:rsidRPr="00EC78BC">
        <w:rPr>
          <w:rFonts w:eastAsia="TimesNewRomanPSMT" w:cs="Arial"/>
        </w:rPr>
        <w:t>guilty of three charges of trafficking in a drug of dependence, 1,4-butanediol (</w:t>
      </w:r>
      <w:r>
        <w:rPr>
          <w:rFonts w:eastAsia="TimesNewRomanPSMT" w:cs="Arial"/>
        </w:rPr>
        <w:t>“</w:t>
      </w:r>
      <w:r w:rsidRPr="00EC78BC">
        <w:rPr>
          <w:rFonts w:eastAsia="TimesNewRomanPSMT" w:cs="Arial"/>
        </w:rPr>
        <w:t>1,4-BD</w:t>
      </w:r>
      <w:r>
        <w:rPr>
          <w:rFonts w:eastAsia="TimesNewRomanPSMT" w:cs="Arial"/>
        </w:rPr>
        <w:t>”</w:t>
      </w:r>
      <w:r w:rsidRPr="00EC78BC">
        <w:rPr>
          <w:rFonts w:eastAsia="TimesNewRomanPSMT" w:cs="Arial"/>
        </w:rPr>
        <w:t>), in not less than a commercial quantity</w:t>
      </w:r>
      <w:r>
        <w:rPr>
          <w:rFonts w:eastAsia="TimesNewRomanPSMT" w:cs="Arial"/>
        </w:rPr>
        <w:t xml:space="preserve"> </w:t>
      </w:r>
      <w:r w:rsidRPr="00EC78BC">
        <w:rPr>
          <w:rFonts w:eastAsia="TimesNewRomanPSMT" w:cs="Arial"/>
        </w:rPr>
        <w:t>contrary to s</w:t>
      </w:r>
      <w:r>
        <w:rPr>
          <w:rFonts w:eastAsia="TimesNewRomanPSMT" w:cs="Arial"/>
        </w:rPr>
        <w:t>ection</w:t>
      </w:r>
      <w:r w:rsidRPr="00EC78BC">
        <w:rPr>
          <w:rFonts w:eastAsia="TimesNewRomanPSMT" w:cs="Arial"/>
        </w:rPr>
        <w:t xml:space="preserve"> 71AA of the </w:t>
      </w:r>
      <w:r w:rsidR="003E17C1">
        <w:rPr>
          <w:rFonts w:eastAsia="TimesNewRomanPSMT" w:cs="Arial"/>
        </w:rPr>
        <w:br/>
      </w:r>
      <w:r w:rsidRPr="00EC78BC">
        <w:rPr>
          <w:rFonts w:eastAsia="TimesNewRomanPSMT" w:cs="Arial"/>
          <w:i/>
          <w:iCs/>
        </w:rPr>
        <w:t>Drugs,</w:t>
      </w:r>
      <w:r w:rsidR="003E17C1">
        <w:rPr>
          <w:rFonts w:eastAsia="TimesNewRomanPSMT" w:cs="Arial"/>
          <w:i/>
          <w:iCs/>
        </w:rPr>
        <w:t xml:space="preserve"> </w:t>
      </w:r>
      <w:r w:rsidRPr="00EC78BC">
        <w:rPr>
          <w:rFonts w:eastAsia="TimesNewRomanPSMT" w:cs="Arial"/>
          <w:i/>
          <w:iCs/>
        </w:rPr>
        <w:t>Poisons and Controlled</w:t>
      </w:r>
      <w:r>
        <w:rPr>
          <w:rFonts w:eastAsia="TimesNewRomanPSMT" w:cs="Arial"/>
          <w:i/>
          <w:iCs/>
        </w:rPr>
        <w:t xml:space="preserve"> </w:t>
      </w:r>
      <w:r w:rsidRPr="00EC78BC">
        <w:rPr>
          <w:rFonts w:eastAsia="TimesNewRomanPSMT" w:cs="Arial"/>
          <w:i/>
          <w:iCs/>
        </w:rPr>
        <w:t xml:space="preserve">Substances Act 1981 </w:t>
      </w:r>
      <w:r w:rsidRPr="00EC78BC">
        <w:rPr>
          <w:rFonts w:eastAsia="TimesNewRomanPSMT" w:cs="Arial"/>
        </w:rPr>
        <w:t>(Vic) (</w:t>
      </w:r>
      <w:r>
        <w:rPr>
          <w:rFonts w:eastAsia="TimesNewRomanPSMT" w:cs="Arial"/>
        </w:rPr>
        <w:t>“</w:t>
      </w:r>
      <w:r w:rsidRPr="00EC78BC">
        <w:rPr>
          <w:rFonts w:eastAsia="TimesNewRomanPSMT" w:cs="Arial"/>
        </w:rPr>
        <w:t xml:space="preserve">the </w:t>
      </w:r>
      <w:r w:rsidRPr="00866B28">
        <w:rPr>
          <w:rFonts w:eastAsia="TimesNewRomanPSMT" w:cs="Arial"/>
        </w:rPr>
        <w:t>DPCS Act</w:t>
      </w:r>
      <w:r>
        <w:rPr>
          <w:rFonts w:eastAsia="TimesNewRomanPSMT" w:cs="Arial"/>
        </w:rPr>
        <w:t>”</w:t>
      </w:r>
      <w:r w:rsidRPr="00EC78BC">
        <w:rPr>
          <w:rFonts w:eastAsia="TimesNewRomanPSMT" w:cs="Arial"/>
        </w:rPr>
        <w:t xml:space="preserve">). </w:t>
      </w:r>
      <w:r>
        <w:rPr>
          <w:rFonts w:eastAsia="TimesNewRomanPSMT" w:cs="Arial"/>
        </w:rPr>
        <w:t xml:space="preserve"> </w:t>
      </w:r>
      <w:r w:rsidR="002E6644">
        <w:rPr>
          <w:rFonts w:eastAsia="TimesNewRomanPSMT" w:cs="Arial"/>
        </w:rPr>
        <w:br/>
      </w:r>
      <w:r w:rsidRPr="00EC78BC">
        <w:rPr>
          <w:rFonts w:eastAsia="TimesNewRomanPSMT" w:cs="Arial"/>
        </w:rPr>
        <w:t xml:space="preserve">1,4-BD is a drug of dependence within the meaning of s 4 of the DPCS Act, </w:t>
      </w:r>
      <w:r w:rsidR="002E6644">
        <w:rPr>
          <w:rFonts w:eastAsia="TimesNewRomanPSMT" w:cs="Arial"/>
        </w:rPr>
        <w:br/>
      </w:r>
      <w:r w:rsidRPr="00EC78BC">
        <w:rPr>
          <w:rFonts w:eastAsia="TimesNewRomanPSMT" w:cs="Arial"/>
        </w:rPr>
        <w:t>except</w:t>
      </w:r>
      <w:r>
        <w:rPr>
          <w:rFonts w:eastAsia="TimesNewRomanPSMT" w:cs="Arial"/>
          <w:i/>
          <w:iCs/>
        </w:rPr>
        <w:t xml:space="preserve"> </w:t>
      </w:r>
      <w:r w:rsidRPr="00EC78BC">
        <w:rPr>
          <w:rFonts w:eastAsia="TimesNewRomanPSMT" w:cs="Arial"/>
        </w:rPr>
        <w:t>when</w:t>
      </w:r>
      <w:r>
        <w:rPr>
          <w:rFonts w:eastAsia="TimesNewRomanPSMT" w:cs="Arial"/>
        </w:rPr>
        <w:t xml:space="preserve"> </w:t>
      </w:r>
      <w:r w:rsidRPr="00EC78BC">
        <w:rPr>
          <w:rFonts w:eastAsia="TimesNewRomanPSMT" w:cs="Arial"/>
        </w:rPr>
        <w:t>possessed or used “for a lawful industrial purpose and not for human</w:t>
      </w:r>
      <w:r>
        <w:rPr>
          <w:rFonts w:eastAsia="TimesNewRomanPSMT" w:cs="Arial"/>
          <w:i/>
          <w:iCs/>
        </w:rPr>
        <w:t xml:space="preserve"> </w:t>
      </w:r>
      <w:r w:rsidRPr="00EC78BC">
        <w:rPr>
          <w:rFonts w:eastAsia="TimesNewRomanPSMT" w:cs="Arial"/>
        </w:rPr>
        <w:t>consumption”</w:t>
      </w:r>
      <w:r>
        <w:rPr>
          <w:rFonts w:eastAsia="TimesNewRomanPSMT" w:cs="Arial"/>
        </w:rPr>
        <w:t>.  T</w:t>
      </w:r>
      <w:r w:rsidRPr="00EC78BC">
        <w:rPr>
          <w:rFonts w:eastAsia="TimesNewRomanPSMT" w:cs="Arial"/>
        </w:rPr>
        <w:t xml:space="preserve">he prosecution case at trial was that </w:t>
      </w:r>
      <w:r>
        <w:rPr>
          <w:rFonts w:eastAsia="TimesNewRomanPSMT" w:cs="Arial"/>
        </w:rPr>
        <w:t xml:space="preserve">Obian </w:t>
      </w:r>
      <w:r w:rsidRPr="00EC78BC">
        <w:rPr>
          <w:rFonts w:eastAsia="TimesNewRomanPSMT" w:cs="Arial"/>
        </w:rPr>
        <w:t>imported and</w:t>
      </w:r>
      <w:r>
        <w:rPr>
          <w:rFonts w:eastAsia="TimesNewRomanPSMT" w:cs="Arial"/>
          <w:i/>
          <w:iCs/>
        </w:rPr>
        <w:t xml:space="preserve"> </w:t>
      </w:r>
      <w:r w:rsidRPr="00EC78BC">
        <w:rPr>
          <w:rFonts w:eastAsia="TimesNewRomanPSMT" w:cs="Arial"/>
        </w:rPr>
        <w:t xml:space="preserve">possessed 1,4-BD for the purposes of sale for human consumption. </w:t>
      </w:r>
      <w:r>
        <w:rPr>
          <w:rFonts w:eastAsia="TimesNewRomanPSMT" w:cs="Arial"/>
        </w:rPr>
        <w:t xml:space="preserve"> </w:t>
      </w:r>
      <w:r w:rsidRPr="00EC78BC">
        <w:rPr>
          <w:rFonts w:eastAsia="TimesNewRomanPSMT" w:cs="Arial"/>
        </w:rPr>
        <w:t>The defence case</w:t>
      </w:r>
      <w:r>
        <w:rPr>
          <w:rFonts w:eastAsia="TimesNewRomanPSMT" w:cs="Arial"/>
          <w:i/>
          <w:iCs/>
        </w:rPr>
        <w:t xml:space="preserve"> </w:t>
      </w:r>
      <w:r w:rsidRPr="00EC78BC">
        <w:rPr>
          <w:rFonts w:eastAsia="TimesNewRomanPSMT" w:cs="Arial"/>
        </w:rPr>
        <w:t xml:space="preserve">was that </w:t>
      </w:r>
      <w:r>
        <w:rPr>
          <w:rFonts w:eastAsia="TimesNewRomanPSMT" w:cs="Arial"/>
        </w:rPr>
        <w:t xml:space="preserve">Obian </w:t>
      </w:r>
      <w:r w:rsidRPr="00EC78BC">
        <w:rPr>
          <w:rFonts w:eastAsia="TimesNewRomanPSMT" w:cs="Arial"/>
        </w:rPr>
        <w:t>imported</w:t>
      </w:r>
      <w:r>
        <w:rPr>
          <w:rFonts w:eastAsia="TimesNewRomanPSMT" w:cs="Arial"/>
          <w:i/>
          <w:iCs/>
        </w:rPr>
        <w:t xml:space="preserve"> </w:t>
      </w:r>
      <w:r w:rsidRPr="00EC78BC">
        <w:rPr>
          <w:rFonts w:eastAsia="TimesNewRomanPSMT" w:cs="Arial"/>
        </w:rPr>
        <w:t xml:space="preserve">and used 1,4-BD </w:t>
      </w:r>
      <w:proofErr w:type="gramStart"/>
      <w:r w:rsidRPr="00EC78BC">
        <w:rPr>
          <w:rFonts w:eastAsia="TimesNewRomanPSMT" w:cs="Arial"/>
        </w:rPr>
        <w:t>in the course of</w:t>
      </w:r>
      <w:proofErr w:type="gramEnd"/>
      <w:r w:rsidRPr="00EC78BC">
        <w:rPr>
          <w:rFonts w:eastAsia="TimesNewRomanPSMT" w:cs="Arial"/>
        </w:rPr>
        <w:t xml:space="preserve"> his</w:t>
      </w:r>
      <w:r>
        <w:rPr>
          <w:rFonts w:eastAsia="TimesNewRomanPSMT" w:cs="Arial"/>
        </w:rPr>
        <w:t xml:space="preserve"> cleaning business SAA Cleaning Services Pty Ltd (“SAA”),</w:t>
      </w:r>
      <w:r w:rsidRPr="00EC78BC">
        <w:rPr>
          <w:rFonts w:eastAsia="TimesNewRomanPSMT" w:cs="Arial"/>
        </w:rPr>
        <w:t xml:space="preserve"> </w:t>
      </w:r>
      <w:r w:rsidRPr="00EC78BC">
        <w:rPr>
          <w:rFonts w:cs="Arial"/>
        </w:rPr>
        <w:t>of which he was the</w:t>
      </w:r>
      <w:r>
        <w:rPr>
          <w:rFonts w:cs="Arial"/>
        </w:rPr>
        <w:t xml:space="preserve"> sole director, secretary, and shareholder.  SAA was registered as an importer of industrial chemicals with the Department of Health. </w:t>
      </w:r>
      <w:r w:rsidR="00595ED9">
        <w:rPr>
          <w:rFonts w:cs="Arial"/>
        </w:rPr>
        <w:t xml:space="preserve"> </w:t>
      </w:r>
    </w:p>
    <w:p w14:paraId="5B4EC32D" w14:textId="77777777" w:rsidR="00894BFD" w:rsidRDefault="00894BFD" w:rsidP="00894BFD">
      <w:pPr>
        <w:keepNext/>
        <w:autoSpaceDE w:val="0"/>
        <w:autoSpaceDN w:val="0"/>
        <w:adjustRightInd w:val="0"/>
        <w:jc w:val="both"/>
        <w:rPr>
          <w:rFonts w:cs="Arial"/>
        </w:rPr>
      </w:pPr>
    </w:p>
    <w:p w14:paraId="77A2734E" w14:textId="7DB444B0" w:rsidR="00894BFD" w:rsidRPr="0012233D" w:rsidRDefault="00894BFD" w:rsidP="00894BFD">
      <w:pPr>
        <w:keepNext/>
        <w:autoSpaceDE w:val="0"/>
        <w:autoSpaceDN w:val="0"/>
        <w:adjustRightInd w:val="0"/>
        <w:jc w:val="both"/>
        <w:rPr>
          <w:rFonts w:cs="Arial"/>
        </w:rPr>
      </w:pPr>
      <w:r w:rsidRPr="00EC78BC">
        <w:rPr>
          <w:rFonts w:cs="Arial"/>
        </w:rPr>
        <w:t>Each of the three charges arose out of an</w:t>
      </w:r>
      <w:r>
        <w:rPr>
          <w:rFonts w:cs="Arial"/>
        </w:rPr>
        <w:t xml:space="preserve"> </w:t>
      </w:r>
      <w:r w:rsidRPr="00EC78BC">
        <w:rPr>
          <w:rFonts w:cs="Arial"/>
        </w:rPr>
        <w:t>investigation</w:t>
      </w:r>
      <w:r>
        <w:rPr>
          <w:rFonts w:cs="Arial"/>
        </w:rPr>
        <w:t xml:space="preserve"> (“</w:t>
      </w:r>
      <w:r w:rsidRPr="00EC78BC">
        <w:rPr>
          <w:rFonts w:cs="Arial"/>
        </w:rPr>
        <w:t>Operation Merlin</w:t>
      </w:r>
      <w:r>
        <w:rPr>
          <w:rFonts w:cs="Arial"/>
        </w:rPr>
        <w:t>”)</w:t>
      </w:r>
      <w:r w:rsidRPr="00EC78BC">
        <w:rPr>
          <w:rFonts w:cs="Arial"/>
        </w:rPr>
        <w:t xml:space="preserve"> conducted by the Victoria Police Drug</w:t>
      </w:r>
      <w:r>
        <w:rPr>
          <w:rFonts w:eastAsia="TimesNewRomanPSMT" w:cs="Arial"/>
          <w:i/>
          <w:iCs/>
        </w:rPr>
        <w:t xml:space="preserve"> </w:t>
      </w:r>
      <w:r w:rsidRPr="00EC78BC">
        <w:rPr>
          <w:rFonts w:cs="Arial"/>
        </w:rPr>
        <w:t xml:space="preserve">Taskforce, which culminated in the arrest of </w:t>
      </w:r>
      <w:proofErr w:type="gramStart"/>
      <w:r w:rsidRPr="00EC78BC">
        <w:rPr>
          <w:rFonts w:cs="Arial"/>
        </w:rPr>
        <w:t>a number of</w:t>
      </w:r>
      <w:proofErr w:type="gramEnd"/>
      <w:r w:rsidRPr="00EC78BC">
        <w:rPr>
          <w:rFonts w:cs="Arial"/>
        </w:rPr>
        <w:t xml:space="preserve"> people and the seizure of</w:t>
      </w:r>
      <w:r>
        <w:rPr>
          <w:rFonts w:cs="Arial"/>
        </w:rPr>
        <w:t xml:space="preserve"> </w:t>
      </w:r>
      <w:r w:rsidRPr="00EC78BC">
        <w:rPr>
          <w:rFonts w:cs="Arial"/>
        </w:rPr>
        <w:t xml:space="preserve">over 3,800 kilograms of 1,4-BD </w:t>
      </w:r>
      <w:r>
        <w:rPr>
          <w:rFonts w:cs="Arial"/>
        </w:rPr>
        <w:t>i</w:t>
      </w:r>
      <w:r w:rsidRPr="00EC78BC">
        <w:rPr>
          <w:rFonts w:cs="Arial"/>
        </w:rPr>
        <w:t xml:space="preserve">n June 2016. </w:t>
      </w:r>
      <w:r>
        <w:rPr>
          <w:rFonts w:cs="Arial"/>
        </w:rPr>
        <w:t xml:space="preserve"> </w:t>
      </w:r>
      <w:r w:rsidRPr="00EC78BC">
        <w:rPr>
          <w:rFonts w:cs="Arial"/>
        </w:rPr>
        <w:t>The prosecution case was</w:t>
      </w:r>
      <w:r>
        <w:rPr>
          <w:rFonts w:cs="Arial"/>
        </w:rPr>
        <w:t xml:space="preserve"> </w:t>
      </w:r>
      <w:r w:rsidRPr="00EC78BC">
        <w:rPr>
          <w:rFonts w:cs="Arial"/>
        </w:rPr>
        <w:t xml:space="preserve">that </w:t>
      </w:r>
      <w:r>
        <w:rPr>
          <w:rFonts w:cs="Arial"/>
        </w:rPr>
        <w:t>Obian</w:t>
      </w:r>
      <w:r w:rsidRPr="00EC78BC">
        <w:rPr>
          <w:rFonts w:cs="Arial"/>
        </w:rPr>
        <w:t xml:space="preserve"> imported 1,4-BD into Australia from China on two occasions in</w:t>
      </w:r>
      <w:r>
        <w:rPr>
          <w:rFonts w:cs="Arial"/>
        </w:rPr>
        <w:t xml:space="preserve"> </w:t>
      </w:r>
      <w:r w:rsidRPr="00EC78BC">
        <w:rPr>
          <w:rFonts w:cs="Arial"/>
        </w:rPr>
        <w:t>2015 using SAA</w:t>
      </w:r>
      <w:r>
        <w:rPr>
          <w:rFonts w:cs="Arial"/>
        </w:rPr>
        <w:t xml:space="preserve">.  </w:t>
      </w:r>
      <w:r w:rsidRPr="00866B28">
        <w:rPr>
          <w:rFonts w:eastAsia="TimesNewRomanPSMT" w:cs="Arial"/>
        </w:rPr>
        <w:t xml:space="preserve">Charges 1 and 2 related to </w:t>
      </w:r>
      <w:r>
        <w:rPr>
          <w:rFonts w:eastAsia="TimesNewRomanPSMT" w:cs="Arial"/>
        </w:rPr>
        <w:t xml:space="preserve">the </w:t>
      </w:r>
      <w:r w:rsidRPr="00866B28">
        <w:rPr>
          <w:rFonts w:eastAsia="TimesNewRomanPSMT" w:cs="Arial"/>
        </w:rPr>
        <w:t>two shipments of 1,4-BD into Australia</w:t>
      </w:r>
      <w:r>
        <w:rPr>
          <w:rFonts w:eastAsia="TimesNewRomanPSMT" w:cs="Arial"/>
        </w:rPr>
        <w:t xml:space="preserve"> from China ordered by SAA: o</w:t>
      </w:r>
      <w:r w:rsidRPr="00866B28">
        <w:rPr>
          <w:rFonts w:eastAsia="TimesNewRomanPSMT" w:cs="Arial"/>
        </w:rPr>
        <w:t>n</w:t>
      </w:r>
      <w:r>
        <w:rPr>
          <w:rFonts w:eastAsia="TimesNewRomanPSMT" w:cs="Arial"/>
        </w:rPr>
        <w:t>e on</w:t>
      </w:r>
      <w:r w:rsidRPr="00866B28">
        <w:rPr>
          <w:rFonts w:eastAsia="TimesNewRomanPSMT" w:cs="Arial"/>
        </w:rPr>
        <w:t xml:space="preserve"> 13 July 2015</w:t>
      </w:r>
      <w:r>
        <w:rPr>
          <w:rFonts w:eastAsia="TimesNewRomanPSMT" w:cs="Arial"/>
        </w:rPr>
        <w:t xml:space="preserve"> of </w:t>
      </w:r>
      <w:r w:rsidR="00E83EA0">
        <w:rPr>
          <w:rFonts w:eastAsia="TimesNewRomanPSMT" w:cs="Arial"/>
        </w:rPr>
        <w:br/>
      </w:r>
      <w:r w:rsidRPr="00866B28">
        <w:rPr>
          <w:rFonts w:eastAsia="TimesNewRomanPSMT" w:cs="Arial"/>
        </w:rPr>
        <w:t xml:space="preserve">800 </w:t>
      </w:r>
      <w:proofErr w:type="spellStart"/>
      <w:r w:rsidRPr="00866B28">
        <w:rPr>
          <w:rFonts w:eastAsia="TimesNewRomanPSMT" w:cs="Arial"/>
        </w:rPr>
        <w:t>litres</w:t>
      </w:r>
      <w:proofErr w:type="spellEnd"/>
      <w:r w:rsidRPr="00866B28">
        <w:rPr>
          <w:rFonts w:eastAsia="TimesNewRomanPSMT" w:cs="Arial"/>
        </w:rPr>
        <w:t xml:space="preserve"> of 1,4-BD</w:t>
      </w:r>
      <w:r>
        <w:rPr>
          <w:rFonts w:eastAsia="TimesNewRomanPSMT" w:cs="Arial"/>
        </w:rPr>
        <w:t>; and the other o</w:t>
      </w:r>
      <w:r w:rsidRPr="00866B28">
        <w:rPr>
          <w:rFonts w:eastAsia="TimesNewRomanPSMT" w:cs="Arial"/>
        </w:rPr>
        <w:t>n 27 November 2015</w:t>
      </w:r>
      <w:r>
        <w:rPr>
          <w:rFonts w:eastAsia="TimesNewRomanPSMT" w:cs="Arial"/>
        </w:rPr>
        <w:t xml:space="preserve"> of </w:t>
      </w:r>
      <w:r w:rsidRPr="00866B28">
        <w:rPr>
          <w:rFonts w:eastAsia="TimesNewRomanPSMT" w:cs="Arial"/>
        </w:rPr>
        <w:t xml:space="preserve">16,000 </w:t>
      </w:r>
      <w:proofErr w:type="spellStart"/>
      <w:r w:rsidRPr="00866B28">
        <w:rPr>
          <w:rFonts w:eastAsia="TimesNewRomanPSMT" w:cs="Arial"/>
        </w:rPr>
        <w:t>litres</w:t>
      </w:r>
      <w:proofErr w:type="spellEnd"/>
      <w:r w:rsidRPr="00866B28">
        <w:rPr>
          <w:rFonts w:eastAsia="TimesNewRomanPSMT" w:cs="Arial"/>
        </w:rPr>
        <w:t xml:space="preserve"> of 1,4-BD.</w:t>
      </w:r>
      <w:r>
        <w:rPr>
          <w:rFonts w:eastAsia="TimesNewRomanPSMT" w:cs="Arial"/>
        </w:rPr>
        <w:t xml:space="preserve">  </w:t>
      </w:r>
      <w:r w:rsidRPr="00866B28">
        <w:rPr>
          <w:rFonts w:eastAsia="TimesNewRomanPSMT" w:cs="Arial"/>
        </w:rPr>
        <w:t>There was no dispute at trial as to the events the subject of charges 1 and 2</w:t>
      </w:r>
      <w:r>
        <w:rPr>
          <w:rFonts w:eastAsia="TimesNewRomanPSMT" w:cs="Arial"/>
        </w:rPr>
        <w:t xml:space="preserve">; </w:t>
      </w:r>
      <w:r w:rsidR="00E83EA0">
        <w:rPr>
          <w:rFonts w:eastAsia="TimesNewRomanPSMT" w:cs="Arial"/>
        </w:rPr>
        <w:br/>
      </w:r>
      <w:r>
        <w:rPr>
          <w:rFonts w:eastAsia="TimesNewRomanPSMT" w:cs="Arial"/>
        </w:rPr>
        <w:t>t</w:t>
      </w:r>
      <w:r w:rsidRPr="00866B28">
        <w:rPr>
          <w:rFonts w:eastAsia="TimesNewRomanPSMT" w:cs="Arial"/>
        </w:rPr>
        <w:t xml:space="preserve">he dispute was confined to </w:t>
      </w:r>
      <w:r>
        <w:rPr>
          <w:rFonts w:eastAsia="TimesNewRomanPSMT" w:cs="Arial"/>
        </w:rPr>
        <w:t xml:space="preserve">Obian’s </w:t>
      </w:r>
      <w:r w:rsidRPr="00866B28">
        <w:rPr>
          <w:rFonts w:eastAsia="TimesNewRomanPSMT" w:cs="Arial"/>
        </w:rPr>
        <w:t>intended use of the 1,4-BD.</w:t>
      </w:r>
      <w:r>
        <w:rPr>
          <w:rFonts w:eastAsia="TimesNewRomanPSMT" w:cs="Arial"/>
        </w:rPr>
        <w:t xml:space="preserve">  </w:t>
      </w:r>
      <w:r w:rsidRPr="00866B28">
        <w:rPr>
          <w:rFonts w:eastAsia="TimesNewRomanPSMT" w:cs="Arial"/>
        </w:rPr>
        <w:t xml:space="preserve">On charge 3, </w:t>
      </w:r>
      <w:r w:rsidR="00E83EA0">
        <w:rPr>
          <w:rFonts w:eastAsia="TimesNewRomanPSMT" w:cs="Arial"/>
        </w:rPr>
        <w:br/>
      </w:r>
      <w:r w:rsidRPr="00866B28">
        <w:rPr>
          <w:rFonts w:eastAsia="TimesNewRomanPSMT" w:cs="Arial"/>
        </w:rPr>
        <w:t xml:space="preserve">the prosecution case was that </w:t>
      </w:r>
      <w:r>
        <w:rPr>
          <w:rFonts w:eastAsia="TimesNewRomanPSMT" w:cs="Arial"/>
        </w:rPr>
        <w:t xml:space="preserve">Obian </w:t>
      </w:r>
      <w:r w:rsidRPr="00866B28">
        <w:rPr>
          <w:rFonts w:eastAsia="TimesNewRomanPSMT" w:cs="Arial"/>
        </w:rPr>
        <w:t>participated with others in</w:t>
      </w:r>
      <w:r>
        <w:rPr>
          <w:rFonts w:eastAsia="TimesNewRomanPSMT" w:cs="Arial"/>
        </w:rPr>
        <w:t xml:space="preserve"> </w:t>
      </w:r>
      <w:r w:rsidRPr="00866B28">
        <w:rPr>
          <w:rFonts w:eastAsia="TimesNewRomanPSMT" w:cs="Arial"/>
        </w:rPr>
        <w:t>the transportation of 1,4-BD between</w:t>
      </w:r>
      <w:r>
        <w:rPr>
          <w:rFonts w:eastAsia="TimesNewRomanPSMT" w:cs="Arial"/>
        </w:rPr>
        <w:t xml:space="preserve"> </w:t>
      </w:r>
      <w:r w:rsidRPr="00866B28">
        <w:rPr>
          <w:rFonts w:eastAsia="TimesNewRomanPSMT" w:cs="Arial"/>
        </w:rPr>
        <w:t>various premises around Melbourne in the</w:t>
      </w:r>
      <w:r>
        <w:rPr>
          <w:rFonts w:eastAsia="TimesNewRomanPSMT" w:cs="Arial"/>
        </w:rPr>
        <w:t xml:space="preserve"> </w:t>
      </w:r>
      <w:r w:rsidRPr="00866B28">
        <w:rPr>
          <w:rFonts w:eastAsia="TimesNewRomanPSMT" w:cs="Arial"/>
        </w:rPr>
        <w:t xml:space="preserve">early hours of </w:t>
      </w:r>
      <w:r w:rsidR="00E83EA0">
        <w:rPr>
          <w:rFonts w:eastAsia="TimesNewRomanPSMT" w:cs="Arial"/>
        </w:rPr>
        <w:br/>
      </w:r>
      <w:r w:rsidRPr="00866B28">
        <w:rPr>
          <w:rFonts w:eastAsia="TimesNewRomanPSMT" w:cs="Arial"/>
        </w:rPr>
        <w:t xml:space="preserve">14 June 2016. </w:t>
      </w:r>
      <w:r>
        <w:rPr>
          <w:rFonts w:eastAsia="TimesNewRomanPSMT" w:cs="Arial"/>
        </w:rPr>
        <w:t xml:space="preserve"> </w:t>
      </w:r>
      <w:r w:rsidRPr="00866B28">
        <w:rPr>
          <w:rFonts w:eastAsia="TimesNewRomanPSMT" w:cs="Arial"/>
        </w:rPr>
        <w:t>The movement of the drug that night was facilitated in</w:t>
      </w:r>
      <w:r>
        <w:rPr>
          <w:rFonts w:eastAsia="TimesNewRomanPSMT" w:cs="Arial"/>
        </w:rPr>
        <w:t xml:space="preserve"> </w:t>
      </w:r>
      <w:r w:rsidRPr="00866B28">
        <w:rPr>
          <w:rFonts w:eastAsia="TimesNewRomanPSMT" w:cs="Arial"/>
        </w:rPr>
        <w:t xml:space="preserve">part </w:t>
      </w:r>
      <w:proofErr w:type="gramStart"/>
      <w:r w:rsidRPr="00866B28">
        <w:rPr>
          <w:rFonts w:eastAsia="TimesNewRomanPSMT" w:cs="Arial"/>
        </w:rPr>
        <w:t>by the use of</w:t>
      </w:r>
      <w:proofErr w:type="gramEnd"/>
      <w:r w:rsidRPr="00866B28">
        <w:rPr>
          <w:rFonts w:eastAsia="TimesNewRomanPSMT" w:cs="Arial"/>
        </w:rPr>
        <w:t xml:space="preserve"> a white Toyota HiAce van (</w:t>
      </w:r>
      <w:r>
        <w:rPr>
          <w:rFonts w:eastAsia="TimesNewRomanPSMT" w:cs="Arial"/>
        </w:rPr>
        <w:t>“</w:t>
      </w:r>
      <w:r w:rsidRPr="00866B28">
        <w:rPr>
          <w:rFonts w:eastAsia="TimesNewRomanPSMT" w:cs="Arial"/>
        </w:rPr>
        <w:t xml:space="preserve">the </w:t>
      </w:r>
      <w:r w:rsidRPr="00D23292">
        <w:rPr>
          <w:rFonts w:eastAsia="TimesNewRomanPSMT" w:cs="Arial"/>
        </w:rPr>
        <w:t>van</w:t>
      </w:r>
      <w:r>
        <w:rPr>
          <w:rFonts w:eastAsia="TimesNewRomanPSMT" w:cs="Arial"/>
        </w:rPr>
        <w:t>”</w:t>
      </w:r>
      <w:r w:rsidRPr="00866B28">
        <w:rPr>
          <w:rFonts w:eastAsia="TimesNewRomanPSMT" w:cs="Arial"/>
        </w:rPr>
        <w:t xml:space="preserve">). </w:t>
      </w:r>
      <w:r>
        <w:rPr>
          <w:rFonts w:eastAsia="TimesNewRomanPSMT" w:cs="Arial"/>
        </w:rPr>
        <w:t xml:space="preserve"> </w:t>
      </w:r>
      <w:r w:rsidRPr="00866B28">
        <w:rPr>
          <w:rFonts w:eastAsia="TimesNewRomanPSMT" w:cs="Arial"/>
        </w:rPr>
        <w:t>The prosecution case</w:t>
      </w:r>
      <w:r>
        <w:rPr>
          <w:rFonts w:eastAsia="TimesNewRomanPSMT" w:cs="Arial"/>
        </w:rPr>
        <w:t xml:space="preserve"> </w:t>
      </w:r>
      <w:r w:rsidRPr="00866B28">
        <w:rPr>
          <w:rFonts w:eastAsia="TimesNewRomanPSMT" w:cs="Arial"/>
        </w:rPr>
        <w:t xml:space="preserve">relied on </w:t>
      </w:r>
      <w:r>
        <w:rPr>
          <w:rFonts w:eastAsia="TimesNewRomanPSMT" w:cs="Arial"/>
        </w:rPr>
        <w:t>Obian</w:t>
      </w:r>
      <w:r w:rsidRPr="00866B28">
        <w:rPr>
          <w:rFonts w:eastAsia="TimesNewRomanPSMT" w:cs="Arial"/>
        </w:rPr>
        <w:t>’s alleged involvement in charge 3, amongst other things, to</w:t>
      </w:r>
      <w:r>
        <w:rPr>
          <w:rFonts w:eastAsia="TimesNewRomanPSMT" w:cs="Arial"/>
        </w:rPr>
        <w:t xml:space="preserve"> </w:t>
      </w:r>
      <w:r w:rsidRPr="00866B28">
        <w:rPr>
          <w:rFonts w:eastAsia="TimesNewRomanPSMT" w:cs="Arial"/>
        </w:rPr>
        <w:t>support the intent necessary for charges 1 and 2.</w:t>
      </w:r>
      <w:r>
        <w:rPr>
          <w:rFonts w:eastAsia="TimesNewRomanPSMT" w:cs="Arial"/>
        </w:rPr>
        <w:t xml:space="preserve">  </w:t>
      </w:r>
    </w:p>
    <w:p w14:paraId="2E2E6EFF" w14:textId="77777777" w:rsidR="00894BFD" w:rsidRDefault="00894BFD" w:rsidP="00894BFD">
      <w:pPr>
        <w:autoSpaceDE w:val="0"/>
        <w:autoSpaceDN w:val="0"/>
        <w:adjustRightInd w:val="0"/>
        <w:jc w:val="both"/>
        <w:rPr>
          <w:rFonts w:eastAsia="TimesNewRomanPSMT" w:cs="Arial"/>
        </w:rPr>
      </w:pPr>
    </w:p>
    <w:p w14:paraId="4665099F" w14:textId="128C4336" w:rsidR="00894BFD" w:rsidRPr="0012233D" w:rsidRDefault="00894BFD" w:rsidP="00894BFD">
      <w:pPr>
        <w:autoSpaceDE w:val="0"/>
        <w:autoSpaceDN w:val="0"/>
        <w:adjustRightInd w:val="0"/>
        <w:jc w:val="both"/>
        <w:rPr>
          <w:rFonts w:eastAsia="TimesNewRomanPSMT" w:cs="Arial"/>
        </w:rPr>
      </w:pPr>
      <w:r w:rsidRPr="00981E78">
        <w:rPr>
          <w:rFonts w:cs="Arial"/>
        </w:rPr>
        <w:t xml:space="preserve">One </w:t>
      </w:r>
      <w:r>
        <w:rPr>
          <w:rFonts w:cs="Arial"/>
        </w:rPr>
        <w:t xml:space="preserve">aspect </w:t>
      </w:r>
      <w:r w:rsidRPr="00981E78">
        <w:rPr>
          <w:rFonts w:cs="Arial"/>
        </w:rPr>
        <w:t>of the proof of his involvement was to</w:t>
      </w:r>
      <w:r>
        <w:rPr>
          <w:rFonts w:cs="Arial"/>
        </w:rPr>
        <w:t xml:space="preserve"> </w:t>
      </w:r>
      <w:r w:rsidRPr="00981E78">
        <w:rPr>
          <w:rFonts w:eastAsia="TimesNewRomanPSMT" w:cs="Arial"/>
        </w:rPr>
        <w:t xml:space="preserve">establish that </w:t>
      </w:r>
      <w:r>
        <w:rPr>
          <w:rFonts w:eastAsia="TimesNewRomanPSMT" w:cs="Arial"/>
        </w:rPr>
        <w:t xml:space="preserve">he </w:t>
      </w:r>
      <w:r w:rsidRPr="00981E78">
        <w:rPr>
          <w:rFonts w:eastAsia="TimesNewRomanPSMT" w:cs="Arial"/>
        </w:rPr>
        <w:t xml:space="preserve">had hired </w:t>
      </w:r>
      <w:r>
        <w:rPr>
          <w:rFonts w:eastAsia="TimesNewRomanPSMT" w:cs="Arial"/>
        </w:rPr>
        <w:t xml:space="preserve">a </w:t>
      </w:r>
      <w:r w:rsidRPr="00981E78">
        <w:rPr>
          <w:rFonts w:eastAsia="TimesNewRomanPSMT" w:cs="Arial"/>
        </w:rPr>
        <w:t xml:space="preserve">HiAce </w:t>
      </w:r>
      <w:r>
        <w:rPr>
          <w:rFonts w:eastAsia="TimesNewRomanPSMT" w:cs="Arial"/>
        </w:rPr>
        <w:t>v</w:t>
      </w:r>
      <w:r w:rsidRPr="00981E78">
        <w:rPr>
          <w:rFonts w:eastAsia="TimesNewRomanPSMT" w:cs="Arial"/>
        </w:rPr>
        <w:t>an from Mini Koala Ca</w:t>
      </w:r>
      <w:r w:rsidRPr="00981E78">
        <w:rPr>
          <w:rFonts w:cs="Arial"/>
        </w:rPr>
        <w:t>r</w:t>
      </w:r>
      <w:r>
        <w:rPr>
          <w:rFonts w:cs="Arial"/>
        </w:rPr>
        <w:t xml:space="preserve"> </w:t>
      </w:r>
      <w:r w:rsidRPr="00981E78">
        <w:rPr>
          <w:rFonts w:cs="Arial"/>
        </w:rPr>
        <w:t xml:space="preserve">Rental in Bell Street, Preston between midnight and 1:00 am on </w:t>
      </w:r>
      <w:r>
        <w:rPr>
          <w:rFonts w:cs="Arial"/>
        </w:rPr>
        <w:t xml:space="preserve">14 </w:t>
      </w:r>
      <w:r w:rsidRPr="00981E78">
        <w:rPr>
          <w:rFonts w:cs="Arial"/>
        </w:rPr>
        <w:t xml:space="preserve">June 2016. </w:t>
      </w:r>
      <w:r>
        <w:rPr>
          <w:rFonts w:cs="Arial"/>
        </w:rPr>
        <w:t xml:space="preserve"> </w:t>
      </w:r>
      <w:r w:rsidRPr="00981E78">
        <w:rPr>
          <w:rFonts w:cs="Arial"/>
        </w:rPr>
        <w:t>The</w:t>
      </w:r>
      <w:r>
        <w:rPr>
          <w:rFonts w:cs="Arial"/>
        </w:rPr>
        <w:t xml:space="preserve"> van </w:t>
      </w:r>
      <w:r w:rsidRPr="00981E78">
        <w:rPr>
          <w:rFonts w:cs="Arial"/>
        </w:rPr>
        <w:t xml:space="preserve">was used </w:t>
      </w:r>
      <w:r>
        <w:rPr>
          <w:rFonts w:cs="Arial"/>
        </w:rPr>
        <w:t>to</w:t>
      </w:r>
      <w:r w:rsidRPr="00981E78">
        <w:rPr>
          <w:rFonts w:cs="Arial"/>
        </w:rPr>
        <w:t xml:space="preserve"> move</w:t>
      </w:r>
      <w:r>
        <w:rPr>
          <w:rFonts w:cs="Arial"/>
        </w:rPr>
        <w:t xml:space="preserve"> </w:t>
      </w:r>
      <w:r w:rsidRPr="00981E78">
        <w:rPr>
          <w:rFonts w:cs="Arial"/>
        </w:rPr>
        <w:t>the boxes and barrels of 1,4-BD very soon</w:t>
      </w:r>
      <w:r>
        <w:rPr>
          <w:rFonts w:cs="Arial"/>
        </w:rPr>
        <w:t xml:space="preserve"> afterwards. </w:t>
      </w:r>
      <w:r>
        <w:rPr>
          <w:rFonts w:cs="Arial"/>
          <w:sz w:val="14"/>
          <w:szCs w:val="14"/>
        </w:rPr>
        <w:t xml:space="preserve">  </w:t>
      </w:r>
      <w:r>
        <w:rPr>
          <w:rFonts w:cs="Arial"/>
        </w:rPr>
        <w:t xml:space="preserve">Obian </w:t>
      </w:r>
      <w:r w:rsidRPr="00D84DF2">
        <w:rPr>
          <w:rFonts w:cs="Arial"/>
        </w:rPr>
        <w:t>gave evidence about the hire of the van and</w:t>
      </w:r>
      <w:r>
        <w:rPr>
          <w:rFonts w:cs="Arial"/>
        </w:rPr>
        <w:t xml:space="preserve"> </w:t>
      </w:r>
      <w:r w:rsidRPr="00D84DF2">
        <w:rPr>
          <w:rFonts w:cs="Arial"/>
        </w:rPr>
        <w:t xml:space="preserve">events occurring </w:t>
      </w:r>
      <w:proofErr w:type="gramStart"/>
      <w:r w:rsidRPr="00D84DF2">
        <w:rPr>
          <w:rFonts w:cs="Arial"/>
        </w:rPr>
        <w:t>in the course of</w:t>
      </w:r>
      <w:proofErr w:type="gramEnd"/>
      <w:r>
        <w:rPr>
          <w:rFonts w:cs="Arial"/>
        </w:rPr>
        <w:t>,</w:t>
      </w:r>
      <w:r w:rsidRPr="00D84DF2">
        <w:rPr>
          <w:rFonts w:cs="Arial"/>
        </w:rPr>
        <w:t xml:space="preserve"> and shortly after</w:t>
      </w:r>
      <w:r>
        <w:rPr>
          <w:rFonts w:cs="Arial"/>
        </w:rPr>
        <w:t>,</w:t>
      </w:r>
      <w:r w:rsidRPr="00D84DF2">
        <w:rPr>
          <w:rFonts w:cs="Arial"/>
        </w:rPr>
        <w:t xml:space="preserve"> that hire.</w:t>
      </w:r>
      <w:r w:rsidRPr="00761C53">
        <w:rPr>
          <w:rFonts w:eastAsia="TimesNewRomanPSMT" w:cs="Arial"/>
        </w:rPr>
        <w:t xml:space="preserve"> </w:t>
      </w:r>
      <w:r>
        <w:rPr>
          <w:rFonts w:eastAsia="TimesNewRomanPSMT" w:cs="Arial"/>
        </w:rPr>
        <w:t xml:space="preserve"> Obian </w:t>
      </w:r>
      <w:r w:rsidRPr="00761C53">
        <w:rPr>
          <w:rFonts w:eastAsia="TimesNewRomanPSMT" w:cs="Arial"/>
        </w:rPr>
        <w:t>said that he was the person</w:t>
      </w:r>
      <w:r>
        <w:rPr>
          <w:rFonts w:eastAsia="TimesNewRomanPSMT" w:cs="Arial"/>
        </w:rPr>
        <w:t xml:space="preserve"> </w:t>
      </w:r>
      <w:r w:rsidRPr="00761C53">
        <w:rPr>
          <w:rFonts w:eastAsia="TimesNewRomanPSMT" w:cs="Arial"/>
        </w:rPr>
        <w:t>who rented the van from Mini Koala Car Rental.</w:t>
      </w:r>
      <w:r>
        <w:rPr>
          <w:rFonts w:eastAsia="TimesNewRomanPSMT" w:cs="Arial"/>
        </w:rPr>
        <w:t xml:space="preserve"> </w:t>
      </w:r>
      <w:r w:rsidRPr="00761C53">
        <w:rPr>
          <w:rFonts w:eastAsia="TimesNewRomanPSMT" w:cs="Arial"/>
        </w:rPr>
        <w:t xml:space="preserve"> He said he hired </w:t>
      </w:r>
      <w:r>
        <w:rPr>
          <w:rFonts w:eastAsia="TimesNewRomanPSMT" w:cs="Arial"/>
        </w:rPr>
        <w:t xml:space="preserve">it </w:t>
      </w:r>
      <w:r w:rsidRPr="00761C53">
        <w:rPr>
          <w:rFonts w:eastAsia="TimesNewRomanPSMT" w:cs="Arial"/>
        </w:rPr>
        <w:t xml:space="preserve">on behalf of </w:t>
      </w:r>
      <w:r>
        <w:rPr>
          <w:rFonts w:eastAsia="TimesNewRomanPSMT" w:cs="Arial"/>
        </w:rPr>
        <w:t xml:space="preserve">one </w:t>
      </w:r>
      <w:r w:rsidRPr="00761C53">
        <w:rPr>
          <w:rFonts w:eastAsia="TimesNewRomanPSMT" w:cs="Arial"/>
        </w:rPr>
        <w:t>Allouche, because Allouche had called that night and asked him to do</w:t>
      </w:r>
      <w:r>
        <w:rPr>
          <w:rFonts w:eastAsia="TimesNewRomanPSMT" w:cs="Arial"/>
        </w:rPr>
        <w:t xml:space="preserve"> </w:t>
      </w:r>
      <w:r w:rsidRPr="00761C53">
        <w:rPr>
          <w:rFonts w:eastAsia="TimesNewRomanPSMT" w:cs="Arial"/>
        </w:rPr>
        <w:t>so.</w:t>
      </w:r>
      <w:r>
        <w:rPr>
          <w:rFonts w:eastAsia="TimesNewRomanPSMT" w:cs="Arial"/>
        </w:rPr>
        <w:t xml:space="preserve">  Obian</w:t>
      </w:r>
      <w:r w:rsidRPr="00761C53">
        <w:rPr>
          <w:rFonts w:eastAsia="TimesNewRomanPSMT" w:cs="Arial"/>
        </w:rPr>
        <w:t xml:space="preserve"> said that he left the car hire premises to attend Allouche’s house</w:t>
      </w:r>
      <w:r>
        <w:rPr>
          <w:rFonts w:eastAsia="TimesNewRomanPSMT" w:cs="Arial"/>
        </w:rPr>
        <w:t xml:space="preserve"> </w:t>
      </w:r>
      <w:r w:rsidRPr="00761C53">
        <w:rPr>
          <w:rFonts w:eastAsia="TimesNewRomanPSMT" w:cs="Arial"/>
        </w:rPr>
        <w:t>and obtain money for the bond, before</w:t>
      </w:r>
      <w:r>
        <w:rPr>
          <w:rFonts w:eastAsia="TimesNewRomanPSMT" w:cs="Arial"/>
        </w:rPr>
        <w:t xml:space="preserve"> </w:t>
      </w:r>
      <w:r w:rsidRPr="00761C53">
        <w:rPr>
          <w:rFonts w:eastAsia="TimesNewRomanPSMT" w:cs="Arial"/>
        </w:rPr>
        <w:t>returning and renting the van</w:t>
      </w:r>
      <w:r>
        <w:rPr>
          <w:rFonts w:eastAsia="TimesNewRomanPSMT" w:cs="Arial"/>
        </w:rPr>
        <w:t xml:space="preserve">.  </w:t>
      </w:r>
      <w:r w:rsidRPr="00761C53">
        <w:rPr>
          <w:rFonts w:eastAsia="TimesNewRomanPSMT" w:cs="Arial"/>
        </w:rPr>
        <w:t>He then</w:t>
      </w:r>
      <w:r>
        <w:rPr>
          <w:rFonts w:eastAsia="TimesNewRomanPSMT" w:cs="Arial"/>
        </w:rPr>
        <w:t xml:space="preserve"> </w:t>
      </w:r>
      <w:r w:rsidRPr="00761C53">
        <w:rPr>
          <w:rFonts w:eastAsia="TimesNewRomanPSMT" w:cs="Arial"/>
        </w:rPr>
        <w:t xml:space="preserve">delivered the van to Allouche. </w:t>
      </w:r>
      <w:r>
        <w:rPr>
          <w:rFonts w:eastAsia="TimesNewRomanPSMT" w:cs="Arial"/>
        </w:rPr>
        <w:t xml:space="preserve"> Obian </w:t>
      </w:r>
      <w:r w:rsidRPr="00761C53">
        <w:rPr>
          <w:rFonts w:eastAsia="TimesNewRomanPSMT" w:cs="Arial"/>
        </w:rPr>
        <w:t>said that he had no further involvement</w:t>
      </w:r>
      <w:r>
        <w:rPr>
          <w:rFonts w:eastAsia="TimesNewRomanPSMT" w:cs="Arial"/>
        </w:rPr>
        <w:t xml:space="preserve"> </w:t>
      </w:r>
      <w:r w:rsidRPr="00761C53">
        <w:rPr>
          <w:rFonts w:eastAsia="TimesNewRomanPSMT" w:cs="Arial"/>
        </w:rPr>
        <w:t xml:space="preserve">with the van after delivering it to Allouche, and denied having agreed to move, </w:t>
      </w:r>
      <w:r w:rsidR="005F068F">
        <w:rPr>
          <w:rFonts w:eastAsia="TimesNewRomanPSMT" w:cs="Arial"/>
        </w:rPr>
        <w:br/>
      </w:r>
      <w:r w:rsidRPr="00761C53">
        <w:rPr>
          <w:rFonts w:eastAsia="TimesNewRomanPSMT" w:cs="Arial"/>
        </w:rPr>
        <w:t>or</w:t>
      </w:r>
      <w:r>
        <w:rPr>
          <w:rFonts w:eastAsia="TimesNewRomanPSMT" w:cs="Arial"/>
        </w:rPr>
        <w:t xml:space="preserve"> </w:t>
      </w:r>
      <w:r w:rsidRPr="00761C53">
        <w:rPr>
          <w:rFonts w:eastAsia="TimesNewRomanPSMT" w:cs="Arial"/>
        </w:rPr>
        <w:t xml:space="preserve">participated in moving, 1,4-BD from Moustafa’s </w:t>
      </w:r>
      <w:r>
        <w:rPr>
          <w:rFonts w:eastAsia="TimesNewRomanPSMT" w:cs="Arial"/>
        </w:rPr>
        <w:t xml:space="preserve">(the co-accused’s) </w:t>
      </w:r>
      <w:r w:rsidRPr="00761C53">
        <w:rPr>
          <w:rFonts w:eastAsia="TimesNewRomanPSMT" w:cs="Arial"/>
        </w:rPr>
        <w:t>Braybrook storage facility</w:t>
      </w:r>
      <w:r>
        <w:rPr>
          <w:rFonts w:eastAsia="TimesNewRomanPSMT" w:cs="Arial"/>
        </w:rPr>
        <w:t xml:space="preserve"> that evening</w:t>
      </w:r>
      <w:r w:rsidRPr="00761C53">
        <w:rPr>
          <w:rFonts w:eastAsia="TimesNewRomanPSMT" w:cs="Arial"/>
        </w:rPr>
        <w:t xml:space="preserve">. </w:t>
      </w:r>
      <w:r>
        <w:rPr>
          <w:rFonts w:eastAsia="TimesNewRomanPSMT" w:cs="Arial"/>
        </w:rPr>
        <w:t xml:space="preserve"> </w:t>
      </w:r>
      <w:r w:rsidRPr="00761C53">
        <w:rPr>
          <w:rFonts w:eastAsia="TimesNewRomanPSMT" w:cs="Arial"/>
        </w:rPr>
        <w:t xml:space="preserve">He denied having seen </w:t>
      </w:r>
      <w:r>
        <w:rPr>
          <w:rFonts w:eastAsia="TimesNewRomanPSMT" w:cs="Arial"/>
        </w:rPr>
        <w:t xml:space="preserve">Moustafa at all on </w:t>
      </w:r>
      <w:r w:rsidR="005F068F">
        <w:rPr>
          <w:rFonts w:eastAsia="TimesNewRomanPSMT" w:cs="Arial"/>
        </w:rPr>
        <w:br/>
      </w:r>
      <w:r>
        <w:rPr>
          <w:rFonts w:eastAsia="TimesNewRomanPSMT" w:cs="Arial"/>
        </w:rPr>
        <w:t xml:space="preserve">13 or 14 June 2016.  Obian was not among the men apprehended on that morning, </w:t>
      </w:r>
      <w:r w:rsidRPr="00981E78">
        <w:rPr>
          <w:rFonts w:cs="Arial"/>
        </w:rPr>
        <w:lastRenderedPageBreak/>
        <w:t>although</w:t>
      </w:r>
      <w:r w:rsidR="00934D76">
        <w:rPr>
          <w:rFonts w:cs="Arial"/>
        </w:rPr>
        <w:t xml:space="preserve"> </w:t>
      </w:r>
      <w:r w:rsidRPr="00981E78">
        <w:rPr>
          <w:rFonts w:cs="Arial"/>
        </w:rPr>
        <w:t xml:space="preserve">the prosecution </w:t>
      </w:r>
      <w:r>
        <w:rPr>
          <w:rFonts w:cs="Arial"/>
        </w:rPr>
        <w:t xml:space="preserve">case </w:t>
      </w:r>
      <w:r w:rsidRPr="00981E78">
        <w:rPr>
          <w:rFonts w:cs="Arial"/>
        </w:rPr>
        <w:t xml:space="preserve">was that </w:t>
      </w:r>
      <w:r>
        <w:rPr>
          <w:rFonts w:cs="Arial"/>
        </w:rPr>
        <w:t xml:space="preserve">he </w:t>
      </w:r>
      <w:r w:rsidRPr="00981E78">
        <w:rPr>
          <w:rFonts w:cs="Arial"/>
        </w:rPr>
        <w:t>was physically present during that process</w:t>
      </w:r>
      <w:r>
        <w:rPr>
          <w:rFonts w:cs="Arial"/>
        </w:rPr>
        <w:t xml:space="preserve"> </w:t>
      </w:r>
      <w:r w:rsidRPr="00981E78">
        <w:rPr>
          <w:rFonts w:cs="Arial"/>
        </w:rPr>
        <w:t xml:space="preserve">but managed to evade police. </w:t>
      </w:r>
      <w:r>
        <w:rPr>
          <w:rFonts w:cs="Arial"/>
        </w:rPr>
        <w:t xml:space="preserve"> </w:t>
      </w:r>
    </w:p>
    <w:p w14:paraId="2D2F0290" w14:textId="77777777" w:rsidR="00894BFD" w:rsidRDefault="00894BFD" w:rsidP="00894BFD">
      <w:pPr>
        <w:autoSpaceDE w:val="0"/>
        <w:autoSpaceDN w:val="0"/>
        <w:adjustRightInd w:val="0"/>
        <w:jc w:val="both"/>
        <w:rPr>
          <w:rFonts w:cs="Arial"/>
        </w:rPr>
      </w:pPr>
    </w:p>
    <w:p w14:paraId="7F821411" w14:textId="77777777" w:rsidR="00894BFD" w:rsidRPr="00761C53" w:rsidRDefault="00894BFD" w:rsidP="00894BFD">
      <w:pPr>
        <w:autoSpaceDE w:val="0"/>
        <w:autoSpaceDN w:val="0"/>
        <w:adjustRightInd w:val="0"/>
        <w:jc w:val="both"/>
        <w:rPr>
          <w:rFonts w:ascii="TimesNewRomanPSMT" w:eastAsia="TimesNewRomanPSMT" w:hAnsi="Times New Roman" w:cs="TimesNewRomanPSMT"/>
          <w:sz w:val="16"/>
          <w:szCs w:val="16"/>
        </w:rPr>
      </w:pPr>
      <w:r>
        <w:rPr>
          <w:rFonts w:cs="Arial"/>
        </w:rPr>
        <w:t xml:space="preserve">Part way through the prosecution’s cross-examination of Obian, the prosecution sought leave under </w:t>
      </w:r>
      <w:r w:rsidRPr="008B52CD">
        <w:rPr>
          <w:rFonts w:cs="Arial"/>
        </w:rPr>
        <w:t>s</w:t>
      </w:r>
      <w:r>
        <w:rPr>
          <w:rFonts w:cs="Arial"/>
        </w:rPr>
        <w:t xml:space="preserve"> 233(2) of the </w:t>
      </w:r>
      <w:r w:rsidRPr="008B52CD">
        <w:rPr>
          <w:rFonts w:cs="Arial"/>
          <w:i/>
          <w:iCs/>
        </w:rPr>
        <w:t>Criminal Procedure Act 2009 (Vic)</w:t>
      </w:r>
      <w:r>
        <w:rPr>
          <w:rFonts w:cs="Arial"/>
        </w:rPr>
        <w:t xml:space="preserve"> to reopen its case </w:t>
      </w:r>
      <w:r w:rsidRPr="00D84DF2">
        <w:rPr>
          <w:rFonts w:cs="Arial"/>
        </w:rPr>
        <w:t xml:space="preserve">to call evidence from </w:t>
      </w:r>
      <w:r>
        <w:rPr>
          <w:rFonts w:cs="Arial"/>
        </w:rPr>
        <w:t xml:space="preserve">a </w:t>
      </w:r>
      <w:r w:rsidRPr="00D84DF2">
        <w:rPr>
          <w:rFonts w:cs="Arial"/>
        </w:rPr>
        <w:t>police surveillance o</w:t>
      </w:r>
      <w:r>
        <w:rPr>
          <w:rFonts w:cs="Arial"/>
        </w:rPr>
        <w:t>fficer</w:t>
      </w:r>
      <w:r w:rsidRPr="00D84DF2">
        <w:rPr>
          <w:rFonts w:cs="Arial"/>
        </w:rPr>
        <w:t xml:space="preserve"> to rebut aspects of </w:t>
      </w:r>
      <w:r>
        <w:rPr>
          <w:rFonts w:cs="Arial"/>
        </w:rPr>
        <w:t>Obian</w:t>
      </w:r>
      <w:r w:rsidRPr="00D84DF2">
        <w:rPr>
          <w:rFonts w:cs="Arial"/>
        </w:rPr>
        <w:t>’s evidence</w:t>
      </w:r>
      <w:r>
        <w:rPr>
          <w:rFonts w:cs="Arial"/>
        </w:rPr>
        <w:t xml:space="preserve"> regarding that night.  This was said to be on the basis that it had been always disputed that Obian was the person who hired the van and that Obian had denied he was there at Mini Koala Car Rentals.  The application was contested and there was extensive discussion about the application.  T</w:t>
      </w:r>
      <w:r w:rsidRPr="00D84DF2">
        <w:rPr>
          <w:rFonts w:cs="Arial"/>
        </w:rPr>
        <w:t>he trial judge gave the prosecution leave to reopen its</w:t>
      </w:r>
      <w:r>
        <w:rPr>
          <w:rFonts w:cs="Arial"/>
        </w:rPr>
        <w:t xml:space="preserve"> </w:t>
      </w:r>
      <w:r w:rsidRPr="00D84DF2">
        <w:rPr>
          <w:rFonts w:cs="Arial"/>
        </w:rPr>
        <w:t>case</w:t>
      </w:r>
      <w:r>
        <w:rPr>
          <w:rFonts w:cs="Arial"/>
        </w:rPr>
        <w:t>, finding that the prosecution could not have reasonably foreseen Obian’s evidence.</w:t>
      </w:r>
    </w:p>
    <w:p w14:paraId="3C48D480" w14:textId="77777777" w:rsidR="00894BFD" w:rsidRDefault="00894BFD" w:rsidP="00894BFD">
      <w:pPr>
        <w:autoSpaceDE w:val="0"/>
        <w:autoSpaceDN w:val="0"/>
        <w:adjustRightInd w:val="0"/>
        <w:jc w:val="both"/>
        <w:rPr>
          <w:rFonts w:cs="Arial"/>
        </w:rPr>
      </w:pPr>
    </w:p>
    <w:p w14:paraId="510D03F2" w14:textId="493D1E21" w:rsidR="00894BFD" w:rsidRDefault="00894BFD" w:rsidP="00894BFD">
      <w:pPr>
        <w:autoSpaceDE w:val="0"/>
        <w:autoSpaceDN w:val="0"/>
        <w:adjustRightInd w:val="0"/>
        <w:jc w:val="both"/>
        <w:rPr>
          <w:rFonts w:cs="Arial"/>
        </w:rPr>
      </w:pPr>
      <w:r>
        <w:rPr>
          <w:rFonts w:cs="Arial"/>
        </w:rPr>
        <w:t xml:space="preserve">Obian sought leave to appeal and each of his proposed grounds in the </w:t>
      </w:r>
      <w:r w:rsidR="009245CC">
        <w:rPr>
          <w:rFonts w:cs="Arial"/>
        </w:rPr>
        <w:br/>
      </w:r>
      <w:r>
        <w:rPr>
          <w:rFonts w:cs="Arial"/>
        </w:rPr>
        <w:t xml:space="preserve">Court of Appeal in one way or another took issue with the leave granted to the prosecution to reopen its case and the process of obtaining it.  Obian contended that there was error because the trial judge had determined the s 233(2) application </w:t>
      </w:r>
      <w:proofErr w:type="gramStart"/>
      <w:r>
        <w:rPr>
          <w:rFonts w:cs="Arial"/>
        </w:rPr>
        <w:t>on the basis of</w:t>
      </w:r>
      <w:proofErr w:type="gramEnd"/>
      <w:r>
        <w:rPr>
          <w:rFonts w:cs="Arial"/>
        </w:rPr>
        <w:t xml:space="preserve"> incorrect propositions advanced by the prosecution (that Obian has consistently denied hiring the van), and wrongly found Obian’s evidence relevant to that topic was not reasonably foreseeable.  A majority in the Court of Appeal (Macaulay JA, Niall JA largely agreeing) accepted that the prosecutor’s application was made on a false factual basis and that the trial judge had unwittingly been misled.  The majority held that the outcome of the trial might have been different were it not for the trial judge’s ruling.  However, Macaulay JA determined that Obian’s evidence about hiring the van on behalf of Allouche had not been reasonably foreseeable, and so if there was error or irregularity arising from the prosecutor’s misrepresentations, that there had been no substantial miscarriage of justice as a result.</w:t>
      </w:r>
      <w:r w:rsidR="00E965FB">
        <w:rPr>
          <w:rFonts w:cs="Arial"/>
        </w:rPr>
        <w:t xml:space="preserve"> </w:t>
      </w:r>
    </w:p>
    <w:p w14:paraId="7B5D45C2" w14:textId="77777777" w:rsidR="00894BFD" w:rsidRPr="00847A55" w:rsidRDefault="00894BFD" w:rsidP="00894BFD">
      <w:pPr>
        <w:autoSpaceDE w:val="0"/>
        <w:autoSpaceDN w:val="0"/>
        <w:adjustRightInd w:val="0"/>
        <w:jc w:val="both"/>
        <w:rPr>
          <w:rFonts w:cs="Arial"/>
        </w:rPr>
      </w:pPr>
    </w:p>
    <w:p w14:paraId="444A246E" w14:textId="77777777" w:rsidR="00894BFD" w:rsidRDefault="00894BFD" w:rsidP="00894BFD">
      <w:pPr>
        <w:tabs>
          <w:tab w:val="left" w:pos="0"/>
        </w:tabs>
        <w:jc w:val="both"/>
        <w:rPr>
          <w:rFonts w:cs="Arial"/>
        </w:rPr>
      </w:pPr>
      <w:r>
        <w:rPr>
          <w:rFonts w:cs="Arial"/>
        </w:rPr>
        <w:t>Priest JA held that the judge’s discretion under s 233(2) miscarried because he exercised it on an objectively false factual basis.</w:t>
      </w:r>
    </w:p>
    <w:p w14:paraId="6B645AAA" w14:textId="77777777" w:rsidR="00894BFD" w:rsidRDefault="00894BFD" w:rsidP="00894BFD">
      <w:pPr>
        <w:tabs>
          <w:tab w:val="left" w:pos="0"/>
        </w:tabs>
        <w:jc w:val="both"/>
        <w:rPr>
          <w:rFonts w:cs="Arial"/>
        </w:rPr>
      </w:pPr>
    </w:p>
    <w:p w14:paraId="03F70946" w14:textId="77777777" w:rsidR="00894BFD" w:rsidRDefault="00894BFD" w:rsidP="00894BFD">
      <w:pPr>
        <w:tabs>
          <w:tab w:val="left" w:pos="0"/>
        </w:tabs>
        <w:jc w:val="both"/>
        <w:rPr>
          <w:rFonts w:cs="Arial"/>
        </w:rPr>
      </w:pPr>
      <w:r w:rsidRPr="00872ECB">
        <w:rPr>
          <w:rFonts w:cs="Arial"/>
        </w:rPr>
        <w:t xml:space="preserve">The </w:t>
      </w:r>
      <w:r>
        <w:rPr>
          <w:rFonts w:cs="Arial"/>
        </w:rPr>
        <w:t>sole ground of appeal is</w:t>
      </w:r>
      <w:r w:rsidRPr="00872ECB">
        <w:rPr>
          <w:rFonts w:cs="Arial"/>
        </w:rPr>
        <w:t>:</w:t>
      </w:r>
    </w:p>
    <w:p w14:paraId="372B69EB" w14:textId="77777777" w:rsidR="00894BFD" w:rsidRDefault="00894BFD" w:rsidP="00894BFD">
      <w:pPr>
        <w:tabs>
          <w:tab w:val="left" w:pos="0"/>
        </w:tabs>
        <w:jc w:val="both"/>
        <w:rPr>
          <w:rFonts w:cs="Arial"/>
        </w:rPr>
      </w:pPr>
    </w:p>
    <w:p w14:paraId="178B2BA6" w14:textId="3B2223D9" w:rsidR="00894BFD" w:rsidRPr="00D629AF" w:rsidRDefault="00894BFD" w:rsidP="00894BFD">
      <w:pPr>
        <w:pStyle w:val="ListParagraph"/>
        <w:numPr>
          <w:ilvl w:val="0"/>
          <w:numId w:val="16"/>
        </w:numPr>
        <w:tabs>
          <w:tab w:val="left" w:pos="0"/>
        </w:tabs>
        <w:ind w:left="426" w:hanging="426"/>
        <w:contextualSpacing w:val="0"/>
        <w:jc w:val="both"/>
        <w:rPr>
          <w:rFonts w:cs="Arial"/>
        </w:rPr>
      </w:pPr>
      <w:r>
        <w:rPr>
          <w:rFonts w:cs="Arial"/>
        </w:rPr>
        <w:t xml:space="preserve">That the majority of the Court of Appeal erred in failing to find that the trial judge erred in permitting the prosecution to reopen the prosecution case under </w:t>
      </w:r>
      <w:r w:rsidR="00934D76">
        <w:rPr>
          <w:rFonts w:cs="Arial"/>
        </w:rPr>
        <w:br/>
      </w:r>
      <w:r>
        <w:rPr>
          <w:rFonts w:cs="Arial"/>
        </w:rPr>
        <w:t xml:space="preserve">s 233(2) of the </w:t>
      </w:r>
      <w:r>
        <w:rPr>
          <w:rFonts w:cs="Arial"/>
          <w:i/>
          <w:iCs/>
        </w:rPr>
        <w:t xml:space="preserve">Criminal Procedure Act 2009 (Vic) </w:t>
      </w:r>
      <w:r>
        <w:rPr>
          <w:rFonts w:cs="Arial"/>
        </w:rPr>
        <w:t xml:space="preserve">and that a substantial miscarriage of justice occurred as a result. </w:t>
      </w:r>
    </w:p>
    <w:p w14:paraId="532D9F74" w14:textId="77777777" w:rsidR="00E32B79" w:rsidRPr="00913869" w:rsidRDefault="00E32B79" w:rsidP="00913869"/>
    <w:sectPr w:rsidR="00E32B79" w:rsidRPr="00913869" w:rsidSect="00E442CA">
      <w:headerReference w:type="default" r:id="rId8"/>
      <w:headerReference w:type="first" r:id="rId9"/>
      <w:footerReference w:type="first" r:id="rId10"/>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7645" w14:textId="77777777" w:rsidR="006235D8" w:rsidRDefault="006235D8">
      <w:r>
        <w:separator/>
      </w:r>
    </w:p>
  </w:endnote>
  <w:endnote w:type="continuationSeparator" w:id="0">
    <w:p w14:paraId="4E1855F8" w14:textId="77777777" w:rsidR="006235D8" w:rsidRDefault="0062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601A" w14:textId="77777777" w:rsidR="004B7828" w:rsidRDefault="004B7828">
    <w:pPr>
      <w:tabs>
        <w:tab w:val="left" w:pos="851"/>
        <w:tab w:val="right" w:pos="8505"/>
      </w:tabs>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31015" w14:textId="77777777" w:rsidR="006235D8" w:rsidRDefault="006235D8">
      <w:r>
        <w:separator/>
      </w:r>
    </w:p>
  </w:footnote>
  <w:footnote w:type="continuationSeparator" w:id="0">
    <w:p w14:paraId="1DD47662" w14:textId="77777777" w:rsidR="006235D8" w:rsidRDefault="0062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089B"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8FE2" w14:textId="77777777" w:rsidR="004B7828" w:rsidRDefault="004B7828">
    <w:pPr>
      <w:pStyle w:val="Title"/>
    </w:pPr>
  </w:p>
  <w:p w14:paraId="221B972A" w14:textId="77777777" w:rsidR="004B7828" w:rsidRDefault="004B7828">
    <w:pPr>
      <w:pStyle w:val="Title"/>
    </w:pPr>
    <w:r>
      <w:t>SHORT PARTICULARS OF CASES</w:t>
    </w:r>
  </w:p>
  <w:p w14:paraId="1782DED5" w14:textId="77777777" w:rsidR="004B7828" w:rsidRDefault="004B7828">
    <w:pPr>
      <w:pStyle w:val="Title"/>
    </w:pPr>
    <w:r>
      <w:t>APPEALS</w:t>
    </w:r>
  </w:p>
  <w:p w14:paraId="12AB4A2D" w14:textId="77777777" w:rsidR="004B7828" w:rsidRDefault="004B7828">
    <w:pPr>
      <w:tabs>
        <w:tab w:val="left" w:pos="851"/>
        <w:tab w:val="right" w:pos="8505"/>
      </w:tabs>
      <w:jc w:val="center"/>
      <w:rPr>
        <w:b/>
        <w:u w:val="single"/>
      </w:rPr>
    </w:pPr>
  </w:p>
  <w:p w14:paraId="50496E0C" w14:textId="0D0D6DCA" w:rsidR="004B7828" w:rsidRDefault="00BC5A12">
    <w:pPr>
      <w:tabs>
        <w:tab w:val="left" w:pos="851"/>
        <w:tab w:val="right" w:pos="8505"/>
      </w:tabs>
      <w:jc w:val="center"/>
      <w:rPr>
        <w:b/>
        <w:u w:val="single"/>
      </w:rPr>
    </w:pPr>
    <w:r>
      <w:rPr>
        <w:b/>
        <w:u w:val="single"/>
      </w:rPr>
      <w:t>MARCH</w:t>
    </w:r>
    <w:r w:rsidR="00925E41">
      <w:rPr>
        <w:b/>
        <w:u w:val="single"/>
      </w:rPr>
      <w:t xml:space="preserve"> 2024</w:t>
    </w:r>
  </w:p>
  <w:p w14:paraId="2C0FAA10" w14:textId="77777777" w:rsidR="004B7828" w:rsidRDefault="004B7828">
    <w:pPr>
      <w:tabs>
        <w:tab w:val="left" w:pos="851"/>
        <w:tab w:val="right" w:pos="8505"/>
      </w:tabs>
    </w:pPr>
  </w:p>
  <w:p w14:paraId="6FFBEA45" w14:textId="77777777" w:rsidR="004B7828" w:rsidRDefault="004B7828">
    <w:pPr>
      <w:tabs>
        <w:tab w:val="left" w:pos="851"/>
        <w:tab w:val="right" w:pos="8505"/>
      </w:tabs>
      <w:jc w:val="both"/>
    </w:pPr>
    <w:r>
      <w:t>_______________________________________________________________</w:t>
    </w:r>
    <w:r w:rsidR="00E442CA">
      <w:t>_</w:t>
    </w:r>
  </w:p>
  <w:p w14:paraId="2E575DB1" w14:textId="77777777" w:rsidR="004B7828" w:rsidRDefault="004B7828">
    <w:pPr>
      <w:tabs>
        <w:tab w:val="left" w:pos="851"/>
        <w:tab w:val="right" w:pos="8505"/>
      </w:tabs>
      <w:jc w:val="both"/>
    </w:pPr>
  </w:p>
  <w:p w14:paraId="68B21641" w14:textId="77777777" w:rsidR="004B7828" w:rsidRDefault="004B7828">
    <w:pPr>
      <w:tabs>
        <w:tab w:val="left" w:pos="851"/>
        <w:tab w:val="right" w:pos="8505"/>
      </w:tabs>
      <w:jc w:val="both"/>
    </w:pPr>
    <w:r>
      <w:t>No.</w:t>
    </w:r>
    <w:r>
      <w:tab/>
      <w:t>Name of Matter</w:t>
    </w:r>
    <w:r>
      <w:tab/>
      <w:t>Page No</w:t>
    </w:r>
  </w:p>
  <w:p w14:paraId="130CBC58" w14:textId="77777777" w:rsidR="004B7828" w:rsidRDefault="004B7828" w:rsidP="00E442CA">
    <w:pPr>
      <w:tabs>
        <w:tab w:val="left" w:pos="851"/>
        <w:tab w:val="right" w:pos="8505"/>
      </w:tabs>
      <w:jc w:val="both"/>
    </w:pPr>
    <w:r>
      <w:t>_______________________________________________________________</w:t>
    </w:r>
    <w:r w:rsidR="00E442CA">
      <w:t>_</w:t>
    </w:r>
  </w:p>
  <w:p w14:paraId="6AA231B1"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AA12B3"/>
    <w:multiLevelType w:val="hybridMultilevel"/>
    <w:tmpl w:val="AB3C8DEE"/>
    <w:lvl w:ilvl="0" w:tplc="26F6F2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F66465"/>
    <w:multiLevelType w:val="hybridMultilevel"/>
    <w:tmpl w:val="0046DC80"/>
    <w:lvl w:ilvl="0" w:tplc="0C090001">
      <w:start w:val="1"/>
      <w:numFmt w:val="bullet"/>
      <w:lvlText w:val=""/>
      <w:lvlJc w:val="left"/>
      <w:pPr>
        <w:ind w:left="360" w:hanging="360"/>
      </w:pPr>
      <w:rPr>
        <w:rFonts w:ascii="Symbol" w:hAnsi="Symbol" w:hint="default"/>
      </w:rPr>
    </w:lvl>
    <w:lvl w:ilvl="1" w:tplc="1298B102">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504E87"/>
    <w:multiLevelType w:val="hybridMultilevel"/>
    <w:tmpl w:val="94C267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8384E9D"/>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ACB1B08"/>
    <w:multiLevelType w:val="hybridMultilevel"/>
    <w:tmpl w:val="8FECC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AD522CD"/>
    <w:multiLevelType w:val="hybridMultilevel"/>
    <w:tmpl w:val="71309D00"/>
    <w:lvl w:ilvl="0" w:tplc="EEF6F700">
      <w:start w:val="1"/>
      <w:numFmt w:val="lowerLetter"/>
      <w:lvlText w:val="(%1)"/>
      <w:lvlJc w:val="left"/>
      <w:pPr>
        <w:ind w:left="1129" w:hanging="4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521F2EAF"/>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6FD3E57"/>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3" w15:restartNumberingAfterBreak="0">
    <w:nsid w:val="77721F51"/>
    <w:multiLevelType w:val="singleLevel"/>
    <w:tmpl w:val="1A407722"/>
    <w:lvl w:ilvl="0">
      <w:start w:val="4"/>
      <w:numFmt w:val="decimal"/>
      <w:lvlText w:val="%1."/>
      <w:lvlJc w:val="left"/>
      <w:pPr>
        <w:tabs>
          <w:tab w:val="num" w:pos="852"/>
        </w:tabs>
        <w:ind w:left="852" w:hanging="852"/>
      </w:pPr>
      <w:rPr>
        <w:rFonts w:hint="default"/>
      </w:rPr>
    </w:lvl>
  </w:abstractNum>
  <w:abstractNum w:abstractNumId="14" w15:restartNumberingAfterBreak="0">
    <w:nsid w:val="78E535BA"/>
    <w:multiLevelType w:val="hybridMultilevel"/>
    <w:tmpl w:val="6AF4A158"/>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ABC493A"/>
    <w:multiLevelType w:val="hybridMultilevel"/>
    <w:tmpl w:val="7D5EFCEC"/>
    <w:lvl w:ilvl="0" w:tplc="0C090001">
      <w:start w:val="1"/>
      <w:numFmt w:val="bullet"/>
      <w:lvlText w:val=""/>
      <w:lvlJc w:val="left"/>
      <w:pPr>
        <w:ind w:left="720" w:hanging="360"/>
      </w:pPr>
      <w:rPr>
        <w:rFonts w:ascii="Symbol" w:hAnsi="Symbol" w:hint="default"/>
      </w:rPr>
    </w:lvl>
    <w:lvl w:ilvl="1" w:tplc="1298B102">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2138279">
    <w:abstractNumId w:val="13"/>
  </w:num>
  <w:num w:numId="2" w16cid:durableId="524028708">
    <w:abstractNumId w:val="7"/>
  </w:num>
  <w:num w:numId="3" w16cid:durableId="606694653">
    <w:abstractNumId w:val="5"/>
  </w:num>
  <w:num w:numId="4" w16cid:durableId="269825547">
    <w:abstractNumId w:val="10"/>
  </w:num>
  <w:num w:numId="5" w16cid:durableId="549347394">
    <w:abstractNumId w:val="12"/>
  </w:num>
  <w:num w:numId="6" w16cid:durableId="1757436638">
    <w:abstractNumId w:val="11"/>
  </w:num>
  <w:num w:numId="7" w16cid:durableId="2038506228">
    <w:abstractNumId w:val="1"/>
  </w:num>
  <w:num w:numId="8" w16cid:durableId="2041855798">
    <w:abstractNumId w:val="0"/>
  </w:num>
  <w:num w:numId="9" w16cid:durableId="1965622278">
    <w:abstractNumId w:val="2"/>
  </w:num>
  <w:num w:numId="10" w16cid:durableId="994261806">
    <w:abstractNumId w:val="15"/>
  </w:num>
  <w:num w:numId="11" w16cid:durableId="1631092091">
    <w:abstractNumId w:val="14"/>
  </w:num>
  <w:num w:numId="12" w16cid:durableId="1678654617">
    <w:abstractNumId w:val="9"/>
  </w:num>
  <w:num w:numId="13" w16cid:durableId="1476988351">
    <w:abstractNumId w:val="4"/>
  </w:num>
  <w:num w:numId="14" w16cid:durableId="1663389251">
    <w:abstractNumId w:val="6"/>
  </w:num>
  <w:num w:numId="15" w16cid:durableId="375936018">
    <w:abstractNumId w:val="3"/>
  </w:num>
  <w:num w:numId="16" w16cid:durableId="1525313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0F16"/>
    <w:rsid w:val="00007C4E"/>
    <w:rsid w:val="000145E7"/>
    <w:rsid w:val="000B7BD8"/>
    <w:rsid w:val="0014209F"/>
    <w:rsid w:val="0017627F"/>
    <w:rsid w:val="001A29AE"/>
    <w:rsid w:val="002322B7"/>
    <w:rsid w:val="0023593D"/>
    <w:rsid w:val="00240BA6"/>
    <w:rsid w:val="0025172E"/>
    <w:rsid w:val="002E45D0"/>
    <w:rsid w:val="002E6644"/>
    <w:rsid w:val="002F23A4"/>
    <w:rsid w:val="00312FB2"/>
    <w:rsid w:val="003240D8"/>
    <w:rsid w:val="0034798B"/>
    <w:rsid w:val="003B4B77"/>
    <w:rsid w:val="003C2828"/>
    <w:rsid w:val="003D1679"/>
    <w:rsid w:val="003D6579"/>
    <w:rsid w:val="003E17C1"/>
    <w:rsid w:val="00414F5C"/>
    <w:rsid w:val="00447E93"/>
    <w:rsid w:val="00474508"/>
    <w:rsid w:val="004A2075"/>
    <w:rsid w:val="004B7828"/>
    <w:rsid w:val="004F08AD"/>
    <w:rsid w:val="005169B3"/>
    <w:rsid w:val="005226F7"/>
    <w:rsid w:val="005246FC"/>
    <w:rsid w:val="00547167"/>
    <w:rsid w:val="005543ED"/>
    <w:rsid w:val="00566F8F"/>
    <w:rsid w:val="00570096"/>
    <w:rsid w:val="00587F3C"/>
    <w:rsid w:val="00595ED9"/>
    <w:rsid w:val="005C3122"/>
    <w:rsid w:val="005F068F"/>
    <w:rsid w:val="00615559"/>
    <w:rsid w:val="006235D8"/>
    <w:rsid w:val="006C3287"/>
    <w:rsid w:val="006F451F"/>
    <w:rsid w:val="007129C3"/>
    <w:rsid w:val="00737693"/>
    <w:rsid w:val="00756B91"/>
    <w:rsid w:val="00760A2C"/>
    <w:rsid w:val="007B642B"/>
    <w:rsid w:val="00811E2E"/>
    <w:rsid w:val="0083051D"/>
    <w:rsid w:val="008360F9"/>
    <w:rsid w:val="008751EB"/>
    <w:rsid w:val="00876107"/>
    <w:rsid w:val="00894060"/>
    <w:rsid w:val="00894BFD"/>
    <w:rsid w:val="008F4477"/>
    <w:rsid w:val="00913869"/>
    <w:rsid w:val="009245CC"/>
    <w:rsid w:val="00925E41"/>
    <w:rsid w:val="00934D76"/>
    <w:rsid w:val="009C5ABD"/>
    <w:rsid w:val="00A1090B"/>
    <w:rsid w:val="00A33BBF"/>
    <w:rsid w:val="00A414D3"/>
    <w:rsid w:val="00AE09E0"/>
    <w:rsid w:val="00AF2155"/>
    <w:rsid w:val="00AF7632"/>
    <w:rsid w:val="00B05ACC"/>
    <w:rsid w:val="00B27C18"/>
    <w:rsid w:val="00B41EEE"/>
    <w:rsid w:val="00BA02B7"/>
    <w:rsid w:val="00BC5A12"/>
    <w:rsid w:val="00C511ED"/>
    <w:rsid w:val="00C65A07"/>
    <w:rsid w:val="00C94BB2"/>
    <w:rsid w:val="00CA0216"/>
    <w:rsid w:val="00CA144A"/>
    <w:rsid w:val="00CD4C85"/>
    <w:rsid w:val="00D64A82"/>
    <w:rsid w:val="00D66261"/>
    <w:rsid w:val="00D710B4"/>
    <w:rsid w:val="00DA5FEE"/>
    <w:rsid w:val="00DD5933"/>
    <w:rsid w:val="00DE146F"/>
    <w:rsid w:val="00E16BC2"/>
    <w:rsid w:val="00E32B79"/>
    <w:rsid w:val="00E442CA"/>
    <w:rsid w:val="00E83EA0"/>
    <w:rsid w:val="00E965FB"/>
    <w:rsid w:val="00EA66EA"/>
    <w:rsid w:val="00EC030E"/>
    <w:rsid w:val="00EE29C5"/>
    <w:rsid w:val="00EF04EB"/>
    <w:rsid w:val="00F03117"/>
    <w:rsid w:val="00F21E02"/>
    <w:rsid w:val="00F530FE"/>
    <w:rsid w:val="00F56001"/>
    <w:rsid w:val="00FC088A"/>
    <w:rsid w:val="00FF4B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0DEF5"/>
  <w15:chartTrackingRefBased/>
  <w15:docId w15:val="{19AB1777-7B0E-4DA8-AF62-169DFECC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93D"/>
    <w:pPr>
      <w:ind w:left="720"/>
      <w:contextualSpacing/>
    </w:pPr>
  </w:style>
  <w:style w:type="paragraph" w:styleId="NormalWeb">
    <w:name w:val="Normal (Web)"/>
    <w:basedOn w:val="Normal"/>
    <w:uiPriority w:val="99"/>
    <w:unhideWhenUsed/>
    <w:rsid w:val="00EE29C5"/>
    <w:pPr>
      <w:spacing w:before="100" w:beforeAutospacing="1" w:after="100" w:afterAutospacing="1"/>
    </w:pPr>
    <w:rPr>
      <w:rFonts w:ascii="Times New Roman" w:hAnsi="Times New Roman"/>
      <w:szCs w:val="24"/>
      <w:lang w:val="en-AU"/>
    </w:rPr>
  </w:style>
  <w:style w:type="paragraph" w:styleId="z-TopofForm">
    <w:name w:val="HTML Top of Form"/>
    <w:basedOn w:val="Normal"/>
    <w:next w:val="Normal"/>
    <w:link w:val="z-TopofFormChar"/>
    <w:hidden/>
    <w:uiPriority w:val="99"/>
    <w:unhideWhenUsed/>
    <w:rsid w:val="00EE29C5"/>
    <w:pPr>
      <w:pBdr>
        <w:bottom w:val="single" w:sz="6" w:space="1" w:color="auto"/>
      </w:pBdr>
      <w:jc w:val="center"/>
    </w:pPr>
    <w:rPr>
      <w:rFonts w:cs="Arial"/>
      <w:vanish/>
      <w:sz w:val="16"/>
      <w:szCs w:val="16"/>
      <w:lang w:val="en-AU"/>
    </w:rPr>
  </w:style>
  <w:style w:type="character" w:customStyle="1" w:styleId="z-TopofFormChar">
    <w:name w:val="z-Top of Form Char"/>
    <w:basedOn w:val="DefaultParagraphFont"/>
    <w:link w:val="z-TopofForm"/>
    <w:uiPriority w:val="99"/>
    <w:rsid w:val="00EE29C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DF76E-953C-4FA3-9043-B5CBB0C2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13</Pages>
  <Words>4437</Words>
  <Characters>22382</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SP Appeals</vt:lpstr>
    </vt:vector>
  </TitlesOfParts>
  <Company>High Court of Australia</Company>
  <LinksUpToDate>false</LinksUpToDate>
  <CharactersWithSpaces>26766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Appeals</dc:title>
  <dc:subject/>
  <dc:creator>Personal Assistant to Senior Registrar</dc:creator>
  <cp:keywords/>
  <cp:lastModifiedBy>Thomas Woodbridge</cp:lastModifiedBy>
  <cp:revision>89</cp:revision>
  <cp:lastPrinted>1999-08-03T02:31:00Z</cp:lastPrinted>
  <dcterms:created xsi:type="dcterms:W3CDTF">2022-03-29T00:10:00Z</dcterms:created>
  <dcterms:modified xsi:type="dcterms:W3CDTF">2024-03-01T03:30:00Z</dcterms:modified>
</cp:coreProperties>
</file>