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5719F" w14:textId="77777777" w:rsidR="0047638A" w:rsidRPr="00704FF8" w:rsidRDefault="0047638A" w:rsidP="0047638A">
      <w:pPr>
        <w:pStyle w:val="OrdersTopLine"/>
      </w:pPr>
      <w:bookmarkStart w:id="0" w:name="_GoBack"/>
      <w:bookmarkEnd w:id="0"/>
      <w:r w:rsidRPr="00704FF8">
        <w:t>HIGH COURT OF AUSTRALIA</w:t>
      </w:r>
    </w:p>
    <w:p w14:paraId="4924D49A" w14:textId="77777777" w:rsidR="0047638A" w:rsidRPr="00704FF8" w:rsidRDefault="0047638A" w:rsidP="0047638A">
      <w:pPr>
        <w:pStyle w:val="OrderCentre"/>
      </w:pPr>
    </w:p>
    <w:p w14:paraId="24FCEAE5" w14:textId="77777777" w:rsidR="0047638A" w:rsidRPr="00704FF8" w:rsidRDefault="0047638A" w:rsidP="0047638A">
      <w:pPr>
        <w:pStyle w:val="OrderCentre"/>
      </w:pPr>
      <w:r w:rsidRPr="00704FF8">
        <w:t>KIEFEL CJ</w:t>
      </w:r>
      <w:r>
        <w:t>,</w:t>
      </w:r>
    </w:p>
    <w:p w14:paraId="15CC0998" w14:textId="77777777" w:rsidR="0047638A" w:rsidRPr="00704FF8" w:rsidRDefault="0047638A" w:rsidP="0047638A">
      <w:pPr>
        <w:pStyle w:val="OrderCentre"/>
      </w:pPr>
      <w:r w:rsidRPr="00704FF8">
        <w:t>BELL, GAGELER, KEANE, NETTLE, GORDON AND EDELMAN JJ</w:t>
      </w:r>
    </w:p>
    <w:p w14:paraId="4F98BAC0" w14:textId="77777777" w:rsidR="0047638A" w:rsidRPr="00427F3A" w:rsidRDefault="0047638A" w:rsidP="0047638A">
      <w:pPr>
        <w:pStyle w:val="Centre"/>
        <w:rPr>
          <w:lang w:val="en-AU"/>
        </w:rPr>
      </w:pPr>
    </w:p>
    <w:p w14:paraId="314129DF" w14:textId="77777777" w:rsidR="0047638A" w:rsidRPr="00704FF8" w:rsidRDefault="0047638A" w:rsidP="0047638A">
      <w:pPr>
        <w:pStyle w:val="OrdersCenteredBorder"/>
      </w:pPr>
    </w:p>
    <w:p w14:paraId="2BF02CD9" w14:textId="77777777" w:rsidR="0047638A" w:rsidRPr="00704FF8" w:rsidRDefault="0047638A" w:rsidP="0047638A">
      <w:pPr>
        <w:pStyle w:val="OrdersBodyHeading"/>
      </w:pPr>
    </w:p>
    <w:p w14:paraId="37F55CB2" w14:textId="77777777" w:rsidR="0047638A" w:rsidRPr="0032341F" w:rsidRDefault="0047638A" w:rsidP="0047638A">
      <w:pPr>
        <w:pStyle w:val="OrdersPartyName"/>
        <w:ind w:right="-1"/>
      </w:pPr>
      <w:r w:rsidRPr="00F4743B">
        <w:t>CALIDAD PTY LTD &amp; ORS</w:t>
      </w:r>
      <w:r w:rsidRPr="0032341F">
        <w:tab/>
        <w:t>APPELLANT</w:t>
      </w:r>
      <w:r>
        <w:t>S</w:t>
      </w:r>
    </w:p>
    <w:p w14:paraId="5AF1E6AA" w14:textId="77777777" w:rsidR="0047638A" w:rsidRPr="0032341F" w:rsidRDefault="0047638A" w:rsidP="0047638A">
      <w:pPr>
        <w:pStyle w:val="OrdersPartyName"/>
        <w:ind w:right="-1"/>
      </w:pPr>
    </w:p>
    <w:p w14:paraId="0D2AE4F9" w14:textId="77777777" w:rsidR="0047638A" w:rsidRPr="0032341F" w:rsidRDefault="0047638A" w:rsidP="0047638A">
      <w:pPr>
        <w:pStyle w:val="OrdersPartyName"/>
        <w:ind w:right="-1"/>
      </w:pPr>
      <w:r w:rsidRPr="0032341F">
        <w:t>AND</w:t>
      </w:r>
    </w:p>
    <w:p w14:paraId="419ED66F" w14:textId="77777777" w:rsidR="0047638A" w:rsidRPr="0032341F" w:rsidRDefault="0047638A" w:rsidP="0047638A">
      <w:pPr>
        <w:pStyle w:val="OrdersPartyName"/>
        <w:ind w:right="-1"/>
      </w:pPr>
    </w:p>
    <w:p w14:paraId="05954016" w14:textId="77777777" w:rsidR="0047638A" w:rsidRPr="0032341F" w:rsidRDefault="0047638A" w:rsidP="0047638A">
      <w:pPr>
        <w:pStyle w:val="OrdersPartyName"/>
        <w:ind w:right="-1"/>
      </w:pPr>
      <w:r w:rsidRPr="00F4743B">
        <w:t>SEIKO EPSON CORPORATION &amp; ANOR</w:t>
      </w:r>
      <w:r w:rsidRPr="0032341F">
        <w:tab/>
        <w:t>RESPONDENT</w:t>
      </w:r>
      <w:r>
        <w:t>S</w:t>
      </w:r>
    </w:p>
    <w:p w14:paraId="49C844B6" w14:textId="77777777" w:rsidR="0047638A" w:rsidRPr="00427F3A" w:rsidRDefault="0047638A" w:rsidP="0047638A">
      <w:pPr>
        <w:pStyle w:val="BodyHeading"/>
      </w:pPr>
    </w:p>
    <w:p w14:paraId="2300E737" w14:textId="77777777" w:rsidR="0047638A" w:rsidRPr="00427F3A" w:rsidRDefault="0047638A" w:rsidP="0047638A">
      <w:pPr>
        <w:pStyle w:val="BodyHeading"/>
      </w:pPr>
    </w:p>
    <w:p w14:paraId="74B2EE70" w14:textId="77777777" w:rsidR="0047638A" w:rsidRPr="00427F3A" w:rsidRDefault="0047638A" w:rsidP="0047638A">
      <w:pPr>
        <w:pStyle w:val="CentreItalics"/>
      </w:pPr>
      <w:r w:rsidRPr="00F4743B">
        <w:t>Calidad Pty Ltd v Seiko Epson Corporation</w:t>
      </w:r>
    </w:p>
    <w:p w14:paraId="0F722724" w14:textId="77777777" w:rsidR="0047638A" w:rsidRPr="00427F3A" w:rsidRDefault="0047638A" w:rsidP="0047638A">
      <w:pPr>
        <w:pStyle w:val="OrdersCentre"/>
      </w:pPr>
      <w:r>
        <w:t>[2020</w:t>
      </w:r>
      <w:r w:rsidRPr="00427F3A">
        <w:t xml:space="preserve">] HCA </w:t>
      </w:r>
      <w:r>
        <w:t>41</w:t>
      </w:r>
    </w:p>
    <w:p w14:paraId="29544BA6" w14:textId="77777777" w:rsidR="0047638A" w:rsidRDefault="0047638A" w:rsidP="0047638A">
      <w:pPr>
        <w:pStyle w:val="OrdersCentreItalics"/>
      </w:pPr>
      <w:r>
        <w:t xml:space="preserve">Date of Hearing: 11 &amp; 12 </w:t>
      </w:r>
      <w:r w:rsidRPr="00F4743B">
        <w:t>August 2020</w:t>
      </w:r>
    </w:p>
    <w:p w14:paraId="21E6E24B" w14:textId="77777777" w:rsidR="0047638A" w:rsidRPr="00427F3A" w:rsidRDefault="0047638A" w:rsidP="0047638A">
      <w:pPr>
        <w:pStyle w:val="OrdersCentreItalics"/>
      </w:pPr>
      <w:r>
        <w:t>Date of Judgment: 12 November 2020</w:t>
      </w:r>
    </w:p>
    <w:p w14:paraId="3184198F" w14:textId="77777777" w:rsidR="0047638A" w:rsidRDefault="0047638A" w:rsidP="0047638A">
      <w:pPr>
        <w:pStyle w:val="OrdersCentre"/>
      </w:pPr>
      <w:r w:rsidRPr="00F4743B">
        <w:t>S329/2019</w:t>
      </w:r>
    </w:p>
    <w:p w14:paraId="33D55346" w14:textId="77777777" w:rsidR="0047638A" w:rsidRPr="00427F3A" w:rsidRDefault="0047638A" w:rsidP="0047638A">
      <w:pPr>
        <w:pStyle w:val="OrdersCentre"/>
      </w:pPr>
    </w:p>
    <w:p w14:paraId="19E8737B" w14:textId="77777777" w:rsidR="0047638A" w:rsidRPr="00BE0A6C" w:rsidRDefault="0047638A" w:rsidP="0047638A">
      <w:pPr>
        <w:pStyle w:val="OrderCentreBold"/>
      </w:pPr>
      <w:r w:rsidRPr="00BE0A6C">
        <w:t>ORDER</w:t>
      </w:r>
    </w:p>
    <w:p w14:paraId="05A3015D" w14:textId="77777777" w:rsidR="0047638A" w:rsidRPr="00427F3A" w:rsidRDefault="0047638A" w:rsidP="0047638A">
      <w:pPr>
        <w:pStyle w:val="Centre"/>
        <w:rPr>
          <w:lang w:val="en-AU"/>
        </w:rPr>
      </w:pPr>
    </w:p>
    <w:p w14:paraId="597811CB" w14:textId="77777777" w:rsidR="0047638A" w:rsidRDefault="0047638A" w:rsidP="0047638A">
      <w:pPr>
        <w:pStyle w:val="OrdersText"/>
      </w:pPr>
      <w:r w:rsidRPr="00E4715B">
        <w:t>1.</w:t>
      </w:r>
      <w:r w:rsidRPr="00E4715B">
        <w:tab/>
        <w:t>Appeal allowed with costs.</w:t>
      </w:r>
    </w:p>
    <w:p w14:paraId="6E4F7DBF" w14:textId="77777777" w:rsidR="0047638A" w:rsidRDefault="0047638A" w:rsidP="0047638A">
      <w:pPr>
        <w:pStyle w:val="OrdersText"/>
      </w:pPr>
    </w:p>
    <w:p w14:paraId="7A9802E4" w14:textId="77777777" w:rsidR="0047638A" w:rsidRDefault="0047638A" w:rsidP="0047638A">
      <w:pPr>
        <w:pStyle w:val="OrdersText"/>
      </w:pPr>
      <w:r>
        <w:t xml:space="preserve">2. </w:t>
      </w:r>
      <w:r>
        <w:tab/>
      </w:r>
      <w:r w:rsidRPr="007B2792">
        <w:t>Set aside the orders made by the Full Court of the Federal Court of Australia on 5 July 2019 and the declaration and orders made by the Full Court of the Federal Court of Australia on 29 October 2019 and, in lieu thereof, order that:</w:t>
      </w:r>
    </w:p>
    <w:p w14:paraId="34B3E46F" w14:textId="77777777" w:rsidR="0047638A" w:rsidRDefault="0047638A" w:rsidP="0047638A">
      <w:pPr>
        <w:pStyle w:val="OrdersText"/>
      </w:pPr>
    </w:p>
    <w:p w14:paraId="744F36AF" w14:textId="77777777" w:rsidR="0047638A" w:rsidRDefault="0047638A" w:rsidP="0047638A">
      <w:pPr>
        <w:pStyle w:val="OrdersText"/>
        <w:ind w:left="1418"/>
      </w:pPr>
      <w:r>
        <w:t>(a)</w:t>
      </w:r>
      <w:r>
        <w:tab/>
      </w:r>
      <w:r w:rsidRPr="00EA450A">
        <w:t>the appeal to that Court be allowed with costs and the cross</w:t>
      </w:r>
      <w:r>
        <w:t>-</w:t>
      </w:r>
      <w:r w:rsidRPr="00EA450A">
        <w:t>appeal to that Court be dismissed with costs;</w:t>
      </w:r>
    </w:p>
    <w:p w14:paraId="1DF1D8E7" w14:textId="77777777" w:rsidR="0047638A" w:rsidRDefault="0047638A" w:rsidP="0047638A">
      <w:pPr>
        <w:pStyle w:val="OrdersText"/>
        <w:ind w:left="1418"/>
      </w:pPr>
    </w:p>
    <w:p w14:paraId="621ADD2C" w14:textId="77777777" w:rsidR="0047638A" w:rsidRDefault="0047638A" w:rsidP="0047638A">
      <w:pPr>
        <w:pStyle w:val="OrdersText"/>
        <w:ind w:left="1418"/>
      </w:pPr>
      <w:r>
        <w:t>(b)</w:t>
      </w:r>
      <w:r>
        <w:tab/>
      </w:r>
      <w:r w:rsidRPr="00A90F14">
        <w:t>declaration 1 and orders 2 to 8, 10 and 11 of the orders made by the primary judge on 16 February 2018 be set aside and, in lieu thereof, it be ordered that:</w:t>
      </w:r>
    </w:p>
    <w:p w14:paraId="3BA3D739" w14:textId="77777777" w:rsidR="0047638A" w:rsidRDefault="0047638A" w:rsidP="0047638A">
      <w:pPr>
        <w:pStyle w:val="OrdersText"/>
        <w:ind w:left="1418"/>
      </w:pPr>
    </w:p>
    <w:p w14:paraId="4BC0E7D3" w14:textId="77777777" w:rsidR="0047638A" w:rsidRDefault="0047638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5381DA26" w14:textId="77777777" w:rsidR="0047638A" w:rsidRDefault="0047638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17847150" w14:textId="428A6CEF" w:rsidR="0047638A" w:rsidRDefault="0047638A" w:rsidP="0047638A">
      <w:pPr>
        <w:pStyle w:val="OrdersText"/>
        <w:ind w:left="2127"/>
      </w:pPr>
      <w:r>
        <w:lastRenderedPageBreak/>
        <w:t>(</w:t>
      </w:r>
      <w:proofErr w:type="spellStart"/>
      <w:r>
        <w:t>i</w:t>
      </w:r>
      <w:proofErr w:type="spellEnd"/>
      <w:r>
        <w:t>)</w:t>
      </w:r>
      <w:r>
        <w:tab/>
      </w:r>
      <w:r w:rsidRPr="00A90F14">
        <w:t>the applicants' originating application, including the applicants' claims of patent infringement, breach of cl</w:t>
      </w:r>
      <w:r>
        <w:t> </w:t>
      </w:r>
      <w:r w:rsidRPr="00A90F14">
        <w:t>2(a)(ii) of the settlement deed, breach of statutory duties under ss</w:t>
      </w:r>
      <w:r>
        <w:t> </w:t>
      </w:r>
      <w:r w:rsidRPr="00A90F14">
        <w:t xml:space="preserve">145 and 148 of the </w:t>
      </w:r>
      <w:r w:rsidRPr="00D5097A">
        <w:rPr>
          <w:i w:val="0"/>
          <w:iCs/>
        </w:rPr>
        <w:t xml:space="preserve">Trade Marks Act 1995 </w:t>
      </w:r>
      <w:r w:rsidRPr="00A90F14">
        <w:t>(</w:t>
      </w:r>
      <w:proofErr w:type="spellStart"/>
      <w:r w:rsidRPr="00A90F14">
        <w:t>Cth</w:t>
      </w:r>
      <w:proofErr w:type="spellEnd"/>
      <w:r w:rsidRPr="00A90F14">
        <w:t>) and contravention of ss</w:t>
      </w:r>
      <w:r>
        <w:t> </w:t>
      </w:r>
      <w:r w:rsidRPr="00A90F14">
        <w:t xml:space="preserve">18 and 29 of Sch 2 to the </w:t>
      </w:r>
      <w:r w:rsidRPr="00D5097A">
        <w:rPr>
          <w:i w:val="0"/>
          <w:iCs/>
        </w:rPr>
        <w:t>Competition and Consumer Act 2010</w:t>
      </w:r>
      <w:r w:rsidRPr="00A90F14">
        <w:rPr>
          <w:iCs/>
        </w:rPr>
        <w:t xml:space="preserve"> </w:t>
      </w:r>
      <w:r w:rsidRPr="00A90F14">
        <w:t>(</w:t>
      </w:r>
      <w:proofErr w:type="spellStart"/>
      <w:r w:rsidRPr="00A90F14">
        <w:t>Cth</w:t>
      </w:r>
      <w:proofErr w:type="spellEnd"/>
      <w:r w:rsidRPr="00A90F14">
        <w:t xml:space="preserve">), </w:t>
      </w:r>
      <w:r>
        <w:t xml:space="preserve">otherwise </w:t>
      </w:r>
      <w:r w:rsidRPr="00A90F14">
        <w:t>be dismissed; and</w:t>
      </w:r>
    </w:p>
    <w:p w14:paraId="4EFBC81A" w14:textId="77777777" w:rsidR="0047638A" w:rsidRDefault="0047638A" w:rsidP="0047638A">
      <w:pPr>
        <w:pStyle w:val="OrdersText"/>
        <w:ind w:left="2127"/>
      </w:pPr>
    </w:p>
    <w:p w14:paraId="2C387692" w14:textId="77777777" w:rsidR="0047638A" w:rsidRDefault="0047638A" w:rsidP="0047638A">
      <w:pPr>
        <w:pStyle w:val="OrdersText"/>
        <w:ind w:left="2127"/>
      </w:pPr>
      <w:r>
        <w:t>(ii)</w:t>
      </w:r>
      <w:r>
        <w:tab/>
      </w:r>
      <w:r w:rsidRPr="00495975">
        <w:t>subject to order 9 of the orders made by the primary judge on 16 February 2018, the applicants pay the respondents' costs of the proceeding; and</w:t>
      </w:r>
    </w:p>
    <w:p w14:paraId="0D2992D0" w14:textId="77777777" w:rsidR="0047638A" w:rsidRDefault="0047638A" w:rsidP="0047638A">
      <w:pPr>
        <w:pStyle w:val="OrdersText"/>
        <w:ind w:left="1418"/>
      </w:pPr>
    </w:p>
    <w:p w14:paraId="0EF1EBE4" w14:textId="77777777" w:rsidR="0047638A" w:rsidRPr="00E4715B" w:rsidRDefault="0047638A" w:rsidP="0047638A">
      <w:pPr>
        <w:pStyle w:val="OrdersText"/>
        <w:ind w:left="1418"/>
      </w:pPr>
      <w:r>
        <w:t>(c)</w:t>
      </w:r>
      <w:r>
        <w:tab/>
        <w:t>t</w:t>
      </w:r>
      <w:r w:rsidRPr="00495975">
        <w:t>he matter be remitted to the primary judge for determination of the respondents' claim for pecuniary relief for breach of cl</w:t>
      </w:r>
      <w:r>
        <w:t> </w:t>
      </w:r>
      <w:r w:rsidRPr="00495975">
        <w:t>2(a)(</w:t>
      </w:r>
      <w:proofErr w:type="spellStart"/>
      <w:r w:rsidRPr="00495975">
        <w:t>i</w:t>
      </w:r>
      <w:proofErr w:type="spellEnd"/>
      <w:r w:rsidRPr="00495975">
        <w:t>) of the settlement deed.</w:t>
      </w:r>
    </w:p>
    <w:p w14:paraId="71F33163" w14:textId="77777777" w:rsidR="0047638A" w:rsidRDefault="0047638A" w:rsidP="0047638A">
      <w:pPr>
        <w:pStyle w:val="Body"/>
      </w:pPr>
    </w:p>
    <w:p w14:paraId="19BA9F93" w14:textId="77777777" w:rsidR="0047638A" w:rsidRPr="00427F3A" w:rsidRDefault="0047638A" w:rsidP="0047638A">
      <w:pPr>
        <w:pStyle w:val="Body"/>
      </w:pPr>
    </w:p>
    <w:p w14:paraId="27888094" w14:textId="77777777" w:rsidR="0047638A" w:rsidRPr="00427F3A" w:rsidRDefault="0047638A" w:rsidP="0047638A">
      <w:pPr>
        <w:pStyle w:val="OrdersBody"/>
      </w:pPr>
      <w:r w:rsidRPr="00427F3A">
        <w:t xml:space="preserve">On appeal from the </w:t>
      </w:r>
      <w:r w:rsidRPr="00F4743B">
        <w:t>Federal Court of Australia</w:t>
      </w:r>
    </w:p>
    <w:p w14:paraId="3AB96DC1" w14:textId="77777777" w:rsidR="0047638A" w:rsidRDefault="0047638A" w:rsidP="0047638A">
      <w:pPr>
        <w:pStyle w:val="Body"/>
      </w:pPr>
    </w:p>
    <w:p w14:paraId="76B46398" w14:textId="77777777" w:rsidR="0047638A" w:rsidRPr="00427F3A" w:rsidRDefault="0047638A" w:rsidP="0047638A">
      <w:pPr>
        <w:pStyle w:val="Body"/>
      </w:pPr>
    </w:p>
    <w:p w14:paraId="015DC04C" w14:textId="77777777" w:rsidR="0047638A" w:rsidRPr="00427F3A" w:rsidRDefault="0047638A" w:rsidP="0047638A">
      <w:pPr>
        <w:pStyle w:val="OrdersBodyHeading"/>
      </w:pPr>
      <w:r w:rsidRPr="00427F3A">
        <w:t>Representation</w:t>
      </w:r>
    </w:p>
    <w:p w14:paraId="04A6E3AD" w14:textId="77777777" w:rsidR="0047638A" w:rsidRPr="000B5330" w:rsidRDefault="0047638A" w:rsidP="0047638A">
      <w:pPr>
        <w:pStyle w:val="Body"/>
      </w:pPr>
    </w:p>
    <w:p w14:paraId="117922F1" w14:textId="77777777" w:rsidR="0047638A" w:rsidRPr="000B5330" w:rsidRDefault="0047638A" w:rsidP="0047638A">
      <w:pPr>
        <w:pStyle w:val="OrdersBody"/>
      </w:pPr>
      <w:r w:rsidRPr="000B5330">
        <w:t xml:space="preserve">D </w:t>
      </w:r>
      <w:proofErr w:type="spellStart"/>
      <w:r w:rsidRPr="000B5330">
        <w:t>Shavin</w:t>
      </w:r>
      <w:proofErr w:type="spellEnd"/>
      <w:r w:rsidRPr="000B5330">
        <w:t xml:space="preserve"> QC with P J T Creighton-</w:t>
      </w:r>
      <w:proofErr w:type="spellStart"/>
      <w:r w:rsidRPr="000B5330">
        <w:t>Selvay</w:t>
      </w:r>
      <w:proofErr w:type="spellEnd"/>
      <w:r w:rsidRPr="000B5330">
        <w:t xml:space="preserve"> for the appellants (instructed by Gilbert</w:t>
      </w:r>
      <w:r>
        <w:t xml:space="preserve"> </w:t>
      </w:r>
      <w:r w:rsidRPr="000B5330">
        <w:t>+</w:t>
      </w:r>
      <w:r>
        <w:t xml:space="preserve"> </w:t>
      </w:r>
      <w:r w:rsidRPr="000B5330">
        <w:t>Tobin)</w:t>
      </w:r>
    </w:p>
    <w:p w14:paraId="6F3E3446" w14:textId="77777777" w:rsidR="0047638A" w:rsidRPr="000B5330" w:rsidRDefault="0047638A" w:rsidP="0047638A">
      <w:pPr>
        <w:pStyle w:val="Body"/>
      </w:pPr>
    </w:p>
    <w:p w14:paraId="40684F42" w14:textId="77777777" w:rsidR="0047638A" w:rsidRPr="000B5330" w:rsidRDefault="0047638A" w:rsidP="0047638A">
      <w:pPr>
        <w:pStyle w:val="OrdersBody"/>
      </w:pPr>
      <w:r w:rsidRPr="000B5330">
        <w:t xml:space="preserve">A J L Bannon SC with C L Cochrane and D </w:t>
      </w:r>
      <w:proofErr w:type="spellStart"/>
      <w:r w:rsidRPr="000B5330">
        <w:t>Larish</w:t>
      </w:r>
      <w:proofErr w:type="spellEnd"/>
      <w:r w:rsidRPr="000B5330">
        <w:t xml:space="preserve"> for the respondents (instructed by Quinn Emanuel Urquhart &amp; Sullivan)</w:t>
      </w:r>
    </w:p>
    <w:p w14:paraId="7CB55D55" w14:textId="77777777" w:rsidR="0047638A" w:rsidRDefault="0047638A" w:rsidP="0047638A">
      <w:pPr>
        <w:pStyle w:val="Body"/>
      </w:pPr>
    </w:p>
    <w:p w14:paraId="54CA7539" w14:textId="77777777" w:rsidR="0047638A" w:rsidRDefault="0047638A" w:rsidP="0047638A">
      <w:pPr>
        <w:pStyle w:val="Body"/>
      </w:pPr>
    </w:p>
    <w:p w14:paraId="75FFE28C" w14:textId="77777777" w:rsidR="0047638A" w:rsidRDefault="0047638A" w:rsidP="0047638A">
      <w:pPr>
        <w:pStyle w:val="Body"/>
      </w:pPr>
    </w:p>
    <w:p w14:paraId="74A302B4" w14:textId="77777777" w:rsidR="0047638A" w:rsidRDefault="0047638A" w:rsidP="0047638A">
      <w:pPr>
        <w:pStyle w:val="Body"/>
      </w:pPr>
    </w:p>
    <w:p w14:paraId="2CAB9852" w14:textId="77777777" w:rsidR="0047638A" w:rsidRDefault="0047638A" w:rsidP="0047638A">
      <w:pPr>
        <w:pStyle w:val="Body"/>
      </w:pPr>
    </w:p>
    <w:p w14:paraId="4DFF4F0A" w14:textId="77777777" w:rsidR="0047638A" w:rsidRDefault="0047638A" w:rsidP="0047638A">
      <w:pPr>
        <w:pStyle w:val="Body"/>
      </w:pPr>
    </w:p>
    <w:p w14:paraId="568816E3" w14:textId="77777777" w:rsidR="0047638A" w:rsidRDefault="0047638A" w:rsidP="0047638A">
      <w:pPr>
        <w:pStyle w:val="Body"/>
      </w:pPr>
    </w:p>
    <w:p w14:paraId="3DE2DDA7" w14:textId="77777777" w:rsidR="0047638A" w:rsidRDefault="0047638A" w:rsidP="0047638A">
      <w:pPr>
        <w:pStyle w:val="Body"/>
      </w:pPr>
    </w:p>
    <w:p w14:paraId="435E2BAE" w14:textId="77777777" w:rsidR="0047638A" w:rsidRDefault="0047638A" w:rsidP="0047638A">
      <w:pPr>
        <w:pStyle w:val="Body"/>
      </w:pPr>
    </w:p>
    <w:p w14:paraId="2E009752" w14:textId="358057CC" w:rsidR="0047638A" w:rsidRDefault="0047638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62B5550D" w14:textId="75CC76BB" w:rsidR="0047638A" w:rsidRDefault="0047638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0AE02692" w14:textId="77777777" w:rsidR="0047638A" w:rsidRDefault="0047638A" w:rsidP="0047638A">
      <w:pPr>
        <w:pStyle w:val="Body"/>
      </w:pPr>
    </w:p>
    <w:p w14:paraId="67B9F2F1" w14:textId="77777777" w:rsidR="0047638A" w:rsidRDefault="0047638A" w:rsidP="0047638A">
      <w:pPr>
        <w:pStyle w:val="Body"/>
      </w:pPr>
    </w:p>
    <w:p w14:paraId="63A9E356" w14:textId="77777777" w:rsidR="0047638A" w:rsidRPr="00427F3A" w:rsidRDefault="0047638A" w:rsidP="0047638A">
      <w:pPr>
        <w:pStyle w:val="Body"/>
      </w:pPr>
    </w:p>
    <w:p w14:paraId="078347A4" w14:textId="77777777" w:rsidR="0047638A" w:rsidRPr="00427F3A" w:rsidRDefault="0047638A" w:rsidP="0047638A">
      <w:pPr>
        <w:pStyle w:val="Notice"/>
        <w:rPr>
          <w:lang w:val="en-AU"/>
        </w:rPr>
      </w:pPr>
      <w:r w:rsidRPr="00427F3A">
        <w:rPr>
          <w:lang w:val="en-AU"/>
        </w:rPr>
        <w:t>Notice:  This copy of the Court's Reasons for Judgment is subject to formal revision prior to publication in the Commonwealth Law Reports.</w:t>
      </w:r>
    </w:p>
    <w:p w14:paraId="58B8FF4B" w14:textId="4A1A802E" w:rsidR="0047638A" w:rsidRDefault="0047638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0516FE9B" w14:textId="77777777" w:rsidR="0047638A" w:rsidRDefault="0047638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47638A" w:rsidSect="0047638A">
          <w:headerReference w:type="default" r:id="rId8"/>
          <w:pgSz w:w="11907" w:h="16839" w:code="9"/>
          <w:pgMar w:top="1440" w:right="1984" w:bottom="1984" w:left="1984" w:header="720" w:footer="720" w:gutter="0"/>
          <w:cols w:space="720"/>
          <w:titlePg/>
          <w:docGrid w:linePitch="354"/>
        </w:sectPr>
      </w:pPr>
      <w:r>
        <w:rPr>
          <w:rFonts w:ascii="Times New Roman" w:hAnsi="Times New Roman"/>
        </w:rPr>
        <w:br w:type="page"/>
      </w:r>
    </w:p>
    <w:p w14:paraId="70868F84" w14:textId="77777777" w:rsidR="0047638A" w:rsidRDefault="0047638A" w:rsidP="0047638A">
      <w:pPr>
        <w:spacing w:line="280" w:lineRule="exact"/>
        <w:ind w:firstLine="0"/>
        <w:jc w:val="right"/>
        <w:rPr>
          <w:rFonts w:ascii="Times New Roman" w:hAnsi="Times New Roman"/>
        </w:rPr>
      </w:pPr>
    </w:p>
    <w:p w14:paraId="753CA56C" w14:textId="77777777" w:rsidR="0047638A" w:rsidRDefault="0047638A" w:rsidP="0047638A">
      <w:pPr>
        <w:spacing w:line="280" w:lineRule="exact"/>
        <w:ind w:firstLine="0"/>
        <w:jc w:val="both"/>
        <w:rPr>
          <w:rFonts w:ascii="Times New Roman" w:hAnsi="Times New Roman"/>
          <w:b/>
        </w:rPr>
      </w:pPr>
      <w:r>
        <w:rPr>
          <w:rFonts w:ascii="Times New Roman" w:hAnsi="Times New Roman"/>
          <w:b/>
        </w:rPr>
        <w:t>CATCHWORDS</w:t>
      </w:r>
    </w:p>
    <w:p w14:paraId="32A324C9" w14:textId="77777777" w:rsidR="0047638A" w:rsidRDefault="0047638A" w:rsidP="0047638A">
      <w:pPr>
        <w:spacing w:line="280" w:lineRule="exact"/>
        <w:ind w:firstLine="0"/>
        <w:jc w:val="both"/>
        <w:rPr>
          <w:rFonts w:ascii="Times New Roman" w:hAnsi="Times New Roman"/>
          <w:b/>
        </w:rPr>
      </w:pPr>
    </w:p>
    <w:p w14:paraId="37C6F2EF" w14:textId="77777777" w:rsidR="0047638A" w:rsidRDefault="0047638A" w:rsidP="0047638A">
      <w:pPr>
        <w:spacing w:line="280" w:lineRule="exact"/>
        <w:ind w:firstLine="0"/>
        <w:jc w:val="both"/>
        <w:rPr>
          <w:rFonts w:ascii="Times New Roman" w:hAnsi="Times New Roman"/>
        </w:rPr>
      </w:pPr>
      <w:bookmarkStart w:id="1" w:name="CaseName"/>
      <w:r>
        <w:rPr>
          <w:rFonts w:ascii="Times New Roman" w:hAnsi="Times New Roman"/>
          <w:b/>
        </w:rPr>
        <w:t>Calidad Pty Ltd v Seiko Epson Corporation</w:t>
      </w:r>
    </w:p>
    <w:bookmarkEnd w:id="1"/>
    <w:p w14:paraId="66629257" w14:textId="77777777" w:rsidR="0047638A" w:rsidRDefault="0047638A" w:rsidP="0047638A">
      <w:pPr>
        <w:spacing w:line="280" w:lineRule="exact"/>
        <w:ind w:firstLine="0"/>
        <w:jc w:val="both"/>
        <w:rPr>
          <w:rFonts w:ascii="Times New Roman" w:hAnsi="Times New Roman"/>
        </w:rPr>
      </w:pPr>
    </w:p>
    <w:p w14:paraId="6E94F370" w14:textId="77777777" w:rsidR="0047638A" w:rsidRPr="00F50A7B" w:rsidRDefault="0047638A" w:rsidP="0047638A">
      <w:pPr>
        <w:spacing w:line="280" w:lineRule="exact"/>
        <w:ind w:firstLine="0"/>
        <w:jc w:val="both"/>
        <w:rPr>
          <w:rFonts w:ascii="Times New Roman" w:hAnsi="Times New Roman"/>
        </w:rPr>
      </w:pPr>
      <w:r>
        <w:rPr>
          <w:rFonts w:ascii="Times New Roman" w:hAnsi="Times New Roman"/>
        </w:rPr>
        <w:t xml:space="preserve">Patents – Infringement – Where printer ink cartridges embodied inventions claimed in two patents – Where used cartridges acquired by third party and modified for re-use – Where modified cartridges imported into Australia for sale to public – Where patentee alleged infringement of patent rights – Where s 13(1) of </w:t>
      </w:r>
      <w:r>
        <w:rPr>
          <w:rFonts w:ascii="Times New Roman" w:hAnsi="Times New Roman"/>
          <w:i/>
        </w:rPr>
        <w:t xml:space="preserve">Patents Act 1990 </w:t>
      </w:r>
      <w:r>
        <w:rPr>
          <w:rFonts w:ascii="Times New Roman" w:hAnsi="Times New Roman"/>
        </w:rPr>
        <w:t>(</w:t>
      </w:r>
      <w:proofErr w:type="spellStart"/>
      <w:r>
        <w:rPr>
          <w:rFonts w:ascii="Times New Roman" w:hAnsi="Times New Roman"/>
        </w:rPr>
        <w:t>Cth</w:t>
      </w:r>
      <w:proofErr w:type="spellEnd"/>
      <w:r>
        <w:rPr>
          <w:rFonts w:ascii="Times New Roman" w:hAnsi="Times New Roman"/>
        </w:rPr>
        <w:t xml:space="preserve">) provides patentee has exclusive rights to exploit invention – Where "exploit" includes make, hire, sell or otherwise dispose of product and to use it – Whether </w:t>
      </w:r>
      <w:r w:rsidRPr="004D3624">
        <w:rPr>
          <w:rFonts w:ascii="Times New Roman" w:hAnsi="Times New Roman"/>
        </w:rPr>
        <w:t xml:space="preserve">modifications to cartridges </w:t>
      </w:r>
      <w:r>
        <w:rPr>
          <w:rFonts w:ascii="Times New Roman" w:hAnsi="Times New Roman"/>
        </w:rPr>
        <w:t xml:space="preserve">constituted </w:t>
      </w:r>
      <w:r w:rsidRPr="004D3624">
        <w:rPr>
          <w:rFonts w:ascii="Times New Roman" w:hAnsi="Times New Roman"/>
        </w:rPr>
        <w:t>impermissible "making" of new product – Whether doctrine that patentee's exclusive rights with respect to product are exhausted on</w:t>
      </w:r>
      <w:r>
        <w:rPr>
          <w:rFonts w:ascii="Times New Roman" w:hAnsi="Times New Roman"/>
        </w:rPr>
        <w:t xml:space="preserve"> first</w:t>
      </w:r>
      <w:r w:rsidRPr="004D3624">
        <w:rPr>
          <w:rFonts w:ascii="Times New Roman" w:hAnsi="Times New Roman"/>
        </w:rPr>
        <w:t xml:space="preserve"> sale ("exhaustion doctrine") should be a</w:t>
      </w:r>
      <w:r>
        <w:rPr>
          <w:rFonts w:ascii="Times New Roman" w:hAnsi="Times New Roman"/>
        </w:rPr>
        <w:t>ccepted</w:t>
      </w:r>
      <w:r w:rsidRPr="004D3624">
        <w:rPr>
          <w:rFonts w:ascii="Times New Roman" w:hAnsi="Times New Roman"/>
        </w:rPr>
        <w:t xml:space="preserve"> – Whether doctrine that implied licence arises on sale of patented goods to </w:t>
      </w:r>
      <w:r>
        <w:rPr>
          <w:rFonts w:ascii="Times New Roman" w:hAnsi="Times New Roman"/>
        </w:rPr>
        <w:t>purchaser</w:t>
      </w:r>
      <w:r w:rsidRPr="004D3624">
        <w:rPr>
          <w:rFonts w:ascii="Times New Roman" w:hAnsi="Times New Roman"/>
        </w:rPr>
        <w:t xml:space="preserve"> ("implied licence doctrine") should </w:t>
      </w:r>
      <w:r>
        <w:rPr>
          <w:rFonts w:ascii="Times New Roman" w:hAnsi="Times New Roman"/>
        </w:rPr>
        <w:t>continue to be applied.</w:t>
      </w:r>
    </w:p>
    <w:p w14:paraId="634BF5BD" w14:textId="77777777" w:rsidR="0047638A" w:rsidRDefault="0047638A" w:rsidP="0047638A">
      <w:pPr>
        <w:spacing w:line="280" w:lineRule="exact"/>
        <w:ind w:firstLine="0"/>
        <w:jc w:val="both"/>
        <w:rPr>
          <w:rFonts w:ascii="Times New Roman" w:hAnsi="Times New Roman"/>
        </w:rPr>
      </w:pPr>
    </w:p>
    <w:p w14:paraId="741F3CC8" w14:textId="77777777" w:rsidR="0047638A" w:rsidRDefault="0047638A" w:rsidP="0047638A">
      <w:pPr>
        <w:spacing w:line="280" w:lineRule="exact"/>
        <w:ind w:firstLine="0"/>
        <w:jc w:val="both"/>
        <w:rPr>
          <w:rFonts w:ascii="Times New Roman" w:hAnsi="Times New Roman"/>
        </w:rPr>
      </w:pPr>
      <w:r>
        <w:rPr>
          <w:rFonts w:ascii="Times New Roman" w:hAnsi="Times New Roman"/>
        </w:rPr>
        <w:t>Words and phrases – "conditions as to use", "embodying the claimed invention", "essential features", "exclusive statutory rights", "exhaustion doctrine", "exhaustion of rights", "exploit", "implied licence", "implied licence doctrine", "infringement", "invention", "make, hire, sell or otherwise dispose of", "make, use, exercise, and vend", "making", "manufacture", "modifications", "monopoly", "monopoly rights", "patent", "patent rights", "personal property", "product", "repair", "re-use", "single use", "use".</w:t>
      </w:r>
    </w:p>
    <w:p w14:paraId="6D6BBEC9" w14:textId="77777777" w:rsidR="0047638A" w:rsidRDefault="0047638A" w:rsidP="0047638A">
      <w:pPr>
        <w:spacing w:line="280" w:lineRule="exact"/>
        <w:ind w:firstLine="0"/>
        <w:jc w:val="both"/>
        <w:rPr>
          <w:rFonts w:ascii="Times New Roman" w:hAnsi="Times New Roman"/>
        </w:rPr>
      </w:pPr>
    </w:p>
    <w:p w14:paraId="59832838" w14:textId="77777777" w:rsidR="0047638A" w:rsidRPr="008F344A" w:rsidRDefault="0047638A" w:rsidP="0047638A">
      <w:pPr>
        <w:spacing w:line="280" w:lineRule="exact"/>
        <w:ind w:firstLine="0"/>
        <w:jc w:val="both"/>
        <w:rPr>
          <w:rFonts w:ascii="Times New Roman" w:hAnsi="Times New Roman"/>
        </w:rPr>
      </w:pPr>
      <w:r w:rsidRPr="00766DD9">
        <w:rPr>
          <w:rFonts w:ascii="Times New Roman" w:hAnsi="Times New Roman"/>
          <w:i/>
        </w:rPr>
        <w:t xml:space="preserve">Patents Act 1903 </w:t>
      </w:r>
      <w:r w:rsidRPr="00766DD9">
        <w:rPr>
          <w:rFonts w:ascii="Times New Roman" w:hAnsi="Times New Roman"/>
        </w:rPr>
        <w:t>(</w:t>
      </w:r>
      <w:proofErr w:type="spellStart"/>
      <w:r w:rsidRPr="00766DD9">
        <w:rPr>
          <w:rFonts w:ascii="Times New Roman" w:hAnsi="Times New Roman"/>
        </w:rPr>
        <w:t>Cth</w:t>
      </w:r>
      <w:proofErr w:type="spellEnd"/>
      <w:r w:rsidRPr="00766DD9">
        <w:rPr>
          <w:rFonts w:ascii="Times New Roman" w:hAnsi="Times New Roman"/>
        </w:rPr>
        <w:t>), s 62</w:t>
      </w:r>
      <w:r>
        <w:rPr>
          <w:rFonts w:ascii="Times New Roman" w:hAnsi="Times New Roman"/>
        </w:rPr>
        <w:t>.</w:t>
      </w:r>
    </w:p>
    <w:p w14:paraId="17AAC849" w14:textId="77777777" w:rsidR="0047638A" w:rsidRDefault="0047638A" w:rsidP="0047638A">
      <w:pPr>
        <w:spacing w:line="280" w:lineRule="exact"/>
        <w:ind w:firstLine="0"/>
        <w:jc w:val="both"/>
        <w:rPr>
          <w:rFonts w:ascii="Times New Roman" w:hAnsi="Times New Roman"/>
        </w:rPr>
      </w:pPr>
      <w:r>
        <w:rPr>
          <w:rFonts w:ascii="Times New Roman" w:hAnsi="Times New Roman"/>
          <w:i/>
        </w:rPr>
        <w:t xml:space="preserve">Patents Act 1990 </w:t>
      </w:r>
      <w:r>
        <w:rPr>
          <w:rFonts w:ascii="Times New Roman" w:hAnsi="Times New Roman"/>
        </w:rPr>
        <w:t>(</w:t>
      </w:r>
      <w:proofErr w:type="spellStart"/>
      <w:r>
        <w:rPr>
          <w:rFonts w:ascii="Times New Roman" w:hAnsi="Times New Roman"/>
        </w:rPr>
        <w:t>Cth</w:t>
      </w:r>
      <w:proofErr w:type="spellEnd"/>
      <w:r>
        <w:rPr>
          <w:rFonts w:ascii="Times New Roman" w:hAnsi="Times New Roman"/>
        </w:rPr>
        <w:t>), ss 2A, 13, 135, 144, Sch 1.</w:t>
      </w:r>
    </w:p>
    <w:p w14:paraId="0DD24721" w14:textId="77777777" w:rsidR="0047638A" w:rsidRPr="008E380A" w:rsidRDefault="0047638A" w:rsidP="0047638A">
      <w:pPr>
        <w:spacing w:line="280" w:lineRule="exact"/>
        <w:ind w:firstLine="0"/>
        <w:jc w:val="both"/>
        <w:rPr>
          <w:rFonts w:ascii="Times New Roman" w:hAnsi="Times New Roman"/>
        </w:rPr>
      </w:pPr>
    </w:p>
    <w:p w14:paraId="6EC95614" w14:textId="57D0ECBD" w:rsidR="0047638A" w:rsidRDefault="0047638A" w:rsidP="0047638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9C8B7C1" w14:textId="4CFCECE9" w:rsidR="0047638A" w:rsidRDefault="0047638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E19861B" w14:textId="543A7D05" w:rsidR="0047638A" w:rsidRDefault="0047638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62DB0008" w14:textId="77777777" w:rsidR="0047638A" w:rsidRDefault="0047638A" w:rsidP="00847696">
      <w:pPr>
        <w:pStyle w:val="FixListStyle"/>
        <w:tabs>
          <w:tab w:val="clear" w:pos="720"/>
          <w:tab w:val="left" w:pos="0"/>
        </w:tabs>
        <w:spacing w:after="260" w:line="280" w:lineRule="exact"/>
        <w:ind w:right="0"/>
        <w:jc w:val="both"/>
        <w:rPr>
          <w:rFonts w:ascii="Times New Roman" w:hAnsi="Times New Roman"/>
        </w:rPr>
        <w:sectPr w:rsidR="0047638A" w:rsidSect="0047638A">
          <w:pgSz w:w="11907" w:h="16839" w:code="9"/>
          <w:pgMar w:top="1440" w:right="1701" w:bottom="1984" w:left="1701" w:header="720" w:footer="720" w:gutter="0"/>
          <w:pgNumType w:start="1"/>
          <w:cols w:space="720"/>
          <w:titlePg/>
          <w:docGrid w:linePitch="354"/>
        </w:sectPr>
      </w:pPr>
    </w:p>
    <w:p w14:paraId="0852D4FB" w14:textId="433EBBD7" w:rsidR="005F047D" w:rsidRPr="00847696" w:rsidRDefault="00847696" w:rsidP="00847696">
      <w:pPr>
        <w:pStyle w:val="FixListStyle"/>
        <w:tabs>
          <w:tab w:val="clear" w:pos="720"/>
          <w:tab w:val="left" w:pos="0"/>
        </w:tabs>
        <w:spacing w:after="260" w:line="280" w:lineRule="exact"/>
        <w:ind w:right="0"/>
        <w:jc w:val="both"/>
        <w:rPr>
          <w:rFonts w:ascii="Times New Roman" w:hAnsi="Times New Roman"/>
        </w:rPr>
      </w:pPr>
      <w:r w:rsidRPr="00847696">
        <w:rPr>
          <w:rFonts w:ascii="Times New Roman" w:hAnsi="Times New Roman"/>
        </w:rPr>
        <w:lastRenderedPageBreak/>
        <w:t xml:space="preserve">KIEFEL CJ, BELL AND KEANE JJ.   </w:t>
      </w:r>
      <w:r w:rsidR="00F8046C" w:rsidRPr="00847696">
        <w:rPr>
          <w:rFonts w:ascii="Times New Roman" w:hAnsi="Times New Roman"/>
        </w:rPr>
        <w:t>The exc</w:t>
      </w:r>
      <w:r w:rsidR="000B5A77" w:rsidRPr="00847696">
        <w:rPr>
          <w:rFonts w:ascii="Times New Roman" w:hAnsi="Times New Roman"/>
        </w:rPr>
        <w:t>l</w:t>
      </w:r>
      <w:r w:rsidR="00F8046C" w:rsidRPr="00847696">
        <w:rPr>
          <w:rFonts w:ascii="Times New Roman" w:hAnsi="Times New Roman"/>
        </w:rPr>
        <w:t xml:space="preserve">usive statutory rights of a patentee to exploit an invention which is a product </w:t>
      </w:r>
      <w:r w:rsidR="00BE2F6A" w:rsidRPr="00847696">
        <w:rPr>
          <w:rFonts w:ascii="Times New Roman" w:hAnsi="Times New Roman"/>
        </w:rPr>
        <w:t xml:space="preserve">include the rights to "make, </w:t>
      </w:r>
      <w:r w:rsidR="009F02DC" w:rsidRPr="00847696">
        <w:rPr>
          <w:rFonts w:ascii="Times New Roman" w:hAnsi="Times New Roman"/>
        </w:rPr>
        <w:t xml:space="preserve">hire, </w:t>
      </w:r>
      <w:r w:rsidR="00BE2F6A" w:rsidRPr="00847696">
        <w:rPr>
          <w:rFonts w:ascii="Times New Roman" w:hAnsi="Times New Roman"/>
        </w:rPr>
        <w:t>sell or otherwise dispose of the product" and to "use</w:t>
      </w:r>
      <w:r w:rsidR="006A1D7A" w:rsidRPr="00847696">
        <w:rPr>
          <w:rFonts w:ascii="Times New Roman" w:hAnsi="Times New Roman"/>
        </w:rPr>
        <w:t>"</w:t>
      </w:r>
      <w:r w:rsidR="00BE2F6A" w:rsidRPr="00847696">
        <w:rPr>
          <w:rFonts w:ascii="Times New Roman" w:hAnsi="Times New Roman"/>
        </w:rPr>
        <w:t xml:space="preserve"> </w:t>
      </w:r>
      <w:r w:rsidR="00144034" w:rsidRPr="00847696">
        <w:rPr>
          <w:rFonts w:ascii="Times New Roman" w:hAnsi="Times New Roman"/>
        </w:rPr>
        <w:t>it</w:t>
      </w:r>
      <w:r w:rsidR="00144034" w:rsidRPr="00847696">
        <w:rPr>
          <w:rStyle w:val="FootnoteReference"/>
          <w:rFonts w:ascii="Times New Roman" w:hAnsi="Times New Roman"/>
          <w:sz w:val="24"/>
        </w:rPr>
        <w:footnoteReference w:id="2"/>
      </w:r>
      <w:r w:rsidR="00990C7F" w:rsidRPr="00847696">
        <w:rPr>
          <w:rFonts w:ascii="Times New Roman" w:hAnsi="Times New Roman"/>
        </w:rPr>
        <w:t xml:space="preserve">. </w:t>
      </w:r>
      <w:r w:rsidR="00DE224F" w:rsidRPr="00847696">
        <w:rPr>
          <w:rFonts w:ascii="Times New Roman" w:hAnsi="Times New Roman"/>
        </w:rPr>
        <w:t xml:space="preserve">The question of principle which arises on this appeal </w:t>
      </w:r>
      <w:r w:rsidR="00DB6320" w:rsidRPr="00847696">
        <w:rPr>
          <w:rFonts w:ascii="Times New Roman" w:hAnsi="Times New Roman"/>
        </w:rPr>
        <w:t xml:space="preserve">concerns the scope of those rights and whether a patentee's rights with respect to the sale and use of a particular product </w:t>
      </w:r>
      <w:r w:rsidR="009261EC" w:rsidRPr="00847696">
        <w:rPr>
          <w:rFonts w:ascii="Times New Roman" w:hAnsi="Times New Roman"/>
        </w:rPr>
        <w:t xml:space="preserve">should be regarded as </w:t>
      </w:r>
      <w:r w:rsidR="00DB6320" w:rsidRPr="00847696">
        <w:rPr>
          <w:rFonts w:ascii="Times New Roman" w:hAnsi="Times New Roman"/>
        </w:rPr>
        <w:t xml:space="preserve">exhausted when that product is sold or whether they continue. It requires consideration of the </w:t>
      </w:r>
      <w:r w:rsidR="00DE224F" w:rsidRPr="00847696">
        <w:rPr>
          <w:rFonts w:ascii="Times New Roman" w:hAnsi="Times New Roman"/>
        </w:rPr>
        <w:t xml:space="preserve">approach taken by this Court in </w:t>
      </w:r>
      <w:r w:rsidR="00DE224F" w:rsidRPr="00847696">
        <w:rPr>
          <w:rFonts w:ascii="Times New Roman" w:hAnsi="Times New Roman"/>
          <w:i/>
        </w:rPr>
        <w:t>National Phonograph</w:t>
      </w:r>
      <w:r w:rsidR="008A0104" w:rsidRPr="00847696">
        <w:rPr>
          <w:rFonts w:ascii="Times New Roman" w:hAnsi="Times New Roman"/>
          <w:i/>
        </w:rPr>
        <w:t xml:space="preserve"> Co of Australia Ltd</w:t>
      </w:r>
      <w:r w:rsidR="00DE224F" w:rsidRPr="00847696">
        <w:rPr>
          <w:rFonts w:ascii="Times New Roman" w:hAnsi="Times New Roman"/>
          <w:i/>
        </w:rPr>
        <w:t xml:space="preserve"> v </w:t>
      </w:r>
      <w:proofErr w:type="spellStart"/>
      <w:r w:rsidR="00DE224F" w:rsidRPr="00847696">
        <w:rPr>
          <w:rFonts w:ascii="Times New Roman" w:hAnsi="Times New Roman"/>
          <w:i/>
        </w:rPr>
        <w:t>Menck</w:t>
      </w:r>
      <w:proofErr w:type="spellEnd"/>
      <w:r w:rsidR="00545993" w:rsidRPr="00847696">
        <w:rPr>
          <w:rStyle w:val="FootnoteReference"/>
          <w:rFonts w:ascii="Times New Roman" w:hAnsi="Times New Roman"/>
          <w:sz w:val="24"/>
        </w:rPr>
        <w:footnoteReference w:id="3"/>
      </w:r>
      <w:r w:rsidR="00B55834" w:rsidRPr="00847696">
        <w:rPr>
          <w:rFonts w:ascii="Times New Roman" w:hAnsi="Times New Roman"/>
        </w:rPr>
        <w:t xml:space="preserve"> ("</w:t>
      </w:r>
      <w:proofErr w:type="spellStart"/>
      <w:r w:rsidR="00B55834" w:rsidRPr="00847696">
        <w:rPr>
          <w:rFonts w:ascii="Times New Roman" w:hAnsi="Times New Roman"/>
          <w:i/>
        </w:rPr>
        <w:t>Menck</w:t>
      </w:r>
      <w:proofErr w:type="spellEnd"/>
      <w:r w:rsidR="00B55834" w:rsidRPr="00847696">
        <w:rPr>
          <w:rFonts w:ascii="Times New Roman" w:hAnsi="Times New Roman"/>
        </w:rPr>
        <w:t xml:space="preserve"> </w:t>
      </w:r>
      <w:r w:rsidR="00CC7695" w:rsidRPr="00847696">
        <w:rPr>
          <w:rFonts w:ascii="Times New Roman" w:hAnsi="Times New Roman"/>
        </w:rPr>
        <w:t>(</w:t>
      </w:r>
      <w:r w:rsidR="00B55834" w:rsidRPr="00847696">
        <w:rPr>
          <w:rFonts w:ascii="Times New Roman" w:hAnsi="Times New Roman"/>
        </w:rPr>
        <w:t xml:space="preserve">High </w:t>
      </w:r>
      <w:r w:rsidR="00D36659" w:rsidRPr="00847696">
        <w:rPr>
          <w:rFonts w:ascii="Times New Roman" w:hAnsi="Times New Roman"/>
        </w:rPr>
        <w:t>C</w:t>
      </w:r>
      <w:r w:rsidR="00B55834" w:rsidRPr="00847696">
        <w:rPr>
          <w:rFonts w:ascii="Times New Roman" w:hAnsi="Times New Roman"/>
        </w:rPr>
        <w:t>ourt</w:t>
      </w:r>
      <w:r w:rsidR="00CC7695" w:rsidRPr="00847696">
        <w:rPr>
          <w:rFonts w:ascii="Times New Roman" w:hAnsi="Times New Roman"/>
        </w:rPr>
        <w:t>)</w:t>
      </w:r>
      <w:r w:rsidR="00B55834" w:rsidRPr="00847696">
        <w:rPr>
          <w:rFonts w:ascii="Times New Roman" w:hAnsi="Times New Roman"/>
        </w:rPr>
        <w:t xml:space="preserve">") </w:t>
      </w:r>
      <w:r w:rsidR="004477FA" w:rsidRPr="00847696">
        <w:rPr>
          <w:rFonts w:ascii="Times New Roman" w:hAnsi="Times New Roman"/>
        </w:rPr>
        <w:t xml:space="preserve">and </w:t>
      </w:r>
      <w:r w:rsidR="00B55834" w:rsidRPr="00847696">
        <w:rPr>
          <w:rFonts w:ascii="Times New Roman" w:hAnsi="Times New Roman"/>
        </w:rPr>
        <w:t>that of the Privy Council on appeal</w:t>
      </w:r>
      <w:r w:rsidR="00E56FF3" w:rsidRPr="00847696">
        <w:rPr>
          <w:rStyle w:val="FootnoteReference"/>
          <w:rFonts w:ascii="Times New Roman" w:hAnsi="Times New Roman"/>
          <w:sz w:val="24"/>
        </w:rPr>
        <w:footnoteReference w:id="4"/>
      </w:r>
      <w:r w:rsidR="00E56FF3" w:rsidRPr="00847696">
        <w:rPr>
          <w:rFonts w:ascii="Times New Roman" w:hAnsi="Times New Roman"/>
        </w:rPr>
        <w:t xml:space="preserve"> ("</w:t>
      </w:r>
      <w:proofErr w:type="spellStart"/>
      <w:r w:rsidR="00E56FF3" w:rsidRPr="00847696">
        <w:rPr>
          <w:rFonts w:ascii="Times New Roman" w:hAnsi="Times New Roman"/>
          <w:i/>
        </w:rPr>
        <w:t>Menck</w:t>
      </w:r>
      <w:proofErr w:type="spellEnd"/>
      <w:r w:rsidR="00E56FF3" w:rsidRPr="00847696">
        <w:rPr>
          <w:rFonts w:ascii="Times New Roman" w:hAnsi="Times New Roman"/>
        </w:rPr>
        <w:t xml:space="preserve"> </w:t>
      </w:r>
      <w:r w:rsidR="00CC7695" w:rsidRPr="00847696">
        <w:rPr>
          <w:rFonts w:ascii="Times New Roman" w:hAnsi="Times New Roman"/>
        </w:rPr>
        <w:t>(</w:t>
      </w:r>
      <w:r w:rsidR="00E56FF3" w:rsidRPr="00847696">
        <w:rPr>
          <w:rFonts w:ascii="Times New Roman" w:hAnsi="Times New Roman"/>
        </w:rPr>
        <w:t>Privy Council</w:t>
      </w:r>
      <w:r w:rsidR="00CC7695" w:rsidRPr="00847696">
        <w:rPr>
          <w:rFonts w:ascii="Times New Roman" w:hAnsi="Times New Roman"/>
        </w:rPr>
        <w:t>)</w:t>
      </w:r>
      <w:r w:rsidR="00E56FF3" w:rsidRPr="00847696">
        <w:rPr>
          <w:rFonts w:ascii="Times New Roman" w:hAnsi="Times New Roman"/>
        </w:rPr>
        <w:t>")</w:t>
      </w:r>
      <w:r w:rsidR="00377D9F" w:rsidRPr="00847696">
        <w:rPr>
          <w:rFonts w:ascii="Times New Roman" w:hAnsi="Times New Roman"/>
        </w:rPr>
        <w:t>.</w:t>
      </w:r>
    </w:p>
    <w:p w14:paraId="172CA211" w14:textId="77DED239" w:rsidR="00F8046C" w:rsidRPr="00847696" w:rsidRDefault="005F047D"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The </w:t>
      </w:r>
      <w:r w:rsidR="00937F1A" w:rsidRPr="00847696">
        <w:rPr>
          <w:rFonts w:ascii="Times New Roman" w:hAnsi="Times New Roman"/>
        </w:rPr>
        <w:t xml:space="preserve">other </w:t>
      </w:r>
      <w:r w:rsidRPr="00847696">
        <w:rPr>
          <w:rFonts w:ascii="Times New Roman" w:hAnsi="Times New Roman"/>
        </w:rPr>
        <w:t xml:space="preserve">question </w:t>
      </w:r>
      <w:r w:rsidR="00937F1A" w:rsidRPr="00847696">
        <w:rPr>
          <w:rFonts w:ascii="Times New Roman" w:hAnsi="Times New Roman"/>
        </w:rPr>
        <w:t>that arises</w:t>
      </w:r>
      <w:r w:rsidRPr="00847696">
        <w:rPr>
          <w:rFonts w:ascii="Times New Roman" w:hAnsi="Times New Roman"/>
        </w:rPr>
        <w:t xml:space="preserve"> is </w:t>
      </w:r>
      <w:r w:rsidR="00862478" w:rsidRPr="00847696">
        <w:rPr>
          <w:rFonts w:ascii="Times New Roman" w:hAnsi="Times New Roman"/>
        </w:rPr>
        <w:t xml:space="preserve">no less </w:t>
      </w:r>
      <w:r w:rsidRPr="00847696">
        <w:rPr>
          <w:rFonts w:ascii="Times New Roman" w:hAnsi="Times New Roman"/>
        </w:rPr>
        <w:t xml:space="preserve">important. Accepting that </w:t>
      </w:r>
      <w:r w:rsidR="00862478" w:rsidRPr="00847696">
        <w:rPr>
          <w:rFonts w:ascii="Times New Roman" w:hAnsi="Times New Roman"/>
        </w:rPr>
        <w:t xml:space="preserve">a </w:t>
      </w:r>
      <w:r w:rsidRPr="00847696">
        <w:rPr>
          <w:rFonts w:ascii="Times New Roman" w:hAnsi="Times New Roman"/>
        </w:rPr>
        <w:t xml:space="preserve">patentee retains the </w:t>
      </w:r>
      <w:r w:rsidR="00862478" w:rsidRPr="00847696">
        <w:rPr>
          <w:rFonts w:ascii="Times New Roman" w:hAnsi="Times New Roman"/>
        </w:rPr>
        <w:t xml:space="preserve">exclusive </w:t>
      </w:r>
      <w:r w:rsidRPr="00847696">
        <w:rPr>
          <w:rFonts w:ascii="Times New Roman" w:hAnsi="Times New Roman"/>
        </w:rPr>
        <w:t xml:space="preserve">right to make a product embodying </w:t>
      </w:r>
      <w:r w:rsidR="00D13DB9" w:rsidRPr="00847696">
        <w:rPr>
          <w:rFonts w:ascii="Times New Roman" w:hAnsi="Times New Roman"/>
        </w:rPr>
        <w:t>the essential features of the invention, the question is whether modifications made to a product to enable its re</w:t>
      </w:r>
      <w:r w:rsidR="00E94B90" w:rsidRPr="00847696">
        <w:rPr>
          <w:rFonts w:ascii="Times New Roman" w:hAnsi="Times New Roman"/>
        </w:rPr>
        <w:noBreakHyphen/>
      </w:r>
      <w:r w:rsidR="00D13DB9" w:rsidRPr="00847696">
        <w:rPr>
          <w:rFonts w:ascii="Times New Roman" w:hAnsi="Times New Roman"/>
        </w:rPr>
        <w:t>use amount to a making of a new product and infringe on that account.</w:t>
      </w:r>
    </w:p>
    <w:p w14:paraId="241731A2" w14:textId="22BDBEE7" w:rsidR="00261E56" w:rsidRPr="00847696" w:rsidRDefault="002F2337" w:rsidP="00847696">
      <w:pPr>
        <w:pStyle w:val="FixListStyle"/>
        <w:spacing w:after="260" w:line="280" w:lineRule="exact"/>
        <w:ind w:right="0"/>
        <w:jc w:val="both"/>
        <w:rPr>
          <w:rFonts w:ascii="Times New Roman" w:hAnsi="Times New Roman"/>
        </w:rPr>
      </w:pPr>
      <w:r w:rsidRPr="00847696">
        <w:rPr>
          <w:rFonts w:ascii="Times New Roman" w:hAnsi="Times New Roman"/>
        </w:rPr>
        <w:tab/>
        <w:t>The question</w:t>
      </w:r>
      <w:r w:rsidR="004477FA" w:rsidRPr="00847696">
        <w:rPr>
          <w:rFonts w:ascii="Times New Roman" w:hAnsi="Times New Roman"/>
        </w:rPr>
        <w:t>s</w:t>
      </w:r>
      <w:r w:rsidRPr="00847696">
        <w:rPr>
          <w:rFonts w:ascii="Times New Roman" w:hAnsi="Times New Roman"/>
        </w:rPr>
        <w:t xml:space="preserve"> arise in this context. </w:t>
      </w:r>
      <w:r w:rsidR="008E308E" w:rsidRPr="00847696">
        <w:rPr>
          <w:rFonts w:ascii="Times New Roman" w:hAnsi="Times New Roman"/>
        </w:rPr>
        <w:t xml:space="preserve">The first respondent manufactures and sells computer printers and printer </w:t>
      </w:r>
      <w:r w:rsidR="006A28E9" w:rsidRPr="00847696">
        <w:rPr>
          <w:rFonts w:ascii="Times New Roman" w:hAnsi="Times New Roman"/>
        </w:rPr>
        <w:t xml:space="preserve">ink </w:t>
      </w:r>
      <w:r w:rsidR="008E308E" w:rsidRPr="00847696">
        <w:rPr>
          <w:rFonts w:ascii="Times New Roman" w:hAnsi="Times New Roman"/>
        </w:rPr>
        <w:t>cartridges under the brand name "Epson"</w:t>
      </w:r>
      <w:r w:rsidR="00CC175B" w:rsidRPr="00847696">
        <w:rPr>
          <w:rFonts w:ascii="Times New Roman" w:hAnsi="Times New Roman"/>
        </w:rPr>
        <w:t xml:space="preserve"> ("the original Epson cartridges")</w:t>
      </w:r>
      <w:r w:rsidR="008E308E" w:rsidRPr="00847696">
        <w:rPr>
          <w:rFonts w:ascii="Times New Roman" w:hAnsi="Times New Roman"/>
        </w:rPr>
        <w:t>. T</w:t>
      </w:r>
      <w:r w:rsidR="00774CBB" w:rsidRPr="00847696">
        <w:rPr>
          <w:rFonts w:ascii="Times New Roman" w:hAnsi="Times New Roman"/>
        </w:rPr>
        <w:t>he</w:t>
      </w:r>
      <w:r w:rsidR="008E308E" w:rsidRPr="00847696">
        <w:rPr>
          <w:rFonts w:ascii="Times New Roman" w:hAnsi="Times New Roman"/>
        </w:rPr>
        <w:t xml:space="preserve"> </w:t>
      </w:r>
      <w:r w:rsidR="009F704E" w:rsidRPr="00847696">
        <w:rPr>
          <w:rFonts w:ascii="Times New Roman" w:hAnsi="Times New Roman"/>
        </w:rPr>
        <w:t>original Epson</w:t>
      </w:r>
      <w:r w:rsidR="006A28E9" w:rsidRPr="00847696">
        <w:rPr>
          <w:rFonts w:ascii="Times New Roman" w:hAnsi="Times New Roman"/>
        </w:rPr>
        <w:t xml:space="preserve"> </w:t>
      </w:r>
      <w:r w:rsidR="008E308E" w:rsidRPr="00847696">
        <w:rPr>
          <w:rFonts w:ascii="Times New Roman" w:hAnsi="Times New Roman"/>
        </w:rPr>
        <w:t xml:space="preserve">cartridges </w:t>
      </w:r>
      <w:r w:rsidR="008E428A" w:rsidRPr="00847696">
        <w:rPr>
          <w:rFonts w:ascii="Times New Roman" w:hAnsi="Times New Roman"/>
        </w:rPr>
        <w:t>embody the inventions claimed in two patents</w:t>
      </w:r>
      <w:r w:rsidR="00656D3F" w:rsidRPr="00847696">
        <w:rPr>
          <w:rFonts w:ascii="Times New Roman" w:hAnsi="Times New Roman"/>
        </w:rPr>
        <w:t xml:space="preserve"> </w:t>
      </w:r>
      <w:r w:rsidR="00F433E8" w:rsidRPr="00847696">
        <w:rPr>
          <w:rFonts w:ascii="Times New Roman" w:hAnsi="Times New Roman"/>
        </w:rPr>
        <w:t xml:space="preserve">of which the </w:t>
      </w:r>
      <w:r w:rsidR="001D7BFC" w:rsidRPr="00847696">
        <w:rPr>
          <w:rFonts w:ascii="Times New Roman" w:hAnsi="Times New Roman"/>
        </w:rPr>
        <w:t>first</w:t>
      </w:r>
      <w:r w:rsidR="00F433E8" w:rsidRPr="00847696">
        <w:rPr>
          <w:rFonts w:ascii="Times New Roman" w:hAnsi="Times New Roman"/>
        </w:rPr>
        <w:t xml:space="preserve"> respondent is the patentee</w:t>
      </w:r>
      <w:r w:rsidR="00DD483D" w:rsidRPr="00847696">
        <w:rPr>
          <w:rFonts w:ascii="Times New Roman" w:hAnsi="Times New Roman"/>
        </w:rPr>
        <w:t xml:space="preserve">. </w:t>
      </w:r>
      <w:r w:rsidR="00261E56" w:rsidRPr="00847696">
        <w:rPr>
          <w:rFonts w:ascii="Times New Roman" w:hAnsi="Times New Roman"/>
        </w:rPr>
        <w:t xml:space="preserve">The </w:t>
      </w:r>
      <w:r w:rsidR="00676D4D" w:rsidRPr="00847696">
        <w:rPr>
          <w:rFonts w:ascii="Times New Roman" w:hAnsi="Times New Roman"/>
        </w:rPr>
        <w:t>original Epson</w:t>
      </w:r>
      <w:r w:rsidR="00261E56" w:rsidRPr="00847696">
        <w:rPr>
          <w:rFonts w:ascii="Times New Roman" w:hAnsi="Times New Roman"/>
        </w:rPr>
        <w:t xml:space="preserve"> cartridges are manufactured </w:t>
      </w:r>
      <w:r w:rsidR="00870365" w:rsidRPr="00847696">
        <w:rPr>
          <w:rFonts w:ascii="Times New Roman" w:hAnsi="Times New Roman"/>
        </w:rPr>
        <w:t xml:space="preserve">and </w:t>
      </w:r>
      <w:r w:rsidR="00AB467C" w:rsidRPr="00847696">
        <w:rPr>
          <w:rFonts w:ascii="Times New Roman" w:hAnsi="Times New Roman"/>
        </w:rPr>
        <w:t xml:space="preserve">sold in a form which permits only a </w:t>
      </w:r>
      <w:r w:rsidR="00261E56" w:rsidRPr="00847696">
        <w:rPr>
          <w:rFonts w:ascii="Times New Roman" w:hAnsi="Times New Roman"/>
        </w:rPr>
        <w:t xml:space="preserve">single use. When the ink in the cartridge runs out it is usually necessary to replace </w:t>
      </w:r>
      <w:r w:rsidR="0005563F" w:rsidRPr="00847696">
        <w:rPr>
          <w:rFonts w:ascii="Times New Roman" w:hAnsi="Times New Roman"/>
        </w:rPr>
        <w:t>the cartridge</w:t>
      </w:r>
      <w:r w:rsidR="00261E56" w:rsidRPr="00847696">
        <w:rPr>
          <w:rFonts w:ascii="Times New Roman" w:hAnsi="Times New Roman"/>
        </w:rPr>
        <w:t xml:space="preserve">. Empty </w:t>
      </w:r>
      <w:r w:rsidR="00676D4D" w:rsidRPr="00847696">
        <w:rPr>
          <w:rFonts w:ascii="Times New Roman" w:hAnsi="Times New Roman"/>
        </w:rPr>
        <w:t>original</w:t>
      </w:r>
      <w:r w:rsidR="00261E56" w:rsidRPr="00847696">
        <w:rPr>
          <w:rFonts w:ascii="Times New Roman" w:hAnsi="Times New Roman"/>
        </w:rPr>
        <w:t xml:space="preserve"> Epson cartridges are obtained by a third party</w:t>
      </w:r>
      <w:r w:rsidR="00963FE7" w:rsidRPr="00847696">
        <w:rPr>
          <w:rFonts w:ascii="Times New Roman" w:hAnsi="Times New Roman"/>
        </w:rPr>
        <w:t xml:space="preserve">, </w:t>
      </w:r>
      <w:proofErr w:type="spellStart"/>
      <w:r w:rsidR="00963FE7" w:rsidRPr="00847696">
        <w:rPr>
          <w:rFonts w:ascii="Times New Roman" w:hAnsi="Times New Roman"/>
        </w:rPr>
        <w:t>Ninestar</w:t>
      </w:r>
      <w:proofErr w:type="spellEnd"/>
      <w:r w:rsidR="00963FE7" w:rsidRPr="00847696">
        <w:rPr>
          <w:rFonts w:ascii="Times New Roman" w:hAnsi="Times New Roman"/>
        </w:rPr>
        <w:t xml:space="preserve"> Image (Malaysia) SDN </w:t>
      </w:r>
      <w:r w:rsidR="00A73372" w:rsidRPr="00847696">
        <w:rPr>
          <w:rFonts w:ascii="Times New Roman" w:hAnsi="Times New Roman"/>
        </w:rPr>
        <w:t xml:space="preserve">BHD </w:t>
      </w:r>
      <w:r w:rsidR="00963FE7" w:rsidRPr="00847696">
        <w:rPr>
          <w:rFonts w:ascii="Times New Roman" w:hAnsi="Times New Roman"/>
        </w:rPr>
        <w:t>("</w:t>
      </w:r>
      <w:proofErr w:type="spellStart"/>
      <w:r w:rsidR="00963FE7" w:rsidRPr="00847696">
        <w:rPr>
          <w:rFonts w:ascii="Times New Roman" w:hAnsi="Times New Roman"/>
        </w:rPr>
        <w:t>Ninestar</w:t>
      </w:r>
      <w:proofErr w:type="spellEnd"/>
      <w:r w:rsidR="00963FE7" w:rsidRPr="00847696">
        <w:rPr>
          <w:rFonts w:ascii="Times New Roman" w:hAnsi="Times New Roman"/>
        </w:rPr>
        <w:t>")</w:t>
      </w:r>
      <w:r w:rsidR="00AB467C" w:rsidRPr="00847696">
        <w:rPr>
          <w:rFonts w:ascii="Times New Roman" w:hAnsi="Times New Roman"/>
        </w:rPr>
        <w:t>,</w:t>
      </w:r>
      <w:r w:rsidR="00963FE7" w:rsidRPr="00847696">
        <w:rPr>
          <w:rFonts w:ascii="Times New Roman" w:hAnsi="Times New Roman"/>
        </w:rPr>
        <w:t xml:space="preserve"> from various sources. </w:t>
      </w:r>
      <w:proofErr w:type="spellStart"/>
      <w:r w:rsidR="00963FE7" w:rsidRPr="00847696">
        <w:rPr>
          <w:rFonts w:ascii="Times New Roman" w:hAnsi="Times New Roman"/>
        </w:rPr>
        <w:t>Ninestar</w:t>
      </w:r>
      <w:proofErr w:type="spellEnd"/>
      <w:r w:rsidR="00963FE7" w:rsidRPr="00847696">
        <w:rPr>
          <w:rFonts w:ascii="Times New Roman" w:hAnsi="Times New Roman"/>
        </w:rPr>
        <w:t xml:space="preserve"> makes modifications to the cartridges which enable them to be refilled and re</w:t>
      </w:r>
      <w:r w:rsidR="00371C56" w:rsidRPr="00847696">
        <w:rPr>
          <w:rFonts w:ascii="Times New Roman" w:hAnsi="Times New Roman"/>
        </w:rPr>
        <w:t>-</w:t>
      </w:r>
      <w:r w:rsidR="00963FE7" w:rsidRPr="00847696">
        <w:rPr>
          <w:rFonts w:ascii="Times New Roman" w:hAnsi="Times New Roman"/>
        </w:rPr>
        <w:t xml:space="preserve">used </w:t>
      </w:r>
      <w:r w:rsidR="00A04AFD" w:rsidRPr="00847696">
        <w:rPr>
          <w:rFonts w:ascii="Times New Roman" w:hAnsi="Times New Roman"/>
        </w:rPr>
        <w:t xml:space="preserve">(potentially </w:t>
      </w:r>
      <w:r w:rsidR="00963FE7" w:rsidRPr="00847696">
        <w:rPr>
          <w:rFonts w:ascii="Times New Roman" w:hAnsi="Times New Roman"/>
        </w:rPr>
        <w:t>on multiple occasions</w:t>
      </w:r>
      <w:r w:rsidR="00A04AFD" w:rsidRPr="00847696">
        <w:rPr>
          <w:rFonts w:ascii="Times New Roman" w:hAnsi="Times New Roman"/>
        </w:rPr>
        <w:t>)</w:t>
      </w:r>
      <w:r w:rsidR="00963FE7" w:rsidRPr="00847696">
        <w:rPr>
          <w:rFonts w:ascii="Times New Roman" w:hAnsi="Times New Roman"/>
        </w:rPr>
        <w:t xml:space="preserve">. The appellants (together </w:t>
      </w:r>
      <w:r w:rsidR="00C855F3" w:rsidRPr="00847696">
        <w:rPr>
          <w:rFonts w:ascii="Times New Roman" w:hAnsi="Times New Roman"/>
        </w:rPr>
        <w:t>"</w:t>
      </w:r>
      <w:r w:rsidR="00963FE7" w:rsidRPr="00847696">
        <w:rPr>
          <w:rFonts w:ascii="Times New Roman" w:hAnsi="Times New Roman"/>
        </w:rPr>
        <w:t>Calidad</w:t>
      </w:r>
      <w:r w:rsidR="00C855F3" w:rsidRPr="00847696">
        <w:rPr>
          <w:rFonts w:ascii="Times New Roman" w:hAnsi="Times New Roman"/>
        </w:rPr>
        <w:t>"</w:t>
      </w:r>
      <w:r w:rsidR="00963FE7" w:rsidRPr="00847696">
        <w:rPr>
          <w:rFonts w:ascii="Times New Roman" w:hAnsi="Times New Roman"/>
        </w:rPr>
        <w:t xml:space="preserve">) acquire the modified cartridges from </w:t>
      </w:r>
      <w:proofErr w:type="spellStart"/>
      <w:r w:rsidR="00963FE7" w:rsidRPr="00847696">
        <w:rPr>
          <w:rFonts w:ascii="Times New Roman" w:hAnsi="Times New Roman"/>
        </w:rPr>
        <w:t>Ninestar</w:t>
      </w:r>
      <w:proofErr w:type="spellEnd"/>
      <w:r w:rsidR="00963FE7" w:rsidRPr="00847696">
        <w:rPr>
          <w:rFonts w:ascii="Times New Roman" w:hAnsi="Times New Roman"/>
        </w:rPr>
        <w:t xml:space="preserve"> and import them into Australia for the purpose of sale to the public.</w:t>
      </w:r>
    </w:p>
    <w:p w14:paraId="71AF1DF8" w14:textId="64515991" w:rsidR="00EA6A88" w:rsidRPr="00847696" w:rsidRDefault="00EA6A88" w:rsidP="00847696">
      <w:pPr>
        <w:pStyle w:val="FixListStyle"/>
        <w:spacing w:after="260" w:line="280" w:lineRule="exact"/>
        <w:ind w:right="0"/>
        <w:jc w:val="both"/>
        <w:rPr>
          <w:rFonts w:ascii="Times New Roman" w:hAnsi="Times New Roman"/>
        </w:rPr>
      </w:pPr>
      <w:r w:rsidRPr="00847696">
        <w:rPr>
          <w:rFonts w:ascii="Times New Roman" w:hAnsi="Times New Roman"/>
        </w:rPr>
        <w:tab/>
        <w:t>In proceedings in the Federal Court</w:t>
      </w:r>
      <w:r w:rsidR="00394F76" w:rsidRPr="00847696">
        <w:rPr>
          <w:rFonts w:ascii="Times New Roman" w:hAnsi="Times New Roman"/>
        </w:rPr>
        <w:t xml:space="preserve"> of Australia</w:t>
      </w:r>
      <w:r w:rsidR="000B2D27" w:rsidRPr="00847696">
        <w:rPr>
          <w:rStyle w:val="FootnoteReference"/>
          <w:rFonts w:ascii="Times New Roman" w:hAnsi="Times New Roman"/>
          <w:sz w:val="24"/>
        </w:rPr>
        <w:footnoteReference w:id="5"/>
      </w:r>
      <w:r w:rsidR="00012154" w:rsidRPr="00847696">
        <w:rPr>
          <w:rFonts w:ascii="Times New Roman" w:hAnsi="Times New Roman"/>
        </w:rPr>
        <w:t xml:space="preserve"> </w:t>
      </w:r>
      <w:r w:rsidR="00C855F3" w:rsidRPr="00847696">
        <w:rPr>
          <w:rFonts w:ascii="Times New Roman" w:hAnsi="Times New Roman"/>
        </w:rPr>
        <w:t>the respondent</w:t>
      </w:r>
      <w:r w:rsidR="00692904" w:rsidRPr="00847696">
        <w:rPr>
          <w:rFonts w:ascii="Times New Roman" w:hAnsi="Times New Roman"/>
        </w:rPr>
        <w:t>s</w:t>
      </w:r>
      <w:r w:rsidR="00C855F3" w:rsidRPr="00847696">
        <w:rPr>
          <w:rFonts w:ascii="Times New Roman" w:hAnsi="Times New Roman"/>
        </w:rPr>
        <w:t xml:space="preserve"> (together "Seiko") </w:t>
      </w:r>
      <w:r w:rsidR="00012154" w:rsidRPr="00847696">
        <w:rPr>
          <w:rFonts w:ascii="Times New Roman" w:hAnsi="Times New Roman"/>
        </w:rPr>
        <w:t>alleged that by doing so Calidad infringe</w:t>
      </w:r>
      <w:r w:rsidR="003A71E0" w:rsidRPr="00847696">
        <w:rPr>
          <w:rFonts w:ascii="Times New Roman" w:hAnsi="Times New Roman"/>
        </w:rPr>
        <w:t>d</w:t>
      </w:r>
      <w:r w:rsidR="00012154" w:rsidRPr="00847696">
        <w:rPr>
          <w:rFonts w:ascii="Times New Roman" w:hAnsi="Times New Roman"/>
        </w:rPr>
        <w:t xml:space="preserve"> the </w:t>
      </w:r>
      <w:r w:rsidR="00F45947" w:rsidRPr="00847696">
        <w:rPr>
          <w:rFonts w:ascii="Times New Roman" w:hAnsi="Times New Roman"/>
        </w:rPr>
        <w:t>first</w:t>
      </w:r>
      <w:r w:rsidR="00012154" w:rsidRPr="00847696">
        <w:rPr>
          <w:rFonts w:ascii="Times New Roman" w:hAnsi="Times New Roman"/>
        </w:rPr>
        <w:t xml:space="preserve"> respondent's rights as patentee. In those proceedings Seiko did not contend that any </w:t>
      </w:r>
      <w:r w:rsidR="000B5A77" w:rsidRPr="00847696">
        <w:rPr>
          <w:rFonts w:ascii="Times New Roman" w:hAnsi="Times New Roman"/>
        </w:rPr>
        <w:t xml:space="preserve">contractual </w:t>
      </w:r>
      <w:r w:rsidR="00012154" w:rsidRPr="00847696">
        <w:rPr>
          <w:rFonts w:ascii="Times New Roman" w:hAnsi="Times New Roman"/>
        </w:rPr>
        <w:t xml:space="preserve">conditions restricting the use to which the original Epson </w:t>
      </w:r>
      <w:r w:rsidR="001213CD" w:rsidRPr="00847696">
        <w:rPr>
          <w:rFonts w:ascii="Times New Roman" w:hAnsi="Times New Roman"/>
        </w:rPr>
        <w:t>cartridges could be put were imposed at the time of the sale to the original purchaser.</w:t>
      </w:r>
    </w:p>
    <w:p w14:paraId="2290CB01" w14:textId="206B35E4" w:rsidR="00F47D25" w:rsidRPr="00847696" w:rsidRDefault="005A485F" w:rsidP="00847696">
      <w:pPr>
        <w:pStyle w:val="FixListStyle"/>
        <w:spacing w:after="260" w:line="280" w:lineRule="exact"/>
        <w:ind w:right="0"/>
        <w:jc w:val="both"/>
        <w:rPr>
          <w:rFonts w:ascii="Times New Roman" w:hAnsi="Times New Roman"/>
        </w:rPr>
      </w:pPr>
      <w:r w:rsidRPr="00847696">
        <w:rPr>
          <w:rFonts w:ascii="Times New Roman" w:hAnsi="Times New Roman"/>
        </w:rPr>
        <w:lastRenderedPageBreak/>
        <w:tab/>
      </w:r>
      <w:r w:rsidR="00126778" w:rsidRPr="00847696">
        <w:rPr>
          <w:rFonts w:ascii="Times New Roman" w:hAnsi="Times New Roman"/>
        </w:rPr>
        <w:t>It is not disputed that on the sale or resale of a patented product the purchaser becomes the owner of that item of property.</w:t>
      </w:r>
      <w:r w:rsidR="006C5F53" w:rsidRPr="00847696">
        <w:rPr>
          <w:rFonts w:ascii="Times New Roman" w:hAnsi="Times New Roman"/>
        </w:rPr>
        <w:t xml:space="preserve"> </w:t>
      </w:r>
      <w:r w:rsidRPr="00847696">
        <w:rPr>
          <w:rFonts w:ascii="Times New Roman" w:hAnsi="Times New Roman"/>
        </w:rPr>
        <w:t xml:space="preserve">It </w:t>
      </w:r>
      <w:r w:rsidR="003A71E0" w:rsidRPr="00847696">
        <w:rPr>
          <w:rFonts w:ascii="Times New Roman" w:hAnsi="Times New Roman"/>
        </w:rPr>
        <w:t xml:space="preserve">is a </w:t>
      </w:r>
      <w:r w:rsidRPr="00847696">
        <w:rPr>
          <w:rFonts w:ascii="Times New Roman" w:hAnsi="Times New Roman"/>
        </w:rPr>
        <w:t>principle of the law of personal property that the owner of chattels</w:t>
      </w:r>
      <w:r w:rsidR="005253A8" w:rsidRPr="00847696">
        <w:rPr>
          <w:rFonts w:ascii="Times New Roman" w:hAnsi="Times New Roman"/>
        </w:rPr>
        <w:t xml:space="preserve"> has an absolute right to use or dispose of </w:t>
      </w:r>
      <w:r w:rsidR="00F47D25" w:rsidRPr="00847696">
        <w:rPr>
          <w:rFonts w:ascii="Times New Roman" w:hAnsi="Times New Roman"/>
        </w:rPr>
        <w:t xml:space="preserve">them </w:t>
      </w:r>
      <w:r w:rsidR="005253A8" w:rsidRPr="00847696">
        <w:rPr>
          <w:rFonts w:ascii="Times New Roman" w:hAnsi="Times New Roman"/>
        </w:rPr>
        <w:t xml:space="preserve">as </w:t>
      </w:r>
      <w:r w:rsidR="00CC73BB" w:rsidRPr="00847696">
        <w:rPr>
          <w:rFonts w:ascii="Times New Roman" w:hAnsi="Times New Roman"/>
        </w:rPr>
        <w:t>they</w:t>
      </w:r>
      <w:r w:rsidR="005253A8" w:rsidRPr="00847696">
        <w:rPr>
          <w:rFonts w:ascii="Times New Roman" w:hAnsi="Times New Roman"/>
        </w:rPr>
        <w:t xml:space="preserve"> think fit. This principle was applied by a majority </w:t>
      </w:r>
      <w:r w:rsidR="004923BC" w:rsidRPr="00847696">
        <w:rPr>
          <w:rFonts w:ascii="Times New Roman" w:hAnsi="Times New Roman"/>
        </w:rPr>
        <w:t>of</w:t>
      </w:r>
      <w:r w:rsidR="005253A8" w:rsidRPr="00847696">
        <w:rPr>
          <w:rFonts w:ascii="Times New Roman" w:hAnsi="Times New Roman"/>
        </w:rPr>
        <w:t xml:space="preserve"> this Court </w:t>
      </w:r>
      <w:r w:rsidR="003006B1" w:rsidRPr="00847696">
        <w:rPr>
          <w:rFonts w:ascii="Times New Roman" w:hAnsi="Times New Roman"/>
        </w:rPr>
        <w:t>i</w:t>
      </w:r>
      <w:r w:rsidR="00D36659" w:rsidRPr="00847696">
        <w:rPr>
          <w:rFonts w:ascii="Times New Roman" w:hAnsi="Times New Roman"/>
        </w:rPr>
        <w:t>n</w:t>
      </w:r>
      <w:r w:rsidR="003006B1" w:rsidRPr="00847696">
        <w:rPr>
          <w:rFonts w:ascii="Times New Roman" w:hAnsi="Times New Roman"/>
        </w:rPr>
        <w:t xml:space="preserve"> 1908 in </w:t>
      </w:r>
      <w:proofErr w:type="spellStart"/>
      <w:r w:rsidR="003006B1" w:rsidRPr="00847696">
        <w:rPr>
          <w:rFonts w:ascii="Times New Roman" w:hAnsi="Times New Roman"/>
          <w:i/>
        </w:rPr>
        <w:t>Menck</w:t>
      </w:r>
      <w:proofErr w:type="spellEnd"/>
      <w:r w:rsidR="003006B1" w:rsidRPr="00847696">
        <w:rPr>
          <w:rFonts w:ascii="Times New Roman" w:hAnsi="Times New Roman"/>
        </w:rPr>
        <w:t xml:space="preserve"> </w:t>
      </w:r>
      <w:r w:rsidR="003A71E0" w:rsidRPr="00847696">
        <w:rPr>
          <w:rFonts w:ascii="Times New Roman" w:hAnsi="Times New Roman"/>
        </w:rPr>
        <w:t>(</w:t>
      </w:r>
      <w:r w:rsidR="003006B1" w:rsidRPr="00847696">
        <w:rPr>
          <w:rFonts w:ascii="Times New Roman" w:hAnsi="Times New Roman"/>
        </w:rPr>
        <w:t>High Court</w:t>
      </w:r>
      <w:r w:rsidR="003A71E0" w:rsidRPr="00847696">
        <w:rPr>
          <w:rFonts w:ascii="Times New Roman" w:hAnsi="Times New Roman"/>
        </w:rPr>
        <w:t>)</w:t>
      </w:r>
      <w:r w:rsidR="00045463" w:rsidRPr="00847696">
        <w:rPr>
          <w:rFonts w:ascii="Times New Roman" w:hAnsi="Times New Roman"/>
        </w:rPr>
        <w:t>,</w:t>
      </w:r>
      <w:r w:rsidR="003006B1" w:rsidRPr="00847696">
        <w:rPr>
          <w:rFonts w:ascii="Times New Roman" w:hAnsi="Times New Roman"/>
        </w:rPr>
        <w:t xml:space="preserve"> where it held </w:t>
      </w:r>
      <w:r w:rsidR="00FA0352" w:rsidRPr="00847696">
        <w:rPr>
          <w:rFonts w:ascii="Times New Roman" w:hAnsi="Times New Roman"/>
        </w:rPr>
        <w:t xml:space="preserve">that conditions on resale could only be imposed as a matter of binding agreement. The </w:t>
      </w:r>
      <w:r w:rsidR="00D677FE" w:rsidRPr="00847696">
        <w:rPr>
          <w:rFonts w:ascii="Times New Roman" w:hAnsi="Times New Roman"/>
        </w:rPr>
        <w:t>Court applied a doctrine that a patentee's monopoly rights of use and sale with respect to a product arising from statute are exhausted on sale</w:t>
      </w:r>
      <w:r w:rsidR="00EB097E" w:rsidRPr="00847696">
        <w:rPr>
          <w:rFonts w:ascii="Times New Roman" w:hAnsi="Times New Roman"/>
        </w:rPr>
        <w:t xml:space="preserve"> </w:t>
      </w:r>
      <w:r w:rsidR="002D2892" w:rsidRPr="00847696">
        <w:rPr>
          <w:rFonts w:ascii="Times New Roman" w:hAnsi="Times New Roman"/>
        </w:rPr>
        <w:t>(</w:t>
      </w:r>
      <w:r w:rsidR="00BA35C0" w:rsidRPr="00847696">
        <w:rPr>
          <w:rFonts w:ascii="Times New Roman" w:hAnsi="Times New Roman"/>
        </w:rPr>
        <w:t xml:space="preserve">the </w:t>
      </w:r>
      <w:r w:rsidR="00EB097E" w:rsidRPr="00847696">
        <w:rPr>
          <w:rFonts w:ascii="Times New Roman" w:hAnsi="Times New Roman"/>
        </w:rPr>
        <w:t>"exhaustion doctrine"</w:t>
      </w:r>
      <w:r w:rsidR="002D2892" w:rsidRPr="00847696">
        <w:rPr>
          <w:rFonts w:ascii="Times New Roman" w:hAnsi="Times New Roman"/>
        </w:rPr>
        <w:t>).</w:t>
      </w:r>
    </w:p>
    <w:p w14:paraId="347C904D" w14:textId="6CC7DB3C" w:rsidR="00C13EE7" w:rsidRPr="00847696" w:rsidRDefault="00C13EE7"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907412" w:rsidRPr="00847696">
        <w:rPr>
          <w:rFonts w:ascii="Times New Roman" w:hAnsi="Times New Roman"/>
        </w:rPr>
        <w:t xml:space="preserve">In </w:t>
      </w:r>
      <w:proofErr w:type="spellStart"/>
      <w:r w:rsidR="00F36B2A" w:rsidRPr="00847696">
        <w:rPr>
          <w:rFonts w:ascii="Times New Roman" w:hAnsi="Times New Roman"/>
          <w:i/>
        </w:rPr>
        <w:t>Menck</w:t>
      </w:r>
      <w:proofErr w:type="spellEnd"/>
      <w:r w:rsidR="00F36B2A" w:rsidRPr="00847696">
        <w:rPr>
          <w:rFonts w:ascii="Times New Roman" w:hAnsi="Times New Roman"/>
        </w:rPr>
        <w:t xml:space="preserve"> </w:t>
      </w:r>
      <w:r w:rsidR="00344756" w:rsidRPr="00847696">
        <w:rPr>
          <w:rFonts w:ascii="Times New Roman" w:hAnsi="Times New Roman"/>
        </w:rPr>
        <w:t>(</w:t>
      </w:r>
      <w:r w:rsidR="00F36B2A" w:rsidRPr="00847696">
        <w:rPr>
          <w:rFonts w:ascii="Times New Roman" w:hAnsi="Times New Roman"/>
        </w:rPr>
        <w:t>Privy Council</w:t>
      </w:r>
      <w:r w:rsidR="00344756" w:rsidRPr="00847696">
        <w:rPr>
          <w:rFonts w:ascii="Times New Roman" w:hAnsi="Times New Roman"/>
        </w:rPr>
        <w:t>)</w:t>
      </w:r>
      <w:r w:rsidR="00F36B2A" w:rsidRPr="00847696">
        <w:rPr>
          <w:rFonts w:ascii="Times New Roman" w:hAnsi="Times New Roman"/>
        </w:rPr>
        <w:t xml:space="preserve"> it was held that a </w:t>
      </w:r>
      <w:r w:rsidR="003A305C" w:rsidRPr="00847696">
        <w:rPr>
          <w:rFonts w:ascii="Times New Roman" w:hAnsi="Times New Roman"/>
        </w:rPr>
        <w:t>patentee</w:t>
      </w:r>
      <w:r w:rsidR="00F36B2A" w:rsidRPr="00847696">
        <w:rPr>
          <w:rFonts w:ascii="Times New Roman" w:hAnsi="Times New Roman"/>
        </w:rPr>
        <w:t xml:space="preserve"> may impose conditions on the sale or use of </w:t>
      </w:r>
      <w:r w:rsidR="007E0B87" w:rsidRPr="00847696">
        <w:rPr>
          <w:rFonts w:ascii="Times New Roman" w:hAnsi="Times New Roman"/>
        </w:rPr>
        <w:t>patented goods at the time of their sale to the original purchaser. Any conditions so imposed continue to apply to the goods after sale so long as persons later obta</w:t>
      </w:r>
      <w:r w:rsidR="00740F53" w:rsidRPr="00847696">
        <w:rPr>
          <w:rFonts w:ascii="Times New Roman" w:hAnsi="Times New Roman"/>
        </w:rPr>
        <w:t>i</w:t>
      </w:r>
      <w:r w:rsidR="007E0B87" w:rsidRPr="00847696">
        <w:rPr>
          <w:rFonts w:ascii="Times New Roman" w:hAnsi="Times New Roman"/>
        </w:rPr>
        <w:t>ni</w:t>
      </w:r>
      <w:r w:rsidR="00740F53" w:rsidRPr="00847696">
        <w:rPr>
          <w:rFonts w:ascii="Times New Roman" w:hAnsi="Times New Roman"/>
        </w:rPr>
        <w:t>n</w:t>
      </w:r>
      <w:r w:rsidR="007E0B87" w:rsidRPr="00847696">
        <w:rPr>
          <w:rFonts w:ascii="Times New Roman" w:hAnsi="Times New Roman"/>
        </w:rPr>
        <w:t>g title to them have notice of the conditions</w:t>
      </w:r>
      <w:r w:rsidR="00740F53" w:rsidRPr="00847696">
        <w:rPr>
          <w:rFonts w:ascii="Times New Roman" w:hAnsi="Times New Roman"/>
        </w:rPr>
        <w:t>.</w:t>
      </w:r>
      <w:r w:rsidR="007E0B87" w:rsidRPr="00847696">
        <w:rPr>
          <w:rFonts w:ascii="Times New Roman" w:hAnsi="Times New Roman"/>
        </w:rPr>
        <w:t xml:space="preserve"> If no conditions </w:t>
      </w:r>
      <w:r w:rsidR="00BC7F46" w:rsidRPr="00847696">
        <w:rPr>
          <w:rFonts w:ascii="Times New Roman" w:hAnsi="Times New Roman"/>
        </w:rPr>
        <w:t>are imposed, the owner of the goods has the ordinary rights of ownership, but only because in such a case the law implies a full licence</w:t>
      </w:r>
      <w:r w:rsidR="00BC7F46" w:rsidRPr="00847696">
        <w:rPr>
          <w:rStyle w:val="FootnoteReference"/>
          <w:rFonts w:ascii="Times New Roman" w:hAnsi="Times New Roman"/>
          <w:sz w:val="24"/>
        </w:rPr>
        <w:footnoteReference w:id="6"/>
      </w:r>
      <w:r w:rsidR="00EF3397" w:rsidRPr="00847696">
        <w:rPr>
          <w:rFonts w:ascii="Times New Roman" w:hAnsi="Times New Roman"/>
        </w:rPr>
        <w:t xml:space="preserve"> (the </w:t>
      </w:r>
      <w:r w:rsidR="00A72EC0" w:rsidRPr="00847696">
        <w:rPr>
          <w:rFonts w:ascii="Times New Roman" w:hAnsi="Times New Roman"/>
        </w:rPr>
        <w:t>"</w:t>
      </w:r>
      <w:r w:rsidR="00EF3397" w:rsidRPr="00847696">
        <w:rPr>
          <w:rFonts w:ascii="Times New Roman" w:hAnsi="Times New Roman"/>
        </w:rPr>
        <w:t>implied licence doctrine").</w:t>
      </w:r>
    </w:p>
    <w:p w14:paraId="3FCB8BB3" w14:textId="4CEFC48A" w:rsidR="00D35B79" w:rsidRPr="00847696" w:rsidRDefault="00AE6937"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F85FDD" w:rsidRPr="00847696">
        <w:rPr>
          <w:rFonts w:ascii="Times New Roman" w:hAnsi="Times New Roman"/>
        </w:rPr>
        <w:t xml:space="preserve">The proceedings in the Federal Court were conducted by the parties </w:t>
      </w:r>
      <w:r w:rsidR="00D933D5" w:rsidRPr="00847696">
        <w:rPr>
          <w:rFonts w:ascii="Times New Roman" w:hAnsi="Times New Roman"/>
        </w:rPr>
        <w:t xml:space="preserve">by reference to </w:t>
      </w:r>
      <w:r w:rsidR="00B7146D" w:rsidRPr="00847696">
        <w:rPr>
          <w:rFonts w:ascii="Times New Roman" w:hAnsi="Times New Roman"/>
        </w:rPr>
        <w:t xml:space="preserve">the approach taken </w:t>
      </w:r>
      <w:r w:rsidR="00F85FDD" w:rsidRPr="00847696">
        <w:rPr>
          <w:rFonts w:ascii="Times New Roman" w:hAnsi="Times New Roman"/>
        </w:rPr>
        <w:t xml:space="preserve">in </w:t>
      </w:r>
      <w:proofErr w:type="spellStart"/>
      <w:r w:rsidR="00F85FDD" w:rsidRPr="00847696">
        <w:rPr>
          <w:rFonts w:ascii="Times New Roman" w:hAnsi="Times New Roman"/>
          <w:i/>
        </w:rPr>
        <w:t>Menck</w:t>
      </w:r>
      <w:proofErr w:type="spellEnd"/>
      <w:r w:rsidR="006B650D" w:rsidRPr="00847696">
        <w:rPr>
          <w:rFonts w:ascii="Times New Roman" w:hAnsi="Times New Roman"/>
        </w:rPr>
        <w:t xml:space="preserve"> (Privy Council</w:t>
      </w:r>
      <w:r w:rsidR="00C6358A" w:rsidRPr="00847696">
        <w:rPr>
          <w:rFonts w:ascii="Times New Roman" w:hAnsi="Times New Roman"/>
        </w:rPr>
        <w:t>)</w:t>
      </w:r>
      <w:r w:rsidR="000D276A" w:rsidRPr="00847696">
        <w:rPr>
          <w:rFonts w:ascii="Times New Roman" w:hAnsi="Times New Roman"/>
        </w:rPr>
        <w:t>. A Full Court</w:t>
      </w:r>
      <w:r w:rsidR="000D276A" w:rsidRPr="00847696">
        <w:rPr>
          <w:rStyle w:val="FootnoteReference"/>
          <w:rFonts w:ascii="Times New Roman" w:hAnsi="Times New Roman"/>
          <w:sz w:val="24"/>
        </w:rPr>
        <w:footnoteReference w:id="7"/>
      </w:r>
      <w:r w:rsidR="00756882" w:rsidRPr="00847696">
        <w:rPr>
          <w:rFonts w:ascii="Times New Roman" w:hAnsi="Times New Roman"/>
        </w:rPr>
        <w:t xml:space="preserve"> held that the implied licence </w:t>
      </w:r>
      <w:r w:rsidR="00D933D5" w:rsidRPr="00847696">
        <w:rPr>
          <w:rFonts w:ascii="Times New Roman" w:hAnsi="Times New Roman"/>
        </w:rPr>
        <w:t xml:space="preserve">did </w:t>
      </w:r>
      <w:r w:rsidR="00756882" w:rsidRPr="00847696">
        <w:rPr>
          <w:rFonts w:ascii="Times New Roman" w:hAnsi="Times New Roman"/>
        </w:rPr>
        <w:t xml:space="preserve">not extend to the modifications made by </w:t>
      </w:r>
      <w:proofErr w:type="spellStart"/>
      <w:r w:rsidR="00756882" w:rsidRPr="00847696">
        <w:rPr>
          <w:rFonts w:ascii="Times New Roman" w:hAnsi="Times New Roman"/>
        </w:rPr>
        <w:t>Ninestar</w:t>
      </w:r>
      <w:proofErr w:type="spellEnd"/>
      <w:r w:rsidR="00756882" w:rsidRPr="00847696">
        <w:rPr>
          <w:rFonts w:ascii="Times New Roman" w:hAnsi="Times New Roman"/>
        </w:rPr>
        <w:t xml:space="preserve">. </w:t>
      </w:r>
      <w:r w:rsidR="00B3021C" w:rsidRPr="00847696">
        <w:rPr>
          <w:rFonts w:ascii="Times New Roman" w:hAnsi="Times New Roman"/>
        </w:rPr>
        <w:t xml:space="preserve">Further, the modifications amounted to a </w:t>
      </w:r>
      <w:r w:rsidR="00CC42C5" w:rsidRPr="00847696">
        <w:rPr>
          <w:rFonts w:ascii="Times New Roman" w:hAnsi="Times New Roman"/>
        </w:rPr>
        <w:t>"</w:t>
      </w:r>
      <w:r w:rsidR="00B3021C" w:rsidRPr="00847696">
        <w:rPr>
          <w:rFonts w:ascii="Times New Roman" w:hAnsi="Times New Roman"/>
        </w:rPr>
        <w:t>making</w:t>
      </w:r>
      <w:r w:rsidR="00CC42C5" w:rsidRPr="00847696">
        <w:rPr>
          <w:rFonts w:ascii="Times New Roman" w:hAnsi="Times New Roman"/>
        </w:rPr>
        <w:t>"</w:t>
      </w:r>
      <w:r w:rsidR="00B3021C" w:rsidRPr="00847696">
        <w:rPr>
          <w:rFonts w:ascii="Times New Roman" w:hAnsi="Times New Roman"/>
        </w:rPr>
        <w:t xml:space="preserve"> of </w:t>
      </w:r>
      <w:r w:rsidR="00CC42C5" w:rsidRPr="00847696">
        <w:rPr>
          <w:rFonts w:ascii="Times New Roman" w:hAnsi="Times New Roman"/>
        </w:rPr>
        <w:t xml:space="preserve">a new </w:t>
      </w:r>
      <w:r w:rsidR="00AA7374" w:rsidRPr="00847696">
        <w:rPr>
          <w:rFonts w:ascii="Times New Roman" w:hAnsi="Times New Roman"/>
        </w:rPr>
        <w:t xml:space="preserve">patented </w:t>
      </w:r>
      <w:r w:rsidR="00CB1AB1" w:rsidRPr="00847696">
        <w:rPr>
          <w:rFonts w:ascii="Times New Roman" w:hAnsi="Times New Roman"/>
        </w:rPr>
        <w:t xml:space="preserve">product </w:t>
      </w:r>
      <w:r w:rsidR="00CC42C5" w:rsidRPr="00847696">
        <w:rPr>
          <w:rFonts w:ascii="Times New Roman" w:hAnsi="Times New Roman"/>
        </w:rPr>
        <w:t xml:space="preserve">or a remaking of the original </w:t>
      </w:r>
      <w:r w:rsidR="00CB1AB1" w:rsidRPr="00847696">
        <w:rPr>
          <w:rFonts w:ascii="Times New Roman" w:hAnsi="Times New Roman"/>
        </w:rPr>
        <w:t xml:space="preserve">and infringed </w:t>
      </w:r>
      <w:r w:rsidR="00860ED0" w:rsidRPr="00847696">
        <w:rPr>
          <w:rFonts w:ascii="Times New Roman" w:hAnsi="Times New Roman"/>
        </w:rPr>
        <w:t>the patentee's rights</w:t>
      </w:r>
      <w:r w:rsidR="00CB1AB1" w:rsidRPr="00847696">
        <w:rPr>
          <w:rFonts w:ascii="Times New Roman" w:hAnsi="Times New Roman"/>
        </w:rPr>
        <w:t>.</w:t>
      </w:r>
    </w:p>
    <w:p w14:paraId="12592825" w14:textId="1FE5EB9D" w:rsidR="008A6112" w:rsidRPr="00847696" w:rsidRDefault="00E56E31"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9D20EA" w:rsidRPr="00847696">
        <w:rPr>
          <w:rFonts w:ascii="Times New Roman" w:hAnsi="Times New Roman"/>
        </w:rPr>
        <w:t xml:space="preserve">In </w:t>
      </w:r>
      <w:r w:rsidR="008A6112" w:rsidRPr="00847696">
        <w:rPr>
          <w:rFonts w:ascii="Times New Roman" w:hAnsi="Times New Roman"/>
        </w:rPr>
        <w:t xml:space="preserve">the </w:t>
      </w:r>
      <w:r w:rsidR="009D20EA" w:rsidRPr="00847696">
        <w:rPr>
          <w:rFonts w:ascii="Times New Roman" w:hAnsi="Times New Roman"/>
        </w:rPr>
        <w:t>Full Court Calidad</w:t>
      </w:r>
      <w:r w:rsidR="00B628F2" w:rsidRPr="00847696">
        <w:rPr>
          <w:rFonts w:ascii="Times New Roman" w:hAnsi="Times New Roman"/>
        </w:rPr>
        <w:t xml:space="preserve"> reserved </w:t>
      </w:r>
      <w:r w:rsidR="009D20EA" w:rsidRPr="00847696">
        <w:rPr>
          <w:rFonts w:ascii="Times New Roman" w:hAnsi="Times New Roman"/>
        </w:rPr>
        <w:t>its right to argue on an</w:t>
      </w:r>
      <w:r w:rsidR="00AA7374" w:rsidRPr="00847696">
        <w:rPr>
          <w:rFonts w:ascii="Times New Roman" w:hAnsi="Times New Roman"/>
        </w:rPr>
        <w:t>y</w:t>
      </w:r>
      <w:r w:rsidR="009D20EA" w:rsidRPr="00847696">
        <w:rPr>
          <w:rFonts w:ascii="Times New Roman" w:hAnsi="Times New Roman"/>
        </w:rPr>
        <w:t xml:space="preserve"> appeal to this Court that the decision in </w:t>
      </w:r>
      <w:proofErr w:type="spellStart"/>
      <w:r w:rsidR="009D20EA" w:rsidRPr="00847696">
        <w:rPr>
          <w:rFonts w:ascii="Times New Roman" w:hAnsi="Times New Roman"/>
          <w:i/>
        </w:rPr>
        <w:t>Menck</w:t>
      </w:r>
      <w:proofErr w:type="spellEnd"/>
      <w:r w:rsidR="009D20EA" w:rsidRPr="00847696">
        <w:rPr>
          <w:rFonts w:ascii="Times New Roman" w:hAnsi="Times New Roman"/>
        </w:rPr>
        <w:t xml:space="preserve"> (High Court) was correct and that </w:t>
      </w:r>
      <w:proofErr w:type="spellStart"/>
      <w:r w:rsidR="009D20EA" w:rsidRPr="00847696">
        <w:rPr>
          <w:rFonts w:ascii="Times New Roman" w:hAnsi="Times New Roman"/>
          <w:i/>
        </w:rPr>
        <w:t>Menck</w:t>
      </w:r>
      <w:proofErr w:type="spellEnd"/>
      <w:r w:rsidR="009D20EA" w:rsidRPr="00847696">
        <w:rPr>
          <w:rFonts w:ascii="Times New Roman" w:hAnsi="Times New Roman"/>
          <w:i/>
        </w:rPr>
        <w:t xml:space="preserve"> </w:t>
      </w:r>
      <w:r w:rsidR="009D20EA" w:rsidRPr="00847696">
        <w:rPr>
          <w:rFonts w:ascii="Times New Roman" w:hAnsi="Times New Roman"/>
        </w:rPr>
        <w:t xml:space="preserve">(Privy Council) should not be followed. It now asks this Court to hold that the exhaustion doctrine should be applied in cases of this kind. Seiko contends to the contrary and further argues that </w:t>
      </w:r>
      <w:r w:rsidR="003116FC" w:rsidRPr="00847696">
        <w:rPr>
          <w:rFonts w:ascii="Times New Roman" w:hAnsi="Times New Roman"/>
        </w:rPr>
        <w:t>regardless of which doctrine is applied the modifications amount to a "making" of the patented product</w:t>
      </w:r>
      <w:r w:rsidR="006910FE" w:rsidRPr="00847696">
        <w:rPr>
          <w:rFonts w:ascii="Times New Roman" w:hAnsi="Times New Roman"/>
        </w:rPr>
        <w:t>.</w:t>
      </w:r>
    </w:p>
    <w:p w14:paraId="07C006D7" w14:textId="2058E404" w:rsidR="000E2593" w:rsidRPr="00847696" w:rsidRDefault="000E2593"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D8217D" w:rsidRPr="00847696">
        <w:rPr>
          <w:rFonts w:ascii="Times New Roman" w:hAnsi="Times New Roman"/>
        </w:rPr>
        <w:t xml:space="preserve">The </w:t>
      </w:r>
      <w:r w:rsidRPr="00847696">
        <w:rPr>
          <w:rFonts w:ascii="Times New Roman" w:hAnsi="Times New Roman"/>
        </w:rPr>
        <w:t xml:space="preserve">modifications made to the </w:t>
      </w:r>
      <w:r w:rsidR="007D508C" w:rsidRPr="00847696">
        <w:rPr>
          <w:rFonts w:ascii="Times New Roman" w:hAnsi="Times New Roman"/>
        </w:rPr>
        <w:t>original Epson</w:t>
      </w:r>
      <w:r w:rsidRPr="00847696">
        <w:rPr>
          <w:rFonts w:ascii="Times New Roman" w:hAnsi="Times New Roman"/>
        </w:rPr>
        <w:t xml:space="preserve"> cartridges are within the scope of the rights of an owner to prolong the life of a product and make it more useful. They do not amount to an impermissible making of a new product.</w:t>
      </w:r>
      <w:r w:rsidR="007E448C" w:rsidRPr="00847696">
        <w:rPr>
          <w:rFonts w:ascii="Times New Roman" w:hAnsi="Times New Roman"/>
        </w:rPr>
        <w:t xml:space="preserve"> This Court has not been bound by decisions of the Privy Council for some time</w:t>
      </w:r>
      <w:r w:rsidR="007E448C" w:rsidRPr="00847696">
        <w:rPr>
          <w:rStyle w:val="FootnoteReference"/>
          <w:rFonts w:ascii="Times New Roman" w:hAnsi="Times New Roman"/>
          <w:sz w:val="24"/>
        </w:rPr>
        <w:footnoteReference w:id="8"/>
      </w:r>
      <w:r w:rsidR="009A044D" w:rsidRPr="00847696">
        <w:rPr>
          <w:rFonts w:ascii="Times New Roman" w:hAnsi="Times New Roman"/>
        </w:rPr>
        <w:t>. T</w:t>
      </w:r>
      <w:r w:rsidR="000A7D47" w:rsidRPr="00847696">
        <w:rPr>
          <w:rFonts w:ascii="Times New Roman" w:hAnsi="Times New Roman"/>
        </w:rPr>
        <w:t>h</w:t>
      </w:r>
      <w:r w:rsidR="009A044D" w:rsidRPr="00847696">
        <w:rPr>
          <w:rFonts w:ascii="Times New Roman" w:hAnsi="Times New Roman"/>
        </w:rPr>
        <w:t xml:space="preserve">e rule, that a patentee's rights </w:t>
      </w:r>
      <w:r w:rsidR="000A7D47" w:rsidRPr="00847696">
        <w:rPr>
          <w:rFonts w:ascii="Times New Roman" w:hAnsi="Times New Roman"/>
        </w:rPr>
        <w:t xml:space="preserve">with respect to a particular </w:t>
      </w:r>
      <w:r w:rsidR="00E3517A" w:rsidRPr="00847696">
        <w:rPr>
          <w:rFonts w:ascii="Times New Roman" w:hAnsi="Times New Roman"/>
        </w:rPr>
        <w:t xml:space="preserve">product </w:t>
      </w:r>
      <w:r w:rsidR="000A7D47" w:rsidRPr="00847696">
        <w:rPr>
          <w:rFonts w:ascii="Times New Roman" w:hAnsi="Times New Roman"/>
        </w:rPr>
        <w:t xml:space="preserve">are exhausted once </w:t>
      </w:r>
      <w:r w:rsidR="000A7D47" w:rsidRPr="00847696">
        <w:rPr>
          <w:rFonts w:ascii="Times New Roman" w:hAnsi="Times New Roman"/>
        </w:rPr>
        <w:lastRenderedPageBreak/>
        <w:t>that product is sold without conditions as to use, should be accepted. The appeal should be allowed, for the reasons which follow.</w:t>
      </w:r>
    </w:p>
    <w:p w14:paraId="2A7EF3DA" w14:textId="6EA18083" w:rsidR="002D1FB0" w:rsidRPr="00847696" w:rsidRDefault="002D1FB0" w:rsidP="00847696">
      <w:pPr>
        <w:pStyle w:val="HeadingL1"/>
        <w:spacing w:after="260" w:line="280" w:lineRule="exact"/>
        <w:ind w:right="0"/>
        <w:jc w:val="both"/>
        <w:rPr>
          <w:rFonts w:ascii="Times New Roman" w:hAnsi="Times New Roman"/>
        </w:rPr>
      </w:pPr>
      <w:proofErr w:type="spellStart"/>
      <w:r w:rsidRPr="00847696">
        <w:rPr>
          <w:rFonts w:ascii="Times New Roman" w:hAnsi="Times New Roman"/>
          <w:i/>
        </w:rPr>
        <w:t>Menck</w:t>
      </w:r>
      <w:proofErr w:type="spellEnd"/>
      <w:r w:rsidRPr="00847696">
        <w:rPr>
          <w:rFonts w:ascii="Times New Roman" w:hAnsi="Times New Roman"/>
        </w:rPr>
        <w:t xml:space="preserve"> (High Court) and the exhaustion doctrine</w:t>
      </w:r>
    </w:p>
    <w:p w14:paraId="683DB616" w14:textId="15BE9CE5" w:rsidR="002D1FB0" w:rsidRPr="00847696" w:rsidRDefault="002D1FB0"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464140" w:rsidRPr="00847696">
        <w:rPr>
          <w:rFonts w:ascii="Times New Roman" w:hAnsi="Times New Roman"/>
        </w:rPr>
        <w:t xml:space="preserve">The plaintiffs in </w:t>
      </w:r>
      <w:proofErr w:type="spellStart"/>
      <w:r w:rsidR="00464140" w:rsidRPr="00847696">
        <w:rPr>
          <w:rFonts w:ascii="Times New Roman" w:hAnsi="Times New Roman"/>
          <w:i/>
        </w:rPr>
        <w:t>Menck</w:t>
      </w:r>
      <w:proofErr w:type="spellEnd"/>
      <w:r w:rsidR="005E3F76" w:rsidRPr="00847696">
        <w:rPr>
          <w:rFonts w:ascii="Times New Roman" w:hAnsi="Times New Roman"/>
        </w:rPr>
        <w:t xml:space="preserve"> (High Court)</w:t>
      </w:r>
      <w:r w:rsidR="00C841CA" w:rsidRPr="00847696">
        <w:rPr>
          <w:rFonts w:ascii="Times New Roman" w:hAnsi="Times New Roman"/>
        </w:rPr>
        <w:t xml:space="preserve"> manufactured and sold products of which they were patentees to purchasers on whom restrictions as to resale were imposed. The</w:t>
      </w:r>
      <w:r w:rsidR="00593BB4" w:rsidRPr="00847696">
        <w:rPr>
          <w:rFonts w:ascii="Times New Roman" w:hAnsi="Times New Roman"/>
        </w:rPr>
        <w:t xml:space="preserve"> plaintiffs </w:t>
      </w:r>
      <w:r w:rsidR="00C841CA" w:rsidRPr="00847696">
        <w:rPr>
          <w:rFonts w:ascii="Times New Roman" w:hAnsi="Times New Roman"/>
        </w:rPr>
        <w:t>claimed an injunction against the defendant, a retail seller who had bought the products from the original purch</w:t>
      </w:r>
      <w:r w:rsidR="00137E75" w:rsidRPr="00847696">
        <w:rPr>
          <w:rFonts w:ascii="Times New Roman" w:hAnsi="Times New Roman"/>
        </w:rPr>
        <w:t>a</w:t>
      </w:r>
      <w:r w:rsidR="00C841CA" w:rsidRPr="00847696">
        <w:rPr>
          <w:rFonts w:ascii="Times New Roman" w:hAnsi="Times New Roman"/>
        </w:rPr>
        <w:t>ser</w:t>
      </w:r>
      <w:r w:rsidR="009F5B94" w:rsidRPr="00847696">
        <w:rPr>
          <w:rFonts w:ascii="Times New Roman" w:hAnsi="Times New Roman"/>
        </w:rPr>
        <w:t>.</w:t>
      </w:r>
      <w:r w:rsidR="00137E75" w:rsidRPr="00847696">
        <w:rPr>
          <w:rFonts w:ascii="Times New Roman" w:hAnsi="Times New Roman"/>
        </w:rPr>
        <w:t xml:space="preserve"> </w:t>
      </w:r>
      <w:r w:rsidR="007D3EDE" w:rsidRPr="00847696">
        <w:rPr>
          <w:rFonts w:ascii="Times New Roman" w:hAnsi="Times New Roman"/>
        </w:rPr>
        <w:t xml:space="preserve">It </w:t>
      </w:r>
      <w:r w:rsidR="00137E75" w:rsidRPr="00847696">
        <w:rPr>
          <w:rFonts w:ascii="Times New Roman" w:hAnsi="Times New Roman"/>
        </w:rPr>
        <w:t>was alleged that he had obtained the goods from the purchaser</w:t>
      </w:r>
      <w:r w:rsidR="00C314EF" w:rsidRPr="00847696">
        <w:rPr>
          <w:rFonts w:ascii="Times New Roman" w:hAnsi="Times New Roman"/>
        </w:rPr>
        <w:t xml:space="preserve"> contrary to the terms of the restriction</w:t>
      </w:r>
      <w:r w:rsidR="009F5B94" w:rsidRPr="00847696">
        <w:rPr>
          <w:rFonts w:ascii="Times New Roman" w:hAnsi="Times New Roman"/>
        </w:rPr>
        <w:t>s</w:t>
      </w:r>
      <w:r w:rsidR="001067B0" w:rsidRPr="00847696">
        <w:rPr>
          <w:rFonts w:ascii="Times New Roman" w:hAnsi="Times New Roman"/>
        </w:rPr>
        <w:t>,</w:t>
      </w:r>
      <w:r w:rsidR="00C314EF" w:rsidRPr="00847696">
        <w:rPr>
          <w:rFonts w:ascii="Times New Roman" w:hAnsi="Times New Roman"/>
        </w:rPr>
        <w:t xml:space="preserve"> of which he had notice, and resold them</w:t>
      </w:r>
      <w:r w:rsidR="002246FC" w:rsidRPr="00847696">
        <w:rPr>
          <w:rFonts w:ascii="Times New Roman" w:hAnsi="Times New Roman"/>
        </w:rPr>
        <w:t xml:space="preserve"> at a price </w:t>
      </w:r>
      <w:r w:rsidR="00E02ABF" w:rsidRPr="00847696">
        <w:rPr>
          <w:rFonts w:ascii="Times New Roman" w:hAnsi="Times New Roman"/>
        </w:rPr>
        <w:t xml:space="preserve">lower than that permitted </w:t>
      </w:r>
      <w:r w:rsidR="007D3EDE" w:rsidRPr="00847696">
        <w:rPr>
          <w:rFonts w:ascii="Times New Roman" w:hAnsi="Times New Roman"/>
        </w:rPr>
        <w:t>by the plaintiffs</w:t>
      </w:r>
      <w:r w:rsidR="00C314EF" w:rsidRPr="00847696">
        <w:rPr>
          <w:rFonts w:ascii="Times New Roman" w:hAnsi="Times New Roman"/>
        </w:rPr>
        <w:t xml:space="preserve">. This was a use of </w:t>
      </w:r>
      <w:r w:rsidR="008572E1" w:rsidRPr="00847696">
        <w:rPr>
          <w:rFonts w:ascii="Times New Roman" w:hAnsi="Times New Roman"/>
        </w:rPr>
        <w:t xml:space="preserve">the plaintiffs' </w:t>
      </w:r>
      <w:r w:rsidR="00C314EF" w:rsidRPr="00847696">
        <w:rPr>
          <w:rFonts w:ascii="Times New Roman" w:hAnsi="Times New Roman"/>
        </w:rPr>
        <w:t xml:space="preserve">invention without </w:t>
      </w:r>
      <w:r w:rsidR="00BD2878" w:rsidRPr="00847696">
        <w:rPr>
          <w:rFonts w:ascii="Times New Roman" w:hAnsi="Times New Roman"/>
        </w:rPr>
        <w:t>the</w:t>
      </w:r>
      <w:r w:rsidR="008572E1" w:rsidRPr="00847696">
        <w:rPr>
          <w:rFonts w:ascii="Times New Roman" w:hAnsi="Times New Roman"/>
        </w:rPr>
        <w:t>ir</w:t>
      </w:r>
      <w:r w:rsidR="00BD2878" w:rsidRPr="00847696">
        <w:rPr>
          <w:rFonts w:ascii="Times New Roman" w:hAnsi="Times New Roman"/>
        </w:rPr>
        <w:t xml:space="preserve"> </w:t>
      </w:r>
      <w:r w:rsidR="00C314EF" w:rsidRPr="00847696">
        <w:rPr>
          <w:rFonts w:ascii="Times New Roman" w:hAnsi="Times New Roman"/>
        </w:rPr>
        <w:t>permission and therefore an invasion of their monopoly rights. The</w:t>
      </w:r>
      <w:r w:rsidR="004B12BF" w:rsidRPr="00847696">
        <w:rPr>
          <w:rFonts w:ascii="Times New Roman" w:hAnsi="Times New Roman"/>
        </w:rPr>
        <w:t xml:space="preserve"> plaintiffs</w:t>
      </w:r>
      <w:r w:rsidR="00C314EF" w:rsidRPr="00847696">
        <w:rPr>
          <w:rFonts w:ascii="Times New Roman" w:hAnsi="Times New Roman"/>
        </w:rPr>
        <w:t xml:space="preserve"> claimed to be entitled to condition </w:t>
      </w:r>
      <w:r w:rsidR="00A845BB" w:rsidRPr="00847696">
        <w:rPr>
          <w:rFonts w:ascii="Times New Roman" w:hAnsi="Times New Roman"/>
        </w:rPr>
        <w:t xml:space="preserve">the future use or sale of the patented products following </w:t>
      </w:r>
      <w:r w:rsidR="00BD647C" w:rsidRPr="00847696">
        <w:rPr>
          <w:rFonts w:ascii="Times New Roman" w:hAnsi="Times New Roman"/>
        </w:rPr>
        <w:t xml:space="preserve">their initial </w:t>
      </w:r>
      <w:r w:rsidR="00A845BB" w:rsidRPr="00847696">
        <w:rPr>
          <w:rFonts w:ascii="Times New Roman" w:hAnsi="Times New Roman"/>
        </w:rPr>
        <w:t xml:space="preserve">sale, </w:t>
      </w:r>
      <w:r w:rsidR="00C314EF" w:rsidRPr="00847696">
        <w:rPr>
          <w:rFonts w:ascii="Times New Roman" w:hAnsi="Times New Roman"/>
        </w:rPr>
        <w:t>not b</w:t>
      </w:r>
      <w:r w:rsidR="001D1634" w:rsidRPr="00847696">
        <w:rPr>
          <w:rFonts w:ascii="Times New Roman" w:hAnsi="Times New Roman"/>
        </w:rPr>
        <w:t>y</w:t>
      </w:r>
      <w:r w:rsidR="00C314EF" w:rsidRPr="00847696">
        <w:rPr>
          <w:rFonts w:ascii="Times New Roman" w:hAnsi="Times New Roman"/>
        </w:rPr>
        <w:t xml:space="preserve"> reference to any contract but by reference to the patent itself and the rights given by s 62 of the </w:t>
      </w:r>
      <w:r w:rsidR="00C314EF" w:rsidRPr="00847696">
        <w:rPr>
          <w:rFonts w:ascii="Times New Roman" w:hAnsi="Times New Roman"/>
          <w:i/>
        </w:rPr>
        <w:t>Patents Act 1903</w:t>
      </w:r>
      <w:r w:rsidR="00C314EF" w:rsidRPr="00847696">
        <w:rPr>
          <w:rFonts w:ascii="Times New Roman" w:hAnsi="Times New Roman"/>
        </w:rPr>
        <w:t xml:space="preserve"> (</w:t>
      </w:r>
      <w:proofErr w:type="spellStart"/>
      <w:r w:rsidR="00C314EF" w:rsidRPr="00847696">
        <w:rPr>
          <w:rFonts w:ascii="Times New Roman" w:hAnsi="Times New Roman"/>
        </w:rPr>
        <w:t>Cth</w:t>
      </w:r>
      <w:proofErr w:type="spellEnd"/>
      <w:r w:rsidR="00C314EF" w:rsidRPr="00847696">
        <w:rPr>
          <w:rFonts w:ascii="Times New Roman" w:hAnsi="Times New Roman"/>
        </w:rPr>
        <w:t>)</w:t>
      </w:r>
      <w:r w:rsidR="004270D2" w:rsidRPr="00847696">
        <w:rPr>
          <w:rFonts w:ascii="Times New Roman" w:hAnsi="Times New Roman"/>
        </w:rPr>
        <w:t xml:space="preserve"> to "make, use, exercise</w:t>
      </w:r>
      <w:r w:rsidR="008F4E7A" w:rsidRPr="00847696">
        <w:rPr>
          <w:rFonts w:ascii="Times New Roman" w:hAnsi="Times New Roman"/>
        </w:rPr>
        <w:t>,</w:t>
      </w:r>
      <w:r w:rsidR="004270D2" w:rsidRPr="00847696">
        <w:rPr>
          <w:rFonts w:ascii="Times New Roman" w:hAnsi="Times New Roman"/>
        </w:rPr>
        <w:t xml:space="preserve"> and vend the invention".</w:t>
      </w:r>
    </w:p>
    <w:p w14:paraId="348F703F" w14:textId="1A06CF78" w:rsidR="00486400" w:rsidRPr="00847696" w:rsidRDefault="004270D2"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Griffith CJ, with whom Barton and O'Connor JJ agreed, rejected </w:t>
      </w:r>
      <w:r w:rsidR="00D16FA4" w:rsidRPr="00847696">
        <w:rPr>
          <w:rFonts w:ascii="Times New Roman" w:hAnsi="Times New Roman"/>
        </w:rPr>
        <w:t>the plaintiffs' claim of an invasion of their patent rights</w:t>
      </w:r>
      <w:r w:rsidR="00AA45C9" w:rsidRPr="00847696">
        <w:rPr>
          <w:rFonts w:ascii="Times New Roman" w:hAnsi="Times New Roman"/>
        </w:rPr>
        <w:t>.</w:t>
      </w:r>
      <w:r w:rsidR="00FE1E96" w:rsidRPr="00847696">
        <w:rPr>
          <w:rFonts w:ascii="Times New Roman" w:hAnsi="Times New Roman"/>
        </w:rPr>
        <w:t xml:space="preserve"> </w:t>
      </w:r>
      <w:r w:rsidR="00486400" w:rsidRPr="00847696">
        <w:rPr>
          <w:rFonts w:ascii="Times New Roman" w:hAnsi="Times New Roman"/>
        </w:rPr>
        <w:t>Griffith CJ and Barton J</w:t>
      </w:r>
      <w:r w:rsidR="00877D78" w:rsidRPr="00847696">
        <w:rPr>
          <w:rFonts w:ascii="Times New Roman" w:hAnsi="Times New Roman"/>
        </w:rPr>
        <w:t xml:space="preserve"> </w:t>
      </w:r>
      <w:r w:rsidR="00486400" w:rsidRPr="00847696">
        <w:rPr>
          <w:rFonts w:ascii="Times New Roman" w:hAnsi="Times New Roman"/>
        </w:rPr>
        <w:t>refe</w:t>
      </w:r>
      <w:r w:rsidR="00611D9D" w:rsidRPr="00847696">
        <w:rPr>
          <w:rFonts w:ascii="Times New Roman" w:hAnsi="Times New Roman"/>
        </w:rPr>
        <w:t xml:space="preserve">rred with approval to decisions </w:t>
      </w:r>
      <w:r w:rsidR="00877D78" w:rsidRPr="00847696">
        <w:rPr>
          <w:rFonts w:ascii="Times New Roman" w:hAnsi="Times New Roman"/>
        </w:rPr>
        <w:t xml:space="preserve">of the Supreme Court of the United States </w:t>
      </w:r>
      <w:r w:rsidR="00EC294C" w:rsidRPr="00847696">
        <w:rPr>
          <w:rFonts w:ascii="Times New Roman" w:hAnsi="Times New Roman"/>
        </w:rPr>
        <w:t>in the mid</w:t>
      </w:r>
      <w:r w:rsidR="00685E78" w:rsidRPr="00847696">
        <w:rPr>
          <w:rFonts w:ascii="Times New Roman" w:hAnsi="Times New Roman"/>
        </w:rPr>
        <w:t>-</w:t>
      </w:r>
      <w:r w:rsidR="00EC294C" w:rsidRPr="00847696">
        <w:rPr>
          <w:rFonts w:ascii="Times New Roman" w:hAnsi="Times New Roman"/>
        </w:rPr>
        <w:t>19th century</w:t>
      </w:r>
      <w:r w:rsidR="00877D78" w:rsidRPr="00847696">
        <w:rPr>
          <w:rFonts w:ascii="Times New Roman" w:hAnsi="Times New Roman"/>
        </w:rPr>
        <w:t xml:space="preserve"> </w:t>
      </w:r>
      <w:r w:rsidR="00EF2C0A" w:rsidRPr="00847696">
        <w:rPr>
          <w:rFonts w:ascii="Times New Roman" w:hAnsi="Times New Roman"/>
        </w:rPr>
        <w:t xml:space="preserve">which </w:t>
      </w:r>
      <w:r w:rsidR="00470FA8" w:rsidRPr="00847696">
        <w:rPr>
          <w:rFonts w:ascii="Times New Roman" w:hAnsi="Times New Roman"/>
        </w:rPr>
        <w:t>held that when a patentee sells a patented machine to a purchaser, the machine is "no longer within the limits of the monopoly"</w:t>
      </w:r>
      <w:r w:rsidR="00470FA8" w:rsidRPr="00847696">
        <w:rPr>
          <w:rStyle w:val="FootnoteReference"/>
          <w:rFonts w:ascii="Times New Roman" w:hAnsi="Times New Roman"/>
          <w:sz w:val="24"/>
        </w:rPr>
        <w:footnoteReference w:id="9"/>
      </w:r>
      <w:r w:rsidR="00115C8E" w:rsidRPr="00847696">
        <w:rPr>
          <w:rFonts w:ascii="Times New Roman" w:hAnsi="Times New Roman"/>
        </w:rPr>
        <w:t xml:space="preserve">. The patentee having received on sale the royalty for </w:t>
      </w:r>
      <w:r w:rsidR="00D13F56" w:rsidRPr="00847696">
        <w:rPr>
          <w:rFonts w:ascii="Times New Roman" w:hAnsi="Times New Roman"/>
        </w:rPr>
        <w:t>their</w:t>
      </w:r>
      <w:r w:rsidR="00115C8E" w:rsidRPr="00847696">
        <w:rPr>
          <w:rFonts w:ascii="Times New Roman" w:hAnsi="Times New Roman"/>
        </w:rPr>
        <w:t xml:space="preserve"> invention in that particular product, "it is open to the use of the purchaser without further restriction on account of the monopoly of </w:t>
      </w:r>
      <w:r w:rsidR="0086269C" w:rsidRPr="00847696">
        <w:rPr>
          <w:rFonts w:ascii="Times New Roman" w:hAnsi="Times New Roman"/>
        </w:rPr>
        <w:t>the patentees"</w:t>
      </w:r>
      <w:r w:rsidR="0086269C" w:rsidRPr="00847696">
        <w:rPr>
          <w:rStyle w:val="FootnoteReference"/>
          <w:rFonts w:ascii="Times New Roman" w:hAnsi="Times New Roman"/>
          <w:sz w:val="24"/>
        </w:rPr>
        <w:footnoteReference w:id="10"/>
      </w:r>
      <w:r w:rsidR="008D5F49" w:rsidRPr="00847696">
        <w:rPr>
          <w:rFonts w:ascii="Times New Roman" w:hAnsi="Times New Roman"/>
        </w:rPr>
        <w:t>.</w:t>
      </w:r>
    </w:p>
    <w:p w14:paraId="6FEDD1C3" w14:textId="0C50E737" w:rsidR="00DC469E" w:rsidRPr="00847696" w:rsidRDefault="0065115E"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B00D46" w:rsidRPr="00847696">
        <w:rPr>
          <w:rFonts w:ascii="Times New Roman" w:hAnsi="Times New Roman"/>
        </w:rPr>
        <w:t>Griffith CJ</w:t>
      </w:r>
      <w:r w:rsidR="00B52D36" w:rsidRPr="00847696">
        <w:rPr>
          <w:rStyle w:val="FootnoteReference"/>
          <w:rFonts w:ascii="Times New Roman" w:hAnsi="Times New Roman"/>
          <w:sz w:val="24"/>
        </w:rPr>
        <w:footnoteReference w:id="11"/>
      </w:r>
      <w:r w:rsidR="00B00D46" w:rsidRPr="00847696">
        <w:rPr>
          <w:rFonts w:ascii="Times New Roman" w:hAnsi="Times New Roman"/>
        </w:rPr>
        <w:t xml:space="preserve"> described as "an elementary principle of the law of personal property", </w:t>
      </w:r>
      <w:r w:rsidR="00797FA9" w:rsidRPr="00847696">
        <w:rPr>
          <w:rFonts w:ascii="Times New Roman" w:hAnsi="Times New Roman"/>
        </w:rPr>
        <w:t>that</w:t>
      </w:r>
      <w:r w:rsidR="00B00D46" w:rsidRPr="00847696">
        <w:rPr>
          <w:rFonts w:ascii="Times New Roman" w:hAnsi="Times New Roman"/>
        </w:rPr>
        <w:t>:</w:t>
      </w:r>
    </w:p>
    <w:p w14:paraId="6C3D7C9D" w14:textId="77777777" w:rsidR="00847696" w:rsidRDefault="00B00D46" w:rsidP="00847696">
      <w:pPr>
        <w:pStyle w:val="LeftrightafterHC"/>
        <w:spacing w:before="0" w:after="260" w:line="280" w:lineRule="exact"/>
        <w:ind w:right="0"/>
        <w:jc w:val="both"/>
        <w:rPr>
          <w:rFonts w:ascii="Times New Roman" w:hAnsi="Times New Roman"/>
        </w:rPr>
      </w:pPr>
      <w:r w:rsidRPr="00847696">
        <w:rPr>
          <w:rFonts w:ascii="Times New Roman" w:hAnsi="Times New Roman"/>
        </w:rPr>
        <w:lastRenderedPageBreak/>
        <w:t>"the owner of chattels has an absolute right to use and dispose of them as he thinks fit, and that no restriction</w:t>
      </w:r>
      <w:r w:rsidR="009724DA" w:rsidRPr="00847696">
        <w:rPr>
          <w:rFonts w:ascii="Times New Roman" w:hAnsi="Times New Roman"/>
        </w:rPr>
        <w:t>s</w:t>
      </w:r>
      <w:r w:rsidRPr="00847696">
        <w:rPr>
          <w:rFonts w:ascii="Times New Roman" w:hAnsi="Times New Roman"/>
        </w:rPr>
        <w:t xml:space="preserve"> can be imposed upon this right, except by positive law or by his own </w:t>
      </w:r>
      <w:r w:rsidR="00187989" w:rsidRPr="00847696">
        <w:rPr>
          <w:rFonts w:ascii="Times New Roman" w:hAnsi="Times New Roman"/>
        </w:rPr>
        <w:t>contract</w:t>
      </w:r>
      <w:r w:rsidRPr="00847696">
        <w:rPr>
          <w:rFonts w:ascii="Times New Roman" w:hAnsi="Times New Roman"/>
        </w:rPr>
        <w:t>"</w:t>
      </w:r>
      <w:r w:rsidR="00685E78" w:rsidRPr="00847696">
        <w:rPr>
          <w:rFonts w:ascii="Times New Roman" w:hAnsi="Times New Roman"/>
        </w:rPr>
        <w:t>.</w:t>
      </w:r>
    </w:p>
    <w:p w14:paraId="19BA383A" w14:textId="50190E11" w:rsidR="00570BB0" w:rsidRPr="00847696" w:rsidRDefault="009724DA"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BB5FF2" w:rsidRPr="00847696">
        <w:rPr>
          <w:rFonts w:ascii="Times New Roman" w:hAnsi="Times New Roman"/>
        </w:rPr>
        <w:t xml:space="preserve">That being the state of the </w:t>
      </w:r>
      <w:r w:rsidR="00AB61C7" w:rsidRPr="00847696">
        <w:rPr>
          <w:rFonts w:ascii="Times New Roman" w:hAnsi="Times New Roman"/>
        </w:rPr>
        <w:t xml:space="preserve">common </w:t>
      </w:r>
      <w:r w:rsidR="00BB5FF2" w:rsidRPr="00847696">
        <w:rPr>
          <w:rFonts w:ascii="Times New Roman" w:hAnsi="Times New Roman"/>
        </w:rPr>
        <w:t>law, the right asserted by the plaintiff</w:t>
      </w:r>
      <w:r w:rsidR="00F7655C" w:rsidRPr="00847696">
        <w:rPr>
          <w:rFonts w:ascii="Times New Roman" w:hAnsi="Times New Roman"/>
        </w:rPr>
        <w:t>s</w:t>
      </w:r>
      <w:r w:rsidR="00EF2C0A" w:rsidRPr="00847696">
        <w:rPr>
          <w:rFonts w:ascii="Times New Roman" w:hAnsi="Times New Roman"/>
        </w:rPr>
        <w:t>, h</w:t>
      </w:r>
      <w:r w:rsidR="002B3832" w:rsidRPr="00847696">
        <w:rPr>
          <w:rFonts w:ascii="Times New Roman" w:hAnsi="Times New Roman"/>
        </w:rPr>
        <w:t>is Honour</w:t>
      </w:r>
      <w:r w:rsidR="00EF2C0A" w:rsidRPr="00847696">
        <w:rPr>
          <w:rFonts w:ascii="Times New Roman" w:hAnsi="Times New Roman"/>
        </w:rPr>
        <w:t xml:space="preserve"> </w:t>
      </w:r>
      <w:r w:rsidR="00AB61C7" w:rsidRPr="00847696">
        <w:rPr>
          <w:rFonts w:ascii="Times New Roman" w:hAnsi="Times New Roman"/>
        </w:rPr>
        <w:t xml:space="preserve">considered, </w:t>
      </w:r>
      <w:r w:rsidR="00EF2C0A" w:rsidRPr="00847696">
        <w:rPr>
          <w:rFonts w:ascii="Times New Roman" w:hAnsi="Times New Roman"/>
        </w:rPr>
        <w:t xml:space="preserve">must </w:t>
      </w:r>
      <w:r w:rsidR="00BB5FF2" w:rsidRPr="00847696">
        <w:rPr>
          <w:rFonts w:ascii="Times New Roman" w:hAnsi="Times New Roman"/>
        </w:rPr>
        <w:t>depend on the meaning of the words "use</w:t>
      </w:r>
      <w:r w:rsidR="005E1829" w:rsidRPr="00847696">
        <w:rPr>
          <w:rFonts w:ascii="Times New Roman" w:hAnsi="Times New Roman"/>
        </w:rPr>
        <w:t>"</w:t>
      </w:r>
      <w:r w:rsidR="00BB5FF2" w:rsidRPr="00847696">
        <w:rPr>
          <w:rFonts w:ascii="Times New Roman" w:hAnsi="Times New Roman"/>
        </w:rPr>
        <w:t xml:space="preserve"> and "vend" in s 62 of the </w:t>
      </w:r>
      <w:r w:rsidR="00BB5FF2" w:rsidRPr="00847696">
        <w:rPr>
          <w:rFonts w:ascii="Times New Roman" w:hAnsi="Times New Roman"/>
          <w:i/>
        </w:rPr>
        <w:t>Patents Act</w:t>
      </w:r>
      <w:r w:rsidR="0046223F" w:rsidRPr="00847696">
        <w:rPr>
          <w:rFonts w:ascii="Times New Roman" w:hAnsi="Times New Roman"/>
          <w:i/>
        </w:rPr>
        <w:t xml:space="preserve"> 1903</w:t>
      </w:r>
      <w:r w:rsidR="00FE1E96" w:rsidRPr="00847696">
        <w:rPr>
          <w:rStyle w:val="FootnoteReference"/>
          <w:rFonts w:ascii="Times New Roman" w:hAnsi="Times New Roman"/>
          <w:sz w:val="24"/>
        </w:rPr>
        <w:footnoteReference w:id="12"/>
      </w:r>
      <w:r w:rsidR="00BB5FF2" w:rsidRPr="00847696">
        <w:rPr>
          <w:rFonts w:ascii="Times New Roman" w:hAnsi="Times New Roman"/>
        </w:rPr>
        <w:t xml:space="preserve">. </w:t>
      </w:r>
      <w:r w:rsidR="004B2323" w:rsidRPr="00847696">
        <w:rPr>
          <w:rFonts w:ascii="Times New Roman" w:hAnsi="Times New Roman"/>
        </w:rPr>
        <w:t>In his Honour's view</w:t>
      </w:r>
      <w:r w:rsidR="00FE1E96" w:rsidRPr="00847696">
        <w:rPr>
          <w:rFonts w:ascii="Times New Roman" w:hAnsi="Times New Roman"/>
        </w:rPr>
        <w:t>,</w:t>
      </w:r>
      <w:r w:rsidR="004B2323" w:rsidRPr="00847696">
        <w:rPr>
          <w:rFonts w:ascii="Times New Roman" w:hAnsi="Times New Roman"/>
        </w:rPr>
        <w:t xml:space="preserve"> the words "use the invention" </w:t>
      </w:r>
      <w:r w:rsidR="009F1726" w:rsidRPr="00847696">
        <w:rPr>
          <w:rFonts w:ascii="Times New Roman" w:hAnsi="Times New Roman"/>
        </w:rPr>
        <w:t>mean putting the idea of the invention into practice for some purpose. They do not continue to apply where the patented article is made and sold by the patentee and comes lawfully into circulation</w:t>
      </w:r>
      <w:r w:rsidR="009D2E77" w:rsidRPr="00847696">
        <w:rPr>
          <w:rFonts w:ascii="Times New Roman" w:hAnsi="Times New Roman"/>
        </w:rPr>
        <w:t xml:space="preserve"> in the market as a chattel</w:t>
      </w:r>
      <w:r w:rsidR="008B6824" w:rsidRPr="00847696">
        <w:rPr>
          <w:rStyle w:val="FootnoteReference"/>
          <w:rFonts w:ascii="Times New Roman" w:hAnsi="Times New Roman"/>
          <w:sz w:val="24"/>
        </w:rPr>
        <w:footnoteReference w:id="13"/>
      </w:r>
      <w:r w:rsidR="008B6824" w:rsidRPr="00847696">
        <w:rPr>
          <w:rFonts w:ascii="Times New Roman" w:hAnsi="Times New Roman"/>
        </w:rPr>
        <w:t>.</w:t>
      </w:r>
      <w:r w:rsidR="002D7BFC" w:rsidRPr="00847696">
        <w:rPr>
          <w:rFonts w:ascii="Times New Roman" w:hAnsi="Times New Roman"/>
        </w:rPr>
        <w:t xml:space="preserve"> </w:t>
      </w:r>
      <w:r w:rsidR="004A7D16" w:rsidRPr="00847696">
        <w:rPr>
          <w:rFonts w:ascii="Times New Roman" w:hAnsi="Times New Roman"/>
        </w:rPr>
        <w:t xml:space="preserve">As to the word "vend", his Honour reasoned that it could not have been intended by the legislature </w:t>
      </w:r>
      <w:r w:rsidR="00D82F8A" w:rsidRPr="00847696">
        <w:rPr>
          <w:rFonts w:ascii="Times New Roman" w:hAnsi="Times New Roman"/>
        </w:rPr>
        <w:t xml:space="preserve">to effect a change to </w:t>
      </w:r>
      <w:r w:rsidR="00780DF5" w:rsidRPr="00847696">
        <w:rPr>
          <w:rFonts w:ascii="Times New Roman" w:hAnsi="Times New Roman"/>
        </w:rPr>
        <w:t xml:space="preserve">a </w:t>
      </w:r>
      <w:r w:rsidR="00D82F8A" w:rsidRPr="00847696">
        <w:rPr>
          <w:rFonts w:ascii="Times New Roman" w:hAnsi="Times New Roman"/>
        </w:rPr>
        <w:t>fundamental principle of the common law by introducing a new class of chattels which w</w:t>
      </w:r>
      <w:r w:rsidR="00FD3333" w:rsidRPr="00847696">
        <w:rPr>
          <w:rFonts w:ascii="Times New Roman" w:hAnsi="Times New Roman"/>
        </w:rPr>
        <w:t>ere</w:t>
      </w:r>
      <w:r w:rsidR="00D82F8A" w:rsidRPr="00847696">
        <w:rPr>
          <w:rFonts w:ascii="Times New Roman" w:hAnsi="Times New Roman"/>
        </w:rPr>
        <w:t xml:space="preserve"> effectively </w:t>
      </w:r>
      <w:r w:rsidR="006B0765" w:rsidRPr="00847696">
        <w:rPr>
          <w:rFonts w:ascii="Times New Roman" w:hAnsi="Times New Roman"/>
        </w:rPr>
        <w:t>inalienable, w</w:t>
      </w:r>
      <w:r w:rsidR="00885608" w:rsidRPr="00847696">
        <w:rPr>
          <w:rFonts w:ascii="Times New Roman" w:hAnsi="Times New Roman"/>
        </w:rPr>
        <w:t>i</w:t>
      </w:r>
      <w:r w:rsidR="006B0765" w:rsidRPr="00847696">
        <w:rPr>
          <w:rFonts w:ascii="Times New Roman" w:hAnsi="Times New Roman"/>
        </w:rPr>
        <w:t>thout clear words expressing that intention</w:t>
      </w:r>
      <w:r w:rsidR="001F087A" w:rsidRPr="00847696">
        <w:rPr>
          <w:rStyle w:val="FootnoteReference"/>
          <w:rFonts w:ascii="Times New Roman" w:hAnsi="Times New Roman"/>
          <w:sz w:val="24"/>
        </w:rPr>
        <w:footnoteReference w:id="14"/>
      </w:r>
      <w:r w:rsidR="006B0765" w:rsidRPr="00847696">
        <w:rPr>
          <w:rFonts w:ascii="Times New Roman" w:hAnsi="Times New Roman"/>
        </w:rPr>
        <w:t>. T</w:t>
      </w:r>
      <w:r w:rsidR="00885608" w:rsidRPr="00847696">
        <w:rPr>
          <w:rFonts w:ascii="Times New Roman" w:hAnsi="Times New Roman"/>
        </w:rPr>
        <w:t>h</w:t>
      </w:r>
      <w:r w:rsidR="006B0765" w:rsidRPr="00847696">
        <w:rPr>
          <w:rFonts w:ascii="Times New Roman" w:hAnsi="Times New Roman"/>
        </w:rPr>
        <w:t xml:space="preserve">e words "vend the invention" should be understood </w:t>
      </w:r>
      <w:r w:rsidR="00C06CB0" w:rsidRPr="00847696">
        <w:rPr>
          <w:rFonts w:ascii="Times New Roman" w:hAnsi="Times New Roman"/>
        </w:rPr>
        <w:t xml:space="preserve">to mean "to put the product </w:t>
      </w:r>
      <w:r w:rsidR="00C458DF" w:rsidRPr="00847696">
        <w:rPr>
          <w:rFonts w:ascii="Times New Roman" w:hAnsi="Times New Roman"/>
        </w:rPr>
        <w:t xml:space="preserve">of the invention </w:t>
      </w:r>
      <w:r w:rsidR="00C06CB0" w:rsidRPr="00847696">
        <w:rPr>
          <w:rFonts w:ascii="Times New Roman" w:hAnsi="Times New Roman"/>
        </w:rPr>
        <w:t xml:space="preserve">in the possession of the public" and not </w:t>
      </w:r>
      <w:r w:rsidR="00780DF5" w:rsidRPr="00847696">
        <w:rPr>
          <w:rFonts w:ascii="Times New Roman" w:hAnsi="Times New Roman"/>
        </w:rPr>
        <w:t xml:space="preserve">to </w:t>
      </w:r>
      <w:r w:rsidR="00C06CB0" w:rsidRPr="00847696">
        <w:rPr>
          <w:rFonts w:ascii="Times New Roman" w:hAnsi="Times New Roman"/>
        </w:rPr>
        <w:t xml:space="preserve">refer </w:t>
      </w:r>
      <w:r w:rsidR="00C57052" w:rsidRPr="00847696">
        <w:rPr>
          <w:rFonts w:ascii="Times New Roman" w:hAnsi="Times New Roman"/>
        </w:rPr>
        <w:t xml:space="preserve">to a sale of the product once it has been lawfully sold </w:t>
      </w:r>
      <w:r w:rsidR="00053A0F" w:rsidRPr="00847696">
        <w:rPr>
          <w:rFonts w:ascii="Times New Roman" w:hAnsi="Times New Roman"/>
        </w:rPr>
        <w:t xml:space="preserve">on </w:t>
      </w:r>
      <w:r w:rsidR="00C57052" w:rsidRPr="00847696">
        <w:rPr>
          <w:rFonts w:ascii="Times New Roman" w:hAnsi="Times New Roman"/>
        </w:rPr>
        <w:t>the market</w:t>
      </w:r>
      <w:r w:rsidR="00C57052" w:rsidRPr="00847696">
        <w:rPr>
          <w:rStyle w:val="FootnoteReference"/>
          <w:rFonts w:ascii="Times New Roman" w:hAnsi="Times New Roman"/>
          <w:sz w:val="24"/>
        </w:rPr>
        <w:footnoteReference w:id="15"/>
      </w:r>
      <w:r w:rsidR="00570BB0" w:rsidRPr="00847696">
        <w:rPr>
          <w:rFonts w:ascii="Times New Roman" w:hAnsi="Times New Roman"/>
        </w:rPr>
        <w:t>.</w:t>
      </w:r>
    </w:p>
    <w:p w14:paraId="148DE7F4" w14:textId="3753E557" w:rsidR="009E21E5" w:rsidRPr="00847696" w:rsidRDefault="009E21E5" w:rsidP="00847696">
      <w:pPr>
        <w:pStyle w:val="HeadingL1"/>
        <w:spacing w:after="260" w:line="280" w:lineRule="exact"/>
        <w:ind w:right="0"/>
        <w:jc w:val="both"/>
        <w:rPr>
          <w:rFonts w:ascii="Times New Roman" w:hAnsi="Times New Roman"/>
        </w:rPr>
      </w:pPr>
      <w:proofErr w:type="spellStart"/>
      <w:r w:rsidRPr="00847696">
        <w:rPr>
          <w:rFonts w:ascii="Times New Roman" w:hAnsi="Times New Roman"/>
          <w:i/>
        </w:rPr>
        <w:t>Menck</w:t>
      </w:r>
      <w:proofErr w:type="spellEnd"/>
      <w:r w:rsidR="00AC7933" w:rsidRPr="00847696">
        <w:rPr>
          <w:rFonts w:ascii="Times New Roman" w:hAnsi="Times New Roman"/>
        </w:rPr>
        <w:t xml:space="preserve"> (P</w:t>
      </w:r>
      <w:r w:rsidR="007E625E" w:rsidRPr="00847696">
        <w:rPr>
          <w:rFonts w:ascii="Times New Roman" w:hAnsi="Times New Roman"/>
        </w:rPr>
        <w:t xml:space="preserve">rivy </w:t>
      </w:r>
      <w:r w:rsidR="00AC7933" w:rsidRPr="00847696">
        <w:rPr>
          <w:rFonts w:ascii="Times New Roman" w:hAnsi="Times New Roman"/>
        </w:rPr>
        <w:t>C</w:t>
      </w:r>
      <w:r w:rsidR="007E625E" w:rsidRPr="00847696">
        <w:rPr>
          <w:rFonts w:ascii="Times New Roman" w:hAnsi="Times New Roman"/>
        </w:rPr>
        <w:t>ouncil</w:t>
      </w:r>
      <w:r w:rsidR="00DB2C3E" w:rsidRPr="00847696">
        <w:rPr>
          <w:rFonts w:ascii="Times New Roman" w:hAnsi="Times New Roman"/>
        </w:rPr>
        <w:t>)</w:t>
      </w:r>
      <w:r w:rsidR="007E625E" w:rsidRPr="00847696">
        <w:rPr>
          <w:rFonts w:ascii="Times New Roman" w:hAnsi="Times New Roman"/>
        </w:rPr>
        <w:t xml:space="preserve"> and the </w:t>
      </w:r>
      <w:r w:rsidR="004D33AF" w:rsidRPr="00847696">
        <w:rPr>
          <w:rFonts w:ascii="Times New Roman" w:hAnsi="Times New Roman"/>
        </w:rPr>
        <w:t>implied licence</w:t>
      </w:r>
      <w:r w:rsidR="00AC7933" w:rsidRPr="00847696">
        <w:rPr>
          <w:rFonts w:ascii="Times New Roman" w:hAnsi="Times New Roman"/>
        </w:rPr>
        <w:t xml:space="preserve"> doctrine</w:t>
      </w:r>
    </w:p>
    <w:p w14:paraId="6B27057F" w14:textId="3B8C49B9" w:rsidR="002576DD" w:rsidRPr="00847696" w:rsidRDefault="00AC7933"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2576DD" w:rsidRPr="00847696">
        <w:rPr>
          <w:rFonts w:ascii="Times New Roman" w:hAnsi="Times New Roman"/>
        </w:rPr>
        <w:t>The Privy Council did not deny the fundamental nature of the principle of the common law respecting an owner's right to use and dispose of chattels. Lord Shaw, who gave the adv</w:t>
      </w:r>
      <w:r w:rsidR="00953764" w:rsidRPr="00847696">
        <w:rPr>
          <w:rFonts w:ascii="Times New Roman" w:hAnsi="Times New Roman"/>
        </w:rPr>
        <w:t>ice of the Board,</w:t>
      </w:r>
      <w:r w:rsidR="002576DD" w:rsidRPr="00847696">
        <w:rPr>
          <w:rFonts w:ascii="Times New Roman" w:hAnsi="Times New Roman"/>
        </w:rPr>
        <w:t xml:space="preserve"> recognised that it would be contrary to the "</w:t>
      </w:r>
      <w:r w:rsidR="00C90D91" w:rsidRPr="00847696">
        <w:rPr>
          <w:rFonts w:ascii="Times New Roman" w:hAnsi="Times New Roman"/>
        </w:rPr>
        <w:t xml:space="preserve">public interest and to the </w:t>
      </w:r>
      <w:r w:rsidR="002576DD" w:rsidRPr="00847696">
        <w:rPr>
          <w:rFonts w:ascii="Times New Roman" w:hAnsi="Times New Roman"/>
        </w:rPr>
        <w:t>security of trade" were it otherwise</w:t>
      </w:r>
      <w:r w:rsidR="002576DD" w:rsidRPr="00847696">
        <w:rPr>
          <w:rStyle w:val="FootnoteReference"/>
          <w:rFonts w:ascii="Times New Roman" w:hAnsi="Times New Roman"/>
          <w:sz w:val="24"/>
        </w:rPr>
        <w:footnoteReference w:id="16"/>
      </w:r>
      <w:r w:rsidR="002576DD" w:rsidRPr="00847696">
        <w:rPr>
          <w:rFonts w:ascii="Times New Roman" w:hAnsi="Times New Roman"/>
        </w:rPr>
        <w:t xml:space="preserve">. The difficulty, in his Lordship's view, was the enforcement of that principle "without </w:t>
      </w:r>
      <w:r w:rsidR="001A3ED4" w:rsidRPr="00847696">
        <w:rPr>
          <w:rFonts w:ascii="Times New Roman" w:hAnsi="Times New Roman"/>
        </w:rPr>
        <w:t>impinging up</w:t>
      </w:r>
      <w:r w:rsidR="002576DD" w:rsidRPr="00847696">
        <w:rPr>
          <w:rFonts w:ascii="Times New Roman" w:hAnsi="Times New Roman"/>
        </w:rPr>
        <w:t>on</w:t>
      </w:r>
      <w:r w:rsidR="007D38E8" w:rsidRPr="00847696">
        <w:rPr>
          <w:rFonts w:ascii="Times New Roman" w:hAnsi="Times New Roman"/>
        </w:rPr>
        <w:t xml:space="preserve"> </w:t>
      </w:r>
      <w:r w:rsidR="001A3ED4" w:rsidRPr="00847696">
        <w:rPr>
          <w:rFonts w:ascii="Times New Roman" w:hAnsi="Times New Roman"/>
        </w:rPr>
        <w:t>...</w:t>
      </w:r>
      <w:r w:rsidR="002576DD" w:rsidRPr="00847696">
        <w:rPr>
          <w:rFonts w:ascii="Times New Roman" w:hAnsi="Times New Roman"/>
        </w:rPr>
        <w:t xml:space="preserve"> the right of property granted by the State</w:t>
      </w:r>
      <w:r w:rsidR="001A3ED4" w:rsidRPr="00847696">
        <w:rPr>
          <w:rFonts w:ascii="Times New Roman" w:hAnsi="Times New Roman"/>
        </w:rPr>
        <w:t xml:space="preserve"> and</w:t>
      </w:r>
      <w:r w:rsidR="002576DD" w:rsidRPr="00847696">
        <w:rPr>
          <w:rFonts w:ascii="Times New Roman" w:hAnsi="Times New Roman"/>
        </w:rPr>
        <w:t xml:space="preserve"> by way of monopoly to a patentee</w:t>
      </w:r>
      <w:r w:rsidR="001A3ED4" w:rsidRPr="00847696">
        <w:rPr>
          <w:rFonts w:ascii="Times New Roman" w:hAnsi="Times New Roman"/>
        </w:rPr>
        <w:t>,</w:t>
      </w:r>
      <w:r w:rsidR="002576DD" w:rsidRPr="00847696">
        <w:rPr>
          <w:rFonts w:ascii="Times New Roman" w:hAnsi="Times New Roman"/>
        </w:rPr>
        <w:t xml:space="preserve"> and his agents</w:t>
      </w:r>
      <w:r w:rsidR="001A3ED4" w:rsidRPr="00847696">
        <w:rPr>
          <w:rFonts w:ascii="Times New Roman" w:hAnsi="Times New Roman"/>
        </w:rPr>
        <w:t xml:space="preserve"> and licensees,</w:t>
      </w:r>
      <w:r w:rsidR="002576DD" w:rsidRPr="00847696">
        <w:rPr>
          <w:rFonts w:ascii="Times New Roman" w:hAnsi="Times New Roman"/>
        </w:rPr>
        <w:t xml:space="preserve"> 'to make, use, exercise</w:t>
      </w:r>
      <w:r w:rsidR="000F336F" w:rsidRPr="00847696">
        <w:rPr>
          <w:rFonts w:ascii="Times New Roman" w:hAnsi="Times New Roman"/>
        </w:rPr>
        <w:t>,</w:t>
      </w:r>
      <w:r w:rsidR="002576DD" w:rsidRPr="00847696">
        <w:rPr>
          <w:rFonts w:ascii="Times New Roman" w:hAnsi="Times New Roman"/>
        </w:rPr>
        <w:t xml:space="preserve"> and vend the </w:t>
      </w:r>
      <w:r w:rsidR="002576DD" w:rsidRPr="00847696">
        <w:rPr>
          <w:rFonts w:ascii="Times New Roman" w:hAnsi="Times New Roman"/>
        </w:rPr>
        <w:lastRenderedPageBreak/>
        <w:t>invention … in such manner as to him seems meet'"</w:t>
      </w:r>
      <w:r w:rsidR="002576DD" w:rsidRPr="00847696">
        <w:rPr>
          <w:rStyle w:val="FootnoteReference"/>
          <w:rFonts w:ascii="Times New Roman" w:hAnsi="Times New Roman"/>
          <w:sz w:val="24"/>
        </w:rPr>
        <w:footnoteReference w:id="17"/>
      </w:r>
      <w:r w:rsidR="002576DD" w:rsidRPr="00847696">
        <w:rPr>
          <w:rFonts w:ascii="Times New Roman" w:hAnsi="Times New Roman"/>
        </w:rPr>
        <w:t>. These rights extended to "the imposition of conditions in the transactions of making, using and vending</w:t>
      </w:r>
      <w:r w:rsidR="001A3ED4" w:rsidRPr="00847696">
        <w:rPr>
          <w:rFonts w:ascii="Times New Roman" w:hAnsi="Times New Roman"/>
        </w:rPr>
        <w:t>,</w:t>
      </w:r>
      <w:r w:rsidR="002576DD" w:rsidRPr="00847696">
        <w:rPr>
          <w:rFonts w:ascii="Times New Roman" w:hAnsi="Times New Roman"/>
        </w:rPr>
        <w:t xml:space="preserve"> which are necessarily an exception by </w:t>
      </w:r>
      <w:r w:rsidR="000F336F" w:rsidRPr="00847696">
        <w:rPr>
          <w:rFonts w:ascii="Times New Roman" w:hAnsi="Times New Roman"/>
        </w:rPr>
        <w:t xml:space="preserve">Statute </w:t>
      </w:r>
      <w:r w:rsidR="002576DD" w:rsidRPr="00847696">
        <w:rPr>
          <w:rFonts w:ascii="Times New Roman" w:hAnsi="Times New Roman"/>
        </w:rPr>
        <w:t>to the rules ordinarily prevailing"</w:t>
      </w:r>
      <w:r w:rsidR="000F336F" w:rsidRPr="00847696">
        <w:rPr>
          <w:rStyle w:val="FootnoteReference"/>
          <w:rFonts w:ascii="Times New Roman" w:hAnsi="Times New Roman"/>
          <w:sz w:val="24"/>
        </w:rPr>
        <w:footnoteReference w:id="18"/>
      </w:r>
      <w:r w:rsidR="002576DD" w:rsidRPr="00847696">
        <w:rPr>
          <w:rFonts w:ascii="Times New Roman" w:hAnsi="Times New Roman"/>
        </w:rPr>
        <w:t>. This in turn led to the need to "adjust the incidence of ownership of ordinary goods with the incidence of ownership of patented goods" so as to "avoid any collision of principle"</w:t>
      </w:r>
      <w:r w:rsidR="002576DD" w:rsidRPr="00847696">
        <w:rPr>
          <w:rStyle w:val="FootnoteReference"/>
          <w:rFonts w:ascii="Times New Roman" w:hAnsi="Times New Roman"/>
          <w:sz w:val="24"/>
        </w:rPr>
        <w:footnoteReference w:id="19"/>
      </w:r>
      <w:r w:rsidR="002576DD" w:rsidRPr="00847696">
        <w:rPr>
          <w:rFonts w:ascii="Times New Roman" w:hAnsi="Times New Roman"/>
        </w:rPr>
        <w:t xml:space="preserve">. </w:t>
      </w:r>
    </w:p>
    <w:p w14:paraId="55E0014E" w14:textId="6A118A24" w:rsidR="007F466A" w:rsidRPr="00847696" w:rsidRDefault="002576DD"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Lord Shaw accepted that if the conditions imposed by the patentee were said, as a matter of patent law, to "run with the goods", a "radical change in the law of personal property" would have been </w:t>
      </w:r>
      <w:r w:rsidR="00010BD9" w:rsidRPr="00847696">
        <w:rPr>
          <w:rFonts w:ascii="Times New Roman" w:hAnsi="Times New Roman"/>
        </w:rPr>
        <w:t>e</w:t>
      </w:r>
      <w:r w:rsidR="00BD4643" w:rsidRPr="00847696">
        <w:rPr>
          <w:rFonts w:ascii="Times New Roman" w:hAnsi="Times New Roman"/>
        </w:rPr>
        <w:t>ffected</w:t>
      </w:r>
      <w:r w:rsidRPr="00847696">
        <w:rPr>
          <w:rStyle w:val="FootnoteReference"/>
          <w:rFonts w:ascii="Times New Roman" w:hAnsi="Times New Roman"/>
          <w:sz w:val="24"/>
        </w:rPr>
        <w:footnoteReference w:id="20"/>
      </w:r>
      <w:r w:rsidRPr="00847696">
        <w:rPr>
          <w:rFonts w:ascii="Times New Roman" w:hAnsi="Times New Roman"/>
        </w:rPr>
        <w:t>. But there would be no such radical change in allowing for a restriction on the alienation and use of a chattel where the restrictions were known to the person who ha</w:t>
      </w:r>
      <w:r w:rsidR="003F60A4" w:rsidRPr="00847696">
        <w:rPr>
          <w:rFonts w:ascii="Times New Roman" w:hAnsi="Times New Roman"/>
        </w:rPr>
        <w:t>d</w:t>
      </w:r>
      <w:r w:rsidRPr="00847696">
        <w:rPr>
          <w:rFonts w:ascii="Times New Roman" w:hAnsi="Times New Roman"/>
        </w:rPr>
        <w:t xml:space="preserve"> become owner. That </w:t>
      </w:r>
      <w:r w:rsidR="0023645D" w:rsidRPr="00847696">
        <w:rPr>
          <w:rFonts w:ascii="Times New Roman" w:hAnsi="Times New Roman"/>
        </w:rPr>
        <w:t>wa</w:t>
      </w:r>
      <w:r w:rsidRPr="00847696">
        <w:rPr>
          <w:rFonts w:ascii="Times New Roman" w:hAnsi="Times New Roman"/>
        </w:rPr>
        <w:t>s merely to acknowledge that in the case of patented goods, but not ordinary goods, ownership is subject to a limitation of this kind. These principles were considered to "harmoni</w:t>
      </w:r>
      <w:r w:rsidR="00B143FB" w:rsidRPr="00847696">
        <w:rPr>
          <w:rFonts w:ascii="Times New Roman" w:hAnsi="Times New Roman"/>
        </w:rPr>
        <w:t>z</w:t>
      </w:r>
      <w:r w:rsidRPr="00847696">
        <w:rPr>
          <w:rFonts w:ascii="Times New Roman" w:hAnsi="Times New Roman"/>
        </w:rPr>
        <w:t>e" the rights of the patentee with those of the owner</w:t>
      </w:r>
      <w:r w:rsidRPr="00847696">
        <w:rPr>
          <w:rStyle w:val="FootnoteReference"/>
          <w:rFonts w:ascii="Times New Roman" w:hAnsi="Times New Roman"/>
          <w:sz w:val="24"/>
        </w:rPr>
        <w:footnoteReference w:id="21"/>
      </w:r>
      <w:r w:rsidRPr="00847696">
        <w:rPr>
          <w:rFonts w:ascii="Times New Roman" w:hAnsi="Times New Roman"/>
        </w:rPr>
        <w:t>.</w:t>
      </w:r>
    </w:p>
    <w:p w14:paraId="6C7F87B7" w14:textId="4467BEF5" w:rsidR="008052D2" w:rsidRPr="00847696" w:rsidRDefault="008C035F"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F81502" w:rsidRPr="00847696">
        <w:rPr>
          <w:rFonts w:ascii="Times New Roman" w:hAnsi="Times New Roman"/>
        </w:rPr>
        <w:t>Lord Shaw said</w:t>
      </w:r>
      <w:r w:rsidR="00A019C6" w:rsidRPr="00847696">
        <w:rPr>
          <w:rStyle w:val="FootnoteReference"/>
          <w:rFonts w:ascii="Times New Roman" w:hAnsi="Times New Roman"/>
          <w:sz w:val="24"/>
        </w:rPr>
        <w:footnoteReference w:id="22"/>
      </w:r>
      <w:r w:rsidR="005F553D" w:rsidRPr="00847696">
        <w:rPr>
          <w:rFonts w:ascii="Times New Roman" w:hAnsi="Times New Roman"/>
        </w:rPr>
        <w:t xml:space="preserve"> </w:t>
      </w:r>
      <w:r w:rsidR="00F81502" w:rsidRPr="00847696">
        <w:rPr>
          <w:rFonts w:ascii="Times New Roman" w:hAnsi="Times New Roman"/>
        </w:rPr>
        <w:t xml:space="preserve">that it could be gleaned from </w:t>
      </w:r>
      <w:r w:rsidR="005F553D" w:rsidRPr="00847696">
        <w:rPr>
          <w:rFonts w:ascii="Times New Roman" w:hAnsi="Times New Roman"/>
        </w:rPr>
        <w:t>the decided cases</w:t>
      </w:r>
      <w:r w:rsidR="00C74BE1" w:rsidRPr="00847696">
        <w:rPr>
          <w:rStyle w:val="FootnoteReference"/>
          <w:rFonts w:ascii="Times New Roman" w:hAnsi="Times New Roman"/>
          <w:sz w:val="24"/>
        </w:rPr>
        <w:footnoteReference w:id="23"/>
      </w:r>
      <w:r w:rsidR="002A0568" w:rsidRPr="00847696">
        <w:rPr>
          <w:rFonts w:ascii="Times New Roman" w:hAnsi="Times New Roman"/>
        </w:rPr>
        <w:t xml:space="preserve"> that </w:t>
      </w:r>
      <w:r w:rsidR="00457708" w:rsidRPr="00847696">
        <w:rPr>
          <w:rFonts w:ascii="Times New Roman" w:hAnsi="Times New Roman"/>
        </w:rPr>
        <w:t>a patentee, by virtue of the statutory monopoly, could impose conditions restrictive of sale or use at the time of sale which would not apply to ordinary chattels.</w:t>
      </w:r>
      <w:r w:rsidR="00544115" w:rsidRPr="00847696">
        <w:rPr>
          <w:rFonts w:ascii="Times New Roman" w:hAnsi="Times New Roman"/>
        </w:rPr>
        <w:t xml:space="preserve"> If no such conditions were imposed (a sale "</w:t>
      </w:r>
      <w:r w:rsidR="00544115" w:rsidRPr="00847696">
        <w:rPr>
          <w:rFonts w:ascii="Times New Roman" w:hAnsi="Times New Roman"/>
          <w:i/>
        </w:rPr>
        <w:t>sub modo</w:t>
      </w:r>
      <w:r w:rsidR="00544115" w:rsidRPr="00847696">
        <w:rPr>
          <w:rFonts w:ascii="Times New Roman" w:hAnsi="Times New Roman"/>
        </w:rPr>
        <w:t xml:space="preserve">") it is presumed that it was </w:t>
      </w:r>
      <w:r w:rsidR="00544115" w:rsidRPr="00847696">
        <w:rPr>
          <w:rFonts w:ascii="Times New Roman" w:hAnsi="Times New Roman"/>
        </w:rPr>
        <w:lastRenderedPageBreak/>
        <w:t xml:space="preserve">intended </w:t>
      </w:r>
      <w:r w:rsidR="008052D2" w:rsidRPr="00847696">
        <w:rPr>
          <w:rFonts w:ascii="Times New Roman" w:hAnsi="Times New Roman"/>
        </w:rPr>
        <w:t>to vest the full rights of ownership in the purchaser.</w:t>
      </w:r>
      <w:r w:rsidR="00AF09CA" w:rsidRPr="00847696">
        <w:rPr>
          <w:rFonts w:ascii="Times New Roman" w:hAnsi="Times New Roman"/>
        </w:rPr>
        <w:t xml:space="preserve"> </w:t>
      </w:r>
      <w:r w:rsidR="008052D2" w:rsidRPr="00847696">
        <w:rPr>
          <w:rFonts w:ascii="Times New Roman" w:hAnsi="Times New Roman"/>
        </w:rPr>
        <w:t>The qualification to this last</w:t>
      </w:r>
      <w:r w:rsidR="00B616D1" w:rsidRPr="00847696">
        <w:rPr>
          <w:rFonts w:ascii="Times New Roman" w:hAnsi="Times New Roman"/>
        </w:rPr>
        <w:t>-</w:t>
      </w:r>
      <w:r w:rsidR="008052D2" w:rsidRPr="00847696">
        <w:rPr>
          <w:rFonts w:ascii="Times New Roman" w:hAnsi="Times New Roman"/>
        </w:rPr>
        <w:t xml:space="preserve">mentioned proposition is that an owner's rights in a patented chattel will be limited if it is shown </w:t>
      </w:r>
      <w:r w:rsidR="003840DF" w:rsidRPr="00847696">
        <w:rPr>
          <w:rFonts w:ascii="Times New Roman" w:hAnsi="Times New Roman"/>
        </w:rPr>
        <w:t>they</w:t>
      </w:r>
      <w:r w:rsidR="004F4F79" w:rsidRPr="00847696">
        <w:rPr>
          <w:rFonts w:ascii="Times New Roman" w:hAnsi="Times New Roman"/>
        </w:rPr>
        <w:t xml:space="preserve"> knew of the conditions sought to be imposed by the patentee at the first sale. That was </w:t>
      </w:r>
      <w:r w:rsidR="00AF09CA" w:rsidRPr="00847696">
        <w:rPr>
          <w:rFonts w:ascii="Times New Roman" w:hAnsi="Times New Roman"/>
        </w:rPr>
        <w:t xml:space="preserve">the </w:t>
      </w:r>
      <w:r w:rsidR="004F4F79" w:rsidRPr="00847696">
        <w:rPr>
          <w:rFonts w:ascii="Times New Roman" w:hAnsi="Times New Roman"/>
        </w:rPr>
        <w:t>position</w:t>
      </w:r>
      <w:r w:rsidR="00AF09CA" w:rsidRPr="00847696">
        <w:rPr>
          <w:rFonts w:ascii="Times New Roman" w:hAnsi="Times New Roman"/>
        </w:rPr>
        <w:t xml:space="preserve"> in which Mr </w:t>
      </w:r>
      <w:proofErr w:type="spellStart"/>
      <w:r w:rsidR="00AF09CA" w:rsidRPr="00847696">
        <w:rPr>
          <w:rFonts w:ascii="Times New Roman" w:hAnsi="Times New Roman"/>
        </w:rPr>
        <w:t>Menck</w:t>
      </w:r>
      <w:proofErr w:type="spellEnd"/>
      <w:r w:rsidR="00AF09CA" w:rsidRPr="00847696">
        <w:rPr>
          <w:rFonts w:ascii="Times New Roman" w:hAnsi="Times New Roman"/>
        </w:rPr>
        <w:t xml:space="preserve"> found himself</w:t>
      </w:r>
      <w:r w:rsidR="004F4F79" w:rsidRPr="00847696">
        <w:rPr>
          <w:rFonts w:ascii="Times New Roman" w:hAnsi="Times New Roman"/>
        </w:rPr>
        <w:t>.</w:t>
      </w:r>
    </w:p>
    <w:p w14:paraId="644AD9C3" w14:textId="1E43643F" w:rsidR="004A268E" w:rsidRPr="00847696" w:rsidRDefault="005D0F9F" w:rsidP="00847696">
      <w:pPr>
        <w:pStyle w:val="HeadingL1"/>
        <w:spacing w:after="260" w:line="280" w:lineRule="exact"/>
        <w:ind w:right="0"/>
        <w:jc w:val="both"/>
        <w:rPr>
          <w:rFonts w:ascii="Times New Roman" w:hAnsi="Times New Roman"/>
        </w:rPr>
      </w:pPr>
      <w:r w:rsidRPr="00847696">
        <w:rPr>
          <w:rFonts w:ascii="Times New Roman" w:hAnsi="Times New Roman"/>
        </w:rPr>
        <w:t xml:space="preserve">The exhaustion doctrine </w:t>
      </w:r>
      <w:r w:rsidR="000B683F" w:rsidRPr="00847696">
        <w:rPr>
          <w:rFonts w:ascii="Times New Roman" w:hAnsi="Times New Roman"/>
        </w:rPr>
        <w:t>more recently</w:t>
      </w:r>
    </w:p>
    <w:p w14:paraId="2E9D4A1D" w14:textId="38BE5F47" w:rsidR="00F61F46" w:rsidRPr="00847696" w:rsidRDefault="004A268E"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Pr="00847696">
        <w:rPr>
          <w:rFonts w:ascii="Times New Roman" w:hAnsi="Times New Roman"/>
          <w:i/>
        </w:rPr>
        <w:t>Impression Products</w:t>
      </w:r>
      <w:r w:rsidR="00877FAB" w:rsidRPr="00847696">
        <w:rPr>
          <w:rFonts w:ascii="Times New Roman" w:hAnsi="Times New Roman"/>
          <w:i/>
        </w:rPr>
        <w:t xml:space="preserve"> Inc</w:t>
      </w:r>
      <w:r w:rsidRPr="00847696">
        <w:rPr>
          <w:rFonts w:ascii="Times New Roman" w:hAnsi="Times New Roman"/>
          <w:i/>
        </w:rPr>
        <w:t xml:space="preserve"> v Lexmark International Inc</w:t>
      </w:r>
      <w:r w:rsidRPr="00847696">
        <w:rPr>
          <w:rStyle w:val="FootnoteReference"/>
          <w:rFonts w:ascii="Times New Roman" w:hAnsi="Times New Roman"/>
          <w:sz w:val="24"/>
        </w:rPr>
        <w:footnoteReference w:id="24"/>
      </w:r>
      <w:r w:rsidR="00221343" w:rsidRPr="00847696">
        <w:rPr>
          <w:rFonts w:ascii="Times New Roman" w:hAnsi="Times New Roman"/>
        </w:rPr>
        <w:t xml:space="preserve"> is </w:t>
      </w:r>
      <w:r w:rsidR="00F61F46" w:rsidRPr="00847696">
        <w:rPr>
          <w:rFonts w:ascii="Times New Roman" w:hAnsi="Times New Roman"/>
        </w:rPr>
        <w:t xml:space="preserve">a recent decision of </w:t>
      </w:r>
      <w:r w:rsidRPr="00847696">
        <w:rPr>
          <w:rFonts w:ascii="Times New Roman" w:hAnsi="Times New Roman"/>
        </w:rPr>
        <w:t>the Supreme Court of the United States</w:t>
      </w:r>
      <w:r w:rsidR="00F61F46" w:rsidRPr="00847696">
        <w:rPr>
          <w:rFonts w:ascii="Times New Roman" w:hAnsi="Times New Roman"/>
        </w:rPr>
        <w:t xml:space="preserve">. It is a case which bears a striking similarity </w:t>
      </w:r>
      <w:r w:rsidR="006464F2" w:rsidRPr="00847696">
        <w:rPr>
          <w:rFonts w:ascii="Times New Roman" w:hAnsi="Times New Roman"/>
        </w:rPr>
        <w:t>to the facts of this case and is a clear example of the application of the exhaustion doctrine.</w:t>
      </w:r>
      <w:r w:rsidR="00762A9B" w:rsidRPr="00847696">
        <w:rPr>
          <w:rFonts w:ascii="Times New Roman" w:hAnsi="Times New Roman"/>
        </w:rPr>
        <w:t xml:space="preserve"> Roberts CJ</w:t>
      </w:r>
      <w:r w:rsidR="00C445E2" w:rsidRPr="00847696">
        <w:rPr>
          <w:rFonts w:ascii="Times New Roman" w:hAnsi="Times New Roman"/>
        </w:rPr>
        <w:t>, speaking for the majority</w:t>
      </w:r>
      <w:r w:rsidR="00C445E2" w:rsidRPr="00847696">
        <w:rPr>
          <w:rStyle w:val="FootnoteReference"/>
          <w:rFonts w:ascii="Times New Roman" w:hAnsi="Times New Roman"/>
          <w:sz w:val="24"/>
        </w:rPr>
        <w:footnoteReference w:id="25"/>
      </w:r>
      <w:r w:rsidR="00C445E2" w:rsidRPr="00847696">
        <w:rPr>
          <w:rFonts w:ascii="Times New Roman" w:hAnsi="Times New Roman"/>
        </w:rPr>
        <w:t>, confirmed that the Court had adhered to that doctrine for over 160 years, applying it to the statutory right</w:t>
      </w:r>
      <w:r w:rsidR="00F1424D" w:rsidRPr="00847696">
        <w:rPr>
          <w:rStyle w:val="FootnoteReference"/>
          <w:rFonts w:ascii="Times New Roman" w:hAnsi="Times New Roman"/>
          <w:sz w:val="24"/>
        </w:rPr>
        <w:footnoteReference w:id="26"/>
      </w:r>
      <w:r w:rsidR="00F1424D" w:rsidRPr="00847696">
        <w:rPr>
          <w:rFonts w:ascii="Times New Roman" w:hAnsi="Times New Roman"/>
        </w:rPr>
        <w:t xml:space="preserve"> to </w:t>
      </w:r>
      <w:r w:rsidR="00F676E4" w:rsidRPr="00847696">
        <w:rPr>
          <w:rFonts w:ascii="Times New Roman" w:hAnsi="Times New Roman"/>
        </w:rPr>
        <w:t>"</w:t>
      </w:r>
      <w:r w:rsidR="00F1424D" w:rsidRPr="00847696">
        <w:rPr>
          <w:rFonts w:ascii="Times New Roman" w:hAnsi="Times New Roman"/>
        </w:rPr>
        <w:t>exclude others from making, using, offering for sale</w:t>
      </w:r>
      <w:r w:rsidR="00A7379F" w:rsidRPr="00847696">
        <w:rPr>
          <w:rFonts w:ascii="Times New Roman" w:hAnsi="Times New Roman"/>
        </w:rPr>
        <w:t>,</w:t>
      </w:r>
      <w:r w:rsidR="00F1424D" w:rsidRPr="00847696">
        <w:rPr>
          <w:rFonts w:ascii="Times New Roman" w:hAnsi="Times New Roman"/>
        </w:rPr>
        <w:t xml:space="preserve"> or selling [</w:t>
      </w:r>
      <w:r w:rsidR="00C34FD5" w:rsidRPr="00847696">
        <w:rPr>
          <w:rFonts w:ascii="Times New Roman" w:hAnsi="Times New Roman"/>
        </w:rPr>
        <w:t>a patentee's</w:t>
      </w:r>
      <w:r w:rsidR="00F1424D" w:rsidRPr="00847696">
        <w:rPr>
          <w:rFonts w:ascii="Times New Roman" w:hAnsi="Times New Roman"/>
        </w:rPr>
        <w:t>] invention</w:t>
      </w:r>
      <w:r w:rsidR="005C4CB7" w:rsidRPr="00847696">
        <w:rPr>
          <w:rFonts w:ascii="Times New Roman" w:hAnsi="Times New Roman"/>
        </w:rPr>
        <w:t>[</w:t>
      </w:r>
      <w:r w:rsidR="00F1424D" w:rsidRPr="00847696">
        <w:rPr>
          <w:rFonts w:ascii="Times New Roman" w:hAnsi="Times New Roman"/>
        </w:rPr>
        <w:t>s</w:t>
      </w:r>
      <w:r w:rsidR="005C4CB7" w:rsidRPr="00847696">
        <w:rPr>
          <w:rFonts w:ascii="Times New Roman" w:hAnsi="Times New Roman"/>
        </w:rPr>
        <w:t>]</w:t>
      </w:r>
      <w:r w:rsidR="00F676E4" w:rsidRPr="00847696">
        <w:rPr>
          <w:rFonts w:ascii="Times New Roman" w:hAnsi="Times New Roman"/>
        </w:rPr>
        <w:t>". The landmark case, in 1853</w:t>
      </w:r>
      <w:r w:rsidR="00F676E4" w:rsidRPr="00847696">
        <w:rPr>
          <w:rStyle w:val="FootnoteReference"/>
          <w:rFonts w:ascii="Times New Roman" w:hAnsi="Times New Roman"/>
          <w:sz w:val="24"/>
        </w:rPr>
        <w:footnoteReference w:id="27"/>
      </w:r>
      <w:r w:rsidR="00163E6E" w:rsidRPr="00847696">
        <w:rPr>
          <w:rFonts w:ascii="Times New Roman" w:hAnsi="Times New Roman"/>
        </w:rPr>
        <w:t xml:space="preserve">, identified by his Honour was one to which reference had been made in </w:t>
      </w:r>
      <w:proofErr w:type="spellStart"/>
      <w:r w:rsidR="00163E6E" w:rsidRPr="00847696">
        <w:rPr>
          <w:rFonts w:ascii="Times New Roman" w:hAnsi="Times New Roman"/>
          <w:i/>
        </w:rPr>
        <w:t>Menck</w:t>
      </w:r>
      <w:proofErr w:type="spellEnd"/>
      <w:r w:rsidR="00163E6E" w:rsidRPr="00847696">
        <w:rPr>
          <w:rFonts w:ascii="Times New Roman" w:hAnsi="Times New Roman"/>
        </w:rPr>
        <w:t xml:space="preserve"> (High Court).</w:t>
      </w:r>
    </w:p>
    <w:p w14:paraId="21E39B10" w14:textId="706F9370" w:rsidR="004A268E" w:rsidRPr="00847696" w:rsidRDefault="004A268E"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Lexmark sold </w:t>
      </w:r>
      <w:r w:rsidR="007E03BE" w:rsidRPr="00847696">
        <w:rPr>
          <w:rFonts w:ascii="Times New Roman" w:hAnsi="Times New Roman"/>
        </w:rPr>
        <w:t xml:space="preserve">toner </w:t>
      </w:r>
      <w:r w:rsidRPr="00847696">
        <w:rPr>
          <w:rFonts w:ascii="Times New Roman" w:hAnsi="Times New Roman"/>
        </w:rPr>
        <w:t>cartridges the subject of its patents for use with laser printers. The used cartridges were refilled by Impression Products</w:t>
      </w:r>
      <w:r w:rsidR="00775406" w:rsidRPr="00847696">
        <w:rPr>
          <w:rFonts w:ascii="Times New Roman" w:hAnsi="Times New Roman"/>
        </w:rPr>
        <w:t>, among others,</w:t>
      </w:r>
      <w:r w:rsidRPr="00847696">
        <w:rPr>
          <w:rFonts w:ascii="Times New Roman" w:hAnsi="Times New Roman"/>
        </w:rPr>
        <w:t xml:space="preserve"> for resale and re</w:t>
      </w:r>
      <w:r w:rsidR="00A258EF" w:rsidRPr="00847696">
        <w:rPr>
          <w:rFonts w:ascii="Times New Roman" w:hAnsi="Times New Roman"/>
        </w:rPr>
        <w:t>-</w:t>
      </w:r>
      <w:r w:rsidRPr="00847696">
        <w:rPr>
          <w:rFonts w:ascii="Times New Roman" w:hAnsi="Times New Roman"/>
        </w:rPr>
        <w:t xml:space="preserve">use. In an endeavour to meet this competition Lexmark offered discounts to customers who agreed to use the cartridge only once and not to transfer the empty cartridge to anyone but Lexmark. It installed a microchip on each </w:t>
      </w:r>
      <w:r w:rsidR="00B20DCC" w:rsidRPr="00847696">
        <w:rPr>
          <w:rFonts w:ascii="Times New Roman" w:hAnsi="Times New Roman"/>
        </w:rPr>
        <w:t xml:space="preserve">such </w:t>
      </w:r>
      <w:r w:rsidRPr="00847696">
        <w:rPr>
          <w:rFonts w:ascii="Times New Roman" w:hAnsi="Times New Roman"/>
        </w:rPr>
        <w:t>cartridge that prevented re</w:t>
      </w:r>
      <w:r w:rsidR="003F13ED" w:rsidRPr="00847696">
        <w:rPr>
          <w:rFonts w:ascii="Times New Roman" w:hAnsi="Times New Roman"/>
        </w:rPr>
        <w:t>-</w:t>
      </w:r>
      <w:r w:rsidRPr="00847696">
        <w:rPr>
          <w:rFonts w:ascii="Times New Roman" w:hAnsi="Times New Roman"/>
        </w:rPr>
        <w:t>use. Its competitors, including Impression Products, developed methods to counter the microchip.</w:t>
      </w:r>
    </w:p>
    <w:p w14:paraId="33C082E4" w14:textId="3FD9E4B2" w:rsidR="004A268E" w:rsidRPr="00847696" w:rsidRDefault="004A268E" w:rsidP="00847696">
      <w:pPr>
        <w:pStyle w:val="FixListStyle"/>
        <w:spacing w:after="260" w:line="280" w:lineRule="exact"/>
        <w:ind w:right="0"/>
        <w:jc w:val="both"/>
        <w:rPr>
          <w:rFonts w:ascii="Times New Roman" w:hAnsi="Times New Roman"/>
        </w:rPr>
      </w:pPr>
      <w:r w:rsidRPr="00847696">
        <w:rPr>
          <w:rFonts w:ascii="Times New Roman" w:hAnsi="Times New Roman"/>
        </w:rPr>
        <w:tab/>
        <w:t>Lexmark brought proceedings for infringement of its patent constituted by the refurbishment and resale of the cartridges. A majority of the Supreme Court held that Lexmark had exhausted its patent rights in the cartridges "the moment it sold them". Their Honours acknowledged that the single</w:t>
      </w:r>
      <w:r w:rsidR="00822742" w:rsidRPr="00847696">
        <w:rPr>
          <w:rFonts w:ascii="Times New Roman" w:hAnsi="Times New Roman"/>
        </w:rPr>
        <w:t>-</w:t>
      </w:r>
      <w:r w:rsidRPr="00847696">
        <w:rPr>
          <w:rFonts w:ascii="Times New Roman" w:hAnsi="Times New Roman"/>
        </w:rPr>
        <w:t xml:space="preserve">use/no-resale restrictions in Lexmark's contracts with its customers may be enforceable under contract law but they did </w:t>
      </w:r>
      <w:r w:rsidR="00263F88" w:rsidRPr="00847696">
        <w:rPr>
          <w:rFonts w:ascii="Times New Roman" w:hAnsi="Times New Roman"/>
        </w:rPr>
        <w:t>"</w:t>
      </w:r>
      <w:r w:rsidRPr="00847696">
        <w:rPr>
          <w:rFonts w:ascii="Times New Roman" w:hAnsi="Times New Roman"/>
        </w:rPr>
        <w:t>not entitle Lexmark to retain patent rights in an item that it has elected to sell</w:t>
      </w:r>
      <w:r w:rsidR="00263F88" w:rsidRPr="00847696">
        <w:rPr>
          <w:rFonts w:ascii="Times New Roman" w:hAnsi="Times New Roman"/>
        </w:rPr>
        <w:t>"</w:t>
      </w:r>
      <w:r w:rsidRPr="00847696">
        <w:rPr>
          <w:rStyle w:val="FootnoteReference"/>
          <w:rFonts w:ascii="Times New Roman" w:hAnsi="Times New Roman"/>
          <w:sz w:val="24"/>
        </w:rPr>
        <w:footnoteReference w:id="28"/>
      </w:r>
      <w:r w:rsidRPr="00847696">
        <w:rPr>
          <w:rFonts w:ascii="Times New Roman" w:hAnsi="Times New Roman"/>
        </w:rPr>
        <w:t>.</w:t>
      </w:r>
    </w:p>
    <w:p w14:paraId="7B6A22A4" w14:textId="398F4EE1" w:rsidR="004A268E" w:rsidRPr="00847696" w:rsidRDefault="004A268E" w:rsidP="00847696">
      <w:pPr>
        <w:pStyle w:val="FixListStyle"/>
        <w:spacing w:after="260" w:line="280" w:lineRule="exact"/>
        <w:ind w:right="0"/>
        <w:jc w:val="both"/>
        <w:rPr>
          <w:rFonts w:ascii="Times New Roman" w:hAnsi="Times New Roman"/>
        </w:rPr>
      </w:pPr>
      <w:r w:rsidRPr="00847696">
        <w:rPr>
          <w:rFonts w:ascii="Times New Roman" w:hAnsi="Times New Roman"/>
        </w:rPr>
        <w:lastRenderedPageBreak/>
        <w:tab/>
        <w:t>Roberts CJ explained</w:t>
      </w:r>
      <w:r w:rsidRPr="00847696">
        <w:rPr>
          <w:rStyle w:val="FootnoteReference"/>
          <w:rFonts w:ascii="Times New Roman" w:hAnsi="Times New Roman"/>
          <w:sz w:val="24"/>
        </w:rPr>
        <w:footnoteReference w:id="29"/>
      </w:r>
      <w:r w:rsidRPr="00847696">
        <w:rPr>
          <w:rFonts w:ascii="Times New Roman" w:hAnsi="Times New Roman"/>
        </w:rPr>
        <w:t xml:space="preserve"> that the "exhaustion </w:t>
      </w:r>
      <w:r w:rsidR="006871DC" w:rsidRPr="00847696">
        <w:rPr>
          <w:rFonts w:ascii="Times New Roman" w:hAnsi="Times New Roman"/>
        </w:rPr>
        <w:t>doctrine</w:t>
      </w:r>
      <w:r w:rsidRPr="00847696">
        <w:rPr>
          <w:rFonts w:ascii="Times New Roman" w:hAnsi="Times New Roman"/>
        </w:rPr>
        <w:t xml:space="preserve">" is not a presumption that arises on sale, rather it recognises a limit on the scope of the patentee's statutory rights. His Honour said that a patentee is free to set the price and negotiate contracts with purchasers but </w:t>
      </w:r>
      <w:r w:rsidR="000323AB" w:rsidRPr="00847696">
        <w:rPr>
          <w:rFonts w:ascii="Times New Roman" w:hAnsi="Times New Roman"/>
        </w:rPr>
        <w:t>they</w:t>
      </w:r>
      <w:r w:rsidRPr="00847696">
        <w:rPr>
          <w:rFonts w:ascii="Times New Roman" w:hAnsi="Times New Roman"/>
        </w:rPr>
        <w:t xml:space="preserve"> may not</w:t>
      </w:r>
      <w:r w:rsidR="00A33659" w:rsidRPr="00847696">
        <w:rPr>
          <w:rFonts w:ascii="Times New Roman" w:hAnsi="Times New Roman"/>
        </w:rPr>
        <w:t>,</w:t>
      </w:r>
      <w:r w:rsidRPr="00847696">
        <w:rPr>
          <w:rFonts w:ascii="Times New Roman" w:hAnsi="Times New Roman"/>
        </w:rPr>
        <w:t xml:space="preserve"> "</w:t>
      </w:r>
      <w:r w:rsidR="00EC7B6C" w:rsidRPr="00847696">
        <w:rPr>
          <w:rFonts w:ascii="Times New Roman" w:hAnsi="Times New Roman"/>
        </w:rPr>
        <w:t>'</w:t>
      </w:r>
      <w:r w:rsidRPr="00847696">
        <w:rPr>
          <w:rFonts w:ascii="Times New Roman" w:hAnsi="Times New Roman"/>
        </w:rPr>
        <w:t>by virtue of his</w:t>
      </w:r>
      <w:r w:rsidR="00190F2A" w:rsidRPr="00847696">
        <w:rPr>
          <w:rFonts w:ascii="Times New Roman" w:hAnsi="Times New Roman"/>
        </w:rPr>
        <w:t xml:space="preserve"> </w:t>
      </w:r>
      <w:r w:rsidRPr="00847696">
        <w:rPr>
          <w:rFonts w:ascii="Times New Roman" w:hAnsi="Times New Roman"/>
        </w:rPr>
        <w:t>patent</w:t>
      </w:r>
      <w:r w:rsidR="00807EC6" w:rsidRPr="00847696">
        <w:rPr>
          <w:rFonts w:ascii="Times New Roman" w:hAnsi="Times New Roman"/>
        </w:rPr>
        <w:t>,</w:t>
      </w:r>
      <w:r w:rsidRPr="00847696">
        <w:rPr>
          <w:rFonts w:ascii="Times New Roman" w:hAnsi="Times New Roman"/>
        </w:rPr>
        <w:t xml:space="preserve"> control the use or disposition</w:t>
      </w:r>
      <w:r w:rsidR="00EC7B6C" w:rsidRPr="00847696">
        <w:rPr>
          <w:rFonts w:ascii="Times New Roman" w:hAnsi="Times New Roman"/>
        </w:rPr>
        <w:t>'</w:t>
      </w:r>
      <w:r w:rsidRPr="00847696">
        <w:rPr>
          <w:rFonts w:ascii="Times New Roman" w:hAnsi="Times New Roman"/>
        </w:rPr>
        <w:t xml:space="preserve"> of the product after ownership passes</w:t>
      </w:r>
      <w:r w:rsidR="00EC7B6C" w:rsidRPr="00847696">
        <w:rPr>
          <w:rFonts w:ascii="Times New Roman" w:hAnsi="Times New Roman"/>
        </w:rPr>
        <w:t>"</w:t>
      </w:r>
      <w:r w:rsidRPr="00847696">
        <w:rPr>
          <w:rStyle w:val="FootnoteReference"/>
          <w:rFonts w:ascii="Times New Roman" w:hAnsi="Times New Roman"/>
          <w:sz w:val="24"/>
        </w:rPr>
        <w:footnoteReference w:id="30"/>
      </w:r>
      <w:r w:rsidRPr="00847696">
        <w:rPr>
          <w:rFonts w:ascii="Times New Roman" w:hAnsi="Times New Roman"/>
        </w:rPr>
        <w:t xml:space="preserve">. </w:t>
      </w:r>
      <w:r w:rsidR="009A664B" w:rsidRPr="00847696">
        <w:rPr>
          <w:rFonts w:ascii="Times New Roman" w:hAnsi="Times New Roman"/>
        </w:rPr>
        <w:t xml:space="preserve">Acknowledging that the effect of a patent is to grant </w:t>
      </w:r>
      <w:r w:rsidR="00704D2B" w:rsidRPr="00847696">
        <w:rPr>
          <w:rFonts w:ascii="Times New Roman" w:hAnsi="Times New Roman"/>
        </w:rPr>
        <w:t xml:space="preserve">to a patentee </w:t>
      </w:r>
      <w:r w:rsidR="001D741C" w:rsidRPr="00847696">
        <w:rPr>
          <w:rFonts w:ascii="Times New Roman" w:hAnsi="Times New Roman"/>
        </w:rPr>
        <w:t xml:space="preserve">a right </w:t>
      </w:r>
      <w:r w:rsidR="00704D2B" w:rsidRPr="00847696">
        <w:rPr>
          <w:rFonts w:ascii="Times New Roman" w:hAnsi="Times New Roman"/>
        </w:rPr>
        <w:t xml:space="preserve">to prevent others from using or selling </w:t>
      </w:r>
      <w:r w:rsidR="008F1D9E" w:rsidRPr="00847696">
        <w:rPr>
          <w:rFonts w:ascii="Times New Roman" w:hAnsi="Times New Roman"/>
        </w:rPr>
        <w:t>their</w:t>
      </w:r>
      <w:r w:rsidR="00704D2B" w:rsidRPr="00847696">
        <w:rPr>
          <w:rFonts w:ascii="Times New Roman" w:hAnsi="Times New Roman"/>
        </w:rPr>
        <w:t xml:space="preserve"> product, his Honour explained that the </w:t>
      </w:r>
      <w:r w:rsidRPr="00847696">
        <w:rPr>
          <w:rFonts w:ascii="Times New Roman" w:hAnsi="Times New Roman"/>
        </w:rPr>
        <w:t>exhaustion doctrine regards that exclusionary power as extinguished when the product is sold. His Honour reiterated what had been said in the earlier cases – that when a patentee chooses to sell a patented product it "is no longer within the limits of the monopoly". Instead it becomes the "private, individual property</w:t>
      </w:r>
      <w:r w:rsidR="00F022EB" w:rsidRPr="00847696">
        <w:rPr>
          <w:rFonts w:ascii="Times New Roman" w:hAnsi="Times New Roman"/>
        </w:rPr>
        <w:t>"</w:t>
      </w:r>
      <w:r w:rsidRPr="00847696">
        <w:rPr>
          <w:rFonts w:ascii="Times New Roman" w:hAnsi="Times New Roman"/>
        </w:rPr>
        <w:t xml:space="preserve"> of the purchaser with all the rights and benefits of ownership</w:t>
      </w:r>
      <w:r w:rsidRPr="00847696">
        <w:rPr>
          <w:rStyle w:val="FootnoteReference"/>
          <w:rFonts w:ascii="Times New Roman" w:hAnsi="Times New Roman"/>
          <w:sz w:val="24"/>
        </w:rPr>
        <w:footnoteReference w:id="31"/>
      </w:r>
      <w:r w:rsidRPr="00847696">
        <w:rPr>
          <w:rFonts w:ascii="Times New Roman" w:hAnsi="Times New Roman"/>
        </w:rPr>
        <w:t>.</w:t>
      </w:r>
    </w:p>
    <w:p w14:paraId="31BFE829" w14:textId="54605BF2" w:rsidR="004A268E" w:rsidRPr="00847696" w:rsidRDefault="004A268E" w:rsidP="00847696">
      <w:pPr>
        <w:pStyle w:val="FixListStyle"/>
        <w:spacing w:after="260" w:line="280" w:lineRule="exact"/>
        <w:ind w:right="0"/>
        <w:jc w:val="both"/>
        <w:rPr>
          <w:rFonts w:ascii="Times New Roman" w:hAnsi="Times New Roman"/>
        </w:rPr>
      </w:pPr>
      <w:r w:rsidRPr="00847696">
        <w:rPr>
          <w:rFonts w:ascii="Times New Roman" w:hAnsi="Times New Roman"/>
        </w:rPr>
        <w:tab/>
        <w:t>Roberts CJ</w:t>
      </w:r>
      <w:r w:rsidRPr="00847696">
        <w:rPr>
          <w:rStyle w:val="FootnoteReference"/>
          <w:rFonts w:ascii="Times New Roman" w:hAnsi="Times New Roman"/>
          <w:sz w:val="24"/>
        </w:rPr>
        <w:footnoteReference w:id="32"/>
      </w:r>
      <w:r w:rsidRPr="00847696">
        <w:rPr>
          <w:rFonts w:ascii="Times New Roman" w:hAnsi="Times New Roman"/>
        </w:rPr>
        <w:t xml:space="preserve"> also referred to a case in 1918 which bears some similarity to the facts in </w:t>
      </w:r>
      <w:r w:rsidR="004B627F" w:rsidRPr="00847696">
        <w:rPr>
          <w:rFonts w:ascii="Times New Roman" w:hAnsi="Times New Roman"/>
        </w:rPr>
        <w:t xml:space="preserve">the </w:t>
      </w:r>
      <w:proofErr w:type="spellStart"/>
      <w:r w:rsidRPr="00847696">
        <w:rPr>
          <w:rFonts w:ascii="Times New Roman" w:hAnsi="Times New Roman"/>
          <w:i/>
        </w:rPr>
        <w:t>Menck</w:t>
      </w:r>
      <w:proofErr w:type="spellEnd"/>
      <w:r w:rsidR="004B627F" w:rsidRPr="00847696">
        <w:rPr>
          <w:rFonts w:ascii="Times New Roman" w:hAnsi="Times New Roman"/>
          <w:i/>
        </w:rPr>
        <w:t xml:space="preserve"> </w:t>
      </w:r>
      <w:r w:rsidR="004B627F" w:rsidRPr="00847696">
        <w:rPr>
          <w:rFonts w:ascii="Times New Roman" w:hAnsi="Times New Roman"/>
        </w:rPr>
        <w:t>decisions</w:t>
      </w:r>
      <w:r w:rsidRPr="00847696">
        <w:rPr>
          <w:rFonts w:ascii="Times New Roman" w:hAnsi="Times New Roman"/>
        </w:rPr>
        <w:t>. Retailers were required to resell graphophones at a specified price</w:t>
      </w:r>
      <w:r w:rsidR="006B1309" w:rsidRPr="00847696">
        <w:rPr>
          <w:rFonts w:ascii="Times New Roman" w:hAnsi="Times New Roman"/>
        </w:rPr>
        <w:t xml:space="preserve"> </w:t>
      </w:r>
      <w:r w:rsidR="008F3E5E" w:rsidRPr="00847696">
        <w:rPr>
          <w:rFonts w:ascii="Times New Roman" w:hAnsi="Times New Roman"/>
        </w:rPr>
        <w:t>pursuant to a contract with</w:t>
      </w:r>
      <w:r w:rsidR="006B1309" w:rsidRPr="00847696">
        <w:rPr>
          <w:rFonts w:ascii="Times New Roman" w:hAnsi="Times New Roman"/>
        </w:rPr>
        <w:t xml:space="preserve"> the </w:t>
      </w:r>
      <w:r w:rsidR="008F3E5E" w:rsidRPr="00847696">
        <w:rPr>
          <w:rFonts w:ascii="Times New Roman" w:hAnsi="Times New Roman"/>
        </w:rPr>
        <w:t>patentee</w:t>
      </w:r>
      <w:r w:rsidRPr="00847696">
        <w:rPr>
          <w:rFonts w:ascii="Times New Roman" w:hAnsi="Times New Roman"/>
        </w:rPr>
        <w:t>. When the agreement was breached the patentee sought to enforce the resale price agreement through patent infringement suits. The decision</w:t>
      </w:r>
      <w:r w:rsidR="006A26A6" w:rsidRPr="00847696">
        <w:rPr>
          <w:rStyle w:val="FootnoteReference"/>
          <w:rFonts w:ascii="Times New Roman" w:hAnsi="Times New Roman"/>
          <w:sz w:val="24"/>
        </w:rPr>
        <w:footnoteReference w:id="33"/>
      </w:r>
      <w:r w:rsidRPr="00847696">
        <w:rPr>
          <w:rFonts w:ascii="Times New Roman" w:hAnsi="Times New Roman"/>
        </w:rPr>
        <w:t xml:space="preserve"> did not turn upon the illegality of the restrictions, his Honour said, but the fact of sale. It was beyond controversy that by selling the graphophone the manufacturer placed it beyond patent law. The</w:t>
      </w:r>
      <w:r w:rsidR="0096646A" w:rsidRPr="00847696">
        <w:rPr>
          <w:rFonts w:ascii="Times New Roman" w:hAnsi="Times New Roman"/>
        </w:rPr>
        <w:t xml:space="preserve"> manufacturer</w:t>
      </w:r>
      <w:r w:rsidRPr="00847696">
        <w:rPr>
          <w:rFonts w:ascii="Times New Roman" w:hAnsi="Times New Roman"/>
        </w:rPr>
        <w:t xml:space="preserve"> could not, by imposing restrictions as to its use, keep it under the patent monopoly.</w:t>
      </w:r>
    </w:p>
    <w:p w14:paraId="2A3A4D07" w14:textId="56BB86B0" w:rsidR="004A268E" w:rsidRPr="00847696" w:rsidRDefault="004A268E" w:rsidP="00847696">
      <w:pPr>
        <w:pStyle w:val="FixListStyle"/>
        <w:spacing w:after="260" w:line="280" w:lineRule="exact"/>
        <w:ind w:right="0"/>
        <w:jc w:val="both"/>
        <w:rPr>
          <w:rFonts w:ascii="Times New Roman" w:hAnsi="Times New Roman"/>
        </w:rPr>
      </w:pPr>
      <w:r w:rsidRPr="00847696">
        <w:rPr>
          <w:rFonts w:ascii="Times New Roman" w:hAnsi="Times New Roman"/>
        </w:rPr>
        <w:tab/>
        <w:t>The polic</w:t>
      </w:r>
      <w:r w:rsidR="008B4AE3" w:rsidRPr="00847696">
        <w:rPr>
          <w:rFonts w:ascii="Times New Roman" w:hAnsi="Times New Roman"/>
        </w:rPr>
        <w:t>y</w:t>
      </w:r>
      <w:r w:rsidRPr="00847696">
        <w:rPr>
          <w:rFonts w:ascii="Times New Roman" w:hAnsi="Times New Roman"/>
        </w:rPr>
        <w:t xml:space="preserve"> underlying the exhaustion doctrine w</w:t>
      </w:r>
      <w:r w:rsidR="008B4AE3" w:rsidRPr="00847696">
        <w:rPr>
          <w:rFonts w:ascii="Times New Roman" w:hAnsi="Times New Roman"/>
        </w:rPr>
        <w:t>as</w:t>
      </w:r>
      <w:r w:rsidRPr="00847696">
        <w:rPr>
          <w:rFonts w:ascii="Times New Roman" w:hAnsi="Times New Roman"/>
        </w:rPr>
        <w:t xml:space="preserve"> said to involve both the public interest and the object of patent statutes. Roberts CJ observed</w:t>
      </w:r>
      <w:r w:rsidRPr="00847696">
        <w:rPr>
          <w:rStyle w:val="FootnoteReference"/>
          <w:rFonts w:ascii="Times New Roman" w:hAnsi="Times New Roman"/>
          <w:sz w:val="24"/>
        </w:rPr>
        <w:footnoteReference w:id="34"/>
      </w:r>
      <w:r w:rsidRPr="00847696">
        <w:rPr>
          <w:rFonts w:ascii="Times New Roman" w:hAnsi="Times New Roman"/>
        </w:rPr>
        <w:t xml:space="preserve"> that since at </w:t>
      </w:r>
      <w:r w:rsidRPr="00847696">
        <w:rPr>
          <w:rFonts w:ascii="Times New Roman" w:hAnsi="Times New Roman"/>
        </w:rPr>
        <w:lastRenderedPageBreak/>
        <w:t>least the time of Lord Coke</w:t>
      </w:r>
      <w:r w:rsidRPr="00847696">
        <w:rPr>
          <w:rStyle w:val="FootnoteReference"/>
          <w:rFonts w:ascii="Times New Roman" w:hAnsi="Times New Roman"/>
          <w:sz w:val="24"/>
        </w:rPr>
        <w:footnoteReference w:id="35"/>
      </w:r>
      <w:r w:rsidRPr="00847696">
        <w:rPr>
          <w:rFonts w:ascii="Times New Roman" w:hAnsi="Times New Roman"/>
        </w:rPr>
        <w:t xml:space="preserve"> restrictions on the resale or use of an item after it</w:t>
      </w:r>
      <w:r w:rsidR="00E048F8" w:rsidRPr="00847696">
        <w:rPr>
          <w:rFonts w:ascii="Times New Roman" w:hAnsi="Times New Roman"/>
        </w:rPr>
        <w:t>s sale</w:t>
      </w:r>
      <w:r w:rsidRPr="00847696">
        <w:rPr>
          <w:rFonts w:ascii="Times New Roman" w:hAnsi="Times New Roman"/>
        </w:rPr>
        <w:t xml:space="preserve"> have been held void a</w:t>
      </w:r>
      <w:r w:rsidR="00D34DF8" w:rsidRPr="00847696">
        <w:rPr>
          <w:rFonts w:ascii="Times New Roman" w:hAnsi="Times New Roman"/>
        </w:rPr>
        <w:t>s</w:t>
      </w:r>
      <w:r w:rsidRPr="00847696">
        <w:rPr>
          <w:rFonts w:ascii="Times New Roman" w:hAnsi="Times New Roman"/>
        </w:rPr>
        <w:t xml:space="preserve"> contrary to the public interest. Patent statutes promote the progress of science by granting a limited monopoly to inventors to secure the financial rewards for their invention</w:t>
      </w:r>
      <w:r w:rsidR="0092068A" w:rsidRPr="00847696">
        <w:rPr>
          <w:rFonts w:ascii="Times New Roman" w:hAnsi="Times New Roman"/>
        </w:rPr>
        <w:t>s</w:t>
      </w:r>
      <w:r w:rsidRPr="00847696">
        <w:rPr>
          <w:rFonts w:ascii="Times New Roman" w:hAnsi="Times New Roman"/>
        </w:rPr>
        <w:t>. But once a patentee sells an item</w:t>
      </w:r>
      <w:r w:rsidR="00C50493" w:rsidRPr="00847696">
        <w:rPr>
          <w:rFonts w:ascii="Times New Roman" w:hAnsi="Times New Roman"/>
        </w:rPr>
        <w:t>,</w:t>
      </w:r>
      <w:r w:rsidRPr="00847696">
        <w:rPr>
          <w:rFonts w:ascii="Times New Roman" w:hAnsi="Times New Roman"/>
        </w:rPr>
        <w:t xml:space="preserve"> </w:t>
      </w:r>
      <w:r w:rsidR="002F37C9" w:rsidRPr="00847696">
        <w:rPr>
          <w:rFonts w:ascii="Times New Roman" w:hAnsi="Times New Roman"/>
        </w:rPr>
        <w:t>they</w:t>
      </w:r>
      <w:r w:rsidRPr="00847696">
        <w:rPr>
          <w:rFonts w:ascii="Times New Roman" w:hAnsi="Times New Roman"/>
        </w:rPr>
        <w:t xml:space="preserve"> ha</w:t>
      </w:r>
      <w:r w:rsidR="002F37C9" w:rsidRPr="00847696">
        <w:rPr>
          <w:rFonts w:ascii="Times New Roman" w:hAnsi="Times New Roman"/>
        </w:rPr>
        <w:t>ve</w:t>
      </w:r>
      <w:r w:rsidRPr="00847696">
        <w:rPr>
          <w:rFonts w:ascii="Times New Roman" w:hAnsi="Times New Roman"/>
        </w:rPr>
        <w:t xml:space="preserve"> enjoyed the rights secured by that monopoly and the purpose of the patent law is fulfilled.</w:t>
      </w:r>
    </w:p>
    <w:p w14:paraId="19A9E11C" w14:textId="40CFEBF6" w:rsidR="004A268E" w:rsidRPr="00847696" w:rsidRDefault="004A268E" w:rsidP="00847696">
      <w:pPr>
        <w:pStyle w:val="FixListStyle"/>
        <w:spacing w:after="260" w:line="280" w:lineRule="exact"/>
        <w:ind w:right="0"/>
        <w:jc w:val="both"/>
        <w:rPr>
          <w:rFonts w:ascii="Times New Roman" w:hAnsi="Times New Roman"/>
        </w:rPr>
      </w:pPr>
      <w:r w:rsidRPr="00847696">
        <w:rPr>
          <w:rFonts w:ascii="Times New Roman" w:hAnsi="Times New Roman"/>
        </w:rPr>
        <w:tab/>
        <w:t>A similar policy is said</w:t>
      </w:r>
      <w:r w:rsidRPr="00847696">
        <w:rPr>
          <w:rStyle w:val="FootnoteReference"/>
          <w:rFonts w:ascii="Times New Roman" w:hAnsi="Times New Roman"/>
          <w:sz w:val="24"/>
        </w:rPr>
        <w:footnoteReference w:id="36"/>
      </w:r>
      <w:r w:rsidRPr="00847696">
        <w:rPr>
          <w:rFonts w:ascii="Times New Roman" w:hAnsi="Times New Roman"/>
        </w:rPr>
        <w:t xml:space="preserve"> to have been the original rationale for the exhaustion doctrine applied by the Court of Justice</w:t>
      </w:r>
      <w:r w:rsidR="0020188A" w:rsidRPr="00847696">
        <w:rPr>
          <w:rFonts w:ascii="Times New Roman" w:hAnsi="Times New Roman"/>
        </w:rPr>
        <w:t xml:space="preserve"> of the European Union</w:t>
      </w:r>
      <w:r w:rsidRPr="00847696">
        <w:rPr>
          <w:rStyle w:val="FootnoteReference"/>
          <w:rFonts w:ascii="Times New Roman" w:hAnsi="Times New Roman"/>
          <w:sz w:val="24"/>
        </w:rPr>
        <w:footnoteReference w:id="37"/>
      </w:r>
      <w:r w:rsidRPr="00847696">
        <w:rPr>
          <w:rFonts w:ascii="Times New Roman" w:hAnsi="Times New Roman"/>
        </w:rPr>
        <w:t xml:space="preserve">. Once an intellectual property right owner has received their reward by marketing a product in the European Union they cannot prevent the further circulation of that product in the market. The doctrine is used to balance the </w:t>
      </w:r>
      <w:r w:rsidR="00B1032F" w:rsidRPr="00847696">
        <w:rPr>
          <w:rFonts w:ascii="Times New Roman" w:hAnsi="Times New Roman"/>
        </w:rPr>
        <w:t>exclusive</w:t>
      </w:r>
      <w:r w:rsidR="001E757D" w:rsidRPr="00847696">
        <w:rPr>
          <w:rFonts w:ascii="Times New Roman" w:hAnsi="Times New Roman"/>
        </w:rPr>
        <w:t xml:space="preserve"> rights of intellectual property </w:t>
      </w:r>
      <w:r w:rsidR="00802D49" w:rsidRPr="00847696">
        <w:rPr>
          <w:rFonts w:ascii="Times New Roman" w:hAnsi="Times New Roman"/>
        </w:rPr>
        <w:t>owners with the</w:t>
      </w:r>
      <w:r w:rsidRPr="00847696">
        <w:rPr>
          <w:rFonts w:ascii="Times New Roman" w:hAnsi="Times New Roman"/>
        </w:rPr>
        <w:t xml:space="preserve"> protection of the internal market as an area in which the free movement of goods is ensured</w:t>
      </w:r>
      <w:r w:rsidRPr="00847696">
        <w:rPr>
          <w:rStyle w:val="FootnoteReference"/>
          <w:rFonts w:ascii="Times New Roman" w:hAnsi="Times New Roman"/>
          <w:sz w:val="24"/>
        </w:rPr>
        <w:footnoteReference w:id="38"/>
      </w:r>
      <w:r w:rsidRPr="00847696">
        <w:rPr>
          <w:rFonts w:ascii="Times New Roman" w:hAnsi="Times New Roman"/>
        </w:rPr>
        <w:t>.</w:t>
      </w:r>
    </w:p>
    <w:p w14:paraId="252DA14D" w14:textId="434FB147" w:rsidR="004A268E" w:rsidRPr="00847696" w:rsidRDefault="004A268E" w:rsidP="00847696">
      <w:pPr>
        <w:pStyle w:val="FixListStyle"/>
        <w:spacing w:after="260" w:line="280" w:lineRule="exact"/>
        <w:ind w:right="0"/>
        <w:jc w:val="both"/>
        <w:rPr>
          <w:rFonts w:ascii="Times New Roman" w:hAnsi="Times New Roman"/>
        </w:rPr>
      </w:pPr>
      <w:r w:rsidRPr="00847696">
        <w:rPr>
          <w:rFonts w:ascii="Times New Roman" w:hAnsi="Times New Roman"/>
        </w:rPr>
        <w:tab/>
        <w:t>The development of the exhaustion doctrine in the European Union has been traced</w:t>
      </w:r>
      <w:r w:rsidRPr="00847696">
        <w:rPr>
          <w:rStyle w:val="FootnoteReference"/>
          <w:rFonts w:ascii="Times New Roman" w:hAnsi="Times New Roman"/>
          <w:sz w:val="24"/>
        </w:rPr>
        <w:footnoteReference w:id="39"/>
      </w:r>
      <w:r w:rsidRPr="00847696">
        <w:rPr>
          <w:rFonts w:ascii="Times New Roman" w:hAnsi="Times New Roman"/>
        </w:rPr>
        <w:t xml:space="preserve"> to a publication in Germany in 1900, not long before the </w:t>
      </w:r>
      <w:proofErr w:type="spellStart"/>
      <w:r w:rsidRPr="00847696">
        <w:rPr>
          <w:rFonts w:ascii="Times New Roman" w:hAnsi="Times New Roman"/>
          <w:i/>
        </w:rPr>
        <w:t>Menck</w:t>
      </w:r>
      <w:proofErr w:type="spellEnd"/>
      <w:r w:rsidRPr="00847696">
        <w:rPr>
          <w:rFonts w:ascii="Times New Roman" w:hAnsi="Times New Roman"/>
        </w:rPr>
        <w:t xml:space="preserve"> decisions. The author reasoned from </w:t>
      </w:r>
      <w:r w:rsidR="002C0933" w:rsidRPr="00847696">
        <w:rPr>
          <w:rFonts w:ascii="Times New Roman" w:hAnsi="Times New Roman"/>
        </w:rPr>
        <w:t xml:space="preserve">factors </w:t>
      </w:r>
      <w:r w:rsidR="0002637C" w:rsidRPr="00847696">
        <w:rPr>
          <w:rFonts w:ascii="Times New Roman" w:hAnsi="Times New Roman"/>
        </w:rPr>
        <w:t xml:space="preserve">which </w:t>
      </w:r>
      <w:r w:rsidR="002C0933" w:rsidRPr="00847696">
        <w:rPr>
          <w:rFonts w:ascii="Times New Roman" w:hAnsi="Times New Roman"/>
        </w:rPr>
        <w:t>includ</w:t>
      </w:r>
      <w:r w:rsidR="0002637C" w:rsidRPr="00847696">
        <w:rPr>
          <w:rFonts w:ascii="Times New Roman" w:hAnsi="Times New Roman"/>
        </w:rPr>
        <w:t>ed</w:t>
      </w:r>
      <w:r w:rsidR="002C0933" w:rsidRPr="00847696">
        <w:rPr>
          <w:rFonts w:ascii="Times New Roman" w:hAnsi="Times New Roman"/>
        </w:rPr>
        <w:t xml:space="preserve"> </w:t>
      </w:r>
      <w:r w:rsidRPr="00847696">
        <w:rPr>
          <w:rFonts w:ascii="Times New Roman" w:hAnsi="Times New Roman"/>
        </w:rPr>
        <w:t xml:space="preserve">the purpose of the monopolistic rights to conclude that the reward should be obtained once for each product. Once the patentee </w:t>
      </w:r>
      <w:r w:rsidR="00090C58" w:rsidRPr="00847696">
        <w:rPr>
          <w:rFonts w:ascii="Times New Roman" w:hAnsi="Times New Roman"/>
        </w:rPr>
        <w:t xml:space="preserve">themselves </w:t>
      </w:r>
      <w:r w:rsidRPr="00847696">
        <w:rPr>
          <w:rFonts w:ascii="Times New Roman" w:hAnsi="Times New Roman"/>
        </w:rPr>
        <w:t xml:space="preserve">had used the patented invention with </w:t>
      </w:r>
      <w:r w:rsidRPr="00847696">
        <w:rPr>
          <w:rFonts w:ascii="Times New Roman" w:hAnsi="Times New Roman"/>
        </w:rPr>
        <w:lastRenderedPageBreak/>
        <w:t xml:space="preserve">respect to a certain product, whether by way of sale or otherwise, </w:t>
      </w:r>
      <w:r w:rsidR="00E93E28" w:rsidRPr="00847696">
        <w:rPr>
          <w:rFonts w:ascii="Times New Roman" w:hAnsi="Times New Roman"/>
        </w:rPr>
        <w:t>they</w:t>
      </w:r>
      <w:r w:rsidR="00090C58" w:rsidRPr="00847696">
        <w:rPr>
          <w:rFonts w:ascii="Times New Roman" w:hAnsi="Times New Roman"/>
        </w:rPr>
        <w:t xml:space="preserve"> </w:t>
      </w:r>
      <w:r w:rsidRPr="00847696">
        <w:rPr>
          <w:rFonts w:ascii="Times New Roman" w:hAnsi="Times New Roman"/>
        </w:rPr>
        <w:t xml:space="preserve">could </w:t>
      </w:r>
      <w:r w:rsidR="00CA676D" w:rsidRPr="00847696">
        <w:rPr>
          <w:rFonts w:ascii="Times New Roman" w:hAnsi="Times New Roman"/>
        </w:rPr>
        <w:t>no longer</w:t>
      </w:r>
      <w:r w:rsidRPr="00847696">
        <w:rPr>
          <w:rFonts w:ascii="Times New Roman" w:hAnsi="Times New Roman"/>
        </w:rPr>
        <w:t xml:space="preserve"> exercise those patent rights for </w:t>
      </w:r>
      <w:r w:rsidR="00F12875" w:rsidRPr="00847696">
        <w:rPr>
          <w:rFonts w:ascii="Times New Roman" w:hAnsi="Times New Roman"/>
        </w:rPr>
        <w:t xml:space="preserve">that </w:t>
      </w:r>
      <w:r w:rsidRPr="00847696">
        <w:rPr>
          <w:rFonts w:ascii="Times New Roman" w:hAnsi="Times New Roman"/>
        </w:rPr>
        <w:t>specific product</w:t>
      </w:r>
      <w:r w:rsidR="005402C8" w:rsidRPr="00847696">
        <w:rPr>
          <w:rStyle w:val="FootnoteReference"/>
          <w:rFonts w:ascii="Times New Roman" w:hAnsi="Times New Roman"/>
          <w:sz w:val="24"/>
        </w:rPr>
        <w:footnoteReference w:id="40"/>
      </w:r>
      <w:r w:rsidRPr="00847696">
        <w:rPr>
          <w:rFonts w:ascii="Times New Roman" w:hAnsi="Times New Roman"/>
        </w:rPr>
        <w:t>.</w:t>
      </w:r>
    </w:p>
    <w:p w14:paraId="1644FB88" w14:textId="6350D126" w:rsidR="00381641" w:rsidRPr="00847696" w:rsidRDefault="00055980" w:rsidP="00847696">
      <w:pPr>
        <w:pStyle w:val="HeadingL1"/>
        <w:spacing w:after="260" w:line="280" w:lineRule="exact"/>
        <w:ind w:right="0"/>
        <w:jc w:val="both"/>
        <w:rPr>
          <w:rFonts w:ascii="Times New Roman" w:hAnsi="Times New Roman"/>
        </w:rPr>
      </w:pPr>
      <w:r w:rsidRPr="00847696">
        <w:rPr>
          <w:rFonts w:ascii="Times New Roman" w:hAnsi="Times New Roman"/>
        </w:rPr>
        <w:t xml:space="preserve">The </w:t>
      </w:r>
      <w:r w:rsidRPr="00847696">
        <w:rPr>
          <w:rFonts w:ascii="Times New Roman" w:hAnsi="Times New Roman"/>
          <w:i/>
        </w:rPr>
        <w:t>Patents Act</w:t>
      </w:r>
      <w:r w:rsidRPr="00847696">
        <w:rPr>
          <w:rFonts w:ascii="Times New Roman" w:hAnsi="Times New Roman"/>
        </w:rPr>
        <w:t xml:space="preserve"> </w:t>
      </w:r>
      <w:r w:rsidR="002477CA" w:rsidRPr="00847696">
        <w:rPr>
          <w:rFonts w:ascii="Times New Roman" w:hAnsi="Times New Roman"/>
          <w:i/>
        </w:rPr>
        <w:t xml:space="preserve">1990 </w:t>
      </w:r>
      <w:r w:rsidR="002477CA" w:rsidRPr="00847696">
        <w:rPr>
          <w:rFonts w:ascii="Times New Roman" w:hAnsi="Times New Roman"/>
        </w:rPr>
        <w:t>and</w:t>
      </w:r>
      <w:r w:rsidR="002477CA" w:rsidRPr="00847696">
        <w:rPr>
          <w:rFonts w:ascii="Times New Roman" w:hAnsi="Times New Roman"/>
          <w:i/>
        </w:rPr>
        <w:t xml:space="preserve"> </w:t>
      </w:r>
      <w:r w:rsidRPr="00847696">
        <w:rPr>
          <w:rFonts w:ascii="Times New Roman" w:hAnsi="Times New Roman"/>
        </w:rPr>
        <w:t>the right to exploit</w:t>
      </w:r>
    </w:p>
    <w:p w14:paraId="7573A68B" w14:textId="1FAF6F0E" w:rsidR="00F21221" w:rsidRPr="00847696" w:rsidRDefault="00F21221"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590ACF" w:rsidRPr="00847696">
        <w:rPr>
          <w:rFonts w:ascii="Times New Roman" w:hAnsi="Times New Roman"/>
        </w:rPr>
        <w:t>The scope of the right to exploit given by the</w:t>
      </w:r>
      <w:r w:rsidRPr="00847696">
        <w:rPr>
          <w:rFonts w:ascii="Times New Roman" w:hAnsi="Times New Roman"/>
        </w:rPr>
        <w:t xml:space="preserve"> </w:t>
      </w:r>
      <w:r w:rsidRPr="00847696">
        <w:rPr>
          <w:rFonts w:ascii="Times New Roman" w:hAnsi="Times New Roman"/>
          <w:i/>
        </w:rPr>
        <w:t>Patent</w:t>
      </w:r>
      <w:r w:rsidR="00303252" w:rsidRPr="00847696">
        <w:rPr>
          <w:rFonts w:ascii="Times New Roman" w:hAnsi="Times New Roman"/>
          <w:i/>
        </w:rPr>
        <w:t>s</w:t>
      </w:r>
      <w:r w:rsidRPr="00847696">
        <w:rPr>
          <w:rFonts w:ascii="Times New Roman" w:hAnsi="Times New Roman"/>
          <w:i/>
        </w:rPr>
        <w:t xml:space="preserve"> Act 1990</w:t>
      </w:r>
      <w:r w:rsidRPr="00847696">
        <w:rPr>
          <w:rFonts w:ascii="Times New Roman" w:hAnsi="Times New Roman"/>
        </w:rPr>
        <w:t xml:space="preserve"> </w:t>
      </w:r>
      <w:r w:rsidR="00F70DEE" w:rsidRPr="00847696">
        <w:rPr>
          <w:rFonts w:ascii="Times New Roman" w:hAnsi="Times New Roman"/>
        </w:rPr>
        <w:t>(</w:t>
      </w:r>
      <w:proofErr w:type="spellStart"/>
      <w:r w:rsidR="00F70DEE" w:rsidRPr="00847696">
        <w:rPr>
          <w:rFonts w:ascii="Times New Roman" w:hAnsi="Times New Roman"/>
        </w:rPr>
        <w:t>Cth</w:t>
      </w:r>
      <w:proofErr w:type="spellEnd"/>
      <w:r w:rsidR="00F70DEE" w:rsidRPr="00847696">
        <w:rPr>
          <w:rFonts w:ascii="Times New Roman" w:hAnsi="Times New Roman"/>
        </w:rPr>
        <w:t xml:space="preserve">) </w:t>
      </w:r>
      <w:r w:rsidR="00590ACF" w:rsidRPr="00847696">
        <w:rPr>
          <w:rFonts w:ascii="Times New Roman" w:hAnsi="Times New Roman"/>
        </w:rPr>
        <w:t>is to be ascertained by reference to s 13(</w:t>
      </w:r>
      <w:r w:rsidR="008B18B2" w:rsidRPr="00847696">
        <w:rPr>
          <w:rFonts w:ascii="Times New Roman" w:hAnsi="Times New Roman"/>
        </w:rPr>
        <w:t>1) of the Act read with the definition of the term "exploit" in Sch 1 to the Act. Section 13(1) provides:</w:t>
      </w:r>
    </w:p>
    <w:p w14:paraId="3695F47B" w14:textId="77777777" w:rsidR="00847696" w:rsidRDefault="00112015" w:rsidP="00847696">
      <w:pPr>
        <w:pStyle w:val="LeftrightHanging"/>
        <w:spacing w:before="0" w:after="260" w:line="280" w:lineRule="exact"/>
        <w:ind w:left="720" w:right="0" w:firstLine="0"/>
        <w:jc w:val="both"/>
        <w:rPr>
          <w:rFonts w:ascii="Times New Roman" w:hAnsi="Times New Roman"/>
        </w:rPr>
      </w:pPr>
      <w:r w:rsidRPr="00847696">
        <w:rPr>
          <w:rFonts w:ascii="Times New Roman" w:hAnsi="Times New Roman"/>
        </w:rPr>
        <w:t xml:space="preserve">"Subject to this Act, a patent gives the patentee the exclusive </w:t>
      </w:r>
      <w:r w:rsidR="003703DB" w:rsidRPr="00847696">
        <w:rPr>
          <w:rFonts w:ascii="Times New Roman" w:hAnsi="Times New Roman"/>
        </w:rPr>
        <w:t>rights, during the ter</w:t>
      </w:r>
      <w:r w:rsidR="00FE730B" w:rsidRPr="00847696">
        <w:rPr>
          <w:rFonts w:ascii="Times New Roman" w:hAnsi="Times New Roman"/>
        </w:rPr>
        <w:t>m</w:t>
      </w:r>
      <w:r w:rsidR="003703DB" w:rsidRPr="00847696">
        <w:rPr>
          <w:rFonts w:ascii="Times New Roman" w:hAnsi="Times New Roman"/>
        </w:rPr>
        <w:t xml:space="preserve"> of the patent, to exploit the invention and to authorise another person to exploit the invention.</w:t>
      </w:r>
      <w:r w:rsidR="00FE730B" w:rsidRPr="00847696">
        <w:rPr>
          <w:rFonts w:ascii="Times New Roman" w:hAnsi="Times New Roman"/>
        </w:rPr>
        <w:t>"</w:t>
      </w:r>
    </w:p>
    <w:p w14:paraId="4FFE86BC" w14:textId="51DD6C70" w:rsidR="00D148BE" w:rsidRPr="00847696" w:rsidRDefault="00FE730B"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967E47" w:rsidRPr="00847696">
        <w:rPr>
          <w:rFonts w:ascii="Times New Roman" w:hAnsi="Times New Roman"/>
        </w:rPr>
        <w:t xml:space="preserve">The </w:t>
      </w:r>
      <w:r w:rsidR="00967E47" w:rsidRPr="00847696">
        <w:rPr>
          <w:rFonts w:ascii="Times New Roman" w:hAnsi="Times New Roman"/>
          <w:i/>
        </w:rPr>
        <w:t>Patent</w:t>
      </w:r>
      <w:r w:rsidR="00A45574" w:rsidRPr="00847696">
        <w:rPr>
          <w:rFonts w:ascii="Times New Roman" w:hAnsi="Times New Roman"/>
          <w:i/>
        </w:rPr>
        <w:t>s</w:t>
      </w:r>
      <w:r w:rsidR="00967E47" w:rsidRPr="00847696">
        <w:rPr>
          <w:rFonts w:ascii="Times New Roman" w:hAnsi="Times New Roman"/>
          <w:i/>
        </w:rPr>
        <w:t xml:space="preserve"> Act</w:t>
      </w:r>
      <w:r w:rsidR="007A16AF" w:rsidRPr="00847696">
        <w:rPr>
          <w:rFonts w:ascii="Times New Roman" w:hAnsi="Times New Roman"/>
          <w:i/>
        </w:rPr>
        <w:t xml:space="preserve"> 1990</w:t>
      </w:r>
      <w:r w:rsidR="00967E47" w:rsidRPr="00847696">
        <w:rPr>
          <w:rFonts w:ascii="Times New Roman" w:hAnsi="Times New Roman"/>
          <w:i/>
        </w:rPr>
        <w:t xml:space="preserve"> </w:t>
      </w:r>
      <w:r w:rsidR="001B7186" w:rsidRPr="00847696">
        <w:rPr>
          <w:rFonts w:ascii="Times New Roman" w:hAnsi="Times New Roman"/>
        </w:rPr>
        <w:t>provides for infringement proceedings to be brought to enforce the rights</w:t>
      </w:r>
      <w:r w:rsidR="005525F0" w:rsidRPr="00847696">
        <w:rPr>
          <w:rStyle w:val="FootnoteReference"/>
          <w:rFonts w:ascii="Times New Roman" w:hAnsi="Times New Roman"/>
          <w:sz w:val="24"/>
        </w:rPr>
        <w:footnoteReference w:id="41"/>
      </w:r>
      <w:r w:rsidR="008C5DDC" w:rsidRPr="00847696">
        <w:rPr>
          <w:rFonts w:ascii="Times New Roman" w:hAnsi="Times New Roman"/>
        </w:rPr>
        <w:t xml:space="preserve"> </w:t>
      </w:r>
      <w:r w:rsidR="00FD0BE5" w:rsidRPr="00847696">
        <w:rPr>
          <w:rFonts w:ascii="Times New Roman" w:hAnsi="Times New Roman"/>
        </w:rPr>
        <w:t xml:space="preserve">referred to in s 13(1) </w:t>
      </w:r>
      <w:r w:rsidR="008C5DDC" w:rsidRPr="00847696">
        <w:rPr>
          <w:rFonts w:ascii="Times New Roman" w:hAnsi="Times New Roman"/>
        </w:rPr>
        <w:t xml:space="preserve">and for a patentee to obtain relief by way of injunction, damages or </w:t>
      </w:r>
      <w:r w:rsidR="00B72A84" w:rsidRPr="00847696">
        <w:rPr>
          <w:rFonts w:ascii="Times New Roman" w:hAnsi="Times New Roman"/>
        </w:rPr>
        <w:t xml:space="preserve">an </w:t>
      </w:r>
      <w:r w:rsidR="008C5DDC" w:rsidRPr="00847696">
        <w:rPr>
          <w:rFonts w:ascii="Times New Roman" w:hAnsi="Times New Roman"/>
        </w:rPr>
        <w:t>account of profits</w:t>
      </w:r>
      <w:r w:rsidR="00DB63A0" w:rsidRPr="00847696">
        <w:rPr>
          <w:rStyle w:val="FootnoteReference"/>
          <w:rFonts w:ascii="Times New Roman" w:hAnsi="Times New Roman"/>
          <w:sz w:val="24"/>
        </w:rPr>
        <w:footnoteReference w:id="42"/>
      </w:r>
      <w:r w:rsidR="00CA0EA4" w:rsidRPr="00847696">
        <w:rPr>
          <w:rFonts w:ascii="Times New Roman" w:hAnsi="Times New Roman"/>
        </w:rPr>
        <w:t xml:space="preserve">. </w:t>
      </w:r>
      <w:r w:rsidR="0035133C" w:rsidRPr="00847696">
        <w:rPr>
          <w:rFonts w:ascii="Times New Roman" w:hAnsi="Times New Roman"/>
        </w:rPr>
        <w:t xml:space="preserve">In </w:t>
      </w:r>
      <w:r w:rsidR="000A009E" w:rsidRPr="00847696">
        <w:rPr>
          <w:rFonts w:ascii="Times New Roman" w:hAnsi="Times New Roman"/>
          <w:i/>
        </w:rPr>
        <w:t>Northern Territory v Collins</w:t>
      </w:r>
      <w:r w:rsidR="000A009E" w:rsidRPr="00847696">
        <w:rPr>
          <w:rStyle w:val="FootnoteReference"/>
          <w:rFonts w:ascii="Times New Roman" w:hAnsi="Times New Roman"/>
          <w:sz w:val="24"/>
        </w:rPr>
        <w:footnoteReference w:id="43"/>
      </w:r>
      <w:r w:rsidR="00735BD5" w:rsidRPr="00847696">
        <w:rPr>
          <w:rFonts w:ascii="Times New Roman" w:hAnsi="Times New Roman"/>
        </w:rPr>
        <w:t xml:space="preserve">, </w:t>
      </w:r>
      <w:r w:rsidR="0035133C" w:rsidRPr="00847696">
        <w:rPr>
          <w:rFonts w:ascii="Times New Roman" w:hAnsi="Times New Roman"/>
        </w:rPr>
        <w:t xml:space="preserve">Gummow A-CJ and Kirby J observed </w:t>
      </w:r>
      <w:r w:rsidR="00A45574" w:rsidRPr="00847696">
        <w:rPr>
          <w:rFonts w:ascii="Times New Roman" w:hAnsi="Times New Roman"/>
        </w:rPr>
        <w:t xml:space="preserve">that </w:t>
      </w:r>
      <w:r w:rsidR="00FE6660" w:rsidRPr="00847696">
        <w:rPr>
          <w:rFonts w:ascii="Times New Roman" w:hAnsi="Times New Roman"/>
        </w:rPr>
        <w:t xml:space="preserve">no definition is provided </w:t>
      </w:r>
      <w:r w:rsidR="00B5492B" w:rsidRPr="00847696">
        <w:rPr>
          <w:rFonts w:ascii="Times New Roman" w:hAnsi="Times New Roman"/>
        </w:rPr>
        <w:t xml:space="preserve">in the Act </w:t>
      </w:r>
      <w:r w:rsidR="00FE6660" w:rsidRPr="00847696">
        <w:rPr>
          <w:rFonts w:ascii="Times New Roman" w:hAnsi="Times New Roman"/>
        </w:rPr>
        <w:t xml:space="preserve">for </w:t>
      </w:r>
      <w:r w:rsidR="00E63F30" w:rsidRPr="00847696">
        <w:rPr>
          <w:rFonts w:ascii="Times New Roman" w:hAnsi="Times New Roman"/>
        </w:rPr>
        <w:t>w</w:t>
      </w:r>
      <w:r w:rsidR="00FE6660" w:rsidRPr="00847696">
        <w:rPr>
          <w:rFonts w:ascii="Times New Roman" w:hAnsi="Times New Roman"/>
        </w:rPr>
        <w:t xml:space="preserve">hat constitutes an "infringement". </w:t>
      </w:r>
      <w:r w:rsidR="008C4016" w:rsidRPr="00847696">
        <w:rPr>
          <w:rFonts w:ascii="Times New Roman" w:hAnsi="Times New Roman"/>
        </w:rPr>
        <w:t xml:space="preserve">The statutory scheme instead focuses upon the exclusive rights given by the patent "as illuminated by the definition of </w:t>
      </w:r>
      <w:r w:rsidR="00A53575" w:rsidRPr="00847696">
        <w:rPr>
          <w:rFonts w:ascii="Times New Roman" w:hAnsi="Times New Roman"/>
        </w:rPr>
        <w:t>'</w:t>
      </w:r>
      <w:r w:rsidR="008C4016" w:rsidRPr="00847696">
        <w:rPr>
          <w:rFonts w:ascii="Times New Roman" w:hAnsi="Times New Roman"/>
        </w:rPr>
        <w:t>exploit</w:t>
      </w:r>
      <w:r w:rsidR="00A53575" w:rsidRPr="00847696">
        <w:rPr>
          <w:rFonts w:ascii="Times New Roman" w:hAnsi="Times New Roman"/>
        </w:rPr>
        <w:t>'</w:t>
      </w:r>
      <w:r w:rsidR="008B2285" w:rsidRPr="00847696">
        <w:rPr>
          <w:rFonts w:ascii="Times New Roman" w:hAnsi="Times New Roman"/>
        </w:rPr>
        <w:t>"</w:t>
      </w:r>
      <w:r w:rsidR="008C4016" w:rsidRPr="00847696">
        <w:rPr>
          <w:rStyle w:val="FootnoteReference"/>
          <w:rFonts w:ascii="Times New Roman" w:hAnsi="Times New Roman"/>
          <w:sz w:val="24"/>
        </w:rPr>
        <w:footnoteReference w:id="44"/>
      </w:r>
      <w:r w:rsidR="00F56AF3" w:rsidRPr="00847696">
        <w:rPr>
          <w:rFonts w:ascii="Times New Roman" w:hAnsi="Times New Roman"/>
        </w:rPr>
        <w:t>.</w:t>
      </w:r>
    </w:p>
    <w:p w14:paraId="550E41D3" w14:textId="36AB6E2C" w:rsidR="00DF2520" w:rsidRPr="00847696" w:rsidRDefault="004B6E27"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The term "exploit" in relation to an invention which is a product is defined </w:t>
      </w:r>
      <w:r w:rsidR="008567C4" w:rsidRPr="00847696">
        <w:rPr>
          <w:rFonts w:ascii="Times New Roman" w:hAnsi="Times New Roman"/>
        </w:rPr>
        <w:t>to include</w:t>
      </w:r>
      <w:r w:rsidR="006C0089" w:rsidRPr="00847696">
        <w:rPr>
          <w:rStyle w:val="FootnoteReference"/>
          <w:rFonts w:ascii="Times New Roman" w:hAnsi="Times New Roman"/>
          <w:sz w:val="24"/>
        </w:rPr>
        <w:footnoteReference w:id="45"/>
      </w:r>
      <w:r w:rsidR="00DF2520" w:rsidRPr="00847696">
        <w:rPr>
          <w:rFonts w:ascii="Times New Roman" w:hAnsi="Times New Roman"/>
        </w:rPr>
        <w:t>:</w:t>
      </w:r>
    </w:p>
    <w:p w14:paraId="54266C26" w14:textId="77777777" w:rsidR="00847696" w:rsidRDefault="00DF2520" w:rsidP="00847696">
      <w:pPr>
        <w:pStyle w:val="LeftrightafterHC"/>
        <w:spacing w:before="0" w:after="260" w:line="280" w:lineRule="exact"/>
        <w:ind w:right="0"/>
        <w:jc w:val="both"/>
        <w:rPr>
          <w:rFonts w:ascii="Times New Roman" w:hAnsi="Times New Roman"/>
        </w:rPr>
      </w:pPr>
      <w:r w:rsidRPr="00847696">
        <w:rPr>
          <w:rFonts w:ascii="Times New Roman" w:hAnsi="Times New Roman"/>
        </w:rPr>
        <w:t>"make, hire, sell or otherwise dispose of the product, offer to make, sell, hire or otherwise dispose of it, use or import it, or keep it for the purpose of doing any of those things"</w:t>
      </w:r>
      <w:r w:rsidR="00A87C43" w:rsidRPr="00847696">
        <w:rPr>
          <w:rFonts w:ascii="Times New Roman" w:hAnsi="Times New Roman"/>
        </w:rPr>
        <w:t>.</w:t>
      </w:r>
    </w:p>
    <w:p w14:paraId="4C41AB95" w14:textId="5952AF92" w:rsidR="004B6E27" w:rsidRPr="00847696" w:rsidRDefault="0063287A" w:rsidP="00847696">
      <w:pPr>
        <w:pStyle w:val="FixListStyle"/>
        <w:spacing w:after="260" w:line="280" w:lineRule="exact"/>
        <w:ind w:right="0"/>
        <w:jc w:val="both"/>
        <w:rPr>
          <w:rFonts w:ascii="Times New Roman" w:hAnsi="Times New Roman"/>
        </w:rPr>
      </w:pPr>
      <w:r w:rsidRPr="00847696">
        <w:rPr>
          <w:rFonts w:ascii="Times New Roman" w:hAnsi="Times New Roman"/>
        </w:rPr>
        <w:lastRenderedPageBreak/>
        <w:tab/>
      </w:r>
      <w:r w:rsidR="0084697F" w:rsidRPr="00847696">
        <w:rPr>
          <w:rFonts w:ascii="Times New Roman" w:hAnsi="Times New Roman"/>
        </w:rPr>
        <w:t>The term "invention"</w:t>
      </w:r>
      <w:r w:rsidR="001328E7" w:rsidRPr="00847696">
        <w:rPr>
          <w:rFonts w:ascii="Times New Roman" w:hAnsi="Times New Roman"/>
        </w:rPr>
        <w:t xml:space="preserve"> means "any manner of new manufacture the subject of letters patent and grant of privilege within s</w:t>
      </w:r>
      <w:r w:rsidR="00917FB1" w:rsidRPr="00847696">
        <w:rPr>
          <w:rFonts w:ascii="Times New Roman" w:hAnsi="Times New Roman"/>
        </w:rPr>
        <w:t>ection</w:t>
      </w:r>
      <w:r w:rsidR="001328E7" w:rsidRPr="00847696">
        <w:rPr>
          <w:rFonts w:ascii="Times New Roman" w:hAnsi="Times New Roman"/>
        </w:rPr>
        <w:t> 6 of the Statute of Monopolies</w:t>
      </w:r>
      <w:r w:rsidR="00860AA7" w:rsidRPr="00847696">
        <w:rPr>
          <w:rFonts w:ascii="Times New Roman" w:hAnsi="Times New Roman"/>
        </w:rPr>
        <w:t>, and includes an alleged invention</w:t>
      </w:r>
      <w:r w:rsidR="00F66426" w:rsidRPr="00847696">
        <w:rPr>
          <w:rFonts w:ascii="Times New Roman" w:hAnsi="Times New Roman"/>
        </w:rPr>
        <w:t>"</w:t>
      </w:r>
      <w:r w:rsidR="002B1A8A" w:rsidRPr="00847696">
        <w:rPr>
          <w:rStyle w:val="FootnoteReference"/>
          <w:rFonts w:ascii="Times New Roman" w:hAnsi="Times New Roman"/>
          <w:sz w:val="24"/>
        </w:rPr>
        <w:footnoteReference w:id="46"/>
      </w:r>
      <w:r w:rsidR="001328E7" w:rsidRPr="00847696">
        <w:rPr>
          <w:rFonts w:ascii="Times New Roman" w:hAnsi="Times New Roman"/>
        </w:rPr>
        <w:t xml:space="preserve">. </w:t>
      </w:r>
      <w:r w:rsidR="00A67967" w:rsidRPr="00847696">
        <w:rPr>
          <w:rFonts w:ascii="Times New Roman" w:hAnsi="Times New Roman"/>
        </w:rPr>
        <w:t>An invention is disclosed in the complete specification of the patent</w:t>
      </w:r>
      <w:r w:rsidR="006C359D" w:rsidRPr="00847696">
        <w:rPr>
          <w:rStyle w:val="FootnoteReference"/>
          <w:rFonts w:ascii="Times New Roman" w:hAnsi="Times New Roman"/>
          <w:sz w:val="24"/>
        </w:rPr>
        <w:footnoteReference w:id="47"/>
      </w:r>
      <w:r w:rsidR="006C359D" w:rsidRPr="00847696">
        <w:rPr>
          <w:rFonts w:ascii="Times New Roman" w:hAnsi="Times New Roman"/>
        </w:rPr>
        <w:t xml:space="preserve">. </w:t>
      </w:r>
      <w:r w:rsidR="001328E7" w:rsidRPr="00847696">
        <w:rPr>
          <w:rFonts w:ascii="Times New Roman" w:hAnsi="Times New Roman"/>
        </w:rPr>
        <w:t xml:space="preserve">A "patented product" </w:t>
      </w:r>
      <w:r w:rsidR="00561009" w:rsidRPr="00847696">
        <w:rPr>
          <w:rFonts w:ascii="Times New Roman" w:hAnsi="Times New Roman"/>
        </w:rPr>
        <w:t xml:space="preserve">means </w:t>
      </w:r>
      <w:r w:rsidR="00A369A2" w:rsidRPr="00847696">
        <w:rPr>
          <w:rFonts w:ascii="Times New Roman" w:hAnsi="Times New Roman"/>
        </w:rPr>
        <w:t>"</w:t>
      </w:r>
      <w:r w:rsidR="00561009" w:rsidRPr="00847696">
        <w:rPr>
          <w:rFonts w:ascii="Times New Roman" w:hAnsi="Times New Roman"/>
        </w:rPr>
        <w:t>a product in respect of which a patent has been granted and is in force</w:t>
      </w:r>
      <w:r w:rsidR="00A369A2" w:rsidRPr="00847696">
        <w:rPr>
          <w:rFonts w:ascii="Times New Roman" w:hAnsi="Times New Roman"/>
        </w:rPr>
        <w:t>"</w:t>
      </w:r>
      <w:r w:rsidR="00854B69" w:rsidRPr="00847696">
        <w:rPr>
          <w:rStyle w:val="FootnoteReference"/>
          <w:rFonts w:ascii="Times New Roman" w:hAnsi="Times New Roman"/>
          <w:sz w:val="24"/>
        </w:rPr>
        <w:footnoteReference w:id="48"/>
      </w:r>
      <w:r w:rsidR="00561009" w:rsidRPr="00847696">
        <w:rPr>
          <w:rFonts w:ascii="Times New Roman" w:hAnsi="Times New Roman"/>
        </w:rPr>
        <w:t>.</w:t>
      </w:r>
    </w:p>
    <w:p w14:paraId="46E7BE38" w14:textId="68CC0AA6" w:rsidR="00481438" w:rsidRPr="00847696" w:rsidRDefault="00481438" w:rsidP="00847696">
      <w:pPr>
        <w:pStyle w:val="FixListStyle"/>
        <w:spacing w:after="260" w:line="280" w:lineRule="exact"/>
        <w:ind w:right="0"/>
        <w:jc w:val="both"/>
        <w:rPr>
          <w:rFonts w:ascii="Times New Roman" w:hAnsi="Times New Roman"/>
        </w:rPr>
      </w:pPr>
      <w:r w:rsidRPr="00847696">
        <w:rPr>
          <w:rFonts w:ascii="Times New Roman" w:hAnsi="Times New Roman"/>
        </w:rPr>
        <w:tab/>
        <w:t>The object of the Act</w:t>
      </w:r>
      <w:r w:rsidR="0000188C" w:rsidRPr="00847696">
        <w:rPr>
          <w:rFonts w:ascii="Times New Roman" w:hAnsi="Times New Roman"/>
        </w:rPr>
        <w:t xml:space="preserve"> is stated</w:t>
      </w:r>
      <w:r w:rsidRPr="00847696">
        <w:rPr>
          <w:rFonts w:ascii="Times New Roman" w:hAnsi="Times New Roman"/>
        </w:rPr>
        <w:t xml:space="preserve"> in s 2A</w:t>
      </w:r>
      <w:r w:rsidR="00A328C3" w:rsidRPr="00847696">
        <w:rPr>
          <w:rStyle w:val="FootnoteReference"/>
          <w:rFonts w:ascii="Times New Roman" w:hAnsi="Times New Roman"/>
          <w:sz w:val="24"/>
        </w:rPr>
        <w:footnoteReference w:id="49"/>
      </w:r>
      <w:r w:rsidRPr="00847696">
        <w:rPr>
          <w:rFonts w:ascii="Times New Roman" w:hAnsi="Times New Roman"/>
        </w:rPr>
        <w:t xml:space="preserve">, "to provide a patent system in Australia that promotes economic wellbeing through technological innovation and the transfer and dissemination </w:t>
      </w:r>
      <w:r w:rsidR="00084829" w:rsidRPr="00847696">
        <w:rPr>
          <w:rFonts w:ascii="Times New Roman" w:hAnsi="Times New Roman"/>
        </w:rPr>
        <w:t>of technology. In doing so, the patent system balances over time the interests of producers, owners and users of technology and the public".</w:t>
      </w:r>
    </w:p>
    <w:p w14:paraId="0F32937B" w14:textId="7916157B" w:rsidR="004D6441" w:rsidRPr="00847696" w:rsidRDefault="009E4607" w:rsidP="00847696">
      <w:pPr>
        <w:pStyle w:val="HeadingL1"/>
        <w:spacing w:after="260" w:line="280" w:lineRule="exact"/>
        <w:ind w:right="0"/>
        <w:jc w:val="both"/>
        <w:rPr>
          <w:rFonts w:ascii="Times New Roman" w:hAnsi="Times New Roman"/>
        </w:rPr>
      </w:pPr>
      <w:r w:rsidRPr="00847696">
        <w:rPr>
          <w:rFonts w:ascii="Times New Roman" w:hAnsi="Times New Roman"/>
        </w:rPr>
        <w:t>The patents, the produc</w:t>
      </w:r>
      <w:r w:rsidR="00607404" w:rsidRPr="00847696">
        <w:rPr>
          <w:rFonts w:ascii="Times New Roman" w:hAnsi="Times New Roman"/>
        </w:rPr>
        <w:t>t</w:t>
      </w:r>
      <w:r w:rsidRPr="00847696">
        <w:rPr>
          <w:rFonts w:ascii="Times New Roman" w:hAnsi="Times New Roman"/>
        </w:rPr>
        <w:t xml:space="preserve"> and the modifications</w:t>
      </w:r>
    </w:p>
    <w:p w14:paraId="0BD0DBFE" w14:textId="0BA8580A" w:rsidR="00987D75" w:rsidRPr="00847696" w:rsidRDefault="004A1AD3"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987D75" w:rsidRPr="00847696">
        <w:rPr>
          <w:rFonts w:ascii="Times New Roman" w:hAnsi="Times New Roman"/>
        </w:rPr>
        <w:t xml:space="preserve">The two patents in which the inventions </w:t>
      </w:r>
      <w:r w:rsidR="00EC4BD6" w:rsidRPr="00847696">
        <w:rPr>
          <w:rFonts w:ascii="Times New Roman" w:hAnsi="Times New Roman"/>
        </w:rPr>
        <w:t>embodied in the original Epson cartridges are claim</w:t>
      </w:r>
      <w:r w:rsidR="00930CFB" w:rsidRPr="00847696">
        <w:rPr>
          <w:rFonts w:ascii="Times New Roman" w:hAnsi="Times New Roman"/>
        </w:rPr>
        <w:t>ed</w:t>
      </w:r>
      <w:r w:rsidR="00EC4BD6" w:rsidRPr="00847696">
        <w:rPr>
          <w:rFonts w:ascii="Times New Roman" w:hAnsi="Times New Roman"/>
        </w:rPr>
        <w:t xml:space="preserve"> </w:t>
      </w:r>
      <w:r w:rsidR="00357336" w:rsidRPr="00847696">
        <w:rPr>
          <w:rFonts w:ascii="Times New Roman" w:hAnsi="Times New Roman"/>
        </w:rPr>
        <w:t>are Australian Patents No 2009233643 ("the 643 patent</w:t>
      </w:r>
      <w:r w:rsidR="003804DF" w:rsidRPr="00847696">
        <w:rPr>
          <w:rFonts w:ascii="Times New Roman" w:hAnsi="Times New Roman"/>
        </w:rPr>
        <w:t>"</w:t>
      </w:r>
      <w:r w:rsidR="00357336" w:rsidRPr="00847696">
        <w:rPr>
          <w:rFonts w:ascii="Times New Roman" w:hAnsi="Times New Roman"/>
        </w:rPr>
        <w:t>) and No 2013219239 ("the 239 patent"</w:t>
      </w:r>
      <w:r w:rsidR="00B742C6" w:rsidRPr="00847696">
        <w:rPr>
          <w:rFonts w:ascii="Times New Roman" w:hAnsi="Times New Roman"/>
        </w:rPr>
        <w:t xml:space="preserve">). </w:t>
      </w:r>
      <w:r w:rsidR="00B65472" w:rsidRPr="00847696">
        <w:rPr>
          <w:rFonts w:ascii="Times New Roman" w:hAnsi="Times New Roman"/>
        </w:rPr>
        <w:t>Claim 1 of the 643 patent is a combination claim divided into 11 integers. In summary they comprise</w:t>
      </w:r>
      <w:r w:rsidR="00E905D0" w:rsidRPr="00847696">
        <w:rPr>
          <w:rFonts w:ascii="Times New Roman" w:hAnsi="Times New Roman"/>
        </w:rPr>
        <w:t>:</w:t>
      </w:r>
      <w:r w:rsidR="00B65472" w:rsidRPr="00847696">
        <w:rPr>
          <w:rFonts w:ascii="Times New Roman" w:hAnsi="Times New Roman"/>
        </w:rPr>
        <w:t xml:space="preserve"> </w:t>
      </w:r>
      <w:r w:rsidR="009A0866" w:rsidRPr="00847696">
        <w:rPr>
          <w:rFonts w:ascii="Times New Roman" w:hAnsi="Times New Roman"/>
        </w:rPr>
        <w:t>[1]</w:t>
      </w:r>
      <w:r w:rsidR="00B65472" w:rsidRPr="00847696">
        <w:rPr>
          <w:rFonts w:ascii="Times New Roman" w:hAnsi="Times New Roman"/>
        </w:rPr>
        <w:t xml:space="preserve"> a printing material container adapted to be attached to a printing apparatus; </w:t>
      </w:r>
      <w:r w:rsidR="009A0866" w:rsidRPr="00847696">
        <w:rPr>
          <w:rFonts w:ascii="Times New Roman" w:hAnsi="Times New Roman"/>
        </w:rPr>
        <w:t>[2]</w:t>
      </w:r>
      <w:r w:rsidR="00B65472" w:rsidRPr="00847696">
        <w:rPr>
          <w:rFonts w:ascii="Times New Roman" w:hAnsi="Times New Roman"/>
        </w:rPr>
        <w:t xml:space="preserve"> a memory driven by a memory driving voltage; </w:t>
      </w:r>
      <w:r w:rsidR="009A0866" w:rsidRPr="00847696">
        <w:rPr>
          <w:rFonts w:ascii="Times New Roman" w:hAnsi="Times New Roman"/>
        </w:rPr>
        <w:t>[3]</w:t>
      </w:r>
      <w:r w:rsidR="00B65472" w:rsidRPr="00847696">
        <w:rPr>
          <w:rFonts w:ascii="Times New Roman" w:hAnsi="Times New Roman"/>
        </w:rPr>
        <w:t xml:space="preserve"> an electronic device; </w:t>
      </w:r>
      <w:r w:rsidR="009A0866" w:rsidRPr="00847696">
        <w:rPr>
          <w:rFonts w:ascii="Times New Roman" w:hAnsi="Times New Roman"/>
        </w:rPr>
        <w:t>[4]</w:t>
      </w:r>
      <w:r w:rsidR="00B65472" w:rsidRPr="00847696">
        <w:rPr>
          <w:rFonts w:ascii="Times New Roman" w:hAnsi="Times New Roman"/>
        </w:rPr>
        <w:t xml:space="preserve"> a plurality of terminals; and </w:t>
      </w:r>
      <w:r w:rsidR="00F24805" w:rsidRPr="00847696">
        <w:rPr>
          <w:rFonts w:ascii="Times New Roman" w:hAnsi="Times New Roman"/>
        </w:rPr>
        <w:t>[5]-[11]</w:t>
      </w:r>
      <w:r w:rsidR="00B65472" w:rsidRPr="00847696">
        <w:rPr>
          <w:rFonts w:ascii="Times New Roman" w:hAnsi="Times New Roman"/>
        </w:rPr>
        <w:t xml:space="preserve"> the layout of those terminals. </w:t>
      </w:r>
      <w:r w:rsidR="00580A49" w:rsidRPr="00847696">
        <w:rPr>
          <w:rFonts w:ascii="Times New Roman" w:hAnsi="Times New Roman"/>
        </w:rPr>
        <w:t>The i</w:t>
      </w:r>
      <w:r w:rsidR="00B65472" w:rsidRPr="00847696">
        <w:rPr>
          <w:rFonts w:ascii="Times New Roman" w:hAnsi="Times New Roman"/>
        </w:rPr>
        <w:t>nfringement proceedings below were conducted by the parties on the basis that consideration of claim 1 of the 643 patent would suffice, no doubt because there was no material difference between the 643</w:t>
      </w:r>
      <w:r w:rsidR="007F581E" w:rsidRPr="00847696">
        <w:rPr>
          <w:rFonts w:ascii="Times New Roman" w:hAnsi="Times New Roman"/>
        </w:rPr>
        <w:t> </w:t>
      </w:r>
      <w:r w:rsidR="00117F57" w:rsidRPr="00847696">
        <w:rPr>
          <w:rFonts w:ascii="Times New Roman" w:hAnsi="Times New Roman"/>
        </w:rPr>
        <w:t xml:space="preserve">patent </w:t>
      </w:r>
      <w:r w:rsidR="00B65472" w:rsidRPr="00847696">
        <w:rPr>
          <w:rFonts w:ascii="Times New Roman" w:hAnsi="Times New Roman"/>
        </w:rPr>
        <w:t>and the 239 patent.</w:t>
      </w:r>
    </w:p>
    <w:p w14:paraId="2768257F" w14:textId="54462F01" w:rsidR="009E4607" w:rsidRPr="00847696" w:rsidRDefault="00987D75"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4A1AD3" w:rsidRPr="00847696">
        <w:rPr>
          <w:rFonts w:ascii="Times New Roman" w:hAnsi="Times New Roman"/>
        </w:rPr>
        <w:t xml:space="preserve">Ink cartridges for printers were in existence before the priority dates of the patents. The "background art" </w:t>
      </w:r>
      <w:r w:rsidR="00AD3A07" w:rsidRPr="00847696">
        <w:rPr>
          <w:rFonts w:ascii="Times New Roman" w:hAnsi="Times New Roman"/>
        </w:rPr>
        <w:t xml:space="preserve">information to the 643 patent </w:t>
      </w:r>
      <w:r w:rsidR="007E5D51" w:rsidRPr="00847696">
        <w:rPr>
          <w:rFonts w:ascii="Times New Roman" w:hAnsi="Times New Roman"/>
        </w:rPr>
        <w:t>state</w:t>
      </w:r>
      <w:r w:rsidR="00AD3A07" w:rsidRPr="00847696">
        <w:rPr>
          <w:rFonts w:ascii="Times New Roman" w:hAnsi="Times New Roman"/>
        </w:rPr>
        <w:t>s that it had become common practice to equip cartridges with a memory for storing information concerning the ink and a</w:t>
      </w:r>
      <w:r w:rsidR="006952A4" w:rsidRPr="00847696">
        <w:rPr>
          <w:rFonts w:ascii="Times New Roman" w:hAnsi="Times New Roman"/>
        </w:rPr>
        <w:t>nother</w:t>
      </w:r>
      <w:r w:rsidR="00AD3A07" w:rsidRPr="00847696">
        <w:rPr>
          <w:rFonts w:ascii="Times New Roman" w:hAnsi="Times New Roman"/>
        </w:rPr>
        <w:t xml:space="preserve"> device such as a </w:t>
      </w:r>
      <w:r w:rsidR="006952A4" w:rsidRPr="00847696">
        <w:rPr>
          <w:rFonts w:ascii="Times New Roman" w:hAnsi="Times New Roman"/>
        </w:rPr>
        <w:t xml:space="preserve">higher voltage </w:t>
      </w:r>
      <w:r w:rsidR="00AD3A07" w:rsidRPr="00847696">
        <w:rPr>
          <w:rFonts w:ascii="Times New Roman" w:hAnsi="Times New Roman"/>
        </w:rPr>
        <w:t xml:space="preserve">circuit to detect the level of ink remaining in the cartridge. It </w:t>
      </w:r>
      <w:r w:rsidR="00490A67" w:rsidRPr="00847696">
        <w:rPr>
          <w:rFonts w:ascii="Times New Roman" w:hAnsi="Times New Roman"/>
        </w:rPr>
        <w:t>state</w:t>
      </w:r>
      <w:r w:rsidR="00AD3A07" w:rsidRPr="00847696">
        <w:rPr>
          <w:rFonts w:ascii="Times New Roman" w:hAnsi="Times New Roman"/>
        </w:rPr>
        <w:t xml:space="preserve">s that the cartridge and printer could be electronically connected through terminals. </w:t>
      </w:r>
      <w:r w:rsidR="00C71BEC" w:rsidRPr="00847696">
        <w:rPr>
          <w:rFonts w:ascii="Times New Roman" w:hAnsi="Times New Roman"/>
        </w:rPr>
        <w:t>Where a cartridge has two or more devices</w:t>
      </w:r>
      <w:r w:rsidR="00F6661E" w:rsidRPr="00847696">
        <w:rPr>
          <w:rFonts w:ascii="Times New Roman" w:hAnsi="Times New Roman"/>
        </w:rPr>
        <w:t>, such as a memory and high voltage circuit,</w:t>
      </w:r>
      <w:r w:rsidR="00C71BEC" w:rsidRPr="00847696">
        <w:rPr>
          <w:rFonts w:ascii="Times New Roman" w:hAnsi="Times New Roman"/>
        </w:rPr>
        <w:t xml:space="preserve"> </w:t>
      </w:r>
      <w:r w:rsidR="00CF2535" w:rsidRPr="00847696">
        <w:rPr>
          <w:rFonts w:ascii="Times New Roman" w:hAnsi="Times New Roman"/>
        </w:rPr>
        <w:t>there is a risk that shorting could occur between the terminal</w:t>
      </w:r>
      <w:r w:rsidR="00851503" w:rsidRPr="00847696">
        <w:rPr>
          <w:rFonts w:ascii="Times New Roman" w:hAnsi="Times New Roman"/>
        </w:rPr>
        <w:t xml:space="preserve"> for each device</w:t>
      </w:r>
      <w:r w:rsidR="00CF2535" w:rsidRPr="00847696">
        <w:rPr>
          <w:rFonts w:ascii="Times New Roman" w:hAnsi="Times New Roman"/>
        </w:rPr>
        <w:t xml:space="preserve">. The patents propose a </w:t>
      </w:r>
      <w:r w:rsidR="00CF2535" w:rsidRPr="00847696">
        <w:rPr>
          <w:rFonts w:ascii="Times New Roman" w:hAnsi="Times New Roman"/>
        </w:rPr>
        <w:lastRenderedPageBreak/>
        <w:t>solution which involves a particular layout of the electrical terminals to reduce this risk</w:t>
      </w:r>
      <w:r w:rsidR="0083644E" w:rsidRPr="00847696">
        <w:rPr>
          <w:rFonts w:ascii="Times New Roman" w:hAnsi="Times New Roman"/>
        </w:rPr>
        <w:t>.</w:t>
      </w:r>
      <w:r w:rsidR="00BA0146" w:rsidRPr="00847696">
        <w:rPr>
          <w:rFonts w:ascii="Times New Roman" w:hAnsi="Times New Roman"/>
        </w:rPr>
        <w:t xml:space="preserve"> </w:t>
      </w:r>
    </w:p>
    <w:p w14:paraId="1E9CE1F6" w14:textId="132183BF" w:rsidR="006B378A" w:rsidRPr="00847696" w:rsidRDefault="006B378A"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EA13EF" w:rsidRPr="00847696">
        <w:rPr>
          <w:rFonts w:ascii="Times New Roman" w:hAnsi="Times New Roman"/>
        </w:rPr>
        <w:t xml:space="preserve">Original Epson cartridges contain </w:t>
      </w:r>
      <w:r w:rsidR="00C3621E" w:rsidRPr="00847696">
        <w:rPr>
          <w:rFonts w:ascii="Times New Roman" w:hAnsi="Times New Roman"/>
        </w:rPr>
        <w:t>a memory chip</w:t>
      </w:r>
      <w:r w:rsidR="006C5E55" w:rsidRPr="00847696">
        <w:rPr>
          <w:rFonts w:ascii="Times New Roman" w:hAnsi="Times New Roman"/>
        </w:rPr>
        <w:t xml:space="preserve"> </w:t>
      </w:r>
      <w:r w:rsidR="00000539" w:rsidRPr="00847696">
        <w:rPr>
          <w:rFonts w:ascii="Times New Roman" w:hAnsi="Times New Roman"/>
        </w:rPr>
        <w:t xml:space="preserve">which is </w:t>
      </w:r>
      <w:r w:rsidR="001838C3" w:rsidRPr="00847696">
        <w:rPr>
          <w:rFonts w:ascii="Times New Roman" w:hAnsi="Times New Roman"/>
        </w:rPr>
        <w:t xml:space="preserve">mounted on or </w:t>
      </w:r>
      <w:r w:rsidR="00000539" w:rsidRPr="00847696">
        <w:rPr>
          <w:rFonts w:ascii="Times New Roman" w:hAnsi="Times New Roman"/>
        </w:rPr>
        <w:t>connected to an integrated circuit board.</w:t>
      </w:r>
      <w:r w:rsidR="002B4CD4" w:rsidRPr="00847696">
        <w:rPr>
          <w:rFonts w:ascii="Times New Roman" w:hAnsi="Times New Roman"/>
        </w:rPr>
        <w:t xml:space="preserve"> </w:t>
      </w:r>
      <w:r w:rsidR="00552E32" w:rsidRPr="00847696">
        <w:rPr>
          <w:rFonts w:ascii="Times New Roman" w:hAnsi="Times New Roman"/>
        </w:rPr>
        <w:t xml:space="preserve">Printers </w:t>
      </w:r>
      <w:r w:rsidRPr="00847696">
        <w:rPr>
          <w:rFonts w:ascii="Times New Roman" w:hAnsi="Times New Roman"/>
        </w:rPr>
        <w:t xml:space="preserve">with which the </w:t>
      </w:r>
      <w:r w:rsidR="00552E32" w:rsidRPr="00847696">
        <w:rPr>
          <w:rFonts w:ascii="Times New Roman" w:hAnsi="Times New Roman"/>
        </w:rPr>
        <w:t xml:space="preserve">original </w:t>
      </w:r>
      <w:r w:rsidRPr="00847696">
        <w:rPr>
          <w:rFonts w:ascii="Times New Roman" w:hAnsi="Times New Roman"/>
        </w:rPr>
        <w:t xml:space="preserve">Epson cartridges are compatible </w:t>
      </w:r>
      <w:r w:rsidR="00A07B04" w:rsidRPr="00847696">
        <w:rPr>
          <w:rFonts w:ascii="Times New Roman" w:hAnsi="Times New Roman"/>
        </w:rPr>
        <w:t xml:space="preserve">are able to read and process the data in the memory chip. </w:t>
      </w:r>
      <w:r w:rsidR="00C868FA" w:rsidRPr="00847696">
        <w:rPr>
          <w:rFonts w:ascii="Times New Roman" w:hAnsi="Times New Roman"/>
        </w:rPr>
        <w:t xml:space="preserve">The </w:t>
      </w:r>
      <w:r w:rsidR="00A07B04" w:rsidRPr="00847696">
        <w:rPr>
          <w:rFonts w:ascii="Times New Roman" w:hAnsi="Times New Roman"/>
        </w:rPr>
        <w:t xml:space="preserve">primary function </w:t>
      </w:r>
      <w:r w:rsidR="00E364C8" w:rsidRPr="00847696">
        <w:rPr>
          <w:rFonts w:ascii="Times New Roman" w:hAnsi="Times New Roman"/>
        </w:rPr>
        <w:t>of the memory chip</w:t>
      </w:r>
      <w:r w:rsidR="004C57DA" w:rsidRPr="00847696">
        <w:rPr>
          <w:rFonts w:ascii="Times New Roman" w:hAnsi="Times New Roman"/>
        </w:rPr>
        <w:t xml:space="preserve"> </w:t>
      </w:r>
      <w:r w:rsidR="00A07B04" w:rsidRPr="00847696">
        <w:rPr>
          <w:rFonts w:ascii="Times New Roman" w:hAnsi="Times New Roman"/>
        </w:rPr>
        <w:t xml:space="preserve">is to keep track of how much ink remains </w:t>
      </w:r>
      <w:r w:rsidR="00C8242B" w:rsidRPr="00847696">
        <w:rPr>
          <w:rFonts w:ascii="Times New Roman" w:hAnsi="Times New Roman"/>
        </w:rPr>
        <w:t>in the cartridge</w:t>
      </w:r>
      <w:r w:rsidR="00A07B04" w:rsidRPr="00847696">
        <w:rPr>
          <w:rFonts w:ascii="Times New Roman" w:hAnsi="Times New Roman"/>
        </w:rPr>
        <w:t>. When the printer determines from the memory chip that the ink has fallen below a threshold amount it prevents printing from taking place. For so long as the data stored</w:t>
      </w:r>
      <w:r w:rsidR="00552E32" w:rsidRPr="00847696">
        <w:rPr>
          <w:rFonts w:ascii="Times New Roman" w:hAnsi="Times New Roman"/>
        </w:rPr>
        <w:t xml:space="preserve"> </w:t>
      </w:r>
      <w:r w:rsidR="00A07B04" w:rsidRPr="00847696">
        <w:rPr>
          <w:rFonts w:ascii="Times New Roman" w:hAnsi="Times New Roman"/>
        </w:rPr>
        <w:t>in</w:t>
      </w:r>
      <w:r w:rsidR="00E55F9A" w:rsidRPr="00847696">
        <w:rPr>
          <w:rFonts w:ascii="Times New Roman" w:hAnsi="Times New Roman"/>
        </w:rPr>
        <w:t xml:space="preserve"> </w:t>
      </w:r>
      <w:r w:rsidR="00A07B04" w:rsidRPr="00847696">
        <w:rPr>
          <w:rFonts w:ascii="Times New Roman" w:hAnsi="Times New Roman"/>
        </w:rPr>
        <w:t xml:space="preserve">the memory chip indicates an inadequate ink supply in the cartridge, a </w:t>
      </w:r>
      <w:r w:rsidR="00A528C0" w:rsidRPr="00847696">
        <w:rPr>
          <w:rFonts w:ascii="Times New Roman" w:hAnsi="Times New Roman"/>
        </w:rPr>
        <w:t xml:space="preserve">compatible </w:t>
      </w:r>
      <w:r w:rsidR="00A07B04" w:rsidRPr="00847696">
        <w:rPr>
          <w:rFonts w:ascii="Times New Roman" w:hAnsi="Times New Roman"/>
        </w:rPr>
        <w:t xml:space="preserve">printer would treat </w:t>
      </w:r>
      <w:r w:rsidR="00D23D64" w:rsidRPr="00847696">
        <w:rPr>
          <w:rFonts w:ascii="Times New Roman" w:hAnsi="Times New Roman"/>
        </w:rPr>
        <w:t>the cartridge as empt</w:t>
      </w:r>
      <w:r w:rsidR="007129FD" w:rsidRPr="00847696">
        <w:rPr>
          <w:rFonts w:ascii="Times New Roman" w:hAnsi="Times New Roman"/>
        </w:rPr>
        <w:t xml:space="preserve">y and </w:t>
      </w:r>
      <w:r w:rsidR="00EF7D84" w:rsidRPr="00847696">
        <w:rPr>
          <w:rFonts w:ascii="Times New Roman" w:hAnsi="Times New Roman"/>
        </w:rPr>
        <w:t xml:space="preserve">would </w:t>
      </w:r>
      <w:r w:rsidR="007129FD" w:rsidRPr="00847696">
        <w:rPr>
          <w:rFonts w:ascii="Times New Roman" w:hAnsi="Times New Roman"/>
        </w:rPr>
        <w:t>not print</w:t>
      </w:r>
      <w:r w:rsidR="00D23D64" w:rsidRPr="00847696">
        <w:rPr>
          <w:rFonts w:ascii="Times New Roman" w:hAnsi="Times New Roman"/>
        </w:rPr>
        <w:t>.</w:t>
      </w:r>
    </w:p>
    <w:p w14:paraId="108055C2" w14:textId="1F770604" w:rsidR="007144DE" w:rsidRPr="00847696" w:rsidRDefault="00D23D64"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7E0721" w:rsidRPr="00847696">
        <w:rPr>
          <w:rFonts w:ascii="Times New Roman" w:hAnsi="Times New Roman"/>
        </w:rPr>
        <w:t xml:space="preserve">When the ink in a printer cartridge runs out it is usually necessary for the cartridge to be replaced. </w:t>
      </w:r>
      <w:r w:rsidR="00177167" w:rsidRPr="00847696">
        <w:rPr>
          <w:rFonts w:ascii="Times New Roman" w:hAnsi="Times New Roman"/>
        </w:rPr>
        <w:t>Seiko supplies replacement Epson cartridges for its printers</w:t>
      </w:r>
      <w:r w:rsidR="00501E85" w:rsidRPr="00847696">
        <w:rPr>
          <w:rFonts w:ascii="Times New Roman" w:hAnsi="Times New Roman"/>
        </w:rPr>
        <w:t xml:space="preserve">. </w:t>
      </w:r>
      <w:r w:rsidR="0038321B" w:rsidRPr="00847696">
        <w:rPr>
          <w:rFonts w:ascii="Times New Roman" w:hAnsi="Times New Roman"/>
        </w:rPr>
        <w:t>Third party suppliers obtain o</w:t>
      </w:r>
      <w:r w:rsidR="00501E85" w:rsidRPr="00847696">
        <w:rPr>
          <w:rFonts w:ascii="Times New Roman" w:hAnsi="Times New Roman"/>
        </w:rPr>
        <w:t xml:space="preserve">riginal Epson cartridges which are empty </w:t>
      </w:r>
      <w:r w:rsidR="001D46AF" w:rsidRPr="00847696">
        <w:rPr>
          <w:rFonts w:ascii="Times New Roman" w:hAnsi="Times New Roman"/>
        </w:rPr>
        <w:t>from a number of sources</w:t>
      </w:r>
      <w:r w:rsidR="000829A1" w:rsidRPr="00847696">
        <w:rPr>
          <w:rFonts w:ascii="Times New Roman" w:hAnsi="Times New Roman"/>
        </w:rPr>
        <w:t>,</w:t>
      </w:r>
      <w:r w:rsidR="001D46AF" w:rsidRPr="00847696">
        <w:rPr>
          <w:rFonts w:ascii="Times New Roman" w:hAnsi="Times New Roman"/>
        </w:rPr>
        <w:t xml:space="preserve"> including the original purchasers and recycling facilities</w:t>
      </w:r>
      <w:r w:rsidR="000829A1" w:rsidRPr="00847696">
        <w:rPr>
          <w:rFonts w:ascii="Times New Roman" w:hAnsi="Times New Roman"/>
        </w:rPr>
        <w:t>,</w:t>
      </w:r>
      <w:r w:rsidR="001D46AF" w:rsidRPr="00847696">
        <w:rPr>
          <w:rFonts w:ascii="Times New Roman" w:hAnsi="Times New Roman"/>
        </w:rPr>
        <w:t xml:space="preserve"> and suppl</w:t>
      </w:r>
      <w:r w:rsidR="00EF299F" w:rsidRPr="00847696">
        <w:rPr>
          <w:rFonts w:ascii="Times New Roman" w:hAnsi="Times New Roman"/>
        </w:rPr>
        <w:t>y</w:t>
      </w:r>
      <w:r w:rsidR="001D46AF" w:rsidRPr="00847696">
        <w:rPr>
          <w:rFonts w:ascii="Times New Roman" w:hAnsi="Times New Roman"/>
        </w:rPr>
        <w:t xml:space="preserve"> </w:t>
      </w:r>
      <w:r w:rsidR="005B04D4" w:rsidRPr="00847696">
        <w:rPr>
          <w:rFonts w:ascii="Times New Roman" w:hAnsi="Times New Roman"/>
        </w:rPr>
        <w:t xml:space="preserve">them </w:t>
      </w:r>
      <w:r w:rsidR="001D46AF" w:rsidRPr="00847696">
        <w:rPr>
          <w:rFonts w:ascii="Times New Roman" w:hAnsi="Times New Roman"/>
        </w:rPr>
        <w:t xml:space="preserve">to </w:t>
      </w:r>
      <w:proofErr w:type="spellStart"/>
      <w:r w:rsidR="001D46AF" w:rsidRPr="00847696">
        <w:rPr>
          <w:rFonts w:ascii="Times New Roman" w:hAnsi="Times New Roman"/>
        </w:rPr>
        <w:t>Ninestar</w:t>
      </w:r>
      <w:proofErr w:type="spellEnd"/>
      <w:r w:rsidR="00AC649A" w:rsidRPr="00847696">
        <w:rPr>
          <w:rFonts w:ascii="Times New Roman" w:hAnsi="Times New Roman"/>
        </w:rPr>
        <w:t>,</w:t>
      </w:r>
      <w:r w:rsidR="001D46AF" w:rsidRPr="00847696">
        <w:rPr>
          <w:rFonts w:ascii="Times New Roman" w:hAnsi="Times New Roman"/>
        </w:rPr>
        <w:t xml:space="preserve"> which modifies the</w:t>
      </w:r>
      <w:r w:rsidR="00FD3231" w:rsidRPr="00847696">
        <w:rPr>
          <w:rFonts w:ascii="Times New Roman" w:hAnsi="Times New Roman"/>
        </w:rPr>
        <w:t>m</w:t>
      </w:r>
      <w:r w:rsidR="001D46AF" w:rsidRPr="00847696">
        <w:rPr>
          <w:rFonts w:ascii="Times New Roman" w:hAnsi="Times New Roman"/>
        </w:rPr>
        <w:t xml:space="preserve"> for re</w:t>
      </w:r>
      <w:r w:rsidR="002C73AB" w:rsidRPr="00847696">
        <w:rPr>
          <w:rFonts w:ascii="Times New Roman" w:hAnsi="Times New Roman"/>
        </w:rPr>
        <w:t>-</w:t>
      </w:r>
      <w:r w:rsidR="001D46AF" w:rsidRPr="00847696">
        <w:rPr>
          <w:rFonts w:ascii="Times New Roman" w:hAnsi="Times New Roman"/>
        </w:rPr>
        <w:t>use.</w:t>
      </w:r>
    </w:p>
    <w:p w14:paraId="528F38E9" w14:textId="1B64A1CB" w:rsidR="00471A02" w:rsidRPr="00847696" w:rsidRDefault="007144DE"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471A02" w:rsidRPr="00847696">
        <w:rPr>
          <w:rFonts w:ascii="Times New Roman" w:hAnsi="Times New Roman"/>
        </w:rPr>
        <w:t xml:space="preserve">In order that the cartridges may be used again they must be refilled with ink. A needle is used to create a small hole in the side of the cartridge, replacement ink is injected through that "injection port" and the port and the </w:t>
      </w:r>
      <w:r w:rsidR="00716C69" w:rsidRPr="00847696">
        <w:rPr>
          <w:rFonts w:ascii="Times New Roman" w:hAnsi="Times New Roman"/>
        </w:rPr>
        <w:t xml:space="preserve">outlet </w:t>
      </w:r>
      <w:r w:rsidR="00EA5F1D" w:rsidRPr="00847696">
        <w:rPr>
          <w:rFonts w:ascii="Times New Roman" w:hAnsi="Times New Roman"/>
        </w:rPr>
        <w:t xml:space="preserve">hole </w:t>
      </w:r>
      <w:r w:rsidR="00471A02" w:rsidRPr="00847696">
        <w:rPr>
          <w:rFonts w:ascii="Times New Roman" w:hAnsi="Times New Roman"/>
        </w:rPr>
        <w:t xml:space="preserve">through which the </w:t>
      </w:r>
      <w:r w:rsidR="00EA5F1D" w:rsidRPr="00847696">
        <w:rPr>
          <w:rFonts w:ascii="Times New Roman" w:hAnsi="Times New Roman"/>
        </w:rPr>
        <w:t xml:space="preserve">ink was originally disposed are resealed using </w:t>
      </w:r>
      <w:r w:rsidR="00FA03CA" w:rsidRPr="00847696">
        <w:rPr>
          <w:rFonts w:ascii="Times New Roman" w:hAnsi="Times New Roman"/>
        </w:rPr>
        <w:t xml:space="preserve">thin </w:t>
      </w:r>
      <w:r w:rsidR="00EA5F1D" w:rsidRPr="00847696">
        <w:rPr>
          <w:rFonts w:ascii="Times New Roman" w:hAnsi="Times New Roman"/>
        </w:rPr>
        <w:t xml:space="preserve">plastic and heat. The information on </w:t>
      </w:r>
      <w:r w:rsidR="00E74FF4" w:rsidRPr="00847696">
        <w:rPr>
          <w:rFonts w:ascii="Times New Roman" w:hAnsi="Times New Roman"/>
        </w:rPr>
        <w:t xml:space="preserve">the </w:t>
      </w:r>
      <w:r w:rsidR="00EA5F1D" w:rsidRPr="00847696">
        <w:rPr>
          <w:rFonts w:ascii="Times New Roman" w:hAnsi="Times New Roman"/>
        </w:rPr>
        <w:t xml:space="preserve">memory chip is modified to indicate that the </w:t>
      </w:r>
      <w:r w:rsidR="00E74FF4" w:rsidRPr="00847696">
        <w:rPr>
          <w:rFonts w:ascii="Times New Roman" w:hAnsi="Times New Roman"/>
        </w:rPr>
        <w:t>ink is not exhausted, either by re</w:t>
      </w:r>
      <w:r w:rsidR="009E62E5" w:rsidRPr="00847696">
        <w:rPr>
          <w:rFonts w:ascii="Times New Roman" w:hAnsi="Times New Roman"/>
        </w:rPr>
        <w:t>writ</w:t>
      </w:r>
      <w:r w:rsidR="00E74FF4" w:rsidRPr="00847696">
        <w:rPr>
          <w:rFonts w:ascii="Times New Roman" w:hAnsi="Times New Roman"/>
        </w:rPr>
        <w:t xml:space="preserve">ing the information on the memory chip or </w:t>
      </w:r>
      <w:r w:rsidR="00173A6A" w:rsidRPr="00847696">
        <w:rPr>
          <w:rFonts w:ascii="Times New Roman" w:hAnsi="Times New Roman"/>
        </w:rPr>
        <w:t xml:space="preserve">by </w:t>
      </w:r>
      <w:r w:rsidR="00E74FF4" w:rsidRPr="00847696">
        <w:rPr>
          <w:rFonts w:ascii="Times New Roman" w:hAnsi="Times New Roman"/>
        </w:rPr>
        <w:t xml:space="preserve">replacing the chip with a </w:t>
      </w:r>
      <w:r w:rsidR="00D675FD" w:rsidRPr="00847696">
        <w:rPr>
          <w:rFonts w:ascii="Times New Roman" w:hAnsi="Times New Roman"/>
        </w:rPr>
        <w:t>generic memory chip. Some of the categories of cartridge</w:t>
      </w:r>
      <w:r w:rsidR="00B1745F" w:rsidRPr="00847696">
        <w:rPr>
          <w:rFonts w:ascii="Times New Roman" w:hAnsi="Times New Roman"/>
        </w:rPr>
        <w:t>s</w:t>
      </w:r>
      <w:r w:rsidR="00D675FD" w:rsidRPr="00847696">
        <w:rPr>
          <w:rFonts w:ascii="Times New Roman" w:hAnsi="Times New Roman"/>
        </w:rPr>
        <w:t xml:space="preserve"> were subject to further modifications such as the removal of the </w:t>
      </w:r>
      <w:r w:rsidR="00463FD6" w:rsidRPr="00847696">
        <w:rPr>
          <w:rFonts w:ascii="Times New Roman" w:hAnsi="Times New Roman"/>
        </w:rPr>
        <w:t>"</w:t>
      </w:r>
      <w:r w:rsidR="00D675FD" w:rsidRPr="00847696">
        <w:rPr>
          <w:rFonts w:ascii="Times New Roman" w:hAnsi="Times New Roman"/>
        </w:rPr>
        <w:t>interface pattern</w:t>
      </w:r>
      <w:r w:rsidR="00463FD6" w:rsidRPr="00847696">
        <w:rPr>
          <w:rFonts w:ascii="Times New Roman" w:hAnsi="Times New Roman"/>
        </w:rPr>
        <w:t>"</w:t>
      </w:r>
      <w:r w:rsidR="00DE151C" w:rsidRPr="00847696">
        <w:rPr>
          <w:rFonts w:ascii="Times New Roman" w:hAnsi="Times New Roman"/>
        </w:rPr>
        <w:t>, which comprise</w:t>
      </w:r>
      <w:r w:rsidR="00164E8F" w:rsidRPr="00847696">
        <w:rPr>
          <w:rFonts w:ascii="Times New Roman" w:hAnsi="Times New Roman"/>
        </w:rPr>
        <w:t>s</w:t>
      </w:r>
      <w:r w:rsidR="00DE151C" w:rsidRPr="00847696">
        <w:rPr>
          <w:rFonts w:ascii="Times New Roman" w:hAnsi="Times New Roman"/>
        </w:rPr>
        <w:t xml:space="preserve"> a series of protruding "ribs" on the </w:t>
      </w:r>
      <w:r w:rsidR="00AE1069" w:rsidRPr="00847696">
        <w:rPr>
          <w:rFonts w:ascii="Times New Roman" w:hAnsi="Times New Roman"/>
        </w:rPr>
        <w:t xml:space="preserve">exterior </w:t>
      </w:r>
      <w:r w:rsidR="00DE151C" w:rsidRPr="00847696">
        <w:rPr>
          <w:rFonts w:ascii="Times New Roman" w:hAnsi="Times New Roman"/>
        </w:rPr>
        <w:t>surface of the cartridge</w:t>
      </w:r>
      <w:r w:rsidR="009C34BA" w:rsidRPr="00847696">
        <w:rPr>
          <w:rFonts w:ascii="Times New Roman" w:hAnsi="Times New Roman"/>
        </w:rPr>
        <w:t>,</w:t>
      </w:r>
      <w:r w:rsidR="000829A1" w:rsidRPr="00847696">
        <w:rPr>
          <w:rFonts w:ascii="Times New Roman" w:hAnsi="Times New Roman"/>
        </w:rPr>
        <w:t xml:space="preserve"> so that </w:t>
      </w:r>
      <w:r w:rsidR="009A7EBC" w:rsidRPr="00847696">
        <w:rPr>
          <w:rFonts w:ascii="Times New Roman" w:hAnsi="Times New Roman"/>
        </w:rPr>
        <w:t xml:space="preserve">the cartridge </w:t>
      </w:r>
      <w:r w:rsidR="000829A1" w:rsidRPr="00847696">
        <w:rPr>
          <w:rFonts w:ascii="Times New Roman" w:hAnsi="Times New Roman"/>
        </w:rPr>
        <w:t>could be made compatible with other printers</w:t>
      </w:r>
      <w:r w:rsidR="00463FD6" w:rsidRPr="00847696">
        <w:rPr>
          <w:rFonts w:ascii="Times New Roman" w:hAnsi="Times New Roman"/>
        </w:rPr>
        <w:t xml:space="preserve">. </w:t>
      </w:r>
      <w:r w:rsidR="00AD1533" w:rsidRPr="00847696">
        <w:rPr>
          <w:rFonts w:ascii="Times New Roman" w:hAnsi="Times New Roman"/>
        </w:rPr>
        <w:t xml:space="preserve">A </w:t>
      </w:r>
      <w:r w:rsidR="00D675FD" w:rsidRPr="00847696">
        <w:rPr>
          <w:rFonts w:ascii="Times New Roman" w:hAnsi="Times New Roman"/>
        </w:rPr>
        <w:t xml:space="preserve">small cut </w:t>
      </w:r>
      <w:r w:rsidR="0012537D" w:rsidRPr="00847696">
        <w:rPr>
          <w:rFonts w:ascii="Times New Roman" w:hAnsi="Times New Roman"/>
        </w:rPr>
        <w:t xml:space="preserve">was </w:t>
      </w:r>
      <w:r w:rsidR="009F0B02" w:rsidRPr="00847696">
        <w:rPr>
          <w:rFonts w:ascii="Times New Roman" w:hAnsi="Times New Roman"/>
        </w:rPr>
        <w:t xml:space="preserve">also </w:t>
      </w:r>
      <w:r w:rsidR="00D675FD" w:rsidRPr="00847696">
        <w:rPr>
          <w:rFonts w:ascii="Times New Roman" w:hAnsi="Times New Roman"/>
        </w:rPr>
        <w:t xml:space="preserve">made </w:t>
      </w:r>
      <w:r w:rsidR="0012537D" w:rsidRPr="00847696">
        <w:rPr>
          <w:rFonts w:ascii="Times New Roman" w:hAnsi="Times New Roman"/>
        </w:rPr>
        <w:t xml:space="preserve">to </w:t>
      </w:r>
      <w:r w:rsidR="00D675FD" w:rsidRPr="00847696">
        <w:rPr>
          <w:rFonts w:ascii="Times New Roman" w:hAnsi="Times New Roman"/>
        </w:rPr>
        <w:t xml:space="preserve">the </w:t>
      </w:r>
      <w:r w:rsidR="00C40E7B" w:rsidRPr="00847696">
        <w:rPr>
          <w:rFonts w:ascii="Times New Roman" w:hAnsi="Times New Roman"/>
        </w:rPr>
        <w:t xml:space="preserve">gas membrane </w:t>
      </w:r>
      <w:r w:rsidR="0012537D" w:rsidRPr="00847696">
        <w:rPr>
          <w:rFonts w:ascii="Times New Roman" w:hAnsi="Times New Roman"/>
        </w:rPr>
        <w:t xml:space="preserve">of some cartridges </w:t>
      </w:r>
      <w:r w:rsidR="00C40E7B" w:rsidRPr="00847696">
        <w:rPr>
          <w:rFonts w:ascii="Times New Roman" w:hAnsi="Times New Roman"/>
        </w:rPr>
        <w:t>in order to improve the gas exchange within the cartridge.</w:t>
      </w:r>
      <w:r w:rsidR="005908D1" w:rsidRPr="00847696">
        <w:rPr>
          <w:rFonts w:ascii="Times New Roman" w:hAnsi="Times New Roman"/>
        </w:rPr>
        <w:t xml:space="preserve"> And in some cartridges the integrated circuit assembly was removed </w:t>
      </w:r>
      <w:r w:rsidR="000A6742" w:rsidRPr="00847696">
        <w:rPr>
          <w:rFonts w:ascii="Times New Roman" w:hAnsi="Times New Roman"/>
        </w:rPr>
        <w:t xml:space="preserve">and </w:t>
      </w:r>
      <w:r w:rsidR="005908D1" w:rsidRPr="00847696">
        <w:rPr>
          <w:rFonts w:ascii="Times New Roman" w:hAnsi="Times New Roman"/>
        </w:rPr>
        <w:t>placed in another cartridge</w:t>
      </w:r>
      <w:r w:rsidR="005850AC" w:rsidRPr="00847696">
        <w:rPr>
          <w:rFonts w:ascii="Times New Roman" w:hAnsi="Times New Roman"/>
        </w:rPr>
        <w:t>.</w:t>
      </w:r>
    </w:p>
    <w:p w14:paraId="5EB0F65C" w14:textId="38A9565B" w:rsidR="00C40E7B" w:rsidRPr="00847696" w:rsidRDefault="00C40E7B" w:rsidP="00847696">
      <w:pPr>
        <w:pStyle w:val="HeadingL1"/>
        <w:spacing w:after="260" w:line="280" w:lineRule="exact"/>
        <w:ind w:right="0"/>
        <w:jc w:val="both"/>
        <w:rPr>
          <w:rFonts w:ascii="Times New Roman" w:hAnsi="Times New Roman"/>
        </w:rPr>
      </w:pPr>
      <w:r w:rsidRPr="00847696">
        <w:rPr>
          <w:rFonts w:ascii="Times New Roman" w:hAnsi="Times New Roman"/>
        </w:rPr>
        <w:t>The decision</w:t>
      </w:r>
      <w:r w:rsidR="0022500D" w:rsidRPr="00847696">
        <w:rPr>
          <w:rFonts w:ascii="Times New Roman" w:hAnsi="Times New Roman"/>
        </w:rPr>
        <w:t>s</w:t>
      </w:r>
      <w:r w:rsidRPr="00847696">
        <w:rPr>
          <w:rFonts w:ascii="Times New Roman" w:hAnsi="Times New Roman"/>
        </w:rPr>
        <w:t xml:space="preserve"> below</w:t>
      </w:r>
    </w:p>
    <w:p w14:paraId="2F69B8F9" w14:textId="0748CDB8" w:rsidR="00575C59" w:rsidRPr="00847696" w:rsidRDefault="0032679E" w:rsidP="00847696">
      <w:pPr>
        <w:pStyle w:val="HeadingL2"/>
        <w:spacing w:after="260" w:line="280" w:lineRule="exact"/>
        <w:ind w:right="0"/>
        <w:jc w:val="both"/>
        <w:rPr>
          <w:rFonts w:ascii="Times New Roman" w:hAnsi="Times New Roman"/>
        </w:rPr>
      </w:pPr>
      <w:r w:rsidRPr="00847696">
        <w:rPr>
          <w:rFonts w:ascii="Times New Roman" w:hAnsi="Times New Roman"/>
        </w:rPr>
        <w:t>The primary judge</w:t>
      </w:r>
    </w:p>
    <w:p w14:paraId="1396F227" w14:textId="39C16CD1" w:rsidR="00327CE2" w:rsidRPr="00847696" w:rsidRDefault="0064786B"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1F0D7A" w:rsidRPr="00847696">
        <w:rPr>
          <w:rFonts w:ascii="Times New Roman" w:hAnsi="Times New Roman"/>
        </w:rPr>
        <w:t xml:space="preserve">The primary judge (Burley J) </w:t>
      </w:r>
      <w:r w:rsidR="0089541F" w:rsidRPr="00847696">
        <w:rPr>
          <w:rFonts w:ascii="Times New Roman" w:hAnsi="Times New Roman"/>
        </w:rPr>
        <w:t xml:space="preserve">correctly </w:t>
      </w:r>
      <w:r w:rsidR="001F0D7A" w:rsidRPr="00847696">
        <w:rPr>
          <w:rFonts w:ascii="Times New Roman" w:hAnsi="Times New Roman"/>
        </w:rPr>
        <w:t xml:space="preserve">described the effect of the decision in </w:t>
      </w:r>
      <w:proofErr w:type="spellStart"/>
      <w:r w:rsidR="001F0D7A" w:rsidRPr="00847696">
        <w:rPr>
          <w:rFonts w:ascii="Times New Roman" w:hAnsi="Times New Roman"/>
          <w:i/>
        </w:rPr>
        <w:t>Menck</w:t>
      </w:r>
      <w:proofErr w:type="spellEnd"/>
      <w:r w:rsidR="001F0D7A" w:rsidRPr="00847696">
        <w:rPr>
          <w:rFonts w:ascii="Times New Roman" w:hAnsi="Times New Roman"/>
          <w:i/>
        </w:rPr>
        <w:t xml:space="preserve"> </w:t>
      </w:r>
      <w:r w:rsidR="001F0D7A" w:rsidRPr="00847696">
        <w:rPr>
          <w:rFonts w:ascii="Times New Roman" w:hAnsi="Times New Roman"/>
        </w:rPr>
        <w:t xml:space="preserve">(Privy Council) to be that the first owner of patented goods </w:t>
      </w:r>
      <w:r w:rsidR="00AB4C71" w:rsidRPr="00847696">
        <w:rPr>
          <w:rFonts w:ascii="Times New Roman" w:hAnsi="Times New Roman"/>
        </w:rPr>
        <w:t xml:space="preserve">obtained </w:t>
      </w:r>
      <w:r w:rsidR="001F0D7A" w:rsidRPr="00847696">
        <w:rPr>
          <w:rFonts w:ascii="Times New Roman" w:hAnsi="Times New Roman"/>
        </w:rPr>
        <w:t>without restrictions on their use</w:t>
      </w:r>
      <w:r w:rsidR="005A548F" w:rsidRPr="00847696">
        <w:rPr>
          <w:rFonts w:ascii="Times New Roman" w:hAnsi="Times New Roman"/>
        </w:rPr>
        <w:t>,</w:t>
      </w:r>
      <w:r w:rsidR="001F0D7A" w:rsidRPr="00847696">
        <w:rPr>
          <w:rFonts w:ascii="Times New Roman" w:hAnsi="Times New Roman"/>
        </w:rPr>
        <w:t xml:space="preserve"> and any person into whose hands the product</w:t>
      </w:r>
      <w:r w:rsidR="00BA7FE6" w:rsidRPr="00847696">
        <w:rPr>
          <w:rFonts w:ascii="Times New Roman" w:hAnsi="Times New Roman"/>
        </w:rPr>
        <w:t>s</w:t>
      </w:r>
      <w:r w:rsidR="001F0D7A" w:rsidRPr="00847696">
        <w:rPr>
          <w:rFonts w:ascii="Times New Roman" w:hAnsi="Times New Roman"/>
        </w:rPr>
        <w:t xml:space="preserve"> subsequently come</w:t>
      </w:r>
      <w:r w:rsidR="005A548F" w:rsidRPr="00847696">
        <w:rPr>
          <w:rFonts w:ascii="Times New Roman" w:hAnsi="Times New Roman"/>
        </w:rPr>
        <w:t>,</w:t>
      </w:r>
      <w:r w:rsidR="001F0D7A" w:rsidRPr="00847696">
        <w:rPr>
          <w:rFonts w:ascii="Times New Roman" w:hAnsi="Times New Roman"/>
        </w:rPr>
        <w:t xml:space="preserve"> is entitled to assume that a "full licence" has been given so </w:t>
      </w:r>
      <w:r w:rsidR="001F0D7A" w:rsidRPr="00847696">
        <w:rPr>
          <w:rFonts w:ascii="Times New Roman" w:hAnsi="Times New Roman"/>
        </w:rPr>
        <w:lastRenderedPageBreak/>
        <w:t xml:space="preserve">that </w:t>
      </w:r>
      <w:r w:rsidR="00B55E66" w:rsidRPr="00847696">
        <w:rPr>
          <w:rFonts w:ascii="Times New Roman" w:hAnsi="Times New Roman"/>
        </w:rPr>
        <w:t>they</w:t>
      </w:r>
      <w:r w:rsidR="001F0D7A" w:rsidRPr="00847696">
        <w:rPr>
          <w:rFonts w:ascii="Times New Roman" w:hAnsi="Times New Roman"/>
        </w:rPr>
        <w:t xml:space="preserve"> may do with them as </w:t>
      </w:r>
      <w:r w:rsidR="00B55E66" w:rsidRPr="00847696">
        <w:rPr>
          <w:rFonts w:ascii="Times New Roman" w:hAnsi="Times New Roman"/>
        </w:rPr>
        <w:t>they</w:t>
      </w:r>
      <w:r w:rsidR="001F0D7A" w:rsidRPr="00847696">
        <w:rPr>
          <w:rFonts w:ascii="Times New Roman" w:hAnsi="Times New Roman"/>
        </w:rPr>
        <w:t xml:space="preserve"> think </w:t>
      </w:r>
      <w:r w:rsidR="00DD5057" w:rsidRPr="00847696">
        <w:rPr>
          <w:rFonts w:ascii="Times New Roman" w:hAnsi="Times New Roman"/>
        </w:rPr>
        <w:t>fit</w:t>
      </w:r>
      <w:r w:rsidR="00DD5057" w:rsidRPr="00847696">
        <w:rPr>
          <w:rStyle w:val="FootnoteReference"/>
          <w:rFonts w:ascii="Times New Roman" w:hAnsi="Times New Roman"/>
          <w:sz w:val="24"/>
        </w:rPr>
        <w:footnoteReference w:id="50"/>
      </w:r>
      <w:r w:rsidR="00327CE2" w:rsidRPr="00847696">
        <w:rPr>
          <w:rFonts w:ascii="Times New Roman" w:hAnsi="Times New Roman"/>
        </w:rPr>
        <w:t>.</w:t>
      </w:r>
      <w:r w:rsidR="0074250E" w:rsidRPr="00847696">
        <w:rPr>
          <w:rFonts w:ascii="Times New Roman" w:hAnsi="Times New Roman"/>
        </w:rPr>
        <w:t xml:space="preserve"> </w:t>
      </w:r>
      <w:r w:rsidR="009F340D" w:rsidRPr="00847696">
        <w:rPr>
          <w:rFonts w:ascii="Times New Roman" w:hAnsi="Times New Roman"/>
        </w:rPr>
        <w:t xml:space="preserve">Nevertheless </w:t>
      </w:r>
      <w:r w:rsidR="00D03D36" w:rsidRPr="00847696">
        <w:rPr>
          <w:rFonts w:ascii="Times New Roman" w:hAnsi="Times New Roman"/>
        </w:rPr>
        <w:t xml:space="preserve">his Honour </w:t>
      </w:r>
      <w:r w:rsidR="004D6177" w:rsidRPr="00847696">
        <w:rPr>
          <w:rFonts w:ascii="Times New Roman" w:hAnsi="Times New Roman"/>
        </w:rPr>
        <w:t xml:space="preserve">considered that the licence </w:t>
      </w:r>
      <w:r w:rsidR="000A6742" w:rsidRPr="00847696">
        <w:rPr>
          <w:rFonts w:ascii="Times New Roman" w:hAnsi="Times New Roman"/>
        </w:rPr>
        <w:t>w</w:t>
      </w:r>
      <w:r w:rsidR="0074250E" w:rsidRPr="00847696">
        <w:rPr>
          <w:rFonts w:ascii="Times New Roman" w:hAnsi="Times New Roman"/>
        </w:rPr>
        <w:t xml:space="preserve">as subject to </w:t>
      </w:r>
      <w:r w:rsidR="004D6177" w:rsidRPr="00847696">
        <w:rPr>
          <w:rFonts w:ascii="Times New Roman" w:hAnsi="Times New Roman"/>
        </w:rPr>
        <w:t xml:space="preserve">an inherent limitation arising from the </w:t>
      </w:r>
      <w:r w:rsidR="0097233E" w:rsidRPr="00847696">
        <w:rPr>
          <w:rFonts w:ascii="Times New Roman" w:hAnsi="Times New Roman"/>
        </w:rPr>
        <w:t xml:space="preserve">sale of the </w:t>
      </w:r>
      <w:r w:rsidR="004D6177" w:rsidRPr="00847696">
        <w:rPr>
          <w:rFonts w:ascii="Times New Roman" w:hAnsi="Times New Roman"/>
        </w:rPr>
        <w:t>product. His Honour reason</w:t>
      </w:r>
      <w:r w:rsidR="00CA31AD" w:rsidRPr="00847696">
        <w:rPr>
          <w:rFonts w:ascii="Times New Roman" w:hAnsi="Times New Roman"/>
        </w:rPr>
        <w:t>e</w:t>
      </w:r>
      <w:r w:rsidR="004D6177" w:rsidRPr="00847696">
        <w:rPr>
          <w:rFonts w:ascii="Times New Roman" w:hAnsi="Times New Roman"/>
        </w:rPr>
        <w:t xml:space="preserve">d that </w:t>
      </w:r>
      <w:r w:rsidR="00F54AAA" w:rsidRPr="00847696">
        <w:rPr>
          <w:rFonts w:ascii="Times New Roman" w:hAnsi="Times New Roman"/>
        </w:rPr>
        <w:t xml:space="preserve">as </w:t>
      </w:r>
      <w:r w:rsidR="004D6177" w:rsidRPr="00847696">
        <w:rPr>
          <w:rFonts w:ascii="Times New Roman" w:hAnsi="Times New Roman"/>
        </w:rPr>
        <w:t>the licence related only to the particular produc</w:t>
      </w:r>
      <w:r w:rsidR="00CA31AD" w:rsidRPr="00847696">
        <w:rPr>
          <w:rFonts w:ascii="Times New Roman" w:hAnsi="Times New Roman"/>
        </w:rPr>
        <w:t>t</w:t>
      </w:r>
      <w:r w:rsidR="004D6177" w:rsidRPr="00847696">
        <w:rPr>
          <w:rFonts w:ascii="Times New Roman" w:hAnsi="Times New Roman"/>
        </w:rPr>
        <w:t xml:space="preserve"> sold</w:t>
      </w:r>
      <w:r w:rsidR="00CA31AD" w:rsidRPr="00847696">
        <w:rPr>
          <w:rStyle w:val="FootnoteReference"/>
          <w:rFonts w:ascii="Times New Roman" w:hAnsi="Times New Roman"/>
          <w:sz w:val="24"/>
        </w:rPr>
        <w:footnoteReference w:id="51"/>
      </w:r>
      <w:r w:rsidR="004F57ED" w:rsidRPr="00847696">
        <w:rPr>
          <w:rFonts w:ascii="Times New Roman" w:hAnsi="Times New Roman"/>
        </w:rPr>
        <w:t xml:space="preserve"> the modifications made by </w:t>
      </w:r>
      <w:proofErr w:type="spellStart"/>
      <w:r w:rsidR="004F57ED" w:rsidRPr="00847696">
        <w:rPr>
          <w:rFonts w:ascii="Times New Roman" w:hAnsi="Times New Roman"/>
        </w:rPr>
        <w:t>Ninestar</w:t>
      </w:r>
      <w:proofErr w:type="spellEnd"/>
      <w:r w:rsidR="004F57ED" w:rsidRPr="00847696">
        <w:rPr>
          <w:rFonts w:ascii="Times New Roman" w:hAnsi="Times New Roman"/>
        </w:rPr>
        <w:t xml:space="preserve"> to the original Epson cartridges put the continuation of the licence at risk. The question to be addressed, in his Honour's view, was </w:t>
      </w:r>
      <w:r w:rsidR="00FD3806" w:rsidRPr="00847696">
        <w:rPr>
          <w:rFonts w:ascii="Times New Roman" w:hAnsi="Times New Roman"/>
        </w:rPr>
        <w:t>whether the implied licence "survive</w:t>
      </w:r>
      <w:r w:rsidR="00477AC3" w:rsidRPr="00847696">
        <w:rPr>
          <w:rFonts w:ascii="Times New Roman" w:hAnsi="Times New Roman"/>
        </w:rPr>
        <w:t>[</w:t>
      </w:r>
      <w:r w:rsidR="00FD3806" w:rsidRPr="00847696">
        <w:rPr>
          <w:rFonts w:ascii="Times New Roman" w:hAnsi="Times New Roman"/>
        </w:rPr>
        <w:t>d</w:t>
      </w:r>
      <w:r w:rsidR="00477AC3" w:rsidRPr="00847696">
        <w:rPr>
          <w:rFonts w:ascii="Times New Roman" w:hAnsi="Times New Roman"/>
        </w:rPr>
        <w:t>]</w:t>
      </w:r>
      <w:r w:rsidR="00FD3806" w:rsidRPr="00847696">
        <w:rPr>
          <w:rFonts w:ascii="Times New Roman" w:hAnsi="Times New Roman"/>
        </w:rPr>
        <w:t>" the modifications made to the</w:t>
      </w:r>
      <w:r w:rsidR="00DF4809" w:rsidRPr="00847696">
        <w:rPr>
          <w:rFonts w:ascii="Times New Roman" w:hAnsi="Times New Roman"/>
        </w:rPr>
        <w:t>m</w:t>
      </w:r>
      <w:r w:rsidR="00FD3806" w:rsidRPr="00847696">
        <w:rPr>
          <w:rStyle w:val="FootnoteReference"/>
          <w:rFonts w:ascii="Times New Roman" w:hAnsi="Times New Roman"/>
          <w:sz w:val="24"/>
        </w:rPr>
        <w:footnoteReference w:id="52"/>
      </w:r>
      <w:r w:rsidR="00F93620" w:rsidRPr="00847696">
        <w:rPr>
          <w:rFonts w:ascii="Times New Roman" w:hAnsi="Times New Roman"/>
        </w:rPr>
        <w:t xml:space="preserve"> or was extinguished</w:t>
      </w:r>
      <w:r w:rsidR="00F93620" w:rsidRPr="00847696">
        <w:rPr>
          <w:rStyle w:val="FootnoteReference"/>
          <w:rFonts w:ascii="Times New Roman" w:hAnsi="Times New Roman"/>
          <w:sz w:val="24"/>
        </w:rPr>
        <w:footnoteReference w:id="53"/>
      </w:r>
      <w:r w:rsidR="00C10FB2" w:rsidRPr="00847696">
        <w:rPr>
          <w:rFonts w:ascii="Times New Roman" w:hAnsi="Times New Roman"/>
        </w:rPr>
        <w:t>.</w:t>
      </w:r>
    </w:p>
    <w:p w14:paraId="0943A18B" w14:textId="20A371DD" w:rsidR="006F16EC" w:rsidRPr="00847696" w:rsidRDefault="006F16EC"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His Honour </w:t>
      </w:r>
      <w:r w:rsidR="008C33E2" w:rsidRPr="00847696">
        <w:rPr>
          <w:rFonts w:ascii="Times New Roman" w:hAnsi="Times New Roman"/>
        </w:rPr>
        <w:t>eschewed</w:t>
      </w:r>
      <w:r w:rsidR="00A5770A" w:rsidRPr="00847696">
        <w:rPr>
          <w:rFonts w:ascii="Times New Roman" w:hAnsi="Times New Roman"/>
        </w:rPr>
        <w:t xml:space="preserve"> an approach which enquired whether the modifications amounted to a repair of the product, </w:t>
      </w:r>
      <w:r w:rsidR="0080192C" w:rsidRPr="00847696">
        <w:rPr>
          <w:rFonts w:ascii="Times New Roman" w:hAnsi="Times New Roman"/>
        </w:rPr>
        <w:t>on the one hand, or a making of a new product, on the other</w:t>
      </w:r>
      <w:r w:rsidR="00FC3407" w:rsidRPr="00847696">
        <w:rPr>
          <w:rFonts w:ascii="Times New Roman" w:hAnsi="Times New Roman"/>
        </w:rPr>
        <w:t>. The question</w:t>
      </w:r>
      <w:r w:rsidR="000027DD" w:rsidRPr="00847696">
        <w:rPr>
          <w:rFonts w:ascii="Times New Roman" w:hAnsi="Times New Roman"/>
        </w:rPr>
        <w:t>,</w:t>
      </w:r>
      <w:r w:rsidR="00FC3407" w:rsidRPr="00847696">
        <w:rPr>
          <w:rFonts w:ascii="Times New Roman" w:hAnsi="Times New Roman"/>
        </w:rPr>
        <w:t xml:space="preserve"> his Honour said, is not whether the product is altered, made or repaired, but rather whether </w:t>
      </w:r>
      <w:r w:rsidR="000B2735" w:rsidRPr="00847696">
        <w:rPr>
          <w:rFonts w:ascii="Times New Roman" w:hAnsi="Times New Roman"/>
        </w:rPr>
        <w:t xml:space="preserve">the implied licence can be said to apply to the modifications made by </w:t>
      </w:r>
      <w:proofErr w:type="spellStart"/>
      <w:r w:rsidR="000B2735" w:rsidRPr="00847696">
        <w:rPr>
          <w:rFonts w:ascii="Times New Roman" w:hAnsi="Times New Roman"/>
        </w:rPr>
        <w:t>Ninestar</w:t>
      </w:r>
      <w:proofErr w:type="spellEnd"/>
      <w:r w:rsidR="00944B4C" w:rsidRPr="00847696">
        <w:rPr>
          <w:rStyle w:val="FootnoteReference"/>
          <w:rFonts w:ascii="Times New Roman" w:hAnsi="Times New Roman"/>
          <w:sz w:val="24"/>
        </w:rPr>
        <w:footnoteReference w:id="54"/>
      </w:r>
      <w:r w:rsidR="00944B4C" w:rsidRPr="00847696">
        <w:rPr>
          <w:rFonts w:ascii="Times New Roman" w:hAnsi="Times New Roman"/>
        </w:rPr>
        <w:t>. The issue is whether the product</w:t>
      </w:r>
      <w:r w:rsidR="00784C58" w:rsidRPr="00847696">
        <w:rPr>
          <w:rFonts w:ascii="Times New Roman" w:hAnsi="Times New Roman"/>
        </w:rPr>
        <w:t>,</w:t>
      </w:r>
      <w:r w:rsidR="00944B4C" w:rsidRPr="00847696">
        <w:rPr>
          <w:rFonts w:ascii="Times New Roman" w:hAnsi="Times New Roman"/>
        </w:rPr>
        <w:t xml:space="preserve"> </w:t>
      </w:r>
      <w:r w:rsidR="000712E0" w:rsidRPr="00847696">
        <w:rPr>
          <w:rFonts w:ascii="Times New Roman" w:hAnsi="Times New Roman"/>
        </w:rPr>
        <w:t>"</w:t>
      </w:r>
      <w:r w:rsidR="00944B4C" w:rsidRPr="00847696">
        <w:rPr>
          <w:rFonts w:ascii="Times New Roman" w:hAnsi="Times New Roman"/>
        </w:rPr>
        <w:t xml:space="preserve">insofar as it is </w:t>
      </w:r>
      <w:r w:rsidR="000712E0" w:rsidRPr="00847696">
        <w:rPr>
          <w:rFonts w:ascii="Times New Roman" w:hAnsi="Times New Roman"/>
        </w:rPr>
        <w:t>an</w:t>
      </w:r>
      <w:r w:rsidR="00944B4C" w:rsidRPr="00847696">
        <w:rPr>
          <w:rFonts w:ascii="Times New Roman" w:hAnsi="Times New Roman"/>
        </w:rPr>
        <w:t xml:space="preserve"> embodiment of the invention as claimed</w:t>
      </w:r>
      <w:r w:rsidR="007D322D" w:rsidRPr="00847696">
        <w:rPr>
          <w:rFonts w:ascii="Times New Roman" w:hAnsi="Times New Roman"/>
        </w:rPr>
        <w:t>,</w:t>
      </w:r>
      <w:r w:rsidR="00944B4C" w:rsidRPr="00847696">
        <w:rPr>
          <w:rFonts w:ascii="Times New Roman" w:hAnsi="Times New Roman"/>
        </w:rPr>
        <w:t xml:space="preserve"> was materially altered</w:t>
      </w:r>
      <w:r w:rsidR="00492125" w:rsidRPr="00847696">
        <w:rPr>
          <w:rFonts w:ascii="Times New Roman" w:hAnsi="Times New Roman"/>
        </w:rPr>
        <w:t>,</w:t>
      </w:r>
      <w:r w:rsidR="00944B4C" w:rsidRPr="00847696">
        <w:rPr>
          <w:rFonts w:ascii="Times New Roman" w:hAnsi="Times New Roman"/>
        </w:rPr>
        <w:t xml:space="preserve"> </w:t>
      </w:r>
      <w:r w:rsidR="0088133B" w:rsidRPr="00847696">
        <w:rPr>
          <w:rFonts w:ascii="Times New Roman" w:hAnsi="Times New Roman"/>
        </w:rPr>
        <w:t>such that the implied licence can no longer sensibly be said to apply</w:t>
      </w:r>
      <w:r w:rsidR="00492125" w:rsidRPr="00847696">
        <w:rPr>
          <w:rFonts w:ascii="Times New Roman" w:hAnsi="Times New Roman"/>
        </w:rPr>
        <w:t>"</w:t>
      </w:r>
      <w:r w:rsidR="0088133B" w:rsidRPr="00847696">
        <w:rPr>
          <w:rStyle w:val="FootnoteReference"/>
          <w:rFonts w:ascii="Times New Roman" w:hAnsi="Times New Roman"/>
          <w:sz w:val="24"/>
        </w:rPr>
        <w:footnoteReference w:id="55"/>
      </w:r>
      <w:r w:rsidR="0088133B" w:rsidRPr="00847696">
        <w:rPr>
          <w:rFonts w:ascii="Times New Roman" w:hAnsi="Times New Roman"/>
        </w:rPr>
        <w:t>.</w:t>
      </w:r>
    </w:p>
    <w:p w14:paraId="597B1EAA" w14:textId="6B3651D6" w:rsidR="00FD7B79" w:rsidRPr="00847696" w:rsidRDefault="007E4AAD"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250041" w:rsidRPr="00847696">
        <w:rPr>
          <w:rFonts w:ascii="Times New Roman" w:hAnsi="Times New Roman"/>
        </w:rPr>
        <w:t xml:space="preserve">The primary judge assigned the modified cartridges </w:t>
      </w:r>
      <w:r w:rsidR="00F54AAA" w:rsidRPr="00847696">
        <w:rPr>
          <w:rFonts w:ascii="Times New Roman" w:hAnsi="Times New Roman"/>
        </w:rPr>
        <w:t>in</w:t>
      </w:r>
      <w:r w:rsidR="00250041" w:rsidRPr="00847696">
        <w:rPr>
          <w:rFonts w:ascii="Times New Roman" w:hAnsi="Times New Roman"/>
        </w:rPr>
        <w:t xml:space="preserve">to nine categories, based on the different steps </w:t>
      </w:r>
      <w:r w:rsidR="009D659F" w:rsidRPr="00847696">
        <w:rPr>
          <w:rFonts w:ascii="Times New Roman" w:hAnsi="Times New Roman"/>
        </w:rPr>
        <w:t xml:space="preserve">undertaken by </w:t>
      </w:r>
      <w:proofErr w:type="spellStart"/>
      <w:r w:rsidR="009D659F" w:rsidRPr="00847696">
        <w:rPr>
          <w:rFonts w:ascii="Times New Roman" w:hAnsi="Times New Roman"/>
        </w:rPr>
        <w:t>Ninestar</w:t>
      </w:r>
      <w:proofErr w:type="spellEnd"/>
      <w:r w:rsidR="009D659F" w:rsidRPr="00847696">
        <w:rPr>
          <w:rFonts w:ascii="Times New Roman" w:hAnsi="Times New Roman"/>
        </w:rPr>
        <w:t xml:space="preserve"> </w:t>
      </w:r>
      <w:r w:rsidR="00250041" w:rsidRPr="00847696">
        <w:rPr>
          <w:rFonts w:ascii="Times New Roman" w:hAnsi="Times New Roman"/>
        </w:rPr>
        <w:t>in order for them to be rendered capable of re</w:t>
      </w:r>
      <w:r w:rsidR="009D659F" w:rsidRPr="00847696">
        <w:rPr>
          <w:rFonts w:ascii="Times New Roman" w:hAnsi="Times New Roman"/>
        </w:rPr>
        <w:t>-</w:t>
      </w:r>
      <w:r w:rsidR="00250041" w:rsidRPr="00847696">
        <w:rPr>
          <w:rFonts w:ascii="Times New Roman" w:hAnsi="Times New Roman"/>
        </w:rPr>
        <w:t>use.</w:t>
      </w:r>
      <w:r w:rsidR="00501CCC" w:rsidRPr="00847696">
        <w:rPr>
          <w:rFonts w:ascii="Times New Roman" w:hAnsi="Times New Roman"/>
        </w:rPr>
        <w:t xml:space="preserve"> His </w:t>
      </w:r>
      <w:r w:rsidR="00D44560" w:rsidRPr="00847696">
        <w:rPr>
          <w:rFonts w:ascii="Times New Roman" w:hAnsi="Times New Roman"/>
        </w:rPr>
        <w:t xml:space="preserve">Honour held that </w:t>
      </w:r>
      <w:r w:rsidR="00394F10" w:rsidRPr="00847696">
        <w:rPr>
          <w:rFonts w:ascii="Times New Roman" w:hAnsi="Times New Roman"/>
        </w:rPr>
        <w:t xml:space="preserve">in </w:t>
      </w:r>
      <w:r w:rsidR="00D44560" w:rsidRPr="00847696">
        <w:rPr>
          <w:rFonts w:ascii="Times New Roman" w:hAnsi="Times New Roman"/>
        </w:rPr>
        <w:t xml:space="preserve">five </w:t>
      </w:r>
      <w:r w:rsidR="00394F10" w:rsidRPr="00847696">
        <w:rPr>
          <w:rFonts w:ascii="Times New Roman" w:hAnsi="Times New Roman"/>
        </w:rPr>
        <w:t xml:space="preserve">of the </w:t>
      </w:r>
      <w:r w:rsidR="00D44560" w:rsidRPr="00847696">
        <w:rPr>
          <w:rFonts w:ascii="Times New Roman" w:hAnsi="Times New Roman"/>
        </w:rPr>
        <w:t>categories the modificat</w:t>
      </w:r>
      <w:r w:rsidR="00900B39" w:rsidRPr="00847696">
        <w:rPr>
          <w:rFonts w:ascii="Times New Roman" w:hAnsi="Times New Roman"/>
        </w:rPr>
        <w:t>i</w:t>
      </w:r>
      <w:r w:rsidR="00D44560" w:rsidRPr="00847696">
        <w:rPr>
          <w:rFonts w:ascii="Times New Roman" w:hAnsi="Times New Roman"/>
        </w:rPr>
        <w:t xml:space="preserve">ons </w:t>
      </w:r>
      <w:r w:rsidR="00CD31CE" w:rsidRPr="00847696">
        <w:rPr>
          <w:rFonts w:ascii="Times New Roman" w:hAnsi="Times New Roman"/>
        </w:rPr>
        <w:t xml:space="preserve">were </w:t>
      </w:r>
      <w:r w:rsidR="00900B39" w:rsidRPr="00847696">
        <w:rPr>
          <w:rFonts w:ascii="Times New Roman" w:hAnsi="Times New Roman"/>
        </w:rPr>
        <w:t>such as to extinguish any implied licence</w:t>
      </w:r>
      <w:r w:rsidR="00FD7B79" w:rsidRPr="00847696">
        <w:rPr>
          <w:rFonts w:ascii="Times New Roman" w:hAnsi="Times New Roman"/>
        </w:rPr>
        <w:t xml:space="preserve">. </w:t>
      </w:r>
      <w:r w:rsidR="006F5704" w:rsidRPr="00847696">
        <w:rPr>
          <w:rFonts w:ascii="Times New Roman" w:hAnsi="Times New Roman"/>
        </w:rPr>
        <w:t>T</w:t>
      </w:r>
      <w:r w:rsidR="009E656D" w:rsidRPr="00847696">
        <w:rPr>
          <w:rFonts w:ascii="Times New Roman" w:hAnsi="Times New Roman"/>
        </w:rPr>
        <w:t xml:space="preserve">he licence was terminated before Calidad </w:t>
      </w:r>
      <w:r w:rsidR="00554E87" w:rsidRPr="00847696">
        <w:rPr>
          <w:rFonts w:ascii="Times New Roman" w:hAnsi="Times New Roman"/>
        </w:rPr>
        <w:t>imported</w:t>
      </w:r>
      <w:r w:rsidR="009E656D" w:rsidRPr="00847696">
        <w:rPr>
          <w:rFonts w:ascii="Times New Roman" w:hAnsi="Times New Roman"/>
        </w:rPr>
        <w:t xml:space="preserve"> the products</w:t>
      </w:r>
      <w:r w:rsidR="000A7E5D" w:rsidRPr="00847696">
        <w:rPr>
          <w:rStyle w:val="FootnoteReference"/>
          <w:rFonts w:ascii="Times New Roman" w:hAnsi="Times New Roman"/>
          <w:sz w:val="24"/>
        </w:rPr>
        <w:footnoteReference w:id="56"/>
      </w:r>
      <w:r w:rsidR="000A7E5D" w:rsidRPr="00847696">
        <w:rPr>
          <w:rFonts w:ascii="Times New Roman" w:hAnsi="Times New Roman"/>
        </w:rPr>
        <w:t>.</w:t>
      </w:r>
      <w:r w:rsidR="00DF77A0" w:rsidRPr="00847696">
        <w:rPr>
          <w:rFonts w:ascii="Times New Roman" w:hAnsi="Times New Roman"/>
        </w:rPr>
        <w:t xml:space="preserve"> As to the remaining four categories, his Honour considered that the modifications were not material</w:t>
      </w:r>
      <w:r w:rsidR="00DF77A0" w:rsidRPr="00847696">
        <w:rPr>
          <w:rStyle w:val="FootnoteReference"/>
          <w:rFonts w:ascii="Times New Roman" w:hAnsi="Times New Roman"/>
          <w:sz w:val="24"/>
        </w:rPr>
        <w:footnoteReference w:id="57"/>
      </w:r>
      <w:r w:rsidR="00DF77A0" w:rsidRPr="00847696">
        <w:rPr>
          <w:rFonts w:ascii="Times New Roman" w:hAnsi="Times New Roman"/>
        </w:rPr>
        <w:t>.</w:t>
      </w:r>
    </w:p>
    <w:p w14:paraId="706F8C84" w14:textId="009470DF" w:rsidR="001F62A0" w:rsidRPr="00847696" w:rsidRDefault="00A40ABF" w:rsidP="00847696">
      <w:pPr>
        <w:pStyle w:val="HeadingL2"/>
        <w:spacing w:after="260" w:line="280" w:lineRule="exact"/>
        <w:ind w:right="0"/>
        <w:jc w:val="both"/>
        <w:rPr>
          <w:rFonts w:ascii="Times New Roman" w:hAnsi="Times New Roman"/>
        </w:rPr>
      </w:pPr>
      <w:r w:rsidRPr="00847696">
        <w:rPr>
          <w:rFonts w:ascii="Times New Roman" w:hAnsi="Times New Roman"/>
        </w:rPr>
        <w:lastRenderedPageBreak/>
        <w:t>The Full Court</w:t>
      </w:r>
    </w:p>
    <w:p w14:paraId="3DE02930" w14:textId="4C78655E" w:rsidR="00422BD6" w:rsidRPr="00847696" w:rsidRDefault="00A40ABF"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3E0923" w:rsidRPr="00847696">
        <w:rPr>
          <w:rFonts w:ascii="Times New Roman" w:hAnsi="Times New Roman"/>
        </w:rPr>
        <w:t xml:space="preserve">Calidad appealed the primary judge's findings regarding </w:t>
      </w:r>
      <w:r w:rsidR="0094177C" w:rsidRPr="00847696">
        <w:rPr>
          <w:rFonts w:ascii="Times New Roman" w:hAnsi="Times New Roman"/>
        </w:rPr>
        <w:t xml:space="preserve">the </w:t>
      </w:r>
      <w:r w:rsidR="00A154D1" w:rsidRPr="00847696">
        <w:rPr>
          <w:rFonts w:ascii="Times New Roman" w:hAnsi="Times New Roman"/>
        </w:rPr>
        <w:t>five </w:t>
      </w:r>
      <w:r w:rsidR="003E0923" w:rsidRPr="00847696">
        <w:rPr>
          <w:rFonts w:ascii="Times New Roman" w:hAnsi="Times New Roman"/>
        </w:rPr>
        <w:t>categories</w:t>
      </w:r>
      <w:r w:rsidR="0094177C" w:rsidRPr="00847696">
        <w:rPr>
          <w:rFonts w:ascii="Times New Roman" w:hAnsi="Times New Roman"/>
        </w:rPr>
        <w:t xml:space="preserve"> found to infringe</w:t>
      </w:r>
      <w:r w:rsidR="003E0923" w:rsidRPr="00847696">
        <w:rPr>
          <w:rFonts w:ascii="Times New Roman" w:hAnsi="Times New Roman"/>
        </w:rPr>
        <w:t xml:space="preserve"> and Seiko cross-appealed regarding </w:t>
      </w:r>
      <w:r w:rsidR="00176D52" w:rsidRPr="00847696">
        <w:rPr>
          <w:rFonts w:ascii="Times New Roman" w:hAnsi="Times New Roman"/>
        </w:rPr>
        <w:t xml:space="preserve">the </w:t>
      </w:r>
      <w:r w:rsidR="00735B0C" w:rsidRPr="00847696">
        <w:rPr>
          <w:rFonts w:ascii="Times New Roman" w:hAnsi="Times New Roman"/>
        </w:rPr>
        <w:t xml:space="preserve">other </w:t>
      </w:r>
      <w:r w:rsidR="00A154D1" w:rsidRPr="00847696">
        <w:rPr>
          <w:rFonts w:ascii="Times New Roman" w:hAnsi="Times New Roman"/>
        </w:rPr>
        <w:t>four </w:t>
      </w:r>
      <w:r w:rsidR="003E0923" w:rsidRPr="00847696">
        <w:rPr>
          <w:rFonts w:ascii="Times New Roman" w:hAnsi="Times New Roman"/>
        </w:rPr>
        <w:t xml:space="preserve">categories. </w:t>
      </w:r>
      <w:r w:rsidR="00DF77A0" w:rsidRPr="00847696">
        <w:rPr>
          <w:rFonts w:ascii="Times New Roman" w:hAnsi="Times New Roman"/>
        </w:rPr>
        <w:t xml:space="preserve">A </w:t>
      </w:r>
      <w:r w:rsidR="003E0923" w:rsidRPr="00847696">
        <w:rPr>
          <w:rFonts w:ascii="Times New Roman" w:hAnsi="Times New Roman"/>
        </w:rPr>
        <w:t xml:space="preserve">Full Court </w:t>
      </w:r>
      <w:r w:rsidR="00422BD6" w:rsidRPr="00847696">
        <w:rPr>
          <w:rFonts w:ascii="Times New Roman" w:hAnsi="Times New Roman"/>
        </w:rPr>
        <w:t xml:space="preserve">(Greenwood, </w:t>
      </w:r>
      <w:proofErr w:type="spellStart"/>
      <w:r w:rsidR="00422BD6" w:rsidRPr="00847696">
        <w:rPr>
          <w:rFonts w:ascii="Times New Roman" w:hAnsi="Times New Roman"/>
        </w:rPr>
        <w:t>Jagot</w:t>
      </w:r>
      <w:proofErr w:type="spellEnd"/>
      <w:r w:rsidR="00422BD6" w:rsidRPr="00847696">
        <w:rPr>
          <w:rFonts w:ascii="Times New Roman" w:hAnsi="Times New Roman"/>
        </w:rPr>
        <w:t xml:space="preserve"> and Yates JJ)</w:t>
      </w:r>
      <w:r w:rsidR="00A61566" w:rsidRPr="00847696">
        <w:rPr>
          <w:rStyle w:val="FootnoteReference"/>
          <w:rFonts w:ascii="Times New Roman" w:hAnsi="Times New Roman"/>
          <w:sz w:val="24"/>
        </w:rPr>
        <w:footnoteReference w:id="58"/>
      </w:r>
      <w:r w:rsidR="00422BD6" w:rsidRPr="00847696">
        <w:rPr>
          <w:rFonts w:ascii="Times New Roman" w:hAnsi="Times New Roman"/>
        </w:rPr>
        <w:t xml:space="preserve"> </w:t>
      </w:r>
      <w:r w:rsidR="00542E9C" w:rsidRPr="00847696">
        <w:rPr>
          <w:rFonts w:ascii="Times New Roman" w:hAnsi="Times New Roman"/>
        </w:rPr>
        <w:t>allowed</w:t>
      </w:r>
      <w:r w:rsidR="003E0923" w:rsidRPr="00847696">
        <w:rPr>
          <w:rFonts w:ascii="Times New Roman" w:hAnsi="Times New Roman"/>
        </w:rPr>
        <w:t xml:space="preserve"> </w:t>
      </w:r>
      <w:r w:rsidR="00F2305C" w:rsidRPr="00847696">
        <w:rPr>
          <w:rFonts w:ascii="Times New Roman" w:hAnsi="Times New Roman"/>
        </w:rPr>
        <w:t xml:space="preserve">Seiko's </w:t>
      </w:r>
      <w:r w:rsidR="003E0923" w:rsidRPr="00847696">
        <w:rPr>
          <w:rFonts w:ascii="Times New Roman" w:hAnsi="Times New Roman"/>
        </w:rPr>
        <w:t xml:space="preserve">cross-appeal and dismissed Calidad's appeal, holding that in </w:t>
      </w:r>
      <w:r w:rsidR="00522A70" w:rsidRPr="00847696">
        <w:rPr>
          <w:rFonts w:ascii="Times New Roman" w:hAnsi="Times New Roman"/>
        </w:rPr>
        <w:t>none of the</w:t>
      </w:r>
      <w:r w:rsidR="003E0923" w:rsidRPr="00847696">
        <w:rPr>
          <w:rFonts w:ascii="Times New Roman" w:hAnsi="Times New Roman"/>
        </w:rPr>
        <w:t xml:space="preserve"> nine categories </w:t>
      </w:r>
      <w:r w:rsidR="00BD1208" w:rsidRPr="00847696">
        <w:rPr>
          <w:rFonts w:ascii="Times New Roman" w:hAnsi="Times New Roman"/>
        </w:rPr>
        <w:t xml:space="preserve">were </w:t>
      </w:r>
      <w:r w:rsidR="003E0923" w:rsidRPr="00847696">
        <w:rPr>
          <w:rFonts w:ascii="Times New Roman" w:hAnsi="Times New Roman"/>
        </w:rPr>
        <w:t xml:space="preserve">the modifications made to the original Epson cartridges </w:t>
      </w:r>
      <w:r w:rsidR="00AF24DE" w:rsidRPr="00847696">
        <w:rPr>
          <w:rFonts w:ascii="Times New Roman" w:hAnsi="Times New Roman"/>
        </w:rPr>
        <w:t>authorised by the implied licence</w:t>
      </w:r>
      <w:r w:rsidR="00B02EBC" w:rsidRPr="00847696">
        <w:rPr>
          <w:rFonts w:ascii="Times New Roman" w:hAnsi="Times New Roman"/>
        </w:rPr>
        <w:t xml:space="preserve"> and that the </w:t>
      </w:r>
      <w:r w:rsidR="009B2853" w:rsidRPr="00847696">
        <w:rPr>
          <w:rFonts w:ascii="Times New Roman" w:hAnsi="Times New Roman"/>
        </w:rPr>
        <w:t>changes</w:t>
      </w:r>
      <w:r w:rsidR="00AF24DE" w:rsidRPr="00847696">
        <w:rPr>
          <w:rFonts w:ascii="Times New Roman" w:hAnsi="Times New Roman"/>
        </w:rPr>
        <w:t xml:space="preserve"> </w:t>
      </w:r>
      <w:r w:rsidR="00464C54" w:rsidRPr="00847696">
        <w:rPr>
          <w:rFonts w:ascii="Times New Roman" w:hAnsi="Times New Roman"/>
        </w:rPr>
        <w:t>e</w:t>
      </w:r>
      <w:r w:rsidR="00B02EBC" w:rsidRPr="00847696">
        <w:rPr>
          <w:rFonts w:ascii="Times New Roman" w:hAnsi="Times New Roman"/>
        </w:rPr>
        <w:t xml:space="preserve">ffected </w:t>
      </w:r>
      <w:r w:rsidR="00464C54" w:rsidRPr="00847696">
        <w:rPr>
          <w:rFonts w:ascii="Times New Roman" w:hAnsi="Times New Roman"/>
        </w:rPr>
        <w:t xml:space="preserve">to them </w:t>
      </w:r>
      <w:r w:rsidR="00AF24DE" w:rsidRPr="00847696">
        <w:rPr>
          <w:rFonts w:ascii="Times New Roman" w:hAnsi="Times New Roman"/>
        </w:rPr>
        <w:t>constitut</w:t>
      </w:r>
      <w:r w:rsidR="00735B0C" w:rsidRPr="00847696">
        <w:rPr>
          <w:rFonts w:ascii="Times New Roman" w:hAnsi="Times New Roman"/>
        </w:rPr>
        <w:t>ed</w:t>
      </w:r>
      <w:r w:rsidR="00AF24DE" w:rsidRPr="00847696">
        <w:rPr>
          <w:rFonts w:ascii="Times New Roman" w:hAnsi="Times New Roman"/>
        </w:rPr>
        <w:t xml:space="preserve"> </w:t>
      </w:r>
      <w:r w:rsidR="00C2344E" w:rsidRPr="00847696">
        <w:rPr>
          <w:rFonts w:ascii="Times New Roman" w:hAnsi="Times New Roman"/>
        </w:rPr>
        <w:t xml:space="preserve">a making </w:t>
      </w:r>
      <w:r w:rsidR="009B2853" w:rsidRPr="00847696">
        <w:rPr>
          <w:rFonts w:ascii="Times New Roman" w:hAnsi="Times New Roman"/>
        </w:rPr>
        <w:t xml:space="preserve">of a new embodiment of the invention </w:t>
      </w:r>
      <w:r w:rsidR="00B02EBC" w:rsidRPr="00847696">
        <w:rPr>
          <w:rFonts w:ascii="Times New Roman" w:hAnsi="Times New Roman"/>
        </w:rPr>
        <w:t xml:space="preserve">claimed </w:t>
      </w:r>
      <w:r w:rsidR="008900A5" w:rsidRPr="00847696">
        <w:rPr>
          <w:rFonts w:ascii="Times New Roman" w:hAnsi="Times New Roman"/>
        </w:rPr>
        <w:t>in the patent</w:t>
      </w:r>
      <w:r w:rsidR="00766E71" w:rsidRPr="00847696">
        <w:rPr>
          <w:rFonts w:ascii="Times New Roman" w:hAnsi="Times New Roman"/>
        </w:rPr>
        <w:t>s</w:t>
      </w:r>
      <w:r w:rsidR="00C2344E" w:rsidRPr="00847696">
        <w:rPr>
          <w:rStyle w:val="FootnoteReference"/>
          <w:rFonts w:ascii="Times New Roman" w:hAnsi="Times New Roman"/>
          <w:sz w:val="24"/>
        </w:rPr>
        <w:footnoteReference w:id="59"/>
      </w:r>
      <w:r w:rsidR="00C2344E" w:rsidRPr="00847696">
        <w:rPr>
          <w:rFonts w:ascii="Times New Roman" w:hAnsi="Times New Roman"/>
        </w:rPr>
        <w:t>.</w:t>
      </w:r>
    </w:p>
    <w:p w14:paraId="575A0485" w14:textId="41D5A003" w:rsidR="00C2344E" w:rsidRPr="00847696" w:rsidRDefault="00C2344E"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The Full Court agreed with the primary judge that the </w:t>
      </w:r>
      <w:r w:rsidR="00735B0C" w:rsidRPr="00847696">
        <w:rPr>
          <w:rFonts w:ascii="Times New Roman" w:hAnsi="Times New Roman"/>
        </w:rPr>
        <w:t xml:space="preserve">implied </w:t>
      </w:r>
      <w:r w:rsidRPr="00847696">
        <w:rPr>
          <w:rFonts w:ascii="Times New Roman" w:hAnsi="Times New Roman"/>
        </w:rPr>
        <w:t xml:space="preserve">licence was one only to use the patented product in the form in which it was sold. </w:t>
      </w:r>
      <w:proofErr w:type="spellStart"/>
      <w:r w:rsidRPr="00847696">
        <w:rPr>
          <w:rFonts w:ascii="Times New Roman" w:hAnsi="Times New Roman"/>
        </w:rPr>
        <w:t>Jagot</w:t>
      </w:r>
      <w:proofErr w:type="spellEnd"/>
      <w:r w:rsidRPr="00847696">
        <w:rPr>
          <w:rFonts w:ascii="Times New Roman" w:hAnsi="Times New Roman"/>
        </w:rPr>
        <w:t xml:space="preserve"> J, with whom </w:t>
      </w:r>
      <w:r w:rsidR="00752023" w:rsidRPr="00847696">
        <w:rPr>
          <w:rFonts w:ascii="Times New Roman" w:hAnsi="Times New Roman"/>
        </w:rPr>
        <w:t xml:space="preserve">Greenwood J generally agreed, said the "product" referred to in s 13(1) </w:t>
      </w:r>
      <w:r w:rsidR="00735B0C" w:rsidRPr="00847696">
        <w:rPr>
          <w:rFonts w:ascii="Times New Roman" w:hAnsi="Times New Roman"/>
        </w:rPr>
        <w:t xml:space="preserve">of the </w:t>
      </w:r>
      <w:r w:rsidR="00735B0C" w:rsidRPr="00847696">
        <w:rPr>
          <w:rFonts w:ascii="Times New Roman" w:hAnsi="Times New Roman"/>
          <w:i/>
        </w:rPr>
        <w:t>Patents Act</w:t>
      </w:r>
      <w:r w:rsidR="00A312F0" w:rsidRPr="00847696">
        <w:rPr>
          <w:rFonts w:ascii="Times New Roman" w:hAnsi="Times New Roman"/>
          <w:i/>
        </w:rPr>
        <w:t xml:space="preserve"> 1990</w:t>
      </w:r>
      <w:r w:rsidR="00246F51" w:rsidRPr="00847696">
        <w:rPr>
          <w:rFonts w:ascii="Times New Roman" w:hAnsi="Times New Roman"/>
        </w:rPr>
        <w:t>, read together with the definition of "exploit",</w:t>
      </w:r>
      <w:r w:rsidR="00735B0C" w:rsidRPr="00847696">
        <w:rPr>
          <w:rFonts w:ascii="Times New Roman" w:hAnsi="Times New Roman"/>
        </w:rPr>
        <w:t xml:space="preserve"> </w:t>
      </w:r>
      <w:r w:rsidR="00AF31D4" w:rsidRPr="00847696">
        <w:rPr>
          <w:rFonts w:ascii="Times New Roman" w:hAnsi="Times New Roman"/>
        </w:rPr>
        <w:t xml:space="preserve">that is </w:t>
      </w:r>
      <w:r w:rsidR="00B00D60" w:rsidRPr="00847696">
        <w:rPr>
          <w:rFonts w:ascii="Times New Roman" w:hAnsi="Times New Roman"/>
        </w:rPr>
        <w:t xml:space="preserve">the </w:t>
      </w:r>
      <w:r w:rsidR="00752023" w:rsidRPr="00847696">
        <w:rPr>
          <w:rFonts w:ascii="Times New Roman" w:hAnsi="Times New Roman"/>
        </w:rPr>
        <w:t xml:space="preserve">subject </w:t>
      </w:r>
      <w:r w:rsidR="00296807" w:rsidRPr="00847696">
        <w:rPr>
          <w:rFonts w:ascii="Times New Roman" w:hAnsi="Times New Roman"/>
        </w:rPr>
        <w:t>of</w:t>
      </w:r>
      <w:r w:rsidR="00752023" w:rsidRPr="00847696">
        <w:rPr>
          <w:rFonts w:ascii="Times New Roman" w:hAnsi="Times New Roman"/>
        </w:rPr>
        <w:t xml:space="preserve"> the exclusive rights of use and sale is the product embodying the cla</w:t>
      </w:r>
      <w:r w:rsidR="00E316C0" w:rsidRPr="00847696">
        <w:rPr>
          <w:rFonts w:ascii="Times New Roman" w:hAnsi="Times New Roman"/>
        </w:rPr>
        <w:t>i</w:t>
      </w:r>
      <w:r w:rsidR="00752023" w:rsidRPr="00847696">
        <w:rPr>
          <w:rFonts w:ascii="Times New Roman" w:hAnsi="Times New Roman"/>
        </w:rPr>
        <w:t>med invention</w:t>
      </w:r>
      <w:r w:rsidR="00752023" w:rsidRPr="00847696">
        <w:rPr>
          <w:rStyle w:val="FootnoteReference"/>
          <w:rFonts w:ascii="Times New Roman" w:hAnsi="Times New Roman"/>
          <w:sz w:val="24"/>
        </w:rPr>
        <w:footnoteReference w:id="60"/>
      </w:r>
      <w:r w:rsidR="00E316C0" w:rsidRPr="00847696">
        <w:rPr>
          <w:rFonts w:ascii="Times New Roman" w:hAnsi="Times New Roman"/>
        </w:rPr>
        <w:t xml:space="preserve">. Yates J said that the implied licence does not extend beyond the use of the patented product in the form in which </w:t>
      </w:r>
      <w:r w:rsidR="00271CB9" w:rsidRPr="00847696">
        <w:rPr>
          <w:rFonts w:ascii="Times New Roman" w:hAnsi="Times New Roman"/>
        </w:rPr>
        <w:t>it comes into the hands of the first owner</w:t>
      </w:r>
      <w:r w:rsidR="00E316C0" w:rsidRPr="00847696">
        <w:rPr>
          <w:rStyle w:val="FootnoteReference"/>
          <w:rFonts w:ascii="Times New Roman" w:hAnsi="Times New Roman"/>
          <w:sz w:val="24"/>
        </w:rPr>
        <w:footnoteReference w:id="61"/>
      </w:r>
      <w:r w:rsidR="00DE6076" w:rsidRPr="00847696">
        <w:rPr>
          <w:rFonts w:ascii="Times New Roman" w:hAnsi="Times New Roman"/>
        </w:rPr>
        <w:t>.</w:t>
      </w:r>
    </w:p>
    <w:p w14:paraId="60C04106" w14:textId="3B687D44" w:rsidR="00DE6076" w:rsidRPr="00847696" w:rsidRDefault="00DE6076" w:rsidP="00847696">
      <w:pPr>
        <w:pStyle w:val="FixListStyle"/>
        <w:spacing w:after="260" w:line="280" w:lineRule="exact"/>
        <w:ind w:right="0"/>
        <w:jc w:val="both"/>
        <w:rPr>
          <w:rFonts w:ascii="Times New Roman" w:hAnsi="Times New Roman"/>
        </w:rPr>
      </w:pPr>
      <w:r w:rsidRPr="00847696">
        <w:rPr>
          <w:rFonts w:ascii="Times New Roman" w:hAnsi="Times New Roman"/>
        </w:rPr>
        <w:tab/>
        <w:t>The Full Court did not agree with the question identified by the primary judge. The correct question</w:t>
      </w:r>
      <w:r w:rsidR="000A7E5D" w:rsidRPr="00847696">
        <w:rPr>
          <w:rFonts w:ascii="Times New Roman" w:hAnsi="Times New Roman"/>
        </w:rPr>
        <w:t>,</w:t>
      </w:r>
      <w:r w:rsidRPr="00847696">
        <w:rPr>
          <w:rFonts w:ascii="Times New Roman" w:hAnsi="Times New Roman"/>
        </w:rPr>
        <w:t xml:space="preserve"> in their Honours' view</w:t>
      </w:r>
      <w:r w:rsidR="00F563FF" w:rsidRPr="00847696">
        <w:rPr>
          <w:rStyle w:val="FootnoteReference"/>
          <w:rFonts w:ascii="Times New Roman" w:hAnsi="Times New Roman"/>
          <w:sz w:val="24"/>
        </w:rPr>
        <w:footnoteReference w:id="62"/>
      </w:r>
      <w:r w:rsidR="000A7E5D" w:rsidRPr="00847696">
        <w:rPr>
          <w:rFonts w:ascii="Times New Roman" w:hAnsi="Times New Roman"/>
        </w:rPr>
        <w:t>,</w:t>
      </w:r>
      <w:r w:rsidR="006926AB" w:rsidRPr="00847696">
        <w:rPr>
          <w:rFonts w:ascii="Times New Roman" w:hAnsi="Times New Roman"/>
        </w:rPr>
        <w:t xml:space="preserve"> was not whether the licence was terminated by the unauthorised modifications, but rather what was the scope</w:t>
      </w:r>
      <w:r w:rsidR="004F62EA" w:rsidRPr="00847696">
        <w:rPr>
          <w:rFonts w:ascii="Times New Roman" w:hAnsi="Times New Roman"/>
        </w:rPr>
        <w:t xml:space="preserve"> </w:t>
      </w:r>
      <w:r w:rsidR="006926AB" w:rsidRPr="00847696">
        <w:rPr>
          <w:rFonts w:ascii="Times New Roman" w:hAnsi="Times New Roman"/>
        </w:rPr>
        <w:t>of the licence. That question was to be determined</w:t>
      </w:r>
      <w:r w:rsidR="00515829" w:rsidRPr="00847696">
        <w:rPr>
          <w:rFonts w:ascii="Times New Roman" w:hAnsi="Times New Roman"/>
        </w:rPr>
        <w:t xml:space="preserve">, at least in part, </w:t>
      </w:r>
      <w:r w:rsidR="004F62EA" w:rsidRPr="00847696">
        <w:rPr>
          <w:rFonts w:ascii="Times New Roman" w:hAnsi="Times New Roman"/>
        </w:rPr>
        <w:t xml:space="preserve">by reference to the nature of the article </w:t>
      </w:r>
      <w:r w:rsidR="007C3A9B" w:rsidRPr="00847696">
        <w:rPr>
          <w:rFonts w:ascii="Times New Roman" w:hAnsi="Times New Roman"/>
        </w:rPr>
        <w:t>sold</w:t>
      </w:r>
      <w:r w:rsidR="004F62EA" w:rsidRPr="00847696">
        <w:rPr>
          <w:rStyle w:val="FootnoteReference"/>
          <w:rFonts w:ascii="Times New Roman" w:hAnsi="Times New Roman"/>
          <w:sz w:val="24"/>
        </w:rPr>
        <w:footnoteReference w:id="63"/>
      </w:r>
      <w:r w:rsidR="004F62EA" w:rsidRPr="00847696">
        <w:rPr>
          <w:rFonts w:ascii="Times New Roman" w:hAnsi="Times New Roman"/>
        </w:rPr>
        <w:t>.</w:t>
      </w:r>
      <w:r w:rsidR="00515829" w:rsidRPr="00847696">
        <w:rPr>
          <w:rFonts w:ascii="Times New Roman" w:hAnsi="Times New Roman"/>
        </w:rPr>
        <w:t xml:space="preserve"> </w:t>
      </w:r>
      <w:r w:rsidR="0030252E" w:rsidRPr="00847696">
        <w:rPr>
          <w:rFonts w:ascii="Times New Roman" w:hAnsi="Times New Roman"/>
        </w:rPr>
        <w:t xml:space="preserve">As </w:t>
      </w:r>
      <w:r w:rsidR="007C3A9B" w:rsidRPr="00847696">
        <w:rPr>
          <w:rFonts w:ascii="Times New Roman" w:hAnsi="Times New Roman"/>
        </w:rPr>
        <w:t>sold</w:t>
      </w:r>
      <w:r w:rsidR="0030252E" w:rsidRPr="00847696">
        <w:rPr>
          <w:rFonts w:ascii="Times New Roman" w:hAnsi="Times New Roman"/>
        </w:rPr>
        <w:t>,</w:t>
      </w:r>
      <w:r w:rsidR="007C3A9B" w:rsidRPr="00847696">
        <w:rPr>
          <w:rFonts w:ascii="Times New Roman" w:hAnsi="Times New Roman"/>
        </w:rPr>
        <w:t xml:space="preserve"> it </w:t>
      </w:r>
      <w:r w:rsidR="0012506D" w:rsidRPr="00847696">
        <w:rPr>
          <w:rFonts w:ascii="Times New Roman" w:hAnsi="Times New Roman"/>
        </w:rPr>
        <w:t>w</w:t>
      </w:r>
      <w:r w:rsidR="007C3A9B" w:rsidRPr="00847696">
        <w:rPr>
          <w:rFonts w:ascii="Times New Roman" w:hAnsi="Times New Roman"/>
        </w:rPr>
        <w:t xml:space="preserve">as </w:t>
      </w:r>
      <w:r w:rsidR="0012506D" w:rsidRPr="00847696">
        <w:rPr>
          <w:rFonts w:ascii="Times New Roman" w:hAnsi="Times New Roman"/>
        </w:rPr>
        <w:t xml:space="preserve">a product which had a certain </w:t>
      </w:r>
      <w:r w:rsidR="0012506D" w:rsidRPr="00847696">
        <w:rPr>
          <w:rFonts w:ascii="Times New Roman" w:hAnsi="Times New Roman"/>
        </w:rPr>
        <w:lastRenderedPageBreak/>
        <w:t>lifespan</w:t>
      </w:r>
      <w:r w:rsidR="00BC1EB6" w:rsidRPr="00847696">
        <w:rPr>
          <w:rStyle w:val="FootnoteReference"/>
          <w:rFonts w:ascii="Times New Roman" w:hAnsi="Times New Roman"/>
          <w:sz w:val="24"/>
        </w:rPr>
        <w:footnoteReference w:id="64"/>
      </w:r>
      <w:r w:rsidR="00D12FD0" w:rsidRPr="00847696">
        <w:rPr>
          <w:rFonts w:ascii="Times New Roman" w:hAnsi="Times New Roman"/>
        </w:rPr>
        <w:t>.</w:t>
      </w:r>
      <w:r w:rsidR="00D607D7" w:rsidRPr="00847696">
        <w:rPr>
          <w:rFonts w:ascii="Times New Roman" w:hAnsi="Times New Roman"/>
        </w:rPr>
        <w:t xml:space="preserve"> </w:t>
      </w:r>
      <w:r w:rsidR="006571ED" w:rsidRPr="00847696">
        <w:rPr>
          <w:rFonts w:ascii="Times New Roman" w:hAnsi="Times New Roman"/>
        </w:rPr>
        <w:t xml:space="preserve">It could </w:t>
      </w:r>
      <w:r w:rsidR="00515829" w:rsidRPr="00847696">
        <w:rPr>
          <w:rFonts w:ascii="Times New Roman" w:hAnsi="Times New Roman"/>
        </w:rPr>
        <w:t xml:space="preserve">never have been within the contemplation of Seiko and any </w:t>
      </w:r>
      <w:r w:rsidR="004B6A3A" w:rsidRPr="00847696">
        <w:rPr>
          <w:rFonts w:ascii="Times New Roman" w:hAnsi="Times New Roman"/>
        </w:rPr>
        <w:t xml:space="preserve">purchaser that a printer cartridge exhausted of ink would be repurposed in the manner of the Calidad products, </w:t>
      </w:r>
      <w:proofErr w:type="spellStart"/>
      <w:r w:rsidR="004B6A3A" w:rsidRPr="00847696">
        <w:rPr>
          <w:rFonts w:ascii="Times New Roman" w:hAnsi="Times New Roman"/>
        </w:rPr>
        <w:t>Jagot</w:t>
      </w:r>
      <w:proofErr w:type="spellEnd"/>
      <w:r w:rsidR="004B6A3A" w:rsidRPr="00847696">
        <w:rPr>
          <w:rFonts w:ascii="Times New Roman" w:hAnsi="Times New Roman"/>
        </w:rPr>
        <w:t xml:space="preserve"> J </w:t>
      </w:r>
      <w:r w:rsidR="005D07B5" w:rsidRPr="00847696">
        <w:rPr>
          <w:rFonts w:ascii="Times New Roman" w:hAnsi="Times New Roman"/>
        </w:rPr>
        <w:t>accepted</w:t>
      </w:r>
      <w:r w:rsidR="004B6A3A" w:rsidRPr="00847696">
        <w:rPr>
          <w:rStyle w:val="FootnoteReference"/>
          <w:rFonts w:ascii="Times New Roman" w:hAnsi="Times New Roman"/>
          <w:sz w:val="24"/>
        </w:rPr>
        <w:footnoteReference w:id="65"/>
      </w:r>
      <w:r w:rsidR="004B6A3A" w:rsidRPr="00847696">
        <w:rPr>
          <w:rFonts w:ascii="Times New Roman" w:hAnsi="Times New Roman"/>
        </w:rPr>
        <w:t>.</w:t>
      </w:r>
    </w:p>
    <w:p w14:paraId="1C06B5E6" w14:textId="5EBDBF44" w:rsidR="00D12FD0" w:rsidRPr="00847696" w:rsidRDefault="00D12FD0" w:rsidP="00847696">
      <w:pPr>
        <w:pStyle w:val="FixListStyle"/>
        <w:spacing w:after="260" w:line="280" w:lineRule="exact"/>
        <w:ind w:right="0"/>
        <w:jc w:val="both"/>
        <w:rPr>
          <w:rFonts w:ascii="Times New Roman" w:hAnsi="Times New Roman"/>
        </w:rPr>
      </w:pPr>
      <w:r w:rsidRPr="00847696">
        <w:rPr>
          <w:rFonts w:ascii="Times New Roman" w:hAnsi="Times New Roman"/>
        </w:rPr>
        <w:tab/>
      </w:r>
      <w:proofErr w:type="spellStart"/>
      <w:r w:rsidRPr="00847696">
        <w:rPr>
          <w:rFonts w:ascii="Times New Roman" w:hAnsi="Times New Roman"/>
        </w:rPr>
        <w:t>Jagot</w:t>
      </w:r>
      <w:proofErr w:type="spellEnd"/>
      <w:r w:rsidRPr="00847696">
        <w:rPr>
          <w:rFonts w:ascii="Times New Roman" w:hAnsi="Times New Roman"/>
        </w:rPr>
        <w:t xml:space="preserve"> J held that </w:t>
      </w:r>
      <w:proofErr w:type="spellStart"/>
      <w:r w:rsidRPr="00847696">
        <w:rPr>
          <w:rFonts w:ascii="Times New Roman" w:hAnsi="Times New Roman"/>
        </w:rPr>
        <w:t>Nin</w:t>
      </w:r>
      <w:r w:rsidR="00792884" w:rsidRPr="00847696">
        <w:rPr>
          <w:rFonts w:ascii="Times New Roman" w:hAnsi="Times New Roman"/>
        </w:rPr>
        <w:t>e</w:t>
      </w:r>
      <w:r w:rsidRPr="00847696">
        <w:rPr>
          <w:rFonts w:ascii="Times New Roman" w:hAnsi="Times New Roman"/>
        </w:rPr>
        <w:t>star's</w:t>
      </w:r>
      <w:proofErr w:type="spellEnd"/>
      <w:r w:rsidRPr="00847696">
        <w:rPr>
          <w:rFonts w:ascii="Times New Roman" w:hAnsi="Times New Roman"/>
        </w:rPr>
        <w:t xml:space="preserve"> actions </w:t>
      </w:r>
      <w:r w:rsidR="00B95005" w:rsidRPr="00847696">
        <w:rPr>
          <w:rFonts w:ascii="Times New Roman" w:hAnsi="Times New Roman"/>
        </w:rPr>
        <w:t>recreated or remade the product altogether in new embodiments of the invention</w:t>
      </w:r>
      <w:r w:rsidR="00CE5523" w:rsidRPr="00847696">
        <w:rPr>
          <w:rStyle w:val="FootnoteReference"/>
          <w:rFonts w:ascii="Times New Roman" w:hAnsi="Times New Roman"/>
          <w:sz w:val="24"/>
        </w:rPr>
        <w:footnoteReference w:id="66"/>
      </w:r>
      <w:r w:rsidR="00CE5523" w:rsidRPr="00847696">
        <w:rPr>
          <w:rFonts w:ascii="Times New Roman" w:hAnsi="Times New Roman"/>
        </w:rPr>
        <w:t>. Her Honour rejected Calidad's argument that it had repaired the cartridge</w:t>
      </w:r>
      <w:r w:rsidR="00D276E0" w:rsidRPr="00847696">
        <w:rPr>
          <w:rFonts w:ascii="Times New Roman" w:hAnsi="Times New Roman"/>
        </w:rPr>
        <w:t>s</w:t>
      </w:r>
      <w:r w:rsidR="00CE5523" w:rsidRPr="00847696">
        <w:rPr>
          <w:rFonts w:ascii="Times New Roman" w:hAnsi="Times New Roman"/>
        </w:rPr>
        <w:t xml:space="preserve"> because they no longer worked</w:t>
      </w:r>
      <w:r w:rsidR="00552809" w:rsidRPr="00847696">
        <w:rPr>
          <w:rStyle w:val="FootnoteReference"/>
          <w:rFonts w:ascii="Times New Roman" w:hAnsi="Times New Roman"/>
          <w:sz w:val="24"/>
        </w:rPr>
        <w:footnoteReference w:id="67"/>
      </w:r>
      <w:r w:rsidR="00552809" w:rsidRPr="00847696">
        <w:rPr>
          <w:rFonts w:ascii="Times New Roman" w:hAnsi="Times New Roman"/>
        </w:rPr>
        <w:t>. No part of the cartridge was damaged or worn, her Honour observed</w:t>
      </w:r>
      <w:r w:rsidR="003B526C" w:rsidRPr="00847696">
        <w:rPr>
          <w:rStyle w:val="FootnoteReference"/>
          <w:rFonts w:ascii="Times New Roman" w:hAnsi="Times New Roman"/>
          <w:sz w:val="24"/>
        </w:rPr>
        <w:footnoteReference w:id="68"/>
      </w:r>
      <w:r w:rsidR="003B526C" w:rsidRPr="00847696">
        <w:rPr>
          <w:rFonts w:ascii="Times New Roman" w:hAnsi="Times New Roman"/>
        </w:rPr>
        <w:t xml:space="preserve">. When a cartridge ran out of ink it had merely exhausted </w:t>
      </w:r>
      <w:r w:rsidR="001F31D6" w:rsidRPr="00847696">
        <w:rPr>
          <w:rFonts w:ascii="Times New Roman" w:hAnsi="Times New Roman"/>
        </w:rPr>
        <w:t>its</w:t>
      </w:r>
      <w:r w:rsidR="00E21D38" w:rsidRPr="00847696">
        <w:rPr>
          <w:rFonts w:ascii="Times New Roman" w:hAnsi="Times New Roman"/>
        </w:rPr>
        <w:t xml:space="preserve"> function</w:t>
      </w:r>
      <w:r w:rsidR="00B9244E" w:rsidRPr="00847696">
        <w:rPr>
          <w:rFonts w:ascii="Times New Roman" w:hAnsi="Times New Roman"/>
        </w:rPr>
        <w:t xml:space="preserve"> and this was precisely how it was designed to work</w:t>
      </w:r>
      <w:r w:rsidR="00F87EC7" w:rsidRPr="00847696">
        <w:rPr>
          <w:rStyle w:val="FootnoteReference"/>
          <w:rFonts w:ascii="Times New Roman" w:hAnsi="Times New Roman"/>
          <w:sz w:val="24"/>
        </w:rPr>
        <w:footnoteReference w:id="69"/>
      </w:r>
      <w:r w:rsidR="00F87EC7" w:rsidRPr="00847696">
        <w:rPr>
          <w:rFonts w:ascii="Times New Roman" w:hAnsi="Times New Roman"/>
        </w:rPr>
        <w:t>.</w:t>
      </w:r>
    </w:p>
    <w:p w14:paraId="73B4714C" w14:textId="329A5BF1" w:rsidR="00715387" w:rsidRPr="00847696" w:rsidRDefault="00F87EC7" w:rsidP="00847696">
      <w:pPr>
        <w:pStyle w:val="FixListStyle"/>
        <w:spacing w:after="260" w:line="280" w:lineRule="exact"/>
        <w:ind w:right="0"/>
        <w:jc w:val="both"/>
        <w:rPr>
          <w:rFonts w:ascii="Times New Roman" w:hAnsi="Times New Roman"/>
        </w:rPr>
      </w:pPr>
      <w:r w:rsidRPr="00847696">
        <w:rPr>
          <w:rFonts w:ascii="Times New Roman" w:hAnsi="Times New Roman"/>
        </w:rPr>
        <w:tab/>
      </w:r>
      <w:proofErr w:type="spellStart"/>
      <w:r w:rsidRPr="00847696">
        <w:rPr>
          <w:rFonts w:ascii="Times New Roman" w:hAnsi="Times New Roman"/>
        </w:rPr>
        <w:t>Jagot</w:t>
      </w:r>
      <w:proofErr w:type="spellEnd"/>
      <w:r w:rsidRPr="00847696">
        <w:rPr>
          <w:rFonts w:ascii="Times New Roman" w:hAnsi="Times New Roman"/>
        </w:rPr>
        <w:t xml:space="preserve"> J also rejected Calidad's contention that </w:t>
      </w:r>
      <w:r w:rsidR="00B02497" w:rsidRPr="00847696">
        <w:rPr>
          <w:rFonts w:ascii="Times New Roman" w:hAnsi="Times New Roman"/>
        </w:rPr>
        <w:t>not all</w:t>
      </w:r>
      <w:r w:rsidR="006D3BAF" w:rsidRPr="00847696">
        <w:rPr>
          <w:rFonts w:ascii="Times New Roman" w:hAnsi="Times New Roman"/>
        </w:rPr>
        <w:t xml:space="preserve"> of</w:t>
      </w:r>
      <w:r w:rsidR="00B02497" w:rsidRPr="00847696">
        <w:rPr>
          <w:rFonts w:ascii="Times New Roman" w:hAnsi="Times New Roman"/>
        </w:rPr>
        <w:t xml:space="preserve"> its modifications f</w:t>
      </w:r>
      <w:r w:rsidR="000E1A51" w:rsidRPr="00847696">
        <w:rPr>
          <w:rFonts w:ascii="Times New Roman" w:hAnsi="Times New Roman"/>
        </w:rPr>
        <w:t>e</w:t>
      </w:r>
      <w:r w:rsidR="00B02497" w:rsidRPr="00847696">
        <w:rPr>
          <w:rFonts w:ascii="Times New Roman" w:hAnsi="Times New Roman"/>
        </w:rPr>
        <w:t>ll within the patent claim. In her Honour's vie</w:t>
      </w:r>
      <w:r w:rsidR="00D85C91" w:rsidRPr="00847696">
        <w:rPr>
          <w:rFonts w:ascii="Times New Roman" w:hAnsi="Times New Roman"/>
        </w:rPr>
        <w:t>w</w:t>
      </w:r>
      <w:r w:rsidR="00B02497" w:rsidRPr="00847696">
        <w:rPr>
          <w:rFonts w:ascii="Times New Roman" w:hAnsi="Times New Roman"/>
        </w:rPr>
        <w:t xml:space="preserve"> the changes made by </w:t>
      </w:r>
      <w:proofErr w:type="spellStart"/>
      <w:r w:rsidR="00B02497" w:rsidRPr="00847696">
        <w:rPr>
          <w:rFonts w:ascii="Times New Roman" w:hAnsi="Times New Roman"/>
        </w:rPr>
        <w:t>Ninestar</w:t>
      </w:r>
      <w:proofErr w:type="spellEnd"/>
      <w:r w:rsidR="00B02497" w:rsidRPr="00847696">
        <w:rPr>
          <w:rFonts w:ascii="Times New Roman" w:hAnsi="Times New Roman"/>
        </w:rPr>
        <w:t xml:space="preserve"> involved essential integers of the invention the subject of the patent</w:t>
      </w:r>
      <w:r w:rsidR="005F1DAE" w:rsidRPr="00847696">
        <w:rPr>
          <w:rFonts w:ascii="Times New Roman" w:hAnsi="Times New Roman"/>
        </w:rPr>
        <w:t>s</w:t>
      </w:r>
      <w:r w:rsidR="00B05184" w:rsidRPr="00847696">
        <w:rPr>
          <w:rFonts w:ascii="Times New Roman" w:hAnsi="Times New Roman"/>
        </w:rPr>
        <w:t>,</w:t>
      </w:r>
      <w:r w:rsidR="00B02497" w:rsidRPr="00847696">
        <w:rPr>
          <w:rFonts w:ascii="Times New Roman" w:hAnsi="Times New Roman"/>
        </w:rPr>
        <w:t xml:space="preserve"> which </w:t>
      </w:r>
      <w:r w:rsidR="00131F82" w:rsidRPr="00847696">
        <w:rPr>
          <w:rFonts w:ascii="Times New Roman" w:hAnsi="Times New Roman"/>
        </w:rPr>
        <w:t xml:space="preserve">included </w:t>
      </w:r>
      <w:r w:rsidR="00B02497" w:rsidRPr="00847696">
        <w:rPr>
          <w:rFonts w:ascii="Times New Roman" w:hAnsi="Times New Roman"/>
        </w:rPr>
        <w:t xml:space="preserve">the </w:t>
      </w:r>
      <w:r w:rsidR="000B5C23" w:rsidRPr="00847696">
        <w:rPr>
          <w:rFonts w:ascii="Times New Roman" w:hAnsi="Times New Roman"/>
        </w:rPr>
        <w:t>unmaking and then remaking of a feature of the invention</w:t>
      </w:r>
      <w:r w:rsidR="000B5C23" w:rsidRPr="00847696">
        <w:rPr>
          <w:rStyle w:val="FootnoteReference"/>
          <w:rFonts w:ascii="Times New Roman" w:hAnsi="Times New Roman"/>
          <w:sz w:val="24"/>
        </w:rPr>
        <w:footnoteReference w:id="70"/>
      </w:r>
      <w:r w:rsidR="00966EFB" w:rsidRPr="00847696">
        <w:rPr>
          <w:rFonts w:ascii="Times New Roman" w:hAnsi="Times New Roman"/>
        </w:rPr>
        <w:t>.</w:t>
      </w:r>
      <w:r w:rsidR="00E37F8D" w:rsidRPr="00847696">
        <w:rPr>
          <w:rFonts w:ascii="Times New Roman" w:hAnsi="Times New Roman"/>
        </w:rPr>
        <w:t xml:space="preserve"> </w:t>
      </w:r>
      <w:r w:rsidR="004B6A3A" w:rsidRPr="00847696">
        <w:rPr>
          <w:rFonts w:ascii="Times New Roman" w:hAnsi="Times New Roman"/>
        </w:rPr>
        <w:t>The products Seiko sold all embodied the claimed invention including the first integer</w:t>
      </w:r>
      <w:r w:rsidR="00D17187" w:rsidRPr="00847696">
        <w:rPr>
          <w:rFonts w:ascii="Times New Roman" w:hAnsi="Times New Roman"/>
        </w:rPr>
        <w:t>,</w:t>
      </w:r>
      <w:r w:rsidR="004B6A3A" w:rsidRPr="00847696">
        <w:rPr>
          <w:rFonts w:ascii="Times New Roman" w:hAnsi="Times New Roman"/>
        </w:rPr>
        <w:t xml:space="preserve"> consisting of a "printing </w:t>
      </w:r>
      <w:r w:rsidR="00FC7E62" w:rsidRPr="00847696">
        <w:rPr>
          <w:rFonts w:ascii="Times New Roman" w:hAnsi="Times New Roman"/>
        </w:rPr>
        <w:t xml:space="preserve">material container". While the primary judge described the making of a hole in it to enable it to be filled with ink and its resealing as a minor physical alteration, </w:t>
      </w:r>
      <w:r w:rsidR="0000379E" w:rsidRPr="00847696">
        <w:rPr>
          <w:rFonts w:ascii="Times New Roman" w:hAnsi="Times New Roman"/>
        </w:rPr>
        <w:t xml:space="preserve">her Honour considered </w:t>
      </w:r>
      <w:r w:rsidR="00FC7E62" w:rsidRPr="00847696">
        <w:rPr>
          <w:rFonts w:ascii="Times New Roman" w:hAnsi="Times New Roman"/>
        </w:rPr>
        <w:t xml:space="preserve">that at the moment the new hole was created there was no longer an essential integer of the claimed invention. It ceased to be a printing material container </w:t>
      </w:r>
      <w:r w:rsidR="00C061AC" w:rsidRPr="00847696">
        <w:rPr>
          <w:rFonts w:ascii="Times New Roman" w:hAnsi="Times New Roman"/>
        </w:rPr>
        <w:t>as it could no longer contain printing ink</w:t>
      </w:r>
      <w:r w:rsidR="000B061C" w:rsidRPr="00847696">
        <w:rPr>
          <w:rFonts w:ascii="Times New Roman" w:hAnsi="Times New Roman"/>
        </w:rPr>
        <w:t xml:space="preserve">. When the original and new holes were sealed it was made into a </w:t>
      </w:r>
      <w:r w:rsidR="006003F3" w:rsidRPr="00847696">
        <w:rPr>
          <w:rFonts w:ascii="Times New Roman" w:hAnsi="Times New Roman"/>
        </w:rPr>
        <w:t>n</w:t>
      </w:r>
      <w:r w:rsidR="000B061C" w:rsidRPr="00847696">
        <w:rPr>
          <w:rFonts w:ascii="Times New Roman" w:hAnsi="Times New Roman"/>
        </w:rPr>
        <w:t xml:space="preserve">ew container. </w:t>
      </w:r>
      <w:r w:rsidR="00FC7E62" w:rsidRPr="00847696">
        <w:rPr>
          <w:rFonts w:ascii="Times New Roman" w:hAnsi="Times New Roman"/>
        </w:rPr>
        <w:t xml:space="preserve">That is not the use of the patented article as sold, </w:t>
      </w:r>
      <w:r w:rsidR="006003F3" w:rsidRPr="00847696">
        <w:rPr>
          <w:rFonts w:ascii="Times New Roman" w:hAnsi="Times New Roman"/>
        </w:rPr>
        <w:t xml:space="preserve">her Honour </w:t>
      </w:r>
      <w:r w:rsidR="00FC7E62" w:rsidRPr="00847696">
        <w:rPr>
          <w:rFonts w:ascii="Times New Roman" w:hAnsi="Times New Roman"/>
        </w:rPr>
        <w:t>said; it is the making of a new article within the scope of the patent.</w:t>
      </w:r>
      <w:r w:rsidR="00C6772E" w:rsidRPr="00847696">
        <w:rPr>
          <w:rFonts w:ascii="Times New Roman" w:hAnsi="Times New Roman"/>
        </w:rPr>
        <w:t xml:space="preserve"> </w:t>
      </w:r>
      <w:r w:rsidR="006B3B8D" w:rsidRPr="00847696">
        <w:rPr>
          <w:rFonts w:ascii="Times New Roman" w:hAnsi="Times New Roman"/>
        </w:rPr>
        <w:t xml:space="preserve">When sold to </w:t>
      </w:r>
      <w:proofErr w:type="spellStart"/>
      <w:r w:rsidR="006B3B8D" w:rsidRPr="00847696">
        <w:rPr>
          <w:rFonts w:ascii="Times New Roman" w:hAnsi="Times New Roman"/>
        </w:rPr>
        <w:t>Ninestar</w:t>
      </w:r>
      <w:proofErr w:type="spellEnd"/>
      <w:r w:rsidR="006B3B8D" w:rsidRPr="00847696">
        <w:rPr>
          <w:rFonts w:ascii="Times New Roman" w:hAnsi="Times New Roman"/>
        </w:rPr>
        <w:t xml:space="preserve"> the patented container </w:t>
      </w:r>
      <w:r w:rsidR="00BF3880" w:rsidRPr="00847696">
        <w:rPr>
          <w:rFonts w:ascii="Times New Roman" w:hAnsi="Times New Roman"/>
        </w:rPr>
        <w:t xml:space="preserve">could not be used for two reasons: </w:t>
      </w:r>
      <w:r w:rsidR="00C30E8C" w:rsidRPr="00847696">
        <w:rPr>
          <w:rFonts w:ascii="Times New Roman" w:hAnsi="Times New Roman"/>
        </w:rPr>
        <w:t>t</w:t>
      </w:r>
      <w:r w:rsidR="00BF3880" w:rsidRPr="00847696">
        <w:rPr>
          <w:rFonts w:ascii="Times New Roman" w:hAnsi="Times New Roman"/>
        </w:rPr>
        <w:t xml:space="preserve">he container was empty of ink and the memory recorded this state of affairs. </w:t>
      </w:r>
      <w:r w:rsidR="00564F2B" w:rsidRPr="00847696">
        <w:rPr>
          <w:rFonts w:ascii="Times New Roman" w:hAnsi="Times New Roman"/>
        </w:rPr>
        <w:t>As repurposed the product was still an embodiment of the invention but was now capable of re</w:t>
      </w:r>
      <w:r w:rsidR="00E963F7" w:rsidRPr="00847696">
        <w:rPr>
          <w:rFonts w:ascii="Times New Roman" w:hAnsi="Times New Roman"/>
        </w:rPr>
        <w:t>-</w:t>
      </w:r>
      <w:r w:rsidR="00564F2B" w:rsidRPr="00847696">
        <w:rPr>
          <w:rFonts w:ascii="Times New Roman" w:hAnsi="Times New Roman"/>
        </w:rPr>
        <w:t xml:space="preserve">use. These facts alone </w:t>
      </w:r>
      <w:r w:rsidR="00564F2B" w:rsidRPr="00847696">
        <w:rPr>
          <w:rFonts w:ascii="Times New Roman" w:hAnsi="Times New Roman"/>
        </w:rPr>
        <w:lastRenderedPageBreak/>
        <w:t xml:space="preserve">indicated to her Honour </w:t>
      </w:r>
      <w:r w:rsidR="00626595" w:rsidRPr="00847696">
        <w:rPr>
          <w:rFonts w:ascii="Times New Roman" w:hAnsi="Times New Roman"/>
        </w:rPr>
        <w:t>and G</w:t>
      </w:r>
      <w:r w:rsidR="0045595C" w:rsidRPr="00847696">
        <w:rPr>
          <w:rFonts w:ascii="Times New Roman" w:hAnsi="Times New Roman"/>
        </w:rPr>
        <w:t xml:space="preserve">reenwood </w:t>
      </w:r>
      <w:r w:rsidR="004A1A03" w:rsidRPr="00847696">
        <w:rPr>
          <w:rFonts w:ascii="Times New Roman" w:hAnsi="Times New Roman"/>
        </w:rPr>
        <w:t>J</w:t>
      </w:r>
      <w:r w:rsidR="0045595C" w:rsidRPr="00847696">
        <w:rPr>
          <w:rFonts w:ascii="Times New Roman" w:hAnsi="Times New Roman"/>
        </w:rPr>
        <w:t xml:space="preserve"> </w:t>
      </w:r>
      <w:r w:rsidR="00626595" w:rsidRPr="00847696">
        <w:rPr>
          <w:rFonts w:ascii="Times New Roman" w:hAnsi="Times New Roman"/>
        </w:rPr>
        <w:t xml:space="preserve">that the modifications involved the making of a new embodiment of the invention, outside of any implied licence </w:t>
      </w:r>
      <w:r w:rsidR="0045595C" w:rsidRPr="00847696">
        <w:rPr>
          <w:rFonts w:ascii="Times New Roman" w:hAnsi="Times New Roman"/>
        </w:rPr>
        <w:t>for use</w:t>
      </w:r>
      <w:r w:rsidR="008179CB" w:rsidRPr="00847696">
        <w:rPr>
          <w:rStyle w:val="FootnoteReference"/>
          <w:rFonts w:ascii="Times New Roman" w:hAnsi="Times New Roman"/>
          <w:sz w:val="24"/>
        </w:rPr>
        <w:footnoteReference w:id="71"/>
      </w:r>
      <w:r w:rsidR="0045595C" w:rsidRPr="00847696">
        <w:rPr>
          <w:rFonts w:ascii="Times New Roman" w:hAnsi="Times New Roman"/>
        </w:rPr>
        <w:t xml:space="preserve">. </w:t>
      </w:r>
    </w:p>
    <w:p w14:paraId="05C341EF" w14:textId="66C5F5E7" w:rsidR="001146A7" w:rsidRPr="00847696" w:rsidRDefault="007E5EEC" w:rsidP="00847696">
      <w:pPr>
        <w:pStyle w:val="FixListStyle"/>
        <w:spacing w:after="260" w:line="280" w:lineRule="exact"/>
        <w:ind w:right="0"/>
        <w:jc w:val="both"/>
        <w:rPr>
          <w:rFonts w:ascii="Times New Roman" w:hAnsi="Times New Roman"/>
        </w:rPr>
      </w:pPr>
      <w:r w:rsidRPr="00847696">
        <w:rPr>
          <w:rFonts w:ascii="Times New Roman" w:hAnsi="Times New Roman"/>
        </w:rPr>
        <w:tab/>
      </w:r>
      <w:proofErr w:type="spellStart"/>
      <w:r w:rsidR="00A35A74" w:rsidRPr="00847696">
        <w:rPr>
          <w:rFonts w:ascii="Times New Roman" w:hAnsi="Times New Roman"/>
        </w:rPr>
        <w:t>Jagot</w:t>
      </w:r>
      <w:proofErr w:type="spellEnd"/>
      <w:r w:rsidR="00A35A74" w:rsidRPr="00847696">
        <w:rPr>
          <w:rFonts w:ascii="Times New Roman" w:hAnsi="Times New Roman"/>
        </w:rPr>
        <w:t> </w:t>
      </w:r>
      <w:r w:rsidR="00A35A74" w:rsidRPr="00847696" w:rsidDel="00294084">
        <w:rPr>
          <w:rFonts w:ascii="Times New Roman" w:hAnsi="Times New Roman"/>
        </w:rPr>
        <w:t>J</w:t>
      </w:r>
      <w:r w:rsidR="008767E3" w:rsidRPr="00847696">
        <w:rPr>
          <w:rFonts w:ascii="Times New Roman" w:hAnsi="Times New Roman"/>
        </w:rPr>
        <w:t xml:space="preserve"> did not accept the primary judge's view that the reference </w:t>
      </w:r>
      <w:r w:rsidR="005E31E9" w:rsidRPr="00847696">
        <w:rPr>
          <w:rFonts w:ascii="Times New Roman" w:hAnsi="Times New Roman"/>
        </w:rPr>
        <w:t xml:space="preserve">to "a memory driven by a memory driving voltage" in integer [2] involves a reference only to the </w:t>
      </w:r>
      <w:r w:rsidR="00301AB6" w:rsidRPr="00847696">
        <w:rPr>
          <w:rFonts w:ascii="Times New Roman" w:hAnsi="Times New Roman"/>
        </w:rPr>
        <w:t xml:space="preserve">mere physical existence of the memory chip. Although her Honour accepted that </w:t>
      </w:r>
      <w:r w:rsidR="00F26DAB" w:rsidRPr="00847696">
        <w:rPr>
          <w:rFonts w:ascii="Times New Roman" w:hAnsi="Times New Roman"/>
        </w:rPr>
        <w:t>the information and content of the memory as to the level of ink present in the cartridges was not part of t</w:t>
      </w:r>
      <w:r w:rsidR="009B6DF4" w:rsidRPr="00847696">
        <w:rPr>
          <w:rFonts w:ascii="Times New Roman" w:hAnsi="Times New Roman"/>
        </w:rPr>
        <w:t xml:space="preserve">he patent claim, she did not think it was irrelevant. The fact that repurposing a cartridge involves reprogramming to change the memory </w:t>
      </w:r>
      <w:r w:rsidR="00A35A74" w:rsidRPr="00847696">
        <w:rPr>
          <w:rFonts w:ascii="Times New Roman" w:hAnsi="Times New Roman"/>
        </w:rPr>
        <w:t>tend</w:t>
      </w:r>
      <w:r w:rsidR="00614875" w:rsidRPr="00847696">
        <w:rPr>
          <w:rFonts w:ascii="Times New Roman" w:hAnsi="Times New Roman"/>
        </w:rPr>
        <w:t>ed</w:t>
      </w:r>
      <w:r w:rsidR="00A35A74" w:rsidRPr="00847696">
        <w:rPr>
          <w:rFonts w:ascii="Times New Roman" w:hAnsi="Times New Roman"/>
        </w:rPr>
        <w:t xml:space="preserve"> to confirm </w:t>
      </w:r>
      <w:r w:rsidR="009C6B2A" w:rsidRPr="00847696">
        <w:rPr>
          <w:rFonts w:ascii="Times New Roman" w:hAnsi="Times New Roman"/>
        </w:rPr>
        <w:t>that the modified cartridges were outside the scope of the implied licence</w:t>
      </w:r>
      <w:r w:rsidR="00A35A74" w:rsidRPr="00847696">
        <w:rPr>
          <w:rStyle w:val="FootnoteReference"/>
          <w:rFonts w:ascii="Times New Roman" w:hAnsi="Times New Roman"/>
          <w:sz w:val="24"/>
        </w:rPr>
        <w:footnoteReference w:id="72"/>
      </w:r>
      <w:r w:rsidR="00A35A74" w:rsidRPr="00847696">
        <w:rPr>
          <w:rFonts w:ascii="Times New Roman" w:hAnsi="Times New Roman"/>
        </w:rPr>
        <w:t>.</w:t>
      </w:r>
      <w:r w:rsidR="005C10F7" w:rsidRPr="00847696">
        <w:rPr>
          <w:rFonts w:ascii="Times New Roman" w:hAnsi="Times New Roman"/>
        </w:rPr>
        <w:t xml:space="preserve"> </w:t>
      </w:r>
      <w:r w:rsidR="00243176" w:rsidRPr="00847696">
        <w:rPr>
          <w:rFonts w:ascii="Times New Roman" w:hAnsi="Times New Roman"/>
        </w:rPr>
        <w:t xml:space="preserve">In </w:t>
      </w:r>
      <w:r w:rsidR="00207836" w:rsidRPr="00847696">
        <w:rPr>
          <w:rFonts w:ascii="Times New Roman" w:hAnsi="Times New Roman"/>
        </w:rPr>
        <w:t>s</w:t>
      </w:r>
      <w:r w:rsidR="00243176" w:rsidRPr="00847696">
        <w:rPr>
          <w:rFonts w:ascii="Times New Roman" w:hAnsi="Times New Roman"/>
        </w:rPr>
        <w:t>o</w:t>
      </w:r>
      <w:r w:rsidR="00207836" w:rsidRPr="00847696">
        <w:rPr>
          <w:rFonts w:ascii="Times New Roman" w:hAnsi="Times New Roman"/>
        </w:rPr>
        <w:t>m</w:t>
      </w:r>
      <w:r w:rsidR="00243176" w:rsidRPr="00847696">
        <w:rPr>
          <w:rFonts w:ascii="Times New Roman" w:hAnsi="Times New Roman"/>
        </w:rPr>
        <w:t>e of the categor</w:t>
      </w:r>
      <w:r w:rsidR="0045595C" w:rsidRPr="00847696">
        <w:rPr>
          <w:rFonts w:ascii="Times New Roman" w:hAnsi="Times New Roman"/>
        </w:rPr>
        <w:t>ies</w:t>
      </w:r>
      <w:r w:rsidR="00243176" w:rsidRPr="00847696">
        <w:rPr>
          <w:rFonts w:ascii="Times New Roman" w:hAnsi="Times New Roman"/>
        </w:rPr>
        <w:t xml:space="preserve"> of cartridges the memory chip wa</w:t>
      </w:r>
      <w:r w:rsidR="00207836" w:rsidRPr="00847696">
        <w:rPr>
          <w:rFonts w:ascii="Times New Roman" w:hAnsi="Times New Roman"/>
        </w:rPr>
        <w:t>s</w:t>
      </w:r>
      <w:r w:rsidR="00243176" w:rsidRPr="00847696">
        <w:rPr>
          <w:rFonts w:ascii="Times New Roman" w:hAnsi="Times New Roman"/>
        </w:rPr>
        <w:t xml:space="preserve"> substitu</w:t>
      </w:r>
      <w:r w:rsidR="00207836" w:rsidRPr="00847696">
        <w:rPr>
          <w:rFonts w:ascii="Times New Roman" w:hAnsi="Times New Roman"/>
        </w:rPr>
        <w:t>t</w:t>
      </w:r>
      <w:r w:rsidR="00243176" w:rsidRPr="00847696">
        <w:rPr>
          <w:rFonts w:ascii="Times New Roman" w:hAnsi="Times New Roman"/>
        </w:rPr>
        <w:t xml:space="preserve">ed altogether, </w:t>
      </w:r>
      <w:r w:rsidR="00207836" w:rsidRPr="00847696">
        <w:rPr>
          <w:rFonts w:ascii="Times New Roman" w:hAnsi="Times New Roman"/>
        </w:rPr>
        <w:t xml:space="preserve">not merely </w:t>
      </w:r>
      <w:r w:rsidR="000B2CEB" w:rsidRPr="00847696">
        <w:rPr>
          <w:rFonts w:ascii="Times New Roman" w:hAnsi="Times New Roman"/>
        </w:rPr>
        <w:t>re</w:t>
      </w:r>
      <w:r w:rsidR="00207836" w:rsidRPr="00847696">
        <w:rPr>
          <w:rFonts w:ascii="Times New Roman" w:hAnsi="Times New Roman"/>
        </w:rPr>
        <w:t>programmed, and this required removal of the printe</w:t>
      </w:r>
      <w:r w:rsidR="007D67FF" w:rsidRPr="00847696">
        <w:rPr>
          <w:rFonts w:ascii="Times New Roman" w:hAnsi="Times New Roman"/>
        </w:rPr>
        <w:t>d</w:t>
      </w:r>
      <w:r w:rsidR="00EE38F0" w:rsidRPr="00847696">
        <w:rPr>
          <w:rFonts w:ascii="Times New Roman" w:hAnsi="Times New Roman"/>
        </w:rPr>
        <w:t xml:space="preserve"> circuit board and the substitution of memory chips</w:t>
      </w:r>
      <w:r w:rsidR="00A77B2B" w:rsidRPr="00847696">
        <w:rPr>
          <w:rFonts w:ascii="Times New Roman" w:hAnsi="Times New Roman"/>
        </w:rPr>
        <w:t xml:space="preserve">, </w:t>
      </w:r>
      <w:proofErr w:type="spellStart"/>
      <w:r w:rsidR="00A77B2B" w:rsidRPr="00847696">
        <w:rPr>
          <w:rFonts w:ascii="Times New Roman" w:hAnsi="Times New Roman"/>
        </w:rPr>
        <w:t>Jagot</w:t>
      </w:r>
      <w:proofErr w:type="spellEnd"/>
      <w:r w:rsidR="00A77B2B" w:rsidRPr="00847696">
        <w:rPr>
          <w:rFonts w:ascii="Times New Roman" w:hAnsi="Times New Roman"/>
        </w:rPr>
        <w:t> J noted</w:t>
      </w:r>
      <w:r w:rsidR="00601B94" w:rsidRPr="00847696">
        <w:rPr>
          <w:rStyle w:val="FootnoteReference"/>
          <w:rFonts w:ascii="Times New Roman" w:hAnsi="Times New Roman"/>
          <w:sz w:val="24"/>
        </w:rPr>
        <w:footnoteReference w:id="73"/>
      </w:r>
      <w:r w:rsidR="00EE38F0" w:rsidRPr="00847696">
        <w:rPr>
          <w:rFonts w:ascii="Times New Roman" w:hAnsi="Times New Roman"/>
        </w:rPr>
        <w:t>. Here too</w:t>
      </w:r>
      <w:r w:rsidR="00A77B2B" w:rsidRPr="00847696">
        <w:rPr>
          <w:rFonts w:ascii="Times New Roman" w:hAnsi="Times New Roman"/>
        </w:rPr>
        <w:t>, her Honour said,</w:t>
      </w:r>
      <w:r w:rsidR="00EE38F0" w:rsidRPr="00847696">
        <w:rPr>
          <w:rFonts w:ascii="Times New Roman" w:hAnsi="Times New Roman"/>
        </w:rPr>
        <w:t xml:space="preserve"> the original Epson product as sold ceased </w:t>
      </w:r>
      <w:r w:rsidR="007D67FF" w:rsidRPr="00847696">
        <w:rPr>
          <w:rFonts w:ascii="Times New Roman" w:hAnsi="Times New Roman"/>
        </w:rPr>
        <w:t>to exist, probably at the moment the printed circuit board</w:t>
      </w:r>
      <w:r w:rsidR="00387645" w:rsidRPr="00847696">
        <w:rPr>
          <w:rFonts w:ascii="Times New Roman" w:hAnsi="Times New Roman"/>
        </w:rPr>
        <w:t xml:space="preserve"> was removed. The product </w:t>
      </w:r>
      <w:r w:rsidR="00FB39DF" w:rsidRPr="00847696">
        <w:rPr>
          <w:rFonts w:ascii="Times New Roman" w:hAnsi="Times New Roman"/>
        </w:rPr>
        <w:t xml:space="preserve">was </w:t>
      </w:r>
      <w:r w:rsidR="00387645" w:rsidRPr="00847696">
        <w:rPr>
          <w:rFonts w:ascii="Times New Roman" w:hAnsi="Times New Roman"/>
        </w:rPr>
        <w:t xml:space="preserve">no longer that sold by Seiko. </w:t>
      </w:r>
    </w:p>
    <w:p w14:paraId="4A42B980" w14:textId="5473EC76" w:rsidR="009A1EE8" w:rsidRPr="00847696" w:rsidRDefault="001146A7"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1A7AFB" w:rsidRPr="00847696">
        <w:rPr>
          <w:rFonts w:ascii="Times New Roman" w:hAnsi="Times New Roman"/>
        </w:rPr>
        <w:t>The removal of the interface patter</w:t>
      </w:r>
      <w:r w:rsidR="00D56272" w:rsidRPr="00847696">
        <w:rPr>
          <w:rFonts w:ascii="Times New Roman" w:hAnsi="Times New Roman"/>
        </w:rPr>
        <w:t>n</w:t>
      </w:r>
      <w:r w:rsidR="001A7AFB" w:rsidRPr="00847696">
        <w:rPr>
          <w:rFonts w:ascii="Times New Roman" w:hAnsi="Times New Roman"/>
        </w:rPr>
        <w:t xml:space="preserve">s from some of the cartridges, in order to make them compatible with Australian printers, had been described as "borderline" by the primary judge, </w:t>
      </w:r>
      <w:r w:rsidR="00D56272" w:rsidRPr="00847696">
        <w:rPr>
          <w:rFonts w:ascii="Times New Roman" w:hAnsi="Times New Roman"/>
        </w:rPr>
        <w:t xml:space="preserve">although </w:t>
      </w:r>
      <w:r w:rsidR="001A7AFB" w:rsidRPr="00847696">
        <w:rPr>
          <w:rFonts w:ascii="Times New Roman" w:hAnsi="Times New Roman"/>
        </w:rPr>
        <w:t xml:space="preserve">his Honour concluded </w:t>
      </w:r>
      <w:r w:rsidR="00D56272" w:rsidRPr="00847696">
        <w:rPr>
          <w:rFonts w:ascii="Times New Roman" w:hAnsi="Times New Roman"/>
        </w:rPr>
        <w:t xml:space="preserve">it </w:t>
      </w:r>
      <w:r w:rsidR="003408F8" w:rsidRPr="00847696">
        <w:rPr>
          <w:rFonts w:ascii="Times New Roman" w:hAnsi="Times New Roman"/>
        </w:rPr>
        <w:t>served t</w:t>
      </w:r>
      <w:r w:rsidR="00E73492" w:rsidRPr="00847696">
        <w:rPr>
          <w:rFonts w:ascii="Times New Roman" w:hAnsi="Times New Roman"/>
        </w:rPr>
        <w:t xml:space="preserve">o terminate </w:t>
      </w:r>
      <w:r w:rsidR="001A7AFB" w:rsidRPr="00847696">
        <w:rPr>
          <w:rFonts w:ascii="Times New Roman" w:hAnsi="Times New Roman"/>
        </w:rPr>
        <w:t>the licence</w:t>
      </w:r>
      <w:r w:rsidR="006F7C3E" w:rsidRPr="00847696">
        <w:rPr>
          <w:rStyle w:val="FootnoteReference"/>
          <w:rFonts w:ascii="Times New Roman" w:hAnsi="Times New Roman"/>
          <w:sz w:val="24"/>
        </w:rPr>
        <w:footnoteReference w:id="74"/>
      </w:r>
      <w:r w:rsidR="000E18CA" w:rsidRPr="00847696">
        <w:rPr>
          <w:rFonts w:ascii="Times New Roman" w:hAnsi="Times New Roman"/>
        </w:rPr>
        <w:t>.</w:t>
      </w:r>
      <w:r w:rsidR="001A7AFB" w:rsidRPr="00847696">
        <w:rPr>
          <w:rFonts w:ascii="Times New Roman" w:hAnsi="Times New Roman"/>
        </w:rPr>
        <w:t xml:space="preserve"> </w:t>
      </w:r>
      <w:proofErr w:type="spellStart"/>
      <w:r w:rsidR="001A7AFB" w:rsidRPr="00847696">
        <w:rPr>
          <w:rFonts w:ascii="Times New Roman" w:hAnsi="Times New Roman"/>
        </w:rPr>
        <w:t>Jagot</w:t>
      </w:r>
      <w:proofErr w:type="spellEnd"/>
      <w:r w:rsidR="001A7AFB" w:rsidRPr="00847696">
        <w:rPr>
          <w:rFonts w:ascii="Times New Roman" w:hAnsi="Times New Roman"/>
        </w:rPr>
        <w:t xml:space="preserve"> J characterised </w:t>
      </w:r>
      <w:r w:rsidR="00E20409" w:rsidRPr="00847696">
        <w:rPr>
          <w:rFonts w:ascii="Times New Roman" w:hAnsi="Times New Roman"/>
        </w:rPr>
        <w:t xml:space="preserve">the </w:t>
      </w:r>
      <w:r w:rsidR="001A7AFB" w:rsidRPr="00847696">
        <w:rPr>
          <w:rFonts w:ascii="Times New Roman" w:hAnsi="Times New Roman"/>
        </w:rPr>
        <w:t xml:space="preserve">removal as </w:t>
      </w:r>
      <w:r w:rsidR="007D4ADC" w:rsidRPr="00847696">
        <w:rPr>
          <w:rFonts w:ascii="Times New Roman" w:hAnsi="Times New Roman"/>
        </w:rPr>
        <w:t xml:space="preserve">enabling </w:t>
      </w:r>
      <w:r w:rsidR="001A7AFB" w:rsidRPr="00847696">
        <w:rPr>
          <w:rFonts w:ascii="Times New Roman" w:hAnsi="Times New Roman"/>
        </w:rPr>
        <w:t xml:space="preserve">a new </w:t>
      </w:r>
      <w:r w:rsidR="00E20409" w:rsidRPr="00847696">
        <w:rPr>
          <w:rFonts w:ascii="Times New Roman" w:hAnsi="Times New Roman"/>
        </w:rPr>
        <w:t>kind of adaptation for attachment and therefore a new embodiment</w:t>
      </w:r>
      <w:r w:rsidR="00E20409" w:rsidRPr="00847696">
        <w:rPr>
          <w:rStyle w:val="FootnoteReference"/>
          <w:rFonts w:ascii="Times New Roman" w:hAnsi="Times New Roman"/>
          <w:sz w:val="24"/>
        </w:rPr>
        <w:footnoteReference w:id="75"/>
      </w:r>
      <w:r w:rsidR="00E20409" w:rsidRPr="00847696">
        <w:rPr>
          <w:rFonts w:ascii="Times New Roman" w:hAnsi="Times New Roman"/>
        </w:rPr>
        <w:t xml:space="preserve">. </w:t>
      </w:r>
      <w:r w:rsidR="00541D89" w:rsidRPr="00847696">
        <w:rPr>
          <w:rFonts w:ascii="Times New Roman" w:hAnsi="Times New Roman"/>
        </w:rPr>
        <w:t>The removal of the integrated circuit assembly from one cartridge and its placement in another also involved the making of a new embodiment of the invention outside the scope of the implied licence</w:t>
      </w:r>
      <w:r w:rsidR="004B407F" w:rsidRPr="00847696">
        <w:rPr>
          <w:rFonts w:ascii="Times New Roman" w:hAnsi="Times New Roman"/>
        </w:rPr>
        <w:t>, her Honour found</w:t>
      </w:r>
      <w:r w:rsidR="00541D89" w:rsidRPr="00847696">
        <w:rPr>
          <w:rFonts w:ascii="Times New Roman" w:hAnsi="Times New Roman"/>
        </w:rPr>
        <w:t xml:space="preserve">. </w:t>
      </w:r>
      <w:r w:rsidR="00112142" w:rsidRPr="00847696">
        <w:rPr>
          <w:rFonts w:ascii="Times New Roman" w:hAnsi="Times New Roman"/>
        </w:rPr>
        <w:t xml:space="preserve">The assembly </w:t>
      </w:r>
      <w:r w:rsidR="00A07747" w:rsidRPr="00847696">
        <w:rPr>
          <w:rFonts w:ascii="Times New Roman" w:hAnsi="Times New Roman"/>
        </w:rPr>
        <w:t xml:space="preserve">was </w:t>
      </w:r>
      <w:r w:rsidR="00112142" w:rsidRPr="00847696">
        <w:rPr>
          <w:rFonts w:ascii="Times New Roman" w:hAnsi="Times New Roman"/>
        </w:rPr>
        <w:t>central to the invention as claimed</w:t>
      </w:r>
      <w:r w:rsidR="00CA721F" w:rsidRPr="00847696">
        <w:rPr>
          <w:rFonts w:ascii="Times New Roman" w:hAnsi="Times New Roman"/>
        </w:rPr>
        <w:t>, including</w:t>
      </w:r>
      <w:r w:rsidR="00112142" w:rsidRPr="00847696">
        <w:rPr>
          <w:rFonts w:ascii="Times New Roman" w:hAnsi="Times New Roman"/>
        </w:rPr>
        <w:t xml:space="preserve"> in the layout of the terminals described in integers </w:t>
      </w:r>
      <w:r w:rsidR="00136A6C" w:rsidRPr="00847696">
        <w:rPr>
          <w:rFonts w:ascii="Times New Roman" w:hAnsi="Times New Roman"/>
        </w:rPr>
        <w:t>[</w:t>
      </w:r>
      <w:r w:rsidR="00112142" w:rsidRPr="00847696">
        <w:rPr>
          <w:rFonts w:ascii="Times New Roman" w:hAnsi="Times New Roman"/>
        </w:rPr>
        <w:t>4</w:t>
      </w:r>
      <w:r w:rsidR="00136A6C" w:rsidRPr="00847696">
        <w:rPr>
          <w:rFonts w:ascii="Times New Roman" w:hAnsi="Times New Roman"/>
        </w:rPr>
        <w:t>]</w:t>
      </w:r>
      <w:r w:rsidR="005B6CDB" w:rsidRPr="00847696">
        <w:rPr>
          <w:rFonts w:ascii="Times New Roman" w:hAnsi="Times New Roman"/>
        </w:rPr>
        <w:t xml:space="preserve"> to </w:t>
      </w:r>
      <w:r w:rsidR="00136A6C" w:rsidRPr="00847696">
        <w:rPr>
          <w:rFonts w:ascii="Times New Roman" w:hAnsi="Times New Roman"/>
        </w:rPr>
        <w:t>[</w:t>
      </w:r>
      <w:r w:rsidR="005B6CDB" w:rsidRPr="00847696">
        <w:rPr>
          <w:rFonts w:ascii="Times New Roman" w:hAnsi="Times New Roman"/>
        </w:rPr>
        <w:t>11</w:t>
      </w:r>
      <w:r w:rsidR="00136A6C" w:rsidRPr="00847696">
        <w:rPr>
          <w:rFonts w:ascii="Times New Roman" w:hAnsi="Times New Roman"/>
        </w:rPr>
        <w:t>]</w:t>
      </w:r>
      <w:r w:rsidR="00F42554" w:rsidRPr="00847696">
        <w:rPr>
          <w:rFonts w:ascii="Times New Roman" w:hAnsi="Times New Roman"/>
        </w:rPr>
        <w:t xml:space="preserve">. </w:t>
      </w:r>
      <w:r w:rsidR="00F42554" w:rsidRPr="00847696">
        <w:rPr>
          <w:rFonts w:ascii="Times New Roman" w:hAnsi="Times New Roman"/>
        </w:rPr>
        <w:lastRenderedPageBreak/>
        <w:t>It too could not have been within the scope of the impli</w:t>
      </w:r>
      <w:r w:rsidR="00C724DB" w:rsidRPr="00847696">
        <w:rPr>
          <w:rFonts w:ascii="Times New Roman" w:hAnsi="Times New Roman"/>
        </w:rPr>
        <w:t>e</w:t>
      </w:r>
      <w:r w:rsidR="00F42554" w:rsidRPr="00847696">
        <w:rPr>
          <w:rFonts w:ascii="Times New Roman" w:hAnsi="Times New Roman"/>
        </w:rPr>
        <w:t>d licence to use the patented product as it was purchased from Seiko</w:t>
      </w:r>
      <w:r w:rsidR="005B6CDB" w:rsidRPr="00847696">
        <w:rPr>
          <w:rStyle w:val="FootnoteReference"/>
          <w:rFonts w:ascii="Times New Roman" w:hAnsi="Times New Roman"/>
          <w:sz w:val="24"/>
        </w:rPr>
        <w:footnoteReference w:id="76"/>
      </w:r>
      <w:r w:rsidR="005B6CDB" w:rsidRPr="00847696">
        <w:rPr>
          <w:rFonts w:ascii="Times New Roman" w:hAnsi="Times New Roman"/>
        </w:rPr>
        <w:t>.</w:t>
      </w:r>
    </w:p>
    <w:p w14:paraId="5F8D454F" w14:textId="77777777" w:rsidR="0055686F" w:rsidRPr="00847696" w:rsidRDefault="0055686F" w:rsidP="00847696">
      <w:pPr>
        <w:pStyle w:val="HeadingL1"/>
        <w:spacing w:after="260" w:line="280" w:lineRule="exact"/>
        <w:ind w:right="0"/>
        <w:jc w:val="both"/>
        <w:rPr>
          <w:rFonts w:ascii="Times New Roman" w:hAnsi="Times New Roman"/>
        </w:rPr>
      </w:pPr>
      <w:r w:rsidRPr="00847696">
        <w:rPr>
          <w:rFonts w:ascii="Times New Roman" w:hAnsi="Times New Roman"/>
        </w:rPr>
        <w:t>Making a new embodiment?</w:t>
      </w:r>
    </w:p>
    <w:p w14:paraId="49A8D16C" w14:textId="1FE4F4ED"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Regardless of wh</w:t>
      </w:r>
      <w:r w:rsidR="001269C7" w:rsidRPr="00847696">
        <w:rPr>
          <w:rFonts w:ascii="Times New Roman" w:hAnsi="Times New Roman"/>
        </w:rPr>
        <w:t>ether</w:t>
      </w:r>
      <w:r w:rsidRPr="00847696">
        <w:rPr>
          <w:rFonts w:ascii="Times New Roman" w:hAnsi="Times New Roman"/>
        </w:rPr>
        <w:t xml:space="preserve"> </w:t>
      </w:r>
      <w:r w:rsidR="001269C7" w:rsidRPr="00847696">
        <w:rPr>
          <w:rFonts w:ascii="Times New Roman" w:hAnsi="Times New Roman"/>
        </w:rPr>
        <w:t>the exhaustion doctrine or</w:t>
      </w:r>
      <w:r w:rsidR="005B1283" w:rsidRPr="00847696">
        <w:rPr>
          <w:rFonts w:ascii="Times New Roman" w:hAnsi="Times New Roman"/>
        </w:rPr>
        <w:t xml:space="preserve"> the</w:t>
      </w:r>
      <w:r w:rsidR="001269C7" w:rsidRPr="00847696">
        <w:rPr>
          <w:rFonts w:ascii="Times New Roman" w:hAnsi="Times New Roman"/>
        </w:rPr>
        <w:t xml:space="preserve"> implied licence </w:t>
      </w:r>
      <w:r w:rsidRPr="00847696">
        <w:rPr>
          <w:rFonts w:ascii="Times New Roman" w:hAnsi="Times New Roman"/>
        </w:rPr>
        <w:t>doctrine is to be preferred</w:t>
      </w:r>
      <w:r w:rsidR="00F14182" w:rsidRPr="00847696">
        <w:rPr>
          <w:rFonts w:ascii="Times New Roman" w:hAnsi="Times New Roman"/>
        </w:rPr>
        <w:t>,</w:t>
      </w:r>
      <w:r w:rsidRPr="00847696">
        <w:rPr>
          <w:rFonts w:ascii="Times New Roman" w:hAnsi="Times New Roman"/>
        </w:rPr>
        <w:t xml:space="preserve"> neither </w:t>
      </w:r>
      <w:r w:rsidR="001269C7" w:rsidRPr="00847696">
        <w:rPr>
          <w:rFonts w:ascii="Times New Roman" w:hAnsi="Times New Roman"/>
        </w:rPr>
        <w:t>doctrine</w:t>
      </w:r>
      <w:r w:rsidRPr="00847696">
        <w:rPr>
          <w:rFonts w:ascii="Times New Roman" w:hAnsi="Times New Roman"/>
        </w:rPr>
        <w:t xml:space="preserve"> has any part to play in determining whether there has been an infringement of a patent by reason that a new product embodying the claimed invention has been made. The sale of a patented product cannot confer an implied licence to make another and it cannot exhaust the right of a patentee to prevent others from being made</w:t>
      </w:r>
      <w:r w:rsidRPr="00847696">
        <w:rPr>
          <w:rStyle w:val="FootnoteReference"/>
          <w:rFonts w:ascii="Times New Roman" w:hAnsi="Times New Roman"/>
          <w:sz w:val="24"/>
        </w:rPr>
        <w:footnoteReference w:id="77"/>
      </w:r>
      <w:r w:rsidRPr="00847696">
        <w:rPr>
          <w:rFonts w:ascii="Times New Roman" w:hAnsi="Times New Roman"/>
        </w:rPr>
        <w:t xml:space="preserve">. The right to make a product is a separate and distinct right from the right to use or to sell. The definition of "exploit" in the </w:t>
      </w:r>
      <w:r w:rsidRPr="00847696">
        <w:rPr>
          <w:rFonts w:ascii="Times New Roman" w:hAnsi="Times New Roman"/>
          <w:i/>
        </w:rPr>
        <w:t>Patent</w:t>
      </w:r>
      <w:r w:rsidR="00AB6DCD" w:rsidRPr="00847696">
        <w:rPr>
          <w:rFonts w:ascii="Times New Roman" w:hAnsi="Times New Roman"/>
          <w:i/>
        </w:rPr>
        <w:t>s</w:t>
      </w:r>
      <w:r w:rsidRPr="00847696">
        <w:rPr>
          <w:rFonts w:ascii="Times New Roman" w:hAnsi="Times New Roman"/>
          <w:i/>
        </w:rPr>
        <w:t xml:space="preserve"> Act 1990</w:t>
      </w:r>
      <w:r w:rsidRPr="00847696">
        <w:rPr>
          <w:rFonts w:ascii="Times New Roman" w:hAnsi="Times New Roman"/>
        </w:rPr>
        <w:t xml:space="preserve"> makes this plain.</w:t>
      </w:r>
    </w:p>
    <w:p w14:paraId="6C770163" w14:textId="7E9FA6A2"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To establish infringement by making a new embodiment of the </w:t>
      </w:r>
      <w:r w:rsidR="000A6407" w:rsidRPr="00847696">
        <w:rPr>
          <w:rFonts w:ascii="Times New Roman" w:hAnsi="Times New Roman"/>
        </w:rPr>
        <w:t>invention</w:t>
      </w:r>
      <w:r w:rsidRPr="00847696">
        <w:rPr>
          <w:rFonts w:ascii="Times New Roman" w:hAnsi="Times New Roman"/>
        </w:rPr>
        <w:t xml:space="preserve"> it is of course necessary for Seiko to show that the new product takes each of its essential features</w:t>
      </w:r>
      <w:r w:rsidRPr="00847696">
        <w:rPr>
          <w:rStyle w:val="FootnoteReference"/>
          <w:rFonts w:ascii="Times New Roman" w:hAnsi="Times New Roman"/>
          <w:sz w:val="24"/>
        </w:rPr>
        <w:footnoteReference w:id="78"/>
      </w:r>
      <w:r w:rsidRPr="00847696">
        <w:rPr>
          <w:rFonts w:ascii="Times New Roman" w:hAnsi="Times New Roman"/>
        </w:rPr>
        <w:t xml:space="preserve"> by reference to the description of the invention</w:t>
      </w:r>
      <w:r w:rsidRPr="00847696">
        <w:rPr>
          <w:rStyle w:val="FootnoteReference"/>
          <w:rFonts w:ascii="Times New Roman" w:hAnsi="Times New Roman"/>
          <w:sz w:val="24"/>
        </w:rPr>
        <w:footnoteReference w:id="79"/>
      </w:r>
      <w:r w:rsidRPr="00847696">
        <w:rPr>
          <w:rFonts w:ascii="Times New Roman" w:hAnsi="Times New Roman"/>
        </w:rPr>
        <w:t xml:space="preserve">. Calidad submits that some of the modifications relate to features which are not the subject of the patent claim and that not all the features claimed can be regarded as essential to the invention because they either </w:t>
      </w:r>
      <w:r w:rsidR="00AD53E7" w:rsidRPr="00847696">
        <w:rPr>
          <w:rFonts w:ascii="Times New Roman" w:hAnsi="Times New Roman"/>
        </w:rPr>
        <w:t xml:space="preserve">are </w:t>
      </w:r>
      <w:r w:rsidRPr="00847696">
        <w:rPr>
          <w:rFonts w:ascii="Times New Roman" w:hAnsi="Times New Roman"/>
        </w:rPr>
        <w:t>a generic component or were the subject of common usage before the priority date of the patents.</w:t>
      </w:r>
    </w:p>
    <w:p w14:paraId="2C7D150C" w14:textId="3BB9226A"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In the latter respect the "printing material container" referred to in integer [1] describes an article previously commonly used to hold ink. It was also common practice to equip ink cartridges with a memory such as that referred to in integer [2]. Calidad points out that the claim distinguishes between the memory chip and its contents, which is to say that which is stored on it, as the primary judge found. A device such as a</w:t>
      </w:r>
      <w:r w:rsidR="009C5AB3" w:rsidRPr="00847696">
        <w:rPr>
          <w:rFonts w:ascii="Times New Roman" w:hAnsi="Times New Roman"/>
        </w:rPr>
        <w:t xml:space="preserve"> high voltage</w:t>
      </w:r>
      <w:r w:rsidRPr="00847696">
        <w:rPr>
          <w:rFonts w:ascii="Times New Roman" w:hAnsi="Times New Roman"/>
        </w:rPr>
        <w:t xml:space="preserve"> circuit</w:t>
      </w:r>
      <w:r w:rsidR="009C5AB3" w:rsidRPr="00847696">
        <w:rPr>
          <w:rFonts w:ascii="Times New Roman" w:hAnsi="Times New Roman"/>
        </w:rPr>
        <w:t xml:space="preserve"> to detect ink levels</w:t>
      </w:r>
      <w:r w:rsidRPr="00847696">
        <w:rPr>
          <w:rFonts w:ascii="Times New Roman" w:hAnsi="Times New Roman"/>
        </w:rPr>
        <w:t xml:space="preserve"> was also </w:t>
      </w:r>
      <w:r w:rsidRPr="00847696">
        <w:rPr>
          <w:rFonts w:ascii="Times New Roman" w:hAnsi="Times New Roman"/>
        </w:rPr>
        <w:lastRenderedPageBreak/>
        <w:t>commonly used. The interface pattern, which was removed</w:t>
      </w:r>
      <w:r w:rsidR="00CB42CE" w:rsidRPr="00847696">
        <w:rPr>
          <w:rFonts w:ascii="Times New Roman" w:hAnsi="Times New Roman"/>
        </w:rPr>
        <w:t xml:space="preserve"> from some cartridges,</w:t>
      </w:r>
      <w:r w:rsidRPr="00847696">
        <w:rPr>
          <w:rFonts w:ascii="Times New Roman" w:hAnsi="Times New Roman"/>
        </w:rPr>
        <w:t xml:space="preserve"> either</w:t>
      </w:r>
      <w:r w:rsidR="00841AA7" w:rsidRPr="00847696">
        <w:rPr>
          <w:rFonts w:ascii="Times New Roman" w:hAnsi="Times New Roman"/>
        </w:rPr>
        <w:t xml:space="preserve"> was</w:t>
      </w:r>
      <w:r w:rsidRPr="00847696">
        <w:rPr>
          <w:rFonts w:ascii="Times New Roman" w:hAnsi="Times New Roman"/>
        </w:rPr>
        <w:t xml:space="preserve"> a generic feature or was not claimed.</w:t>
      </w:r>
    </w:p>
    <w:p w14:paraId="559D3E5B" w14:textId="28D9C6A7"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Whatever view is taken of other features, there can be little doubt that those the subject of integers [</w:t>
      </w:r>
      <w:r w:rsidR="007B1E9A" w:rsidRPr="00847696">
        <w:rPr>
          <w:rFonts w:ascii="Times New Roman" w:hAnsi="Times New Roman"/>
        </w:rPr>
        <w:t>4</w:t>
      </w:r>
      <w:r w:rsidRPr="00847696">
        <w:rPr>
          <w:rFonts w:ascii="Times New Roman" w:hAnsi="Times New Roman"/>
        </w:rPr>
        <w:t>] to [11] were essential to the invention and that</w:t>
      </w:r>
      <w:r w:rsidR="000D0F27" w:rsidRPr="00847696">
        <w:rPr>
          <w:rFonts w:ascii="Times New Roman" w:hAnsi="Times New Roman"/>
        </w:rPr>
        <w:t xml:space="preserve"> </w:t>
      </w:r>
      <w:r w:rsidRPr="00847696">
        <w:rPr>
          <w:rFonts w:ascii="Times New Roman" w:hAnsi="Times New Roman"/>
        </w:rPr>
        <w:t>modifications</w:t>
      </w:r>
      <w:r w:rsidR="007D45C8" w:rsidRPr="00847696">
        <w:rPr>
          <w:rFonts w:ascii="Times New Roman" w:hAnsi="Times New Roman"/>
        </w:rPr>
        <w:t xml:space="preserve"> involving replacement of the integrated circuit assembly</w:t>
      </w:r>
      <w:r w:rsidRPr="00847696">
        <w:rPr>
          <w:rFonts w:ascii="Times New Roman" w:hAnsi="Times New Roman"/>
        </w:rPr>
        <w:t xml:space="preserve"> were directed to an aspect of them. Calidad's submission that the substance of the invention resides in the particular layout of the electrical terminals defined by integers [</w:t>
      </w:r>
      <w:r w:rsidR="007B1E9A" w:rsidRPr="00847696">
        <w:rPr>
          <w:rFonts w:ascii="Times New Roman" w:hAnsi="Times New Roman"/>
        </w:rPr>
        <w:t>4</w:t>
      </w:r>
      <w:r w:rsidRPr="00847696">
        <w:rPr>
          <w:rFonts w:ascii="Times New Roman" w:hAnsi="Times New Roman"/>
        </w:rPr>
        <w:t xml:space="preserve">] to [11], which is the means by which the problem of shorting is resolved, accepts as much. Its answer </w:t>
      </w:r>
      <w:r w:rsidR="00C90293" w:rsidRPr="00847696">
        <w:rPr>
          <w:rFonts w:ascii="Times New Roman" w:hAnsi="Times New Roman"/>
        </w:rPr>
        <w:t>i</w:t>
      </w:r>
      <w:r w:rsidRPr="00847696">
        <w:rPr>
          <w:rFonts w:ascii="Times New Roman" w:hAnsi="Times New Roman"/>
        </w:rPr>
        <w:t>s that the integrated circuit assemblies were merely replaced with an equivalent assembly fr</w:t>
      </w:r>
      <w:r w:rsidR="00775FC7" w:rsidRPr="00847696">
        <w:rPr>
          <w:rFonts w:ascii="Times New Roman" w:hAnsi="Times New Roman"/>
        </w:rPr>
        <w:t>o</w:t>
      </w:r>
      <w:r w:rsidRPr="00847696">
        <w:rPr>
          <w:rFonts w:ascii="Times New Roman" w:hAnsi="Times New Roman"/>
        </w:rPr>
        <w:t>m another Epson cartridge and the layout of the terminals was not changed.</w:t>
      </w:r>
    </w:p>
    <w:p w14:paraId="0C6E1077" w14:textId="45A6BC4D"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D86D6E" w:rsidRPr="00847696">
        <w:rPr>
          <w:rFonts w:ascii="Times New Roman" w:hAnsi="Times New Roman"/>
        </w:rPr>
        <w:t>That answer</w:t>
      </w:r>
      <w:r w:rsidRPr="00847696">
        <w:rPr>
          <w:rFonts w:ascii="Times New Roman" w:hAnsi="Times New Roman"/>
        </w:rPr>
        <w:t xml:space="preserve"> directs attention to the real issue in relation to infringement, namely whether the modifications resulted in a new product being made. The conclusion for which it contends, that the refilled and restored cartridges were merely modified versions of the products sold by Seiko, should be accepted.</w:t>
      </w:r>
    </w:p>
    <w:p w14:paraId="757A4BD1" w14:textId="4C139811"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In </w:t>
      </w:r>
      <w:r w:rsidRPr="00847696">
        <w:rPr>
          <w:rFonts w:ascii="Times New Roman" w:hAnsi="Times New Roman"/>
          <w:i/>
        </w:rPr>
        <w:t>D'Arcy v Myriad Genetics Inc</w:t>
      </w:r>
      <w:r w:rsidRPr="00847696">
        <w:rPr>
          <w:rStyle w:val="FootnoteReference"/>
          <w:rFonts w:ascii="Times New Roman" w:hAnsi="Times New Roman"/>
          <w:sz w:val="24"/>
        </w:rPr>
        <w:footnoteReference w:id="80"/>
      </w:r>
      <w:r w:rsidRPr="00847696">
        <w:rPr>
          <w:rFonts w:ascii="Times New Roman" w:hAnsi="Times New Roman"/>
        </w:rPr>
        <w:t xml:space="preserve"> it was observed that the idea of something which can be "made" by human invention is central and of long</w:t>
      </w:r>
      <w:r w:rsidR="0076498F" w:rsidRPr="00847696">
        <w:rPr>
          <w:rFonts w:ascii="Times New Roman" w:hAnsi="Times New Roman"/>
        </w:rPr>
        <w:t xml:space="preserve"> </w:t>
      </w:r>
      <w:r w:rsidRPr="00847696">
        <w:rPr>
          <w:rFonts w:ascii="Times New Roman" w:hAnsi="Times New Roman"/>
        </w:rPr>
        <w:t xml:space="preserve">standing in patent law. The word "manufacture" in the </w:t>
      </w:r>
      <w:r w:rsidRPr="00847696">
        <w:rPr>
          <w:rFonts w:ascii="Times New Roman" w:hAnsi="Times New Roman"/>
          <w:i/>
        </w:rPr>
        <w:t xml:space="preserve">Statute of Monopolies </w:t>
      </w:r>
      <w:r w:rsidR="00A442E7" w:rsidRPr="00847696">
        <w:rPr>
          <w:rFonts w:ascii="Times New Roman" w:hAnsi="Times New Roman"/>
          <w:i/>
        </w:rPr>
        <w:t>162</w:t>
      </w:r>
      <w:r w:rsidR="0075186A" w:rsidRPr="00847696">
        <w:rPr>
          <w:rFonts w:ascii="Times New Roman" w:hAnsi="Times New Roman"/>
          <w:i/>
        </w:rPr>
        <w:t>3</w:t>
      </w:r>
      <w:r w:rsidR="006C21A1" w:rsidRPr="00847696">
        <w:rPr>
          <w:rFonts w:ascii="Times New Roman" w:hAnsi="Times New Roman"/>
          <w:i/>
        </w:rPr>
        <w:t xml:space="preserve"> </w:t>
      </w:r>
      <w:r w:rsidR="006C21A1" w:rsidRPr="00847696">
        <w:rPr>
          <w:rFonts w:ascii="Times New Roman" w:hAnsi="Times New Roman"/>
        </w:rPr>
        <w:t>(</w:t>
      </w:r>
      <w:r w:rsidR="00530ED1" w:rsidRPr="00847696">
        <w:rPr>
          <w:rFonts w:ascii="Times New Roman" w:hAnsi="Times New Roman"/>
        </w:rPr>
        <w:t>21 Jac</w:t>
      </w:r>
      <w:r w:rsidR="00466F63" w:rsidRPr="00847696">
        <w:rPr>
          <w:rFonts w:ascii="Times New Roman" w:hAnsi="Times New Roman"/>
        </w:rPr>
        <w:t> </w:t>
      </w:r>
      <w:r w:rsidR="005F17B7" w:rsidRPr="00847696">
        <w:rPr>
          <w:rFonts w:ascii="Times New Roman" w:hAnsi="Times New Roman"/>
        </w:rPr>
        <w:t>I</w:t>
      </w:r>
      <w:r w:rsidR="00530ED1" w:rsidRPr="00847696">
        <w:rPr>
          <w:rFonts w:ascii="Times New Roman" w:hAnsi="Times New Roman"/>
        </w:rPr>
        <w:t xml:space="preserve"> c 3</w:t>
      </w:r>
      <w:r w:rsidR="006C21A1" w:rsidRPr="00847696">
        <w:rPr>
          <w:rFonts w:ascii="Times New Roman" w:hAnsi="Times New Roman"/>
        </w:rPr>
        <w:t>)</w:t>
      </w:r>
      <w:r w:rsidR="00A442E7" w:rsidRPr="00847696">
        <w:rPr>
          <w:rFonts w:ascii="Times New Roman" w:hAnsi="Times New Roman"/>
        </w:rPr>
        <w:t xml:space="preserve"> </w:t>
      </w:r>
      <w:r w:rsidRPr="00847696">
        <w:rPr>
          <w:rFonts w:ascii="Times New Roman" w:hAnsi="Times New Roman"/>
        </w:rPr>
        <w:t>connotes the making of something. It may be observed at the outset that ordinarily it would not be said that an article which has been purchased and altered in such a way that it retains much of its essential features but is now able to be re</w:t>
      </w:r>
      <w:r w:rsidR="00D06CDF" w:rsidRPr="00847696">
        <w:rPr>
          <w:rFonts w:ascii="Times New Roman" w:hAnsi="Times New Roman"/>
        </w:rPr>
        <w:t>-</w:t>
      </w:r>
      <w:r w:rsidRPr="00847696">
        <w:rPr>
          <w:rFonts w:ascii="Times New Roman" w:hAnsi="Times New Roman"/>
        </w:rPr>
        <w:t>used is "made". It is much the same article with improved functionality.</w:t>
      </w:r>
    </w:p>
    <w:p w14:paraId="6FBB7FAB" w14:textId="2DECE160"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The modifications which were made in the present case may be contrasted with what was undertaken in </w:t>
      </w:r>
      <w:r w:rsidRPr="00847696">
        <w:rPr>
          <w:rFonts w:ascii="Times New Roman" w:hAnsi="Times New Roman"/>
          <w:i/>
        </w:rPr>
        <w:t>United Wire Ltd v Screen Repair Services (Scotland) Ltd</w:t>
      </w:r>
      <w:r w:rsidRPr="00847696">
        <w:rPr>
          <w:rStyle w:val="FootnoteReference"/>
          <w:rFonts w:ascii="Times New Roman" w:hAnsi="Times New Roman"/>
          <w:sz w:val="24"/>
        </w:rPr>
        <w:footnoteReference w:id="81"/>
      </w:r>
      <w:r w:rsidRPr="00847696">
        <w:rPr>
          <w:rFonts w:ascii="Times New Roman" w:hAnsi="Times New Roman"/>
        </w:rPr>
        <w:t>.</w:t>
      </w:r>
      <w:r w:rsidRPr="00847696">
        <w:rPr>
          <w:rFonts w:ascii="Times New Roman" w:hAnsi="Times New Roman"/>
          <w:i/>
        </w:rPr>
        <w:t xml:space="preserve"> </w:t>
      </w:r>
      <w:r w:rsidRPr="00847696">
        <w:rPr>
          <w:rFonts w:ascii="Times New Roman" w:hAnsi="Times New Roman"/>
        </w:rPr>
        <w:t>The patent there in question concerned improvements to sifting screens used to recycle drilling fluid in the offshore</w:t>
      </w:r>
      <w:r w:rsidR="00900B3E" w:rsidRPr="00847696">
        <w:rPr>
          <w:rFonts w:ascii="Times New Roman" w:hAnsi="Times New Roman"/>
        </w:rPr>
        <w:t xml:space="preserve"> oil-</w:t>
      </w:r>
      <w:r w:rsidRPr="00847696">
        <w:rPr>
          <w:rFonts w:ascii="Times New Roman" w:hAnsi="Times New Roman"/>
        </w:rPr>
        <w:t xml:space="preserve">drilling industry. The screen was described in the first claim of the patent as </w:t>
      </w:r>
      <w:r w:rsidR="00C95CF4" w:rsidRPr="00847696">
        <w:rPr>
          <w:rFonts w:ascii="Times New Roman" w:hAnsi="Times New Roman"/>
        </w:rPr>
        <w:t>a sifting screen assembly,</w:t>
      </w:r>
      <w:r w:rsidRPr="00847696">
        <w:rPr>
          <w:rFonts w:ascii="Times New Roman" w:hAnsi="Times New Roman"/>
        </w:rPr>
        <w:t xml:space="preserve"> comprising a frame to which </w:t>
      </w:r>
      <w:r w:rsidR="00DD1FAF" w:rsidRPr="00847696">
        <w:rPr>
          <w:rFonts w:ascii="Times New Roman" w:hAnsi="Times New Roman"/>
        </w:rPr>
        <w:t xml:space="preserve">mesh </w:t>
      </w:r>
      <w:r w:rsidRPr="00847696">
        <w:rPr>
          <w:rFonts w:ascii="Times New Roman" w:hAnsi="Times New Roman"/>
        </w:rPr>
        <w:t>screens were secured</w:t>
      </w:r>
      <w:r w:rsidR="008569FA" w:rsidRPr="00847696">
        <w:rPr>
          <w:rFonts w:ascii="Times New Roman" w:hAnsi="Times New Roman"/>
        </w:rPr>
        <w:t xml:space="preserve">, for use in a </w:t>
      </w:r>
      <w:r w:rsidR="00DF7A7B" w:rsidRPr="00847696">
        <w:rPr>
          <w:rFonts w:ascii="Times New Roman" w:hAnsi="Times New Roman"/>
        </w:rPr>
        <w:t>vibratory sifting machine</w:t>
      </w:r>
      <w:r w:rsidRPr="00847696">
        <w:rPr>
          <w:rFonts w:ascii="Times New Roman" w:hAnsi="Times New Roman"/>
        </w:rPr>
        <w:t xml:space="preserve">. The defendants stripped down the </w:t>
      </w:r>
      <w:r w:rsidR="003447CC" w:rsidRPr="00847696">
        <w:rPr>
          <w:rFonts w:ascii="Times New Roman" w:hAnsi="Times New Roman"/>
        </w:rPr>
        <w:t>screen</w:t>
      </w:r>
      <w:r w:rsidRPr="00847696">
        <w:rPr>
          <w:rFonts w:ascii="Times New Roman" w:hAnsi="Times New Roman"/>
        </w:rPr>
        <w:t xml:space="preserve"> to its frame and then </w:t>
      </w:r>
      <w:r w:rsidR="00103C0E" w:rsidRPr="00847696">
        <w:rPr>
          <w:rFonts w:ascii="Times New Roman" w:hAnsi="Times New Roman"/>
        </w:rPr>
        <w:t xml:space="preserve">secured </w:t>
      </w:r>
      <w:r w:rsidRPr="00847696">
        <w:rPr>
          <w:rFonts w:ascii="Times New Roman" w:hAnsi="Times New Roman"/>
        </w:rPr>
        <w:t xml:space="preserve">new </w:t>
      </w:r>
      <w:r w:rsidR="00103C0E" w:rsidRPr="00847696">
        <w:rPr>
          <w:rFonts w:ascii="Times New Roman" w:hAnsi="Times New Roman"/>
        </w:rPr>
        <w:t xml:space="preserve">mesh </w:t>
      </w:r>
      <w:r w:rsidRPr="00847696">
        <w:rPr>
          <w:rFonts w:ascii="Times New Roman" w:hAnsi="Times New Roman"/>
        </w:rPr>
        <w:t>screen</w:t>
      </w:r>
      <w:r w:rsidR="00103C0E" w:rsidRPr="00847696">
        <w:rPr>
          <w:rFonts w:ascii="Times New Roman" w:hAnsi="Times New Roman"/>
        </w:rPr>
        <w:t>s to it</w:t>
      </w:r>
      <w:r w:rsidRPr="00847696">
        <w:rPr>
          <w:rFonts w:ascii="Times New Roman" w:hAnsi="Times New Roman"/>
        </w:rPr>
        <w:t>. This was regarded by Aldous LJ, in the Court of Appeal</w:t>
      </w:r>
      <w:r w:rsidRPr="00847696">
        <w:rPr>
          <w:rStyle w:val="FootnoteReference"/>
          <w:rFonts w:ascii="Times New Roman" w:hAnsi="Times New Roman"/>
          <w:sz w:val="24"/>
        </w:rPr>
        <w:footnoteReference w:id="82"/>
      </w:r>
      <w:r w:rsidRPr="00847696">
        <w:rPr>
          <w:rFonts w:ascii="Times New Roman" w:hAnsi="Times New Roman"/>
        </w:rPr>
        <w:t xml:space="preserve">, as equivalent to purchasing the frames on the open market and then using them to </w:t>
      </w:r>
      <w:r w:rsidRPr="00847696">
        <w:rPr>
          <w:rFonts w:ascii="Times New Roman" w:hAnsi="Times New Roman"/>
        </w:rPr>
        <w:lastRenderedPageBreak/>
        <w:t>produce an assembly</w:t>
      </w:r>
      <w:r w:rsidRPr="00847696">
        <w:rPr>
          <w:rStyle w:val="FootnoteReference"/>
          <w:rFonts w:ascii="Times New Roman" w:hAnsi="Times New Roman"/>
          <w:sz w:val="24"/>
        </w:rPr>
        <w:footnoteReference w:id="83"/>
      </w:r>
      <w:r w:rsidRPr="00847696">
        <w:rPr>
          <w:rFonts w:ascii="Times New Roman" w:hAnsi="Times New Roman"/>
        </w:rPr>
        <w:t>. The House of Lords</w:t>
      </w:r>
      <w:r w:rsidRPr="00847696">
        <w:rPr>
          <w:rStyle w:val="FootnoteReference"/>
          <w:rFonts w:ascii="Times New Roman" w:hAnsi="Times New Roman"/>
          <w:sz w:val="24"/>
        </w:rPr>
        <w:footnoteReference w:id="84"/>
      </w:r>
      <w:r w:rsidRPr="00847696">
        <w:rPr>
          <w:rFonts w:ascii="Times New Roman" w:hAnsi="Times New Roman"/>
        </w:rPr>
        <w:t xml:space="preserve"> held that the Court of Appeal was entitled to conclude that the totality of the work amounted to "making" a new article because the removal of the meshes and the stripping down and repairing of the frame resulted in a </w:t>
      </w:r>
      <w:r w:rsidR="006C5546" w:rsidRPr="00847696">
        <w:rPr>
          <w:rFonts w:ascii="Times New Roman" w:hAnsi="Times New Roman"/>
        </w:rPr>
        <w:t xml:space="preserve">mere </w:t>
      </w:r>
      <w:r w:rsidRPr="00847696">
        <w:rPr>
          <w:rFonts w:ascii="Times New Roman" w:hAnsi="Times New Roman"/>
        </w:rPr>
        <w:t>component of the patented article remaining "from which a new screen could be [and was] made".</w:t>
      </w:r>
    </w:p>
    <w:p w14:paraId="071DAEF2" w14:textId="27FAC090"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In </w:t>
      </w:r>
      <w:r w:rsidRPr="00847696">
        <w:rPr>
          <w:rFonts w:ascii="Times New Roman" w:hAnsi="Times New Roman"/>
          <w:i/>
        </w:rPr>
        <w:t>United Wire</w:t>
      </w:r>
      <w:r w:rsidRPr="00847696">
        <w:rPr>
          <w:rFonts w:ascii="Times New Roman" w:hAnsi="Times New Roman"/>
        </w:rPr>
        <w:t xml:space="preserve"> an argument that the defendants had merely prolonged the life of the machine by its repair was rejected. Lord Hoffman</w:t>
      </w:r>
      <w:r w:rsidR="00EC4B49" w:rsidRPr="00847696">
        <w:rPr>
          <w:rFonts w:ascii="Times New Roman" w:hAnsi="Times New Roman"/>
        </w:rPr>
        <w:t>n</w:t>
      </w:r>
      <w:r w:rsidRPr="00847696">
        <w:rPr>
          <w:rFonts w:ascii="Times New Roman" w:hAnsi="Times New Roman"/>
        </w:rPr>
        <w:t xml:space="preserve"> observed</w:t>
      </w:r>
      <w:r w:rsidRPr="00847696">
        <w:rPr>
          <w:rStyle w:val="FootnoteReference"/>
          <w:rFonts w:ascii="Times New Roman" w:hAnsi="Times New Roman"/>
          <w:sz w:val="24"/>
        </w:rPr>
        <w:footnoteReference w:id="85"/>
      </w:r>
      <w:r w:rsidRPr="00847696">
        <w:rPr>
          <w:rFonts w:ascii="Times New Roman" w:hAnsi="Times New Roman"/>
        </w:rPr>
        <w:t xml:space="preserve"> that</w:t>
      </w:r>
      <w:r w:rsidR="005E27C7" w:rsidRPr="00847696">
        <w:rPr>
          <w:rFonts w:ascii="Times New Roman" w:hAnsi="Times New Roman"/>
        </w:rPr>
        <w:t xml:space="preserve"> </w:t>
      </w:r>
      <w:r w:rsidR="00381F6D" w:rsidRPr="00847696">
        <w:rPr>
          <w:rFonts w:ascii="Times New Roman" w:hAnsi="Times New Roman"/>
        </w:rPr>
        <w:t xml:space="preserve">while </w:t>
      </w:r>
      <w:r w:rsidR="005E27C7" w:rsidRPr="00847696">
        <w:rPr>
          <w:rFonts w:ascii="Times New Roman" w:hAnsi="Times New Roman"/>
        </w:rPr>
        <w:t xml:space="preserve">the concepts of repair and making can overlap in </w:t>
      </w:r>
      <w:r w:rsidR="0015548F" w:rsidRPr="00847696">
        <w:rPr>
          <w:rFonts w:ascii="Times New Roman" w:hAnsi="Times New Roman"/>
        </w:rPr>
        <w:t>ordinary usage</w:t>
      </w:r>
      <w:r w:rsidR="008B20D4" w:rsidRPr="00847696">
        <w:rPr>
          <w:rFonts w:ascii="Times New Roman" w:hAnsi="Times New Roman"/>
        </w:rPr>
        <w:t xml:space="preserve">, </w:t>
      </w:r>
      <w:r w:rsidR="00E54CAE" w:rsidRPr="00847696">
        <w:rPr>
          <w:rFonts w:ascii="Times New Roman" w:hAnsi="Times New Roman"/>
        </w:rPr>
        <w:t>in the context of patent law they are mutually exclusive</w:t>
      </w:r>
      <w:r w:rsidRPr="00847696">
        <w:rPr>
          <w:rFonts w:ascii="Times New Roman" w:hAnsi="Times New Roman"/>
        </w:rPr>
        <w:t xml:space="preserve">. It may therefore be preferable to ask whether the product in question was "made". Further, the notion of there being a licence to repair is apt to confuse and to distract attention from the statutory question whether the defendant has made the patented product. That observation is apposite in the present case because the Full Court appears to have reasoned from the premise that there was no licence to modify the cartridges as sold to a conclusion that what was thereby achieved was </w:t>
      </w:r>
      <w:r w:rsidR="006254BA" w:rsidRPr="00847696">
        <w:rPr>
          <w:rFonts w:ascii="Times New Roman" w:hAnsi="Times New Roman"/>
        </w:rPr>
        <w:t xml:space="preserve">the making of something </w:t>
      </w:r>
      <w:r w:rsidRPr="00847696">
        <w:rPr>
          <w:rFonts w:ascii="Times New Roman" w:hAnsi="Times New Roman"/>
        </w:rPr>
        <w:t>new.</w:t>
      </w:r>
    </w:p>
    <w:p w14:paraId="18CD3C14" w14:textId="738EED7F"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Lord Hoffmann</w:t>
      </w:r>
      <w:r w:rsidRPr="00847696">
        <w:rPr>
          <w:rStyle w:val="FootnoteReference"/>
          <w:rFonts w:ascii="Times New Roman" w:hAnsi="Times New Roman"/>
          <w:sz w:val="24"/>
        </w:rPr>
        <w:footnoteReference w:id="86"/>
      </w:r>
      <w:r w:rsidRPr="00847696">
        <w:rPr>
          <w:rFonts w:ascii="Times New Roman" w:hAnsi="Times New Roman"/>
        </w:rPr>
        <w:t xml:space="preserve"> viewed an owner's right to repair a patented article not as an independent right conferred by licence, but as a residual right forming part of the right to do whatever does not amount to making the product. There are two matters to which his Lordship referred in part of his speech which might imply acceptance of a wider notion of "repair" in this context. "Repair", he said, "is one of the concepts </w:t>
      </w:r>
      <w:r w:rsidR="00A15942" w:rsidRPr="00847696">
        <w:rPr>
          <w:rFonts w:ascii="Times New Roman" w:hAnsi="Times New Roman"/>
        </w:rPr>
        <w:t>(</w:t>
      </w:r>
      <w:r w:rsidRPr="00847696">
        <w:rPr>
          <w:rFonts w:ascii="Times New Roman" w:hAnsi="Times New Roman"/>
        </w:rPr>
        <w:t>like modifying or adapting</w:t>
      </w:r>
      <w:r w:rsidR="00A15942" w:rsidRPr="00847696">
        <w:rPr>
          <w:rFonts w:ascii="Times New Roman" w:hAnsi="Times New Roman"/>
        </w:rPr>
        <w:t>)</w:t>
      </w:r>
      <w:r w:rsidRPr="00847696">
        <w:rPr>
          <w:rFonts w:ascii="Times New Roman" w:hAnsi="Times New Roman"/>
        </w:rPr>
        <w:t xml:space="preserve"> which shares a boundary with 'making' but does not trespass upon its territory</w:t>
      </w:r>
      <w:r w:rsidR="00422C69" w:rsidRPr="00847696">
        <w:rPr>
          <w:rFonts w:ascii="Times New Roman" w:hAnsi="Times New Roman"/>
        </w:rPr>
        <w:t>.</w:t>
      </w:r>
      <w:r w:rsidRPr="00847696">
        <w:rPr>
          <w:rFonts w:ascii="Times New Roman" w:hAnsi="Times New Roman"/>
        </w:rPr>
        <w:t xml:space="preserve">" His Lordship also approved the statement </w:t>
      </w:r>
      <w:r w:rsidR="00CF5EB4" w:rsidRPr="00847696">
        <w:rPr>
          <w:rFonts w:ascii="Times New Roman" w:hAnsi="Times New Roman"/>
        </w:rPr>
        <w:t>attributed to</w:t>
      </w:r>
      <w:r w:rsidRPr="00847696">
        <w:rPr>
          <w:rFonts w:ascii="Times New Roman" w:hAnsi="Times New Roman"/>
        </w:rPr>
        <w:t xml:space="preserve"> Lord Halsbury, in a case decided not long before the </w:t>
      </w:r>
      <w:proofErr w:type="spellStart"/>
      <w:r w:rsidRPr="00847696">
        <w:rPr>
          <w:rFonts w:ascii="Times New Roman" w:hAnsi="Times New Roman"/>
          <w:i/>
        </w:rPr>
        <w:t>Menck</w:t>
      </w:r>
      <w:proofErr w:type="spellEnd"/>
      <w:r w:rsidRPr="00847696">
        <w:rPr>
          <w:rFonts w:ascii="Times New Roman" w:hAnsi="Times New Roman"/>
        </w:rPr>
        <w:t xml:space="preserve"> decisions</w:t>
      </w:r>
      <w:r w:rsidRPr="00847696">
        <w:rPr>
          <w:rStyle w:val="FootnoteReference"/>
          <w:rFonts w:ascii="Times New Roman" w:hAnsi="Times New Roman"/>
          <w:sz w:val="24"/>
        </w:rPr>
        <w:footnoteReference w:id="87"/>
      </w:r>
      <w:r w:rsidRPr="00847696">
        <w:rPr>
          <w:rFonts w:ascii="Times New Roman" w:hAnsi="Times New Roman"/>
        </w:rPr>
        <w:t xml:space="preserve">, that "you may prolong the life of </w:t>
      </w:r>
      <w:r w:rsidR="008F5DB7" w:rsidRPr="00847696">
        <w:rPr>
          <w:rFonts w:ascii="Times New Roman" w:hAnsi="Times New Roman"/>
        </w:rPr>
        <w:t>a</w:t>
      </w:r>
      <w:r w:rsidRPr="00847696">
        <w:rPr>
          <w:rFonts w:ascii="Times New Roman" w:hAnsi="Times New Roman"/>
        </w:rPr>
        <w:t xml:space="preserve"> licensed article but you must not make a new one under the cover of repair"</w:t>
      </w:r>
      <w:r w:rsidR="00007E1B" w:rsidRPr="00847696">
        <w:rPr>
          <w:rFonts w:ascii="Times New Roman" w:hAnsi="Times New Roman"/>
        </w:rPr>
        <w:t>.</w:t>
      </w:r>
    </w:p>
    <w:p w14:paraId="14868DA8" w14:textId="4D3A283B"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lastRenderedPageBreak/>
        <w:tab/>
        <w:t xml:space="preserve">In </w:t>
      </w:r>
      <w:proofErr w:type="spellStart"/>
      <w:r w:rsidRPr="00847696">
        <w:rPr>
          <w:rFonts w:ascii="Times New Roman" w:hAnsi="Times New Roman"/>
          <w:i/>
        </w:rPr>
        <w:t>Schütz</w:t>
      </w:r>
      <w:proofErr w:type="spellEnd"/>
      <w:r w:rsidRPr="00847696">
        <w:rPr>
          <w:rFonts w:ascii="Times New Roman" w:hAnsi="Times New Roman"/>
          <w:i/>
        </w:rPr>
        <w:t xml:space="preserve"> (UK) Ltd v </w:t>
      </w:r>
      <w:proofErr w:type="spellStart"/>
      <w:r w:rsidRPr="00847696">
        <w:rPr>
          <w:rFonts w:ascii="Times New Roman" w:hAnsi="Times New Roman"/>
          <w:i/>
        </w:rPr>
        <w:t>Werit</w:t>
      </w:r>
      <w:proofErr w:type="spellEnd"/>
      <w:r w:rsidRPr="00847696">
        <w:rPr>
          <w:rFonts w:ascii="Times New Roman" w:hAnsi="Times New Roman"/>
          <w:i/>
        </w:rPr>
        <w:t xml:space="preserve"> (UK) Ltd</w:t>
      </w:r>
      <w:r w:rsidRPr="00847696">
        <w:rPr>
          <w:rStyle w:val="FootnoteReference"/>
          <w:rFonts w:ascii="Times New Roman" w:hAnsi="Times New Roman"/>
          <w:sz w:val="24"/>
        </w:rPr>
        <w:footnoteReference w:id="88"/>
      </w:r>
      <w:r w:rsidRPr="00847696">
        <w:rPr>
          <w:rFonts w:ascii="Times New Roman" w:hAnsi="Times New Roman"/>
        </w:rPr>
        <w:t xml:space="preserve">, Lord Neuberger appears to have accepted that, whilst the focus should be on the question whether a new article is made, a consideration of whether an alleged infringer is repairing rather than making an article may sometimes be useful. It is </w:t>
      </w:r>
      <w:r w:rsidR="005A4A16" w:rsidRPr="00847696">
        <w:rPr>
          <w:rFonts w:ascii="Times New Roman" w:hAnsi="Times New Roman"/>
        </w:rPr>
        <w:t>reflected in the</w:t>
      </w:r>
      <w:r w:rsidRPr="00847696">
        <w:rPr>
          <w:rFonts w:ascii="Times New Roman" w:hAnsi="Times New Roman"/>
        </w:rPr>
        <w:t xml:space="preserve"> approach, his Lordship observed, which </w:t>
      </w:r>
      <w:r w:rsidR="005A4A16" w:rsidRPr="00847696">
        <w:rPr>
          <w:rFonts w:ascii="Times New Roman" w:hAnsi="Times New Roman"/>
        </w:rPr>
        <w:t>i</w:t>
      </w:r>
      <w:r w:rsidRPr="00847696">
        <w:rPr>
          <w:rFonts w:ascii="Times New Roman" w:hAnsi="Times New Roman"/>
        </w:rPr>
        <w:t>s taken by German courts to infringement. His Lordship gave as an example the mere replacement of a part of an article, which does not necessarily mean that a "making" is involved.</w:t>
      </w:r>
    </w:p>
    <w:p w14:paraId="08F516F7" w14:textId="4B264C74"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The jurisprudence of courts of the United States has employed the dichotomy of "permissible repair" and "impermissible reconstruction" to resolve questions of infringement by making a new article having the features of the </w:t>
      </w:r>
      <w:r w:rsidR="00EA5CBF" w:rsidRPr="00847696">
        <w:rPr>
          <w:rFonts w:ascii="Times New Roman" w:hAnsi="Times New Roman"/>
        </w:rPr>
        <w:t>claimed invention</w:t>
      </w:r>
      <w:r w:rsidRPr="00847696">
        <w:rPr>
          <w:rFonts w:ascii="Times New Roman" w:hAnsi="Times New Roman"/>
        </w:rPr>
        <w:t>. It has consistently</w:t>
      </w:r>
      <w:r w:rsidR="006318BB" w:rsidRPr="00847696">
        <w:rPr>
          <w:rFonts w:ascii="Times New Roman" w:hAnsi="Times New Roman"/>
        </w:rPr>
        <w:t xml:space="preserve"> been</w:t>
      </w:r>
      <w:r w:rsidRPr="00847696">
        <w:rPr>
          <w:rFonts w:ascii="Times New Roman" w:hAnsi="Times New Roman"/>
        </w:rPr>
        <w:t xml:space="preserve"> held that for an infringement to be established there must be a true reconstruction so as to in fact make a new article</w:t>
      </w:r>
      <w:r w:rsidRPr="00847696">
        <w:rPr>
          <w:rStyle w:val="FootnoteReference"/>
          <w:rFonts w:ascii="Times New Roman" w:hAnsi="Times New Roman"/>
          <w:sz w:val="24"/>
        </w:rPr>
        <w:footnoteReference w:id="89"/>
      </w:r>
      <w:r w:rsidRPr="00847696">
        <w:rPr>
          <w:rFonts w:ascii="Times New Roman" w:hAnsi="Times New Roman"/>
        </w:rPr>
        <w:t xml:space="preserve">. </w:t>
      </w:r>
      <w:r w:rsidR="00D048FF" w:rsidRPr="00847696">
        <w:rPr>
          <w:rFonts w:ascii="Times New Roman" w:hAnsi="Times New Roman"/>
        </w:rPr>
        <w:t>The replacement</w:t>
      </w:r>
      <w:r w:rsidR="001363E9" w:rsidRPr="00847696">
        <w:rPr>
          <w:rFonts w:ascii="Times New Roman" w:hAnsi="Times New Roman"/>
        </w:rPr>
        <w:t xml:space="preserve"> of</w:t>
      </w:r>
      <w:r w:rsidRPr="00847696">
        <w:rPr>
          <w:rFonts w:ascii="Times New Roman" w:hAnsi="Times New Roman"/>
        </w:rPr>
        <w:t xml:space="preserve"> individual unpatented parts may involve a right to repair where what is done bears on the usefulness of the old combination of the product</w:t>
      </w:r>
      <w:r w:rsidRPr="00847696">
        <w:rPr>
          <w:rStyle w:val="FootnoteReference"/>
          <w:rFonts w:ascii="Times New Roman" w:hAnsi="Times New Roman"/>
          <w:sz w:val="24"/>
        </w:rPr>
        <w:footnoteReference w:id="90"/>
      </w:r>
      <w:r w:rsidRPr="00847696">
        <w:rPr>
          <w:rFonts w:ascii="Times New Roman" w:hAnsi="Times New Roman"/>
        </w:rPr>
        <w:t>. Modifications of this kind tend to be characterised on the spectrum closer to repair than to reconstruction or making</w:t>
      </w:r>
      <w:r w:rsidRPr="00847696">
        <w:rPr>
          <w:rStyle w:val="FootnoteReference"/>
          <w:rFonts w:ascii="Times New Roman" w:hAnsi="Times New Roman"/>
          <w:sz w:val="24"/>
        </w:rPr>
        <w:footnoteReference w:id="91"/>
      </w:r>
      <w:r w:rsidRPr="00847696">
        <w:rPr>
          <w:rFonts w:ascii="Times New Roman" w:hAnsi="Times New Roman"/>
        </w:rPr>
        <w:t>.</w:t>
      </w:r>
    </w:p>
    <w:p w14:paraId="3D7EA64C" w14:textId="0BC73A20"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6E622C" w:rsidRPr="00847696">
        <w:rPr>
          <w:rFonts w:ascii="Times New Roman" w:hAnsi="Times New Roman"/>
        </w:rPr>
        <w:t xml:space="preserve">In </w:t>
      </w:r>
      <w:r w:rsidR="006E622C" w:rsidRPr="00847696">
        <w:rPr>
          <w:rFonts w:ascii="Times New Roman" w:hAnsi="Times New Roman"/>
          <w:i/>
        </w:rPr>
        <w:t>Impression Products</w:t>
      </w:r>
      <w:r w:rsidR="006E622C" w:rsidRPr="00847696">
        <w:rPr>
          <w:rStyle w:val="FootnoteReference"/>
          <w:rFonts w:ascii="Times New Roman" w:hAnsi="Times New Roman"/>
          <w:sz w:val="24"/>
        </w:rPr>
        <w:footnoteReference w:id="92"/>
      </w:r>
      <w:r w:rsidR="006E622C" w:rsidRPr="00847696">
        <w:rPr>
          <w:rFonts w:ascii="Times New Roman" w:hAnsi="Times New Roman"/>
        </w:rPr>
        <w:t>, t</w:t>
      </w:r>
      <w:r w:rsidRPr="00847696">
        <w:rPr>
          <w:rFonts w:ascii="Times New Roman" w:hAnsi="Times New Roman"/>
        </w:rPr>
        <w:t>he issue whether the ink cartridges in question had been "made</w:t>
      </w:r>
      <w:r w:rsidR="008C2B21" w:rsidRPr="00847696">
        <w:rPr>
          <w:rFonts w:ascii="Times New Roman" w:hAnsi="Times New Roman"/>
        </w:rPr>
        <w:t>"</w:t>
      </w:r>
      <w:r w:rsidRPr="00847696">
        <w:rPr>
          <w:rFonts w:ascii="Times New Roman" w:hAnsi="Times New Roman"/>
        </w:rPr>
        <w:t>, "remade" or "reconst</w:t>
      </w:r>
      <w:r w:rsidR="00112811" w:rsidRPr="00847696">
        <w:rPr>
          <w:rFonts w:ascii="Times New Roman" w:hAnsi="Times New Roman"/>
        </w:rPr>
        <w:t>ruc</w:t>
      </w:r>
      <w:r w:rsidRPr="00847696">
        <w:rPr>
          <w:rFonts w:ascii="Times New Roman" w:hAnsi="Times New Roman"/>
        </w:rPr>
        <w:t>ted" does not appear to have been raised and was not the subject of discussion by the Supreme Court. But the repurposing of single-use products to enable their re</w:t>
      </w:r>
      <w:r w:rsidR="00E963F7" w:rsidRPr="00847696">
        <w:rPr>
          <w:rFonts w:ascii="Times New Roman" w:hAnsi="Times New Roman"/>
        </w:rPr>
        <w:t>-</w:t>
      </w:r>
      <w:r w:rsidRPr="00847696">
        <w:rPr>
          <w:rFonts w:ascii="Times New Roman" w:hAnsi="Times New Roman"/>
        </w:rPr>
        <w:t>use had been the subject of earlier decisions in other courts in the United States.</w:t>
      </w:r>
    </w:p>
    <w:p w14:paraId="3EBE7DA9" w14:textId="174FE2FF"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The patent in </w:t>
      </w:r>
      <w:r w:rsidRPr="00847696">
        <w:rPr>
          <w:rFonts w:ascii="Times New Roman" w:hAnsi="Times New Roman"/>
          <w:i/>
        </w:rPr>
        <w:t>Hewlett-Packard Co v Repeat-O-Type Stencil Manufacturing Corporation</w:t>
      </w:r>
      <w:r w:rsidR="00EB7453" w:rsidRPr="00847696">
        <w:rPr>
          <w:rFonts w:ascii="Times New Roman" w:hAnsi="Times New Roman"/>
          <w:i/>
        </w:rPr>
        <w:t xml:space="preserve"> Inc</w:t>
      </w:r>
      <w:r w:rsidRPr="00847696">
        <w:rPr>
          <w:rStyle w:val="FootnoteReference"/>
          <w:rFonts w:ascii="Times New Roman" w:hAnsi="Times New Roman"/>
          <w:sz w:val="24"/>
        </w:rPr>
        <w:footnoteReference w:id="93"/>
      </w:r>
      <w:r w:rsidRPr="00847696">
        <w:rPr>
          <w:rFonts w:ascii="Times New Roman" w:hAnsi="Times New Roman"/>
        </w:rPr>
        <w:t xml:space="preserve"> was directed to an ink jet pen, which is a</w:t>
      </w:r>
      <w:r w:rsidR="00A27000" w:rsidRPr="00847696">
        <w:rPr>
          <w:rFonts w:ascii="Times New Roman" w:hAnsi="Times New Roman"/>
        </w:rPr>
        <w:t>n ink</w:t>
      </w:r>
      <w:r w:rsidRPr="00847696">
        <w:rPr>
          <w:rFonts w:ascii="Times New Roman" w:hAnsi="Times New Roman"/>
        </w:rPr>
        <w:t xml:space="preserve"> cartridge</w:t>
      </w:r>
      <w:r w:rsidR="003177FC" w:rsidRPr="00847696">
        <w:rPr>
          <w:rFonts w:ascii="Times New Roman" w:hAnsi="Times New Roman"/>
        </w:rPr>
        <w:t>,</w:t>
      </w:r>
      <w:r w:rsidR="0073608B" w:rsidRPr="00847696">
        <w:rPr>
          <w:rFonts w:ascii="Times New Roman" w:hAnsi="Times New Roman"/>
        </w:rPr>
        <w:t xml:space="preserve"> </w:t>
      </w:r>
      <w:r w:rsidR="00C61F2D" w:rsidRPr="00847696">
        <w:rPr>
          <w:rFonts w:ascii="Times New Roman" w:hAnsi="Times New Roman"/>
        </w:rPr>
        <w:t xml:space="preserve">that was </w:t>
      </w:r>
      <w:r w:rsidR="0073608B" w:rsidRPr="00847696">
        <w:rPr>
          <w:rFonts w:ascii="Times New Roman" w:hAnsi="Times New Roman"/>
        </w:rPr>
        <w:lastRenderedPageBreak/>
        <w:t>designed to be non-refillable</w:t>
      </w:r>
      <w:r w:rsidRPr="00847696">
        <w:rPr>
          <w:rFonts w:ascii="Times New Roman" w:hAnsi="Times New Roman"/>
        </w:rPr>
        <w:t xml:space="preserve">. Repeat-O-Type purchased them as new, rather than spent, and modified and sold them as refillable cartridges. Hewlett-Packard argued that the modifications created new cartridges because as modified they </w:t>
      </w:r>
      <w:r w:rsidR="008F1B80" w:rsidRPr="00847696">
        <w:rPr>
          <w:rFonts w:ascii="Times New Roman" w:hAnsi="Times New Roman"/>
        </w:rPr>
        <w:t xml:space="preserve">had </w:t>
      </w:r>
      <w:r w:rsidRPr="00847696">
        <w:rPr>
          <w:rFonts w:ascii="Times New Roman" w:hAnsi="Times New Roman"/>
        </w:rPr>
        <w:t>different properties and different performance characteristics compared with those as sold by it</w:t>
      </w:r>
      <w:r w:rsidRPr="00847696">
        <w:rPr>
          <w:rStyle w:val="FootnoteReference"/>
          <w:rFonts w:ascii="Times New Roman" w:hAnsi="Times New Roman"/>
          <w:sz w:val="24"/>
        </w:rPr>
        <w:footnoteReference w:id="94"/>
      </w:r>
      <w:r w:rsidRPr="00847696">
        <w:rPr>
          <w:rFonts w:ascii="Times New Roman" w:hAnsi="Times New Roman"/>
        </w:rPr>
        <w:t>. This argument has something in common with the approach of the Full Court in this case.</w:t>
      </w:r>
    </w:p>
    <w:p w14:paraId="2CE7A43F" w14:textId="73AD3DDF"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The Court of Appeal</w:t>
      </w:r>
      <w:r w:rsidR="007F6312" w:rsidRPr="00847696">
        <w:rPr>
          <w:rFonts w:ascii="Times New Roman" w:hAnsi="Times New Roman"/>
        </w:rPr>
        <w:t>s</w:t>
      </w:r>
      <w:r w:rsidRPr="00847696">
        <w:rPr>
          <w:rFonts w:ascii="Times New Roman" w:hAnsi="Times New Roman"/>
        </w:rPr>
        <w:t xml:space="preserve">, Federal Circuit, held that the modifications were not impermissible reconstruction. Whilst accepting that they were not a conventional repair, since the parts </w:t>
      </w:r>
      <w:r w:rsidR="00AF461B" w:rsidRPr="00847696">
        <w:rPr>
          <w:rFonts w:ascii="Times New Roman" w:hAnsi="Times New Roman"/>
        </w:rPr>
        <w:t xml:space="preserve">replaced or </w:t>
      </w:r>
      <w:r w:rsidR="00C80F5D" w:rsidRPr="00847696">
        <w:rPr>
          <w:rFonts w:ascii="Times New Roman" w:hAnsi="Times New Roman"/>
        </w:rPr>
        <w:t>modified</w:t>
      </w:r>
      <w:r w:rsidRPr="00847696">
        <w:rPr>
          <w:rFonts w:ascii="Times New Roman" w:hAnsi="Times New Roman"/>
        </w:rPr>
        <w:t xml:space="preserve"> were not broken or defective, </w:t>
      </w:r>
      <w:r w:rsidR="00343EE3" w:rsidRPr="00847696">
        <w:rPr>
          <w:rFonts w:ascii="Times New Roman" w:hAnsi="Times New Roman"/>
        </w:rPr>
        <w:t xml:space="preserve">the Court </w:t>
      </w:r>
      <w:r w:rsidR="00A947FB" w:rsidRPr="00847696">
        <w:rPr>
          <w:rFonts w:ascii="Times New Roman" w:hAnsi="Times New Roman"/>
        </w:rPr>
        <w:t xml:space="preserve">found </w:t>
      </w:r>
      <w:r w:rsidR="00AB6C18" w:rsidRPr="00847696">
        <w:rPr>
          <w:rFonts w:ascii="Times New Roman" w:hAnsi="Times New Roman"/>
        </w:rPr>
        <w:t xml:space="preserve">that </w:t>
      </w:r>
      <w:r w:rsidRPr="00847696">
        <w:rPr>
          <w:rFonts w:ascii="Times New Roman" w:hAnsi="Times New Roman"/>
        </w:rPr>
        <w:t>the modifications nevertheless did not amount to a reconstruction; they were closer to "repair"</w:t>
      </w:r>
      <w:r w:rsidRPr="00847696">
        <w:rPr>
          <w:rStyle w:val="FootnoteReference"/>
          <w:rFonts w:ascii="Times New Roman" w:hAnsi="Times New Roman"/>
          <w:sz w:val="24"/>
        </w:rPr>
        <w:footnoteReference w:id="95"/>
      </w:r>
      <w:r w:rsidRPr="00847696">
        <w:rPr>
          <w:rFonts w:ascii="Times New Roman" w:hAnsi="Times New Roman"/>
        </w:rPr>
        <w:t xml:space="preserve">. The </w:t>
      </w:r>
      <w:r w:rsidR="00287481" w:rsidRPr="00847696">
        <w:rPr>
          <w:rFonts w:ascii="Times New Roman" w:hAnsi="Times New Roman"/>
        </w:rPr>
        <w:t xml:space="preserve">Court approved the proposition that the </w:t>
      </w:r>
      <w:r w:rsidRPr="00847696">
        <w:rPr>
          <w:rFonts w:ascii="Times New Roman" w:hAnsi="Times New Roman"/>
        </w:rPr>
        <w:t xml:space="preserve">mere replacement of individual unpatented parts is no more than the exercise of the lawful right of an owner to repair </w:t>
      </w:r>
      <w:r w:rsidR="001B17CB" w:rsidRPr="00847696">
        <w:rPr>
          <w:rFonts w:ascii="Times New Roman" w:hAnsi="Times New Roman"/>
        </w:rPr>
        <w:t>their</w:t>
      </w:r>
      <w:r w:rsidR="001C409E" w:rsidRPr="00847696">
        <w:rPr>
          <w:rFonts w:ascii="Times New Roman" w:hAnsi="Times New Roman"/>
        </w:rPr>
        <w:t xml:space="preserve"> </w:t>
      </w:r>
      <w:r w:rsidRPr="00847696">
        <w:rPr>
          <w:rFonts w:ascii="Times New Roman" w:hAnsi="Times New Roman"/>
        </w:rPr>
        <w:t>property</w:t>
      </w:r>
      <w:r w:rsidRPr="00847696">
        <w:rPr>
          <w:rStyle w:val="FootnoteReference"/>
          <w:rFonts w:ascii="Times New Roman" w:hAnsi="Times New Roman"/>
          <w:sz w:val="24"/>
        </w:rPr>
        <w:footnoteReference w:id="96"/>
      </w:r>
      <w:r w:rsidRPr="00847696">
        <w:rPr>
          <w:rFonts w:ascii="Times New Roman" w:hAnsi="Times New Roman"/>
        </w:rPr>
        <w:t>.</w:t>
      </w:r>
    </w:p>
    <w:p w14:paraId="4D94D549" w14:textId="582B994F"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In </w:t>
      </w:r>
      <w:r w:rsidRPr="00847696">
        <w:rPr>
          <w:rFonts w:ascii="Times New Roman" w:hAnsi="Times New Roman"/>
          <w:i/>
        </w:rPr>
        <w:t>Jazz Photo Corporation v International Trade Commission</w:t>
      </w:r>
      <w:r w:rsidRPr="00847696">
        <w:rPr>
          <w:rStyle w:val="FootnoteReference"/>
          <w:rFonts w:ascii="Times New Roman" w:hAnsi="Times New Roman"/>
          <w:sz w:val="24"/>
        </w:rPr>
        <w:footnoteReference w:id="97"/>
      </w:r>
      <w:r w:rsidRPr="00847696">
        <w:rPr>
          <w:rFonts w:ascii="Times New Roman" w:hAnsi="Times New Roman"/>
        </w:rPr>
        <w:t xml:space="preserve">, the Commission </w:t>
      </w:r>
      <w:r w:rsidR="00544E34" w:rsidRPr="00847696">
        <w:rPr>
          <w:rFonts w:ascii="Times New Roman" w:hAnsi="Times New Roman"/>
        </w:rPr>
        <w:t xml:space="preserve">had </w:t>
      </w:r>
      <w:r w:rsidRPr="00847696">
        <w:rPr>
          <w:rFonts w:ascii="Times New Roman" w:hAnsi="Times New Roman"/>
        </w:rPr>
        <w:t>determined that a number of respondents had infringed the patent</w:t>
      </w:r>
      <w:r w:rsidR="00B8250E" w:rsidRPr="00847696">
        <w:rPr>
          <w:rFonts w:ascii="Times New Roman" w:hAnsi="Times New Roman"/>
        </w:rPr>
        <w:t>s</w:t>
      </w:r>
      <w:r w:rsidRPr="00847696">
        <w:rPr>
          <w:rFonts w:ascii="Times New Roman" w:hAnsi="Times New Roman"/>
        </w:rPr>
        <w:t xml:space="preserve"> of Fuji Photo Film Co with respect to single-use cameras. The discarded cameras were purchased and refurbished for re</w:t>
      </w:r>
      <w:r w:rsidR="00E963F7" w:rsidRPr="00847696">
        <w:rPr>
          <w:rFonts w:ascii="Times New Roman" w:hAnsi="Times New Roman"/>
        </w:rPr>
        <w:t>-</w:t>
      </w:r>
      <w:r w:rsidRPr="00847696">
        <w:rPr>
          <w:rFonts w:ascii="Times New Roman" w:hAnsi="Times New Roman"/>
        </w:rPr>
        <w:t xml:space="preserve">use. The steps taken included removal of the cardboard cover, cutting </w:t>
      </w:r>
      <w:r w:rsidR="00FD292B" w:rsidRPr="00847696">
        <w:rPr>
          <w:rFonts w:ascii="Times New Roman" w:hAnsi="Times New Roman"/>
        </w:rPr>
        <w:t xml:space="preserve">open </w:t>
      </w:r>
      <w:r w:rsidRPr="00847696">
        <w:rPr>
          <w:rFonts w:ascii="Times New Roman" w:hAnsi="Times New Roman"/>
        </w:rPr>
        <w:t xml:space="preserve">the plastic casing, inserting new film and a container to receive it, replacing the winding wheel, </w:t>
      </w:r>
      <w:r w:rsidR="00360EE3" w:rsidRPr="00847696">
        <w:rPr>
          <w:rFonts w:ascii="Times New Roman" w:hAnsi="Times New Roman"/>
        </w:rPr>
        <w:t xml:space="preserve">replacing the battery, </w:t>
      </w:r>
      <w:r w:rsidRPr="00847696">
        <w:rPr>
          <w:rFonts w:ascii="Times New Roman" w:hAnsi="Times New Roman"/>
        </w:rPr>
        <w:t>resetting the counter, resealing the outer case and adding a new cardboard cover. The Court of Appeal</w:t>
      </w:r>
      <w:r w:rsidR="008F1CDB" w:rsidRPr="00847696">
        <w:rPr>
          <w:rFonts w:ascii="Times New Roman" w:hAnsi="Times New Roman"/>
        </w:rPr>
        <w:t>s</w:t>
      </w:r>
      <w:r w:rsidRPr="00847696">
        <w:rPr>
          <w:rFonts w:ascii="Times New Roman" w:hAnsi="Times New Roman"/>
        </w:rPr>
        <w:t xml:space="preserve">, </w:t>
      </w:r>
      <w:r w:rsidR="00524187" w:rsidRPr="00847696">
        <w:rPr>
          <w:rFonts w:ascii="Times New Roman" w:hAnsi="Times New Roman"/>
        </w:rPr>
        <w:t>Federal</w:t>
      </w:r>
      <w:r w:rsidRPr="00847696">
        <w:rPr>
          <w:rFonts w:ascii="Times New Roman" w:hAnsi="Times New Roman"/>
        </w:rPr>
        <w:t xml:space="preserve"> Circuit, held that the purchaser </w:t>
      </w:r>
      <w:r w:rsidR="00AD4C22" w:rsidRPr="00847696">
        <w:rPr>
          <w:rFonts w:ascii="Times New Roman" w:hAnsi="Times New Roman"/>
        </w:rPr>
        <w:t xml:space="preserve">of a patented item </w:t>
      </w:r>
      <w:r w:rsidRPr="00847696">
        <w:rPr>
          <w:rFonts w:ascii="Times New Roman" w:hAnsi="Times New Roman"/>
        </w:rPr>
        <w:t>had the rights of an owner to preserve the useful life of the original article</w:t>
      </w:r>
      <w:r w:rsidRPr="00847696">
        <w:rPr>
          <w:rStyle w:val="FootnoteReference"/>
          <w:rFonts w:ascii="Times New Roman" w:hAnsi="Times New Roman"/>
          <w:sz w:val="24"/>
        </w:rPr>
        <w:footnoteReference w:id="98"/>
      </w:r>
      <w:r w:rsidRPr="00847696">
        <w:rPr>
          <w:rFonts w:ascii="Times New Roman" w:hAnsi="Times New Roman"/>
        </w:rPr>
        <w:t xml:space="preserve">. So long as a new article </w:t>
      </w:r>
      <w:r w:rsidR="007C10C9" w:rsidRPr="00847696">
        <w:rPr>
          <w:rFonts w:ascii="Times New Roman" w:hAnsi="Times New Roman"/>
        </w:rPr>
        <w:t>was</w:t>
      </w:r>
      <w:r w:rsidRPr="00847696">
        <w:rPr>
          <w:rFonts w:ascii="Times New Roman" w:hAnsi="Times New Roman"/>
        </w:rPr>
        <w:t xml:space="preserve"> not in fact made it </w:t>
      </w:r>
      <w:r w:rsidR="007C10C9" w:rsidRPr="00847696">
        <w:rPr>
          <w:rFonts w:ascii="Times New Roman" w:hAnsi="Times New Roman"/>
        </w:rPr>
        <w:t>was</w:t>
      </w:r>
      <w:r w:rsidRPr="00847696">
        <w:rPr>
          <w:rFonts w:ascii="Times New Roman" w:hAnsi="Times New Roman"/>
        </w:rPr>
        <w:t xml:space="preserve"> a right of repair. The decided cases treat</w:t>
      </w:r>
      <w:r w:rsidR="00993D78" w:rsidRPr="00847696">
        <w:rPr>
          <w:rFonts w:ascii="Times New Roman" w:hAnsi="Times New Roman"/>
        </w:rPr>
        <w:t>ed</w:t>
      </w:r>
      <w:r w:rsidRPr="00847696">
        <w:rPr>
          <w:rFonts w:ascii="Times New Roman" w:hAnsi="Times New Roman"/>
        </w:rPr>
        <w:t xml:space="preserve"> as repair the replacement of unpatented parts that were worn or spent, </w:t>
      </w:r>
      <w:r w:rsidRPr="00847696">
        <w:rPr>
          <w:rFonts w:ascii="Times New Roman" w:hAnsi="Times New Roman"/>
        </w:rPr>
        <w:lastRenderedPageBreak/>
        <w:t>in order to preserve the utility of the article. Reconstruction require</w:t>
      </w:r>
      <w:r w:rsidR="00632CE0" w:rsidRPr="00847696">
        <w:rPr>
          <w:rFonts w:ascii="Times New Roman" w:hAnsi="Times New Roman"/>
        </w:rPr>
        <w:t>d</w:t>
      </w:r>
      <w:r w:rsidRPr="00847696">
        <w:rPr>
          <w:rFonts w:ascii="Times New Roman" w:hAnsi="Times New Roman"/>
        </w:rPr>
        <w:t xml:space="preserve"> a more extensive rebuilding</w:t>
      </w:r>
      <w:r w:rsidRPr="00847696">
        <w:rPr>
          <w:rStyle w:val="FootnoteReference"/>
          <w:rFonts w:ascii="Times New Roman" w:hAnsi="Times New Roman"/>
          <w:sz w:val="24"/>
        </w:rPr>
        <w:footnoteReference w:id="99"/>
      </w:r>
      <w:r w:rsidRPr="00847696">
        <w:rPr>
          <w:rFonts w:ascii="Times New Roman" w:hAnsi="Times New Roman"/>
        </w:rPr>
        <w:t>.</w:t>
      </w:r>
    </w:p>
    <w:p w14:paraId="61C72789" w14:textId="1BA54AF0"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The wi</w:t>
      </w:r>
      <w:r w:rsidR="00EF741E" w:rsidRPr="00847696">
        <w:rPr>
          <w:rFonts w:ascii="Times New Roman" w:hAnsi="Times New Roman"/>
        </w:rPr>
        <w:t>d</w:t>
      </w:r>
      <w:r w:rsidRPr="00847696">
        <w:rPr>
          <w:rFonts w:ascii="Times New Roman" w:hAnsi="Times New Roman"/>
        </w:rPr>
        <w:t xml:space="preserve">e scope given to alterations to a purchased </w:t>
      </w:r>
      <w:r w:rsidR="00EB2F2B" w:rsidRPr="00847696">
        <w:rPr>
          <w:rFonts w:ascii="Times New Roman" w:hAnsi="Times New Roman"/>
        </w:rPr>
        <w:t xml:space="preserve">product </w:t>
      </w:r>
      <w:r w:rsidRPr="00847696">
        <w:rPr>
          <w:rFonts w:ascii="Times New Roman" w:hAnsi="Times New Roman"/>
        </w:rPr>
        <w:t xml:space="preserve">which </w:t>
      </w:r>
      <w:r w:rsidR="00677332" w:rsidRPr="00847696">
        <w:rPr>
          <w:rFonts w:ascii="Times New Roman" w:hAnsi="Times New Roman"/>
        </w:rPr>
        <w:t xml:space="preserve">improve </w:t>
      </w:r>
      <w:r w:rsidRPr="00847696">
        <w:rPr>
          <w:rFonts w:ascii="Times New Roman" w:hAnsi="Times New Roman"/>
        </w:rPr>
        <w:t>the usefulness of it is evident from a decision of the Supreme Court of the United States</w:t>
      </w:r>
      <w:r w:rsidRPr="00847696">
        <w:rPr>
          <w:rStyle w:val="FootnoteReference"/>
          <w:rFonts w:ascii="Times New Roman" w:hAnsi="Times New Roman"/>
          <w:sz w:val="24"/>
        </w:rPr>
        <w:footnoteReference w:id="100"/>
      </w:r>
      <w:r w:rsidRPr="00847696">
        <w:rPr>
          <w:rFonts w:ascii="Times New Roman" w:hAnsi="Times New Roman"/>
        </w:rPr>
        <w:t xml:space="preserve"> which was </w:t>
      </w:r>
      <w:r w:rsidR="005055A2" w:rsidRPr="00847696">
        <w:rPr>
          <w:rFonts w:ascii="Times New Roman" w:hAnsi="Times New Roman"/>
        </w:rPr>
        <w:t>discussed</w:t>
      </w:r>
      <w:r w:rsidRPr="00847696">
        <w:rPr>
          <w:rFonts w:ascii="Times New Roman" w:hAnsi="Times New Roman"/>
        </w:rPr>
        <w:t xml:space="preserve"> in </w:t>
      </w:r>
      <w:r w:rsidRPr="00847696">
        <w:rPr>
          <w:rFonts w:ascii="Times New Roman" w:hAnsi="Times New Roman"/>
          <w:i/>
        </w:rPr>
        <w:t>Hewlett</w:t>
      </w:r>
      <w:r w:rsidRPr="00847696">
        <w:rPr>
          <w:rFonts w:ascii="Times New Roman" w:hAnsi="Times New Roman"/>
          <w:i/>
        </w:rPr>
        <w:noBreakHyphen/>
        <w:t>Packard</w:t>
      </w:r>
      <w:r w:rsidRPr="00847696">
        <w:rPr>
          <w:rStyle w:val="FootnoteReference"/>
          <w:rFonts w:ascii="Times New Roman" w:hAnsi="Times New Roman"/>
          <w:sz w:val="24"/>
        </w:rPr>
        <w:footnoteReference w:id="101"/>
      </w:r>
      <w:r w:rsidRPr="00847696">
        <w:rPr>
          <w:rFonts w:ascii="Times New Roman" w:hAnsi="Times New Roman"/>
        </w:rPr>
        <w:t xml:space="preserve">. In that case the purchaser resized </w:t>
      </w:r>
      <w:r w:rsidR="000D7102" w:rsidRPr="00847696">
        <w:rPr>
          <w:rFonts w:ascii="Times New Roman" w:hAnsi="Times New Roman"/>
        </w:rPr>
        <w:t xml:space="preserve">or relocated </w:t>
      </w:r>
      <w:r w:rsidRPr="00847696">
        <w:rPr>
          <w:rFonts w:ascii="Times New Roman" w:hAnsi="Times New Roman"/>
        </w:rPr>
        <w:t>six of the 35 elements of a patented fish-canning machine so that the machine could pack fish into smaller ca</w:t>
      </w:r>
      <w:r w:rsidR="00506D2E" w:rsidRPr="00847696">
        <w:rPr>
          <w:rFonts w:ascii="Times New Roman" w:hAnsi="Times New Roman"/>
        </w:rPr>
        <w:t>n</w:t>
      </w:r>
      <w:r w:rsidRPr="00847696">
        <w:rPr>
          <w:rFonts w:ascii="Times New Roman" w:hAnsi="Times New Roman"/>
        </w:rPr>
        <w:t xml:space="preserve">s. The Supreme Court held that the purchaser had merely adapted the old machine to a related use. Whilst that was more than "repair" in the ordinary sense, it was akin to </w:t>
      </w:r>
      <w:r w:rsidR="00BB201B" w:rsidRPr="00847696">
        <w:rPr>
          <w:rFonts w:ascii="Times New Roman" w:hAnsi="Times New Roman"/>
        </w:rPr>
        <w:t xml:space="preserve">repair </w:t>
      </w:r>
      <w:r w:rsidRPr="00847696">
        <w:rPr>
          <w:rFonts w:ascii="Times New Roman" w:hAnsi="Times New Roman"/>
        </w:rPr>
        <w:t>for it "bore on the useful capacity of the old combination" for which the royalty had been paid</w:t>
      </w:r>
      <w:r w:rsidRPr="00847696">
        <w:rPr>
          <w:rStyle w:val="FootnoteReference"/>
          <w:rFonts w:ascii="Times New Roman" w:hAnsi="Times New Roman"/>
          <w:sz w:val="24"/>
        </w:rPr>
        <w:footnoteReference w:id="102"/>
      </w:r>
      <w:r w:rsidRPr="00847696">
        <w:rPr>
          <w:rFonts w:ascii="Times New Roman" w:hAnsi="Times New Roman"/>
        </w:rPr>
        <w:t>.</w:t>
      </w:r>
    </w:p>
    <w:p w14:paraId="3044A0B1" w14:textId="2F38877F"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The approach of the courts in these cases recognises the rights of an owner of a chattel to the full use and control of it. The first error made by the Full Court was to restrict the use to which the original Epson cartridges could be put, not by reference to what the patentee had </w:t>
      </w:r>
      <w:r w:rsidR="00BA3322" w:rsidRPr="00847696">
        <w:rPr>
          <w:rFonts w:ascii="Times New Roman" w:hAnsi="Times New Roman"/>
        </w:rPr>
        <w:t>claimed</w:t>
      </w:r>
      <w:r w:rsidRPr="00847696">
        <w:rPr>
          <w:rFonts w:ascii="Times New Roman" w:hAnsi="Times New Roman"/>
        </w:rPr>
        <w:t xml:space="preserve">, but by reference to a characteristic of the product. And that led the Full Court into error concerning the question </w:t>
      </w:r>
      <w:r w:rsidR="009418DD" w:rsidRPr="00847696">
        <w:rPr>
          <w:rFonts w:ascii="Times New Roman" w:hAnsi="Times New Roman"/>
        </w:rPr>
        <w:t xml:space="preserve">of </w:t>
      </w:r>
      <w:r w:rsidRPr="00847696">
        <w:rPr>
          <w:rFonts w:ascii="Times New Roman" w:hAnsi="Times New Roman"/>
        </w:rPr>
        <w:t>whether a new article was made, as will shortly be explained.</w:t>
      </w:r>
    </w:p>
    <w:p w14:paraId="53D56BAF" w14:textId="53FF9DB6"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Even according to </w:t>
      </w:r>
      <w:proofErr w:type="spellStart"/>
      <w:r w:rsidRPr="00847696">
        <w:rPr>
          <w:rFonts w:ascii="Times New Roman" w:hAnsi="Times New Roman"/>
          <w:i/>
        </w:rPr>
        <w:t>Menck</w:t>
      </w:r>
      <w:proofErr w:type="spellEnd"/>
      <w:r w:rsidRPr="00847696">
        <w:rPr>
          <w:rFonts w:ascii="Times New Roman" w:hAnsi="Times New Roman"/>
        </w:rPr>
        <w:t xml:space="preserve"> (Privy Council) a person acquiring a patented product is intended to have all the rights of an owner unless </w:t>
      </w:r>
      <w:r w:rsidR="007C7B38" w:rsidRPr="00847696">
        <w:rPr>
          <w:rFonts w:ascii="Times New Roman" w:hAnsi="Times New Roman"/>
        </w:rPr>
        <w:t xml:space="preserve">those rights </w:t>
      </w:r>
      <w:r w:rsidRPr="00847696">
        <w:rPr>
          <w:rFonts w:ascii="Times New Roman" w:hAnsi="Times New Roman"/>
        </w:rPr>
        <w:t xml:space="preserve">are subject to express restrictions notified to the </w:t>
      </w:r>
      <w:r w:rsidR="001F25E3" w:rsidRPr="00847696">
        <w:rPr>
          <w:rFonts w:ascii="Times New Roman" w:hAnsi="Times New Roman"/>
        </w:rPr>
        <w:t>p</w:t>
      </w:r>
      <w:r w:rsidR="000C7CC8" w:rsidRPr="00847696">
        <w:rPr>
          <w:rFonts w:ascii="Times New Roman" w:hAnsi="Times New Roman"/>
        </w:rPr>
        <w:t>erson</w:t>
      </w:r>
      <w:r w:rsidRPr="00847696">
        <w:rPr>
          <w:rFonts w:ascii="Times New Roman" w:hAnsi="Times New Roman"/>
        </w:rPr>
        <w:t>, and here there were none. The fact that a product presents as capable of a single use is not a notification of this kind. Moreover</w:t>
      </w:r>
      <w:r w:rsidR="005629AB" w:rsidRPr="00847696">
        <w:rPr>
          <w:rFonts w:ascii="Times New Roman" w:hAnsi="Times New Roman"/>
        </w:rPr>
        <w:t>,</w:t>
      </w:r>
      <w:r w:rsidRPr="00847696">
        <w:rPr>
          <w:rFonts w:ascii="Times New Roman" w:hAnsi="Times New Roman"/>
        </w:rPr>
        <w:t xml:space="preserve"> single</w:t>
      </w:r>
      <w:r w:rsidR="00511FF6" w:rsidRPr="00847696">
        <w:rPr>
          <w:rFonts w:ascii="Times New Roman" w:hAnsi="Times New Roman"/>
        </w:rPr>
        <w:t xml:space="preserve"> </w:t>
      </w:r>
      <w:r w:rsidRPr="00847696">
        <w:rPr>
          <w:rFonts w:ascii="Times New Roman" w:hAnsi="Times New Roman"/>
        </w:rPr>
        <w:t>us</w:t>
      </w:r>
      <w:r w:rsidR="00240A8D" w:rsidRPr="00847696">
        <w:rPr>
          <w:rFonts w:ascii="Times New Roman" w:hAnsi="Times New Roman"/>
        </w:rPr>
        <w:t>ag</w:t>
      </w:r>
      <w:r w:rsidRPr="00847696">
        <w:rPr>
          <w:rFonts w:ascii="Times New Roman" w:hAnsi="Times New Roman"/>
        </w:rPr>
        <w:t>e is not a feature of the invention claimed.</w:t>
      </w:r>
    </w:p>
    <w:p w14:paraId="3D90FA0E" w14:textId="74B92CED"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The expectations of Seiko or the original purchasers as to the limited functionality of the cartridges are not relevant to the question of infringement. In </w:t>
      </w:r>
      <w:proofErr w:type="spellStart"/>
      <w:r w:rsidRPr="00847696">
        <w:rPr>
          <w:rFonts w:ascii="Times New Roman" w:hAnsi="Times New Roman"/>
          <w:i/>
        </w:rPr>
        <w:t>Aro</w:t>
      </w:r>
      <w:proofErr w:type="spellEnd"/>
      <w:r w:rsidRPr="00847696">
        <w:rPr>
          <w:rFonts w:ascii="Times New Roman" w:hAnsi="Times New Roman"/>
          <w:i/>
        </w:rPr>
        <w:t xml:space="preserve"> Manufacturing Co Inc v Convertible Top Replacement Co Inc</w:t>
      </w:r>
      <w:r w:rsidRPr="00847696">
        <w:rPr>
          <w:rStyle w:val="FootnoteReference"/>
          <w:rFonts w:ascii="Times New Roman" w:hAnsi="Times New Roman"/>
          <w:sz w:val="24"/>
        </w:rPr>
        <w:footnoteReference w:id="103"/>
      </w:r>
      <w:r w:rsidRPr="00847696">
        <w:rPr>
          <w:rFonts w:ascii="Times New Roman" w:hAnsi="Times New Roman"/>
        </w:rPr>
        <w:t xml:space="preserve">, it was said that the question whether a new article is "made" cannot depend on what the </w:t>
      </w:r>
      <w:r w:rsidRPr="00847696">
        <w:rPr>
          <w:rFonts w:ascii="Times New Roman" w:hAnsi="Times New Roman"/>
        </w:rPr>
        <w:lastRenderedPageBreak/>
        <w:t>patentee's or the purchaser's intention</w:t>
      </w:r>
      <w:r w:rsidR="007D447C" w:rsidRPr="00847696">
        <w:rPr>
          <w:rFonts w:ascii="Times New Roman" w:hAnsi="Times New Roman"/>
        </w:rPr>
        <w:t>s</w:t>
      </w:r>
      <w:r w:rsidRPr="00847696">
        <w:rPr>
          <w:rFonts w:ascii="Times New Roman" w:hAnsi="Times New Roman"/>
        </w:rPr>
        <w:t xml:space="preserve"> were at the time of sale. In </w:t>
      </w:r>
      <w:proofErr w:type="spellStart"/>
      <w:r w:rsidRPr="00847696">
        <w:rPr>
          <w:rFonts w:ascii="Times New Roman" w:hAnsi="Times New Roman"/>
          <w:i/>
        </w:rPr>
        <w:t>Schütz</w:t>
      </w:r>
      <w:proofErr w:type="spellEnd"/>
      <w:r w:rsidRPr="00847696">
        <w:rPr>
          <w:rStyle w:val="FootnoteReference"/>
          <w:rFonts w:ascii="Times New Roman" w:hAnsi="Times New Roman"/>
          <w:sz w:val="24"/>
        </w:rPr>
        <w:footnoteReference w:id="104"/>
      </w:r>
      <w:r w:rsidRPr="00847696">
        <w:rPr>
          <w:rFonts w:ascii="Times New Roman" w:hAnsi="Times New Roman"/>
        </w:rPr>
        <w:t>, Lord Neuberger agreed with the view expressed by the German courts</w:t>
      </w:r>
      <w:r w:rsidRPr="00847696">
        <w:rPr>
          <w:rStyle w:val="FootnoteReference"/>
          <w:rFonts w:ascii="Times New Roman" w:hAnsi="Times New Roman"/>
          <w:sz w:val="24"/>
        </w:rPr>
        <w:footnoteReference w:id="105"/>
      </w:r>
      <w:r w:rsidRPr="00847696">
        <w:rPr>
          <w:rFonts w:ascii="Times New Roman" w:hAnsi="Times New Roman"/>
        </w:rPr>
        <w:t xml:space="preserve">, that how a party views </w:t>
      </w:r>
      <w:r w:rsidR="001A4D04" w:rsidRPr="00847696">
        <w:rPr>
          <w:rFonts w:ascii="Times New Roman" w:hAnsi="Times New Roman"/>
        </w:rPr>
        <w:t>or</w:t>
      </w:r>
      <w:r w:rsidRPr="00847696">
        <w:rPr>
          <w:rFonts w:ascii="Times New Roman" w:hAnsi="Times New Roman"/>
        </w:rPr>
        <w:t xml:space="preserve"> markets its products is irrelevant to </w:t>
      </w:r>
      <w:r w:rsidR="00195AA4" w:rsidRPr="00847696">
        <w:rPr>
          <w:rFonts w:ascii="Times New Roman" w:hAnsi="Times New Roman"/>
        </w:rPr>
        <w:t>whether those</w:t>
      </w:r>
      <w:r w:rsidRPr="00847696">
        <w:rPr>
          <w:rFonts w:ascii="Times New Roman" w:hAnsi="Times New Roman"/>
        </w:rPr>
        <w:t xml:space="preserve"> products </w:t>
      </w:r>
      <w:r w:rsidR="006C25E2" w:rsidRPr="00847696">
        <w:rPr>
          <w:rFonts w:ascii="Times New Roman" w:hAnsi="Times New Roman"/>
        </w:rPr>
        <w:t>should</w:t>
      </w:r>
      <w:r w:rsidR="000E00C0" w:rsidRPr="00847696">
        <w:rPr>
          <w:rFonts w:ascii="Times New Roman" w:hAnsi="Times New Roman"/>
        </w:rPr>
        <w:t xml:space="preserve"> be </w:t>
      </w:r>
      <w:r w:rsidRPr="00847696">
        <w:rPr>
          <w:rFonts w:ascii="Times New Roman" w:hAnsi="Times New Roman"/>
        </w:rPr>
        <w:t xml:space="preserve">characterised as repaired or made. And in </w:t>
      </w:r>
      <w:r w:rsidRPr="00847696">
        <w:rPr>
          <w:rFonts w:ascii="Times New Roman" w:hAnsi="Times New Roman"/>
          <w:i/>
        </w:rPr>
        <w:t>Hewlett-Packard</w:t>
      </w:r>
      <w:r w:rsidRPr="00847696">
        <w:rPr>
          <w:rStyle w:val="FootnoteReference"/>
          <w:rFonts w:ascii="Times New Roman" w:hAnsi="Times New Roman"/>
          <w:sz w:val="24"/>
        </w:rPr>
        <w:footnoteReference w:id="106"/>
      </w:r>
      <w:r w:rsidRPr="00847696">
        <w:rPr>
          <w:rFonts w:ascii="Times New Roman" w:hAnsi="Times New Roman"/>
        </w:rPr>
        <w:t>, an argument that the boundary between repair and reconstruction turns on the intention of the patentee, that the product be used only once, was rejected</w:t>
      </w:r>
      <w:r w:rsidR="00CA4683" w:rsidRPr="00847696">
        <w:rPr>
          <w:rFonts w:ascii="Times New Roman" w:hAnsi="Times New Roman"/>
        </w:rPr>
        <w:t>. T</w:t>
      </w:r>
      <w:r w:rsidRPr="00847696">
        <w:rPr>
          <w:rFonts w:ascii="Times New Roman" w:hAnsi="Times New Roman"/>
        </w:rPr>
        <w:t xml:space="preserve">he Court </w:t>
      </w:r>
      <w:r w:rsidR="00CA4683" w:rsidRPr="00847696">
        <w:rPr>
          <w:rFonts w:ascii="Times New Roman" w:hAnsi="Times New Roman"/>
        </w:rPr>
        <w:t xml:space="preserve">held </w:t>
      </w:r>
      <w:r w:rsidRPr="00847696">
        <w:rPr>
          <w:rFonts w:ascii="Times New Roman" w:hAnsi="Times New Roman"/>
        </w:rPr>
        <w:t>that unless such a term was embodied in an enforceable contract, it was no more than a hope or wish.</w:t>
      </w:r>
    </w:p>
    <w:p w14:paraId="7DD5D0FC" w14:textId="67FFD042"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The error made by the Full Court, as to the scope of the implied licence, led it to adopt an incorrect approach to the question </w:t>
      </w:r>
      <w:r w:rsidR="00022643" w:rsidRPr="00847696">
        <w:rPr>
          <w:rFonts w:ascii="Times New Roman" w:hAnsi="Times New Roman"/>
        </w:rPr>
        <w:t xml:space="preserve">of </w:t>
      </w:r>
      <w:r w:rsidRPr="00847696">
        <w:rPr>
          <w:rFonts w:ascii="Times New Roman" w:hAnsi="Times New Roman"/>
        </w:rPr>
        <w:t xml:space="preserve">whether a new product containing the embodiments of the patented invention had been "made". Treating the licence as restricted by the usefulness of the product in the form in which it was sold led the Full Court to characterise the modifications made by </w:t>
      </w:r>
      <w:proofErr w:type="spellStart"/>
      <w:r w:rsidRPr="00847696">
        <w:rPr>
          <w:rFonts w:ascii="Times New Roman" w:hAnsi="Times New Roman"/>
        </w:rPr>
        <w:t>Ninestar</w:t>
      </w:r>
      <w:proofErr w:type="spellEnd"/>
      <w:r w:rsidRPr="00847696">
        <w:rPr>
          <w:rFonts w:ascii="Times New Roman" w:hAnsi="Times New Roman"/>
        </w:rPr>
        <w:t xml:space="preserve"> as the manufacture of new cartridges. The Full Court reasoned, in effect, that because the </w:t>
      </w:r>
      <w:r w:rsidR="00DE3188" w:rsidRPr="00847696">
        <w:rPr>
          <w:rFonts w:ascii="Times New Roman" w:hAnsi="Times New Roman"/>
        </w:rPr>
        <w:t xml:space="preserve">original Epson </w:t>
      </w:r>
      <w:r w:rsidRPr="00847696">
        <w:rPr>
          <w:rFonts w:ascii="Times New Roman" w:hAnsi="Times New Roman"/>
        </w:rPr>
        <w:t>cartridges were sold for a single use and were modified to be re</w:t>
      </w:r>
      <w:r w:rsidR="00E963F7" w:rsidRPr="00847696">
        <w:rPr>
          <w:rFonts w:ascii="Times New Roman" w:hAnsi="Times New Roman"/>
        </w:rPr>
        <w:t>-</w:t>
      </w:r>
      <w:r w:rsidRPr="00847696">
        <w:rPr>
          <w:rFonts w:ascii="Times New Roman" w:hAnsi="Times New Roman"/>
        </w:rPr>
        <w:t xml:space="preserve">used, they became new products. This impermissibly elides </w:t>
      </w:r>
      <w:r w:rsidR="0036232B" w:rsidRPr="00847696">
        <w:rPr>
          <w:rFonts w:ascii="Times New Roman" w:hAnsi="Times New Roman"/>
        </w:rPr>
        <w:t>infringement by</w:t>
      </w:r>
      <w:r w:rsidRPr="00847696">
        <w:rPr>
          <w:rFonts w:ascii="Times New Roman" w:hAnsi="Times New Roman"/>
        </w:rPr>
        <w:t xml:space="preserve"> use and </w:t>
      </w:r>
      <w:r w:rsidR="0036232B" w:rsidRPr="00847696">
        <w:rPr>
          <w:rFonts w:ascii="Times New Roman" w:hAnsi="Times New Roman"/>
        </w:rPr>
        <w:t xml:space="preserve">infringement by </w:t>
      </w:r>
      <w:r w:rsidRPr="00847696">
        <w:rPr>
          <w:rFonts w:ascii="Times New Roman" w:hAnsi="Times New Roman"/>
        </w:rPr>
        <w:t>making.</w:t>
      </w:r>
    </w:p>
    <w:p w14:paraId="24A43758" w14:textId="5DFEFDFE" w:rsidR="00B43653" w:rsidRPr="00847696" w:rsidRDefault="00E72663"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A failure to observe the distinction drawn by the </w:t>
      </w:r>
      <w:r w:rsidR="00737045" w:rsidRPr="00847696">
        <w:rPr>
          <w:rFonts w:ascii="Times New Roman" w:hAnsi="Times New Roman"/>
          <w:i/>
        </w:rPr>
        <w:t xml:space="preserve">Patents </w:t>
      </w:r>
      <w:r w:rsidRPr="00847696">
        <w:rPr>
          <w:rFonts w:ascii="Times New Roman" w:hAnsi="Times New Roman"/>
          <w:i/>
        </w:rPr>
        <w:t>Act</w:t>
      </w:r>
      <w:r w:rsidRPr="00847696">
        <w:rPr>
          <w:rFonts w:ascii="Times New Roman" w:hAnsi="Times New Roman"/>
        </w:rPr>
        <w:t xml:space="preserve"> </w:t>
      </w:r>
      <w:r w:rsidR="00737045" w:rsidRPr="00847696">
        <w:rPr>
          <w:rFonts w:ascii="Times New Roman" w:hAnsi="Times New Roman"/>
          <w:i/>
        </w:rPr>
        <w:t xml:space="preserve">1990 </w:t>
      </w:r>
      <w:r w:rsidRPr="00847696">
        <w:rPr>
          <w:rFonts w:ascii="Times New Roman" w:hAnsi="Times New Roman"/>
        </w:rPr>
        <w:t xml:space="preserve">between infringement by use and infringement by making renders the task of discerning </w:t>
      </w:r>
      <w:r w:rsidR="00A9201D" w:rsidRPr="00847696">
        <w:rPr>
          <w:rFonts w:ascii="Times New Roman" w:hAnsi="Times New Roman"/>
        </w:rPr>
        <w:t>the difference between modification of a product (a</w:t>
      </w:r>
      <w:r w:rsidR="006F79A8" w:rsidRPr="00847696">
        <w:rPr>
          <w:rFonts w:ascii="Times New Roman" w:hAnsi="Times New Roman"/>
        </w:rPr>
        <w:t>n</w:t>
      </w:r>
      <w:r w:rsidR="00A9201D" w:rsidRPr="00847696">
        <w:rPr>
          <w:rFonts w:ascii="Times New Roman" w:hAnsi="Times New Roman"/>
        </w:rPr>
        <w:t xml:space="preserve"> aspect of use) and the making of a new embodiment of the invention an unguided and impressionistic exercise, which is apt to allow the undue expansion of the patentee's monopoly to the detriment of consumers and competitors</w:t>
      </w:r>
      <w:r w:rsidR="00F75879" w:rsidRPr="00847696">
        <w:rPr>
          <w:rFonts w:ascii="Times New Roman" w:hAnsi="Times New Roman"/>
        </w:rPr>
        <w:t>.</w:t>
      </w:r>
      <w:r w:rsidR="00A9201D" w:rsidRPr="00847696">
        <w:rPr>
          <w:rFonts w:ascii="Times New Roman" w:hAnsi="Times New Roman"/>
        </w:rPr>
        <w:t xml:space="preserve"> Indeed, as the decision of the Full Court in the </w:t>
      </w:r>
      <w:r w:rsidR="00715D33" w:rsidRPr="00847696">
        <w:rPr>
          <w:rFonts w:ascii="Times New Roman" w:hAnsi="Times New Roman"/>
        </w:rPr>
        <w:t xml:space="preserve">present case shows, to fail to appreciate the boundary drawn by the </w:t>
      </w:r>
      <w:r w:rsidR="00737045" w:rsidRPr="00847696">
        <w:rPr>
          <w:rFonts w:ascii="Times New Roman" w:hAnsi="Times New Roman"/>
          <w:i/>
        </w:rPr>
        <w:t xml:space="preserve">Patents </w:t>
      </w:r>
      <w:r w:rsidR="00715D33" w:rsidRPr="00847696">
        <w:rPr>
          <w:rFonts w:ascii="Times New Roman" w:hAnsi="Times New Roman"/>
          <w:i/>
        </w:rPr>
        <w:t>Act</w:t>
      </w:r>
      <w:r w:rsidR="00737045" w:rsidRPr="00847696">
        <w:rPr>
          <w:rFonts w:ascii="Times New Roman" w:hAnsi="Times New Roman"/>
          <w:i/>
        </w:rPr>
        <w:t xml:space="preserve"> 1990</w:t>
      </w:r>
      <w:r w:rsidR="00715D33" w:rsidRPr="00847696">
        <w:rPr>
          <w:rFonts w:ascii="Times New Roman" w:hAnsi="Times New Roman"/>
        </w:rPr>
        <w:t xml:space="preserve"> between modification of a product by the purchaser of the product and the making of a new embodiment </w:t>
      </w:r>
      <w:r w:rsidR="00321A39" w:rsidRPr="00847696">
        <w:rPr>
          <w:rFonts w:ascii="Times New Roman" w:hAnsi="Times New Roman"/>
        </w:rPr>
        <w:t xml:space="preserve">of the patented invention is to risk the ironic outcome that the patent right becomes a brake on the very kind of innovation that patent rights are meant to encourage. </w:t>
      </w:r>
    </w:p>
    <w:p w14:paraId="58FDBB17" w14:textId="549CAB80" w:rsidR="00B43653" w:rsidRPr="00847696" w:rsidRDefault="00B43653" w:rsidP="00847696">
      <w:pPr>
        <w:pStyle w:val="FixListStyle"/>
        <w:spacing w:after="260" w:line="280" w:lineRule="exact"/>
        <w:ind w:right="0"/>
        <w:jc w:val="both"/>
        <w:rPr>
          <w:rFonts w:ascii="Times New Roman" w:hAnsi="Times New Roman"/>
        </w:rPr>
      </w:pPr>
      <w:r w:rsidRPr="00847696">
        <w:rPr>
          <w:rFonts w:ascii="Times New Roman" w:hAnsi="Times New Roman"/>
        </w:rPr>
        <w:lastRenderedPageBreak/>
        <w:tab/>
        <w:t xml:space="preserve">In </w:t>
      </w:r>
      <w:r w:rsidRPr="00847696">
        <w:rPr>
          <w:rFonts w:ascii="Times New Roman" w:hAnsi="Times New Roman"/>
          <w:i/>
        </w:rPr>
        <w:t>Solar Thomson Engineering Co Ltd v B</w:t>
      </w:r>
      <w:r w:rsidR="00780728" w:rsidRPr="00847696">
        <w:rPr>
          <w:rFonts w:ascii="Times New Roman" w:hAnsi="Times New Roman"/>
          <w:i/>
        </w:rPr>
        <w:t>a</w:t>
      </w:r>
      <w:r w:rsidRPr="00847696">
        <w:rPr>
          <w:rFonts w:ascii="Times New Roman" w:hAnsi="Times New Roman"/>
          <w:i/>
        </w:rPr>
        <w:t>rton</w:t>
      </w:r>
      <w:r w:rsidRPr="00847696">
        <w:rPr>
          <w:rStyle w:val="FootnoteReference"/>
          <w:rFonts w:ascii="Times New Roman" w:hAnsi="Times New Roman"/>
          <w:sz w:val="24"/>
        </w:rPr>
        <w:footnoteReference w:id="107"/>
      </w:r>
      <w:r w:rsidRPr="00847696">
        <w:rPr>
          <w:rFonts w:ascii="Times New Roman" w:hAnsi="Times New Roman"/>
          <w:i/>
        </w:rPr>
        <w:t xml:space="preserve"> </w:t>
      </w:r>
      <w:r w:rsidRPr="00847696">
        <w:rPr>
          <w:rFonts w:ascii="Times New Roman" w:hAnsi="Times New Roman"/>
        </w:rPr>
        <w:t>it was said that the "cardinal question" whether what has been done</w:t>
      </w:r>
      <w:r w:rsidR="00737045" w:rsidRPr="00847696">
        <w:rPr>
          <w:rFonts w:ascii="Times New Roman" w:hAnsi="Times New Roman"/>
        </w:rPr>
        <w:t xml:space="preserve"> by the alleged infringer</w:t>
      </w:r>
      <w:r w:rsidRPr="00847696">
        <w:rPr>
          <w:rFonts w:ascii="Times New Roman" w:hAnsi="Times New Roman"/>
        </w:rPr>
        <w:t xml:space="preserve"> can fairly be termed repair has regard "to the nature of the patented article". Such an approach is not consistent with the </w:t>
      </w:r>
      <w:r w:rsidR="0086008A" w:rsidRPr="00847696">
        <w:rPr>
          <w:rFonts w:ascii="Times New Roman" w:hAnsi="Times New Roman"/>
          <w:i/>
        </w:rPr>
        <w:t>Patents</w:t>
      </w:r>
      <w:r w:rsidRPr="00847696">
        <w:rPr>
          <w:rFonts w:ascii="Times New Roman" w:hAnsi="Times New Roman"/>
          <w:i/>
        </w:rPr>
        <w:t xml:space="preserve"> Act</w:t>
      </w:r>
      <w:r w:rsidR="0086008A" w:rsidRPr="00847696">
        <w:rPr>
          <w:rFonts w:ascii="Times New Roman" w:hAnsi="Times New Roman"/>
          <w:i/>
        </w:rPr>
        <w:t xml:space="preserve"> 1990</w:t>
      </w:r>
      <w:r w:rsidRPr="00847696">
        <w:rPr>
          <w:rFonts w:ascii="Times New Roman" w:hAnsi="Times New Roman"/>
        </w:rPr>
        <w:t xml:space="preserve">. The question of infringement under the </w:t>
      </w:r>
      <w:r w:rsidR="0086008A" w:rsidRPr="00847696">
        <w:rPr>
          <w:rFonts w:ascii="Times New Roman" w:hAnsi="Times New Roman"/>
          <w:i/>
        </w:rPr>
        <w:t xml:space="preserve">Patents </w:t>
      </w:r>
      <w:r w:rsidRPr="00847696">
        <w:rPr>
          <w:rFonts w:ascii="Times New Roman" w:hAnsi="Times New Roman"/>
          <w:i/>
        </w:rPr>
        <w:t xml:space="preserve">Act </w:t>
      </w:r>
      <w:r w:rsidR="0086008A" w:rsidRPr="00847696">
        <w:rPr>
          <w:rFonts w:ascii="Times New Roman" w:hAnsi="Times New Roman"/>
          <w:i/>
        </w:rPr>
        <w:t>1990</w:t>
      </w:r>
      <w:r w:rsidR="0086008A" w:rsidRPr="00847696">
        <w:rPr>
          <w:rFonts w:ascii="Times New Roman" w:hAnsi="Times New Roman"/>
        </w:rPr>
        <w:t xml:space="preserve"> </w:t>
      </w:r>
      <w:r w:rsidRPr="00847696">
        <w:rPr>
          <w:rFonts w:ascii="Times New Roman" w:hAnsi="Times New Roman"/>
        </w:rPr>
        <w:t>is not addressed to the nature of the article but rather</w:t>
      </w:r>
      <w:r w:rsidR="00737045" w:rsidRPr="00847696">
        <w:rPr>
          <w:rFonts w:ascii="Times New Roman" w:hAnsi="Times New Roman"/>
        </w:rPr>
        <w:t xml:space="preserve"> to</w:t>
      </w:r>
      <w:r w:rsidRPr="00847696">
        <w:rPr>
          <w:rFonts w:ascii="Times New Roman" w:hAnsi="Times New Roman"/>
        </w:rPr>
        <w:t xml:space="preserve"> the invention described by the integers of the claim</w:t>
      </w:r>
      <w:r w:rsidR="00EC0471" w:rsidRPr="00847696">
        <w:rPr>
          <w:rStyle w:val="FootnoteReference"/>
          <w:rFonts w:ascii="Times New Roman" w:hAnsi="Times New Roman"/>
          <w:sz w:val="24"/>
        </w:rPr>
        <w:footnoteReference w:id="108"/>
      </w:r>
      <w:r w:rsidR="00336F92" w:rsidRPr="00847696">
        <w:rPr>
          <w:rFonts w:ascii="Times New Roman" w:hAnsi="Times New Roman"/>
        </w:rPr>
        <w:t>.</w:t>
      </w:r>
      <w:r w:rsidR="00EC0471" w:rsidRPr="00847696">
        <w:rPr>
          <w:rFonts w:ascii="Times New Roman" w:hAnsi="Times New Roman"/>
        </w:rPr>
        <w:t xml:space="preserve"> </w:t>
      </w:r>
      <w:r w:rsidR="00336F92" w:rsidRPr="00847696">
        <w:rPr>
          <w:rFonts w:ascii="Times New Roman" w:hAnsi="Times New Roman"/>
        </w:rPr>
        <w:t>W</w:t>
      </w:r>
      <w:r w:rsidR="00EC0471" w:rsidRPr="00847696">
        <w:rPr>
          <w:rFonts w:ascii="Times New Roman" w:hAnsi="Times New Roman"/>
        </w:rPr>
        <w:t>here what has been done does not involve the replication of the combination of integers that describe the invention it cannot be said that what has been done is the making of it.</w:t>
      </w:r>
    </w:p>
    <w:p w14:paraId="0EBF54F4" w14:textId="43479044"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When a small hole was made in </w:t>
      </w:r>
      <w:r w:rsidR="00074EF6" w:rsidRPr="00847696">
        <w:rPr>
          <w:rFonts w:ascii="Times New Roman" w:hAnsi="Times New Roman"/>
        </w:rPr>
        <w:t xml:space="preserve">the </w:t>
      </w:r>
      <w:r w:rsidR="00D80C07" w:rsidRPr="00847696">
        <w:rPr>
          <w:rFonts w:ascii="Times New Roman" w:hAnsi="Times New Roman"/>
        </w:rPr>
        <w:t xml:space="preserve">printing material container of </w:t>
      </w:r>
      <w:r w:rsidRPr="00847696">
        <w:rPr>
          <w:rFonts w:ascii="Times New Roman" w:hAnsi="Times New Roman"/>
        </w:rPr>
        <w:t>the original Epson cartridge to enable it to be refilled with ink, the cartridge did not cease to exist</w:t>
      </w:r>
      <w:r w:rsidR="00392CBD" w:rsidRPr="00847696">
        <w:rPr>
          <w:rFonts w:ascii="Times New Roman" w:hAnsi="Times New Roman"/>
        </w:rPr>
        <w:t>,</w:t>
      </w:r>
      <w:r w:rsidRPr="00847696">
        <w:rPr>
          <w:rFonts w:ascii="Times New Roman" w:hAnsi="Times New Roman"/>
        </w:rPr>
        <w:t xml:space="preserve"> and</w:t>
      </w:r>
      <w:r w:rsidR="00392CBD" w:rsidRPr="00847696">
        <w:rPr>
          <w:rFonts w:ascii="Times New Roman" w:hAnsi="Times New Roman"/>
        </w:rPr>
        <w:t xml:space="preserve"> it</w:t>
      </w:r>
      <w:r w:rsidRPr="00847696">
        <w:rPr>
          <w:rFonts w:ascii="Times New Roman" w:hAnsi="Times New Roman"/>
        </w:rPr>
        <w:t xml:space="preserve"> was not made anew when the two holes were sealed. The product did not cease to exist when the memory chip was substituted. An argument that an article has been "unmade" and then "remade" might have some weight in a circumstance such as </w:t>
      </w:r>
      <w:r w:rsidRPr="00847696">
        <w:rPr>
          <w:rFonts w:ascii="Times New Roman" w:hAnsi="Times New Roman"/>
          <w:i/>
        </w:rPr>
        <w:t>United Wire</w:t>
      </w:r>
      <w:r w:rsidR="0097347C" w:rsidRPr="00847696">
        <w:rPr>
          <w:rStyle w:val="FootnoteReference"/>
          <w:rFonts w:ascii="Times New Roman" w:hAnsi="Times New Roman"/>
          <w:sz w:val="24"/>
        </w:rPr>
        <w:footnoteReference w:id="109"/>
      </w:r>
      <w:r w:rsidRPr="00847696">
        <w:rPr>
          <w:rFonts w:ascii="Times New Roman" w:hAnsi="Times New Roman"/>
        </w:rPr>
        <w:t xml:space="preserve">. </w:t>
      </w:r>
      <w:r w:rsidR="00C62B7E" w:rsidRPr="00847696">
        <w:rPr>
          <w:rFonts w:ascii="Times New Roman" w:hAnsi="Times New Roman"/>
        </w:rPr>
        <w:t>However, i</w:t>
      </w:r>
      <w:r w:rsidRPr="00847696">
        <w:rPr>
          <w:rFonts w:ascii="Times New Roman" w:hAnsi="Times New Roman"/>
        </w:rPr>
        <w:t>t is somewhat artificial in cases where parts are changed</w:t>
      </w:r>
      <w:r w:rsidR="003E20D7" w:rsidRPr="00847696">
        <w:rPr>
          <w:rFonts w:ascii="Times New Roman" w:hAnsi="Times New Roman"/>
        </w:rPr>
        <w:t xml:space="preserve"> so as</w:t>
      </w:r>
      <w:r w:rsidRPr="00847696">
        <w:rPr>
          <w:rFonts w:ascii="Times New Roman" w:hAnsi="Times New Roman"/>
        </w:rPr>
        <w:t xml:space="preserve"> to permit continuation of use. In </w:t>
      </w:r>
      <w:r w:rsidR="00E74FBB" w:rsidRPr="00847696">
        <w:rPr>
          <w:rFonts w:ascii="Times New Roman" w:hAnsi="Times New Roman"/>
          <w:i/>
        </w:rPr>
        <w:t>Wilson v Simpson</w:t>
      </w:r>
      <w:r w:rsidR="00CF1EBC" w:rsidRPr="00847696">
        <w:rPr>
          <w:rStyle w:val="FootnoteReference"/>
          <w:rFonts w:ascii="Times New Roman" w:hAnsi="Times New Roman"/>
          <w:sz w:val="24"/>
        </w:rPr>
        <w:footnoteReference w:id="110"/>
      </w:r>
      <w:r w:rsidR="00E74FBB" w:rsidRPr="00847696">
        <w:rPr>
          <w:rFonts w:ascii="Times New Roman" w:hAnsi="Times New Roman"/>
        </w:rPr>
        <w:t xml:space="preserve">, referred to with approval in </w:t>
      </w:r>
      <w:proofErr w:type="spellStart"/>
      <w:r w:rsidRPr="00847696">
        <w:rPr>
          <w:rFonts w:ascii="Times New Roman" w:hAnsi="Times New Roman"/>
          <w:i/>
        </w:rPr>
        <w:t>Aro</w:t>
      </w:r>
      <w:proofErr w:type="spellEnd"/>
      <w:r w:rsidRPr="00847696">
        <w:rPr>
          <w:rFonts w:ascii="Times New Roman" w:hAnsi="Times New Roman"/>
          <w:i/>
        </w:rPr>
        <w:t xml:space="preserve"> Manufacturing</w:t>
      </w:r>
      <w:r w:rsidRPr="00847696">
        <w:rPr>
          <w:rStyle w:val="FootnoteReference"/>
          <w:rFonts w:ascii="Times New Roman" w:hAnsi="Times New Roman"/>
          <w:sz w:val="24"/>
        </w:rPr>
        <w:footnoteReference w:id="111"/>
      </w:r>
      <w:r w:rsidRPr="00847696">
        <w:rPr>
          <w:rFonts w:ascii="Times New Roman" w:hAnsi="Times New Roman"/>
        </w:rPr>
        <w:t xml:space="preserve">, the Court refused to accept that a tangible machine could be said to have ceased to have a material existence because </w:t>
      </w:r>
      <w:r w:rsidR="00C6530A" w:rsidRPr="00847696">
        <w:rPr>
          <w:rFonts w:ascii="Times New Roman" w:hAnsi="Times New Roman"/>
        </w:rPr>
        <w:t>a part that had become inoperative was repaired or replaced</w:t>
      </w:r>
      <w:r w:rsidRPr="00847696">
        <w:rPr>
          <w:rFonts w:ascii="Times New Roman" w:hAnsi="Times New Roman"/>
        </w:rPr>
        <w:t xml:space="preserve">. </w:t>
      </w:r>
    </w:p>
    <w:p w14:paraId="5D2ABC6D" w14:textId="1C6A2784"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The reprogramming of the memory </w:t>
      </w:r>
      <w:r w:rsidR="00F9621F" w:rsidRPr="00847696">
        <w:rPr>
          <w:rFonts w:ascii="Times New Roman" w:hAnsi="Times New Roman"/>
        </w:rPr>
        <w:t xml:space="preserve">chip in </w:t>
      </w:r>
      <w:r w:rsidRPr="00847696">
        <w:rPr>
          <w:rFonts w:ascii="Times New Roman" w:hAnsi="Times New Roman"/>
        </w:rPr>
        <w:t xml:space="preserve">the </w:t>
      </w:r>
      <w:r w:rsidR="00F9621F" w:rsidRPr="00847696">
        <w:rPr>
          <w:rFonts w:ascii="Times New Roman" w:hAnsi="Times New Roman"/>
        </w:rPr>
        <w:t>original</w:t>
      </w:r>
      <w:r w:rsidRPr="00847696">
        <w:rPr>
          <w:rFonts w:ascii="Times New Roman" w:hAnsi="Times New Roman"/>
        </w:rPr>
        <w:t xml:space="preserve"> Epson cartridges and the removal of the interface patterns did not constitute the making of a new embodiment of the patented product. It may be accepted that the substitution of an "integrated circuit assembly" was a substantive modification which </w:t>
      </w:r>
      <w:r w:rsidR="00706B15" w:rsidRPr="00847696">
        <w:rPr>
          <w:rFonts w:ascii="Times New Roman" w:hAnsi="Times New Roman"/>
        </w:rPr>
        <w:t>included the layout</w:t>
      </w:r>
      <w:r w:rsidRPr="00847696">
        <w:rPr>
          <w:rFonts w:ascii="Times New Roman" w:hAnsi="Times New Roman"/>
        </w:rPr>
        <w:t xml:space="preserve"> of the electrical terminals, but it did not constitute a making. The particular layout of the electrical terminals as defined by integers [</w:t>
      </w:r>
      <w:r w:rsidR="0068382E" w:rsidRPr="00847696">
        <w:rPr>
          <w:rFonts w:ascii="Times New Roman" w:hAnsi="Times New Roman"/>
        </w:rPr>
        <w:t>5</w:t>
      </w:r>
      <w:r w:rsidRPr="00847696">
        <w:rPr>
          <w:rFonts w:ascii="Times New Roman" w:hAnsi="Times New Roman"/>
        </w:rPr>
        <w:t>] to [11] w</w:t>
      </w:r>
      <w:r w:rsidR="00050F55" w:rsidRPr="00847696">
        <w:rPr>
          <w:rFonts w:ascii="Times New Roman" w:hAnsi="Times New Roman"/>
        </w:rPr>
        <w:t>as</w:t>
      </w:r>
      <w:r w:rsidRPr="00847696">
        <w:rPr>
          <w:rFonts w:ascii="Times New Roman" w:hAnsi="Times New Roman"/>
        </w:rPr>
        <w:t xml:space="preserve"> not affected by this action. Moreover</w:t>
      </w:r>
      <w:r w:rsidR="00443FA0" w:rsidRPr="00847696">
        <w:rPr>
          <w:rFonts w:ascii="Times New Roman" w:hAnsi="Times New Roman"/>
        </w:rPr>
        <w:t>, as Calidad submits,</w:t>
      </w:r>
      <w:r w:rsidRPr="00847696">
        <w:rPr>
          <w:rFonts w:ascii="Times New Roman" w:hAnsi="Times New Roman"/>
        </w:rPr>
        <w:t xml:space="preserve"> it was an action undertaken to enable </w:t>
      </w:r>
      <w:r w:rsidRPr="00847696">
        <w:rPr>
          <w:rFonts w:ascii="Times New Roman" w:hAnsi="Times New Roman"/>
        </w:rPr>
        <w:lastRenderedPageBreak/>
        <w:t xml:space="preserve">the data in the memory </w:t>
      </w:r>
      <w:r w:rsidR="00441A19" w:rsidRPr="00847696">
        <w:rPr>
          <w:rFonts w:ascii="Times New Roman" w:hAnsi="Times New Roman"/>
        </w:rPr>
        <w:t xml:space="preserve">chip </w:t>
      </w:r>
      <w:r w:rsidRPr="00847696">
        <w:rPr>
          <w:rFonts w:ascii="Times New Roman" w:hAnsi="Times New Roman"/>
        </w:rPr>
        <w:t>to be replaced and the cartridge to be re</w:t>
      </w:r>
      <w:r w:rsidR="00E963F7" w:rsidRPr="00847696">
        <w:rPr>
          <w:rFonts w:ascii="Times New Roman" w:hAnsi="Times New Roman"/>
        </w:rPr>
        <w:t>-</w:t>
      </w:r>
      <w:r w:rsidRPr="00847696">
        <w:rPr>
          <w:rFonts w:ascii="Times New Roman" w:hAnsi="Times New Roman"/>
        </w:rPr>
        <w:t>used, not to change the layout of the terminals in any way.</w:t>
      </w:r>
    </w:p>
    <w:p w14:paraId="4B8B8CBF" w14:textId="581299FB" w:rsidR="0055686F"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When all of </w:t>
      </w:r>
      <w:proofErr w:type="spellStart"/>
      <w:r w:rsidRPr="00847696">
        <w:rPr>
          <w:rFonts w:ascii="Times New Roman" w:hAnsi="Times New Roman"/>
        </w:rPr>
        <w:t>Ninestar's</w:t>
      </w:r>
      <w:proofErr w:type="spellEnd"/>
      <w:r w:rsidRPr="00847696">
        <w:rPr>
          <w:rFonts w:ascii="Times New Roman" w:hAnsi="Times New Roman"/>
        </w:rPr>
        <w:t xml:space="preserve"> modifications to each of the categories of cartridges were completed what remained were the original Epson cartridges with some modifications which enabled their re</w:t>
      </w:r>
      <w:r w:rsidR="00E963F7" w:rsidRPr="00847696">
        <w:rPr>
          <w:rFonts w:ascii="Times New Roman" w:hAnsi="Times New Roman"/>
        </w:rPr>
        <w:t>-</w:t>
      </w:r>
      <w:r w:rsidRPr="00847696">
        <w:rPr>
          <w:rFonts w:ascii="Times New Roman" w:hAnsi="Times New Roman"/>
        </w:rPr>
        <w:t>use. The modifications did not involve the replication of parts and features of the invention claimed. There was no true manufacture or construction of a cartridge which embodied the features of the patent claim.</w:t>
      </w:r>
    </w:p>
    <w:p w14:paraId="5B669939" w14:textId="1B5DD5D3" w:rsidR="00C96F9E" w:rsidRPr="00847696" w:rsidRDefault="0055686F"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The modifications to the original Epson cartridges were consistent with the exercise of the rights of an owner to alter an article to improve its usefulness </w:t>
      </w:r>
      <w:r w:rsidR="007D46D0" w:rsidRPr="00847696">
        <w:rPr>
          <w:rFonts w:ascii="Times New Roman" w:hAnsi="Times New Roman"/>
        </w:rPr>
        <w:t>and</w:t>
      </w:r>
      <w:r w:rsidRPr="00847696">
        <w:rPr>
          <w:rFonts w:ascii="Times New Roman" w:hAnsi="Times New Roman"/>
        </w:rPr>
        <w:t xml:space="preserve"> enable its re</w:t>
      </w:r>
      <w:r w:rsidR="00E963F7" w:rsidRPr="00847696">
        <w:rPr>
          <w:rFonts w:ascii="Times New Roman" w:hAnsi="Times New Roman"/>
        </w:rPr>
        <w:t>-</w:t>
      </w:r>
      <w:r w:rsidRPr="00847696">
        <w:rPr>
          <w:rFonts w:ascii="Times New Roman" w:hAnsi="Times New Roman"/>
        </w:rPr>
        <w:t>use. Both English</w:t>
      </w:r>
      <w:r w:rsidRPr="00847696">
        <w:rPr>
          <w:rStyle w:val="FootnoteReference"/>
          <w:rFonts w:ascii="Times New Roman" w:hAnsi="Times New Roman"/>
          <w:sz w:val="24"/>
        </w:rPr>
        <w:footnoteReference w:id="112"/>
      </w:r>
      <w:r w:rsidRPr="00847696">
        <w:rPr>
          <w:rFonts w:ascii="Times New Roman" w:hAnsi="Times New Roman"/>
        </w:rPr>
        <w:t xml:space="preserve"> and U</w:t>
      </w:r>
      <w:r w:rsidR="00A80114" w:rsidRPr="00847696">
        <w:rPr>
          <w:rFonts w:ascii="Times New Roman" w:hAnsi="Times New Roman"/>
        </w:rPr>
        <w:t xml:space="preserve">nited </w:t>
      </w:r>
      <w:r w:rsidRPr="00847696">
        <w:rPr>
          <w:rFonts w:ascii="Times New Roman" w:hAnsi="Times New Roman"/>
        </w:rPr>
        <w:t>S</w:t>
      </w:r>
      <w:r w:rsidR="00A80114" w:rsidRPr="00847696">
        <w:rPr>
          <w:rFonts w:ascii="Times New Roman" w:hAnsi="Times New Roman"/>
        </w:rPr>
        <w:t>tates</w:t>
      </w:r>
      <w:r w:rsidRPr="00847696">
        <w:rPr>
          <w:rFonts w:ascii="Times New Roman" w:hAnsi="Times New Roman"/>
        </w:rPr>
        <w:t xml:space="preserve"> authority accept the prolonging of the life of a product to be within an owner's rights of use of a patented product. Regardless of whether it is said to be something done which is closer to "repair" than "making"</w:t>
      </w:r>
      <w:r w:rsidR="00A651CE" w:rsidRPr="00847696">
        <w:rPr>
          <w:rFonts w:ascii="Times New Roman" w:hAnsi="Times New Roman"/>
        </w:rPr>
        <w:t>,</w:t>
      </w:r>
      <w:r w:rsidRPr="00847696">
        <w:rPr>
          <w:rFonts w:ascii="Times New Roman" w:hAnsi="Times New Roman"/>
        </w:rPr>
        <w:t xml:space="preserve"> it clearly does not involve a manufacture or making. And this is so regardless of whether the exhaustion doctrine or the implied </w:t>
      </w:r>
      <w:r w:rsidR="00F57343" w:rsidRPr="00847696">
        <w:rPr>
          <w:rFonts w:ascii="Times New Roman" w:hAnsi="Times New Roman"/>
        </w:rPr>
        <w:t>licence</w:t>
      </w:r>
      <w:r w:rsidRPr="00847696">
        <w:rPr>
          <w:rFonts w:ascii="Times New Roman" w:hAnsi="Times New Roman"/>
        </w:rPr>
        <w:t xml:space="preserve"> doctrine is applied.</w:t>
      </w:r>
    </w:p>
    <w:p w14:paraId="4D725D41" w14:textId="77777777" w:rsidR="004F40FC" w:rsidRPr="00847696" w:rsidRDefault="004F40FC" w:rsidP="00847696">
      <w:pPr>
        <w:pStyle w:val="HeadingL1"/>
        <w:spacing w:after="260" w:line="280" w:lineRule="exact"/>
        <w:ind w:right="0"/>
        <w:jc w:val="both"/>
        <w:rPr>
          <w:rFonts w:ascii="Times New Roman" w:hAnsi="Times New Roman"/>
        </w:rPr>
      </w:pPr>
      <w:r w:rsidRPr="00847696">
        <w:rPr>
          <w:rFonts w:ascii="Times New Roman" w:hAnsi="Times New Roman"/>
        </w:rPr>
        <w:t>The preferable doctrine?</w:t>
      </w:r>
    </w:p>
    <w:p w14:paraId="37706CF7" w14:textId="77777777" w:rsidR="004F40FC" w:rsidRPr="00847696" w:rsidRDefault="004F40FC" w:rsidP="00847696">
      <w:pPr>
        <w:pStyle w:val="HeadingL2"/>
        <w:spacing w:after="260" w:line="280" w:lineRule="exact"/>
        <w:ind w:right="0"/>
        <w:jc w:val="both"/>
        <w:rPr>
          <w:rFonts w:ascii="Times New Roman" w:hAnsi="Times New Roman"/>
        </w:rPr>
      </w:pPr>
      <w:r w:rsidRPr="00847696">
        <w:rPr>
          <w:rFonts w:ascii="Times New Roman" w:hAnsi="Times New Roman"/>
        </w:rPr>
        <w:t>The fundamental difference</w:t>
      </w:r>
    </w:p>
    <w:p w14:paraId="6F111E36" w14:textId="6CE7E5A6"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The idea of treating a patentee as </w:t>
      </w:r>
      <w:r w:rsidR="00D32954" w:rsidRPr="00847696">
        <w:rPr>
          <w:rFonts w:ascii="Times New Roman" w:hAnsi="Times New Roman"/>
        </w:rPr>
        <w:t xml:space="preserve">granting an implied </w:t>
      </w:r>
      <w:r w:rsidRPr="00847696">
        <w:rPr>
          <w:rFonts w:ascii="Times New Roman" w:hAnsi="Times New Roman"/>
        </w:rPr>
        <w:t>licen</w:t>
      </w:r>
      <w:r w:rsidR="00A14CB2" w:rsidRPr="00847696">
        <w:rPr>
          <w:rFonts w:ascii="Times New Roman" w:hAnsi="Times New Roman"/>
        </w:rPr>
        <w:t>c</w:t>
      </w:r>
      <w:r w:rsidR="00D32954" w:rsidRPr="00847696">
        <w:rPr>
          <w:rFonts w:ascii="Times New Roman" w:hAnsi="Times New Roman"/>
        </w:rPr>
        <w:t>e</w:t>
      </w:r>
      <w:r w:rsidRPr="00847696">
        <w:rPr>
          <w:rFonts w:ascii="Times New Roman" w:hAnsi="Times New Roman"/>
        </w:rPr>
        <w:t xml:space="preserve">, the approach adopted in </w:t>
      </w:r>
      <w:proofErr w:type="spellStart"/>
      <w:r w:rsidRPr="00847696">
        <w:rPr>
          <w:rFonts w:ascii="Times New Roman" w:hAnsi="Times New Roman"/>
          <w:i/>
        </w:rPr>
        <w:t>Menck</w:t>
      </w:r>
      <w:proofErr w:type="spellEnd"/>
      <w:r w:rsidRPr="00847696">
        <w:rPr>
          <w:rFonts w:ascii="Times New Roman" w:hAnsi="Times New Roman"/>
        </w:rPr>
        <w:t xml:space="preserve"> (Privy Council)</w:t>
      </w:r>
      <w:r w:rsidR="00350556" w:rsidRPr="00847696">
        <w:rPr>
          <w:rFonts w:ascii="Times New Roman" w:hAnsi="Times New Roman"/>
        </w:rPr>
        <w:t>,</w:t>
      </w:r>
      <w:r w:rsidRPr="00847696">
        <w:rPr>
          <w:rFonts w:ascii="Times New Roman" w:hAnsi="Times New Roman"/>
        </w:rPr>
        <w:t xml:space="preserve"> is largely attributed</w:t>
      </w:r>
      <w:r w:rsidRPr="00847696">
        <w:rPr>
          <w:rFonts w:ascii="Times New Roman" w:hAnsi="Times New Roman"/>
          <w:b/>
          <w:sz w:val="24"/>
          <w:vertAlign w:val="superscript"/>
        </w:rPr>
        <w:footnoteReference w:id="113"/>
      </w:r>
      <w:r w:rsidRPr="00847696">
        <w:rPr>
          <w:rFonts w:ascii="Times New Roman" w:hAnsi="Times New Roman"/>
        </w:rPr>
        <w:t xml:space="preserve"> to the decision in </w:t>
      </w:r>
      <w:r w:rsidRPr="00847696">
        <w:rPr>
          <w:rFonts w:ascii="Times New Roman" w:hAnsi="Times New Roman"/>
          <w:i/>
        </w:rPr>
        <w:t>Betts v Willmott</w:t>
      </w:r>
      <w:r w:rsidRPr="00847696">
        <w:rPr>
          <w:rStyle w:val="FootnoteReference"/>
          <w:rFonts w:ascii="Times New Roman" w:hAnsi="Times New Roman"/>
          <w:sz w:val="24"/>
        </w:rPr>
        <w:footnoteReference w:id="114"/>
      </w:r>
      <w:r w:rsidRPr="00847696">
        <w:rPr>
          <w:rFonts w:ascii="Times New Roman" w:hAnsi="Times New Roman"/>
        </w:rPr>
        <w:t xml:space="preserve">. There Lord Hatherley </w:t>
      </w:r>
      <w:r w:rsidR="00B24183" w:rsidRPr="00847696">
        <w:rPr>
          <w:rFonts w:ascii="Times New Roman" w:hAnsi="Times New Roman"/>
        </w:rPr>
        <w:t xml:space="preserve">LC </w:t>
      </w:r>
      <w:r w:rsidRPr="00847696">
        <w:rPr>
          <w:rFonts w:ascii="Times New Roman" w:hAnsi="Times New Roman"/>
        </w:rPr>
        <w:t>observed that when a person purchases an article "he expects to have the control of it"</w:t>
      </w:r>
      <w:r w:rsidRPr="00847696">
        <w:rPr>
          <w:rStyle w:val="FootnoteReference"/>
          <w:rFonts w:ascii="Times New Roman" w:hAnsi="Times New Roman"/>
          <w:sz w:val="24"/>
        </w:rPr>
        <w:footnoteReference w:id="115"/>
      </w:r>
      <w:r w:rsidRPr="00847696">
        <w:rPr>
          <w:rFonts w:ascii="Times New Roman" w:hAnsi="Times New Roman"/>
        </w:rPr>
        <w:t xml:space="preserve">. The problem was how it might be said that a purchaser could use or dispose of a patented article without the need for </w:t>
      </w:r>
      <w:r w:rsidRPr="00847696">
        <w:rPr>
          <w:rFonts w:ascii="Times New Roman" w:hAnsi="Times New Roman"/>
        </w:rPr>
        <w:lastRenderedPageBreak/>
        <w:t>the patentee's consent. The answer, he said, was that the purchaser could be said to do so by a licence implied by the law.</w:t>
      </w:r>
    </w:p>
    <w:p w14:paraId="7EC0FFB0" w14:textId="79E0BA51"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The unstated premise, that a patentee's monopoly rights respecting the use of a patented article continue after its sale, was to emerge more clearly in </w:t>
      </w:r>
      <w:r w:rsidRPr="00847696">
        <w:rPr>
          <w:rFonts w:ascii="Times New Roman" w:hAnsi="Times New Roman"/>
          <w:i/>
        </w:rPr>
        <w:t>Incandescent Gas Light Co</w:t>
      </w:r>
      <w:r w:rsidR="00086414" w:rsidRPr="00847696">
        <w:rPr>
          <w:rFonts w:ascii="Times New Roman" w:hAnsi="Times New Roman"/>
          <w:i/>
        </w:rPr>
        <w:t xml:space="preserve"> Ltd</w:t>
      </w:r>
      <w:r w:rsidRPr="00847696">
        <w:rPr>
          <w:rFonts w:ascii="Times New Roman" w:hAnsi="Times New Roman"/>
          <w:i/>
        </w:rPr>
        <w:t xml:space="preserve"> v </w:t>
      </w:r>
      <w:proofErr w:type="spellStart"/>
      <w:r w:rsidRPr="00847696">
        <w:rPr>
          <w:rFonts w:ascii="Times New Roman" w:hAnsi="Times New Roman"/>
          <w:i/>
        </w:rPr>
        <w:t>Cantelo</w:t>
      </w:r>
      <w:proofErr w:type="spellEnd"/>
      <w:r w:rsidRPr="00847696">
        <w:rPr>
          <w:rStyle w:val="FootnoteReference"/>
          <w:rFonts w:ascii="Times New Roman" w:hAnsi="Times New Roman"/>
          <w:sz w:val="24"/>
        </w:rPr>
        <w:footnoteReference w:id="116"/>
      </w:r>
      <w:r w:rsidR="000A0330" w:rsidRPr="00847696">
        <w:rPr>
          <w:rFonts w:ascii="Times New Roman" w:hAnsi="Times New Roman"/>
        </w:rPr>
        <w:t>,</w:t>
      </w:r>
      <w:r w:rsidRPr="00847696">
        <w:rPr>
          <w:rFonts w:ascii="Times New Roman" w:hAnsi="Times New Roman"/>
        </w:rPr>
        <w:t xml:space="preserve"> where it was held that a patentee could condition or restrict the licence conferred on a purchaser and the conditions or restrictions could be enforced as a matter of</w:t>
      </w:r>
      <w:r w:rsidR="00DA1487" w:rsidRPr="00847696">
        <w:rPr>
          <w:rFonts w:ascii="Times New Roman" w:hAnsi="Times New Roman"/>
        </w:rPr>
        <w:t xml:space="preserve"> "common sense"</w:t>
      </w:r>
      <w:r w:rsidRPr="00847696">
        <w:rPr>
          <w:rFonts w:ascii="Times New Roman" w:hAnsi="Times New Roman"/>
        </w:rPr>
        <w:t xml:space="preserve"> and not contract law. The decision in </w:t>
      </w:r>
      <w:proofErr w:type="spellStart"/>
      <w:r w:rsidRPr="00847696">
        <w:rPr>
          <w:rFonts w:ascii="Times New Roman" w:hAnsi="Times New Roman"/>
          <w:i/>
        </w:rPr>
        <w:t>Menck</w:t>
      </w:r>
      <w:proofErr w:type="spellEnd"/>
      <w:r w:rsidRPr="00847696">
        <w:rPr>
          <w:rFonts w:ascii="Times New Roman" w:hAnsi="Times New Roman"/>
          <w:i/>
        </w:rPr>
        <w:t xml:space="preserve"> </w:t>
      </w:r>
      <w:r w:rsidRPr="00847696">
        <w:rPr>
          <w:rFonts w:ascii="Times New Roman" w:hAnsi="Times New Roman"/>
        </w:rPr>
        <w:t xml:space="preserve">(Privy Council) appears to have amalgamated these ideas. Lord Shaw spoke of giving effect to </w:t>
      </w:r>
      <w:r w:rsidR="00271CAD" w:rsidRPr="00847696">
        <w:rPr>
          <w:rFonts w:ascii="Times New Roman" w:hAnsi="Times New Roman"/>
        </w:rPr>
        <w:t>the</w:t>
      </w:r>
      <w:r w:rsidRPr="00847696">
        <w:rPr>
          <w:rFonts w:ascii="Times New Roman" w:hAnsi="Times New Roman"/>
        </w:rPr>
        <w:t xml:space="preserve"> line of authority</w:t>
      </w:r>
      <w:r w:rsidR="00271CAD" w:rsidRPr="00847696">
        <w:rPr>
          <w:rFonts w:ascii="Times New Roman" w:hAnsi="Times New Roman"/>
        </w:rPr>
        <w:t xml:space="preserve"> to which he referred</w:t>
      </w:r>
      <w:r w:rsidR="003B1554" w:rsidRPr="00847696">
        <w:rPr>
          <w:rStyle w:val="FootnoteReference"/>
          <w:rFonts w:ascii="Times New Roman" w:hAnsi="Times New Roman"/>
          <w:sz w:val="24"/>
        </w:rPr>
        <w:footnoteReference w:id="117"/>
      </w:r>
      <w:r w:rsidRPr="00847696">
        <w:rPr>
          <w:rFonts w:ascii="Times New Roman" w:hAnsi="Times New Roman"/>
        </w:rPr>
        <w:t xml:space="preserve">, which </w:t>
      </w:r>
      <w:r w:rsidR="00B0044C" w:rsidRPr="00847696">
        <w:rPr>
          <w:rFonts w:ascii="Times New Roman" w:hAnsi="Times New Roman"/>
        </w:rPr>
        <w:t xml:space="preserve">consisted of </w:t>
      </w:r>
      <w:r w:rsidRPr="00847696">
        <w:rPr>
          <w:rFonts w:ascii="Times New Roman" w:hAnsi="Times New Roman"/>
        </w:rPr>
        <w:t xml:space="preserve">largely single-judge decisions. </w:t>
      </w:r>
      <w:r w:rsidR="007017BB" w:rsidRPr="00847696">
        <w:rPr>
          <w:rFonts w:ascii="Times New Roman" w:hAnsi="Times New Roman"/>
        </w:rPr>
        <w:t>It does not appear that any consideration was given to an alternative solution, that applied by the Supreme Court of the United States, by which the scope of patent rights with respect to a product w</w:t>
      </w:r>
      <w:r w:rsidR="00EE44F9" w:rsidRPr="00847696">
        <w:rPr>
          <w:rFonts w:ascii="Times New Roman" w:hAnsi="Times New Roman"/>
        </w:rPr>
        <w:t>as</w:t>
      </w:r>
      <w:r w:rsidR="007017BB" w:rsidRPr="00847696">
        <w:rPr>
          <w:rFonts w:ascii="Times New Roman" w:hAnsi="Times New Roman"/>
        </w:rPr>
        <w:t xml:space="preserve"> limited by the fact of sale. </w:t>
      </w:r>
      <w:r w:rsidRPr="00847696">
        <w:rPr>
          <w:rFonts w:ascii="Times New Roman" w:hAnsi="Times New Roman"/>
        </w:rPr>
        <w:t xml:space="preserve">And </w:t>
      </w:r>
      <w:r w:rsidR="00B43653" w:rsidRPr="00847696">
        <w:rPr>
          <w:rFonts w:ascii="Times New Roman" w:hAnsi="Times New Roman"/>
        </w:rPr>
        <w:t xml:space="preserve">unlike the approach taken by Griffith CJ, </w:t>
      </w:r>
      <w:r w:rsidRPr="00847696">
        <w:rPr>
          <w:rFonts w:ascii="Times New Roman" w:hAnsi="Times New Roman"/>
        </w:rPr>
        <w:t>no process of statutory construction was undertaken</w:t>
      </w:r>
      <w:r w:rsidR="00B43653" w:rsidRPr="00847696">
        <w:rPr>
          <w:rFonts w:ascii="Times New Roman" w:hAnsi="Times New Roman"/>
        </w:rPr>
        <w:t xml:space="preserve"> by the Privy Council. Rather it was assumed that the negative nature of the monopoly right carried with it the power to impose conditions on subsequent owners of a patented product</w:t>
      </w:r>
      <w:r w:rsidR="00B43653" w:rsidRPr="00847696">
        <w:rPr>
          <w:rStyle w:val="FootnoteReference"/>
          <w:rFonts w:ascii="Times New Roman" w:hAnsi="Times New Roman"/>
          <w:sz w:val="24"/>
        </w:rPr>
        <w:footnoteReference w:id="118"/>
      </w:r>
      <w:r w:rsidRPr="00847696">
        <w:rPr>
          <w:rFonts w:ascii="Times New Roman" w:hAnsi="Times New Roman"/>
        </w:rPr>
        <w:t>.</w:t>
      </w:r>
    </w:p>
    <w:p w14:paraId="4D1E0FBA" w14:textId="05232183"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In </w:t>
      </w:r>
      <w:r w:rsidRPr="00847696">
        <w:rPr>
          <w:rFonts w:ascii="Times New Roman" w:hAnsi="Times New Roman"/>
          <w:i/>
        </w:rPr>
        <w:t>United Wire</w:t>
      </w:r>
      <w:r w:rsidRPr="00847696">
        <w:rPr>
          <w:rStyle w:val="FootnoteReference"/>
          <w:rFonts w:ascii="Times New Roman" w:hAnsi="Times New Roman"/>
          <w:sz w:val="24"/>
        </w:rPr>
        <w:footnoteReference w:id="119"/>
      </w:r>
      <w:r w:rsidRPr="00847696">
        <w:rPr>
          <w:rFonts w:ascii="Times New Roman" w:hAnsi="Times New Roman"/>
        </w:rPr>
        <w:t>, Lord Hoffman</w:t>
      </w:r>
      <w:r w:rsidR="002B5065" w:rsidRPr="00847696">
        <w:rPr>
          <w:rFonts w:ascii="Times New Roman" w:hAnsi="Times New Roman"/>
        </w:rPr>
        <w:t>n</w:t>
      </w:r>
      <w:r w:rsidRPr="00847696">
        <w:rPr>
          <w:rFonts w:ascii="Times New Roman" w:hAnsi="Times New Roman"/>
        </w:rPr>
        <w:t xml:space="preserve"> acknowledged that the exhaustion doctrine is an alternative explanation for why a patentee cannot be heard to complain about a purchaser's use of a patented product and he observed that it is adopted in European patent systems. The difference between the two theories, his Lordship suggested, is that an implied licence "may be excluded by express contrary agreement or made subject to conditions while the exhaustion doctrine leaves no patent rights to be enforced". </w:t>
      </w:r>
    </w:p>
    <w:p w14:paraId="154E381A" w14:textId="158C7237"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A qualification is necessary with respect to this last</w:t>
      </w:r>
      <w:r w:rsidR="001F1ADF" w:rsidRPr="00847696">
        <w:rPr>
          <w:rFonts w:ascii="Times New Roman" w:hAnsi="Times New Roman"/>
        </w:rPr>
        <w:t>-</w:t>
      </w:r>
      <w:r w:rsidRPr="00847696">
        <w:rPr>
          <w:rFonts w:ascii="Times New Roman" w:hAnsi="Times New Roman"/>
        </w:rPr>
        <w:t xml:space="preserve">mentioned observation. It is that the exhaustion doctrine leaves no patent rights to be enforced </w:t>
      </w:r>
      <w:r w:rsidRPr="00847696">
        <w:rPr>
          <w:rFonts w:ascii="Times New Roman" w:hAnsi="Times New Roman"/>
          <w:i/>
        </w:rPr>
        <w:t>with respect to the particular product sold</w:t>
      </w:r>
      <w:r w:rsidRPr="00847696">
        <w:rPr>
          <w:rFonts w:ascii="Times New Roman" w:hAnsi="Times New Roman"/>
        </w:rPr>
        <w:t xml:space="preserve">. Under the exhaustion doctrine a patentee's rights to make and to sell another product embodying the claimed invention remained </w:t>
      </w:r>
      <w:r w:rsidRPr="00847696">
        <w:rPr>
          <w:rFonts w:ascii="Times New Roman" w:hAnsi="Times New Roman"/>
        </w:rPr>
        <w:lastRenderedPageBreak/>
        <w:t>unaffected. So too does the patentee continue to have the right to use a product so made and to prevent others from doing so, at least until the product is sold.</w:t>
      </w:r>
    </w:p>
    <w:p w14:paraId="74CAF5A3" w14:textId="29131B60"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The exhaustion doctrine does not accept the premise that a patentee's rights of use with respect to the particular product survive its sale. That is the fundamental difference between the two doctrines. According to the exhaustion doctrine the purchaser of a patented product buys "</w:t>
      </w:r>
      <w:r w:rsidR="00D11EA6" w:rsidRPr="00847696">
        <w:rPr>
          <w:rFonts w:ascii="Times New Roman" w:hAnsi="Times New Roman"/>
        </w:rPr>
        <w:t>'</w:t>
      </w:r>
      <w:r w:rsidRPr="00847696">
        <w:rPr>
          <w:rFonts w:ascii="Times New Roman" w:hAnsi="Times New Roman"/>
        </w:rPr>
        <w:t>the use of the whole</w:t>
      </w:r>
      <w:r w:rsidR="00D11EA6" w:rsidRPr="00847696">
        <w:rPr>
          <w:rFonts w:ascii="Times New Roman" w:hAnsi="Times New Roman"/>
        </w:rPr>
        <w:t>'</w:t>
      </w:r>
      <w:r w:rsidRPr="00847696">
        <w:rPr>
          <w:rFonts w:ascii="Times New Roman" w:hAnsi="Times New Roman"/>
        </w:rPr>
        <w:t xml:space="preserve"> </w:t>
      </w:r>
      <w:r w:rsidR="0016511A" w:rsidRPr="00847696">
        <w:rPr>
          <w:rFonts w:ascii="Times New Roman" w:hAnsi="Times New Roman"/>
        </w:rPr>
        <w:t xml:space="preserve">of the </w:t>
      </w:r>
      <w:r w:rsidRPr="00847696">
        <w:rPr>
          <w:rFonts w:ascii="Times New Roman" w:hAnsi="Times New Roman"/>
        </w:rPr>
        <w:t>co</w:t>
      </w:r>
      <w:r w:rsidR="0016511A" w:rsidRPr="00847696">
        <w:rPr>
          <w:rFonts w:ascii="Times New Roman" w:hAnsi="Times New Roman"/>
        </w:rPr>
        <w:t>mbination</w:t>
      </w:r>
      <w:r w:rsidRPr="00847696">
        <w:rPr>
          <w:rFonts w:ascii="Times New Roman" w:hAnsi="Times New Roman"/>
        </w:rPr>
        <w:t>"</w:t>
      </w:r>
      <w:r w:rsidRPr="00847696">
        <w:rPr>
          <w:rStyle w:val="FootnoteReference"/>
          <w:rFonts w:ascii="Times New Roman" w:hAnsi="Times New Roman"/>
          <w:sz w:val="24"/>
        </w:rPr>
        <w:footnoteReference w:id="120"/>
      </w:r>
      <w:r w:rsidRPr="00847696">
        <w:rPr>
          <w:rFonts w:ascii="Times New Roman" w:hAnsi="Times New Roman"/>
        </w:rPr>
        <w:t xml:space="preserve">, as would result from an ordinary sale. The exhaustion doctrine accepts that a patentee has special rights deriving from the patent which are given statutory effect, but holds that they are exhausted when the reward which is the object of those special rights is achieved by the patentee. The sale takes the product outside the scope of the </w:t>
      </w:r>
      <w:r w:rsidR="00A5246E" w:rsidRPr="00847696">
        <w:rPr>
          <w:rFonts w:ascii="Times New Roman" w:hAnsi="Times New Roman"/>
        </w:rPr>
        <w:t xml:space="preserve">patentee's </w:t>
      </w:r>
      <w:r w:rsidRPr="00847696">
        <w:rPr>
          <w:rFonts w:ascii="Times New Roman" w:hAnsi="Times New Roman"/>
        </w:rPr>
        <w:t>monopoly rights.</w:t>
      </w:r>
    </w:p>
    <w:p w14:paraId="293E7743" w14:textId="77777777" w:rsidR="004F40FC" w:rsidRPr="00847696" w:rsidRDefault="004F40FC" w:rsidP="00847696">
      <w:pPr>
        <w:pStyle w:val="HeadingL2"/>
        <w:spacing w:after="260" w:line="280" w:lineRule="exact"/>
        <w:ind w:right="0"/>
        <w:jc w:val="both"/>
        <w:rPr>
          <w:rFonts w:ascii="Times New Roman" w:hAnsi="Times New Roman"/>
        </w:rPr>
      </w:pPr>
      <w:r w:rsidRPr="00847696">
        <w:rPr>
          <w:rFonts w:ascii="Times New Roman" w:hAnsi="Times New Roman"/>
        </w:rPr>
        <w:t>Operation and effect</w:t>
      </w:r>
    </w:p>
    <w:p w14:paraId="5C72015B" w14:textId="2B9F3A23"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The exhaustion doctrine has the virtues of logic, simplicity and coherence with legal principle. It is comprehensible and consistent with the fundamental principle of the common law respecting chattels and an owner's rights respecting their use. At the same time</w:t>
      </w:r>
      <w:r w:rsidR="00B30378" w:rsidRPr="00847696">
        <w:rPr>
          <w:rFonts w:ascii="Times New Roman" w:hAnsi="Times New Roman"/>
        </w:rPr>
        <w:t>,</w:t>
      </w:r>
      <w:r w:rsidRPr="00847696">
        <w:rPr>
          <w:rFonts w:ascii="Times New Roman" w:hAnsi="Times New Roman"/>
        </w:rPr>
        <w:t xml:space="preserve"> it does not prevent a patentee from imposing restrictions and conditions as to the use of a patented product after its sale but simply requires that they be obtained by negotiation in the usual way and enforced according to the law of contract or in equity.</w:t>
      </w:r>
    </w:p>
    <w:p w14:paraId="644D5D81" w14:textId="65F4AA80"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The implied licence doctrine is complicated in its operation and effects. It can achieve only a partial alignment with the fundamental principle of the law and then only when it is clear that no restrictions have been imposed at the point of first sale. It may give rise to difficult questions concerning whether restrictions were imposed and whether an owner many times removed from the first sale had notice of them. </w:t>
      </w:r>
      <w:r w:rsidR="005559DD" w:rsidRPr="00847696">
        <w:rPr>
          <w:rFonts w:ascii="Times New Roman" w:hAnsi="Times New Roman"/>
        </w:rPr>
        <w:t xml:space="preserve">The prospect that restrictions might be imposed on the further use or sale of a patented product after its </w:t>
      </w:r>
      <w:r w:rsidR="00551394" w:rsidRPr="00847696">
        <w:rPr>
          <w:rFonts w:ascii="Times New Roman" w:hAnsi="Times New Roman"/>
        </w:rPr>
        <w:t xml:space="preserve">first </w:t>
      </w:r>
      <w:r w:rsidR="005559DD" w:rsidRPr="00847696">
        <w:rPr>
          <w:rFonts w:ascii="Times New Roman" w:hAnsi="Times New Roman"/>
        </w:rPr>
        <w:t>sale</w:t>
      </w:r>
      <w:r w:rsidRPr="00847696">
        <w:rPr>
          <w:rFonts w:ascii="Times New Roman" w:hAnsi="Times New Roman"/>
        </w:rPr>
        <w:t xml:space="preserve"> may be more theoretical than real now</w:t>
      </w:r>
      <w:r w:rsidR="001C2E66" w:rsidRPr="00847696">
        <w:rPr>
          <w:rFonts w:ascii="Times New Roman" w:hAnsi="Times New Roman"/>
        </w:rPr>
        <w:t>.</w:t>
      </w:r>
      <w:r w:rsidR="00903FB4" w:rsidRPr="00847696">
        <w:rPr>
          <w:rFonts w:ascii="Times New Roman" w:hAnsi="Times New Roman"/>
        </w:rPr>
        <w:t xml:space="preserve"> Even if such restrictions were acceptable to consumers, they would face the hurdle of modern statutes concerned with anti-competitive conduct in the market. It may well be that the practice of patentees upon which the doctrine is founded has less relevance today.</w:t>
      </w:r>
    </w:p>
    <w:p w14:paraId="7E4E1B27" w14:textId="3D58BE3F" w:rsidR="00626C9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626C9C" w:rsidRPr="00847696">
        <w:rPr>
          <w:rFonts w:ascii="Times New Roman" w:hAnsi="Times New Roman"/>
        </w:rPr>
        <w:t xml:space="preserve">It should not be overlooked that the licence upon which the doctrine depends is a fiction. It is not a licence in fact granted by a patentee to a purchaser </w:t>
      </w:r>
      <w:r w:rsidR="00626C9C" w:rsidRPr="00847696">
        <w:rPr>
          <w:rFonts w:ascii="Times New Roman" w:hAnsi="Times New Roman"/>
        </w:rPr>
        <w:lastRenderedPageBreak/>
        <w:t>or later owner of a patented product</w:t>
      </w:r>
      <w:r w:rsidR="00C2627A" w:rsidRPr="00847696">
        <w:rPr>
          <w:rStyle w:val="FootnoteReference"/>
          <w:rFonts w:ascii="Times New Roman" w:hAnsi="Times New Roman"/>
          <w:sz w:val="24"/>
        </w:rPr>
        <w:footnoteReference w:id="121"/>
      </w:r>
      <w:r w:rsidR="00626C9C" w:rsidRPr="00847696">
        <w:rPr>
          <w:rFonts w:ascii="Times New Roman" w:hAnsi="Times New Roman"/>
        </w:rPr>
        <w:t xml:space="preserve">. It is not implied to give business efficacy to the sale agreement. It is imposed by the courts in an endeavour to resolve a perceived tension in the law. In </w:t>
      </w:r>
      <w:r w:rsidR="00626C9C" w:rsidRPr="00847696">
        <w:rPr>
          <w:rFonts w:ascii="Times New Roman" w:hAnsi="Times New Roman"/>
          <w:i/>
        </w:rPr>
        <w:t>Pyrenees Shire Council v Day</w:t>
      </w:r>
      <w:r w:rsidR="00626C9C" w:rsidRPr="00847696">
        <w:rPr>
          <w:rStyle w:val="FootnoteReference"/>
          <w:rFonts w:ascii="Times New Roman" w:hAnsi="Times New Roman"/>
          <w:sz w:val="24"/>
        </w:rPr>
        <w:footnoteReference w:id="122"/>
      </w:r>
      <w:r w:rsidR="00626C9C" w:rsidRPr="00847696">
        <w:rPr>
          <w:rFonts w:ascii="Times New Roman" w:hAnsi="Times New Roman"/>
        </w:rPr>
        <w:t>,</w:t>
      </w:r>
      <w:r w:rsidR="00626C9C" w:rsidRPr="00847696">
        <w:rPr>
          <w:rFonts w:ascii="Times New Roman" w:hAnsi="Times New Roman"/>
          <w:i/>
        </w:rPr>
        <w:t xml:space="preserve"> </w:t>
      </w:r>
      <w:r w:rsidR="00626C9C" w:rsidRPr="00847696">
        <w:rPr>
          <w:rFonts w:ascii="Times New Roman" w:hAnsi="Times New Roman"/>
        </w:rPr>
        <w:t>Gummow</w:t>
      </w:r>
      <w:r w:rsidR="00626C9C" w:rsidRPr="00847696">
        <w:rPr>
          <w:rFonts w:ascii="Times New Roman" w:hAnsi="Times New Roman"/>
          <w:i/>
        </w:rPr>
        <w:t> </w:t>
      </w:r>
      <w:r w:rsidR="00626C9C" w:rsidRPr="00847696">
        <w:rPr>
          <w:rFonts w:ascii="Times New Roman" w:hAnsi="Times New Roman"/>
        </w:rPr>
        <w:t>J remarked that a legal fiction</w:t>
      </w:r>
      <w:r w:rsidR="003F664E" w:rsidRPr="00847696">
        <w:rPr>
          <w:rFonts w:ascii="Times New Roman" w:hAnsi="Times New Roman"/>
        </w:rPr>
        <w:t>,</w:t>
      </w:r>
      <w:r w:rsidR="00626C9C" w:rsidRPr="00847696">
        <w:rPr>
          <w:rFonts w:ascii="Times New Roman" w:hAnsi="Times New Roman"/>
        </w:rPr>
        <w:t xml:space="preserve"> such as trespassers being treated as having been upon a defendant's land under an imputed licence, may "operate to reconcile a specific legal outcome or result with a premise or postulate involving unexpressed considerations of social </w:t>
      </w:r>
      <w:r w:rsidR="00696C25" w:rsidRPr="00847696">
        <w:rPr>
          <w:rFonts w:ascii="Times New Roman" w:hAnsi="Times New Roman"/>
        </w:rPr>
        <w:t>and</w:t>
      </w:r>
      <w:r w:rsidR="00626C9C" w:rsidRPr="00847696">
        <w:rPr>
          <w:rFonts w:ascii="Times New Roman" w:hAnsi="Times New Roman"/>
        </w:rPr>
        <w:t xml:space="preserve"> economic policy". His Honour considered that the modern preference for substance over form did not favour the preservation of legal fictions. In that regard it may also be said that greater emphasis would now be given to the maintenance of fundamental legal principle. Any adjustment of rights arising </w:t>
      </w:r>
      <w:r w:rsidR="005060B1" w:rsidRPr="00847696">
        <w:rPr>
          <w:rFonts w:ascii="Times New Roman" w:hAnsi="Times New Roman"/>
        </w:rPr>
        <w:t>according to fundamental legal principle</w:t>
      </w:r>
      <w:r w:rsidR="00626C9C" w:rsidRPr="00847696">
        <w:rPr>
          <w:rFonts w:ascii="Times New Roman" w:hAnsi="Times New Roman"/>
        </w:rPr>
        <w:t xml:space="preserve"> with statutory rights would not be undertaken without </w:t>
      </w:r>
      <w:r w:rsidR="00E62A2A" w:rsidRPr="00847696">
        <w:rPr>
          <w:rFonts w:ascii="Times New Roman" w:hAnsi="Times New Roman"/>
        </w:rPr>
        <w:t xml:space="preserve">first </w:t>
      </w:r>
      <w:r w:rsidR="00626C9C" w:rsidRPr="00847696">
        <w:rPr>
          <w:rFonts w:ascii="Times New Roman" w:hAnsi="Times New Roman"/>
        </w:rPr>
        <w:t>determining the scope of the statutory rights, by a process of construction.</w:t>
      </w:r>
    </w:p>
    <w:p w14:paraId="1574ABF2" w14:textId="1F1A1852" w:rsidR="00626C9C" w:rsidRPr="00847696" w:rsidRDefault="00626C9C" w:rsidP="00847696">
      <w:pPr>
        <w:pStyle w:val="FixListStyle"/>
        <w:spacing w:after="260" w:line="280" w:lineRule="exact"/>
        <w:ind w:right="0"/>
        <w:jc w:val="both"/>
        <w:rPr>
          <w:rFonts w:ascii="Times New Roman" w:hAnsi="Times New Roman"/>
        </w:rPr>
      </w:pPr>
      <w:r w:rsidRPr="00847696">
        <w:rPr>
          <w:rFonts w:ascii="Times New Roman" w:hAnsi="Times New Roman"/>
        </w:rPr>
        <w:tab/>
        <w:t>The implied licence doctrine is likely to cause confusion in part beca</w:t>
      </w:r>
      <w:r w:rsidR="000B7B77" w:rsidRPr="00847696">
        <w:rPr>
          <w:rFonts w:ascii="Times New Roman" w:hAnsi="Times New Roman"/>
        </w:rPr>
        <w:t>u</w:t>
      </w:r>
      <w:r w:rsidRPr="00847696">
        <w:rPr>
          <w:rFonts w:ascii="Times New Roman" w:hAnsi="Times New Roman"/>
        </w:rPr>
        <w:t>se it co</w:t>
      </w:r>
      <w:r w:rsidR="000B7B77" w:rsidRPr="00847696">
        <w:rPr>
          <w:rFonts w:ascii="Times New Roman" w:hAnsi="Times New Roman"/>
        </w:rPr>
        <w:t>mbines</w:t>
      </w:r>
      <w:r w:rsidRPr="00847696">
        <w:rPr>
          <w:rFonts w:ascii="Times New Roman" w:hAnsi="Times New Roman"/>
        </w:rPr>
        <w:t xml:space="preserve"> a fictional licence with the possibility of real restrictions. Whilst it seeks to provide the purchaser of patented goods with the full rights of ownership, it leaves open the possibility that there may be other restrictions which have been notified by the patentee. It engenders uncertainty.</w:t>
      </w:r>
    </w:p>
    <w:p w14:paraId="070916CD" w14:textId="332732E2" w:rsidR="004F40FC" w:rsidRPr="00847696" w:rsidRDefault="00626C9C" w:rsidP="00847696">
      <w:pPr>
        <w:pStyle w:val="FixListStyle"/>
        <w:spacing w:after="260" w:line="280" w:lineRule="exact"/>
        <w:ind w:right="0"/>
        <w:jc w:val="both"/>
        <w:rPr>
          <w:rFonts w:ascii="Times New Roman" w:hAnsi="Times New Roman"/>
        </w:rPr>
      </w:pPr>
      <w:r w:rsidRPr="00847696">
        <w:rPr>
          <w:rFonts w:ascii="Times New Roman" w:hAnsi="Times New Roman"/>
        </w:rPr>
        <w:tab/>
        <w:t>That confusion is evident in the approach that the Full Court felt compelled to take in this case.</w:t>
      </w:r>
      <w:r w:rsidR="006153D8" w:rsidRPr="00847696">
        <w:rPr>
          <w:rFonts w:ascii="Times New Roman" w:hAnsi="Times New Roman"/>
        </w:rPr>
        <w:t xml:space="preserve"> </w:t>
      </w:r>
      <w:r w:rsidRPr="00847696">
        <w:rPr>
          <w:rFonts w:ascii="Times New Roman" w:hAnsi="Times New Roman"/>
        </w:rPr>
        <w:t xml:space="preserve">It </w:t>
      </w:r>
      <w:r w:rsidR="004F40FC" w:rsidRPr="00847696">
        <w:rPr>
          <w:rFonts w:ascii="Times New Roman" w:hAnsi="Times New Roman"/>
        </w:rPr>
        <w:t xml:space="preserve">sought in the first instance to determine the scope of the licence by reference to the characteristic of the cartridges being single-use. </w:t>
      </w:r>
      <w:r w:rsidR="00550B7E" w:rsidRPr="00847696">
        <w:rPr>
          <w:rFonts w:ascii="Times New Roman" w:hAnsi="Times New Roman"/>
        </w:rPr>
        <w:t xml:space="preserve">The confusion was compounded when </w:t>
      </w:r>
      <w:r w:rsidR="004F40FC" w:rsidRPr="00847696">
        <w:rPr>
          <w:rFonts w:ascii="Times New Roman" w:hAnsi="Times New Roman"/>
        </w:rPr>
        <w:t xml:space="preserve">the Full Court </w:t>
      </w:r>
      <w:r w:rsidR="00550B7E" w:rsidRPr="00847696">
        <w:rPr>
          <w:rFonts w:ascii="Times New Roman" w:hAnsi="Times New Roman"/>
        </w:rPr>
        <w:t>then</w:t>
      </w:r>
      <w:r w:rsidR="004F40FC" w:rsidRPr="00847696">
        <w:rPr>
          <w:rFonts w:ascii="Times New Roman" w:hAnsi="Times New Roman"/>
        </w:rPr>
        <w:t xml:space="preserve"> treated the limited permission to use the product as pivotal to the question whether a new product had been made. </w:t>
      </w:r>
    </w:p>
    <w:p w14:paraId="02BC7065" w14:textId="10874471"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The result reached by the Full Court with respect to infringement is likely to have been very different had the Court been in a position to apply the exhaustion doctrine. The starting point would have been that Seiko had no rights with respect to the cartridges after they were first sold. Attention would then have been directed to the rights of an owner with respect to a chattel and whether the modifications made to the cartridges were consistent with those ordinary rights – to adapt a chattel to improve its usefulness and extend its life. A conclusion that </w:t>
      </w:r>
      <w:r w:rsidR="00B15D9F" w:rsidRPr="00847696">
        <w:rPr>
          <w:rFonts w:ascii="Times New Roman" w:hAnsi="Times New Roman"/>
        </w:rPr>
        <w:t xml:space="preserve">the </w:t>
      </w:r>
      <w:r w:rsidR="00B15D9F" w:rsidRPr="00847696">
        <w:rPr>
          <w:rFonts w:ascii="Times New Roman" w:hAnsi="Times New Roman"/>
        </w:rPr>
        <w:lastRenderedPageBreak/>
        <w:t>modifications</w:t>
      </w:r>
      <w:r w:rsidRPr="00847696">
        <w:rPr>
          <w:rFonts w:ascii="Times New Roman" w:hAnsi="Times New Roman"/>
        </w:rPr>
        <w:t xml:space="preserve"> did not thereby amount to a manufacture would more likely have been reached.</w:t>
      </w:r>
    </w:p>
    <w:p w14:paraId="123095D5" w14:textId="6E566AD7"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The implied licence doctrine is not consistent with the certainty demanded by trade and commerce or with consumer expectations. The need for certainty requires the maintenance of the fundamental principle of the law which recognises that an owner has full rights as to the use and disposal of a chattel. </w:t>
      </w:r>
      <w:r w:rsidR="003848FB" w:rsidRPr="00847696">
        <w:rPr>
          <w:rFonts w:ascii="Times New Roman" w:hAnsi="Times New Roman"/>
        </w:rPr>
        <w:t>It is not met by treating a restrict</w:t>
      </w:r>
      <w:r w:rsidR="00FA31CB" w:rsidRPr="00847696">
        <w:rPr>
          <w:rFonts w:ascii="Times New Roman" w:hAnsi="Times New Roman"/>
        </w:rPr>
        <w:t>ion</w:t>
      </w:r>
      <w:r w:rsidR="003848FB" w:rsidRPr="00847696">
        <w:rPr>
          <w:rFonts w:ascii="Times New Roman" w:hAnsi="Times New Roman"/>
        </w:rPr>
        <w:t xml:space="preserve"> </w:t>
      </w:r>
      <w:r w:rsidR="00D76506" w:rsidRPr="00847696">
        <w:rPr>
          <w:rFonts w:ascii="Times New Roman" w:hAnsi="Times New Roman"/>
        </w:rPr>
        <w:t xml:space="preserve">on </w:t>
      </w:r>
      <w:r w:rsidR="003848FB" w:rsidRPr="00847696">
        <w:rPr>
          <w:rFonts w:ascii="Times New Roman" w:hAnsi="Times New Roman"/>
        </w:rPr>
        <w:t>the use or sale of a product as running with the product</w:t>
      </w:r>
      <w:r w:rsidR="00B76E2A" w:rsidRPr="00847696">
        <w:rPr>
          <w:rFonts w:ascii="Times New Roman" w:hAnsi="Times New Roman"/>
        </w:rPr>
        <w:t>,</w:t>
      </w:r>
      <w:r w:rsidR="003848FB" w:rsidRPr="00847696">
        <w:rPr>
          <w:rFonts w:ascii="Times New Roman" w:hAnsi="Times New Roman"/>
        </w:rPr>
        <w:t xml:space="preserve"> which, contrary to the view of Lord Shaw</w:t>
      </w:r>
      <w:r w:rsidR="003848FB" w:rsidRPr="00847696">
        <w:rPr>
          <w:rStyle w:val="FootnoteReference"/>
          <w:rFonts w:ascii="Times New Roman" w:hAnsi="Times New Roman"/>
          <w:sz w:val="24"/>
        </w:rPr>
        <w:footnoteReference w:id="123"/>
      </w:r>
      <w:r w:rsidR="003848FB" w:rsidRPr="00847696">
        <w:rPr>
          <w:rFonts w:ascii="Times New Roman" w:hAnsi="Times New Roman"/>
        </w:rPr>
        <w:t>, is the effect the implied licence doctrine has</w:t>
      </w:r>
      <w:r w:rsidR="00856102" w:rsidRPr="00847696">
        <w:rPr>
          <w:rFonts w:ascii="Times New Roman" w:hAnsi="Times New Roman"/>
        </w:rPr>
        <w:t xml:space="preserve"> where there is notice of that restriction</w:t>
      </w:r>
      <w:r w:rsidR="003848FB" w:rsidRPr="00847696">
        <w:rPr>
          <w:rFonts w:ascii="Times New Roman" w:hAnsi="Times New Roman"/>
        </w:rPr>
        <w:t xml:space="preserve">. </w:t>
      </w:r>
      <w:r w:rsidRPr="00847696">
        <w:rPr>
          <w:rFonts w:ascii="Times New Roman" w:hAnsi="Times New Roman"/>
        </w:rPr>
        <w:t xml:space="preserve">The example given by Roberts CJ in </w:t>
      </w:r>
      <w:r w:rsidRPr="00847696">
        <w:rPr>
          <w:rFonts w:ascii="Times New Roman" w:hAnsi="Times New Roman"/>
          <w:i/>
        </w:rPr>
        <w:t>Impression Products</w:t>
      </w:r>
      <w:r w:rsidRPr="00847696">
        <w:rPr>
          <w:rStyle w:val="FootnoteReference"/>
          <w:rFonts w:ascii="Times New Roman" w:hAnsi="Times New Roman"/>
          <w:sz w:val="24"/>
        </w:rPr>
        <w:footnoteReference w:id="124"/>
      </w:r>
      <w:r w:rsidRPr="00847696">
        <w:rPr>
          <w:rFonts w:ascii="Times New Roman" w:hAnsi="Times New Roman"/>
        </w:rPr>
        <w:t>, of the position which would prevail if the exhaustion doctrine were not applied, is apposite. His Honour pointed to the circumstance of</w:t>
      </w:r>
      <w:r w:rsidR="00CD7D7D" w:rsidRPr="00847696">
        <w:rPr>
          <w:rFonts w:ascii="Times New Roman" w:hAnsi="Times New Roman"/>
        </w:rPr>
        <w:t xml:space="preserve"> businesses restoring and selling second</w:t>
      </w:r>
      <w:r w:rsidR="0001573A" w:rsidRPr="00847696">
        <w:rPr>
          <w:rFonts w:ascii="Times New Roman" w:hAnsi="Times New Roman"/>
        </w:rPr>
        <w:t>-</w:t>
      </w:r>
      <w:r w:rsidR="00CD7D7D" w:rsidRPr="00847696">
        <w:rPr>
          <w:rFonts w:ascii="Times New Roman" w:hAnsi="Times New Roman"/>
        </w:rPr>
        <w:t>hand</w:t>
      </w:r>
      <w:r w:rsidRPr="00847696">
        <w:rPr>
          <w:rFonts w:ascii="Times New Roman" w:hAnsi="Times New Roman"/>
        </w:rPr>
        <w:t xml:space="preserve"> car</w:t>
      </w:r>
      <w:r w:rsidR="00CD7D7D" w:rsidRPr="00847696">
        <w:rPr>
          <w:rFonts w:ascii="Times New Roman" w:hAnsi="Times New Roman"/>
        </w:rPr>
        <w:t>s</w:t>
      </w:r>
      <w:r w:rsidRPr="00847696">
        <w:rPr>
          <w:rFonts w:ascii="Times New Roman" w:hAnsi="Times New Roman"/>
        </w:rPr>
        <w:t xml:space="preserve"> and asked what would be the position if each of the companies that make the thousands of parts which go into a motor vehicle could keep their patent rights after the first sale</w:t>
      </w:r>
      <w:r w:rsidR="00A3289A" w:rsidRPr="00847696">
        <w:rPr>
          <w:rFonts w:ascii="Times New Roman" w:hAnsi="Times New Roman"/>
        </w:rPr>
        <w:t>.</w:t>
      </w:r>
    </w:p>
    <w:p w14:paraId="6CF0B644" w14:textId="431C7820"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The U</w:t>
      </w:r>
      <w:r w:rsidR="001D7D70" w:rsidRPr="00847696">
        <w:rPr>
          <w:rFonts w:ascii="Times New Roman" w:hAnsi="Times New Roman"/>
        </w:rPr>
        <w:t xml:space="preserve">nited </w:t>
      </w:r>
      <w:r w:rsidRPr="00847696">
        <w:rPr>
          <w:rFonts w:ascii="Times New Roman" w:hAnsi="Times New Roman"/>
        </w:rPr>
        <w:t>S</w:t>
      </w:r>
      <w:r w:rsidR="001D7D70" w:rsidRPr="00847696">
        <w:rPr>
          <w:rFonts w:ascii="Times New Roman" w:hAnsi="Times New Roman"/>
        </w:rPr>
        <w:t>tates</w:t>
      </w:r>
      <w:r w:rsidRPr="00847696">
        <w:rPr>
          <w:rFonts w:ascii="Times New Roman" w:hAnsi="Times New Roman"/>
        </w:rPr>
        <w:t xml:space="preserve"> cases and those of the C</w:t>
      </w:r>
      <w:r w:rsidR="009A74ED" w:rsidRPr="00847696">
        <w:rPr>
          <w:rFonts w:ascii="Times New Roman" w:hAnsi="Times New Roman"/>
        </w:rPr>
        <w:t xml:space="preserve">ourt of </w:t>
      </w:r>
      <w:r w:rsidRPr="00847696">
        <w:rPr>
          <w:rFonts w:ascii="Times New Roman" w:hAnsi="Times New Roman"/>
        </w:rPr>
        <w:t>J</w:t>
      </w:r>
      <w:r w:rsidR="009A74ED" w:rsidRPr="00847696">
        <w:rPr>
          <w:rFonts w:ascii="Times New Roman" w:hAnsi="Times New Roman"/>
        </w:rPr>
        <w:t>ustice of the European Union</w:t>
      </w:r>
      <w:r w:rsidRPr="00847696">
        <w:rPr>
          <w:rFonts w:ascii="Times New Roman" w:hAnsi="Times New Roman"/>
        </w:rPr>
        <w:t xml:space="preserve"> recognise that the maintenance of patent rights with respect to a product after sale is not conducive to the free flow of goods in a market. That understanding informs their acceptance of the exhaustion doctrine, as does their view that that doctrine correctly accepts the statutory object of the right of exploitation by sale as having been met</w:t>
      </w:r>
      <w:r w:rsidR="007B7D93" w:rsidRPr="00847696">
        <w:rPr>
          <w:rFonts w:ascii="Times New Roman" w:hAnsi="Times New Roman"/>
        </w:rPr>
        <w:t xml:space="preserve"> upon first sale</w:t>
      </w:r>
      <w:r w:rsidRPr="00847696">
        <w:rPr>
          <w:rFonts w:ascii="Times New Roman" w:hAnsi="Times New Roman"/>
        </w:rPr>
        <w:t>. The implied licence doctrine is not founded upon considerations of this kind.</w:t>
      </w:r>
    </w:p>
    <w:p w14:paraId="698D2DC9" w14:textId="77777777" w:rsidR="004F40FC" w:rsidRPr="00847696" w:rsidRDefault="004F40FC" w:rsidP="00847696">
      <w:pPr>
        <w:pStyle w:val="HeadingL2"/>
        <w:spacing w:after="260" w:line="280" w:lineRule="exact"/>
        <w:ind w:right="0"/>
        <w:jc w:val="both"/>
        <w:rPr>
          <w:rFonts w:ascii="Times New Roman" w:hAnsi="Times New Roman"/>
        </w:rPr>
      </w:pPr>
      <w:r w:rsidRPr="00847696">
        <w:rPr>
          <w:rFonts w:ascii="Times New Roman" w:hAnsi="Times New Roman"/>
        </w:rPr>
        <w:t>Conclusion – the exhaustion doctrine</w:t>
      </w:r>
    </w:p>
    <w:p w14:paraId="68226530" w14:textId="06798174"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The matters which inform the adoption of a policy of the law as to the scope of the patent rights to sell and use a product, as they affect a patentee and owner of a chattel</w:t>
      </w:r>
      <w:r w:rsidR="0058151F" w:rsidRPr="00847696">
        <w:rPr>
          <w:rFonts w:ascii="Times New Roman" w:hAnsi="Times New Roman"/>
        </w:rPr>
        <w:t>,</w:t>
      </w:r>
      <w:r w:rsidRPr="00847696">
        <w:rPr>
          <w:rFonts w:ascii="Times New Roman" w:hAnsi="Times New Roman"/>
        </w:rPr>
        <w:t xml:space="preserve"> point strongly to an acceptance of the exhaustion doctrine and away from the implied licence doctrine. Indeed there seems little to be said in favour of the latter unless consistency with the statute which grants the patent rights requires a different outcome. This, it will be recalled, was </w:t>
      </w:r>
      <w:r w:rsidR="004E1758" w:rsidRPr="00847696">
        <w:rPr>
          <w:rFonts w:ascii="Times New Roman" w:hAnsi="Times New Roman"/>
        </w:rPr>
        <w:t xml:space="preserve">not </w:t>
      </w:r>
      <w:r w:rsidRPr="00847696">
        <w:rPr>
          <w:rFonts w:ascii="Times New Roman" w:hAnsi="Times New Roman"/>
        </w:rPr>
        <w:t xml:space="preserve">the </w:t>
      </w:r>
      <w:r w:rsidR="004E1758" w:rsidRPr="00847696">
        <w:rPr>
          <w:rFonts w:ascii="Times New Roman" w:hAnsi="Times New Roman"/>
        </w:rPr>
        <w:t>conclusion arrived at</w:t>
      </w:r>
      <w:r w:rsidRPr="00847696">
        <w:rPr>
          <w:rFonts w:ascii="Times New Roman" w:hAnsi="Times New Roman"/>
        </w:rPr>
        <w:t xml:space="preserve"> by Griffith CJ in </w:t>
      </w:r>
      <w:proofErr w:type="spellStart"/>
      <w:r w:rsidRPr="00847696">
        <w:rPr>
          <w:rFonts w:ascii="Times New Roman" w:hAnsi="Times New Roman"/>
          <w:i/>
        </w:rPr>
        <w:t>Menck</w:t>
      </w:r>
      <w:proofErr w:type="spellEnd"/>
      <w:r w:rsidRPr="00847696">
        <w:rPr>
          <w:rFonts w:ascii="Times New Roman" w:hAnsi="Times New Roman"/>
        </w:rPr>
        <w:t xml:space="preserve"> (High Court)</w:t>
      </w:r>
      <w:r w:rsidR="00B43653" w:rsidRPr="00847696">
        <w:rPr>
          <w:rFonts w:ascii="Times New Roman" w:hAnsi="Times New Roman"/>
        </w:rPr>
        <w:t xml:space="preserve"> by a process of orthodox construction</w:t>
      </w:r>
      <w:r w:rsidRPr="00847696">
        <w:rPr>
          <w:rFonts w:ascii="Times New Roman" w:hAnsi="Times New Roman"/>
        </w:rPr>
        <w:t>.</w:t>
      </w:r>
    </w:p>
    <w:p w14:paraId="0A90D53B" w14:textId="77777777" w:rsidR="004F40FC" w:rsidRPr="00847696" w:rsidRDefault="004F40FC" w:rsidP="00847696">
      <w:pPr>
        <w:pStyle w:val="HeadingL1"/>
        <w:spacing w:after="260" w:line="280" w:lineRule="exact"/>
        <w:ind w:right="0"/>
        <w:jc w:val="both"/>
        <w:rPr>
          <w:rFonts w:ascii="Times New Roman" w:hAnsi="Times New Roman"/>
          <w:i/>
        </w:rPr>
      </w:pPr>
      <w:r w:rsidRPr="00847696">
        <w:rPr>
          <w:rFonts w:ascii="Times New Roman" w:hAnsi="Times New Roman"/>
        </w:rPr>
        <w:lastRenderedPageBreak/>
        <w:t xml:space="preserve">The exhaustion doctrine and the </w:t>
      </w:r>
      <w:r w:rsidRPr="00847696">
        <w:rPr>
          <w:rFonts w:ascii="Times New Roman" w:hAnsi="Times New Roman"/>
          <w:i/>
        </w:rPr>
        <w:t>Patents Act 1990</w:t>
      </w:r>
    </w:p>
    <w:p w14:paraId="7150F666" w14:textId="77777777" w:rsidR="004F40FC" w:rsidRPr="00847696" w:rsidRDefault="004F40FC" w:rsidP="00847696">
      <w:pPr>
        <w:pStyle w:val="HeadingL2"/>
        <w:spacing w:after="260" w:line="280" w:lineRule="exact"/>
        <w:ind w:right="0"/>
        <w:jc w:val="both"/>
        <w:rPr>
          <w:rFonts w:ascii="Times New Roman" w:hAnsi="Times New Roman"/>
        </w:rPr>
      </w:pPr>
      <w:r w:rsidRPr="00847696">
        <w:rPr>
          <w:rFonts w:ascii="Times New Roman" w:hAnsi="Times New Roman"/>
        </w:rPr>
        <w:t>The nature of the rights</w:t>
      </w:r>
    </w:p>
    <w:p w14:paraId="4A098936" w14:textId="186A9395"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It is well understood, and was in both </w:t>
      </w:r>
      <w:r w:rsidR="00FF6F4E" w:rsidRPr="00847696">
        <w:rPr>
          <w:rFonts w:ascii="Times New Roman" w:hAnsi="Times New Roman"/>
        </w:rPr>
        <w:t>of the</w:t>
      </w:r>
      <w:r w:rsidRPr="00847696">
        <w:rPr>
          <w:rFonts w:ascii="Times New Roman" w:hAnsi="Times New Roman"/>
        </w:rPr>
        <w:t xml:space="preserve"> </w:t>
      </w:r>
      <w:proofErr w:type="spellStart"/>
      <w:r w:rsidRPr="00847696">
        <w:rPr>
          <w:rFonts w:ascii="Times New Roman" w:hAnsi="Times New Roman"/>
          <w:i/>
        </w:rPr>
        <w:t>Menck</w:t>
      </w:r>
      <w:proofErr w:type="spellEnd"/>
      <w:r w:rsidR="00FF6F4E" w:rsidRPr="00847696">
        <w:rPr>
          <w:rFonts w:ascii="Times New Roman" w:hAnsi="Times New Roman"/>
          <w:i/>
        </w:rPr>
        <w:t xml:space="preserve"> </w:t>
      </w:r>
      <w:r w:rsidR="00FF6F4E" w:rsidRPr="00847696">
        <w:rPr>
          <w:rFonts w:ascii="Times New Roman" w:hAnsi="Times New Roman"/>
        </w:rPr>
        <w:t>decisions</w:t>
      </w:r>
      <w:r w:rsidRPr="00847696">
        <w:rPr>
          <w:rStyle w:val="FootnoteReference"/>
          <w:rFonts w:ascii="Times New Roman" w:hAnsi="Times New Roman"/>
          <w:sz w:val="24"/>
        </w:rPr>
        <w:footnoteReference w:id="125"/>
      </w:r>
      <w:r w:rsidRPr="00847696">
        <w:rPr>
          <w:rFonts w:ascii="Times New Roman" w:hAnsi="Times New Roman"/>
        </w:rPr>
        <w:t>, that the monopoly rights given by statute do not confer a "positive authority" on a patentee</w:t>
      </w:r>
      <w:r w:rsidRPr="00847696">
        <w:rPr>
          <w:rStyle w:val="FootnoteReference"/>
          <w:rFonts w:ascii="Times New Roman" w:hAnsi="Times New Roman"/>
          <w:sz w:val="24"/>
        </w:rPr>
        <w:footnoteReference w:id="126"/>
      </w:r>
      <w:r w:rsidRPr="00847696">
        <w:rPr>
          <w:rFonts w:ascii="Times New Roman" w:hAnsi="Times New Roman"/>
        </w:rPr>
        <w:t>. The rights granted are better understood as negative in nature, a right to exclude others from exploiting the patent</w:t>
      </w:r>
      <w:r w:rsidRPr="00847696">
        <w:rPr>
          <w:rStyle w:val="FootnoteReference"/>
          <w:rFonts w:ascii="Times New Roman" w:hAnsi="Times New Roman"/>
          <w:sz w:val="24"/>
        </w:rPr>
        <w:footnoteReference w:id="127"/>
      </w:r>
      <w:r w:rsidRPr="00847696">
        <w:rPr>
          <w:rFonts w:ascii="Times New Roman" w:hAnsi="Times New Roman"/>
        </w:rPr>
        <w:t xml:space="preserve">. </w:t>
      </w:r>
      <w:r w:rsidR="00B43653" w:rsidRPr="00847696">
        <w:rPr>
          <w:rFonts w:ascii="Times New Roman" w:hAnsi="Times New Roman"/>
        </w:rPr>
        <w:t xml:space="preserve">This is what the exclusive or monopoly rights granted by statute are and no more. </w:t>
      </w:r>
      <w:r w:rsidRPr="00847696">
        <w:rPr>
          <w:rFonts w:ascii="Times New Roman" w:hAnsi="Times New Roman"/>
        </w:rPr>
        <w:t xml:space="preserve">It was observed in </w:t>
      </w:r>
      <w:r w:rsidRPr="00847696">
        <w:rPr>
          <w:rFonts w:ascii="Times New Roman" w:hAnsi="Times New Roman"/>
          <w:i/>
        </w:rPr>
        <w:t>Steers v Rogers</w:t>
      </w:r>
      <w:r w:rsidRPr="00847696">
        <w:rPr>
          <w:rStyle w:val="FootnoteReference"/>
          <w:rFonts w:ascii="Times New Roman" w:hAnsi="Times New Roman"/>
          <w:sz w:val="24"/>
        </w:rPr>
        <w:footnoteReference w:id="128"/>
      </w:r>
      <w:r w:rsidRPr="00847696">
        <w:rPr>
          <w:rFonts w:ascii="Times New Roman" w:hAnsi="Times New Roman"/>
        </w:rPr>
        <w:t xml:space="preserve"> that a patent does not confer on a patentee the right to use the invention or the right to manufacture according to it. Those are rights the patentee already has</w:t>
      </w:r>
      <w:r w:rsidR="008F01CE" w:rsidRPr="00847696">
        <w:rPr>
          <w:rFonts w:ascii="Times New Roman" w:hAnsi="Times New Roman"/>
        </w:rPr>
        <w:t xml:space="preserve"> even absent a patent</w:t>
      </w:r>
      <w:r w:rsidRPr="00847696">
        <w:rPr>
          <w:rFonts w:ascii="Times New Roman" w:hAnsi="Times New Roman"/>
        </w:rPr>
        <w:t>. The patent confers the right to exclude others from manufacturing in a particular way and using a particular invention. According to the exhaustion doctrine the right to exclude an owner from the full use of a product comes to an end when that product is sold.</w:t>
      </w:r>
    </w:p>
    <w:p w14:paraId="6AE1B4A8" w14:textId="12D46A53"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Section 13(1) of the </w:t>
      </w:r>
      <w:r w:rsidRPr="00847696">
        <w:rPr>
          <w:rFonts w:ascii="Times New Roman" w:hAnsi="Times New Roman"/>
          <w:i/>
        </w:rPr>
        <w:t>Patents Act 1990</w:t>
      </w:r>
      <w:r w:rsidRPr="00847696">
        <w:rPr>
          <w:rFonts w:ascii="Times New Roman" w:hAnsi="Times New Roman"/>
        </w:rPr>
        <w:t xml:space="preserve"> is expressed to give the patentee "the exclusive rights" to "exploit the invention" (and to authorise another to do so) during the term of the patent. The words "during the term of the patent" refer to the period during which the rights may be exercised and do not bear upon the question of whether each of the monopoly rights continues to exist for the whole term</w:t>
      </w:r>
      <w:r w:rsidR="003D185B" w:rsidRPr="00847696">
        <w:rPr>
          <w:rFonts w:ascii="Times New Roman" w:hAnsi="Times New Roman"/>
        </w:rPr>
        <w:t xml:space="preserve"> regardless of legal transactions entered into by the patentee</w:t>
      </w:r>
      <w:r w:rsidRPr="00847696">
        <w:rPr>
          <w:rFonts w:ascii="Times New Roman" w:hAnsi="Times New Roman"/>
        </w:rPr>
        <w:t>.</w:t>
      </w:r>
    </w:p>
    <w:p w14:paraId="6FDC7B47" w14:textId="26BDAA15"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That question is largely resolved by the nature of the right and what it entails. It is generally accepted that a patentee's rights to "make" a product according to the patent</w:t>
      </w:r>
      <w:r w:rsidR="006D39C4" w:rsidRPr="00847696">
        <w:rPr>
          <w:rFonts w:ascii="Times New Roman" w:hAnsi="Times New Roman"/>
        </w:rPr>
        <w:t>ed</w:t>
      </w:r>
      <w:r w:rsidRPr="00847696">
        <w:rPr>
          <w:rFonts w:ascii="Times New Roman" w:hAnsi="Times New Roman"/>
        </w:rPr>
        <w:t xml:space="preserve"> invention and to exclude others from doing so </w:t>
      </w:r>
      <w:r w:rsidR="003F2F73" w:rsidRPr="00847696">
        <w:rPr>
          <w:rFonts w:ascii="Times New Roman" w:hAnsi="Times New Roman"/>
        </w:rPr>
        <w:t>are</w:t>
      </w:r>
      <w:r w:rsidRPr="00847696">
        <w:rPr>
          <w:rFonts w:ascii="Times New Roman" w:hAnsi="Times New Roman"/>
        </w:rPr>
        <w:t xml:space="preserve"> unaffected by the sale of a particular manufactured product. A patentee may proceed to make other products embodying the invention and prevent others from doing so. Likewise a patentee may exclude others from the "use" of a manufactured </w:t>
      </w:r>
      <w:r w:rsidRPr="00847696">
        <w:rPr>
          <w:rFonts w:ascii="Times New Roman" w:hAnsi="Times New Roman"/>
        </w:rPr>
        <w:lastRenderedPageBreak/>
        <w:t xml:space="preserve">product where that use would be inconsistent with the patentee's exclusive right to use it. That would be </w:t>
      </w:r>
      <w:r w:rsidR="004044DA" w:rsidRPr="00847696">
        <w:rPr>
          <w:rFonts w:ascii="Times New Roman" w:hAnsi="Times New Roman"/>
        </w:rPr>
        <w:t>for</w:t>
      </w:r>
      <w:r w:rsidRPr="00847696">
        <w:rPr>
          <w:rFonts w:ascii="Times New Roman" w:hAnsi="Times New Roman"/>
        </w:rPr>
        <w:t xml:space="preserve"> so long as it was retained by the patentee for use, but it could not be said to be kept for use </w:t>
      </w:r>
      <w:r w:rsidR="00F66A8B" w:rsidRPr="00847696">
        <w:rPr>
          <w:rFonts w:ascii="Times New Roman" w:hAnsi="Times New Roman"/>
        </w:rPr>
        <w:t>after</w:t>
      </w:r>
      <w:r w:rsidRPr="00847696">
        <w:rPr>
          <w:rFonts w:ascii="Times New Roman" w:hAnsi="Times New Roman"/>
        </w:rPr>
        <w:t xml:space="preserve"> it was sold.</w:t>
      </w:r>
    </w:p>
    <w:p w14:paraId="78724282" w14:textId="32A9C539"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It is not without significance that the definition of "exploit"</w:t>
      </w:r>
      <w:r w:rsidR="00F129EF" w:rsidRPr="00847696">
        <w:rPr>
          <w:rStyle w:val="FootnoteReference"/>
          <w:rFonts w:ascii="Times New Roman" w:hAnsi="Times New Roman"/>
          <w:sz w:val="24"/>
        </w:rPr>
        <w:footnoteReference w:id="129"/>
      </w:r>
      <w:r w:rsidRPr="00847696">
        <w:rPr>
          <w:rFonts w:ascii="Times New Roman" w:hAnsi="Times New Roman"/>
        </w:rPr>
        <w:t xml:space="preserve"> concludes with the words "or keep [the product] for the purpose of doing any of those things". It would be necessary to keep the product in order to "use" it (and perhaps to "hire" it out). It would be necessary to keep a patented product until the point of sale, when it is disposed of.</w:t>
      </w:r>
      <w:r w:rsidR="00223B00" w:rsidRPr="00847696">
        <w:rPr>
          <w:rFonts w:ascii="Times New Roman" w:hAnsi="Times New Roman"/>
        </w:rPr>
        <w:t xml:space="preserve"> After a sale of the product has occurred a patentee could hardly be said to "keep" the product</w:t>
      </w:r>
      <w:r w:rsidR="00E52618" w:rsidRPr="00847696">
        <w:rPr>
          <w:rFonts w:ascii="Times New Roman" w:hAnsi="Times New Roman"/>
        </w:rPr>
        <w:t>,</w:t>
      </w:r>
      <w:r w:rsidR="00223B00" w:rsidRPr="00847696">
        <w:rPr>
          <w:rFonts w:ascii="Times New Roman" w:hAnsi="Times New Roman"/>
        </w:rPr>
        <w:t xml:space="preserve"> let alone to keep it in order to use it.</w:t>
      </w:r>
    </w:p>
    <w:p w14:paraId="526E6ED6" w14:textId="384DA417"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Griffith CJ in </w:t>
      </w:r>
      <w:proofErr w:type="spellStart"/>
      <w:r w:rsidRPr="00847696">
        <w:rPr>
          <w:rFonts w:ascii="Times New Roman" w:hAnsi="Times New Roman"/>
          <w:i/>
        </w:rPr>
        <w:t>Menck</w:t>
      </w:r>
      <w:proofErr w:type="spellEnd"/>
      <w:r w:rsidRPr="00847696">
        <w:rPr>
          <w:rFonts w:ascii="Times New Roman" w:hAnsi="Times New Roman"/>
        </w:rPr>
        <w:t xml:space="preserve"> (High Court) considered that to "vend" an article conveyed a product being sold into the market and that the rights of ownership of it as a chattel pass from the patentee</w:t>
      </w:r>
      <w:r w:rsidR="00F5196C" w:rsidRPr="00847696">
        <w:rPr>
          <w:rStyle w:val="FootnoteReference"/>
          <w:rFonts w:ascii="Times New Roman" w:hAnsi="Times New Roman"/>
          <w:sz w:val="24"/>
        </w:rPr>
        <w:footnoteReference w:id="130"/>
      </w:r>
      <w:r w:rsidRPr="00847696">
        <w:rPr>
          <w:rFonts w:ascii="Times New Roman" w:hAnsi="Times New Roman"/>
        </w:rPr>
        <w:t xml:space="preserve">. That is surely correct. The terms of the </w:t>
      </w:r>
      <w:r w:rsidRPr="00847696">
        <w:rPr>
          <w:rFonts w:ascii="Times New Roman" w:hAnsi="Times New Roman"/>
          <w:i/>
        </w:rPr>
        <w:t>Patents Act 1990</w:t>
      </w:r>
      <w:r w:rsidRPr="00847696">
        <w:rPr>
          <w:rFonts w:ascii="Times New Roman" w:hAnsi="Times New Roman"/>
        </w:rPr>
        <w:t xml:space="preserve"> convey an even stronger sense of finality than does the ordinary meaning of the verb "sell". The words "or otherwise dispose of" qualify "sell". It would not be sensible to read the words "sell or otherwise dispose of" as conveying that the p</w:t>
      </w:r>
      <w:r w:rsidR="00427ABD" w:rsidRPr="00847696">
        <w:rPr>
          <w:rFonts w:ascii="Times New Roman" w:hAnsi="Times New Roman"/>
        </w:rPr>
        <w:t>atentee</w:t>
      </w:r>
      <w:r w:rsidRPr="00847696">
        <w:rPr>
          <w:rFonts w:ascii="Times New Roman" w:hAnsi="Times New Roman"/>
        </w:rPr>
        <w:t xml:space="preserve"> who does so is intended to have a continuing and exclusive right to </w:t>
      </w:r>
      <w:r w:rsidR="00E27931" w:rsidRPr="00847696">
        <w:rPr>
          <w:rFonts w:ascii="Times New Roman" w:hAnsi="Times New Roman"/>
        </w:rPr>
        <w:t>"</w:t>
      </w:r>
      <w:r w:rsidRPr="00847696">
        <w:rPr>
          <w:rFonts w:ascii="Times New Roman" w:hAnsi="Times New Roman"/>
        </w:rPr>
        <w:t>use</w:t>
      </w:r>
      <w:r w:rsidR="00E27931" w:rsidRPr="00847696">
        <w:rPr>
          <w:rFonts w:ascii="Times New Roman" w:hAnsi="Times New Roman"/>
        </w:rPr>
        <w:t>"</w:t>
      </w:r>
      <w:r w:rsidRPr="00847696">
        <w:rPr>
          <w:rFonts w:ascii="Times New Roman" w:hAnsi="Times New Roman"/>
        </w:rPr>
        <w:t xml:space="preserve"> or </w:t>
      </w:r>
      <w:r w:rsidR="00E27931" w:rsidRPr="00847696">
        <w:rPr>
          <w:rFonts w:ascii="Times New Roman" w:hAnsi="Times New Roman"/>
        </w:rPr>
        <w:t>"</w:t>
      </w:r>
      <w:r w:rsidRPr="00847696">
        <w:rPr>
          <w:rFonts w:ascii="Times New Roman" w:hAnsi="Times New Roman"/>
        </w:rPr>
        <w:t>sell or otherwise dispose of" the article.</w:t>
      </w:r>
    </w:p>
    <w:p w14:paraId="719EDA16" w14:textId="044DBDFC"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Nothing in the definition of "exploit" suggests that the sale of the product there referred to is different from a sale as ordinarily understood or that it is intended to have different consequences so far as concerns a purchaser. It may be accepted that a patentee's rights respecting sale and use are properly to be understood as excluding others from doing </w:t>
      </w:r>
      <w:r w:rsidR="00DB3817" w:rsidRPr="00847696">
        <w:rPr>
          <w:rFonts w:ascii="Times New Roman" w:hAnsi="Times New Roman"/>
        </w:rPr>
        <w:t>the same</w:t>
      </w:r>
      <w:r w:rsidRPr="00847696">
        <w:rPr>
          <w:rFonts w:ascii="Times New Roman" w:hAnsi="Times New Roman"/>
        </w:rPr>
        <w:t xml:space="preserve"> with respect to an embodiment of the invention so as to protect </w:t>
      </w:r>
      <w:r w:rsidR="004C606F" w:rsidRPr="00847696">
        <w:rPr>
          <w:rFonts w:ascii="Times New Roman" w:hAnsi="Times New Roman"/>
        </w:rPr>
        <w:t>the</w:t>
      </w:r>
      <w:r w:rsidRPr="00847696">
        <w:rPr>
          <w:rFonts w:ascii="Times New Roman" w:hAnsi="Times New Roman"/>
        </w:rPr>
        <w:t xml:space="preserve"> patentee's rights of exploitation. But an exploitation by selling </w:t>
      </w:r>
      <w:r w:rsidR="00125FE8" w:rsidRPr="00847696">
        <w:rPr>
          <w:rFonts w:ascii="Times New Roman" w:hAnsi="Times New Roman"/>
        </w:rPr>
        <w:t xml:space="preserve">and using </w:t>
      </w:r>
      <w:r w:rsidRPr="00847696">
        <w:rPr>
          <w:rFonts w:ascii="Times New Roman" w:hAnsi="Times New Roman"/>
        </w:rPr>
        <w:t>is completed on that</w:t>
      </w:r>
      <w:r w:rsidR="00683EB9" w:rsidRPr="00847696">
        <w:rPr>
          <w:rFonts w:ascii="Times New Roman" w:hAnsi="Times New Roman"/>
        </w:rPr>
        <w:t xml:space="preserve"> first</w:t>
      </w:r>
      <w:r w:rsidRPr="00847696">
        <w:rPr>
          <w:rFonts w:ascii="Times New Roman" w:hAnsi="Times New Roman"/>
        </w:rPr>
        <w:t xml:space="preserve"> sale.</w:t>
      </w:r>
    </w:p>
    <w:p w14:paraId="262A60DA" w14:textId="3F294623" w:rsidR="00285E3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An approach to the construction of s 13(1) which accepts that an exploitation by selling concludes with the first sale is consistent with its objects. </w:t>
      </w:r>
      <w:r w:rsidR="00285E3C" w:rsidRPr="00847696">
        <w:rPr>
          <w:rFonts w:ascii="Times New Roman" w:hAnsi="Times New Roman"/>
        </w:rPr>
        <w:t>It is therefore to be preferred</w:t>
      </w:r>
      <w:r w:rsidR="00285E3C" w:rsidRPr="00847696">
        <w:rPr>
          <w:rStyle w:val="FootnoteReference"/>
          <w:rFonts w:ascii="Times New Roman" w:hAnsi="Times New Roman"/>
          <w:sz w:val="24"/>
        </w:rPr>
        <w:footnoteReference w:id="131"/>
      </w:r>
      <w:r w:rsidR="00285E3C" w:rsidRPr="00847696">
        <w:rPr>
          <w:rFonts w:ascii="Times New Roman" w:hAnsi="Times New Roman"/>
        </w:rPr>
        <w:t>. The objective discernment of statutory purpose is integral to cont</w:t>
      </w:r>
      <w:r w:rsidR="00585DD5" w:rsidRPr="00847696">
        <w:rPr>
          <w:rFonts w:ascii="Times New Roman" w:hAnsi="Times New Roman"/>
        </w:rPr>
        <w:t>ex</w:t>
      </w:r>
      <w:r w:rsidR="00285E3C" w:rsidRPr="00847696">
        <w:rPr>
          <w:rFonts w:ascii="Times New Roman" w:hAnsi="Times New Roman"/>
        </w:rPr>
        <w:t>tual construction</w:t>
      </w:r>
      <w:r w:rsidR="00285E3C" w:rsidRPr="00847696">
        <w:rPr>
          <w:rStyle w:val="FootnoteReference"/>
          <w:rFonts w:ascii="Times New Roman" w:hAnsi="Times New Roman"/>
          <w:sz w:val="24"/>
        </w:rPr>
        <w:footnoteReference w:id="132"/>
      </w:r>
      <w:r w:rsidR="00285E3C" w:rsidRPr="00847696">
        <w:rPr>
          <w:rFonts w:ascii="Times New Roman" w:hAnsi="Times New Roman"/>
        </w:rPr>
        <w:t>.</w:t>
      </w:r>
    </w:p>
    <w:p w14:paraId="76216FBB" w14:textId="4A4E6E8F" w:rsidR="004F40FC" w:rsidRPr="00847696" w:rsidRDefault="006F046F" w:rsidP="00847696">
      <w:pPr>
        <w:pStyle w:val="FixListStyle"/>
        <w:spacing w:after="260" w:line="280" w:lineRule="exact"/>
        <w:ind w:right="0"/>
        <w:jc w:val="both"/>
        <w:rPr>
          <w:rFonts w:ascii="Times New Roman" w:hAnsi="Times New Roman"/>
        </w:rPr>
      </w:pPr>
      <w:r w:rsidRPr="00847696">
        <w:rPr>
          <w:rFonts w:ascii="Times New Roman" w:hAnsi="Times New Roman"/>
        </w:rPr>
        <w:lastRenderedPageBreak/>
        <w:tab/>
      </w:r>
      <w:r w:rsidR="004F40FC" w:rsidRPr="00847696">
        <w:rPr>
          <w:rFonts w:ascii="Times New Roman" w:hAnsi="Times New Roman"/>
        </w:rPr>
        <w:t xml:space="preserve">It may be taken from the object stated in s 2A that one </w:t>
      </w:r>
      <w:r w:rsidR="007912FA" w:rsidRPr="00847696">
        <w:rPr>
          <w:rFonts w:ascii="Times New Roman" w:hAnsi="Times New Roman"/>
        </w:rPr>
        <w:t>component of that</w:t>
      </w:r>
      <w:r w:rsidR="004F40FC" w:rsidRPr="00847696">
        <w:rPr>
          <w:rFonts w:ascii="Times New Roman" w:hAnsi="Times New Roman"/>
        </w:rPr>
        <w:t xml:space="preserve"> object is to ensure the effic</w:t>
      </w:r>
      <w:r w:rsidR="00D52300" w:rsidRPr="00847696">
        <w:rPr>
          <w:rFonts w:ascii="Times New Roman" w:hAnsi="Times New Roman"/>
        </w:rPr>
        <w:t>iency</w:t>
      </w:r>
      <w:r w:rsidR="004F40FC" w:rsidRPr="00847696">
        <w:rPr>
          <w:rFonts w:ascii="Times New Roman" w:hAnsi="Times New Roman"/>
        </w:rPr>
        <w:t xml:space="preserve"> of the market economy. This topic has been dealt with earlier in these reasons</w:t>
      </w:r>
      <w:r w:rsidR="004F40FC" w:rsidRPr="00847696">
        <w:rPr>
          <w:rStyle w:val="FootnoteReference"/>
          <w:rFonts w:ascii="Times New Roman" w:hAnsi="Times New Roman"/>
          <w:sz w:val="24"/>
        </w:rPr>
        <w:footnoteReference w:id="133"/>
      </w:r>
      <w:r w:rsidR="004F40FC" w:rsidRPr="00847696">
        <w:rPr>
          <w:rFonts w:ascii="Times New Roman" w:hAnsi="Times New Roman"/>
        </w:rPr>
        <w:t xml:space="preserve">. Another is to encourage innovation. This latter objective is achieved by ensuring that a patentee is rewarded for the often considerable efforts and expense which have contributed to a useful invention. That reward is obtained on the sale of a product on terms for which the patentee has negotiated. There is nothing in the </w:t>
      </w:r>
      <w:r w:rsidR="004F40FC" w:rsidRPr="00847696">
        <w:rPr>
          <w:rFonts w:ascii="Times New Roman" w:hAnsi="Times New Roman"/>
          <w:i/>
        </w:rPr>
        <w:t xml:space="preserve">Patents Act 1990 </w:t>
      </w:r>
      <w:r w:rsidR="004F40FC" w:rsidRPr="00847696">
        <w:rPr>
          <w:rFonts w:ascii="Times New Roman" w:hAnsi="Times New Roman"/>
        </w:rPr>
        <w:t>to suggest that a patentee is to be rewarded more than once.</w:t>
      </w:r>
    </w:p>
    <w:p w14:paraId="3DF43519" w14:textId="196C31AF" w:rsidR="00B43653" w:rsidRPr="00847696" w:rsidRDefault="00B43653"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When the provisions of the </w:t>
      </w:r>
      <w:r w:rsidRPr="00847696">
        <w:rPr>
          <w:rFonts w:ascii="Times New Roman" w:hAnsi="Times New Roman"/>
          <w:i/>
        </w:rPr>
        <w:t>Patents Act 1990</w:t>
      </w:r>
      <w:r w:rsidRPr="00847696">
        <w:rPr>
          <w:rFonts w:ascii="Times New Roman" w:hAnsi="Times New Roman"/>
        </w:rPr>
        <w:t xml:space="preserve"> are read, it is not at all apparent that Parliament has adopted, or otherwise acted in any way on</w:t>
      </w:r>
      <w:r w:rsidR="00030852" w:rsidRPr="00847696">
        <w:rPr>
          <w:rFonts w:ascii="Times New Roman" w:hAnsi="Times New Roman"/>
        </w:rPr>
        <w:t>,</w:t>
      </w:r>
      <w:r w:rsidRPr="00847696">
        <w:rPr>
          <w:rFonts w:ascii="Times New Roman" w:hAnsi="Times New Roman"/>
        </w:rPr>
        <w:t xml:space="preserve"> the assumption that the implied licence doctrine is the explanation for why a purchaser of a patented product may use or sell the product as the purchaser wishes without any further consent from the patentee.</w:t>
      </w:r>
    </w:p>
    <w:p w14:paraId="7BC84EF1" w14:textId="77777777" w:rsidR="004F40FC" w:rsidRPr="00847696" w:rsidRDefault="004F40FC" w:rsidP="00847696">
      <w:pPr>
        <w:pStyle w:val="HeadingL2"/>
        <w:spacing w:after="260" w:line="280" w:lineRule="exact"/>
        <w:ind w:right="0"/>
        <w:jc w:val="both"/>
        <w:rPr>
          <w:rFonts w:ascii="Times New Roman" w:hAnsi="Times New Roman"/>
        </w:rPr>
      </w:pPr>
      <w:r w:rsidRPr="00847696">
        <w:rPr>
          <w:rFonts w:ascii="Times New Roman" w:hAnsi="Times New Roman"/>
        </w:rPr>
        <w:t>Sections 135 and 144</w:t>
      </w:r>
    </w:p>
    <w:p w14:paraId="4E89770D" w14:textId="2F7AB2DE"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Seiko argued that s 135, which </w:t>
      </w:r>
      <w:r w:rsidR="008745CB" w:rsidRPr="00847696">
        <w:rPr>
          <w:rFonts w:ascii="Times New Roman" w:hAnsi="Times New Roman"/>
        </w:rPr>
        <w:t xml:space="preserve">initially </w:t>
      </w:r>
      <w:r w:rsidRPr="00847696">
        <w:rPr>
          <w:rFonts w:ascii="Times New Roman" w:hAnsi="Times New Roman"/>
        </w:rPr>
        <w:t>appeared as an amendment to</w:t>
      </w:r>
      <w:r w:rsidR="008745CB" w:rsidRPr="00847696">
        <w:rPr>
          <w:rFonts w:ascii="Times New Roman" w:hAnsi="Times New Roman"/>
        </w:rPr>
        <w:t xml:space="preserve"> s 87 of</w:t>
      </w:r>
      <w:r w:rsidRPr="00847696">
        <w:rPr>
          <w:rFonts w:ascii="Times New Roman" w:hAnsi="Times New Roman"/>
        </w:rPr>
        <w:t xml:space="preserve"> the </w:t>
      </w:r>
      <w:r w:rsidR="00D92202" w:rsidRPr="00847696">
        <w:rPr>
          <w:rFonts w:ascii="Times New Roman" w:hAnsi="Times New Roman"/>
          <w:i/>
        </w:rPr>
        <w:t xml:space="preserve">Patents </w:t>
      </w:r>
      <w:r w:rsidRPr="00847696">
        <w:rPr>
          <w:rFonts w:ascii="Times New Roman" w:hAnsi="Times New Roman"/>
          <w:i/>
        </w:rPr>
        <w:t>Act</w:t>
      </w:r>
      <w:r w:rsidR="00D92202" w:rsidRPr="00847696">
        <w:rPr>
          <w:rFonts w:ascii="Times New Roman" w:hAnsi="Times New Roman"/>
          <w:i/>
        </w:rPr>
        <w:t xml:space="preserve"> 1903</w:t>
      </w:r>
      <w:r w:rsidRPr="00847696">
        <w:rPr>
          <w:rFonts w:ascii="Times New Roman" w:hAnsi="Times New Roman"/>
          <w:i/>
        </w:rPr>
        <w:t xml:space="preserve"> </w:t>
      </w:r>
      <w:r w:rsidRPr="00847696">
        <w:rPr>
          <w:rFonts w:ascii="Times New Roman" w:hAnsi="Times New Roman"/>
        </w:rPr>
        <w:t>but has since been repealed</w:t>
      </w:r>
      <w:r w:rsidR="00A420AF" w:rsidRPr="00847696">
        <w:rPr>
          <w:rStyle w:val="FootnoteReference"/>
          <w:rFonts w:ascii="Times New Roman" w:hAnsi="Times New Roman"/>
          <w:sz w:val="24"/>
        </w:rPr>
        <w:footnoteReference w:id="134"/>
      </w:r>
      <w:r w:rsidRPr="00847696">
        <w:rPr>
          <w:rFonts w:ascii="Times New Roman" w:hAnsi="Times New Roman"/>
        </w:rPr>
        <w:t xml:space="preserve">, may be taken to have assumed the operation of the implied licence doctrine. </w:t>
      </w:r>
      <w:r w:rsidR="006C1BDC" w:rsidRPr="00847696">
        <w:rPr>
          <w:rFonts w:ascii="Times New Roman" w:hAnsi="Times New Roman"/>
        </w:rPr>
        <w:t>Section</w:t>
      </w:r>
      <w:r w:rsidR="001517DE" w:rsidRPr="00847696">
        <w:rPr>
          <w:rFonts w:ascii="Times New Roman" w:hAnsi="Times New Roman"/>
        </w:rPr>
        <w:t> </w:t>
      </w:r>
      <w:r w:rsidR="006C1BDC" w:rsidRPr="00847696">
        <w:rPr>
          <w:rFonts w:ascii="Times New Roman" w:hAnsi="Times New Roman"/>
        </w:rPr>
        <w:t>135(1)(b)</w:t>
      </w:r>
      <w:r w:rsidRPr="00847696">
        <w:rPr>
          <w:rFonts w:ascii="Times New Roman" w:hAnsi="Times New Roman"/>
        </w:rPr>
        <w:t xml:space="preserve"> provided that one condition for the grant of a compulsory licence might be satisfied if "a trade or industry</w:t>
      </w:r>
      <w:r w:rsidR="00B00733" w:rsidRPr="00847696">
        <w:rPr>
          <w:rFonts w:ascii="Times New Roman" w:hAnsi="Times New Roman"/>
        </w:rPr>
        <w:t xml:space="preserve"> in Australia</w:t>
      </w:r>
      <w:r w:rsidRPr="00847696">
        <w:rPr>
          <w:rFonts w:ascii="Times New Roman" w:hAnsi="Times New Roman"/>
        </w:rPr>
        <w:t xml:space="preserve"> is unfairly prejudiced by the conditions attached by the patentee … to the purchase, hire or use of the patented product".</w:t>
      </w:r>
    </w:p>
    <w:p w14:paraId="0AA8FF2C" w14:textId="7C9ACDBC"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The fact that this provision was introduced in 1909, before the decision in </w:t>
      </w:r>
      <w:proofErr w:type="spellStart"/>
      <w:r w:rsidRPr="00847696">
        <w:rPr>
          <w:rFonts w:ascii="Times New Roman" w:hAnsi="Times New Roman"/>
          <w:i/>
        </w:rPr>
        <w:t>Menck</w:t>
      </w:r>
      <w:proofErr w:type="spellEnd"/>
      <w:r w:rsidRPr="00847696">
        <w:rPr>
          <w:rFonts w:ascii="Times New Roman" w:hAnsi="Times New Roman"/>
          <w:i/>
        </w:rPr>
        <w:t xml:space="preserve"> </w:t>
      </w:r>
      <w:r w:rsidRPr="00847696">
        <w:rPr>
          <w:rFonts w:ascii="Times New Roman" w:hAnsi="Times New Roman"/>
        </w:rPr>
        <w:t>(Privy Council)</w:t>
      </w:r>
      <w:r w:rsidR="007E2A17" w:rsidRPr="00847696">
        <w:rPr>
          <w:rFonts w:ascii="Times New Roman" w:hAnsi="Times New Roman"/>
        </w:rPr>
        <w:t>,</w:t>
      </w:r>
      <w:r w:rsidRPr="00847696">
        <w:rPr>
          <w:rFonts w:ascii="Times New Roman" w:hAnsi="Times New Roman"/>
        </w:rPr>
        <w:t xml:space="preserve"> may be put to one side. To take proper account of that circumstance would require consideration of the extent to which the implied licence doctrine was settled law prior to that decision or whether, as Lord Shaw implied</w:t>
      </w:r>
      <w:r w:rsidRPr="00847696">
        <w:rPr>
          <w:rStyle w:val="FootnoteReference"/>
          <w:rFonts w:ascii="Times New Roman" w:hAnsi="Times New Roman"/>
          <w:sz w:val="24"/>
        </w:rPr>
        <w:footnoteReference w:id="135"/>
      </w:r>
      <w:r w:rsidRPr="00847696">
        <w:rPr>
          <w:rFonts w:ascii="Times New Roman" w:hAnsi="Times New Roman"/>
        </w:rPr>
        <w:t>, the authorities did not go quite that far. The submission is met more simply. Section 135</w:t>
      </w:r>
      <w:r w:rsidR="00AA7043" w:rsidRPr="00847696">
        <w:rPr>
          <w:rFonts w:ascii="Times New Roman" w:hAnsi="Times New Roman"/>
        </w:rPr>
        <w:t>(1)(b)</w:t>
      </w:r>
      <w:r w:rsidRPr="00847696">
        <w:rPr>
          <w:rFonts w:ascii="Times New Roman" w:hAnsi="Times New Roman"/>
        </w:rPr>
        <w:t>, in its reference to conditions which might be attached by a patentee, could only be said to reflect the implied licence doctrine if it was construed to apply to cases other than express conditions agreed to by a purchaser, hirer or user of the product. Seiko's argument therefore begs the question.</w:t>
      </w:r>
    </w:p>
    <w:p w14:paraId="40FBA657" w14:textId="08CA791B" w:rsidR="007725C7" w:rsidRPr="00847696" w:rsidRDefault="005B5FDD" w:rsidP="00847696">
      <w:pPr>
        <w:pStyle w:val="FixListStyle"/>
        <w:spacing w:after="260" w:line="280" w:lineRule="exact"/>
        <w:ind w:right="0"/>
        <w:jc w:val="both"/>
        <w:rPr>
          <w:rFonts w:ascii="Times New Roman" w:hAnsi="Times New Roman"/>
        </w:rPr>
      </w:pPr>
      <w:r w:rsidRPr="00847696">
        <w:rPr>
          <w:rFonts w:ascii="Times New Roman" w:hAnsi="Times New Roman"/>
        </w:rPr>
        <w:lastRenderedPageBreak/>
        <w:tab/>
        <w:t xml:space="preserve">Seiko also argued that the implied licence doctrine may be said to be recognised in s 144 of the </w:t>
      </w:r>
      <w:r w:rsidRPr="00847696">
        <w:rPr>
          <w:rFonts w:ascii="Times New Roman" w:hAnsi="Times New Roman"/>
          <w:i/>
        </w:rPr>
        <w:t>Patents Act 1990</w:t>
      </w:r>
      <w:r w:rsidRPr="00847696">
        <w:rPr>
          <w:rFonts w:ascii="Times New Roman" w:hAnsi="Times New Roman"/>
        </w:rPr>
        <w:t>.</w:t>
      </w:r>
      <w:r w:rsidR="006C25DB" w:rsidRPr="00847696">
        <w:rPr>
          <w:rFonts w:ascii="Times New Roman" w:hAnsi="Times New Roman"/>
        </w:rPr>
        <w:t xml:space="preserve"> </w:t>
      </w:r>
      <w:r w:rsidR="00FE1C77" w:rsidRPr="00847696">
        <w:rPr>
          <w:rFonts w:ascii="Times New Roman" w:hAnsi="Times New Roman"/>
        </w:rPr>
        <w:t>Section 144(1) provides</w:t>
      </w:r>
      <w:r w:rsidR="004F40FC" w:rsidRPr="00847696">
        <w:rPr>
          <w:rFonts w:ascii="Times New Roman" w:hAnsi="Times New Roman"/>
        </w:rPr>
        <w:t>,</w:t>
      </w:r>
      <w:r w:rsidR="00FE1C77" w:rsidRPr="00847696">
        <w:rPr>
          <w:rFonts w:ascii="Times New Roman" w:hAnsi="Times New Roman"/>
        </w:rPr>
        <w:t xml:space="preserve"> in general terms</w:t>
      </w:r>
      <w:r w:rsidR="004F40FC" w:rsidRPr="00847696">
        <w:rPr>
          <w:rFonts w:ascii="Times New Roman" w:hAnsi="Times New Roman"/>
        </w:rPr>
        <w:t>,</w:t>
      </w:r>
      <w:r w:rsidR="00FE1C77" w:rsidRPr="00847696">
        <w:rPr>
          <w:rFonts w:ascii="Times New Roman" w:hAnsi="Times New Roman"/>
        </w:rPr>
        <w:t xml:space="preserve"> that a condition in a contract </w:t>
      </w:r>
      <w:r w:rsidR="008E51BD" w:rsidRPr="00847696">
        <w:rPr>
          <w:rFonts w:ascii="Times New Roman" w:hAnsi="Times New Roman"/>
        </w:rPr>
        <w:t>relating to the</w:t>
      </w:r>
      <w:r w:rsidR="00FE1C77" w:rsidRPr="00847696">
        <w:rPr>
          <w:rFonts w:ascii="Times New Roman" w:hAnsi="Times New Roman"/>
        </w:rPr>
        <w:t xml:space="preserve"> sale of a patented invention </w:t>
      </w:r>
      <w:r w:rsidR="00492C1B" w:rsidRPr="00847696">
        <w:rPr>
          <w:rFonts w:ascii="Times New Roman" w:hAnsi="Times New Roman"/>
        </w:rPr>
        <w:t xml:space="preserve">is void </w:t>
      </w:r>
      <w:r w:rsidR="00FE1C77" w:rsidRPr="00847696">
        <w:rPr>
          <w:rFonts w:ascii="Times New Roman" w:hAnsi="Times New Roman"/>
        </w:rPr>
        <w:t xml:space="preserve">if </w:t>
      </w:r>
      <w:r w:rsidR="00492C1B" w:rsidRPr="00847696">
        <w:rPr>
          <w:rFonts w:ascii="Times New Roman" w:hAnsi="Times New Roman"/>
        </w:rPr>
        <w:t xml:space="preserve">its </w:t>
      </w:r>
      <w:r w:rsidR="00FE1C77" w:rsidRPr="00847696">
        <w:rPr>
          <w:rFonts w:ascii="Times New Roman" w:hAnsi="Times New Roman"/>
        </w:rPr>
        <w:t xml:space="preserve">effect </w:t>
      </w:r>
      <w:r w:rsidR="00325638" w:rsidRPr="00847696">
        <w:rPr>
          <w:rFonts w:ascii="Times New Roman" w:hAnsi="Times New Roman"/>
        </w:rPr>
        <w:t>includes the restriction of the buyer from using</w:t>
      </w:r>
      <w:r w:rsidR="002B2929" w:rsidRPr="00847696">
        <w:rPr>
          <w:rFonts w:ascii="Times New Roman" w:hAnsi="Times New Roman"/>
        </w:rPr>
        <w:t xml:space="preserve"> a</w:t>
      </w:r>
      <w:r w:rsidR="00325638" w:rsidRPr="00847696">
        <w:rPr>
          <w:rFonts w:ascii="Times New Roman" w:hAnsi="Times New Roman"/>
        </w:rPr>
        <w:t xml:space="preserve"> product</w:t>
      </w:r>
      <w:r w:rsidR="002B2929" w:rsidRPr="00847696">
        <w:rPr>
          <w:rFonts w:ascii="Times New Roman" w:hAnsi="Times New Roman"/>
        </w:rPr>
        <w:t xml:space="preserve"> supplied or owned by a person other than the seller</w:t>
      </w:r>
      <w:r w:rsidR="00325638" w:rsidRPr="00847696">
        <w:rPr>
          <w:rFonts w:ascii="Times New Roman" w:hAnsi="Times New Roman"/>
        </w:rPr>
        <w:t>. Section 144(4) provides that it is a de</w:t>
      </w:r>
      <w:r w:rsidR="000262AC" w:rsidRPr="00847696">
        <w:rPr>
          <w:rFonts w:ascii="Times New Roman" w:hAnsi="Times New Roman"/>
        </w:rPr>
        <w:t>fence to proceedings for infringement that the patented invention was the subject of a contract containing such a provision. Sub</w:t>
      </w:r>
      <w:r w:rsidR="00C2584E" w:rsidRPr="00847696">
        <w:rPr>
          <w:rFonts w:ascii="Times New Roman" w:hAnsi="Times New Roman"/>
        </w:rPr>
        <w:t>-</w:t>
      </w:r>
      <w:r w:rsidR="000262AC" w:rsidRPr="00847696">
        <w:rPr>
          <w:rFonts w:ascii="Times New Roman" w:hAnsi="Times New Roman"/>
        </w:rPr>
        <w:t>section</w:t>
      </w:r>
      <w:r w:rsidR="00492C1B" w:rsidRPr="00847696">
        <w:rPr>
          <w:rFonts w:ascii="Times New Roman" w:hAnsi="Times New Roman"/>
        </w:rPr>
        <w:t> </w:t>
      </w:r>
      <w:r w:rsidR="000262AC" w:rsidRPr="00847696">
        <w:rPr>
          <w:rFonts w:ascii="Times New Roman" w:hAnsi="Times New Roman"/>
        </w:rPr>
        <w:t>(5)</w:t>
      </w:r>
      <w:r w:rsidR="00821B06" w:rsidRPr="00847696">
        <w:rPr>
          <w:rFonts w:ascii="Times New Roman" w:hAnsi="Times New Roman"/>
        </w:rPr>
        <w:t xml:space="preserve"> provides that where a new contract is offered by the patentee, without such conditions, sub</w:t>
      </w:r>
      <w:r w:rsidR="004C46FC">
        <w:rPr>
          <w:rFonts w:ascii="Times New Roman" w:hAnsi="Times New Roman"/>
        </w:rPr>
        <w:noBreakHyphen/>
      </w:r>
      <w:r w:rsidR="00821B06" w:rsidRPr="00847696">
        <w:rPr>
          <w:rFonts w:ascii="Times New Roman" w:hAnsi="Times New Roman"/>
        </w:rPr>
        <w:t>s</w:t>
      </w:r>
      <w:r w:rsidR="00AC7EF2">
        <w:rPr>
          <w:rFonts w:ascii="Times New Roman" w:hAnsi="Times New Roman"/>
        </w:rPr>
        <w:t> </w:t>
      </w:r>
      <w:r w:rsidR="00821B06" w:rsidRPr="00847696">
        <w:rPr>
          <w:rFonts w:ascii="Times New Roman" w:hAnsi="Times New Roman"/>
        </w:rPr>
        <w:t>(4) ceases to apply but the patentee is not entitled to damages or an account of profit</w:t>
      </w:r>
      <w:r w:rsidR="00880C45" w:rsidRPr="00847696">
        <w:rPr>
          <w:rFonts w:ascii="Times New Roman" w:hAnsi="Times New Roman"/>
        </w:rPr>
        <w:t>s</w:t>
      </w:r>
      <w:r w:rsidR="00821B06" w:rsidRPr="00847696">
        <w:rPr>
          <w:rFonts w:ascii="Times New Roman" w:hAnsi="Times New Roman"/>
        </w:rPr>
        <w:t xml:space="preserve"> for an infringement </w:t>
      </w:r>
      <w:r w:rsidR="00B06FF2" w:rsidRPr="00847696">
        <w:rPr>
          <w:rFonts w:ascii="Times New Roman" w:hAnsi="Times New Roman"/>
        </w:rPr>
        <w:t>committed before the offer of a new contract.</w:t>
      </w:r>
    </w:p>
    <w:p w14:paraId="02ADA148" w14:textId="112CC62B" w:rsidR="000371F0" w:rsidRPr="00847696" w:rsidRDefault="002F13B1" w:rsidP="00847696">
      <w:pPr>
        <w:pStyle w:val="FixListStyle"/>
        <w:spacing w:after="260" w:line="280" w:lineRule="exact"/>
        <w:ind w:right="0"/>
        <w:jc w:val="both"/>
        <w:rPr>
          <w:rFonts w:ascii="Times New Roman" w:hAnsi="Times New Roman"/>
        </w:rPr>
      </w:pPr>
      <w:r w:rsidRPr="00847696">
        <w:rPr>
          <w:rFonts w:ascii="Times New Roman" w:hAnsi="Times New Roman"/>
        </w:rPr>
        <w:tab/>
        <w:t>Seiko</w:t>
      </w:r>
      <w:r w:rsidR="005F68B6" w:rsidRPr="00847696">
        <w:rPr>
          <w:rFonts w:ascii="Times New Roman" w:hAnsi="Times New Roman"/>
        </w:rPr>
        <w:t xml:space="preserve"> </w:t>
      </w:r>
      <w:r w:rsidRPr="00847696">
        <w:rPr>
          <w:rFonts w:ascii="Times New Roman" w:hAnsi="Times New Roman"/>
        </w:rPr>
        <w:t xml:space="preserve">argued that the </w:t>
      </w:r>
      <w:r w:rsidR="00DA6B24" w:rsidRPr="00847696">
        <w:rPr>
          <w:rFonts w:ascii="Times New Roman" w:hAnsi="Times New Roman"/>
        </w:rPr>
        <w:t xml:space="preserve">defence contained in s 144(4) is consistent only with the implied licence </w:t>
      </w:r>
      <w:r w:rsidR="00BA5FF8" w:rsidRPr="00847696">
        <w:rPr>
          <w:rFonts w:ascii="Times New Roman" w:hAnsi="Times New Roman"/>
        </w:rPr>
        <w:t>doctrine</w:t>
      </w:r>
      <w:r w:rsidR="00DA6B24" w:rsidRPr="00847696">
        <w:rPr>
          <w:rFonts w:ascii="Times New Roman" w:hAnsi="Times New Roman"/>
        </w:rPr>
        <w:t xml:space="preserve"> since it would be superfluous if the </w:t>
      </w:r>
      <w:r w:rsidR="00BA5FF8" w:rsidRPr="00847696">
        <w:rPr>
          <w:rFonts w:ascii="Times New Roman" w:hAnsi="Times New Roman"/>
          <w:i/>
        </w:rPr>
        <w:t xml:space="preserve">Patents </w:t>
      </w:r>
      <w:r w:rsidR="00DA6B24" w:rsidRPr="00847696">
        <w:rPr>
          <w:rFonts w:ascii="Times New Roman" w:hAnsi="Times New Roman"/>
          <w:i/>
        </w:rPr>
        <w:t>Act</w:t>
      </w:r>
      <w:r w:rsidR="00BA5FF8" w:rsidRPr="00847696">
        <w:rPr>
          <w:rFonts w:ascii="Times New Roman" w:hAnsi="Times New Roman"/>
          <w:i/>
        </w:rPr>
        <w:t xml:space="preserve"> 1990</w:t>
      </w:r>
      <w:r w:rsidR="00DA6B24" w:rsidRPr="00847696">
        <w:rPr>
          <w:rFonts w:ascii="Times New Roman" w:hAnsi="Times New Roman"/>
        </w:rPr>
        <w:t xml:space="preserve"> assumed that a patentee's rights were exhausted upon first sale. Likewise s 144(5) </w:t>
      </w:r>
      <w:r w:rsidR="0075677C" w:rsidRPr="00847696">
        <w:rPr>
          <w:rFonts w:ascii="Times New Roman" w:hAnsi="Times New Roman"/>
        </w:rPr>
        <w:t xml:space="preserve">was said to assume the entitlement of a patentee to </w:t>
      </w:r>
      <w:r w:rsidR="00C015BE" w:rsidRPr="00847696">
        <w:rPr>
          <w:rFonts w:ascii="Times New Roman" w:hAnsi="Times New Roman"/>
        </w:rPr>
        <w:t xml:space="preserve">damages </w:t>
      </w:r>
      <w:r w:rsidR="0075677C" w:rsidRPr="00847696">
        <w:rPr>
          <w:rFonts w:ascii="Times New Roman" w:hAnsi="Times New Roman"/>
        </w:rPr>
        <w:t xml:space="preserve">or </w:t>
      </w:r>
      <w:r w:rsidR="00C015BE" w:rsidRPr="00847696">
        <w:rPr>
          <w:rFonts w:ascii="Times New Roman" w:hAnsi="Times New Roman"/>
        </w:rPr>
        <w:t xml:space="preserve">an </w:t>
      </w:r>
      <w:r w:rsidR="0075677C" w:rsidRPr="00847696">
        <w:rPr>
          <w:rFonts w:ascii="Times New Roman" w:hAnsi="Times New Roman"/>
        </w:rPr>
        <w:t>account of profits for infringement of a patent where there has been a breach of a restrictive condition in a contract of sale.</w:t>
      </w:r>
    </w:p>
    <w:p w14:paraId="27CE1EAD" w14:textId="539F4957" w:rsidR="0075677C" w:rsidRPr="00847696" w:rsidRDefault="00B72614" w:rsidP="00847696">
      <w:pPr>
        <w:pStyle w:val="FixListStyle"/>
        <w:spacing w:after="260" w:line="280" w:lineRule="exact"/>
        <w:ind w:right="0"/>
        <w:jc w:val="both"/>
        <w:rPr>
          <w:rFonts w:ascii="Times New Roman" w:hAnsi="Times New Roman"/>
        </w:rPr>
      </w:pPr>
      <w:r w:rsidRPr="00847696">
        <w:rPr>
          <w:rFonts w:ascii="Times New Roman" w:hAnsi="Times New Roman"/>
        </w:rPr>
        <w:tab/>
        <w:t>Section 144 neither gives effect to nor recognises the implied licence doctrine. The original provision</w:t>
      </w:r>
      <w:r w:rsidRPr="00847696">
        <w:rPr>
          <w:rStyle w:val="FootnoteReference"/>
          <w:rFonts w:ascii="Times New Roman" w:hAnsi="Times New Roman"/>
          <w:sz w:val="24"/>
        </w:rPr>
        <w:footnoteReference w:id="136"/>
      </w:r>
      <w:r w:rsidR="002D2A49" w:rsidRPr="00847696">
        <w:rPr>
          <w:rFonts w:ascii="Times New Roman" w:hAnsi="Times New Roman"/>
        </w:rPr>
        <w:t>, like s 135</w:t>
      </w:r>
      <w:r w:rsidR="004F40FC" w:rsidRPr="00847696">
        <w:rPr>
          <w:rFonts w:ascii="Times New Roman" w:hAnsi="Times New Roman"/>
        </w:rPr>
        <w:t>,</w:t>
      </w:r>
      <w:r w:rsidR="002D2A49" w:rsidRPr="00847696">
        <w:rPr>
          <w:rFonts w:ascii="Times New Roman" w:hAnsi="Times New Roman"/>
        </w:rPr>
        <w:t xml:space="preserve"> was introduced into the </w:t>
      </w:r>
      <w:r w:rsidR="006D1B23" w:rsidRPr="00847696">
        <w:rPr>
          <w:rFonts w:ascii="Times New Roman" w:hAnsi="Times New Roman"/>
          <w:i/>
        </w:rPr>
        <w:t>Patents</w:t>
      </w:r>
      <w:r w:rsidR="002D2A49" w:rsidRPr="00847696">
        <w:rPr>
          <w:rFonts w:ascii="Times New Roman" w:hAnsi="Times New Roman"/>
          <w:i/>
        </w:rPr>
        <w:t xml:space="preserve"> Act</w:t>
      </w:r>
      <w:r w:rsidR="006D1B23" w:rsidRPr="00847696">
        <w:rPr>
          <w:rFonts w:ascii="Times New Roman" w:hAnsi="Times New Roman"/>
          <w:i/>
        </w:rPr>
        <w:t xml:space="preserve"> 1903</w:t>
      </w:r>
      <w:r w:rsidR="002D2A49" w:rsidRPr="00847696">
        <w:rPr>
          <w:rFonts w:ascii="Times New Roman" w:hAnsi="Times New Roman"/>
        </w:rPr>
        <w:t xml:space="preserve"> in 1909</w:t>
      </w:r>
      <w:r w:rsidR="00473C85" w:rsidRPr="00847696">
        <w:rPr>
          <w:rStyle w:val="FootnoteReference"/>
          <w:rFonts w:ascii="Times New Roman" w:hAnsi="Times New Roman"/>
          <w:sz w:val="24"/>
        </w:rPr>
        <w:footnoteReference w:id="137"/>
      </w:r>
      <w:r w:rsidR="004F40FC" w:rsidRPr="00847696">
        <w:rPr>
          <w:rFonts w:ascii="Times New Roman" w:hAnsi="Times New Roman"/>
        </w:rPr>
        <w:t>.</w:t>
      </w:r>
      <w:r w:rsidR="000B47E7" w:rsidRPr="00847696">
        <w:rPr>
          <w:rFonts w:ascii="Times New Roman" w:hAnsi="Times New Roman"/>
        </w:rPr>
        <w:t xml:space="preserve"> In any event, the eviden</w:t>
      </w:r>
      <w:r w:rsidR="003C381F" w:rsidRPr="00847696">
        <w:rPr>
          <w:rFonts w:ascii="Times New Roman" w:hAnsi="Times New Roman"/>
        </w:rPr>
        <w:t>t</w:t>
      </w:r>
      <w:r w:rsidR="000B47E7" w:rsidRPr="00847696">
        <w:rPr>
          <w:rFonts w:ascii="Times New Roman" w:hAnsi="Times New Roman"/>
        </w:rPr>
        <w:t xml:space="preserve"> purpose of s 144 is to prohibit oppressive tying contracts</w:t>
      </w:r>
      <w:r w:rsidR="000B47E7" w:rsidRPr="00847696">
        <w:rPr>
          <w:rStyle w:val="FootnoteReference"/>
          <w:rFonts w:ascii="Times New Roman" w:hAnsi="Times New Roman"/>
          <w:sz w:val="24"/>
        </w:rPr>
        <w:footnoteReference w:id="138"/>
      </w:r>
      <w:r w:rsidR="00EB26ED" w:rsidRPr="00847696">
        <w:rPr>
          <w:rFonts w:ascii="Times New Roman" w:hAnsi="Times New Roman"/>
        </w:rPr>
        <w:t xml:space="preserve">, then prevalent in certain manufacturing industries in the United States. To that end, s 144 does not restrict a purchaser's use of a patented product; rather </w:t>
      </w:r>
      <w:r w:rsidR="004F40FC" w:rsidRPr="00847696">
        <w:rPr>
          <w:rFonts w:ascii="Times New Roman" w:hAnsi="Times New Roman"/>
        </w:rPr>
        <w:t xml:space="preserve">it prohibits conditions in </w:t>
      </w:r>
      <w:r w:rsidR="00EB26ED" w:rsidRPr="00847696">
        <w:rPr>
          <w:rFonts w:ascii="Times New Roman" w:hAnsi="Times New Roman"/>
        </w:rPr>
        <w:t>a cont</w:t>
      </w:r>
      <w:r w:rsidR="00D03509" w:rsidRPr="00847696">
        <w:rPr>
          <w:rFonts w:ascii="Times New Roman" w:hAnsi="Times New Roman"/>
        </w:rPr>
        <w:t>r</w:t>
      </w:r>
      <w:r w:rsidR="00EB26ED" w:rsidRPr="00847696">
        <w:rPr>
          <w:rFonts w:ascii="Times New Roman" w:hAnsi="Times New Roman"/>
        </w:rPr>
        <w:t>act of sale that have the effect of extending a patentee's monopoly beyond the patent.</w:t>
      </w:r>
    </w:p>
    <w:p w14:paraId="562D3CB3" w14:textId="74D566BC" w:rsidR="00C77E4B" w:rsidRPr="00847696" w:rsidRDefault="00C77E4B" w:rsidP="00847696">
      <w:pPr>
        <w:pStyle w:val="HeadingL2"/>
        <w:spacing w:after="260" w:line="280" w:lineRule="exact"/>
        <w:ind w:right="0"/>
        <w:jc w:val="both"/>
        <w:rPr>
          <w:rFonts w:ascii="Times New Roman" w:hAnsi="Times New Roman"/>
        </w:rPr>
      </w:pPr>
      <w:r w:rsidRPr="00847696">
        <w:rPr>
          <w:rFonts w:ascii="Times New Roman" w:hAnsi="Times New Roman"/>
        </w:rPr>
        <w:t>Extrinsic materials</w:t>
      </w:r>
    </w:p>
    <w:p w14:paraId="4D3906C9" w14:textId="40D36C8B" w:rsidR="00EB26ED" w:rsidRPr="00847696" w:rsidRDefault="00EB26ED"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Seiko also referred to materials extrinsic to the Act which, it submitted, support the implied licence doctrine. In the report of the Industrial Property </w:t>
      </w:r>
      <w:r w:rsidRPr="00847696">
        <w:rPr>
          <w:rFonts w:ascii="Times New Roman" w:hAnsi="Times New Roman"/>
        </w:rPr>
        <w:lastRenderedPageBreak/>
        <w:t>Advisory Committee</w:t>
      </w:r>
      <w:r w:rsidR="000D53E4" w:rsidRPr="00847696">
        <w:rPr>
          <w:rFonts w:ascii="Times New Roman" w:hAnsi="Times New Roman"/>
        </w:rPr>
        <w:t xml:space="preserve"> </w:t>
      </w:r>
      <w:r w:rsidRPr="00847696">
        <w:rPr>
          <w:rFonts w:ascii="Times New Roman" w:hAnsi="Times New Roman"/>
        </w:rPr>
        <w:t>on "Patents, Innovation and Competition in Austr</w:t>
      </w:r>
      <w:r w:rsidR="00236EF9" w:rsidRPr="00847696">
        <w:rPr>
          <w:rFonts w:ascii="Times New Roman" w:hAnsi="Times New Roman"/>
        </w:rPr>
        <w:t>a</w:t>
      </w:r>
      <w:r w:rsidRPr="00847696">
        <w:rPr>
          <w:rFonts w:ascii="Times New Roman" w:hAnsi="Times New Roman"/>
        </w:rPr>
        <w:t>lia"</w:t>
      </w:r>
      <w:r w:rsidR="00227E1F" w:rsidRPr="00847696">
        <w:rPr>
          <w:rFonts w:ascii="Times New Roman" w:hAnsi="Times New Roman"/>
        </w:rPr>
        <w:t xml:space="preserve"> ("the IPAC report") it was said</w:t>
      </w:r>
      <w:r w:rsidR="00227E1F" w:rsidRPr="00847696">
        <w:rPr>
          <w:rStyle w:val="FootnoteReference"/>
          <w:rFonts w:ascii="Times New Roman" w:hAnsi="Times New Roman"/>
          <w:sz w:val="24"/>
        </w:rPr>
        <w:footnoteReference w:id="139"/>
      </w:r>
      <w:r w:rsidR="0057689F" w:rsidRPr="00847696">
        <w:rPr>
          <w:rFonts w:ascii="Times New Roman" w:hAnsi="Times New Roman"/>
        </w:rPr>
        <w:t>:</w:t>
      </w:r>
    </w:p>
    <w:p w14:paraId="017BB1C6" w14:textId="77777777" w:rsidR="00847696" w:rsidRDefault="00486621" w:rsidP="00847696">
      <w:pPr>
        <w:pStyle w:val="LeftrightafterHC"/>
        <w:spacing w:before="0" w:after="260" w:line="280" w:lineRule="exact"/>
        <w:ind w:right="0"/>
        <w:jc w:val="both"/>
        <w:rPr>
          <w:rFonts w:ascii="Times New Roman" w:hAnsi="Times New Roman"/>
        </w:rPr>
      </w:pPr>
      <w:r w:rsidRPr="00847696">
        <w:rPr>
          <w:rFonts w:ascii="Times New Roman" w:hAnsi="Times New Roman"/>
        </w:rPr>
        <w:t xml:space="preserve">"This principle [of exhaustion of rights] is already part of the </w:t>
      </w:r>
      <w:r w:rsidR="00936293" w:rsidRPr="00847696">
        <w:rPr>
          <w:rFonts w:ascii="Times New Roman" w:hAnsi="Times New Roman"/>
        </w:rPr>
        <w:t xml:space="preserve">existing </w:t>
      </w:r>
      <w:r w:rsidRPr="00847696">
        <w:rPr>
          <w:rFonts w:ascii="Times New Roman" w:hAnsi="Times New Roman"/>
        </w:rPr>
        <w:t>Austr</w:t>
      </w:r>
      <w:r w:rsidR="006B16F3" w:rsidRPr="00847696">
        <w:rPr>
          <w:rFonts w:ascii="Times New Roman" w:hAnsi="Times New Roman"/>
        </w:rPr>
        <w:t>a</w:t>
      </w:r>
      <w:r w:rsidRPr="00847696">
        <w:rPr>
          <w:rFonts w:ascii="Times New Roman" w:hAnsi="Times New Roman"/>
        </w:rPr>
        <w:t xml:space="preserve">lian law, </w:t>
      </w:r>
      <w:r w:rsidRPr="00847696">
        <w:rPr>
          <w:rFonts w:ascii="Times New Roman" w:hAnsi="Times New Roman"/>
          <w:i/>
        </w:rPr>
        <w:t>subject to a qualification</w:t>
      </w:r>
      <w:r w:rsidRPr="00847696">
        <w:rPr>
          <w:rFonts w:ascii="Times New Roman" w:hAnsi="Times New Roman"/>
        </w:rPr>
        <w:t xml:space="preserve"> that importation of the pat</w:t>
      </w:r>
      <w:r w:rsidR="006B16F3" w:rsidRPr="00847696">
        <w:rPr>
          <w:rFonts w:ascii="Times New Roman" w:hAnsi="Times New Roman"/>
        </w:rPr>
        <w:t>e</w:t>
      </w:r>
      <w:r w:rsidRPr="00847696">
        <w:rPr>
          <w:rFonts w:ascii="Times New Roman" w:hAnsi="Times New Roman"/>
        </w:rPr>
        <w:t>nted article put into cir</w:t>
      </w:r>
      <w:r w:rsidR="006B16F3" w:rsidRPr="00847696">
        <w:rPr>
          <w:rFonts w:ascii="Times New Roman" w:hAnsi="Times New Roman"/>
        </w:rPr>
        <w:t>c</w:t>
      </w:r>
      <w:r w:rsidRPr="00847696">
        <w:rPr>
          <w:rFonts w:ascii="Times New Roman" w:hAnsi="Times New Roman"/>
        </w:rPr>
        <w:t>ulation outside Austr</w:t>
      </w:r>
      <w:r w:rsidR="006B16F3" w:rsidRPr="00847696">
        <w:rPr>
          <w:rFonts w:ascii="Times New Roman" w:hAnsi="Times New Roman"/>
        </w:rPr>
        <w:t>a</w:t>
      </w:r>
      <w:r w:rsidRPr="00847696">
        <w:rPr>
          <w:rFonts w:ascii="Times New Roman" w:hAnsi="Times New Roman"/>
        </w:rPr>
        <w:t>lia by th</w:t>
      </w:r>
      <w:r w:rsidR="006B16F3" w:rsidRPr="00847696">
        <w:rPr>
          <w:rFonts w:ascii="Times New Roman" w:hAnsi="Times New Roman"/>
        </w:rPr>
        <w:t>e</w:t>
      </w:r>
      <w:r w:rsidRPr="00847696">
        <w:rPr>
          <w:rFonts w:ascii="Times New Roman" w:hAnsi="Times New Roman"/>
        </w:rPr>
        <w:t xml:space="preserve"> Australian patentee will be an infringement if, at the time of first putting the article into circulation, </w:t>
      </w:r>
      <w:r w:rsidR="006B16F3" w:rsidRPr="00847696">
        <w:rPr>
          <w:rFonts w:ascii="Times New Roman" w:hAnsi="Times New Roman"/>
          <w:i/>
        </w:rPr>
        <w:t>that patentee attached an express stipulation against bringing it into Australia</w:t>
      </w:r>
      <w:r w:rsidR="000E5161" w:rsidRPr="00847696">
        <w:rPr>
          <w:rFonts w:ascii="Times New Roman" w:hAnsi="Times New Roman"/>
        </w:rPr>
        <w:t>.</w:t>
      </w:r>
      <w:r w:rsidR="006B16F3" w:rsidRPr="00847696">
        <w:rPr>
          <w:rFonts w:ascii="Times New Roman" w:hAnsi="Times New Roman"/>
        </w:rPr>
        <w:t>"</w:t>
      </w:r>
      <w:r w:rsidR="003C381F" w:rsidRPr="00847696">
        <w:rPr>
          <w:rFonts w:ascii="Times New Roman" w:hAnsi="Times New Roman"/>
        </w:rPr>
        <w:t xml:space="preserve"> (emphasis added)</w:t>
      </w:r>
    </w:p>
    <w:p w14:paraId="7859967A" w14:textId="3752E082" w:rsidR="003C381F" w:rsidRPr="00847696" w:rsidRDefault="003C381F" w:rsidP="00847696">
      <w:pPr>
        <w:pStyle w:val="FixListStyle"/>
        <w:spacing w:after="260" w:line="280" w:lineRule="exact"/>
        <w:ind w:right="0"/>
        <w:jc w:val="both"/>
        <w:rPr>
          <w:rFonts w:ascii="Times New Roman" w:hAnsi="Times New Roman"/>
        </w:rPr>
      </w:pPr>
      <w:r w:rsidRPr="00847696">
        <w:rPr>
          <w:rFonts w:ascii="Times New Roman" w:hAnsi="Times New Roman"/>
        </w:rPr>
        <w:tab/>
      </w:r>
      <w:r w:rsidR="00647AD4" w:rsidRPr="00847696">
        <w:rPr>
          <w:rFonts w:ascii="Times New Roman" w:hAnsi="Times New Roman"/>
        </w:rPr>
        <w:t>It may be observed</w:t>
      </w:r>
      <w:r w:rsidR="00185422" w:rsidRPr="00847696">
        <w:rPr>
          <w:rFonts w:ascii="Times New Roman" w:hAnsi="Times New Roman"/>
        </w:rPr>
        <w:t xml:space="preserve"> </w:t>
      </w:r>
      <w:r w:rsidR="004F40FC" w:rsidRPr="00847696">
        <w:rPr>
          <w:rFonts w:ascii="Times New Roman" w:hAnsi="Times New Roman"/>
        </w:rPr>
        <w:t xml:space="preserve">that </w:t>
      </w:r>
      <w:r w:rsidR="00605108" w:rsidRPr="00847696">
        <w:rPr>
          <w:rFonts w:ascii="Times New Roman" w:hAnsi="Times New Roman"/>
        </w:rPr>
        <w:t>the</w:t>
      </w:r>
      <w:r w:rsidR="00647AD4" w:rsidRPr="00847696">
        <w:rPr>
          <w:rFonts w:ascii="Times New Roman" w:hAnsi="Times New Roman"/>
        </w:rPr>
        <w:t xml:space="preserve"> report </w:t>
      </w:r>
      <w:r w:rsidR="00605108" w:rsidRPr="00847696">
        <w:rPr>
          <w:rFonts w:ascii="Times New Roman" w:hAnsi="Times New Roman"/>
        </w:rPr>
        <w:t>was concerned largely with economic considerations.</w:t>
      </w:r>
      <w:r w:rsidR="00647AD4" w:rsidRPr="00847696">
        <w:rPr>
          <w:rFonts w:ascii="Times New Roman" w:hAnsi="Times New Roman"/>
        </w:rPr>
        <w:t xml:space="preserve"> More to the point is the statement in the Explanatory Memorandum to the </w:t>
      </w:r>
      <w:r w:rsidR="00647AD4" w:rsidRPr="00847696">
        <w:rPr>
          <w:rFonts w:ascii="Times New Roman" w:hAnsi="Times New Roman"/>
          <w:i/>
        </w:rPr>
        <w:t>Patents Bill</w:t>
      </w:r>
      <w:r w:rsidR="00082443" w:rsidRPr="00847696">
        <w:rPr>
          <w:rFonts w:ascii="Times New Roman" w:hAnsi="Times New Roman"/>
          <w:i/>
        </w:rPr>
        <w:t xml:space="preserve"> 1990</w:t>
      </w:r>
      <w:r w:rsidR="00082443" w:rsidRPr="00847696">
        <w:rPr>
          <w:rFonts w:ascii="Times New Roman" w:hAnsi="Times New Roman"/>
        </w:rPr>
        <w:t>, which relevantly provided</w:t>
      </w:r>
      <w:r w:rsidR="00082443" w:rsidRPr="00847696">
        <w:rPr>
          <w:rStyle w:val="FootnoteReference"/>
          <w:rFonts w:ascii="Times New Roman" w:hAnsi="Times New Roman"/>
          <w:sz w:val="24"/>
        </w:rPr>
        <w:footnoteReference w:id="140"/>
      </w:r>
      <w:r w:rsidR="00857A99" w:rsidRPr="00847696">
        <w:rPr>
          <w:rFonts w:ascii="Times New Roman" w:hAnsi="Times New Roman"/>
        </w:rPr>
        <w:t>:</w:t>
      </w:r>
    </w:p>
    <w:p w14:paraId="7D3DCFBE" w14:textId="77777777" w:rsidR="00847696" w:rsidRDefault="00857A99" w:rsidP="00847696">
      <w:pPr>
        <w:pStyle w:val="LeftrightafterHC"/>
        <w:spacing w:before="0" w:after="260" w:line="280" w:lineRule="exact"/>
        <w:ind w:right="0"/>
        <w:jc w:val="both"/>
        <w:rPr>
          <w:rFonts w:ascii="Times New Roman" w:hAnsi="Times New Roman"/>
        </w:rPr>
      </w:pPr>
      <w:r w:rsidRPr="00847696">
        <w:rPr>
          <w:rFonts w:ascii="Times New Roman" w:hAnsi="Times New Roman"/>
        </w:rPr>
        <w:t xml:space="preserve">"It is intended that the question whether such a resale or </w:t>
      </w:r>
      <w:r w:rsidR="00246D0B" w:rsidRPr="00847696">
        <w:rPr>
          <w:rFonts w:ascii="Times New Roman" w:hAnsi="Times New Roman"/>
        </w:rPr>
        <w:t>importation</w:t>
      </w:r>
      <w:r w:rsidRPr="00847696">
        <w:rPr>
          <w:rFonts w:ascii="Times New Roman" w:hAnsi="Times New Roman"/>
        </w:rPr>
        <w:t xml:space="preserve"> constitutes an infringement in a particular case </w:t>
      </w:r>
      <w:r w:rsidR="00246D0B" w:rsidRPr="00847696">
        <w:rPr>
          <w:rFonts w:ascii="Times New Roman" w:hAnsi="Times New Roman"/>
        </w:rPr>
        <w:t>will</w:t>
      </w:r>
      <w:r w:rsidRPr="00847696">
        <w:rPr>
          <w:rFonts w:ascii="Times New Roman" w:hAnsi="Times New Roman"/>
        </w:rPr>
        <w:t xml:space="preserve"> continue to be determined as it is now, having regard to any actual or implied licences in the </w:t>
      </w:r>
      <w:r w:rsidR="00F071ED" w:rsidRPr="00847696">
        <w:rPr>
          <w:rFonts w:ascii="Times New Roman" w:hAnsi="Times New Roman"/>
        </w:rPr>
        <w:t>first sale and their effect in Australia</w:t>
      </w:r>
      <w:r w:rsidR="00560393" w:rsidRPr="00847696">
        <w:rPr>
          <w:rFonts w:ascii="Times New Roman" w:hAnsi="Times New Roman"/>
        </w:rPr>
        <w:t>,</w:t>
      </w:r>
      <w:r w:rsidR="00F071ED" w:rsidRPr="00847696">
        <w:rPr>
          <w:rFonts w:ascii="Times New Roman" w:hAnsi="Times New Roman"/>
        </w:rPr>
        <w:t xml:space="preserve"> </w:t>
      </w:r>
      <w:r w:rsidR="00F071ED" w:rsidRPr="00847696">
        <w:rPr>
          <w:rFonts w:ascii="Times New Roman" w:hAnsi="Times New Roman"/>
          <w:i/>
        </w:rPr>
        <w:t>and to what is often known as the doctrine of 'exhaustion of rights' so far as it applies under Australian law</w:t>
      </w:r>
      <w:r w:rsidR="0089791D" w:rsidRPr="00847696">
        <w:rPr>
          <w:rFonts w:ascii="Times New Roman" w:hAnsi="Times New Roman"/>
        </w:rPr>
        <w:t>.</w:t>
      </w:r>
      <w:r w:rsidR="00F071ED" w:rsidRPr="00847696">
        <w:rPr>
          <w:rFonts w:ascii="Times New Roman" w:hAnsi="Times New Roman"/>
        </w:rPr>
        <w:t>" (emphasis added)</w:t>
      </w:r>
    </w:p>
    <w:p w14:paraId="5338C5AC" w14:textId="229D07B8" w:rsidR="00082443" w:rsidRPr="00847696" w:rsidRDefault="0089791D"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Seiko contends </w:t>
      </w:r>
      <w:r w:rsidR="0051589D" w:rsidRPr="00847696">
        <w:rPr>
          <w:rFonts w:ascii="Times New Roman" w:hAnsi="Times New Roman"/>
        </w:rPr>
        <w:t xml:space="preserve">that the words emphasised are a reference to the IPAC report and that the reference in the Explanatory Memorandum </w:t>
      </w:r>
      <w:r w:rsidR="00FD75C1" w:rsidRPr="00847696">
        <w:rPr>
          <w:rFonts w:ascii="Times New Roman" w:hAnsi="Times New Roman"/>
        </w:rPr>
        <w:t>t</w:t>
      </w:r>
      <w:r w:rsidR="00023781" w:rsidRPr="00847696">
        <w:rPr>
          <w:rFonts w:ascii="Times New Roman" w:hAnsi="Times New Roman"/>
        </w:rPr>
        <w:t>o</w:t>
      </w:r>
      <w:r w:rsidR="00FD75C1" w:rsidRPr="00847696">
        <w:rPr>
          <w:rFonts w:ascii="Times New Roman" w:hAnsi="Times New Roman"/>
        </w:rPr>
        <w:t xml:space="preserve"> infringement be</w:t>
      </w:r>
      <w:r w:rsidR="00023781" w:rsidRPr="00847696">
        <w:rPr>
          <w:rFonts w:ascii="Times New Roman" w:hAnsi="Times New Roman"/>
        </w:rPr>
        <w:t>ing</w:t>
      </w:r>
      <w:r w:rsidR="00FD75C1" w:rsidRPr="00847696">
        <w:rPr>
          <w:rFonts w:ascii="Times New Roman" w:hAnsi="Times New Roman"/>
        </w:rPr>
        <w:t xml:space="preserve"> determined having regard to any actual or implied licences in the first sale is a clear indication of an expectation that the position established by </w:t>
      </w:r>
      <w:proofErr w:type="spellStart"/>
      <w:r w:rsidR="00FD75C1" w:rsidRPr="00847696">
        <w:rPr>
          <w:rFonts w:ascii="Times New Roman" w:hAnsi="Times New Roman"/>
          <w:i/>
        </w:rPr>
        <w:t>Menck</w:t>
      </w:r>
      <w:proofErr w:type="spellEnd"/>
      <w:r w:rsidR="00FD75C1" w:rsidRPr="00847696">
        <w:rPr>
          <w:rFonts w:ascii="Times New Roman" w:hAnsi="Times New Roman"/>
        </w:rPr>
        <w:t xml:space="preserve"> </w:t>
      </w:r>
      <w:r w:rsidR="00CF6CE9" w:rsidRPr="00847696">
        <w:rPr>
          <w:rFonts w:ascii="Times New Roman" w:hAnsi="Times New Roman"/>
        </w:rPr>
        <w:t>(</w:t>
      </w:r>
      <w:r w:rsidR="00FD75C1" w:rsidRPr="00847696">
        <w:rPr>
          <w:rFonts w:ascii="Times New Roman" w:hAnsi="Times New Roman"/>
        </w:rPr>
        <w:t>Privy Council</w:t>
      </w:r>
      <w:r w:rsidR="00CF6CE9" w:rsidRPr="00847696">
        <w:rPr>
          <w:rFonts w:ascii="Times New Roman" w:hAnsi="Times New Roman"/>
        </w:rPr>
        <w:t>)</w:t>
      </w:r>
      <w:r w:rsidR="00FD75C1" w:rsidRPr="00847696">
        <w:rPr>
          <w:rFonts w:ascii="Times New Roman" w:hAnsi="Times New Roman"/>
        </w:rPr>
        <w:t xml:space="preserve"> </w:t>
      </w:r>
      <w:r w:rsidR="003D5C46" w:rsidRPr="00847696">
        <w:rPr>
          <w:rFonts w:ascii="Times New Roman" w:hAnsi="Times New Roman"/>
        </w:rPr>
        <w:t xml:space="preserve">was intended to continue to apply under the </w:t>
      </w:r>
      <w:r w:rsidR="00CF6CE9" w:rsidRPr="00847696">
        <w:rPr>
          <w:rFonts w:ascii="Times New Roman" w:hAnsi="Times New Roman"/>
          <w:i/>
        </w:rPr>
        <w:t xml:space="preserve">Patents </w:t>
      </w:r>
      <w:r w:rsidR="003D5C46" w:rsidRPr="00847696">
        <w:rPr>
          <w:rFonts w:ascii="Times New Roman" w:hAnsi="Times New Roman"/>
          <w:i/>
        </w:rPr>
        <w:t>Act</w:t>
      </w:r>
      <w:r w:rsidR="00CF6CE9" w:rsidRPr="00847696">
        <w:rPr>
          <w:rFonts w:ascii="Times New Roman" w:hAnsi="Times New Roman"/>
          <w:i/>
        </w:rPr>
        <w:t xml:space="preserve"> 1990</w:t>
      </w:r>
      <w:r w:rsidR="003D5C46" w:rsidRPr="00847696">
        <w:rPr>
          <w:rFonts w:ascii="Times New Roman" w:hAnsi="Times New Roman"/>
        </w:rPr>
        <w:t>.</w:t>
      </w:r>
    </w:p>
    <w:p w14:paraId="0CBB3906" w14:textId="09F7F115" w:rsidR="003D5C46" w:rsidRPr="00847696" w:rsidRDefault="003D5C46"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The extrinsic materials do not suggest that that Act was premised on either doctrine. Rather they, and more clearly the Explanatory Memorandum, leave the adoption of either doctrine open, presumably to the </w:t>
      </w:r>
      <w:r w:rsidR="00951174" w:rsidRPr="00847696">
        <w:rPr>
          <w:rFonts w:ascii="Times New Roman" w:hAnsi="Times New Roman"/>
        </w:rPr>
        <w:t>c</w:t>
      </w:r>
      <w:r w:rsidRPr="00847696">
        <w:rPr>
          <w:rFonts w:ascii="Times New Roman" w:hAnsi="Times New Roman"/>
        </w:rPr>
        <w:t>ourts.</w:t>
      </w:r>
    </w:p>
    <w:p w14:paraId="2A51104B" w14:textId="31D4A515" w:rsidR="002F661A" w:rsidRPr="00847696" w:rsidRDefault="002F661A" w:rsidP="00847696">
      <w:pPr>
        <w:pStyle w:val="HeadingL2"/>
        <w:spacing w:after="260" w:line="280" w:lineRule="exact"/>
        <w:ind w:right="0"/>
        <w:jc w:val="both"/>
        <w:rPr>
          <w:rFonts w:ascii="Times New Roman" w:hAnsi="Times New Roman"/>
        </w:rPr>
      </w:pPr>
      <w:r w:rsidRPr="00847696">
        <w:rPr>
          <w:rFonts w:ascii="Times New Roman" w:hAnsi="Times New Roman"/>
        </w:rPr>
        <w:lastRenderedPageBreak/>
        <w:t>Section 13(2)</w:t>
      </w:r>
    </w:p>
    <w:p w14:paraId="5474D4EA" w14:textId="0DBE6D69"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Seiko also submitted that the exhaustion doctrine, affirmed in </w:t>
      </w:r>
      <w:r w:rsidRPr="00847696">
        <w:rPr>
          <w:rFonts w:ascii="Times New Roman" w:hAnsi="Times New Roman"/>
          <w:i/>
        </w:rPr>
        <w:t>Impression Products</w:t>
      </w:r>
      <w:r w:rsidR="00227B36" w:rsidRPr="00847696">
        <w:rPr>
          <w:rStyle w:val="FootnoteReference"/>
          <w:rFonts w:ascii="Times New Roman" w:hAnsi="Times New Roman"/>
          <w:sz w:val="24"/>
        </w:rPr>
        <w:footnoteReference w:id="141"/>
      </w:r>
      <w:r w:rsidRPr="00847696">
        <w:rPr>
          <w:rFonts w:ascii="Times New Roman" w:hAnsi="Times New Roman"/>
        </w:rPr>
        <w:t xml:space="preserve"> to be that "</w:t>
      </w:r>
      <w:r w:rsidR="007E5499" w:rsidRPr="00847696">
        <w:rPr>
          <w:rFonts w:ascii="Times New Roman" w:hAnsi="Times New Roman"/>
        </w:rPr>
        <w:t>the</w:t>
      </w:r>
      <w:r w:rsidRPr="00847696">
        <w:rPr>
          <w:rFonts w:ascii="Times New Roman" w:hAnsi="Times New Roman"/>
        </w:rPr>
        <w:t xml:space="preserve"> patentee does not retain patent rights in </w:t>
      </w:r>
      <w:r w:rsidR="00156B06" w:rsidRPr="00847696">
        <w:rPr>
          <w:rFonts w:ascii="Times New Roman" w:hAnsi="Times New Roman"/>
        </w:rPr>
        <w:t>[</w:t>
      </w:r>
      <w:r w:rsidRPr="00847696">
        <w:rPr>
          <w:rFonts w:ascii="Times New Roman" w:hAnsi="Times New Roman"/>
        </w:rPr>
        <w:t xml:space="preserve">an </w:t>
      </w:r>
      <w:r w:rsidR="008D1963" w:rsidRPr="00847696">
        <w:rPr>
          <w:rFonts w:ascii="Times New Roman" w:hAnsi="Times New Roman"/>
        </w:rPr>
        <w:t>item</w:t>
      </w:r>
      <w:r w:rsidRPr="00847696">
        <w:rPr>
          <w:rFonts w:ascii="Times New Roman" w:hAnsi="Times New Roman"/>
        </w:rPr>
        <w:t xml:space="preserve"> sold by the patentee</w:t>
      </w:r>
      <w:r w:rsidR="00156B06" w:rsidRPr="00847696">
        <w:rPr>
          <w:rFonts w:ascii="Times New Roman" w:hAnsi="Times New Roman"/>
        </w:rPr>
        <w:t>]</w:t>
      </w:r>
      <w:r w:rsidRPr="00847696">
        <w:rPr>
          <w:rFonts w:ascii="Times New Roman" w:hAnsi="Times New Roman"/>
        </w:rPr>
        <w:t>"</w:t>
      </w:r>
      <w:r w:rsidR="00903B92" w:rsidRPr="00847696">
        <w:rPr>
          <w:rFonts w:ascii="Times New Roman" w:hAnsi="Times New Roman"/>
        </w:rPr>
        <w:t>,</w:t>
      </w:r>
      <w:r w:rsidRPr="00847696">
        <w:rPr>
          <w:rFonts w:ascii="Times New Roman" w:hAnsi="Times New Roman"/>
        </w:rPr>
        <w:t xml:space="preserve"> is inconsistent with s 13(2) of the </w:t>
      </w:r>
      <w:r w:rsidRPr="00847696">
        <w:rPr>
          <w:rFonts w:ascii="Times New Roman" w:hAnsi="Times New Roman"/>
          <w:i/>
        </w:rPr>
        <w:t>Patents Act 1990</w:t>
      </w:r>
      <w:r w:rsidRPr="00847696">
        <w:rPr>
          <w:rFonts w:ascii="Times New Roman" w:hAnsi="Times New Roman"/>
        </w:rPr>
        <w:t>. Section 13(2) provides that "</w:t>
      </w:r>
      <w:r w:rsidR="003C642A" w:rsidRPr="00847696">
        <w:rPr>
          <w:rFonts w:ascii="Times New Roman" w:hAnsi="Times New Roman"/>
        </w:rPr>
        <w:t>[</w:t>
      </w:r>
      <w:r w:rsidRPr="00847696">
        <w:rPr>
          <w:rFonts w:ascii="Times New Roman" w:hAnsi="Times New Roman"/>
        </w:rPr>
        <w:t>t</w:t>
      </w:r>
      <w:r w:rsidR="003C642A" w:rsidRPr="00847696">
        <w:rPr>
          <w:rFonts w:ascii="Times New Roman" w:hAnsi="Times New Roman"/>
        </w:rPr>
        <w:t>]</w:t>
      </w:r>
      <w:r w:rsidRPr="00847696">
        <w:rPr>
          <w:rFonts w:ascii="Times New Roman" w:hAnsi="Times New Roman"/>
        </w:rPr>
        <w:t>he exclusive rights", that is</w:t>
      </w:r>
      <w:r w:rsidR="00445ED0" w:rsidRPr="00847696">
        <w:rPr>
          <w:rFonts w:ascii="Times New Roman" w:hAnsi="Times New Roman"/>
        </w:rPr>
        <w:t>,</w:t>
      </w:r>
      <w:r w:rsidRPr="00847696">
        <w:rPr>
          <w:rFonts w:ascii="Times New Roman" w:hAnsi="Times New Roman"/>
        </w:rPr>
        <w:t xml:space="preserve"> those referred to in s 13(1), are "personal property and are capable of assignment and of devolution by law". The relevant provision in</w:t>
      </w:r>
      <w:r w:rsidR="00C66533" w:rsidRPr="00847696">
        <w:rPr>
          <w:rFonts w:ascii="Times New Roman" w:hAnsi="Times New Roman"/>
        </w:rPr>
        <w:t xml:space="preserve"> the United States</w:t>
      </w:r>
      <w:r w:rsidRPr="00847696">
        <w:rPr>
          <w:rStyle w:val="FootnoteReference"/>
          <w:rFonts w:ascii="Times New Roman" w:hAnsi="Times New Roman"/>
          <w:sz w:val="24"/>
        </w:rPr>
        <w:footnoteReference w:id="142"/>
      </w:r>
      <w:r w:rsidRPr="00847696">
        <w:rPr>
          <w:rFonts w:ascii="Times New Roman" w:hAnsi="Times New Roman"/>
        </w:rPr>
        <w:t xml:space="preserve"> </w:t>
      </w:r>
      <w:r w:rsidR="00B43653" w:rsidRPr="00847696">
        <w:rPr>
          <w:rFonts w:ascii="Times New Roman" w:hAnsi="Times New Roman"/>
        </w:rPr>
        <w:t xml:space="preserve">is not materially different. It is </w:t>
      </w:r>
      <w:r w:rsidRPr="00847696">
        <w:rPr>
          <w:rFonts w:ascii="Times New Roman" w:hAnsi="Times New Roman"/>
        </w:rPr>
        <w:t>that "patents shall have the attributes of personal property" and "shall be assignable in law by an instrument in writing".</w:t>
      </w:r>
    </w:p>
    <w:p w14:paraId="2118FBBD" w14:textId="3497B68C"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No authority was cited by Seiko for its submission. The answer to</w:t>
      </w:r>
      <w:r w:rsidR="003E1819" w:rsidRPr="00847696">
        <w:rPr>
          <w:rFonts w:ascii="Times New Roman" w:hAnsi="Times New Roman"/>
        </w:rPr>
        <w:t xml:space="preserve"> it</w:t>
      </w:r>
      <w:r w:rsidRPr="00847696">
        <w:rPr>
          <w:rFonts w:ascii="Times New Roman" w:hAnsi="Times New Roman"/>
        </w:rPr>
        <w:t>, stated</w:t>
      </w:r>
      <w:r w:rsidR="003E1819" w:rsidRPr="00847696">
        <w:rPr>
          <w:rFonts w:ascii="Times New Roman" w:hAnsi="Times New Roman"/>
        </w:rPr>
        <w:t xml:space="preserve"> shortly</w:t>
      </w:r>
      <w:r w:rsidRPr="00847696">
        <w:rPr>
          <w:rFonts w:ascii="Times New Roman" w:hAnsi="Times New Roman"/>
        </w:rPr>
        <w:t xml:space="preserve">, is that s 13(2) and the exhaustion doctrine are concerned with different matters. Section 13(2) is addressed to the character of the exclusive rights. It attributes to them the status of a personal right of property and confirms that as such they are capable of being assigned to another </w:t>
      </w:r>
      <w:r w:rsidR="00DA2441" w:rsidRPr="00847696">
        <w:rPr>
          <w:rFonts w:ascii="Times New Roman" w:hAnsi="Times New Roman"/>
        </w:rPr>
        <w:t xml:space="preserve">person </w:t>
      </w:r>
      <w:r w:rsidRPr="00847696">
        <w:rPr>
          <w:rFonts w:ascii="Times New Roman" w:hAnsi="Times New Roman"/>
        </w:rPr>
        <w:t>or may devolve by operation of law. The exhaustion doctrine is concerned with the scope of and limits to the exclusive patent rights in s 13(1). The fact that those rights are personal property is irrelevant to that question.</w:t>
      </w:r>
    </w:p>
    <w:p w14:paraId="567E3642" w14:textId="5D7817E7"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Seiko's submission that a right of personal property cannot cease to exist and that s 13(2) does not contemplate such a possibility misapprehends the transaction to which the exhaustion doctrine applies and its effect on patent rights. The doctrine is not directed to a transaction </w:t>
      </w:r>
      <w:r w:rsidR="003B5BCC" w:rsidRPr="00847696">
        <w:rPr>
          <w:rFonts w:ascii="Times New Roman" w:hAnsi="Times New Roman"/>
        </w:rPr>
        <w:t xml:space="preserve">such as that to which s 13(2) refers, </w:t>
      </w:r>
      <w:r w:rsidRPr="00847696">
        <w:rPr>
          <w:rFonts w:ascii="Times New Roman" w:hAnsi="Times New Roman"/>
        </w:rPr>
        <w:t xml:space="preserve">involving the transmission to another of the patent rights themselves, as the personal property of the patentee; it is directed to the sale of a particular product. The doctrine does not regard the exclusive rights referred to in s 13(1) as extinguished; it </w:t>
      </w:r>
      <w:r w:rsidR="003B5BCC" w:rsidRPr="00847696">
        <w:rPr>
          <w:rFonts w:ascii="Times New Roman" w:hAnsi="Times New Roman"/>
        </w:rPr>
        <w:t xml:space="preserve">merely </w:t>
      </w:r>
      <w:r w:rsidRPr="00847696">
        <w:rPr>
          <w:rFonts w:ascii="Times New Roman" w:hAnsi="Times New Roman"/>
        </w:rPr>
        <w:t>holds that when they are exploited by the making and sale of a particular product the patentee's rights of use and sale with respect to that product are at an end. The patentee retains the exclusive rights of exploitation with respect to the patent by making, using or selling any new embodiment of the invention there specified.</w:t>
      </w:r>
    </w:p>
    <w:p w14:paraId="42F46F72" w14:textId="6339F30D"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Seiko also pointed to the legislative history of s 13(2) as a basis for distinguishing </w:t>
      </w:r>
      <w:proofErr w:type="spellStart"/>
      <w:r w:rsidRPr="00847696">
        <w:rPr>
          <w:rFonts w:ascii="Times New Roman" w:hAnsi="Times New Roman"/>
          <w:i/>
        </w:rPr>
        <w:t>Menck</w:t>
      </w:r>
      <w:proofErr w:type="spellEnd"/>
      <w:r w:rsidRPr="00847696">
        <w:rPr>
          <w:rFonts w:ascii="Times New Roman" w:hAnsi="Times New Roman"/>
        </w:rPr>
        <w:t xml:space="preserve"> (High Court). The first provision, </w:t>
      </w:r>
      <w:r w:rsidR="003F292E" w:rsidRPr="00847696">
        <w:rPr>
          <w:rFonts w:ascii="Times New Roman" w:hAnsi="Times New Roman"/>
        </w:rPr>
        <w:t>i</w:t>
      </w:r>
      <w:r w:rsidRPr="00847696">
        <w:rPr>
          <w:rFonts w:ascii="Times New Roman" w:hAnsi="Times New Roman"/>
        </w:rPr>
        <w:t xml:space="preserve">n </w:t>
      </w:r>
      <w:r w:rsidR="003F292E" w:rsidRPr="00847696">
        <w:rPr>
          <w:rFonts w:ascii="Times New Roman" w:hAnsi="Times New Roman"/>
        </w:rPr>
        <w:t xml:space="preserve">terms </w:t>
      </w:r>
      <w:r w:rsidRPr="00847696">
        <w:rPr>
          <w:rFonts w:ascii="Times New Roman" w:hAnsi="Times New Roman"/>
        </w:rPr>
        <w:t>similar to s 13(2)</w:t>
      </w:r>
      <w:r w:rsidR="00F76F64" w:rsidRPr="00847696">
        <w:rPr>
          <w:rFonts w:ascii="Times New Roman" w:hAnsi="Times New Roman"/>
        </w:rPr>
        <w:t>,</w:t>
      </w:r>
      <w:r w:rsidRPr="00847696">
        <w:rPr>
          <w:rFonts w:ascii="Times New Roman" w:hAnsi="Times New Roman"/>
        </w:rPr>
        <w:t xml:space="preserve"> was added to the </w:t>
      </w:r>
      <w:r w:rsidRPr="00847696">
        <w:rPr>
          <w:rFonts w:ascii="Times New Roman" w:hAnsi="Times New Roman"/>
          <w:i/>
        </w:rPr>
        <w:t>Patents Act 1903</w:t>
      </w:r>
      <w:r w:rsidRPr="00847696">
        <w:rPr>
          <w:rFonts w:ascii="Times New Roman" w:hAnsi="Times New Roman"/>
        </w:rPr>
        <w:t xml:space="preserve"> in</w:t>
      </w:r>
      <w:r w:rsidR="00B73DB6" w:rsidRPr="00847696">
        <w:rPr>
          <w:rFonts w:ascii="Times New Roman" w:hAnsi="Times New Roman"/>
        </w:rPr>
        <w:t xml:space="preserve"> December</w:t>
      </w:r>
      <w:r w:rsidRPr="00847696">
        <w:rPr>
          <w:rFonts w:ascii="Times New Roman" w:hAnsi="Times New Roman"/>
        </w:rPr>
        <w:t xml:space="preserve"> 1909</w:t>
      </w:r>
      <w:r w:rsidRPr="00847696">
        <w:rPr>
          <w:rStyle w:val="FootnoteReference"/>
          <w:rFonts w:ascii="Times New Roman" w:hAnsi="Times New Roman"/>
          <w:sz w:val="24"/>
        </w:rPr>
        <w:footnoteReference w:id="143"/>
      </w:r>
      <w:r w:rsidRPr="00847696">
        <w:rPr>
          <w:rFonts w:ascii="Times New Roman" w:hAnsi="Times New Roman"/>
        </w:rPr>
        <w:t xml:space="preserve">, which is to say after </w:t>
      </w:r>
      <w:proofErr w:type="spellStart"/>
      <w:r w:rsidRPr="00847696">
        <w:rPr>
          <w:rFonts w:ascii="Times New Roman" w:hAnsi="Times New Roman"/>
          <w:i/>
        </w:rPr>
        <w:lastRenderedPageBreak/>
        <w:t>Menck</w:t>
      </w:r>
      <w:proofErr w:type="spellEnd"/>
      <w:r w:rsidRPr="00847696">
        <w:rPr>
          <w:rFonts w:ascii="Times New Roman" w:hAnsi="Times New Roman"/>
        </w:rPr>
        <w:t xml:space="preserve"> (High Court) and before </w:t>
      </w:r>
      <w:proofErr w:type="spellStart"/>
      <w:r w:rsidRPr="00847696">
        <w:rPr>
          <w:rFonts w:ascii="Times New Roman" w:hAnsi="Times New Roman"/>
          <w:i/>
        </w:rPr>
        <w:t>Menck</w:t>
      </w:r>
      <w:proofErr w:type="spellEnd"/>
      <w:r w:rsidRPr="00847696">
        <w:rPr>
          <w:rFonts w:ascii="Times New Roman" w:hAnsi="Times New Roman"/>
          <w:i/>
        </w:rPr>
        <w:t xml:space="preserve"> </w:t>
      </w:r>
      <w:r w:rsidRPr="00847696">
        <w:rPr>
          <w:rFonts w:ascii="Times New Roman" w:hAnsi="Times New Roman"/>
        </w:rPr>
        <w:t>(Privy Council). It is to be inferred that the point Seiko seeks to make is that had it been appreciated that the rights were not only of the nature of exclusive rights under s 62</w:t>
      </w:r>
      <w:r w:rsidR="004F11C7" w:rsidRPr="00847696">
        <w:rPr>
          <w:rFonts w:ascii="Times New Roman" w:hAnsi="Times New Roman"/>
        </w:rPr>
        <w:t xml:space="preserve"> of the </w:t>
      </w:r>
      <w:r w:rsidR="004F11C7" w:rsidRPr="00847696">
        <w:rPr>
          <w:rFonts w:ascii="Times New Roman" w:hAnsi="Times New Roman"/>
          <w:i/>
        </w:rPr>
        <w:t>Patents Act 1903</w:t>
      </w:r>
      <w:r w:rsidRPr="00847696">
        <w:rPr>
          <w:rFonts w:ascii="Times New Roman" w:hAnsi="Times New Roman"/>
        </w:rPr>
        <w:t xml:space="preserve"> but were also personal rights of property, a different approach may have been taken by this Court. It has already been explained that a provision of this kind is irrelevant to the question whether the exhaustion doctrine operates consistently with statute. </w:t>
      </w:r>
      <w:r w:rsidR="00CB6171" w:rsidRPr="00847696">
        <w:rPr>
          <w:rFonts w:ascii="Times New Roman" w:hAnsi="Times New Roman"/>
        </w:rPr>
        <w:t xml:space="preserve">On the other hand it is noteworthy that no mention was made in </w:t>
      </w:r>
      <w:proofErr w:type="spellStart"/>
      <w:r w:rsidR="00CB6171" w:rsidRPr="00847696">
        <w:rPr>
          <w:rFonts w:ascii="Times New Roman" w:hAnsi="Times New Roman"/>
          <w:i/>
        </w:rPr>
        <w:t>Menck</w:t>
      </w:r>
      <w:proofErr w:type="spellEnd"/>
      <w:r w:rsidR="00CB6171" w:rsidRPr="00847696">
        <w:rPr>
          <w:rFonts w:ascii="Times New Roman" w:hAnsi="Times New Roman"/>
          <w:i/>
        </w:rPr>
        <w:t xml:space="preserve"> </w:t>
      </w:r>
      <w:r w:rsidR="00CB6171" w:rsidRPr="00847696">
        <w:rPr>
          <w:rFonts w:ascii="Times New Roman" w:hAnsi="Times New Roman"/>
        </w:rPr>
        <w:t xml:space="preserve">(Privy Council) </w:t>
      </w:r>
      <w:r w:rsidR="004F2D69" w:rsidRPr="00847696">
        <w:rPr>
          <w:rFonts w:ascii="Times New Roman" w:hAnsi="Times New Roman"/>
        </w:rPr>
        <w:t>of</w:t>
      </w:r>
      <w:r w:rsidR="00CB6171" w:rsidRPr="00847696">
        <w:rPr>
          <w:rFonts w:ascii="Times New Roman" w:hAnsi="Times New Roman"/>
        </w:rPr>
        <w:t xml:space="preserve"> the provision as relevant to the nature and extent of the exclusive patent rights. </w:t>
      </w:r>
    </w:p>
    <w:p w14:paraId="366450B7" w14:textId="77777777" w:rsidR="004F40FC" w:rsidRPr="00847696" w:rsidRDefault="004F40FC" w:rsidP="00847696">
      <w:pPr>
        <w:pStyle w:val="HeadingL1"/>
        <w:spacing w:after="260" w:line="280" w:lineRule="exact"/>
        <w:ind w:right="0"/>
        <w:jc w:val="both"/>
        <w:rPr>
          <w:rFonts w:ascii="Times New Roman" w:hAnsi="Times New Roman"/>
        </w:rPr>
      </w:pPr>
      <w:r w:rsidRPr="00847696">
        <w:rPr>
          <w:rFonts w:ascii="Times New Roman" w:hAnsi="Times New Roman"/>
        </w:rPr>
        <w:t>Court approval of the implied licence doctrine?</w:t>
      </w:r>
    </w:p>
    <w:p w14:paraId="41795053" w14:textId="77777777"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The inconvenience which might result from displacement of a long</w:t>
      </w:r>
      <w:r w:rsidRPr="00847696">
        <w:rPr>
          <w:rFonts w:ascii="Times New Roman" w:hAnsi="Times New Roman"/>
        </w:rPr>
        <w:noBreakHyphen/>
        <w:t>standing decision is an important factor to be considered when contemplating the adoption of a different approach. Seiko referred to decisions of this Court which appear to accept the implied licence doctrine and to its application in patent cases in lower courts.</w:t>
      </w:r>
    </w:p>
    <w:p w14:paraId="660B63CE" w14:textId="1E4C3243"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In </w:t>
      </w:r>
      <w:r w:rsidRPr="00847696">
        <w:rPr>
          <w:rFonts w:ascii="Times New Roman" w:hAnsi="Times New Roman"/>
          <w:i/>
        </w:rPr>
        <w:t>Interstate Parcel Express Co Pty Ltd v Time-Life International (</w:t>
      </w:r>
      <w:proofErr w:type="spellStart"/>
      <w:r w:rsidRPr="00847696">
        <w:rPr>
          <w:rFonts w:ascii="Times New Roman" w:hAnsi="Times New Roman"/>
          <w:i/>
        </w:rPr>
        <w:t>Nederlands</w:t>
      </w:r>
      <w:proofErr w:type="spellEnd"/>
      <w:r w:rsidRPr="00847696">
        <w:rPr>
          <w:rFonts w:ascii="Times New Roman" w:hAnsi="Times New Roman"/>
          <w:i/>
        </w:rPr>
        <w:t>) BV</w:t>
      </w:r>
      <w:r w:rsidRPr="00847696">
        <w:rPr>
          <w:rStyle w:val="FootnoteReference"/>
          <w:rFonts w:ascii="Times New Roman" w:hAnsi="Times New Roman"/>
          <w:sz w:val="24"/>
        </w:rPr>
        <w:footnoteReference w:id="144"/>
      </w:r>
      <w:r w:rsidRPr="00847696">
        <w:rPr>
          <w:rFonts w:ascii="Times New Roman" w:hAnsi="Times New Roman"/>
        </w:rPr>
        <w:t xml:space="preserve"> Gibbs J</w:t>
      </w:r>
      <w:r w:rsidRPr="00847696">
        <w:rPr>
          <w:rStyle w:val="FootnoteReference"/>
          <w:rFonts w:ascii="Times New Roman" w:hAnsi="Times New Roman"/>
          <w:sz w:val="24"/>
        </w:rPr>
        <w:footnoteReference w:id="145"/>
      </w:r>
      <w:r w:rsidRPr="00847696">
        <w:rPr>
          <w:rFonts w:ascii="Times New Roman" w:hAnsi="Times New Roman"/>
        </w:rPr>
        <w:t xml:space="preserve"> and Stephen J</w:t>
      </w:r>
      <w:r w:rsidRPr="00847696">
        <w:rPr>
          <w:rStyle w:val="FootnoteReference"/>
          <w:rFonts w:ascii="Times New Roman" w:hAnsi="Times New Roman"/>
          <w:sz w:val="24"/>
        </w:rPr>
        <w:footnoteReference w:id="146"/>
      </w:r>
      <w:r w:rsidRPr="00847696">
        <w:rPr>
          <w:rFonts w:ascii="Times New Roman" w:hAnsi="Times New Roman"/>
        </w:rPr>
        <w:t xml:space="preserve"> discussed </w:t>
      </w:r>
      <w:proofErr w:type="spellStart"/>
      <w:r w:rsidRPr="00847696">
        <w:rPr>
          <w:rFonts w:ascii="Times New Roman" w:hAnsi="Times New Roman"/>
          <w:i/>
        </w:rPr>
        <w:t>Menck</w:t>
      </w:r>
      <w:proofErr w:type="spellEnd"/>
      <w:r w:rsidRPr="00847696">
        <w:rPr>
          <w:rFonts w:ascii="Times New Roman" w:hAnsi="Times New Roman"/>
        </w:rPr>
        <w:t xml:space="preserve"> (Privy Council) at some length without apparent disapproval. This is hardly surprising. The question whether that doctrine was correct</w:t>
      </w:r>
      <w:r w:rsidR="00734F02" w:rsidRPr="00847696">
        <w:rPr>
          <w:rFonts w:ascii="Times New Roman" w:hAnsi="Times New Roman"/>
        </w:rPr>
        <w:t>,</w:t>
      </w:r>
      <w:r w:rsidRPr="00847696">
        <w:rPr>
          <w:rFonts w:ascii="Times New Roman" w:hAnsi="Times New Roman"/>
        </w:rPr>
        <w:t xml:space="preserve"> and the alternative exhaustion doctrine</w:t>
      </w:r>
      <w:r w:rsidR="002E5BC0" w:rsidRPr="00847696">
        <w:rPr>
          <w:rFonts w:ascii="Times New Roman" w:hAnsi="Times New Roman"/>
        </w:rPr>
        <w:t>,</w:t>
      </w:r>
      <w:r w:rsidRPr="00847696">
        <w:rPr>
          <w:rFonts w:ascii="Times New Roman" w:hAnsi="Times New Roman"/>
        </w:rPr>
        <w:t xml:space="preserve"> were not raised for consideration in that case. At issue there was whether a bookseller held an implied licence from the copyright owner to import and sell </w:t>
      </w:r>
      <w:r w:rsidR="001C7B6E" w:rsidRPr="00847696">
        <w:rPr>
          <w:rFonts w:ascii="Times New Roman" w:hAnsi="Times New Roman"/>
        </w:rPr>
        <w:t>books</w:t>
      </w:r>
      <w:r w:rsidRPr="00847696">
        <w:rPr>
          <w:rFonts w:ascii="Times New Roman" w:hAnsi="Times New Roman"/>
        </w:rPr>
        <w:t xml:space="preserve"> in Australia. Their Honours were largely concerned with whether the implied licence doctrine expounded in </w:t>
      </w:r>
      <w:proofErr w:type="spellStart"/>
      <w:r w:rsidRPr="00847696">
        <w:rPr>
          <w:rFonts w:ascii="Times New Roman" w:hAnsi="Times New Roman"/>
          <w:i/>
        </w:rPr>
        <w:t>Menck</w:t>
      </w:r>
      <w:proofErr w:type="spellEnd"/>
      <w:r w:rsidRPr="00847696">
        <w:rPr>
          <w:rFonts w:ascii="Times New Roman" w:hAnsi="Times New Roman"/>
        </w:rPr>
        <w:t xml:space="preserve"> (Privy Council) translated to the sphere of copyright law. In </w:t>
      </w:r>
      <w:r w:rsidRPr="00847696">
        <w:rPr>
          <w:rFonts w:ascii="Times New Roman" w:hAnsi="Times New Roman"/>
          <w:i/>
        </w:rPr>
        <w:t>Grain Pool of W</w:t>
      </w:r>
      <w:r w:rsidR="006637AE" w:rsidRPr="00847696">
        <w:rPr>
          <w:rFonts w:ascii="Times New Roman" w:hAnsi="Times New Roman"/>
          <w:i/>
        </w:rPr>
        <w:t xml:space="preserve">estern </w:t>
      </w:r>
      <w:r w:rsidRPr="00847696">
        <w:rPr>
          <w:rFonts w:ascii="Times New Roman" w:hAnsi="Times New Roman"/>
          <w:i/>
        </w:rPr>
        <w:t>A</w:t>
      </w:r>
      <w:r w:rsidR="006637AE" w:rsidRPr="00847696">
        <w:rPr>
          <w:rFonts w:ascii="Times New Roman" w:hAnsi="Times New Roman"/>
          <w:i/>
        </w:rPr>
        <w:t>ustralia</w:t>
      </w:r>
      <w:r w:rsidRPr="00847696">
        <w:rPr>
          <w:rFonts w:ascii="Times New Roman" w:hAnsi="Times New Roman"/>
          <w:i/>
        </w:rPr>
        <w:t xml:space="preserve"> v </w:t>
      </w:r>
      <w:r w:rsidR="00672C2D" w:rsidRPr="00847696">
        <w:rPr>
          <w:rFonts w:ascii="Times New Roman" w:hAnsi="Times New Roman"/>
          <w:i/>
        </w:rPr>
        <w:t xml:space="preserve">The </w:t>
      </w:r>
      <w:r w:rsidRPr="00847696">
        <w:rPr>
          <w:rFonts w:ascii="Times New Roman" w:hAnsi="Times New Roman"/>
          <w:i/>
        </w:rPr>
        <w:t>Commonwealth</w:t>
      </w:r>
      <w:r w:rsidRPr="00847696">
        <w:rPr>
          <w:rStyle w:val="FootnoteReference"/>
          <w:rFonts w:ascii="Times New Roman" w:hAnsi="Times New Roman"/>
          <w:sz w:val="24"/>
        </w:rPr>
        <w:footnoteReference w:id="147"/>
      </w:r>
      <w:r w:rsidRPr="00847696">
        <w:rPr>
          <w:rFonts w:ascii="Times New Roman" w:hAnsi="Times New Roman"/>
        </w:rPr>
        <w:t xml:space="preserve"> reference was made to </w:t>
      </w:r>
      <w:proofErr w:type="spellStart"/>
      <w:r w:rsidRPr="00847696">
        <w:rPr>
          <w:rFonts w:ascii="Times New Roman" w:hAnsi="Times New Roman"/>
          <w:i/>
        </w:rPr>
        <w:t>Menck</w:t>
      </w:r>
      <w:proofErr w:type="spellEnd"/>
      <w:r w:rsidRPr="00847696">
        <w:rPr>
          <w:rFonts w:ascii="Times New Roman" w:hAnsi="Times New Roman"/>
        </w:rPr>
        <w:t xml:space="preserve"> (Privy Council) in connection with the negative nature of monopoly patent rights, a matter which is not in dispute. It is notable though that in </w:t>
      </w:r>
      <w:r w:rsidRPr="00847696">
        <w:rPr>
          <w:rFonts w:ascii="Times New Roman" w:hAnsi="Times New Roman"/>
          <w:i/>
        </w:rPr>
        <w:t>Time</w:t>
      </w:r>
      <w:r w:rsidRPr="00847696">
        <w:rPr>
          <w:rFonts w:ascii="Times New Roman" w:hAnsi="Times New Roman"/>
          <w:i/>
        </w:rPr>
        <w:noBreakHyphen/>
        <w:t>Life</w:t>
      </w:r>
      <w:r w:rsidRPr="00847696">
        <w:rPr>
          <w:rFonts w:ascii="Times New Roman" w:hAnsi="Times New Roman"/>
        </w:rPr>
        <w:t xml:space="preserve"> Gibbs J, referring to </w:t>
      </w:r>
      <w:proofErr w:type="spellStart"/>
      <w:r w:rsidRPr="00847696">
        <w:rPr>
          <w:rFonts w:ascii="Times New Roman" w:hAnsi="Times New Roman"/>
          <w:i/>
        </w:rPr>
        <w:t>Menck</w:t>
      </w:r>
      <w:proofErr w:type="spellEnd"/>
      <w:r w:rsidRPr="00847696">
        <w:rPr>
          <w:rFonts w:ascii="Times New Roman" w:hAnsi="Times New Roman"/>
        </w:rPr>
        <w:t xml:space="preserve"> (Privy Council), said that it seemed "a misuse of words to say that a person who sells an article </w:t>
      </w:r>
      <w:r w:rsidRPr="00847696">
        <w:rPr>
          <w:rFonts w:ascii="Times New Roman" w:hAnsi="Times New Roman"/>
        </w:rPr>
        <w:lastRenderedPageBreak/>
        <w:t>consents to its being used in any way that the buyer wishes"</w:t>
      </w:r>
      <w:r w:rsidR="005F2D30" w:rsidRPr="00847696">
        <w:rPr>
          <w:rStyle w:val="FootnoteReference"/>
          <w:rFonts w:ascii="Times New Roman" w:hAnsi="Times New Roman"/>
          <w:sz w:val="24"/>
        </w:rPr>
        <w:footnoteReference w:id="148"/>
      </w:r>
      <w:r w:rsidRPr="00847696">
        <w:rPr>
          <w:rFonts w:ascii="Times New Roman" w:hAnsi="Times New Roman"/>
        </w:rPr>
        <w:t xml:space="preserve">. His Honour's observation highlights the artificiality of the </w:t>
      </w:r>
      <w:r w:rsidR="00D52D1E" w:rsidRPr="00847696">
        <w:rPr>
          <w:rFonts w:ascii="Times New Roman" w:hAnsi="Times New Roman"/>
        </w:rPr>
        <w:t xml:space="preserve">implied licence </w:t>
      </w:r>
      <w:r w:rsidRPr="00847696">
        <w:rPr>
          <w:rFonts w:ascii="Times New Roman" w:hAnsi="Times New Roman"/>
        </w:rPr>
        <w:t>doctrine.</w:t>
      </w:r>
    </w:p>
    <w:p w14:paraId="5E00C601" w14:textId="6EEAADFC"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It may also be accepted that the implied licence doctrine has been applied in decisions of the Federal Court. Seiko was able to point only to a few such cases where this has occurred</w:t>
      </w:r>
      <w:r w:rsidR="001A0F0D" w:rsidRPr="00847696">
        <w:rPr>
          <w:rStyle w:val="FootnoteReference"/>
          <w:rFonts w:ascii="Times New Roman" w:hAnsi="Times New Roman"/>
          <w:sz w:val="24"/>
        </w:rPr>
        <w:footnoteReference w:id="149"/>
      </w:r>
      <w:r w:rsidRPr="00847696">
        <w:rPr>
          <w:rFonts w:ascii="Times New Roman" w:hAnsi="Times New Roman"/>
        </w:rPr>
        <w:t>. It could hardly be suggested that great inconvenience is likely to follow an abandonment of that doctrine. In any event neither principle nor authority supports the proposition that this Court should persist with a</w:t>
      </w:r>
      <w:r w:rsidR="006017A4" w:rsidRPr="00847696">
        <w:rPr>
          <w:rFonts w:ascii="Times New Roman" w:hAnsi="Times New Roman"/>
        </w:rPr>
        <w:t>n unworkable</w:t>
      </w:r>
      <w:r w:rsidRPr="00847696">
        <w:rPr>
          <w:rFonts w:ascii="Times New Roman" w:hAnsi="Times New Roman"/>
        </w:rPr>
        <w:t xml:space="preserve"> doctrine </w:t>
      </w:r>
      <w:r w:rsidR="001919E9" w:rsidRPr="00847696">
        <w:rPr>
          <w:rFonts w:ascii="Times New Roman" w:hAnsi="Times New Roman"/>
        </w:rPr>
        <w:t>as to patent rights which cannot be said to be required by the statute which grants them.</w:t>
      </w:r>
    </w:p>
    <w:p w14:paraId="3C219E40" w14:textId="337059AD" w:rsidR="00B43653" w:rsidRPr="00847696" w:rsidRDefault="00B43653" w:rsidP="00847696">
      <w:pPr>
        <w:pStyle w:val="FixListStyle"/>
        <w:spacing w:after="260" w:line="280" w:lineRule="exact"/>
        <w:ind w:right="0"/>
        <w:jc w:val="both"/>
        <w:rPr>
          <w:rFonts w:ascii="Times New Roman" w:hAnsi="Times New Roman"/>
        </w:rPr>
      </w:pPr>
      <w:r w:rsidRPr="00847696">
        <w:rPr>
          <w:rFonts w:ascii="Times New Roman" w:hAnsi="Times New Roman"/>
        </w:rPr>
        <w:tab/>
        <w:t xml:space="preserve">Seiko has not identified any decision of an Australian court in which the ratio decidendi required the application of the implied licence doctrine to the exclusion of the exhaustion </w:t>
      </w:r>
      <w:r w:rsidR="0043009A" w:rsidRPr="00847696">
        <w:rPr>
          <w:rFonts w:ascii="Times New Roman" w:hAnsi="Times New Roman"/>
        </w:rPr>
        <w:t>doctrine</w:t>
      </w:r>
      <w:r w:rsidRPr="00847696">
        <w:rPr>
          <w:rStyle w:val="FootnoteReference"/>
          <w:rFonts w:ascii="Times New Roman" w:hAnsi="Times New Roman"/>
          <w:sz w:val="24"/>
        </w:rPr>
        <w:footnoteReference w:id="150"/>
      </w:r>
      <w:r w:rsidRPr="00847696">
        <w:rPr>
          <w:rFonts w:ascii="Times New Roman" w:hAnsi="Times New Roman"/>
        </w:rPr>
        <w:t xml:space="preserve">. Continued adherence to the implied licence doctrine is an unjustifiable gloss on the statutory language that confers monopoly rights on a patentee. The decisions of the courts below show the danger of distraction from the language of the statute that is encouraged by that doctrine. In this case the implied licence </w:t>
      </w:r>
      <w:r w:rsidR="0012285D" w:rsidRPr="00847696">
        <w:rPr>
          <w:rFonts w:ascii="Times New Roman" w:hAnsi="Times New Roman"/>
        </w:rPr>
        <w:t xml:space="preserve">doctrine </w:t>
      </w:r>
      <w:r w:rsidRPr="00847696">
        <w:rPr>
          <w:rFonts w:ascii="Times New Roman" w:hAnsi="Times New Roman"/>
        </w:rPr>
        <w:t>was utilised as a juridical peg on which to hang not the patentee's permission to use the patented product, but rather unexpressed restrictions on the purchaser's rights in that regard to which the purchaser ha</w:t>
      </w:r>
      <w:r w:rsidR="003036B0" w:rsidRPr="00847696">
        <w:rPr>
          <w:rFonts w:ascii="Times New Roman" w:hAnsi="Times New Roman"/>
        </w:rPr>
        <w:t>d</w:t>
      </w:r>
      <w:r w:rsidRPr="00847696">
        <w:rPr>
          <w:rFonts w:ascii="Times New Roman" w:hAnsi="Times New Roman"/>
        </w:rPr>
        <w:t xml:space="preserve"> not consented.</w:t>
      </w:r>
    </w:p>
    <w:p w14:paraId="5EB8EAFB" w14:textId="77777777" w:rsidR="004F40FC" w:rsidRPr="00847696" w:rsidRDefault="004F40FC" w:rsidP="00847696">
      <w:pPr>
        <w:pStyle w:val="HeadingL1"/>
        <w:spacing w:after="260" w:line="280" w:lineRule="exact"/>
        <w:ind w:right="0"/>
        <w:jc w:val="both"/>
        <w:rPr>
          <w:rFonts w:ascii="Times New Roman" w:hAnsi="Times New Roman"/>
        </w:rPr>
      </w:pPr>
      <w:r w:rsidRPr="00847696">
        <w:rPr>
          <w:rFonts w:ascii="Times New Roman" w:hAnsi="Times New Roman"/>
        </w:rPr>
        <w:t>Orders</w:t>
      </w:r>
    </w:p>
    <w:p w14:paraId="771B781F" w14:textId="38A5D60F" w:rsidR="004F40FC" w:rsidRPr="00847696" w:rsidRDefault="004F40FC" w:rsidP="00847696">
      <w:pPr>
        <w:pStyle w:val="FixListStyle"/>
        <w:spacing w:after="260" w:line="280" w:lineRule="exact"/>
        <w:ind w:right="0"/>
        <w:jc w:val="both"/>
        <w:rPr>
          <w:rFonts w:ascii="Times New Roman" w:hAnsi="Times New Roman"/>
        </w:rPr>
      </w:pPr>
      <w:r w:rsidRPr="00847696">
        <w:rPr>
          <w:rFonts w:ascii="Times New Roman" w:hAnsi="Times New Roman"/>
        </w:rPr>
        <w:tab/>
        <w:t>The following orders should be made</w:t>
      </w:r>
      <w:r w:rsidR="00570479" w:rsidRPr="00847696">
        <w:rPr>
          <w:rFonts w:ascii="Times New Roman" w:hAnsi="Times New Roman"/>
        </w:rPr>
        <w:t>:</w:t>
      </w:r>
    </w:p>
    <w:p w14:paraId="73DC2E67" w14:textId="6EEAE2D9" w:rsidR="004F40FC" w:rsidRPr="00847696" w:rsidRDefault="004F40FC" w:rsidP="00847696">
      <w:pPr>
        <w:pStyle w:val="NormalBody"/>
        <w:spacing w:after="260" w:line="280" w:lineRule="exact"/>
        <w:ind w:left="720" w:right="0" w:hanging="720"/>
        <w:jc w:val="both"/>
        <w:rPr>
          <w:rFonts w:ascii="Times New Roman" w:hAnsi="Times New Roman"/>
        </w:rPr>
      </w:pPr>
      <w:r w:rsidRPr="00847696">
        <w:rPr>
          <w:rFonts w:ascii="Times New Roman" w:hAnsi="Times New Roman"/>
        </w:rPr>
        <w:t>1.</w:t>
      </w:r>
      <w:r w:rsidRPr="00847696">
        <w:rPr>
          <w:rFonts w:ascii="Times New Roman" w:hAnsi="Times New Roman"/>
        </w:rPr>
        <w:tab/>
      </w:r>
      <w:r w:rsidR="00D23A5F" w:rsidRPr="00847696">
        <w:rPr>
          <w:rFonts w:ascii="Times New Roman" w:hAnsi="Times New Roman"/>
        </w:rPr>
        <w:t>A</w:t>
      </w:r>
      <w:r w:rsidRPr="00847696">
        <w:rPr>
          <w:rFonts w:ascii="Times New Roman" w:hAnsi="Times New Roman"/>
        </w:rPr>
        <w:t>ppeal allowed with costs.</w:t>
      </w:r>
    </w:p>
    <w:p w14:paraId="09B11260" w14:textId="63933944" w:rsidR="000706DE" w:rsidRPr="00847696" w:rsidRDefault="004F40FC" w:rsidP="00847696">
      <w:pPr>
        <w:pStyle w:val="NormalBody"/>
        <w:spacing w:after="260" w:line="280" w:lineRule="exact"/>
        <w:ind w:left="720" w:right="0" w:hanging="720"/>
        <w:jc w:val="both"/>
        <w:rPr>
          <w:rFonts w:ascii="Times New Roman" w:hAnsi="Times New Roman"/>
        </w:rPr>
      </w:pPr>
      <w:r w:rsidRPr="00847696">
        <w:rPr>
          <w:rFonts w:ascii="Times New Roman" w:hAnsi="Times New Roman"/>
        </w:rPr>
        <w:t>2.</w:t>
      </w:r>
      <w:r w:rsidRPr="00847696">
        <w:rPr>
          <w:rFonts w:ascii="Times New Roman" w:hAnsi="Times New Roman"/>
        </w:rPr>
        <w:tab/>
      </w:r>
      <w:r w:rsidR="003F40EF" w:rsidRPr="00847696">
        <w:rPr>
          <w:rFonts w:ascii="Times New Roman" w:hAnsi="Times New Roman"/>
        </w:rPr>
        <w:t xml:space="preserve">Set aside the orders </w:t>
      </w:r>
      <w:r w:rsidRPr="00847696">
        <w:rPr>
          <w:rFonts w:ascii="Times New Roman" w:hAnsi="Times New Roman"/>
        </w:rPr>
        <w:t xml:space="preserve">made by the Full Court of the Federal Court </w:t>
      </w:r>
      <w:r w:rsidR="0004205B" w:rsidRPr="00847696">
        <w:rPr>
          <w:rFonts w:ascii="Times New Roman" w:hAnsi="Times New Roman"/>
        </w:rPr>
        <w:t xml:space="preserve">of Australia </w:t>
      </w:r>
      <w:r w:rsidRPr="00847696">
        <w:rPr>
          <w:rFonts w:ascii="Times New Roman" w:hAnsi="Times New Roman"/>
        </w:rPr>
        <w:t xml:space="preserve">on 5 July 2019 and </w:t>
      </w:r>
      <w:r w:rsidR="003A25B2" w:rsidRPr="00847696">
        <w:rPr>
          <w:rFonts w:ascii="Times New Roman" w:hAnsi="Times New Roman"/>
        </w:rPr>
        <w:t xml:space="preserve">the </w:t>
      </w:r>
      <w:r w:rsidR="009B0374" w:rsidRPr="00847696">
        <w:rPr>
          <w:rFonts w:ascii="Times New Roman" w:hAnsi="Times New Roman"/>
        </w:rPr>
        <w:t xml:space="preserve">declaration and </w:t>
      </w:r>
      <w:r w:rsidRPr="00847696">
        <w:rPr>
          <w:rFonts w:ascii="Times New Roman" w:hAnsi="Times New Roman"/>
        </w:rPr>
        <w:t xml:space="preserve">orders made by the Full Court of the Federal Court </w:t>
      </w:r>
      <w:r w:rsidR="0004205B" w:rsidRPr="00847696">
        <w:rPr>
          <w:rFonts w:ascii="Times New Roman" w:hAnsi="Times New Roman"/>
        </w:rPr>
        <w:t xml:space="preserve">of Australia </w:t>
      </w:r>
      <w:r w:rsidRPr="00847696">
        <w:rPr>
          <w:rFonts w:ascii="Times New Roman" w:hAnsi="Times New Roman"/>
        </w:rPr>
        <w:t>on 29 October 2019 and</w:t>
      </w:r>
      <w:r w:rsidR="00CA00E3" w:rsidRPr="00847696">
        <w:rPr>
          <w:rFonts w:ascii="Times New Roman" w:hAnsi="Times New Roman"/>
        </w:rPr>
        <w:t>,</w:t>
      </w:r>
      <w:r w:rsidRPr="00847696">
        <w:rPr>
          <w:rFonts w:ascii="Times New Roman" w:hAnsi="Times New Roman"/>
        </w:rPr>
        <w:t xml:space="preserve"> in lieu thereof, order that</w:t>
      </w:r>
      <w:r w:rsidR="000706DE" w:rsidRPr="00847696">
        <w:rPr>
          <w:rFonts w:ascii="Times New Roman" w:hAnsi="Times New Roman"/>
        </w:rPr>
        <w:t>:</w:t>
      </w:r>
    </w:p>
    <w:p w14:paraId="60ED0A0C" w14:textId="3103CA2F" w:rsidR="004F40FC" w:rsidRPr="00847696" w:rsidRDefault="00694211" w:rsidP="00847696">
      <w:pPr>
        <w:pStyle w:val="NormalBody"/>
        <w:spacing w:after="260" w:line="280" w:lineRule="exact"/>
        <w:ind w:left="1440" w:right="0" w:hanging="720"/>
        <w:jc w:val="both"/>
        <w:rPr>
          <w:rFonts w:ascii="Times New Roman" w:hAnsi="Times New Roman"/>
        </w:rPr>
      </w:pPr>
      <w:r w:rsidRPr="00847696">
        <w:rPr>
          <w:rFonts w:ascii="Times New Roman" w:hAnsi="Times New Roman"/>
        </w:rPr>
        <w:lastRenderedPageBreak/>
        <w:t>(a)</w:t>
      </w:r>
      <w:r w:rsidRPr="00847696">
        <w:rPr>
          <w:rFonts w:ascii="Times New Roman" w:hAnsi="Times New Roman"/>
        </w:rPr>
        <w:tab/>
      </w:r>
      <w:r w:rsidR="004F40FC" w:rsidRPr="00847696">
        <w:rPr>
          <w:rFonts w:ascii="Times New Roman" w:hAnsi="Times New Roman"/>
        </w:rPr>
        <w:t>the appeal to that Court be allowed with costs and the cross</w:t>
      </w:r>
      <w:r w:rsidR="004F40FC" w:rsidRPr="00847696">
        <w:rPr>
          <w:rFonts w:ascii="Times New Roman" w:hAnsi="Times New Roman"/>
        </w:rPr>
        <w:noBreakHyphen/>
        <w:t>appeal to that Court be dismissed with costs</w:t>
      </w:r>
      <w:r w:rsidRPr="00847696">
        <w:rPr>
          <w:rFonts w:ascii="Times New Roman" w:hAnsi="Times New Roman"/>
        </w:rPr>
        <w:t>;</w:t>
      </w:r>
    </w:p>
    <w:p w14:paraId="00A7461B" w14:textId="567BDCBD" w:rsidR="004F40FC" w:rsidRPr="00847696" w:rsidRDefault="009C1BB4" w:rsidP="00847696">
      <w:pPr>
        <w:pStyle w:val="NormalBody"/>
        <w:spacing w:after="260" w:line="280" w:lineRule="exact"/>
        <w:ind w:left="1440" w:right="0" w:hanging="720"/>
        <w:jc w:val="both"/>
        <w:rPr>
          <w:rFonts w:ascii="Times New Roman" w:hAnsi="Times New Roman"/>
        </w:rPr>
      </w:pPr>
      <w:r w:rsidRPr="00847696">
        <w:rPr>
          <w:rFonts w:ascii="Times New Roman" w:hAnsi="Times New Roman"/>
        </w:rPr>
        <w:t>(b)</w:t>
      </w:r>
      <w:r w:rsidRPr="00847696">
        <w:rPr>
          <w:rFonts w:ascii="Times New Roman" w:hAnsi="Times New Roman"/>
        </w:rPr>
        <w:tab/>
      </w:r>
      <w:r w:rsidR="00FD2581" w:rsidRPr="00847696">
        <w:rPr>
          <w:rFonts w:ascii="Times New Roman" w:hAnsi="Times New Roman"/>
        </w:rPr>
        <w:t>declaration</w:t>
      </w:r>
      <w:r w:rsidR="005C1F49" w:rsidRPr="00847696">
        <w:rPr>
          <w:rFonts w:ascii="Times New Roman" w:hAnsi="Times New Roman"/>
        </w:rPr>
        <w:t xml:space="preserve"> 1</w:t>
      </w:r>
      <w:r w:rsidR="00FD2581" w:rsidRPr="00847696">
        <w:rPr>
          <w:rFonts w:ascii="Times New Roman" w:hAnsi="Times New Roman"/>
        </w:rPr>
        <w:t xml:space="preserve"> and </w:t>
      </w:r>
      <w:r w:rsidR="00157043" w:rsidRPr="00847696">
        <w:rPr>
          <w:rFonts w:ascii="Times New Roman" w:hAnsi="Times New Roman"/>
        </w:rPr>
        <w:t>o</w:t>
      </w:r>
      <w:r w:rsidR="004F40FC" w:rsidRPr="00847696">
        <w:rPr>
          <w:rFonts w:ascii="Times New Roman" w:hAnsi="Times New Roman"/>
        </w:rPr>
        <w:t xml:space="preserve">rders </w:t>
      </w:r>
      <w:r w:rsidR="00FD2581" w:rsidRPr="00847696">
        <w:rPr>
          <w:rFonts w:ascii="Times New Roman" w:hAnsi="Times New Roman"/>
        </w:rPr>
        <w:t>2</w:t>
      </w:r>
      <w:r w:rsidR="004F40FC" w:rsidRPr="00847696">
        <w:rPr>
          <w:rFonts w:ascii="Times New Roman" w:hAnsi="Times New Roman"/>
        </w:rPr>
        <w:t xml:space="preserve"> to 8, 10</w:t>
      </w:r>
      <w:r w:rsidR="004F40FC" w:rsidRPr="00847696">
        <w:rPr>
          <w:rFonts w:ascii="Times New Roman" w:hAnsi="Times New Roman"/>
          <w:sz w:val="23"/>
          <w:szCs w:val="23"/>
        </w:rPr>
        <w:t xml:space="preserve"> </w:t>
      </w:r>
      <w:r w:rsidR="004F40FC" w:rsidRPr="00847696">
        <w:rPr>
          <w:rFonts w:ascii="Times New Roman" w:hAnsi="Times New Roman"/>
        </w:rPr>
        <w:t xml:space="preserve">and 11 </w:t>
      </w:r>
      <w:r w:rsidR="00157043" w:rsidRPr="00847696">
        <w:rPr>
          <w:rFonts w:ascii="Times New Roman" w:hAnsi="Times New Roman"/>
        </w:rPr>
        <w:t xml:space="preserve">of the orders </w:t>
      </w:r>
      <w:r w:rsidR="004F40FC" w:rsidRPr="00847696">
        <w:rPr>
          <w:rFonts w:ascii="Times New Roman" w:hAnsi="Times New Roman"/>
        </w:rPr>
        <w:t xml:space="preserve">made by the primary judge on 16 February 2018 </w:t>
      </w:r>
      <w:r w:rsidRPr="00847696">
        <w:rPr>
          <w:rFonts w:ascii="Times New Roman" w:hAnsi="Times New Roman"/>
        </w:rPr>
        <w:t xml:space="preserve">be set aside </w:t>
      </w:r>
      <w:r w:rsidR="004F40FC" w:rsidRPr="00847696">
        <w:rPr>
          <w:rFonts w:ascii="Times New Roman" w:hAnsi="Times New Roman"/>
        </w:rPr>
        <w:t xml:space="preserve">and, in lieu thereof, </w:t>
      </w:r>
      <w:r w:rsidRPr="00847696">
        <w:rPr>
          <w:rFonts w:ascii="Times New Roman" w:hAnsi="Times New Roman"/>
        </w:rPr>
        <w:t xml:space="preserve">it be </w:t>
      </w:r>
      <w:r w:rsidR="004F40FC" w:rsidRPr="00847696">
        <w:rPr>
          <w:rFonts w:ascii="Times New Roman" w:hAnsi="Times New Roman"/>
        </w:rPr>
        <w:t>order</w:t>
      </w:r>
      <w:r w:rsidRPr="00847696">
        <w:rPr>
          <w:rFonts w:ascii="Times New Roman" w:hAnsi="Times New Roman"/>
        </w:rPr>
        <w:t>ed</w:t>
      </w:r>
      <w:r w:rsidR="004F40FC" w:rsidRPr="00847696">
        <w:rPr>
          <w:rFonts w:ascii="Times New Roman" w:hAnsi="Times New Roman"/>
        </w:rPr>
        <w:t xml:space="preserve"> that:</w:t>
      </w:r>
    </w:p>
    <w:p w14:paraId="2C3921D2" w14:textId="729BC3C5" w:rsidR="004F40FC" w:rsidRPr="00847696" w:rsidRDefault="004F40FC" w:rsidP="00847696">
      <w:pPr>
        <w:pStyle w:val="NormalBody"/>
        <w:spacing w:after="260" w:line="280" w:lineRule="exact"/>
        <w:ind w:left="2160" w:right="0" w:hanging="720"/>
        <w:jc w:val="both"/>
        <w:rPr>
          <w:rFonts w:ascii="Times New Roman" w:hAnsi="Times New Roman"/>
        </w:rPr>
      </w:pPr>
      <w:r w:rsidRPr="00847696">
        <w:rPr>
          <w:rFonts w:ascii="Times New Roman" w:hAnsi="Times New Roman"/>
        </w:rPr>
        <w:t>(</w:t>
      </w:r>
      <w:proofErr w:type="spellStart"/>
      <w:r w:rsidR="00C736DC" w:rsidRPr="00847696">
        <w:rPr>
          <w:rFonts w:ascii="Times New Roman" w:hAnsi="Times New Roman"/>
        </w:rPr>
        <w:t>i</w:t>
      </w:r>
      <w:proofErr w:type="spellEnd"/>
      <w:r w:rsidRPr="00847696">
        <w:rPr>
          <w:rFonts w:ascii="Times New Roman" w:hAnsi="Times New Roman"/>
        </w:rPr>
        <w:t>)</w:t>
      </w:r>
      <w:r w:rsidRPr="00847696">
        <w:rPr>
          <w:rFonts w:ascii="Times New Roman" w:hAnsi="Times New Roman"/>
        </w:rPr>
        <w:tab/>
        <w:t xml:space="preserve">the </w:t>
      </w:r>
      <w:r w:rsidR="00145DDB" w:rsidRPr="00847696">
        <w:rPr>
          <w:rFonts w:ascii="Times New Roman" w:hAnsi="Times New Roman"/>
        </w:rPr>
        <w:t xml:space="preserve">applicants' </w:t>
      </w:r>
      <w:r w:rsidRPr="00847696">
        <w:rPr>
          <w:rFonts w:ascii="Times New Roman" w:hAnsi="Times New Roman"/>
        </w:rPr>
        <w:t xml:space="preserve">originating application, including the </w:t>
      </w:r>
      <w:r w:rsidR="00E97142" w:rsidRPr="00847696">
        <w:rPr>
          <w:rFonts w:ascii="Times New Roman" w:hAnsi="Times New Roman"/>
        </w:rPr>
        <w:t>applicants</w:t>
      </w:r>
      <w:r w:rsidRPr="00847696">
        <w:rPr>
          <w:rFonts w:ascii="Times New Roman" w:hAnsi="Times New Roman"/>
        </w:rPr>
        <w:t>' claims of patent infringement, breach of cl</w:t>
      </w:r>
      <w:r w:rsidR="00B01F17" w:rsidRPr="00847696">
        <w:rPr>
          <w:rFonts w:ascii="Times New Roman" w:hAnsi="Times New Roman"/>
        </w:rPr>
        <w:t> </w:t>
      </w:r>
      <w:r w:rsidRPr="00847696">
        <w:rPr>
          <w:rFonts w:ascii="Times New Roman" w:hAnsi="Times New Roman"/>
        </w:rPr>
        <w:t>2(a)(ii) of the settlement deed, breach of statutory duties under ss</w:t>
      </w:r>
      <w:r w:rsidR="00CE3474" w:rsidRPr="00847696">
        <w:rPr>
          <w:rFonts w:ascii="Times New Roman" w:hAnsi="Times New Roman"/>
        </w:rPr>
        <w:t> </w:t>
      </w:r>
      <w:r w:rsidRPr="00847696">
        <w:rPr>
          <w:rFonts w:ascii="Times New Roman" w:hAnsi="Times New Roman"/>
        </w:rPr>
        <w:t xml:space="preserve">145 and 148 of the </w:t>
      </w:r>
      <w:r w:rsidRPr="00847696">
        <w:rPr>
          <w:rFonts w:ascii="Times New Roman" w:hAnsi="Times New Roman"/>
          <w:i/>
          <w:iCs/>
        </w:rPr>
        <w:t xml:space="preserve">Trade Marks Act 1995 </w:t>
      </w:r>
      <w:r w:rsidRPr="00847696">
        <w:rPr>
          <w:rFonts w:ascii="Times New Roman" w:hAnsi="Times New Roman"/>
        </w:rPr>
        <w:t>(</w:t>
      </w:r>
      <w:proofErr w:type="spellStart"/>
      <w:r w:rsidRPr="00847696">
        <w:rPr>
          <w:rFonts w:ascii="Times New Roman" w:hAnsi="Times New Roman"/>
        </w:rPr>
        <w:t>Cth</w:t>
      </w:r>
      <w:proofErr w:type="spellEnd"/>
      <w:r w:rsidRPr="00847696">
        <w:rPr>
          <w:rFonts w:ascii="Times New Roman" w:hAnsi="Times New Roman"/>
        </w:rPr>
        <w:t>) and contravention of ss</w:t>
      </w:r>
      <w:r w:rsidR="00CE3474" w:rsidRPr="00847696">
        <w:rPr>
          <w:rFonts w:ascii="Times New Roman" w:hAnsi="Times New Roman"/>
        </w:rPr>
        <w:t> </w:t>
      </w:r>
      <w:r w:rsidRPr="00847696">
        <w:rPr>
          <w:rFonts w:ascii="Times New Roman" w:hAnsi="Times New Roman"/>
        </w:rPr>
        <w:t xml:space="preserve">18 and 29 of Sch 2 to the </w:t>
      </w:r>
      <w:r w:rsidRPr="00847696">
        <w:rPr>
          <w:rFonts w:ascii="Times New Roman" w:hAnsi="Times New Roman"/>
          <w:i/>
          <w:iCs/>
        </w:rPr>
        <w:t xml:space="preserve">Competition and Consumer Act 2010 </w:t>
      </w:r>
      <w:r w:rsidRPr="00847696">
        <w:rPr>
          <w:rFonts w:ascii="Times New Roman" w:hAnsi="Times New Roman"/>
        </w:rPr>
        <w:t>(</w:t>
      </w:r>
      <w:proofErr w:type="spellStart"/>
      <w:r w:rsidRPr="00847696">
        <w:rPr>
          <w:rFonts w:ascii="Times New Roman" w:hAnsi="Times New Roman"/>
        </w:rPr>
        <w:t>Cth</w:t>
      </w:r>
      <w:proofErr w:type="spellEnd"/>
      <w:r w:rsidRPr="00847696">
        <w:rPr>
          <w:rFonts w:ascii="Times New Roman" w:hAnsi="Times New Roman"/>
        </w:rPr>
        <w:t xml:space="preserve">), </w:t>
      </w:r>
      <w:r w:rsidR="005A62B4">
        <w:rPr>
          <w:rFonts w:ascii="Times New Roman" w:hAnsi="Times New Roman"/>
        </w:rPr>
        <w:t xml:space="preserve">otherwise </w:t>
      </w:r>
      <w:r w:rsidRPr="00847696">
        <w:rPr>
          <w:rFonts w:ascii="Times New Roman" w:hAnsi="Times New Roman"/>
        </w:rPr>
        <w:t>be dismissed; and</w:t>
      </w:r>
    </w:p>
    <w:p w14:paraId="26D34EFB" w14:textId="00B13BAA" w:rsidR="004F40FC" w:rsidRPr="00847696" w:rsidRDefault="004F40FC" w:rsidP="00847696">
      <w:pPr>
        <w:pStyle w:val="NormalBody"/>
        <w:spacing w:after="260" w:line="280" w:lineRule="exact"/>
        <w:ind w:left="2160" w:right="0" w:hanging="720"/>
        <w:jc w:val="both"/>
        <w:rPr>
          <w:rFonts w:ascii="Times New Roman" w:hAnsi="Times New Roman"/>
        </w:rPr>
      </w:pPr>
      <w:r w:rsidRPr="00847696">
        <w:rPr>
          <w:rFonts w:ascii="Times New Roman" w:hAnsi="Times New Roman"/>
        </w:rPr>
        <w:t>(</w:t>
      </w:r>
      <w:r w:rsidR="00C736DC" w:rsidRPr="00847696">
        <w:rPr>
          <w:rFonts w:ascii="Times New Roman" w:hAnsi="Times New Roman"/>
        </w:rPr>
        <w:t>ii</w:t>
      </w:r>
      <w:r w:rsidRPr="00847696">
        <w:rPr>
          <w:rFonts w:ascii="Times New Roman" w:hAnsi="Times New Roman"/>
        </w:rPr>
        <w:t>)</w:t>
      </w:r>
      <w:r w:rsidRPr="00847696">
        <w:rPr>
          <w:rFonts w:ascii="Times New Roman" w:hAnsi="Times New Roman"/>
        </w:rPr>
        <w:tab/>
        <w:t xml:space="preserve">subject to order 9 </w:t>
      </w:r>
      <w:r w:rsidR="001230D9" w:rsidRPr="00847696">
        <w:rPr>
          <w:rFonts w:ascii="Times New Roman" w:hAnsi="Times New Roman"/>
        </w:rPr>
        <w:t xml:space="preserve">of the orders </w:t>
      </w:r>
      <w:r w:rsidRPr="00847696">
        <w:rPr>
          <w:rFonts w:ascii="Times New Roman" w:hAnsi="Times New Roman"/>
        </w:rPr>
        <w:t xml:space="preserve">made by the primary judge on 16 February 2018, the </w:t>
      </w:r>
      <w:r w:rsidR="008F0862" w:rsidRPr="00847696">
        <w:rPr>
          <w:rFonts w:ascii="Times New Roman" w:hAnsi="Times New Roman"/>
        </w:rPr>
        <w:t>applicant</w:t>
      </w:r>
      <w:r w:rsidRPr="00847696">
        <w:rPr>
          <w:rFonts w:ascii="Times New Roman" w:hAnsi="Times New Roman"/>
        </w:rPr>
        <w:t xml:space="preserve">s pay the </w:t>
      </w:r>
      <w:r w:rsidR="008F0862" w:rsidRPr="00847696">
        <w:rPr>
          <w:rFonts w:ascii="Times New Roman" w:hAnsi="Times New Roman"/>
        </w:rPr>
        <w:t>responden</w:t>
      </w:r>
      <w:r w:rsidRPr="00847696">
        <w:rPr>
          <w:rFonts w:ascii="Times New Roman" w:hAnsi="Times New Roman"/>
        </w:rPr>
        <w:t>ts' costs of the proceeding</w:t>
      </w:r>
      <w:r w:rsidR="00654A31" w:rsidRPr="00847696">
        <w:rPr>
          <w:rFonts w:ascii="Times New Roman" w:hAnsi="Times New Roman"/>
        </w:rPr>
        <w:t>; and</w:t>
      </w:r>
    </w:p>
    <w:p w14:paraId="2558EFC9" w14:textId="77777777" w:rsidR="00847696" w:rsidRDefault="00A96E24" w:rsidP="00847696">
      <w:pPr>
        <w:pStyle w:val="NormalBody"/>
        <w:spacing w:after="260" w:line="280" w:lineRule="exact"/>
        <w:ind w:left="1440" w:right="0" w:hanging="720"/>
        <w:jc w:val="both"/>
        <w:rPr>
          <w:rFonts w:ascii="Times New Roman" w:hAnsi="Times New Roman"/>
        </w:rPr>
      </w:pPr>
      <w:r w:rsidRPr="00847696">
        <w:rPr>
          <w:rFonts w:ascii="Times New Roman" w:hAnsi="Times New Roman"/>
        </w:rPr>
        <w:t>(c)</w:t>
      </w:r>
      <w:r w:rsidR="004F40FC" w:rsidRPr="00847696">
        <w:rPr>
          <w:rFonts w:ascii="Times New Roman" w:hAnsi="Times New Roman"/>
        </w:rPr>
        <w:tab/>
      </w:r>
      <w:r w:rsidR="00BF1123" w:rsidRPr="00847696">
        <w:rPr>
          <w:rFonts w:ascii="Times New Roman" w:hAnsi="Times New Roman"/>
        </w:rPr>
        <w:t>t</w:t>
      </w:r>
      <w:r w:rsidR="004F40FC" w:rsidRPr="00847696">
        <w:rPr>
          <w:rFonts w:ascii="Times New Roman" w:hAnsi="Times New Roman"/>
        </w:rPr>
        <w:t>he matter be remitted to the primary judge for determination of the respondents' claim for pecuniary relief for breach of cl</w:t>
      </w:r>
      <w:r w:rsidR="00772291" w:rsidRPr="00847696">
        <w:rPr>
          <w:rFonts w:ascii="Times New Roman" w:hAnsi="Times New Roman"/>
        </w:rPr>
        <w:t> </w:t>
      </w:r>
      <w:r w:rsidR="004F40FC" w:rsidRPr="00847696">
        <w:rPr>
          <w:rFonts w:ascii="Times New Roman" w:hAnsi="Times New Roman"/>
        </w:rPr>
        <w:t>2(a)(</w:t>
      </w:r>
      <w:proofErr w:type="spellStart"/>
      <w:r w:rsidR="004F40FC" w:rsidRPr="00847696">
        <w:rPr>
          <w:rFonts w:ascii="Times New Roman" w:hAnsi="Times New Roman"/>
        </w:rPr>
        <w:t>i</w:t>
      </w:r>
      <w:proofErr w:type="spellEnd"/>
      <w:r w:rsidR="004F40FC" w:rsidRPr="00847696">
        <w:rPr>
          <w:rFonts w:ascii="Times New Roman" w:hAnsi="Times New Roman"/>
        </w:rPr>
        <w:t>) of the settlement deed.</w:t>
      </w:r>
    </w:p>
    <w:p w14:paraId="16171372" w14:textId="77777777" w:rsidR="00261C63" w:rsidRDefault="00261C63" w:rsidP="00847696">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b/>
          <w:szCs w:val="20"/>
        </w:rPr>
      </w:pPr>
    </w:p>
    <w:p w14:paraId="3D7A2BCB" w14:textId="77777777" w:rsidR="00261C63" w:rsidRDefault="00261C63" w:rsidP="00847696">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b/>
          <w:szCs w:val="20"/>
        </w:rPr>
        <w:sectPr w:rsidR="00261C63" w:rsidSect="0047638A">
          <w:headerReference w:type="even" r:id="rId9"/>
          <w:headerReference w:type="default" r:id="rId10"/>
          <w:footerReference w:type="even" r:id="rId11"/>
          <w:footerReference w:type="default" r:id="rId12"/>
          <w:headerReference w:type="first" r:id="rId13"/>
          <w:footerReference w:type="first" r:id="rId14"/>
          <w:pgSz w:w="11907" w:h="16839" w:code="9"/>
          <w:pgMar w:top="1440" w:right="1701" w:bottom="1984" w:left="1701" w:header="720" w:footer="720" w:gutter="0"/>
          <w:pgNumType w:start="1"/>
          <w:cols w:space="720"/>
          <w:titlePg/>
          <w:docGrid w:linePitch="354"/>
        </w:sectPr>
      </w:pPr>
    </w:p>
    <w:p w14:paraId="46AF5C2B" w14:textId="32F96C42" w:rsidR="00261C63" w:rsidRPr="00250C1E" w:rsidRDefault="00261C63" w:rsidP="00261C63">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250C1E">
        <w:rPr>
          <w:rFonts w:ascii="Times New Roman" w:hAnsi="Times New Roman"/>
        </w:rPr>
        <w:lastRenderedPageBreak/>
        <w:t xml:space="preserve">GAGELER J.   I agree entirely with the judgment and reasons for judgment of Kiefel CJ, Bell and Keane JJ. </w:t>
      </w:r>
      <w:bookmarkStart w:id="2" w:name="_Hlk56493751"/>
      <w:r w:rsidRPr="00250C1E">
        <w:rPr>
          <w:rFonts w:ascii="Times New Roman" w:hAnsi="Times New Roman"/>
        </w:rPr>
        <w:t xml:space="preserve">I considered whether I should simply concur. </w:t>
      </w:r>
      <w:r w:rsidR="0040062F">
        <w:rPr>
          <w:rFonts w:ascii="Times New Roman" w:hAnsi="Times New Roman"/>
        </w:rPr>
        <w:t>Had I simply concurred, c</w:t>
      </w:r>
      <w:r w:rsidRPr="00250C1E">
        <w:rPr>
          <w:rFonts w:ascii="Times New Roman" w:hAnsi="Times New Roman"/>
        </w:rPr>
        <w:t xml:space="preserve">onventional courtesies would </w:t>
      </w:r>
      <w:r w:rsidR="0040062F">
        <w:rPr>
          <w:rFonts w:ascii="Times New Roman" w:hAnsi="Times New Roman"/>
        </w:rPr>
        <w:t xml:space="preserve">have </w:t>
      </w:r>
      <w:r w:rsidRPr="00250C1E">
        <w:rPr>
          <w:rFonts w:ascii="Times New Roman" w:hAnsi="Times New Roman"/>
        </w:rPr>
        <w:t>result</w:t>
      </w:r>
      <w:r w:rsidR="0040062F">
        <w:rPr>
          <w:rFonts w:ascii="Times New Roman" w:hAnsi="Times New Roman"/>
        </w:rPr>
        <w:t>ed</w:t>
      </w:r>
      <w:r w:rsidRPr="00250C1E">
        <w:rPr>
          <w:rFonts w:ascii="Times New Roman" w:hAnsi="Times New Roman"/>
        </w:rPr>
        <w:t xml:space="preserve"> in an invitation to join, which I would</w:t>
      </w:r>
      <w:r w:rsidR="0040062F">
        <w:rPr>
          <w:rFonts w:ascii="Times New Roman" w:hAnsi="Times New Roman"/>
        </w:rPr>
        <w:t xml:space="preserve"> have</w:t>
      </w:r>
      <w:r w:rsidRPr="00250C1E">
        <w:rPr>
          <w:rFonts w:ascii="Times New Roman" w:hAnsi="Times New Roman"/>
        </w:rPr>
        <w:t xml:space="preserve"> gratefully accept</w:t>
      </w:r>
      <w:r w:rsidR="0040062F">
        <w:rPr>
          <w:rFonts w:ascii="Times New Roman" w:hAnsi="Times New Roman"/>
        </w:rPr>
        <w:t>ed</w:t>
      </w:r>
      <w:r w:rsidRPr="00250C1E">
        <w:rPr>
          <w:rFonts w:ascii="Times New Roman" w:hAnsi="Times New Roman"/>
        </w:rPr>
        <w:t xml:space="preserve">. </w:t>
      </w:r>
      <w:bookmarkEnd w:id="2"/>
      <w:r w:rsidRPr="00250C1E">
        <w:rPr>
          <w:rFonts w:ascii="Times New Roman" w:hAnsi="Times New Roman"/>
        </w:rPr>
        <w:t>A joint judgment signifies adherence to the substance of what is written. A joint judgment does not necessarily imply joint authorship.</w:t>
      </w:r>
    </w:p>
    <w:p w14:paraId="506FC2C6" w14:textId="0535492B"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r>
      <w:bookmarkStart w:id="3" w:name="_Hlk56493790"/>
      <w:r w:rsidRPr="00250C1E">
        <w:rPr>
          <w:rFonts w:ascii="Times New Roman" w:hAnsi="Times New Roman"/>
        </w:rPr>
        <w:t xml:space="preserve">I </w:t>
      </w:r>
      <w:r w:rsidR="0040062F">
        <w:rPr>
          <w:rFonts w:ascii="Times New Roman" w:hAnsi="Times New Roman"/>
        </w:rPr>
        <w:t xml:space="preserve">have chosen to </w:t>
      </w:r>
      <w:r w:rsidRPr="00250C1E">
        <w:rPr>
          <w:rFonts w:ascii="Times New Roman" w:hAnsi="Times New Roman"/>
        </w:rPr>
        <w:t xml:space="preserve">write additionally, as distinct from separately. </w:t>
      </w:r>
      <w:bookmarkEnd w:id="3"/>
      <w:r w:rsidRPr="00250C1E">
        <w:rPr>
          <w:rFonts w:ascii="Times New Roman" w:hAnsi="Times New Roman"/>
        </w:rPr>
        <w:t>In deference to the closely reasoned dissent of Nettle, Gordon and Edelman JJ, I feel the need to explain in my own words why I cannot accept the reasons their Honours advance for considering that the implied licence doctrine should not be abandoned in favour of the exhaustion of rights doctrine. I hope to express myself without undue repetition of points made in the joint majority judgment of Kiefel CJ, Bell and Keane JJ. I adopt the structure of the joint dissenting judgment and adopt the abbreviations of the joint majority judgment.</w:t>
      </w:r>
    </w:p>
    <w:p w14:paraId="6A900802"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I start with the history. Uncertainty and controversy about the nature of the right granted by a patent for an invention became less pronounced in the second half of the nineteenth century</w:t>
      </w:r>
      <w:r w:rsidRPr="00250C1E">
        <w:rPr>
          <w:rStyle w:val="FootnoteReference"/>
          <w:rFonts w:ascii="Times New Roman" w:hAnsi="Times New Roman"/>
          <w:sz w:val="24"/>
        </w:rPr>
        <w:footnoteReference w:id="151"/>
      </w:r>
      <w:r w:rsidRPr="00250C1E">
        <w:rPr>
          <w:rFonts w:ascii="Times New Roman" w:hAnsi="Times New Roman"/>
        </w:rPr>
        <w:t xml:space="preserve">. There remained a residue of imprecision attributable to the ongoing use for the making of the grant of "Letters Patent" </w:t>
      </w:r>
      <w:r w:rsidRPr="00250C1E">
        <w:rPr>
          <w:rFonts w:ascii="Times New Roman" w:hAnsi="Times New Roman"/>
        </w:rPr>
        <w:sym w:font="Symbol" w:char="F02D"/>
      </w:r>
      <w:r w:rsidRPr="00250C1E">
        <w:rPr>
          <w:rFonts w:ascii="Times New Roman" w:hAnsi="Times New Roman"/>
        </w:rPr>
        <w:t xml:space="preserve"> an open letter "addressed by the king to all his subjects at large"</w:t>
      </w:r>
      <w:r w:rsidRPr="00250C1E">
        <w:rPr>
          <w:rStyle w:val="FootnoteReference"/>
          <w:rFonts w:ascii="Times New Roman" w:hAnsi="Times New Roman"/>
          <w:sz w:val="24"/>
        </w:rPr>
        <w:footnoteReference w:id="152"/>
      </w:r>
      <w:r w:rsidRPr="00250C1E">
        <w:rPr>
          <w:rFonts w:ascii="Times New Roman" w:hAnsi="Times New Roman"/>
        </w:rPr>
        <w:t xml:space="preserve"> </w:t>
      </w:r>
      <w:r w:rsidRPr="00250C1E">
        <w:rPr>
          <w:rFonts w:ascii="Times New Roman" w:hAnsi="Times New Roman"/>
        </w:rPr>
        <w:sym w:font="Symbol" w:char="F02D"/>
      </w:r>
      <w:r w:rsidRPr="00250C1E">
        <w:rPr>
          <w:rFonts w:ascii="Times New Roman" w:hAnsi="Times New Roman"/>
        </w:rPr>
        <w:t xml:space="preserve"> couched in pre</w:t>
      </w:r>
      <w:r w:rsidRPr="00250C1E">
        <w:rPr>
          <w:rFonts w:ascii="Times New Roman" w:hAnsi="Times New Roman"/>
        </w:rPr>
        <w:noBreakHyphen/>
        <w:t>modern terminology</w:t>
      </w:r>
      <w:r w:rsidRPr="00250C1E">
        <w:rPr>
          <w:rStyle w:val="FootnoteReference"/>
          <w:rFonts w:ascii="Times New Roman" w:hAnsi="Times New Roman"/>
          <w:sz w:val="24"/>
        </w:rPr>
        <w:footnoteReference w:id="153"/>
      </w:r>
      <w:r w:rsidRPr="00250C1E">
        <w:rPr>
          <w:rFonts w:ascii="Times New Roman" w:hAnsi="Times New Roman"/>
        </w:rPr>
        <w:t xml:space="preserve"> which would have carried more freight in the Tudor era in which it originated</w:t>
      </w:r>
      <w:r w:rsidRPr="00250C1E">
        <w:rPr>
          <w:rStyle w:val="FootnoteReference"/>
          <w:rFonts w:ascii="Times New Roman" w:hAnsi="Times New Roman"/>
          <w:sz w:val="24"/>
        </w:rPr>
        <w:footnoteReference w:id="154"/>
      </w:r>
      <w:r w:rsidRPr="00250C1E">
        <w:rPr>
          <w:rFonts w:ascii="Times New Roman" w:hAnsi="Times New Roman"/>
        </w:rPr>
        <w:t xml:space="preserve">. By the turn of the twentieth century, that terminology was an historical relic. The nature of the right granted by a patent had been determined judicially. </w:t>
      </w:r>
    </w:p>
    <w:p w14:paraId="32902C03"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In the United Kingdom, where Letters Patent for an invention were expressed to grant the "full power, sole privilege, and authority" to "make, use, exercise, and vend the ... invention"</w:t>
      </w:r>
      <w:r w:rsidRPr="00250C1E">
        <w:rPr>
          <w:rStyle w:val="FootnoteReference"/>
          <w:rFonts w:ascii="Times New Roman" w:hAnsi="Times New Roman"/>
          <w:sz w:val="24"/>
        </w:rPr>
        <w:footnoteReference w:id="155"/>
      </w:r>
      <w:r w:rsidRPr="00250C1E">
        <w:rPr>
          <w:rFonts w:ascii="Times New Roman" w:hAnsi="Times New Roman"/>
        </w:rPr>
        <w:t xml:space="preserve">, the House of Lords held in 1893 that a patent did not confer a positive right to use the invention but rather a negative right </w:t>
      </w:r>
      <w:r w:rsidRPr="00250C1E">
        <w:rPr>
          <w:rFonts w:ascii="Times New Roman" w:hAnsi="Times New Roman"/>
        </w:rPr>
        <w:lastRenderedPageBreak/>
        <w:t>"to prevent the rest of the world from using it"</w:t>
      </w:r>
      <w:r w:rsidRPr="00250C1E">
        <w:rPr>
          <w:rStyle w:val="FootnoteReference"/>
          <w:rFonts w:ascii="Times New Roman" w:hAnsi="Times New Roman"/>
          <w:sz w:val="24"/>
        </w:rPr>
        <w:footnoteReference w:id="156"/>
      </w:r>
      <w:r w:rsidRPr="00250C1E">
        <w:rPr>
          <w:rFonts w:ascii="Times New Roman" w:hAnsi="Times New Roman"/>
        </w:rPr>
        <w:t xml:space="preserve">. Thus, one of several holders of a patent was not required to account to the other holders of the patent for profits made from using the invention. </w:t>
      </w:r>
    </w:p>
    <w:p w14:paraId="5FF54F85"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In the United States, where the effect of a patent was expressed by statute as being to grant "the exclusive right to make, use, and vend the invention"</w:t>
      </w:r>
      <w:r w:rsidRPr="00250C1E">
        <w:rPr>
          <w:rStyle w:val="FootnoteReference"/>
          <w:rFonts w:ascii="Times New Roman" w:hAnsi="Times New Roman"/>
          <w:sz w:val="24"/>
        </w:rPr>
        <w:footnoteReference w:id="157"/>
      </w:r>
      <w:r w:rsidRPr="00250C1E">
        <w:rPr>
          <w:rFonts w:ascii="Times New Roman" w:hAnsi="Times New Roman"/>
        </w:rPr>
        <w:t>, the Supreme Court held to like effect in 1897 that a patent conveyed to a patentee "nothing that he did not have theretofore" other than the right "to restrain others from manufacturing and using that which he invented"</w:t>
      </w:r>
      <w:r w:rsidRPr="00250C1E">
        <w:rPr>
          <w:rStyle w:val="FootnoteReference"/>
          <w:rFonts w:ascii="Times New Roman" w:hAnsi="Times New Roman"/>
          <w:sz w:val="24"/>
        </w:rPr>
        <w:footnoteReference w:id="158"/>
      </w:r>
      <w:r w:rsidRPr="00250C1E">
        <w:rPr>
          <w:rFonts w:ascii="Times New Roman" w:hAnsi="Times New Roman"/>
        </w:rPr>
        <w:t>. Thus, the Government of the United States parted with nothing in granting a patent and had no proprietary interest in setting aside the patent as wrongfully issued. In so holding, the Supreme Court gave effect to the understanding it had articulated in 1853, from which it had never departed, that "[t]he franchise which the patent grants, consists altogether in the right to exclude every one from making, using, or vending the thing patented, without the permission of the patentee. This is all that he obtains by the patent."</w:t>
      </w:r>
      <w:r w:rsidRPr="00250C1E">
        <w:rPr>
          <w:rStyle w:val="FootnoteReference"/>
          <w:rFonts w:ascii="Times New Roman" w:hAnsi="Times New Roman"/>
          <w:sz w:val="24"/>
        </w:rPr>
        <w:footnoteReference w:id="159"/>
      </w:r>
      <w:r w:rsidRPr="00250C1E">
        <w:rPr>
          <w:rFonts w:ascii="Times New Roman" w:hAnsi="Times New Roman"/>
        </w:rPr>
        <w:t xml:space="preserve"> </w:t>
      </w:r>
    </w:p>
    <w:p w14:paraId="60F898C0"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 xml:space="preserve">The significance of the timing of those authoritative judicial pronouncements in the United Kingdom and in the United States is that they occurred before the </w:t>
      </w:r>
      <w:r w:rsidRPr="00250C1E">
        <w:rPr>
          <w:rFonts w:ascii="Times New Roman" w:hAnsi="Times New Roman"/>
          <w:i/>
        </w:rPr>
        <w:t>Constitution</w:t>
      </w:r>
      <w:r w:rsidRPr="00250C1E">
        <w:rPr>
          <w:rFonts w:ascii="Times New Roman" w:hAnsi="Times New Roman"/>
        </w:rPr>
        <w:t xml:space="preserve"> came to confer power on the Commonwealth Parliament to make laws with respect to "patents of inventions" in 1901</w:t>
      </w:r>
      <w:r w:rsidRPr="00250C1E">
        <w:rPr>
          <w:rStyle w:val="FootnoteReference"/>
          <w:rFonts w:ascii="Times New Roman" w:hAnsi="Times New Roman"/>
          <w:sz w:val="24"/>
        </w:rPr>
        <w:footnoteReference w:id="160"/>
      </w:r>
      <w:r w:rsidRPr="00250C1E">
        <w:rPr>
          <w:rFonts w:ascii="Times New Roman" w:hAnsi="Times New Roman"/>
        </w:rPr>
        <w:t>. Two years later, the Commonwealth Parliament enacted that "[t]he effect of a patent shall be to grant to the patentee full power, sole privilege and authority, by himself, his agents, and licensees during the term of the patent to make, use, exercise, and vend the invention"</w:t>
      </w:r>
      <w:r w:rsidRPr="00250C1E">
        <w:rPr>
          <w:rStyle w:val="FootnoteReference"/>
          <w:rFonts w:ascii="Times New Roman" w:hAnsi="Times New Roman"/>
          <w:sz w:val="24"/>
        </w:rPr>
        <w:footnoteReference w:id="161"/>
      </w:r>
      <w:r w:rsidRPr="00250C1E">
        <w:rPr>
          <w:rFonts w:ascii="Times New Roman" w:hAnsi="Times New Roman"/>
        </w:rPr>
        <w:t xml:space="preserve">. </w:t>
      </w:r>
    </w:p>
    <w:p w14:paraId="3C08EC1F"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 xml:space="preserve">The </w:t>
      </w:r>
      <w:r w:rsidRPr="00250C1E">
        <w:rPr>
          <w:rFonts w:ascii="Times New Roman" w:hAnsi="Times New Roman"/>
          <w:i/>
        </w:rPr>
        <w:t>Patents Act 1903</w:t>
      </w:r>
      <w:r w:rsidRPr="00250C1E">
        <w:rPr>
          <w:rFonts w:ascii="Times New Roman" w:hAnsi="Times New Roman"/>
        </w:rPr>
        <w:t xml:space="preserve"> provided for the grant of a patent to be by Letters Patent issued by the Crown in right of the Commonwealth</w:t>
      </w:r>
      <w:r w:rsidRPr="00250C1E">
        <w:rPr>
          <w:rStyle w:val="FootnoteReference"/>
          <w:rFonts w:ascii="Times New Roman" w:hAnsi="Times New Roman"/>
          <w:sz w:val="24"/>
        </w:rPr>
        <w:footnoteReference w:id="162"/>
      </w:r>
      <w:r w:rsidRPr="00250C1E">
        <w:rPr>
          <w:rFonts w:ascii="Times New Roman" w:hAnsi="Times New Roman"/>
        </w:rPr>
        <w:t>. But the issue of those Letters Patent was to occur only under the authority of that Act</w:t>
      </w:r>
      <w:r w:rsidRPr="00250C1E">
        <w:rPr>
          <w:rStyle w:val="FootnoteReference"/>
          <w:rFonts w:ascii="Times New Roman" w:hAnsi="Times New Roman"/>
          <w:sz w:val="24"/>
        </w:rPr>
        <w:footnoteReference w:id="163"/>
      </w:r>
      <w:r w:rsidRPr="00250C1E">
        <w:rPr>
          <w:rFonts w:ascii="Times New Roman" w:hAnsi="Times New Roman"/>
        </w:rPr>
        <w:t xml:space="preserve">, and the nature </w:t>
      </w:r>
      <w:r w:rsidRPr="00250C1E">
        <w:rPr>
          <w:rFonts w:ascii="Times New Roman" w:hAnsi="Times New Roman"/>
        </w:rPr>
        <w:lastRenderedPageBreak/>
        <w:t>and extent of the right granted by the Letters Patent was to be as defined by that Act. Consistently with the position that had been reached in the United Kingdom and in the United States, the only right granted to the patentee, and the only right that could have been granted pursuant to a law of the Commonwealth Parliament with respect to patents of inventions</w:t>
      </w:r>
      <w:r w:rsidRPr="00250C1E">
        <w:rPr>
          <w:rStyle w:val="FootnoteReference"/>
          <w:rFonts w:ascii="Times New Roman" w:hAnsi="Times New Roman"/>
          <w:sz w:val="24"/>
        </w:rPr>
        <w:footnoteReference w:id="164"/>
      </w:r>
      <w:r w:rsidRPr="00250C1E">
        <w:rPr>
          <w:rFonts w:ascii="Times New Roman" w:hAnsi="Times New Roman"/>
        </w:rPr>
        <w:t xml:space="preserve">, was the right to prevent others from using, exercising and selling the patented invention. </w:t>
      </w:r>
    </w:p>
    <w:p w14:paraId="3D572A18"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 xml:space="preserve">Uncontroversial in </w:t>
      </w:r>
      <w:proofErr w:type="spellStart"/>
      <w:r w:rsidRPr="00250C1E">
        <w:rPr>
          <w:rFonts w:ascii="Times New Roman" w:hAnsi="Times New Roman"/>
          <w:i/>
        </w:rPr>
        <w:t>Menck</w:t>
      </w:r>
      <w:proofErr w:type="spellEnd"/>
      <w:r w:rsidRPr="00250C1E">
        <w:rPr>
          <w:rFonts w:ascii="Times New Roman" w:hAnsi="Times New Roman"/>
          <w:i/>
        </w:rPr>
        <w:t xml:space="preserve"> </w:t>
      </w:r>
      <w:r w:rsidRPr="00250C1E">
        <w:rPr>
          <w:rFonts w:ascii="Times New Roman" w:hAnsi="Times New Roman"/>
        </w:rPr>
        <w:t>(High Court)</w:t>
      </w:r>
      <w:r w:rsidRPr="00250C1E">
        <w:rPr>
          <w:rStyle w:val="FootnoteReference"/>
          <w:rFonts w:ascii="Times New Roman" w:hAnsi="Times New Roman"/>
          <w:sz w:val="24"/>
        </w:rPr>
        <w:footnoteReference w:id="165"/>
      </w:r>
      <w:r w:rsidRPr="00250C1E">
        <w:rPr>
          <w:rFonts w:ascii="Times New Roman" w:hAnsi="Times New Roman"/>
        </w:rPr>
        <w:t xml:space="preserve"> and in </w:t>
      </w:r>
      <w:proofErr w:type="spellStart"/>
      <w:r w:rsidRPr="00250C1E">
        <w:rPr>
          <w:rFonts w:ascii="Times New Roman" w:hAnsi="Times New Roman"/>
          <w:i/>
        </w:rPr>
        <w:t>Menck</w:t>
      </w:r>
      <w:proofErr w:type="spellEnd"/>
      <w:r w:rsidRPr="00250C1E">
        <w:rPr>
          <w:rFonts w:ascii="Times New Roman" w:hAnsi="Times New Roman"/>
          <w:i/>
        </w:rPr>
        <w:t xml:space="preserve"> </w:t>
      </w:r>
      <w:r w:rsidRPr="00250C1E">
        <w:rPr>
          <w:rFonts w:ascii="Times New Roman" w:hAnsi="Times New Roman"/>
        </w:rPr>
        <w:t>(Privy Council)</w:t>
      </w:r>
      <w:r w:rsidRPr="00250C1E">
        <w:rPr>
          <w:rStyle w:val="FootnoteReference"/>
          <w:rFonts w:ascii="Times New Roman" w:hAnsi="Times New Roman"/>
          <w:sz w:val="24"/>
        </w:rPr>
        <w:footnoteReference w:id="166"/>
      </w:r>
      <w:r w:rsidRPr="00250C1E">
        <w:rPr>
          <w:rFonts w:ascii="Times New Roman" w:hAnsi="Times New Roman"/>
        </w:rPr>
        <w:t xml:space="preserve"> was the characterisation of the right of a patentee as "a sole right", meaning, "put negatively", a "power to exclude all others from the right of production [etc] of the patented article". In </w:t>
      </w:r>
      <w:r w:rsidRPr="00250C1E">
        <w:rPr>
          <w:rFonts w:ascii="Times New Roman" w:hAnsi="Times New Roman"/>
          <w:i/>
        </w:rPr>
        <w:t xml:space="preserve">British </w:t>
      </w:r>
      <w:proofErr w:type="spellStart"/>
      <w:r w:rsidRPr="00250C1E">
        <w:rPr>
          <w:rFonts w:ascii="Times New Roman" w:hAnsi="Times New Roman"/>
          <w:i/>
        </w:rPr>
        <w:t>Mutoscope</w:t>
      </w:r>
      <w:proofErr w:type="spellEnd"/>
      <w:r w:rsidRPr="00250C1E">
        <w:rPr>
          <w:rFonts w:ascii="Times New Roman" w:hAnsi="Times New Roman"/>
          <w:i/>
        </w:rPr>
        <w:t xml:space="preserve"> and Biograph Co Ltd v Homer</w:t>
      </w:r>
      <w:r w:rsidRPr="00250C1E">
        <w:rPr>
          <w:rStyle w:val="FootnoteReference"/>
          <w:rFonts w:ascii="Times New Roman" w:hAnsi="Times New Roman"/>
          <w:sz w:val="24"/>
        </w:rPr>
        <w:footnoteReference w:id="167"/>
      </w:r>
      <w:r w:rsidRPr="00250C1E">
        <w:rPr>
          <w:rFonts w:ascii="Times New Roman" w:hAnsi="Times New Roman"/>
        </w:rPr>
        <w:t xml:space="preserve">, to which favourable reference was made both in </w:t>
      </w:r>
      <w:proofErr w:type="spellStart"/>
      <w:r w:rsidRPr="00250C1E">
        <w:rPr>
          <w:rFonts w:ascii="Times New Roman" w:hAnsi="Times New Roman"/>
          <w:i/>
        </w:rPr>
        <w:t>Menck</w:t>
      </w:r>
      <w:proofErr w:type="spellEnd"/>
      <w:r w:rsidRPr="00250C1E">
        <w:rPr>
          <w:rFonts w:ascii="Times New Roman" w:hAnsi="Times New Roman"/>
          <w:i/>
        </w:rPr>
        <w:t xml:space="preserve"> </w:t>
      </w:r>
      <w:r w:rsidRPr="00250C1E">
        <w:rPr>
          <w:rFonts w:ascii="Times New Roman" w:hAnsi="Times New Roman"/>
        </w:rPr>
        <w:t>(High Court)</w:t>
      </w:r>
      <w:r w:rsidRPr="00250C1E">
        <w:rPr>
          <w:rStyle w:val="FootnoteReference"/>
          <w:rFonts w:ascii="Times New Roman" w:hAnsi="Times New Roman"/>
          <w:sz w:val="24"/>
        </w:rPr>
        <w:footnoteReference w:id="168"/>
      </w:r>
      <w:r w:rsidRPr="00250C1E">
        <w:rPr>
          <w:rFonts w:ascii="Times New Roman" w:hAnsi="Times New Roman"/>
        </w:rPr>
        <w:t xml:space="preserve"> and in </w:t>
      </w:r>
      <w:proofErr w:type="spellStart"/>
      <w:r w:rsidRPr="00250C1E">
        <w:rPr>
          <w:rFonts w:ascii="Times New Roman" w:hAnsi="Times New Roman"/>
          <w:i/>
        </w:rPr>
        <w:t>Menck</w:t>
      </w:r>
      <w:proofErr w:type="spellEnd"/>
      <w:r w:rsidRPr="00250C1E">
        <w:rPr>
          <w:rFonts w:ascii="Times New Roman" w:hAnsi="Times New Roman"/>
          <w:i/>
        </w:rPr>
        <w:t xml:space="preserve"> </w:t>
      </w:r>
      <w:r w:rsidRPr="00250C1E">
        <w:rPr>
          <w:rFonts w:ascii="Times New Roman" w:hAnsi="Times New Roman"/>
        </w:rPr>
        <w:t>(Privy Council)</w:t>
      </w:r>
      <w:r w:rsidRPr="00250C1E">
        <w:rPr>
          <w:rStyle w:val="FootnoteReference"/>
          <w:rFonts w:ascii="Times New Roman" w:hAnsi="Times New Roman"/>
          <w:sz w:val="24"/>
        </w:rPr>
        <w:footnoteReference w:id="169"/>
      </w:r>
      <w:r w:rsidRPr="00250C1E">
        <w:rPr>
          <w:rFonts w:ascii="Times New Roman" w:hAnsi="Times New Roman"/>
        </w:rPr>
        <w:t>, the right of a patentee had been appropriately described as a "chose in action" as distinct from a "chose in possession". The right was "a right to bring an action to restrain infringement" and to obtain other court-ordered remedies. No less, no more.</w:t>
      </w:r>
    </w:p>
    <w:p w14:paraId="53F6A379"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 xml:space="preserve">The controversy in </w:t>
      </w:r>
      <w:proofErr w:type="spellStart"/>
      <w:r w:rsidRPr="00250C1E">
        <w:rPr>
          <w:rFonts w:ascii="Times New Roman" w:hAnsi="Times New Roman"/>
          <w:i/>
        </w:rPr>
        <w:t>Menck</w:t>
      </w:r>
      <w:proofErr w:type="spellEnd"/>
      <w:r w:rsidRPr="00250C1E">
        <w:rPr>
          <w:rFonts w:ascii="Times New Roman" w:hAnsi="Times New Roman"/>
          <w:i/>
        </w:rPr>
        <w:t xml:space="preserve"> </w:t>
      </w:r>
      <w:r w:rsidRPr="00250C1E">
        <w:rPr>
          <w:rFonts w:ascii="Times New Roman" w:hAnsi="Times New Roman"/>
        </w:rPr>
        <w:t xml:space="preserve">(High Court) and in </w:t>
      </w:r>
      <w:proofErr w:type="spellStart"/>
      <w:r w:rsidRPr="00250C1E">
        <w:rPr>
          <w:rFonts w:ascii="Times New Roman" w:hAnsi="Times New Roman"/>
          <w:i/>
        </w:rPr>
        <w:t>Menck</w:t>
      </w:r>
      <w:proofErr w:type="spellEnd"/>
      <w:r w:rsidRPr="00250C1E">
        <w:rPr>
          <w:rFonts w:ascii="Times New Roman" w:hAnsi="Times New Roman"/>
          <w:i/>
        </w:rPr>
        <w:t xml:space="preserve"> </w:t>
      </w:r>
      <w:r w:rsidRPr="00250C1E">
        <w:rPr>
          <w:rFonts w:ascii="Times New Roman" w:hAnsi="Times New Roman"/>
        </w:rPr>
        <w:t>(Privy Council) was not about the nature of the right of a patentee as a right limited to preventing others from using and selling patented goods. The controversy was about the extent of the right: did the right of the patentee to prevent others from using and selling patented goods extend to preventing others from using and selling patented goods that the patentee had sold?</w:t>
      </w:r>
    </w:p>
    <w:p w14:paraId="37EA411C"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 xml:space="preserve">The majority in </w:t>
      </w:r>
      <w:proofErr w:type="spellStart"/>
      <w:r w:rsidRPr="00250C1E">
        <w:rPr>
          <w:rFonts w:ascii="Times New Roman" w:hAnsi="Times New Roman"/>
          <w:i/>
        </w:rPr>
        <w:t>Menck</w:t>
      </w:r>
      <w:proofErr w:type="spellEnd"/>
      <w:r w:rsidRPr="00250C1E">
        <w:rPr>
          <w:rFonts w:ascii="Times New Roman" w:hAnsi="Times New Roman"/>
          <w:i/>
        </w:rPr>
        <w:t xml:space="preserve"> </w:t>
      </w:r>
      <w:r w:rsidRPr="00250C1E">
        <w:rPr>
          <w:rFonts w:ascii="Times New Roman" w:hAnsi="Times New Roman"/>
        </w:rPr>
        <w:t xml:space="preserve">(High Court) answered that question, no. The majority gave that answer adopting the approach which had been taken in the </w:t>
      </w:r>
      <w:r w:rsidRPr="00250C1E">
        <w:rPr>
          <w:rFonts w:ascii="Times New Roman" w:hAnsi="Times New Roman"/>
        </w:rPr>
        <w:lastRenderedPageBreak/>
        <w:t>United States since at least 1853</w:t>
      </w:r>
      <w:r w:rsidRPr="00250C1E">
        <w:rPr>
          <w:rStyle w:val="FootnoteReference"/>
          <w:rFonts w:ascii="Times New Roman" w:hAnsi="Times New Roman"/>
          <w:sz w:val="24"/>
        </w:rPr>
        <w:footnoteReference w:id="170"/>
      </w:r>
      <w:r w:rsidRPr="00250C1E">
        <w:rPr>
          <w:rFonts w:ascii="Times New Roman" w:hAnsi="Times New Roman"/>
        </w:rPr>
        <w:t xml:space="preserve"> and which continues to be taken now</w:t>
      </w:r>
      <w:r w:rsidRPr="00250C1E">
        <w:rPr>
          <w:rStyle w:val="FootnoteReference"/>
          <w:rFonts w:ascii="Times New Roman" w:hAnsi="Times New Roman"/>
          <w:sz w:val="24"/>
        </w:rPr>
        <w:footnoteReference w:id="171"/>
      </w:r>
      <w:r w:rsidRPr="00250C1E">
        <w:rPr>
          <w:rFonts w:ascii="Times New Roman" w:hAnsi="Times New Roman"/>
        </w:rPr>
        <w:t>. Patented goods, once sold, "passed out of the limit of the monopoly"</w:t>
      </w:r>
      <w:r w:rsidRPr="00250C1E">
        <w:rPr>
          <w:rStyle w:val="FootnoteReference"/>
          <w:rFonts w:ascii="Times New Roman" w:hAnsi="Times New Roman"/>
          <w:sz w:val="24"/>
        </w:rPr>
        <w:footnoteReference w:id="172"/>
      </w:r>
      <w:r w:rsidRPr="00250C1E">
        <w:rPr>
          <w:rFonts w:ascii="Times New Roman" w:hAnsi="Times New Roman"/>
        </w:rPr>
        <w:t xml:space="preserve">. </w:t>
      </w:r>
    </w:p>
    <w:p w14:paraId="30D09515"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 xml:space="preserve">In dissent in </w:t>
      </w:r>
      <w:proofErr w:type="spellStart"/>
      <w:r w:rsidRPr="00250C1E">
        <w:rPr>
          <w:rFonts w:ascii="Times New Roman" w:hAnsi="Times New Roman"/>
          <w:i/>
        </w:rPr>
        <w:t>Menck</w:t>
      </w:r>
      <w:proofErr w:type="spellEnd"/>
      <w:r w:rsidRPr="00250C1E">
        <w:rPr>
          <w:rFonts w:ascii="Times New Roman" w:hAnsi="Times New Roman"/>
          <w:i/>
        </w:rPr>
        <w:t xml:space="preserve"> </w:t>
      </w:r>
      <w:r w:rsidRPr="00250C1E">
        <w:rPr>
          <w:rFonts w:ascii="Times New Roman" w:hAnsi="Times New Roman"/>
        </w:rPr>
        <w:t>(High Court), Isaacs J answered the same question, yes. The common law rights that a purchaser of patented goods acquired as owner of those goods coexisted with, and were subject to, the continuing exclusionary right of the patentee. The consequence was that a purchaser of patented goods had no ability to use the patented goods at all, and no ability to resell the patented goods to anyone, other than if and to the extent that the purchaser was permitted to do so as a licensee of the patentee. This exclusionary right of the patentee being unqualified, the "ambit of the licence ... is within the absolute discretion of the patentee"</w:t>
      </w:r>
      <w:r w:rsidRPr="00250C1E">
        <w:rPr>
          <w:rStyle w:val="FootnoteReference"/>
          <w:rFonts w:ascii="Times New Roman" w:hAnsi="Times New Roman"/>
          <w:sz w:val="24"/>
        </w:rPr>
        <w:footnoteReference w:id="173"/>
      </w:r>
      <w:r w:rsidRPr="00250C1E">
        <w:rPr>
          <w:rFonts w:ascii="Times New Roman" w:hAnsi="Times New Roman"/>
        </w:rPr>
        <w:t>. "The right of the licensee is coextensive with the permission granted </w:t>
      </w:r>
      <w:r w:rsidRPr="00250C1E">
        <w:rPr>
          <w:rFonts w:ascii="Times New Roman" w:hAnsi="Times New Roman"/>
        </w:rPr>
        <w:sym w:font="Symbol" w:char="F02D"/>
      </w:r>
      <w:r>
        <w:rPr>
          <w:rFonts w:ascii="Times New Roman" w:hAnsi="Times New Roman"/>
        </w:rPr>
        <w:t xml:space="preserve"> </w:t>
      </w:r>
      <w:r w:rsidRPr="00250C1E">
        <w:rPr>
          <w:rFonts w:ascii="Times New Roman" w:hAnsi="Times New Roman"/>
        </w:rPr>
        <w:t>no greater and no less."</w:t>
      </w:r>
      <w:r w:rsidRPr="00250C1E">
        <w:rPr>
          <w:rStyle w:val="FootnoteReference"/>
          <w:rFonts w:ascii="Times New Roman" w:hAnsi="Times New Roman"/>
          <w:sz w:val="24"/>
        </w:rPr>
        <w:footnoteReference w:id="174"/>
      </w:r>
    </w:p>
    <w:p w14:paraId="4CF40C29"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 xml:space="preserve">If Isaacs J was correct in considering that patented goods, once sold, remained within the scope of the exclusionary right granted to the patentee, then his exposition of the consequences for use and resale of the patented goods could not be faulted. The consequences followed as a matter of logic.  </w:t>
      </w:r>
    </w:p>
    <w:p w14:paraId="49837050"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 xml:space="preserve">In </w:t>
      </w:r>
      <w:proofErr w:type="spellStart"/>
      <w:r w:rsidRPr="00250C1E">
        <w:rPr>
          <w:rFonts w:ascii="Times New Roman" w:hAnsi="Times New Roman"/>
          <w:i/>
        </w:rPr>
        <w:t>Menck</w:t>
      </w:r>
      <w:proofErr w:type="spellEnd"/>
      <w:r w:rsidRPr="00250C1E">
        <w:rPr>
          <w:rFonts w:ascii="Times New Roman" w:hAnsi="Times New Roman"/>
          <w:i/>
        </w:rPr>
        <w:t xml:space="preserve"> </w:t>
      </w:r>
      <w:r w:rsidRPr="00250C1E">
        <w:rPr>
          <w:rFonts w:ascii="Times New Roman" w:hAnsi="Times New Roman"/>
        </w:rPr>
        <w:t>(Privy Council), Lord Shaw recognised the potential for the consequences spelt out by Isaacs J to create "a radical change in the law of personal property"</w:t>
      </w:r>
      <w:r w:rsidRPr="00250C1E">
        <w:rPr>
          <w:rStyle w:val="FootnoteReference"/>
          <w:rFonts w:ascii="Times New Roman" w:hAnsi="Times New Roman"/>
          <w:sz w:val="24"/>
        </w:rPr>
        <w:footnoteReference w:id="175"/>
      </w:r>
      <w:r w:rsidRPr="00250C1E">
        <w:rPr>
          <w:rFonts w:ascii="Times New Roman" w:hAnsi="Times New Roman"/>
        </w:rPr>
        <w:t xml:space="preserve">. In the absence of some added mechanism of constraint, the right of the patentee to prevent others from using and selling patented goods would run roughshod over the ancient common law principle against imposition of restraints on the alienation of goods. That principle was assumed as the foundation for free trade in goods. Unthinkable to him was that the exclusionary right granted by a </w:t>
      </w:r>
      <w:r w:rsidRPr="00250C1E">
        <w:rPr>
          <w:rFonts w:ascii="Times New Roman" w:hAnsi="Times New Roman"/>
        </w:rPr>
        <w:lastRenderedPageBreak/>
        <w:t>patent would allow the patentee to impose conditions on use and resale which would "run with the goods"</w:t>
      </w:r>
      <w:r w:rsidRPr="00250C1E">
        <w:rPr>
          <w:rStyle w:val="FootnoteReference"/>
          <w:rFonts w:ascii="Times New Roman" w:hAnsi="Times New Roman"/>
          <w:sz w:val="24"/>
        </w:rPr>
        <w:footnoteReference w:id="176"/>
      </w:r>
      <w:r w:rsidRPr="00250C1E">
        <w:rPr>
          <w:rFonts w:ascii="Times New Roman" w:hAnsi="Times New Roman"/>
        </w:rPr>
        <w:t xml:space="preserve">. </w:t>
      </w:r>
    </w:p>
    <w:p w14:paraId="52788AB9"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Yet Lord Shaw thought it possible to "harmonize" the right of a patentee to prevent use and resale of patented goods with the common law rights of a subsequent owner of patented goods. The mechanism of harmonisation which he then devised involved the notion of an unlimited licence to use and resell being implied by law upon the sale of patented goods in combination with an acknowledgement of capacity on the part of the patentee to impose an express limitation on the terms of that licence by notice given to the purchaser at the time of sale but not afterwards. Entry into the contract of sale would imply consent of the patentee to the unrestricted use and resale of patented goods subject only to such "restrictive conditions" as might be "clearly brought home" to the purchaser at the time of purchase</w:t>
      </w:r>
      <w:r w:rsidRPr="00250C1E">
        <w:rPr>
          <w:rStyle w:val="FootnoteReference"/>
          <w:rFonts w:ascii="Times New Roman" w:hAnsi="Times New Roman"/>
          <w:sz w:val="24"/>
        </w:rPr>
        <w:footnoteReference w:id="177"/>
      </w:r>
      <w:r w:rsidRPr="00250C1E">
        <w:rPr>
          <w:rFonts w:ascii="Times New Roman" w:hAnsi="Times New Roman"/>
        </w:rPr>
        <w:t>. There we have the first, and only, full articulation of the implied licence doctrine, which his Lordship sourced in English case law dating back to 1871</w:t>
      </w:r>
      <w:r w:rsidRPr="00250C1E">
        <w:rPr>
          <w:rStyle w:val="FootnoteReference"/>
          <w:rFonts w:ascii="Times New Roman" w:hAnsi="Times New Roman"/>
          <w:sz w:val="24"/>
        </w:rPr>
        <w:footnoteReference w:id="178"/>
      </w:r>
      <w:r w:rsidRPr="00250C1E">
        <w:rPr>
          <w:rFonts w:ascii="Times New Roman" w:hAnsi="Times New Roman"/>
        </w:rPr>
        <w:t>.</w:t>
      </w:r>
    </w:p>
    <w:p w14:paraId="756EB6FE"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 xml:space="preserve">If the starting premise is that the right of a patentee to prevent others from using and selling patented goods extends to preventing use and resale of patented goods that have been sold by the patentee, then the </w:t>
      </w:r>
      <w:proofErr w:type="spellStart"/>
      <w:r w:rsidRPr="00250C1E">
        <w:rPr>
          <w:rFonts w:ascii="Times New Roman" w:hAnsi="Times New Roman"/>
          <w:i/>
        </w:rPr>
        <w:t>Menck</w:t>
      </w:r>
      <w:proofErr w:type="spellEnd"/>
      <w:r w:rsidRPr="00250C1E">
        <w:rPr>
          <w:rFonts w:ascii="Times New Roman" w:hAnsi="Times New Roman"/>
          <w:i/>
        </w:rPr>
        <w:t xml:space="preserve"> </w:t>
      </w:r>
      <w:r w:rsidRPr="00250C1E">
        <w:rPr>
          <w:rFonts w:ascii="Times New Roman" w:hAnsi="Times New Roman"/>
        </w:rPr>
        <w:t>(Privy Council) harmonisation of that ongoing right with the rights of a subsequent owner of the goods works well enough for so long as the subsequent owner remains the purchaser of the patented goods from the patentee. The implied grant of an unrestricted licence to use and resell absent restrictive conditions notified at the time of sale is a convenient legal fiction. Restrictive conditions notified at the time of sale bind not by force of the contract of sale but as a condition of the grant of the licence with the consequence that "if the conditions are not complied with, there is no grant at all"</w:t>
      </w:r>
      <w:r w:rsidRPr="00250C1E">
        <w:rPr>
          <w:rStyle w:val="FootnoteReference"/>
          <w:rFonts w:ascii="Times New Roman" w:hAnsi="Times New Roman"/>
          <w:sz w:val="24"/>
        </w:rPr>
        <w:footnoteReference w:id="179"/>
      </w:r>
      <w:r w:rsidRPr="00250C1E">
        <w:rPr>
          <w:rFonts w:ascii="Times New Roman" w:hAnsi="Times New Roman"/>
        </w:rPr>
        <w:t>. The capacity of the patentee to introduce restrictions on use and resale by notice at the time of sale nevertheless meshes comfortably with principles of contract law.</w:t>
      </w:r>
    </w:p>
    <w:p w14:paraId="336F1BAB"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Discordance sets in where the subsequent owner of patented goods is a sub</w:t>
      </w:r>
      <w:r w:rsidRPr="00250C1E">
        <w:rPr>
          <w:rFonts w:ascii="Times New Roman" w:hAnsi="Times New Roman"/>
        </w:rPr>
        <w:noBreakHyphen/>
        <w:t xml:space="preserve">purchaser. The discordance is amplified where patented goods have been </w:t>
      </w:r>
      <w:r w:rsidRPr="00250C1E">
        <w:rPr>
          <w:rFonts w:ascii="Times New Roman" w:hAnsi="Times New Roman"/>
        </w:rPr>
        <w:lastRenderedPageBreak/>
        <w:t>abandoned and the owner is a scavenger or, as here, a recycler. For such a downstream owner, the notion of a licence to use and resell being implied at the time of the contract of sale does not work at all. Either there is no contract of sale or, if there is a contract of sale, the patentee is not privy to it.</w:t>
      </w:r>
    </w:p>
    <w:p w14:paraId="48855074"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 xml:space="preserve">Equity must come to the rescue. But whom does equity rescue? How? And why? </w:t>
      </w:r>
    </w:p>
    <w:p w14:paraId="3D6C4A1B"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Whether there is any recognisable basis on which equity could assist a patentee to enjoin a downstream owner who acquired patented goods with notice of a restrictive condition granted by the patentee to a predecessor in title from acting inconsistently with that condition is by no means apparent</w:t>
      </w:r>
      <w:r w:rsidRPr="00250C1E">
        <w:rPr>
          <w:rStyle w:val="FootnoteReference"/>
          <w:rFonts w:ascii="Times New Roman" w:hAnsi="Times New Roman"/>
          <w:sz w:val="24"/>
        </w:rPr>
        <w:footnoteReference w:id="180"/>
      </w:r>
      <w:r w:rsidRPr="00250C1E">
        <w:rPr>
          <w:rFonts w:ascii="Times New Roman" w:hAnsi="Times New Roman"/>
        </w:rPr>
        <w:t>. Whether equity would assist a patentee to enjoin such a downstream owner even if it could is at the very least doubtful</w:t>
      </w:r>
      <w:r w:rsidRPr="00250C1E" w:rsidDel="00105FA5">
        <w:rPr>
          <w:rFonts w:ascii="Times New Roman" w:hAnsi="Times New Roman"/>
        </w:rPr>
        <w:t xml:space="preserve"> </w:t>
      </w:r>
      <w:r w:rsidRPr="00250C1E">
        <w:rPr>
          <w:rFonts w:ascii="Times New Roman" w:hAnsi="Times New Roman"/>
        </w:rPr>
        <w:t xml:space="preserve">given that the effect of the assistance would run counter to the common law principle against the imposition of a restraint on the alienation of goods. For reasons I am about to explain, however, those questions do not really arise. </w:t>
      </w:r>
    </w:p>
    <w:p w14:paraId="7E63D116"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If the right of the patentee to prevent others from using and selling patented goods truly extends to preventing use and resale of patented goods sold by the patentee, then the patentee does not need the assistance of equity to exercise that right against any downstream owner. Rather, it is the downstream owner who must come cap in hand to equity to try to find some recognisable basis for restraining as unconscientious the exercise of the right by the patentee. The question then becomes: by reference to what equitable doctrine does absence on the part of the downstream owner of knowledge or notice of some restriction on use or resale imposed by the patentee result in exercise of the right by the patentee becoming unconscientious? Presumably, it is some form of estoppel. Perhaps it is an estoppel against the assertion of the right. Perhaps it is an estoppel against denial of an implied licence. How, consistently with equitable principles</w:t>
      </w:r>
      <w:r w:rsidRPr="00250C1E">
        <w:rPr>
          <w:rStyle w:val="FootnoteReference"/>
          <w:rFonts w:ascii="Times New Roman" w:hAnsi="Times New Roman"/>
          <w:sz w:val="24"/>
        </w:rPr>
        <w:footnoteReference w:id="181"/>
      </w:r>
      <w:r w:rsidRPr="00250C1E">
        <w:rPr>
          <w:rFonts w:ascii="Times New Roman" w:hAnsi="Times New Roman"/>
        </w:rPr>
        <w:t xml:space="preserve">, are the elements of some such estoppel established? And how in such a context does equity </w:t>
      </w:r>
      <w:r w:rsidRPr="00250C1E">
        <w:rPr>
          <w:rFonts w:ascii="Times New Roman" w:hAnsi="Times New Roman"/>
        </w:rPr>
        <w:lastRenderedPageBreak/>
        <w:t>accommodate the notion of caveat emptor, said to be "</w:t>
      </w:r>
      <w:r w:rsidRPr="00250C1E">
        <w:rPr>
          <w:rFonts w:ascii="Times New Roman" w:hAnsi="Times New Roman"/>
          <w:color w:val="000000"/>
          <w:shd w:val="clear" w:color="auto" w:fill="FFFFFF"/>
        </w:rPr>
        <w:t>inherent ... in common law conceptions of economic freedom"</w:t>
      </w:r>
      <w:r w:rsidRPr="00250C1E">
        <w:rPr>
          <w:rStyle w:val="FootnoteReference"/>
          <w:rFonts w:ascii="Times New Roman" w:hAnsi="Times New Roman"/>
          <w:color w:val="000000"/>
          <w:sz w:val="24"/>
          <w:shd w:val="clear" w:color="auto" w:fill="FFFFFF"/>
        </w:rPr>
        <w:footnoteReference w:id="182"/>
      </w:r>
      <w:r w:rsidRPr="00250C1E">
        <w:rPr>
          <w:rFonts w:ascii="Times New Roman" w:hAnsi="Times New Roman"/>
        </w:rPr>
        <w:t xml:space="preserve">? </w:t>
      </w:r>
    </w:p>
    <w:p w14:paraId="56592CAE"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r>
      <w:proofErr w:type="spellStart"/>
      <w:r w:rsidRPr="00250C1E">
        <w:rPr>
          <w:rFonts w:ascii="Times New Roman" w:hAnsi="Times New Roman"/>
          <w:i/>
        </w:rPr>
        <w:t>Menck</w:t>
      </w:r>
      <w:proofErr w:type="spellEnd"/>
      <w:r w:rsidRPr="00250C1E">
        <w:rPr>
          <w:rFonts w:ascii="Times New Roman" w:hAnsi="Times New Roman"/>
          <w:i/>
        </w:rPr>
        <w:t xml:space="preserve"> </w:t>
      </w:r>
      <w:r w:rsidRPr="00250C1E">
        <w:rPr>
          <w:rFonts w:ascii="Times New Roman" w:hAnsi="Times New Roman"/>
        </w:rPr>
        <w:t>(Privy Council) did not explore any of those difficulties inherent in applying the implied licence doctrine to downstream owners. The difficulties had barely begun to be grappled with in one or two first instance English decisions which had concerned downstream owners before</w:t>
      </w:r>
      <w:r w:rsidRPr="00250C1E">
        <w:rPr>
          <w:rStyle w:val="FootnoteReference"/>
          <w:rFonts w:ascii="Times New Roman" w:hAnsi="Times New Roman"/>
          <w:sz w:val="24"/>
        </w:rPr>
        <w:footnoteReference w:id="183"/>
      </w:r>
      <w:r w:rsidRPr="00250C1E">
        <w:rPr>
          <w:rFonts w:ascii="Times New Roman" w:hAnsi="Times New Roman"/>
        </w:rPr>
        <w:t xml:space="preserve"> </w:t>
      </w:r>
      <w:proofErr w:type="spellStart"/>
      <w:r w:rsidRPr="00250C1E">
        <w:rPr>
          <w:rFonts w:ascii="Times New Roman" w:hAnsi="Times New Roman"/>
          <w:i/>
        </w:rPr>
        <w:t>Menck</w:t>
      </w:r>
      <w:proofErr w:type="spellEnd"/>
      <w:r w:rsidRPr="00250C1E">
        <w:rPr>
          <w:rFonts w:ascii="Times New Roman" w:hAnsi="Times New Roman"/>
          <w:i/>
        </w:rPr>
        <w:t xml:space="preserve"> </w:t>
      </w:r>
      <w:r w:rsidRPr="00250C1E">
        <w:rPr>
          <w:rFonts w:ascii="Times New Roman" w:hAnsi="Times New Roman"/>
        </w:rPr>
        <w:t>(Privy Council). They have not since been grappled with at the level of principle in the few reported English cases that have considered downstream owners after</w:t>
      </w:r>
      <w:r w:rsidRPr="00250C1E">
        <w:rPr>
          <w:rStyle w:val="FootnoteReference"/>
          <w:rFonts w:ascii="Times New Roman" w:hAnsi="Times New Roman"/>
          <w:sz w:val="24"/>
        </w:rPr>
        <w:footnoteReference w:id="184"/>
      </w:r>
      <w:r w:rsidRPr="00250C1E">
        <w:rPr>
          <w:rFonts w:ascii="Times New Roman" w:hAnsi="Times New Roman"/>
        </w:rPr>
        <w:t xml:space="preserve"> </w:t>
      </w:r>
      <w:proofErr w:type="spellStart"/>
      <w:r w:rsidRPr="00250C1E">
        <w:rPr>
          <w:rFonts w:ascii="Times New Roman" w:hAnsi="Times New Roman"/>
          <w:i/>
        </w:rPr>
        <w:t>Menck</w:t>
      </w:r>
      <w:proofErr w:type="spellEnd"/>
      <w:r w:rsidRPr="00250C1E">
        <w:rPr>
          <w:rFonts w:ascii="Times New Roman" w:hAnsi="Times New Roman"/>
          <w:i/>
        </w:rPr>
        <w:t xml:space="preserve"> </w:t>
      </w:r>
      <w:r w:rsidRPr="00250C1E">
        <w:rPr>
          <w:rFonts w:ascii="Times New Roman" w:hAnsi="Times New Roman"/>
        </w:rPr>
        <w:t xml:space="preserve">(Privy Council). The dearth of further analysis in the English case law can be explained in part on the basis that the articulation of the doctrine in </w:t>
      </w:r>
      <w:proofErr w:type="spellStart"/>
      <w:r w:rsidRPr="00250C1E">
        <w:rPr>
          <w:rFonts w:ascii="Times New Roman" w:hAnsi="Times New Roman"/>
          <w:i/>
        </w:rPr>
        <w:t>Menck</w:t>
      </w:r>
      <w:proofErr w:type="spellEnd"/>
      <w:r w:rsidRPr="00250C1E">
        <w:rPr>
          <w:rFonts w:ascii="Times New Roman" w:hAnsi="Times New Roman"/>
        </w:rPr>
        <w:t xml:space="preserve"> (Privy Council) was seen to remove the need</w:t>
      </w:r>
      <w:r w:rsidRPr="00250C1E">
        <w:rPr>
          <w:rStyle w:val="FootnoteReference"/>
          <w:rFonts w:ascii="Times New Roman" w:hAnsi="Times New Roman"/>
          <w:sz w:val="24"/>
        </w:rPr>
        <w:footnoteReference w:id="185"/>
      </w:r>
      <w:r w:rsidRPr="00250C1E">
        <w:rPr>
          <w:rFonts w:ascii="Times New Roman" w:hAnsi="Times New Roman"/>
        </w:rPr>
        <w:t>. Another part of the explanation may be that, for most of this century, the scope for application of the implied licence doctrine in England has been diminished by the overlay of principles of European law restricting patentees to pursuing infringement proceedings consistently with the exhaustion of rights doctrine</w:t>
      </w:r>
      <w:r w:rsidRPr="00250C1E">
        <w:rPr>
          <w:rStyle w:val="FootnoteReference"/>
          <w:rFonts w:ascii="Times New Roman" w:hAnsi="Times New Roman"/>
          <w:sz w:val="24"/>
        </w:rPr>
        <w:footnoteReference w:id="186"/>
      </w:r>
      <w:r w:rsidRPr="00250C1E">
        <w:rPr>
          <w:rFonts w:ascii="Times New Roman" w:hAnsi="Times New Roman"/>
        </w:rPr>
        <w:t xml:space="preserve">. </w:t>
      </w:r>
    </w:p>
    <w:p w14:paraId="3613FA6F"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The point to be made here and now is that there is simply no settled understanding of the implied licence doctrine in its application to downstream owners. Their position is a riddle, if not a muddle. It is certainly a mess.</w:t>
      </w:r>
    </w:p>
    <w:p w14:paraId="377B4B64"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The exhaustion of rights doctrine cuts through that mess. It does so as a matter of statutory construction, on the clear-eyed understanding that "the purpose of the patent law is fulfilled with respect to any particular article when the patentee has received his reward for the use of his invention by the sale of the article, and that once that purpose is realized the patent law affords no basis for restraining the use and enjoyment of the thing sold"</w:t>
      </w:r>
      <w:r w:rsidRPr="00250C1E">
        <w:rPr>
          <w:rStyle w:val="FootnoteReference"/>
          <w:rFonts w:ascii="Times New Roman" w:hAnsi="Times New Roman"/>
          <w:sz w:val="24"/>
        </w:rPr>
        <w:footnoteReference w:id="187"/>
      </w:r>
      <w:r w:rsidRPr="00250C1E">
        <w:rPr>
          <w:rFonts w:ascii="Times New Roman" w:hAnsi="Times New Roman"/>
        </w:rPr>
        <w:t xml:space="preserve">. Applied to the </w:t>
      </w:r>
      <w:r w:rsidRPr="00250C1E">
        <w:rPr>
          <w:rFonts w:ascii="Times New Roman" w:hAnsi="Times New Roman"/>
          <w:i/>
          <w:iCs/>
        </w:rPr>
        <w:t>Patents Act 1990</w:t>
      </w:r>
      <w:r w:rsidRPr="00250C1E">
        <w:rPr>
          <w:rFonts w:ascii="Times New Roman" w:hAnsi="Times New Roman"/>
          <w:iCs/>
        </w:rPr>
        <w:t>, it involves nothing more than construing the references to</w:t>
      </w:r>
      <w:r w:rsidRPr="00250C1E">
        <w:rPr>
          <w:rFonts w:ascii="Times New Roman" w:hAnsi="Times New Roman"/>
          <w:i/>
          <w:iCs/>
        </w:rPr>
        <w:t xml:space="preserve"> </w:t>
      </w:r>
      <w:r w:rsidRPr="00250C1E">
        <w:rPr>
          <w:rFonts w:ascii="Times New Roman" w:hAnsi="Times New Roman"/>
          <w:iCs/>
        </w:rPr>
        <w:t>"</w:t>
      </w:r>
      <w:r w:rsidRPr="00250C1E">
        <w:rPr>
          <w:rFonts w:ascii="Times New Roman" w:hAnsi="Times New Roman"/>
        </w:rPr>
        <w:t xml:space="preserve">hire", "sell", "otherwise dispose of", "use" and "import" in the definition of "exploit" in relation to an invention as having no application to a product in relation to which the patentee </w:t>
      </w:r>
      <w:r w:rsidRPr="00250C1E">
        <w:rPr>
          <w:rFonts w:ascii="Times New Roman" w:hAnsi="Times New Roman"/>
        </w:rPr>
        <w:lastRenderedPageBreak/>
        <w:t xml:space="preserve">has already exploited the invention by exercising the patentee's common law right to sell the product. </w:t>
      </w:r>
    </w:p>
    <w:p w14:paraId="100817B8"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 xml:space="preserve">The exhaustion of rights doctrine has a lineage that is decades longer than the lineage of the implied licence doctrine. It has been shown by repeated application in the United States to be workable and coherent. It sets clear statutory boundaries. It respects longstanding common law principle. It does not need to enlist equity in some way to prop it up. It strikes an appropriate balance between the interests of patentees and the owners of patented products. In so doing, it fits comfortably with the statutory object of the </w:t>
      </w:r>
      <w:r w:rsidRPr="00250C1E">
        <w:rPr>
          <w:rFonts w:ascii="Times New Roman" w:hAnsi="Times New Roman"/>
          <w:i/>
          <w:iCs/>
        </w:rPr>
        <w:t xml:space="preserve">Patents Act 1990 </w:t>
      </w:r>
      <w:r w:rsidRPr="00250C1E">
        <w:rPr>
          <w:rFonts w:ascii="Times New Roman" w:hAnsi="Times New Roman"/>
          <w:iCs/>
        </w:rPr>
        <w:t xml:space="preserve">as well as with </w:t>
      </w:r>
      <w:r w:rsidRPr="00250C1E">
        <w:rPr>
          <w:rFonts w:ascii="Times New Roman" w:hAnsi="Times New Roman"/>
        </w:rPr>
        <w:t>the statutory language.</w:t>
      </w:r>
    </w:p>
    <w:p w14:paraId="21829FE6"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r>
      <w:r w:rsidRPr="00250C1E">
        <w:rPr>
          <w:rFonts w:ascii="Times New Roman" w:hAnsi="Times New Roman"/>
          <w:iCs/>
        </w:rPr>
        <w:t xml:space="preserve">From the perspective of the patentee, abandonment of the </w:t>
      </w:r>
      <w:r w:rsidRPr="00250C1E">
        <w:rPr>
          <w:rFonts w:ascii="Times New Roman" w:hAnsi="Times New Roman"/>
        </w:rPr>
        <w:t>implied licence doctrine in favour of the exhaustion of rights doctrine as a result of the majority decision now made can fairly be said to result in a "loss" both of rights and of remedies</w:t>
      </w:r>
      <w:r w:rsidRPr="00250C1E">
        <w:rPr>
          <w:rFonts w:ascii="Times New Roman" w:hAnsi="Times New Roman"/>
          <w:iCs/>
        </w:rPr>
        <w:t>. Exhaustion of the</w:t>
      </w:r>
      <w:r w:rsidRPr="00250C1E">
        <w:rPr>
          <w:rFonts w:ascii="Times New Roman" w:hAnsi="Times New Roman"/>
        </w:rPr>
        <w:t xml:space="preserve"> right of the patentee to prevent others from using and selling patented goods upon exercise of the patentee's right to sell will have the consequence that a patentee who seeks to restrict downstream use or resale or other disposal of patented goods will be confined to seeking to impose those restrictions by contract or other enforceable arrangement. Patentees will accordingly not be able to avail themselves of remedies under </w:t>
      </w:r>
      <w:r w:rsidRPr="00250C1E">
        <w:rPr>
          <w:rFonts w:ascii="Times New Roman" w:hAnsi="Times New Roman"/>
          <w:iCs/>
        </w:rPr>
        <w:t>the</w:t>
      </w:r>
      <w:r w:rsidRPr="00250C1E">
        <w:rPr>
          <w:rFonts w:ascii="Times New Roman" w:hAnsi="Times New Roman"/>
        </w:rPr>
        <w:t xml:space="preserve"> </w:t>
      </w:r>
      <w:r w:rsidRPr="00250C1E">
        <w:rPr>
          <w:rFonts w:ascii="Times New Roman" w:hAnsi="Times New Roman"/>
          <w:i/>
          <w:iCs/>
        </w:rPr>
        <w:t>Patents Act 1990</w:t>
      </w:r>
      <w:r w:rsidRPr="00250C1E">
        <w:rPr>
          <w:rFonts w:ascii="Times New Roman" w:hAnsi="Times New Roman"/>
        </w:rPr>
        <w:t xml:space="preserve"> to enforce such restrictions as they might otherwise permissibly impose. Accepting as I do that the construction arrived at through the application of the exhaustion of rights doctrine strikes a balance between the interests of patentees and the interests of the owners of patented products that conforms to the statutory object of the </w:t>
      </w:r>
      <w:r w:rsidRPr="00250C1E">
        <w:rPr>
          <w:rFonts w:ascii="Times New Roman" w:hAnsi="Times New Roman"/>
          <w:i/>
          <w:iCs/>
        </w:rPr>
        <w:t>Patents Act 1990</w:t>
      </w:r>
      <w:r w:rsidRPr="00250C1E">
        <w:rPr>
          <w:rFonts w:ascii="Times New Roman" w:hAnsi="Times New Roman"/>
          <w:iCs/>
        </w:rPr>
        <w:t>, I am unable to regard the diminution in remedies available to patentees as counting against that construction.</w:t>
      </w:r>
    </w:p>
    <w:p w14:paraId="2B3CFAEB"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 xml:space="preserve">That brings me finally to the question of constructional choice. Now to abandon the implied licence doctrine in favour of construing the </w:t>
      </w:r>
      <w:r w:rsidRPr="00250C1E">
        <w:rPr>
          <w:rFonts w:ascii="Times New Roman" w:hAnsi="Times New Roman"/>
          <w:i/>
          <w:iCs/>
        </w:rPr>
        <w:t>Patents Act 1990</w:t>
      </w:r>
      <w:r w:rsidRPr="00250C1E">
        <w:rPr>
          <w:rFonts w:ascii="Times New Roman" w:hAnsi="Times New Roman"/>
        </w:rPr>
        <w:t xml:space="preserve"> in conformity with the exhaustion of rights doctrine is no small step. The magnitude of the step does not lie in its departure from a decision of the Privy Council. What weighs against taking the step is that </w:t>
      </w:r>
      <w:proofErr w:type="spellStart"/>
      <w:r w:rsidRPr="00250C1E">
        <w:rPr>
          <w:rFonts w:ascii="Times New Roman" w:hAnsi="Times New Roman"/>
          <w:i/>
        </w:rPr>
        <w:t>Menck</w:t>
      </w:r>
      <w:proofErr w:type="spellEnd"/>
      <w:r w:rsidRPr="00250C1E">
        <w:rPr>
          <w:rFonts w:ascii="Times New Roman" w:hAnsi="Times New Roman"/>
          <w:i/>
        </w:rPr>
        <w:t xml:space="preserve"> </w:t>
      </w:r>
      <w:r w:rsidRPr="00250C1E">
        <w:rPr>
          <w:rFonts w:ascii="Times New Roman" w:hAnsi="Times New Roman"/>
        </w:rPr>
        <w:t xml:space="preserve">(Privy Council) has been understood to state the law in Australia for more than a century. </w:t>
      </w:r>
    </w:p>
    <w:p w14:paraId="5D72E455"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 xml:space="preserve">The most that can be said for the implied licence doctrine propounded in </w:t>
      </w:r>
      <w:proofErr w:type="spellStart"/>
      <w:r w:rsidRPr="00250C1E">
        <w:rPr>
          <w:rFonts w:ascii="Times New Roman" w:hAnsi="Times New Roman"/>
          <w:i/>
        </w:rPr>
        <w:t>Menck</w:t>
      </w:r>
      <w:proofErr w:type="spellEnd"/>
      <w:r w:rsidRPr="00250C1E">
        <w:rPr>
          <w:rFonts w:ascii="Times New Roman" w:hAnsi="Times New Roman"/>
          <w:i/>
        </w:rPr>
        <w:t xml:space="preserve"> </w:t>
      </w:r>
      <w:r w:rsidRPr="00250C1E">
        <w:rPr>
          <w:rFonts w:ascii="Times New Roman" w:hAnsi="Times New Roman"/>
        </w:rPr>
        <w:t xml:space="preserve">(Privy Council), however, is that it has survived. Although the saga of the </w:t>
      </w:r>
      <w:proofErr w:type="spellStart"/>
      <w:r w:rsidRPr="00250C1E">
        <w:rPr>
          <w:rFonts w:ascii="Times New Roman" w:hAnsi="Times New Roman"/>
          <w:i/>
        </w:rPr>
        <w:t>Menck</w:t>
      </w:r>
      <w:proofErr w:type="spellEnd"/>
      <w:r w:rsidRPr="00250C1E">
        <w:rPr>
          <w:rFonts w:ascii="Times New Roman" w:hAnsi="Times New Roman"/>
          <w:i/>
        </w:rPr>
        <w:t xml:space="preserve"> </w:t>
      </w:r>
      <w:r w:rsidRPr="00250C1E">
        <w:rPr>
          <w:rFonts w:ascii="Times New Roman" w:hAnsi="Times New Roman"/>
        </w:rPr>
        <w:t xml:space="preserve">litigation was thought to warrant inclusion as a chapter in a book entitled </w:t>
      </w:r>
      <w:r w:rsidRPr="00250C1E">
        <w:rPr>
          <w:rFonts w:ascii="Times New Roman" w:hAnsi="Times New Roman"/>
          <w:i/>
          <w:iCs/>
        </w:rPr>
        <w:t xml:space="preserve">Landmarks in Australian Intellectual Property Law </w:t>
      </w:r>
      <w:r w:rsidRPr="00250C1E">
        <w:rPr>
          <w:rFonts w:ascii="Times New Roman" w:hAnsi="Times New Roman"/>
          <w:iCs/>
        </w:rPr>
        <w:t>published in 2009,</w:t>
      </w:r>
      <w:r w:rsidRPr="00250C1E">
        <w:rPr>
          <w:rFonts w:ascii="Times New Roman" w:hAnsi="Times New Roman"/>
        </w:rPr>
        <w:t xml:space="preserve"> the authors of that chapter commented in conclusion that the "relative obscurity" of </w:t>
      </w:r>
      <w:proofErr w:type="spellStart"/>
      <w:r w:rsidRPr="00250C1E">
        <w:rPr>
          <w:rFonts w:ascii="Times New Roman" w:hAnsi="Times New Roman"/>
          <w:i/>
        </w:rPr>
        <w:t>Menck</w:t>
      </w:r>
      <w:proofErr w:type="spellEnd"/>
      <w:r w:rsidRPr="00250C1E">
        <w:rPr>
          <w:rFonts w:ascii="Times New Roman" w:hAnsi="Times New Roman"/>
          <w:i/>
        </w:rPr>
        <w:t xml:space="preserve"> </w:t>
      </w:r>
      <w:r w:rsidRPr="00250C1E">
        <w:rPr>
          <w:rFonts w:ascii="Times New Roman" w:hAnsi="Times New Roman"/>
        </w:rPr>
        <w:lastRenderedPageBreak/>
        <w:t>(Privy Council) was "remarkable"</w:t>
      </w:r>
      <w:r w:rsidRPr="00250C1E">
        <w:rPr>
          <w:rStyle w:val="FootnoteReference"/>
          <w:rFonts w:ascii="Times New Roman" w:hAnsi="Times New Roman"/>
          <w:sz w:val="24"/>
        </w:rPr>
        <w:footnoteReference w:id="188"/>
      </w:r>
      <w:r w:rsidRPr="00250C1E">
        <w:rPr>
          <w:rFonts w:ascii="Times New Roman" w:hAnsi="Times New Roman"/>
        </w:rPr>
        <w:t>. Earlier in the chapter, the authors explained</w:t>
      </w:r>
      <w:r w:rsidRPr="00250C1E">
        <w:rPr>
          <w:rStyle w:val="FootnoteReference"/>
          <w:rFonts w:ascii="Times New Roman" w:hAnsi="Times New Roman"/>
          <w:sz w:val="24"/>
        </w:rPr>
        <w:footnoteReference w:id="189"/>
      </w:r>
      <w:r w:rsidRPr="00250C1E">
        <w:rPr>
          <w:rFonts w:ascii="Times New Roman" w:hAnsi="Times New Roman"/>
        </w:rPr>
        <w:t>:</w:t>
      </w:r>
    </w:p>
    <w:p w14:paraId="1BAE7E5A" w14:textId="77777777" w:rsidR="00261C63" w:rsidRPr="00250C1E" w:rsidRDefault="00261C63" w:rsidP="00261C63">
      <w:pPr>
        <w:pStyle w:val="leftright"/>
        <w:spacing w:before="0" w:after="260" w:line="280" w:lineRule="exact"/>
        <w:ind w:right="0"/>
        <w:jc w:val="both"/>
        <w:rPr>
          <w:rFonts w:ascii="Times New Roman" w:hAnsi="Times New Roman"/>
        </w:rPr>
      </w:pPr>
      <w:r w:rsidRPr="00250C1E">
        <w:rPr>
          <w:rFonts w:ascii="Times New Roman" w:hAnsi="Times New Roman"/>
        </w:rPr>
        <w:tab/>
        <w:t xml:space="preserve">"Eight years after the Privy Council's decision, National Phonograph, which by then had changed its name to Thomas A Edison Ltd, obtained an injunction against a retailer in New Zealand who sold Edison products below list price despite a warning from the company: </w:t>
      </w:r>
      <w:r w:rsidRPr="00250C1E">
        <w:rPr>
          <w:rFonts w:ascii="Times New Roman" w:hAnsi="Times New Roman"/>
          <w:i/>
        </w:rPr>
        <w:t>Thomas A Edison Ltd v Stockdale</w:t>
      </w:r>
      <w:r w:rsidRPr="00250C1E">
        <w:rPr>
          <w:rStyle w:val="FootnoteReference"/>
          <w:rFonts w:ascii="Times New Roman" w:hAnsi="Times New Roman"/>
          <w:sz w:val="24"/>
        </w:rPr>
        <w:footnoteReference w:id="190"/>
      </w:r>
      <w:r w:rsidRPr="00250C1E">
        <w:rPr>
          <w:rFonts w:ascii="Times New Roman" w:hAnsi="Times New Roman"/>
        </w:rPr>
        <w:t>. In this case the defendant was a second-hand dealer who had no contractual or other business connection with the company.</w:t>
      </w:r>
    </w:p>
    <w:p w14:paraId="103204A3" w14:textId="77777777" w:rsidR="00261C63" w:rsidRDefault="00261C63" w:rsidP="00261C63">
      <w:pPr>
        <w:pStyle w:val="leftright"/>
        <w:spacing w:before="0" w:after="260" w:line="280" w:lineRule="exact"/>
        <w:ind w:right="0"/>
        <w:jc w:val="both"/>
        <w:rPr>
          <w:rFonts w:ascii="Times New Roman" w:hAnsi="Times New Roman"/>
        </w:rPr>
      </w:pPr>
      <w:r w:rsidRPr="00250C1E">
        <w:rPr>
          <w:rFonts w:ascii="Times New Roman" w:hAnsi="Times New Roman"/>
        </w:rPr>
        <w:tab/>
        <w:t xml:space="preserve">But after </w:t>
      </w:r>
      <w:r w:rsidRPr="00250C1E">
        <w:rPr>
          <w:rFonts w:ascii="Times New Roman" w:hAnsi="Times New Roman"/>
          <w:i/>
        </w:rPr>
        <w:t>Stockdale</w:t>
      </w:r>
      <w:r w:rsidRPr="00250C1E">
        <w:rPr>
          <w:rFonts w:ascii="Times New Roman" w:hAnsi="Times New Roman"/>
        </w:rPr>
        <w:t xml:space="preserve"> there is no report of an Australian or New Zealand case citing </w:t>
      </w:r>
      <w:proofErr w:type="spellStart"/>
      <w:r w:rsidRPr="00250C1E">
        <w:rPr>
          <w:rFonts w:ascii="Times New Roman" w:hAnsi="Times New Roman"/>
          <w:i/>
        </w:rPr>
        <w:t>Menck</w:t>
      </w:r>
      <w:proofErr w:type="spellEnd"/>
      <w:r w:rsidRPr="00250C1E">
        <w:rPr>
          <w:rFonts w:ascii="Times New Roman" w:hAnsi="Times New Roman"/>
        </w:rPr>
        <w:t xml:space="preserve"> involving patented products. It is not until the 1970s that </w:t>
      </w:r>
      <w:proofErr w:type="spellStart"/>
      <w:r w:rsidRPr="00250C1E">
        <w:rPr>
          <w:rFonts w:ascii="Times New Roman" w:hAnsi="Times New Roman"/>
          <w:i/>
        </w:rPr>
        <w:t>Menck</w:t>
      </w:r>
      <w:proofErr w:type="spellEnd"/>
      <w:r w:rsidRPr="00250C1E">
        <w:rPr>
          <w:rFonts w:ascii="Times New Roman" w:hAnsi="Times New Roman"/>
        </w:rPr>
        <w:t xml:space="preserve"> appears to be mentioned at all, and then only for the purpose of distinguishing it in copyright litigation."</w:t>
      </w:r>
    </w:p>
    <w:p w14:paraId="69E88EB2"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r>
      <w:r w:rsidRPr="00250C1E">
        <w:rPr>
          <w:rFonts w:ascii="Times New Roman" w:hAnsi="Times New Roman"/>
          <w:iCs/>
        </w:rPr>
        <w:t xml:space="preserve">Between the enactment of the </w:t>
      </w:r>
      <w:r w:rsidRPr="00250C1E">
        <w:rPr>
          <w:rFonts w:ascii="Times New Roman" w:hAnsi="Times New Roman"/>
          <w:i/>
          <w:iCs/>
        </w:rPr>
        <w:t>Patents Act 1952</w:t>
      </w:r>
      <w:r w:rsidRPr="00250C1E">
        <w:rPr>
          <w:rFonts w:ascii="Times New Roman" w:hAnsi="Times New Roman"/>
          <w:iCs/>
        </w:rPr>
        <w:t xml:space="preserve"> (</w:t>
      </w:r>
      <w:proofErr w:type="spellStart"/>
      <w:r w:rsidRPr="00250C1E">
        <w:rPr>
          <w:rFonts w:ascii="Times New Roman" w:hAnsi="Times New Roman"/>
          <w:iCs/>
        </w:rPr>
        <w:t>Cth</w:t>
      </w:r>
      <w:proofErr w:type="spellEnd"/>
      <w:r w:rsidRPr="00250C1E">
        <w:rPr>
          <w:rFonts w:ascii="Times New Roman" w:hAnsi="Times New Roman"/>
          <w:iCs/>
        </w:rPr>
        <w:t xml:space="preserve">) and the enactment of </w:t>
      </w:r>
      <w:r w:rsidRPr="00250C1E">
        <w:rPr>
          <w:rFonts w:ascii="Times New Roman" w:hAnsi="Times New Roman"/>
        </w:rPr>
        <w:t xml:space="preserve">the </w:t>
      </w:r>
      <w:r w:rsidRPr="00250C1E">
        <w:rPr>
          <w:rFonts w:ascii="Times New Roman" w:hAnsi="Times New Roman"/>
          <w:i/>
          <w:iCs/>
        </w:rPr>
        <w:t>Patents Act 1990</w:t>
      </w:r>
      <w:r w:rsidRPr="00250C1E">
        <w:rPr>
          <w:rFonts w:ascii="Times New Roman" w:hAnsi="Times New Roman"/>
          <w:iCs/>
        </w:rPr>
        <w:t xml:space="preserve">, </w:t>
      </w:r>
      <w:proofErr w:type="spellStart"/>
      <w:r w:rsidRPr="00250C1E">
        <w:rPr>
          <w:rFonts w:ascii="Times New Roman" w:hAnsi="Times New Roman"/>
          <w:i/>
        </w:rPr>
        <w:t>Menck</w:t>
      </w:r>
      <w:proofErr w:type="spellEnd"/>
      <w:r w:rsidRPr="00250C1E">
        <w:rPr>
          <w:rFonts w:ascii="Times New Roman" w:hAnsi="Times New Roman"/>
          <w:i/>
        </w:rPr>
        <w:t xml:space="preserve"> </w:t>
      </w:r>
      <w:r w:rsidRPr="00250C1E">
        <w:rPr>
          <w:rFonts w:ascii="Times New Roman" w:hAnsi="Times New Roman"/>
        </w:rPr>
        <w:t>(Privy Council)</w:t>
      </w:r>
      <w:r w:rsidRPr="00250C1E">
        <w:rPr>
          <w:rFonts w:ascii="Times New Roman" w:hAnsi="Times New Roman"/>
          <w:iCs/>
        </w:rPr>
        <w:t xml:space="preserve"> was referred to without criticism in </w:t>
      </w:r>
      <w:r w:rsidRPr="00250C1E">
        <w:rPr>
          <w:rFonts w:ascii="Times New Roman" w:hAnsi="Times New Roman"/>
          <w:i/>
          <w:iCs/>
        </w:rPr>
        <w:t>Interstate Parcel Express Co Pty Ltd v Time-Life International (</w:t>
      </w:r>
      <w:proofErr w:type="spellStart"/>
      <w:r w:rsidRPr="00250C1E">
        <w:rPr>
          <w:rFonts w:ascii="Times New Roman" w:hAnsi="Times New Roman"/>
          <w:i/>
          <w:iCs/>
        </w:rPr>
        <w:t>Nederlands</w:t>
      </w:r>
      <w:proofErr w:type="spellEnd"/>
      <w:r w:rsidRPr="00250C1E">
        <w:rPr>
          <w:rFonts w:ascii="Times New Roman" w:hAnsi="Times New Roman"/>
          <w:i/>
          <w:iCs/>
        </w:rPr>
        <w:t>) BV</w:t>
      </w:r>
      <w:r w:rsidRPr="00250C1E">
        <w:rPr>
          <w:rStyle w:val="FootnoteReference"/>
          <w:rFonts w:ascii="Times New Roman" w:hAnsi="Times New Roman"/>
          <w:iCs/>
          <w:sz w:val="24"/>
        </w:rPr>
        <w:footnoteReference w:id="191"/>
      </w:r>
      <w:r w:rsidRPr="00250C1E">
        <w:rPr>
          <w:rFonts w:ascii="Times New Roman" w:hAnsi="Times New Roman"/>
          <w:iCs/>
        </w:rPr>
        <w:t xml:space="preserve">. Almost contemporaneously with the enactment of </w:t>
      </w:r>
      <w:r w:rsidRPr="00250C1E">
        <w:rPr>
          <w:rFonts w:ascii="Times New Roman" w:hAnsi="Times New Roman"/>
        </w:rPr>
        <w:t xml:space="preserve">the </w:t>
      </w:r>
      <w:r w:rsidRPr="00250C1E">
        <w:rPr>
          <w:rFonts w:ascii="Times New Roman" w:hAnsi="Times New Roman"/>
          <w:i/>
          <w:iCs/>
        </w:rPr>
        <w:t>Patents Act 1990</w:t>
      </w:r>
      <w:r w:rsidRPr="00250C1E">
        <w:rPr>
          <w:rFonts w:ascii="Times New Roman" w:hAnsi="Times New Roman"/>
          <w:iCs/>
        </w:rPr>
        <w:t xml:space="preserve">, and with reference to </w:t>
      </w:r>
      <w:r w:rsidRPr="00250C1E">
        <w:rPr>
          <w:rFonts w:ascii="Times New Roman" w:hAnsi="Times New Roman"/>
          <w:i/>
          <w:iCs/>
        </w:rPr>
        <w:t>Time-Life International</w:t>
      </w:r>
      <w:r w:rsidRPr="00250C1E">
        <w:rPr>
          <w:rFonts w:ascii="Times New Roman" w:hAnsi="Times New Roman"/>
          <w:iCs/>
        </w:rPr>
        <w:t xml:space="preserve">, a statement was made in </w:t>
      </w:r>
      <w:proofErr w:type="spellStart"/>
      <w:r w:rsidRPr="00250C1E">
        <w:rPr>
          <w:rFonts w:ascii="Times New Roman" w:hAnsi="Times New Roman"/>
          <w:i/>
          <w:iCs/>
        </w:rPr>
        <w:t>Avel</w:t>
      </w:r>
      <w:proofErr w:type="spellEnd"/>
      <w:r w:rsidRPr="00250C1E">
        <w:rPr>
          <w:rFonts w:ascii="Times New Roman" w:hAnsi="Times New Roman"/>
          <w:i/>
          <w:iCs/>
        </w:rPr>
        <w:t xml:space="preserve"> Pty Ltd v </w:t>
      </w:r>
      <w:proofErr w:type="spellStart"/>
      <w:r w:rsidRPr="00250C1E">
        <w:rPr>
          <w:rFonts w:ascii="Times New Roman" w:hAnsi="Times New Roman"/>
          <w:i/>
          <w:iCs/>
        </w:rPr>
        <w:t>Multicoin</w:t>
      </w:r>
      <w:proofErr w:type="spellEnd"/>
      <w:r w:rsidRPr="00250C1E">
        <w:rPr>
          <w:rFonts w:ascii="Times New Roman" w:hAnsi="Times New Roman"/>
          <w:i/>
          <w:iCs/>
        </w:rPr>
        <w:t xml:space="preserve"> Amusements Pty Ltd</w:t>
      </w:r>
      <w:r w:rsidRPr="00250C1E">
        <w:rPr>
          <w:rFonts w:ascii="Times New Roman" w:hAnsi="Times New Roman"/>
          <w:iCs/>
        </w:rPr>
        <w:t xml:space="preserve">, that in its application to patents </w:t>
      </w:r>
      <w:r w:rsidRPr="00250C1E">
        <w:rPr>
          <w:rFonts w:ascii="Times New Roman" w:hAnsi="Times New Roman"/>
        </w:rPr>
        <w:t>the implied licence doctrine "would seem to be settled law"</w:t>
      </w:r>
      <w:r w:rsidRPr="00250C1E">
        <w:rPr>
          <w:rStyle w:val="FootnoteReference"/>
          <w:rFonts w:ascii="Times New Roman" w:hAnsi="Times New Roman"/>
          <w:sz w:val="24"/>
        </w:rPr>
        <w:footnoteReference w:id="192"/>
      </w:r>
      <w:r w:rsidRPr="00250C1E">
        <w:rPr>
          <w:rFonts w:ascii="Times New Roman" w:hAnsi="Times New Roman"/>
        </w:rPr>
        <w:t>. Both were copyright cases.</w:t>
      </w:r>
    </w:p>
    <w:p w14:paraId="19B72652"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 xml:space="preserve">Were there reason to consider that the Commonwealth Parliament assumed the continued application of the implied licence doctrine in enacting the </w:t>
      </w:r>
      <w:r w:rsidRPr="00250C1E">
        <w:rPr>
          <w:rFonts w:ascii="Times New Roman" w:hAnsi="Times New Roman"/>
          <w:i/>
          <w:iCs/>
        </w:rPr>
        <w:t>Patents Act 1990</w:t>
      </w:r>
      <w:r w:rsidRPr="00250C1E">
        <w:rPr>
          <w:rFonts w:ascii="Times New Roman" w:hAnsi="Times New Roman"/>
          <w:iCs/>
        </w:rPr>
        <w:t xml:space="preserve">, I would have unhesitatingly taken the view that </w:t>
      </w:r>
      <w:r w:rsidRPr="00250C1E">
        <w:rPr>
          <w:rFonts w:ascii="Times New Roman" w:hAnsi="Times New Roman"/>
        </w:rPr>
        <w:t>the implied licence doctrine is now</w:t>
      </w:r>
      <w:r w:rsidRPr="00250C1E">
        <w:rPr>
          <w:rFonts w:ascii="Times New Roman" w:hAnsi="Times New Roman"/>
          <w:iCs/>
        </w:rPr>
        <w:t xml:space="preserve"> incapable of judicial abandonment. In enacting the</w:t>
      </w:r>
      <w:r w:rsidRPr="00250C1E">
        <w:rPr>
          <w:rFonts w:ascii="Times New Roman" w:hAnsi="Times New Roman"/>
        </w:rPr>
        <w:t xml:space="preserve"> </w:t>
      </w:r>
      <w:r w:rsidRPr="00250C1E">
        <w:rPr>
          <w:rFonts w:ascii="Times New Roman" w:hAnsi="Times New Roman"/>
          <w:i/>
          <w:iCs/>
        </w:rPr>
        <w:t xml:space="preserve">Patents </w:t>
      </w:r>
      <w:r w:rsidRPr="00250C1E">
        <w:rPr>
          <w:rFonts w:ascii="Times New Roman" w:hAnsi="Times New Roman"/>
          <w:i/>
          <w:iCs/>
        </w:rPr>
        <w:lastRenderedPageBreak/>
        <w:t>Act 1990</w:t>
      </w:r>
      <w:r w:rsidRPr="00250C1E">
        <w:rPr>
          <w:rFonts w:ascii="Times New Roman" w:hAnsi="Times New Roman"/>
          <w:iCs/>
        </w:rPr>
        <w:t xml:space="preserve">, however, </w:t>
      </w:r>
      <w:r w:rsidRPr="00250C1E">
        <w:rPr>
          <w:rFonts w:ascii="Times New Roman" w:hAnsi="Times New Roman"/>
        </w:rPr>
        <w:t>the Parliament did not even re-enact the statutory language in the context of which the implied licence doctrine</w:t>
      </w:r>
      <w:r w:rsidRPr="00250C1E">
        <w:rPr>
          <w:rFonts w:ascii="Times New Roman" w:hAnsi="Times New Roman"/>
          <w:iCs/>
        </w:rPr>
        <w:t xml:space="preserve"> was articulated in </w:t>
      </w:r>
      <w:proofErr w:type="spellStart"/>
      <w:r w:rsidRPr="00250C1E">
        <w:rPr>
          <w:rFonts w:ascii="Times New Roman" w:hAnsi="Times New Roman"/>
          <w:i/>
        </w:rPr>
        <w:t>Menck</w:t>
      </w:r>
      <w:proofErr w:type="spellEnd"/>
      <w:r w:rsidRPr="00250C1E">
        <w:rPr>
          <w:rFonts w:ascii="Times New Roman" w:hAnsi="Times New Roman"/>
          <w:i/>
        </w:rPr>
        <w:t xml:space="preserve"> </w:t>
      </w:r>
      <w:r w:rsidRPr="00250C1E">
        <w:rPr>
          <w:rFonts w:ascii="Times New Roman" w:hAnsi="Times New Roman"/>
        </w:rPr>
        <w:t>(Privy Council)</w:t>
      </w:r>
      <w:r w:rsidRPr="00250C1E">
        <w:rPr>
          <w:rFonts w:ascii="Times New Roman" w:hAnsi="Times New Roman"/>
          <w:iCs/>
        </w:rPr>
        <w:t>.</w:t>
      </w:r>
      <w:r w:rsidRPr="00250C1E">
        <w:rPr>
          <w:rFonts w:ascii="Times New Roman" w:hAnsi="Times New Roman"/>
        </w:rPr>
        <w:t xml:space="preserve"> Neither the Explanatory Memorandum to the </w:t>
      </w:r>
      <w:r w:rsidRPr="00250C1E">
        <w:rPr>
          <w:rFonts w:ascii="Times New Roman" w:hAnsi="Times New Roman"/>
          <w:i/>
          <w:iCs/>
        </w:rPr>
        <w:t xml:space="preserve">Patents Bill 1990 </w:t>
      </w:r>
      <w:r w:rsidRPr="00250C1E">
        <w:rPr>
          <w:rFonts w:ascii="Times New Roman" w:hAnsi="Times New Roman"/>
          <w:iCs/>
        </w:rPr>
        <w:t>nor the IPAC report which preceded it provides a firm foundation for considering that anything in the text or structure of</w:t>
      </w:r>
      <w:r w:rsidRPr="00250C1E">
        <w:rPr>
          <w:rFonts w:ascii="Times New Roman" w:hAnsi="Times New Roman"/>
        </w:rPr>
        <w:t xml:space="preserve"> </w:t>
      </w:r>
      <w:r w:rsidRPr="00250C1E">
        <w:rPr>
          <w:rFonts w:ascii="Times New Roman" w:hAnsi="Times New Roman"/>
          <w:iCs/>
        </w:rPr>
        <w:t>the</w:t>
      </w:r>
      <w:r w:rsidRPr="00250C1E">
        <w:rPr>
          <w:rFonts w:ascii="Times New Roman" w:hAnsi="Times New Roman"/>
        </w:rPr>
        <w:t xml:space="preserve"> </w:t>
      </w:r>
      <w:r w:rsidRPr="00250C1E">
        <w:rPr>
          <w:rFonts w:ascii="Times New Roman" w:hAnsi="Times New Roman"/>
          <w:i/>
          <w:iCs/>
        </w:rPr>
        <w:t>Patents Act 1990</w:t>
      </w:r>
      <w:r w:rsidRPr="00250C1E">
        <w:rPr>
          <w:rFonts w:ascii="Times New Roman" w:hAnsi="Times New Roman"/>
          <w:iCs/>
        </w:rPr>
        <w:t xml:space="preserve"> reflected an implicit legislative choice to perpetuate </w:t>
      </w:r>
      <w:r w:rsidRPr="00250C1E">
        <w:rPr>
          <w:rFonts w:ascii="Times New Roman" w:hAnsi="Times New Roman"/>
        </w:rPr>
        <w:t>the implied licence doctrine in preference to the exhaustion of rights doctrine. The acknowledgement of both doctrines in the passage in the Explanatory Memorandum quoted in the joint majority judgment rather suggests the legislative adoption of an attitude of studied agnosticism.</w:t>
      </w:r>
    </w:p>
    <w:p w14:paraId="2245E198"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 xml:space="preserve">I would have also been loath to abandon the implied licence doctrine were there grounds for thinking that abandonment of the doctrine would interfere with realisation of legitimate commercial expectations formed in reliance on the doctrine. Opportunities for patentees to exploit the implied licence doctrine by expressly imposing downstream restrictions on the use or resale of patented goods have been reduced by amendments to the </w:t>
      </w:r>
      <w:r w:rsidRPr="00250C1E">
        <w:rPr>
          <w:rFonts w:ascii="Times New Roman" w:hAnsi="Times New Roman"/>
          <w:i/>
        </w:rPr>
        <w:t xml:space="preserve">Competition and Consumer Act 2010 </w:t>
      </w:r>
      <w:r w:rsidRPr="00250C1E">
        <w:rPr>
          <w:rFonts w:ascii="Times New Roman" w:hAnsi="Times New Roman"/>
        </w:rPr>
        <w:t>(</w:t>
      </w:r>
      <w:proofErr w:type="spellStart"/>
      <w:r w:rsidRPr="00250C1E">
        <w:rPr>
          <w:rFonts w:ascii="Times New Roman" w:hAnsi="Times New Roman"/>
        </w:rPr>
        <w:t>Cth</w:t>
      </w:r>
      <w:proofErr w:type="spellEnd"/>
      <w:r w:rsidRPr="00250C1E">
        <w:rPr>
          <w:rFonts w:ascii="Times New Roman" w:hAnsi="Times New Roman"/>
        </w:rPr>
        <w:t>) in 2019</w:t>
      </w:r>
      <w:r w:rsidRPr="00250C1E">
        <w:rPr>
          <w:rStyle w:val="FootnoteReference"/>
          <w:rFonts w:ascii="Times New Roman" w:hAnsi="Times New Roman"/>
          <w:sz w:val="24"/>
        </w:rPr>
        <w:footnoteReference w:id="193"/>
      </w:r>
      <w:r w:rsidRPr="00250C1E">
        <w:rPr>
          <w:rFonts w:ascii="Times New Roman" w:hAnsi="Times New Roman"/>
        </w:rPr>
        <w:t xml:space="preserve"> removing an exemption from statutory provisions prohibiting restrictive trade practices for conditions imposed by patentees relating to articles made by use of an invention which had existed since 1974</w:t>
      </w:r>
      <w:r w:rsidRPr="00250C1E">
        <w:rPr>
          <w:rStyle w:val="FootnoteReference"/>
          <w:rFonts w:ascii="Times New Roman" w:hAnsi="Times New Roman"/>
          <w:sz w:val="24"/>
        </w:rPr>
        <w:footnoteReference w:id="194"/>
      </w:r>
      <w:r w:rsidRPr="00250C1E">
        <w:rPr>
          <w:rFonts w:ascii="Times New Roman" w:hAnsi="Times New Roman"/>
        </w:rPr>
        <w:t>. The Explanatory Memorandum to the 2019 amending Act included the observation that the number of arrangements affected by the removal of the exemption was "likely to be small"</w:t>
      </w:r>
      <w:r w:rsidRPr="00250C1E">
        <w:rPr>
          <w:rStyle w:val="FootnoteReference"/>
          <w:rFonts w:ascii="Times New Roman" w:hAnsi="Times New Roman"/>
          <w:sz w:val="24"/>
        </w:rPr>
        <w:footnoteReference w:id="195"/>
      </w:r>
      <w:r w:rsidRPr="00250C1E">
        <w:rPr>
          <w:rFonts w:ascii="Times New Roman" w:hAnsi="Times New Roman"/>
        </w:rPr>
        <w:t>. Tellingly, the well-resourced, well-represented and heavily invested parties to the present appeal did not point to any commercial expectations that ought to be taken into account in resolving the ground of appeal concerning the implied licence doctrine, and no application for leave to intervene was made by any patent holder claiming to have a legal interest which might be affected by abandonment of the doctrine</w:t>
      </w:r>
      <w:r w:rsidRPr="00250C1E">
        <w:rPr>
          <w:rStyle w:val="FootnoteReference"/>
          <w:rFonts w:ascii="Times New Roman" w:hAnsi="Times New Roman"/>
          <w:sz w:val="24"/>
        </w:rPr>
        <w:footnoteReference w:id="196"/>
      </w:r>
      <w:r w:rsidRPr="00250C1E">
        <w:rPr>
          <w:rFonts w:ascii="Times New Roman" w:hAnsi="Times New Roman"/>
        </w:rPr>
        <w:t xml:space="preserve">. </w:t>
      </w:r>
    </w:p>
    <w:p w14:paraId="6DEC5AD5" w14:textId="77777777" w:rsidR="00261C63" w:rsidRPr="00250C1E" w:rsidRDefault="00261C63" w:rsidP="00261C63">
      <w:pPr>
        <w:pStyle w:val="FixListStyle"/>
        <w:numPr>
          <w:ilvl w:val="0"/>
          <w:numId w:val="18"/>
        </w:numPr>
        <w:spacing w:after="260" w:line="280" w:lineRule="exact"/>
        <w:ind w:left="0" w:right="0" w:hanging="720"/>
        <w:jc w:val="both"/>
        <w:rPr>
          <w:rFonts w:ascii="Times New Roman" w:hAnsi="Times New Roman"/>
        </w:rPr>
      </w:pPr>
      <w:r w:rsidRPr="00250C1E">
        <w:rPr>
          <w:rFonts w:ascii="Times New Roman" w:hAnsi="Times New Roman"/>
        </w:rPr>
        <w:tab/>
        <w:t>The constructional choice is therefore open. In my view, it is properly made in this case in the manner and for the reasons set out in the joint majority judgment.</w:t>
      </w:r>
    </w:p>
    <w:p w14:paraId="22724B17" w14:textId="77777777" w:rsidR="00261C63" w:rsidRDefault="00261C63" w:rsidP="00847696">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b/>
          <w:szCs w:val="20"/>
        </w:rPr>
      </w:pPr>
    </w:p>
    <w:p w14:paraId="37AF9089" w14:textId="77777777" w:rsidR="00261C63" w:rsidRDefault="00261C63" w:rsidP="00847696">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b/>
          <w:szCs w:val="20"/>
        </w:rPr>
        <w:sectPr w:rsidR="00261C63" w:rsidSect="00261C63">
          <w:headerReference w:type="even" r:id="rId15"/>
          <w:headerReference w:type="default" r:id="rId16"/>
          <w:footerReference w:type="even" r:id="rId17"/>
          <w:footerReference w:type="default" r:id="rId18"/>
          <w:headerReference w:type="first" r:id="rId19"/>
          <w:footerReference w:type="first" r:id="rId20"/>
          <w:pgSz w:w="11907" w:h="16839" w:code="9"/>
          <w:pgMar w:top="1440" w:right="1701" w:bottom="1984" w:left="1701" w:header="720" w:footer="720" w:gutter="0"/>
          <w:cols w:space="720"/>
          <w:docGrid w:linePitch="354"/>
        </w:sectPr>
      </w:pPr>
    </w:p>
    <w:p w14:paraId="4C7A4A21" w14:textId="77777777" w:rsidR="00261C63" w:rsidRPr="0044114E" w:rsidRDefault="00261C63" w:rsidP="00261C63">
      <w:pPr>
        <w:pStyle w:val="FixListStyle"/>
        <w:numPr>
          <w:ilvl w:val="0"/>
          <w:numId w:val="18"/>
        </w:numPr>
        <w:tabs>
          <w:tab w:val="clear" w:pos="720"/>
          <w:tab w:val="left" w:pos="0"/>
        </w:tabs>
        <w:spacing w:after="260" w:line="280" w:lineRule="exact"/>
        <w:ind w:left="0" w:right="0" w:hanging="720"/>
        <w:jc w:val="both"/>
        <w:rPr>
          <w:rFonts w:ascii="Times New Roman" w:eastAsia="Calibri" w:hAnsi="Times New Roman"/>
        </w:rPr>
      </w:pPr>
      <w:r w:rsidRPr="0044114E">
        <w:rPr>
          <w:rFonts w:ascii="Times New Roman" w:eastAsia="Calibri" w:hAnsi="Times New Roman"/>
        </w:rPr>
        <w:lastRenderedPageBreak/>
        <w:t xml:space="preserve">NETTLE, GORDON AND EDELMAN JJ.   Seiko Epson Corporation ("Seiko") manufactures and sells patented printer cartridges. </w:t>
      </w:r>
      <w:proofErr w:type="spellStart"/>
      <w:r w:rsidRPr="0044114E">
        <w:rPr>
          <w:rFonts w:ascii="Times New Roman" w:eastAsia="Calibri" w:hAnsi="Times New Roman"/>
        </w:rPr>
        <w:t>Ninestar</w:t>
      </w:r>
      <w:proofErr w:type="spellEnd"/>
      <w:r w:rsidRPr="0044114E">
        <w:rPr>
          <w:rFonts w:ascii="Times New Roman" w:eastAsia="Calibri" w:hAnsi="Times New Roman"/>
        </w:rPr>
        <w:t xml:space="preserve"> Image (Malaysia) SDN BHD ("</w:t>
      </w:r>
      <w:proofErr w:type="spellStart"/>
      <w:r w:rsidRPr="0044114E">
        <w:rPr>
          <w:rFonts w:ascii="Times New Roman" w:eastAsia="Calibri" w:hAnsi="Times New Roman"/>
        </w:rPr>
        <w:t>Ninestar</w:t>
      </w:r>
      <w:proofErr w:type="spellEnd"/>
      <w:r w:rsidRPr="0044114E">
        <w:rPr>
          <w:rFonts w:ascii="Times New Roman" w:eastAsia="Calibri" w:hAnsi="Times New Roman"/>
        </w:rPr>
        <w:t>"), a third party to the proceedings, obtained used Seiko cartridges and modified those cartridges so that they could be re-used. The m</w:t>
      </w:r>
      <w:r w:rsidRPr="0044114E">
        <w:rPr>
          <w:rFonts w:ascii="Times New Roman" w:hAnsi="Times New Roman"/>
        </w:rPr>
        <w:t xml:space="preserve">odified cartridges embodied all integers of Seiko's patent claim. </w:t>
      </w:r>
      <w:r w:rsidRPr="0044114E">
        <w:rPr>
          <w:rFonts w:ascii="Times New Roman" w:eastAsia="Calibri" w:hAnsi="Times New Roman"/>
        </w:rPr>
        <w:t>Calidad Distributors Pty Ltd, in connection with three related companies (collectively,</w:t>
      </w:r>
      <w:r>
        <w:rPr>
          <w:rFonts w:ascii="Times New Roman" w:eastAsia="Calibri" w:hAnsi="Times New Roman"/>
        </w:rPr>
        <w:t> </w:t>
      </w:r>
      <w:r w:rsidRPr="0044114E">
        <w:rPr>
          <w:rFonts w:ascii="Times New Roman" w:eastAsia="Calibri" w:hAnsi="Times New Roman"/>
        </w:rPr>
        <w:t xml:space="preserve">"Calidad"), then imported and sold those modified cartridges in Australia. </w:t>
      </w:r>
      <w:r w:rsidRPr="0044114E">
        <w:rPr>
          <w:rFonts w:ascii="Times New Roman" w:hAnsi="Times New Roman"/>
        </w:rPr>
        <w:t>Did </w:t>
      </w:r>
      <w:r w:rsidRPr="0044114E">
        <w:rPr>
          <w:rFonts w:ascii="Times New Roman" w:eastAsia="Calibri" w:hAnsi="Times New Roman"/>
        </w:rPr>
        <w:t xml:space="preserve">the actions of </w:t>
      </w:r>
      <w:proofErr w:type="spellStart"/>
      <w:r w:rsidRPr="0044114E">
        <w:rPr>
          <w:rFonts w:ascii="Times New Roman" w:eastAsia="Calibri" w:hAnsi="Times New Roman"/>
        </w:rPr>
        <w:t>Ninestar</w:t>
      </w:r>
      <w:proofErr w:type="spellEnd"/>
      <w:r w:rsidRPr="0044114E">
        <w:rPr>
          <w:rFonts w:ascii="Times New Roman" w:eastAsia="Calibri" w:hAnsi="Times New Roman"/>
        </w:rPr>
        <w:t xml:space="preserve"> and Calidad infringe Seiko's patents? That</w:t>
      </w:r>
      <w:r>
        <w:rPr>
          <w:rFonts w:ascii="Times New Roman" w:eastAsia="Calibri" w:hAnsi="Times New Roman"/>
        </w:rPr>
        <w:t> </w:t>
      </w:r>
      <w:r w:rsidRPr="0044114E">
        <w:rPr>
          <w:rFonts w:ascii="Times New Roman" w:eastAsia="Calibri" w:hAnsi="Times New Roman"/>
        </w:rPr>
        <w:t>issue can, and should, be resolved by asking what Lord Hoffmann once described as a "very short" point</w:t>
      </w:r>
      <w:r w:rsidRPr="0044114E">
        <w:rPr>
          <w:rStyle w:val="FootnoteReference"/>
          <w:rFonts w:ascii="Times New Roman" w:eastAsia="Calibri" w:hAnsi="Times New Roman"/>
          <w:sz w:val="24"/>
        </w:rPr>
        <w:footnoteReference w:id="197"/>
      </w:r>
      <w:r w:rsidRPr="0044114E">
        <w:rPr>
          <w:rFonts w:ascii="Times New Roman" w:eastAsia="Calibri" w:hAnsi="Times New Roman"/>
        </w:rPr>
        <w:t xml:space="preserve"> – did </w:t>
      </w:r>
      <w:proofErr w:type="spellStart"/>
      <w:r w:rsidRPr="0044114E">
        <w:rPr>
          <w:rFonts w:ascii="Times New Roman" w:eastAsia="Calibri" w:hAnsi="Times New Roman"/>
        </w:rPr>
        <w:t>Ninestar</w:t>
      </w:r>
      <w:proofErr w:type="spellEnd"/>
      <w:r w:rsidRPr="0044114E">
        <w:rPr>
          <w:rFonts w:ascii="Times New Roman" w:eastAsia="Calibri" w:hAnsi="Times New Roman"/>
        </w:rPr>
        <w:t xml:space="preserve"> </w:t>
      </w:r>
      <w:r w:rsidRPr="0044114E">
        <w:rPr>
          <w:rFonts w:ascii="Times New Roman" w:eastAsia="Calibri" w:hAnsi="Times New Roman"/>
          <w:i/>
        </w:rPr>
        <w:t>make</w:t>
      </w:r>
      <w:r w:rsidRPr="0044114E">
        <w:rPr>
          <w:rFonts w:ascii="Times New Roman" w:eastAsia="Calibri" w:hAnsi="Times New Roman"/>
        </w:rPr>
        <w:t xml:space="preserve"> the patented invention contrary to s 13(1) of the </w:t>
      </w:r>
      <w:r w:rsidRPr="0044114E">
        <w:rPr>
          <w:rFonts w:ascii="Times New Roman" w:eastAsia="Calibri" w:hAnsi="Times New Roman"/>
          <w:i/>
        </w:rPr>
        <w:t xml:space="preserve">Patents Act 1990 </w:t>
      </w:r>
      <w:r w:rsidRPr="0044114E">
        <w:rPr>
          <w:rFonts w:ascii="Times New Roman" w:eastAsia="Calibri" w:hAnsi="Times New Roman"/>
        </w:rPr>
        <w:t>(</w:t>
      </w:r>
      <w:proofErr w:type="spellStart"/>
      <w:r w:rsidRPr="0044114E">
        <w:rPr>
          <w:rFonts w:ascii="Times New Roman" w:eastAsia="Calibri" w:hAnsi="Times New Roman"/>
        </w:rPr>
        <w:t>Cth</w:t>
      </w:r>
      <w:proofErr w:type="spellEnd"/>
      <w:r w:rsidRPr="0044114E">
        <w:rPr>
          <w:rFonts w:ascii="Times New Roman" w:eastAsia="Calibri" w:hAnsi="Times New Roman"/>
        </w:rPr>
        <w:t>)?</w:t>
      </w:r>
    </w:p>
    <w:p w14:paraId="0A7AB3FA"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eastAsia="Calibri" w:hAnsi="Times New Roman"/>
        </w:rPr>
        <w:tab/>
      </w:r>
      <w:r w:rsidRPr="0044114E">
        <w:rPr>
          <w:rFonts w:ascii="Times New Roman" w:hAnsi="Times New Roman"/>
        </w:rPr>
        <w:t>For the reasons which follow, the work performed on Category 1, 2, 3 and</w:t>
      </w:r>
      <w:r>
        <w:rPr>
          <w:rFonts w:ascii="Times New Roman" w:hAnsi="Times New Roman"/>
        </w:rPr>
        <w:t> </w:t>
      </w:r>
      <w:r w:rsidRPr="0044114E">
        <w:rPr>
          <w:rFonts w:ascii="Times New Roman" w:hAnsi="Times New Roman"/>
        </w:rPr>
        <w:t xml:space="preserve">4 and Category A cartridges – as later described – did not amount to making the patented invention but the work performed on Category 5, 6 and 7 and Category B cartridges did. Thus, the appeal should be allowed in part. </w:t>
      </w:r>
    </w:p>
    <w:p w14:paraId="20572516"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eastAsia="Calibri" w:hAnsi="Times New Roman"/>
        </w:rPr>
        <w:tab/>
        <w:t xml:space="preserve">That answer could not, and, it was common ground, did not, change according to which of two competing juridical bases for understanding the nature and extent of the monopoly rights which the Australian </w:t>
      </w:r>
      <w:r w:rsidRPr="0044114E">
        <w:rPr>
          <w:rFonts w:ascii="Times New Roman" w:eastAsia="Calibri" w:hAnsi="Times New Roman"/>
          <w:i/>
        </w:rPr>
        <w:t xml:space="preserve">Patents Act 1990 </w:t>
      </w:r>
      <w:r w:rsidRPr="0044114E">
        <w:rPr>
          <w:rFonts w:ascii="Times New Roman" w:eastAsia="Calibri" w:hAnsi="Times New Roman"/>
        </w:rPr>
        <w:t>grants – the "implied licence theory" or the "exhaustion theory" – is adopted. As Lord</w:t>
      </w:r>
      <w:r>
        <w:rPr>
          <w:rFonts w:ascii="Times New Roman" w:eastAsia="Calibri" w:hAnsi="Times New Roman"/>
        </w:rPr>
        <w:t> </w:t>
      </w:r>
      <w:r w:rsidRPr="0044114E">
        <w:rPr>
          <w:rFonts w:ascii="Times New Roman" w:eastAsia="Calibri" w:hAnsi="Times New Roman"/>
        </w:rPr>
        <w:t xml:space="preserve">Hoffmann correctly stated in </w:t>
      </w:r>
      <w:r w:rsidRPr="0044114E">
        <w:rPr>
          <w:rFonts w:ascii="Times New Roman" w:eastAsia="Calibri" w:hAnsi="Times New Roman"/>
          <w:i/>
        </w:rPr>
        <w:t>United Wire Ltd v Screen Repair Services (Scotland) Ltd</w:t>
      </w:r>
      <w:r w:rsidRPr="0044114E">
        <w:rPr>
          <w:rStyle w:val="FootnoteReference"/>
          <w:rFonts w:ascii="Times New Roman" w:eastAsia="Calibri" w:hAnsi="Times New Roman"/>
          <w:sz w:val="24"/>
        </w:rPr>
        <w:footnoteReference w:id="198"/>
      </w:r>
      <w:r w:rsidRPr="0044114E">
        <w:rPr>
          <w:rFonts w:ascii="Times New Roman" w:eastAsia="Calibri" w:hAnsi="Times New Roman"/>
        </w:rPr>
        <w:t xml:space="preserve">, "[w]here ... it is alleged that the defendant has infringed by </w:t>
      </w:r>
      <w:r w:rsidRPr="0044114E">
        <w:rPr>
          <w:rFonts w:ascii="Times New Roman" w:eastAsia="Calibri" w:hAnsi="Times New Roman"/>
          <w:i/>
        </w:rPr>
        <w:t>making</w:t>
      </w:r>
      <w:r w:rsidRPr="0044114E">
        <w:rPr>
          <w:rFonts w:ascii="Times New Roman" w:eastAsia="Calibri" w:hAnsi="Times New Roman"/>
        </w:rPr>
        <w:t xml:space="preserve"> the patented product, the concepts of an implied licence or exhaustion of rights can have no part to play". Neither theory allows the "making" of a new invention without authorisation from the patentee</w:t>
      </w:r>
      <w:r w:rsidRPr="0044114E">
        <w:rPr>
          <w:rStyle w:val="FootnoteReference"/>
          <w:rFonts w:ascii="Times New Roman" w:eastAsia="Calibri" w:hAnsi="Times New Roman"/>
          <w:sz w:val="24"/>
        </w:rPr>
        <w:footnoteReference w:id="199"/>
      </w:r>
      <w:r w:rsidRPr="0044114E">
        <w:rPr>
          <w:rFonts w:ascii="Times New Roman" w:eastAsia="Calibri" w:hAnsi="Times New Roman"/>
        </w:rPr>
        <w:t xml:space="preserve">. </w:t>
      </w:r>
    </w:p>
    <w:p w14:paraId="4A36775C"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eastAsia="Calibri" w:hAnsi="Times New Roman"/>
        </w:rPr>
        <w:tab/>
        <w:t xml:space="preserve">Although this matter could be decided without choosing between the implied licence theory and the exhaustion theory, Calidad submitted that Australia </w:t>
      </w:r>
      <w:r w:rsidRPr="0044114E">
        <w:rPr>
          <w:rFonts w:ascii="Times New Roman" w:eastAsia="Calibri" w:hAnsi="Times New Roman"/>
        </w:rPr>
        <w:lastRenderedPageBreak/>
        <w:t>now should adopt the exhaustion theory instead of the implied licence theory. That</w:t>
      </w:r>
      <w:r>
        <w:rPr>
          <w:rFonts w:ascii="Times New Roman" w:eastAsia="Calibri" w:hAnsi="Times New Roman"/>
        </w:rPr>
        <w:t> </w:t>
      </w:r>
      <w:r w:rsidRPr="0044114E">
        <w:rPr>
          <w:rFonts w:ascii="Times New Roman" w:eastAsia="Calibri" w:hAnsi="Times New Roman"/>
        </w:rPr>
        <w:t>is not a step we are prepared to take. It is necessary therefore to address the competing theories before turning to address the second issue – whether the modifications of the used Epson printer cartridges amounted to making the patented invention and thereby infringed Seiko's patents.</w:t>
      </w:r>
    </w:p>
    <w:p w14:paraId="268DF15F"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eastAsia="Calibri" w:hAnsi="Times New Roman"/>
        </w:rPr>
        <w:tab/>
        <w:t>As these reasons will explain, for more than a century, understanding the nature and extent of the monopoly rights granted by Australian (and English) patents Acts</w:t>
      </w:r>
      <w:r w:rsidRPr="0044114E">
        <w:rPr>
          <w:rFonts w:ascii="Times New Roman" w:hAnsi="Times New Roman"/>
        </w:rPr>
        <w:t xml:space="preserve"> has been resolved by the implied licence theory. </w:t>
      </w:r>
      <w:r w:rsidRPr="0044114E">
        <w:rPr>
          <w:rFonts w:ascii="Times New Roman" w:eastAsia="Calibri" w:hAnsi="Times New Roman"/>
        </w:rPr>
        <w:t>The exhaustion theory was developed and applied in the United States (and elsewhere) by reference to different legislative provisions. Such textual differences are not surprising. Unlike the law of copyright, the law of patents is not harmonised across countries</w:t>
      </w:r>
      <w:r w:rsidRPr="0044114E">
        <w:rPr>
          <w:rStyle w:val="FootnoteReference"/>
          <w:rFonts w:ascii="Times New Roman" w:eastAsia="Calibri" w:hAnsi="Times New Roman"/>
          <w:sz w:val="24"/>
        </w:rPr>
        <w:footnoteReference w:id="200"/>
      </w:r>
      <w:r w:rsidRPr="0044114E">
        <w:rPr>
          <w:rFonts w:ascii="Times New Roman" w:eastAsia="Calibri" w:hAnsi="Times New Roman"/>
        </w:rPr>
        <w:t xml:space="preserve">. To now adopt the exhaustion theory diminishes the rights granted under the Australian </w:t>
      </w:r>
      <w:r w:rsidRPr="0044114E">
        <w:rPr>
          <w:rFonts w:ascii="Times New Roman" w:eastAsia="Calibri" w:hAnsi="Times New Roman"/>
          <w:i/>
        </w:rPr>
        <w:t>Patents Act 1990</w:t>
      </w:r>
      <w:r w:rsidRPr="0044114E">
        <w:rPr>
          <w:rFonts w:ascii="Times New Roman" w:eastAsia="Calibri" w:hAnsi="Times New Roman"/>
        </w:rPr>
        <w:t>. Under the exhaustion theory, a patentee cannot seek to control or limit, as a matter of patent law, what can be done by a purchaser of a patented product on notice of a condition of restraint; the patentee is left with only whatever rights and remedies are available in contract, and no rights and remedies under patent law. For our part, there is no principled reason for such a change.</w:t>
      </w:r>
    </w:p>
    <w:p w14:paraId="2E718109"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eastAsia="Calibri" w:hAnsi="Times New Roman"/>
        </w:rPr>
        <w:tab/>
        <w:t>Stripping patentees of rights which they have held for more than a century</w:t>
      </w:r>
      <w:r w:rsidRPr="0044114E">
        <w:rPr>
          <w:rStyle w:val="FootnoteReference"/>
          <w:rFonts w:ascii="Times New Roman" w:eastAsia="Calibri" w:hAnsi="Times New Roman"/>
          <w:sz w:val="24"/>
        </w:rPr>
        <w:footnoteReference w:id="201"/>
      </w:r>
      <w:r w:rsidRPr="0044114E">
        <w:rPr>
          <w:rFonts w:ascii="Times New Roman" w:eastAsia="Calibri" w:hAnsi="Times New Roman"/>
        </w:rPr>
        <w:t xml:space="preserve"> is a question for the legislature, not the courts. This Court should not make</w:t>
      </w:r>
      <w:r w:rsidRPr="0044114E" w:rsidDel="006D2E17">
        <w:rPr>
          <w:rFonts w:ascii="Times New Roman" w:eastAsia="Calibri" w:hAnsi="Times New Roman"/>
        </w:rPr>
        <w:t xml:space="preserve"> </w:t>
      </w:r>
      <w:r w:rsidRPr="0044114E">
        <w:rPr>
          <w:rFonts w:ascii="Times New Roman" w:eastAsia="Calibri" w:hAnsi="Times New Roman"/>
        </w:rPr>
        <w:t>such a significant change in the rights of patentees, let alone in an appeal where decision of the point is not necessary to resolve the appeal. Resolution of the question does not affect the disposition of the litigation between these parties and, unsurprisingly, the adverse effects of such a change upon commercial arrangements negotiated by reference to those longstanding rights and remedies</w:t>
      </w:r>
      <w:r w:rsidRPr="0044114E">
        <w:rPr>
          <w:rStyle w:val="FootnoteReference"/>
          <w:rFonts w:ascii="Times New Roman" w:eastAsia="Calibri" w:hAnsi="Times New Roman"/>
          <w:sz w:val="24"/>
        </w:rPr>
        <w:footnoteReference w:id="202"/>
      </w:r>
      <w:r w:rsidRPr="0044114E">
        <w:rPr>
          <w:rFonts w:ascii="Times New Roman" w:eastAsia="Calibri" w:hAnsi="Times New Roman"/>
        </w:rPr>
        <w:t xml:space="preserve"> were not addressed. </w:t>
      </w:r>
    </w:p>
    <w:p w14:paraId="53700099" w14:textId="77777777" w:rsidR="00261C63" w:rsidRPr="0044114E" w:rsidRDefault="00261C63" w:rsidP="00261C63">
      <w:pPr>
        <w:pStyle w:val="HeadingL1"/>
        <w:spacing w:after="260" w:line="280" w:lineRule="exact"/>
        <w:ind w:right="0"/>
        <w:jc w:val="both"/>
        <w:rPr>
          <w:rFonts w:ascii="Times New Roman" w:eastAsia="Calibri" w:hAnsi="Times New Roman"/>
        </w:rPr>
      </w:pPr>
      <w:r w:rsidRPr="0044114E">
        <w:rPr>
          <w:rFonts w:ascii="Times New Roman" w:eastAsia="Calibri" w:hAnsi="Times New Roman"/>
        </w:rPr>
        <w:t>Patents Act 1990</w:t>
      </w:r>
    </w:p>
    <w:p w14:paraId="0AD3CE9E"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eastAsia="Calibri" w:hAnsi="Times New Roman"/>
        </w:rPr>
        <w:tab/>
        <w:t xml:space="preserve">The patents in issue in this appeal were granted under the </w:t>
      </w:r>
      <w:r w:rsidRPr="0044114E">
        <w:rPr>
          <w:rFonts w:ascii="Times New Roman" w:eastAsia="Calibri" w:hAnsi="Times New Roman"/>
          <w:i/>
        </w:rPr>
        <w:t>Patents Act 1990</w:t>
      </w:r>
      <w:r w:rsidRPr="0044114E">
        <w:rPr>
          <w:rFonts w:ascii="Times New Roman" w:eastAsia="Calibri" w:hAnsi="Times New Roman"/>
        </w:rPr>
        <w:t xml:space="preserve">. It is necessary to start with the text of that Act. A patent granted under the </w:t>
      </w:r>
      <w:r w:rsidRPr="0044114E">
        <w:rPr>
          <w:rFonts w:ascii="Times New Roman" w:eastAsia="Calibri" w:hAnsi="Times New Roman"/>
          <w:i/>
        </w:rPr>
        <w:t>Patents</w:t>
      </w:r>
      <w:r>
        <w:rPr>
          <w:rFonts w:ascii="Times New Roman" w:eastAsia="Calibri" w:hAnsi="Times New Roman"/>
          <w:i/>
        </w:rPr>
        <w:t> </w:t>
      </w:r>
      <w:r w:rsidRPr="0044114E">
        <w:rPr>
          <w:rFonts w:ascii="Times New Roman" w:eastAsia="Calibri" w:hAnsi="Times New Roman"/>
          <w:i/>
        </w:rPr>
        <w:t xml:space="preserve">Act 1990 </w:t>
      </w:r>
      <w:r w:rsidRPr="0044114E">
        <w:rPr>
          <w:rFonts w:ascii="Times New Roman" w:eastAsia="Calibri" w:hAnsi="Times New Roman"/>
        </w:rPr>
        <w:t>protects the inventive step</w:t>
      </w:r>
      <w:r w:rsidRPr="0044114E">
        <w:rPr>
          <w:rStyle w:val="FootnoteReference"/>
          <w:rFonts w:ascii="Times New Roman" w:eastAsia="Calibri" w:hAnsi="Times New Roman"/>
          <w:sz w:val="24"/>
        </w:rPr>
        <w:footnoteReference w:id="203"/>
      </w:r>
      <w:r w:rsidRPr="0044114E">
        <w:rPr>
          <w:rFonts w:ascii="Times New Roman" w:eastAsia="Calibri" w:hAnsi="Times New Roman"/>
        </w:rPr>
        <w:t>. Section 13, headed "Exclusive rights given by patent", states:</w:t>
      </w:r>
    </w:p>
    <w:p w14:paraId="7AAA3F7D" w14:textId="77777777" w:rsidR="00261C63" w:rsidRPr="0044114E" w:rsidRDefault="00261C63" w:rsidP="00261C63">
      <w:pPr>
        <w:pStyle w:val="LeftrightafterHC"/>
        <w:spacing w:before="0" w:after="260" w:line="280" w:lineRule="exact"/>
        <w:ind w:left="1440" w:right="0" w:hanging="720"/>
        <w:jc w:val="both"/>
        <w:rPr>
          <w:rFonts w:ascii="Times New Roman" w:eastAsia="Calibri" w:hAnsi="Times New Roman"/>
        </w:rPr>
      </w:pPr>
      <w:r w:rsidRPr="0044114E">
        <w:rPr>
          <w:rFonts w:ascii="Times New Roman" w:eastAsia="Calibri" w:hAnsi="Times New Roman"/>
        </w:rPr>
        <w:lastRenderedPageBreak/>
        <w:t>"(1)</w:t>
      </w:r>
      <w:r w:rsidRPr="0044114E">
        <w:rPr>
          <w:rFonts w:ascii="Times New Roman" w:eastAsia="Calibri" w:hAnsi="Times New Roman"/>
        </w:rPr>
        <w:tab/>
        <w:t xml:space="preserve">Subject to this Act, a patent gives the patentee the </w:t>
      </w:r>
      <w:r w:rsidRPr="0044114E">
        <w:rPr>
          <w:rFonts w:ascii="Times New Roman" w:eastAsia="Calibri" w:hAnsi="Times New Roman"/>
          <w:i/>
        </w:rPr>
        <w:t>exclusive rights</w:t>
      </w:r>
      <w:r w:rsidRPr="0044114E">
        <w:rPr>
          <w:rFonts w:ascii="Times New Roman" w:eastAsia="Calibri" w:hAnsi="Times New Roman"/>
        </w:rPr>
        <w:t>, during the term of the patent, to </w:t>
      </w:r>
      <w:r w:rsidRPr="0044114E">
        <w:rPr>
          <w:rFonts w:ascii="Times New Roman" w:eastAsia="Calibri" w:hAnsi="Times New Roman"/>
          <w:i/>
        </w:rPr>
        <w:t>exploit</w:t>
      </w:r>
      <w:r w:rsidRPr="0044114E">
        <w:rPr>
          <w:rFonts w:ascii="Times New Roman" w:eastAsia="Calibri" w:hAnsi="Times New Roman"/>
        </w:rPr>
        <w:t xml:space="preserve"> </w:t>
      </w:r>
      <w:r w:rsidRPr="0044114E">
        <w:rPr>
          <w:rFonts w:ascii="Times New Roman" w:eastAsia="Calibri" w:hAnsi="Times New Roman"/>
          <w:i/>
        </w:rPr>
        <w:t>the invention</w:t>
      </w:r>
      <w:r w:rsidRPr="0044114E">
        <w:rPr>
          <w:rFonts w:ascii="Times New Roman" w:eastAsia="Calibri" w:hAnsi="Times New Roman"/>
        </w:rPr>
        <w:t xml:space="preserve"> and to </w:t>
      </w:r>
      <w:r w:rsidRPr="0044114E">
        <w:rPr>
          <w:rFonts w:ascii="Times New Roman" w:eastAsia="Calibri" w:hAnsi="Times New Roman"/>
          <w:i/>
        </w:rPr>
        <w:t>authorise</w:t>
      </w:r>
      <w:r w:rsidRPr="0044114E">
        <w:rPr>
          <w:rFonts w:ascii="Times New Roman" w:eastAsia="Calibri" w:hAnsi="Times New Roman"/>
        </w:rPr>
        <w:t xml:space="preserve"> another person to exploit the invention.</w:t>
      </w:r>
    </w:p>
    <w:p w14:paraId="7052922C" w14:textId="77777777" w:rsidR="00261C63" w:rsidRPr="0044114E" w:rsidRDefault="00261C63" w:rsidP="00261C63">
      <w:pPr>
        <w:pStyle w:val="leftright"/>
        <w:spacing w:before="0" w:after="260" w:line="280" w:lineRule="exact"/>
        <w:ind w:left="1440" w:right="0" w:hanging="720"/>
        <w:jc w:val="both"/>
        <w:rPr>
          <w:rFonts w:ascii="Times New Roman" w:eastAsia="Calibri" w:hAnsi="Times New Roman"/>
        </w:rPr>
      </w:pPr>
      <w:r w:rsidRPr="0044114E">
        <w:rPr>
          <w:rFonts w:ascii="Times New Roman" w:eastAsia="Calibri" w:hAnsi="Times New Roman"/>
        </w:rPr>
        <w:t>(2)</w:t>
      </w:r>
      <w:r w:rsidRPr="0044114E">
        <w:rPr>
          <w:rFonts w:ascii="Times New Roman" w:eastAsia="Calibri" w:hAnsi="Times New Roman"/>
        </w:rPr>
        <w:tab/>
        <w:t xml:space="preserve">The </w:t>
      </w:r>
      <w:r w:rsidRPr="0044114E">
        <w:rPr>
          <w:rFonts w:ascii="Times New Roman" w:eastAsia="Calibri" w:hAnsi="Times New Roman"/>
          <w:i/>
        </w:rPr>
        <w:t>exclusive rights</w:t>
      </w:r>
      <w:r w:rsidRPr="0044114E">
        <w:rPr>
          <w:rFonts w:ascii="Times New Roman" w:eastAsia="Calibri" w:hAnsi="Times New Roman"/>
        </w:rPr>
        <w:t xml:space="preserve"> are personal property and are capable of assignment and of devolution by law.</w:t>
      </w:r>
    </w:p>
    <w:p w14:paraId="2ABE9440" w14:textId="77777777" w:rsidR="00261C63" w:rsidRDefault="00261C63" w:rsidP="00261C63">
      <w:pPr>
        <w:pStyle w:val="leftright"/>
        <w:spacing w:before="0" w:after="260" w:line="280" w:lineRule="exact"/>
        <w:ind w:left="1440" w:right="0" w:hanging="720"/>
        <w:jc w:val="both"/>
        <w:rPr>
          <w:rFonts w:ascii="Times New Roman" w:eastAsia="Calibri" w:hAnsi="Times New Roman"/>
        </w:rPr>
      </w:pPr>
      <w:r w:rsidRPr="0044114E">
        <w:rPr>
          <w:rFonts w:ascii="Times New Roman" w:eastAsia="Calibri" w:hAnsi="Times New Roman"/>
        </w:rPr>
        <w:t>(3)</w:t>
      </w:r>
      <w:r w:rsidRPr="0044114E">
        <w:rPr>
          <w:rFonts w:ascii="Times New Roman" w:eastAsia="Calibri" w:hAnsi="Times New Roman"/>
        </w:rPr>
        <w:tab/>
        <w:t>A patent has effect throughout the patent area." (emphasis added)</w:t>
      </w:r>
    </w:p>
    <w:p w14:paraId="6C4A353D"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eastAsia="Calibri" w:hAnsi="Times New Roman"/>
        </w:rPr>
        <w:tab/>
        <w:t xml:space="preserve">The term "exploit" in relation to an invention is now relevantly defined in Sch 1 to the </w:t>
      </w:r>
      <w:r w:rsidRPr="0044114E">
        <w:rPr>
          <w:rFonts w:ascii="Times New Roman" w:eastAsia="Calibri" w:hAnsi="Times New Roman"/>
          <w:i/>
        </w:rPr>
        <w:t>Patents Act 1990</w:t>
      </w:r>
      <w:r w:rsidRPr="0044114E">
        <w:rPr>
          <w:rFonts w:ascii="Times New Roman" w:eastAsia="Calibri" w:hAnsi="Times New Roman"/>
        </w:rPr>
        <w:t xml:space="preserve"> as including, where the invention is a product, to</w:t>
      </w:r>
      <w:r>
        <w:rPr>
          <w:rFonts w:ascii="Times New Roman" w:eastAsia="Calibri" w:hAnsi="Times New Roman"/>
        </w:rPr>
        <w:t> </w:t>
      </w:r>
      <w:r w:rsidRPr="0044114E">
        <w:rPr>
          <w:rFonts w:ascii="Times New Roman" w:eastAsia="Calibri" w:hAnsi="Times New Roman"/>
        </w:rPr>
        <w:t>"</w:t>
      </w:r>
      <w:r w:rsidRPr="0044114E">
        <w:rPr>
          <w:rFonts w:ascii="Times New Roman" w:eastAsia="Calibri" w:hAnsi="Times New Roman"/>
          <w:i/>
        </w:rPr>
        <w:t>make</w:t>
      </w:r>
      <w:r w:rsidRPr="0044114E">
        <w:rPr>
          <w:rFonts w:ascii="Times New Roman" w:eastAsia="Calibri" w:hAnsi="Times New Roman"/>
        </w:rPr>
        <w:t>, hire, sell or otherwise dispose of the product, offer to make, sell, hire or otherwise dispose of it, use or import it, or keep it for the purpose of doing any of those things" (emphasis added).</w:t>
      </w:r>
    </w:p>
    <w:p w14:paraId="75E944C4"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Thus, under s </w:t>
      </w:r>
      <w:r w:rsidRPr="0044114E">
        <w:rPr>
          <w:rFonts w:ascii="Times New Roman" w:eastAsia="Calibri" w:hAnsi="Times New Roman"/>
        </w:rPr>
        <w:t xml:space="preserve">13 of the </w:t>
      </w:r>
      <w:r w:rsidRPr="0044114E">
        <w:rPr>
          <w:rFonts w:ascii="Times New Roman" w:eastAsia="Calibri" w:hAnsi="Times New Roman"/>
          <w:i/>
        </w:rPr>
        <w:t>Patents Act 1990</w:t>
      </w:r>
      <w:r w:rsidRPr="0044114E">
        <w:rPr>
          <w:rFonts w:ascii="Times New Roman" w:eastAsia="Calibri" w:hAnsi="Times New Roman"/>
        </w:rPr>
        <w:t>, a patent gives the patentee the exclusive rights, during the term of the patent, to </w:t>
      </w:r>
      <w:r w:rsidRPr="0044114E">
        <w:rPr>
          <w:rFonts w:ascii="Times New Roman" w:eastAsia="Calibri" w:hAnsi="Times New Roman"/>
          <w:i/>
        </w:rPr>
        <w:t>exploit</w:t>
      </w:r>
      <w:r w:rsidRPr="0044114E">
        <w:rPr>
          <w:rFonts w:ascii="Times New Roman" w:eastAsia="Calibri" w:hAnsi="Times New Roman"/>
        </w:rPr>
        <w:t xml:space="preserve"> </w:t>
      </w:r>
      <w:r w:rsidRPr="0044114E">
        <w:rPr>
          <w:rFonts w:ascii="Times New Roman" w:eastAsia="Calibri" w:hAnsi="Times New Roman"/>
          <w:i/>
        </w:rPr>
        <w:t>the invention</w:t>
      </w:r>
      <w:r w:rsidRPr="0044114E">
        <w:rPr>
          <w:rFonts w:ascii="Times New Roman" w:eastAsia="Calibri" w:hAnsi="Times New Roman"/>
        </w:rPr>
        <w:t xml:space="preserve"> and to </w:t>
      </w:r>
      <w:r w:rsidRPr="0044114E">
        <w:rPr>
          <w:rFonts w:ascii="Times New Roman" w:eastAsia="Calibri" w:hAnsi="Times New Roman"/>
          <w:i/>
        </w:rPr>
        <w:t>authorise</w:t>
      </w:r>
      <w:r w:rsidRPr="0044114E">
        <w:rPr>
          <w:rFonts w:ascii="Times New Roman" w:eastAsia="Calibri" w:hAnsi="Times New Roman"/>
        </w:rPr>
        <w:t xml:space="preserve"> another person to exploit the invention and, where the invention is a product, to "make, hire, sell or otherwise dispose of the product, ... use or import it, or keep it for the purpose of doing any of those things". Each of those exclusive rights is separately "capable of assignment and of devolution by law"</w:t>
      </w:r>
      <w:r w:rsidRPr="0044114E">
        <w:rPr>
          <w:rStyle w:val="FootnoteReference"/>
          <w:rFonts w:ascii="Times New Roman" w:eastAsia="Calibri" w:hAnsi="Times New Roman"/>
          <w:sz w:val="24"/>
        </w:rPr>
        <w:footnoteReference w:id="204"/>
      </w:r>
      <w:r w:rsidRPr="0044114E">
        <w:rPr>
          <w:rFonts w:ascii="Times New Roman" w:eastAsia="Calibri" w:hAnsi="Times New Roman"/>
        </w:rPr>
        <w:t xml:space="preserve">. </w:t>
      </w:r>
    </w:p>
    <w:p w14:paraId="11000AB8"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eastAsia="Calibri" w:hAnsi="Times New Roman"/>
        </w:rPr>
        <w:tab/>
        <w:t xml:space="preserve">It is necessary to address the concept of monopoly rights in order to properly characterise the rights arising from the grant of a patent under the </w:t>
      </w:r>
      <w:r w:rsidRPr="0044114E">
        <w:rPr>
          <w:rFonts w:ascii="Times New Roman" w:eastAsia="Calibri" w:hAnsi="Times New Roman"/>
          <w:i/>
        </w:rPr>
        <w:t>Patents Act 1990</w:t>
      </w:r>
      <w:r w:rsidRPr="0044114E">
        <w:rPr>
          <w:rFonts w:ascii="Times New Roman" w:eastAsia="Calibri" w:hAnsi="Times New Roman"/>
        </w:rPr>
        <w:t>.</w:t>
      </w:r>
    </w:p>
    <w:p w14:paraId="49A7DD88" w14:textId="77777777" w:rsidR="00261C63" w:rsidRPr="0044114E" w:rsidRDefault="00261C63" w:rsidP="00261C63">
      <w:pPr>
        <w:pStyle w:val="HeadingL1"/>
        <w:spacing w:after="260" w:line="280" w:lineRule="exact"/>
        <w:ind w:right="0"/>
        <w:jc w:val="both"/>
        <w:rPr>
          <w:rFonts w:ascii="Times New Roman" w:hAnsi="Times New Roman"/>
        </w:rPr>
      </w:pPr>
      <w:r w:rsidRPr="0044114E">
        <w:rPr>
          <w:rFonts w:ascii="Times New Roman" w:hAnsi="Times New Roman"/>
        </w:rPr>
        <w:t>Monopoly rights</w:t>
      </w:r>
    </w:p>
    <w:p w14:paraId="47EA7615"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eastAsia="Calibri" w:hAnsi="Times New Roman"/>
        </w:rPr>
        <w:tab/>
        <w:t>The patent grants the patentee a monopoly over the exploitation of the invention. The practical reality of the monopoly is and always has been the right to forbid the exploitation – the making, hiring or sale – of the invention by others</w:t>
      </w:r>
      <w:r w:rsidRPr="0044114E">
        <w:rPr>
          <w:rStyle w:val="FootnoteReference"/>
          <w:rFonts w:ascii="Times New Roman" w:eastAsia="Calibri" w:hAnsi="Times New Roman"/>
          <w:sz w:val="24"/>
        </w:rPr>
        <w:footnoteReference w:id="205"/>
      </w:r>
      <w:r w:rsidRPr="0044114E">
        <w:rPr>
          <w:rFonts w:ascii="Times New Roman" w:eastAsia="Calibri" w:hAnsi="Times New Roman"/>
        </w:rPr>
        <w:t xml:space="preserve">. The right is valuable. The price for that right is that the invention must </w:t>
      </w:r>
      <w:r w:rsidRPr="0044114E">
        <w:rPr>
          <w:rFonts w:ascii="Times New Roman" w:eastAsia="Calibri" w:hAnsi="Times New Roman"/>
        </w:rPr>
        <w:lastRenderedPageBreak/>
        <w:t>be disclosed in the patent</w:t>
      </w:r>
      <w:r w:rsidRPr="0044114E">
        <w:rPr>
          <w:rStyle w:val="FootnoteReference"/>
          <w:rFonts w:ascii="Times New Roman" w:eastAsia="Calibri" w:hAnsi="Times New Roman"/>
          <w:sz w:val="24"/>
        </w:rPr>
        <w:footnoteReference w:id="206"/>
      </w:r>
      <w:r w:rsidRPr="0044114E">
        <w:rPr>
          <w:rFonts w:ascii="Times New Roman" w:eastAsia="Calibri" w:hAnsi="Times New Roman"/>
        </w:rPr>
        <w:t xml:space="preserve"> and the patentee must exploit the invention</w:t>
      </w:r>
      <w:r w:rsidRPr="0044114E">
        <w:rPr>
          <w:rStyle w:val="FootnoteReference"/>
          <w:rFonts w:ascii="Times New Roman" w:eastAsia="Calibri" w:hAnsi="Times New Roman"/>
          <w:sz w:val="24"/>
        </w:rPr>
        <w:footnoteReference w:id="207"/>
      </w:r>
      <w:r w:rsidRPr="0044114E">
        <w:rPr>
          <w:rFonts w:ascii="Times New Roman" w:eastAsia="Calibri" w:hAnsi="Times New Roman"/>
        </w:rPr>
        <w:t>. Where the invention is a product, the invention is exploited by making it or licensing someone else to make it</w:t>
      </w:r>
      <w:r w:rsidRPr="0044114E">
        <w:rPr>
          <w:rStyle w:val="FootnoteReference"/>
          <w:rFonts w:ascii="Times New Roman" w:eastAsia="Calibri" w:hAnsi="Times New Roman"/>
          <w:sz w:val="24"/>
        </w:rPr>
        <w:footnoteReference w:id="208"/>
      </w:r>
      <w:r w:rsidRPr="0044114E">
        <w:rPr>
          <w:rFonts w:ascii="Times New Roman" w:eastAsia="Calibri" w:hAnsi="Times New Roman"/>
        </w:rPr>
        <w:t xml:space="preserve">. But to describe the right granted as merely a right to exclude others from exploiting the invention is incomplete. </w:t>
      </w:r>
    </w:p>
    <w:p w14:paraId="08C0EF01"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eastAsia="Calibri" w:hAnsi="Times New Roman"/>
        </w:rPr>
        <w:tab/>
      </w:r>
      <w:r w:rsidRPr="0044114E">
        <w:rPr>
          <w:rFonts w:ascii="Times New Roman" w:hAnsi="Times New Roman"/>
        </w:rPr>
        <w:t xml:space="preserve">The </w:t>
      </w:r>
      <w:r w:rsidRPr="0044114E">
        <w:rPr>
          <w:rFonts w:ascii="Times New Roman" w:hAnsi="Times New Roman"/>
          <w:i/>
        </w:rPr>
        <w:t>Statute of Monopolies</w:t>
      </w:r>
      <w:r w:rsidRPr="0044114E">
        <w:rPr>
          <w:rStyle w:val="FootnoteReference"/>
          <w:rFonts w:ascii="Times New Roman" w:hAnsi="Times New Roman"/>
          <w:sz w:val="24"/>
        </w:rPr>
        <w:footnoteReference w:id="209"/>
      </w:r>
      <w:r w:rsidRPr="0044114E">
        <w:rPr>
          <w:rFonts w:ascii="Times New Roman" w:hAnsi="Times New Roman"/>
        </w:rPr>
        <w:t xml:space="preserve"> was the first comprehensive enactment in England that regulated what monopolies could be granted. Its focus was, as its name suggested, on the royal grants of monopolies</w:t>
      </w:r>
      <w:r w:rsidRPr="0044114E">
        <w:rPr>
          <w:rStyle w:val="FootnoteReference"/>
          <w:rFonts w:ascii="Times New Roman" w:hAnsi="Times New Roman"/>
          <w:sz w:val="24"/>
        </w:rPr>
        <w:footnoteReference w:id="210"/>
      </w:r>
      <w:r w:rsidRPr="0044114E">
        <w:rPr>
          <w:rFonts w:ascii="Times New Roman" w:hAnsi="Times New Roman"/>
        </w:rPr>
        <w:t>. The </w:t>
      </w:r>
      <w:r w:rsidRPr="0044114E">
        <w:rPr>
          <w:rFonts w:ascii="Times New Roman" w:hAnsi="Times New Roman"/>
          <w:i/>
        </w:rPr>
        <w:t xml:space="preserve">Statute of Monopolies </w:t>
      </w:r>
      <w:r w:rsidRPr="0044114E">
        <w:rPr>
          <w:rFonts w:ascii="Times New Roman" w:hAnsi="Times New Roman"/>
        </w:rPr>
        <w:t>was declaratory of the common law</w:t>
      </w:r>
      <w:r w:rsidRPr="0044114E">
        <w:rPr>
          <w:rStyle w:val="FootnoteReference"/>
          <w:rFonts w:ascii="Times New Roman" w:hAnsi="Times New Roman"/>
          <w:sz w:val="24"/>
        </w:rPr>
        <w:footnoteReference w:id="211"/>
      </w:r>
      <w:r w:rsidRPr="0044114E">
        <w:rPr>
          <w:rFonts w:ascii="Times New Roman" w:hAnsi="Times New Roman"/>
        </w:rPr>
        <w:t>. Thus, that Act focused on monopolies against a background where, as a general rule, apart from any lawful grant of a monopoly, the common law permitted any person to manufacture and sell any article of commerce</w:t>
      </w:r>
      <w:r w:rsidRPr="0044114E">
        <w:rPr>
          <w:rStyle w:val="FootnoteReference"/>
          <w:rFonts w:ascii="Times New Roman" w:hAnsi="Times New Roman"/>
          <w:sz w:val="24"/>
        </w:rPr>
        <w:footnoteReference w:id="212"/>
      </w:r>
      <w:r w:rsidRPr="0044114E">
        <w:rPr>
          <w:rFonts w:ascii="Times New Roman" w:hAnsi="Times New Roman"/>
        </w:rPr>
        <w:t xml:space="preserve"> and where the common law disfavoured restraints on alienation</w:t>
      </w:r>
      <w:r w:rsidRPr="0044114E">
        <w:rPr>
          <w:rStyle w:val="FootnoteReference"/>
          <w:rFonts w:ascii="Times New Roman" w:hAnsi="Times New Roman"/>
          <w:sz w:val="24"/>
        </w:rPr>
        <w:footnoteReference w:id="213"/>
      </w:r>
      <w:r w:rsidRPr="0044114E">
        <w:rPr>
          <w:rFonts w:ascii="Times New Roman" w:hAnsi="Times New Roman"/>
        </w:rPr>
        <w:t>. The grant of any monopoly in respect of the manufacture or sale of any item of commerce thus qualified the position that obtained under the common law. How those two ideas intersected depended then, and depends now, upon the precise operation of the law permitting the grant of monopoly rights.</w:t>
      </w:r>
    </w:p>
    <w:p w14:paraId="6C9DB800"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lastRenderedPageBreak/>
        <w:tab/>
        <w:t xml:space="preserve">It may be accepted that the </w:t>
      </w:r>
      <w:r w:rsidRPr="0044114E">
        <w:rPr>
          <w:rFonts w:ascii="Times New Roman" w:hAnsi="Times New Roman"/>
          <w:i/>
        </w:rPr>
        <w:t>Statute of Monopolies</w:t>
      </w:r>
      <w:r w:rsidRPr="0044114E">
        <w:rPr>
          <w:rFonts w:ascii="Times New Roman" w:hAnsi="Times New Roman"/>
        </w:rPr>
        <w:t xml:space="preserve"> fixed upon the granting of monopolies and contained a </w:t>
      </w:r>
      <w:proofErr w:type="spellStart"/>
      <w:r w:rsidRPr="0044114E">
        <w:rPr>
          <w:rFonts w:ascii="Times New Roman" w:hAnsi="Times New Roman"/>
        </w:rPr>
        <w:t>prohibitory</w:t>
      </w:r>
      <w:proofErr w:type="spellEnd"/>
      <w:r w:rsidRPr="0044114E">
        <w:rPr>
          <w:rFonts w:ascii="Times New Roman" w:hAnsi="Times New Roman"/>
        </w:rPr>
        <w:t xml:space="preserve"> clause</w:t>
      </w:r>
      <w:r w:rsidRPr="0044114E">
        <w:rPr>
          <w:rStyle w:val="FootnoteReference"/>
          <w:rFonts w:ascii="Times New Roman" w:hAnsi="Times New Roman"/>
          <w:sz w:val="24"/>
        </w:rPr>
        <w:footnoteReference w:id="214"/>
      </w:r>
      <w:r w:rsidRPr="0044114E">
        <w:rPr>
          <w:rFonts w:ascii="Times New Roman" w:hAnsi="Times New Roman"/>
        </w:rPr>
        <w:t>. But the Anglo</w:t>
      </w:r>
      <w:r w:rsidRPr="0044114E">
        <w:rPr>
          <w:rFonts w:ascii="Times New Roman" w:hAnsi="Times New Roman"/>
        </w:rPr>
        <w:noBreakHyphen/>
        <w:t>Australian law of patents is not sufficiently or completely described or understood by focusing only on that prohibition</w:t>
      </w:r>
      <w:r w:rsidRPr="0044114E">
        <w:rPr>
          <w:rStyle w:val="FootnoteReference"/>
          <w:rFonts w:ascii="Times New Roman" w:hAnsi="Times New Roman"/>
          <w:sz w:val="24"/>
        </w:rPr>
        <w:footnoteReference w:id="215"/>
      </w:r>
      <w:r w:rsidRPr="0044114E">
        <w:rPr>
          <w:rFonts w:ascii="Times New Roman" w:hAnsi="Times New Roman"/>
        </w:rPr>
        <w:t>. The Anglo</w:t>
      </w:r>
      <w:r w:rsidRPr="0044114E">
        <w:rPr>
          <w:rFonts w:ascii="Times New Roman" w:hAnsi="Times New Roman"/>
        </w:rPr>
        <w:noBreakHyphen/>
        <w:t xml:space="preserve">Australian law of patents also grants valuable rights to patentees, earlier found in the terms of letters patent, and later finding expression in s 13 of the </w:t>
      </w:r>
      <w:r w:rsidRPr="0044114E">
        <w:rPr>
          <w:rFonts w:ascii="Times New Roman" w:hAnsi="Times New Roman"/>
          <w:i/>
        </w:rPr>
        <w:t>Patents Act 1990</w:t>
      </w:r>
      <w:r w:rsidRPr="0044114E">
        <w:rPr>
          <w:rFonts w:ascii="Times New Roman" w:hAnsi="Times New Roman"/>
        </w:rPr>
        <w:t xml:space="preserve"> and its progenitor</w:t>
      </w:r>
      <w:r w:rsidRPr="0044114E">
        <w:rPr>
          <w:rStyle w:val="FootnoteReference"/>
          <w:rFonts w:ascii="Times New Roman" w:hAnsi="Times New Roman"/>
          <w:sz w:val="24"/>
        </w:rPr>
        <w:footnoteReference w:id="216"/>
      </w:r>
      <w:r w:rsidRPr="0044114E">
        <w:rPr>
          <w:rFonts w:ascii="Times New Roman" w:hAnsi="Times New Roman"/>
        </w:rPr>
        <w:t xml:space="preserve">. By the end of the 18th century, it was evident that patents conferred valuable rights upon the patentee in addition to a right to exclude others from exploiting the invention the subject of the patent. In his </w:t>
      </w:r>
      <w:r w:rsidRPr="0044114E">
        <w:rPr>
          <w:rFonts w:ascii="Times New Roman" w:hAnsi="Times New Roman"/>
          <w:i/>
        </w:rPr>
        <w:t>Commentaries</w:t>
      </w:r>
      <w:r w:rsidRPr="0044114E">
        <w:rPr>
          <w:rStyle w:val="FootnoteReference"/>
          <w:rFonts w:ascii="Times New Roman" w:hAnsi="Times New Roman"/>
          <w:sz w:val="24"/>
        </w:rPr>
        <w:footnoteReference w:id="217"/>
      </w:r>
      <w:r w:rsidRPr="0044114E">
        <w:rPr>
          <w:rFonts w:ascii="Times New Roman" w:hAnsi="Times New Roman"/>
        </w:rPr>
        <w:t>, Blackstone spoke of the King's grant of letters patent in terms of the transfer of property, created as a matter of public record, and, ordinarily, "</w:t>
      </w:r>
      <w:r w:rsidRPr="0044114E">
        <w:rPr>
          <w:rFonts w:ascii="Times New Roman" w:hAnsi="Times New Roman"/>
          <w:i/>
        </w:rPr>
        <w:t xml:space="preserve">ex </w:t>
      </w:r>
      <w:proofErr w:type="spellStart"/>
      <w:r w:rsidRPr="0044114E">
        <w:rPr>
          <w:rFonts w:ascii="Times New Roman" w:hAnsi="Times New Roman"/>
          <w:i/>
        </w:rPr>
        <w:t>speciali</w:t>
      </w:r>
      <w:proofErr w:type="spellEnd"/>
      <w:r w:rsidRPr="0044114E">
        <w:rPr>
          <w:rFonts w:ascii="Times New Roman" w:hAnsi="Times New Roman"/>
          <w:i/>
        </w:rPr>
        <w:t xml:space="preserve"> gratia,</w:t>
      </w:r>
      <w:r w:rsidRPr="0044114E">
        <w:rPr>
          <w:rFonts w:ascii="Times New Roman" w:hAnsi="Times New Roman"/>
        </w:rPr>
        <w:t xml:space="preserve"> </w:t>
      </w:r>
      <w:proofErr w:type="spellStart"/>
      <w:r w:rsidRPr="0044114E">
        <w:rPr>
          <w:rFonts w:ascii="Times New Roman" w:hAnsi="Times New Roman"/>
          <w:i/>
        </w:rPr>
        <w:t>certa</w:t>
      </w:r>
      <w:proofErr w:type="spellEnd"/>
      <w:r w:rsidRPr="0044114E">
        <w:rPr>
          <w:rFonts w:ascii="Times New Roman" w:hAnsi="Times New Roman"/>
          <w:i/>
        </w:rPr>
        <w:t xml:space="preserve"> </w:t>
      </w:r>
      <w:proofErr w:type="spellStart"/>
      <w:r w:rsidRPr="0044114E">
        <w:rPr>
          <w:rFonts w:ascii="Times New Roman" w:hAnsi="Times New Roman"/>
          <w:i/>
        </w:rPr>
        <w:t>scientia</w:t>
      </w:r>
      <w:proofErr w:type="spellEnd"/>
      <w:r w:rsidRPr="0044114E">
        <w:rPr>
          <w:rFonts w:ascii="Times New Roman" w:hAnsi="Times New Roman"/>
          <w:i/>
        </w:rPr>
        <w:t>,</w:t>
      </w:r>
      <w:r w:rsidRPr="0044114E">
        <w:rPr>
          <w:rFonts w:ascii="Times New Roman" w:hAnsi="Times New Roman"/>
        </w:rPr>
        <w:t xml:space="preserve"> </w:t>
      </w:r>
      <w:r w:rsidRPr="0044114E">
        <w:rPr>
          <w:rFonts w:ascii="Times New Roman" w:hAnsi="Times New Roman"/>
          <w:i/>
        </w:rPr>
        <w:t xml:space="preserve">et mero </w:t>
      </w:r>
      <w:proofErr w:type="spellStart"/>
      <w:r w:rsidRPr="0044114E">
        <w:rPr>
          <w:rFonts w:ascii="Times New Roman" w:hAnsi="Times New Roman"/>
          <w:i/>
        </w:rPr>
        <w:t>motu</w:t>
      </w:r>
      <w:proofErr w:type="spellEnd"/>
      <w:r w:rsidRPr="0044114E">
        <w:rPr>
          <w:rFonts w:ascii="Times New Roman" w:hAnsi="Times New Roman"/>
          <w:i/>
        </w:rPr>
        <w:t xml:space="preserve"> </w:t>
      </w:r>
      <w:proofErr w:type="spellStart"/>
      <w:r w:rsidRPr="0044114E">
        <w:rPr>
          <w:rFonts w:ascii="Times New Roman" w:hAnsi="Times New Roman"/>
          <w:i/>
        </w:rPr>
        <w:t>regis</w:t>
      </w:r>
      <w:proofErr w:type="spellEnd"/>
      <w:r w:rsidRPr="0044114E">
        <w:rPr>
          <w:rFonts w:ascii="Times New Roman" w:hAnsi="Times New Roman"/>
        </w:rPr>
        <w:t>"</w:t>
      </w:r>
      <w:r w:rsidRPr="0044114E">
        <w:rPr>
          <w:rStyle w:val="FootnoteReference"/>
          <w:rFonts w:ascii="Times New Roman" w:hAnsi="Times New Roman"/>
          <w:sz w:val="24"/>
        </w:rPr>
        <w:footnoteReference w:id="218"/>
      </w:r>
      <w:r w:rsidRPr="0044114E">
        <w:rPr>
          <w:rFonts w:ascii="Times New Roman" w:hAnsi="Times New Roman"/>
        </w:rPr>
        <w:t>. That formulation finds replication in the form of letters patent granted into the 20th</w:t>
      </w:r>
      <w:r>
        <w:rPr>
          <w:rFonts w:ascii="Times New Roman" w:hAnsi="Times New Roman"/>
        </w:rPr>
        <w:t> </w:t>
      </w:r>
      <w:r w:rsidRPr="0044114E">
        <w:rPr>
          <w:rFonts w:ascii="Times New Roman" w:hAnsi="Times New Roman"/>
        </w:rPr>
        <w:t>century</w:t>
      </w:r>
      <w:r w:rsidRPr="0044114E">
        <w:rPr>
          <w:rStyle w:val="FootnoteReference"/>
          <w:rFonts w:ascii="Times New Roman" w:hAnsi="Times New Roman"/>
          <w:sz w:val="24"/>
        </w:rPr>
        <w:footnoteReference w:id="219"/>
      </w:r>
      <w:r w:rsidRPr="0044114E">
        <w:rPr>
          <w:rFonts w:ascii="Times New Roman" w:hAnsi="Times New Roman"/>
        </w:rPr>
        <w:t>.</w:t>
      </w:r>
    </w:p>
    <w:p w14:paraId="79A8D281"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By 1775, letters patent were cast in terms of a positive grant. An enactment</w:t>
      </w:r>
      <w:r w:rsidRPr="0044114E">
        <w:rPr>
          <w:rStyle w:val="FootnoteReference"/>
          <w:rFonts w:ascii="Times New Roman" w:hAnsi="Times New Roman"/>
          <w:sz w:val="24"/>
        </w:rPr>
        <w:footnoteReference w:id="220"/>
      </w:r>
      <w:r w:rsidRPr="0044114E">
        <w:rPr>
          <w:rFonts w:ascii="Times New Roman" w:hAnsi="Times New Roman"/>
        </w:rPr>
        <w:t xml:space="preserve"> in 1775 extending the duration of a patent in respect of James Watt's steam engine inventions described the nature of the grant in the following terms</w:t>
      </w:r>
      <w:r w:rsidRPr="0044114E">
        <w:rPr>
          <w:rStyle w:val="FootnoteReference"/>
          <w:rFonts w:ascii="Times New Roman" w:hAnsi="Times New Roman"/>
          <w:sz w:val="24"/>
        </w:rPr>
        <w:footnoteReference w:id="221"/>
      </w:r>
      <w:r w:rsidRPr="0044114E">
        <w:rPr>
          <w:rFonts w:ascii="Times New Roman" w:hAnsi="Times New Roman"/>
        </w:rPr>
        <w:t>:</w:t>
      </w:r>
    </w:p>
    <w:p w14:paraId="5CA09E77" w14:textId="77777777" w:rsidR="00261C63" w:rsidRPr="0044114E" w:rsidRDefault="00261C63" w:rsidP="00261C63">
      <w:pPr>
        <w:pStyle w:val="LeftrightafterHC"/>
        <w:spacing w:before="0" w:after="260" w:line="280" w:lineRule="exact"/>
        <w:ind w:right="0"/>
        <w:jc w:val="both"/>
        <w:rPr>
          <w:rFonts w:ascii="Times New Roman" w:hAnsi="Times New Roman"/>
        </w:rPr>
      </w:pPr>
      <w:r w:rsidRPr="0044114E">
        <w:rPr>
          <w:rFonts w:ascii="Times New Roman" w:hAnsi="Times New Roman"/>
        </w:rPr>
        <w:t xml:space="preserve">"King George the Third, by his Letters Patent, under the Great Seal of Great Britain ... </w:t>
      </w:r>
      <w:r w:rsidRPr="0044114E">
        <w:rPr>
          <w:rFonts w:ascii="Times New Roman" w:hAnsi="Times New Roman"/>
          <w:i/>
        </w:rPr>
        <w:t>did give and grant</w:t>
      </w:r>
      <w:r w:rsidRPr="0044114E">
        <w:rPr>
          <w:rFonts w:ascii="Times New Roman" w:hAnsi="Times New Roman"/>
        </w:rPr>
        <w:t xml:space="preserve"> unto James Watt ... his Executors, Administrators, and Assigns, </w:t>
      </w:r>
      <w:r w:rsidRPr="0044114E">
        <w:rPr>
          <w:rFonts w:ascii="Times New Roman" w:hAnsi="Times New Roman"/>
          <w:i/>
        </w:rPr>
        <w:t xml:space="preserve">the sole Benefit and Advantage of making and vending certain Engines </w:t>
      </w:r>
      <w:r w:rsidRPr="0044114E">
        <w:rPr>
          <w:rFonts w:ascii="Times New Roman" w:hAnsi="Times New Roman"/>
        </w:rPr>
        <w:t>...</w:t>
      </w:r>
    </w:p>
    <w:p w14:paraId="18EC21F6"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lastRenderedPageBreak/>
        <w:t xml:space="preserve">[F]rom and after the passing of this Act, </w:t>
      </w:r>
      <w:r w:rsidRPr="0044114E">
        <w:rPr>
          <w:rFonts w:ascii="Times New Roman" w:hAnsi="Times New Roman"/>
          <w:i/>
        </w:rPr>
        <w:t>the sole Privilege and Advantage of making, constructing, and selling the said Engines ... shall be, and are hereby declared to be, vested in the said James Watt,</w:t>
      </w:r>
      <w:r w:rsidRPr="0044114E">
        <w:rPr>
          <w:rFonts w:ascii="Times New Roman" w:hAnsi="Times New Roman"/>
        </w:rPr>
        <w:t xml:space="preserve"> </w:t>
      </w:r>
      <w:r w:rsidRPr="0044114E">
        <w:rPr>
          <w:rFonts w:ascii="Times New Roman" w:hAnsi="Times New Roman"/>
          <w:i/>
        </w:rPr>
        <w:t>his Executors, Administrators, and Assigns</w:t>
      </w:r>
      <w:r w:rsidRPr="0044114E">
        <w:rPr>
          <w:rFonts w:ascii="Times New Roman" w:hAnsi="Times New Roman"/>
        </w:rPr>
        <w:t xml:space="preserve"> ... and for no others, from Time to Time, and at all Times, during the Term of Years herein before mentioned, </w:t>
      </w:r>
      <w:r w:rsidRPr="0044114E">
        <w:rPr>
          <w:rFonts w:ascii="Times New Roman" w:hAnsi="Times New Roman"/>
          <w:i/>
        </w:rPr>
        <w:t>shall and lawfully may make, use, exercise, and vend</w:t>
      </w:r>
      <w:r w:rsidRPr="0044114E">
        <w:rPr>
          <w:rFonts w:ascii="Times New Roman" w:hAnsi="Times New Roman"/>
        </w:rPr>
        <w:t xml:space="preserve"> the said Engines ... and that </w:t>
      </w:r>
      <w:r w:rsidRPr="0044114E">
        <w:rPr>
          <w:rFonts w:ascii="Times New Roman" w:hAnsi="Times New Roman"/>
          <w:i/>
        </w:rPr>
        <w:t>no other Person or Persons</w:t>
      </w:r>
      <w:r w:rsidRPr="0044114E">
        <w:rPr>
          <w:rFonts w:ascii="Times New Roman" w:hAnsi="Times New Roman"/>
        </w:rPr>
        <w:t xml:space="preserve"> within the Kingdom of Great Britain, or any of his Majesty's Colonies or Plantations abroad, shall, at any Time during the said Term of twenty-five Years, either directly or indirectly, </w:t>
      </w:r>
      <w:r w:rsidRPr="0044114E">
        <w:rPr>
          <w:rFonts w:ascii="Times New Roman" w:hAnsi="Times New Roman"/>
          <w:i/>
        </w:rPr>
        <w:t>do, make, use, or</w:t>
      </w:r>
      <w:r>
        <w:rPr>
          <w:rFonts w:ascii="Times New Roman" w:hAnsi="Times New Roman"/>
          <w:i/>
        </w:rPr>
        <w:t> </w:t>
      </w:r>
      <w:r w:rsidRPr="0044114E">
        <w:rPr>
          <w:rFonts w:ascii="Times New Roman" w:hAnsi="Times New Roman"/>
          <w:i/>
        </w:rPr>
        <w:t>put in Practice, the said Inventions ... without the Licence, Consent, or Agreement of the said James Watt, his Executors, Administrators, or Assign</w:t>
      </w:r>
      <w:r w:rsidRPr="0044114E">
        <w:rPr>
          <w:rFonts w:ascii="Times New Roman" w:hAnsi="Times New Roman"/>
        </w:rPr>
        <w:t>s." (emphasis added)</w:t>
      </w:r>
    </w:p>
    <w:p w14:paraId="35DF8EF8"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That Act and patent were considered in </w:t>
      </w:r>
      <w:r w:rsidRPr="0044114E">
        <w:rPr>
          <w:rFonts w:ascii="Times New Roman" w:hAnsi="Times New Roman"/>
          <w:i/>
        </w:rPr>
        <w:t>Boulton v Bull</w:t>
      </w:r>
      <w:r w:rsidRPr="0044114E">
        <w:rPr>
          <w:rStyle w:val="FootnoteReference"/>
          <w:rFonts w:ascii="Times New Roman" w:hAnsi="Times New Roman"/>
          <w:sz w:val="24"/>
        </w:rPr>
        <w:footnoteReference w:id="222"/>
      </w:r>
      <w:r w:rsidRPr="0044114E">
        <w:rPr>
          <w:rFonts w:ascii="Times New Roman" w:hAnsi="Times New Roman"/>
        </w:rPr>
        <w:t xml:space="preserve">. Despite the enactment of the 1775 Act, the </w:t>
      </w:r>
      <w:r w:rsidRPr="0044114E">
        <w:rPr>
          <w:rFonts w:ascii="Times New Roman" w:hAnsi="Times New Roman"/>
          <w:i/>
        </w:rPr>
        <w:t xml:space="preserve">Statute of Monopolies </w:t>
      </w:r>
      <w:r w:rsidRPr="0044114E">
        <w:rPr>
          <w:rFonts w:ascii="Times New Roman" w:hAnsi="Times New Roman"/>
        </w:rPr>
        <w:t xml:space="preserve">and the royal prerogative remained the fundamental sources of legal principle to </w:t>
      </w:r>
      <w:r w:rsidRPr="0044114E">
        <w:rPr>
          <w:rFonts w:ascii="Times New Roman" w:hAnsi="Times New Roman"/>
          <w:i/>
        </w:rPr>
        <w:t>grant</w:t>
      </w:r>
      <w:r w:rsidRPr="0044114E">
        <w:rPr>
          <w:rFonts w:ascii="Times New Roman" w:hAnsi="Times New Roman"/>
        </w:rPr>
        <w:t xml:space="preserve"> the patent. It is reported that the defendant argued in the Court of Common Pleas that the relevant patent was "not good in law because it [did] not fall within the construction of the [</w:t>
      </w:r>
      <w:r w:rsidRPr="0044114E">
        <w:rPr>
          <w:rFonts w:ascii="Times New Roman" w:hAnsi="Times New Roman"/>
          <w:i/>
        </w:rPr>
        <w:t>Statute of Monopolies</w:t>
      </w:r>
      <w:r w:rsidRPr="0044114E">
        <w:rPr>
          <w:rFonts w:ascii="Times New Roman" w:hAnsi="Times New Roman"/>
        </w:rPr>
        <w:t xml:space="preserve">], </w:t>
      </w:r>
      <w:r w:rsidRPr="0044114E">
        <w:rPr>
          <w:rFonts w:ascii="Times New Roman" w:hAnsi="Times New Roman"/>
          <w:i/>
        </w:rPr>
        <w:t>upon which alone it must, if at all, be supported</w:t>
      </w:r>
      <w:r w:rsidRPr="0044114E">
        <w:rPr>
          <w:rFonts w:ascii="Times New Roman" w:hAnsi="Times New Roman"/>
        </w:rPr>
        <w:t>"</w:t>
      </w:r>
      <w:r w:rsidRPr="0044114E">
        <w:rPr>
          <w:rStyle w:val="FootnoteReference"/>
          <w:rFonts w:ascii="Times New Roman" w:hAnsi="Times New Roman"/>
          <w:sz w:val="24"/>
        </w:rPr>
        <w:footnoteReference w:id="223"/>
      </w:r>
      <w:r w:rsidRPr="0044114E">
        <w:rPr>
          <w:rFonts w:ascii="Times New Roman" w:hAnsi="Times New Roman"/>
        </w:rPr>
        <w:t xml:space="preserve"> (emphasis added). Each of Rooke J, Heath J, Buller J, and Eyre CJ – who formed the </w:t>
      </w:r>
      <w:proofErr w:type="spellStart"/>
      <w:r w:rsidRPr="0044114E">
        <w:rPr>
          <w:rFonts w:ascii="Times New Roman" w:hAnsi="Times New Roman"/>
        </w:rPr>
        <w:t>coram</w:t>
      </w:r>
      <w:proofErr w:type="spellEnd"/>
      <w:r w:rsidRPr="0044114E">
        <w:rPr>
          <w:rFonts w:ascii="Times New Roman" w:hAnsi="Times New Roman"/>
        </w:rPr>
        <w:t xml:space="preserve"> – treated the </w:t>
      </w:r>
      <w:r w:rsidRPr="0044114E">
        <w:rPr>
          <w:rFonts w:ascii="Times New Roman" w:hAnsi="Times New Roman"/>
          <w:i/>
        </w:rPr>
        <w:t>Statute of Monopolies</w:t>
      </w:r>
      <w:r w:rsidRPr="0044114E">
        <w:rPr>
          <w:rFonts w:ascii="Times New Roman" w:hAnsi="Times New Roman"/>
        </w:rPr>
        <w:t xml:space="preserve"> as determinative of the question of whether the patent in issue was valid by reason of being a novel invention</w:t>
      </w:r>
      <w:r w:rsidRPr="0044114E">
        <w:rPr>
          <w:rStyle w:val="FootnoteReference"/>
          <w:rFonts w:ascii="Times New Roman" w:hAnsi="Times New Roman"/>
          <w:sz w:val="24"/>
        </w:rPr>
        <w:footnoteReference w:id="224"/>
      </w:r>
      <w:r w:rsidRPr="0044114E">
        <w:rPr>
          <w:rFonts w:ascii="Times New Roman" w:hAnsi="Times New Roman"/>
        </w:rPr>
        <w:t>.</w:t>
      </w:r>
    </w:p>
    <w:p w14:paraId="5C7C8733"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But, at the same time, the concept of patent rights – beyond the mere right to exclude – was recognised. As Eyre CJ said</w:t>
      </w:r>
      <w:r w:rsidRPr="0044114E" w:rsidDel="00541FD2">
        <w:rPr>
          <w:rStyle w:val="FootnoteReference"/>
          <w:rFonts w:ascii="Times New Roman" w:hAnsi="Times New Roman"/>
          <w:sz w:val="24"/>
        </w:rPr>
        <w:footnoteReference w:id="225"/>
      </w:r>
      <w:r w:rsidRPr="0044114E">
        <w:rPr>
          <w:rFonts w:ascii="Times New Roman" w:hAnsi="Times New Roman"/>
        </w:rPr>
        <w:t>:</w:t>
      </w:r>
    </w:p>
    <w:p w14:paraId="305B97D4"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 xml:space="preserve">"Though we have had many cases upon patents yet I think we are here upon ground which is yet untrodden, at least was untrodden till this cause was instituted, and till the discussions were entered into which we have heard at the bar, and now from the court. Patent rights are </w:t>
      </w:r>
      <w:proofErr w:type="spellStart"/>
      <w:r w:rsidRPr="0044114E">
        <w:rPr>
          <w:rFonts w:ascii="Times New Roman" w:hAnsi="Times New Roman"/>
        </w:rPr>
        <w:t>no where</w:t>
      </w:r>
      <w:proofErr w:type="spellEnd"/>
      <w:r w:rsidRPr="0044114E">
        <w:rPr>
          <w:rFonts w:ascii="Times New Roman" w:hAnsi="Times New Roman"/>
        </w:rPr>
        <w:t xml:space="preserve"> that I can find accurately discussed in our books. </w:t>
      </w:r>
      <w:r w:rsidRPr="0044114E">
        <w:rPr>
          <w:rFonts w:ascii="Times New Roman" w:hAnsi="Times New Roman"/>
          <w:i/>
        </w:rPr>
        <w:t>Sir Edward Coke discourses largely, and</w:t>
      </w:r>
      <w:r>
        <w:rPr>
          <w:rFonts w:ascii="Times New Roman" w:hAnsi="Times New Roman"/>
          <w:i/>
        </w:rPr>
        <w:t> </w:t>
      </w:r>
      <w:r w:rsidRPr="0044114E">
        <w:rPr>
          <w:rFonts w:ascii="Times New Roman" w:hAnsi="Times New Roman"/>
          <w:i/>
        </w:rPr>
        <w:t>sometimes not quite intelligibly, upon monopolies</w:t>
      </w:r>
      <w:r w:rsidRPr="0044114E">
        <w:rPr>
          <w:rFonts w:ascii="Times New Roman" w:hAnsi="Times New Roman"/>
        </w:rPr>
        <w:t xml:space="preserve">, in his chapter of </w:t>
      </w:r>
      <w:r w:rsidRPr="0044114E">
        <w:rPr>
          <w:rFonts w:ascii="Times New Roman" w:hAnsi="Times New Roman"/>
        </w:rPr>
        <w:lastRenderedPageBreak/>
        <w:t>monopolies</w:t>
      </w:r>
      <w:r w:rsidRPr="0044114E" w:rsidDel="007C3B88">
        <w:rPr>
          <w:rFonts w:ascii="Times New Roman" w:hAnsi="Times New Roman"/>
        </w:rPr>
        <w:t>, 3</w:t>
      </w:r>
      <w:r w:rsidRPr="0044114E">
        <w:rPr>
          <w:rFonts w:ascii="Times New Roman" w:hAnsi="Times New Roman"/>
        </w:rPr>
        <w:t xml:space="preserve"> </w:t>
      </w:r>
      <w:r w:rsidRPr="0044114E" w:rsidDel="007C3B88">
        <w:rPr>
          <w:rFonts w:ascii="Times New Roman" w:hAnsi="Times New Roman"/>
        </w:rPr>
        <w:t>Inst</w:t>
      </w:r>
      <w:r w:rsidRPr="0044114E">
        <w:rPr>
          <w:rFonts w:ascii="Times New Roman" w:hAnsi="Times New Roman"/>
        </w:rPr>
        <w:t xml:space="preserve"> </w:t>
      </w:r>
      <w:r w:rsidRPr="0044114E" w:rsidDel="007C3B88">
        <w:rPr>
          <w:rFonts w:ascii="Times New Roman" w:hAnsi="Times New Roman"/>
        </w:rPr>
        <w:t>181</w:t>
      </w:r>
      <w:r w:rsidRPr="0044114E">
        <w:rPr>
          <w:rFonts w:ascii="Times New Roman" w:hAnsi="Times New Roman"/>
          <w:sz w:val="24"/>
          <w:vertAlign w:val="superscript"/>
        </w:rPr>
        <w:t>[</w:t>
      </w:r>
      <w:r w:rsidRPr="0044114E">
        <w:rPr>
          <w:rStyle w:val="FootnoteReference"/>
          <w:rFonts w:ascii="Times New Roman" w:hAnsi="Times New Roman"/>
          <w:sz w:val="24"/>
        </w:rPr>
        <w:footnoteReference w:id="226"/>
      </w:r>
      <w:r w:rsidRPr="0044114E">
        <w:rPr>
          <w:rFonts w:ascii="Times New Roman" w:hAnsi="Times New Roman"/>
          <w:sz w:val="24"/>
          <w:vertAlign w:val="superscript"/>
        </w:rPr>
        <w:t>]</w:t>
      </w:r>
      <w:r w:rsidRPr="0044114E">
        <w:rPr>
          <w:rFonts w:ascii="Times New Roman" w:hAnsi="Times New Roman"/>
        </w:rPr>
        <w:t>. But </w:t>
      </w:r>
      <w:r w:rsidRPr="0044114E">
        <w:rPr>
          <w:rFonts w:ascii="Times New Roman" w:hAnsi="Times New Roman"/>
          <w:i/>
        </w:rPr>
        <w:t>he deals very much in generals, and says little or nothing of patent rights, as opposed to monopolies</w:t>
      </w:r>
      <w:r w:rsidRPr="0044114E">
        <w:rPr>
          <w:rFonts w:ascii="Times New Roman" w:hAnsi="Times New Roman"/>
        </w:rPr>
        <w:t xml:space="preserve">. ... The case of </w:t>
      </w:r>
      <w:proofErr w:type="spellStart"/>
      <w:r w:rsidRPr="0044114E">
        <w:rPr>
          <w:rFonts w:ascii="Times New Roman" w:hAnsi="Times New Roman"/>
          <w:i/>
        </w:rPr>
        <w:t>Edgeberry</w:t>
      </w:r>
      <w:proofErr w:type="spellEnd"/>
      <w:r w:rsidRPr="0044114E">
        <w:rPr>
          <w:rFonts w:ascii="Times New Roman" w:hAnsi="Times New Roman"/>
          <w:i/>
        </w:rPr>
        <w:t xml:space="preserve"> v Stephens</w:t>
      </w:r>
      <w:r w:rsidRPr="0044114E">
        <w:rPr>
          <w:rFonts w:ascii="Times New Roman" w:hAnsi="Times New Roman"/>
        </w:rPr>
        <w:t>, 2 Salk 447</w:t>
      </w:r>
      <w:r w:rsidRPr="0044114E">
        <w:rPr>
          <w:rFonts w:ascii="Times New Roman" w:hAnsi="Times New Roman"/>
          <w:sz w:val="24"/>
          <w:vertAlign w:val="superscript"/>
        </w:rPr>
        <w:t>[</w:t>
      </w:r>
      <w:r w:rsidRPr="0044114E">
        <w:rPr>
          <w:rStyle w:val="FootnoteReference"/>
          <w:rFonts w:ascii="Times New Roman" w:hAnsi="Times New Roman"/>
          <w:sz w:val="24"/>
        </w:rPr>
        <w:footnoteReference w:id="227"/>
      </w:r>
      <w:r w:rsidRPr="0044114E">
        <w:rPr>
          <w:rFonts w:ascii="Times New Roman" w:hAnsi="Times New Roman"/>
          <w:sz w:val="24"/>
          <w:vertAlign w:val="superscript"/>
        </w:rPr>
        <w:t>]</w:t>
      </w:r>
      <w:r w:rsidRPr="0044114E">
        <w:rPr>
          <w:rFonts w:ascii="Times New Roman" w:hAnsi="Times New Roman"/>
        </w:rPr>
        <w:t>,</w:t>
      </w:r>
      <w:r w:rsidRPr="0044114E">
        <w:rPr>
          <w:rFonts w:ascii="Times New Roman" w:hAnsi="Times New Roman"/>
          <w:i/>
        </w:rPr>
        <w:t xml:space="preserve"> </w:t>
      </w:r>
      <w:r w:rsidRPr="0044114E">
        <w:rPr>
          <w:rFonts w:ascii="Times New Roman" w:hAnsi="Times New Roman"/>
        </w:rPr>
        <w:t>is almost the only case upon the patent right, under the saving of the [</w:t>
      </w:r>
      <w:r w:rsidRPr="0044114E">
        <w:rPr>
          <w:rFonts w:ascii="Times New Roman" w:hAnsi="Times New Roman"/>
          <w:i/>
        </w:rPr>
        <w:t>Statute of Monopolies</w:t>
      </w:r>
      <w:r w:rsidRPr="0044114E">
        <w:rPr>
          <w:rFonts w:ascii="Times New Roman" w:hAnsi="Times New Roman"/>
        </w:rPr>
        <w:t>], that is to be found." (emphasis added)</w:t>
      </w:r>
    </w:p>
    <w:p w14:paraId="44DC73DC" w14:textId="77777777" w:rsidR="00261C63" w:rsidRPr="0044114E" w:rsidRDefault="00261C63" w:rsidP="00261C63">
      <w:pPr>
        <w:pStyle w:val="NormalBody"/>
        <w:spacing w:after="260" w:line="280" w:lineRule="exact"/>
        <w:ind w:right="0"/>
        <w:jc w:val="both"/>
        <w:rPr>
          <w:rFonts w:ascii="Times New Roman" w:hAnsi="Times New Roman"/>
        </w:rPr>
      </w:pPr>
      <w:r w:rsidRPr="0044114E">
        <w:rPr>
          <w:rFonts w:ascii="Times New Roman" w:hAnsi="Times New Roman"/>
        </w:rPr>
        <w:t>Eyre CJ's criticism of Coke's definition of "monopolies" for lacking specificity and for failing to distinguish between "patent rights" and "monopolies" is significant and revealing</w:t>
      </w:r>
      <w:r w:rsidRPr="0044114E">
        <w:rPr>
          <w:rStyle w:val="FootnoteReference"/>
          <w:rFonts w:ascii="Times New Roman" w:hAnsi="Times New Roman"/>
          <w:sz w:val="24"/>
        </w:rPr>
        <w:footnoteReference w:id="228"/>
      </w:r>
      <w:r w:rsidRPr="0044114E">
        <w:rPr>
          <w:rFonts w:ascii="Times New Roman" w:hAnsi="Times New Roman"/>
        </w:rPr>
        <w:t>.</w:t>
      </w:r>
    </w:p>
    <w:p w14:paraId="5855A293"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Three Acts were then passed in relatively quick succession in England – the</w:t>
      </w:r>
      <w:r>
        <w:rPr>
          <w:rFonts w:ascii="Times New Roman" w:hAnsi="Times New Roman"/>
        </w:rPr>
        <w:t> </w:t>
      </w:r>
      <w:r w:rsidRPr="0044114E">
        <w:rPr>
          <w:rFonts w:ascii="Times New Roman" w:hAnsi="Times New Roman"/>
        </w:rPr>
        <w:t>Statute 5 &amp; 6 Will IV c 83 in</w:t>
      </w:r>
      <w:r w:rsidRPr="0044114E">
        <w:rPr>
          <w:rFonts w:ascii="Times New Roman" w:hAnsi="Times New Roman"/>
          <w:i/>
        </w:rPr>
        <w:t xml:space="preserve"> </w:t>
      </w:r>
      <w:r w:rsidRPr="0044114E">
        <w:rPr>
          <w:rFonts w:ascii="Times New Roman" w:hAnsi="Times New Roman"/>
        </w:rPr>
        <w:t>1835</w:t>
      </w:r>
      <w:r w:rsidRPr="0044114E">
        <w:rPr>
          <w:rStyle w:val="FootnoteReference"/>
          <w:rFonts w:ascii="Times New Roman" w:hAnsi="Times New Roman"/>
          <w:sz w:val="24"/>
        </w:rPr>
        <w:footnoteReference w:id="229"/>
      </w:r>
      <w:r w:rsidRPr="0044114E">
        <w:rPr>
          <w:rFonts w:ascii="Times New Roman" w:hAnsi="Times New Roman"/>
        </w:rPr>
        <w:t xml:space="preserve">, the </w:t>
      </w:r>
      <w:r w:rsidRPr="0044114E">
        <w:rPr>
          <w:rFonts w:ascii="Times New Roman" w:hAnsi="Times New Roman"/>
          <w:i/>
        </w:rPr>
        <w:t>Patent Law Amendment Act 1852</w:t>
      </w:r>
      <w:r w:rsidRPr="0044114E">
        <w:rPr>
          <w:rStyle w:val="FootnoteReference"/>
          <w:rFonts w:ascii="Times New Roman" w:hAnsi="Times New Roman"/>
          <w:sz w:val="24"/>
        </w:rPr>
        <w:footnoteReference w:id="230"/>
      </w:r>
      <w:r w:rsidRPr="0044114E">
        <w:rPr>
          <w:rFonts w:ascii="Times New Roman" w:hAnsi="Times New Roman"/>
        </w:rPr>
        <w:t xml:space="preserve"> and the </w:t>
      </w:r>
      <w:r w:rsidRPr="0044114E">
        <w:rPr>
          <w:rFonts w:ascii="Times New Roman" w:hAnsi="Times New Roman"/>
          <w:i/>
        </w:rPr>
        <w:t>Patents, Designs, and Trade Marks Act 1883</w:t>
      </w:r>
      <w:r w:rsidRPr="0044114E">
        <w:rPr>
          <w:rStyle w:val="FootnoteReference"/>
          <w:rFonts w:ascii="Times New Roman" w:hAnsi="Times New Roman"/>
          <w:sz w:val="24"/>
        </w:rPr>
        <w:footnoteReference w:id="231"/>
      </w:r>
      <w:r w:rsidRPr="0044114E">
        <w:rPr>
          <w:rFonts w:ascii="Times New Roman" w:hAnsi="Times New Roman"/>
        </w:rPr>
        <w:t xml:space="preserve">. The 1852 Act was the first substantive legislative reform of patent law after the </w:t>
      </w:r>
      <w:r w:rsidRPr="0044114E">
        <w:rPr>
          <w:rFonts w:ascii="Times New Roman" w:hAnsi="Times New Roman"/>
          <w:i/>
        </w:rPr>
        <w:t>Statute of Monopolies</w:t>
      </w:r>
      <w:r w:rsidRPr="0044114E">
        <w:rPr>
          <w:rStyle w:val="FootnoteReference"/>
          <w:rFonts w:ascii="Times New Roman" w:hAnsi="Times New Roman"/>
          <w:sz w:val="24"/>
        </w:rPr>
        <w:footnoteReference w:id="232"/>
      </w:r>
      <w:r w:rsidRPr="0044114E">
        <w:rPr>
          <w:rFonts w:ascii="Times New Roman" w:hAnsi="Times New Roman"/>
        </w:rPr>
        <w:t>.</w:t>
      </w:r>
      <w:r w:rsidRPr="0044114E">
        <w:rPr>
          <w:rFonts w:ascii="Times New Roman" w:hAnsi="Times New Roman"/>
          <w:i/>
        </w:rPr>
        <w:t xml:space="preserve"> </w:t>
      </w:r>
      <w:r w:rsidRPr="0044114E">
        <w:rPr>
          <w:rFonts w:ascii="Times New Roman" w:hAnsi="Times New Roman"/>
        </w:rPr>
        <w:lastRenderedPageBreak/>
        <w:t>In addition to the substantial administrative reforms reflected in the 1852 Act</w:t>
      </w:r>
      <w:r w:rsidRPr="0044114E">
        <w:rPr>
          <w:rStyle w:val="FootnoteReference"/>
          <w:rFonts w:ascii="Times New Roman" w:hAnsi="Times New Roman"/>
          <w:sz w:val="24"/>
        </w:rPr>
        <w:footnoteReference w:id="233"/>
      </w:r>
      <w:r w:rsidRPr="0044114E">
        <w:rPr>
          <w:rFonts w:ascii="Times New Roman" w:hAnsi="Times New Roman"/>
        </w:rPr>
        <w:t>, the form of letters patent, already then in use but not prescribed in legislation, was</w:t>
      </w:r>
      <w:r>
        <w:rPr>
          <w:rFonts w:ascii="Times New Roman" w:hAnsi="Times New Roman"/>
        </w:rPr>
        <w:t> </w:t>
      </w:r>
      <w:r w:rsidRPr="0044114E">
        <w:rPr>
          <w:rFonts w:ascii="Times New Roman" w:hAnsi="Times New Roman"/>
        </w:rPr>
        <w:t>set out in a schedule to the 1852 Act and relevantly provided</w:t>
      </w:r>
      <w:r w:rsidRPr="0044114E">
        <w:rPr>
          <w:rStyle w:val="FootnoteReference"/>
          <w:rFonts w:ascii="Times New Roman" w:hAnsi="Times New Roman"/>
          <w:sz w:val="24"/>
        </w:rPr>
        <w:footnoteReference w:id="234"/>
      </w:r>
      <w:r w:rsidRPr="0044114E">
        <w:rPr>
          <w:rFonts w:ascii="Times New Roman" w:hAnsi="Times New Roman"/>
        </w:rPr>
        <w:t>:</w:t>
      </w:r>
    </w:p>
    <w:p w14:paraId="684AD191"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"We, of Our especial Grace, certain Knowledge, and mere Motion, have</w:t>
      </w:r>
      <w:r>
        <w:rPr>
          <w:rFonts w:ascii="Times New Roman" w:hAnsi="Times New Roman"/>
        </w:rPr>
        <w:t> </w:t>
      </w:r>
      <w:r w:rsidRPr="0044114E">
        <w:rPr>
          <w:rFonts w:ascii="Times New Roman" w:hAnsi="Times New Roman"/>
        </w:rPr>
        <w:t xml:space="preserve">given and granted, and by these Presents, for Us, Our Heirs and Successors, do </w:t>
      </w:r>
      <w:r w:rsidRPr="0044114E">
        <w:rPr>
          <w:rFonts w:ascii="Times New Roman" w:hAnsi="Times New Roman"/>
          <w:i/>
        </w:rPr>
        <w:t>give and grant unto the said [named patentee]</w:t>
      </w:r>
      <w:r w:rsidRPr="0044114E">
        <w:rPr>
          <w:rFonts w:ascii="Times New Roman" w:hAnsi="Times New Roman"/>
        </w:rPr>
        <w:t xml:space="preserve"> his Executors, Administrators, and Assigns, Our especial Licence, [1] </w:t>
      </w:r>
      <w:r w:rsidRPr="0044114E">
        <w:rPr>
          <w:rFonts w:ascii="Times New Roman" w:hAnsi="Times New Roman"/>
          <w:i/>
        </w:rPr>
        <w:t>full Power, sole Privilege, and Authority that [the patentee] ... and no others, from Time to Time and at all Times hereafter during the Term of Years herein expressed, shall and lawfully may make, use, exercise, and vend his</w:t>
      </w:r>
      <w:r w:rsidRPr="0044114E">
        <w:rPr>
          <w:rFonts w:ascii="Times New Roman" w:hAnsi="Times New Roman"/>
        </w:rPr>
        <w:t xml:space="preserve"> </w:t>
      </w:r>
      <w:r w:rsidRPr="0044114E">
        <w:rPr>
          <w:rFonts w:ascii="Times New Roman" w:hAnsi="Times New Roman"/>
          <w:i/>
        </w:rPr>
        <w:t xml:space="preserve">said Invention </w:t>
      </w:r>
      <w:r w:rsidRPr="0044114E">
        <w:rPr>
          <w:rFonts w:ascii="Times New Roman" w:hAnsi="Times New Roman"/>
        </w:rPr>
        <w:t xml:space="preserve">... </w:t>
      </w:r>
      <w:r w:rsidRPr="0044114E">
        <w:rPr>
          <w:rFonts w:ascii="Times New Roman" w:hAnsi="Times New Roman"/>
          <w:i/>
        </w:rPr>
        <w:t>and ...</w:t>
      </w:r>
      <w:r w:rsidRPr="0044114E">
        <w:rPr>
          <w:rFonts w:ascii="Times New Roman" w:hAnsi="Times New Roman"/>
        </w:rPr>
        <w:t xml:space="preserve"> [2] We do by these Presents, for Us, Our Heirs and Successors, require and strictly command all and every Person and Persons ... and all other Our Subjects whatsoever ... that neither they nor any of them ... either directly or indirectly do make, use, or put in practice the said Invention ... without the Consent, Licence, or Agreement of the [patentee]". (emphasis</w:t>
      </w:r>
      <w:r>
        <w:rPr>
          <w:rFonts w:ascii="Times New Roman" w:hAnsi="Times New Roman"/>
        </w:rPr>
        <w:t> </w:t>
      </w:r>
      <w:r w:rsidRPr="0044114E">
        <w:rPr>
          <w:rFonts w:ascii="Times New Roman" w:hAnsi="Times New Roman"/>
        </w:rPr>
        <w:t>added)</w:t>
      </w:r>
    </w:p>
    <w:p w14:paraId="1956A4A9" w14:textId="77777777" w:rsidR="00261C63" w:rsidRPr="0044114E" w:rsidRDefault="00261C63" w:rsidP="00261C63">
      <w:pPr>
        <w:pStyle w:val="NormalBody"/>
        <w:spacing w:after="260" w:line="280" w:lineRule="exact"/>
        <w:ind w:right="0"/>
        <w:jc w:val="both"/>
        <w:rPr>
          <w:rFonts w:ascii="Times New Roman" w:hAnsi="Times New Roman"/>
        </w:rPr>
      </w:pPr>
      <w:r w:rsidRPr="0044114E">
        <w:rPr>
          <w:rFonts w:ascii="Times New Roman" w:hAnsi="Times New Roman"/>
        </w:rPr>
        <w:t>The form of letters patent provided in the 1852 Act reflected the form of grant that appears to have existed from at least the 18th century</w:t>
      </w:r>
      <w:r w:rsidRPr="0044114E">
        <w:rPr>
          <w:rStyle w:val="FootnoteReference"/>
          <w:rFonts w:ascii="Times New Roman" w:hAnsi="Times New Roman"/>
          <w:sz w:val="24"/>
        </w:rPr>
        <w:footnoteReference w:id="235"/>
      </w:r>
      <w:r w:rsidRPr="0044114E">
        <w:rPr>
          <w:rFonts w:ascii="Times New Roman" w:hAnsi="Times New Roman"/>
        </w:rPr>
        <w:t>. And while the 1852 Act was chiefly concerned with reforming the administration of patents, there is no indication that it was intended to substantially amend the nature and content of the rights conferred upon the patentee. Most pertinently, the terms of the form of letters patent in the 1852 Act stipulated – and were understood to articulate – that</w:t>
      </w:r>
      <w:r>
        <w:rPr>
          <w:rFonts w:ascii="Times New Roman" w:hAnsi="Times New Roman"/>
        </w:rPr>
        <w:t> </w:t>
      </w:r>
      <w:r w:rsidRPr="0044114E">
        <w:rPr>
          <w:rFonts w:ascii="Times New Roman" w:hAnsi="Times New Roman"/>
        </w:rPr>
        <w:t>the privilege was not only</w:t>
      </w:r>
      <w:r w:rsidRPr="0044114E">
        <w:rPr>
          <w:rFonts w:ascii="Times New Roman" w:hAnsi="Times New Roman"/>
          <w:i/>
        </w:rPr>
        <w:t xml:space="preserve"> </w:t>
      </w:r>
      <w:r w:rsidRPr="0044114E">
        <w:rPr>
          <w:rFonts w:ascii="Times New Roman" w:hAnsi="Times New Roman"/>
        </w:rPr>
        <w:t>or in "substance"</w:t>
      </w:r>
      <w:r w:rsidRPr="0044114E">
        <w:rPr>
          <w:rStyle w:val="FootnoteReference"/>
          <w:rFonts w:ascii="Times New Roman" w:hAnsi="Times New Roman"/>
          <w:sz w:val="24"/>
        </w:rPr>
        <w:footnoteReference w:id="236"/>
      </w:r>
      <w:r w:rsidRPr="0044114E">
        <w:rPr>
          <w:rFonts w:ascii="Times New Roman" w:hAnsi="Times New Roman"/>
        </w:rPr>
        <w:t xml:space="preserve"> the right to forbid the use of an invention by others.</w:t>
      </w:r>
    </w:p>
    <w:p w14:paraId="2BF799F9"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The 1883 Act consolidated the law applicable to patents</w:t>
      </w:r>
      <w:r w:rsidRPr="0044114E">
        <w:rPr>
          <w:rStyle w:val="FootnoteReference"/>
          <w:rFonts w:ascii="Times New Roman" w:hAnsi="Times New Roman"/>
          <w:sz w:val="24"/>
        </w:rPr>
        <w:footnoteReference w:id="237"/>
      </w:r>
      <w:r w:rsidRPr="0044114E">
        <w:rPr>
          <w:rFonts w:ascii="Times New Roman" w:hAnsi="Times New Roman"/>
        </w:rPr>
        <w:t xml:space="preserve">. The effect of the 1883 Act, consistent with the position prior to its enactment, was to confer </w:t>
      </w:r>
      <w:r w:rsidRPr="0044114E">
        <w:rPr>
          <w:rFonts w:ascii="Times New Roman" w:hAnsi="Times New Roman"/>
        </w:rPr>
        <w:lastRenderedPageBreak/>
        <w:t>upon the patentee the sole benefit of the right to exploit the invention. By s 46, the "patentee" was "the person for the time being entitled to the benefit of a patent". And the form of patent issued under the 1883 Act, set out in the First Schedule to the Act, was expressed as follows</w:t>
      </w:r>
      <w:r w:rsidRPr="0044114E">
        <w:rPr>
          <w:rStyle w:val="FootnoteReference"/>
          <w:rFonts w:ascii="Times New Roman" w:hAnsi="Times New Roman"/>
          <w:sz w:val="24"/>
        </w:rPr>
        <w:footnoteReference w:id="238"/>
      </w:r>
      <w:r w:rsidRPr="0044114E">
        <w:rPr>
          <w:rFonts w:ascii="Times New Roman" w:hAnsi="Times New Roman"/>
        </w:rPr>
        <w:t>:</w:t>
      </w:r>
    </w:p>
    <w:p w14:paraId="54DAB03C"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"Know ye, therefore, that We, of our especial grace, certain knowledge, and</w:t>
      </w:r>
      <w:r>
        <w:rPr>
          <w:rFonts w:ascii="Times New Roman" w:hAnsi="Times New Roman"/>
        </w:rPr>
        <w:t> </w:t>
      </w:r>
      <w:r w:rsidRPr="0044114E">
        <w:rPr>
          <w:rFonts w:ascii="Times New Roman" w:hAnsi="Times New Roman"/>
        </w:rPr>
        <w:t>mere motion do by these presents, for us, our heirs and successors, give</w:t>
      </w:r>
      <w:r>
        <w:rPr>
          <w:rFonts w:ascii="Times New Roman" w:hAnsi="Times New Roman"/>
        </w:rPr>
        <w:t> </w:t>
      </w:r>
      <w:r w:rsidRPr="0044114E">
        <w:rPr>
          <w:rFonts w:ascii="Times New Roman" w:hAnsi="Times New Roman"/>
        </w:rPr>
        <w:t xml:space="preserve">and grant unto the said patentee our especial license, </w:t>
      </w:r>
      <w:r w:rsidRPr="0044114E">
        <w:rPr>
          <w:rFonts w:ascii="Times New Roman" w:hAnsi="Times New Roman"/>
          <w:i/>
        </w:rPr>
        <w:t>full power, sole</w:t>
      </w:r>
      <w:r>
        <w:rPr>
          <w:rFonts w:ascii="Times New Roman" w:hAnsi="Times New Roman"/>
          <w:i/>
        </w:rPr>
        <w:t> </w:t>
      </w:r>
      <w:r w:rsidRPr="0044114E">
        <w:rPr>
          <w:rFonts w:ascii="Times New Roman" w:hAnsi="Times New Roman"/>
          <w:i/>
        </w:rPr>
        <w:t xml:space="preserve">privilege, and authority, that the said patentee by himself, his agents, or licensees, and no others, may at all times hereafter during the term of years herein mentioned, make, use, exercise, and vend the said invention </w:t>
      </w:r>
      <w:r w:rsidRPr="0044114E">
        <w:rPr>
          <w:rFonts w:ascii="Times New Roman" w:hAnsi="Times New Roman"/>
        </w:rPr>
        <w:t>... in such manner as to him or them may seem meet, and that the said patentee shall have and enjoy the whole profit and advantage from time to time accruing by reason of the said invention, during the term of fourteen years from the date hereunder written of these presents". (emphasis added)</w:t>
      </w:r>
    </w:p>
    <w:p w14:paraId="64A7D246"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Thus the 1852 and 1883 Acts expressly recognised the rights arising from a grant of letters patent: not only a monopoly over the exploitation of the invention, but also a positive grant of rights including the right to vend the invention. To see patent rights in the 19th century </w:t>
      </w:r>
      <w:r w:rsidRPr="0044114E">
        <w:rPr>
          <w:rFonts w:ascii="Times New Roman" w:hAnsi="Times New Roman"/>
          <w:i/>
        </w:rPr>
        <w:t>only</w:t>
      </w:r>
      <w:r w:rsidRPr="0044114E">
        <w:rPr>
          <w:rFonts w:ascii="Times New Roman" w:hAnsi="Times New Roman"/>
        </w:rPr>
        <w:t xml:space="preserve"> through the lens of monopoly (and as a statutory power to prevent </w:t>
      </w:r>
      <w:r w:rsidRPr="0044114E">
        <w:rPr>
          <w:rFonts w:ascii="Times New Roman" w:hAnsi="Times New Roman"/>
          <w:i/>
        </w:rPr>
        <w:t>others</w:t>
      </w:r>
      <w:r w:rsidRPr="0044114E">
        <w:rPr>
          <w:rFonts w:ascii="Times New Roman" w:hAnsi="Times New Roman"/>
        </w:rPr>
        <w:t xml:space="preserve"> exploiting the invention) was, and remains, too</w:t>
      </w:r>
      <w:r>
        <w:rPr>
          <w:rFonts w:ascii="Times New Roman" w:hAnsi="Times New Roman"/>
        </w:rPr>
        <w:t> </w:t>
      </w:r>
      <w:r w:rsidRPr="0044114E">
        <w:rPr>
          <w:rFonts w:ascii="Times New Roman" w:hAnsi="Times New Roman"/>
        </w:rPr>
        <w:t>narrow a view of the effect of a grant of a patent. It was not then, and is not now, sufficient to see the 19th and 20th century patents Acts as doing no more than giving a patentee a statutory right to exclude others from exploiting the invention, nor is it sufficient to see the statutes as giving a patentee a piece of property sufficiently described as a "patent".</w:t>
      </w:r>
    </w:p>
    <w:p w14:paraId="153AB786"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Over time, patentee rights have come to be recorded expressly in the provisions of patents Acts, rather than simply in the form of the patent provided for by the relevant Act. Thus, the terms of s 62 of the </w:t>
      </w:r>
      <w:r w:rsidRPr="0044114E">
        <w:rPr>
          <w:rFonts w:ascii="Times New Roman" w:hAnsi="Times New Roman"/>
          <w:i/>
        </w:rPr>
        <w:t xml:space="preserve">Patents Act 1903 </w:t>
      </w:r>
      <w:r w:rsidRPr="0044114E">
        <w:rPr>
          <w:rFonts w:ascii="Times New Roman" w:hAnsi="Times New Roman"/>
        </w:rPr>
        <w:t>(</w:t>
      </w:r>
      <w:proofErr w:type="spellStart"/>
      <w:r w:rsidRPr="0044114E">
        <w:rPr>
          <w:rFonts w:ascii="Times New Roman" w:hAnsi="Times New Roman"/>
        </w:rPr>
        <w:t>Cth</w:t>
      </w:r>
      <w:proofErr w:type="spellEnd"/>
      <w:r w:rsidRPr="0044114E">
        <w:rPr>
          <w:rFonts w:ascii="Times New Roman" w:hAnsi="Times New Roman"/>
        </w:rPr>
        <w:t>) – that</w:t>
      </w:r>
      <w:r>
        <w:rPr>
          <w:rFonts w:ascii="Times New Roman" w:hAnsi="Times New Roman"/>
        </w:rPr>
        <w:t> </w:t>
      </w:r>
      <w:r w:rsidRPr="0044114E">
        <w:rPr>
          <w:rFonts w:ascii="Times New Roman" w:hAnsi="Times New Roman"/>
        </w:rPr>
        <w:t xml:space="preserve">the "effect of a patent shall be to grant to the patentee </w:t>
      </w:r>
      <w:r w:rsidRPr="0044114E">
        <w:rPr>
          <w:rFonts w:ascii="Times New Roman" w:hAnsi="Times New Roman"/>
          <w:i/>
        </w:rPr>
        <w:t>full power, sole privilege and authority</w:t>
      </w:r>
      <w:r w:rsidRPr="0044114E">
        <w:rPr>
          <w:rFonts w:ascii="Times New Roman" w:hAnsi="Times New Roman"/>
        </w:rPr>
        <w:t>, by himself, his agents, and licensees during the term of the patent to make, use, exercise, and vend the invention" (emphasis added) – were taken from the italicised words in the form of patent under the 1883 Act</w:t>
      </w:r>
      <w:r w:rsidRPr="0044114E">
        <w:rPr>
          <w:rStyle w:val="FootnoteReference"/>
          <w:rFonts w:ascii="Times New Roman" w:hAnsi="Times New Roman"/>
          <w:sz w:val="24"/>
        </w:rPr>
        <w:footnoteReference w:id="239"/>
      </w:r>
      <w:r w:rsidRPr="0044114E">
        <w:rPr>
          <w:rFonts w:ascii="Times New Roman" w:hAnsi="Times New Roman"/>
        </w:rPr>
        <w:t xml:space="preserve">. </w:t>
      </w:r>
    </w:p>
    <w:p w14:paraId="089F5F55"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The recording of the rights granted culminated in the enactment of the </w:t>
      </w:r>
      <w:r w:rsidRPr="0044114E">
        <w:rPr>
          <w:rFonts w:ascii="Times New Roman" w:hAnsi="Times New Roman"/>
          <w:i/>
        </w:rPr>
        <w:t>Patents Act 1990</w:t>
      </w:r>
      <w:r w:rsidRPr="0044114E">
        <w:rPr>
          <w:rFonts w:ascii="Times New Roman" w:hAnsi="Times New Roman"/>
        </w:rPr>
        <w:t xml:space="preserve">, an Act which </w:t>
      </w:r>
      <w:r w:rsidRPr="0044114E">
        <w:rPr>
          <w:rFonts w:ascii="Times New Roman" w:eastAsia="Calibri" w:hAnsi="Times New Roman"/>
        </w:rPr>
        <w:t xml:space="preserve">did not alter the law in Australia in any relevant </w:t>
      </w:r>
      <w:r w:rsidRPr="0044114E">
        <w:rPr>
          <w:rFonts w:ascii="Times New Roman" w:eastAsia="Calibri" w:hAnsi="Times New Roman"/>
        </w:rPr>
        <w:lastRenderedPageBreak/>
        <w:t>respect</w:t>
      </w:r>
      <w:r w:rsidRPr="0044114E">
        <w:rPr>
          <w:rStyle w:val="FootnoteReference"/>
          <w:rFonts w:ascii="Times New Roman" w:eastAsia="Calibri" w:hAnsi="Times New Roman"/>
          <w:sz w:val="24"/>
        </w:rPr>
        <w:footnoteReference w:id="240"/>
      </w:r>
      <w:r w:rsidRPr="0044114E">
        <w:rPr>
          <w:rFonts w:ascii="Times New Roman" w:eastAsia="Calibri" w:hAnsi="Times New Roman"/>
        </w:rPr>
        <w:t>.</w:t>
      </w:r>
      <w:r w:rsidRPr="0044114E">
        <w:rPr>
          <w:rFonts w:ascii="Times New Roman" w:hAnsi="Times New Roman"/>
        </w:rPr>
        <w:t xml:space="preserve"> And it is of the first importance to notice what was said in the Explanatory Memorandum. First, it was said </w:t>
      </w:r>
      <w:r w:rsidRPr="0044114E">
        <w:rPr>
          <w:rFonts w:ascii="Times New Roman" w:eastAsia="Calibri" w:hAnsi="Times New Roman"/>
        </w:rPr>
        <w:t>that the definition of "exploit", when</w:t>
      </w:r>
      <w:r>
        <w:rPr>
          <w:rFonts w:ascii="Times New Roman" w:eastAsia="Calibri" w:hAnsi="Times New Roman"/>
        </w:rPr>
        <w:t> </w:t>
      </w:r>
      <w:r w:rsidRPr="0044114E">
        <w:rPr>
          <w:rFonts w:ascii="Times New Roman" w:eastAsia="Calibri" w:hAnsi="Times New Roman"/>
        </w:rPr>
        <w:t>read with s 13, avoided some "obscure language"</w:t>
      </w:r>
      <w:r w:rsidRPr="0044114E">
        <w:rPr>
          <w:rStyle w:val="FootnoteReference"/>
          <w:rFonts w:ascii="Times New Roman" w:eastAsia="Calibri" w:hAnsi="Times New Roman"/>
          <w:sz w:val="24"/>
        </w:rPr>
        <w:footnoteReference w:id="241"/>
      </w:r>
      <w:r w:rsidRPr="0044114E">
        <w:rPr>
          <w:rFonts w:ascii="Times New Roman" w:eastAsia="Calibri" w:hAnsi="Times New Roman"/>
        </w:rPr>
        <w:t xml:space="preserve"> in the </w:t>
      </w:r>
      <w:r w:rsidRPr="0044114E">
        <w:rPr>
          <w:rFonts w:ascii="Times New Roman" w:eastAsia="Calibri" w:hAnsi="Times New Roman"/>
          <w:i/>
        </w:rPr>
        <w:t>Patents Act 1903</w:t>
      </w:r>
      <w:r w:rsidRPr="0044114E">
        <w:rPr>
          <w:rFonts w:ascii="Times New Roman" w:eastAsia="Calibri" w:hAnsi="Times New Roman"/>
        </w:rPr>
        <w:t xml:space="preserve"> setting out a patentee's rights and, second, that:</w:t>
      </w:r>
    </w:p>
    <w:p w14:paraId="6518F693" w14:textId="77777777" w:rsidR="00261C63" w:rsidRDefault="00261C63" w:rsidP="00261C63">
      <w:pPr>
        <w:pStyle w:val="leftright"/>
        <w:spacing w:before="0" w:after="260" w:line="280" w:lineRule="exact"/>
        <w:ind w:right="0"/>
        <w:jc w:val="both"/>
        <w:rPr>
          <w:rFonts w:ascii="Times New Roman" w:eastAsia="Calibri" w:hAnsi="Times New Roman"/>
        </w:rPr>
      </w:pPr>
      <w:r w:rsidRPr="0044114E">
        <w:rPr>
          <w:rFonts w:ascii="Times New Roman" w:eastAsia="Calibri" w:hAnsi="Times New Roman"/>
        </w:rPr>
        <w:t>"</w:t>
      </w:r>
      <w:r w:rsidRPr="0044114E">
        <w:rPr>
          <w:rFonts w:ascii="Times New Roman" w:hAnsi="Times New Roman"/>
        </w:rPr>
        <w:t xml:space="preserve">Clause 13 is not intended, in particular, to modify the operation of the law on infringement so far as it relates to subsequent dealings with a patented product after its first sale. This applies particularly where a patented product is resold or where it is imported after being purchased abroad. </w:t>
      </w:r>
      <w:r w:rsidRPr="0044114E">
        <w:rPr>
          <w:rFonts w:ascii="Times New Roman" w:hAnsi="Times New Roman"/>
          <w:i/>
        </w:rPr>
        <w:t>It is intended that the question whether such a resale or importation constitutes an infringement in a particular case will continue to be determined as it is now, having regard to any actual or implied licences in the first sale and their effect in Australia, and to what is often known as the doctrine of 'exhaustion of rights' so far as it applies under Australian law.</w:t>
      </w:r>
      <w:r w:rsidRPr="0044114E">
        <w:rPr>
          <w:rFonts w:ascii="Times New Roman" w:hAnsi="Times New Roman"/>
        </w:rPr>
        <w:t>" (emphasis added)</w:t>
      </w:r>
      <w:r w:rsidRPr="0044114E">
        <w:rPr>
          <w:rFonts w:ascii="Times New Roman" w:eastAsia="Calibri" w:hAnsi="Times New Roman"/>
        </w:rPr>
        <w:t xml:space="preserve"> </w:t>
      </w:r>
    </w:p>
    <w:p w14:paraId="09B8562C"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Thus, seeing the </w:t>
      </w:r>
      <w:r w:rsidRPr="0044114E">
        <w:rPr>
          <w:rFonts w:ascii="Times New Roman" w:hAnsi="Times New Roman"/>
          <w:i/>
        </w:rPr>
        <w:t>Patents Act 1990</w:t>
      </w:r>
      <w:r w:rsidRPr="0044114E">
        <w:rPr>
          <w:rFonts w:ascii="Times New Roman" w:hAnsi="Times New Roman"/>
        </w:rPr>
        <w:t xml:space="preserve"> as conferring only a power to limit the otherwise free conduct of others in relation to the manufacture and sale of articles of commerce is to focus on one aspect – the negative aspect – of the grant of the monopoly. To see the grant of the monopoly (as s 13(2) of the </w:t>
      </w:r>
      <w:r w:rsidRPr="0044114E">
        <w:rPr>
          <w:rFonts w:ascii="Times New Roman" w:hAnsi="Times New Roman"/>
          <w:i/>
        </w:rPr>
        <w:t>Patents Act 1990</w:t>
      </w:r>
      <w:r w:rsidRPr="0044114E">
        <w:rPr>
          <w:rFonts w:ascii="Times New Roman" w:hAnsi="Times New Roman"/>
        </w:rPr>
        <w:t xml:space="preserve"> expressly does</w:t>
      </w:r>
      <w:r w:rsidRPr="0044114E">
        <w:rPr>
          <w:rStyle w:val="FootnoteReference"/>
          <w:rFonts w:ascii="Times New Roman" w:hAnsi="Times New Roman"/>
          <w:sz w:val="24"/>
        </w:rPr>
        <w:footnoteReference w:id="242"/>
      </w:r>
      <w:r w:rsidRPr="0044114E">
        <w:rPr>
          <w:rFonts w:ascii="Times New Roman" w:hAnsi="Times New Roman"/>
        </w:rPr>
        <w:t>) as the grant of rights of personal property is to recognise the obverse and positive aspect of the grant. And implicit in that grant is the freedom of the person granted these property rights to deal with them in whole or in part, and absolutely or conditionally, as they see fit (subject always of course to any express statutory limitation on that freedom). It is the terms of the legislative grant of patent rights and the proper construction of the grant that are determinative of the scope and content of a patentee's rights.</w:t>
      </w:r>
    </w:p>
    <w:p w14:paraId="7FCE979E"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Seeing the grant of the monopoly in s 13(2) in those terms as having both negative and positive aspects recognises that a patent grants to the patentee a negative right, namely a right to exclude others from exploiting the invention and, no less importantly, recognises that the negative right carries with it the consequence that others do </w:t>
      </w:r>
      <w:r w:rsidRPr="0044114E">
        <w:rPr>
          <w:rFonts w:ascii="Times New Roman" w:hAnsi="Times New Roman"/>
          <w:i/>
          <w:iCs/>
        </w:rPr>
        <w:t>not</w:t>
      </w:r>
      <w:r w:rsidRPr="0044114E">
        <w:rPr>
          <w:rFonts w:ascii="Times New Roman" w:hAnsi="Times New Roman"/>
        </w:rPr>
        <w:t xml:space="preserve"> have the ordinary liberty to make, use, exercise and </w:t>
      </w:r>
      <w:r w:rsidRPr="0044114E">
        <w:rPr>
          <w:rFonts w:ascii="Times New Roman" w:hAnsi="Times New Roman"/>
        </w:rPr>
        <w:lastRenderedPageBreak/>
        <w:t>sell the patented article. That approach gives full measure to both elements of the expression "negative right", which are rights of monopoly</w:t>
      </w:r>
      <w:r w:rsidRPr="0044114E">
        <w:rPr>
          <w:rStyle w:val="FootnoteReference"/>
          <w:rFonts w:ascii="Times New Roman" w:hAnsi="Times New Roman"/>
          <w:sz w:val="24"/>
        </w:rPr>
        <w:footnoteReference w:id="243"/>
      </w:r>
      <w:r w:rsidRPr="0044114E">
        <w:rPr>
          <w:rFonts w:ascii="Times New Roman" w:hAnsi="Times New Roman"/>
        </w:rPr>
        <w:t>.</w:t>
      </w:r>
    </w:p>
    <w:p w14:paraId="339B8D19"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The particular area where the conflicting theories have been engaged is the sale of a patented article by a patentee. Could a patentee </w:t>
      </w:r>
      <w:r w:rsidRPr="0044114E">
        <w:rPr>
          <w:rFonts w:ascii="Times New Roman" w:eastAsia="Calibri" w:hAnsi="Times New Roman"/>
        </w:rPr>
        <w:t>complain when someone to whom they had "sold the patented product then, without any further consent, uses it or disposes of it to someone else"</w:t>
      </w:r>
      <w:r w:rsidRPr="0044114E">
        <w:rPr>
          <w:rStyle w:val="FootnoteReference"/>
          <w:rFonts w:ascii="Times New Roman" w:eastAsia="Calibri" w:hAnsi="Times New Roman"/>
          <w:sz w:val="24"/>
        </w:rPr>
        <w:footnoteReference w:id="244"/>
      </w:r>
      <w:r w:rsidRPr="0044114E">
        <w:rPr>
          <w:rFonts w:ascii="Times New Roman" w:eastAsia="Calibri" w:hAnsi="Times New Roman"/>
        </w:rPr>
        <w:t>? On its face, this would be conduct prohibited by the grant of an exclusive right to sell</w:t>
      </w:r>
      <w:r w:rsidRPr="0044114E">
        <w:rPr>
          <w:rStyle w:val="FootnoteReference"/>
          <w:rFonts w:ascii="Times New Roman" w:eastAsia="Calibri" w:hAnsi="Times New Roman"/>
          <w:sz w:val="24"/>
        </w:rPr>
        <w:footnoteReference w:id="245"/>
      </w:r>
      <w:r w:rsidRPr="0044114E">
        <w:rPr>
          <w:rFonts w:ascii="Times New Roman" w:eastAsia="Calibri" w:hAnsi="Times New Roman"/>
        </w:rPr>
        <w:t xml:space="preserve">. </w:t>
      </w:r>
    </w:p>
    <w:p w14:paraId="7180C5EE"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eastAsia="Calibri" w:hAnsi="Times New Roman"/>
        </w:rPr>
        <w:tab/>
        <w:t>Over time, two possible answers emerged. The first is that the patentee sells the product to a buyer with an "implied licence" that the buyer may dispose of it as the buyer sees fit. That position has been adopted in Australia and in the United Kingdom for more than a century</w:t>
      </w:r>
      <w:r w:rsidRPr="0044114E">
        <w:rPr>
          <w:rStyle w:val="FootnoteReference"/>
          <w:rFonts w:ascii="Times New Roman" w:eastAsia="Calibri" w:hAnsi="Times New Roman"/>
          <w:sz w:val="24"/>
        </w:rPr>
        <w:footnoteReference w:id="246"/>
      </w:r>
      <w:r w:rsidRPr="0044114E">
        <w:rPr>
          <w:rFonts w:ascii="Times New Roman" w:eastAsia="Calibri" w:hAnsi="Times New Roman"/>
        </w:rPr>
        <w:t>. The other is that "[t]he patentee's rights in respect of the product are exhausted by the first sale"</w:t>
      </w:r>
      <w:r w:rsidRPr="0044114E">
        <w:rPr>
          <w:rStyle w:val="FootnoteReference"/>
          <w:rFonts w:ascii="Times New Roman" w:eastAsia="Calibri" w:hAnsi="Times New Roman"/>
          <w:sz w:val="24"/>
        </w:rPr>
        <w:footnoteReference w:id="247"/>
      </w:r>
      <w:r w:rsidRPr="0044114E">
        <w:rPr>
          <w:rFonts w:ascii="Times New Roman" w:eastAsia="Calibri" w:hAnsi="Times New Roman"/>
        </w:rPr>
        <w:t>. As has been noted earlier, the latter theory has been adopted in the United States</w:t>
      </w:r>
      <w:r w:rsidRPr="0044114E">
        <w:rPr>
          <w:rStyle w:val="FootnoteReference"/>
          <w:rFonts w:ascii="Times New Roman" w:eastAsia="Calibri" w:hAnsi="Times New Roman"/>
          <w:sz w:val="24"/>
        </w:rPr>
        <w:footnoteReference w:id="248"/>
      </w:r>
      <w:r w:rsidRPr="0044114E">
        <w:rPr>
          <w:rFonts w:ascii="Times New Roman" w:eastAsia="Calibri" w:hAnsi="Times New Roman"/>
        </w:rPr>
        <w:t xml:space="preserve"> and some European patent systems</w:t>
      </w:r>
      <w:r w:rsidRPr="0044114E">
        <w:rPr>
          <w:rStyle w:val="FootnoteReference"/>
          <w:rFonts w:ascii="Times New Roman" w:eastAsia="Calibri" w:hAnsi="Times New Roman"/>
          <w:sz w:val="24"/>
        </w:rPr>
        <w:footnoteReference w:id="249"/>
      </w:r>
      <w:r w:rsidRPr="0044114E">
        <w:rPr>
          <w:rFonts w:ascii="Times New Roman" w:eastAsia="Calibri" w:hAnsi="Times New Roman"/>
        </w:rPr>
        <w:t xml:space="preserve">. The difference between the two theories was described by Lord Hoffmann in </w:t>
      </w:r>
      <w:r w:rsidRPr="0044114E">
        <w:rPr>
          <w:rFonts w:ascii="Times New Roman" w:eastAsia="Calibri" w:hAnsi="Times New Roman"/>
          <w:i/>
        </w:rPr>
        <w:t xml:space="preserve">United Wire </w:t>
      </w:r>
      <w:r w:rsidRPr="0044114E">
        <w:rPr>
          <w:rFonts w:ascii="Times New Roman" w:eastAsia="Calibri" w:hAnsi="Times New Roman"/>
        </w:rPr>
        <w:t xml:space="preserve">as being that "an implied licence may be excluded by express contrary agreement or made subject to conditions while the exhaustion </w:t>
      </w:r>
      <w:r w:rsidRPr="0044114E">
        <w:rPr>
          <w:rFonts w:ascii="Times New Roman" w:eastAsia="Calibri" w:hAnsi="Times New Roman"/>
        </w:rPr>
        <w:lastRenderedPageBreak/>
        <w:t>doctrine leaves no patent rights to be enforced"</w:t>
      </w:r>
      <w:r w:rsidRPr="0044114E">
        <w:rPr>
          <w:rStyle w:val="FootnoteReference"/>
          <w:rFonts w:ascii="Times New Roman" w:eastAsia="Calibri" w:hAnsi="Times New Roman"/>
          <w:sz w:val="24"/>
        </w:rPr>
        <w:footnoteReference w:id="250"/>
      </w:r>
      <w:r w:rsidRPr="0044114E">
        <w:rPr>
          <w:rFonts w:ascii="Times New Roman" w:eastAsia="Calibri" w:hAnsi="Times New Roman"/>
        </w:rPr>
        <w:t>. So which theory applies, what is that theory and why does it matter?</w:t>
      </w:r>
    </w:p>
    <w:p w14:paraId="74363118" w14:textId="77777777" w:rsidR="00261C63" w:rsidRPr="0044114E" w:rsidRDefault="00261C63" w:rsidP="00261C63">
      <w:pPr>
        <w:pStyle w:val="HeadingL1"/>
        <w:spacing w:after="260" w:line="280" w:lineRule="exact"/>
        <w:ind w:right="0"/>
        <w:jc w:val="both"/>
        <w:rPr>
          <w:rFonts w:ascii="Times New Roman" w:eastAsia="Calibri" w:hAnsi="Times New Roman"/>
        </w:rPr>
      </w:pPr>
      <w:r w:rsidRPr="0044114E">
        <w:rPr>
          <w:rFonts w:ascii="Times New Roman" w:eastAsia="Calibri" w:hAnsi="Times New Roman"/>
        </w:rPr>
        <w:t>The patents Acts and the implied licence theory</w:t>
      </w:r>
    </w:p>
    <w:p w14:paraId="5E066CD0"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eastAsia="Calibri" w:hAnsi="Times New Roman"/>
        </w:rPr>
        <w:tab/>
        <w:t>T</w:t>
      </w:r>
      <w:r w:rsidRPr="0044114E">
        <w:rPr>
          <w:rFonts w:ascii="Times New Roman" w:hAnsi="Times New Roman"/>
        </w:rPr>
        <w:t xml:space="preserve">he decision of the Privy Council in </w:t>
      </w:r>
      <w:r w:rsidRPr="0044114E">
        <w:rPr>
          <w:rFonts w:ascii="Times New Roman" w:hAnsi="Times New Roman"/>
          <w:i/>
        </w:rPr>
        <w:t xml:space="preserve">National Phonograph Co of Australia Ltd v </w:t>
      </w:r>
      <w:proofErr w:type="spellStart"/>
      <w:r w:rsidRPr="0044114E">
        <w:rPr>
          <w:rFonts w:ascii="Times New Roman" w:hAnsi="Times New Roman"/>
          <w:i/>
        </w:rPr>
        <w:t>Menck</w:t>
      </w:r>
      <w:proofErr w:type="spellEnd"/>
      <w:r w:rsidRPr="0044114E">
        <w:rPr>
          <w:rFonts w:ascii="Times New Roman" w:hAnsi="Times New Roman"/>
          <w:i/>
        </w:rPr>
        <w:t xml:space="preserve"> </w:t>
      </w:r>
      <w:r w:rsidRPr="0044114E">
        <w:rPr>
          <w:rFonts w:ascii="Times New Roman" w:hAnsi="Times New Roman"/>
        </w:rPr>
        <w:t>("</w:t>
      </w:r>
      <w:proofErr w:type="spellStart"/>
      <w:r w:rsidRPr="0044114E">
        <w:rPr>
          <w:rFonts w:ascii="Times New Roman" w:hAnsi="Times New Roman"/>
          <w:i/>
        </w:rPr>
        <w:t>Menck</w:t>
      </w:r>
      <w:proofErr w:type="spellEnd"/>
      <w:r w:rsidRPr="0044114E">
        <w:rPr>
          <w:rFonts w:ascii="Times New Roman" w:hAnsi="Times New Roman"/>
          <w:i/>
        </w:rPr>
        <w:t xml:space="preserve"> (PC)</w:t>
      </w:r>
      <w:r w:rsidRPr="0044114E">
        <w:rPr>
          <w:rFonts w:ascii="Times New Roman" w:hAnsi="Times New Roman"/>
        </w:rPr>
        <w:t>")</w:t>
      </w:r>
      <w:r w:rsidRPr="0044114E">
        <w:rPr>
          <w:rStyle w:val="FootnoteReference"/>
          <w:rFonts w:ascii="Times New Roman" w:hAnsi="Times New Roman"/>
          <w:sz w:val="24"/>
        </w:rPr>
        <w:footnoteReference w:id="251"/>
      </w:r>
      <w:r w:rsidRPr="0044114E">
        <w:rPr>
          <w:rFonts w:ascii="Times New Roman" w:hAnsi="Times New Roman"/>
        </w:rPr>
        <w:t xml:space="preserve"> settled the answer to those questions, and the law in Australia, more than a century ago. </w:t>
      </w:r>
      <w:r w:rsidRPr="0044114E">
        <w:rPr>
          <w:rFonts w:ascii="Times New Roman" w:eastAsia="Calibri" w:hAnsi="Times New Roman"/>
        </w:rPr>
        <w:t>In </w:t>
      </w:r>
      <w:r w:rsidRPr="0044114E">
        <w:rPr>
          <w:rFonts w:ascii="Times New Roman" w:hAnsi="Times New Roman"/>
        </w:rPr>
        <w:t>that case</w:t>
      </w:r>
      <w:r w:rsidRPr="0044114E">
        <w:rPr>
          <w:rFonts w:ascii="Times New Roman" w:eastAsia="Calibri" w:hAnsi="Times New Roman"/>
        </w:rPr>
        <w:t xml:space="preserve">, the Privy Council recognised the difficulty posed by the </w:t>
      </w:r>
      <w:r w:rsidRPr="0044114E">
        <w:rPr>
          <w:rFonts w:ascii="Times New Roman" w:eastAsia="Calibri" w:hAnsi="Times New Roman"/>
          <w:i/>
        </w:rPr>
        <w:t>Patents Act 1903</w:t>
      </w:r>
      <w:r w:rsidRPr="0044114E">
        <w:rPr>
          <w:rStyle w:val="FootnoteReference"/>
          <w:rFonts w:ascii="Times New Roman" w:eastAsia="Calibri" w:hAnsi="Times New Roman"/>
          <w:sz w:val="24"/>
        </w:rPr>
        <w:footnoteReference w:id="252"/>
      </w:r>
      <w:r w:rsidRPr="0044114E">
        <w:rPr>
          <w:rFonts w:ascii="Times New Roman" w:eastAsia="Calibri" w:hAnsi="Times New Roman"/>
        </w:rPr>
        <w:t>: enforcement of the general principle applicable to ordinary goods that an owner is not bound by any restrictions in regard to use or sale of the goods so that any restrictive conditions do not run with the goods</w:t>
      </w:r>
      <w:r w:rsidRPr="0044114E">
        <w:rPr>
          <w:rStyle w:val="FootnoteReference"/>
          <w:rFonts w:ascii="Times New Roman" w:eastAsia="Calibri" w:hAnsi="Times New Roman"/>
          <w:sz w:val="24"/>
        </w:rPr>
        <w:footnoteReference w:id="253"/>
      </w:r>
      <w:r w:rsidRPr="0044114E">
        <w:rPr>
          <w:rFonts w:ascii="Times New Roman" w:eastAsia="Calibri" w:hAnsi="Times New Roman"/>
        </w:rPr>
        <w:t xml:space="preserve"> (which was never open to doubt) </w:t>
      </w:r>
      <w:r w:rsidRPr="0044114E">
        <w:rPr>
          <w:rFonts w:ascii="Times New Roman" w:eastAsia="Calibri" w:hAnsi="Times New Roman"/>
          <w:i/>
        </w:rPr>
        <w:t>without</w:t>
      </w:r>
      <w:r w:rsidRPr="0044114E">
        <w:rPr>
          <w:rFonts w:ascii="Times New Roman" w:eastAsia="Calibri" w:hAnsi="Times New Roman"/>
        </w:rPr>
        <w:t xml:space="preserve"> impinging upon the right granted by the </w:t>
      </w:r>
      <w:r w:rsidRPr="0044114E">
        <w:rPr>
          <w:rFonts w:ascii="Times New Roman" w:eastAsia="Calibri" w:hAnsi="Times New Roman"/>
          <w:i/>
        </w:rPr>
        <w:t>Patents Act 1903</w:t>
      </w:r>
      <w:r w:rsidRPr="0044114E">
        <w:rPr>
          <w:rFonts w:ascii="Times New Roman" w:eastAsia="Calibri" w:hAnsi="Times New Roman"/>
        </w:rPr>
        <w:t xml:space="preserve"> to "exclude all others from the right of production ... of the patented article" and the power to impose "conditions in the transactions of making, using and vending, which are necessarily an exception by [the</w:t>
      </w:r>
      <w:r>
        <w:rPr>
          <w:rFonts w:ascii="Times New Roman" w:eastAsia="Calibri" w:hAnsi="Times New Roman"/>
        </w:rPr>
        <w:t> </w:t>
      </w:r>
      <w:r w:rsidRPr="0044114E">
        <w:rPr>
          <w:rFonts w:ascii="Times New Roman" w:eastAsia="Calibri" w:hAnsi="Times New Roman"/>
          <w:i/>
        </w:rPr>
        <w:t>Patents</w:t>
      </w:r>
      <w:r>
        <w:rPr>
          <w:rFonts w:ascii="Times New Roman" w:eastAsia="Calibri" w:hAnsi="Times New Roman"/>
          <w:i/>
        </w:rPr>
        <w:t> </w:t>
      </w:r>
      <w:r w:rsidRPr="0044114E">
        <w:rPr>
          <w:rFonts w:ascii="Times New Roman" w:eastAsia="Calibri" w:hAnsi="Times New Roman"/>
          <w:i/>
        </w:rPr>
        <w:t>Act 1903</w:t>
      </w:r>
      <w:r w:rsidRPr="0044114E">
        <w:rPr>
          <w:rFonts w:ascii="Times New Roman" w:eastAsia="Calibri" w:hAnsi="Times New Roman"/>
        </w:rPr>
        <w:t>] to the rules ordinarily prevailing"</w:t>
      </w:r>
      <w:r w:rsidRPr="0044114E">
        <w:rPr>
          <w:rStyle w:val="FootnoteReference"/>
          <w:rFonts w:ascii="Times New Roman" w:eastAsia="Calibri" w:hAnsi="Times New Roman"/>
          <w:sz w:val="24"/>
        </w:rPr>
        <w:footnoteReference w:id="254"/>
      </w:r>
      <w:r w:rsidRPr="0044114E">
        <w:rPr>
          <w:rFonts w:ascii="Times New Roman" w:eastAsia="Calibri" w:hAnsi="Times New Roman"/>
        </w:rPr>
        <w:t>. The Privy Council based its decision on the undisputed acceptance that there was no relevant difference between the patents Acts of Australia and the United Kingdom</w:t>
      </w:r>
      <w:r w:rsidRPr="0044114E">
        <w:rPr>
          <w:rStyle w:val="FootnoteReference"/>
          <w:rFonts w:ascii="Times New Roman" w:eastAsia="Calibri" w:hAnsi="Times New Roman"/>
          <w:sz w:val="24"/>
        </w:rPr>
        <w:footnoteReference w:id="255"/>
      </w:r>
      <w:r w:rsidRPr="0044114E">
        <w:rPr>
          <w:rFonts w:ascii="Times New Roman" w:eastAsia="Calibri" w:hAnsi="Times New Roman"/>
        </w:rPr>
        <w:t>.</w:t>
      </w:r>
    </w:p>
    <w:p w14:paraId="37895496"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eastAsia="Calibri" w:hAnsi="Times New Roman"/>
        </w:rPr>
        <w:tab/>
      </w:r>
      <w:r w:rsidRPr="0044114E">
        <w:rPr>
          <w:rFonts w:ascii="Times New Roman" w:hAnsi="Times New Roman"/>
        </w:rPr>
        <w:t>The Privy Council held that it was possible to adjust the incidents of ownership of ordinary goods with the incidents of ownership of patented goods so as to harmonise the rights of the patentee with the rights of the owner</w:t>
      </w:r>
      <w:r w:rsidRPr="0044114E">
        <w:rPr>
          <w:rStyle w:val="FootnoteReference"/>
          <w:rFonts w:ascii="Times New Roman" w:hAnsi="Times New Roman"/>
          <w:sz w:val="24"/>
        </w:rPr>
        <w:footnoteReference w:id="256"/>
      </w:r>
      <w:r w:rsidRPr="0044114E">
        <w:rPr>
          <w:rFonts w:ascii="Times New Roman" w:hAnsi="Times New Roman"/>
        </w:rPr>
        <w:t>. And it is important to restate the principles set out by the Privy Council</w:t>
      </w:r>
      <w:r w:rsidRPr="0044114E">
        <w:rPr>
          <w:rStyle w:val="FootnoteReference"/>
          <w:rFonts w:ascii="Times New Roman" w:hAnsi="Times New Roman"/>
          <w:sz w:val="24"/>
        </w:rPr>
        <w:footnoteReference w:id="257"/>
      </w:r>
      <w:r w:rsidRPr="0044114E">
        <w:rPr>
          <w:rFonts w:ascii="Times New Roman" w:hAnsi="Times New Roman"/>
        </w:rPr>
        <w:t>:</w:t>
      </w:r>
    </w:p>
    <w:p w14:paraId="2A7EBCFC" w14:textId="77777777" w:rsidR="00261C63" w:rsidRPr="0044114E" w:rsidRDefault="00261C63" w:rsidP="00261C63">
      <w:pPr>
        <w:pStyle w:val="leftright"/>
        <w:spacing w:before="0" w:after="260" w:line="280" w:lineRule="exact"/>
        <w:ind w:right="0"/>
        <w:jc w:val="both"/>
        <w:rPr>
          <w:rFonts w:ascii="Times New Roman" w:hAnsi="Times New Roman"/>
        </w:rPr>
      </w:pPr>
      <w:r w:rsidRPr="0044114E">
        <w:rPr>
          <w:rFonts w:ascii="Times New Roman" w:eastAsia="Calibri" w:hAnsi="Times New Roman"/>
        </w:rPr>
        <w:lastRenderedPageBreak/>
        <w:t>"</w:t>
      </w:r>
      <w:r w:rsidRPr="0044114E">
        <w:rPr>
          <w:rFonts w:ascii="Times New Roman" w:hAnsi="Times New Roman"/>
        </w:rPr>
        <w:t xml:space="preserve">All that is affirmed is that the general doctrine of absolute freedom of disposal of chattels of an ordinary kind is, in the case of patented chattels, subject to the restriction that the person purchasing them, and in the knowledge of the conditions attached by the patentee, which knowledge is clearly brought home to himself at the time of sale, shall be bound by that knowledge and accept the situation of ownership subject to the limitations. These limitations are merely the respect paid and the effect given to those conditions of transfer of the patented article which the law, laid down by Statute, gave the original patentee a power to impose. </w:t>
      </w:r>
      <w:r w:rsidRPr="0044114E">
        <w:rPr>
          <w:rFonts w:ascii="Times New Roman" w:hAnsi="Times New Roman"/>
          <w:i/>
        </w:rPr>
        <w:t>Whether the law on this head should be changed and the power of sale sub modo should be withdrawn or limited is not a question for a Court.</w:t>
      </w:r>
      <w:r w:rsidRPr="0044114E">
        <w:rPr>
          <w:rFonts w:ascii="Times New Roman" w:hAnsi="Times New Roman"/>
        </w:rPr>
        <w:t xml:space="preserve"> It may be added that where a patented article has been acquired by sale, much, if not all, may be implied as to the consent of the licensee to an undisturbed and unrestricted use thereof. In short, such a sale negatives in the </w:t>
      </w:r>
      <w:r w:rsidRPr="0044114E">
        <w:rPr>
          <w:rFonts w:ascii="Times New Roman" w:hAnsi="Times New Roman"/>
          <w:i/>
        </w:rPr>
        <w:t>ordinary case</w:t>
      </w:r>
      <w:r w:rsidRPr="0044114E">
        <w:rPr>
          <w:rFonts w:ascii="Times New Roman" w:hAnsi="Times New Roman"/>
        </w:rPr>
        <w:t xml:space="preserve"> the imposition of conditions and the bringing home to the knowledge of the owner of the patented goods that restrictions are laid upon him.</w:t>
      </w:r>
    </w:p>
    <w:p w14:paraId="5B24D5C1"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ab/>
        <w:t>These principles harmonize the rights of the patentee with the rights of the owner." (emphasis added)</w:t>
      </w:r>
    </w:p>
    <w:p w14:paraId="2F292E85" w14:textId="77777777" w:rsidR="00261C63" w:rsidRPr="0044114E" w:rsidRDefault="00261C63" w:rsidP="00261C63">
      <w:pPr>
        <w:pStyle w:val="NormalBody"/>
        <w:spacing w:after="260" w:line="280" w:lineRule="exact"/>
        <w:ind w:right="0"/>
        <w:jc w:val="both"/>
        <w:rPr>
          <w:rFonts w:ascii="Times New Roman" w:hAnsi="Times New Roman"/>
        </w:rPr>
      </w:pPr>
      <w:r w:rsidRPr="0044114E">
        <w:rPr>
          <w:rFonts w:ascii="Times New Roman" w:eastAsia="Calibri" w:hAnsi="Times New Roman"/>
        </w:rPr>
        <w:t>And, as the Privy Council stated, that reconciliation of rights had, at the time of judgment, "been done for a long period of years in England by decisions which are consistent and sound"</w:t>
      </w:r>
      <w:r w:rsidRPr="0044114E">
        <w:rPr>
          <w:rStyle w:val="FootnoteReference"/>
          <w:rFonts w:ascii="Times New Roman" w:eastAsia="Calibri" w:hAnsi="Times New Roman"/>
          <w:sz w:val="24"/>
        </w:rPr>
        <w:footnoteReference w:id="258"/>
      </w:r>
      <w:r w:rsidRPr="0044114E">
        <w:rPr>
          <w:rFonts w:ascii="Times New Roman" w:eastAsia="Calibri" w:hAnsi="Times New Roman"/>
        </w:rPr>
        <w:t>.</w:t>
      </w:r>
    </w:p>
    <w:p w14:paraId="59EA8340"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eastAsia="Calibri" w:hAnsi="Times New Roman"/>
        </w:rPr>
        <w:tab/>
        <w:t>T</w:t>
      </w:r>
      <w:r w:rsidRPr="0044114E">
        <w:rPr>
          <w:rFonts w:ascii="Times New Roman" w:hAnsi="Times New Roman"/>
        </w:rPr>
        <w:t xml:space="preserve">he Privy Council rejected the reasoning adopted by the majority of the High Court in </w:t>
      </w:r>
      <w:r w:rsidRPr="0044114E">
        <w:rPr>
          <w:rFonts w:ascii="Times New Roman" w:hAnsi="Times New Roman"/>
          <w:i/>
        </w:rPr>
        <w:t xml:space="preserve">National Phonograph Co of Australia Ltd v </w:t>
      </w:r>
      <w:proofErr w:type="spellStart"/>
      <w:r w:rsidRPr="0044114E">
        <w:rPr>
          <w:rFonts w:ascii="Times New Roman" w:hAnsi="Times New Roman"/>
          <w:i/>
        </w:rPr>
        <w:t>Menck</w:t>
      </w:r>
      <w:proofErr w:type="spellEnd"/>
      <w:r w:rsidRPr="0044114E">
        <w:rPr>
          <w:rFonts w:ascii="Times New Roman" w:hAnsi="Times New Roman"/>
          <w:i/>
        </w:rPr>
        <w:t xml:space="preserve"> </w:t>
      </w:r>
      <w:r w:rsidRPr="0044114E">
        <w:rPr>
          <w:rFonts w:ascii="Times New Roman" w:hAnsi="Times New Roman"/>
        </w:rPr>
        <w:t>("</w:t>
      </w:r>
      <w:proofErr w:type="spellStart"/>
      <w:r w:rsidRPr="0044114E">
        <w:rPr>
          <w:rFonts w:ascii="Times New Roman" w:hAnsi="Times New Roman"/>
          <w:i/>
        </w:rPr>
        <w:t>Menck</w:t>
      </w:r>
      <w:proofErr w:type="spellEnd"/>
      <w:r>
        <w:rPr>
          <w:rFonts w:ascii="Times New Roman" w:hAnsi="Times New Roman"/>
          <w:i/>
        </w:rPr>
        <w:t> </w:t>
      </w:r>
      <w:r w:rsidRPr="0044114E">
        <w:rPr>
          <w:rFonts w:ascii="Times New Roman" w:hAnsi="Times New Roman"/>
          <w:i/>
        </w:rPr>
        <w:t>(HCA)</w:t>
      </w:r>
      <w:r w:rsidRPr="0044114E">
        <w:rPr>
          <w:rFonts w:ascii="Times New Roman" w:hAnsi="Times New Roman"/>
        </w:rPr>
        <w:t>")</w:t>
      </w:r>
      <w:r w:rsidRPr="0044114E">
        <w:rPr>
          <w:rStyle w:val="FootnoteReference"/>
          <w:rFonts w:ascii="Times New Roman" w:hAnsi="Times New Roman"/>
          <w:sz w:val="24"/>
        </w:rPr>
        <w:footnoteReference w:id="259"/>
      </w:r>
      <w:r w:rsidRPr="0044114E">
        <w:rPr>
          <w:rFonts w:ascii="Times New Roman" w:hAnsi="Times New Roman"/>
        </w:rPr>
        <w:t xml:space="preserve">. It is important to understand why that was so and why those considerations continue to apply in Australia in 2020. The majority's reasoning in </w:t>
      </w:r>
      <w:proofErr w:type="spellStart"/>
      <w:r w:rsidRPr="0044114E">
        <w:rPr>
          <w:rFonts w:ascii="Times New Roman" w:hAnsi="Times New Roman"/>
          <w:i/>
        </w:rPr>
        <w:t>Menck</w:t>
      </w:r>
      <w:proofErr w:type="spellEnd"/>
      <w:r w:rsidRPr="0044114E">
        <w:rPr>
          <w:rFonts w:ascii="Times New Roman" w:hAnsi="Times New Roman"/>
        </w:rPr>
        <w:t xml:space="preserve"> </w:t>
      </w:r>
      <w:r w:rsidRPr="0044114E" w:rsidDel="00467A8E">
        <w:rPr>
          <w:rFonts w:ascii="Times New Roman" w:hAnsi="Times New Roman"/>
        </w:rPr>
        <w:t>in the High Court</w:t>
      </w:r>
      <w:r w:rsidRPr="0044114E" w:rsidDel="00467A8E">
        <w:rPr>
          <w:rFonts w:ascii="Times New Roman" w:hAnsi="Times New Roman"/>
          <w:i/>
        </w:rPr>
        <w:t xml:space="preserve"> </w:t>
      </w:r>
      <w:r w:rsidRPr="0044114E">
        <w:rPr>
          <w:rFonts w:ascii="Times New Roman" w:hAnsi="Times New Roman"/>
        </w:rPr>
        <w:t xml:space="preserve">proceeded from a mistaken premise. It is sufficient to address the reasons for judgment of Griffith CJ to illustrate the point. </w:t>
      </w:r>
      <w:r w:rsidRPr="0044114E">
        <w:rPr>
          <w:rFonts w:ascii="Times New Roman" w:hAnsi="Times New Roman"/>
        </w:rPr>
        <w:lastRenderedPageBreak/>
        <w:t xml:space="preserve">After correctly identifying that "[t]he plaintiffs' right, whatever it may be" was founded on the terms of s 62 of the </w:t>
      </w:r>
      <w:r w:rsidRPr="0044114E">
        <w:rPr>
          <w:rFonts w:ascii="Times New Roman" w:hAnsi="Times New Roman"/>
          <w:i/>
        </w:rPr>
        <w:t>Patents Act 1903</w:t>
      </w:r>
      <w:r w:rsidRPr="0044114E">
        <w:rPr>
          <w:rFonts w:ascii="Times New Roman" w:hAnsi="Times New Roman"/>
        </w:rPr>
        <w:t>, his Honour stated that "the</w:t>
      </w:r>
      <w:r>
        <w:rPr>
          <w:rFonts w:ascii="Times New Roman" w:hAnsi="Times New Roman"/>
        </w:rPr>
        <w:t> </w:t>
      </w:r>
      <w:r w:rsidRPr="0044114E">
        <w:rPr>
          <w:rFonts w:ascii="Times New Roman" w:hAnsi="Times New Roman"/>
        </w:rPr>
        <w:t>patentee's right to put his invention in practice [was] not conferred upon him by the patent, but [arose] at common law"</w:t>
      </w:r>
      <w:r w:rsidRPr="0044114E">
        <w:rPr>
          <w:rStyle w:val="FootnoteReference"/>
          <w:rFonts w:ascii="Times New Roman" w:hAnsi="Times New Roman"/>
          <w:sz w:val="24"/>
        </w:rPr>
        <w:footnoteReference w:id="260"/>
      </w:r>
      <w:r w:rsidRPr="0044114E">
        <w:rPr>
          <w:rFonts w:ascii="Times New Roman" w:hAnsi="Times New Roman"/>
        </w:rPr>
        <w:t xml:space="preserve"> and, second, that the common law did not admit restraint on alienation</w:t>
      </w:r>
      <w:r w:rsidRPr="0044114E">
        <w:rPr>
          <w:rStyle w:val="FootnoteReference"/>
          <w:rFonts w:ascii="Times New Roman" w:hAnsi="Times New Roman"/>
          <w:sz w:val="24"/>
        </w:rPr>
        <w:footnoteReference w:id="261"/>
      </w:r>
      <w:r w:rsidRPr="0044114E">
        <w:rPr>
          <w:rFonts w:ascii="Times New Roman" w:hAnsi="Times New Roman"/>
        </w:rPr>
        <w:t>.</w:t>
      </w:r>
    </w:p>
    <w:p w14:paraId="14BA0D69"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It was right to say then, as it is now, that there can be no restraint on alienation at common law</w:t>
      </w:r>
      <w:r w:rsidRPr="0044114E">
        <w:rPr>
          <w:rStyle w:val="FootnoteReference"/>
          <w:rFonts w:ascii="Times New Roman" w:hAnsi="Times New Roman"/>
          <w:sz w:val="24"/>
        </w:rPr>
        <w:footnoteReference w:id="262"/>
      </w:r>
      <w:r w:rsidRPr="0044114E">
        <w:rPr>
          <w:rFonts w:ascii="Times New Roman" w:hAnsi="Times New Roman"/>
        </w:rPr>
        <w:t xml:space="preserve">. But it is not right to say only that there can be no restraint on alienation at common law and </w:t>
      </w:r>
      <w:r w:rsidRPr="0044114E">
        <w:rPr>
          <w:rFonts w:ascii="Times New Roman" w:hAnsi="Times New Roman"/>
          <w:iCs/>
        </w:rPr>
        <w:t>therefore</w:t>
      </w:r>
      <w:r w:rsidRPr="0044114E">
        <w:rPr>
          <w:rFonts w:ascii="Times New Roman" w:hAnsi="Times New Roman"/>
        </w:rPr>
        <w:t xml:space="preserve"> the grant of letters patent, and</w:t>
      </w:r>
      <w:r>
        <w:rPr>
          <w:rFonts w:ascii="Times New Roman" w:hAnsi="Times New Roman"/>
        </w:rPr>
        <w:t> </w:t>
      </w:r>
      <w:r w:rsidRPr="0044114E">
        <w:rPr>
          <w:rFonts w:ascii="Times New Roman" w:hAnsi="Times New Roman"/>
        </w:rPr>
        <w:t>especially the enactment of the patents</w:t>
      </w:r>
      <w:r w:rsidRPr="0044114E">
        <w:rPr>
          <w:rFonts w:ascii="Times New Roman" w:hAnsi="Times New Roman"/>
          <w:i/>
        </w:rPr>
        <w:t xml:space="preserve"> </w:t>
      </w:r>
      <w:r w:rsidRPr="0044114E">
        <w:rPr>
          <w:rFonts w:ascii="Times New Roman" w:hAnsi="Times New Roman"/>
        </w:rPr>
        <w:t>Acts of 1903 and 1990, made no difference. The question is whether the Australian patents Acts</w:t>
      </w:r>
      <w:r w:rsidRPr="0044114E">
        <w:rPr>
          <w:rFonts w:ascii="Times New Roman" w:hAnsi="Times New Roman"/>
          <w:i/>
        </w:rPr>
        <w:t xml:space="preserve"> </w:t>
      </w:r>
      <w:r w:rsidRPr="0044114E">
        <w:rPr>
          <w:rFonts w:ascii="Times New Roman" w:hAnsi="Times New Roman"/>
        </w:rPr>
        <w:t>made a difference and, if they did, how far that difference reaches. Those Acts did then, and do now, make a difference and their reach is settled.</w:t>
      </w:r>
    </w:p>
    <w:p w14:paraId="40A142D8"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As the Privy Council pointed out in </w:t>
      </w:r>
      <w:proofErr w:type="spellStart"/>
      <w:r w:rsidRPr="0044114E">
        <w:rPr>
          <w:rFonts w:ascii="Times New Roman" w:hAnsi="Times New Roman"/>
          <w:i/>
        </w:rPr>
        <w:t>Menck</w:t>
      </w:r>
      <w:proofErr w:type="spellEnd"/>
      <w:r w:rsidRPr="0044114E">
        <w:rPr>
          <w:rFonts w:ascii="Times New Roman" w:hAnsi="Times New Roman"/>
        </w:rPr>
        <w:t xml:space="preserve">, the error in the High Court arose because the issue in the High Court was obscured by the breadth of the patentee's proposition in that case – that its restraint extended to all subsequent sales </w:t>
      </w:r>
      <w:r w:rsidRPr="0044114E">
        <w:rPr>
          <w:rFonts w:ascii="Times New Roman" w:hAnsi="Times New Roman"/>
          <w:i/>
          <w:iCs/>
        </w:rPr>
        <w:t xml:space="preserve">with or without </w:t>
      </w:r>
      <w:r w:rsidRPr="0044114E">
        <w:rPr>
          <w:rFonts w:ascii="Times New Roman" w:hAnsi="Times New Roman"/>
        </w:rPr>
        <w:t>notice of the patentee's conditions</w:t>
      </w:r>
      <w:r w:rsidRPr="0044114E">
        <w:rPr>
          <w:rStyle w:val="FootnoteReference"/>
          <w:rFonts w:ascii="Times New Roman" w:hAnsi="Times New Roman"/>
          <w:sz w:val="24"/>
        </w:rPr>
        <w:footnoteReference w:id="263"/>
      </w:r>
      <w:r w:rsidRPr="0044114E">
        <w:rPr>
          <w:rFonts w:ascii="Times New Roman" w:hAnsi="Times New Roman"/>
        </w:rPr>
        <w:t xml:space="preserve">. Those arguments invited a binary choice – the </w:t>
      </w:r>
      <w:r w:rsidRPr="0044114E">
        <w:rPr>
          <w:rFonts w:ascii="Times New Roman" w:hAnsi="Times New Roman"/>
          <w:i/>
        </w:rPr>
        <w:t>Patents Act</w:t>
      </w:r>
      <w:r w:rsidRPr="0044114E">
        <w:rPr>
          <w:rFonts w:ascii="Times New Roman" w:hAnsi="Times New Roman"/>
        </w:rPr>
        <w:t xml:space="preserve"> </w:t>
      </w:r>
      <w:r w:rsidRPr="0044114E">
        <w:rPr>
          <w:rFonts w:ascii="Times New Roman" w:hAnsi="Times New Roman"/>
          <w:i/>
        </w:rPr>
        <w:t xml:space="preserve">1903 </w:t>
      </w:r>
      <w:r w:rsidRPr="0044114E">
        <w:rPr>
          <w:rFonts w:ascii="Times New Roman" w:hAnsi="Times New Roman"/>
        </w:rPr>
        <w:t xml:space="preserve">does not speak to the position of </w:t>
      </w:r>
      <w:r w:rsidRPr="0044114E">
        <w:rPr>
          <w:rFonts w:ascii="Times New Roman" w:hAnsi="Times New Roman"/>
          <w:i/>
          <w:iCs/>
        </w:rPr>
        <w:t xml:space="preserve">any </w:t>
      </w:r>
      <w:r w:rsidRPr="0044114E">
        <w:rPr>
          <w:rFonts w:ascii="Times New Roman" w:hAnsi="Times New Roman"/>
        </w:rPr>
        <w:t xml:space="preserve">purchaser (which the majority in the High Court held) or the </w:t>
      </w:r>
      <w:r w:rsidRPr="0044114E">
        <w:rPr>
          <w:rFonts w:ascii="Times New Roman" w:hAnsi="Times New Roman"/>
          <w:i/>
        </w:rPr>
        <w:t>Patents Act</w:t>
      </w:r>
      <w:r w:rsidRPr="0044114E">
        <w:rPr>
          <w:rFonts w:ascii="Times New Roman" w:hAnsi="Times New Roman"/>
        </w:rPr>
        <w:t xml:space="preserve"> </w:t>
      </w:r>
      <w:r w:rsidRPr="0044114E">
        <w:rPr>
          <w:rFonts w:ascii="Times New Roman" w:hAnsi="Times New Roman"/>
          <w:i/>
        </w:rPr>
        <w:t xml:space="preserve">1903 </w:t>
      </w:r>
      <w:r w:rsidRPr="0044114E">
        <w:rPr>
          <w:rFonts w:ascii="Times New Roman" w:hAnsi="Times New Roman"/>
        </w:rPr>
        <w:t xml:space="preserve">speaks to </w:t>
      </w:r>
      <w:r w:rsidRPr="0044114E">
        <w:rPr>
          <w:rFonts w:ascii="Times New Roman" w:hAnsi="Times New Roman"/>
          <w:i/>
          <w:iCs/>
        </w:rPr>
        <w:t>all</w:t>
      </w:r>
      <w:r w:rsidRPr="0044114E">
        <w:rPr>
          <w:rFonts w:ascii="Times New Roman" w:hAnsi="Times New Roman"/>
        </w:rPr>
        <w:t xml:space="preserve"> subsequent purchasers (regardless of the terms on which they dealt). All judges in the High Court and in the Privy Council rejected the second choice</w:t>
      </w:r>
      <w:r w:rsidRPr="0044114E">
        <w:rPr>
          <w:rStyle w:val="FootnoteReference"/>
          <w:rFonts w:ascii="Times New Roman" w:hAnsi="Times New Roman"/>
          <w:sz w:val="24"/>
        </w:rPr>
        <w:footnoteReference w:id="264"/>
      </w:r>
      <w:r w:rsidRPr="0044114E">
        <w:rPr>
          <w:rFonts w:ascii="Times New Roman" w:hAnsi="Times New Roman"/>
        </w:rPr>
        <w:t xml:space="preserve">. As the Privy Council explained, the true area of debate was the position of a purchaser who </w:t>
      </w:r>
      <w:r w:rsidRPr="0044114E">
        <w:rPr>
          <w:rFonts w:ascii="Times New Roman" w:hAnsi="Times New Roman"/>
          <w:i/>
        </w:rPr>
        <w:t>had</w:t>
      </w:r>
      <w:r w:rsidRPr="0044114E">
        <w:rPr>
          <w:rFonts w:ascii="Times New Roman" w:hAnsi="Times New Roman"/>
        </w:rPr>
        <w:t xml:space="preserve"> </w:t>
      </w:r>
      <w:r w:rsidRPr="0044114E">
        <w:rPr>
          <w:rFonts w:ascii="Times New Roman" w:hAnsi="Times New Roman"/>
          <w:i/>
        </w:rPr>
        <w:t>notice</w:t>
      </w:r>
      <w:r w:rsidRPr="0044114E">
        <w:rPr>
          <w:rFonts w:ascii="Times New Roman" w:hAnsi="Times New Roman"/>
        </w:rPr>
        <w:t xml:space="preserve"> of any limitation</w:t>
      </w:r>
      <w:r w:rsidRPr="0044114E">
        <w:rPr>
          <w:rStyle w:val="FootnoteReference"/>
          <w:rFonts w:ascii="Times New Roman" w:hAnsi="Times New Roman"/>
          <w:sz w:val="24"/>
        </w:rPr>
        <w:footnoteReference w:id="265"/>
      </w:r>
      <w:r w:rsidRPr="0044114E">
        <w:rPr>
          <w:rFonts w:ascii="Times New Roman" w:hAnsi="Times New Roman"/>
        </w:rPr>
        <w:t xml:space="preserve">. Absent notice, no such limitations applied to the articles in the purchaser's hands. But, as the Privy Council and Isaacs J in the High Court </w:t>
      </w:r>
      <w:r w:rsidRPr="0044114E">
        <w:rPr>
          <w:rFonts w:ascii="Times New Roman" w:hAnsi="Times New Roman"/>
        </w:rPr>
        <w:lastRenderedPageBreak/>
        <w:t xml:space="preserve">recognised, the </w:t>
      </w:r>
      <w:r w:rsidRPr="0044114E">
        <w:rPr>
          <w:rFonts w:ascii="Times New Roman" w:hAnsi="Times New Roman"/>
          <w:i/>
        </w:rPr>
        <w:t>Patents Act 1903</w:t>
      </w:r>
      <w:r w:rsidRPr="0044114E">
        <w:rPr>
          <w:rFonts w:ascii="Times New Roman" w:hAnsi="Times New Roman"/>
        </w:rPr>
        <w:t xml:space="preserve"> did speak to a purchaser who buys a patented chattel subject to conditions imposed by the patentee</w:t>
      </w:r>
      <w:r w:rsidRPr="0044114E">
        <w:rPr>
          <w:rStyle w:val="FootnoteReference"/>
          <w:rFonts w:ascii="Times New Roman" w:hAnsi="Times New Roman"/>
          <w:sz w:val="24"/>
        </w:rPr>
        <w:footnoteReference w:id="266"/>
      </w:r>
      <w:r w:rsidRPr="0044114E">
        <w:rPr>
          <w:rFonts w:ascii="Times New Roman" w:hAnsi="Times New Roman"/>
        </w:rPr>
        <w:t xml:space="preserve">. </w:t>
      </w:r>
    </w:p>
    <w:p w14:paraId="058E402C"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The approach of the High Court in </w:t>
      </w:r>
      <w:proofErr w:type="spellStart"/>
      <w:r w:rsidRPr="0044114E">
        <w:rPr>
          <w:rFonts w:ascii="Times New Roman" w:hAnsi="Times New Roman"/>
          <w:i/>
        </w:rPr>
        <w:t>Menck</w:t>
      </w:r>
      <w:proofErr w:type="spellEnd"/>
      <w:r w:rsidRPr="0044114E">
        <w:rPr>
          <w:rFonts w:ascii="Times New Roman" w:hAnsi="Times New Roman"/>
        </w:rPr>
        <w:t xml:space="preserve">, which was rejected by the Privy Council, may be explained as follows. Griffith CJ's judgment proceeded from an incorrect premise: that the </w:t>
      </w:r>
      <w:r w:rsidRPr="0044114E">
        <w:rPr>
          <w:rFonts w:ascii="Times New Roman" w:hAnsi="Times New Roman"/>
          <w:i/>
        </w:rPr>
        <w:t>Patents Act 1903</w:t>
      </w:r>
      <w:r w:rsidRPr="0044114E">
        <w:rPr>
          <w:rFonts w:ascii="Times New Roman" w:hAnsi="Times New Roman"/>
        </w:rPr>
        <w:t xml:space="preserve"> merely restricted otherwise exercisable common law liberties to make, own and alienate property. Griffith CJ stated that the effect of the </w:t>
      </w:r>
      <w:r w:rsidRPr="0044114E">
        <w:rPr>
          <w:rFonts w:ascii="Times New Roman" w:hAnsi="Times New Roman"/>
          <w:i/>
        </w:rPr>
        <w:t xml:space="preserve">Patents Act 1903 </w:t>
      </w:r>
      <w:r w:rsidRPr="0044114E">
        <w:rPr>
          <w:rFonts w:ascii="Times New Roman" w:hAnsi="Times New Roman"/>
        </w:rPr>
        <w:t>was "not [to] confer on [a patentee] a right to enjoy his own domain, but to prevent other persons from trespassing upon it"</w:t>
      </w:r>
      <w:r w:rsidRPr="0044114E">
        <w:rPr>
          <w:rStyle w:val="FootnoteReference"/>
          <w:rFonts w:ascii="Times New Roman" w:hAnsi="Times New Roman"/>
          <w:sz w:val="24"/>
        </w:rPr>
        <w:footnoteReference w:id="267"/>
      </w:r>
      <w:r w:rsidRPr="0044114E">
        <w:rPr>
          <w:rFonts w:ascii="Times New Roman" w:hAnsi="Times New Roman"/>
        </w:rPr>
        <w:t xml:space="preserve">. His Honour saw the foundation of patent law as the </w:t>
      </w:r>
      <w:r w:rsidRPr="0044114E">
        <w:rPr>
          <w:rFonts w:ascii="Times New Roman" w:hAnsi="Times New Roman"/>
          <w:i/>
        </w:rPr>
        <w:t>Statute of Monopolies</w:t>
      </w:r>
      <w:r w:rsidRPr="0044114E">
        <w:rPr>
          <w:rFonts w:ascii="Times New Roman" w:hAnsi="Times New Roman"/>
        </w:rPr>
        <w:t>, and stated that since its enactment "it appears to have been the accepted law" that</w:t>
      </w:r>
      <w:r w:rsidRPr="0044114E">
        <w:rPr>
          <w:rStyle w:val="FootnoteReference"/>
          <w:rFonts w:ascii="Times New Roman" w:hAnsi="Times New Roman"/>
          <w:sz w:val="24"/>
        </w:rPr>
        <w:footnoteReference w:id="268"/>
      </w:r>
      <w:r w:rsidRPr="0044114E">
        <w:rPr>
          <w:rFonts w:ascii="Times New Roman" w:hAnsi="Times New Roman"/>
        </w:rPr>
        <w:t xml:space="preserve">: </w:t>
      </w:r>
    </w:p>
    <w:p w14:paraId="3D409A72"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 xml:space="preserve">"once the patentee ... had by putting the invention in practice produced an article and disposed of it to some member of the public the making use of the article so disposed of by anyone whomsoever was not an infringement of the monopoly of 'working or making' the new manufacture". </w:t>
      </w:r>
    </w:p>
    <w:p w14:paraId="7271E5AC" w14:textId="77777777" w:rsidR="00261C63" w:rsidRPr="0044114E" w:rsidRDefault="00261C63" w:rsidP="00261C63">
      <w:pPr>
        <w:pStyle w:val="NormalBody"/>
        <w:spacing w:after="260" w:line="280" w:lineRule="exact"/>
        <w:ind w:right="0"/>
        <w:jc w:val="both"/>
        <w:rPr>
          <w:rFonts w:ascii="Times New Roman" w:hAnsi="Times New Roman"/>
        </w:rPr>
      </w:pPr>
      <w:r w:rsidRPr="0044114E">
        <w:rPr>
          <w:rFonts w:ascii="Times New Roman" w:hAnsi="Times New Roman"/>
        </w:rPr>
        <w:t xml:space="preserve">His Honour referred to </w:t>
      </w:r>
      <w:r w:rsidRPr="0044114E">
        <w:rPr>
          <w:rFonts w:ascii="Times New Roman" w:hAnsi="Times New Roman"/>
          <w:i/>
        </w:rPr>
        <w:t>Crane v Price</w:t>
      </w:r>
      <w:r w:rsidRPr="0044114E">
        <w:rPr>
          <w:rStyle w:val="FootnoteReference"/>
          <w:rFonts w:ascii="Times New Roman" w:hAnsi="Times New Roman"/>
          <w:sz w:val="24"/>
        </w:rPr>
        <w:footnoteReference w:id="269"/>
      </w:r>
      <w:r w:rsidRPr="0044114E">
        <w:rPr>
          <w:rFonts w:ascii="Times New Roman" w:hAnsi="Times New Roman"/>
        </w:rPr>
        <w:t xml:space="preserve">, the reasoning of which was affirmed in the Supreme Court of the United States decision in </w:t>
      </w:r>
      <w:r w:rsidRPr="0044114E">
        <w:rPr>
          <w:rFonts w:ascii="Times New Roman" w:hAnsi="Times New Roman"/>
          <w:i/>
        </w:rPr>
        <w:t xml:space="preserve">Bloomer v </w:t>
      </w:r>
      <w:proofErr w:type="spellStart"/>
      <w:r w:rsidRPr="0044114E">
        <w:rPr>
          <w:rFonts w:ascii="Times New Roman" w:hAnsi="Times New Roman"/>
          <w:i/>
        </w:rPr>
        <w:t>Millinger</w:t>
      </w:r>
      <w:proofErr w:type="spellEnd"/>
      <w:r w:rsidRPr="0044114E">
        <w:rPr>
          <w:rStyle w:val="FootnoteReference"/>
          <w:rFonts w:ascii="Times New Roman" w:hAnsi="Times New Roman"/>
          <w:sz w:val="24"/>
        </w:rPr>
        <w:footnoteReference w:id="270"/>
      </w:r>
      <w:r w:rsidRPr="0044114E">
        <w:rPr>
          <w:rFonts w:ascii="Times New Roman" w:hAnsi="Times New Roman"/>
        </w:rPr>
        <w:t>, as</w:t>
      </w:r>
      <w:r>
        <w:rPr>
          <w:rFonts w:ascii="Times New Roman" w:hAnsi="Times New Roman"/>
        </w:rPr>
        <w:t> </w:t>
      </w:r>
      <w:r w:rsidRPr="0044114E">
        <w:rPr>
          <w:rFonts w:ascii="Times New Roman" w:hAnsi="Times New Roman"/>
        </w:rPr>
        <w:t>authority for the proposition that upon sale, the patentee's "exclusive privileges" in respect of an article the subject of letters patent are at an end "in respect of that particular portion of the article so sold"</w:t>
      </w:r>
      <w:r w:rsidRPr="0044114E">
        <w:rPr>
          <w:rStyle w:val="FootnoteReference"/>
          <w:rFonts w:ascii="Times New Roman" w:hAnsi="Times New Roman"/>
          <w:sz w:val="24"/>
        </w:rPr>
        <w:footnoteReference w:id="271"/>
      </w:r>
      <w:r w:rsidRPr="0044114E">
        <w:rPr>
          <w:rFonts w:ascii="Times New Roman" w:hAnsi="Times New Roman"/>
        </w:rPr>
        <w:t>. Unsurprisingly, the Chief Justice then observed that</w:t>
      </w:r>
      <w:r w:rsidRPr="0044114E">
        <w:rPr>
          <w:rStyle w:val="FootnoteReference"/>
          <w:rFonts w:ascii="Times New Roman" w:hAnsi="Times New Roman"/>
          <w:sz w:val="24"/>
        </w:rPr>
        <w:footnoteReference w:id="272"/>
      </w:r>
      <w:r w:rsidRPr="0044114E">
        <w:rPr>
          <w:rFonts w:ascii="Times New Roman" w:hAnsi="Times New Roman"/>
        </w:rPr>
        <w:t xml:space="preserve">: </w:t>
      </w:r>
    </w:p>
    <w:p w14:paraId="1684E4A8"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lastRenderedPageBreak/>
        <w:t>"[</w:t>
      </w:r>
      <w:proofErr w:type="spellStart"/>
      <w:r w:rsidRPr="0044114E">
        <w:rPr>
          <w:rFonts w:ascii="Times New Roman" w:hAnsi="Times New Roman"/>
        </w:rPr>
        <w:t>i</w:t>
      </w:r>
      <w:proofErr w:type="spellEnd"/>
      <w:r w:rsidRPr="0044114E">
        <w:rPr>
          <w:rFonts w:ascii="Times New Roman" w:hAnsi="Times New Roman"/>
        </w:rPr>
        <w:t xml:space="preserve">]t is an elementary principle of the law of personal property that the owner of chattels has an absolute right to use and dispose of them as he thinks fit, and that </w:t>
      </w:r>
      <w:r w:rsidRPr="0044114E">
        <w:rPr>
          <w:rFonts w:ascii="Times New Roman" w:hAnsi="Times New Roman"/>
          <w:i/>
        </w:rPr>
        <w:t>no restrictions can be imposed upon this right, except by positive law or by his own contract</w:t>
      </w:r>
      <w:r w:rsidRPr="0044114E">
        <w:rPr>
          <w:rFonts w:ascii="Times New Roman" w:hAnsi="Times New Roman"/>
        </w:rPr>
        <w:t>."</w:t>
      </w:r>
      <w:r w:rsidRPr="0044114E" w:rsidDel="008F2B68">
        <w:rPr>
          <w:rFonts w:ascii="Times New Roman" w:hAnsi="Times New Roman"/>
        </w:rPr>
        <w:t xml:space="preserve"> (emphasis added)</w:t>
      </w:r>
      <w:r w:rsidRPr="0044114E">
        <w:rPr>
          <w:rFonts w:ascii="Times New Roman" w:hAnsi="Times New Roman"/>
        </w:rPr>
        <w:t xml:space="preserve"> </w:t>
      </w:r>
    </w:p>
    <w:p w14:paraId="0344CD89" w14:textId="77777777" w:rsidR="00261C63" w:rsidRPr="0044114E" w:rsidRDefault="00261C63" w:rsidP="00261C63">
      <w:pPr>
        <w:pStyle w:val="NormalBody"/>
        <w:spacing w:after="260" w:line="280" w:lineRule="exact"/>
        <w:ind w:right="0"/>
        <w:jc w:val="both"/>
        <w:rPr>
          <w:rFonts w:ascii="Times New Roman" w:hAnsi="Times New Roman"/>
        </w:rPr>
      </w:pPr>
      <w:r w:rsidRPr="0044114E">
        <w:rPr>
          <w:rFonts w:ascii="Times New Roman" w:hAnsi="Times New Roman"/>
        </w:rPr>
        <w:t xml:space="preserve">And, thus, his Honour construed the words "vend the invention" in s 62 of the </w:t>
      </w:r>
      <w:r w:rsidRPr="0044114E">
        <w:rPr>
          <w:rFonts w:ascii="Times New Roman" w:hAnsi="Times New Roman"/>
          <w:i/>
        </w:rPr>
        <w:t xml:space="preserve">Patents Act 1903 </w:t>
      </w:r>
      <w:r w:rsidRPr="0044114E">
        <w:rPr>
          <w:rFonts w:ascii="Times New Roman" w:hAnsi="Times New Roman"/>
        </w:rPr>
        <w:t>to mean "to put the product of the invention in the possession of the public, and ... not [to] refer to any sale of the article after it has once, without violation of the monopoly, become part of the common stock"</w:t>
      </w:r>
      <w:r w:rsidRPr="0044114E">
        <w:rPr>
          <w:rStyle w:val="FootnoteReference"/>
          <w:rFonts w:ascii="Times New Roman" w:hAnsi="Times New Roman"/>
          <w:sz w:val="24"/>
        </w:rPr>
        <w:footnoteReference w:id="273"/>
      </w:r>
      <w:r w:rsidRPr="0044114E">
        <w:rPr>
          <w:rFonts w:ascii="Times New Roman" w:hAnsi="Times New Roman"/>
        </w:rPr>
        <w:t>. Griffith CJ rejected the alternative construction (adopted by Isaacs J and then the Privy Council) because his Honour said he could not conceive that the legislature would have "made a change in the fundamental principles of the common law without express and clear words"</w:t>
      </w:r>
      <w:r w:rsidRPr="0044114E">
        <w:rPr>
          <w:rStyle w:val="FootnoteReference"/>
          <w:rFonts w:ascii="Times New Roman" w:hAnsi="Times New Roman"/>
          <w:sz w:val="24"/>
        </w:rPr>
        <w:footnoteReference w:id="274"/>
      </w:r>
      <w:r w:rsidRPr="0044114E">
        <w:rPr>
          <w:rFonts w:ascii="Times New Roman" w:hAnsi="Times New Roman"/>
        </w:rPr>
        <w:t xml:space="preserve">. </w:t>
      </w:r>
    </w:p>
    <w:p w14:paraId="018DC5B5"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But Griffith CJ's analysis does not account for the reality that, from at least the 18th century, the English monarchs exercised a prerogative power to grant patentees the sole right to make, use and vend their invention</w:t>
      </w:r>
      <w:r w:rsidRPr="0044114E">
        <w:rPr>
          <w:rStyle w:val="FootnoteReference"/>
          <w:rFonts w:ascii="Times New Roman" w:hAnsi="Times New Roman"/>
          <w:sz w:val="24"/>
        </w:rPr>
        <w:footnoteReference w:id="275"/>
      </w:r>
      <w:r w:rsidRPr="0044114E">
        <w:rPr>
          <w:rFonts w:ascii="Times New Roman" w:hAnsi="Times New Roman"/>
        </w:rPr>
        <w:t>, that the English patents Acts of 1775, 1835 and 1852 proceeded on the assumption that the grant of letters patent entailed the conferral of such rights</w:t>
      </w:r>
      <w:r w:rsidRPr="0044114E">
        <w:rPr>
          <w:rStyle w:val="FootnoteReference"/>
          <w:rFonts w:ascii="Times New Roman" w:hAnsi="Times New Roman"/>
          <w:sz w:val="24"/>
        </w:rPr>
        <w:footnoteReference w:id="276"/>
      </w:r>
      <w:r w:rsidRPr="0044114E">
        <w:rPr>
          <w:rFonts w:ascii="Times New Roman" w:hAnsi="Times New Roman"/>
        </w:rPr>
        <w:t xml:space="preserve"> and, further, that the 1883</w:t>
      </w:r>
      <w:r>
        <w:rPr>
          <w:rFonts w:ascii="Times New Roman" w:hAnsi="Times New Roman"/>
        </w:rPr>
        <w:t> </w:t>
      </w:r>
      <w:r w:rsidRPr="0044114E">
        <w:rPr>
          <w:rFonts w:ascii="Times New Roman" w:hAnsi="Times New Roman"/>
        </w:rPr>
        <w:t xml:space="preserve">Act (on which the </w:t>
      </w:r>
      <w:r w:rsidRPr="0044114E">
        <w:rPr>
          <w:rFonts w:ascii="Times New Roman" w:hAnsi="Times New Roman"/>
          <w:i/>
        </w:rPr>
        <w:t xml:space="preserve">Patents Act 1903 </w:t>
      </w:r>
      <w:r w:rsidRPr="0044114E">
        <w:rPr>
          <w:rFonts w:ascii="Times New Roman" w:hAnsi="Times New Roman"/>
        </w:rPr>
        <w:t>was based) reflected the change foreshadowed by Eyre CJ in the 18th century</w:t>
      </w:r>
      <w:r w:rsidRPr="0044114E">
        <w:rPr>
          <w:rStyle w:val="FootnoteReference"/>
          <w:rFonts w:ascii="Times New Roman" w:hAnsi="Times New Roman"/>
          <w:sz w:val="24"/>
        </w:rPr>
        <w:footnoteReference w:id="277"/>
      </w:r>
      <w:r w:rsidRPr="0044114E">
        <w:rPr>
          <w:rFonts w:ascii="Times New Roman" w:hAnsi="Times New Roman"/>
        </w:rPr>
        <w:t>. As Lord </w:t>
      </w:r>
      <w:proofErr w:type="spellStart"/>
      <w:r w:rsidRPr="0044114E">
        <w:rPr>
          <w:rFonts w:ascii="Times New Roman" w:hAnsi="Times New Roman"/>
        </w:rPr>
        <w:t>Cranworth</w:t>
      </w:r>
      <w:proofErr w:type="spellEnd"/>
      <w:r w:rsidRPr="0044114E">
        <w:rPr>
          <w:rFonts w:ascii="Times New Roman" w:hAnsi="Times New Roman"/>
        </w:rPr>
        <w:t xml:space="preserve"> LC stated in </w:t>
      </w:r>
      <w:r w:rsidRPr="0044114E">
        <w:rPr>
          <w:rFonts w:ascii="Times New Roman" w:hAnsi="Times New Roman"/>
          <w:i/>
        </w:rPr>
        <w:t>Mathers v Green</w:t>
      </w:r>
      <w:r w:rsidRPr="0044114E">
        <w:rPr>
          <w:rStyle w:val="FootnoteReference"/>
          <w:rFonts w:ascii="Times New Roman" w:hAnsi="Times New Roman"/>
          <w:sz w:val="24"/>
        </w:rPr>
        <w:footnoteReference w:id="278"/>
      </w:r>
      <w:r w:rsidRPr="0044114E">
        <w:rPr>
          <w:rFonts w:ascii="Times New Roman" w:hAnsi="Times New Roman"/>
        </w:rPr>
        <w:t>, which concerned the obligations of grantees of the same patents to account between themselves for profit made from exploitation of the invention the subject of the patents, the letters patent granted that each of the grantees, and no others, shall, for the term of the assignment, "use, exercise, and</w:t>
      </w:r>
      <w:r>
        <w:rPr>
          <w:rFonts w:ascii="Times New Roman" w:hAnsi="Times New Roman"/>
        </w:rPr>
        <w:t> </w:t>
      </w:r>
      <w:r w:rsidRPr="0044114E">
        <w:rPr>
          <w:rFonts w:ascii="Times New Roman" w:hAnsi="Times New Roman"/>
        </w:rPr>
        <w:t>vend</w:t>
      </w:r>
      <w:r w:rsidRPr="0044114E">
        <w:rPr>
          <w:rFonts w:ascii="Times New Roman" w:hAnsi="Times New Roman"/>
          <w:i/>
        </w:rPr>
        <w:t xml:space="preserve"> </w:t>
      </w:r>
      <w:r w:rsidRPr="0044114E">
        <w:rPr>
          <w:rFonts w:ascii="Times New Roman" w:hAnsi="Times New Roman"/>
        </w:rPr>
        <w:t xml:space="preserve">the ... invention. The right conferred is a right to exclude all the world other than the grantees from using the invention." True it is, one may find occasional, aberrant dicta expressed from time to time during that period, even at </w:t>
      </w:r>
      <w:r w:rsidRPr="0044114E">
        <w:rPr>
          <w:rFonts w:ascii="Times New Roman" w:hAnsi="Times New Roman"/>
        </w:rPr>
        <w:lastRenderedPageBreak/>
        <w:t xml:space="preserve">the highest level. Thus, for example, in </w:t>
      </w:r>
      <w:r w:rsidRPr="0044114E">
        <w:rPr>
          <w:rFonts w:ascii="Times New Roman" w:hAnsi="Times New Roman"/>
          <w:i/>
        </w:rPr>
        <w:t>Steers v Rogers</w:t>
      </w:r>
      <w:r w:rsidRPr="0044114E">
        <w:rPr>
          <w:rStyle w:val="FootnoteReference"/>
          <w:rFonts w:ascii="Times New Roman" w:hAnsi="Times New Roman"/>
          <w:sz w:val="24"/>
        </w:rPr>
        <w:footnoteReference w:id="279"/>
      </w:r>
      <w:r w:rsidRPr="0044114E">
        <w:rPr>
          <w:rFonts w:ascii="Times New Roman" w:hAnsi="Times New Roman"/>
        </w:rPr>
        <w:t xml:space="preserve">, Lord </w:t>
      </w:r>
      <w:proofErr w:type="spellStart"/>
      <w:r w:rsidRPr="0044114E">
        <w:rPr>
          <w:rFonts w:ascii="Times New Roman" w:hAnsi="Times New Roman"/>
        </w:rPr>
        <w:t>Herschell</w:t>
      </w:r>
      <w:proofErr w:type="spellEnd"/>
      <w:r w:rsidRPr="0044114E">
        <w:rPr>
          <w:rFonts w:ascii="Times New Roman" w:hAnsi="Times New Roman"/>
        </w:rPr>
        <w:t xml:space="preserve"> LC observed that "letters patent do not give the patentee any right to use the invention ... What the letters patent confer is the right to exclude others from ... using a particular invention." But so to observe was, in effect, contrary to the holding in </w:t>
      </w:r>
      <w:r w:rsidRPr="0044114E">
        <w:rPr>
          <w:rFonts w:ascii="Times New Roman" w:hAnsi="Times New Roman"/>
          <w:i/>
        </w:rPr>
        <w:t>Mathers v Green</w:t>
      </w:r>
      <w:r w:rsidRPr="0044114E">
        <w:rPr>
          <w:rStyle w:val="FootnoteReference"/>
          <w:rFonts w:ascii="Times New Roman" w:hAnsi="Times New Roman"/>
          <w:sz w:val="24"/>
        </w:rPr>
        <w:footnoteReference w:id="280"/>
      </w:r>
      <w:r w:rsidRPr="0044114E">
        <w:rPr>
          <w:rFonts w:ascii="Times New Roman" w:hAnsi="Times New Roman"/>
        </w:rPr>
        <w:t>, which his Lordship cited</w:t>
      </w:r>
      <w:r w:rsidRPr="0044114E">
        <w:rPr>
          <w:rStyle w:val="FootnoteReference"/>
          <w:rFonts w:ascii="Times New Roman" w:hAnsi="Times New Roman"/>
          <w:sz w:val="24"/>
        </w:rPr>
        <w:footnoteReference w:id="281"/>
      </w:r>
      <w:r w:rsidRPr="0044114E">
        <w:rPr>
          <w:rFonts w:ascii="Times New Roman" w:hAnsi="Times New Roman"/>
        </w:rPr>
        <w:t xml:space="preserve"> as authoritative, and directly contrary to his Lordship's own, settled reasoning four years later in </w:t>
      </w:r>
      <w:r w:rsidRPr="0044114E">
        <w:rPr>
          <w:rFonts w:ascii="Times New Roman" w:hAnsi="Times New Roman"/>
          <w:i/>
        </w:rPr>
        <w:t>Basset v Graydon</w:t>
      </w:r>
      <w:r w:rsidRPr="0044114E">
        <w:rPr>
          <w:rStyle w:val="FootnoteReference"/>
          <w:rFonts w:ascii="Times New Roman" w:hAnsi="Times New Roman"/>
          <w:sz w:val="24"/>
        </w:rPr>
        <w:footnoteReference w:id="282"/>
      </w:r>
      <w:r w:rsidRPr="0044114E">
        <w:rPr>
          <w:rFonts w:ascii="Times New Roman" w:hAnsi="Times New Roman"/>
        </w:rPr>
        <w:t>. In </w:t>
      </w:r>
      <w:r w:rsidRPr="0044114E">
        <w:rPr>
          <w:rFonts w:ascii="Times New Roman" w:hAnsi="Times New Roman"/>
          <w:i/>
        </w:rPr>
        <w:t>Basset</w:t>
      </w:r>
      <w:r w:rsidRPr="0044114E">
        <w:rPr>
          <w:rFonts w:ascii="Times New Roman" w:hAnsi="Times New Roman"/>
        </w:rPr>
        <w:t xml:space="preserve">, Lord </w:t>
      </w:r>
      <w:proofErr w:type="spellStart"/>
      <w:r w:rsidRPr="0044114E">
        <w:rPr>
          <w:rFonts w:ascii="Times New Roman" w:hAnsi="Times New Roman"/>
        </w:rPr>
        <w:t>Herschell</w:t>
      </w:r>
      <w:proofErr w:type="spellEnd"/>
      <w:r w:rsidRPr="0044114E">
        <w:rPr>
          <w:rFonts w:ascii="Times New Roman" w:hAnsi="Times New Roman"/>
        </w:rPr>
        <w:t> LC expressly observed that neither an exclusive licensee solely authorised to manufacture a patented article, nor</w:t>
      </w:r>
      <w:r>
        <w:rPr>
          <w:rFonts w:ascii="Times New Roman" w:hAnsi="Times New Roman"/>
        </w:rPr>
        <w:t> </w:t>
      </w:r>
      <w:r w:rsidRPr="0044114E">
        <w:rPr>
          <w:rFonts w:ascii="Times New Roman" w:hAnsi="Times New Roman"/>
        </w:rPr>
        <w:t>purchasers of the article from the exclusive licensee, "could use the [article], when completed, without a license from the Patentee"</w:t>
      </w:r>
      <w:r w:rsidRPr="0044114E">
        <w:rPr>
          <w:rStyle w:val="FootnoteReference"/>
          <w:rFonts w:ascii="Times New Roman" w:hAnsi="Times New Roman"/>
          <w:sz w:val="24"/>
        </w:rPr>
        <w:footnoteReference w:id="283"/>
      </w:r>
      <w:r w:rsidRPr="0044114E">
        <w:rPr>
          <w:rFonts w:ascii="Times New Roman" w:hAnsi="Times New Roman"/>
        </w:rPr>
        <w:t>. Lord Morris agreed with Lord </w:t>
      </w:r>
      <w:proofErr w:type="spellStart"/>
      <w:r w:rsidRPr="0044114E">
        <w:rPr>
          <w:rFonts w:ascii="Times New Roman" w:hAnsi="Times New Roman"/>
        </w:rPr>
        <w:t>Herschell</w:t>
      </w:r>
      <w:proofErr w:type="spellEnd"/>
      <w:r w:rsidRPr="0044114E">
        <w:rPr>
          <w:rFonts w:ascii="Times New Roman" w:hAnsi="Times New Roman"/>
        </w:rPr>
        <w:t> LC, as did Lord Watson, who delivered a speech to the same effect that "no individual or Company ... can proceed to use [the article] ... until they have settled with and obtained a license from the [patentee]"</w:t>
      </w:r>
      <w:r w:rsidRPr="0044114E">
        <w:rPr>
          <w:rStyle w:val="FootnoteReference"/>
          <w:rFonts w:ascii="Times New Roman" w:hAnsi="Times New Roman"/>
          <w:sz w:val="24"/>
        </w:rPr>
        <w:footnoteReference w:id="284"/>
      </w:r>
      <w:r w:rsidRPr="0044114E">
        <w:rPr>
          <w:rFonts w:ascii="Times New Roman" w:hAnsi="Times New Roman"/>
        </w:rPr>
        <w:t>.</w:t>
      </w:r>
    </w:p>
    <w:p w14:paraId="36E6686E"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Griffith CJ failed to recognise that the </w:t>
      </w:r>
      <w:r w:rsidRPr="0044114E">
        <w:rPr>
          <w:rFonts w:ascii="Times New Roman" w:hAnsi="Times New Roman"/>
          <w:i/>
        </w:rPr>
        <w:t>Patents Act 1903</w:t>
      </w:r>
      <w:r w:rsidRPr="0044114E">
        <w:rPr>
          <w:rFonts w:ascii="Times New Roman" w:hAnsi="Times New Roman"/>
        </w:rPr>
        <w:t xml:space="preserve"> granted, and</w:t>
      </w:r>
      <w:r>
        <w:rPr>
          <w:rFonts w:ascii="Times New Roman" w:hAnsi="Times New Roman"/>
        </w:rPr>
        <w:t> </w:t>
      </w:r>
      <w:r w:rsidRPr="0044114E">
        <w:rPr>
          <w:rFonts w:ascii="Times New Roman" w:hAnsi="Times New Roman"/>
        </w:rPr>
        <w:t>patentees held, sui generis rights in respect of patents and patented articles. By contrast, Isaacs J took as the starting point of his Honour's analysis the existence of the statutory monopoly rights, what he described as a fundamental consideration</w:t>
      </w:r>
      <w:r w:rsidRPr="0044114E">
        <w:rPr>
          <w:rStyle w:val="FootnoteReference"/>
          <w:rFonts w:ascii="Times New Roman" w:hAnsi="Times New Roman"/>
          <w:sz w:val="24"/>
        </w:rPr>
        <w:footnoteReference w:id="285"/>
      </w:r>
      <w:r w:rsidRPr="0044114E">
        <w:rPr>
          <w:rFonts w:ascii="Times New Roman" w:hAnsi="Times New Roman"/>
        </w:rPr>
        <w:t xml:space="preserve">, and </w:t>
      </w:r>
      <w:r w:rsidRPr="0044114E">
        <w:rPr>
          <w:rFonts w:ascii="Times New Roman" w:hAnsi="Times New Roman"/>
          <w:i/>
          <w:iCs/>
        </w:rPr>
        <w:t>not</w:t>
      </w:r>
      <w:r w:rsidRPr="0044114E">
        <w:rPr>
          <w:rFonts w:ascii="Times New Roman" w:hAnsi="Times New Roman"/>
        </w:rPr>
        <w:t xml:space="preserve"> the general common law rule about restraints on alienation. Isaacs J's reasons demonstrate that, if one starts with the </w:t>
      </w:r>
      <w:r w:rsidRPr="0044114E">
        <w:rPr>
          <w:rFonts w:ascii="Times New Roman" w:hAnsi="Times New Roman"/>
          <w:i/>
        </w:rPr>
        <w:t>Patents</w:t>
      </w:r>
      <w:r>
        <w:rPr>
          <w:rFonts w:ascii="Times New Roman" w:hAnsi="Times New Roman"/>
          <w:i/>
        </w:rPr>
        <w:t> </w:t>
      </w:r>
      <w:r w:rsidRPr="0044114E">
        <w:rPr>
          <w:rFonts w:ascii="Times New Roman" w:hAnsi="Times New Roman"/>
          <w:i/>
        </w:rPr>
        <w:t>Act</w:t>
      </w:r>
      <w:r>
        <w:rPr>
          <w:rFonts w:ascii="Times New Roman" w:hAnsi="Times New Roman"/>
          <w:i/>
        </w:rPr>
        <w:t> </w:t>
      </w:r>
      <w:r w:rsidRPr="0044114E">
        <w:rPr>
          <w:rFonts w:ascii="Times New Roman" w:hAnsi="Times New Roman"/>
          <w:i/>
        </w:rPr>
        <w:t xml:space="preserve">1903 </w:t>
      </w:r>
      <w:r w:rsidRPr="0044114E">
        <w:rPr>
          <w:rFonts w:ascii="Times New Roman" w:hAnsi="Times New Roman"/>
        </w:rPr>
        <w:t xml:space="preserve">and recognises that it conferred monopoly rights that were both a right to exclude others </w:t>
      </w:r>
      <w:r w:rsidRPr="0044114E">
        <w:rPr>
          <w:rFonts w:ascii="Times New Roman" w:hAnsi="Times New Roman"/>
          <w:i/>
        </w:rPr>
        <w:t>and</w:t>
      </w:r>
      <w:r w:rsidRPr="0044114E">
        <w:rPr>
          <w:rFonts w:ascii="Times New Roman" w:hAnsi="Times New Roman"/>
        </w:rPr>
        <w:t xml:space="preserve"> an exclusive right or privilege to exploit the invention, then generalised references to freedom of trade or to the common law's rejection of restraints on alienation are shown to be inapposite. As Isaacs J said</w:t>
      </w:r>
      <w:r w:rsidRPr="0044114E">
        <w:rPr>
          <w:rStyle w:val="FootnoteReference"/>
          <w:rFonts w:ascii="Times New Roman" w:hAnsi="Times New Roman"/>
          <w:sz w:val="24"/>
        </w:rPr>
        <w:footnoteReference w:id="286"/>
      </w:r>
      <w:r w:rsidRPr="0044114E">
        <w:rPr>
          <w:rFonts w:ascii="Times New Roman" w:hAnsi="Times New Roman"/>
        </w:rPr>
        <w:t>:</w:t>
      </w:r>
    </w:p>
    <w:p w14:paraId="40410CDC"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lastRenderedPageBreak/>
        <w:t>"[W]</w:t>
      </w:r>
      <w:proofErr w:type="spellStart"/>
      <w:r w:rsidRPr="0044114E">
        <w:rPr>
          <w:rFonts w:ascii="Times New Roman" w:hAnsi="Times New Roman"/>
        </w:rPr>
        <w:t>hile</w:t>
      </w:r>
      <w:proofErr w:type="spellEnd"/>
      <w:r w:rsidRPr="0044114E">
        <w:rPr>
          <w:rFonts w:ascii="Times New Roman" w:hAnsi="Times New Roman"/>
        </w:rPr>
        <w:t xml:space="preserve"> it is perfectly true that no person can of his own will create a new species of property, or impress upon property a character which the law does not recognize, or create a negative obligation to follow or attend ordinary rights of ownership, </w:t>
      </w:r>
      <w:r w:rsidRPr="0044114E">
        <w:rPr>
          <w:rFonts w:ascii="Times New Roman" w:hAnsi="Times New Roman"/>
          <w:i/>
        </w:rPr>
        <w:t>yet the law itself can</w:t>
      </w:r>
      <w:r w:rsidRPr="0044114E">
        <w:rPr>
          <w:rFonts w:ascii="Times New Roman" w:hAnsi="Times New Roman"/>
        </w:rPr>
        <w:t>. And when an Act of Parliament followed by a grant from the Crown reverses the public policy which gave rise to the general unfettered alienability of property, and ... creates an exclusive privilege in favour of the grantee, the common law principle no longer controls the matter, but becomes inapplicable to the case." (emphasis added)</w:t>
      </w:r>
    </w:p>
    <w:p w14:paraId="1A9736E8"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And what was created by the law was described by Isaacs J, citing </w:t>
      </w:r>
      <w:r w:rsidRPr="0044114E">
        <w:rPr>
          <w:rFonts w:ascii="Times New Roman" w:hAnsi="Times New Roman"/>
          <w:i/>
        </w:rPr>
        <w:t xml:space="preserve">Saccharin Corporation v </w:t>
      </w:r>
      <w:proofErr w:type="spellStart"/>
      <w:r w:rsidRPr="0044114E">
        <w:rPr>
          <w:rFonts w:ascii="Times New Roman" w:hAnsi="Times New Roman"/>
          <w:i/>
        </w:rPr>
        <w:t>Reitmeyer</w:t>
      </w:r>
      <w:proofErr w:type="spellEnd"/>
      <w:r w:rsidRPr="0044114E">
        <w:rPr>
          <w:rFonts w:ascii="Times New Roman" w:hAnsi="Times New Roman"/>
          <w:i/>
        </w:rPr>
        <w:t xml:space="preserve"> &amp; Co</w:t>
      </w:r>
      <w:r w:rsidRPr="0044114E">
        <w:rPr>
          <w:rStyle w:val="FootnoteReference"/>
          <w:rFonts w:ascii="Times New Roman" w:hAnsi="Times New Roman"/>
          <w:sz w:val="24"/>
        </w:rPr>
        <w:footnoteReference w:id="287"/>
      </w:r>
      <w:r w:rsidRPr="0044114E">
        <w:rPr>
          <w:rFonts w:ascii="Times New Roman" w:hAnsi="Times New Roman"/>
        </w:rPr>
        <w:t>, as follows</w:t>
      </w:r>
      <w:r w:rsidRPr="0044114E">
        <w:rPr>
          <w:rStyle w:val="FootnoteReference"/>
          <w:rFonts w:ascii="Times New Roman" w:hAnsi="Times New Roman"/>
          <w:sz w:val="24"/>
        </w:rPr>
        <w:footnoteReference w:id="288"/>
      </w:r>
      <w:r w:rsidRPr="0044114E">
        <w:rPr>
          <w:rFonts w:ascii="Times New Roman" w:hAnsi="Times New Roman"/>
        </w:rPr>
        <w:t>:</w:t>
      </w:r>
    </w:p>
    <w:p w14:paraId="362213BC"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ab/>
        <w:t xml:space="preserve">"The patentee obtains from the Crown, under legislative authority in Australia, the exclusive right to </w:t>
      </w:r>
      <w:r w:rsidRPr="0044114E">
        <w:rPr>
          <w:rFonts w:ascii="Times New Roman" w:hAnsi="Times New Roman"/>
          <w:i/>
        </w:rPr>
        <w:t>make</w:t>
      </w:r>
      <w:r w:rsidRPr="0044114E">
        <w:rPr>
          <w:rFonts w:ascii="Times New Roman" w:hAnsi="Times New Roman"/>
        </w:rPr>
        <w:t xml:space="preserve">, or </w:t>
      </w:r>
      <w:r w:rsidRPr="0044114E">
        <w:rPr>
          <w:rFonts w:ascii="Times New Roman" w:hAnsi="Times New Roman"/>
          <w:i/>
        </w:rPr>
        <w:t>use</w:t>
      </w:r>
      <w:r w:rsidRPr="0044114E">
        <w:rPr>
          <w:rFonts w:ascii="Times New Roman" w:hAnsi="Times New Roman"/>
        </w:rPr>
        <w:t xml:space="preserve">, or </w:t>
      </w:r>
      <w:r w:rsidRPr="0044114E">
        <w:rPr>
          <w:rFonts w:ascii="Times New Roman" w:hAnsi="Times New Roman"/>
          <w:i/>
        </w:rPr>
        <w:t>exercise</w:t>
      </w:r>
      <w:r w:rsidRPr="0044114E">
        <w:rPr>
          <w:rFonts w:ascii="Times New Roman" w:hAnsi="Times New Roman"/>
        </w:rPr>
        <w:t xml:space="preserve">, or </w:t>
      </w:r>
      <w:r w:rsidRPr="0044114E">
        <w:rPr>
          <w:rFonts w:ascii="Times New Roman" w:hAnsi="Times New Roman"/>
          <w:i/>
        </w:rPr>
        <w:t>vend</w:t>
      </w:r>
      <w:r w:rsidRPr="0044114E">
        <w:rPr>
          <w:rFonts w:ascii="Times New Roman" w:hAnsi="Times New Roman"/>
        </w:rPr>
        <w:t xml:space="preserve"> the invention, that is, in such a patent as this, to make, use, or sell articles made according to the invention or in any way 'put in practice' the invention."</w:t>
      </w:r>
    </w:p>
    <w:p w14:paraId="545BE8A4"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Thus, the law – the </w:t>
      </w:r>
      <w:r w:rsidRPr="0044114E">
        <w:rPr>
          <w:rFonts w:ascii="Times New Roman" w:hAnsi="Times New Roman"/>
          <w:i/>
        </w:rPr>
        <w:t>Patents Act 1903</w:t>
      </w:r>
      <w:r w:rsidRPr="0044114E">
        <w:rPr>
          <w:rFonts w:ascii="Times New Roman" w:hAnsi="Times New Roman"/>
        </w:rPr>
        <w:t xml:space="preserve">, followed by the grant of exclusive patent rights under that Act – created the exclusive rights identified, to exclude others and to exploit the invention. </w:t>
      </w:r>
    </w:p>
    <w:p w14:paraId="64F8B125"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The area of debate in </w:t>
      </w:r>
      <w:proofErr w:type="spellStart"/>
      <w:r w:rsidRPr="0044114E">
        <w:rPr>
          <w:rFonts w:ascii="Times New Roman" w:hAnsi="Times New Roman"/>
          <w:i/>
        </w:rPr>
        <w:t>Menck</w:t>
      </w:r>
      <w:proofErr w:type="spellEnd"/>
      <w:r w:rsidRPr="0044114E">
        <w:rPr>
          <w:rFonts w:ascii="Times New Roman" w:hAnsi="Times New Roman"/>
        </w:rPr>
        <w:t xml:space="preserve"> was the interaction between those exclusive rights granted by the statute and a contract of sale that "'put in practice' the</w:t>
      </w:r>
      <w:r>
        <w:rPr>
          <w:rFonts w:ascii="Times New Roman" w:hAnsi="Times New Roman"/>
        </w:rPr>
        <w:t> </w:t>
      </w:r>
      <w:r w:rsidRPr="0044114E">
        <w:rPr>
          <w:rFonts w:ascii="Times New Roman" w:hAnsi="Times New Roman"/>
        </w:rPr>
        <w:t>invention"</w:t>
      </w:r>
      <w:r w:rsidRPr="0044114E">
        <w:rPr>
          <w:rStyle w:val="FootnoteReference"/>
          <w:rFonts w:ascii="Times New Roman" w:hAnsi="Times New Roman"/>
          <w:sz w:val="24"/>
        </w:rPr>
        <w:footnoteReference w:id="289"/>
      </w:r>
      <w:r w:rsidRPr="0044114E">
        <w:rPr>
          <w:rFonts w:ascii="Times New Roman" w:hAnsi="Times New Roman"/>
        </w:rPr>
        <w:t>. Central to the resolution of that question was whether the rights of the patentee were properly to be conceived of as limited to preventing others using and selling patented goods or were such as to confer on the patentee an exclusive right to make, use and vend them. If the former, as Griffith CJ reasoned, a patentee was not by operation of the patent, and apart from contract, entitled to impose conditions upon the use or sale of the patented articles</w:t>
      </w:r>
      <w:r w:rsidRPr="0044114E">
        <w:rPr>
          <w:rStyle w:val="FootnoteReference"/>
          <w:rFonts w:ascii="Times New Roman" w:hAnsi="Times New Roman"/>
          <w:sz w:val="24"/>
        </w:rPr>
        <w:footnoteReference w:id="290"/>
      </w:r>
      <w:r w:rsidRPr="0044114E">
        <w:rPr>
          <w:rFonts w:ascii="Times New Roman" w:hAnsi="Times New Roman"/>
        </w:rPr>
        <w:t xml:space="preserve">. But if the latter, as Isaacs J and the Privy Council concluded, the exclusive right or privilege of the patentee to make, use and vend the patented invention entitled the patentee in </w:t>
      </w:r>
      <w:r w:rsidRPr="0044114E">
        <w:rPr>
          <w:rFonts w:ascii="Times New Roman" w:hAnsi="Times New Roman"/>
        </w:rPr>
        <w:lastRenderedPageBreak/>
        <w:t>selling patented articles to impose any conditions as to future sales that the patentee pleased</w:t>
      </w:r>
      <w:r w:rsidRPr="0044114E">
        <w:rPr>
          <w:rStyle w:val="FootnoteReference"/>
          <w:rFonts w:ascii="Times New Roman" w:hAnsi="Times New Roman"/>
          <w:sz w:val="24"/>
        </w:rPr>
        <w:footnoteReference w:id="291"/>
      </w:r>
      <w:r w:rsidRPr="0044114E">
        <w:rPr>
          <w:rFonts w:ascii="Times New Roman" w:hAnsi="Times New Roman"/>
        </w:rPr>
        <w:t>. As </w:t>
      </w:r>
      <w:r w:rsidRPr="0044114E" w:rsidDel="00884108">
        <w:rPr>
          <w:rFonts w:ascii="Times New Roman" w:hAnsi="Times New Roman"/>
        </w:rPr>
        <w:t>Isaacs</w:t>
      </w:r>
      <w:r w:rsidRPr="0044114E">
        <w:rPr>
          <w:rFonts w:ascii="Times New Roman" w:hAnsi="Times New Roman"/>
        </w:rPr>
        <w:t> J said</w:t>
      </w:r>
      <w:r w:rsidRPr="0044114E">
        <w:rPr>
          <w:rStyle w:val="FootnoteReference"/>
          <w:rFonts w:ascii="Times New Roman" w:hAnsi="Times New Roman"/>
          <w:sz w:val="24"/>
        </w:rPr>
        <w:footnoteReference w:id="292"/>
      </w:r>
      <w:r w:rsidRPr="0044114E">
        <w:rPr>
          <w:rFonts w:ascii="Times New Roman" w:hAnsi="Times New Roman"/>
        </w:rPr>
        <w:t xml:space="preserve">: </w:t>
      </w:r>
    </w:p>
    <w:p w14:paraId="33B0C2EA" w14:textId="77777777" w:rsidR="00261C63" w:rsidRPr="0044114E"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"The right of ownership in the article itself must be kept distinct from the right to the privilege under the patent. ...</w:t>
      </w:r>
    </w:p>
    <w:p w14:paraId="1F32691F"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ab/>
        <w:t>This idea of leave and licence – that is the permission – permeates all the cases in the English Courts and all the American cases I refer to. The right of the licensee is coextensive with the permission granted – no</w:t>
      </w:r>
      <w:r>
        <w:rPr>
          <w:rFonts w:ascii="Times New Roman" w:hAnsi="Times New Roman"/>
        </w:rPr>
        <w:t> </w:t>
      </w:r>
      <w:r w:rsidRPr="0044114E">
        <w:rPr>
          <w:rFonts w:ascii="Times New Roman" w:hAnsi="Times New Roman"/>
        </w:rPr>
        <w:t xml:space="preserve">greater and no less." </w:t>
      </w:r>
    </w:p>
    <w:p w14:paraId="6BF78321"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hAnsi="Times New Roman"/>
        </w:rPr>
        <w:tab/>
        <w:t xml:space="preserve">Thus, the correct starting point for the analysis was the text of the </w:t>
      </w:r>
      <w:r w:rsidRPr="0044114E">
        <w:rPr>
          <w:rFonts w:ascii="Times New Roman" w:hAnsi="Times New Roman"/>
          <w:i/>
        </w:rPr>
        <w:t>Patents</w:t>
      </w:r>
      <w:r>
        <w:rPr>
          <w:rFonts w:ascii="Times New Roman" w:hAnsi="Times New Roman"/>
          <w:i/>
        </w:rPr>
        <w:t> </w:t>
      </w:r>
      <w:r w:rsidRPr="0044114E">
        <w:rPr>
          <w:rFonts w:ascii="Times New Roman" w:hAnsi="Times New Roman"/>
          <w:i/>
        </w:rPr>
        <w:t>Act 1903</w:t>
      </w:r>
      <w:r w:rsidRPr="0044114E">
        <w:rPr>
          <w:rFonts w:ascii="Times New Roman" w:hAnsi="Times New Roman"/>
        </w:rPr>
        <w:t>,</w:t>
      </w:r>
      <w:r w:rsidRPr="0044114E">
        <w:rPr>
          <w:rFonts w:ascii="Times New Roman" w:hAnsi="Times New Roman"/>
          <w:i/>
        </w:rPr>
        <w:t xml:space="preserve"> </w:t>
      </w:r>
      <w:r w:rsidRPr="0044114E">
        <w:rPr>
          <w:rFonts w:ascii="Times New Roman" w:hAnsi="Times New Roman"/>
        </w:rPr>
        <w:t>which granted to the patentee monopoly rights "to make, use, exercise ... the invention"</w:t>
      </w:r>
      <w:r w:rsidRPr="0044114E">
        <w:rPr>
          <w:rStyle w:val="FootnoteReference"/>
          <w:rFonts w:ascii="Times New Roman" w:hAnsi="Times New Roman"/>
          <w:sz w:val="24"/>
        </w:rPr>
        <w:footnoteReference w:id="293"/>
      </w:r>
      <w:r w:rsidRPr="0044114E">
        <w:rPr>
          <w:rFonts w:ascii="Times New Roman" w:hAnsi="Times New Roman"/>
        </w:rPr>
        <w:t xml:space="preserve">. And those rights were construed by the Privy Council in </w:t>
      </w:r>
      <w:proofErr w:type="spellStart"/>
      <w:r w:rsidRPr="0044114E">
        <w:rPr>
          <w:rFonts w:ascii="Times New Roman" w:hAnsi="Times New Roman"/>
          <w:i/>
        </w:rPr>
        <w:t>Menck</w:t>
      </w:r>
      <w:proofErr w:type="spellEnd"/>
      <w:r w:rsidRPr="0044114E">
        <w:rPr>
          <w:rFonts w:ascii="Times New Roman" w:hAnsi="Times New Roman"/>
        </w:rPr>
        <w:t>, consistent with the text, so that the imposition of conditions in a transaction involving the making, using and selling of a patented article was necessarily an exception by statute to the general principle applicable to ordinary goods bought and sold</w:t>
      </w:r>
      <w:r w:rsidRPr="0044114E">
        <w:rPr>
          <w:rStyle w:val="FootnoteReference"/>
          <w:rFonts w:ascii="Times New Roman" w:hAnsi="Times New Roman"/>
          <w:sz w:val="24"/>
        </w:rPr>
        <w:footnoteReference w:id="294"/>
      </w:r>
      <w:r w:rsidRPr="0044114E">
        <w:rPr>
          <w:rFonts w:ascii="Times New Roman" w:hAnsi="Times New Roman"/>
        </w:rPr>
        <w:t>. That construction is entirely orthodox. For if, as Griffith CJ understood the position</w:t>
      </w:r>
      <w:r w:rsidRPr="0044114E">
        <w:rPr>
          <w:rStyle w:val="FootnoteReference"/>
          <w:rFonts w:ascii="Times New Roman" w:hAnsi="Times New Roman"/>
          <w:sz w:val="24"/>
        </w:rPr>
        <w:footnoteReference w:id="295"/>
      </w:r>
      <w:r w:rsidRPr="0044114E">
        <w:rPr>
          <w:rFonts w:ascii="Times New Roman" w:hAnsi="Times New Roman"/>
        </w:rPr>
        <w:t>, putting an invention into practice was merely an exercise of an existing common law "</w:t>
      </w:r>
      <w:proofErr w:type="spellStart"/>
      <w:r w:rsidRPr="0044114E">
        <w:rPr>
          <w:rFonts w:ascii="Times New Roman" w:hAnsi="Times New Roman"/>
        </w:rPr>
        <w:t>freedome</w:t>
      </w:r>
      <w:proofErr w:type="spellEnd"/>
      <w:r w:rsidRPr="0044114E">
        <w:rPr>
          <w:rFonts w:ascii="Times New Roman" w:hAnsi="Times New Roman"/>
        </w:rPr>
        <w:t>[] or liberty"</w:t>
      </w:r>
      <w:r w:rsidRPr="0044114E">
        <w:rPr>
          <w:rStyle w:val="FootnoteReference"/>
          <w:rFonts w:ascii="Times New Roman" w:hAnsi="Times New Roman"/>
          <w:sz w:val="24"/>
        </w:rPr>
        <w:footnoteReference w:id="296"/>
      </w:r>
      <w:r w:rsidRPr="0044114E">
        <w:rPr>
          <w:rFonts w:ascii="Times New Roman" w:hAnsi="Times New Roman"/>
        </w:rPr>
        <w:t>, then the express provisions conferring exclusive rights and privileges to make, use, exercise and vend an invention were, and are, redundant</w:t>
      </w:r>
      <w:r w:rsidRPr="0044114E">
        <w:rPr>
          <w:rStyle w:val="FootnoteReference"/>
          <w:rFonts w:ascii="Times New Roman" w:hAnsi="Times New Roman"/>
          <w:sz w:val="24"/>
        </w:rPr>
        <w:footnoteReference w:id="297"/>
      </w:r>
      <w:r w:rsidRPr="0044114E">
        <w:rPr>
          <w:rFonts w:ascii="Times New Roman" w:hAnsi="Times New Roman"/>
        </w:rPr>
        <w:t>.</w:t>
      </w:r>
    </w:p>
    <w:p w14:paraId="116E8406"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hAnsi="Times New Roman"/>
        </w:rPr>
        <w:tab/>
        <w:t xml:space="preserve">Thus, resolution of the interaction between patent monopoly rights on the one hand, and, on the other, a contract of sale that puts the invention in practice, </w:t>
      </w:r>
      <w:r w:rsidRPr="0044114E">
        <w:rPr>
          <w:rFonts w:ascii="Times New Roman" w:hAnsi="Times New Roman"/>
        </w:rPr>
        <w:lastRenderedPageBreak/>
        <w:t xml:space="preserve">was readily explained under the 1903 Act and is now readily explained under the 1990 Act. As Buckley J said in </w:t>
      </w:r>
      <w:proofErr w:type="spellStart"/>
      <w:r w:rsidRPr="0044114E">
        <w:rPr>
          <w:rFonts w:ascii="Times New Roman" w:hAnsi="Times New Roman"/>
          <w:i/>
        </w:rPr>
        <w:t>Badische</w:t>
      </w:r>
      <w:proofErr w:type="spellEnd"/>
      <w:r w:rsidRPr="0044114E">
        <w:rPr>
          <w:rFonts w:ascii="Times New Roman" w:hAnsi="Times New Roman"/>
          <w:i/>
        </w:rPr>
        <w:t xml:space="preserve"> </w:t>
      </w:r>
      <w:proofErr w:type="spellStart"/>
      <w:r w:rsidRPr="0044114E">
        <w:rPr>
          <w:rFonts w:ascii="Times New Roman" w:hAnsi="Times New Roman"/>
          <w:i/>
        </w:rPr>
        <w:t>Anilin</w:t>
      </w:r>
      <w:proofErr w:type="spellEnd"/>
      <w:r w:rsidRPr="0044114E">
        <w:rPr>
          <w:rFonts w:ascii="Times New Roman" w:hAnsi="Times New Roman"/>
          <w:i/>
        </w:rPr>
        <w:t xml:space="preserve"> und Soda Fabrik v Isler</w:t>
      </w:r>
      <w:r w:rsidRPr="0044114E">
        <w:rPr>
          <w:rStyle w:val="FootnoteReference"/>
          <w:rFonts w:ascii="Times New Roman" w:hAnsi="Times New Roman"/>
          <w:sz w:val="24"/>
        </w:rPr>
        <w:footnoteReference w:id="298"/>
      </w:r>
      <w:r w:rsidRPr="0044114E">
        <w:rPr>
          <w:rFonts w:ascii="Times New Roman" w:hAnsi="Times New Roman"/>
        </w:rPr>
        <w:t xml:space="preserve">: </w:t>
      </w:r>
    </w:p>
    <w:p w14:paraId="57CB978B" w14:textId="77777777" w:rsidR="00261C63" w:rsidRDefault="00261C63" w:rsidP="00261C63">
      <w:pPr>
        <w:pStyle w:val="leftright"/>
        <w:spacing w:before="0" w:after="260" w:line="280" w:lineRule="exact"/>
        <w:ind w:right="0"/>
        <w:jc w:val="both"/>
        <w:rPr>
          <w:rFonts w:ascii="Times New Roman" w:eastAsia="Calibri" w:hAnsi="Times New Roman"/>
        </w:rPr>
      </w:pPr>
      <w:r w:rsidRPr="0044114E">
        <w:rPr>
          <w:rFonts w:ascii="Times New Roman" w:eastAsia="Calibri" w:hAnsi="Times New Roman"/>
        </w:rPr>
        <w:t>"If a patentee sells the patented article to a purchaser and the purchaser uses it, he, of course, does not infringe. But why? By reason of the fact that the law implies from the sale a licence given by the patentee to the purchaser to use that which he has bought. In the absence of condition this implied licence is a licence to use or sell or deal with the goods as the purchaser pleases".</w:t>
      </w:r>
    </w:p>
    <w:p w14:paraId="3881A6A2" w14:textId="77777777" w:rsidR="00261C63" w:rsidRPr="0044114E" w:rsidRDefault="00261C63" w:rsidP="00261C63">
      <w:pPr>
        <w:pStyle w:val="NormalBody"/>
        <w:spacing w:after="260" w:line="280" w:lineRule="exact"/>
        <w:ind w:right="0"/>
        <w:jc w:val="both"/>
        <w:rPr>
          <w:rFonts w:ascii="Times New Roman" w:eastAsia="Calibri" w:hAnsi="Times New Roman"/>
        </w:rPr>
      </w:pPr>
      <w:r w:rsidRPr="0044114E">
        <w:rPr>
          <w:rFonts w:ascii="Times New Roman" w:eastAsia="Calibri" w:hAnsi="Times New Roman"/>
        </w:rPr>
        <w:t>This was not obiter</w:t>
      </w:r>
      <w:r w:rsidRPr="0044114E">
        <w:rPr>
          <w:rStyle w:val="FootnoteReference"/>
          <w:rFonts w:ascii="Times New Roman" w:eastAsia="Calibri" w:hAnsi="Times New Roman"/>
          <w:sz w:val="24"/>
        </w:rPr>
        <w:footnoteReference w:id="299"/>
      </w:r>
      <w:r w:rsidRPr="0044114E">
        <w:rPr>
          <w:rFonts w:ascii="Times New Roman" w:eastAsia="Calibri" w:hAnsi="Times New Roman"/>
        </w:rPr>
        <w:t>. Buckley J's statement was the consequence of recognising the existence of the monopoly rights and their interaction with the common law rule against alienation that then subsisted in Anglo</w:t>
      </w:r>
      <w:r w:rsidRPr="0044114E">
        <w:rPr>
          <w:rFonts w:ascii="Times New Roman" w:eastAsia="Calibri" w:hAnsi="Times New Roman"/>
        </w:rPr>
        <w:noBreakHyphen/>
        <w:t>Australian law.</w:t>
      </w:r>
    </w:p>
    <w:p w14:paraId="60E26759"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eastAsia="Calibri" w:hAnsi="Times New Roman"/>
        </w:rPr>
        <w:tab/>
        <w:t xml:space="preserve">In 1977, in </w:t>
      </w:r>
      <w:r w:rsidRPr="0044114E">
        <w:rPr>
          <w:rFonts w:ascii="Times New Roman" w:hAnsi="Times New Roman"/>
          <w:i/>
        </w:rPr>
        <w:t>Interstate Parcel Express Co Pty Ltd v Time</w:t>
      </w:r>
      <w:r w:rsidRPr="0044114E">
        <w:rPr>
          <w:rFonts w:ascii="Times New Roman" w:hAnsi="Times New Roman"/>
          <w:i/>
        </w:rPr>
        <w:noBreakHyphen/>
        <w:t>Life International (</w:t>
      </w:r>
      <w:proofErr w:type="spellStart"/>
      <w:r w:rsidRPr="0044114E">
        <w:rPr>
          <w:rFonts w:ascii="Times New Roman" w:hAnsi="Times New Roman"/>
          <w:i/>
        </w:rPr>
        <w:t>Nederlands</w:t>
      </w:r>
      <w:proofErr w:type="spellEnd"/>
      <w:r w:rsidRPr="0044114E">
        <w:rPr>
          <w:rFonts w:ascii="Times New Roman" w:hAnsi="Times New Roman"/>
          <w:i/>
        </w:rPr>
        <w:t>) BV</w:t>
      </w:r>
      <w:r w:rsidRPr="0044114E">
        <w:rPr>
          <w:rStyle w:val="FootnoteReference"/>
          <w:rFonts w:ascii="Times New Roman" w:hAnsi="Times New Roman"/>
          <w:sz w:val="24"/>
        </w:rPr>
        <w:footnoteReference w:id="300"/>
      </w:r>
      <w:r w:rsidRPr="0044114E">
        <w:rPr>
          <w:rFonts w:ascii="Times New Roman" w:eastAsia="Calibri" w:hAnsi="Times New Roman"/>
        </w:rPr>
        <w:t>, after stating that those words of Buckley J had to be regarded as a "correct statement of the patent law"</w:t>
      </w:r>
      <w:r w:rsidRPr="0044114E">
        <w:rPr>
          <w:rStyle w:val="FootnoteReference"/>
          <w:rFonts w:ascii="Times New Roman" w:eastAsia="Calibri" w:hAnsi="Times New Roman"/>
          <w:sz w:val="24"/>
        </w:rPr>
        <w:footnoteReference w:id="301"/>
      </w:r>
      <w:r w:rsidRPr="0044114E">
        <w:rPr>
          <w:rFonts w:ascii="Times New Roman" w:eastAsia="Calibri" w:hAnsi="Times New Roman"/>
        </w:rPr>
        <w:t>, Gibbs J went on to explain the importance of the law of patents and why it necessarily created a different result compared to an owner of copyright, who, under the applicable statute, did not have the exclusive right to use or sell the work. His Honour said</w:t>
      </w:r>
      <w:r w:rsidRPr="0044114E">
        <w:rPr>
          <w:rStyle w:val="FootnoteReference"/>
          <w:rFonts w:ascii="Times New Roman" w:eastAsia="Calibri" w:hAnsi="Times New Roman"/>
          <w:sz w:val="24"/>
        </w:rPr>
        <w:footnoteReference w:id="302"/>
      </w:r>
      <w:r w:rsidRPr="0044114E">
        <w:rPr>
          <w:rFonts w:ascii="Times New Roman" w:eastAsia="Calibri" w:hAnsi="Times New Roman"/>
        </w:rPr>
        <w:t>:</w:t>
      </w:r>
    </w:p>
    <w:p w14:paraId="68A39AA5" w14:textId="77777777" w:rsidR="00261C63" w:rsidRDefault="00261C63" w:rsidP="00261C63">
      <w:pPr>
        <w:pStyle w:val="leftright"/>
        <w:spacing w:before="0" w:after="260" w:line="280" w:lineRule="exact"/>
        <w:ind w:right="0"/>
        <w:jc w:val="both"/>
        <w:rPr>
          <w:rFonts w:ascii="Times New Roman" w:eastAsia="Calibri" w:hAnsi="Times New Roman"/>
        </w:rPr>
      </w:pPr>
      <w:r w:rsidRPr="0044114E">
        <w:rPr>
          <w:rFonts w:ascii="Times New Roman" w:eastAsia="Calibri" w:hAnsi="Times New Roman"/>
        </w:rPr>
        <w:t xml:space="preserve">"By the grant of a patent in traditional form [issued under the 1883 Act and reflected in the </w:t>
      </w:r>
      <w:r w:rsidRPr="0044114E">
        <w:rPr>
          <w:rFonts w:ascii="Times New Roman" w:eastAsia="Calibri" w:hAnsi="Times New Roman"/>
          <w:i/>
        </w:rPr>
        <w:t>Patents Act 1903</w:t>
      </w:r>
      <w:r w:rsidRPr="0044114E">
        <w:rPr>
          <w:rFonts w:ascii="Times New Roman" w:eastAsia="Calibri" w:hAnsi="Times New Roman"/>
        </w:rPr>
        <w:t xml:space="preserve">], a patentee is granted exclusive power to 'make, use, exercise and vend' the invention. The sale of a patented article, by the patentee, would be quite futile, from the point of view of the buyer, if the buyer was not entitled either to use or to resell the article which he had bought. It therefore seems necessary, in order to give business efficacy to such a sale, to imply a term that the patentee consents to the use of the patented article by the buyer </w:t>
      </w:r>
      <w:r w:rsidRPr="0044114E">
        <w:rPr>
          <w:rFonts w:ascii="Times New Roman" w:eastAsia="Calibri" w:hAnsi="Times New Roman"/>
          <w:i/>
        </w:rPr>
        <w:t>and those claiming under him</w:t>
      </w:r>
      <w:r w:rsidRPr="0044114E">
        <w:rPr>
          <w:rFonts w:ascii="Times New Roman" w:eastAsia="Calibri" w:hAnsi="Times New Roman"/>
        </w:rPr>
        <w:t xml:space="preserve">. The law accordingly does ordinarily imply the consent of the patentee 'to an undisturbed and unrestricted use' of the patented article. To make such an </w:t>
      </w:r>
      <w:r w:rsidRPr="0044114E">
        <w:rPr>
          <w:rFonts w:ascii="Times New Roman" w:eastAsia="Calibri" w:hAnsi="Times New Roman"/>
        </w:rPr>
        <w:lastRenderedPageBreak/>
        <w:t xml:space="preserve">implication, for the purpose only of avoiding the restrictions upon the use of the article </w:t>
      </w:r>
      <w:r w:rsidRPr="0044114E">
        <w:rPr>
          <w:rFonts w:ascii="Times New Roman" w:eastAsia="Calibri" w:hAnsi="Times New Roman"/>
          <w:i/>
        </w:rPr>
        <w:t>that would otherwise be imposed by the patent</w:t>
      </w:r>
      <w:r w:rsidRPr="0044114E">
        <w:rPr>
          <w:rFonts w:ascii="Times New Roman" w:eastAsia="Calibri" w:hAnsi="Times New Roman"/>
        </w:rPr>
        <w:t>, seems to be perfectly consistent with the ordinary rules governing the implication of terms in contracts." (emphasis added, citation omitted)</w:t>
      </w:r>
    </w:p>
    <w:p w14:paraId="6770998F" w14:textId="77777777" w:rsidR="00261C63" w:rsidRPr="0044114E" w:rsidRDefault="00261C63" w:rsidP="00261C63">
      <w:pPr>
        <w:pStyle w:val="HeadingL1"/>
        <w:spacing w:after="260" w:line="280" w:lineRule="exact"/>
        <w:ind w:right="0"/>
        <w:jc w:val="both"/>
        <w:rPr>
          <w:rFonts w:ascii="Times New Roman" w:hAnsi="Times New Roman"/>
        </w:rPr>
      </w:pPr>
      <w:r w:rsidRPr="0044114E">
        <w:rPr>
          <w:rFonts w:ascii="Times New Roman" w:hAnsi="Times New Roman"/>
        </w:rPr>
        <w:t>Applicable principles</w:t>
      </w:r>
    </w:p>
    <w:p w14:paraId="65BFF92F"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Thus, what has been the law for over a century, repeatedly relied upon in England</w:t>
      </w:r>
      <w:r w:rsidRPr="0044114E">
        <w:rPr>
          <w:rStyle w:val="FootnoteReference"/>
          <w:rFonts w:ascii="Times New Roman" w:hAnsi="Times New Roman"/>
          <w:sz w:val="24"/>
        </w:rPr>
        <w:footnoteReference w:id="303"/>
      </w:r>
      <w:r w:rsidRPr="0044114E">
        <w:rPr>
          <w:rFonts w:ascii="Times New Roman" w:hAnsi="Times New Roman"/>
        </w:rPr>
        <w:t xml:space="preserve"> and Australia</w:t>
      </w:r>
      <w:r w:rsidRPr="0044114E">
        <w:rPr>
          <w:rStyle w:val="FootnoteReference"/>
          <w:rFonts w:ascii="Times New Roman" w:hAnsi="Times New Roman"/>
          <w:sz w:val="24"/>
        </w:rPr>
        <w:footnoteReference w:id="304"/>
      </w:r>
      <w:r w:rsidRPr="0044114E">
        <w:rPr>
          <w:rFonts w:ascii="Times New Roman" w:hAnsi="Times New Roman"/>
        </w:rPr>
        <w:t xml:space="preserve"> in circumstances extending beyond the first sale, and</w:t>
      </w:r>
      <w:r>
        <w:rPr>
          <w:rFonts w:ascii="Times New Roman" w:hAnsi="Times New Roman"/>
        </w:rPr>
        <w:t> </w:t>
      </w:r>
      <w:r w:rsidRPr="0044114E">
        <w:rPr>
          <w:rFonts w:ascii="Times New Roman" w:hAnsi="Times New Roman"/>
        </w:rPr>
        <w:t>reiterated by text writers</w:t>
      </w:r>
      <w:r w:rsidRPr="0044114E">
        <w:rPr>
          <w:rStyle w:val="FootnoteReference"/>
          <w:rFonts w:ascii="Times New Roman" w:hAnsi="Times New Roman"/>
          <w:sz w:val="24"/>
        </w:rPr>
        <w:footnoteReference w:id="305"/>
      </w:r>
      <w:r w:rsidRPr="0044114E">
        <w:rPr>
          <w:rFonts w:ascii="Times New Roman" w:hAnsi="Times New Roman"/>
        </w:rPr>
        <w:t>, may be simply stated.</w:t>
      </w:r>
    </w:p>
    <w:p w14:paraId="10C7720B"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lastRenderedPageBreak/>
        <w:tab/>
        <w:t xml:space="preserve">Absent a contract of sale, only the patentee may exercise any of the statutory monopoly rights in s 13(1) of the </w:t>
      </w:r>
      <w:r w:rsidRPr="0044114E">
        <w:rPr>
          <w:rFonts w:ascii="Times New Roman" w:hAnsi="Times New Roman"/>
          <w:i/>
        </w:rPr>
        <w:t xml:space="preserve">Patents Act 1990 </w:t>
      </w:r>
      <w:r w:rsidRPr="0044114E">
        <w:rPr>
          <w:rFonts w:ascii="Times New Roman" w:hAnsi="Times New Roman"/>
        </w:rPr>
        <w:t>in respect of a patented article. As the sub</w:t>
      </w:r>
      <w:r w:rsidRPr="0044114E">
        <w:rPr>
          <w:rFonts w:ascii="Times New Roman" w:hAnsi="Times New Roman"/>
        </w:rPr>
        <w:noBreakHyphen/>
        <w:t>section makes clear, to exercise those rights, a person must be the patentee or a person authorised by the patentee</w:t>
      </w:r>
      <w:r w:rsidRPr="0044114E">
        <w:rPr>
          <w:rStyle w:val="FootnoteReference"/>
          <w:rFonts w:ascii="Times New Roman" w:hAnsi="Times New Roman"/>
          <w:sz w:val="24"/>
        </w:rPr>
        <w:footnoteReference w:id="306"/>
      </w:r>
      <w:r w:rsidRPr="0044114E">
        <w:rPr>
          <w:rFonts w:ascii="Times New Roman" w:hAnsi="Times New Roman"/>
        </w:rPr>
        <w:t>. The form of that authorisation is not prescribed.</w:t>
      </w:r>
    </w:p>
    <w:p w14:paraId="4E6ECE09"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An </w:t>
      </w:r>
      <w:r w:rsidRPr="0044114E">
        <w:rPr>
          <w:rFonts w:ascii="Times New Roman" w:hAnsi="Times New Roman"/>
          <w:iCs/>
        </w:rPr>
        <w:t>unconditional contract of sale</w:t>
      </w:r>
      <w:r w:rsidRPr="0044114E">
        <w:rPr>
          <w:rFonts w:ascii="Times New Roman" w:hAnsi="Times New Roman"/>
        </w:rPr>
        <w:t xml:space="preserve"> of a patented article transfers title in the patented article to the purchaser, and, consistent with s 13(1) and (2) of the </w:t>
      </w:r>
      <w:r w:rsidRPr="0044114E">
        <w:rPr>
          <w:rFonts w:ascii="Times New Roman" w:hAnsi="Times New Roman"/>
          <w:i/>
          <w:iCs/>
        </w:rPr>
        <w:t>Patents</w:t>
      </w:r>
      <w:r>
        <w:rPr>
          <w:rFonts w:ascii="Times New Roman" w:hAnsi="Times New Roman"/>
          <w:i/>
          <w:iCs/>
        </w:rPr>
        <w:t> </w:t>
      </w:r>
      <w:r w:rsidRPr="0044114E">
        <w:rPr>
          <w:rFonts w:ascii="Times New Roman" w:hAnsi="Times New Roman"/>
          <w:i/>
          <w:iCs/>
        </w:rPr>
        <w:t>Act 1990</w:t>
      </w:r>
      <w:r w:rsidRPr="0044114E">
        <w:rPr>
          <w:rFonts w:ascii="Times New Roman" w:hAnsi="Times New Roman"/>
        </w:rPr>
        <w:t xml:space="preserve">, that contract of sale ordinarily carries with it a licence of, or release from, the patentee's exclusive right to use and sell </w:t>
      </w:r>
      <w:r w:rsidRPr="0044114E">
        <w:rPr>
          <w:rFonts w:ascii="Times New Roman" w:hAnsi="Times New Roman"/>
          <w:iCs/>
        </w:rPr>
        <w:t>that patented article</w:t>
      </w:r>
      <w:bookmarkStart w:id="4" w:name="_Ref48921973"/>
      <w:r w:rsidRPr="0044114E">
        <w:rPr>
          <w:rStyle w:val="FootnoteReference"/>
          <w:rFonts w:ascii="Times New Roman" w:hAnsi="Times New Roman"/>
          <w:iCs/>
          <w:sz w:val="24"/>
        </w:rPr>
        <w:footnoteReference w:id="307"/>
      </w:r>
      <w:bookmarkEnd w:id="4"/>
      <w:r w:rsidRPr="0044114E">
        <w:rPr>
          <w:rFonts w:ascii="Times New Roman" w:hAnsi="Times New Roman"/>
        </w:rPr>
        <w:t>. That licence or release to the purchaser of the patentee's rights to use and sell that patented article arises as a matter of necessary implication from the need to give business efficacy to the contract of sale</w:t>
      </w:r>
      <w:r w:rsidRPr="0044114E">
        <w:rPr>
          <w:rStyle w:val="FootnoteReference"/>
          <w:rFonts w:ascii="Times New Roman" w:hAnsi="Times New Roman"/>
          <w:sz w:val="24"/>
        </w:rPr>
        <w:footnoteReference w:id="308"/>
      </w:r>
      <w:r w:rsidRPr="0044114E">
        <w:rPr>
          <w:rFonts w:ascii="Times New Roman" w:hAnsi="Times New Roman"/>
        </w:rPr>
        <w:t>. As Gibbs J observed</w:t>
      </w:r>
      <w:r w:rsidRPr="0044114E">
        <w:rPr>
          <w:rStyle w:val="FootnoteReference"/>
          <w:rFonts w:ascii="Times New Roman" w:hAnsi="Times New Roman"/>
          <w:sz w:val="24"/>
        </w:rPr>
        <w:footnoteReference w:id="309"/>
      </w:r>
      <w:r w:rsidRPr="0044114E">
        <w:rPr>
          <w:rFonts w:ascii="Times New Roman" w:hAnsi="Times New Roman"/>
        </w:rPr>
        <w:t xml:space="preserve"> in </w:t>
      </w:r>
      <w:r w:rsidRPr="0044114E">
        <w:rPr>
          <w:rFonts w:ascii="Times New Roman" w:hAnsi="Times New Roman"/>
          <w:i/>
          <w:iCs/>
        </w:rPr>
        <w:t>Time</w:t>
      </w:r>
      <w:r w:rsidRPr="0044114E">
        <w:rPr>
          <w:rFonts w:ascii="Times New Roman" w:hAnsi="Times New Roman"/>
          <w:i/>
          <w:iCs/>
        </w:rPr>
        <w:noBreakHyphen/>
        <w:t>Life International</w:t>
      </w:r>
      <w:r w:rsidRPr="0044114E">
        <w:rPr>
          <w:rFonts w:ascii="Times New Roman" w:hAnsi="Times New Roman"/>
        </w:rPr>
        <w:t>, that</w:t>
      </w:r>
      <w:r>
        <w:rPr>
          <w:rFonts w:ascii="Times New Roman" w:hAnsi="Times New Roman"/>
        </w:rPr>
        <w:t> </w:t>
      </w:r>
      <w:r w:rsidRPr="0044114E">
        <w:rPr>
          <w:rFonts w:ascii="Times New Roman" w:hAnsi="Times New Roman"/>
        </w:rPr>
        <w:t xml:space="preserve">implication is necessary to bring the patentee's </w:t>
      </w:r>
      <w:r w:rsidRPr="0044114E">
        <w:rPr>
          <w:rFonts w:ascii="Times New Roman" w:hAnsi="Times New Roman"/>
          <w:i/>
          <w:iCs/>
        </w:rPr>
        <w:t>exclusive</w:t>
      </w:r>
      <w:r w:rsidRPr="0044114E">
        <w:rPr>
          <w:rFonts w:ascii="Times New Roman" w:hAnsi="Times New Roman"/>
        </w:rPr>
        <w:t xml:space="preserve"> rights of sale and use of that article under the statutory monopoly to an end and to permit </w:t>
      </w:r>
      <w:r w:rsidRPr="0044114E">
        <w:rPr>
          <w:rFonts w:ascii="Times New Roman" w:hAnsi="Times New Roman"/>
        </w:rPr>
        <w:lastRenderedPageBreak/>
        <w:t xml:space="preserve">the purchaser to do that for which the purchaser contracted to be able to do – to use and sell that patented article. </w:t>
      </w:r>
    </w:p>
    <w:p w14:paraId="0BE31866"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The purchaser's entitlement to use and sell the patented article can also be conceived in terms of release or devolution under s 13(2) of the </w:t>
      </w:r>
      <w:r w:rsidRPr="0044114E">
        <w:rPr>
          <w:rFonts w:ascii="Times New Roman" w:hAnsi="Times New Roman"/>
          <w:i/>
        </w:rPr>
        <w:t>Patents Act 1990</w:t>
      </w:r>
      <w:r w:rsidRPr="0044114E">
        <w:rPr>
          <w:rFonts w:ascii="Times New Roman" w:hAnsi="Times New Roman"/>
        </w:rPr>
        <w:t>. As a matter of necessary implication, an unconditional contract of sale releases (or</w:t>
      </w:r>
      <w:r>
        <w:rPr>
          <w:rFonts w:ascii="Times New Roman" w:hAnsi="Times New Roman"/>
        </w:rPr>
        <w:t> </w:t>
      </w:r>
      <w:r w:rsidRPr="0044114E">
        <w:rPr>
          <w:rFonts w:ascii="Times New Roman" w:hAnsi="Times New Roman"/>
        </w:rPr>
        <w:t>gives rise to an enforceable promise on the part of the patentee not to enforce) the patentee's right to exclude others from using and selling that patented article. That is, consistent with s 13(2), unless the contract of sale provides otherwise (by</w:t>
      </w:r>
      <w:r>
        <w:rPr>
          <w:rFonts w:ascii="Times New Roman" w:hAnsi="Times New Roman"/>
        </w:rPr>
        <w:t> </w:t>
      </w:r>
      <w:r w:rsidRPr="0044114E">
        <w:rPr>
          <w:rFonts w:ascii="Times New Roman" w:hAnsi="Times New Roman"/>
        </w:rPr>
        <w:t>conditions or restrictions), the transfer of title under a contract of sale carries with it a licence (or release) to use and sell the article</w:t>
      </w:r>
      <w:r w:rsidRPr="0044114E">
        <w:rPr>
          <w:rStyle w:val="FootnoteReference"/>
          <w:rFonts w:ascii="Times New Roman" w:hAnsi="Times New Roman"/>
          <w:sz w:val="24"/>
        </w:rPr>
        <w:footnoteReference w:id="310"/>
      </w:r>
      <w:r w:rsidRPr="0044114E">
        <w:rPr>
          <w:rFonts w:ascii="Times New Roman" w:hAnsi="Times New Roman"/>
        </w:rPr>
        <w:t xml:space="preserve">. As a matter of law and practice, for more than a century, a purchaser of an article has expected to have, and has had, control of the article </w:t>
      </w:r>
      <w:r w:rsidRPr="0044114E">
        <w:rPr>
          <w:rFonts w:ascii="Times New Roman" w:hAnsi="Times New Roman"/>
          <w:i/>
        </w:rPr>
        <w:t>unless</w:t>
      </w:r>
      <w:r w:rsidRPr="0044114E">
        <w:rPr>
          <w:rFonts w:ascii="Times New Roman" w:hAnsi="Times New Roman"/>
        </w:rPr>
        <w:t xml:space="preserve"> there is some agreement to the contrary to justify the vendor saying that they have not given the purchaser their licence to sell the article or to use the article wherever the purchaser pleases as against the vendor</w:t>
      </w:r>
      <w:r w:rsidRPr="0044114E">
        <w:rPr>
          <w:rStyle w:val="FootnoteReference"/>
          <w:rFonts w:ascii="Times New Roman" w:hAnsi="Times New Roman"/>
          <w:sz w:val="24"/>
        </w:rPr>
        <w:footnoteReference w:id="311"/>
      </w:r>
      <w:r w:rsidRPr="0044114E">
        <w:rPr>
          <w:rFonts w:ascii="Times New Roman" w:hAnsi="Times New Roman"/>
        </w:rPr>
        <w:t xml:space="preserve">. </w:t>
      </w:r>
    </w:p>
    <w:p w14:paraId="222BAE77"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hAnsi="Times New Roman"/>
        </w:rPr>
        <w:tab/>
        <w:t xml:space="preserve">Thus, where there is a conditional sale of a patented product, then, to the extent of the conditions, the patent rights are </w:t>
      </w:r>
      <w:r w:rsidRPr="0044114E">
        <w:rPr>
          <w:rFonts w:ascii="Times New Roman" w:hAnsi="Times New Roman"/>
          <w:i/>
          <w:iCs/>
        </w:rPr>
        <w:t>not</w:t>
      </w:r>
      <w:r w:rsidRPr="0044114E">
        <w:rPr>
          <w:rFonts w:ascii="Times New Roman" w:hAnsi="Times New Roman"/>
        </w:rPr>
        <w:t xml:space="preserve"> licensed or released and the patentee retains them</w:t>
      </w:r>
      <w:bookmarkStart w:id="7" w:name="_Ref48922021"/>
      <w:r w:rsidRPr="0044114E">
        <w:rPr>
          <w:rStyle w:val="FootnoteReference"/>
          <w:rFonts w:ascii="Times New Roman" w:hAnsi="Times New Roman"/>
          <w:sz w:val="24"/>
        </w:rPr>
        <w:footnoteReference w:id="312"/>
      </w:r>
      <w:bookmarkEnd w:id="7"/>
      <w:r w:rsidRPr="0044114E">
        <w:rPr>
          <w:rFonts w:ascii="Times New Roman" w:hAnsi="Times New Roman"/>
        </w:rPr>
        <w:t>. Consistent with longstanding authority and practice, if</w:t>
      </w:r>
      <w:r>
        <w:rPr>
          <w:rFonts w:ascii="Times New Roman" w:hAnsi="Times New Roman"/>
        </w:rPr>
        <w:t> </w:t>
      </w:r>
      <w:r w:rsidRPr="0044114E">
        <w:rPr>
          <w:rFonts w:ascii="Times New Roman" w:hAnsi="Times New Roman"/>
        </w:rPr>
        <w:t>conditions in relation to the resale or use of the patented article by the purchaser are imposed by the patentee, any steps taken by the purchaser beyond or inconsistent with those conditions are an infringement of the patentee's exclusive patent rights. Those steps may also be a breach of contract</w:t>
      </w:r>
      <w:r w:rsidRPr="0044114E">
        <w:rPr>
          <w:rStyle w:val="FootnoteReference"/>
          <w:rFonts w:ascii="Times New Roman" w:hAnsi="Times New Roman"/>
          <w:sz w:val="24"/>
        </w:rPr>
        <w:footnoteReference w:id="313"/>
      </w:r>
      <w:r w:rsidRPr="0044114E">
        <w:rPr>
          <w:rFonts w:ascii="Times New Roman" w:hAnsi="Times New Roman"/>
        </w:rPr>
        <w:t>. And, significantly, a</w:t>
      </w:r>
      <w:r>
        <w:rPr>
          <w:rFonts w:ascii="Times New Roman" w:hAnsi="Times New Roman"/>
        </w:rPr>
        <w:t> </w:t>
      </w:r>
      <w:r w:rsidRPr="0044114E">
        <w:rPr>
          <w:rFonts w:ascii="Times New Roman" w:hAnsi="Times New Roman"/>
        </w:rPr>
        <w:t xml:space="preserve">choice of remedies remains. If there is both infringement of patent rights and </w:t>
      </w:r>
      <w:r w:rsidRPr="0044114E">
        <w:rPr>
          <w:rFonts w:ascii="Times New Roman" w:hAnsi="Times New Roman"/>
        </w:rPr>
        <w:lastRenderedPageBreak/>
        <w:t>breach of contract, the patentee has a choice of remedies. But that is common in many areas of Australian law</w:t>
      </w:r>
      <w:r w:rsidRPr="0044114E">
        <w:rPr>
          <w:rStyle w:val="FootnoteReference"/>
          <w:rFonts w:ascii="Times New Roman" w:hAnsi="Times New Roman"/>
          <w:sz w:val="24"/>
        </w:rPr>
        <w:footnoteReference w:id="314"/>
      </w:r>
      <w:r w:rsidRPr="0044114E">
        <w:rPr>
          <w:rFonts w:ascii="Times New Roman" w:hAnsi="Times New Roman"/>
        </w:rPr>
        <w:t>.</w:t>
      </w:r>
    </w:p>
    <w:p w14:paraId="00D0C18F"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In relation to downstream purchasers, the position, as so analysed, remains consistent with longstanding principle. In an unconditional sale, a downstream purchaser is unaffected. The sale is unconditioned and thus both the initial purchaser and any downstream purchaser are unconstrained as to use or on</w:t>
      </w:r>
      <w:r w:rsidRPr="0044114E">
        <w:rPr>
          <w:rFonts w:ascii="Times New Roman" w:hAnsi="Times New Roman"/>
        </w:rPr>
        <w:noBreakHyphen/>
        <w:t>selling</w:t>
      </w:r>
      <w:r w:rsidRPr="0044114E">
        <w:rPr>
          <w:rStyle w:val="FootnoteReference"/>
          <w:rFonts w:ascii="Times New Roman" w:hAnsi="Times New Roman"/>
          <w:sz w:val="24"/>
        </w:rPr>
        <w:footnoteReference w:id="315"/>
      </w:r>
      <w:r w:rsidRPr="0044114E">
        <w:rPr>
          <w:rFonts w:ascii="Times New Roman" w:hAnsi="Times New Roman"/>
        </w:rPr>
        <w:t>.</w:t>
      </w:r>
    </w:p>
    <w:p w14:paraId="639E3282"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By the turn of the 20th century, the constraint on downstream purchasers from acting inconsistently with those conditions was regarded as absolute at law, albeit subject to equities. As Buckley J observed in </w:t>
      </w:r>
      <w:proofErr w:type="spellStart"/>
      <w:r w:rsidRPr="0044114E">
        <w:rPr>
          <w:rFonts w:ascii="Times New Roman" w:hAnsi="Times New Roman"/>
          <w:i/>
        </w:rPr>
        <w:t>Badische</w:t>
      </w:r>
      <w:proofErr w:type="spellEnd"/>
      <w:r w:rsidRPr="0044114E">
        <w:rPr>
          <w:rFonts w:ascii="Times New Roman" w:hAnsi="Times New Roman"/>
          <w:b/>
          <w:sz w:val="24"/>
          <w:vertAlign w:val="superscript"/>
        </w:rPr>
        <w:footnoteReference w:id="316"/>
      </w:r>
      <w:r w:rsidRPr="0044114E">
        <w:rPr>
          <w:rFonts w:ascii="Times New Roman" w:hAnsi="Times New Roman"/>
        </w:rPr>
        <w:t>:</w:t>
      </w:r>
    </w:p>
    <w:p w14:paraId="4704A1D5"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"If a person innocently uses a patented invention, not knowing that there is a patent, he is none the less an infringer, and if a person innocently buys a patented invention from a licensee and uses it not knowing that there are limits on the licence, I conceive that he is equally an infringer."</w:t>
      </w:r>
    </w:p>
    <w:p w14:paraId="17C1504F" w14:textId="77777777" w:rsidR="00261C63" w:rsidRPr="0044114E" w:rsidRDefault="00261C63" w:rsidP="00261C63">
      <w:pPr>
        <w:pStyle w:val="NormalBody"/>
        <w:spacing w:after="260" w:line="280" w:lineRule="exact"/>
        <w:ind w:right="0"/>
        <w:jc w:val="both"/>
        <w:rPr>
          <w:rFonts w:ascii="Times New Roman" w:hAnsi="Times New Roman"/>
        </w:rPr>
      </w:pPr>
      <w:r w:rsidRPr="0044114E">
        <w:rPr>
          <w:rFonts w:ascii="Times New Roman" w:hAnsi="Times New Roman"/>
        </w:rPr>
        <w:t>But in equity</w:t>
      </w:r>
      <w:r w:rsidRPr="0044114E">
        <w:rPr>
          <w:rFonts w:ascii="Times New Roman" w:hAnsi="Times New Roman"/>
          <w:b/>
          <w:sz w:val="24"/>
          <w:vertAlign w:val="superscript"/>
        </w:rPr>
        <w:footnoteReference w:id="317"/>
      </w:r>
      <w:r w:rsidRPr="0044114E">
        <w:rPr>
          <w:rFonts w:ascii="Times New Roman" w:hAnsi="Times New Roman"/>
        </w:rPr>
        <w:t>:</w:t>
      </w:r>
    </w:p>
    <w:p w14:paraId="6E3297B3"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 xml:space="preserve">"[T]he patentee may be estopped, as between himself and [the downstream purchaser], from saying that [the downstream purchaser] is not so licensed, and as regards </w:t>
      </w:r>
      <w:r w:rsidRPr="0044114E">
        <w:rPr>
          <w:rFonts w:ascii="Times New Roman" w:hAnsi="Times New Roman"/>
          <w:i/>
        </w:rPr>
        <w:t xml:space="preserve">Incandescent Gas Light Co v </w:t>
      </w:r>
      <w:proofErr w:type="spellStart"/>
      <w:r w:rsidRPr="0044114E">
        <w:rPr>
          <w:rFonts w:ascii="Times New Roman" w:hAnsi="Times New Roman"/>
          <w:i/>
        </w:rPr>
        <w:t>Cantelo</w:t>
      </w:r>
      <w:proofErr w:type="spellEnd"/>
      <w:r w:rsidRPr="0044114E">
        <w:rPr>
          <w:rFonts w:ascii="Times New Roman" w:hAnsi="Times New Roman"/>
        </w:rPr>
        <w:t>, this must, I think, have</w:t>
      </w:r>
      <w:r>
        <w:rPr>
          <w:rFonts w:ascii="Times New Roman" w:hAnsi="Times New Roman"/>
        </w:rPr>
        <w:t> </w:t>
      </w:r>
      <w:r w:rsidRPr="0044114E">
        <w:rPr>
          <w:rFonts w:ascii="Times New Roman" w:hAnsi="Times New Roman"/>
        </w:rPr>
        <w:t xml:space="preserve">been the ratio decidendi, for it would seem that the agent there was not authorized to sell except subject to conditions. If the purchaser knows the restrictions of course he is bound by them: </w:t>
      </w:r>
      <w:r w:rsidRPr="0044114E">
        <w:rPr>
          <w:rFonts w:ascii="Times New Roman" w:hAnsi="Times New Roman"/>
          <w:i/>
        </w:rPr>
        <w:t xml:space="preserve">Incandescent Gas Light Co v </w:t>
      </w:r>
      <w:proofErr w:type="spellStart"/>
      <w:r w:rsidRPr="0044114E">
        <w:rPr>
          <w:rFonts w:ascii="Times New Roman" w:hAnsi="Times New Roman"/>
          <w:i/>
        </w:rPr>
        <w:t>Brogden</w:t>
      </w:r>
      <w:proofErr w:type="spellEnd"/>
      <w:r w:rsidRPr="0044114E">
        <w:rPr>
          <w:rFonts w:ascii="Times New Roman" w:hAnsi="Times New Roman"/>
        </w:rPr>
        <w:t xml:space="preserve">. In such a state of facts the patentee cannot be estopped, and to a patented article conditions may be attached because the goods have this special quality or characteristic, that, except with the licence of the patentee, they cannot be used or sold, thus differing from goods in general to which </w:t>
      </w:r>
      <w:r w:rsidRPr="0044114E">
        <w:rPr>
          <w:rFonts w:ascii="Times New Roman" w:hAnsi="Times New Roman"/>
        </w:rPr>
        <w:lastRenderedPageBreak/>
        <w:t xml:space="preserve">a condition cannot be attached so as, so to speak, to follow the goods: </w:t>
      </w:r>
      <w:proofErr w:type="spellStart"/>
      <w:r w:rsidRPr="0044114E">
        <w:rPr>
          <w:rFonts w:ascii="Times New Roman" w:hAnsi="Times New Roman"/>
          <w:i/>
        </w:rPr>
        <w:t>McGruther</w:t>
      </w:r>
      <w:proofErr w:type="spellEnd"/>
      <w:r w:rsidRPr="0044114E">
        <w:rPr>
          <w:rFonts w:ascii="Times New Roman" w:hAnsi="Times New Roman"/>
          <w:i/>
        </w:rPr>
        <w:t xml:space="preserve"> v Pitcher</w:t>
      </w:r>
      <w:r w:rsidRPr="0044114E">
        <w:rPr>
          <w:rFonts w:ascii="Times New Roman" w:hAnsi="Times New Roman"/>
        </w:rPr>
        <w:t>." (footnotes omitted)</w:t>
      </w:r>
    </w:p>
    <w:p w14:paraId="25F2A64A"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Although thus conceived of as a rule of law, however, it is apparent that the notion that a downstream purchaser who acquired the patented article with notice of conditions was bound by them was ultimately a rule of equitable origin. In </w:t>
      </w:r>
      <w:proofErr w:type="spellStart"/>
      <w:r w:rsidRPr="0044114E">
        <w:rPr>
          <w:rFonts w:ascii="Times New Roman" w:hAnsi="Times New Roman"/>
          <w:i/>
        </w:rPr>
        <w:t>Werderman</w:t>
      </w:r>
      <w:proofErr w:type="spellEnd"/>
      <w:r w:rsidRPr="0044114E">
        <w:rPr>
          <w:rFonts w:ascii="Times New Roman" w:hAnsi="Times New Roman"/>
          <w:i/>
        </w:rPr>
        <w:t xml:space="preserve"> v Société Générale </w:t>
      </w:r>
      <w:proofErr w:type="spellStart"/>
      <w:r w:rsidRPr="0044114E">
        <w:rPr>
          <w:rFonts w:ascii="Times New Roman" w:hAnsi="Times New Roman"/>
          <w:i/>
        </w:rPr>
        <w:t>d'Électricité</w:t>
      </w:r>
      <w:proofErr w:type="spellEnd"/>
      <w:r w:rsidRPr="0044114E">
        <w:rPr>
          <w:rFonts w:ascii="Times New Roman" w:hAnsi="Times New Roman"/>
          <w:b/>
          <w:sz w:val="24"/>
          <w:vertAlign w:val="superscript"/>
        </w:rPr>
        <w:footnoteReference w:id="318"/>
      </w:r>
      <w:r w:rsidRPr="0044114E">
        <w:rPr>
          <w:rFonts w:ascii="Times New Roman" w:hAnsi="Times New Roman"/>
        </w:rPr>
        <w:t>,</w:t>
      </w:r>
      <w:r w:rsidRPr="0044114E">
        <w:rPr>
          <w:rFonts w:ascii="Times New Roman" w:hAnsi="Times New Roman"/>
          <w:i/>
        </w:rPr>
        <w:t xml:space="preserve"> </w:t>
      </w:r>
      <w:proofErr w:type="spellStart"/>
      <w:r w:rsidRPr="0044114E">
        <w:rPr>
          <w:rFonts w:ascii="Times New Roman" w:hAnsi="Times New Roman"/>
        </w:rPr>
        <w:t>Jessel</w:t>
      </w:r>
      <w:proofErr w:type="spellEnd"/>
      <w:r w:rsidRPr="0044114E">
        <w:rPr>
          <w:rFonts w:ascii="Times New Roman" w:hAnsi="Times New Roman"/>
        </w:rPr>
        <w:t xml:space="preserve"> MR stated that it was "quite plain" in equity that "no one taking with notice of that bargain can avoid the liability". Hence, as it was held in that case, a downstream assignee of a licence to use patent rights who took with notice that royalties were payable to the patentee in respect of each use of the patent rights could not avoid liability to account to the patentee even though the downstream assignee was not party to the licence. And although the precise basis of the rule was not specified, it appears very likely that it was, or was the result of reasoning by analogy with, the rule in </w:t>
      </w:r>
      <w:r w:rsidRPr="0044114E">
        <w:rPr>
          <w:rFonts w:ascii="Times New Roman" w:hAnsi="Times New Roman"/>
          <w:i/>
        </w:rPr>
        <w:t>De Mattos v Gibson</w:t>
      </w:r>
      <w:r w:rsidRPr="0044114E">
        <w:rPr>
          <w:rFonts w:ascii="Times New Roman" w:hAnsi="Times New Roman"/>
          <w:b/>
          <w:sz w:val="24"/>
          <w:vertAlign w:val="superscript"/>
        </w:rPr>
        <w:footnoteReference w:id="319"/>
      </w:r>
      <w:r w:rsidRPr="0044114E">
        <w:rPr>
          <w:rFonts w:ascii="Times New Roman" w:hAnsi="Times New Roman"/>
        </w:rPr>
        <w:t xml:space="preserve"> (which was in substance the counterpart in equity of the tort of knowing interference with contractual rights</w:t>
      </w:r>
      <w:r w:rsidRPr="0044114E">
        <w:rPr>
          <w:rFonts w:ascii="Times New Roman" w:hAnsi="Times New Roman"/>
          <w:b/>
          <w:sz w:val="24"/>
          <w:vertAlign w:val="superscript"/>
        </w:rPr>
        <w:footnoteReference w:id="320"/>
      </w:r>
      <w:r w:rsidRPr="0044114E">
        <w:rPr>
          <w:rFonts w:ascii="Times New Roman" w:hAnsi="Times New Roman"/>
        </w:rPr>
        <w:t xml:space="preserve">), that: </w:t>
      </w:r>
    </w:p>
    <w:p w14:paraId="68E22CE3"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 xml:space="preserve">"Reason and justice seem to prescribe that, at least as a general rule, where a man, by gift or purchase, acquires property from another, with knowledge of a previous contract, lawfully and for valuable consideration made by him with a third person, to use and employ the property for a particular purpose in a specified manner, the acquirer shall not, to the material damage of the third person, in opposition to the contract and inconsistently with it, use and employ the property in a manner not allowable to the giver or seller." </w:t>
      </w:r>
    </w:p>
    <w:p w14:paraId="47E0EFA9" w14:textId="77777777" w:rsidR="00261C63" w:rsidRPr="0044114E" w:rsidRDefault="00261C63" w:rsidP="00261C63">
      <w:pPr>
        <w:pStyle w:val="NormalBody"/>
        <w:spacing w:after="260" w:line="280" w:lineRule="exact"/>
        <w:ind w:right="0"/>
        <w:jc w:val="both"/>
        <w:rPr>
          <w:rFonts w:ascii="Times New Roman" w:hAnsi="Times New Roman"/>
        </w:rPr>
      </w:pPr>
      <w:r w:rsidRPr="0044114E">
        <w:rPr>
          <w:rFonts w:ascii="Times New Roman" w:hAnsi="Times New Roman"/>
        </w:rPr>
        <w:t xml:space="preserve">In </w:t>
      </w:r>
      <w:r w:rsidRPr="0044114E">
        <w:rPr>
          <w:rFonts w:ascii="Times New Roman" w:hAnsi="Times New Roman"/>
          <w:i/>
        </w:rPr>
        <w:t>Carlton &amp; United Breweries Ltd v Tooth &amp; Co Ltd</w:t>
      </w:r>
      <w:r w:rsidRPr="0044114E">
        <w:rPr>
          <w:rFonts w:ascii="Times New Roman" w:hAnsi="Times New Roman"/>
          <w:b/>
          <w:sz w:val="24"/>
          <w:vertAlign w:val="superscript"/>
        </w:rPr>
        <w:footnoteReference w:id="321"/>
      </w:r>
      <w:r w:rsidRPr="0044114E">
        <w:rPr>
          <w:rFonts w:ascii="Times New Roman" w:hAnsi="Times New Roman"/>
        </w:rPr>
        <w:t xml:space="preserve"> Young J recognised the operation of the rule in </w:t>
      </w:r>
      <w:r w:rsidRPr="0044114E">
        <w:rPr>
          <w:rFonts w:ascii="Times New Roman" w:hAnsi="Times New Roman"/>
          <w:i/>
        </w:rPr>
        <w:t xml:space="preserve">De Mattos v Gibson </w:t>
      </w:r>
      <w:r w:rsidRPr="0044114E">
        <w:rPr>
          <w:rFonts w:ascii="Times New Roman" w:hAnsi="Times New Roman"/>
        </w:rPr>
        <w:t xml:space="preserve">as the wellspring of </w:t>
      </w:r>
      <w:proofErr w:type="spellStart"/>
      <w:r w:rsidRPr="0044114E">
        <w:rPr>
          <w:rFonts w:ascii="Times New Roman" w:hAnsi="Times New Roman"/>
        </w:rPr>
        <w:t>Jessel</w:t>
      </w:r>
      <w:proofErr w:type="spellEnd"/>
      <w:r w:rsidRPr="0044114E">
        <w:rPr>
          <w:rFonts w:ascii="Times New Roman" w:hAnsi="Times New Roman"/>
        </w:rPr>
        <w:t xml:space="preserve"> MR's pronouncement in </w:t>
      </w:r>
      <w:proofErr w:type="spellStart"/>
      <w:r w:rsidRPr="0044114E">
        <w:rPr>
          <w:rFonts w:ascii="Times New Roman" w:hAnsi="Times New Roman"/>
          <w:i/>
        </w:rPr>
        <w:t>Werderman</w:t>
      </w:r>
      <w:proofErr w:type="spellEnd"/>
      <w:r w:rsidRPr="0044114E">
        <w:rPr>
          <w:rFonts w:ascii="Times New Roman" w:hAnsi="Times New Roman"/>
        </w:rPr>
        <w:t>.</w:t>
      </w:r>
    </w:p>
    <w:p w14:paraId="1B56EF27"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lastRenderedPageBreak/>
        <w:tab/>
        <w:t xml:space="preserve">Following </w:t>
      </w:r>
      <w:proofErr w:type="spellStart"/>
      <w:r w:rsidRPr="0044114E">
        <w:rPr>
          <w:rFonts w:ascii="Times New Roman" w:hAnsi="Times New Roman"/>
          <w:i/>
        </w:rPr>
        <w:t>Werderman</w:t>
      </w:r>
      <w:proofErr w:type="spellEnd"/>
      <w:r w:rsidRPr="0044114E">
        <w:rPr>
          <w:rFonts w:ascii="Times New Roman" w:hAnsi="Times New Roman"/>
        </w:rPr>
        <w:t xml:space="preserve">, in </w:t>
      </w:r>
      <w:r w:rsidRPr="0044114E">
        <w:rPr>
          <w:rFonts w:ascii="Times New Roman" w:hAnsi="Times New Roman"/>
          <w:i/>
        </w:rPr>
        <w:t xml:space="preserve">Incandescent Gas Light Co Ltd v </w:t>
      </w:r>
      <w:proofErr w:type="spellStart"/>
      <w:r w:rsidRPr="0044114E">
        <w:rPr>
          <w:rFonts w:ascii="Times New Roman" w:hAnsi="Times New Roman"/>
          <w:i/>
        </w:rPr>
        <w:t>Brogden</w:t>
      </w:r>
      <w:proofErr w:type="spellEnd"/>
      <w:r w:rsidRPr="0044114E">
        <w:rPr>
          <w:rFonts w:ascii="Times New Roman" w:hAnsi="Times New Roman"/>
          <w:b/>
          <w:sz w:val="24"/>
          <w:vertAlign w:val="superscript"/>
        </w:rPr>
        <w:footnoteReference w:id="322"/>
      </w:r>
      <w:r w:rsidRPr="0044114E">
        <w:rPr>
          <w:rFonts w:ascii="Times New Roman" w:hAnsi="Times New Roman"/>
        </w:rPr>
        <w:t xml:space="preserve"> Kennedy J treated the equitable rule propounded by </w:t>
      </w:r>
      <w:proofErr w:type="spellStart"/>
      <w:r w:rsidRPr="0044114E">
        <w:rPr>
          <w:rFonts w:ascii="Times New Roman" w:hAnsi="Times New Roman"/>
        </w:rPr>
        <w:t>Jessel</w:t>
      </w:r>
      <w:proofErr w:type="spellEnd"/>
      <w:r w:rsidRPr="0044114E">
        <w:rPr>
          <w:rFonts w:ascii="Times New Roman" w:hAnsi="Times New Roman"/>
        </w:rPr>
        <w:t xml:space="preserve"> MR in </w:t>
      </w:r>
      <w:proofErr w:type="spellStart"/>
      <w:r w:rsidRPr="0044114E">
        <w:rPr>
          <w:rFonts w:ascii="Times New Roman" w:hAnsi="Times New Roman"/>
          <w:i/>
        </w:rPr>
        <w:t>Werderman</w:t>
      </w:r>
      <w:proofErr w:type="spellEnd"/>
      <w:r w:rsidRPr="0044114E">
        <w:rPr>
          <w:rFonts w:ascii="Times New Roman" w:hAnsi="Times New Roman"/>
        </w:rPr>
        <w:t xml:space="preserve"> as equally applicable at law, holding that, where a patented article is sold under a limited licence, and the purchaser, whether taking directly from the patentee or from a third party, takes with notice of the limitation, the purchaser's infringement of the limits of the licence constitutes an infringement of the patent rights. In turn, the approach in </w:t>
      </w:r>
      <w:proofErr w:type="spellStart"/>
      <w:r w:rsidRPr="0044114E">
        <w:rPr>
          <w:rFonts w:ascii="Times New Roman" w:hAnsi="Times New Roman"/>
          <w:i/>
        </w:rPr>
        <w:t>Brogden</w:t>
      </w:r>
      <w:proofErr w:type="spellEnd"/>
      <w:r w:rsidRPr="0044114E">
        <w:rPr>
          <w:rFonts w:ascii="Times New Roman" w:hAnsi="Times New Roman"/>
        </w:rPr>
        <w:t xml:space="preserve"> was followed in </w:t>
      </w:r>
      <w:r w:rsidRPr="0044114E">
        <w:rPr>
          <w:rFonts w:ascii="Times New Roman" w:hAnsi="Times New Roman"/>
          <w:i/>
        </w:rPr>
        <w:t xml:space="preserve">British </w:t>
      </w:r>
      <w:proofErr w:type="spellStart"/>
      <w:r w:rsidRPr="0044114E">
        <w:rPr>
          <w:rFonts w:ascii="Times New Roman" w:hAnsi="Times New Roman"/>
          <w:i/>
        </w:rPr>
        <w:t>Mutoscope</w:t>
      </w:r>
      <w:proofErr w:type="spellEnd"/>
      <w:r w:rsidRPr="0044114E">
        <w:rPr>
          <w:rFonts w:ascii="Times New Roman" w:hAnsi="Times New Roman"/>
          <w:i/>
        </w:rPr>
        <w:t xml:space="preserve"> and Biograph Co Ltd v Homer</w:t>
      </w:r>
      <w:r w:rsidRPr="0044114E">
        <w:rPr>
          <w:rFonts w:ascii="Times New Roman" w:hAnsi="Times New Roman"/>
          <w:b/>
          <w:sz w:val="24"/>
          <w:vertAlign w:val="superscript"/>
        </w:rPr>
        <w:footnoteReference w:id="323"/>
      </w:r>
      <w:r w:rsidRPr="0044114E">
        <w:rPr>
          <w:rFonts w:ascii="Times New Roman" w:hAnsi="Times New Roman"/>
        </w:rPr>
        <w:t>, in which the patentee had licensed the licensee to use patented machines on condition that the licensee not sell or part with possession of the machines. The licensee having defaulted in the payment of rent due in respect of premises in which the machines were housed, the landlord distrained on the machines. Farwell J held that the distress was an infringement of the patentee's patent rights, because</w:t>
      </w:r>
      <w:r w:rsidRPr="0044114E">
        <w:rPr>
          <w:rStyle w:val="FootnoteReference"/>
          <w:rFonts w:ascii="Times New Roman" w:hAnsi="Times New Roman"/>
          <w:sz w:val="24"/>
        </w:rPr>
        <w:footnoteReference w:id="324"/>
      </w:r>
      <w:r w:rsidRPr="0044114E">
        <w:rPr>
          <w:rFonts w:ascii="Times New Roman" w:hAnsi="Times New Roman"/>
        </w:rPr>
        <w:t xml:space="preserve">: </w:t>
      </w:r>
    </w:p>
    <w:p w14:paraId="71216CF4"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 xml:space="preserve">"Having regard to the decision in </w:t>
      </w:r>
      <w:r w:rsidRPr="0044114E">
        <w:rPr>
          <w:rFonts w:ascii="Times New Roman" w:hAnsi="Times New Roman"/>
          <w:i/>
        </w:rPr>
        <w:t xml:space="preserve">Incandescent Gas Light Co v </w:t>
      </w:r>
      <w:proofErr w:type="spellStart"/>
      <w:r w:rsidRPr="0044114E">
        <w:rPr>
          <w:rFonts w:ascii="Times New Roman" w:hAnsi="Times New Roman"/>
          <w:i/>
        </w:rPr>
        <w:t>Brogden</w:t>
      </w:r>
      <w:proofErr w:type="spellEnd"/>
      <w:r w:rsidRPr="0044114E">
        <w:rPr>
          <w:rFonts w:ascii="Times New Roman" w:hAnsi="Times New Roman"/>
        </w:rPr>
        <w:t>, the [purchaser from the landlord] is in no better position than if [the</w:t>
      </w:r>
      <w:r>
        <w:rPr>
          <w:rFonts w:ascii="Times New Roman" w:hAnsi="Times New Roman"/>
        </w:rPr>
        <w:t> </w:t>
      </w:r>
      <w:r w:rsidRPr="0044114E">
        <w:rPr>
          <w:rFonts w:ascii="Times New Roman" w:hAnsi="Times New Roman"/>
        </w:rPr>
        <w:t xml:space="preserve">licensee] had been a mere infringer. It is not a question of contract inter </w:t>
      </w:r>
      <w:proofErr w:type="spellStart"/>
      <w:r w:rsidRPr="0044114E">
        <w:rPr>
          <w:rFonts w:ascii="Times New Roman" w:hAnsi="Times New Roman"/>
        </w:rPr>
        <w:t>partes</w:t>
      </w:r>
      <w:proofErr w:type="spellEnd"/>
      <w:r w:rsidRPr="0044114E">
        <w:rPr>
          <w:rFonts w:ascii="Times New Roman" w:hAnsi="Times New Roman"/>
        </w:rPr>
        <w:t xml:space="preserve"> affecting a chattel seized and sold by a landlord, but of the absence of any licence, in the event that has happened, to use the patented invention." (footnote omitted)</w:t>
      </w:r>
    </w:p>
    <w:p w14:paraId="2A5DB8EA"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Three years later again, in </w:t>
      </w:r>
      <w:proofErr w:type="spellStart"/>
      <w:r w:rsidRPr="0044114E">
        <w:rPr>
          <w:rFonts w:ascii="Times New Roman" w:hAnsi="Times New Roman"/>
          <w:i/>
        </w:rPr>
        <w:t>McGruther</w:t>
      </w:r>
      <w:proofErr w:type="spellEnd"/>
      <w:r w:rsidRPr="0044114E">
        <w:rPr>
          <w:rFonts w:ascii="Times New Roman" w:hAnsi="Times New Roman"/>
          <w:i/>
        </w:rPr>
        <w:t xml:space="preserve"> v Pitcher</w:t>
      </w:r>
      <w:r w:rsidRPr="0044114E">
        <w:rPr>
          <w:rFonts w:ascii="Times New Roman" w:hAnsi="Times New Roman"/>
          <w:b/>
          <w:sz w:val="24"/>
          <w:vertAlign w:val="superscript"/>
        </w:rPr>
        <w:footnoteReference w:id="325"/>
      </w:r>
      <w:r w:rsidRPr="0044114E">
        <w:rPr>
          <w:rFonts w:ascii="Times New Roman" w:hAnsi="Times New Roman"/>
        </w:rPr>
        <w:t>, Cozens</w:t>
      </w:r>
      <w:r w:rsidRPr="0044114E" w:rsidDel="008E79DB">
        <w:rPr>
          <w:rFonts w:ascii="Times New Roman" w:hAnsi="Times New Roman"/>
        </w:rPr>
        <w:noBreakHyphen/>
      </w:r>
      <w:r w:rsidRPr="0044114E">
        <w:rPr>
          <w:rFonts w:ascii="Times New Roman" w:hAnsi="Times New Roman"/>
        </w:rPr>
        <w:t xml:space="preserve">Hardy LJ observed, consistently with </w:t>
      </w:r>
      <w:r w:rsidRPr="0044114E">
        <w:rPr>
          <w:rFonts w:ascii="Times New Roman" w:hAnsi="Times New Roman"/>
          <w:i/>
        </w:rPr>
        <w:t xml:space="preserve">British </w:t>
      </w:r>
      <w:proofErr w:type="spellStart"/>
      <w:r w:rsidRPr="0044114E">
        <w:rPr>
          <w:rFonts w:ascii="Times New Roman" w:hAnsi="Times New Roman"/>
          <w:i/>
        </w:rPr>
        <w:t>Mutoscope</w:t>
      </w:r>
      <w:proofErr w:type="spellEnd"/>
      <w:r w:rsidRPr="0044114E">
        <w:rPr>
          <w:rFonts w:ascii="Times New Roman" w:hAnsi="Times New Roman"/>
        </w:rPr>
        <w:t xml:space="preserve">, that: </w:t>
      </w:r>
    </w:p>
    <w:p w14:paraId="688BAE9D"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"Now this action is neither in form nor in fact an action by a patentee claiming an injunction to restrain an infringement of his patent. In such an action it is open to the defendant to plead a licence by the plaintiff. That</w:t>
      </w:r>
      <w:r>
        <w:rPr>
          <w:rFonts w:ascii="Times New Roman" w:hAnsi="Times New Roman"/>
        </w:rPr>
        <w:t> </w:t>
      </w:r>
      <w:r w:rsidRPr="0044114E">
        <w:rPr>
          <w:rFonts w:ascii="Times New Roman" w:hAnsi="Times New Roman"/>
        </w:rPr>
        <w:t>licence may be express, or it may be implied from the sale by the patentee of the patented article, but, if the defendant pleads a licence, then</w:t>
      </w:r>
      <w:r>
        <w:rPr>
          <w:rFonts w:ascii="Times New Roman" w:hAnsi="Times New Roman"/>
        </w:rPr>
        <w:t> </w:t>
      </w:r>
      <w:r w:rsidRPr="0044114E">
        <w:rPr>
          <w:rFonts w:ascii="Times New Roman" w:hAnsi="Times New Roman"/>
        </w:rPr>
        <w:t xml:space="preserve">it is competent for the plaintiff to reply, 'The licence which I granted is a limited licence, and you, the person who has now got the patented article, were aware it was only a limited licence, and you cannot therefore defend yourself against my claim for an infringement of my patent, because you are going outside the licence which to your knowledge I gave with reference </w:t>
      </w:r>
      <w:r w:rsidRPr="0044114E">
        <w:rPr>
          <w:rFonts w:ascii="Times New Roman" w:hAnsi="Times New Roman"/>
        </w:rPr>
        <w:lastRenderedPageBreak/>
        <w:t xml:space="preserve">to this article.' Such a case would not depend upon any condition running with or attaching to the article. It would depend only upon the limits of the licence which the patentee had granted when he first parted with the goods." </w:t>
      </w:r>
    </w:p>
    <w:p w14:paraId="51B6B36C"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Then finally, in </w:t>
      </w:r>
      <w:proofErr w:type="spellStart"/>
      <w:r w:rsidRPr="0044114E">
        <w:rPr>
          <w:rFonts w:ascii="Times New Roman" w:hAnsi="Times New Roman"/>
          <w:i/>
        </w:rPr>
        <w:t>Menck</w:t>
      </w:r>
      <w:proofErr w:type="spellEnd"/>
      <w:r w:rsidRPr="0044114E">
        <w:rPr>
          <w:rFonts w:ascii="Times New Roman" w:hAnsi="Times New Roman"/>
          <w:i/>
        </w:rPr>
        <w:t xml:space="preserve"> (PC)</w:t>
      </w:r>
      <w:r w:rsidRPr="0044114E">
        <w:rPr>
          <w:rFonts w:ascii="Times New Roman" w:hAnsi="Times New Roman"/>
          <w:b/>
          <w:sz w:val="24"/>
          <w:vertAlign w:val="superscript"/>
        </w:rPr>
        <w:footnoteReference w:id="326"/>
      </w:r>
      <w:r w:rsidRPr="0044114E">
        <w:rPr>
          <w:rFonts w:ascii="Times New Roman" w:hAnsi="Times New Roman"/>
        </w:rPr>
        <w:t xml:space="preserve">, after referring to each of the cases just mentioned, the Privy Council synthesised the position at law as follows: </w:t>
      </w:r>
    </w:p>
    <w:p w14:paraId="690E0FC6"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ab/>
        <w:t xml:space="preserve">"In their Lordships' opinion, it is thus demonstrated by a clear course of authority, first, that it is open to the licensee, by virtue of his statutory monopoly, to make a sale </w:t>
      </w:r>
      <w:r w:rsidRPr="0044114E">
        <w:rPr>
          <w:rFonts w:ascii="Times New Roman" w:hAnsi="Times New Roman"/>
          <w:i/>
        </w:rPr>
        <w:t>sub modo</w:t>
      </w:r>
      <w:r w:rsidRPr="0044114E">
        <w:rPr>
          <w:rFonts w:ascii="Times New Roman" w:hAnsi="Times New Roman"/>
        </w:rPr>
        <w:t xml:space="preserve">, or accompanied by restrictive conditions which would not apply in the case of ordinary chattels; secondly, that the imposition of these conditions in the case of a sale is not presumed, but, on the contrary, a sale having occurred, the presumption is that the full right of ownership was meant to be vested in the purchaser; while thirdly, the owner's rights in a patented chattel will be limited </w:t>
      </w:r>
      <w:r w:rsidRPr="0044114E">
        <w:rPr>
          <w:rFonts w:ascii="Times New Roman" w:hAnsi="Times New Roman"/>
          <w:i/>
        </w:rPr>
        <w:t>if there is brought home to him</w:t>
      </w:r>
      <w:r w:rsidRPr="0044114E">
        <w:rPr>
          <w:rFonts w:ascii="Times New Roman" w:hAnsi="Times New Roman"/>
        </w:rPr>
        <w:t xml:space="preserve"> the knowledge of conditions imposed, by the patentee or those representing the patentee, upon him at the time of sale. It will be observed that these propositions do not support the principles relied upon in their absolute sense by any of the Judges of the Court below. On the one hand, the patented goods are not, simply because of their nature as chattels, sold</w:t>
      </w:r>
      <w:r>
        <w:rPr>
          <w:rFonts w:ascii="Times New Roman" w:hAnsi="Times New Roman"/>
        </w:rPr>
        <w:t> </w:t>
      </w:r>
      <w:r w:rsidRPr="0044114E">
        <w:rPr>
          <w:rFonts w:ascii="Times New Roman" w:hAnsi="Times New Roman"/>
        </w:rPr>
        <w:t>free from restriction. Whether that restriction affects the purchaser is in most cases assumed in the negative from the fact of sale, but depends upon whether it entered the conditions upon which the owner acquired the goods. On the other hand, restrictive conditions do not, in the extreme sense put, run with the goods, because the goods are patented." (emphasis added)</w:t>
      </w:r>
    </w:p>
    <w:p w14:paraId="5B7FFB17"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In the result, what started as an application of equity's equivalent to the tort of knowing interference with contract, or perhaps as an instance of estoppel, over</w:t>
      </w:r>
      <w:r>
        <w:rPr>
          <w:rFonts w:ascii="Times New Roman" w:hAnsi="Times New Roman"/>
        </w:rPr>
        <w:t> </w:t>
      </w:r>
      <w:r w:rsidRPr="0044114E">
        <w:rPr>
          <w:rFonts w:ascii="Times New Roman" w:hAnsi="Times New Roman"/>
        </w:rPr>
        <w:t xml:space="preserve">time became a rule of law sanctioned by the Privy Council in </w:t>
      </w:r>
      <w:proofErr w:type="spellStart"/>
      <w:r w:rsidRPr="0044114E">
        <w:rPr>
          <w:rFonts w:ascii="Times New Roman" w:hAnsi="Times New Roman"/>
          <w:i/>
        </w:rPr>
        <w:t>Menck</w:t>
      </w:r>
      <w:proofErr w:type="spellEnd"/>
      <w:r w:rsidRPr="0044114E">
        <w:rPr>
          <w:rFonts w:ascii="Times New Roman" w:hAnsi="Times New Roman"/>
        </w:rPr>
        <w:t xml:space="preserve"> that, although the sale of a patented article may be made subject to conditions which restrict the right of use or sale of the patented article and breach of which will constitute an infringement of patent, a downstream purchaser will not be liable for patent infringement of patent rights committed in breach of the conditions unless the downstream purchaser took with notice of the conditions. And that approach, having now been "laid down and accepted for a long period of time, ought not to be altered" given that it cannot be said "positively that it was wrong and productive </w:t>
      </w:r>
      <w:r w:rsidRPr="0044114E">
        <w:rPr>
          <w:rFonts w:ascii="Times New Roman" w:hAnsi="Times New Roman"/>
        </w:rPr>
        <w:lastRenderedPageBreak/>
        <w:t>of inconvenience"</w:t>
      </w:r>
      <w:r w:rsidRPr="0044114E">
        <w:rPr>
          <w:rStyle w:val="FootnoteReference"/>
          <w:rFonts w:ascii="Times New Roman" w:hAnsi="Times New Roman"/>
          <w:sz w:val="24"/>
        </w:rPr>
        <w:footnoteReference w:id="327"/>
      </w:r>
      <w:r w:rsidRPr="0044114E">
        <w:rPr>
          <w:rFonts w:ascii="Times New Roman" w:hAnsi="Times New Roman"/>
        </w:rPr>
        <w:t>. Indeed, to the contrary, there is nothing at all unusual, and</w:t>
      </w:r>
      <w:r>
        <w:rPr>
          <w:rFonts w:ascii="Times New Roman" w:hAnsi="Times New Roman"/>
        </w:rPr>
        <w:t> </w:t>
      </w:r>
      <w:r w:rsidRPr="0044114E">
        <w:rPr>
          <w:rFonts w:ascii="Times New Roman" w:hAnsi="Times New Roman"/>
        </w:rPr>
        <w:t>the legal system operates efficiently and conveniently in many areas, with bona fide purchasers for value without notice taking their rights free from prior equitable interests</w:t>
      </w:r>
      <w:r w:rsidRPr="0044114E">
        <w:rPr>
          <w:rStyle w:val="FootnoteReference"/>
          <w:rFonts w:ascii="Times New Roman" w:hAnsi="Times New Roman"/>
          <w:sz w:val="24"/>
        </w:rPr>
        <w:footnoteReference w:id="328"/>
      </w:r>
      <w:r w:rsidRPr="0044114E">
        <w:rPr>
          <w:rFonts w:ascii="Times New Roman" w:hAnsi="Times New Roman"/>
        </w:rPr>
        <w:t xml:space="preserve">. In this, as in so many other cases, equity moulds its answers to questions about who is entitled to what relief, and when, according to the circumstances of the case. </w:t>
      </w:r>
    </w:p>
    <w:p w14:paraId="57D08B3A"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More specifically, a downstream purchaser </w:t>
      </w:r>
      <w:r w:rsidRPr="0044114E">
        <w:rPr>
          <w:rFonts w:ascii="Times New Roman" w:hAnsi="Times New Roman"/>
          <w:i/>
          <w:iCs/>
        </w:rPr>
        <w:t>without notice</w:t>
      </w:r>
      <w:r w:rsidRPr="0044114E">
        <w:rPr>
          <w:rFonts w:ascii="Times New Roman" w:hAnsi="Times New Roman"/>
        </w:rPr>
        <w:t xml:space="preserve"> will not be liable for patent infringement of any of the patent rights retained by the patentee which are the subject of the conditions</w:t>
      </w:r>
      <w:r w:rsidRPr="0044114E">
        <w:rPr>
          <w:rStyle w:val="FootnoteReference"/>
          <w:rFonts w:ascii="Times New Roman" w:hAnsi="Times New Roman"/>
          <w:sz w:val="24"/>
        </w:rPr>
        <w:footnoteReference w:id="329"/>
      </w:r>
      <w:r w:rsidRPr="0044114E">
        <w:rPr>
          <w:rFonts w:ascii="Times New Roman" w:hAnsi="Times New Roman"/>
        </w:rPr>
        <w:t>. But, in a sale subject to conditions, a</w:t>
      </w:r>
      <w:r>
        <w:rPr>
          <w:rFonts w:ascii="Times New Roman" w:hAnsi="Times New Roman"/>
        </w:rPr>
        <w:t> </w:t>
      </w:r>
      <w:r w:rsidRPr="0044114E">
        <w:rPr>
          <w:rFonts w:ascii="Times New Roman" w:hAnsi="Times New Roman"/>
        </w:rPr>
        <w:t xml:space="preserve">downstream purchaser </w:t>
      </w:r>
      <w:r w:rsidRPr="0044114E">
        <w:rPr>
          <w:rFonts w:ascii="Times New Roman" w:hAnsi="Times New Roman"/>
          <w:i/>
          <w:iCs/>
        </w:rPr>
        <w:t>with notice</w:t>
      </w:r>
      <w:r w:rsidRPr="0044114E">
        <w:rPr>
          <w:rFonts w:ascii="Times New Roman" w:hAnsi="Times New Roman"/>
        </w:rPr>
        <w:t xml:space="preserve"> of the conditions will be liable for patent infringement of any of the patent rights committed in breach of the conditions</w:t>
      </w:r>
      <w:r w:rsidRPr="0044114E">
        <w:rPr>
          <w:rStyle w:val="FootnoteReference"/>
          <w:rFonts w:ascii="Times New Roman" w:hAnsi="Times New Roman"/>
          <w:sz w:val="24"/>
        </w:rPr>
        <w:footnoteReference w:id="330"/>
      </w:r>
      <w:r w:rsidRPr="0044114E">
        <w:rPr>
          <w:rFonts w:ascii="Times New Roman" w:hAnsi="Times New Roman"/>
        </w:rPr>
        <w:t>. A downstream purchaser of a patented article, like an initial purchaser of that article, will be on notice of conditions if they are "clearly brought home" to the purchaser at the time of sale</w:t>
      </w:r>
      <w:r w:rsidRPr="0044114E">
        <w:rPr>
          <w:rStyle w:val="FootnoteReference"/>
          <w:rFonts w:ascii="Times New Roman" w:hAnsi="Times New Roman"/>
          <w:sz w:val="24"/>
        </w:rPr>
        <w:footnoteReference w:id="331"/>
      </w:r>
      <w:r w:rsidRPr="0044114E">
        <w:rPr>
          <w:rFonts w:ascii="Times New Roman" w:hAnsi="Times New Roman"/>
        </w:rPr>
        <w:t>. For example, a purchaser may be on notice where at the time of sale the vendor says "Mind, I only give you this licence on this condition"</w:t>
      </w:r>
      <w:r w:rsidRPr="0044114E">
        <w:rPr>
          <w:rStyle w:val="FootnoteReference"/>
          <w:rFonts w:ascii="Times New Roman" w:hAnsi="Times New Roman"/>
          <w:sz w:val="24"/>
        </w:rPr>
        <w:footnoteReference w:id="332"/>
      </w:r>
      <w:r w:rsidRPr="0044114E">
        <w:rPr>
          <w:rFonts w:ascii="Times New Roman" w:hAnsi="Times New Roman"/>
        </w:rPr>
        <w:t xml:space="preserve"> or the contract states the conditions on which the article is sold</w:t>
      </w:r>
      <w:r w:rsidRPr="0044114E">
        <w:rPr>
          <w:rStyle w:val="FootnoteReference"/>
          <w:rFonts w:ascii="Times New Roman" w:hAnsi="Times New Roman"/>
          <w:sz w:val="24"/>
        </w:rPr>
        <w:footnoteReference w:id="333"/>
      </w:r>
      <w:r w:rsidRPr="0044114E">
        <w:rPr>
          <w:rFonts w:ascii="Times New Roman" w:hAnsi="Times New Roman"/>
        </w:rPr>
        <w:t>. However,</w:t>
      </w:r>
      <w:r w:rsidRPr="0044114E" w:rsidDel="004C5A5D">
        <w:rPr>
          <w:rFonts w:ascii="Times New Roman" w:hAnsi="Times New Roman"/>
        </w:rPr>
        <w:t> </w:t>
      </w:r>
      <w:r w:rsidRPr="0044114E">
        <w:rPr>
          <w:rFonts w:ascii="Times New Roman" w:hAnsi="Times New Roman"/>
        </w:rPr>
        <w:t>a purchaser will not be on notice if conditions are made known to them only after the time of sale</w:t>
      </w:r>
      <w:r w:rsidRPr="0044114E">
        <w:rPr>
          <w:rStyle w:val="FootnoteReference"/>
          <w:rFonts w:ascii="Times New Roman" w:hAnsi="Times New Roman"/>
          <w:sz w:val="24"/>
        </w:rPr>
        <w:footnoteReference w:id="334"/>
      </w:r>
      <w:r w:rsidRPr="0044114E">
        <w:rPr>
          <w:rFonts w:ascii="Times New Roman" w:hAnsi="Times New Roman"/>
        </w:rPr>
        <w:t xml:space="preserve">. Thus, if a purchaser becomes aware of the conditions </w:t>
      </w:r>
      <w:r w:rsidRPr="0044114E">
        <w:rPr>
          <w:rFonts w:ascii="Times New Roman" w:hAnsi="Times New Roman"/>
        </w:rPr>
        <w:lastRenderedPageBreak/>
        <w:t>after the time of sale by reason of a label affixed to a box containing the patented article, that will not constitute notice</w:t>
      </w:r>
      <w:r w:rsidRPr="0044114E">
        <w:rPr>
          <w:rStyle w:val="FootnoteReference"/>
          <w:rFonts w:ascii="Times New Roman" w:hAnsi="Times New Roman"/>
          <w:sz w:val="24"/>
        </w:rPr>
        <w:footnoteReference w:id="335"/>
      </w:r>
      <w:r w:rsidRPr="0044114E">
        <w:rPr>
          <w:rFonts w:ascii="Times New Roman" w:hAnsi="Times New Roman"/>
        </w:rPr>
        <w:t xml:space="preserve">. </w:t>
      </w:r>
    </w:p>
    <w:p w14:paraId="767A2328"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The power of a court to compel a downstream purchaser to refrain from dealing with the article contrary to the conditions imposed</w:t>
      </w:r>
      <w:r w:rsidRPr="0044114E">
        <w:rPr>
          <w:rStyle w:val="FootnoteReference"/>
          <w:rFonts w:ascii="Times New Roman" w:hAnsi="Times New Roman"/>
          <w:sz w:val="24"/>
        </w:rPr>
        <w:footnoteReference w:id="336"/>
      </w:r>
      <w:r w:rsidRPr="0044114E">
        <w:rPr>
          <w:rFonts w:ascii="Times New Roman" w:hAnsi="Times New Roman"/>
        </w:rPr>
        <w:t>, or to order an account of profits</w:t>
      </w:r>
      <w:r w:rsidRPr="0044114E">
        <w:rPr>
          <w:rStyle w:val="FootnoteReference"/>
          <w:rFonts w:ascii="Times New Roman" w:hAnsi="Times New Roman"/>
          <w:sz w:val="24"/>
        </w:rPr>
        <w:footnoteReference w:id="337"/>
      </w:r>
      <w:r w:rsidRPr="0044114E">
        <w:rPr>
          <w:rFonts w:ascii="Times New Roman" w:hAnsi="Times New Roman"/>
        </w:rPr>
        <w:t xml:space="preserve">, is an exercise of equitable jurisdiction in aid of legal rights. A patentee's power to impose conditions, and to demand compliance with those conditions, are rights derived from the </w:t>
      </w:r>
      <w:r w:rsidRPr="0044114E">
        <w:rPr>
          <w:rFonts w:ascii="Times New Roman" w:hAnsi="Times New Roman"/>
          <w:i/>
        </w:rPr>
        <w:t>Patents Act 1990</w:t>
      </w:r>
      <w:r w:rsidRPr="0044114E">
        <w:rPr>
          <w:rStyle w:val="FootnoteReference"/>
          <w:rFonts w:ascii="Times New Roman" w:hAnsi="Times New Roman"/>
          <w:sz w:val="24"/>
        </w:rPr>
        <w:footnoteReference w:id="338"/>
      </w:r>
      <w:r w:rsidRPr="0044114E">
        <w:rPr>
          <w:rFonts w:ascii="Times New Roman" w:hAnsi="Times New Roman"/>
        </w:rPr>
        <w:t>, the breach of which may attract an injunction in accordance with the "doctrines of equity as they have developed over time"</w:t>
      </w:r>
      <w:r w:rsidRPr="0044114E">
        <w:rPr>
          <w:rStyle w:val="FootnoteReference"/>
          <w:rFonts w:ascii="Times New Roman" w:hAnsi="Times New Roman"/>
          <w:sz w:val="24"/>
        </w:rPr>
        <w:footnoteReference w:id="339"/>
      </w:r>
      <w:r w:rsidRPr="0044114E">
        <w:rPr>
          <w:rFonts w:ascii="Times New Roman" w:hAnsi="Times New Roman"/>
        </w:rPr>
        <w:t>. But, for the reasons given, there is no breach by a person who directly purchases a patented article without notice of the patentee's conditions</w:t>
      </w:r>
      <w:r w:rsidRPr="0044114E">
        <w:rPr>
          <w:rStyle w:val="FootnoteReference"/>
          <w:rFonts w:ascii="Times New Roman" w:hAnsi="Times New Roman"/>
          <w:sz w:val="24"/>
        </w:rPr>
        <w:footnoteReference w:id="340"/>
      </w:r>
      <w:r w:rsidRPr="0044114E">
        <w:rPr>
          <w:rFonts w:ascii="Times New Roman" w:hAnsi="Times New Roman"/>
        </w:rPr>
        <w:t>, or a downstream purchaser without notice, and thus injunction will not go against them</w:t>
      </w:r>
      <w:r w:rsidRPr="0044114E">
        <w:rPr>
          <w:rStyle w:val="FootnoteReference"/>
          <w:rFonts w:ascii="Times New Roman" w:hAnsi="Times New Roman"/>
          <w:sz w:val="24"/>
        </w:rPr>
        <w:footnoteReference w:id="341"/>
      </w:r>
      <w:r w:rsidRPr="0044114E">
        <w:rPr>
          <w:rFonts w:ascii="Times New Roman" w:hAnsi="Times New Roman"/>
        </w:rPr>
        <w:t>.</w:t>
      </w:r>
    </w:p>
    <w:p w14:paraId="46A3B5BC"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So, what is said to replace this settled understanding?</w:t>
      </w:r>
    </w:p>
    <w:p w14:paraId="117FBF0C" w14:textId="77777777" w:rsidR="00261C63" w:rsidRPr="0044114E" w:rsidRDefault="00261C63" w:rsidP="00261C63">
      <w:pPr>
        <w:pStyle w:val="HeadingL1"/>
        <w:spacing w:after="260" w:line="280" w:lineRule="exact"/>
        <w:ind w:right="0"/>
        <w:jc w:val="both"/>
        <w:rPr>
          <w:rFonts w:ascii="Times New Roman" w:hAnsi="Times New Roman"/>
        </w:rPr>
      </w:pPr>
      <w:r w:rsidRPr="0044114E">
        <w:rPr>
          <w:rFonts w:ascii="Times New Roman" w:hAnsi="Times New Roman"/>
        </w:rPr>
        <w:lastRenderedPageBreak/>
        <w:t>Exhaustion theory</w:t>
      </w:r>
    </w:p>
    <w:p w14:paraId="6CD0E95A"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The exhaustion theory does not exist independently of the legal framework in which it has been developed. It is a theory adopted in the United States</w:t>
      </w:r>
      <w:r w:rsidRPr="0044114E">
        <w:rPr>
          <w:rStyle w:val="FootnoteReference"/>
          <w:rFonts w:ascii="Times New Roman" w:hAnsi="Times New Roman"/>
          <w:sz w:val="24"/>
        </w:rPr>
        <w:footnoteReference w:id="342"/>
      </w:r>
      <w:r w:rsidRPr="0044114E">
        <w:rPr>
          <w:rFonts w:ascii="Times New Roman" w:hAnsi="Times New Roman"/>
        </w:rPr>
        <w:t xml:space="preserve"> and some European patent systems</w:t>
      </w:r>
      <w:r w:rsidRPr="0044114E">
        <w:rPr>
          <w:rStyle w:val="FootnoteReference"/>
          <w:rFonts w:ascii="Times New Roman" w:hAnsi="Times New Roman"/>
          <w:sz w:val="24"/>
        </w:rPr>
        <w:footnoteReference w:id="343"/>
      </w:r>
      <w:r w:rsidRPr="0044114E">
        <w:rPr>
          <w:rFonts w:ascii="Times New Roman" w:hAnsi="Times New Roman"/>
        </w:rPr>
        <w:t xml:space="preserve">. It is a theory which finds its juridical basis in the specific laws being administered in those countries. As Ginsburg J said in dissent in </w:t>
      </w:r>
      <w:r w:rsidRPr="0044114E">
        <w:rPr>
          <w:rFonts w:ascii="Times New Roman" w:hAnsi="Times New Roman"/>
          <w:i/>
        </w:rPr>
        <w:t>Impression Products Inc v</w:t>
      </w:r>
      <w:r w:rsidRPr="0044114E">
        <w:rPr>
          <w:rFonts w:ascii="Times New Roman" w:hAnsi="Times New Roman"/>
        </w:rPr>
        <w:t xml:space="preserve"> </w:t>
      </w:r>
      <w:r w:rsidRPr="0044114E">
        <w:rPr>
          <w:rFonts w:ascii="Times New Roman" w:hAnsi="Times New Roman"/>
          <w:i/>
        </w:rPr>
        <w:t>Lexmark International Inc</w:t>
      </w:r>
      <w:r w:rsidRPr="0044114E">
        <w:rPr>
          <w:rFonts w:ascii="Times New Roman" w:hAnsi="Times New Roman"/>
        </w:rPr>
        <w:t>, patent protections are not harmonised across countries; "patent laws vary by country; each country's laws 'may embody different policy judgments about the relative rights of inventors, competitors, and the public in patented inventions'"</w:t>
      </w:r>
      <w:r w:rsidRPr="0044114E">
        <w:rPr>
          <w:rStyle w:val="FootnoteReference"/>
          <w:rFonts w:ascii="Times New Roman" w:hAnsi="Times New Roman"/>
          <w:sz w:val="24"/>
        </w:rPr>
        <w:footnoteReference w:id="344"/>
      </w:r>
      <w:r w:rsidRPr="0044114E">
        <w:rPr>
          <w:rFonts w:ascii="Times New Roman" w:hAnsi="Times New Roman"/>
        </w:rPr>
        <w:t>. There is no one exhaustion theory or regime and exhaustion is not a general principle applied to all intellectual property rights</w:t>
      </w:r>
      <w:r w:rsidRPr="0044114E">
        <w:rPr>
          <w:rStyle w:val="FootnoteReference"/>
          <w:rFonts w:ascii="Times New Roman" w:hAnsi="Times New Roman"/>
          <w:sz w:val="24"/>
        </w:rPr>
        <w:footnoteReference w:id="345"/>
      </w:r>
      <w:r w:rsidRPr="0044114E">
        <w:rPr>
          <w:rFonts w:ascii="Times New Roman" w:hAnsi="Times New Roman"/>
        </w:rPr>
        <w:t xml:space="preserve">. Much depends on the terms of the relevant legislation or regulation. For example, Art 6 of the </w:t>
      </w:r>
      <w:r w:rsidRPr="0044114E">
        <w:rPr>
          <w:rFonts w:ascii="Times New Roman" w:hAnsi="Times New Roman"/>
          <w:i/>
        </w:rPr>
        <w:t xml:space="preserve">Regulation (EU) No 1257/2012 of the European Parliament and of the Council of 17 December 2012 Implementing Enhanced Cooperation in the Area of the Creation of Unitary Patent Protection </w:t>
      </w:r>
      <w:r w:rsidRPr="0044114E">
        <w:rPr>
          <w:rFonts w:ascii="Times New Roman" w:hAnsi="Times New Roman"/>
        </w:rPr>
        <w:t>provides that the rights conferred by a European patent with unitary effect do not extend to acts concerning a patented product after that product has been placed on the market in the European Union "unless there are legitimate grounds for the patent proprietor to oppose further commercialisation of the product"</w:t>
      </w:r>
      <w:r w:rsidRPr="0044114E">
        <w:rPr>
          <w:rStyle w:val="FootnoteReference"/>
          <w:rFonts w:ascii="Times New Roman" w:hAnsi="Times New Roman"/>
          <w:sz w:val="24"/>
        </w:rPr>
        <w:footnoteReference w:id="346"/>
      </w:r>
      <w:r w:rsidRPr="0044114E">
        <w:rPr>
          <w:rFonts w:ascii="Times New Roman" w:hAnsi="Times New Roman"/>
        </w:rPr>
        <w:t xml:space="preserve">. </w:t>
      </w:r>
    </w:p>
    <w:p w14:paraId="2595122A"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The position in the United States is likewise a product of the terms of patents legislation in that country. The specific laws which provide the juridical </w:t>
      </w:r>
      <w:r w:rsidRPr="0044114E">
        <w:rPr>
          <w:rFonts w:ascii="Times New Roman" w:hAnsi="Times New Roman"/>
        </w:rPr>
        <w:lastRenderedPageBreak/>
        <w:t>basis for the theory in the United States are to be found in Title 35 of the United States Code. Section 261 currently provides, in part:</w:t>
      </w:r>
    </w:p>
    <w:p w14:paraId="62E6A175" w14:textId="77777777" w:rsidR="00261C63" w:rsidRPr="0044114E"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"Subject to the provisions of this title, patents shall have the attributes of personal property. ...</w:t>
      </w:r>
    </w:p>
    <w:p w14:paraId="44CCFB4B"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Applications for patent, patents, or any interest therein, shall be assignable in law by an instrument in writing. The applicant, patentee, or his assigns or legal representatives may in like manner grant and convey an exclusive right under his application for patent, or patents, to the whole or any specified part of the United States."</w:t>
      </w:r>
    </w:p>
    <w:p w14:paraId="06D13468" w14:textId="77777777" w:rsidR="00261C63" w:rsidRPr="0044114E" w:rsidRDefault="00261C63" w:rsidP="00261C63">
      <w:pPr>
        <w:pStyle w:val="NormalBody"/>
        <w:spacing w:after="260" w:line="280" w:lineRule="exact"/>
        <w:ind w:right="0"/>
        <w:jc w:val="both"/>
        <w:rPr>
          <w:rFonts w:ascii="Times New Roman" w:hAnsi="Times New Roman"/>
        </w:rPr>
      </w:pPr>
      <w:r w:rsidRPr="0044114E">
        <w:rPr>
          <w:rFonts w:ascii="Times New Roman" w:hAnsi="Times New Roman"/>
        </w:rPr>
        <w:t>A patent entitles a patent holder to "exclude others from making, using, offering for sale, or selling the invention throughout the United States or importing the invention into the United States"</w:t>
      </w:r>
      <w:r w:rsidRPr="0044114E">
        <w:rPr>
          <w:rStyle w:val="FootnoteReference"/>
          <w:rFonts w:ascii="Times New Roman" w:hAnsi="Times New Roman"/>
          <w:sz w:val="24"/>
        </w:rPr>
        <w:footnoteReference w:id="347"/>
      </w:r>
      <w:r w:rsidRPr="0044114E">
        <w:rPr>
          <w:rFonts w:ascii="Times New Roman" w:hAnsi="Times New Roman"/>
        </w:rPr>
        <w:t>. And whoever engages in one of those acts "without authority" from the patentee may face liability for patent infringement</w:t>
      </w:r>
      <w:r w:rsidRPr="0044114E">
        <w:rPr>
          <w:rStyle w:val="FootnoteReference"/>
          <w:rFonts w:ascii="Times New Roman" w:hAnsi="Times New Roman"/>
          <w:sz w:val="24"/>
        </w:rPr>
        <w:footnoteReference w:id="348"/>
      </w:r>
      <w:r w:rsidRPr="0044114E">
        <w:rPr>
          <w:rFonts w:ascii="Times New Roman" w:hAnsi="Times New Roman"/>
        </w:rPr>
        <w:t>.</w:t>
      </w:r>
    </w:p>
    <w:p w14:paraId="22D42A30"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Immediately, it is apparent that the specific patent law in the United States is different from the Australian patents Acts. It provides that the </w:t>
      </w:r>
      <w:r w:rsidRPr="0044114E">
        <w:rPr>
          <w:rFonts w:ascii="Times New Roman" w:hAnsi="Times New Roman"/>
          <w:i/>
        </w:rPr>
        <w:t>patent</w:t>
      </w:r>
      <w:r w:rsidRPr="0044114E">
        <w:rPr>
          <w:rFonts w:ascii="Times New Roman" w:hAnsi="Times New Roman"/>
        </w:rPr>
        <w:t xml:space="preserve"> is to have the attributes of personal property. It does not provide that the exclusive </w:t>
      </w:r>
      <w:r w:rsidRPr="0044114E">
        <w:rPr>
          <w:rFonts w:ascii="Times New Roman" w:hAnsi="Times New Roman"/>
          <w:i/>
        </w:rPr>
        <w:t>rights</w:t>
      </w:r>
      <w:r w:rsidRPr="0044114E">
        <w:rPr>
          <w:rFonts w:ascii="Times New Roman" w:hAnsi="Times New Roman"/>
        </w:rPr>
        <w:t xml:space="preserve"> which a patentee has shall be recognised as personal property rights. It does not permit, or contemplate, a patentee to have exclusive rights with which a patentee can freely deal in a manner which would impose restrictions or exclusions on, for example, the use of patented property. This difference in the text of the provisions is not unimportant. Presently, there are amendments to Title 35 of the United States Code proposed in the United States Congress to seek to address this issue</w:t>
      </w:r>
      <w:r w:rsidRPr="0044114E">
        <w:rPr>
          <w:rStyle w:val="FootnoteReference"/>
          <w:rFonts w:ascii="Times New Roman" w:hAnsi="Times New Roman"/>
          <w:sz w:val="24"/>
        </w:rPr>
        <w:footnoteReference w:id="349"/>
      </w:r>
      <w:r w:rsidRPr="0044114E">
        <w:rPr>
          <w:rFonts w:ascii="Times New Roman" w:hAnsi="Times New Roman"/>
        </w:rPr>
        <w:t>. Whether those amendments are passed is not to the point. The fact is that the United States legislation is different and, unsurprisingly, therefore construed differently.</w:t>
      </w:r>
    </w:p>
    <w:p w14:paraId="406333F3"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Next, the theory. It was most recently described by Roberts CJ in </w:t>
      </w:r>
      <w:r w:rsidRPr="0044114E">
        <w:rPr>
          <w:rFonts w:ascii="Times New Roman" w:hAnsi="Times New Roman"/>
          <w:i/>
        </w:rPr>
        <w:t>Lexmark</w:t>
      </w:r>
      <w:r w:rsidRPr="0044114E">
        <w:rPr>
          <w:rFonts w:ascii="Times New Roman" w:hAnsi="Times New Roman"/>
        </w:rPr>
        <w:t xml:space="preserve">, which is said to have prompted some of the proposed legislative amendments </w:t>
      </w:r>
      <w:r w:rsidRPr="0044114E">
        <w:rPr>
          <w:rFonts w:ascii="Times New Roman" w:hAnsi="Times New Roman"/>
        </w:rPr>
        <w:lastRenderedPageBreak/>
        <w:t>currently before Congress</w:t>
      </w:r>
      <w:r w:rsidRPr="0044114E">
        <w:rPr>
          <w:rStyle w:val="FootnoteReference"/>
          <w:rFonts w:ascii="Times New Roman" w:hAnsi="Times New Roman"/>
          <w:sz w:val="24"/>
        </w:rPr>
        <w:footnoteReference w:id="350"/>
      </w:r>
      <w:r w:rsidRPr="0044114E">
        <w:rPr>
          <w:rFonts w:ascii="Times New Roman" w:hAnsi="Times New Roman"/>
        </w:rPr>
        <w:t>. In that case, Lexmark International ("Lexmark"), a</w:t>
      </w:r>
      <w:r>
        <w:rPr>
          <w:rFonts w:ascii="Times New Roman" w:hAnsi="Times New Roman"/>
        </w:rPr>
        <w:t> </w:t>
      </w:r>
      <w:r w:rsidRPr="0044114E">
        <w:rPr>
          <w:rFonts w:ascii="Times New Roman" w:hAnsi="Times New Roman"/>
        </w:rPr>
        <w:t>patentee, alleged that a competitor infringed its patent relating to toner cartridges by refurbishing and reselling cartridges that Lexmark had sold subject to an express prohibition on re-use and resale contained in Lexmark's contracts with its customers</w:t>
      </w:r>
      <w:r w:rsidRPr="0044114E">
        <w:rPr>
          <w:rStyle w:val="FootnoteReference"/>
          <w:rFonts w:ascii="Times New Roman" w:hAnsi="Times New Roman"/>
          <w:sz w:val="24"/>
        </w:rPr>
        <w:footnoteReference w:id="351"/>
      </w:r>
      <w:r w:rsidRPr="0044114E">
        <w:rPr>
          <w:rFonts w:ascii="Times New Roman" w:hAnsi="Times New Roman"/>
        </w:rPr>
        <w:t>. The United States Supreme Court held that the contractual restrictions may have been clear and enforceable under contract law, but that they did not entitle Lexmark to retain patent rights in an item that it had elected to sell</w:t>
      </w:r>
      <w:r w:rsidRPr="0044114E">
        <w:rPr>
          <w:rStyle w:val="FootnoteReference"/>
          <w:rFonts w:ascii="Times New Roman" w:hAnsi="Times New Roman"/>
          <w:sz w:val="24"/>
        </w:rPr>
        <w:footnoteReference w:id="352"/>
      </w:r>
      <w:r w:rsidRPr="0044114E">
        <w:rPr>
          <w:rFonts w:ascii="Times New Roman" w:hAnsi="Times New Roman"/>
        </w:rPr>
        <w:t>.</w:t>
      </w:r>
    </w:p>
    <w:p w14:paraId="38CCDA2D"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The </w:t>
      </w:r>
      <w:r w:rsidRPr="0044114E">
        <w:rPr>
          <w:rFonts w:ascii="Times New Roman" w:eastAsia="Calibri" w:hAnsi="Times New Roman"/>
        </w:rPr>
        <w:t>juridical bases for understanding the particular monopoly which the applicable United States patents legislation granted are readily distinguishable from those which underpin the implied licence theory. First, as Roberts CJ explained</w:t>
      </w:r>
      <w:r w:rsidRPr="0044114E">
        <w:rPr>
          <w:rStyle w:val="FootnoteReference"/>
          <w:rFonts w:ascii="Times New Roman" w:hAnsi="Times New Roman"/>
          <w:sz w:val="24"/>
        </w:rPr>
        <w:footnoteReference w:id="353"/>
      </w:r>
      <w:r w:rsidRPr="0044114E">
        <w:rPr>
          <w:rFonts w:ascii="Times New Roman" w:eastAsia="Calibri" w:hAnsi="Times New Roman"/>
        </w:rPr>
        <w:t>:</w:t>
      </w:r>
    </w:p>
    <w:p w14:paraId="25DAD594" w14:textId="77777777" w:rsidR="00261C63" w:rsidRPr="0044114E" w:rsidRDefault="00261C63" w:rsidP="00261C63">
      <w:pPr>
        <w:pStyle w:val="leftright"/>
        <w:spacing w:before="0" w:after="260" w:line="280" w:lineRule="exact"/>
        <w:ind w:right="0"/>
        <w:jc w:val="both"/>
        <w:rPr>
          <w:rFonts w:ascii="Times New Roman" w:hAnsi="Times New Roman"/>
        </w:rPr>
      </w:pPr>
      <w:r w:rsidRPr="0044114E">
        <w:rPr>
          <w:rFonts w:ascii="Times New Roman" w:eastAsia="Calibri" w:hAnsi="Times New Roman"/>
        </w:rPr>
        <w:tab/>
        <w:t>"T</w:t>
      </w:r>
      <w:r w:rsidRPr="0044114E">
        <w:rPr>
          <w:rFonts w:ascii="Times New Roman" w:hAnsi="Times New Roman"/>
        </w:rPr>
        <w:t xml:space="preserve">he Patent Act grants patentees the 'right to exclude others from making, using, offering for sale, or selling [their] invention[s].' 35 USC § 154(a). For over 160 years, the doctrine of patent exhaustion has imposed a limit on that right to exclude. See </w:t>
      </w:r>
      <w:r w:rsidRPr="0044114E">
        <w:rPr>
          <w:rFonts w:ascii="Times New Roman" w:hAnsi="Times New Roman"/>
          <w:i/>
        </w:rPr>
        <w:t xml:space="preserve">Bloomer v </w:t>
      </w:r>
      <w:proofErr w:type="spellStart"/>
      <w:r w:rsidRPr="0044114E">
        <w:rPr>
          <w:rFonts w:ascii="Times New Roman" w:hAnsi="Times New Roman"/>
          <w:i/>
        </w:rPr>
        <w:t>McQuewan</w:t>
      </w:r>
      <w:proofErr w:type="spellEnd"/>
      <w:r w:rsidRPr="0044114E">
        <w:rPr>
          <w:rFonts w:ascii="Times New Roman" w:hAnsi="Times New Roman"/>
        </w:rPr>
        <w:t>, 14 How 539 ... (1853). The limit functions automatically: When a patentee chooses to sell an item, that product 'is no longer within the limits of the monopoly' and</w:t>
      </w:r>
      <w:r>
        <w:rPr>
          <w:rFonts w:ascii="Times New Roman" w:hAnsi="Times New Roman"/>
        </w:rPr>
        <w:t> </w:t>
      </w:r>
      <w:r w:rsidRPr="0044114E">
        <w:rPr>
          <w:rFonts w:ascii="Times New Roman" w:hAnsi="Times New Roman"/>
        </w:rPr>
        <w:t>instead becomes the 'private, individual property' of the purchaser, with</w:t>
      </w:r>
      <w:r>
        <w:rPr>
          <w:rFonts w:ascii="Times New Roman" w:hAnsi="Times New Roman"/>
        </w:rPr>
        <w:t> </w:t>
      </w:r>
      <w:r w:rsidRPr="0044114E">
        <w:rPr>
          <w:rFonts w:ascii="Times New Roman" w:hAnsi="Times New Roman"/>
        </w:rPr>
        <w:t xml:space="preserve">the rights and benefits that come along with ownership. </w:t>
      </w:r>
      <w:r w:rsidRPr="0044114E">
        <w:rPr>
          <w:rFonts w:ascii="Times New Roman" w:hAnsi="Times New Roman"/>
          <w:i/>
        </w:rPr>
        <w:t>Id</w:t>
      </w:r>
      <w:r w:rsidRPr="0044114E">
        <w:rPr>
          <w:rFonts w:ascii="Times New Roman" w:hAnsi="Times New Roman"/>
        </w:rPr>
        <w:t>, at 549</w:t>
      </w:r>
      <w:r w:rsidRPr="0044114E">
        <w:rPr>
          <w:rFonts w:ascii="Times New Roman" w:hAnsi="Times New Roman"/>
        </w:rPr>
        <w:noBreakHyphen/>
        <w:t>550. A patentee is free to set the price and negotiate contracts with purchasers, but may not, '</w:t>
      </w:r>
      <w:r w:rsidRPr="0044114E">
        <w:rPr>
          <w:rFonts w:ascii="Times New Roman" w:hAnsi="Times New Roman"/>
          <w:i/>
        </w:rPr>
        <w:t>by virtue of his patent</w:t>
      </w:r>
      <w:r w:rsidRPr="0044114E">
        <w:rPr>
          <w:rFonts w:ascii="Times New Roman" w:hAnsi="Times New Roman"/>
        </w:rPr>
        <w:t xml:space="preserve">, control the use or disposition' of the product after ownership passes to the purchaser. </w:t>
      </w:r>
      <w:r w:rsidRPr="0044114E">
        <w:rPr>
          <w:rFonts w:ascii="Times New Roman" w:hAnsi="Times New Roman"/>
          <w:i/>
        </w:rPr>
        <w:t xml:space="preserve">United States v </w:t>
      </w:r>
      <w:proofErr w:type="spellStart"/>
      <w:r w:rsidRPr="0044114E">
        <w:rPr>
          <w:rFonts w:ascii="Times New Roman" w:hAnsi="Times New Roman"/>
          <w:i/>
        </w:rPr>
        <w:t>Univis</w:t>
      </w:r>
      <w:proofErr w:type="spellEnd"/>
      <w:r w:rsidRPr="0044114E">
        <w:rPr>
          <w:rFonts w:ascii="Times New Roman" w:hAnsi="Times New Roman"/>
          <w:i/>
        </w:rPr>
        <w:t xml:space="preserve"> Lens Co</w:t>
      </w:r>
      <w:r w:rsidRPr="0044114E">
        <w:rPr>
          <w:rFonts w:ascii="Times New Roman" w:hAnsi="Times New Roman"/>
        </w:rPr>
        <w:t xml:space="preserve">, 316 US 241, 250 ... (1942) (emphasis added). The sale 'terminates all patent rights to that item.' </w:t>
      </w:r>
      <w:r w:rsidRPr="0044114E">
        <w:rPr>
          <w:rFonts w:ascii="Times New Roman" w:hAnsi="Times New Roman"/>
          <w:i/>
        </w:rPr>
        <w:t>Quanta Computer, Inc v LG Electronics, Inc</w:t>
      </w:r>
      <w:r w:rsidRPr="0044114E">
        <w:rPr>
          <w:rFonts w:ascii="Times New Roman" w:hAnsi="Times New Roman"/>
        </w:rPr>
        <w:t xml:space="preserve">, 553 US 617, 625 ... (2008). </w:t>
      </w:r>
    </w:p>
    <w:p w14:paraId="57405173"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ab/>
        <w:t xml:space="preserve">This well-established exhaustion rule marks the point where patent rights yield to the common law principle against restraints on alienation. The Patent Act 'promote[s] the progress of science and the useful arts </w:t>
      </w:r>
      <w:r w:rsidRPr="0044114E">
        <w:rPr>
          <w:rFonts w:ascii="Times New Roman" w:hAnsi="Times New Roman"/>
          <w:i/>
        </w:rPr>
        <w:t>by</w:t>
      </w:r>
      <w:r>
        <w:rPr>
          <w:rFonts w:ascii="Times New Roman" w:hAnsi="Times New Roman"/>
          <w:i/>
        </w:rPr>
        <w:t> </w:t>
      </w:r>
      <w:r w:rsidRPr="0044114E">
        <w:rPr>
          <w:rFonts w:ascii="Times New Roman" w:hAnsi="Times New Roman"/>
          <w:i/>
        </w:rPr>
        <w:t>granting to [inventors] a limited monopoly</w:t>
      </w:r>
      <w:r w:rsidRPr="0044114E">
        <w:rPr>
          <w:rFonts w:ascii="Times New Roman" w:hAnsi="Times New Roman"/>
        </w:rPr>
        <w:t xml:space="preserve">' that allows them to 'secure the financial rewards' for their inventions. </w:t>
      </w:r>
      <w:proofErr w:type="spellStart"/>
      <w:r w:rsidRPr="0044114E">
        <w:rPr>
          <w:rFonts w:ascii="Times New Roman" w:hAnsi="Times New Roman"/>
          <w:i/>
        </w:rPr>
        <w:t>Univis</w:t>
      </w:r>
      <w:proofErr w:type="spellEnd"/>
      <w:r w:rsidRPr="0044114E">
        <w:rPr>
          <w:rFonts w:ascii="Times New Roman" w:hAnsi="Times New Roman"/>
        </w:rPr>
        <w:t xml:space="preserve">, 316 US, at 250 ... </w:t>
      </w:r>
      <w:r w:rsidRPr="0044114E">
        <w:rPr>
          <w:rFonts w:ascii="Times New Roman" w:hAnsi="Times New Roman"/>
          <w:i/>
        </w:rPr>
        <w:lastRenderedPageBreak/>
        <w:t>But once a patentee sells an item, it has 'enjoyed all the rights secured' by</w:t>
      </w:r>
      <w:r>
        <w:rPr>
          <w:rFonts w:ascii="Times New Roman" w:hAnsi="Times New Roman"/>
          <w:i/>
        </w:rPr>
        <w:t> </w:t>
      </w:r>
      <w:r w:rsidRPr="0044114E">
        <w:rPr>
          <w:rFonts w:ascii="Times New Roman" w:hAnsi="Times New Roman"/>
          <w:i/>
        </w:rPr>
        <w:t>that limited monopoly. Keeler v Standard Folding Bed Co</w:t>
      </w:r>
      <w:r w:rsidRPr="0044114E">
        <w:rPr>
          <w:rFonts w:ascii="Times New Roman" w:hAnsi="Times New Roman"/>
        </w:rPr>
        <w:t>,</w:t>
      </w:r>
      <w:r w:rsidRPr="0044114E">
        <w:rPr>
          <w:rFonts w:ascii="Times New Roman" w:hAnsi="Times New Roman"/>
          <w:i/>
        </w:rPr>
        <w:t xml:space="preserve"> </w:t>
      </w:r>
      <w:r w:rsidRPr="000110DE">
        <w:rPr>
          <w:rFonts w:ascii="Times New Roman" w:hAnsi="Times New Roman"/>
        </w:rPr>
        <w:t>157 US 659, 661 ... (1895)</w:t>
      </w:r>
      <w:r w:rsidRPr="0044114E">
        <w:rPr>
          <w:rFonts w:ascii="Times New Roman" w:hAnsi="Times New Roman"/>
          <w:i/>
        </w:rPr>
        <w:t>. Because 'the purpose of the patent law is fulfilled ... when the patentee has received his reward for the use of his invention,' that law furnishes 'no basis for restraining the use and enjoyment of the thing sold.'</w:t>
      </w:r>
      <w:r w:rsidRPr="0044114E">
        <w:rPr>
          <w:rFonts w:ascii="Times New Roman" w:hAnsi="Times New Roman"/>
        </w:rPr>
        <w:t xml:space="preserve"> </w:t>
      </w:r>
      <w:proofErr w:type="spellStart"/>
      <w:r w:rsidRPr="0044114E">
        <w:rPr>
          <w:rFonts w:ascii="Times New Roman" w:hAnsi="Times New Roman"/>
          <w:i/>
        </w:rPr>
        <w:t>Univis</w:t>
      </w:r>
      <w:proofErr w:type="spellEnd"/>
      <w:r w:rsidRPr="0044114E">
        <w:rPr>
          <w:rFonts w:ascii="Times New Roman" w:hAnsi="Times New Roman"/>
        </w:rPr>
        <w:t>, 316 US, at 251 ..." (emphasis added)</w:t>
      </w:r>
    </w:p>
    <w:p w14:paraId="59819BF1"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The theory starts from the premise, as it must </w:t>
      </w:r>
      <w:proofErr w:type="spellStart"/>
      <w:r w:rsidRPr="0044114E">
        <w:rPr>
          <w:rFonts w:ascii="Times New Roman" w:hAnsi="Times New Roman"/>
        </w:rPr>
        <w:t>given</w:t>
      </w:r>
      <w:proofErr w:type="spellEnd"/>
      <w:r w:rsidRPr="0044114E">
        <w:rPr>
          <w:rFonts w:ascii="Times New Roman" w:hAnsi="Times New Roman"/>
        </w:rPr>
        <w:t xml:space="preserve"> the terms of the statute, that the patent is the property and that "[w]hat a patent adds – and grants exclusively to the patentee – is a limited right to prevent others from engaging in those practices"</w:t>
      </w:r>
      <w:r w:rsidRPr="0044114E">
        <w:rPr>
          <w:rStyle w:val="FootnoteReference"/>
          <w:rFonts w:ascii="Times New Roman" w:hAnsi="Times New Roman"/>
          <w:sz w:val="24"/>
        </w:rPr>
        <w:footnoteReference w:id="354"/>
      </w:r>
      <w:r w:rsidRPr="0044114E">
        <w:rPr>
          <w:rFonts w:ascii="Times New Roman" w:hAnsi="Times New Roman"/>
        </w:rPr>
        <w:t>, of using, selling, importing and making. The United States provisions strike a different balance</w:t>
      </w:r>
      <w:r w:rsidRPr="0044114E">
        <w:rPr>
          <w:rStyle w:val="FootnoteReference"/>
          <w:rFonts w:ascii="Times New Roman" w:hAnsi="Times New Roman"/>
          <w:sz w:val="24"/>
        </w:rPr>
        <w:footnoteReference w:id="355"/>
      </w:r>
      <w:r w:rsidRPr="0044114E">
        <w:rPr>
          <w:rFonts w:ascii="Times New Roman" w:hAnsi="Times New Roman"/>
        </w:rPr>
        <w:t xml:space="preserve"> in law from the balance struck in Australia, and in the United Kingdom. The United States law does not grant to the patentee a right of property by way of monopoly "to make, use, exercise ... the invention"</w:t>
      </w:r>
      <w:r w:rsidRPr="0044114E">
        <w:rPr>
          <w:rStyle w:val="FootnoteReference"/>
          <w:rFonts w:ascii="Times New Roman" w:hAnsi="Times New Roman"/>
          <w:sz w:val="24"/>
        </w:rPr>
        <w:footnoteReference w:id="356"/>
      </w:r>
      <w:r w:rsidRPr="0044114E">
        <w:rPr>
          <w:rFonts w:ascii="Times New Roman" w:hAnsi="Times New Roman"/>
        </w:rPr>
        <w:t>. It grants the patentee a limited exclusionary power as a statutory right. And the "doctrine of patent exhaustion [that] has imposed a limit on that right to exclude"</w:t>
      </w:r>
      <w:r w:rsidRPr="0044114E">
        <w:rPr>
          <w:rStyle w:val="FootnoteReference"/>
          <w:rFonts w:ascii="Times New Roman" w:hAnsi="Times New Roman"/>
          <w:sz w:val="24"/>
        </w:rPr>
        <w:footnoteReference w:id="357"/>
      </w:r>
      <w:r w:rsidRPr="0044114E">
        <w:rPr>
          <w:rFonts w:ascii="Times New Roman" w:hAnsi="Times New Roman"/>
        </w:rPr>
        <w:t xml:space="preserve"> is said to derive from </w:t>
      </w:r>
      <w:r w:rsidRPr="0044114E">
        <w:rPr>
          <w:rFonts w:ascii="Times New Roman" w:hAnsi="Times New Roman"/>
          <w:i/>
        </w:rPr>
        <w:t xml:space="preserve">Bloomer v </w:t>
      </w:r>
      <w:proofErr w:type="spellStart"/>
      <w:r w:rsidRPr="0044114E">
        <w:rPr>
          <w:rFonts w:ascii="Times New Roman" w:hAnsi="Times New Roman"/>
          <w:i/>
        </w:rPr>
        <w:t>McQuewan</w:t>
      </w:r>
      <w:proofErr w:type="spellEnd"/>
      <w:r w:rsidRPr="0044114E">
        <w:rPr>
          <w:rStyle w:val="FootnoteReference"/>
          <w:rFonts w:ascii="Times New Roman" w:hAnsi="Times New Roman"/>
          <w:sz w:val="24"/>
        </w:rPr>
        <w:footnoteReference w:id="358"/>
      </w:r>
      <w:r w:rsidRPr="0044114E">
        <w:rPr>
          <w:rFonts w:ascii="Times New Roman" w:hAnsi="Times New Roman"/>
        </w:rPr>
        <w:t>, a decision in 1853 that is regarded as the first appearance of substantive due process</w:t>
      </w:r>
      <w:r w:rsidRPr="0044114E">
        <w:rPr>
          <w:rStyle w:val="FootnoteReference"/>
          <w:rFonts w:ascii="Times New Roman" w:hAnsi="Times New Roman"/>
          <w:sz w:val="24"/>
        </w:rPr>
        <w:footnoteReference w:id="359"/>
      </w:r>
      <w:r w:rsidRPr="0044114E">
        <w:rPr>
          <w:rFonts w:ascii="Times New Roman" w:hAnsi="Times New Roman"/>
        </w:rPr>
        <w:t>, a concept that has never taken root in Australia.</w:t>
      </w:r>
    </w:p>
    <w:p w14:paraId="5C484D5B"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It is in that context that the exhaustion theory is said to "mark[] the point" where those limited statutory rights yield to the common law principle against </w:t>
      </w:r>
      <w:r w:rsidRPr="0044114E">
        <w:rPr>
          <w:rFonts w:ascii="Times New Roman" w:hAnsi="Times New Roman"/>
        </w:rPr>
        <w:lastRenderedPageBreak/>
        <w:t>restraints on alienation</w:t>
      </w:r>
      <w:r w:rsidRPr="0044114E">
        <w:rPr>
          <w:rStyle w:val="FootnoteReference"/>
          <w:rFonts w:ascii="Times New Roman" w:hAnsi="Times New Roman"/>
          <w:sz w:val="24"/>
        </w:rPr>
        <w:footnoteReference w:id="360"/>
      </w:r>
      <w:r w:rsidRPr="0044114E">
        <w:rPr>
          <w:rFonts w:ascii="Times New Roman" w:hAnsi="Times New Roman"/>
        </w:rPr>
        <w:t>. The theory is not that a patentee cannot sell a patented item subject to alienation under an express, otherwise lawful, restriction</w:t>
      </w:r>
      <w:r w:rsidRPr="0044114E">
        <w:rPr>
          <w:rStyle w:val="FootnoteReference"/>
          <w:rFonts w:ascii="Times New Roman" w:hAnsi="Times New Roman"/>
          <w:sz w:val="24"/>
        </w:rPr>
        <w:footnoteReference w:id="361"/>
      </w:r>
      <w:r w:rsidRPr="0044114E">
        <w:rPr>
          <w:rFonts w:ascii="Times New Roman" w:hAnsi="Times New Roman"/>
        </w:rPr>
        <w:t xml:space="preserve">. On the contrary. The theory acknowledges that the sale may be a sale on condition but says that the limited statutory exclusive right (for example, to sell) is exhausted by any and every sale (whether conditional or unconditional). The patentee does not retain </w:t>
      </w:r>
      <w:r w:rsidRPr="0044114E">
        <w:rPr>
          <w:rFonts w:ascii="Times New Roman" w:hAnsi="Times New Roman"/>
          <w:i/>
        </w:rPr>
        <w:t xml:space="preserve">any </w:t>
      </w:r>
      <w:r w:rsidRPr="0044114E">
        <w:rPr>
          <w:rFonts w:ascii="Times New Roman" w:hAnsi="Times New Roman"/>
        </w:rPr>
        <w:t>patent rights in relation to the article sold by the patentee</w:t>
      </w:r>
      <w:r w:rsidRPr="0044114E">
        <w:rPr>
          <w:rStyle w:val="FootnoteReference"/>
          <w:rFonts w:ascii="Times New Roman" w:hAnsi="Times New Roman"/>
          <w:sz w:val="24"/>
        </w:rPr>
        <w:footnoteReference w:id="362"/>
      </w:r>
      <w:r w:rsidRPr="0044114E">
        <w:rPr>
          <w:rFonts w:ascii="Times New Roman" w:hAnsi="Times New Roman"/>
        </w:rPr>
        <w:t>. That theory proceeds from the stated premise that in any sale the patentee cannot assign or devolve, as a matter of patent law, the right to use or sell because "the sale transfers the right to use, sell, or import because those are the rights that come along with ownership" and thus "the buyer is free and clear of an infringement lawsuit because there is no exclusionary right left to enforce"</w:t>
      </w:r>
      <w:r w:rsidRPr="0044114E">
        <w:rPr>
          <w:rStyle w:val="FootnoteReference"/>
          <w:rFonts w:ascii="Times New Roman" w:hAnsi="Times New Roman"/>
          <w:sz w:val="24"/>
        </w:rPr>
        <w:footnoteReference w:id="363"/>
      </w:r>
      <w:r w:rsidRPr="0044114E">
        <w:rPr>
          <w:rFonts w:ascii="Times New Roman" w:hAnsi="Times New Roman"/>
        </w:rPr>
        <w:t xml:space="preserve">. This reflects the different understanding of a differently framed patents statute. By contrast, the Australian patents Acts, and the courts, have made plain that the patentee has rights to exploit the invention and that those rights may continue beyond a sale. </w:t>
      </w:r>
    </w:p>
    <w:p w14:paraId="5CCC8FF9" w14:textId="77777777" w:rsidR="00261C63" w:rsidRPr="0044114E" w:rsidRDefault="00261C63" w:rsidP="00261C63">
      <w:pPr>
        <w:pStyle w:val="HeadingL1"/>
        <w:spacing w:after="260" w:line="280" w:lineRule="exact"/>
        <w:ind w:right="0"/>
        <w:jc w:val="both"/>
        <w:rPr>
          <w:rFonts w:ascii="Times New Roman" w:hAnsi="Times New Roman"/>
        </w:rPr>
      </w:pPr>
      <w:r w:rsidRPr="0044114E">
        <w:rPr>
          <w:rFonts w:ascii="Times New Roman" w:hAnsi="Times New Roman"/>
        </w:rPr>
        <w:t>The difference?</w:t>
      </w:r>
    </w:p>
    <w:p w14:paraId="2EBC1D39"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The starting point for the implied licence theory is not the common law governing chattels but the statutory grant, which has vested certain, and specific, rights in the patentee which they can trade away, or not, as they see fit</w:t>
      </w:r>
      <w:r w:rsidRPr="0044114E">
        <w:rPr>
          <w:rStyle w:val="FootnoteReference"/>
          <w:rFonts w:ascii="Times New Roman" w:hAnsi="Times New Roman"/>
          <w:sz w:val="24"/>
        </w:rPr>
        <w:footnoteReference w:id="364"/>
      </w:r>
      <w:r w:rsidRPr="0044114E">
        <w:rPr>
          <w:rFonts w:ascii="Times New Roman" w:hAnsi="Times New Roman"/>
        </w:rPr>
        <w:t xml:space="preserve">. As the Privy Council said in </w:t>
      </w:r>
      <w:proofErr w:type="spellStart"/>
      <w:r w:rsidRPr="0044114E">
        <w:rPr>
          <w:rFonts w:ascii="Times New Roman" w:hAnsi="Times New Roman"/>
          <w:i/>
        </w:rPr>
        <w:t>Menck</w:t>
      </w:r>
      <w:proofErr w:type="spellEnd"/>
      <w:r w:rsidRPr="0044114E">
        <w:rPr>
          <w:rStyle w:val="FootnoteReference"/>
          <w:rFonts w:ascii="Times New Roman" w:hAnsi="Times New Roman"/>
          <w:sz w:val="24"/>
        </w:rPr>
        <w:footnoteReference w:id="365"/>
      </w:r>
      <w:r w:rsidRPr="0044114E">
        <w:rPr>
          <w:rFonts w:ascii="Times New Roman" w:hAnsi="Times New Roman"/>
        </w:rPr>
        <w:t>:</w:t>
      </w:r>
    </w:p>
    <w:p w14:paraId="01B9DE6A"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 xml:space="preserve">"[T]he general doctrine of absolute freedom of disposal of chattels of an ordinary kind is, in the case of patented chattels, subject to the restriction that the person purchasing them, and in the knowledge of the conditions attached by the patentee, which knowledge is clearly brought home to himself at the time of sale, shall be bound by that knowledge and accept the </w:t>
      </w:r>
      <w:r w:rsidRPr="0044114E">
        <w:rPr>
          <w:rFonts w:ascii="Times New Roman" w:hAnsi="Times New Roman"/>
        </w:rPr>
        <w:lastRenderedPageBreak/>
        <w:t>situation of ownership subject to the limitations. These limitations are merely the respect paid and the effect given to those conditions of transfer of the patented article which the law, laid down by Statute, gave the original patentee a power to impose."</w:t>
      </w:r>
    </w:p>
    <w:p w14:paraId="52963FA7" w14:textId="77777777" w:rsidR="00261C63" w:rsidRPr="0044114E" w:rsidRDefault="00261C63" w:rsidP="00261C63">
      <w:pPr>
        <w:pStyle w:val="NormalBody"/>
        <w:spacing w:after="260" w:line="280" w:lineRule="exact"/>
        <w:ind w:right="0"/>
        <w:jc w:val="both"/>
        <w:rPr>
          <w:rFonts w:ascii="Times New Roman" w:hAnsi="Times New Roman"/>
        </w:rPr>
      </w:pPr>
      <w:r w:rsidRPr="0044114E">
        <w:rPr>
          <w:rFonts w:ascii="Times New Roman" w:hAnsi="Times New Roman"/>
        </w:rPr>
        <w:t xml:space="preserve">And it was for that reason that, in </w:t>
      </w:r>
      <w:r w:rsidRPr="0044114E">
        <w:rPr>
          <w:rFonts w:ascii="Times New Roman" w:hAnsi="Times New Roman"/>
          <w:i/>
          <w:iCs/>
        </w:rPr>
        <w:t>Time-Life International</w:t>
      </w:r>
      <w:r w:rsidRPr="0044114E">
        <w:rPr>
          <w:rFonts w:ascii="Times New Roman" w:hAnsi="Times New Roman"/>
        </w:rPr>
        <w:t>, Stephen J said patent cases "should ... be seen as confined to the quite special case of the sale by a patentee of patented goods and as turning upon the unique ability which the law confers upon patentees of imposing restrictions upon what use may after sale be made of those goods"</w:t>
      </w:r>
      <w:r w:rsidRPr="0044114E">
        <w:rPr>
          <w:rStyle w:val="FootnoteReference"/>
          <w:rFonts w:ascii="Times New Roman" w:hAnsi="Times New Roman"/>
          <w:sz w:val="24"/>
        </w:rPr>
        <w:footnoteReference w:id="366"/>
      </w:r>
      <w:r w:rsidRPr="0044114E">
        <w:rPr>
          <w:rFonts w:ascii="Times New Roman" w:hAnsi="Times New Roman"/>
        </w:rPr>
        <w:t>.</w:t>
      </w:r>
    </w:p>
    <w:p w14:paraId="6914DDE2"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Put in modern terms, the starting point is the statute, not the common law</w:t>
      </w:r>
      <w:r w:rsidRPr="0044114E">
        <w:rPr>
          <w:rStyle w:val="FootnoteReference"/>
          <w:rFonts w:ascii="Times New Roman" w:hAnsi="Times New Roman"/>
          <w:sz w:val="24"/>
        </w:rPr>
        <w:footnoteReference w:id="367"/>
      </w:r>
      <w:r w:rsidRPr="0044114E">
        <w:rPr>
          <w:rFonts w:ascii="Times New Roman" w:hAnsi="Times New Roman"/>
        </w:rPr>
        <w:t>. What the law confers upon patentees is a unique set of rights of property and the ability to impose restrictions upon what use may be made of patented goods after sale.</w:t>
      </w:r>
    </w:p>
    <w:p w14:paraId="60910D61" w14:textId="77777777" w:rsidR="00261C63" w:rsidRPr="0044114E" w:rsidRDefault="00261C63" w:rsidP="00261C63">
      <w:pPr>
        <w:pStyle w:val="HeadingL1"/>
        <w:spacing w:after="260" w:line="280" w:lineRule="exact"/>
        <w:ind w:right="0"/>
        <w:jc w:val="both"/>
        <w:rPr>
          <w:rFonts w:ascii="Times New Roman" w:hAnsi="Times New Roman"/>
        </w:rPr>
      </w:pPr>
      <w:r w:rsidRPr="0044114E">
        <w:rPr>
          <w:rFonts w:ascii="Times New Roman" w:hAnsi="Times New Roman"/>
        </w:rPr>
        <w:t>Loss of rights and remedies</w:t>
      </w:r>
    </w:p>
    <w:p w14:paraId="37BB19C1"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hAnsi="Times New Roman"/>
        </w:rPr>
        <w:tab/>
        <w:t>The debate about juridical bases is not arid. Since at least 1852</w:t>
      </w:r>
      <w:r w:rsidRPr="0044114E">
        <w:rPr>
          <w:rStyle w:val="FootnoteReference"/>
          <w:rFonts w:ascii="Times New Roman" w:hAnsi="Times New Roman"/>
          <w:sz w:val="24"/>
        </w:rPr>
        <w:footnoteReference w:id="368"/>
      </w:r>
      <w:r w:rsidRPr="0044114E">
        <w:rPr>
          <w:rFonts w:ascii="Times New Roman" w:hAnsi="Times New Roman"/>
        </w:rPr>
        <w:t xml:space="preserve"> in Anglo</w:t>
      </w:r>
      <w:r>
        <w:rPr>
          <w:rFonts w:ascii="Times New Roman" w:hAnsi="Times New Roman"/>
        </w:rPr>
        <w:noBreakHyphen/>
      </w:r>
      <w:r w:rsidRPr="0044114E">
        <w:rPr>
          <w:rFonts w:ascii="Times New Roman" w:hAnsi="Times New Roman"/>
        </w:rPr>
        <w:t xml:space="preserve">Australian law, in a case of infringement of a patent, a patentee has had a choice of remedies: </w:t>
      </w:r>
      <w:r w:rsidRPr="0044114E">
        <w:rPr>
          <w:rFonts w:ascii="Times New Roman" w:eastAsia="Calibri" w:hAnsi="Times New Roman"/>
        </w:rPr>
        <w:t>damages</w:t>
      </w:r>
      <w:r w:rsidRPr="0044114E">
        <w:rPr>
          <w:rStyle w:val="FootnoteReference"/>
          <w:rFonts w:ascii="Times New Roman" w:eastAsia="Calibri" w:hAnsi="Times New Roman"/>
          <w:sz w:val="24"/>
        </w:rPr>
        <w:footnoteReference w:id="369"/>
      </w:r>
      <w:r w:rsidRPr="0044114E">
        <w:rPr>
          <w:rFonts w:ascii="Times New Roman" w:eastAsia="Calibri" w:hAnsi="Times New Roman"/>
        </w:rPr>
        <w:t xml:space="preserve"> and, in equity, an injunction and an account of profits incidental to an injunction. The difference between the remedies was explained by Windeyer J in </w:t>
      </w:r>
      <w:proofErr w:type="spellStart"/>
      <w:r w:rsidRPr="0044114E">
        <w:rPr>
          <w:rFonts w:ascii="Times New Roman" w:eastAsia="Calibri" w:hAnsi="Times New Roman"/>
          <w:i/>
        </w:rPr>
        <w:t>Colbeam</w:t>
      </w:r>
      <w:proofErr w:type="spellEnd"/>
      <w:r w:rsidRPr="0044114E">
        <w:rPr>
          <w:rFonts w:ascii="Times New Roman" w:eastAsia="Calibri" w:hAnsi="Times New Roman"/>
          <w:i/>
        </w:rPr>
        <w:t xml:space="preserve"> Palmer Ltd v Stock Affiliates Pty Ltd</w:t>
      </w:r>
      <w:r w:rsidRPr="0044114E">
        <w:rPr>
          <w:rStyle w:val="FootnoteReference"/>
          <w:rFonts w:ascii="Times New Roman" w:hAnsi="Times New Roman"/>
          <w:sz w:val="24"/>
        </w:rPr>
        <w:footnoteReference w:id="370"/>
      </w:r>
      <w:r w:rsidRPr="0044114E">
        <w:rPr>
          <w:rFonts w:ascii="Times New Roman" w:eastAsia="Calibri" w:hAnsi="Times New Roman"/>
        </w:rPr>
        <w:t>:</w:t>
      </w:r>
    </w:p>
    <w:p w14:paraId="1FD7E0F3" w14:textId="77777777" w:rsidR="00261C63" w:rsidRDefault="00261C63" w:rsidP="00261C63">
      <w:pPr>
        <w:pStyle w:val="leftright"/>
        <w:spacing w:before="0" w:after="260" w:line="280" w:lineRule="exact"/>
        <w:ind w:right="0"/>
        <w:jc w:val="both"/>
        <w:rPr>
          <w:rFonts w:ascii="Times New Roman" w:eastAsia="Calibri" w:hAnsi="Times New Roman"/>
        </w:rPr>
      </w:pPr>
      <w:r w:rsidRPr="0044114E">
        <w:rPr>
          <w:rFonts w:ascii="Times New Roman" w:eastAsia="Calibri" w:hAnsi="Times New Roman"/>
        </w:rPr>
        <w:lastRenderedPageBreak/>
        <w:tab/>
        <w:t>"The distinction between an account of profits and damages is that by the former the infringer is required to give up his ill</w:t>
      </w:r>
      <w:r w:rsidRPr="0044114E">
        <w:rPr>
          <w:rFonts w:ascii="Times New Roman" w:eastAsia="Calibri" w:hAnsi="Times New Roman"/>
        </w:rPr>
        <w:noBreakHyphen/>
        <w:t xml:space="preserve">gotten gains to the party whose rights he has infringed: by the latter he is required to compensate the party wronged for the loss he has suffered. The two computations can obviously yield different results, for a plaintiff's loss is not to be measured by the defendant's gain, nor a defendant's gain by the plaintiff's loss. Either may be greater, or less, than the other. If a plaintiff elects to take an inquiry as to damages the loss to him of profits which he might have made may be a substantial element of his claim: see </w:t>
      </w:r>
      <w:r w:rsidRPr="0044114E">
        <w:rPr>
          <w:rFonts w:ascii="Times New Roman" w:eastAsia="Calibri" w:hAnsi="Times New Roman"/>
          <w:i/>
        </w:rPr>
        <w:t>Mayne on Damages</w:t>
      </w:r>
      <w:r w:rsidRPr="0044114E">
        <w:rPr>
          <w:rFonts w:ascii="Times New Roman" w:eastAsia="Calibri" w:hAnsi="Times New Roman"/>
        </w:rPr>
        <w:t>, 11th ed (1946), p 71 note. But what a plaintiff might have made had the defendant not invaded his rights is by no means the same thing as what the defendant did make by doing so."</w:t>
      </w:r>
    </w:p>
    <w:p w14:paraId="37DD89F8"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eastAsia="Calibri" w:hAnsi="Times New Roman"/>
        </w:rPr>
        <w:tab/>
        <w:t>A patentee must elect between the remedies of damages and an account of profits</w:t>
      </w:r>
      <w:r w:rsidRPr="0044114E">
        <w:rPr>
          <w:rStyle w:val="FootnoteReference"/>
          <w:rFonts w:ascii="Times New Roman" w:eastAsia="Calibri" w:hAnsi="Times New Roman"/>
          <w:sz w:val="24"/>
        </w:rPr>
        <w:footnoteReference w:id="371"/>
      </w:r>
      <w:r w:rsidRPr="0044114E">
        <w:rPr>
          <w:rFonts w:ascii="Times New Roman" w:eastAsia="Calibri" w:hAnsi="Times New Roman"/>
        </w:rPr>
        <w:t>: the two remedies "are hardly reconcilable"</w:t>
      </w:r>
      <w:r w:rsidRPr="0044114E">
        <w:rPr>
          <w:rStyle w:val="FootnoteReference"/>
          <w:rFonts w:ascii="Times New Roman" w:hAnsi="Times New Roman"/>
          <w:sz w:val="24"/>
        </w:rPr>
        <w:footnoteReference w:id="372"/>
      </w:r>
      <w:r w:rsidRPr="0044114E">
        <w:rPr>
          <w:rFonts w:ascii="Times New Roman" w:hAnsi="Times New Roman"/>
        </w:rPr>
        <w:t xml:space="preserve">. </w:t>
      </w:r>
      <w:r w:rsidRPr="0044114E">
        <w:rPr>
          <w:rFonts w:ascii="Times New Roman" w:eastAsia="Calibri" w:hAnsi="Times New Roman"/>
        </w:rPr>
        <w:t xml:space="preserve">As a majority of this Court said in 1993 in </w:t>
      </w:r>
      <w:r w:rsidRPr="0044114E">
        <w:rPr>
          <w:rFonts w:ascii="Times New Roman" w:eastAsia="Calibri" w:hAnsi="Times New Roman"/>
          <w:i/>
        </w:rPr>
        <w:t>Dart Industries Inc v Decor Corporation Pty Ltd</w:t>
      </w:r>
      <w:r w:rsidRPr="0044114E">
        <w:rPr>
          <w:rStyle w:val="FootnoteReference"/>
          <w:rFonts w:ascii="Times New Roman" w:eastAsia="Calibri" w:hAnsi="Times New Roman"/>
          <w:sz w:val="24"/>
        </w:rPr>
        <w:footnoteReference w:id="373"/>
      </w:r>
      <w:r w:rsidRPr="0044114E">
        <w:rPr>
          <w:rFonts w:ascii="Times New Roman" w:eastAsia="Calibri" w:hAnsi="Times New Roman"/>
        </w:rPr>
        <w:t xml:space="preserve">, citing </w:t>
      </w:r>
      <w:r w:rsidRPr="0044114E">
        <w:rPr>
          <w:rFonts w:ascii="Times New Roman" w:eastAsia="Calibri" w:hAnsi="Times New Roman"/>
          <w:i/>
        </w:rPr>
        <w:t>Neilson v Betts</w:t>
      </w:r>
      <w:r w:rsidRPr="0044114E">
        <w:rPr>
          <w:rStyle w:val="FootnoteReference"/>
          <w:rFonts w:ascii="Times New Roman" w:eastAsia="Calibri" w:hAnsi="Times New Roman"/>
          <w:sz w:val="24"/>
        </w:rPr>
        <w:footnoteReference w:id="374"/>
      </w:r>
      <w:r w:rsidRPr="0044114E">
        <w:rPr>
          <w:rFonts w:ascii="Times New Roman" w:eastAsia="Calibri" w:hAnsi="Times New Roman"/>
        </w:rPr>
        <w:t xml:space="preserve"> and </w:t>
      </w:r>
      <w:r w:rsidRPr="0044114E">
        <w:rPr>
          <w:rFonts w:ascii="Times New Roman" w:eastAsia="Calibri" w:hAnsi="Times New Roman"/>
          <w:i/>
        </w:rPr>
        <w:t>Lever v Goodwin</w:t>
      </w:r>
      <w:r w:rsidRPr="0044114E">
        <w:rPr>
          <w:rStyle w:val="FootnoteReference"/>
          <w:rFonts w:ascii="Times New Roman" w:eastAsia="Calibri" w:hAnsi="Times New Roman"/>
          <w:sz w:val="24"/>
        </w:rPr>
        <w:footnoteReference w:id="375"/>
      </w:r>
      <w:r w:rsidRPr="0044114E">
        <w:rPr>
          <w:rFonts w:ascii="Times New Roman" w:eastAsia="Calibri" w:hAnsi="Times New Roman"/>
        </w:rPr>
        <w:t>, "[d]</w:t>
      </w:r>
      <w:proofErr w:type="spellStart"/>
      <w:r w:rsidRPr="0044114E">
        <w:rPr>
          <w:rFonts w:ascii="Times New Roman" w:eastAsia="Calibri" w:hAnsi="Times New Roman"/>
        </w:rPr>
        <w:t>amages</w:t>
      </w:r>
      <w:proofErr w:type="spellEnd"/>
      <w:r w:rsidRPr="0044114E">
        <w:rPr>
          <w:rFonts w:ascii="Times New Roman" w:eastAsia="Calibri" w:hAnsi="Times New Roman"/>
        </w:rPr>
        <w:t xml:space="preserve"> and an account of profits are alternative remedies. An account of profits was a form of relief granted by equity whereas damages were originally a purely common law remedy." The existence of, and resort to, these alternative remedies for infringement of patent rights is necessary to overcome real and, at times, unjust impediments to a patentee's recovery. </w:t>
      </w:r>
    </w:p>
    <w:p w14:paraId="4902B1B4"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eastAsia="Calibri" w:hAnsi="Times New Roman"/>
        </w:rPr>
        <w:tab/>
        <w:t xml:space="preserve">Indeed, there may be circumstances where the only right, or only valuable right, arises from a claim based on infringement of patent rights. If, for example, a patentee gives patented goods to a charity to exploit, by sale and use, in the </w:t>
      </w:r>
      <w:r w:rsidRPr="0044114E">
        <w:rPr>
          <w:rFonts w:ascii="Times New Roman" w:eastAsia="Calibri" w:hAnsi="Times New Roman"/>
        </w:rPr>
        <w:lastRenderedPageBreak/>
        <w:t xml:space="preserve">education sector and the charity proceeds to sell and use the patented goods in the medical sector, how are those conditions enforceable, legally and practically, except under the </w:t>
      </w:r>
      <w:r w:rsidRPr="0044114E">
        <w:rPr>
          <w:rFonts w:ascii="Times New Roman" w:eastAsia="Calibri" w:hAnsi="Times New Roman"/>
          <w:i/>
        </w:rPr>
        <w:t>Patents Act 1990</w:t>
      </w:r>
      <w:r w:rsidRPr="0044114E">
        <w:rPr>
          <w:rFonts w:ascii="Times New Roman" w:eastAsia="Calibri" w:hAnsi="Times New Roman"/>
        </w:rPr>
        <w:t xml:space="preserve"> for infringement of patent rights?</w:t>
      </w:r>
    </w:p>
    <w:p w14:paraId="07683297"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eastAsia="Calibri" w:hAnsi="Times New Roman"/>
        </w:rPr>
        <w:tab/>
        <w:t>Other justifications for the existence of the two rights, and thus the two remedies, are practical: issues of onus and the relative cost of proving loss. A patentee that seeks an account of profits is not required to prove any loss</w:t>
      </w:r>
      <w:r w:rsidRPr="0044114E">
        <w:rPr>
          <w:rStyle w:val="FootnoteReference"/>
          <w:rFonts w:ascii="Times New Roman" w:hAnsi="Times New Roman"/>
          <w:sz w:val="24"/>
        </w:rPr>
        <w:footnoteReference w:id="376"/>
      </w:r>
      <w:r w:rsidRPr="0044114E">
        <w:rPr>
          <w:rFonts w:ascii="Times New Roman" w:eastAsia="Calibri" w:hAnsi="Times New Roman"/>
        </w:rPr>
        <w:t>. Although there is a defence of innocent infringement</w:t>
      </w:r>
      <w:r w:rsidRPr="0044114E">
        <w:rPr>
          <w:rStyle w:val="FootnoteReference"/>
          <w:rFonts w:ascii="Times New Roman" w:eastAsia="Calibri" w:hAnsi="Times New Roman"/>
          <w:sz w:val="24"/>
        </w:rPr>
        <w:footnoteReference w:id="377"/>
      </w:r>
      <w:r w:rsidRPr="0044114E">
        <w:rPr>
          <w:rFonts w:ascii="Times New Roman" w:eastAsia="Calibri" w:hAnsi="Times New Roman"/>
        </w:rPr>
        <w:t>, there is no defence to an account of profits claim that the patentee might have been "unwilling, unlikely or unable to make the profits for which an account is taken"</w:t>
      </w:r>
      <w:r w:rsidRPr="0044114E">
        <w:rPr>
          <w:rStyle w:val="FootnoteReference"/>
          <w:rFonts w:ascii="Times New Roman" w:eastAsia="Calibri" w:hAnsi="Times New Roman"/>
          <w:sz w:val="24"/>
        </w:rPr>
        <w:footnoteReference w:id="378"/>
      </w:r>
      <w:r w:rsidRPr="0044114E">
        <w:rPr>
          <w:rFonts w:ascii="Times New Roman" w:eastAsia="Calibri" w:hAnsi="Times New Roman"/>
        </w:rPr>
        <w:t>. For damages, the</w:t>
      </w:r>
      <w:r>
        <w:rPr>
          <w:rFonts w:ascii="Times New Roman" w:eastAsia="Calibri" w:hAnsi="Times New Roman"/>
        </w:rPr>
        <w:t> </w:t>
      </w:r>
      <w:r w:rsidRPr="0044114E">
        <w:rPr>
          <w:rFonts w:ascii="Times New Roman" w:eastAsia="Calibri" w:hAnsi="Times New Roman"/>
        </w:rPr>
        <w:t>patentee has the burden of proving loss or proving injury for which a licence fee might be awarded</w:t>
      </w:r>
      <w:r w:rsidRPr="0044114E">
        <w:rPr>
          <w:rStyle w:val="FootnoteReference"/>
          <w:rFonts w:ascii="Times New Roman" w:eastAsia="Calibri" w:hAnsi="Times New Roman"/>
          <w:sz w:val="24"/>
        </w:rPr>
        <w:footnoteReference w:id="379"/>
      </w:r>
      <w:r w:rsidRPr="0044114E">
        <w:rPr>
          <w:rFonts w:ascii="Times New Roman" w:eastAsia="Calibri" w:hAnsi="Times New Roman"/>
        </w:rPr>
        <w:t>. And an award of licence fee damages, which might be substantially less than the profits made by a conscious infringer, requires evidence to be adduced of "the practice, as regards royalty, in the relevant trade or in analogous trades; perhaps of expert opinion"</w:t>
      </w:r>
      <w:r w:rsidRPr="0044114E">
        <w:rPr>
          <w:rStyle w:val="FootnoteReference"/>
          <w:rFonts w:ascii="Times New Roman" w:eastAsia="Calibri" w:hAnsi="Times New Roman"/>
          <w:sz w:val="24"/>
        </w:rPr>
        <w:footnoteReference w:id="380"/>
      </w:r>
      <w:r w:rsidRPr="0044114E">
        <w:rPr>
          <w:rFonts w:ascii="Times New Roman" w:eastAsia="Calibri" w:hAnsi="Times New Roman"/>
        </w:rPr>
        <w:t>. The evidentiary difficulties in, and</w:t>
      </w:r>
      <w:r>
        <w:rPr>
          <w:rFonts w:ascii="Times New Roman" w:eastAsia="Calibri" w:hAnsi="Times New Roman"/>
        </w:rPr>
        <w:t> </w:t>
      </w:r>
      <w:r w:rsidRPr="0044114E">
        <w:rPr>
          <w:rFonts w:ascii="Times New Roman" w:eastAsia="Calibri" w:hAnsi="Times New Roman"/>
        </w:rPr>
        <w:t>cost of, proving loss have been laid bare in the authorities</w:t>
      </w:r>
      <w:r w:rsidRPr="0044114E">
        <w:rPr>
          <w:rStyle w:val="FootnoteReference"/>
          <w:rFonts w:ascii="Times New Roman" w:eastAsia="Calibri" w:hAnsi="Times New Roman"/>
          <w:sz w:val="24"/>
        </w:rPr>
        <w:footnoteReference w:id="381"/>
      </w:r>
      <w:r w:rsidRPr="0044114E">
        <w:rPr>
          <w:rFonts w:ascii="Times New Roman" w:eastAsia="Calibri" w:hAnsi="Times New Roman"/>
        </w:rPr>
        <w:t>. Thus, an account of profits is often the preferred remedy where the quantum of the patentee's loss is relatively small as, for example, may be the case where a new or boutique inventor has a lower capacity to profit from a patent and where</w:t>
      </w:r>
      <w:r w:rsidRPr="0044114E" w:rsidDel="00672A36">
        <w:rPr>
          <w:rFonts w:ascii="Times New Roman" w:eastAsia="Calibri" w:hAnsi="Times New Roman"/>
        </w:rPr>
        <w:t xml:space="preserve"> </w:t>
      </w:r>
      <w:r w:rsidRPr="0044114E">
        <w:rPr>
          <w:rFonts w:ascii="Times New Roman" w:eastAsia="Calibri" w:hAnsi="Times New Roman"/>
        </w:rPr>
        <w:t xml:space="preserve">the injury or wrongful act </w:t>
      </w:r>
      <w:r w:rsidRPr="0044114E">
        <w:rPr>
          <w:rFonts w:ascii="Times New Roman" w:eastAsia="Calibri" w:hAnsi="Times New Roman"/>
        </w:rPr>
        <w:lastRenderedPageBreak/>
        <w:t>which might attract damages is significantly exceeded by the profits made</w:t>
      </w:r>
      <w:r w:rsidRPr="0044114E" w:rsidDel="000C5F9B">
        <w:rPr>
          <w:rFonts w:ascii="Times New Roman" w:eastAsia="Calibri" w:hAnsi="Times New Roman"/>
        </w:rPr>
        <w:t xml:space="preserve"> </w:t>
      </w:r>
      <w:r w:rsidRPr="0044114E">
        <w:rPr>
          <w:rFonts w:ascii="Times New Roman" w:eastAsia="Calibri" w:hAnsi="Times New Roman"/>
        </w:rPr>
        <w:t xml:space="preserve">by the infringer or the cost of proof of damages. </w:t>
      </w:r>
    </w:p>
    <w:p w14:paraId="4369896C"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hAnsi="Times New Roman"/>
        </w:rPr>
        <w:tab/>
        <w:t>By contrast, adopting an exhaustion theory would confine a patentee complaining of breach of a condition on which the patentee sells the patented article to whatever rights the patentee may have in contract. The failure to comply with the condition would not be an infringement of the patent and would not attract the statutory remedies</w:t>
      </w:r>
      <w:r w:rsidRPr="0044114E">
        <w:rPr>
          <w:rStyle w:val="FootnoteReference"/>
          <w:rFonts w:ascii="Times New Roman" w:hAnsi="Times New Roman"/>
          <w:sz w:val="24"/>
        </w:rPr>
        <w:footnoteReference w:id="382"/>
      </w:r>
      <w:r w:rsidRPr="0044114E">
        <w:rPr>
          <w:rFonts w:ascii="Times New Roman" w:hAnsi="Times New Roman"/>
        </w:rPr>
        <w:t>.</w:t>
      </w:r>
    </w:p>
    <w:p w14:paraId="42C9C169"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eastAsia="Calibri" w:hAnsi="Times New Roman"/>
        </w:rPr>
        <w:tab/>
        <w:t>Furthermore, by contrast with the solution implemented by regulation in the European Union, which confines the exhaustion theory to sales within the European Union</w:t>
      </w:r>
      <w:r w:rsidRPr="0044114E">
        <w:rPr>
          <w:rStyle w:val="FootnoteReference"/>
          <w:rFonts w:ascii="Times New Roman" w:eastAsia="Calibri" w:hAnsi="Times New Roman"/>
          <w:sz w:val="24"/>
        </w:rPr>
        <w:footnoteReference w:id="383"/>
      </w:r>
      <w:r w:rsidRPr="0044114E">
        <w:rPr>
          <w:rFonts w:ascii="Times New Roman" w:eastAsia="Calibri" w:hAnsi="Times New Roman"/>
        </w:rPr>
        <w:t>, the removal of a patentee's ability to impose conditions enforceable as patent rights after an international sale could have consequential effects on the viability of the sale of patented goods in international markets at reduced rates. The ability to bring an action for infringement of patent following parallel importing might, practically speaking, be necessary protection before a patentee can sell internationally at lower prices. Thus, as Professor Nard observes</w:t>
      </w:r>
      <w:r w:rsidRPr="0044114E">
        <w:rPr>
          <w:rStyle w:val="FootnoteReference"/>
          <w:rFonts w:ascii="Times New Roman" w:eastAsia="Calibri" w:hAnsi="Times New Roman"/>
          <w:sz w:val="24"/>
        </w:rPr>
        <w:footnoteReference w:id="384"/>
      </w:r>
      <w:r w:rsidRPr="0044114E">
        <w:rPr>
          <w:rFonts w:ascii="Times New Roman" w:eastAsia="Calibri" w:hAnsi="Times New Roman"/>
        </w:rPr>
        <w:t xml:space="preserve">, the theory of exhaustion of patent rights </w:t>
      </w:r>
      <w:r w:rsidRPr="0044114E">
        <w:rPr>
          <w:rFonts w:ascii="Times New Roman" w:hAnsi="Times New Roman"/>
        </w:rPr>
        <w:t>may reduce the positive effects of price discrimination – the ability to charge a different price for the same good in different geographical areas – which is of concern in developing and less</w:t>
      </w:r>
      <w:r>
        <w:rPr>
          <w:rFonts w:ascii="Times New Roman" w:hAnsi="Times New Roman"/>
        </w:rPr>
        <w:noBreakHyphen/>
      </w:r>
      <w:r w:rsidRPr="0044114E">
        <w:rPr>
          <w:rFonts w:ascii="Times New Roman" w:hAnsi="Times New Roman"/>
        </w:rPr>
        <w:t>developed countries</w:t>
      </w:r>
      <w:r w:rsidRPr="0044114E">
        <w:rPr>
          <w:rFonts w:ascii="Times New Roman" w:eastAsia="Calibri" w:hAnsi="Times New Roman"/>
        </w:rPr>
        <w:t>.</w:t>
      </w:r>
    </w:p>
    <w:p w14:paraId="510DB66E" w14:textId="77777777" w:rsidR="00261C63" w:rsidRPr="0044114E" w:rsidRDefault="00261C63" w:rsidP="00261C63">
      <w:pPr>
        <w:pStyle w:val="HeadingL1"/>
        <w:spacing w:after="260" w:line="280" w:lineRule="exact"/>
        <w:ind w:right="0"/>
        <w:jc w:val="both"/>
        <w:rPr>
          <w:rFonts w:ascii="Times New Roman" w:eastAsia="Calibri" w:hAnsi="Times New Roman"/>
        </w:rPr>
      </w:pPr>
      <w:r w:rsidRPr="0044114E">
        <w:rPr>
          <w:rFonts w:ascii="Times New Roman" w:eastAsia="Calibri" w:hAnsi="Times New Roman"/>
        </w:rPr>
        <w:t>Matter for Parliament, not the courts</w:t>
      </w:r>
    </w:p>
    <w:p w14:paraId="161C7946"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As Calidad stated, it is well established that the </w:t>
      </w:r>
      <w:r w:rsidRPr="0044114E">
        <w:rPr>
          <w:rFonts w:ascii="Times New Roman" w:hAnsi="Times New Roman"/>
          <w:i/>
        </w:rPr>
        <w:t xml:space="preserve">Patents Act 1990 </w:t>
      </w:r>
      <w:r w:rsidRPr="0044114E">
        <w:rPr>
          <w:rFonts w:ascii="Times New Roman" w:hAnsi="Times New Roman"/>
        </w:rPr>
        <w:t>is to be construed in the context of the law that existed when it was enacted</w:t>
      </w:r>
      <w:r w:rsidRPr="0044114E">
        <w:rPr>
          <w:rStyle w:val="FootnoteReference"/>
          <w:rFonts w:ascii="Times New Roman" w:hAnsi="Times New Roman"/>
          <w:sz w:val="24"/>
        </w:rPr>
        <w:footnoteReference w:id="385"/>
      </w:r>
      <w:r w:rsidRPr="0044114E">
        <w:rPr>
          <w:rFonts w:ascii="Times New Roman" w:hAnsi="Times New Roman"/>
        </w:rPr>
        <w:t>. Calidad</w:t>
      </w:r>
      <w:r>
        <w:rPr>
          <w:rFonts w:ascii="Times New Roman" w:hAnsi="Times New Roman"/>
        </w:rPr>
        <w:t> </w:t>
      </w:r>
      <w:r w:rsidRPr="0044114E">
        <w:rPr>
          <w:rFonts w:ascii="Times New Roman" w:hAnsi="Times New Roman"/>
        </w:rPr>
        <w:t>then stated that:</w:t>
      </w:r>
    </w:p>
    <w:p w14:paraId="5D6527B4"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w:t>
      </w:r>
      <w:r w:rsidRPr="0044114E" w:rsidDel="00BA21FF">
        <w:rPr>
          <w:rFonts w:ascii="Times New Roman" w:hAnsi="Times New Roman"/>
        </w:rPr>
        <w:t>the</w:t>
      </w:r>
      <w:r w:rsidRPr="0044114E">
        <w:rPr>
          <w:rFonts w:ascii="Times New Roman" w:hAnsi="Times New Roman"/>
        </w:rPr>
        <w:t>] state of the law included, relevantly, the common law concerning personal property rights in chattels, which cannot be sold subject to conditions that will '</w:t>
      </w:r>
      <w:r w:rsidRPr="0044114E">
        <w:rPr>
          <w:rFonts w:ascii="Times New Roman" w:hAnsi="Times New Roman"/>
          <w:i/>
        </w:rPr>
        <w:t>run with the product</w:t>
      </w:r>
      <w:r w:rsidRPr="0044114E">
        <w:rPr>
          <w:rFonts w:ascii="Times New Roman" w:hAnsi="Times New Roman"/>
        </w:rPr>
        <w:t xml:space="preserve">'. Thus, where a patentee elects to </w:t>
      </w:r>
      <w:r w:rsidRPr="0044114E">
        <w:rPr>
          <w:rFonts w:ascii="Times New Roman" w:hAnsi="Times New Roman"/>
        </w:rPr>
        <w:lastRenderedPageBreak/>
        <w:t>exercise</w:t>
      </w:r>
      <w:r w:rsidRPr="0044114E">
        <w:rPr>
          <w:rFonts w:ascii="Times New Roman" w:hAnsi="Times New Roman"/>
          <w:i/>
        </w:rPr>
        <w:t xml:space="preserve"> </w:t>
      </w:r>
      <w:r w:rsidRPr="0044114E">
        <w:rPr>
          <w:rFonts w:ascii="Times New Roman" w:hAnsi="Times New Roman"/>
        </w:rPr>
        <w:t>its exclusive rights in s 13(1) by '</w:t>
      </w:r>
      <w:r w:rsidRPr="0044114E">
        <w:rPr>
          <w:rFonts w:ascii="Times New Roman" w:hAnsi="Times New Roman"/>
          <w:i/>
        </w:rPr>
        <w:t>selling or otherwise disposing of</w:t>
      </w:r>
      <w:r w:rsidRPr="0044114E">
        <w:rPr>
          <w:rFonts w:ascii="Times New Roman" w:hAnsi="Times New Roman"/>
        </w:rPr>
        <w:t>' a patented product, or authorising others to do so, it should be taken to have exhausted its exclusive rights in that embodiment of the invention."</w:t>
      </w:r>
    </w:p>
    <w:p w14:paraId="0CB103DA"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The difficulty for Calidad is, as has been seen, that that was a misstatement of the state of the law that existed when the Act was enacted. When the </w:t>
      </w:r>
      <w:r w:rsidRPr="0044114E">
        <w:rPr>
          <w:rFonts w:ascii="Times New Roman" w:hAnsi="Times New Roman"/>
          <w:i/>
        </w:rPr>
        <w:t>Patents Act 1990</w:t>
      </w:r>
      <w:r w:rsidRPr="0044114E">
        <w:rPr>
          <w:rFonts w:ascii="Times New Roman" w:hAnsi="Times New Roman"/>
        </w:rPr>
        <w:t xml:space="preserve"> was enacted, the law had resolved the tension between the terms of the English and Australian patents Acts and personal property rights by the implied licence theory. At the time that the </w:t>
      </w:r>
      <w:r w:rsidRPr="0044114E">
        <w:rPr>
          <w:rFonts w:ascii="Times New Roman" w:hAnsi="Times New Roman"/>
          <w:i/>
        </w:rPr>
        <w:t>Patents Act 1990</w:t>
      </w:r>
      <w:r w:rsidRPr="0044114E">
        <w:rPr>
          <w:rFonts w:ascii="Times New Roman" w:hAnsi="Times New Roman"/>
        </w:rPr>
        <w:t xml:space="preserve"> was enacted, that had been the law for about 80 years</w:t>
      </w:r>
      <w:r w:rsidRPr="0044114E">
        <w:rPr>
          <w:rStyle w:val="FootnoteReference"/>
          <w:rFonts w:ascii="Times New Roman" w:hAnsi="Times New Roman"/>
          <w:sz w:val="24"/>
        </w:rPr>
        <w:footnoteReference w:id="386"/>
      </w:r>
      <w:r w:rsidRPr="0044114E">
        <w:rPr>
          <w:rFonts w:ascii="Times New Roman" w:hAnsi="Times New Roman"/>
        </w:rPr>
        <w:t>.</w:t>
      </w:r>
    </w:p>
    <w:p w14:paraId="7DED8567"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hAnsi="Times New Roman"/>
        </w:rPr>
        <w:tab/>
        <w:t>There have been successive iterations of patents Acts in Australia</w:t>
      </w:r>
      <w:r w:rsidRPr="0044114E">
        <w:rPr>
          <w:rStyle w:val="FootnoteReference"/>
          <w:rFonts w:ascii="Times New Roman" w:hAnsi="Times New Roman"/>
          <w:sz w:val="24"/>
        </w:rPr>
        <w:footnoteReference w:id="387"/>
      </w:r>
      <w:r w:rsidRPr="0044114E">
        <w:rPr>
          <w:rFonts w:ascii="Times New Roman" w:hAnsi="Times New Roman"/>
        </w:rPr>
        <w:t xml:space="preserve">, including the </w:t>
      </w:r>
      <w:r w:rsidRPr="0044114E">
        <w:rPr>
          <w:rFonts w:ascii="Times New Roman" w:hAnsi="Times New Roman"/>
          <w:i/>
        </w:rPr>
        <w:t>Patents Act 1990</w:t>
      </w:r>
      <w:r w:rsidRPr="0044114E">
        <w:rPr>
          <w:rFonts w:ascii="Times New Roman" w:hAnsi="Times New Roman"/>
        </w:rPr>
        <w:t>,</w:t>
      </w:r>
      <w:r w:rsidRPr="0044114E">
        <w:rPr>
          <w:rFonts w:ascii="Times New Roman" w:hAnsi="Times New Roman"/>
          <w:i/>
        </w:rPr>
        <w:t xml:space="preserve"> </w:t>
      </w:r>
      <w:r w:rsidRPr="0044114E">
        <w:rPr>
          <w:rFonts w:ascii="Times New Roman" w:hAnsi="Times New Roman"/>
        </w:rPr>
        <w:t xml:space="preserve">with which this appeal is concerned and which was enacted after </w:t>
      </w:r>
      <w:r w:rsidRPr="0044114E">
        <w:rPr>
          <w:rFonts w:ascii="Times New Roman" w:hAnsi="Times New Roman"/>
          <w:i/>
        </w:rPr>
        <w:t>Time</w:t>
      </w:r>
      <w:r w:rsidRPr="0044114E">
        <w:rPr>
          <w:rFonts w:ascii="Times New Roman" w:hAnsi="Times New Roman"/>
          <w:i/>
        </w:rPr>
        <w:noBreakHyphen/>
        <w:t>Life International</w:t>
      </w:r>
      <w:r w:rsidRPr="0044114E">
        <w:rPr>
          <w:rStyle w:val="FootnoteReference"/>
          <w:rFonts w:ascii="Times New Roman" w:hAnsi="Times New Roman"/>
          <w:sz w:val="24"/>
        </w:rPr>
        <w:footnoteReference w:id="388"/>
      </w:r>
      <w:r w:rsidRPr="0044114E">
        <w:rPr>
          <w:rFonts w:ascii="Times New Roman" w:hAnsi="Times New Roman"/>
        </w:rPr>
        <w:t>, and no attempt has been made to overturn that settled understanding. The pages of the Commonwealth Law Reports</w:t>
      </w:r>
      <w:r w:rsidRPr="0044114E">
        <w:rPr>
          <w:rStyle w:val="FootnoteReference"/>
          <w:rFonts w:ascii="Times New Roman" w:hAnsi="Times New Roman"/>
          <w:sz w:val="24"/>
        </w:rPr>
        <w:footnoteReference w:id="389"/>
      </w:r>
      <w:r w:rsidRPr="0044114E">
        <w:rPr>
          <w:rFonts w:ascii="Times New Roman" w:hAnsi="Times New Roman"/>
        </w:rPr>
        <w:t>, and</w:t>
      </w:r>
      <w:r>
        <w:rPr>
          <w:rFonts w:ascii="Times New Roman" w:hAnsi="Times New Roman"/>
        </w:rPr>
        <w:t> </w:t>
      </w:r>
      <w:r w:rsidRPr="0044114E">
        <w:rPr>
          <w:rFonts w:ascii="Times New Roman" w:hAnsi="Times New Roman"/>
        </w:rPr>
        <w:t>the Federal Court Reports</w:t>
      </w:r>
      <w:r w:rsidRPr="0044114E">
        <w:rPr>
          <w:rStyle w:val="FootnoteReference"/>
          <w:rFonts w:ascii="Times New Roman" w:hAnsi="Times New Roman"/>
          <w:sz w:val="24"/>
        </w:rPr>
        <w:footnoteReference w:id="390"/>
      </w:r>
      <w:r w:rsidRPr="0044114E">
        <w:rPr>
          <w:rFonts w:ascii="Times New Roman" w:hAnsi="Times New Roman"/>
        </w:rPr>
        <w:t>, as well as those of law reports in the United Kingdom</w:t>
      </w:r>
      <w:r w:rsidRPr="0044114E">
        <w:rPr>
          <w:rStyle w:val="FootnoteReference"/>
          <w:rFonts w:ascii="Times New Roman" w:hAnsi="Times New Roman"/>
          <w:sz w:val="24"/>
        </w:rPr>
        <w:footnoteReference w:id="391"/>
      </w:r>
      <w:r w:rsidRPr="0044114E">
        <w:rPr>
          <w:rFonts w:ascii="Times New Roman" w:hAnsi="Times New Roman"/>
        </w:rPr>
        <w:t xml:space="preserve">, are not blank and should not be read as though the authority of a </w:t>
      </w:r>
      <w:r w:rsidRPr="0044114E">
        <w:rPr>
          <w:rFonts w:ascii="Times New Roman" w:hAnsi="Times New Roman"/>
        </w:rPr>
        <w:lastRenderedPageBreak/>
        <w:t>decision (in this case one that has stood unchallenged for more than a century) "did</w:t>
      </w:r>
      <w:r>
        <w:rPr>
          <w:rFonts w:ascii="Times New Roman" w:hAnsi="Times New Roman"/>
        </w:rPr>
        <w:t> </w:t>
      </w:r>
      <w:r w:rsidRPr="0044114E">
        <w:rPr>
          <w:rFonts w:ascii="Times New Roman" w:hAnsi="Times New Roman"/>
        </w:rPr>
        <w:t>not survive beyond the rising of the Court"</w:t>
      </w:r>
      <w:r w:rsidRPr="0044114E">
        <w:rPr>
          <w:rStyle w:val="FootnoteReference"/>
          <w:rFonts w:ascii="Times New Roman" w:hAnsi="Times New Roman"/>
          <w:sz w:val="24"/>
        </w:rPr>
        <w:footnoteReference w:id="392"/>
      </w:r>
      <w:r w:rsidRPr="0044114E">
        <w:rPr>
          <w:rFonts w:ascii="Times New Roman" w:hAnsi="Times New Roman"/>
        </w:rPr>
        <w:t>. It is for Parliament, not the courts, to make such a fundamental change to patent rights</w:t>
      </w:r>
      <w:r w:rsidRPr="0044114E">
        <w:rPr>
          <w:rStyle w:val="FootnoteReference"/>
          <w:rFonts w:ascii="Times New Roman" w:hAnsi="Times New Roman"/>
          <w:sz w:val="24"/>
        </w:rPr>
        <w:footnoteReference w:id="393"/>
      </w:r>
      <w:r w:rsidRPr="0044114E">
        <w:rPr>
          <w:rFonts w:ascii="Times New Roman" w:hAnsi="Times New Roman"/>
        </w:rPr>
        <w:t>. Parliament, though</w:t>
      </w:r>
      <w:r>
        <w:rPr>
          <w:rFonts w:ascii="Times New Roman" w:hAnsi="Times New Roman"/>
        </w:rPr>
        <w:t> </w:t>
      </w:r>
      <w:r w:rsidRPr="0044114E">
        <w:rPr>
          <w:rFonts w:ascii="Times New Roman" w:hAnsi="Times New Roman"/>
        </w:rPr>
        <w:t>of course well able and willing to do so when appropriate and prospectively</w:t>
      </w:r>
      <w:r w:rsidRPr="0044114E">
        <w:rPr>
          <w:rStyle w:val="FootnoteReference"/>
          <w:rFonts w:ascii="Times New Roman" w:hAnsi="Times New Roman"/>
          <w:sz w:val="24"/>
        </w:rPr>
        <w:footnoteReference w:id="394"/>
      </w:r>
      <w:r w:rsidRPr="0044114E">
        <w:rPr>
          <w:rFonts w:ascii="Times New Roman" w:hAnsi="Times New Roman"/>
        </w:rPr>
        <w:t>, has chosen not to do so</w:t>
      </w:r>
      <w:r w:rsidRPr="0044114E">
        <w:rPr>
          <w:rStyle w:val="FootnoteReference"/>
          <w:rFonts w:ascii="Times New Roman" w:hAnsi="Times New Roman"/>
          <w:sz w:val="24"/>
        </w:rPr>
        <w:footnoteReference w:id="395"/>
      </w:r>
      <w:r w:rsidRPr="0044114E">
        <w:rPr>
          <w:rFonts w:ascii="Times New Roman" w:hAnsi="Times New Roman"/>
        </w:rPr>
        <w:t>.</w:t>
      </w:r>
    </w:p>
    <w:p w14:paraId="1C23BE00" w14:textId="77777777" w:rsidR="00261C63" w:rsidRPr="0044114E" w:rsidRDefault="00261C63" w:rsidP="00261C63">
      <w:pPr>
        <w:pStyle w:val="HeadingL1"/>
        <w:spacing w:after="260" w:line="280" w:lineRule="exact"/>
        <w:ind w:right="0"/>
        <w:jc w:val="both"/>
        <w:rPr>
          <w:rFonts w:ascii="Times New Roman" w:hAnsi="Times New Roman"/>
        </w:rPr>
      </w:pPr>
      <w:r w:rsidRPr="0044114E">
        <w:rPr>
          <w:rFonts w:ascii="Times New Roman" w:hAnsi="Times New Roman"/>
        </w:rPr>
        <w:t>The patents in suit</w:t>
      </w:r>
    </w:p>
    <w:p w14:paraId="223CC9F6"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It is now necessary to address whether the modification of the used Epson printer cartridges amounted to making the patented product and thereby infringed Seiko's patents. There are two patents in suit: patent number 2009233643 ("the</w:t>
      </w:r>
      <w:r>
        <w:rPr>
          <w:rFonts w:ascii="Times New Roman" w:hAnsi="Times New Roman"/>
        </w:rPr>
        <w:t> </w:t>
      </w:r>
      <w:r w:rsidRPr="0044114E">
        <w:rPr>
          <w:rFonts w:ascii="Times New Roman" w:hAnsi="Times New Roman"/>
        </w:rPr>
        <w:t>643</w:t>
      </w:r>
      <w:r>
        <w:rPr>
          <w:rFonts w:ascii="Times New Roman" w:hAnsi="Times New Roman"/>
        </w:rPr>
        <w:t> </w:t>
      </w:r>
      <w:r w:rsidRPr="0044114E">
        <w:rPr>
          <w:rFonts w:ascii="Times New Roman" w:hAnsi="Times New Roman"/>
        </w:rPr>
        <w:t>patent") and patent number 2013219239. However, the proceedings below and before this Court have been conducted on the basis that there is no material distinction between the content of the two asserted claims constituting those patents, and it is therefore sufficient to refer to claim 1 of the 643 patent alone.</w:t>
      </w:r>
    </w:p>
    <w:p w14:paraId="111CB28B"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The patent proposes "a structure for preventing the information storage medium [or memory] from shorting and becoming damaged due to a drop of liquid being deposited on the terminals connecting the printing apparatus with the storage medium". The patent specification describes an ink cartridge that has two or more devices (such as a memory and a high voltage piezoelectric device for detecting ink levels) fitted with electrical terminals that give rise to a risk of short</w:t>
      </w:r>
      <w:r w:rsidRPr="0044114E">
        <w:rPr>
          <w:rFonts w:ascii="Times New Roman" w:hAnsi="Times New Roman"/>
        </w:rPr>
        <w:noBreakHyphen/>
        <w:t xml:space="preserve">circuiting </w:t>
      </w:r>
      <w:r w:rsidRPr="0044114E">
        <w:rPr>
          <w:rFonts w:ascii="Times New Roman" w:hAnsi="Times New Roman"/>
        </w:rPr>
        <w:lastRenderedPageBreak/>
        <w:t>between the terminals, and describes two broad forms of solving the short</w:t>
      </w:r>
      <w:r w:rsidRPr="0044114E">
        <w:rPr>
          <w:rFonts w:ascii="Times New Roman" w:hAnsi="Times New Roman"/>
        </w:rPr>
        <w:noBreakHyphen/>
        <w:t>circuiting problem. The first is to position the terminals (or pads) relative to each other in a manner that reduces or prevents the likelihood of short</w:t>
      </w:r>
      <w:r w:rsidRPr="0044114E">
        <w:rPr>
          <w:rFonts w:ascii="Times New Roman" w:hAnsi="Times New Roman"/>
        </w:rPr>
        <w:noBreakHyphen/>
        <w:t>circuiting between them, and the second is to use one or more "short detection circuits" to</w:t>
      </w:r>
      <w:r>
        <w:rPr>
          <w:rFonts w:ascii="Times New Roman" w:hAnsi="Times New Roman"/>
        </w:rPr>
        <w:t> </w:t>
      </w:r>
      <w:r w:rsidRPr="0044114E">
        <w:rPr>
          <w:rFonts w:ascii="Times New Roman" w:hAnsi="Times New Roman"/>
        </w:rPr>
        <w:t>detect short</w:t>
      </w:r>
      <w:r w:rsidRPr="0044114E">
        <w:rPr>
          <w:rFonts w:ascii="Times New Roman" w:hAnsi="Times New Roman"/>
        </w:rPr>
        <w:noBreakHyphen/>
        <w:t>circuiting and take appropriate action to prevent consequent damage. In some embodiments of the invention, the two solutions are combined.</w:t>
      </w:r>
    </w:p>
    <w:p w14:paraId="14FA3F9D"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The integers of claim 1 of the 643 patent are identified in the patent as follows: </w:t>
      </w:r>
    </w:p>
    <w:p w14:paraId="5F671797" w14:textId="77777777" w:rsidR="00261C63" w:rsidRPr="0044114E" w:rsidRDefault="00261C63" w:rsidP="00261C63">
      <w:pPr>
        <w:pStyle w:val="LeftrightafterHC"/>
        <w:spacing w:before="0" w:after="260" w:line="280" w:lineRule="exact"/>
        <w:ind w:left="1440" w:right="0" w:hanging="720"/>
        <w:jc w:val="both"/>
        <w:rPr>
          <w:rFonts w:ascii="Times New Roman" w:hAnsi="Times New Roman"/>
        </w:rPr>
      </w:pPr>
      <w:r w:rsidRPr="0044114E">
        <w:rPr>
          <w:rFonts w:ascii="Times New Roman" w:hAnsi="Times New Roman"/>
        </w:rPr>
        <w:t>"[1]</w:t>
      </w:r>
      <w:r w:rsidRPr="0044114E">
        <w:rPr>
          <w:rFonts w:ascii="Times New Roman" w:hAnsi="Times New Roman"/>
        </w:rPr>
        <w:tab/>
        <w:t>A printing material container adapted to be attached to a printing apparatus by being inserted in an insertion direction, the printing apparatus having a print head and a plurality of apparatus-side terminals, the printing material container including:</w:t>
      </w:r>
    </w:p>
    <w:p w14:paraId="1100E67B" w14:textId="77777777" w:rsidR="00261C63" w:rsidRPr="0044114E"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[2]</w:t>
      </w:r>
      <w:r w:rsidRPr="0044114E">
        <w:rPr>
          <w:rFonts w:ascii="Times New Roman" w:hAnsi="Times New Roman"/>
        </w:rPr>
        <w:tab/>
        <w:t>a memory driven by a memory driving voltage;</w:t>
      </w:r>
    </w:p>
    <w:p w14:paraId="6A96C25D" w14:textId="77777777" w:rsidR="00261C63" w:rsidRPr="0044114E" w:rsidRDefault="00261C63" w:rsidP="00261C63">
      <w:pPr>
        <w:pStyle w:val="leftright"/>
        <w:spacing w:before="0" w:after="260" w:line="280" w:lineRule="exact"/>
        <w:ind w:left="1440" w:right="0" w:hanging="720"/>
        <w:jc w:val="both"/>
        <w:rPr>
          <w:rFonts w:ascii="Times New Roman" w:hAnsi="Times New Roman"/>
        </w:rPr>
      </w:pPr>
      <w:r w:rsidRPr="0044114E">
        <w:rPr>
          <w:rFonts w:ascii="Times New Roman" w:hAnsi="Times New Roman"/>
        </w:rPr>
        <w:t>[3]</w:t>
      </w:r>
      <w:r w:rsidRPr="0044114E">
        <w:rPr>
          <w:rFonts w:ascii="Times New Roman" w:hAnsi="Times New Roman"/>
        </w:rPr>
        <w:tab/>
        <w:t>an electronic device driven by a higher voltage than the memory driving voltage;</w:t>
      </w:r>
    </w:p>
    <w:p w14:paraId="34AB6724" w14:textId="77777777" w:rsidR="00261C63" w:rsidRPr="0044114E" w:rsidRDefault="00261C63" w:rsidP="00261C63">
      <w:pPr>
        <w:pStyle w:val="leftright"/>
        <w:spacing w:before="0" w:after="260" w:line="280" w:lineRule="exact"/>
        <w:ind w:left="1440" w:right="0" w:hanging="720"/>
        <w:jc w:val="both"/>
        <w:rPr>
          <w:rFonts w:ascii="Times New Roman" w:hAnsi="Times New Roman"/>
        </w:rPr>
      </w:pPr>
      <w:r w:rsidRPr="0044114E">
        <w:rPr>
          <w:rFonts w:ascii="Times New Roman" w:hAnsi="Times New Roman"/>
        </w:rPr>
        <w:t xml:space="preserve">[4] </w:t>
      </w:r>
      <w:r w:rsidRPr="0044114E">
        <w:rPr>
          <w:rFonts w:ascii="Times New Roman" w:hAnsi="Times New Roman"/>
        </w:rPr>
        <w:tab/>
        <w:t xml:space="preserve">a plurality of terminals including a plurality of memory terminals electrically connected to the memory, and a first electronic device terminal and a second electronic device terminal electrically connected to the electronic device, wherein: </w:t>
      </w:r>
    </w:p>
    <w:p w14:paraId="2EA0A57F" w14:textId="77777777" w:rsidR="00261C63" w:rsidRPr="0044114E" w:rsidRDefault="00261C63" w:rsidP="00261C63">
      <w:pPr>
        <w:pStyle w:val="leftright"/>
        <w:spacing w:before="0" w:after="260" w:line="280" w:lineRule="exact"/>
        <w:ind w:left="1440" w:right="0" w:hanging="720"/>
        <w:jc w:val="both"/>
        <w:rPr>
          <w:rFonts w:ascii="Times New Roman" w:hAnsi="Times New Roman"/>
        </w:rPr>
      </w:pPr>
      <w:r w:rsidRPr="0044114E">
        <w:rPr>
          <w:rFonts w:ascii="Times New Roman" w:hAnsi="Times New Roman"/>
        </w:rPr>
        <w:t>[5]</w:t>
      </w:r>
      <w:r w:rsidRPr="0044114E">
        <w:rPr>
          <w:rFonts w:ascii="Times New Roman" w:hAnsi="Times New Roman"/>
        </w:rPr>
        <w:tab/>
        <w:t>the plurality of terminals each include a contact portion for contacting a corresponding terminal of the plurality of apparatus</w:t>
      </w:r>
      <w:r w:rsidRPr="0044114E">
        <w:rPr>
          <w:rFonts w:ascii="Times New Roman" w:hAnsi="Times New Roman"/>
        </w:rPr>
        <w:noBreakHyphen/>
        <w:t xml:space="preserve">side terminals, </w:t>
      </w:r>
    </w:p>
    <w:p w14:paraId="63F9D5AC" w14:textId="77777777" w:rsidR="00261C63" w:rsidRPr="0044114E" w:rsidRDefault="00261C63" w:rsidP="00261C63">
      <w:pPr>
        <w:pStyle w:val="leftright"/>
        <w:spacing w:before="0" w:after="260" w:line="280" w:lineRule="exact"/>
        <w:ind w:left="1440" w:right="0" w:hanging="720"/>
        <w:jc w:val="both"/>
        <w:rPr>
          <w:rFonts w:ascii="Times New Roman" w:hAnsi="Times New Roman"/>
        </w:rPr>
      </w:pPr>
      <w:r w:rsidRPr="0044114E">
        <w:rPr>
          <w:rFonts w:ascii="Times New Roman" w:hAnsi="Times New Roman"/>
        </w:rPr>
        <w:t>[6]</w:t>
      </w:r>
      <w:r w:rsidRPr="0044114E">
        <w:rPr>
          <w:rFonts w:ascii="Times New Roman" w:hAnsi="Times New Roman"/>
        </w:rPr>
        <w:tab/>
        <w:t>the contact portions are arranged in a first row of contact portions and in a second row of contact portions, the first row of contact portions and the second row of contact portions extending in a row direction which is generally orthogonal to the insertion direction,</w:t>
      </w:r>
    </w:p>
    <w:p w14:paraId="02870DD7" w14:textId="77777777" w:rsidR="00261C63" w:rsidRPr="0044114E" w:rsidRDefault="00261C63" w:rsidP="00261C63">
      <w:pPr>
        <w:pStyle w:val="leftright"/>
        <w:spacing w:before="0" w:after="260" w:line="280" w:lineRule="exact"/>
        <w:ind w:left="1440" w:right="0" w:hanging="720"/>
        <w:jc w:val="both"/>
        <w:rPr>
          <w:rFonts w:ascii="Times New Roman" w:hAnsi="Times New Roman"/>
        </w:rPr>
      </w:pPr>
      <w:r w:rsidRPr="0044114E">
        <w:rPr>
          <w:rFonts w:ascii="Times New Roman" w:hAnsi="Times New Roman"/>
        </w:rPr>
        <w:t>[7]</w:t>
      </w:r>
      <w:r w:rsidRPr="0044114E">
        <w:rPr>
          <w:rFonts w:ascii="Times New Roman" w:hAnsi="Times New Roman"/>
        </w:rPr>
        <w:tab/>
        <w:t xml:space="preserve">the first row of contact portions is disposed at a location that is further in the insertion direction than the second row of contact portions, </w:t>
      </w:r>
    </w:p>
    <w:p w14:paraId="122AA93B" w14:textId="77777777" w:rsidR="00261C63" w:rsidRPr="0044114E" w:rsidRDefault="00261C63" w:rsidP="00261C63">
      <w:pPr>
        <w:pStyle w:val="leftright"/>
        <w:spacing w:before="0" w:after="260" w:line="280" w:lineRule="exact"/>
        <w:ind w:left="1440" w:right="0" w:hanging="720"/>
        <w:jc w:val="both"/>
        <w:rPr>
          <w:rFonts w:ascii="Times New Roman" w:hAnsi="Times New Roman"/>
        </w:rPr>
      </w:pPr>
      <w:r w:rsidRPr="0044114E">
        <w:rPr>
          <w:rFonts w:ascii="Times New Roman" w:hAnsi="Times New Roman"/>
        </w:rPr>
        <w:t>[8]</w:t>
      </w:r>
      <w:r w:rsidRPr="0044114E">
        <w:rPr>
          <w:rFonts w:ascii="Times New Roman" w:hAnsi="Times New Roman"/>
        </w:rPr>
        <w:tab/>
        <w:t xml:space="preserve">the first row of contact portions is longer than the second row of contact portions, and, </w:t>
      </w:r>
    </w:p>
    <w:p w14:paraId="09AAF1CA" w14:textId="77777777" w:rsidR="00261C63" w:rsidRPr="0044114E" w:rsidRDefault="00261C63" w:rsidP="00261C63">
      <w:pPr>
        <w:pStyle w:val="leftright"/>
        <w:spacing w:before="0" w:after="260" w:line="280" w:lineRule="exact"/>
        <w:ind w:left="1440" w:right="0" w:hanging="720"/>
        <w:jc w:val="both"/>
        <w:rPr>
          <w:rFonts w:ascii="Times New Roman" w:hAnsi="Times New Roman"/>
        </w:rPr>
      </w:pPr>
      <w:r w:rsidRPr="0044114E">
        <w:rPr>
          <w:rFonts w:ascii="Times New Roman" w:hAnsi="Times New Roman"/>
        </w:rPr>
        <w:t>[9]</w:t>
      </w:r>
      <w:r w:rsidRPr="0044114E">
        <w:rPr>
          <w:rFonts w:ascii="Times New Roman" w:hAnsi="Times New Roman"/>
        </w:rPr>
        <w:tab/>
        <w:t xml:space="preserve">the first row of contact portions has a first end position and a second end position at opposite ends thereof, </w:t>
      </w:r>
    </w:p>
    <w:p w14:paraId="7E0A8315" w14:textId="77777777" w:rsidR="00261C63" w:rsidRPr="0044114E" w:rsidRDefault="00261C63" w:rsidP="00261C63">
      <w:pPr>
        <w:pStyle w:val="leftright"/>
        <w:spacing w:before="0" w:after="260" w:line="280" w:lineRule="exact"/>
        <w:ind w:left="1440" w:right="0" w:hanging="720"/>
        <w:jc w:val="both"/>
        <w:rPr>
          <w:rFonts w:ascii="Times New Roman" w:hAnsi="Times New Roman"/>
        </w:rPr>
      </w:pPr>
      <w:r w:rsidRPr="0044114E">
        <w:rPr>
          <w:rFonts w:ascii="Times New Roman" w:hAnsi="Times New Roman"/>
        </w:rPr>
        <w:lastRenderedPageBreak/>
        <w:t>[10]</w:t>
      </w:r>
      <w:r w:rsidRPr="0044114E">
        <w:rPr>
          <w:rFonts w:ascii="Times New Roman" w:hAnsi="Times New Roman"/>
        </w:rPr>
        <w:tab/>
        <w:t xml:space="preserve">a contact portion of the first electronic device terminal is disposed at the first end position in the first row of contact portions and </w:t>
      </w:r>
    </w:p>
    <w:p w14:paraId="7453BF60" w14:textId="77777777" w:rsidR="00261C63" w:rsidRDefault="00261C63" w:rsidP="00261C63">
      <w:pPr>
        <w:pStyle w:val="leftright"/>
        <w:spacing w:before="0" w:after="260" w:line="280" w:lineRule="exact"/>
        <w:ind w:left="1440" w:right="0" w:hanging="720"/>
        <w:jc w:val="both"/>
        <w:rPr>
          <w:rFonts w:ascii="Times New Roman" w:hAnsi="Times New Roman"/>
        </w:rPr>
      </w:pPr>
      <w:r w:rsidRPr="0044114E">
        <w:rPr>
          <w:rFonts w:ascii="Times New Roman" w:hAnsi="Times New Roman"/>
        </w:rPr>
        <w:t>[11]</w:t>
      </w:r>
      <w:r w:rsidRPr="0044114E">
        <w:rPr>
          <w:rFonts w:ascii="Times New Roman" w:hAnsi="Times New Roman"/>
        </w:rPr>
        <w:tab/>
        <w:t>a contact portion of the second electronic device terminal is disposed at the second end position in the first row of contact portions."</w:t>
      </w:r>
    </w:p>
    <w:p w14:paraId="4BE1C4BA" w14:textId="77777777" w:rsidR="00261C63" w:rsidRPr="0044114E" w:rsidRDefault="00261C63" w:rsidP="00261C63">
      <w:pPr>
        <w:pStyle w:val="HeadingL1"/>
        <w:spacing w:after="260" w:line="280" w:lineRule="exact"/>
        <w:ind w:right="0"/>
        <w:jc w:val="both"/>
        <w:rPr>
          <w:rFonts w:ascii="Times New Roman" w:hAnsi="Times New Roman"/>
        </w:rPr>
      </w:pPr>
      <w:r w:rsidRPr="0044114E">
        <w:rPr>
          <w:rFonts w:ascii="Times New Roman" w:hAnsi="Times New Roman"/>
        </w:rPr>
        <w:t>The facts</w:t>
      </w:r>
    </w:p>
    <w:p w14:paraId="2F450157"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The facts as found by the primary judge are in substance as follows. Seiko</w:t>
      </w:r>
      <w:r>
        <w:rPr>
          <w:rFonts w:ascii="Times New Roman" w:hAnsi="Times New Roman"/>
        </w:rPr>
        <w:t> </w:t>
      </w:r>
      <w:r w:rsidRPr="0044114E">
        <w:rPr>
          <w:rFonts w:ascii="Times New Roman" w:hAnsi="Times New Roman"/>
        </w:rPr>
        <w:t>sells printer products, including printer cartridges ("original Epson printer cartridges"), under or by reference to the trade mark "EPSON". All original Epson printer cartridges embody the invention claimed in Seiko's patents.</w:t>
      </w:r>
    </w:p>
    <w:p w14:paraId="0551446B"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There are several different types of original Epson printer cartridges, and</w:t>
      </w:r>
      <w:r>
        <w:rPr>
          <w:rFonts w:ascii="Times New Roman" w:hAnsi="Times New Roman"/>
        </w:rPr>
        <w:t> </w:t>
      </w:r>
      <w:r w:rsidRPr="0044114E">
        <w:rPr>
          <w:rFonts w:ascii="Times New Roman" w:hAnsi="Times New Roman"/>
        </w:rPr>
        <w:t>each type is designed to fit a different range of Epson printers. All original Epson printer cartridges have an integrated circuit chip mounted on or connected to a printed circuit board (or integrated circuit board). But the type of circuit chip fitted to each type of printer cartridge is peculiar to that type of cartridge and has differing compatibility with Epson printers.</w:t>
      </w:r>
    </w:p>
    <w:p w14:paraId="19BA803C"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A memory chip on an original Epson printer cartridge stores information about the printer cartridge. The memory chip's primary function is to store information about the amount of ink remaining in the cartridge. When the memory chip signals to the printer that the ink remaining in the cartridge is below a pre</w:t>
      </w:r>
      <w:r w:rsidRPr="0044114E">
        <w:rPr>
          <w:rFonts w:ascii="Times New Roman" w:hAnsi="Times New Roman"/>
        </w:rPr>
        <w:noBreakHyphen/>
        <w:t>determined level, the printer ceases to operate. Other functions of the memory chip include storing information about the original size of the ink supply (for</w:t>
      </w:r>
      <w:r>
        <w:rPr>
          <w:rFonts w:ascii="Times New Roman" w:hAnsi="Times New Roman"/>
        </w:rPr>
        <w:t> </w:t>
      </w:r>
      <w:r w:rsidRPr="0044114E">
        <w:rPr>
          <w:rFonts w:ascii="Times New Roman" w:hAnsi="Times New Roman"/>
        </w:rPr>
        <w:t>example, whether it is a regular or high</w:t>
      </w:r>
      <w:r w:rsidRPr="0044114E">
        <w:rPr>
          <w:rFonts w:ascii="Times New Roman" w:hAnsi="Times New Roman"/>
        </w:rPr>
        <w:noBreakHyphen/>
        <w:t>capacity cartridge), the expiration date of the cartridge, and the length of time since the cartridge was first inserted into the printer. The memory chip has two different operating modes: "normal" mode and "test" mode. A cartridge is in normal mode when in use in a printer, and test mode is selected when the chip is being tested after manufacture or when certain types of data stored on the chip are rewritten.</w:t>
      </w:r>
    </w:p>
    <w:p w14:paraId="22D63C97"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Seiko designs and manufactures original Epson printer cartridges with the intention that, once the ink in the cartridge has been consumed, the purchaser will discard the used cartridge and purchase another new original Epson printer cartridge to replace it. There is, however, a substantial international trade in recovering discarded used printer cartridges and reconditioning them for resale at cheaper prices than new original </w:t>
      </w:r>
      <w:r w:rsidRPr="0044114E" w:rsidDel="001F76C0">
        <w:rPr>
          <w:rFonts w:ascii="Times New Roman" w:hAnsi="Times New Roman"/>
        </w:rPr>
        <w:t xml:space="preserve">replacement </w:t>
      </w:r>
      <w:r w:rsidRPr="0044114E">
        <w:rPr>
          <w:rFonts w:ascii="Times New Roman" w:hAnsi="Times New Roman"/>
        </w:rPr>
        <w:t>cartridges.</w:t>
      </w:r>
      <w:bookmarkStart w:id="8" w:name="_Ref494877248"/>
      <w:bookmarkEnd w:id="8"/>
      <w:r w:rsidRPr="0044114E">
        <w:rPr>
          <w:rFonts w:ascii="Times New Roman" w:hAnsi="Times New Roman"/>
        </w:rPr>
        <w:t xml:space="preserve"> </w:t>
      </w:r>
    </w:p>
    <w:p w14:paraId="0FDF2894"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r>
      <w:proofErr w:type="spellStart"/>
      <w:r w:rsidRPr="0044114E">
        <w:rPr>
          <w:rFonts w:ascii="Times New Roman" w:hAnsi="Times New Roman"/>
        </w:rPr>
        <w:t>Ninestar</w:t>
      </w:r>
      <w:proofErr w:type="spellEnd"/>
      <w:r w:rsidRPr="0044114E">
        <w:rPr>
          <w:rFonts w:ascii="Times New Roman" w:hAnsi="Times New Roman"/>
        </w:rPr>
        <w:t xml:space="preserve"> is one of the world's largest manufacturers of generic printer consumables and is part of that trade. It purchases discarded used original Epson printer cartridges from third party suppliers who acquire them from recycling facilities and other sources, and then </w:t>
      </w:r>
      <w:proofErr w:type="spellStart"/>
      <w:r w:rsidRPr="0044114E">
        <w:rPr>
          <w:rFonts w:ascii="Times New Roman" w:hAnsi="Times New Roman"/>
        </w:rPr>
        <w:t>Ninestar</w:t>
      </w:r>
      <w:proofErr w:type="spellEnd"/>
      <w:r w:rsidRPr="0044114E">
        <w:rPr>
          <w:rFonts w:ascii="Times New Roman" w:hAnsi="Times New Roman"/>
        </w:rPr>
        <w:t xml:space="preserve"> reconditions the used cartridges to a </w:t>
      </w:r>
      <w:r w:rsidRPr="0044114E">
        <w:rPr>
          <w:rFonts w:ascii="Times New Roman" w:hAnsi="Times New Roman"/>
        </w:rPr>
        <w:lastRenderedPageBreak/>
        <w:t>standard suitable for resale as generic, recycled replacement cartridges. The work involved in reconditioning the used original Epson printer cartridges varies between the different types of cartridge.</w:t>
      </w:r>
    </w:p>
    <w:p w14:paraId="7F246052"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When </w:t>
      </w:r>
      <w:proofErr w:type="spellStart"/>
      <w:r w:rsidRPr="0044114E">
        <w:rPr>
          <w:rFonts w:ascii="Times New Roman" w:hAnsi="Times New Roman"/>
        </w:rPr>
        <w:t>Ninestar</w:t>
      </w:r>
      <w:proofErr w:type="spellEnd"/>
      <w:r w:rsidRPr="0044114E">
        <w:rPr>
          <w:rFonts w:ascii="Times New Roman" w:hAnsi="Times New Roman"/>
        </w:rPr>
        <w:t xml:space="preserve"> acquires a used original Epson printer cartridge, the</w:t>
      </w:r>
      <w:r>
        <w:rPr>
          <w:rFonts w:ascii="Times New Roman" w:hAnsi="Times New Roman"/>
        </w:rPr>
        <w:t> </w:t>
      </w:r>
      <w:r w:rsidRPr="0044114E">
        <w:rPr>
          <w:rFonts w:ascii="Times New Roman" w:hAnsi="Times New Roman"/>
        </w:rPr>
        <w:t xml:space="preserve">information on the cartridge's memory chip records that the cartridge is "used", such that the cartridge will not produce ink when connected to a printer because the chip conveys information to the printer that the cartridge is empty. In order to make the used cartridge ready for resale, it is necessary for </w:t>
      </w:r>
      <w:proofErr w:type="spellStart"/>
      <w:r w:rsidRPr="0044114E">
        <w:rPr>
          <w:rFonts w:ascii="Times New Roman" w:hAnsi="Times New Roman"/>
        </w:rPr>
        <w:t>Ninestar</w:t>
      </w:r>
      <w:proofErr w:type="spellEnd"/>
      <w:r w:rsidRPr="0044114E">
        <w:rPr>
          <w:rFonts w:ascii="Times New Roman" w:hAnsi="Times New Roman"/>
        </w:rPr>
        <w:t xml:space="preserve"> both to refill the cartridge with ink, and to reconfigure or rewrite the information on the memory chip, or replace the memory chip with another, so as to indicate to any printer in which the cartridge is installed that it is not used or empty.</w:t>
      </w:r>
    </w:p>
    <w:p w14:paraId="31903096"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Apex Microelectronics Co Ltd ("AMC") is a related company of </w:t>
      </w:r>
      <w:proofErr w:type="spellStart"/>
      <w:r w:rsidRPr="0044114E">
        <w:rPr>
          <w:rFonts w:ascii="Times New Roman" w:hAnsi="Times New Roman"/>
        </w:rPr>
        <w:t>Ninestar</w:t>
      </w:r>
      <w:proofErr w:type="spellEnd"/>
      <w:r w:rsidRPr="0044114E">
        <w:rPr>
          <w:rFonts w:ascii="Times New Roman" w:hAnsi="Times New Roman"/>
        </w:rPr>
        <w:t xml:space="preserve"> and a manufacturer and supplier of equipment that rewrites the memory of memory chips installed in original equipment manufacturer ("OEM") printer cartridges, including the memory chips installed in original Epson printer cartridges. AMC also manufactures and supplies replacement integrated circuit chips ("compatible chips") that may be substituted for the OEM chips. </w:t>
      </w:r>
      <w:proofErr w:type="spellStart"/>
      <w:r w:rsidRPr="0044114E">
        <w:rPr>
          <w:rFonts w:ascii="Times New Roman" w:hAnsi="Times New Roman"/>
        </w:rPr>
        <w:t>Ninestar</w:t>
      </w:r>
      <w:proofErr w:type="spellEnd"/>
      <w:r w:rsidRPr="0044114E">
        <w:rPr>
          <w:rFonts w:ascii="Times New Roman" w:hAnsi="Times New Roman"/>
        </w:rPr>
        <w:t xml:space="preserve"> engages AMC to rewrite the memory chips installed on some of its used original Epson printer cartridges and fits AMC compatible chips to others.</w:t>
      </w:r>
    </w:p>
    <w:p w14:paraId="03A4BBA5" w14:textId="77777777" w:rsidR="00261C63" w:rsidRPr="0044114E" w:rsidRDefault="00261C63" w:rsidP="00261C63">
      <w:pPr>
        <w:pStyle w:val="HeadingL1"/>
        <w:spacing w:after="260" w:line="280" w:lineRule="exact"/>
        <w:ind w:right="0"/>
        <w:jc w:val="both"/>
        <w:rPr>
          <w:rFonts w:ascii="Times New Roman" w:hAnsi="Times New Roman"/>
        </w:rPr>
      </w:pPr>
      <w:r w:rsidRPr="0044114E">
        <w:rPr>
          <w:rFonts w:ascii="Times New Roman" w:hAnsi="Times New Roman"/>
        </w:rPr>
        <w:t>Proceedings at first instance</w:t>
      </w:r>
    </w:p>
    <w:p w14:paraId="61BF518D"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Calidad purchased from </w:t>
      </w:r>
      <w:proofErr w:type="spellStart"/>
      <w:r w:rsidRPr="0044114E">
        <w:rPr>
          <w:rFonts w:ascii="Times New Roman" w:hAnsi="Times New Roman"/>
        </w:rPr>
        <w:t>Ninestar</w:t>
      </w:r>
      <w:proofErr w:type="spellEnd"/>
      <w:r w:rsidRPr="0044114E">
        <w:rPr>
          <w:rFonts w:ascii="Times New Roman" w:hAnsi="Times New Roman"/>
        </w:rPr>
        <w:t xml:space="preserve"> and imported into Australia and resold to purchasers in Australia 11 different categories of original Epson printer cartridges reconditioned by </w:t>
      </w:r>
      <w:proofErr w:type="spellStart"/>
      <w:r w:rsidRPr="0044114E">
        <w:rPr>
          <w:rFonts w:ascii="Times New Roman" w:hAnsi="Times New Roman"/>
        </w:rPr>
        <w:t>Ninestar</w:t>
      </w:r>
      <w:proofErr w:type="spellEnd"/>
      <w:r w:rsidRPr="0044114E">
        <w:rPr>
          <w:rFonts w:ascii="Times New Roman" w:hAnsi="Times New Roman"/>
        </w:rPr>
        <w:t>. Seiko alleged that, by so doing, Calidad infringed the claims of its patents. Calidad accepted that each of the reconditioned printer cartridges fell within the claims of Seiko's patents but contended that it had a complete answer to the allegation of patent infringement, on the basis either that Seiko's patent rights in relation to the cartridges were exhausted upon Seiko's initial sale of the cartridges or, alternatively, that by selling the cartridges to the initial purchasers, Seiko impliedly licensed the initial purchaser, and all subsequent purchasers, to use the cartridges despite Seiko's patent rights in respect of the cartridges.</w:t>
      </w:r>
    </w:p>
    <w:p w14:paraId="03A8794D"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The primary judge held</w:t>
      </w:r>
      <w:r w:rsidRPr="0044114E">
        <w:rPr>
          <w:rStyle w:val="FootnoteReference"/>
          <w:rFonts w:ascii="Times New Roman" w:hAnsi="Times New Roman"/>
          <w:sz w:val="24"/>
        </w:rPr>
        <w:footnoteReference w:id="396"/>
      </w:r>
      <w:r w:rsidRPr="0044114E">
        <w:rPr>
          <w:rFonts w:ascii="Times New Roman" w:hAnsi="Times New Roman"/>
        </w:rPr>
        <w:t xml:space="preserve"> that a defence relying on the exhaustion theory was not available under the law in Australia and that while the implied licence defence succeeded in respect of four of the categories of cartridges</w:t>
      </w:r>
      <w:r>
        <w:rPr>
          <w:rFonts w:ascii="Times New Roman" w:hAnsi="Times New Roman"/>
        </w:rPr>
        <w:t xml:space="preserve"> </w:t>
      </w:r>
      <w:r w:rsidRPr="0044114E">
        <w:rPr>
          <w:rFonts w:ascii="Times New Roman" w:hAnsi="Times New Roman"/>
        </w:rPr>
        <w:t>(Categories 1,</w:t>
      </w:r>
      <w:r>
        <w:rPr>
          <w:rFonts w:ascii="Times New Roman" w:hAnsi="Times New Roman"/>
        </w:rPr>
        <w:t> </w:t>
      </w:r>
      <w:r w:rsidRPr="0044114E">
        <w:rPr>
          <w:rFonts w:ascii="Times New Roman" w:hAnsi="Times New Roman"/>
        </w:rPr>
        <w:t xml:space="preserve">2, 3 and A, described below), on the basis that the modifications that </w:t>
      </w:r>
      <w:proofErr w:type="spellStart"/>
      <w:r w:rsidRPr="0044114E">
        <w:rPr>
          <w:rFonts w:ascii="Times New Roman" w:hAnsi="Times New Roman"/>
        </w:rPr>
        <w:lastRenderedPageBreak/>
        <w:t>Ninestar</w:t>
      </w:r>
      <w:proofErr w:type="spellEnd"/>
      <w:r w:rsidRPr="0044114E">
        <w:rPr>
          <w:rFonts w:ascii="Times New Roman" w:hAnsi="Times New Roman"/>
        </w:rPr>
        <w:t xml:space="preserve"> made to those original cartridges in the process of reconditioning them did not materially alter them, the defence failed in respect of the remaining categories of cartridges because the modifications which </w:t>
      </w:r>
      <w:proofErr w:type="spellStart"/>
      <w:r w:rsidRPr="0044114E">
        <w:rPr>
          <w:rFonts w:ascii="Times New Roman" w:hAnsi="Times New Roman"/>
        </w:rPr>
        <w:t>Ninestar</w:t>
      </w:r>
      <w:proofErr w:type="spellEnd"/>
      <w:r w:rsidRPr="0044114E">
        <w:rPr>
          <w:rFonts w:ascii="Times New Roman" w:hAnsi="Times New Roman"/>
        </w:rPr>
        <w:t xml:space="preserve"> made in reconditioning those categories of cartridges did materially alter them.</w:t>
      </w:r>
    </w:p>
    <w:p w14:paraId="714221BD" w14:textId="77777777" w:rsidR="00261C63" w:rsidRPr="008757D7"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The primary judge usefully summarised the 11 different categories of original Epson printer cartridges, and the extent of modifications involved in each, as follows</w:t>
      </w:r>
      <w:r w:rsidRPr="0044114E">
        <w:rPr>
          <w:rStyle w:val="FootnoteReference"/>
          <w:rFonts w:ascii="Times New Roman" w:hAnsi="Times New Roman"/>
          <w:sz w:val="24"/>
        </w:rPr>
        <w:footnoteReference w:id="397"/>
      </w:r>
      <w:r w:rsidRPr="0044114E">
        <w:rPr>
          <w:rFonts w:ascii="Times New Roman" w:hAnsi="Times New Roman"/>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8"/>
        <w:gridCol w:w="3749"/>
        <w:gridCol w:w="3251"/>
      </w:tblGrid>
      <w:tr w:rsidR="00261C63" w:rsidRPr="0044114E" w14:paraId="31B69257" w14:textId="77777777" w:rsidTr="00261C63">
        <w:trPr>
          <w:tblCellSpacing w:w="15" w:type="dxa"/>
        </w:trPr>
        <w:tc>
          <w:tcPr>
            <w:tcW w:w="1443" w:type="dxa"/>
            <w:tcBorders>
              <w:top w:val="outset" w:sz="6" w:space="0" w:color="auto"/>
              <w:left w:val="outset" w:sz="6" w:space="0" w:color="auto"/>
              <w:bottom w:val="outset" w:sz="6" w:space="0" w:color="auto"/>
              <w:right w:val="outset" w:sz="6" w:space="0" w:color="auto"/>
            </w:tcBorders>
            <w:hideMark/>
          </w:tcPr>
          <w:p w14:paraId="1115344B"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b/>
                <w:bCs/>
                <w:sz w:val="24"/>
                <w:szCs w:val="24"/>
              </w:rPr>
              <w:t>No</w:t>
            </w:r>
            <w:r w:rsidRPr="0044114E">
              <w:rPr>
                <w:rFonts w:ascii="Times New Roman" w:hAnsi="Times New Roman"/>
                <w:sz w:val="24"/>
                <w:szCs w:val="24"/>
              </w:rPr>
              <w:t xml:space="preserve"> </w:t>
            </w:r>
          </w:p>
        </w:tc>
        <w:tc>
          <w:tcPr>
            <w:tcW w:w="3719" w:type="dxa"/>
            <w:tcBorders>
              <w:top w:val="outset" w:sz="6" w:space="0" w:color="auto"/>
              <w:left w:val="outset" w:sz="6" w:space="0" w:color="auto"/>
              <w:bottom w:val="outset" w:sz="6" w:space="0" w:color="auto"/>
              <w:right w:val="outset" w:sz="6" w:space="0" w:color="auto"/>
            </w:tcBorders>
            <w:hideMark/>
          </w:tcPr>
          <w:p w14:paraId="7583D29F"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b/>
                <w:bCs/>
                <w:sz w:val="24"/>
                <w:szCs w:val="24"/>
              </w:rPr>
              <w:t>Type of modification</w:t>
            </w:r>
            <w:r w:rsidRPr="0044114E">
              <w:rPr>
                <w:rFonts w:ascii="Times New Roman" w:hAnsi="Times New Roman"/>
                <w:sz w:val="24"/>
                <w:szCs w:val="24"/>
              </w:rPr>
              <w:t xml:space="preserve"> </w:t>
            </w:r>
          </w:p>
        </w:tc>
        <w:tc>
          <w:tcPr>
            <w:tcW w:w="3206" w:type="dxa"/>
            <w:tcBorders>
              <w:top w:val="outset" w:sz="6" w:space="0" w:color="auto"/>
              <w:left w:val="outset" w:sz="6" w:space="0" w:color="auto"/>
              <w:bottom w:val="outset" w:sz="6" w:space="0" w:color="auto"/>
              <w:right w:val="outset" w:sz="6" w:space="0" w:color="auto"/>
            </w:tcBorders>
            <w:hideMark/>
          </w:tcPr>
          <w:p w14:paraId="5D341280"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b/>
                <w:bCs/>
                <w:sz w:val="24"/>
                <w:szCs w:val="24"/>
              </w:rPr>
              <w:t>Calidad model / type</w:t>
            </w:r>
            <w:r w:rsidRPr="0044114E">
              <w:rPr>
                <w:rFonts w:ascii="Times New Roman" w:hAnsi="Times New Roman"/>
                <w:sz w:val="24"/>
                <w:szCs w:val="24"/>
              </w:rPr>
              <w:t xml:space="preserve"> </w:t>
            </w:r>
          </w:p>
        </w:tc>
      </w:tr>
      <w:tr w:rsidR="00261C63" w:rsidRPr="0044114E" w14:paraId="0A20AE30" w14:textId="77777777" w:rsidTr="00261C63">
        <w:trPr>
          <w:tblCellSpacing w:w="15" w:type="dxa"/>
        </w:trPr>
        <w:tc>
          <w:tcPr>
            <w:tcW w:w="8428" w:type="dxa"/>
            <w:gridSpan w:val="3"/>
            <w:tcBorders>
              <w:top w:val="outset" w:sz="6" w:space="0" w:color="auto"/>
              <w:left w:val="outset" w:sz="6" w:space="0" w:color="auto"/>
              <w:bottom w:val="outset" w:sz="6" w:space="0" w:color="auto"/>
              <w:right w:val="outset" w:sz="6" w:space="0" w:color="auto"/>
            </w:tcBorders>
            <w:hideMark/>
          </w:tcPr>
          <w:p w14:paraId="4418E547"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b/>
                <w:bCs/>
                <w:sz w:val="24"/>
                <w:szCs w:val="24"/>
              </w:rPr>
              <w:t>Current (all cartridges sold after April 2016, excluding the Calidad 260H referred to in Category 1)</w:t>
            </w:r>
            <w:r w:rsidRPr="0044114E">
              <w:rPr>
                <w:rFonts w:ascii="Times New Roman" w:hAnsi="Times New Roman"/>
                <w:sz w:val="24"/>
                <w:szCs w:val="24"/>
              </w:rPr>
              <w:t xml:space="preserve"> </w:t>
            </w:r>
          </w:p>
        </w:tc>
      </w:tr>
      <w:tr w:rsidR="00261C63" w:rsidRPr="0044114E" w14:paraId="38C102BE" w14:textId="77777777" w:rsidTr="00261C63">
        <w:trPr>
          <w:tblCellSpacing w:w="15" w:type="dxa"/>
        </w:trPr>
        <w:tc>
          <w:tcPr>
            <w:tcW w:w="1443" w:type="dxa"/>
            <w:tcBorders>
              <w:top w:val="outset" w:sz="6" w:space="0" w:color="auto"/>
              <w:left w:val="outset" w:sz="6" w:space="0" w:color="auto"/>
              <w:bottom w:val="outset" w:sz="6" w:space="0" w:color="auto"/>
              <w:right w:val="outset" w:sz="6" w:space="0" w:color="auto"/>
            </w:tcBorders>
            <w:hideMark/>
          </w:tcPr>
          <w:p w14:paraId="22C70F4D"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b/>
                <w:bCs/>
                <w:sz w:val="24"/>
                <w:szCs w:val="24"/>
              </w:rPr>
              <w:t>Category 1</w:t>
            </w:r>
            <w:r w:rsidRPr="0044114E">
              <w:rPr>
                <w:rFonts w:ascii="Times New Roman" w:hAnsi="Times New Roman"/>
                <w:sz w:val="24"/>
                <w:szCs w:val="24"/>
              </w:rPr>
              <w:t xml:space="preserve"> </w:t>
            </w:r>
          </w:p>
        </w:tc>
        <w:tc>
          <w:tcPr>
            <w:tcW w:w="3719" w:type="dxa"/>
            <w:tcBorders>
              <w:top w:val="outset" w:sz="6" w:space="0" w:color="auto"/>
              <w:left w:val="outset" w:sz="6" w:space="0" w:color="auto"/>
              <w:bottom w:val="outset" w:sz="6" w:space="0" w:color="auto"/>
              <w:right w:val="outset" w:sz="6" w:space="0" w:color="auto"/>
            </w:tcBorders>
            <w:hideMark/>
          </w:tcPr>
          <w:p w14:paraId="49A2C8BA"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sz w:val="24"/>
                <w:szCs w:val="24"/>
              </w:rPr>
              <w:t xml:space="preserve">(1) Preparation </w:t>
            </w:r>
            <w:r w:rsidRPr="0044114E">
              <w:rPr>
                <w:rFonts w:ascii="Times New Roman" w:hAnsi="Times New Roman"/>
                <w:sz w:val="24"/>
                <w:szCs w:val="24"/>
              </w:rPr>
              <w:br/>
            </w:r>
            <w:r w:rsidRPr="0044114E">
              <w:rPr>
                <w:rFonts w:ascii="Times New Roman" w:hAnsi="Times New Roman"/>
                <w:sz w:val="24"/>
                <w:szCs w:val="24"/>
              </w:rPr>
              <w:br/>
            </w:r>
            <w:r w:rsidRPr="0044114E">
              <w:rPr>
                <w:rFonts w:ascii="Times New Roman" w:hAnsi="Times New Roman"/>
                <w:sz w:val="24"/>
                <w:szCs w:val="24"/>
              </w:rPr>
              <w:br/>
              <w:t>(2) refilling processes +</w:t>
            </w:r>
            <w:r w:rsidRPr="0044114E">
              <w:rPr>
                <w:rFonts w:ascii="Times New Roman" w:hAnsi="Times New Roman"/>
                <w:sz w:val="24"/>
                <w:szCs w:val="24"/>
              </w:rPr>
              <w:br/>
            </w:r>
            <w:r w:rsidRPr="0044114E">
              <w:rPr>
                <w:rFonts w:ascii="Times New Roman" w:hAnsi="Times New Roman"/>
                <w:sz w:val="24"/>
                <w:szCs w:val="24"/>
              </w:rPr>
              <w:br/>
            </w:r>
            <w:r w:rsidRPr="0044114E">
              <w:rPr>
                <w:rFonts w:ascii="Times New Roman" w:hAnsi="Times New Roman"/>
                <w:sz w:val="24"/>
                <w:szCs w:val="24"/>
              </w:rPr>
              <w:br/>
              <w:t xml:space="preserve">(3) Reset in normal mode; </w:t>
            </w:r>
            <w:r w:rsidRPr="0044114E">
              <w:rPr>
                <w:rFonts w:ascii="Times New Roman" w:hAnsi="Times New Roman"/>
                <w:sz w:val="24"/>
                <w:szCs w:val="24"/>
              </w:rPr>
              <w:br/>
            </w:r>
            <w:r w:rsidRPr="0044114E">
              <w:rPr>
                <w:rFonts w:ascii="Times New Roman" w:hAnsi="Times New Roman"/>
                <w:sz w:val="24"/>
                <w:szCs w:val="24"/>
              </w:rPr>
              <w:br/>
              <w:t xml:space="preserve">(4) </w:t>
            </w:r>
            <w:r w:rsidRPr="0044114E">
              <w:rPr>
                <w:rFonts w:ascii="Times New Roman" w:hAnsi="Times New Roman"/>
                <w:b/>
                <w:sz w:val="24"/>
                <w:szCs w:val="24"/>
              </w:rPr>
              <w:t xml:space="preserve">Normal mode R&amp;D processes+ </w:t>
            </w:r>
          </w:p>
        </w:tc>
        <w:tc>
          <w:tcPr>
            <w:tcW w:w="3206" w:type="dxa"/>
            <w:tcBorders>
              <w:top w:val="outset" w:sz="6" w:space="0" w:color="auto"/>
              <w:left w:val="outset" w:sz="6" w:space="0" w:color="auto"/>
              <w:bottom w:val="outset" w:sz="6" w:space="0" w:color="auto"/>
              <w:right w:val="outset" w:sz="6" w:space="0" w:color="auto"/>
            </w:tcBorders>
            <w:hideMark/>
          </w:tcPr>
          <w:p w14:paraId="04FB538D"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sz w:val="24"/>
                <w:szCs w:val="24"/>
              </w:rPr>
              <w:t xml:space="preserve">Calidad 260 Std (originally Epson T200) </w:t>
            </w:r>
            <w:r w:rsidRPr="0044114E">
              <w:rPr>
                <w:rFonts w:ascii="Times New Roman" w:hAnsi="Times New Roman"/>
                <w:sz w:val="24"/>
                <w:szCs w:val="24"/>
              </w:rPr>
              <w:br/>
            </w:r>
            <w:r w:rsidRPr="0044114E">
              <w:rPr>
                <w:rFonts w:ascii="Times New Roman" w:hAnsi="Times New Roman"/>
                <w:sz w:val="24"/>
                <w:szCs w:val="24"/>
              </w:rPr>
              <w:br/>
              <w:t>Formerly,</w:t>
            </w:r>
            <w:r w:rsidRPr="0044114E">
              <w:rPr>
                <w:rFonts w:ascii="Times New Roman" w:hAnsi="Times New Roman"/>
                <w:i/>
                <w:iCs/>
                <w:sz w:val="24"/>
                <w:szCs w:val="24"/>
              </w:rPr>
              <w:t xml:space="preserve"> </w:t>
            </w:r>
            <w:r w:rsidRPr="0044114E">
              <w:rPr>
                <w:rFonts w:ascii="Times New Roman" w:hAnsi="Times New Roman"/>
                <w:sz w:val="24"/>
                <w:szCs w:val="24"/>
              </w:rPr>
              <w:t xml:space="preserve">Calidad 260H (originally Epson T200XL) </w:t>
            </w:r>
          </w:p>
        </w:tc>
      </w:tr>
      <w:tr w:rsidR="00261C63" w:rsidRPr="0044114E" w14:paraId="2215E586" w14:textId="77777777" w:rsidTr="00261C63">
        <w:trPr>
          <w:tblCellSpacing w:w="15" w:type="dxa"/>
        </w:trPr>
        <w:tc>
          <w:tcPr>
            <w:tcW w:w="1443" w:type="dxa"/>
            <w:tcBorders>
              <w:top w:val="outset" w:sz="6" w:space="0" w:color="auto"/>
              <w:left w:val="outset" w:sz="6" w:space="0" w:color="auto"/>
              <w:bottom w:val="outset" w:sz="6" w:space="0" w:color="auto"/>
              <w:right w:val="outset" w:sz="6" w:space="0" w:color="auto"/>
            </w:tcBorders>
            <w:hideMark/>
          </w:tcPr>
          <w:p w14:paraId="5F93078A"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b/>
                <w:bCs/>
                <w:sz w:val="24"/>
                <w:szCs w:val="24"/>
              </w:rPr>
              <w:t>Category 2</w:t>
            </w:r>
            <w:r w:rsidRPr="0044114E">
              <w:rPr>
                <w:rFonts w:ascii="Times New Roman" w:hAnsi="Times New Roman"/>
                <w:sz w:val="24"/>
                <w:szCs w:val="24"/>
              </w:rPr>
              <w:t xml:space="preserve"> </w:t>
            </w:r>
          </w:p>
        </w:tc>
        <w:tc>
          <w:tcPr>
            <w:tcW w:w="3719" w:type="dxa"/>
            <w:tcBorders>
              <w:top w:val="outset" w:sz="6" w:space="0" w:color="auto"/>
              <w:left w:val="outset" w:sz="6" w:space="0" w:color="auto"/>
              <w:bottom w:val="outset" w:sz="6" w:space="0" w:color="auto"/>
              <w:right w:val="outset" w:sz="6" w:space="0" w:color="auto"/>
            </w:tcBorders>
            <w:hideMark/>
          </w:tcPr>
          <w:p w14:paraId="26953524"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sz w:val="24"/>
                <w:szCs w:val="24"/>
              </w:rPr>
              <w:t xml:space="preserve">(1) Preparation </w:t>
            </w:r>
            <w:r w:rsidRPr="0044114E">
              <w:rPr>
                <w:rFonts w:ascii="Times New Roman" w:hAnsi="Times New Roman"/>
                <w:sz w:val="24"/>
                <w:szCs w:val="24"/>
              </w:rPr>
              <w:br/>
            </w:r>
            <w:r w:rsidRPr="0044114E">
              <w:rPr>
                <w:rFonts w:ascii="Times New Roman" w:hAnsi="Times New Roman"/>
                <w:sz w:val="24"/>
                <w:szCs w:val="24"/>
              </w:rPr>
              <w:br/>
            </w:r>
            <w:r w:rsidRPr="0044114E">
              <w:rPr>
                <w:rFonts w:ascii="Times New Roman" w:hAnsi="Times New Roman"/>
                <w:sz w:val="24"/>
                <w:szCs w:val="24"/>
              </w:rPr>
              <w:br/>
              <w:t>(2) Refilling processes +</w:t>
            </w:r>
            <w:r w:rsidRPr="0044114E">
              <w:rPr>
                <w:rFonts w:ascii="Times New Roman" w:hAnsi="Times New Roman"/>
                <w:sz w:val="24"/>
                <w:szCs w:val="24"/>
              </w:rPr>
              <w:br/>
            </w:r>
            <w:r w:rsidRPr="0044114E">
              <w:rPr>
                <w:rFonts w:ascii="Times New Roman" w:hAnsi="Times New Roman"/>
                <w:sz w:val="24"/>
                <w:szCs w:val="24"/>
              </w:rPr>
              <w:br/>
              <w:t xml:space="preserve">(3) Reset/reprogram in test mode for ink level, cartridge status </w:t>
            </w:r>
            <w:r w:rsidRPr="0044114E">
              <w:rPr>
                <w:rFonts w:ascii="Times New Roman" w:hAnsi="Times New Roman"/>
                <w:sz w:val="24"/>
                <w:szCs w:val="24"/>
              </w:rPr>
              <w:br/>
            </w:r>
            <w:r w:rsidRPr="0044114E">
              <w:rPr>
                <w:rFonts w:ascii="Times New Roman" w:hAnsi="Times New Roman"/>
                <w:sz w:val="24"/>
                <w:szCs w:val="24"/>
              </w:rPr>
              <w:br/>
              <w:t>(4)</w:t>
            </w:r>
            <w:r w:rsidRPr="0044114E">
              <w:rPr>
                <w:rFonts w:ascii="Times New Roman" w:hAnsi="Times New Roman"/>
                <w:b/>
                <w:bCs/>
                <w:sz w:val="24"/>
                <w:szCs w:val="24"/>
              </w:rPr>
              <w:t xml:space="preserve"> </w:t>
            </w:r>
            <w:r w:rsidRPr="0044114E">
              <w:rPr>
                <w:rFonts w:ascii="Times New Roman" w:hAnsi="Times New Roman"/>
                <w:b/>
                <w:sz w:val="24"/>
                <w:szCs w:val="24"/>
              </w:rPr>
              <w:t>Test mode R&amp;D processes +</w:t>
            </w:r>
            <w:r w:rsidRPr="0044114E">
              <w:rPr>
                <w:rFonts w:ascii="Times New Roman" w:hAnsi="Times New Roman"/>
                <w:sz w:val="24"/>
                <w:szCs w:val="24"/>
              </w:rPr>
              <w:t xml:space="preserve"> </w:t>
            </w:r>
          </w:p>
        </w:tc>
        <w:tc>
          <w:tcPr>
            <w:tcW w:w="3206" w:type="dxa"/>
            <w:tcBorders>
              <w:top w:val="outset" w:sz="6" w:space="0" w:color="auto"/>
              <w:left w:val="outset" w:sz="6" w:space="0" w:color="auto"/>
              <w:bottom w:val="outset" w:sz="6" w:space="0" w:color="auto"/>
              <w:right w:val="outset" w:sz="6" w:space="0" w:color="auto"/>
            </w:tcBorders>
            <w:hideMark/>
          </w:tcPr>
          <w:p w14:paraId="45247128"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sz w:val="24"/>
                <w:szCs w:val="24"/>
              </w:rPr>
              <w:t>Some Calidad 253 (originally Epson 133)</w:t>
            </w:r>
            <w:r w:rsidRPr="0044114E">
              <w:rPr>
                <w:rFonts w:ascii="Times New Roman" w:hAnsi="Times New Roman"/>
                <w:sz w:val="24"/>
                <w:szCs w:val="24"/>
              </w:rPr>
              <w:br/>
            </w:r>
            <w:r w:rsidRPr="0044114E">
              <w:rPr>
                <w:rFonts w:ascii="Times New Roman" w:hAnsi="Times New Roman"/>
                <w:sz w:val="24"/>
                <w:szCs w:val="24"/>
              </w:rPr>
              <w:br/>
            </w:r>
            <w:r w:rsidRPr="0044114E">
              <w:rPr>
                <w:rFonts w:ascii="Times New Roman" w:hAnsi="Times New Roman"/>
                <w:sz w:val="24"/>
                <w:szCs w:val="24"/>
              </w:rPr>
              <w:br/>
            </w:r>
            <w:r w:rsidRPr="0044114E">
              <w:rPr>
                <w:rFonts w:ascii="Times New Roman" w:hAnsi="Times New Roman"/>
                <w:sz w:val="24"/>
                <w:szCs w:val="24"/>
              </w:rPr>
              <w:br/>
              <w:t xml:space="preserve">Some Calidad 258 (originally Epson 138) </w:t>
            </w:r>
          </w:p>
        </w:tc>
      </w:tr>
      <w:tr w:rsidR="00261C63" w:rsidRPr="0044114E" w14:paraId="141F78FF" w14:textId="77777777" w:rsidTr="00261C63">
        <w:trPr>
          <w:tblCellSpacing w:w="15" w:type="dxa"/>
        </w:trPr>
        <w:tc>
          <w:tcPr>
            <w:tcW w:w="1443" w:type="dxa"/>
            <w:tcBorders>
              <w:top w:val="outset" w:sz="6" w:space="0" w:color="auto"/>
              <w:left w:val="outset" w:sz="6" w:space="0" w:color="auto"/>
              <w:bottom w:val="outset" w:sz="6" w:space="0" w:color="auto"/>
              <w:right w:val="outset" w:sz="6" w:space="0" w:color="auto"/>
            </w:tcBorders>
            <w:hideMark/>
          </w:tcPr>
          <w:p w14:paraId="3D12FEED"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b/>
                <w:bCs/>
                <w:sz w:val="24"/>
                <w:szCs w:val="24"/>
              </w:rPr>
              <w:t>Category 3</w:t>
            </w:r>
            <w:r w:rsidRPr="0044114E">
              <w:rPr>
                <w:rFonts w:ascii="Times New Roman" w:hAnsi="Times New Roman"/>
                <w:sz w:val="24"/>
                <w:szCs w:val="24"/>
              </w:rPr>
              <w:t xml:space="preserve"> </w:t>
            </w:r>
          </w:p>
        </w:tc>
        <w:tc>
          <w:tcPr>
            <w:tcW w:w="3719" w:type="dxa"/>
            <w:tcBorders>
              <w:top w:val="outset" w:sz="6" w:space="0" w:color="auto"/>
              <w:left w:val="outset" w:sz="6" w:space="0" w:color="auto"/>
              <w:bottom w:val="outset" w:sz="6" w:space="0" w:color="auto"/>
              <w:right w:val="outset" w:sz="6" w:space="0" w:color="auto"/>
            </w:tcBorders>
            <w:hideMark/>
          </w:tcPr>
          <w:p w14:paraId="1CCA9B3F"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sz w:val="24"/>
                <w:szCs w:val="24"/>
              </w:rPr>
              <w:t xml:space="preserve">(1) Preparation </w:t>
            </w:r>
            <w:r w:rsidRPr="0044114E">
              <w:rPr>
                <w:rFonts w:ascii="Times New Roman" w:hAnsi="Times New Roman"/>
                <w:sz w:val="24"/>
                <w:szCs w:val="24"/>
              </w:rPr>
              <w:br/>
            </w:r>
            <w:r w:rsidRPr="0044114E">
              <w:rPr>
                <w:rFonts w:ascii="Times New Roman" w:hAnsi="Times New Roman"/>
                <w:sz w:val="24"/>
                <w:szCs w:val="24"/>
              </w:rPr>
              <w:br/>
            </w:r>
            <w:r w:rsidRPr="0044114E">
              <w:rPr>
                <w:rFonts w:ascii="Times New Roman" w:hAnsi="Times New Roman"/>
                <w:sz w:val="24"/>
                <w:szCs w:val="24"/>
              </w:rPr>
              <w:br/>
            </w:r>
            <w:r w:rsidRPr="0044114E">
              <w:rPr>
                <w:rFonts w:ascii="Times New Roman" w:hAnsi="Times New Roman"/>
                <w:sz w:val="24"/>
                <w:szCs w:val="24"/>
              </w:rPr>
              <w:br/>
              <w:t>(2) Refilling processes +</w:t>
            </w:r>
            <w:r w:rsidRPr="0044114E">
              <w:rPr>
                <w:rFonts w:ascii="Times New Roman" w:hAnsi="Times New Roman"/>
                <w:sz w:val="24"/>
                <w:szCs w:val="24"/>
              </w:rPr>
              <w:br/>
            </w:r>
            <w:r w:rsidRPr="0044114E">
              <w:rPr>
                <w:rFonts w:ascii="Times New Roman" w:hAnsi="Times New Roman"/>
                <w:sz w:val="24"/>
                <w:szCs w:val="24"/>
              </w:rPr>
              <w:lastRenderedPageBreak/>
              <w:br/>
              <w:t>(3) Reset/reprogram in test mode for model number, ink colour, ink level, cartridge status and date of manufacture</w:t>
            </w:r>
            <w:r w:rsidRPr="0044114E">
              <w:rPr>
                <w:rFonts w:ascii="Times New Roman" w:hAnsi="Times New Roman"/>
                <w:sz w:val="24"/>
                <w:szCs w:val="24"/>
              </w:rPr>
              <w:br/>
            </w:r>
            <w:r w:rsidRPr="0044114E">
              <w:rPr>
                <w:rFonts w:ascii="Times New Roman" w:hAnsi="Times New Roman"/>
                <w:sz w:val="24"/>
                <w:szCs w:val="24"/>
              </w:rPr>
              <w:br/>
              <w:t>(4)</w:t>
            </w:r>
            <w:r w:rsidRPr="0044114E">
              <w:rPr>
                <w:rFonts w:ascii="Times New Roman" w:hAnsi="Times New Roman"/>
                <w:b/>
                <w:bCs/>
                <w:sz w:val="24"/>
                <w:szCs w:val="24"/>
              </w:rPr>
              <w:t xml:space="preserve"> </w:t>
            </w:r>
            <w:r w:rsidRPr="0044114E">
              <w:rPr>
                <w:rFonts w:ascii="Times New Roman" w:hAnsi="Times New Roman"/>
                <w:b/>
                <w:sz w:val="24"/>
                <w:szCs w:val="24"/>
              </w:rPr>
              <w:t>Test mode R&amp;D processes +</w:t>
            </w:r>
            <w:r w:rsidRPr="0044114E">
              <w:rPr>
                <w:rFonts w:ascii="Times New Roman" w:hAnsi="Times New Roman"/>
                <w:sz w:val="24"/>
                <w:szCs w:val="24"/>
              </w:rPr>
              <w:t xml:space="preserve"> </w:t>
            </w:r>
          </w:p>
        </w:tc>
        <w:tc>
          <w:tcPr>
            <w:tcW w:w="3206" w:type="dxa"/>
            <w:tcBorders>
              <w:top w:val="outset" w:sz="6" w:space="0" w:color="auto"/>
              <w:left w:val="outset" w:sz="6" w:space="0" w:color="auto"/>
              <w:bottom w:val="outset" w:sz="6" w:space="0" w:color="auto"/>
              <w:right w:val="outset" w:sz="6" w:space="0" w:color="auto"/>
            </w:tcBorders>
            <w:hideMark/>
          </w:tcPr>
          <w:p w14:paraId="23B28EDD"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sz w:val="24"/>
                <w:szCs w:val="24"/>
              </w:rPr>
              <w:lastRenderedPageBreak/>
              <w:t xml:space="preserve">Some Calidad 253 (originally cartridges other than Epson 133) </w:t>
            </w:r>
            <w:r w:rsidRPr="0044114E">
              <w:rPr>
                <w:rFonts w:ascii="Times New Roman" w:hAnsi="Times New Roman"/>
                <w:sz w:val="24"/>
                <w:szCs w:val="24"/>
              </w:rPr>
              <w:br/>
            </w:r>
            <w:r w:rsidRPr="0044114E">
              <w:rPr>
                <w:rFonts w:ascii="Times New Roman" w:hAnsi="Times New Roman"/>
                <w:sz w:val="24"/>
                <w:szCs w:val="24"/>
              </w:rPr>
              <w:br/>
            </w:r>
            <w:r w:rsidRPr="0044114E">
              <w:rPr>
                <w:rFonts w:ascii="Times New Roman" w:hAnsi="Times New Roman"/>
                <w:sz w:val="24"/>
                <w:szCs w:val="24"/>
              </w:rPr>
              <w:br/>
            </w:r>
            <w:r w:rsidRPr="0044114E">
              <w:rPr>
                <w:rFonts w:ascii="Times New Roman" w:hAnsi="Times New Roman"/>
                <w:sz w:val="24"/>
                <w:szCs w:val="24"/>
              </w:rPr>
              <w:br/>
            </w:r>
            <w:r w:rsidRPr="0044114E">
              <w:rPr>
                <w:rFonts w:ascii="Times New Roman" w:hAnsi="Times New Roman"/>
                <w:sz w:val="24"/>
                <w:szCs w:val="24"/>
              </w:rPr>
              <w:lastRenderedPageBreak/>
              <w:br/>
              <w:t xml:space="preserve">Some Calidad 258 (originally cartridges other than Epson 138) </w:t>
            </w:r>
          </w:p>
        </w:tc>
      </w:tr>
      <w:tr w:rsidR="00261C63" w:rsidRPr="0044114E" w14:paraId="4718F8C4" w14:textId="77777777" w:rsidTr="00261C63">
        <w:trPr>
          <w:tblCellSpacing w:w="15" w:type="dxa"/>
        </w:trPr>
        <w:tc>
          <w:tcPr>
            <w:tcW w:w="1443" w:type="dxa"/>
            <w:tcBorders>
              <w:top w:val="outset" w:sz="6" w:space="0" w:color="auto"/>
              <w:left w:val="outset" w:sz="6" w:space="0" w:color="auto"/>
              <w:bottom w:val="outset" w:sz="6" w:space="0" w:color="auto"/>
              <w:right w:val="outset" w:sz="6" w:space="0" w:color="auto"/>
            </w:tcBorders>
            <w:hideMark/>
          </w:tcPr>
          <w:p w14:paraId="167197C5"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b/>
                <w:bCs/>
                <w:sz w:val="24"/>
                <w:szCs w:val="24"/>
              </w:rPr>
              <w:lastRenderedPageBreak/>
              <w:t>Category A</w:t>
            </w:r>
            <w:r w:rsidRPr="0044114E">
              <w:rPr>
                <w:rFonts w:ascii="Times New Roman" w:hAnsi="Times New Roman"/>
                <w:sz w:val="24"/>
                <w:szCs w:val="24"/>
              </w:rPr>
              <w:t xml:space="preserve"> </w:t>
            </w:r>
          </w:p>
        </w:tc>
        <w:tc>
          <w:tcPr>
            <w:tcW w:w="3719" w:type="dxa"/>
            <w:tcBorders>
              <w:top w:val="outset" w:sz="6" w:space="0" w:color="auto"/>
              <w:left w:val="outset" w:sz="6" w:space="0" w:color="auto"/>
              <w:bottom w:val="outset" w:sz="6" w:space="0" w:color="auto"/>
              <w:right w:val="outset" w:sz="6" w:space="0" w:color="auto"/>
            </w:tcBorders>
            <w:hideMark/>
          </w:tcPr>
          <w:p w14:paraId="1ED81ED6"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sz w:val="24"/>
                <w:szCs w:val="24"/>
              </w:rPr>
              <w:t xml:space="preserve">Cartridge categories 2 or 3 above, without the gas membrane cut (95% of cases) </w:t>
            </w:r>
          </w:p>
        </w:tc>
        <w:tc>
          <w:tcPr>
            <w:tcW w:w="3206" w:type="dxa"/>
            <w:tcBorders>
              <w:top w:val="outset" w:sz="6" w:space="0" w:color="auto"/>
              <w:left w:val="outset" w:sz="6" w:space="0" w:color="auto"/>
              <w:bottom w:val="outset" w:sz="6" w:space="0" w:color="auto"/>
              <w:right w:val="outset" w:sz="6" w:space="0" w:color="auto"/>
            </w:tcBorders>
            <w:hideMark/>
          </w:tcPr>
          <w:p w14:paraId="6423A90B"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sz w:val="24"/>
                <w:szCs w:val="24"/>
              </w:rPr>
              <w:t xml:space="preserve">5% of Calidad 253 and Calidad 258 cartridges </w:t>
            </w:r>
          </w:p>
        </w:tc>
      </w:tr>
      <w:tr w:rsidR="00261C63" w:rsidRPr="0044114E" w14:paraId="08263DD1" w14:textId="77777777" w:rsidTr="00261C63">
        <w:trPr>
          <w:tblCellSpacing w:w="15" w:type="dxa"/>
        </w:trPr>
        <w:tc>
          <w:tcPr>
            <w:tcW w:w="8428" w:type="dxa"/>
            <w:gridSpan w:val="3"/>
            <w:tcBorders>
              <w:top w:val="outset" w:sz="6" w:space="0" w:color="auto"/>
              <w:left w:val="outset" w:sz="6" w:space="0" w:color="auto"/>
              <w:bottom w:val="outset" w:sz="6" w:space="0" w:color="auto"/>
              <w:right w:val="outset" w:sz="6" w:space="0" w:color="auto"/>
            </w:tcBorders>
            <w:hideMark/>
          </w:tcPr>
          <w:p w14:paraId="240C5504"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b/>
                <w:bCs/>
                <w:sz w:val="24"/>
                <w:szCs w:val="24"/>
              </w:rPr>
              <w:t>Former (all cartridges sold before April 2016)</w:t>
            </w:r>
            <w:r w:rsidRPr="0044114E">
              <w:rPr>
                <w:rFonts w:ascii="Times New Roman" w:hAnsi="Times New Roman"/>
                <w:sz w:val="24"/>
                <w:szCs w:val="24"/>
              </w:rPr>
              <w:t xml:space="preserve"> </w:t>
            </w:r>
          </w:p>
        </w:tc>
      </w:tr>
      <w:tr w:rsidR="00261C63" w:rsidRPr="0044114E" w14:paraId="25ECEA3B" w14:textId="77777777" w:rsidTr="00261C63">
        <w:trPr>
          <w:tblCellSpacing w:w="15" w:type="dxa"/>
        </w:trPr>
        <w:tc>
          <w:tcPr>
            <w:tcW w:w="1443" w:type="dxa"/>
            <w:tcBorders>
              <w:top w:val="outset" w:sz="6" w:space="0" w:color="auto"/>
              <w:left w:val="outset" w:sz="6" w:space="0" w:color="auto"/>
              <w:bottom w:val="outset" w:sz="6" w:space="0" w:color="auto"/>
              <w:right w:val="outset" w:sz="6" w:space="0" w:color="auto"/>
            </w:tcBorders>
            <w:hideMark/>
          </w:tcPr>
          <w:p w14:paraId="3E1E39B7"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b/>
                <w:bCs/>
                <w:sz w:val="24"/>
                <w:szCs w:val="24"/>
              </w:rPr>
              <w:t>Category 4</w:t>
            </w:r>
            <w:r w:rsidRPr="0044114E">
              <w:rPr>
                <w:rFonts w:ascii="Times New Roman" w:hAnsi="Times New Roman"/>
                <w:sz w:val="24"/>
                <w:szCs w:val="24"/>
              </w:rPr>
              <w:t xml:space="preserve"> </w:t>
            </w:r>
          </w:p>
        </w:tc>
        <w:tc>
          <w:tcPr>
            <w:tcW w:w="3719" w:type="dxa"/>
            <w:tcBorders>
              <w:top w:val="outset" w:sz="6" w:space="0" w:color="auto"/>
              <w:left w:val="outset" w:sz="6" w:space="0" w:color="auto"/>
              <w:bottom w:val="outset" w:sz="6" w:space="0" w:color="auto"/>
              <w:right w:val="outset" w:sz="6" w:space="0" w:color="auto"/>
            </w:tcBorders>
            <w:hideMark/>
          </w:tcPr>
          <w:p w14:paraId="28990390"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sz w:val="24"/>
                <w:szCs w:val="24"/>
              </w:rPr>
              <w:t xml:space="preserve">(1) Preparation </w:t>
            </w:r>
            <w:r w:rsidRPr="0044114E">
              <w:rPr>
                <w:rFonts w:ascii="Times New Roman" w:hAnsi="Times New Roman"/>
                <w:sz w:val="24"/>
                <w:szCs w:val="24"/>
              </w:rPr>
              <w:br/>
            </w:r>
            <w:r w:rsidRPr="0044114E">
              <w:rPr>
                <w:rFonts w:ascii="Times New Roman" w:hAnsi="Times New Roman"/>
                <w:sz w:val="24"/>
                <w:szCs w:val="24"/>
              </w:rPr>
              <w:br/>
            </w:r>
            <w:r w:rsidRPr="0044114E">
              <w:rPr>
                <w:rFonts w:ascii="Times New Roman" w:hAnsi="Times New Roman"/>
                <w:sz w:val="24"/>
                <w:szCs w:val="24"/>
              </w:rPr>
              <w:br/>
            </w:r>
            <w:r w:rsidRPr="0044114E">
              <w:rPr>
                <w:rFonts w:ascii="Times New Roman" w:hAnsi="Times New Roman"/>
                <w:sz w:val="24"/>
                <w:szCs w:val="24"/>
              </w:rPr>
              <w:br/>
              <w:t xml:space="preserve">(2) refilling processes + </w:t>
            </w:r>
            <w:r w:rsidRPr="0044114E">
              <w:rPr>
                <w:rFonts w:ascii="Times New Roman" w:hAnsi="Times New Roman"/>
                <w:sz w:val="24"/>
                <w:szCs w:val="24"/>
              </w:rPr>
              <w:br/>
            </w:r>
            <w:r w:rsidRPr="0044114E">
              <w:rPr>
                <w:rFonts w:ascii="Times New Roman" w:hAnsi="Times New Roman"/>
                <w:sz w:val="24"/>
                <w:szCs w:val="24"/>
              </w:rPr>
              <w:br/>
              <w:t>(3) Chip replacement process</w:t>
            </w:r>
            <w:r w:rsidRPr="0044114E">
              <w:rPr>
                <w:rFonts w:ascii="Times New Roman" w:hAnsi="Times New Roman"/>
                <w:sz w:val="24"/>
                <w:szCs w:val="24"/>
              </w:rPr>
              <w:br/>
            </w:r>
            <w:r w:rsidRPr="0044114E">
              <w:rPr>
                <w:rFonts w:ascii="Times New Roman" w:hAnsi="Times New Roman"/>
                <w:sz w:val="24"/>
                <w:szCs w:val="24"/>
              </w:rPr>
              <w:br/>
              <w:t>(4) Compatible chip R&amp;D processes</w:t>
            </w:r>
            <w:r>
              <w:rPr>
                <w:rFonts w:ascii="Times New Roman" w:hAnsi="Times New Roman"/>
                <w:sz w:val="24"/>
                <w:szCs w:val="24"/>
              </w:rPr>
              <w:t> </w:t>
            </w:r>
            <w:r w:rsidRPr="0044114E">
              <w:rPr>
                <w:rFonts w:ascii="Times New Roman" w:hAnsi="Times New Roman"/>
                <w:sz w:val="24"/>
                <w:szCs w:val="24"/>
              </w:rPr>
              <w:t xml:space="preserve">+ </w:t>
            </w:r>
          </w:p>
        </w:tc>
        <w:tc>
          <w:tcPr>
            <w:tcW w:w="3206" w:type="dxa"/>
            <w:tcBorders>
              <w:top w:val="outset" w:sz="6" w:space="0" w:color="auto"/>
              <w:left w:val="outset" w:sz="6" w:space="0" w:color="auto"/>
              <w:bottom w:val="outset" w:sz="6" w:space="0" w:color="auto"/>
              <w:right w:val="outset" w:sz="6" w:space="0" w:color="auto"/>
            </w:tcBorders>
            <w:hideMark/>
          </w:tcPr>
          <w:p w14:paraId="112A7C3D"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sz w:val="24"/>
                <w:szCs w:val="24"/>
              </w:rPr>
              <w:t xml:space="preserve">Calidad 260H (originally cartridges other than Epson T200XL) </w:t>
            </w:r>
          </w:p>
        </w:tc>
      </w:tr>
      <w:tr w:rsidR="00261C63" w:rsidRPr="0044114E" w14:paraId="3B7AC43F" w14:textId="77777777" w:rsidTr="00261C63">
        <w:trPr>
          <w:tblCellSpacing w:w="15" w:type="dxa"/>
        </w:trPr>
        <w:tc>
          <w:tcPr>
            <w:tcW w:w="1443" w:type="dxa"/>
            <w:tcBorders>
              <w:top w:val="outset" w:sz="6" w:space="0" w:color="auto"/>
              <w:left w:val="outset" w:sz="6" w:space="0" w:color="auto"/>
              <w:bottom w:val="outset" w:sz="6" w:space="0" w:color="auto"/>
              <w:right w:val="outset" w:sz="6" w:space="0" w:color="auto"/>
            </w:tcBorders>
            <w:hideMark/>
          </w:tcPr>
          <w:p w14:paraId="0CE2AA82"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b/>
                <w:bCs/>
                <w:sz w:val="24"/>
                <w:szCs w:val="24"/>
              </w:rPr>
              <w:t>Category 5</w:t>
            </w:r>
            <w:r w:rsidRPr="0044114E">
              <w:rPr>
                <w:rFonts w:ascii="Times New Roman" w:hAnsi="Times New Roman"/>
                <w:sz w:val="24"/>
                <w:szCs w:val="24"/>
              </w:rPr>
              <w:t xml:space="preserve"> </w:t>
            </w:r>
          </w:p>
        </w:tc>
        <w:tc>
          <w:tcPr>
            <w:tcW w:w="3719" w:type="dxa"/>
            <w:tcBorders>
              <w:top w:val="outset" w:sz="6" w:space="0" w:color="auto"/>
              <w:left w:val="outset" w:sz="6" w:space="0" w:color="auto"/>
              <w:bottom w:val="outset" w:sz="6" w:space="0" w:color="auto"/>
              <w:right w:val="outset" w:sz="6" w:space="0" w:color="auto"/>
            </w:tcBorders>
            <w:hideMark/>
          </w:tcPr>
          <w:p w14:paraId="6EB4053B"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sz w:val="24"/>
                <w:szCs w:val="24"/>
              </w:rPr>
              <w:t xml:space="preserve">Same as category 4 cartridges which have also had interface pattern cutting process </w:t>
            </w:r>
          </w:p>
        </w:tc>
        <w:tc>
          <w:tcPr>
            <w:tcW w:w="3206" w:type="dxa"/>
            <w:tcBorders>
              <w:top w:val="outset" w:sz="6" w:space="0" w:color="auto"/>
              <w:left w:val="outset" w:sz="6" w:space="0" w:color="auto"/>
              <w:bottom w:val="outset" w:sz="6" w:space="0" w:color="auto"/>
              <w:right w:val="outset" w:sz="6" w:space="0" w:color="auto"/>
            </w:tcBorders>
            <w:hideMark/>
          </w:tcPr>
          <w:p w14:paraId="0B3997A1"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sz w:val="24"/>
                <w:szCs w:val="24"/>
              </w:rPr>
              <w:t xml:space="preserve">Some Calidad 250 </w:t>
            </w:r>
          </w:p>
        </w:tc>
      </w:tr>
      <w:tr w:rsidR="00261C63" w:rsidRPr="0044114E" w14:paraId="68B45403" w14:textId="77777777" w:rsidTr="00261C63">
        <w:trPr>
          <w:tblCellSpacing w:w="15" w:type="dxa"/>
        </w:trPr>
        <w:tc>
          <w:tcPr>
            <w:tcW w:w="1443" w:type="dxa"/>
            <w:tcBorders>
              <w:top w:val="outset" w:sz="6" w:space="0" w:color="auto"/>
              <w:left w:val="outset" w:sz="6" w:space="0" w:color="auto"/>
              <w:bottom w:val="outset" w:sz="6" w:space="0" w:color="auto"/>
              <w:right w:val="outset" w:sz="6" w:space="0" w:color="auto"/>
            </w:tcBorders>
            <w:hideMark/>
          </w:tcPr>
          <w:p w14:paraId="6FC766AC"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b/>
                <w:bCs/>
                <w:sz w:val="24"/>
                <w:szCs w:val="24"/>
              </w:rPr>
              <w:t>Category 6</w:t>
            </w:r>
            <w:r w:rsidRPr="0044114E">
              <w:rPr>
                <w:rFonts w:ascii="Times New Roman" w:hAnsi="Times New Roman"/>
                <w:sz w:val="24"/>
                <w:szCs w:val="24"/>
              </w:rPr>
              <w:t xml:space="preserve"> </w:t>
            </w:r>
          </w:p>
        </w:tc>
        <w:tc>
          <w:tcPr>
            <w:tcW w:w="3719" w:type="dxa"/>
            <w:tcBorders>
              <w:top w:val="outset" w:sz="6" w:space="0" w:color="auto"/>
              <w:left w:val="outset" w:sz="6" w:space="0" w:color="auto"/>
              <w:bottom w:val="outset" w:sz="6" w:space="0" w:color="auto"/>
              <w:right w:val="outset" w:sz="6" w:space="0" w:color="auto"/>
            </w:tcBorders>
            <w:hideMark/>
          </w:tcPr>
          <w:p w14:paraId="4FBAC0C1"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sz w:val="24"/>
                <w:szCs w:val="24"/>
              </w:rPr>
              <w:t xml:space="preserve">Same as categories 2 or 3 plus interface pattern cutting process </w:t>
            </w:r>
          </w:p>
        </w:tc>
        <w:tc>
          <w:tcPr>
            <w:tcW w:w="3206" w:type="dxa"/>
            <w:tcBorders>
              <w:top w:val="outset" w:sz="6" w:space="0" w:color="auto"/>
              <w:left w:val="outset" w:sz="6" w:space="0" w:color="auto"/>
              <w:bottom w:val="outset" w:sz="6" w:space="0" w:color="auto"/>
              <w:right w:val="outset" w:sz="6" w:space="0" w:color="auto"/>
            </w:tcBorders>
            <w:hideMark/>
          </w:tcPr>
          <w:p w14:paraId="4A819816"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sz w:val="24"/>
                <w:szCs w:val="24"/>
              </w:rPr>
              <w:t xml:space="preserve">Some Calidad 253 </w:t>
            </w:r>
            <w:r w:rsidRPr="0044114E">
              <w:rPr>
                <w:rFonts w:ascii="Times New Roman" w:hAnsi="Times New Roman"/>
                <w:sz w:val="24"/>
                <w:szCs w:val="24"/>
              </w:rPr>
              <w:br/>
            </w:r>
            <w:r w:rsidRPr="0044114E">
              <w:rPr>
                <w:rFonts w:ascii="Times New Roman" w:hAnsi="Times New Roman"/>
                <w:sz w:val="24"/>
                <w:szCs w:val="24"/>
              </w:rPr>
              <w:br/>
              <w:t xml:space="preserve">Some Calidad 258 </w:t>
            </w:r>
          </w:p>
        </w:tc>
      </w:tr>
      <w:tr w:rsidR="00261C63" w:rsidRPr="0044114E" w14:paraId="66276754" w14:textId="77777777" w:rsidTr="00261C63">
        <w:trPr>
          <w:tblCellSpacing w:w="15" w:type="dxa"/>
        </w:trPr>
        <w:tc>
          <w:tcPr>
            <w:tcW w:w="1443" w:type="dxa"/>
            <w:tcBorders>
              <w:top w:val="outset" w:sz="6" w:space="0" w:color="auto"/>
              <w:left w:val="outset" w:sz="6" w:space="0" w:color="auto"/>
              <w:bottom w:val="outset" w:sz="6" w:space="0" w:color="auto"/>
              <w:right w:val="outset" w:sz="6" w:space="0" w:color="auto"/>
            </w:tcBorders>
            <w:hideMark/>
          </w:tcPr>
          <w:p w14:paraId="6907F6FE"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b/>
                <w:bCs/>
                <w:sz w:val="24"/>
                <w:szCs w:val="24"/>
              </w:rPr>
              <w:t>Category 7</w:t>
            </w:r>
            <w:r w:rsidRPr="0044114E">
              <w:rPr>
                <w:rFonts w:ascii="Times New Roman" w:hAnsi="Times New Roman"/>
                <w:sz w:val="24"/>
                <w:szCs w:val="24"/>
              </w:rPr>
              <w:t xml:space="preserve"> </w:t>
            </w:r>
          </w:p>
        </w:tc>
        <w:tc>
          <w:tcPr>
            <w:tcW w:w="3719" w:type="dxa"/>
            <w:tcBorders>
              <w:top w:val="outset" w:sz="6" w:space="0" w:color="auto"/>
              <w:left w:val="outset" w:sz="6" w:space="0" w:color="auto"/>
              <w:bottom w:val="outset" w:sz="6" w:space="0" w:color="auto"/>
              <w:right w:val="outset" w:sz="6" w:space="0" w:color="auto"/>
            </w:tcBorders>
            <w:hideMark/>
          </w:tcPr>
          <w:p w14:paraId="719B4A6F"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sz w:val="24"/>
                <w:szCs w:val="24"/>
              </w:rPr>
              <w:t xml:space="preserve">Categories 5 or 6 cartridges plus replace integrated circuit assembly </w:t>
            </w:r>
          </w:p>
        </w:tc>
        <w:tc>
          <w:tcPr>
            <w:tcW w:w="3206" w:type="dxa"/>
            <w:tcBorders>
              <w:top w:val="outset" w:sz="6" w:space="0" w:color="auto"/>
              <w:left w:val="outset" w:sz="6" w:space="0" w:color="auto"/>
              <w:bottom w:val="outset" w:sz="6" w:space="0" w:color="auto"/>
              <w:right w:val="outset" w:sz="6" w:space="0" w:color="auto"/>
            </w:tcBorders>
            <w:hideMark/>
          </w:tcPr>
          <w:p w14:paraId="6D836E32"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sz w:val="24"/>
                <w:szCs w:val="24"/>
              </w:rPr>
              <w:t>Some Calidad 250 imported in 2014-2015</w:t>
            </w:r>
            <w:r w:rsidRPr="0044114E">
              <w:rPr>
                <w:rFonts w:ascii="Times New Roman" w:hAnsi="Times New Roman"/>
                <w:sz w:val="24"/>
                <w:szCs w:val="24"/>
              </w:rPr>
              <w:br/>
            </w:r>
            <w:r w:rsidRPr="0044114E">
              <w:rPr>
                <w:rFonts w:ascii="Times New Roman" w:hAnsi="Times New Roman"/>
                <w:sz w:val="24"/>
                <w:szCs w:val="24"/>
              </w:rPr>
              <w:br/>
              <w:t>Some Calidad 253 imported in 2014-2015</w:t>
            </w:r>
            <w:r w:rsidRPr="0044114E">
              <w:rPr>
                <w:rFonts w:ascii="Times New Roman" w:hAnsi="Times New Roman"/>
                <w:sz w:val="24"/>
                <w:szCs w:val="24"/>
              </w:rPr>
              <w:br/>
            </w:r>
            <w:r w:rsidRPr="0044114E">
              <w:rPr>
                <w:rFonts w:ascii="Times New Roman" w:hAnsi="Times New Roman"/>
                <w:sz w:val="24"/>
                <w:szCs w:val="24"/>
              </w:rPr>
              <w:br/>
              <w:t xml:space="preserve">Some Calidad 258 imported in 2014-2015 </w:t>
            </w:r>
          </w:p>
        </w:tc>
      </w:tr>
      <w:tr w:rsidR="00261C63" w:rsidRPr="0044114E" w14:paraId="73160F6F" w14:textId="77777777" w:rsidTr="00261C63">
        <w:trPr>
          <w:tblCellSpacing w:w="15" w:type="dxa"/>
        </w:trPr>
        <w:tc>
          <w:tcPr>
            <w:tcW w:w="1443" w:type="dxa"/>
            <w:tcBorders>
              <w:top w:val="outset" w:sz="6" w:space="0" w:color="auto"/>
              <w:left w:val="outset" w:sz="6" w:space="0" w:color="auto"/>
              <w:bottom w:val="outset" w:sz="6" w:space="0" w:color="auto"/>
              <w:right w:val="outset" w:sz="6" w:space="0" w:color="auto"/>
            </w:tcBorders>
            <w:hideMark/>
          </w:tcPr>
          <w:p w14:paraId="10B3E267"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b/>
                <w:bCs/>
                <w:sz w:val="24"/>
                <w:szCs w:val="24"/>
              </w:rPr>
              <w:lastRenderedPageBreak/>
              <w:t>Category B</w:t>
            </w:r>
            <w:r w:rsidRPr="0044114E">
              <w:rPr>
                <w:rFonts w:ascii="Times New Roman" w:hAnsi="Times New Roman"/>
                <w:sz w:val="24"/>
                <w:szCs w:val="24"/>
              </w:rPr>
              <w:t xml:space="preserve"> </w:t>
            </w:r>
          </w:p>
        </w:tc>
        <w:tc>
          <w:tcPr>
            <w:tcW w:w="3719" w:type="dxa"/>
            <w:tcBorders>
              <w:top w:val="outset" w:sz="6" w:space="0" w:color="auto"/>
              <w:left w:val="outset" w:sz="6" w:space="0" w:color="auto"/>
              <w:bottom w:val="outset" w:sz="6" w:space="0" w:color="auto"/>
              <w:right w:val="outset" w:sz="6" w:space="0" w:color="auto"/>
            </w:tcBorders>
            <w:hideMark/>
          </w:tcPr>
          <w:p w14:paraId="60013792"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sz w:val="24"/>
                <w:szCs w:val="24"/>
              </w:rPr>
              <w:t xml:space="preserve">Cartridge categories 5, 6, or 7 above, without the gas membrane cut (95% of cases) </w:t>
            </w:r>
          </w:p>
        </w:tc>
        <w:tc>
          <w:tcPr>
            <w:tcW w:w="3206" w:type="dxa"/>
            <w:tcBorders>
              <w:top w:val="outset" w:sz="6" w:space="0" w:color="auto"/>
              <w:left w:val="outset" w:sz="6" w:space="0" w:color="auto"/>
              <w:bottom w:val="outset" w:sz="6" w:space="0" w:color="auto"/>
              <w:right w:val="outset" w:sz="6" w:space="0" w:color="auto"/>
            </w:tcBorders>
            <w:hideMark/>
          </w:tcPr>
          <w:p w14:paraId="29BDD80C" w14:textId="77777777" w:rsidR="00261C63" w:rsidRPr="0044114E" w:rsidRDefault="00261C63" w:rsidP="00261C63">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rPr>
                <w:rFonts w:ascii="Times New Roman" w:hAnsi="Times New Roman"/>
                <w:sz w:val="24"/>
                <w:szCs w:val="24"/>
              </w:rPr>
            </w:pPr>
            <w:r w:rsidRPr="0044114E">
              <w:rPr>
                <w:rFonts w:ascii="Times New Roman" w:hAnsi="Times New Roman"/>
                <w:sz w:val="24"/>
                <w:szCs w:val="24"/>
              </w:rPr>
              <w:t>Some Calidad 250</w:t>
            </w:r>
            <w:r w:rsidRPr="0044114E">
              <w:rPr>
                <w:rFonts w:ascii="Times New Roman" w:hAnsi="Times New Roman"/>
                <w:sz w:val="24"/>
                <w:szCs w:val="24"/>
              </w:rPr>
              <w:br/>
            </w:r>
            <w:r w:rsidRPr="0044114E">
              <w:rPr>
                <w:rFonts w:ascii="Times New Roman" w:hAnsi="Times New Roman"/>
                <w:sz w:val="24"/>
                <w:szCs w:val="24"/>
              </w:rPr>
              <w:br/>
            </w:r>
            <w:r w:rsidRPr="0044114E">
              <w:rPr>
                <w:rFonts w:ascii="Times New Roman" w:hAnsi="Times New Roman"/>
                <w:sz w:val="24"/>
                <w:szCs w:val="24"/>
              </w:rPr>
              <w:br/>
              <w:t>Some Calidad 253</w:t>
            </w:r>
            <w:r w:rsidRPr="0044114E">
              <w:rPr>
                <w:rFonts w:ascii="Times New Roman" w:hAnsi="Times New Roman"/>
                <w:sz w:val="24"/>
                <w:szCs w:val="24"/>
              </w:rPr>
              <w:br/>
            </w:r>
            <w:r w:rsidRPr="0044114E">
              <w:rPr>
                <w:rFonts w:ascii="Times New Roman" w:hAnsi="Times New Roman"/>
                <w:sz w:val="24"/>
                <w:szCs w:val="24"/>
              </w:rPr>
              <w:br/>
              <w:t>Some Calidad 258</w:t>
            </w:r>
          </w:p>
        </w:tc>
      </w:tr>
    </w:tbl>
    <w:p w14:paraId="305B15AD" w14:textId="77777777" w:rsidR="00261C63" w:rsidRPr="0044114E" w:rsidRDefault="00261C63" w:rsidP="00261C63">
      <w:pPr>
        <w:pStyle w:val="leftright"/>
        <w:spacing w:before="0" w:after="260" w:line="280" w:lineRule="exact"/>
        <w:ind w:right="0"/>
        <w:jc w:val="both"/>
        <w:rPr>
          <w:rFonts w:ascii="Times New Roman" w:hAnsi="Times New Roman"/>
        </w:rPr>
      </w:pPr>
    </w:p>
    <w:p w14:paraId="315B6D88"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The primary judge set out each step in the process of modifying the original Epson printer cartridges, corresponding to the middle column of the preceding summary. </w:t>
      </w:r>
    </w:p>
    <w:p w14:paraId="1B85D286"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Step 1, "preparation", consisted of inspecting an original Epson printer cartridge to confirm that it was the correct type and in a suitable condition to be restored, emptying and cleaning the cartridge in preparation for refilling, removing any residual ink inside the cartridge by inserting a vacuum device, washing the cartridge with water in cases where the original ink contained pigment (rather than dye), and preparation of the outlet hole by removing the original seal that was broken when the cartridge was first used.</w:t>
      </w:r>
    </w:p>
    <w:p w14:paraId="77EA2988"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Step 2, "refilling", consisted of creating a second hole – or injection port – by inserting a needle into the middle of the main side of the cartridge, infusing ink through that hole, using the vacuum device to extract air from the outlet hole, and</w:t>
      </w:r>
      <w:r>
        <w:rPr>
          <w:rFonts w:ascii="Times New Roman" w:hAnsi="Times New Roman"/>
        </w:rPr>
        <w:t> </w:t>
      </w:r>
      <w:r w:rsidRPr="0044114E">
        <w:rPr>
          <w:rFonts w:ascii="Times New Roman" w:hAnsi="Times New Roman"/>
        </w:rPr>
        <w:t>then resealing the injection port and outlet hole by placing pieces of thin clear plastic over them and applying force and heat to effect a seal.</w:t>
      </w:r>
    </w:p>
    <w:p w14:paraId="6D4831DA"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Step 3, "reset in normal mode", was a process by which the data stored on the memory chip in the addresses relating to the ink level and cartridge status was rewritten from one series of binary bits to another, to record that the ink volume was "full" and that the cartridge status was either "unused" or "has been used previously but is not yet empty". That process takes only seconds and involves holding the terminals of the cartridges up to a connector to equipment that causes the rewriting to take place.</w:t>
      </w:r>
    </w:p>
    <w:p w14:paraId="05AD6452"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Step 4 took different forms: "normal mode research and development processes", "</w:t>
      </w:r>
      <w:bookmarkStart w:id="9" w:name="_Hlk49781857"/>
      <w:r w:rsidRPr="0044114E">
        <w:rPr>
          <w:rFonts w:ascii="Times New Roman" w:hAnsi="Times New Roman"/>
        </w:rPr>
        <w:t xml:space="preserve">test mode </w:t>
      </w:r>
      <w:bookmarkEnd w:id="9"/>
      <w:r w:rsidRPr="0044114E">
        <w:rPr>
          <w:rFonts w:ascii="Times New Roman" w:hAnsi="Times New Roman"/>
        </w:rPr>
        <w:t xml:space="preserve">research and development processes", and "compatible chip research and development processes". Step 4 in respect of "normal mode research and development processes" consisted of steps that had to be undertaken to identify the mechanisms of the original Epson printer cartridges and their interaction with Epson printers, to enable the modifications identified above to take place. It included obtaining used and unused samples of the original Epson printer cartridges; inspecting them in order to ascertain the path that the ink follows inside the cartridge and understand where the sensor is located; determining how the </w:t>
      </w:r>
      <w:r w:rsidRPr="0044114E">
        <w:rPr>
          <w:rFonts w:ascii="Times New Roman" w:hAnsi="Times New Roman"/>
        </w:rPr>
        <w:lastRenderedPageBreak/>
        <w:t>memory chips operate by removing a seal on top of the memory chip, removing protective layers to reveal circuitry around each transistor, photographing each block of circuitry including each transistor (of which there could be hundreds) and</w:t>
      </w:r>
      <w:r>
        <w:rPr>
          <w:rFonts w:ascii="Times New Roman" w:hAnsi="Times New Roman"/>
        </w:rPr>
        <w:t> </w:t>
      </w:r>
      <w:r w:rsidRPr="0044114E">
        <w:rPr>
          <w:rFonts w:ascii="Times New Roman" w:hAnsi="Times New Roman"/>
        </w:rPr>
        <w:t>conducting electrical testing; determining the interface protocol by which the printer and chip communicate by use of an oscilloscope to identify the data stored and determine what it means and the memory addresses at which information needs to be read or written; and, finally, programming electronic equipment to "reset" the data relating to ink level and cartridge status. These processes required a reasonable degree of expertise and entailed an invasive examination of sample original Epson printer cartridges. In respect of "test mode research and development processes", in addition to the processes undertaken in respect of normal mode, this step required determination of how to activate test mode and the applicable interface protocol for test mode with the use of specialist third party technology which, the primary judge found, was a costly, time</w:t>
      </w:r>
      <w:r w:rsidRPr="0044114E">
        <w:rPr>
          <w:rFonts w:ascii="Times New Roman" w:hAnsi="Times New Roman"/>
        </w:rPr>
        <w:noBreakHyphen/>
        <w:t>consuming process requiring considerable expertise and skill. Finally, in respect of "compatible chip research and development processes", in addition to understanding the mechanical and physical attributes of original Epson printer cartridges and the interface protocol by which the printer and chip communicate, this step involved understanding the electrical circuitry by removing a seal on top of the cartridge and protective layers to reveal the circuitry around each transistor, photographing each block of circuitry and transistor, and then testing, constructing and simulating the circuitry using automation software and, with that information, designing and developing a compatible memory chip to substitute for the chip in the original Epson printer cartridge.</w:t>
      </w:r>
    </w:p>
    <w:p w14:paraId="67EE5575"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On the basis of those facts, the primary judge concluded that the modifications made to the Category 1 cartridges did not exceed the licence to use that was implicit in the original unconditional sale of the original Epson printer cartridges, because the modifications did not have a material bearing on the manner in which the original Epson printer cartridges embodied the invention as claimed. As the primary judge found:</w:t>
      </w:r>
    </w:p>
    <w:p w14:paraId="3D516822" w14:textId="77777777" w:rsidR="00261C63" w:rsidRPr="0044114E" w:rsidRDefault="00261C63" w:rsidP="00261C63">
      <w:pPr>
        <w:pStyle w:val="LeftrightafterHC"/>
        <w:spacing w:before="0" w:after="260" w:line="280" w:lineRule="exact"/>
        <w:ind w:left="1440" w:right="0" w:hanging="720"/>
        <w:jc w:val="both"/>
        <w:rPr>
          <w:rFonts w:ascii="Times New Roman" w:hAnsi="Times New Roman"/>
        </w:rPr>
      </w:pPr>
      <w:r w:rsidRPr="0044114E">
        <w:rPr>
          <w:rFonts w:ascii="Times New Roman" w:hAnsi="Times New Roman"/>
        </w:rPr>
        <w:t>(1)</w:t>
      </w:r>
      <w:r w:rsidRPr="0044114E">
        <w:rPr>
          <w:rFonts w:ascii="Times New Roman" w:hAnsi="Times New Roman"/>
        </w:rPr>
        <w:tab/>
        <w:t>Step 1 – the preparatory work – involved no change to the printing material container identified in integer [1] of the claim, it required only that the printing material container be adapted to be attached to a printing apparatus by being inserted in an insertion direction, and</w:t>
      </w:r>
      <w:r>
        <w:rPr>
          <w:rFonts w:ascii="Times New Roman" w:hAnsi="Times New Roman"/>
        </w:rPr>
        <w:t> </w:t>
      </w:r>
      <w:r w:rsidRPr="0044114E">
        <w:rPr>
          <w:rFonts w:ascii="Times New Roman" w:hAnsi="Times New Roman"/>
        </w:rPr>
        <w:t>that aspect of the container was not materially altered.</w:t>
      </w:r>
    </w:p>
    <w:p w14:paraId="7714B923" w14:textId="77777777" w:rsidR="00261C63" w:rsidRPr="0044114E" w:rsidRDefault="00261C63" w:rsidP="00261C63">
      <w:pPr>
        <w:pStyle w:val="leftright"/>
        <w:spacing w:before="0" w:after="260" w:line="280" w:lineRule="exact"/>
        <w:ind w:left="1440" w:right="0" w:hanging="720"/>
        <w:jc w:val="both"/>
        <w:rPr>
          <w:rFonts w:ascii="Times New Roman" w:hAnsi="Times New Roman"/>
        </w:rPr>
      </w:pPr>
      <w:r w:rsidRPr="0044114E">
        <w:rPr>
          <w:rFonts w:ascii="Times New Roman" w:hAnsi="Times New Roman"/>
        </w:rPr>
        <w:t>(2)</w:t>
      </w:r>
      <w:r w:rsidRPr="0044114E">
        <w:rPr>
          <w:rFonts w:ascii="Times New Roman" w:hAnsi="Times New Roman"/>
        </w:rPr>
        <w:tab/>
        <w:t>Step 2 – refilling – involved minor physical alterations to the cartridge container in the result of creating an injection port or a slit in the gas membrane, but those changes bore no relationship to the subject of the integers of the claim.</w:t>
      </w:r>
    </w:p>
    <w:p w14:paraId="710F7D48" w14:textId="77777777" w:rsidR="00261C63" w:rsidRPr="0044114E" w:rsidRDefault="00261C63" w:rsidP="00261C63">
      <w:pPr>
        <w:pStyle w:val="leftright"/>
        <w:spacing w:before="0" w:after="260" w:line="280" w:lineRule="exact"/>
        <w:ind w:left="1440" w:right="0" w:hanging="720"/>
        <w:jc w:val="both"/>
        <w:rPr>
          <w:rFonts w:ascii="Times New Roman" w:hAnsi="Times New Roman"/>
        </w:rPr>
      </w:pPr>
      <w:r w:rsidRPr="0044114E">
        <w:rPr>
          <w:rFonts w:ascii="Times New Roman" w:hAnsi="Times New Roman"/>
        </w:rPr>
        <w:lastRenderedPageBreak/>
        <w:t>(3)</w:t>
      </w:r>
      <w:r w:rsidRPr="0044114E">
        <w:rPr>
          <w:rFonts w:ascii="Times New Roman" w:hAnsi="Times New Roman"/>
        </w:rPr>
        <w:tab/>
        <w:t>Step 3 – reset in normal mode – did not entail material alterations since, properly construed, the claim distinguished between the memory chip and the matter stored on it (whether it be data, software or otherwise) and the combination of integers claimed was thus the existence of the chip as part of the combination and not for a monopoly referable to the content of the chip.</w:t>
      </w:r>
    </w:p>
    <w:p w14:paraId="7A461FE0" w14:textId="77777777" w:rsidR="00261C63" w:rsidRDefault="00261C63" w:rsidP="00261C63">
      <w:pPr>
        <w:pStyle w:val="leftright"/>
        <w:spacing w:before="0" w:after="260" w:line="280" w:lineRule="exact"/>
        <w:ind w:left="1440" w:right="0" w:hanging="720"/>
        <w:jc w:val="both"/>
        <w:rPr>
          <w:rFonts w:ascii="Times New Roman" w:hAnsi="Times New Roman"/>
        </w:rPr>
      </w:pPr>
      <w:r w:rsidRPr="0044114E">
        <w:rPr>
          <w:rFonts w:ascii="Times New Roman" w:hAnsi="Times New Roman"/>
        </w:rPr>
        <w:t>(4)</w:t>
      </w:r>
      <w:r w:rsidRPr="0044114E">
        <w:rPr>
          <w:rFonts w:ascii="Times New Roman" w:hAnsi="Times New Roman"/>
        </w:rPr>
        <w:tab/>
        <w:t>Step 4 – normal mode research and development processes – was</w:t>
      </w:r>
      <w:r>
        <w:rPr>
          <w:rFonts w:ascii="Times New Roman" w:hAnsi="Times New Roman"/>
        </w:rPr>
        <w:t> </w:t>
      </w:r>
      <w:r w:rsidRPr="0044114E">
        <w:rPr>
          <w:rFonts w:ascii="Times New Roman" w:hAnsi="Times New Roman"/>
        </w:rPr>
        <w:t xml:space="preserve">irrelevant in that that work was anterior to the making of changes to the embodiment of the claimed invention (the claim being for a product, not a process) and, in any event, </w:t>
      </w:r>
      <w:bookmarkStart w:id="10" w:name="_Ref498942758"/>
      <w:bookmarkEnd w:id="10"/>
      <w:r w:rsidRPr="0044114E">
        <w:rPr>
          <w:rFonts w:ascii="Times New Roman" w:hAnsi="Times New Roman"/>
        </w:rPr>
        <w:t>the research and development concerned alterations made to the information contained in the memory chip, which was not a feature of the invention as claimed.</w:t>
      </w:r>
    </w:p>
    <w:p w14:paraId="6F41C3CA"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The primary judge also found that the modifications made to the Category 2 cartridges did not have a material bearing on the manner in which the original Epson printer cartridges embodied the invention as claimed, in substance because: </w:t>
      </w:r>
    </w:p>
    <w:p w14:paraId="4901207B" w14:textId="77777777" w:rsidR="00261C63" w:rsidRPr="0044114E" w:rsidRDefault="00261C63" w:rsidP="00261C63">
      <w:pPr>
        <w:pStyle w:val="LeftrightafterHC"/>
        <w:spacing w:before="0" w:after="260" w:line="280" w:lineRule="exact"/>
        <w:ind w:left="1440" w:right="0" w:hanging="720"/>
        <w:jc w:val="both"/>
        <w:rPr>
          <w:rFonts w:ascii="Times New Roman" w:hAnsi="Times New Roman"/>
        </w:rPr>
      </w:pPr>
      <w:r w:rsidRPr="0044114E">
        <w:rPr>
          <w:rFonts w:ascii="Times New Roman" w:hAnsi="Times New Roman"/>
        </w:rPr>
        <w:t>(1)</w:t>
      </w:r>
      <w:r w:rsidRPr="0044114E">
        <w:rPr>
          <w:rFonts w:ascii="Times New Roman" w:hAnsi="Times New Roman"/>
        </w:rPr>
        <w:tab/>
        <w:t xml:space="preserve">the work comprising steps 1 to 3 was not materially different from the work comprised in steps 1 to 3 for Category 1 cartridges; and </w:t>
      </w:r>
    </w:p>
    <w:p w14:paraId="4B47F183" w14:textId="77777777" w:rsidR="00261C63" w:rsidRDefault="00261C63" w:rsidP="00261C63">
      <w:pPr>
        <w:pStyle w:val="leftright"/>
        <w:spacing w:before="0" w:after="260" w:line="280" w:lineRule="exact"/>
        <w:ind w:left="1440" w:right="0" w:hanging="720"/>
        <w:jc w:val="both"/>
        <w:rPr>
          <w:rFonts w:ascii="Times New Roman" w:hAnsi="Times New Roman"/>
        </w:rPr>
      </w:pPr>
      <w:r w:rsidRPr="0044114E">
        <w:rPr>
          <w:rFonts w:ascii="Times New Roman" w:hAnsi="Times New Roman"/>
        </w:rPr>
        <w:t>(2)</w:t>
      </w:r>
      <w:r w:rsidRPr="0044114E">
        <w:rPr>
          <w:rFonts w:ascii="Times New Roman" w:hAnsi="Times New Roman"/>
        </w:rPr>
        <w:tab/>
        <w:t>the primary difference between Categories 1 and 2 was that the resetting or reprogramming of the memory chip was undertaken in test mode and required a greater degree of research and development to be able to rewrite its contents, but the fact that there was an additional degree of difficulty in preparing to make the alterations to the memory was legally irrelevant.</w:t>
      </w:r>
    </w:p>
    <w:p w14:paraId="22091ED6"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The primary judge found that steps 1 and 2 for the Category 3 cartridges were the same as for Category 1, and, although step 3 was more complicated, and</w:t>
      </w:r>
      <w:r>
        <w:rPr>
          <w:rFonts w:ascii="Times New Roman" w:hAnsi="Times New Roman"/>
        </w:rPr>
        <w:t> </w:t>
      </w:r>
      <w:r w:rsidRPr="0044114E">
        <w:rPr>
          <w:rFonts w:ascii="Times New Roman" w:hAnsi="Times New Roman"/>
        </w:rPr>
        <w:t xml:space="preserve">involved additional modifications to the contents of the memory chip, that fact was irrelevant for the reasons given in relation to Category 2 cartridges. Consequently, the primary judge concluded that the Category 3 cartridges were within the scope of the implied licence. Category A cartridges – being cartridges otherwise within Category 2 or 3 that do not have the gas membrane cut in the modification process – were likewise held to be within the scope of the implied licence. </w:t>
      </w:r>
    </w:p>
    <w:p w14:paraId="52F0AEF7"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Category 4 cartridges had not been sold since April 2016 and were modified from original Epson printer cartridges acquired from outside Australia. Steps 1 and 2 for Category 4 cartridges were the same as for Category 2 cartridges. Step 3, however, was different in that, instead of reprogramming or resetting the integrated circuit chip in the cartridge, the integrated circuit boards were removed from the </w:t>
      </w:r>
      <w:r w:rsidRPr="0044114E">
        <w:rPr>
          <w:rFonts w:ascii="Times New Roman" w:hAnsi="Times New Roman"/>
        </w:rPr>
        <w:lastRenderedPageBreak/>
        <w:t>cartridges using a cutting tool, the memory chips on the integrated circuit boards were replaced with generic memory chips, and then each integrated circuit board so fitted with a generic memory chip was refitted to a cartridge although not necessarily, or, in all probability, at all, to the same cartridge from which the circuit board had been removed. As set out in the table above, the Category 4 cartridges also involved a different step 4 to that in the preceding categories of cartridges, being the research and development of a compatible memory chip.</w:t>
      </w:r>
    </w:p>
    <w:p w14:paraId="76750E8C"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The primary judge held that, because Category 4 cartridges had their original memory chips removed from the original Epson printer cartridges and replaced "with an entirely different item of hardware", step 3 in relation to Category 4 cartridges fell "on the wrong side of the line for the implied licence to be maintained"</w:t>
      </w:r>
      <w:r w:rsidRPr="0044114E">
        <w:rPr>
          <w:rStyle w:val="FootnoteReference"/>
          <w:rFonts w:ascii="Times New Roman" w:hAnsi="Times New Roman"/>
          <w:sz w:val="24"/>
        </w:rPr>
        <w:footnoteReference w:id="398"/>
      </w:r>
      <w:r w:rsidRPr="0044114E">
        <w:rPr>
          <w:rFonts w:ascii="Times New Roman" w:hAnsi="Times New Roman"/>
        </w:rPr>
        <w:t>. In his Honour's view, that process of removal and replacement materially affected, and changed, "the embodiment [of the patented device] that Seiko sold"</w:t>
      </w:r>
      <w:r w:rsidRPr="0044114E">
        <w:rPr>
          <w:rStyle w:val="FootnoteReference"/>
          <w:rFonts w:ascii="Times New Roman" w:hAnsi="Times New Roman"/>
          <w:sz w:val="24"/>
        </w:rPr>
        <w:footnoteReference w:id="399"/>
      </w:r>
      <w:r w:rsidRPr="0044114E">
        <w:rPr>
          <w:rFonts w:ascii="Times New Roman" w:hAnsi="Times New Roman"/>
        </w:rPr>
        <w:t>.</w:t>
      </w:r>
    </w:p>
    <w:p w14:paraId="03BC0261"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Category 5 cartridges </w:t>
      </w:r>
      <w:bookmarkStart w:id="11" w:name="_Hlk51048861"/>
      <w:bookmarkStart w:id="12" w:name="_Hlk50987267"/>
      <w:r w:rsidRPr="0044114E">
        <w:rPr>
          <w:rFonts w:ascii="Times New Roman" w:hAnsi="Times New Roman"/>
        </w:rPr>
        <w:t>were modified in the same way as Category 4 cartridges but with the addition of cutting off the "interface pattern".</w:t>
      </w:r>
      <w:bookmarkEnd w:id="11"/>
      <w:r w:rsidRPr="0044114E">
        <w:rPr>
          <w:rFonts w:ascii="Times New Roman" w:hAnsi="Times New Roman"/>
        </w:rPr>
        <w:t xml:space="preserve"> The interface pattern was part of the exterior shape of one of the short sides of the original Epson printer cartridge and was the means by which Seiko physically limited the range of Epson printers to which the cartridges could be fitted. </w:t>
      </w:r>
    </w:p>
    <w:bookmarkEnd w:id="12"/>
    <w:p w14:paraId="5EB3FDE8"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The primary judge held that because integer [1] of the patent requires that the printing material container be adapted to be attached to a printing apparatus by being inserted into it, the interface pattern formed part of the mechanism by which Seiko's embodiment achieved that function, and although the modifications made might be regarded as "borderline", in the context of "the present analysis" they fell on the wrong side of the line of the implied licence. </w:t>
      </w:r>
    </w:p>
    <w:p w14:paraId="3A208FBD"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Like Category 4 cartridges, Category 6 cartridges had not been sold since April 2016. The processes used to modify these cartridges were the same as for Category 2 and 3 cartridges but with the addition of cutting off the interface pattern in the manner described in the case of Category 5 cartridges. The primary judge held that, as with Category 5 cartridges, cutting off the interface pattern led to the conclusion that Category 6 cartridges were beyond the scope of the implied licence. </w:t>
      </w:r>
    </w:p>
    <w:p w14:paraId="0E371310"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Category 7 cartridges consisted of cartridges that fell within Category 5 (</w:t>
      </w:r>
      <w:proofErr w:type="spellStart"/>
      <w:r w:rsidRPr="0044114E">
        <w:rPr>
          <w:rFonts w:ascii="Times New Roman" w:hAnsi="Times New Roman"/>
        </w:rPr>
        <w:t>ie</w:t>
      </w:r>
      <w:proofErr w:type="spellEnd"/>
      <w:r w:rsidRPr="0044114E">
        <w:rPr>
          <w:rFonts w:ascii="Times New Roman" w:hAnsi="Times New Roman"/>
        </w:rPr>
        <w:t>,</w:t>
      </w:r>
      <w:r>
        <w:rPr>
          <w:rFonts w:ascii="Times New Roman" w:hAnsi="Times New Roman"/>
        </w:rPr>
        <w:t> </w:t>
      </w:r>
      <w:r w:rsidRPr="0044114E">
        <w:rPr>
          <w:rFonts w:ascii="Times New Roman" w:hAnsi="Times New Roman"/>
        </w:rPr>
        <w:t xml:space="preserve">Category 4 cartridges with the interface pattern cut off) or Category 6 </w:t>
      </w:r>
      <w:r w:rsidRPr="0044114E">
        <w:rPr>
          <w:rFonts w:ascii="Times New Roman" w:hAnsi="Times New Roman"/>
        </w:rPr>
        <w:lastRenderedPageBreak/>
        <w:t>(</w:t>
      </w:r>
      <w:proofErr w:type="spellStart"/>
      <w:r w:rsidRPr="0044114E">
        <w:rPr>
          <w:rFonts w:ascii="Times New Roman" w:hAnsi="Times New Roman"/>
        </w:rPr>
        <w:t>ie</w:t>
      </w:r>
      <w:proofErr w:type="spellEnd"/>
      <w:r w:rsidRPr="0044114E">
        <w:rPr>
          <w:rFonts w:ascii="Times New Roman" w:hAnsi="Times New Roman"/>
        </w:rPr>
        <w:t>,</w:t>
      </w:r>
      <w:r>
        <w:rPr>
          <w:rFonts w:ascii="Times New Roman" w:hAnsi="Times New Roman"/>
        </w:rPr>
        <w:t> </w:t>
      </w:r>
      <w:r w:rsidRPr="0044114E">
        <w:rPr>
          <w:rFonts w:ascii="Times New Roman" w:hAnsi="Times New Roman"/>
        </w:rPr>
        <w:t>Category 2 or 3 cartridges with the interface pattern cut off) that had also had the integrated circuit assembly replaced. The primary judge held that they were beyond the scope of the implied licence.</w:t>
      </w:r>
    </w:p>
    <w:p w14:paraId="71E318A3"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Category B cartridges consisted of cartridges that fell within Category 5, 6</w:t>
      </w:r>
      <w:r>
        <w:rPr>
          <w:rFonts w:ascii="Times New Roman" w:hAnsi="Times New Roman"/>
        </w:rPr>
        <w:t> </w:t>
      </w:r>
      <w:r w:rsidRPr="0044114E">
        <w:rPr>
          <w:rFonts w:ascii="Times New Roman" w:hAnsi="Times New Roman"/>
        </w:rPr>
        <w:t>or 7 which had not had their gas membranes cut. The primary judge did not consider that cutting the gas membrane was a material modification to the embodiment as claimed, but, for the reasons given in relation to Categories 5, 6</w:t>
      </w:r>
      <w:r>
        <w:rPr>
          <w:rFonts w:ascii="Times New Roman" w:hAnsi="Times New Roman"/>
        </w:rPr>
        <w:t> </w:t>
      </w:r>
      <w:r w:rsidRPr="0044114E">
        <w:rPr>
          <w:rFonts w:ascii="Times New Roman" w:hAnsi="Times New Roman"/>
        </w:rPr>
        <w:t>and 7, his Honour held that Category B cartridges were beyond the scope of the implied licence.</w:t>
      </w:r>
    </w:p>
    <w:p w14:paraId="30351E86" w14:textId="77777777" w:rsidR="00261C63" w:rsidRPr="0044114E" w:rsidRDefault="00261C63" w:rsidP="00261C63">
      <w:pPr>
        <w:pStyle w:val="HeadingL1"/>
        <w:spacing w:after="260" w:line="280" w:lineRule="exact"/>
        <w:ind w:right="0"/>
        <w:jc w:val="both"/>
        <w:rPr>
          <w:rFonts w:ascii="Times New Roman" w:hAnsi="Times New Roman"/>
        </w:rPr>
      </w:pPr>
      <w:r w:rsidRPr="0044114E">
        <w:rPr>
          <w:rFonts w:ascii="Times New Roman" w:hAnsi="Times New Roman"/>
        </w:rPr>
        <w:t>Proceedings before the Full Court of the Federal Court</w:t>
      </w:r>
    </w:p>
    <w:p w14:paraId="00E0D785"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Each member of the Full Court of the Federal Court of Australia held that the primary judge erred, but for different reasons. Greenwood J considered</w:t>
      </w:r>
      <w:r w:rsidRPr="0044114E">
        <w:rPr>
          <w:rStyle w:val="FootnoteReference"/>
          <w:rFonts w:ascii="Times New Roman" w:hAnsi="Times New Roman"/>
          <w:sz w:val="24"/>
        </w:rPr>
        <w:footnoteReference w:id="400"/>
      </w:r>
      <w:r w:rsidRPr="0044114E">
        <w:rPr>
          <w:rFonts w:ascii="Times New Roman" w:hAnsi="Times New Roman"/>
        </w:rPr>
        <w:t xml:space="preserve"> that the primary judge failed to examine the "true </w:t>
      </w:r>
      <w:r w:rsidRPr="0044114E">
        <w:rPr>
          <w:rFonts w:ascii="Times New Roman" w:hAnsi="Times New Roman"/>
          <w:i/>
        </w:rPr>
        <w:t>scope</w:t>
      </w:r>
      <w:r w:rsidRPr="0044114E">
        <w:rPr>
          <w:rFonts w:ascii="Times New Roman" w:hAnsi="Times New Roman"/>
        </w:rPr>
        <w:t xml:space="preserve"> and </w:t>
      </w:r>
      <w:r w:rsidRPr="0044114E">
        <w:rPr>
          <w:rFonts w:ascii="Times New Roman" w:hAnsi="Times New Roman"/>
          <w:i/>
        </w:rPr>
        <w:t>content</w:t>
      </w:r>
      <w:r w:rsidRPr="0044114E">
        <w:rPr>
          <w:rFonts w:ascii="Times New Roman" w:hAnsi="Times New Roman"/>
        </w:rPr>
        <w:t>" of the implied licence. His Honour posited</w:t>
      </w:r>
      <w:r w:rsidRPr="0044114E">
        <w:rPr>
          <w:rStyle w:val="FootnoteReference"/>
          <w:rFonts w:ascii="Times New Roman" w:hAnsi="Times New Roman"/>
          <w:sz w:val="24"/>
        </w:rPr>
        <w:footnoteReference w:id="401"/>
      </w:r>
      <w:r w:rsidRPr="0044114E">
        <w:rPr>
          <w:rFonts w:ascii="Times New Roman" w:hAnsi="Times New Roman"/>
        </w:rPr>
        <w:t xml:space="preserve"> that the implied licence included "all the normal rights of an owner" or the "'absolute right' to deal with the product as the buyer thinks fit", and so included the right to "hire, sell, otherwise dispose of the product, offer to sell, hire or otherwise dispose of it, use or import it, or keep it for the purpose of doing any of those things". But, his Honour said, the implied licence did not include the right to make the product, and, in his Honour's view, the</w:t>
      </w:r>
      <w:r>
        <w:rPr>
          <w:rFonts w:ascii="Times New Roman" w:hAnsi="Times New Roman"/>
        </w:rPr>
        <w:t> </w:t>
      </w:r>
      <w:r w:rsidRPr="0044114E">
        <w:rPr>
          <w:rFonts w:ascii="Times New Roman" w:hAnsi="Times New Roman"/>
        </w:rPr>
        <w:t>modifications made to each category of cartridge constituted making an article embodying the integers of a claim defining Seiko's invention</w:t>
      </w:r>
      <w:r w:rsidRPr="0044114E">
        <w:rPr>
          <w:rStyle w:val="FootnoteReference"/>
          <w:rFonts w:ascii="Times New Roman" w:hAnsi="Times New Roman"/>
          <w:sz w:val="24"/>
        </w:rPr>
        <w:footnoteReference w:id="402"/>
      </w:r>
      <w:r w:rsidRPr="0044114E">
        <w:rPr>
          <w:rFonts w:ascii="Times New Roman" w:hAnsi="Times New Roman"/>
        </w:rPr>
        <w:t>.</w:t>
      </w:r>
    </w:p>
    <w:p w14:paraId="4CB8BED1"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r>
      <w:proofErr w:type="spellStart"/>
      <w:r w:rsidRPr="0044114E">
        <w:rPr>
          <w:rFonts w:ascii="Times New Roman" w:hAnsi="Times New Roman"/>
        </w:rPr>
        <w:t>Jagot</w:t>
      </w:r>
      <w:proofErr w:type="spellEnd"/>
      <w:r w:rsidRPr="0044114E">
        <w:rPr>
          <w:rFonts w:ascii="Times New Roman" w:hAnsi="Times New Roman"/>
        </w:rPr>
        <w:t> J reasoned similarly but in more detail. Her Honour noted that step 2 of the process for all categories of cartridges involved drilling a new hole in the ink container to enable it to be filled with fresh ink, and then sealing both the new hole and the original hole by the application of plastic with heat and pressure. Her Honour stated that, although the primary judge regarded that as but a "minor</w:t>
      </w:r>
      <w:r>
        <w:rPr>
          <w:rFonts w:ascii="Times New Roman" w:hAnsi="Times New Roman"/>
        </w:rPr>
        <w:t> </w:t>
      </w:r>
      <w:r w:rsidRPr="0044114E">
        <w:rPr>
          <w:rFonts w:ascii="Times New Roman" w:hAnsi="Times New Roman"/>
        </w:rPr>
        <w:t>physical alteration" with no relationship to the claimed invention, in her Honour's view it was more, because, at the moment that the new hole was created, there was no longer an essential integer of the claimed invention, namely, a</w:t>
      </w:r>
      <w:r>
        <w:rPr>
          <w:rFonts w:ascii="Times New Roman" w:hAnsi="Times New Roman"/>
        </w:rPr>
        <w:t> </w:t>
      </w:r>
      <w:r w:rsidRPr="0044114E">
        <w:rPr>
          <w:rFonts w:ascii="Times New Roman" w:hAnsi="Times New Roman"/>
        </w:rPr>
        <w:t xml:space="preserve">"printing material container", and that remained so until the new seals were </w:t>
      </w:r>
      <w:r w:rsidRPr="0044114E">
        <w:rPr>
          <w:rFonts w:ascii="Times New Roman" w:hAnsi="Times New Roman"/>
        </w:rPr>
        <w:lastRenderedPageBreak/>
        <w:t>applied</w:t>
      </w:r>
      <w:r w:rsidRPr="0044114E">
        <w:rPr>
          <w:rStyle w:val="FootnoteReference"/>
          <w:rFonts w:ascii="Times New Roman" w:hAnsi="Times New Roman"/>
          <w:sz w:val="24"/>
        </w:rPr>
        <w:footnoteReference w:id="403"/>
      </w:r>
      <w:r w:rsidRPr="0044114E">
        <w:rPr>
          <w:rFonts w:ascii="Times New Roman" w:hAnsi="Times New Roman"/>
        </w:rPr>
        <w:t xml:space="preserve">. And in her Honour's view, the modifications carried out by </w:t>
      </w:r>
      <w:proofErr w:type="spellStart"/>
      <w:r w:rsidRPr="0044114E">
        <w:rPr>
          <w:rFonts w:ascii="Times New Roman" w:hAnsi="Times New Roman"/>
        </w:rPr>
        <w:t>Ninestar</w:t>
      </w:r>
      <w:proofErr w:type="spellEnd"/>
      <w:r w:rsidRPr="0044114E">
        <w:rPr>
          <w:rFonts w:ascii="Times New Roman" w:hAnsi="Times New Roman"/>
        </w:rPr>
        <w:t xml:space="preserve"> in refilling and resealing the ink container could not be regarded as a repair because the original Epson printer cartridges as sold and ultimately acquired by Calidad could not be re</w:t>
      </w:r>
      <w:r w:rsidRPr="0044114E">
        <w:rPr>
          <w:rFonts w:ascii="Times New Roman" w:hAnsi="Times New Roman"/>
        </w:rPr>
        <w:noBreakHyphen/>
        <w:t>used (since the ink container was empty and the memory chip recorded that the container was empty of ink), but the product as "repurposed" was capable of re</w:t>
      </w:r>
      <w:r w:rsidRPr="0044114E">
        <w:rPr>
          <w:rFonts w:ascii="Times New Roman" w:hAnsi="Times New Roman"/>
        </w:rPr>
        <w:noBreakHyphen/>
        <w:t>use. Her Honour regarded that as the making of a new embodiment of the invention and thus beyond the scope of the implied licence</w:t>
      </w:r>
      <w:r w:rsidRPr="0044114E">
        <w:rPr>
          <w:rStyle w:val="FootnoteReference"/>
          <w:rFonts w:ascii="Times New Roman" w:hAnsi="Times New Roman"/>
          <w:sz w:val="24"/>
        </w:rPr>
        <w:footnoteReference w:id="404"/>
      </w:r>
      <w:r w:rsidRPr="0044114E">
        <w:rPr>
          <w:rFonts w:ascii="Times New Roman" w:hAnsi="Times New Roman"/>
        </w:rPr>
        <w:t>.</w:t>
      </w:r>
    </w:p>
    <w:p w14:paraId="667D25ED"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r>
      <w:proofErr w:type="spellStart"/>
      <w:r w:rsidRPr="0044114E">
        <w:rPr>
          <w:rFonts w:ascii="Times New Roman" w:hAnsi="Times New Roman"/>
        </w:rPr>
        <w:t>Jagot</w:t>
      </w:r>
      <w:proofErr w:type="spellEnd"/>
      <w:r w:rsidRPr="0044114E">
        <w:rPr>
          <w:rFonts w:ascii="Times New Roman" w:hAnsi="Times New Roman"/>
        </w:rPr>
        <w:t> J considered that, in the case of Category 4 cartridges, because the memory chip was substituted (which required removal of the printed circuit board from each cartridge and the attachment of a new substitute chip to each of the printed circuit boards), and because the printed circuit boards with substitute chips installed were supplied in bulk separately from the cartridges from which they had been removed and were then refitted to different cartridges to those from which they had been removed, the original Epson product as sold necessarily ceased to exist either at the moment its printed circuit board was removed or by the time the new chip was attached to a printed circuit board and that printed circuit board was inserted into a different cartridge. In her Honour's view, the functional equivalence of the substituted memory chips was beside the point. The product was no longer the product that Seiko had sold</w:t>
      </w:r>
      <w:r w:rsidRPr="0044114E">
        <w:rPr>
          <w:rStyle w:val="FootnoteReference"/>
          <w:rFonts w:ascii="Times New Roman" w:hAnsi="Times New Roman"/>
          <w:sz w:val="24"/>
        </w:rPr>
        <w:footnoteReference w:id="405"/>
      </w:r>
      <w:r w:rsidRPr="0044114E">
        <w:rPr>
          <w:rFonts w:ascii="Times New Roman" w:hAnsi="Times New Roman"/>
        </w:rPr>
        <w:t>.</w:t>
      </w:r>
    </w:p>
    <w:p w14:paraId="6A24DDC5"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r>
      <w:proofErr w:type="spellStart"/>
      <w:r w:rsidRPr="0044114E">
        <w:rPr>
          <w:rFonts w:ascii="Times New Roman" w:hAnsi="Times New Roman"/>
        </w:rPr>
        <w:t>Jagot</w:t>
      </w:r>
      <w:proofErr w:type="spellEnd"/>
      <w:r w:rsidRPr="0044114E">
        <w:rPr>
          <w:rFonts w:ascii="Times New Roman" w:hAnsi="Times New Roman"/>
        </w:rPr>
        <w:t> J also considered that the same was true of Category 5 cartridges, and, contrary to the primary judge's conclusion, that the cutting off of the interface pattern on Category 5 cartridges was not just "borderline" but rather enabled "a</w:t>
      </w:r>
      <w:r>
        <w:rPr>
          <w:rFonts w:ascii="Times New Roman" w:hAnsi="Times New Roman"/>
        </w:rPr>
        <w:t> </w:t>
      </w:r>
      <w:r w:rsidRPr="0044114E">
        <w:rPr>
          <w:rFonts w:ascii="Times New Roman" w:hAnsi="Times New Roman"/>
        </w:rPr>
        <w:t>new kind of adaption for attachment to the printer"</w:t>
      </w:r>
      <w:r w:rsidRPr="0044114E">
        <w:rPr>
          <w:rStyle w:val="FootnoteReference"/>
          <w:rFonts w:ascii="Times New Roman" w:hAnsi="Times New Roman"/>
          <w:sz w:val="24"/>
        </w:rPr>
        <w:footnoteReference w:id="406"/>
      </w:r>
      <w:r w:rsidRPr="0044114E">
        <w:rPr>
          <w:rFonts w:ascii="Times New Roman" w:hAnsi="Times New Roman"/>
        </w:rPr>
        <w:t>. For that reason, her</w:t>
      </w:r>
      <w:r>
        <w:rPr>
          <w:rFonts w:ascii="Times New Roman" w:hAnsi="Times New Roman"/>
        </w:rPr>
        <w:t> </w:t>
      </w:r>
      <w:r w:rsidRPr="0044114E">
        <w:rPr>
          <w:rFonts w:ascii="Times New Roman" w:hAnsi="Times New Roman"/>
        </w:rPr>
        <w:t xml:space="preserve">Honour said, it was clearly a new embodiment of the claimed invention containing all of the integers of the claim. </w:t>
      </w:r>
    </w:p>
    <w:p w14:paraId="235CC541"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r>
      <w:proofErr w:type="spellStart"/>
      <w:r w:rsidRPr="0044114E">
        <w:rPr>
          <w:rFonts w:ascii="Times New Roman" w:hAnsi="Times New Roman"/>
        </w:rPr>
        <w:t>Jagot</w:t>
      </w:r>
      <w:proofErr w:type="spellEnd"/>
      <w:r w:rsidRPr="0044114E">
        <w:rPr>
          <w:rFonts w:ascii="Times New Roman" w:hAnsi="Times New Roman"/>
        </w:rPr>
        <w:t xml:space="preserve"> J was further of the opinion that the same conclusion applied to Category 7 cartridges because the reconditioning process involved the removal of the integrated circuit assembly from one cartridge, which, in her Honour's view, was "central to the invention as claimed and which includes within it the layout of the terminals which are described in integers [4]-[11]", and the replacement of the integrated circuit assembly in another cartridge as necessary resulted in the </w:t>
      </w:r>
      <w:r w:rsidRPr="0044114E">
        <w:rPr>
          <w:rFonts w:ascii="Times New Roman" w:hAnsi="Times New Roman"/>
        </w:rPr>
        <w:lastRenderedPageBreak/>
        <w:t>creation of a "new embodiment of the invention" beyond the scope of the implied licence</w:t>
      </w:r>
      <w:r w:rsidRPr="0044114E">
        <w:rPr>
          <w:rStyle w:val="FootnoteReference"/>
          <w:rFonts w:ascii="Times New Roman" w:hAnsi="Times New Roman"/>
          <w:sz w:val="24"/>
        </w:rPr>
        <w:footnoteReference w:id="407"/>
      </w:r>
      <w:r w:rsidRPr="0044114E">
        <w:rPr>
          <w:rFonts w:ascii="Times New Roman" w:hAnsi="Times New Roman"/>
        </w:rPr>
        <w:t>.</w:t>
      </w:r>
    </w:p>
    <w:p w14:paraId="39081DAA"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Finally, with respect to changes made to cartridge memory, </w:t>
      </w:r>
      <w:proofErr w:type="spellStart"/>
      <w:r w:rsidRPr="0044114E">
        <w:rPr>
          <w:rFonts w:ascii="Times New Roman" w:hAnsi="Times New Roman"/>
        </w:rPr>
        <w:t>Jagot</w:t>
      </w:r>
      <w:proofErr w:type="spellEnd"/>
      <w:r w:rsidRPr="0044114E">
        <w:rPr>
          <w:rFonts w:ascii="Times New Roman" w:hAnsi="Times New Roman"/>
        </w:rPr>
        <w:t> J stated that she was unable to agree with the primary judge that the memory claim of the patent involved the mere physical existence of the memory chip. In her Honour's view, integer [2] claimed a memory "driven by" a memory driving voltage, and the only thing that was driven by the memory driving voltage was the memory "in the sense of the information stored on the chip"</w:t>
      </w:r>
      <w:r w:rsidRPr="0044114E">
        <w:rPr>
          <w:rStyle w:val="FootnoteReference"/>
          <w:rFonts w:ascii="Times New Roman" w:hAnsi="Times New Roman"/>
          <w:sz w:val="24"/>
        </w:rPr>
        <w:footnoteReference w:id="408"/>
      </w:r>
      <w:r w:rsidRPr="0044114E">
        <w:rPr>
          <w:rFonts w:ascii="Times New Roman" w:hAnsi="Times New Roman"/>
        </w:rPr>
        <w:t>. It followed, in her Honour's view, that the fact that the chip had information on it that was able to be changed (driven) by the memory driving voltage was an essential part of the claimed invention</w:t>
      </w:r>
      <w:r w:rsidRPr="0044114E">
        <w:rPr>
          <w:rStyle w:val="FootnoteReference"/>
          <w:rFonts w:ascii="Times New Roman" w:hAnsi="Times New Roman"/>
          <w:sz w:val="24"/>
        </w:rPr>
        <w:footnoteReference w:id="409"/>
      </w:r>
      <w:r w:rsidRPr="0044114E">
        <w:rPr>
          <w:rFonts w:ascii="Times New Roman" w:hAnsi="Times New Roman"/>
        </w:rPr>
        <w:t>. Her Honour concluded</w:t>
      </w:r>
      <w:r w:rsidRPr="0044114E">
        <w:rPr>
          <w:rStyle w:val="FootnoteReference"/>
          <w:rFonts w:ascii="Times New Roman" w:hAnsi="Times New Roman"/>
          <w:sz w:val="24"/>
        </w:rPr>
        <w:footnoteReference w:id="410"/>
      </w:r>
      <w:r w:rsidRPr="0044114E">
        <w:rPr>
          <w:rFonts w:ascii="Times New Roman" w:hAnsi="Times New Roman"/>
        </w:rPr>
        <w:t xml:space="preserve">: </w:t>
      </w:r>
    </w:p>
    <w:p w14:paraId="0766CE70"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"It may be accepted that the actual status of the memory (that is, whether it shows the cartridge as full, empty or anywhere in between) is not part of the claim, but the fact that the claim involves a memory driven by a memory driving voltage is not irrelevant. Considered in the context of the product as sold, which is essential to the scope of the implied licence to use the product without infringement of the patents, the fact that the re</w:t>
      </w:r>
      <w:r w:rsidRPr="0044114E">
        <w:rPr>
          <w:rFonts w:ascii="Times New Roman" w:hAnsi="Times New Roman"/>
        </w:rPr>
        <w:noBreakHyphen/>
        <w:t>purposing of the cartridges, as a minimum, involves re</w:t>
      </w:r>
      <w:r w:rsidRPr="0044114E">
        <w:rPr>
          <w:rFonts w:ascii="Times New Roman" w:hAnsi="Times New Roman"/>
        </w:rPr>
        <w:noBreakHyphen/>
        <w:t xml:space="preserve">programming the chip to change the memory supports the conclusion that the imported </w:t>
      </w:r>
      <w:r w:rsidRPr="0044114E">
        <w:rPr>
          <w:rFonts w:ascii="Times New Roman" w:hAnsi="Times New Roman"/>
          <w:bCs/>
        </w:rPr>
        <w:t xml:space="preserve">Calidad </w:t>
      </w:r>
      <w:r w:rsidRPr="0044114E">
        <w:rPr>
          <w:rFonts w:ascii="Times New Roman" w:hAnsi="Times New Roman"/>
        </w:rPr>
        <w:t xml:space="preserve">cartridges are outside the scope of any possible implied licence or any concept of repair." </w:t>
      </w:r>
    </w:p>
    <w:p w14:paraId="0E0A63B3"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Yates J reasoned</w:t>
      </w:r>
      <w:r w:rsidRPr="0044114E">
        <w:rPr>
          <w:rStyle w:val="FootnoteReference"/>
          <w:rFonts w:ascii="Times New Roman" w:hAnsi="Times New Roman"/>
          <w:sz w:val="24"/>
        </w:rPr>
        <w:footnoteReference w:id="411"/>
      </w:r>
      <w:r w:rsidRPr="0044114E">
        <w:rPr>
          <w:rFonts w:ascii="Times New Roman" w:hAnsi="Times New Roman"/>
        </w:rPr>
        <w:t xml:space="preserve"> that, whereas the primary judge's analysis of Calidad's cartridges was confined to the materiality of the modifications made to the claimed features of the invention, the correct approach was to ask whether, in each particular category, the modifications that </w:t>
      </w:r>
      <w:proofErr w:type="spellStart"/>
      <w:r w:rsidRPr="0044114E">
        <w:rPr>
          <w:rFonts w:ascii="Times New Roman" w:hAnsi="Times New Roman"/>
        </w:rPr>
        <w:t>Ninestar</w:t>
      </w:r>
      <w:proofErr w:type="spellEnd"/>
      <w:r w:rsidRPr="0044114E">
        <w:rPr>
          <w:rFonts w:ascii="Times New Roman" w:hAnsi="Times New Roman"/>
        </w:rPr>
        <w:t xml:space="preserve"> made to the original Epson printer cartridges altered them in such a way that they were, in substance, different articles from those Seiko had put into the market. And in his Honour's view, the</w:t>
      </w:r>
      <w:r>
        <w:rPr>
          <w:rFonts w:ascii="Times New Roman" w:hAnsi="Times New Roman"/>
        </w:rPr>
        <w:t> </w:t>
      </w:r>
      <w:r w:rsidRPr="0044114E">
        <w:rPr>
          <w:rFonts w:ascii="Times New Roman" w:hAnsi="Times New Roman"/>
        </w:rPr>
        <w:t xml:space="preserve">modifications made in each category of cartridge materially altered the original Epson printer cartridges that Seiko had put into the market and amounted to remanufacture of the discarded original Epson printer cartridges to produce reborn printer cartridges that could not be said to have been of Seiko's making. </w:t>
      </w:r>
    </w:p>
    <w:p w14:paraId="3F9F88AB" w14:textId="77777777" w:rsidR="00261C63" w:rsidRPr="0044114E" w:rsidRDefault="00261C63" w:rsidP="00261C63">
      <w:pPr>
        <w:pStyle w:val="HeadingL1"/>
        <w:spacing w:after="260" w:line="280" w:lineRule="exact"/>
        <w:ind w:right="0"/>
        <w:jc w:val="both"/>
        <w:rPr>
          <w:rFonts w:ascii="Times New Roman" w:hAnsi="Times New Roman"/>
        </w:rPr>
      </w:pPr>
      <w:r w:rsidRPr="0044114E">
        <w:rPr>
          <w:rFonts w:ascii="Times New Roman" w:hAnsi="Times New Roman"/>
        </w:rPr>
        <w:lastRenderedPageBreak/>
        <w:t>Repair and modification</w:t>
      </w:r>
    </w:p>
    <w:p w14:paraId="664ADC43"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In cases of this kind, where the question is whether steps taken to recondition or restore a used patented article constitute an infringement of the patent, the principle is clear. Consistently with the release that an implied licence in the contract of sale effects from the exclusive rights in s 13 of the </w:t>
      </w:r>
      <w:r w:rsidRPr="0044114E">
        <w:rPr>
          <w:rFonts w:ascii="Times New Roman" w:hAnsi="Times New Roman"/>
          <w:i/>
          <w:iCs/>
        </w:rPr>
        <w:t>Patents</w:t>
      </w:r>
      <w:r>
        <w:rPr>
          <w:rFonts w:ascii="Times New Roman" w:hAnsi="Times New Roman"/>
          <w:i/>
          <w:iCs/>
        </w:rPr>
        <w:t> </w:t>
      </w:r>
      <w:r w:rsidRPr="0044114E">
        <w:rPr>
          <w:rFonts w:ascii="Times New Roman" w:hAnsi="Times New Roman"/>
          <w:i/>
          <w:iCs/>
        </w:rPr>
        <w:t>Act</w:t>
      </w:r>
      <w:r>
        <w:rPr>
          <w:rFonts w:ascii="Times New Roman" w:hAnsi="Times New Roman"/>
          <w:i/>
          <w:iCs/>
        </w:rPr>
        <w:t> </w:t>
      </w:r>
      <w:r w:rsidRPr="0044114E">
        <w:rPr>
          <w:rFonts w:ascii="Times New Roman" w:hAnsi="Times New Roman"/>
          <w:i/>
          <w:iCs/>
        </w:rPr>
        <w:t>1990</w:t>
      </w:r>
      <w:r w:rsidRPr="0044114E">
        <w:rPr>
          <w:rFonts w:ascii="Times New Roman" w:hAnsi="Times New Roman"/>
        </w:rPr>
        <w:t xml:space="preserve">, the purchaser has the liberty to "use" or "sell" the article but not to "make" a new article. The implied licence therefore permits a purchaser to repair and restore the article which embodies the patented invention, or otherwise to use the article, but not to make a new one. As Lord Halsbury famously observed in </w:t>
      </w:r>
      <w:r w:rsidRPr="0044114E">
        <w:rPr>
          <w:rFonts w:ascii="Times New Roman" w:hAnsi="Times New Roman"/>
          <w:i/>
        </w:rPr>
        <w:t>Sirdar Rubber Co Ltd v Wallington, Weston &amp; Co</w:t>
      </w:r>
      <w:r w:rsidRPr="0044114E">
        <w:rPr>
          <w:rStyle w:val="FootnoteReference"/>
          <w:rFonts w:ascii="Times New Roman" w:hAnsi="Times New Roman"/>
          <w:sz w:val="24"/>
        </w:rPr>
        <w:footnoteReference w:id="412"/>
      </w:r>
      <w:r w:rsidRPr="0044114E">
        <w:rPr>
          <w:rFonts w:ascii="Times New Roman" w:hAnsi="Times New Roman"/>
        </w:rPr>
        <w:t>:</w:t>
      </w:r>
      <w:r w:rsidRPr="0044114E">
        <w:rPr>
          <w:rFonts w:ascii="Times New Roman" w:hAnsi="Times New Roman"/>
          <w:i/>
        </w:rPr>
        <w:t xml:space="preserve"> </w:t>
      </w:r>
    </w:p>
    <w:p w14:paraId="60F0F5DE"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"The principle is quite clear although its application is sometimes difficult; you may prolong the life of a licensed article but you must not make a new one under the cover of repair."</w:t>
      </w:r>
    </w:p>
    <w:p w14:paraId="17152556"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Likewise, in </w:t>
      </w:r>
      <w:r w:rsidRPr="0044114E">
        <w:rPr>
          <w:rFonts w:ascii="Times New Roman" w:hAnsi="Times New Roman"/>
          <w:i/>
        </w:rPr>
        <w:t>Solar Thomson Engineering Co Ltd v Barton</w:t>
      </w:r>
      <w:r w:rsidRPr="0044114E">
        <w:rPr>
          <w:rStyle w:val="FootnoteReference"/>
          <w:rFonts w:ascii="Times New Roman" w:hAnsi="Times New Roman"/>
          <w:sz w:val="24"/>
        </w:rPr>
        <w:footnoteReference w:id="413"/>
      </w:r>
      <w:r w:rsidRPr="0044114E">
        <w:rPr>
          <w:rFonts w:ascii="Times New Roman" w:hAnsi="Times New Roman"/>
        </w:rPr>
        <w:t xml:space="preserve">, Buckley LJ (with whom Orr and Goff LJJ agreed) endorsed the observations of </w:t>
      </w:r>
      <w:proofErr w:type="spellStart"/>
      <w:r w:rsidRPr="0044114E">
        <w:rPr>
          <w:rFonts w:ascii="Times New Roman" w:hAnsi="Times New Roman"/>
        </w:rPr>
        <w:t>Swinfen</w:t>
      </w:r>
      <w:proofErr w:type="spellEnd"/>
      <w:r>
        <w:rPr>
          <w:rFonts w:ascii="Times New Roman" w:hAnsi="Times New Roman"/>
        </w:rPr>
        <w:t xml:space="preserve"> </w:t>
      </w:r>
      <w:proofErr w:type="spellStart"/>
      <w:r w:rsidRPr="0044114E">
        <w:rPr>
          <w:rFonts w:ascii="Times New Roman" w:hAnsi="Times New Roman"/>
        </w:rPr>
        <w:t>Eady</w:t>
      </w:r>
      <w:proofErr w:type="spellEnd"/>
      <w:r w:rsidRPr="0044114E">
        <w:rPr>
          <w:rFonts w:ascii="Times New Roman" w:hAnsi="Times New Roman"/>
        </w:rPr>
        <w:t xml:space="preserve"> J at first instance in </w:t>
      </w:r>
      <w:bookmarkStart w:id="13" w:name="_Hlk54793884"/>
      <w:r w:rsidRPr="0044114E">
        <w:rPr>
          <w:rFonts w:ascii="Times New Roman" w:hAnsi="Times New Roman"/>
          <w:i/>
        </w:rPr>
        <w:t>Sirdar Rubber</w:t>
      </w:r>
      <w:bookmarkEnd w:id="13"/>
      <w:r w:rsidRPr="0044114E">
        <w:rPr>
          <w:rStyle w:val="FootnoteReference"/>
          <w:rFonts w:ascii="Times New Roman" w:hAnsi="Times New Roman"/>
          <w:sz w:val="24"/>
        </w:rPr>
        <w:footnoteReference w:id="414"/>
      </w:r>
      <w:r w:rsidRPr="0044114E">
        <w:rPr>
          <w:rFonts w:ascii="Times New Roman" w:hAnsi="Times New Roman"/>
        </w:rPr>
        <w:t xml:space="preserve">, where his Honour stated that: </w:t>
      </w:r>
    </w:p>
    <w:p w14:paraId="214605FF"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"The purchaser of a patent article has a right to prolong its life by fair repair, but he has not a right to obtain ... a substantially new article made in accordance with the invention, retaining only some subordinate part of the old article so that it may be said that the combination is not an entirely new one."</w:t>
      </w:r>
    </w:p>
    <w:p w14:paraId="1660D27E"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And, in Buckley LJ's view</w:t>
      </w:r>
      <w:r w:rsidRPr="0044114E">
        <w:rPr>
          <w:rStyle w:val="FootnoteReference"/>
          <w:rFonts w:ascii="Times New Roman" w:hAnsi="Times New Roman"/>
          <w:sz w:val="24"/>
        </w:rPr>
        <w:footnoteReference w:id="415"/>
      </w:r>
      <w:r w:rsidRPr="0044114E">
        <w:rPr>
          <w:rFonts w:ascii="Times New Roman" w:hAnsi="Times New Roman"/>
        </w:rPr>
        <w:t>:</w:t>
      </w:r>
    </w:p>
    <w:p w14:paraId="1B77F0DC"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"The cardinal question must be whether what has been done can fairly be termed a repair, having regard to the nature of the patented article."</w:t>
      </w:r>
    </w:p>
    <w:p w14:paraId="635FED87" w14:textId="77777777" w:rsidR="00261C63" w:rsidRPr="0044114E" w:rsidRDefault="00261C63" w:rsidP="00AC7EF2">
      <w:pPr>
        <w:pStyle w:val="FixListStyle"/>
        <w:keepNext/>
        <w:numPr>
          <w:ilvl w:val="0"/>
          <w:numId w:val="18"/>
        </w:numPr>
        <w:spacing w:after="260" w:line="280" w:lineRule="exact"/>
        <w:ind w:left="0" w:right="0" w:hanging="720"/>
        <w:jc w:val="both"/>
        <w:rPr>
          <w:rFonts w:ascii="Times New Roman" w:hAnsi="Times New Roman"/>
        </w:rPr>
      </w:pPr>
      <w:r w:rsidRPr="0044114E">
        <w:rPr>
          <w:rFonts w:ascii="Times New Roman" w:hAnsi="Times New Roman"/>
        </w:rPr>
        <w:lastRenderedPageBreak/>
        <w:tab/>
        <w:t xml:space="preserve">Subsequently, in </w:t>
      </w:r>
      <w:r w:rsidRPr="0044114E">
        <w:rPr>
          <w:rFonts w:ascii="Times New Roman" w:hAnsi="Times New Roman"/>
          <w:i/>
        </w:rPr>
        <w:t>United Wire</w:t>
      </w:r>
      <w:r w:rsidRPr="0044114E">
        <w:rPr>
          <w:rFonts w:ascii="Times New Roman" w:hAnsi="Times New Roman"/>
        </w:rPr>
        <w:t>, Lord Hoffmann observed</w:t>
      </w:r>
      <w:r w:rsidRPr="0044114E">
        <w:rPr>
          <w:rStyle w:val="FootnoteReference"/>
          <w:rFonts w:ascii="Times New Roman" w:hAnsi="Times New Roman"/>
          <w:sz w:val="24"/>
        </w:rPr>
        <w:footnoteReference w:id="416"/>
      </w:r>
      <w:r w:rsidRPr="0044114E">
        <w:rPr>
          <w:rFonts w:ascii="Times New Roman" w:hAnsi="Times New Roman"/>
        </w:rPr>
        <w:t>:</w:t>
      </w:r>
    </w:p>
    <w:p w14:paraId="72284A6D" w14:textId="77777777" w:rsidR="00261C63" w:rsidRPr="0044114E"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ab/>
        <w:t xml:space="preserve">"Repair is one of the concepts (like modifying or adapting) which shares a boundary with 'making' but does not trespass upon its territory. I therefore agree with the Court of Appeal that in an action for infringement by making, the notion of an implied licence to repair is superfluous and possibly even confusing. It distracts attention from the question raised by section 60(1)(a) [of the </w:t>
      </w:r>
      <w:r w:rsidRPr="0044114E">
        <w:rPr>
          <w:rFonts w:ascii="Times New Roman" w:hAnsi="Times New Roman"/>
          <w:i/>
        </w:rPr>
        <w:t xml:space="preserve">Patents Act 1977 </w:t>
      </w:r>
      <w:r w:rsidRPr="0044114E">
        <w:rPr>
          <w:rFonts w:ascii="Times New Roman" w:hAnsi="Times New Roman"/>
        </w:rPr>
        <w:t>(UK)], which is whether the defendant has made the patented product. As a matter of ordinary language, the notions of making and repair may well overlap. But for the purposes of the statute, they are mutually exclusive. ...</w:t>
      </w:r>
    </w:p>
    <w:p w14:paraId="0EBC3781"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ab/>
        <w:t xml:space="preserve">In </w:t>
      </w:r>
      <w:r w:rsidRPr="0044114E">
        <w:rPr>
          <w:rFonts w:ascii="Times New Roman" w:hAnsi="Times New Roman"/>
          <w:i/>
        </w:rPr>
        <w:t xml:space="preserve">Solar Thomson </w:t>
      </w:r>
      <w:r w:rsidRPr="0044114E">
        <w:rPr>
          <w:rFonts w:ascii="Times New Roman" w:hAnsi="Times New Roman"/>
        </w:rPr>
        <w:t>... Buckley LJ quoted the remark of Lord</w:t>
      </w:r>
      <w:r>
        <w:rPr>
          <w:rFonts w:ascii="Times New Roman" w:hAnsi="Times New Roman"/>
        </w:rPr>
        <w:t> </w:t>
      </w:r>
      <w:r w:rsidRPr="0044114E">
        <w:rPr>
          <w:rFonts w:ascii="Times New Roman" w:hAnsi="Times New Roman"/>
        </w:rPr>
        <w:t>Halsbury LC ... [and] said that the question was one of fact and degree and ... that the 'cardinal question' was whether 'what has been done can fairly be termed a repair, having regard to the nature of the patented article'. The context shows that Buckley LJ saw no difference between this question and the question of whether, having regard to the nature of the patented article, the defendant could be said to have made it. Speaking for myself, I</w:t>
      </w:r>
      <w:r>
        <w:rPr>
          <w:rFonts w:ascii="Times New Roman" w:hAnsi="Times New Roman"/>
        </w:rPr>
        <w:t> </w:t>
      </w:r>
      <w:r w:rsidRPr="0044114E">
        <w:rPr>
          <w:rFonts w:ascii="Times New Roman" w:hAnsi="Times New Roman"/>
        </w:rPr>
        <w:t>prefer the latter formulation."</w:t>
      </w:r>
    </w:p>
    <w:p w14:paraId="65AA05BC"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But more recently, in </w:t>
      </w:r>
      <w:proofErr w:type="spellStart"/>
      <w:r w:rsidRPr="0044114E">
        <w:rPr>
          <w:rFonts w:ascii="Times New Roman" w:hAnsi="Times New Roman"/>
          <w:i/>
        </w:rPr>
        <w:t>Schütz</w:t>
      </w:r>
      <w:proofErr w:type="spellEnd"/>
      <w:r w:rsidRPr="0044114E">
        <w:rPr>
          <w:rFonts w:ascii="Times New Roman" w:hAnsi="Times New Roman"/>
          <w:i/>
        </w:rPr>
        <w:t xml:space="preserve"> (UK) Ltd v </w:t>
      </w:r>
      <w:proofErr w:type="spellStart"/>
      <w:r w:rsidRPr="0044114E">
        <w:rPr>
          <w:rFonts w:ascii="Times New Roman" w:hAnsi="Times New Roman"/>
          <w:i/>
        </w:rPr>
        <w:t>Werit</w:t>
      </w:r>
      <w:proofErr w:type="spellEnd"/>
      <w:r w:rsidRPr="0044114E">
        <w:rPr>
          <w:rFonts w:ascii="Times New Roman" w:hAnsi="Times New Roman"/>
          <w:i/>
        </w:rPr>
        <w:t xml:space="preserve"> (UK) Ltd</w:t>
      </w:r>
      <w:r w:rsidRPr="0044114E">
        <w:rPr>
          <w:rFonts w:ascii="Times New Roman" w:hAnsi="Times New Roman"/>
        </w:rPr>
        <w:t xml:space="preserve">, Lord Neuberger (with whom Lord Walker, Lady Hale, Lord </w:t>
      </w:r>
      <w:proofErr w:type="spellStart"/>
      <w:r w:rsidRPr="0044114E">
        <w:rPr>
          <w:rFonts w:ascii="Times New Roman" w:hAnsi="Times New Roman"/>
        </w:rPr>
        <w:t>Mance</w:t>
      </w:r>
      <w:proofErr w:type="spellEnd"/>
      <w:r w:rsidRPr="0044114E">
        <w:rPr>
          <w:rFonts w:ascii="Times New Roman" w:hAnsi="Times New Roman"/>
        </w:rPr>
        <w:t xml:space="preserve"> and Lord Kerr agreed) confirmed the utility of the distinction between repair of a patented item and the making of a new one</w:t>
      </w:r>
      <w:r w:rsidRPr="0044114E">
        <w:rPr>
          <w:rStyle w:val="FootnoteReference"/>
          <w:rFonts w:ascii="Times New Roman" w:hAnsi="Times New Roman"/>
          <w:sz w:val="24"/>
        </w:rPr>
        <w:footnoteReference w:id="417"/>
      </w:r>
      <w:r w:rsidRPr="0044114E">
        <w:rPr>
          <w:rFonts w:ascii="Times New Roman" w:hAnsi="Times New Roman"/>
        </w:rPr>
        <w:t xml:space="preserve">: </w:t>
      </w:r>
    </w:p>
    <w:p w14:paraId="46AAEE24" w14:textId="77777777" w:rsidR="00261C63" w:rsidRPr="0044114E"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ab/>
        <w:t xml:space="preserve">"The approach of Buckley LJ [in </w:t>
      </w:r>
      <w:r w:rsidRPr="0044114E">
        <w:rPr>
          <w:rFonts w:ascii="Times New Roman" w:hAnsi="Times New Roman"/>
          <w:i/>
        </w:rPr>
        <w:t>Solar Thomson</w:t>
      </w:r>
      <w:r w:rsidRPr="0044114E">
        <w:rPr>
          <w:rFonts w:ascii="Times New Roman" w:hAnsi="Times New Roman"/>
        </w:rPr>
        <w:t>] supports the notion that, subject to the overriding point that it should not obscure the central issue of whether the alleged infringer 'makes' the patented article, it</w:t>
      </w:r>
      <w:r>
        <w:rPr>
          <w:rFonts w:ascii="Times New Roman" w:hAnsi="Times New Roman"/>
        </w:rPr>
        <w:t> </w:t>
      </w:r>
      <w:r w:rsidRPr="0044114E">
        <w:rPr>
          <w:rFonts w:ascii="Times New Roman" w:hAnsi="Times New Roman"/>
        </w:rPr>
        <w:t>may sometimes be useful to consider whether the alleged infringer is repairing rather than 'making' the article. ...</w:t>
      </w:r>
    </w:p>
    <w:p w14:paraId="267EA3AF"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ab/>
        <w:t xml:space="preserve">The mere fact that an activity involves replacing a constituent part of an article does not mean that the activity involves 'making' of a new article rather than constituting a repair of the original article. Repair of an item frequently involves replacement of one or some of its constituents." </w:t>
      </w:r>
    </w:p>
    <w:p w14:paraId="635A4AC9"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lastRenderedPageBreak/>
        <w:tab/>
        <w:t>His Lordship then referred to the example of repairing a roof by the replacement of tiles or repairing a house by replacement of the roof and continued</w:t>
      </w:r>
      <w:r w:rsidRPr="0044114E">
        <w:rPr>
          <w:rStyle w:val="FootnoteReference"/>
          <w:rFonts w:ascii="Times New Roman" w:hAnsi="Times New Roman"/>
          <w:sz w:val="24"/>
        </w:rPr>
        <w:footnoteReference w:id="418"/>
      </w:r>
      <w:r w:rsidRPr="0044114E">
        <w:rPr>
          <w:rFonts w:ascii="Times New Roman" w:hAnsi="Times New Roman"/>
        </w:rPr>
        <w:t xml:space="preserve">: </w:t>
      </w:r>
    </w:p>
    <w:p w14:paraId="19F3F589"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ab/>
        <w:t xml:space="preserve">"In the more directly relevant context of chattels rather than buildings, the normal use of 'making' and 'repairing' demonstrates the same point. Works to a ship or a motor car, which </w:t>
      </w:r>
      <w:bookmarkStart w:id="14" w:name="_Hlk50546700"/>
      <w:r w:rsidRPr="0044114E">
        <w:rPr>
          <w:rFonts w:ascii="Times New Roman" w:hAnsi="Times New Roman"/>
        </w:rPr>
        <w:t>involve removal and replacement of defective significant constituent parts, could be substantial in terms of physical extent, structural significance, and financial cost, without amounting to 'making' a ship or motor car, as a matter of ordinary language:</w:t>
      </w:r>
      <w:bookmarkEnd w:id="14"/>
      <w:r w:rsidRPr="0044114E">
        <w:rPr>
          <w:rFonts w:ascii="Times New Roman" w:hAnsi="Times New Roman"/>
        </w:rPr>
        <w:t xml:space="preserve"> in such a case, they would be 'repair' of the existing ship or motor car."</w:t>
      </w:r>
    </w:p>
    <w:p w14:paraId="3F1F4D8E"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Although, as has been seen, the law of patent infringement in the United States is affected by its recognition of the exhaustion theory</w:t>
      </w:r>
      <w:r w:rsidRPr="0044114E">
        <w:rPr>
          <w:rStyle w:val="FootnoteReference"/>
          <w:rFonts w:ascii="Times New Roman" w:hAnsi="Times New Roman"/>
          <w:sz w:val="24"/>
        </w:rPr>
        <w:footnoteReference w:id="419"/>
      </w:r>
      <w:r w:rsidRPr="0044114E">
        <w:rPr>
          <w:rFonts w:ascii="Times New Roman" w:hAnsi="Times New Roman"/>
        </w:rPr>
        <w:t>, the United States approach to the question of how much a patented item may be changed without making a new item is essentially similar to the Anglo-Australian approach under the implied licence theory, albeit that, in the United States, the distinction between repair and making is described in terms of the difference between modifications, improvements and repairs on the one hand and reconstruction in the sense of making a "substantially new article"</w:t>
      </w:r>
      <w:r w:rsidRPr="0044114E">
        <w:rPr>
          <w:rStyle w:val="FootnoteReference"/>
          <w:rFonts w:ascii="Times New Roman" w:hAnsi="Times New Roman"/>
          <w:sz w:val="24"/>
        </w:rPr>
        <w:footnoteReference w:id="420"/>
      </w:r>
      <w:r w:rsidRPr="0044114E">
        <w:rPr>
          <w:rFonts w:ascii="Times New Roman" w:hAnsi="Times New Roman"/>
        </w:rPr>
        <w:t xml:space="preserve"> on the other. Thus, in </w:t>
      </w:r>
      <w:proofErr w:type="spellStart"/>
      <w:r w:rsidRPr="0044114E">
        <w:rPr>
          <w:rFonts w:ascii="Times New Roman" w:hAnsi="Times New Roman"/>
          <w:i/>
        </w:rPr>
        <w:t>Aro</w:t>
      </w:r>
      <w:proofErr w:type="spellEnd"/>
      <w:r w:rsidRPr="0044114E">
        <w:rPr>
          <w:rFonts w:ascii="Times New Roman" w:hAnsi="Times New Roman"/>
          <w:i/>
        </w:rPr>
        <w:t xml:space="preserve"> Manufacturing Co Inc v Convertible Top Replacement Co</w:t>
      </w:r>
      <w:r w:rsidRPr="0044114E">
        <w:rPr>
          <w:rFonts w:ascii="Times New Roman" w:hAnsi="Times New Roman"/>
        </w:rPr>
        <w:t xml:space="preserve"> </w:t>
      </w:r>
      <w:r w:rsidRPr="0044114E">
        <w:rPr>
          <w:rFonts w:ascii="Times New Roman" w:hAnsi="Times New Roman"/>
          <w:i/>
        </w:rPr>
        <w:t>Inc</w:t>
      </w:r>
      <w:r w:rsidRPr="0044114E">
        <w:rPr>
          <w:rStyle w:val="FootnoteReference"/>
          <w:rFonts w:ascii="Times New Roman" w:hAnsi="Times New Roman"/>
          <w:sz w:val="24"/>
        </w:rPr>
        <w:footnoteReference w:id="421"/>
      </w:r>
      <w:r w:rsidRPr="0044114E">
        <w:rPr>
          <w:rFonts w:ascii="Times New Roman" w:hAnsi="Times New Roman"/>
        </w:rPr>
        <w:t xml:space="preserve">, the United States Supreme Court stated: </w:t>
      </w:r>
    </w:p>
    <w:p w14:paraId="2EEF10B0"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ab/>
        <w:t>"This Court's decisions specifically dealing with whether the replacement of an unpatented part, in a patented combination, that has worn out, been broken or otherwise spent, is permissible 'repair' or infringing 'reconstruction', have steadfastly refused to extend the patent monopoly beyond the terms of the grant. ... [A]</w:t>
      </w:r>
      <w:proofErr w:type="spellStart"/>
      <w:r w:rsidRPr="0044114E">
        <w:rPr>
          <w:rFonts w:ascii="Times New Roman" w:hAnsi="Times New Roman"/>
        </w:rPr>
        <w:t>lthough</w:t>
      </w:r>
      <w:proofErr w:type="spellEnd"/>
      <w:r w:rsidRPr="0044114E">
        <w:rPr>
          <w:rFonts w:ascii="Times New Roman" w:hAnsi="Times New Roman"/>
        </w:rPr>
        <w:t xml:space="preserve"> there is no right to 'rebuild' a</w:t>
      </w:r>
      <w:r>
        <w:rPr>
          <w:rFonts w:ascii="Times New Roman" w:hAnsi="Times New Roman"/>
        </w:rPr>
        <w:t> </w:t>
      </w:r>
      <w:r w:rsidRPr="0044114E">
        <w:rPr>
          <w:rFonts w:ascii="Times New Roman" w:hAnsi="Times New Roman"/>
        </w:rPr>
        <w:t>patented combination, the entity 'exists' notwithstanding the fact that destruction or impairment of one of its elements renders it inoperable; and</w:t>
      </w:r>
      <w:r>
        <w:rPr>
          <w:rFonts w:ascii="Times New Roman" w:hAnsi="Times New Roman"/>
        </w:rPr>
        <w:t> </w:t>
      </w:r>
      <w:r w:rsidRPr="0044114E">
        <w:rPr>
          <w:rFonts w:ascii="Times New Roman" w:hAnsi="Times New Roman"/>
        </w:rPr>
        <w:t>...</w:t>
      </w:r>
      <w:r>
        <w:rPr>
          <w:rFonts w:ascii="Times New Roman" w:hAnsi="Times New Roman"/>
        </w:rPr>
        <w:t> </w:t>
      </w:r>
      <w:r w:rsidRPr="0044114E">
        <w:rPr>
          <w:rFonts w:ascii="Times New Roman" w:hAnsi="Times New Roman"/>
        </w:rPr>
        <w:t xml:space="preserve">accordingly, replacement of that worn-out essential part is </w:t>
      </w:r>
      <w:r w:rsidRPr="0044114E">
        <w:rPr>
          <w:rFonts w:ascii="Times New Roman" w:hAnsi="Times New Roman"/>
        </w:rPr>
        <w:lastRenderedPageBreak/>
        <w:t>permissible restoration of the machine to the original use for which it was bought."</w:t>
      </w:r>
    </w:p>
    <w:p w14:paraId="245FEA15"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To the same effect, in </w:t>
      </w:r>
      <w:r w:rsidRPr="0044114E">
        <w:rPr>
          <w:rFonts w:ascii="Times New Roman" w:hAnsi="Times New Roman"/>
          <w:i/>
        </w:rPr>
        <w:t>Hewlett-Packard Co v Repeat-O-Type Stencil Manufacturing Corporation Inc</w:t>
      </w:r>
      <w:r w:rsidRPr="0044114E">
        <w:rPr>
          <w:rStyle w:val="FootnoteReference"/>
          <w:rFonts w:ascii="Times New Roman" w:hAnsi="Times New Roman"/>
          <w:sz w:val="24"/>
        </w:rPr>
        <w:footnoteReference w:id="422"/>
      </w:r>
      <w:r w:rsidRPr="0044114E">
        <w:rPr>
          <w:rFonts w:ascii="Times New Roman" w:hAnsi="Times New Roman"/>
        </w:rPr>
        <w:t xml:space="preserve">, the United States Court of Appeals, Federal Circuit said this: </w:t>
      </w:r>
    </w:p>
    <w:p w14:paraId="0EA3FFAC" w14:textId="77777777" w:rsidR="00261C63" w:rsidRPr="0044114E"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ab/>
        <w:t>"Generally, when a seller sells a product without restriction, it in effect promises the purchaser that in exchange for the price paid, it will not interfere with the purchaser's full enjoyment of the product purchased. The buyer has an implied license under any patents of the seller that dominate the product or any uses of the product to which the parties might reasonably contemplate the product will be put. ...</w:t>
      </w:r>
    </w:p>
    <w:p w14:paraId="44942D5F" w14:textId="77777777" w:rsidR="00261C63" w:rsidRPr="0044114E"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ab/>
        <w:t xml:space="preserve">The authority to use and sell a purchased device, however, does not include the right to make a new device or to reconstruct one which has been spent. Reconstruction, </w:t>
      </w:r>
      <w:proofErr w:type="spellStart"/>
      <w:r w:rsidRPr="0044114E">
        <w:rPr>
          <w:rFonts w:ascii="Times New Roman" w:hAnsi="Times New Roman"/>
          <w:i/>
        </w:rPr>
        <w:t>ie</w:t>
      </w:r>
      <w:proofErr w:type="spellEnd"/>
      <w:r w:rsidRPr="0044114E">
        <w:rPr>
          <w:rFonts w:ascii="Times New Roman" w:hAnsi="Times New Roman"/>
        </w:rPr>
        <w:t>, the re</w:t>
      </w:r>
      <w:r w:rsidRPr="0044114E">
        <w:rPr>
          <w:rFonts w:ascii="Times New Roman" w:hAnsi="Times New Roman"/>
        </w:rPr>
        <w:noBreakHyphen/>
        <w:t>creation of a patented combination, is an infringement because such activity is beyond the implied authorization to use and sell a patented device. As the Supreme Court has stated:</w:t>
      </w:r>
    </w:p>
    <w:p w14:paraId="039D5EB8" w14:textId="77777777" w:rsidR="00261C63" w:rsidRPr="0044114E" w:rsidRDefault="00261C63" w:rsidP="00261C63">
      <w:pPr>
        <w:pStyle w:val="LRIndent"/>
        <w:spacing w:before="0" w:after="260" w:line="280" w:lineRule="exact"/>
        <w:ind w:left="1440" w:right="0"/>
        <w:jc w:val="both"/>
        <w:rPr>
          <w:rFonts w:ascii="Times New Roman" w:hAnsi="Times New Roman"/>
        </w:rPr>
      </w:pPr>
      <w:r w:rsidRPr="0044114E">
        <w:rPr>
          <w:rFonts w:ascii="Times New Roman" w:hAnsi="Times New Roman"/>
        </w:rPr>
        <w:t>'The decisions of this Court require the conclusion that reconstruction of a patented entity, comprised of unpatented elements, is limited to such a true reconstruction of the entity as to "in fact make a new article," after the entity, viewed as a whole, has</w:t>
      </w:r>
      <w:r>
        <w:rPr>
          <w:rFonts w:ascii="Times New Roman" w:hAnsi="Times New Roman"/>
        </w:rPr>
        <w:t> </w:t>
      </w:r>
      <w:r w:rsidRPr="0044114E">
        <w:rPr>
          <w:rFonts w:ascii="Times New Roman" w:hAnsi="Times New Roman"/>
        </w:rPr>
        <w:t xml:space="preserve">become spent. In order to call the monopoly, conferred by the patent grant, into play for a second time, it must, indeed, be a second creation of the patented entity ... Mere replacement of individual unpatented parts, one at a time, whether of the same part repeatedly or different parts successively, is no more than the lawful right of the owner to repair his property.' </w:t>
      </w:r>
    </w:p>
    <w:p w14:paraId="47477E14" w14:textId="77777777" w:rsidR="00261C63" w:rsidRDefault="00261C63" w:rsidP="00261C63">
      <w:pPr>
        <w:pStyle w:val="leftright"/>
        <w:spacing w:before="0" w:after="260" w:line="280" w:lineRule="exact"/>
        <w:ind w:right="0"/>
        <w:jc w:val="both"/>
        <w:rPr>
          <w:rFonts w:ascii="Times New Roman" w:hAnsi="Times New Roman"/>
        </w:rPr>
      </w:pPr>
      <w:proofErr w:type="spellStart"/>
      <w:r w:rsidRPr="0044114E">
        <w:rPr>
          <w:rFonts w:ascii="Times New Roman" w:hAnsi="Times New Roman"/>
          <w:i/>
        </w:rPr>
        <w:t>Aro</w:t>
      </w:r>
      <w:proofErr w:type="spellEnd"/>
      <w:r w:rsidRPr="0044114E">
        <w:rPr>
          <w:rFonts w:ascii="Times New Roman" w:hAnsi="Times New Roman"/>
          <w:i/>
        </w:rPr>
        <w:t xml:space="preserve"> </w:t>
      </w:r>
      <w:proofErr w:type="spellStart"/>
      <w:r w:rsidRPr="0044114E">
        <w:rPr>
          <w:rFonts w:ascii="Times New Roman" w:hAnsi="Times New Roman"/>
          <w:i/>
        </w:rPr>
        <w:t>Mfg</w:t>
      </w:r>
      <w:proofErr w:type="spellEnd"/>
      <w:r w:rsidRPr="0044114E">
        <w:rPr>
          <w:rFonts w:ascii="Times New Roman" w:hAnsi="Times New Roman"/>
          <w:i/>
        </w:rPr>
        <w:t xml:space="preserve"> Co v Convertible Top Replacement Co</w:t>
      </w:r>
      <w:r w:rsidRPr="0044114E">
        <w:rPr>
          <w:rFonts w:ascii="Times New Roman" w:hAnsi="Times New Roman"/>
        </w:rPr>
        <w:t>,</w:t>
      </w:r>
      <w:r w:rsidRPr="0044114E">
        <w:rPr>
          <w:rFonts w:ascii="Times New Roman" w:hAnsi="Times New Roman"/>
          <w:i/>
        </w:rPr>
        <w:t xml:space="preserve"> </w:t>
      </w:r>
      <w:r w:rsidRPr="0044114E">
        <w:rPr>
          <w:rFonts w:ascii="Times New Roman" w:hAnsi="Times New Roman"/>
        </w:rPr>
        <w:t>365 US 336, 346 ... (1961) ... (citations omitted)."</w:t>
      </w:r>
    </w:p>
    <w:p w14:paraId="1CBC98D0"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The reasoning in </w:t>
      </w:r>
      <w:r w:rsidRPr="0044114E">
        <w:rPr>
          <w:rFonts w:ascii="Times New Roman" w:hAnsi="Times New Roman"/>
          <w:i/>
        </w:rPr>
        <w:t>Hewlett-Packard</w:t>
      </w:r>
      <w:r w:rsidRPr="0044114E">
        <w:rPr>
          <w:rFonts w:ascii="Times New Roman" w:hAnsi="Times New Roman"/>
        </w:rPr>
        <w:t xml:space="preserve"> is notable inasmuch as it proceeded from an implied licence conception of patentees' rights later repudiated by the Supreme Court of the United States in </w:t>
      </w:r>
      <w:r w:rsidRPr="0044114E">
        <w:rPr>
          <w:rFonts w:ascii="Times New Roman" w:hAnsi="Times New Roman"/>
          <w:i/>
        </w:rPr>
        <w:t>Lexmark</w:t>
      </w:r>
      <w:r w:rsidRPr="0044114E">
        <w:rPr>
          <w:rFonts w:ascii="Times New Roman" w:hAnsi="Times New Roman"/>
        </w:rPr>
        <w:t xml:space="preserve">. But, for present purposes, the significance of the decision in the former case (which relevantly is not affected by the choice </w:t>
      </w:r>
      <w:r w:rsidRPr="0044114E">
        <w:rPr>
          <w:rFonts w:ascii="Times New Roman" w:hAnsi="Times New Roman"/>
        </w:rPr>
        <w:lastRenderedPageBreak/>
        <w:t>between implied licence and exhaustion theories) is twofold. First, it represents a clear recognition that the purchase of used second-hand patented single-use printer cartridges, their modification to render them refillable, and their resale, did not infringe the patent, because the modifications made did not cause the cartridges to cease to exist</w:t>
      </w:r>
      <w:r w:rsidRPr="0044114E">
        <w:rPr>
          <w:rStyle w:val="FootnoteReference"/>
          <w:rFonts w:ascii="Times New Roman" w:hAnsi="Times New Roman"/>
          <w:sz w:val="24"/>
        </w:rPr>
        <w:footnoteReference w:id="423"/>
      </w:r>
      <w:r w:rsidRPr="0044114E">
        <w:rPr>
          <w:rFonts w:ascii="Times New Roman" w:hAnsi="Times New Roman"/>
        </w:rPr>
        <w:t>:</w:t>
      </w:r>
    </w:p>
    <w:p w14:paraId="0A3F2B59"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ab/>
        <w:t xml:space="preserve">"HP correctly states that ROT's modification is not conventional repair. The caps on the purchased cartridges are not broken or defective. On the other hand, neither is ROT's modification a 'reconstruction' of the patented combination. A reconstruction occurs after the patented combination, as a whole, has been spent, when 'the material of the combination ceases to exist.' </w:t>
      </w:r>
      <w:r w:rsidRPr="0044114E">
        <w:rPr>
          <w:rFonts w:ascii="Times New Roman" w:hAnsi="Times New Roman"/>
          <w:i/>
        </w:rPr>
        <w:t>Wilson v Simpson</w:t>
      </w:r>
      <w:r w:rsidRPr="0044114E">
        <w:rPr>
          <w:rFonts w:ascii="Times New Roman" w:hAnsi="Times New Roman"/>
        </w:rPr>
        <w:t>,</w:t>
      </w:r>
      <w:r w:rsidRPr="0044114E">
        <w:rPr>
          <w:rFonts w:ascii="Times New Roman" w:hAnsi="Times New Roman"/>
          <w:i/>
        </w:rPr>
        <w:t xml:space="preserve"> </w:t>
      </w:r>
      <w:r w:rsidRPr="0044114E">
        <w:rPr>
          <w:rFonts w:ascii="Times New Roman" w:hAnsi="Times New Roman"/>
        </w:rPr>
        <w:t>50 US ... 109, 123 ... (1850)."</w:t>
      </w:r>
    </w:p>
    <w:p w14:paraId="346EA942"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Secondly, the Court of Appeals specifically rejected the notion that, because the cartridges were designed and marketed as single</w:t>
      </w:r>
      <w:r w:rsidRPr="0044114E">
        <w:rPr>
          <w:rFonts w:ascii="Times New Roman" w:hAnsi="Times New Roman"/>
        </w:rPr>
        <w:noBreakHyphen/>
        <w:t>use cartridges, the</w:t>
      </w:r>
      <w:r>
        <w:rPr>
          <w:rFonts w:ascii="Times New Roman" w:hAnsi="Times New Roman"/>
        </w:rPr>
        <w:t> </w:t>
      </w:r>
      <w:r w:rsidRPr="0044114E">
        <w:rPr>
          <w:rFonts w:ascii="Times New Roman" w:hAnsi="Times New Roman"/>
        </w:rPr>
        <w:t>modification of them to render them refillable necessarily crossed the boundary of permissible repair and impermissible reconstruction</w:t>
      </w:r>
      <w:r w:rsidRPr="0044114E">
        <w:rPr>
          <w:rFonts w:ascii="Times New Roman" w:hAnsi="Times New Roman"/>
          <w:b/>
          <w:sz w:val="24"/>
          <w:vertAlign w:val="superscript"/>
        </w:rPr>
        <w:footnoteReference w:id="424"/>
      </w:r>
      <w:r w:rsidRPr="0044114E">
        <w:rPr>
          <w:rFonts w:ascii="Times New Roman" w:hAnsi="Times New Roman"/>
        </w:rPr>
        <w:t xml:space="preserve">: </w:t>
      </w:r>
    </w:p>
    <w:p w14:paraId="14601E19" w14:textId="77777777" w:rsidR="00261C63" w:rsidRDefault="00261C63" w:rsidP="00261C63">
      <w:pPr>
        <w:pStyle w:val="leftright"/>
        <w:spacing w:before="0" w:after="260" w:line="280" w:lineRule="exact"/>
        <w:ind w:right="0"/>
        <w:jc w:val="both"/>
        <w:rPr>
          <w:rFonts w:ascii="Times New Roman" w:hAnsi="Times New Roman"/>
        </w:rPr>
      </w:pPr>
      <w:r w:rsidRPr="0044114E">
        <w:rPr>
          <w:rFonts w:ascii="Times New Roman" w:hAnsi="Times New Roman"/>
        </w:rPr>
        <w:tab/>
        <w:t>"HP also argues that the boundary between 'permissible repair' and 'impermissible reconstruction' turns on the intention of the patentee. HP contends that it has clearly manifested its intent that the ink jet cartridges be ... discarded once they are empty; HP does not sell refillable cartridges, and HP does not sell ink refills. Because it has always manifested an intent that its cartridges be discarded, it argues, the creation of refillable or refilled cartridges are unauthorized acts which constitute an infringement of its patents. HP in effect argues that any change to a patented product that is not intended by the patentee constitutes reconstruction. ... We do not agree ... [A]</w:t>
      </w:r>
      <w:proofErr w:type="spellStart"/>
      <w:r w:rsidRPr="0044114E">
        <w:rPr>
          <w:rFonts w:ascii="Times New Roman" w:hAnsi="Times New Roman"/>
        </w:rPr>
        <w:t>bsent</w:t>
      </w:r>
      <w:proofErr w:type="spellEnd"/>
      <w:r w:rsidRPr="0044114E">
        <w:rPr>
          <w:rFonts w:ascii="Times New Roman" w:hAnsi="Times New Roman"/>
        </w:rPr>
        <w:t xml:space="preserve"> a restriction having contractual significance, a purchase carries with it the right to modify as long as reconstruction of a spent product does not occur. ... </w:t>
      </w:r>
      <w:r w:rsidRPr="0044114E">
        <w:rPr>
          <w:rFonts w:ascii="Times New Roman" w:hAnsi="Times New Roman"/>
          <w:i/>
        </w:rPr>
        <w:t>The question is not whether the patentee at the time of sale intended to limit a purchaser's right to modify the product. Rather the purchaser's freedom to repair or modify its own property is overridden under the patent laws only by the patentee's right to exclude the purchaser from making a new patented entity</w:t>
      </w:r>
      <w:r w:rsidRPr="0044114E">
        <w:rPr>
          <w:rFonts w:ascii="Times New Roman" w:hAnsi="Times New Roman"/>
        </w:rPr>
        <w:t xml:space="preserve">." (emphasis added) </w:t>
      </w:r>
    </w:p>
    <w:p w14:paraId="466F65BF"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lastRenderedPageBreak/>
        <w:tab/>
        <w:t xml:space="preserve">Importantly, the same idea was emphasised by the Privy Council in </w:t>
      </w:r>
      <w:r w:rsidRPr="0044114E">
        <w:rPr>
          <w:rFonts w:ascii="Times New Roman" w:hAnsi="Times New Roman"/>
          <w:i/>
        </w:rPr>
        <w:t>Canon Kabushiki Kaisha v Green Cartridge Co (Hong Kong) Ltd</w:t>
      </w:r>
      <w:r w:rsidRPr="0044114E">
        <w:rPr>
          <w:rStyle w:val="FootnoteReference"/>
          <w:rFonts w:ascii="Times New Roman" w:hAnsi="Times New Roman"/>
          <w:sz w:val="24"/>
        </w:rPr>
        <w:footnoteReference w:id="425"/>
      </w:r>
      <w:r w:rsidRPr="0044114E">
        <w:rPr>
          <w:rFonts w:ascii="Times New Roman" w:hAnsi="Times New Roman"/>
        </w:rPr>
        <w:t>, in which it appears to have been regarded as going without saying that commercial refilling of single</w:t>
      </w:r>
      <w:r>
        <w:rPr>
          <w:rFonts w:ascii="Times New Roman" w:hAnsi="Times New Roman"/>
        </w:rPr>
        <w:noBreakHyphen/>
      </w:r>
      <w:r w:rsidRPr="0044114E">
        <w:rPr>
          <w:rFonts w:ascii="Times New Roman" w:hAnsi="Times New Roman"/>
        </w:rPr>
        <w:t xml:space="preserve">use cartridges and selling them at less than the price of new cartridges was </w:t>
      </w:r>
      <w:r w:rsidRPr="0044114E">
        <w:rPr>
          <w:rFonts w:ascii="Times New Roman" w:hAnsi="Times New Roman"/>
          <w:i/>
        </w:rPr>
        <w:t>not</w:t>
      </w:r>
      <w:r w:rsidRPr="0044114E">
        <w:rPr>
          <w:rFonts w:ascii="Times New Roman" w:hAnsi="Times New Roman"/>
        </w:rPr>
        <w:t xml:space="preserve"> an infringement of patent.</w:t>
      </w:r>
    </w:p>
    <w:p w14:paraId="3A9F20DC"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In </w:t>
      </w:r>
      <w:r w:rsidRPr="0044114E">
        <w:rPr>
          <w:rFonts w:ascii="Times New Roman" w:hAnsi="Times New Roman"/>
          <w:i/>
        </w:rPr>
        <w:t>Jazz Photo Corporation v International Trade Commission</w:t>
      </w:r>
      <w:r w:rsidRPr="0044114E">
        <w:rPr>
          <w:rStyle w:val="FootnoteReference"/>
          <w:rFonts w:ascii="Times New Roman" w:hAnsi="Times New Roman"/>
          <w:sz w:val="24"/>
        </w:rPr>
        <w:footnoteReference w:id="426"/>
      </w:r>
      <w:r w:rsidRPr="0044114E">
        <w:rPr>
          <w:rFonts w:ascii="Times New Roman" w:hAnsi="Times New Roman"/>
        </w:rPr>
        <w:t>, the United States Court of Appeals, Federal Circuit applied similar reasoning in concluding that the purchase of used second-hand single-use cameras and their refurbishment by removal of the cardboard outer cover of each camera, opening the sealed body of the camera (usually by cutting at least one weld), replacing the winding wheel or modifying the film cartridge to be inserted, resetting the film counter, replacing the battery in flash cameras, winding new film out of a canister onto a spool or into a roll, and resealing the body using tape or glue and applying a new cardboard outer cover, was not an infringement of patent</w:t>
      </w:r>
      <w:r w:rsidRPr="0044114E">
        <w:rPr>
          <w:rStyle w:val="FootnoteReference"/>
          <w:rFonts w:ascii="Times New Roman" w:hAnsi="Times New Roman"/>
          <w:sz w:val="24"/>
        </w:rPr>
        <w:footnoteReference w:id="427"/>
      </w:r>
      <w:r w:rsidRPr="0044114E">
        <w:rPr>
          <w:rFonts w:ascii="Times New Roman" w:hAnsi="Times New Roman"/>
        </w:rPr>
        <w:t xml:space="preserve">. As in </w:t>
      </w:r>
      <w:r w:rsidRPr="0044114E">
        <w:rPr>
          <w:rFonts w:ascii="Times New Roman" w:hAnsi="Times New Roman"/>
          <w:i/>
        </w:rPr>
        <w:t>Hewlett</w:t>
      </w:r>
      <w:r w:rsidRPr="0044114E">
        <w:rPr>
          <w:rFonts w:ascii="Times New Roman" w:hAnsi="Times New Roman"/>
          <w:i/>
        </w:rPr>
        <w:noBreakHyphen/>
        <w:t>Packard</w:t>
      </w:r>
      <w:r w:rsidRPr="0044114E">
        <w:rPr>
          <w:rFonts w:ascii="Times New Roman" w:hAnsi="Times New Roman"/>
        </w:rPr>
        <w:t>, the Court held that it was not to the point that the patentee intended that the cameras be single</w:t>
      </w:r>
      <w:r w:rsidRPr="0044114E">
        <w:rPr>
          <w:rFonts w:ascii="Times New Roman" w:hAnsi="Times New Roman"/>
        </w:rPr>
        <w:noBreakHyphen/>
        <w:t>use cameras or that it was manifest that the cameras were intended to be single-use cameras</w:t>
      </w:r>
      <w:r w:rsidRPr="0044114E">
        <w:rPr>
          <w:rStyle w:val="FootnoteReference"/>
          <w:rFonts w:ascii="Times New Roman" w:hAnsi="Times New Roman"/>
          <w:sz w:val="24"/>
        </w:rPr>
        <w:footnoteReference w:id="428"/>
      </w:r>
      <w:r w:rsidRPr="0044114E">
        <w:rPr>
          <w:rFonts w:ascii="Times New Roman" w:hAnsi="Times New Roman"/>
        </w:rPr>
        <w:t>. The Court also rejected a contention that because the cameras were refurbished using assembly-line procedures in which parts were mixed and matched between cameras, the process was reconstruction</w:t>
      </w:r>
      <w:r w:rsidRPr="0044114E">
        <w:rPr>
          <w:rStyle w:val="FootnoteReference"/>
          <w:rFonts w:ascii="Times New Roman" w:hAnsi="Times New Roman"/>
          <w:sz w:val="24"/>
        </w:rPr>
        <w:footnoteReference w:id="429"/>
      </w:r>
      <w:r w:rsidRPr="0044114E">
        <w:rPr>
          <w:rFonts w:ascii="Times New Roman" w:hAnsi="Times New Roman"/>
        </w:rPr>
        <w:t xml:space="preserve">. Consistently with earlier decisions of the United States Court of Appeals, Federal Circuit in </w:t>
      </w:r>
      <w:bookmarkStart w:id="15" w:name="_Hlk50986640"/>
      <w:r w:rsidRPr="0044114E">
        <w:rPr>
          <w:rFonts w:ascii="Times New Roman" w:hAnsi="Times New Roman"/>
          <w:i/>
        </w:rPr>
        <w:t>Dana Corporation v American Precision Co Inc</w:t>
      </w:r>
      <w:r w:rsidRPr="0044114E">
        <w:rPr>
          <w:rStyle w:val="FootnoteReference"/>
          <w:rFonts w:ascii="Times New Roman" w:hAnsi="Times New Roman"/>
          <w:sz w:val="24"/>
        </w:rPr>
        <w:footnoteReference w:id="430"/>
      </w:r>
      <w:r w:rsidRPr="0044114E">
        <w:rPr>
          <w:rFonts w:ascii="Times New Roman" w:hAnsi="Times New Roman"/>
        </w:rPr>
        <w:t xml:space="preserve"> (which concerned the mass-production refurbishment of used heavy-duty truck clutches), and of the United States Court of Claims in </w:t>
      </w:r>
      <w:r w:rsidRPr="0044114E">
        <w:rPr>
          <w:rFonts w:ascii="Times New Roman" w:hAnsi="Times New Roman"/>
          <w:i/>
        </w:rPr>
        <w:t>General Electric Co v United States</w:t>
      </w:r>
      <w:r w:rsidRPr="0044114E">
        <w:rPr>
          <w:rStyle w:val="FootnoteReference"/>
          <w:rFonts w:ascii="Times New Roman" w:hAnsi="Times New Roman"/>
          <w:sz w:val="24"/>
        </w:rPr>
        <w:footnoteReference w:id="431"/>
      </w:r>
      <w:r w:rsidRPr="0044114E">
        <w:rPr>
          <w:rFonts w:ascii="Times New Roman" w:hAnsi="Times New Roman"/>
        </w:rPr>
        <w:t xml:space="preserve"> (which</w:t>
      </w:r>
      <w:r>
        <w:rPr>
          <w:rFonts w:ascii="Times New Roman" w:hAnsi="Times New Roman"/>
        </w:rPr>
        <w:t> </w:t>
      </w:r>
      <w:r w:rsidRPr="0044114E">
        <w:rPr>
          <w:rFonts w:ascii="Times New Roman" w:hAnsi="Times New Roman"/>
        </w:rPr>
        <w:t xml:space="preserve">concerned the mass-production refurbishment of patented gun mounts), the Court in </w:t>
      </w:r>
      <w:r w:rsidRPr="0044114E">
        <w:rPr>
          <w:rFonts w:ascii="Times New Roman" w:hAnsi="Times New Roman"/>
          <w:i/>
        </w:rPr>
        <w:t>Jazz Photo</w:t>
      </w:r>
      <w:r w:rsidRPr="0044114E">
        <w:rPr>
          <w:rFonts w:ascii="Times New Roman" w:hAnsi="Times New Roman"/>
        </w:rPr>
        <w:t xml:space="preserve"> reasoned that the adoption of assembly-line refurbishment and reassembly without regard to where each component had originated was simply a matter of efficiency and economy with the same effect as if each camera </w:t>
      </w:r>
      <w:r w:rsidRPr="0044114E">
        <w:rPr>
          <w:rFonts w:ascii="Times New Roman" w:hAnsi="Times New Roman"/>
        </w:rPr>
        <w:lastRenderedPageBreak/>
        <w:t>had been individually refurbished by disassembly and reassembly of its original components with replacement parts used to replace worn elements</w:t>
      </w:r>
      <w:r w:rsidRPr="0044114E">
        <w:rPr>
          <w:rStyle w:val="FootnoteReference"/>
          <w:rFonts w:ascii="Times New Roman" w:hAnsi="Times New Roman"/>
          <w:sz w:val="24"/>
        </w:rPr>
        <w:footnoteReference w:id="432"/>
      </w:r>
      <w:r w:rsidRPr="0044114E">
        <w:rPr>
          <w:rFonts w:ascii="Times New Roman" w:hAnsi="Times New Roman"/>
        </w:rPr>
        <w:t xml:space="preserve">. </w:t>
      </w:r>
    </w:p>
    <w:bookmarkEnd w:id="15"/>
    <w:p w14:paraId="05BC74E9"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The reasoning in </w:t>
      </w:r>
      <w:r w:rsidRPr="0044114E">
        <w:rPr>
          <w:rFonts w:ascii="Times New Roman" w:hAnsi="Times New Roman"/>
          <w:i/>
        </w:rPr>
        <w:t>Jazz Photo</w:t>
      </w:r>
      <w:r w:rsidRPr="0044114E">
        <w:rPr>
          <w:rFonts w:ascii="Times New Roman" w:hAnsi="Times New Roman"/>
        </w:rPr>
        <w:t xml:space="preserve"> was also later referred to with approval in </w:t>
      </w:r>
      <w:proofErr w:type="spellStart"/>
      <w:r w:rsidRPr="0044114E">
        <w:rPr>
          <w:rFonts w:ascii="Times New Roman" w:hAnsi="Times New Roman"/>
          <w:i/>
        </w:rPr>
        <w:t>Varex</w:t>
      </w:r>
      <w:proofErr w:type="spellEnd"/>
      <w:r w:rsidRPr="0044114E">
        <w:rPr>
          <w:rFonts w:ascii="Times New Roman" w:hAnsi="Times New Roman"/>
          <w:i/>
        </w:rPr>
        <w:t xml:space="preserve"> Imaging Corporation v Richardson Electronics Ltd</w:t>
      </w:r>
      <w:r w:rsidRPr="0044114E">
        <w:rPr>
          <w:rStyle w:val="FootnoteReference"/>
          <w:rFonts w:ascii="Times New Roman" w:hAnsi="Times New Roman"/>
          <w:sz w:val="24"/>
        </w:rPr>
        <w:footnoteReference w:id="433"/>
      </w:r>
      <w:r w:rsidRPr="0044114E">
        <w:rPr>
          <w:rFonts w:ascii="Times New Roman" w:hAnsi="Times New Roman"/>
        </w:rPr>
        <w:t>. It was noted</w:t>
      </w:r>
      <w:r w:rsidRPr="0044114E">
        <w:rPr>
          <w:rStyle w:val="FootnoteReference"/>
          <w:rFonts w:ascii="Times New Roman" w:hAnsi="Times New Roman"/>
          <w:sz w:val="24"/>
        </w:rPr>
        <w:footnoteReference w:id="434"/>
      </w:r>
      <w:r w:rsidRPr="0044114E">
        <w:rPr>
          <w:rFonts w:ascii="Times New Roman" w:hAnsi="Times New Roman"/>
        </w:rPr>
        <w:t xml:space="preserve"> there that courts considering whether a defendant had made a new article by refurbishing it after the device has become spent must analyse the nature of the defendant's actions; the nature of the device and how it is designed (namely, whether one of the components has a shorter useful life than the whole); and whether a market has developed to manufacture or service the part at issue. </w:t>
      </w:r>
    </w:p>
    <w:p w14:paraId="29DDD215"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Given that the </w:t>
      </w:r>
      <w:r w:rsidRPr="0044114E">
        <w:rPr>
          <w:rFonts w:ascii="Times New Roman" w:hAnsi="Times New Roman"/>
          <w:i/>
        </w:rPr>
        <w:t>Patents Act 1990</w:t>
      </w:r>
      <w:r w:rsidRPr="0044114E">
        <w:rPr>
          <w:rFonts w:ascii="Times New Roman" w:hAnsi="Times New Roman"/>
        </w:rPr>
        <w:t xml:space="preserve"> is in relevant respects similar to the English legislation, the utility of the distinction between, on the one hand, repair or "use" and, on the other hand, "making" – being a distinction that Lord Neuberger emphasised in </w:t>
      </w:r>
      <w:proofErr w:type="spellStart"/>
      <w:r w:rsidRPr="0044114E">
        <w:rPr>
          <w:rFonts w:ascii="Times New Roman" w:hAnsi="Times New Roman"/>
          <w:i/>
        </w:rPr>
        <w:t>Schütz</w:t>
      </w:r>
      <w:proofErr w:type="spellEnd"/>
      <w:r w:rsidRPr="0044114E">
        <w:rPr>
          <w:rFonts w:ascii="Times New Roman" w:hAnsi="Times New Roman"/>
          <w:iCs/>
        </w:rPr>
        <w:t xml:space="preserve"> –</w:t>
      </w:r>
      <w:r w:rsidRPr="0044114E" w:rsidDel="00B85523">
        <w:rPr>
          <w:rFonts w:ascii="Times New Roman" w:hAnsi="Times New Roman"/>
          <w:i/>
        </w:rPr>
        <w:t xml:space="preserve"> </w:t>
      </w:r>
      <w:r w:rsidRPr="0044114E">
        <w:rPr>
          <w:rFonts w:ascii="Times New Roman" w:hAnsi="Times New Roman"/>
        </w:rPr>
        <w:t xml:space="preserve">is just as significant here as it is in England, and given that English, United States and Australian approaches to patent infringement are grounded in comparable techno-economic considerations, there is no reason why the concept of repair and modification falling short of making (or "reconstruction" as it is termed in the United States) should be conceived of in any narrower sense than it is in the United Kingdom or the United States. </w:t>
      </w:r>
    </w:p>
    <w:p w14:paraId="3DD13563"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The central issue is whether an alleged infringer has "made" a patented article as defined by the integers of the claim</w:t>
      </w:r>
      <w:r w:rsidRPr="0044114E">
        <w:rPr>
          <w:rStyle w:val="FootnoteReference"/>
          <w:rFonts w:ascii="Times New Roman" w:hAnsi="Times New Roman"/>
          <w:sz w:val="24"/>
        </w:rPr>
        <w:footnoteReference w:id="435"/>
      </w:r>
      <w:r w:rsidRPr="0044114E">
        <w:rPr>
          <w:rFonts w:ascii="Times New Roman" w:hAnsi="Times New Roman"/>
        </w:rPr>
        <w:t>. In each case, that is a question of fact and degree to be decided according to the nature of the article as so defined</w:t>
      </w:r>
      <w:r w:rsidRPr="0044114E">
        <w:rPr>
          <w:rStyle w:val="FootnoteReference"/>
          <w:rFonts w:ascii="Times New Roman" w:hAnsi="Times New Roman"/>
          <w:sz w:val="24"/>
        </w:rPr>
        <w:footnoteReference w:id="436"/>
      </w:r>
      <w:r w:rsidRPr="0044114E">
        <w:rPr>
          <w:rFonts w:ascii="Times New Roman" w:hAnsi="Times New Roman"/>
        </w:rPr>
        <w:t xml:space="preserve">. </w:t>
      </w:r>
      <w:r w:rsidRPr="0044114E">
        <w:rPr>
          <w:rFonts w:ascii="Times New Roman" w:hAnsi="Times New Roman"/>
        </w:rPr>
        <w:lastRenderedPageBreak/>
        <w:t>In making that decision, it assists to ask whether what the alleged infringer has done is to repair the article as opposed to making a new article</w:t>
      </w:r>
      <w:r w:rsidRPr="0044114E">
        <w:rPr>
          <w:rStyle w:val="FootnoteReference"/>
          <w:rFonts w:ascii="Times New Roman" w:hAnsi="Times New Roman"/>
          <w:sz w:val="24"/>
        </w:rPr>
        <w:footnoteReference w:id="437"/>
      </w:r>
      <w:r w:rsidRPr="0044114E">
        <w:rPr>
          <w:rFonts w:ascii="Times New Roman" w:hAnsi="Times New Roman"/>
        </w:rPr>
        <w:t>. It needs also to be borne in mind that "repair" may entail considerable disassembly, the removal and replacement of significant constituent parts, and reassembly on a mass</w:t>
      </w:r>
      <w:r>
        <w:rPr>
          <w:rFonts w:ascii="Times New Roman" w:hAnsi="Times New Roman"/>
        </w:rPr>
        <w:noBreakHyphen/>
      </w:r>
      <w:r w:rsidRPr="0044114E">
        <w:rPr>
          <w:rFonts w:ascii="Times New Roman" w:hAnsi="Times New Roman"/>
        </w:rPr>
        <w:t>production basis, without amounting to "making" a new article. Further,</w:t>
      </w:r>
      <w:r>
        <w:rPr>
          <w:rFonts w:ascii="Times New Roman" w:hAnsi="Times New Roman"/>
        </w:rPr>
        <w:t> </w:t>
      </w:r>
      <w:r w:rsidRPr="0044114E">
        <w:rPr>
          <w:rFonts w:ascii="Times New Roman" w:hAnsi="Times New Roman"/>
        </w:rPr>
        <w:t>as</w:t>
      </w:r>
      <w:r>
        <w:rPr>
          <w:rFonts w:ascii="Times New Roman" w:hAnsi="Times New Roman"/>
        </w:rPr>
        <w:t> </w:t>
      </w:r>
      <w:r w:rsidRPr="0044114E">
        <w:rPr>
          <w:rFonts w:ascii="Times New Roman" w:hAnsi="Times New Roman"/>
        </w:rPr>
        <w:t xml:space="preserve">Windeyer J observed in </w:t>
      </w:r>
      <w:r w:rsidRPr="0044114E">
        <w:rPr>
          <w:rFonts w:ascii="Times New Roman" w:hAnsi="Times New Roman"/>
          <w:i/>
        </w:rPr>
        <w:t>MP Metals Pty Ltd v Federal Commissioner of Taxation</w:t>
      </w:r>
      <w:r w:rsidRPr="0044114E">
        <w:rPr>
          <w:rStyle w:val="FootnoteReference"/>
          <w:rFonts w:ascii="Times New Roman" w:hAnsi="Times New Roman"/>
          <w:sz w:val="24"/>
        </w:rPr>
        <w:footnoteReference w:id="438"/>
      </w:r>
      <w:r w:rsidRPr="0044114E">
        <w:rPr>
          <w:rFonts w:ascii="Times New Roman" w:hAnsi="Times New Roman"/>
        </w:rPr>
        <w:t>,</w:t>
      </w:r>
      <w:r w:rsidRPr="0044114E">
        <w:rPr>
          <w:rFonts w:ascii="Times New Roman" w:hAnsi="Times New Roman"/>
          <w:i/>
        </w:rPr>
        <w:t xml:space="preserve"> </w:t>
      </w:r>
      <w:r w:rsidRPr="0044114E">
        <w:rPr>
          <w:rFonts w:ascii="Times New Roman" w:hAnsi="Times New Roman"/>
        </w:rPr>
        <w:t xml:space="preserve">"whether a thing is so different a thing from the thing or things out of which it was made as to be properly described as a new commodity may depend not only upon physical characteristics but also on differences in its utility for some purpose" although, subject to the nature of the article, it is to be borne in mind that the fact that a product may have been intended as a single-use item is largely irrelevant. </w:t>
      </w:r>
    </w:p>
    <w:p w14:paraId="1DF9F4ED"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That being so, the disposition of this appeal is relatively straightforward. The primary judge was correct that the reconditioning processes carried out on Category 1, 2, 3 and A cartridges did not amount to the making of a new or different embodiment of the cartridge</w:t>
      </w:r>
      <w:r w:rsidRPr="0044114E">
        <w:rPr>
          <w:rStyle w:val="FootnoteReference"/>
          <w:rFonts w:ascii="Times New Roman" w:hAnsi="Times New Roman"/>
          <w:sz w:val="24"/>
        </w:rPr>
        <w:footnoteReference w:id="439"/>
      </w:r>
      <w:r w:rsidRPr="0044114E">
        <w:rPr>
          <w:rFonts w:ascii="Times New Roman" w:hAnsi="Times New Roman"/>
        </w:rPr>
        <w:t>. Contrary to the Full Court's reasoning, it</w:t>
      </w:r>
      <w:r>
        <w:rPr>
          <w:rFonts w:ascii="Times New Roman" w:hAnsi="Times New Roman"/>
        </w:rPr>
        <w:t> </w:t>
      </w:r>
      <w:r w:rsidRPr="0044114E">
        <w:rPr>
          <w:rFonts w:ascii="Times New Roman" w:hAnsi="Times New Roman"/>
        </w:rPr>
        <w:t>was beside the point that Seiko may have designed its cartridges in the hope that they might be used only once or that Seiko sold its cartridges as single-use, throw</w:t>
      </w:r>
      <w:r>
        <w:rPr>
          <w:rFonts w:ascii="Times New Roman" w:hAnsi="Times New Roman"/>
        </w:rPr>
        <w:noBreakHyphen/>
      </w:r>
      <w:r w:rsidRPr="0044114E">
        <w:rPr>
          <w:rFonts w:ascii="Times New Roman" w:hAnsi="Times New Roman"/>
        </w:rPr>
        <w:t xml:space="preserve">away cartridges. Nor is it to the point that the printer cartridges could not be refilled without drilling a hole. Contrary to the Full Court's reasoning, drilling holes in the ink containers did not make them cease to be ink containers any more than removing the tops from the ink reservoirs in </w:t>
      </w:r>
      <w:r w:rsidRPr="0044114E">
        <w:rPr>
          <w:rFonts w:ascii="Times New Roman" w:hAnsi="Times New Roman"/>
          <w:i/>
        </w:rPr>
        <w:t>Hewlett</w:t>
      </w:r>
      <w:r w:rsidRPr="0044114E">
        <w:rPr>
          <w:rFonts w:ascii="Times New Roman" w:hAnsi="Times New Roman"/>
          <w:i/>
        </w:rPr>
        <w:noBreakHyphen/>
        <w:t>Packard</w:t>
      </w:r>
      <w:r w:rsidRPr="0044114E">
        <w:rPr>
          <w:rFonts w:ascii="Times New Roman" w:hAnsi="Times New Roman"/>
        </w:rPr>
        <w:t xml:space="preserve"> made them cease to be ink reservoirs, or any more than cutting the welds on the single</w:t>
      </w:r>
      <w:r w:rsidRPr="0044114E">
        <w:rPr>
          <w:rFonts w:ascii="Times New Roman" w:hAnsi="Times New Roman"/>
        </w:rPr>
        <w:noBreakHyphen/>
        <w:t xml:space="preserve">use cameras in </w:t>
      </w:r>
      <w:r w:rsidRPr="0044114E">
        <w:rPr>
          <w:rFonts w:ascii="Times New Roman" w:hAnsi="Times New Roman"/>
          <w:i/>
        </w:rPr>
        <w:t>Jazz Photo</w:t>
      </w:r>
      <w:r w:rsidRPr="0044114E">
        <w:rPr>
          <w:rFonts w:ascii="Times New Roman" w:hAnsi="Times New Roman"/>
        </w:rPr>
        <w:t xml:space="preserve"> to obtain access to install new film made them cease to be cameras. And reprogramming the memory chips did not make the memory chips cease to be memory chips, or transmogrify them into new and different memory chips, any more than changing the operating system on a computer makes it cease to be a computer or to become a new and different computer as opposed to the same computer running a different program. As the primary judge rightly held, </w:t>
      </w:r>
      <w:r w:rsidRPr="0044114E">
        <w:rPr>
          <w:rFonts w:ascii="Times New Roman" w:hAnsi="Times New Roman"/>
        </w:rPr>
        <w:lastRenderedPageBreak/>
        <w:t>the</w:t>
      </w:r>
      <w:r>
        <w:rPr>
          <w:rFonts w:ascii="Times New Roman" w:hAnsi="Times New Roman"/>
        </w:rPr>
        <w:t> </w:t>
      </w:r>
      <w:r w:rsidRPr="0044114E">
        <w:rPr>
          <w:rFonts w:ascii="Times New Roman" w:hAnsi="Times New Roman"/>
        </w:rPr>
        <w:t>combination of integers claimed was the existence of the chip as part of the combination and not a monopoly referable to the content of the chip</w:t>
      </w:r>
      <w:r w:rsidRPr="0044114E">
        <w:rPr>
          <w:rStyle w:val="FootnoteReference"/>
          <w:rFonts w:ascii="Times New Roman" w:hAnsi="Times New Roman"/>
          <w:sz w:val="24"/>
        </w:rPr>
        <w:footnoteReference w:id="440"/>
      </w:r>
      <w:r w:rsidRPr="0044114E">
        <w:rPr>
          <w:rFonts w:ascii="Times New Roman" w:hAnsi="Times New Roman"/>
        </w:rPr>
        <w:t>.</w:t>
      </w:r>
    </w:p>
    <w:p w14:paraId="1935F966"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 xml:space="preserve">Moreover, contrary to the primary judge's findings, Category 4 cartridges were relevantly no different from Category 1, 2 and 3 cartridges. The replacement of the memory chips involved in the refurbishment of Category 4 cartridges is as a matter of substance properly to be viewed as the replacement of but one unpatented part with another – just as in </w:t>
      </w:r>
      <w:proofErr w:type="spellStart"/>
      <w:r w:rsidRPr="0044114E">
        <w:rPr>
          <w:rFonts w:ascii="Times New Roman" w:hAnsi="Times New Roman"/>
          <w:i/>
        </w:rPr>
        <w:t>Schütz</w:t>
      </w:r>
      <w:proofErr w:type="spellEnd"/>
      <w:r w:rsidRPr="0044114E">
        <w:rPr>
          <w:rFonts w:ascii="Times New Roman" w:hAnsi="Times New Roman"/>
        </w:rPr>
        <w:t xml:space="preserve">, </w:t>
      </w:r>
      <w:r w:rsidRPr="0044114E">
        <w:rPr>
          <w:rFonts w:ascii="Times New Roman" w:hAnsi="Times New Roman"/>
          <w:i/>
        </w:rPr>
        <w:t>Dana Corp</w:t>
      </w:r>
      <w:r w:rsidRPr="0044114E">
        <w:rPr>
          <w:rFonts w:ascii="Times New Roman" w:hAnsi="Times New Roman"/>
        </w:rPr>
        <w:t xml:space="preserve">, </w:t>
      </w:r>
      <w:r w:rsidRPr="0044114E">
        <w:rPr>
          <w:rFonts w:ascii="Times New Roman" w:hAnsi="Times New Roman"/>
          <w:i/>
        </w:rPr>
        <w:t>General Electric</w:t>
      </w:r>
      <w:r w:rsidRPr="0044114E">
        <w:rPr>
          <w:rFonts w:ascii="Times New Roman" w:hAnsi="Times New Roman"/>
        </w:rPr>
        <w:t xml:space="preserve"> and </w:t>
      </w:r>
      <w:r w:rsidRPr="0044114E">
        <w:rPr>
          <w:rFonts w:ascii="Times New Roman" w:hAnsi="Times New Roman"/>
          <w:i/>
        </w:rPr>
        <w:t>Jazz Photo</w:t>
      </w:r>
      <w:r w:rsidRPr="0044114E">
        <w:rPr>
          <w:rFonts w:ascii="Times New Roman" w:hAnsi="Times New Roman"/>
        </w:rPr>
        <w:t xml:space="preserve"> – and the fact that the replacement was effected with mass-production techniques resulting in the mixing and matching of chips with printed circuit boards should no more be regarded as resulting in the manufacture of new articles</w:t>
      </w:r>
      <w:r>
        <w:rPr>
          <w:rFonts w:ascii="Times New Roman" w:hAnsi="Times New Roman"/>
        </w:rPr>
        <w:t> </w:t>
      </w:r>
      <w:r w:rsidRPr="0044114E">
        <w:rPr>
          <w:rFonts w:ascii="Times New Roman" w:hAnsi="Times New Roman"/>
        </w:rPr>
        <w:t>– as opposed to achieving efficiency and economy with the same effect as if each cartridge had been individually disassembled and reassembled using original components and replacement parts – than the adoption of similar mass</w:t>
      </w:r>
      <w:r>
        <w:rPr>
          <w:rFonts w:ascii="Times New Roman" w:hAnsi="Times New Roman"/>
        </w:rPr>
        <w:noBreakHyphen/>
      </w:r>
      <w:r w:rsidRPr="0044114E">
        <w:rPr>
          <w:rFonts w:ascii="Times New Roman" w:hAnsi="Times New Roman"/>
        </w:rPr>
        <w:t xml:space="preserve">production techniques was regarded in </w:t>
      </w:r>
      <w:r w:rsidRPr="0044114E">
        <w:rPr>
          <w:rFonts w:ascii="Times New Roman" w:hAnsi="Times New Roman"/>
          <w:i/>
        </w:rPr>
        <w:t>Dana Corp</w:t>
      </w:r>
      <w:r w:rsidRPr="0044114E">
        <w:rPr>
          <w:rFonts w:ascii="Times New Roman" w:hAnsi="Times New Roman"/>
        </w:rPr>
        <w:t xml:space="preserve">, </w:t>
      </w:r>
      <w:r w:rsidRPr="0044114E">
        <w:rPr>
          <w:rFonts w:ascii="Times New Roman" w:hAnsi="Times New Roman"/>
          <w:i/>
        </w:rPr>
        <w:t>General Electric</w:t>
      </w:r>
      <w:r w:rsidRPr="0044114E">
        <w:rPr>
          <w:rFonts w:ascii="Times New Roman" w:hAnsi="Times New Roman"/>
        </w:rPr>
        <w:t xml:space="preserve"> or </w:t>
      </w:r>
      <w:r w:rsidRPr="0044114E">
        <w:rPr>
          <w:rFonts w:ascii="Times New Roman" w:hAnsi="Times New Roman"/>
          <w:i/>
        </w:rPr>
        <w:t>Hewlett-Packard</w:t>
      </w:r>
      <w:r w:rsidRPr="0044114E">
        <w:rPr>
          <w:rFonts w:ascii="Times New Roman" w:hAnsi="Times New Roman"/>
        </w:rPr>
        <w:t xml:space="preserve"> as resulting in reconstruction. For the same reason, Category A cartridges involved no infringement of Seiko's patents.</w:t>
      </w:r>
    </w:p>
    <w:p w14:paraId="46AD749A"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hAnsi="Times New Roman"/>
        </w:rPr>
      </w:pPr>
      <w:r w:rsidRPr="0044114E">
        <w:rPr>
          <w:rFonts w:ascii="Times New Roman" w:hAnsi="Times New Roman"/>
        </w:rPr>
        <w:tab/>
        <w:t>The primary judge was, however, correct in holding that Category 5, 6</w:t>
      </w:r>
      <w:r>
        <w:rPr>
          <w:rFonts w:ascii="Times New Roman" w:hAnsi="Times New Roman"/>
        </w:rPr>
        <w:t> </w:t>
      </w:r>
      <w:r w:rsidRPr="0044114E">
        <w:rPr>
          <w:rFonts w:ascii="Times New Roman" w:hAnsi="Times New Roman"/>
        </w:rPr>
        <w:t>and</w:t>
      </w:r>
      <w:r>
        <w:rPr>
          <w:rFonts w:ascii="Times New Roman" w:hAnsi="Times New Roman"/>
        </w:rPr>
        <w:t> </w:t>
      </w:r>
      <w:r w:rsidRPr="0044114E">
        <w:rPr>
          <w:rFonts w:ascii="Times New Roman" w:hAnsi="Times New Roman"/>
        </w:rPr>
        <w:t>7 cartridges involved the making of new, different cartridges: because the processes used to modify those cartridges</w:t>
      </w:r>
      <w:r w:rsidRPr="0044114E">
        <w:rPr>
          <w:rStyle w:val="FootnoteReference"/>
          <w:rFonts w:ascii="Times New Roman" w:hAnsi="Times New Roman"/>
          <w:sz w:val="24"/>
        </w:rPr>
        <w:footnoteReference w:id="441"/>
      </w:r>
      <w:r w:rsidRPr="0044114E">
        <w:rPr>
          <w:rFonts w:ascii="Times New Roman" w:hAnsi="Times New Roman"/>
        </w:rPr>
        <w:t xml:space="preserve"> included cutting off the interface pattern to make them fit a different printer from that for which they were designed. Relative to each cartridge in its totality, that was such a significant change to the form and function of the cartridges as properly to be viewed as changing each cartridge from the cartridge it had been into a new and different cartridge adapted to a new and different task. When that significant change was combined with the other modifications, there was a making of the patented invention thereby infringing Seiko's patents. For the same reason, Category B cartridges infringed Seiko's patents</w:t>
      </w:r>
      <w:r w:rsidRPr="0044114E">
        <w:rPr>
          <w:rStyle w:val="FootnoteReference"/>
          <w:rFonts w:ascii="Times New Roman" w:hAnsi="Times New Roman"/>
          <w:sz w:val="24"/>
        </w:rPr>
        <w:footnoteReference w:id="442"/>
      </w:r>
      <w:r w:rsidRPr="0044114E">
        <w:rPr>
          <w:rFonts w:ascii="Times New Roman" w:hAnsi="Times New Roman"/>
        </w:rPr>
        <w:t>.</w:t>
      </w:r>
    </w:p>
    <w:p w14:paraId="075F1AC8" w14:textId="77777777" w:rsidR="00261C63" w:rsidRPr="0044114E" w:rsidRDefault="00261C63" w:rsidP="00261C63">
      <w:pPr>
        <w:pStyle w:val="HeadingL1"/>
        <w:spacing w:after="260" w:line="280" w:lineRule="exact"/>
        <w:ind w:right="0"/>
        <w:jc w:val="both"/>
        <w:rPr>
          <w:rFonts w:ascii="Times New Roman" w:hAnsi="Times New Roman"/>
        </w:rPr>
      </w:pPr>
      <w:r w:rsidRPr="0044114E">
        <w:rPr>
          <w:rFonts w:ascii="Times New Roman" w:hAnsi="Times New Roman"/>
        </w:rPr>
        <w:t>Conclusion</w:t>
      </w:r>
    </w:p>
    <w:p w14:paraId="66930E2C" w14:textId="77777777" w:rsidR="00261C63" w:rsidRPr="0044114E" w:rsidRDefault="00261C63" w:rsidP="00261C63">
      <w:pPr>
        <w:pStyle w:val="FixListStyle"/>
        <w:numPr>
          <w:ilvl w:val="0"/>
          <w:numId w:val="18"/>
        </w:numPr>
        <w:spacing w:after="260" w:line="280" w:lineRule="exact"/>
        <w:ind w:left="0" w:right="0" w:hanging="720"/>
        <w:jc w:val="both"/>
        <w:rPr>
          <w:rFonts w:ascii="Times New Roman" w:eastAsia="Calibri" w:hAnsi="Times New Roman"/>
        </w:rPr>
      </w:pPr>
      <w:r w:rsidRPr="0044114E">
        <w:rPr>
          <w:rFonts w:ascii="Times New Roman" w:eastAsia="Calibri" w:hAnsi="Times New Roman"/>
        </w:rPr>
        <w:tab/>
      </w:r>
      <w:r w:rsidRPr="0044114E">
        <w:rPr>
          <w:rFonts w:ascii="Times New Roman" w:hAnsi="Times New Roman"/>
        </w:rPr>
        <w:t>In the result, the appeal should be allowed in part and the orders of the Full Court varied accordingly. The respondents should pay the costs of the appeal to this Court.</w:t>
      </w:r>
    </w:p>
    <w:p w14:paraId="6962EF6D" w14:textId="77777777" w:rsidR="00C47104" w:rsidRDefault="00C47104" w:rsidP="00847696">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b/>
          <w:szCs w:val="20"/>
        </w:rPr>
        <w:sectPr w:rsidR="00C47104" w:rsidSect="00261C63">
          <w:headerReference w:type="even" r:id="rId21"/>
          <w:headerReference w:type="default" r:id="rId22"/>
          <w:headerReference w:type="first" r:id="rId23"/>
          <w:pgSz w:w="11907" w:h="16839" w:code="9"/>
          <w:pgMar w:top="1440" w:right="1701" w:bottom="1984" w:left="1701" w:header="720" w:footer="720" w:gutter="0"/>
          <w:cols w:space="720"/>
          <w:docGrid w:linePitch="354"/>
        </w:sectPr>
      </w:pPr>
    </w:p>
    <w:p w14:paraId="4B5BB349" w14:textId="7CCD41D1" w:rsidR="00D81DB4" w:rsidRPr="00847696" w:rsidRDefault="00D81DB4" w:rsidP="00847696">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b/>
          <w:szCs w:val="20"/>
        </w:rPr>
      </w:pPr>
    </w:p>
    <w:sectPr w:rsidR="00D81DB4" w:rsidRPr="00847696" w:rsidSect="00261C63">
      <w:headerReference w:type="default" r:id="rId24"/>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C9653" w14:textId="77777777" w:rsidR="0047638A" w:rsidRDefault="0047638A">
      <w:pPr>
        <w:spacing w:line="240" w:lineRule="auto"/>
      </w:pPr>
      <w:r>
        <w:separator/>
      </w:r>
    </w:p>
  </w:endnote>
  <w:endnote w:type="continuationSeparator" w:id="0">
    <w:p w14:paraId="201DC12E" w14:textId="77777777" w:rsidR="0047638A" w:rsidRDefault="0047638A">
      <w:pPr>
        <w:spacing w:line="240" w:lineRule="auto"/>
      </w:pPr>
      <w:r>
        <w:continuationSeparator/>
      </w:r>
    </w:p>
  </w:endnote>
  <w:endnote w:type="continuationNotice" w:id="1">
    <w:p w14:paraId="08D51604" w14:textId="77777777" w:rsidR="0047638A" w:rsidRDefault="004763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350DC" w14:textId="77777777" w:rsidR="0047638A" w:rsidRDefault="00476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B2A20" w14:textId="77777777" w:rsidR="0047638A" w:rsidRDefault="00476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E541E" w14:textId="77777777" w:rsidR="0047638A" w:rsidRDefault="004763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3E7E3" w14:textId="77777777" w:rsidR="0047638A" w:rsidRDefault="004763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7880C" w14:textId="77777777" w:rsidR="0047638A" w:rsidRDefault="004763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D0018" w14:textId="77777777" w:rsidR="0047638A" w:rsidRDefault="0047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F570D" w14:textId="77777777" w:rsidR="0047638A" w:rsidRPr="00847696" w:rsidRDefault="0047638A" w:rsidP="00847696">
      <w:pPr>
        <w:pStyle w:val="Footer"/>
        <w:spacing w:before="120" w:after="20"/>
        <w:ind w:right="0"/>
        <w:rPr>
          <w:rFonts w:ascii="Times New Roman" w:hAnsi="Times New Roman"/>
        </w:rPr>
      </w:pPr>
      <w:r>
        <w:continuationSeparator/>
      </w:r>
    </w:p>
  </w:footnote>
  <w:footnote w:type="continuationSeparator" w:id="0">
    <w:p w14:paraId="2AACFE82" w14:textId="77777777" w:rsidR="0047638A" w:rsidRPr="00847696" w:rsidRDefault="0047638A" w:rsidP="00847696">
      <w:pPr>
        <w:pStyle w:val="Footer"/>
        <w:spacing w:before="120" w:after="20"/>
        <w:ind w:right="0"/>
        <w:rPr>
          <w:rFonts w:ascii="Times New Roman" w:hAnsi="Times New Roman"/>
        </w:rPr>
      </w:pPr>
      <w:r w:rsidRPr="00847696">
        <w:rPr>
          <w:rFonts w:ascii="Times New Roman" w:hAnsi="Times New Roman"/>
        </w:rPr>
        <w:continuationSeparator/>
      </w:r>
    </w:p>
  </w:footnote>
  <w:footnote w:type="continuationNotice" w:id="1">
    <w:p w14:paraId="7CA07A09" w14:textId="77777777" w:rsidR="0047638A" w:rsidRPr="00261C63" w:rsidRDefault="0047638A">
      <w:pPr>
        <w:jc w:val="right"/>
        <w:rPr>
          <w:rFonts w:ascii="Times New Roman" w:hAnsi="Times New Roman"/>
          <w:sz w:val="24"/>
        </w:rPr>
      </w:pPr>
    </w:p>
  </w:footnote>
  <w:footnote w:id="2">
    <w:p w14:paraId="6931E9E3" w14:textId="2052E117"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Patents Act 1990 </w:t>
      </w:r>
      <w:r w:rsidRPr="00847696">
        <w:rPr>
          <w:rFonts w:ascii="Times New Roman" w:hAnsi="Times New Roman"/>
          <w:sz w:val="24"/>
        </w:rPr>
        <w:t>(Cth), s 13(1), Sch 1 (definition of "exploit").</w:t>
      </w:r>
    </w:p>
  </w:footnote>
  <w:footnote w:id="3">
    <w:p w14:paraId="681B7B32" w14:textId="77777260"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(1908) 7 CLR 481.</w:t>
      </w:r>
    </w:p>
  </w:footnote>
  <w:footnote w:id="4">
    <w:p w14:paraId="6EEDEEBA" w14:textId="02D138EB"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Menck</w:t>
      </w:r>
      <w:r w:rsidRPr="00847696">
        <w:rPr>
          <w:rFonts w:ascii="Times New Roman" w:hAnsi="Times New Roman"/>
          <w:sz w:val="24"/>
        </w:rPr>
        <w:t xml:space="preserve"> (1911) 12 CLR 15; [1911] AC 336.</w:t>
      </w:r>
    </w:p>
  </w:footnote>
  <w:footnote w:id="5">
    <w:p w14:paraId="727DF7E1" w14:textId="76177E66"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Seiko Epson Corporation v Calidad Pty Ltd</w:t>
      </w:r>
      <w:r w:rsidRPr="00847696">
        <w:rPr>
          <w:rFonts w:ascii="Times New Roman" w:hAnsi="Times New Roman"/>
          <w:sz w:val="24"/>
        </w:rPr>
        <w:t xml:space="preserve"> (2017) 133 IPR 1.</w:t>
      </w:r>
    </w:p>
  </w:footnote>
  <w:footnote w:id="6">
    <w:p w14:paraId="608E06C5" w14:textId="1937152F"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Menck</w:t>
      </w:r>
      <w:r w:rsidRPr="00847696">
        <w:rPr>
          <w:rFonts w:ascii="Times New Roman" w:hAnsi="Times New Roman"/>
          <w:sz w:val="24"/>
        </w:rPr>
        <w:t xml:space="preserve"> (1911) 12 CLR 15 at 28; [1911] AC 336 at 353.</w:t>
      </w:r>
    </w:p>
  </w:footnote>
  <w:footnote w:id="7">
    <w:p w14:paraId="58398CE9" w14:textId="3111AF1B"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Calidad Pty Ltd v Seiko Epson Corporation</w:t>
      </w:r>
      <w:r w:rsidRPr="00847696">
        <w:rPr>
          <w:rFonts w:ascii="Times New Roman" w:hAnsi="Times New Roman"/>
          <w:sz w:val="24"/>
        </w:rPr>
        <w:t xml:space="preserve"> (2019) 270 FCR 572.</w:t>
      </w:r>
    </w:p>
  </w:footnote>
  <w:footnote w:id="8">
    <w:p w14:paraId="4A0BC1D5" w14:textId="16792BAE"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Viro v The Queen</w:t>
      </w:r>
      <w:r w:rsidRPr="00847696">
        <w:rPr>
          <w:rFonts w:ascii="Times New Roman" w:hAnsi="Times New Roman"/>
          <w:sz w:val="24"/>
        </w:rPr>
        <w:t xml:space="preserve"> (1978) 141 CLR 88; </w:t>
      </w:r>
      <w:r w:rsidRPr="00847696">
        <w:rPr>
          <w:rFonts w:ascii="Times New Roman" w:hAnsi="Times New Roman"/>
          <w:i/>
          <w:sz w:val="24"/>
        </w:rPr>
        <w:t>Privy Council (Limitation of Appeals) Act 1968</w:t>
      </w:r>
      <w:r w:rsidRPr="00847696">
        <w:rPr>
          <w:rFonts w:ascii="Times New Roman" w:hAnsi="Times New Roman"/>
          <w:sz w:val="24"/>
        </w:rPr>
        <w:t xml:space="preserve"> (Cth); </w:t>
      </w:r>
      <w:r w:rsidRPr="00847696">
        <w:rPr>
          <w:rFonts w:ascii="Times New Roman" w:hAnsi="Times New Roman"/>
          <w:i/>
          <w:sz w:val="24"/>
        </w:rPr>
        <w:t>Privy Council (Appeals from the High Court) Act 1975</w:t>
      </w:r>
      <w:r w:rsidRPr="00847696">
        <w:rPr>
          <w:rFonts w:ascii="Times New Roman" w:hAnsi="Times New Roman"/>
          <w:sz w:val="24"/>
        </w:rPr>
        <w:t xml:space="preserve"> (Cth). </w:t>
      </w:r>
    </w:p>
  </w:footnote>
  <w:footnote w:id="9">
    <w:p w14:paraId="01EFD4FB" w14:textId="3AC94E9A"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 xml:space="preserve">Menck </w:t>
      </w:r>
      <w:r w:rsidRPr="00847696">
        <w:rPr>
          <w:rFonts w:ascii="Times New Roman" w:hAnsi="Times New Roman"/>
          <w:sz w:val="24"/>
        </w:rPr>
        <w:t xml:space="preserve">(1908) 7 CLR 481 at 509-510 per Griffith CJ (referring to </w:t>
      </w:r>
      <w:r w:rsidRPr="00847696">
        <w:rPr>
          <w:rFonts w:ascii="Times New Roman" w:hAnsi="Times New Roman"/>
          <w:i/>
          <w:sz w:val="24"/>
        </w:rPr>
        <w:t xml:space="preserve">Bloomer v Millinger </w:t>
      </w:r>
      <w:r w:rsidRPr="00847696">
        <w:rPr>
          <w:rFonts w:ascii="Times New Roman" w:hAnsi="Times New Roman"/>
          <w:sz w:val="24"/>
        </w:rPr>
        <w:t xml:space="preserve">(1864) 68 US 340 at 351 and </w:t>
      </w:r>
      <w:r w:rsidRPr="00847696">
        <w:rPr>
          <w:rFonts w:ascii="Times New Roman" w:hAnsi="Times New Roman"/>
          <w:i/>
          <w:sz w:val="24"/>
        </w:rPr>
        <w:t>Adams v Burke</w:t>
      </w:r>
      <w:r w:rsidRPr="00847696">
        <w:rPr>
          <w:rFonts w:ascii="Times New Roman" w:hAnsi="Times New Roman"/>
          <w:sz w:val="24"/>
        </w:rPr>
        <w:t xml:space="preserve"> (1873) 84 US 453 at 456), 524 per Barton J (referring to </w:t>
      </w:r>
      <w:r w:rsidRPr="00847696">
        <w:rPr>
          <w:rFonts w:ascii="Times New Roman" w:hAnsi="Times New Roman"/>
          <w:i/>
          <w:sz w:val="24"/>
        </w:rPr>
        <w:t>Bloomer v McQuewan</w:t>
      </w:r>
      <w:r w:rsidRPr="00847696">
        <w:rPr>
          <w:rFonts w:ascii="Times New Roman" w:hAnsi="Times New Roman"/>
          <w:sz w:val="24"/>
        </w:rPr>
        <w:t xml:space="preserve"> (1853) 55 US 539 at 549 and </w:t>
      </w:r>
      <w:r w:rsidRPr="00847696">
        <w:rPr>
          <w:rFonts w:ascii="Times New Roman" w:hAnsi="Times New Roman"/>
          <w:i/>
          <w:sz w:val="24"/>
        </w:rPr>
        <w:t xml:space="preserve">Adams v Burke </w:t>
      </w:r>
      <w:r w:rsidRPr="00847696">
        <w:rPr>
          <w:rFonts w:ascii="Times New Roman" w:hAnsi="Times New Roman"/>
          <w:sz w:val="24"/>
        </w:rPr>
        <w:t>(1873) 84 US 453 at 456).</w:t>
      </w:r>
    </w:p>
  </w:footnote>
  <w:footnote w:id="10">
    <w:p w14:paraId="54E5B927" w14:textId="4EDFCC2A"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 xml:space="preserve">Menck </w:t>
      </w:r>
      <w:r w:rsidRPr="00847696">
        <w:rPr>
          <w:rFonts w:ascii="Times New Roman" w:hAnsi="Times New Roman"/>
          <w:sz w:val="24"/>
        </w:rPr>
        <w:t xml:space="preserve">(1908) 7 CLR 481 at 510 per Griffith CJ, quoting </w:t>
      </w:r>
      <w:r w:rsidRPr="00847696">
        <w:rPr>
          <w:rFonts w:ascii="Times New Roman" w:hAnsi="Times New Roman"/>
          <w:i/>
          <w:sz w:val="24"/>
        </w:rPr>
        <w:t xml:space="preserve">Adams v Burke </w:t>
      </w:r>
      <w:r w:rsidRPr="00847696">
        <w:rPr>
          <w:rFonts w:ascii="Times New Roman" w:hAnsi="Times New Roman"/>
          <w:sz w:val="24"/>
        </w:rPr>
        <w:t>(1873) 84 US 453 at 456.</w:t>
      </w:r>
    </w:p>
  </w:footnote>
  <w:footnote w:id="11">
    <w:p w14:paraId="396BF866" w14:textId="6B09B055"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 xml:space="preserve">Menck </w:t>
      </w:r>
      <w:r w:rsidRPr="00847696">
        <w:rPr>
          <w:rFonts w:ascii="Times New Roman" w:hAnsi="Times New Roman"/>
          <w:sz w:val="24"/>
        </w:rPr>
        <w:t>(1908) 7 CLR 481 at 510.</w:t>
      </w:r>
    </w:p>
  </w:footnote>
  <w:footnote w:id="12">
    <w:p w14:paraId="7370B444" w14:textId="691C1840"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 xml:space="preserve">Menck </w:t>
      </w:r>
      <w:r w:rsidRPr="00847696">
        <w:rPr>
          <w:rFonts w:ascii="Times New Roman" w:hAnsi="Times New Roman"/>
          <w:sz w:val="24"/>
        </w:rPr>
        <w:t>(1908) 7 CLR 481 at 510.</w:t>
      </w:r>
    </w:p>
  </w:footnote>
  <w:footnote w:id="13">
    <w:p w14:paraId="661C2133" w14:textId="3285C8C4"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 xml:space="preserve">Menck </w:t>
      </w:r>
      <w:r w:rsidRPr="00847696">
        <w:rPr>
          <w:rFonts w:ascii="Times New Roman" w:hAnsi="Times New Roman"/>
          <w:sz w:val="24"/>
        </w:rPr>
        <w:t>(1908) 7 CLR 481 at 511-512.</w:t>
      </w:r>
    </w:p>
  </w:footnote>
  <w:footnote w:id="14">
    <w:p w14:paraId="3E74A907" w14:textId="5173DD12"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 xml:space="preserve">Menck </w:t>
      </w:r>
      <w:r w:rsidRPr="00847696">
        <w:rPr>
          <w:rFonts w:ascii="Times New Roman" w:hAnsi="Times New Roman"/>
          <w:sz w:val="24"/>
        </w:rPr>
        <w:t>(1908) 7 CLR 481 at 512. See also at 526-527 per Barton J.</w:t>
      </w:r>
    </w:p>
  </w:footnote>
  <w:footnote w:id="15">
    <w:p w14:paraId="259E4528" w14:textId="49E7E0CC"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 xml:space="preserve">Menck </w:t>
      </w:r>
      <w:r w:rsidRPr="00847696">
        <w:rPr>
          <w:rFonts w:ascii="Times New Roman" w:hAnsi="Times New Roman"/>
          <w:sz w:val="24"/>
        </w:rPr>
        <w:t>(1908) 7 CLR 481 at 512 per Griffith CJ.</w:t>
      </w:r>
    </w:p>
  </w:footnote>
  <w:footnote w:id="16">
    <w:p w14:paraId="5E809B8C" w14:textId="637539B7"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Menck</w:t>
      </w:r>
      <w:r w:rsidRPr="00847696">
        <w:rPr>
          <w:rFonts w:ascii="Times New Roman" w:hAnsi="Times New Roman"/>
          <w:sz w:val="24"/>
        </w:rPr>
        <w:t xml:space="preserve"> (1911) 12 CLR 15 at 22; [1911] AC 336 at 347.</w:t>
      </w:r>
    </w:p>
  </w:footnote>
  <w:footnote w:id="17">
    <w:p w14:paraId="06DC2593" w14:textId="0DAD618A"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Menck</w:t>
      </w:r>
      <w:r w:rsidRPr="00847696">
        <w:rPr>
          <w:rFonts w:ascii="Times New Roman" w:hAnsi="Times New Roman"/>
          <w:sz w:val="24"/>
        </w:rPr>
        <w:t xml:space="preserve"> (1911) 12 CLR 15 at 22; [1911] AC 336 at 347.</w:t>
      </w:r>
    </w:p>
  </w:footnote>
  <w:footnote w:id="18">
    <w:p w14:paraId="4EA042E5" w14:textId="45BE944E"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Menck</w:t>
      </w:r>
      <w:r w:rsidRPr="00847696">
        <w:rPr>
          <w:rFonts w:ascii="Times New Roman" w:hAnsi="Times New Roman"/>
          <w:sz w:val="24"/>
        </w:rPr>
        <w:t xml:space="preserve"> (1911) 12 CLR 15 at 22; [1911] AC 336 at 347.</w:t>
      </w:r>
    </w:p>
  </w:footnote>
  <w:footnote w:id="19">
    <w:p w14:paraId="257512AF" w14:textId="20C62B9F"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Menck</w:t>
      </w:r>
      <w:r w:rsidRPr="00847696">
        <w:rPr>
          <w:rFonts w:ascii="Times New Roman" w:hAnsi="Times New Roman"/>
          <w:sz w:val="24"/>
        </w:rPr>
        <w:t xml:space="preserve"> (1911) 12 CLR 15 at 22; [1911] AC 336 at 347.</w:t>
      </w:r>
    </w:p>
  </w:footnote>
  <w:footnote w:id="20">
    <w:p w14:paraId="175A9B2B" w14:textId="096E0112"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Menck</w:t>
      </w:r>
      <w:r w:rsidRPr="00847696">
        <w:rPr>
          <w:rFonts w:ascii="Times New Roman" w:hAnsi="Times New Roman"/>
          <w:sz w:val="24"/>
        </w:rPr>
        <w:t xml:space="preserve"> (1911) 12 CLR 15 at 23; [1911] AC 336 at 348.</w:t>
      </w:r>
    </w:p>
  </w:footnote>
  <w:footnote w:id="21">
    <w:p w14:paraId="09FF8110" w14:textId="03B61B16"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Menck</w:t>
      </w:r>
      <w:r w:rsidRPr="00847696">
        <w:rPr>
          <w:rFonts w:ascii="Times New Roman" w:hAnsi="Times New Roman"/>
          <w:sz w:val="24"/>
        </w:rPr>
        <w:t xml:space="preserve"> (1911) 12 CLR 15 at 23-24; [1911] AC 336 at 348-349.</w:t>
      </w:r>
    </w:p>
  </w:footnote>
  <w:footnote w:id="22">
    <w:p w14:paraId="6A6BF235" w14:textId="1EF0EF40"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Menck</w:t>
      </w:r>
      <w:r w:rsidRPr="00847696">
        <w:rPr>
          <w:rFonts w:ascii="Times New Roman" w:hAnsi="Times New Roman"/>
          <w:sz w:val="24"/>
        </w:rPr>
        <w:t xml:space="preserve"> (1911) 12 CLR 15 at 28; [1911] AC 336 at 353.</w:t>
      </w:r>
    </w:p>
  </w:footnote>
  <w:footnote w:id="23">
    <w:p w14:paraId="51D2A859" w14:textId="00829D87"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 xml:space="preserve">The references include </w:t>
      </w:r>
      <w:r w:rsidRPr="00847696">
        <w:rPr>
          <w:rFonts w:ascii="Times New Roman" w:hAnsi="Times New Roman"/>
          <w:i/>
          <w:sz w:val="24"/>
        </w:rPr>
        <w:t>Betts v Willmott</w:t>
      </w:r>
      <w:r w:rsidRPr="00847696">
        <w:rPr>
          <w:rFonts w:ascii="Times New Roman" w:hAnsi="Times New Roman"/>
          <w:sz w:val="24"/>
        </w:rPr>
        <w:t xml:space="preserve"> (1871) LR 6 Ch App 239. See also </w:t>
      </w:r>
      <w:r w:rsidRPr="00847696">
        <w:rPr>
          <w:rFonts w:ascii="Times New Roman" w:hAnsi="Times New Roman"/>
          <w:i/>
          <w:sz w:val="24"/>
        </w:rPr>
        <w:t xml:space="preserve">Société Anonyme des Manufactures de </w:t>
      </w:r>
      <w:r w:rsidRPr="00847696">
        <w:rPr>
          <w:rFonts w:ascii="Times New Roman" w:hAnsi="Times New Roman"/>
          <w:i/>
          <w:sz w:val="24"/>
        </w:rPr>
        <w:t>Glaces v Tilghman's Patent Sand Blast Co</w:t>
      </w:r>
      <w:r w:rsidRPr="00847696">
        <w:rPr>
          <w:rFonts w:ascii="Times New Roman" w:hAnsi="Times New Roman"/>
          <w:sz w:val="24"/>
        </w:rPr>
        <w:t xml:space="preserve"> (1883) 25 Ch D 1; </w:t>
      </w:r>
      <w:r w:rsidRPr="00847696">
        <w:rPr>
          <w:rFonts w:ascii="Times New Roman" w:hAnsi="Times New Roman"/>
          <w:i/>
          <w:sz w:val="24"/>
        </w:rPr>
        <w:t>Incandescent Gas Light Co Ltd v</w:t>
      </w:r>
      <w:r w:rsidRPr="00847696">
        <w:rPr>
          <w:rFonts w:ascii="Times New Roman" w:hAnsi="Times New Roman"/>
          <w:sz w:val="24"/>
        </w:rPr>
        <w:t xml:space="preserve"> </w:t>
      </w:r>
      <w:r w:rsidRPr="00847696">
        <w:rPr>
          <w:rFonts w:ascii="Times New Roman" w:hAnsi="Times New Roman"/>
          <w:i/>
          <w:sz w:val="24"/>
        </w:rPr>
        <w:t>Cantelo</w:t>
      </w:r>
      <w:r w:rsidRPr="00847696">
        <w:rPr>
          <w:rFonts w:ascii="Times New Roman" w:hAnsi="Times New Roman"/>
          <w:sz w:val="24"/>
        </w:rPr>
        <w:t xml:space="preserve"> (1895) 12 RPC 262</w:t>
      </w:r>
      <w:r w:rsidRPr="00847696">
        <w:rPr>
          <w:rFonts w:ascii="Times New Roman" w:hAnsi="Times New Roman"/>
          <w:i/>
          <w:sz w:val="24"/>
        </w:rPr>
        <w:t>.</w:t>
      </w:r>
    </w:p>
  </w:footnote>
  <w:footnote w:id="24">
    <w:p w14:paraId="0EA45D2E" w14:textId="451ED2EF"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(2017) 137 S Ct 1523.</w:t>
      </w:r>
    </w:p>
  </w:footnote>
  <w:footnote w:id="25">
    <w:p w14:paraId="260DFB7B" w14:textId="61D5E0D7"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Impression Products Inc v Lexmark International Inc</w:t>
      </w:r>
      <w:r w:rsidRPr="00847696">
        <w:rPr>
          <w:rFonts w:ascii="Times New Roman" w:hAnsi="Times New Roman"/>
          <w:sz w:val="24"/>
        </w:rPr>
        <w:t xml:space="preserve"> (2017) 137 S Ct 1523 at 1531.</w:t>
      </w:r>
    </w:p>
  </w:footnote>
  <w:footnote w:id="26">
    <w:p w14:paraId="5BD9360C" w14:textId="2D11A021"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35 USC § 154(a).</w:t>
      </w:r>
    </w:p>
  </w:footnote>
  <w:footnote w:id="27">
    <w:p w14:paraId="03900B26" w14:textId="7CEA8883" w:rsidR="0047638A" w:rsidRPr="00847696" w:rsidRDefault="0047638A" w:rsidP="00847696">
      <w:pPr>
        <w:pStyle w:val="FootnoteText"/>
        <w:spacing w:line="280" w:lineRule="exact"/>
        <w:ind w:right="0"/>
        <w:jc w:val="both"/>
        <w:rPr>
          <w:rFonts w:ascii="Times New Roman" w:hAnsi="Times New Roman"/>
          <w:i/>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Bloomer v </w:t>
      </w:r>
      <w:r w:rsidRPr="00847696">
        <w:rPr>
          <w:rFonts w:ascii="Times New Roman" w:hAnsi="Times New Roman"/>
          <w:i/>
          <w:sz w:val="24"/>
        </w:rPr>
        <w:t>McQuewan</w:t>
      </w:r>
      <w:r w:rsidRPr="00847696">
        <w:rPr>
          <w:rFonts w:ascii="Times New Roman" w:hAnsi="Times New Roman"/>
          <w:sz w:val="24"/>
        </w:rPr>
        <w:t xml:space="preserve"> (1853) 55 US 539.</w:t>
      </w:r>
    </w:p>
  </w:footnote>
  <w:footnote w:id="28">
    <w:p w14:paraId="023747AE" w14:textId="0F1AA0B0"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Impression Products Inc v Lexmark International Inc</w:t>
      </w:r>
      <w:r w:rsidRPr="00847696">
        <w:rPr>
          <w:rFonts w:ascii="Times New Roman" w:hAnsi="Times New Roman"/>
          <w:sz w:val="24"/>
        </w:rPr>
        <w:t xml:space="preserve"> (2017) 137 S Ct 1523 at 1531.</w:t>
      </w:r>
    </w:p>
  </w:footnote>
  <w:footnote w:id="29">
    <w:p w14:paraId="1DC59669" w14:textId="27189131"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Impression Products Inc v Lexmark International Inc</w:t>
      </w:r>
      <w:r w:rsidRPr="00847696">
        <w:rPr>
          <w:rFonts w:ascii="Times New Roman" w:hAnsi="Times New Roman"/>
          <w:sz w:val="24"/>
        </w:rPr>
        <w:t xml:space="preserve"> (2017) 137 S Ct 1523 at 1534.</w:t>
      </w:r>
    </w:p>
  </w:footnote>
  <w:footnote w:id="30">
    <w:p w14:paraId="4027F677" w14:textId="010E821E"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Impression Products Inc v Lexmark International Inc</w:t>
      </w:r>
      <w:r w:rsidRPr="00847696">
        <w:rPr>
          <w:rFonts w:ascii="Times New Roman" w:hAnsi="Times New Roman"/>
          <w:sz w:val="24"/>
        </w:rPr>
        <w:t xml:space="preserve"> (2017) 137 S Ct 1523 at 1531, quoting </w:t>
      </w:r>
      <w:r w:rsidRPr="00847696">
        <w:rPr>
          <w:rFonts w:ascii="Times New Roman" w:hAnsi="Times New Roman"/>
          <w:i/>
          <w:sz w:val="24"/>
        </w:rPr>
        <w:t xml:space="preserve">United States v </w:t>
      </w:r>
      <w:r w:rsidRPr="00847696">
        <w:rPr>
          <w:rFonts w:ascii="Times New Roman" w:hAnsi="Times New Roman"/>
          <w:i/>
          <w:sz w:val="24"/>
        </w:rPr>
        <w:t xml:space="preserve">Univis Lens Co Inc </w:t>
      </w:r>
      <w:r w:rsidRPr="00847696">
        <w:rPr>
          <w:rFonts w:ascii="Times New Roman" w:hAnsi="Times New Roman"/>
          <w:sz w:val="24"/>
        </w:rPr>
        <w:t>(1942) 316 US 241 at 250.</w:t>
      </w:r>
    </w:p>
  </w:footnote>
  <w:footnote w:id="31">
    <w:p w14:paraId="5827062D" w14:textId="46F77754"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Impression Products Inc v Lexmark International Inc</w:t>
      </w:r>
      <w:r w:rsidRPr="00847696">
        <w:rPr>
          <w:rFonts w:ascii="Times New Roman" w:hAnsi="Times New Roman"/>
          <w:sz w:val="24"/>
        </w:rPr>
        <w:t xml:space="preserve"> (2017) 137 S Ct 1523 at 1531.</w:t>
      </w:r>
    </w:p>
  </w:footnote>
  <w:footnote w:id="32">
    <w:p w14:paraId="6C24C91B" w14:textId="6674FCB6"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Impression Products Inc v Lexmark International Inc</w:t>
      </w:r>
      <w:r w:rsidRPr="00847696">
        <w:rPr>
          <w:rFonts w:ascii="Times New Roman" w:hAnsi="Times New Roman"/>
          <w:sz w:val="24"/>
        </w:rPr>
        <w:t xml:space="preserve"> (2017) 137 S Ct 1523 at 1533.</w:t>
      </w:r>
    </w:p>
  </w:footnote>
  <w:footnote w:id="33">
    <w:p w14:paraId="0FB4268A" w14:textId="310FADE8"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Boston Store of Chicago v American Graphophone Co</w:t>
      </w:r>
      <w:r w:rsidRPr="00847696">
        <w:rPr>
          <w:rFonts w:ascii="Times New Roman" w:hAnsi="Times New Roman"/>
          <w:sz w:val="24"/>
        </w:rPr>
        <w:t xml:space="preserve"> (1918) 246 US 8;</w:t>
      </w:r>
      <w:r w:rsidRPr="00847696">
        <w:rPr>
          <w:rFonts w:ascii="Times New Roman" w:hAnsi="Times New Roman"/>
          <w:i/>
          <w:sz w:val="24"/>
        </w:rPr>
        <w:t xml:space="preserve"> </w:t>
      </w:r>
      <w:r w:rsidRPr="00847696">
        <w:rPr>
          <w:rFonts w:ascii="Times New Roman" w:hAnsi="Times New Roman"/>
          <w:sz w:val="24"/>
        </w:rPr>
        <w:t xml:space="preserve">see also </w:t>
      </w:r>
      <w:r w:rsidRPr="00847696">
        <w:rPr>
          <w:rFonts w:ascii="Times New Roman" w:hAnsi="Times New Roman"/>
          <w:i/>
          <w:sz w:val="24"/>
        </w:rPr>
        <w:t xml:space="preserve">United States v </w:t>
      </w:r>
      <w:r w:rsidRPr="00847696">
        <w:rPr>
          <w:rFonts w:ascii="Times New Roman" w:hAnsi="Times New Roman"/>
          <w:i/>
          <w:sz w:val="24"/>
        </w:rPr>
        <w:t xml:space="preserve">Univis Lens Co Inc </w:t>
      </w:r>
      <w:r w:rsidRPr="00847696">
        <w:rPr>
          <w:rFonts w:ascii="Times New Roman" w:hAnsi="Times New Roman"/>
          <w:sz w:val="24"/>
        </w:rPr>
        <w:t>(1942) 316 US 241.</w:t>
      </w:r>
    </w:p>
  </w:footnote>
  <w:footnote w:id="34">
    <w:p w14:paraId="7F8FBA5E" w14:textId="168224A9"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Impression Products Inc v Lexmark International Inc</w:t>
      </w:r>
      <w:r w:rsidRPr="00847696">
        <w:rPr>
          <w:rFonts w:ascii="Times New Roman" w:hAnsi="Times New Roman"/>
          <w:sz w:val="24"/>
        </w:rPr>
        <w:t xml:space="preserve"> (2017) 137 S Ct 1523 at 1531-1532.</w:t>
      </w:r>
    </w:p>
  </w:footnote>
  <w:footnote w:id="35">
    <w:p w14:paraId="47EDB251" w14:textId="347C24F0"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 xml:space="preserve">Referring to Coke, </w:t>
      </w:r>
      <w:r w:rsidRPr="00847696">
        <w:rPr>
          <w:rFonts w:ascii="Times New Roman" w:hAnsi="Times New Roman"/>
          <w:i/>
          <w:sz w:val="24"/>
        </w:rPr>
        <w:t>The First Part of the Institutes of the Laws of England</w:t>
      </w:r>
      <w:r w:rsidRPr="00847696">
        <w:rPr>
          <w:rFonts w:ascii="Times New Roman" w:hAnsi="Times New Roman"/>
          <w:sz w:val="24"/>
        </w:rPr>
        <w:t xml:space="preserve"> (1628), § 360 at 223a.</w:t>
      </w:r>
    </w:p>
  </w:footnote>
  <w:footnote w:id="36">
    <w:p w14:paraId="04DEA52C" w14:textId="47589894"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Tritton on Intellectual Property in Europe</w:t>
      </w:r>
      <w:r w:rsidRPr="00847696">
        <w:rPr>
          <w:rFonts w:ascii="Times New Roman" w:hAnsi="Times New Roman"/>
          <w:sz w:val="24"/>
        </w:rPr>
        <w:t>, 5th ed (2018) at 785 [7-008]-[7-009].</w:t>
      </w:r>
    </w:p>
  </w:footnote>
  <w:footnote w:id="37">
    <w:p w14:paraId="6C7330FE" w14:textId="7D7887A9"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 xml:space="preserve">See </w:t>
      </w:r>
      <w:r w:rsidRPr="00847696">
        <w:rPr>
          <w:rFonts w:ascii="Times New Roman" w:hAnsi="Times New Roman"/>
          <w:i/>
          <w:sz w:val="24"/>
        </w:rPr>
        <w:t xml:space="preserve">Deutsche </w:t>
      </w:r>
      <w:r w:rsidRPr="00847696">
        <w:rPr>
          <w:rFonts w:ascii="Times New Roman" w:hAnsi="Times New Roman"/>
          <w:i/>
          <w:sz w:val="24"/>
        </w:rPr>
        <w:t>Grammophon Gesellschaft mbH v Metro-SB-Grossmärkte GmbH &amp; Co KG</w:t>
      </w:r>
      <w:r w:rsidRPr="00847696">
        <w:rPr>
          <w:rFonts w:ascii="Times New Roman" w:hAnsi="Times New Roman"/>
          <w:sz w:val="24"/>
        </w:rPr>
        <w:t xml:space="preserve"> [1971] ECR 487; </w:t>
      </w:r>
      <w:r w:rsidRPr="00847696">
        <w:rPr>
          <w:rFonts w:ascii="Times New Roman" w:hAnsi="Times New Roman"/>
          <w:i/>
          <w:sz w:val="24"/>
        </w:rPr>
        <w:t>Centrafarm BV v Sterling Drug Inc</w:t>
      </w:r>
      <w:r w:rsidRPr="00847696">
        <w:rPr>
          <w:rFonts w:ascii="Times New Roman" w:hAnsi="Times New Roman"/>
          <w:sz w:val="24"/>
        </w:rPr>
        <w:t xml:space="preserve"> [1974] ECR 1147; </w:t>
      </w:r>
      <w:r w:rsidRPr="00847696">
        <w:rPr>
          <w:rFonts w:ascii="Times New Roman" w:hAnsi="Times New Roman"/>
          <w:i/>
          <w:sz w:val="24"/>
        </w:rPr>
        <w:t>Merck &amp; Co Inc v Primecrown Ltd</w:t>
      </w:r>
      <w:r w:rsidRPr="00847696">
        <w:rPr>
          <w:rFonts w:ascii="Times New Roman" w:hAnsi="Times New Roman"/>
          <w:sz w:val="24"/>
        </w:rPr>
        <w:t xml:space="preserve"> [1996] ECR I-6285. See also </w:t>
      </w:r>
      <w:r w:rsidRPr="00847696">
        <w:rPr>
          <w:rFonts w:ascii="Times New Roman" w:hAnsi="Times New Roman"/>
          <w:i/>
          <w:sz w:val="24"/>
        </w:rPr>
        <w:t>United Wire Ltd v Screen Repair Services (Scotland) Ltd</w:t>
      </w:r>
      <w:r w:rsidRPr="00847696">
        <w:rPr>
          <w:rFonts w:ascii="Times New Roman" w:hAnsi="Times New Roman"/>
          <w:sz w:val="24"/>
        </w:rPr>
        <w:t xml:space="preserve"> [2001] RPC 24 at 458 [69].</w:t>
      </w:r>
    </w:p>
  </w:footnote>
  <w:footnote w:id="38">
    <w:p w14:paraId="11E6DA54" w14:textId="785A7246"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Tritton on Intellectual Property in Europe</w:t>
      </w:r>
      <w:r w:rsidRPr="00847696">
        <w:rPr>
          <w:rFonts w:ascii="Times New Roman" w:hAnsi="Times New Roman"/>
          <w:sz w:val="24"/>
        </w:rPr>
        <w:t>, 5th ed (2018) at 785 [7-009].</w:t>
      </w:r>
    </w:p>
  </w:footnote>
  <w:footnote w:id="39">
    <w:p w14:paraId="60528AC0" w14:textId="629D4F15"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 xml:space="preserve">Heath, "Exhaustion and Patent Rights", in </w:t>
      </w:r>
      <w:r w:rsidRPr="00847696">
        <w:rPr>
          <w:rFonts w:ascii="Times New Roman" w:hAnsi="Times New Roman"/>
          <w:sz w:val="24"/>
        </w:rPr>
        <w:t xml:space="preserve">Okediji and Bagley (eds), </w:t>
      </w:r>
      <w:r w:rsidRPr="00847696">
        <w:rPr>
          <w:rFonts w:ascii="Times New Roman" w:hAnsi="Times New Roman"/>
          <w:i/>
          <w:sz w:val="24"/>
        </w:rPr>
        <w:t>Patent Law in Global Perspective</w:t>
      </w:r>
      <w:r w:rsidRPr="00847696">
        <w:rPr>
          <w:rFonts w:ascii="Times New Roman" w:hAnsi="Times New Roman"/>
          <w:sz w:val="24"/>
        </w:rPr>
        <w:t xml:space="preserve"> (2014) 419 at 421-423, 426-431, referring to Kohler, </w:t>
      </w:r>
      <w:r w:rsidRPr="00847696">
        <w:rPr>
          <w:rFonts w:ascii="Times New Roman" w:hAnsi="Times New Roman"/>
          <w:i/>
          <w:sz w:val="24"/>
        </w:rPr>
        <w:t xml:space="preserve">Handbuch des Deutschen Patentrechts in rechtsvergleichender Darstellung </w:t>
      </w:r>
      <w:r w:rsidRPr="00847696">
        <w:rPr>
          <w:rFonts w:ascii="Times New Roman" w:hAnsi="Times New Roman"/>
          <w:sz w:val="24"/>
        </w:rPr>
        <w:t>(1900).</w:t>
      </w:r>
    </w:p>
  </w:footnote>
  <w:footnote w:id="40">
    <w:p w14:paraId="0EE99E53" w14:textId="47EFCD11"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 xml:space="preserve">Heath, "Exhaustion and Patent Rights", in </w:t>
      </w:r>
      <w:r w:rsidRPr="00847696">
        <w:rPr>
          <w:rFonts w:ascii="Times New Roman" w:hAnsi="Times New Roman"/>
          <w:sz w:val="24"/>
        </w:rPr>
        <w:t xml:space="preserve">Okediji and Bagley (eds), </w:t>
      </w:r>
      <w:r w:rsidRPr="00847696">
        <w:rPr>
          <w:rFonts w:ascii="Times New Roman" w:hAnsi="Times New Roman"/>
          <w:i/>
          <w:sz w:val="24"/>
        </w:rPr>
        <w:t>Patent Law in Global Perspective</w:t>
      </w:r>
      <w:r w:rsidRPr="00847696">
        <w:rPr>
          <w:rFonts w:ascii="Times New Roman" w:hAnsi="Times New Roman"/>
          <w:sz w:val="24"/>
        </w:rPr>
        <w:t xml:space="preserve"> (2014) 419 at 422-423, referring to Kohler, </w:t>
      </w:r>
      <w:r w:rsidRPr="00847696">
        <w:rPr>
          <w:rFonts w:ascii="Times New Roman" w:hAnsi="Times New Roman"/>
          <w:i/>
          <w:sz w:val="24"/>
        </w:rPr>
        <w:t xml:space="preserve">Handbuch des Deutschen Patentrechts in rechtsvergleichender Darstellung </w:t>
      </w:r>
      <w:r w:rsidRPr="00847696">
        <w:rPr>
          <w:rFonts w:ascii="Times New Roman" w:hAnsi="Times New Roman"/>
          <w:sz w:val="24"/>
        </w:rPr>
        <w:t>(1900).</w:t>
      </w:r>
    </w:p>
  </w:footnote>
  <w:footnote w:id="41">
    <w:p w14:paraId="7EB035BD" w14:textId="1D111037"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Patents Act 1990</w:t>
      </w:r>
      <w:r w:rsidRPr="00847696">
        <w:rPr>
          <w:rFonts w:ascii="Times New Roman" w:hAnsi="Times New Roman"/>
          <w:sz w:val="24"/>
        </w:rPr>
        <w:t>, s 120.</w:t>
      </w:r>
    </w:p>
  </w:footnote>
  <w:footnote w:id="42">
    <w:p w14:paraId="29269216" w14:textId="2B157A09"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Patents Act 1990</w:t>
      </w:r>
      <w:r w:rsidRPr="00847696">
        <w:rPr>
          <w:rFonts w:ascii="Times New Roman" w:hAnsi="Times New Roman"/>
          <w:sz w:val="24"/>
        </w:rPr>
        <w:t>,</w:t>
      </w:r>
      <w:r w:rsidRPr="00847696">
        <w:rPr>
          <w:rFonts w:ascii="Times New Roman" w:hAnsi="Times New Roman"/>
          <w:i/>
          <w:sz w:val="24"/>
        </w:rPr>
        <w:t xml:space="preserve"> </w:t>
      </w:r>
      <w:r w:rsidRPr="00847696">
        <w:rPr>
          <w:rFonts w:ascii="Times New Roman" w:hAnsi="Times New Roman"/>
          <w:sz w:val="24"/>
        </w:rPr>
        <w:t>s 122.</w:t>
      </w:r>
    </w:p>
  </w:footnote>
  <w:footnote w:id="43">
    <w:p w14:paraId="2707CF8F" w14:textId="37F3D678"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(2008) 235 CLR 619.</w:t>
      </w:r>
    </w:p>
  </w:footnote>
  <w:footnote w:id="44">
    <w:p w14:paraId="196CADDB" w14:textId="46602776"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Northern Territory v Collins</w:t>
      </w:r>
      <w:r w:rsidRPr="00847696">
        <w:rPr>
          <w:rFonts w:ascii="Times New Roman" w:hAnsi="Times New Roman"/>
          <w:sz w:val="24"/>
        </w:rPr>
        <w:t xml:space="preserve"> (2008) 235 CLR 619 at 624 [20].</w:t>
      </w:r>
    </w:p>
  </w:footnote>
  <w:footnote w:id="45">
    <w:p w14:paraId="69AE5684" w14:textId="641BDCE5"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Patents Act 1990</w:t>
      </w:r>
      <w:r w:rsidRPr="00847696">
        <w:rPr>
          <w:rFonts w:ascii="Times New Roman" w:hAnsi="Times New Roman"/>
          <w:sz w:val="24"/>
        </w:rPr>
        <w:t xml:space="preserve">, Sch 1 (definition of "exploit"). </w:t>
      </w:r>
    </w:p>
  </w:footnote>
  <w:footnote w:id="46">
    <w:p w14:paraId="1B0DC0D9" w14:textId="126B24DA"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Patents Act 1990</w:t>
      </w:r>
      <w:r w:rsidRPr="00847696">
        <w:rPr>
          <w:rFonts w:ascii="Times New Roman" w:hAnsi="Times New Roman"/>
          <w:sz w:val="24"/>
        </w:rPr>
        <w:t xml:space="preserve">, Sch 1 (definition of "invention"). </w:t>
      </w:r>
    </w:p>
  </w:footnote>
  <w:footnote w:id="47">
    <w:p w14:paraId="07A9F56F" w14:textId="2C3827D5"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Patents Act 1990</w:t>
      </w:r>
      <w:r w:rsidRPr="00847696">
        <w:rPr>
          <w:rFonts w:ascii="Times New Roman" w:hAnsi="Times New Roman"/>
          <w:sz w:val="24"/>
        </w:rPr>
        <w:t>, s 40(2)(a).</w:t>
      </w:r>
    </w:p>
  </w:footnote>
  <w:footnote w:id="48">
    <w:p w14:paraId="7B0C6287" w14:textId="20D17C06"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Patents Act 1990</w:t>
      </w:r>
      <w:r w:rsidRPr="00847696">
        <w:rPr>
          <w:rFonts w:ascii="Times New Roman" w:hAnsi="Times New Roman"/>
          <w:sz w:val="24"/>
        </w:rPr>
        <w:t xml:space="preserve">, Sch 1 (definition of "patented product"). </w:t>
      </w:r>
    </w:p>
  </w:footnote>
  <w:footnote w:id="49">
    <w:p w14:paraId="76C17A43" w14:textId="559A6638" w:rsidR="0047638A" w:rsidRPr="00847696" w:rsidRDefault="0047638A" w:rsidP="00847696">
      <w:pPr>
        <w:pStyle w:val="FootnoteText"/>
        <w:spacing w:line="280" w:lineRule="exact"/>
        <w:ind w:right="0"/>
        <w:jc w:val="both"/>
        <w:rPr>
          <w:rFonts w:ascii="Times New Roman" w:hAnsi="Times New Roman"/>
          <w:i/>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iCs/>
          <w:sz w:val="24"/>
        </w:rPr>
        <w:t xml:space="preserve">Intellectual Property Laws Amendment (Productivity Commission Response Part 2 and Other Measures) Act 2020 </w:t>
      </w:r>
      <w:r w:rsidRPr="00847696">
        <w:rPr>
          <w:rFonts w:ascii="Times New Roman" w:hAnsi="Times New Roman"/>
          <w:sz w:val="24"/>
        </w:rPr>
        <w:t>(</w:t>
      </w:r>
      <w:r w:rsidRPr="00847696">
        <w:rPr>
          <w:rFonts w:ascii="Times New Roman" w:hAnsi="Times New Roman"/>
          <w:sz w:val="24"/>
        </w:rPr>
        <w:t>Cth), Sch 1 item 1.</w:t>
      </w:r>
    </w:p>
  </w:footnote>
  <w:footnote w:id="50">
    <w:p w14:paraId="3936AF94" w14:textId="02FF3AC2"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Seiko Epson Corporation v Calidad Pty Ltd</w:t>
      </w:r>
      <w:r w:rsidRPr="00847696">
        <w:rPr>
          <w:rFonts w:ascii="Times New Roman" w:hAnsi="Times New Roman"/>
          <w:sz w:val="24"/>
        </w:rPr>
        <w:t xml:space="preserve"> (2017) 133 IPR 1 at 30 [115].</w:t>
      </w:r>
    </w:p>
  </w:footnote>
  <w:footnote w:id="51">
    <w:p w14:paraId="67ADB7C1" w14:textId="3B56B75E"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Seiko Epson Corporation v Calidad Pty Ltd</w:t>
      </w:r>
      <w:r w:rsidRPr="00847696">
        <w:rPr>
          <w:rFonts w:ascii="Times New Roman" w:hAnsi="Times New Roman"/>
          <w:sz w:val="24"/>
        </w:rPr>
        <w:t xml:space="preserve"> (2017) 133 IPR 1 at 39 [166].</w:t>
      </w:r>
    </w:p>
  </w:footnote>
  <w:footnote w:id="52">
    <w:p w14:paraId="2F5F08A0" w14:textId="618E9B67"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Seiko Epson Corporation v Calidad Pty Ltd</w:t>
      </w:r>
      <w:r w:rsidRPr="00847696">
        <w:rPr>
          <w:rFonts w:ascii="Times New Roman" w:hAnsi="Times New Roman"/>
          <w:sz w:val="24"/>
        </w:rPr>
        <w:t xml:space="preserve"> (2017) 133 IPR 1 at 38 [158].</w:t>
      </w:r>
    </w:p>
  </w:footnote>
  <w:footnote w:id="53">
    <w:p w14:paraId="32629F77" w14:textId="1CEB4F36"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Seiko Epson Corporation v Calidad Pty Ltd</w:t>
      </w:r>
      <w:r w:rsidRPr="00847696">
        <w:rPr>
          <w:rFonts w:ascii="Times New Roman" w:hAnsi="Times New Roman"/>
          <w:sz w:val="24"/>
        </w:rPr>
        <w:t xml:space="preserve"> (2017) 133 IPR 1 at 38 [163].</w:t>
      </w:r>
    </w:p>
  </w:footnote>
  <w:footnote w:id="54">
    <w:p w14:paraId="07539B9A" w14:textId="698BD117"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Seiko Epson Corporation v Calidad Pty Ltd</w:t>
      </w:r>
      <w:r w:rsidRPr="00847696">
        <w:rPr>
          <w:rFonts w:ascii="Times New Roman" w:hAnsi="Times New Roman"/>
          <w:sz w:val="24"/>
        </w:rPr>
        <w:t xml:space="preserve"> (2017) 133 IPR 1 at 38-39 [162]-[164].</w:t>
      </w:r>
    </w:p>
  </w:footnote>
  <w:footnote w:id="55">
    <w:p w14:paraId="250412CB" w14:textId="52EC7F96"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Seiko Epson Corporation v Calidad Pty Ltd</w:t>
      </w:r>
      <w:r w:rsidRPr="00847696">
        <w:rPr>
          <w:rFonts w:ascii="Times New Roman" w:hAnsi="Times New Roman"/>
          <w:sz w:val="24"/>
        </w:rPr>
        <w:t xml:space="preserve"> (2017) 133 IPR 1 at 39 [164].</w:t>
      </w:r>
    </w:p>
  </w:footnote>
  <w:footnote w:id="56">
    <w:p w14:paraId="72BF2824" w14:textId="06E916C6"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Seiko Epson Corporation v Calidad Pty Ltd</w:t>
      </w:r>
      <w:r w:rsidRPr="00847696">
        <w:rPr>
          <w:rFonts w:ascii="Times New Roman" w:hAnsi="Times New Roman"/>
          <w:sz w:val="24"/>
        </w:rPr>
        <w:t xml:space="preserve"> (2017) 133 IPR 1 at 38 [160]-[161].</w:t>
      </w:r>
    </w:p>
  </w:footnote>
  <w:footnote w:id="57">
    <w:p w14:paraId="5BD91EC4" w14:textId="393067FE"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Seiko Epson Corporation v Calidad Pty Ltd</w:t>
      </w:r>
      <w:r w:rsidRPr="00847696">
        <w:rPr>
          <w:rFonts w:ascii="Times New Roman" w:hAnsi="Times New Roman"/>
          <w:sz w:val="24"/>
        </w:rPr>
        <w:t xml:space="preserve"> (2017) 133 IPR 1 at 52 [238], 54 [256], 55 [264], 56 [267].</w:t>
      </w:r>
    </w:p>
  </w:footnote>
  <w:footnote w:id="58">
    <w:p w14:paraId="4D461D1C" w14:textId="4566B34C"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Calidad Pty Ltd v Seiko Epson Corporation</w:t>
      </w:r>
      <w:r w:rsidRPr="00847696">
        <w:rPr>
          <w:rFonts w:ascii="Times New Roman" w:hAnsi="Times New Roman"/>
          <w:sz w:val="24"/>
        </w:rPr>
        <w:t xml:space="preserve"> (2019) 270 FCR 572.</w:t>
      </w:r>
    </w:p>
  </w:footnote>
  <w:footnote w:id="59">
    <w:p w14:paraId="6BEBDD8E" w14:textId="7F7FDE4F"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Calidad Pty Ltd v Seiko Epson Corporation</w:t>
      </w:r>
      <w:r w:rsidRPr="00847696">
        <w:rPr>
          <w:rFonts w:ascii="Times New Roman" w:hAnsi="Times New Roman"/>
          <w:sz w:val="24"/>
        </w:rPr>
        <w:t xml:space="preserve"> (2019) 270 FCR 572 at 590 [85]-[87] per Greenwood J, 591 [91], 618 [165] per </w:t>
      </w:r>
      <w:r w:rsidRPr="00847696">
        <w:rPr>
          <w:rFonts w:ascii="Times New Roman" w:hAnsi="Times New Roman"/>
          <w:sz w:val="24"/>
        </w:rPr>
        <w:t>Jagot J, 642-643 [290], [295] per Yates J.</w:t>
      </w:r>
    </w:p>
  </w:footnote>
  <w:footnote w:id="60">
    <w:p w14:paraId="7F8084C4" w14:textId="05437024"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Calidad Pty Ltd v Seiko Epson Corporation</w:t>
      </w:r>
      <w:r w:rsidRPr="00847696">
        <w:rPr>
          <w:rFonts w:ascii="Times New Roman" w:hAnsi="Times New Roman"/>
          <w:sz w:val="24"/>
        </w:rPr>
        <w:t xml:space="preserve"> (2019) 270 FCR 572 at 615 [153].</w:t>
      </w:r>
    </w:p>
  </w:footnote>
  <w:footnote w:id="61">
    <w:p w14:paraId="73E5E4C6" w14:textId="478509FA"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Calidad Pty Ltd v Seiko Epson Corporation</w:t>
      </w:r>
      <w:r w:rsidRPr="00847696">
        <w:rPr>
          <w:rFonts w:ascii="Times New Roman" w:hAnsi="Times New Roman"/>
          <w:sz w:val="24"/>
        </w:rPr>
        <w:t xml:space="preserve"> (2019) 270 FCR 572 at 642-643 [288]-[289], [292].</w:t>
      </w:r>
    </w:p>
  </w:footnote>
  <w:footnote w:id="62">
    <w:p w14:paraId="5360DE20" w14:textId="3D7156FF"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Calidad Pty Ltd v Seiko Epson Corporation</w:t>
      </w:r>
      <w:r w:rsidRPr="00847696">
        <w:rPr>
          <w:rFonts w:ascii="Times New Roman" w:hAnsi="Times New Roman"/>
          <w:sz w:val="24"/>
        </w:rPr>
        <w:t xml:space="preserve"> (2019) 270 FCR 572 at 588 [68] per Greenwood J, 616 [154]-[155] per </w:t>
      </w:r>
      <w:r w:rsidRPr="00847696">
        <w:rPr>
          <w:rFonts w:ascii="Times New Roman" w:hAnsi="Times New Roman"/>
          <w:sz w:val="24"/>
        </w:rPr>
        <w:t>Jagot J, 628 [206], 642 [291] per Yates J.</w:t>
      </w:r>
    </w:p>
  </w:footnote>
  <w:footnote w:id="63">
    <w:p w14:paraId="2FBAF325" w14:textId="4023512C"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Calidad Pty Ltd v Seiko Epson Corporation</w:t>
      </w:r>
      <w:r w:rsidRPr="00847696">
        <w:rPr>
          <w:rFonts w:ascii="Times New Roman" w:hAnsi="Times New Roman"/>
          <w:sz w:val="24"/>
        </w:rPr>
        <w:t xml:space="preserve"> (2019) 270 FCR 572 at 616 [156] per </w:t>
      </w:r>
      <w:r w:rsidRPr="00847696">
        <w:rPr>
          <w:rFonts w:ascii="Times New Roman" w:hAnsi="Times New Roman"/>
          <w:sz w:val="24"/>
        </w:rPr>
        <w:t>Jagot J, 642-643 [292] per Yates J.</w:t>
      </w:r>
    </w:p>
  </w:footnote>
  <w:footnote w:id="64">
    <w:p w14:paraId="1C3DE8A0" w14:textId="72B53302"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Calidad Pty Ltd v Seiko Epson Corporation</w:t>
      </w:r>
      <w:r w:rsidRPr="00847696">
        <w:rPr>
          <w:rFonts w:ascii="Times New Roman" w:hAnsi="Times New Roman"/>
          <w:sz w:val="24"/>
        </w:rPr>
        <w:t xml:space="preserve"> (2019) 270 FCR 572 at 622 [177].</w:t>
      </w:r>
    </w:p>
  </w:footnote>
  <w:footnote w:id="65">
    <w:p w14:paraId="556BE5D0" w14:textId="6ACF1D87"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Calidad Pty Ltd v Seiko Epson Corporation</w:t>
      </w:r>
      <w:r w:rsidRPr="00847696">
        <w:rPr>
          <w:rFonts w:ascii="Times New Roman" w:hAnsi="Times New Roman"/>
          <w:sz w:val="24"/>
        </w:rPr>
        <w:t xml:space="preserve"> (2019) 270 FCR 572 at 613 [142]-[143], 621-622 [175].</w:t>
      </w:r>
    </w:p>
  </w:footnote>
  <w:footnote w:id="66">
    <w:p w14:paraId="1DB029B3" w14:textId="233058D8"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Calidad Pty Ltd v Seiko Epson Corporation</w:t>
      </w:r>
      <w:r w:rsidRPr="00847696">
        <w:rPr>
          <w:rFonts w:ascii="Times New Roman" w:hAnsi="Times New Roman"/>
          <w:sz w:val="24"/>
        </w:rPr>
        <w:t xml:space="preserve"> (2019) 270 FCR 572 at 622 [177].</w:t>
      </w:r>
    </w:p>
  </w:footnote>
  <w:footnote w:id="67">
    <w:p w14:paraId="59D28D11" w14:textId="0E9D4089"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Calidad Pty Ltd v Seiko Epson Corporation</w:t>
      </w:r>
      <w:r w:rsidRPr="00847696">
        <w:rPr>
          <w:rFonts w:ascii="Times New Roman" w:hAnsi="Times New Roman"/>
          <w:sz w:val="24"/>
        </w:rPr>
        <w:t xml:space="preserve"> (2019) 270 FCR 572 at 620 [169].</w:t>
      </w:r>
    </w:p>
  </w:footnote>
  <w:footnote w:id="68">
    <w:p w14:paraId="29E10705" w14:textId="6F0BBD83"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Calidad Pty Ltd v Seiko Epson Corporation</w:t>
      </w:r>
      <w:r w:rsidRPr="00847696">
        <w:rPr>
          <w:rFonts w:ascii="Times New Roman" w:hAnsi="Times New Roman"/>
          <w:sz w:val="24"/>
        </w:rPr>
        <w:t xml:space="preserve"> (2019) 270 FCR 572 at 622 [177].</w:t>
      </w:r>
    </w:p>
  </w:footnote>
  <w:footnote w:id="69">
    <w:p w14:paraId="323A2D7B" w14:textId="30723E48"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Calidad Pty Ltd v Seiko Epson Corporation</w:t>
      </w:r>
      <w:r w:rsidRPr="00847696">
        <w:rPr>
          <w:rFonts w:ascii="Times New Roman" w:hAnsi="Times New Roman"/>
          <w:sz w:val="24"/>
        </w:rPr>
        <w:t xml:space="preserve"> (2019) 270 FCR 572 at 620 [168]-[169].</w:t>
      </w:r>
    </w:p>
  </w:footnote>
  <w:footnote w:id="70">
    <w:p w14:paraId="51C74207" w14:textId="6197EC46"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Calidad Pty Ltd v Seiko Epson Corporation</w:t>
      </w:r>
      <w:r w:rsidRPr="00847696">
        <w:rPr>
          <w:rFonts w:ascii="Times New Roman" w:hAnsi="Times New Roman"/>
          <w:sz w:val="24"/>
        </w:rPr>
        <w:t xml:space="preserve"> (2019) 270 FCR 572 at 622 [179].</w:t>
      </w:r>
    </w:p>
  </w:footnote>
  <w:footnote w:id="71">
    <w:p w14:paraId="056707A8" w14:textId="1056A72F"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Calidad Pty Ltd v Seiko Epson Corporation</w:t>
      </w:r>
      <w:r w:rsidRPr="00847696">
        <w:rPr>
          <w:rFonts w:ascii="Times New Roman" w:hAnsi="Times New Roman"/>
          <w:sz w:val="24"/>
        </w:rPr>
        <w:t xml:space="preserve"> (2019) 270 FCR 572 at 586 [56]-[57], 590 [85] per Greenwood J, 619 [166] per </w:t>
      </w:r>
      <w:r w:rsidRPr="00847696">
        <w:rPr>
          <w:rFonts w:ascii="Times New Roman" w:hAnsi="Times New Roman"/>
          <w:sz w:val="24"/>
        </w:rPr>
        <w:t>Jagot J.</w:t>
      </w:r>
    </w:p>
  </w:footnote>
  <w:footnote w:id="72">
    <w:p w14:paraId="257E1EB9" w14:textId="4D15CD14"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Calidad Pty Ltd v Seiko Epson Corporation</w:t>
      </w:r>
      <w:r w:rsidRPr="00847696">
        <w:rPr>
          <w:rFonts w:ascii="Times New Roman" w:hAnsi="Times New Roman"/>
          <w:sz w:val="24"/>
        </w:rPr>
        <w:t xml:space="preserve"> (2019) 270 FCR 572 at 620 [172]-[173].</w:t>
      </w:r>
    </w:p>
  </w:footnote>
  <w:footnote w:id="73">
    <w:p w14:paraId="5445301D" w14:textId="6E327EF9"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Calidad Pty Ltd v Seiko Epson Corporation</w:t>
      </w:r>
      <w:r w:rsidRPr="00847696">
        <w:rPr>
          <w:rFonts w:ascii="Times New Roman" w:hAnsi="Times New Roman"/>
          <w:sz w:val="24"/>
        </w:rPr>
        <w:t xml:space="preserve"> (2019) 270 FCR 572 at 619 [167].</w:t>
      </w:r>
    </w:p>
  </w:footnote>
  <w:footnote w:id="74">
    <w:p w14:paraId="224B9EBE" w14:textId="145CC2B8"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Seiko Epson Corporation v Calidad Pty Ltd</w:t>
      </w:r>
      <w:r w:rsidRPr="00847696">
        <w:rPr>
          <w:rFonts w:ascii="Times New Roman" w:hAnsi="Times New Roman"/>
          <w:sz w:val="24"/>
        </w:rPr>
        <w:t xml:space="preserve"> (2017) 133 IPR 1 at 58 [281].</w:t>
      </w:r>
    </w:p>
  </w:footnote>
  <w:footnote w:id="75">
    <w:p w14:paraId="77E5C548" w14:textId="55E88644"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Calidad Pty Ltd v Seiko Epson Corporation</w:t>
      </w:r>
      <w:r w:rsidRPr="00847696">
        <w:rPr>
          <w:rFonts w:ascii="Times New Roman" w:hAnsi="Times New Roman"/>
          <w:sz w:val="24"/>
        </w:rPr>
        <w:t xml:space="preserve"> (2019) 270 FCR 572 at 620 [170].</w:t>
      </w:r>
    </w:p>
  </w:footnote>
  <w:footnote w:id="76">
    <w:p w14:paraId="23B49E75" w14:textId="52C9F293"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Calidad Pty Ltd v Seiko Epson Corporation</w:t>
      </w:r>
      <w:r w:rsidRPr="00847696">
        <w:rPr>
          <w:rFonts w:ascii="Times New Roman" w:hAnsi="Times New Roman"/>
          <w:sz w:val="24"/>
        </w:rPr>
        <w:t xml:space="preserve"> (2019) 270 FCR 572 at 620 [171].</w:t>
      </w:r>
    </w:p>
  </w:footnote>
  <w:footnote w:id="77">
    <w:p w14:paraId="6A93B48D" w14:textId="0DD175B8" w:rsidR="0047638A" w:rsidRPr="00847696" w:rsidRDefault="0047638A" w:rsidP="00847696">
      <w:pPr>
        <w:pStyle w:val="FootnoteText"/>
        <w:spacing w:line="280" w:lineRule="exact"/>
        <w:ind w:right="0"/>
        <w:jc w:val="both"/>
        <w:rPr>
          <w:rFonts w:ascii="Times New Roman" w:hAnsi="Times New Roman"/>
          <w:i/>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United Wire Ltd v Screen Repair Services (Scotland) Ltd </w:t>
      </w:r>
      <w:r w:rsidRPr="00847696">
        <w:rPr>
          <w:rFonts w:ascii="Times New Roman" w:hAnsi="Times New Roman"/>
          <w:sz w:val="24"/>
        </w:rPr>
        <w:t>[2001] RPC 24 at 458 [70] per Lord Hoffmann.</w:t>
      </w:r>
    </w:p>
  </w:footnote>
  <w:footnote w:id="78">
    <w:p w14:paraId="3F8283A1" w14:textId="559AE95B"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Rodi &amp; Wienenberger AG v Henry Showell Ltd </w:t>
      </w:r>
      <w:r w:rsidRPr="00847696">
        <w:rPr>
          <w:rFonts w:ascii="Times New Roman" w:hAnsi="Times New Roman"/>
          <w:sz w:val="24"/>
        </w:rPr>
        <w:t xml:space="preserve">[1969] RPC 367 at 383 per Lord Hodson, 391 per Lord Upjohn; </w:t>
      </w:r>
      <w:r w:rsidRPr="00847696">
        <w:rPr>
          <w:rFonts w:ascii="Times New Roman" w:hAnsi="Times New Roman"/>
          <w:i/>
          <w:sz w:val="24"/>
        </w:rPr>
        <w:t xml:space="preserve">Olin Corporation v Super Cartridge Co Pty Ltd </w:t>
      </w:r>
      <w:r w:rsidRPr="00847696">
        <w:rPr>
          <w:rFonts w:ascii="Times New Roman" w:hAnsi="Times New Roman"/>
          <w:sz w:val="24"/>
        </w:rPr>
        <w:t xml:space="preserve">(1977) 180 CLR 236 at 246; </w:t>
      </w:r>
      <w:r w:rsidRPr="00847696">
        <w:rPr>
          <w:rFonts w:ascii="Times New Roman" w:hAnsi="Times New Roman"/>
          <w:i/>
          <w:sz w:val="24"/>
        </w:rPr>
        <w:t xml:space="preserve">Populin v HB Nominees Pty Ltd </w:t>
      </w:r>
      <w:r w:rsidRPr="00847696">
        <w:rPr>
          <w:rFonts w:ascii="Times New Roman" w:hAnsi="Times New Roman"/>
          <w:sz w:val="24"/>
        </w:rPr>
        <w:t>(1982) 41 ALR 471 at 476, 480.</w:t>
      </w:r>
    </w:p>
  </w:footnote>
  <w:footnote w:id="79">
    <w:p w14:paraId="0D007B60" w14:textId="595D5E5F"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D'Arcy v Myriad Genetics Inc</w:t>
      </w:r>
      <w:r w:rsidRPr="00847696">
        <w:rPr>
          <w:rFonts w:ascii="Times New Roman" w:hAnsi="Times New Roman"/>
          <w:sz w:val="24"/>
        </w:rPr>
        <w:t xml:space="preserve"> (2015) 258 CLR 334 at 370-371 [87]-[88] per French CJ, Kiefel, Bell and Keane JJ, 373 [94], 387-388 [144]-[145] per Gageler and Nettle JJ.</w:t>
      </w:r>
    </w:p>
  </w:footnote>
  <w:footnote w:id="80">
    <w:p w14:paraId="6689DB14" w14:textId="3F9B1677"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(2015) 258 CLR 334 at 344 [16] per French CJ, Kiefel, Bell and Keane JJ.</w:t>
      </w:r>
    </w:p>
  </w:footnote>
  <w:footnote w:id="81">
    <w:p w14:paraId="51A679DD" w14:textId="77777777"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[2001] RPC 24.</w:t>
      </w:r>
    </w:p>
  </w:footnote>
  <w:footnote w:id="82">
    <w:p w14:paraId="7A9DE6D4" w14:textId="16A6E626"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United Wire Ltd v Screen Repair Services (Scotland) Ltd</w:t>
      </w:r>
      <w:r w:rsidRPr="00847696">
        <w:rPr>
          <w:rFonts w:ascii="Times New Roman" w:hAnsi="Times New Roman"/>
          <w:sz w:val="24"/>
        </w:rPr>
        <w:t xml:space="preserve"> [2001] RPC 24 at 450 [28].</w:t>
      </w:r>
    </w:p>
  </w:footnote>
  <w:footnote w:id="83">
    <w:p w14:paraId="16AD412A" w14:textId="46FE9E6E"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 xml:space="preserve">See also </w:t>
      </w:r>
      <w:r w:rsidRPr="00847696">
        <w:rPr>
          <w:rFonts w:ascii="Times New Roman" w:hAnsi="Times New Roman"/>
          <w:i/>
          <w:sz w:val="24"/>
        </w:rPr>
        <w:t>United Wire Ltd v Screen Repair Services (Scotland) Ltd</w:t>
      </w:r>
      <w:r w:rsidRPr="00847696" w:rsidDel="00553EC2">
        <w:rPr>
          <w:rFonts w:ascii="Times New Roman" w:hAnsi="Times New Roman"/>
          <w:sz w:val="24"/>
        </w:rPr>
        <w:t xml:space="preserve"> </w:t>
      </w:r>
      <w:r w:rsidRPr="00847696">
        <w:rPr>
          <w:rFonts w:ascii="Times New Roman" w:hAnsi="Times New Roman"/>
          <w:sz w:val="24"/>
        </w:rPr>
        <w:t>[2001] RPC</w:t>
      </w:r>
      <w:r w:rsidRPr="00847696" w:rsidDel="00553EC2">
        <w:rPr>
          <w:rFonts w:ascii="Times New Roman" w:hAnsi="Times New Roman"/>
          <w:sz w:val="24"/>
        </w:rPr>
        <w:t xml:space="preserve"> </w:t>
      </w:r>
      <w:r w:rsidRPr="00847696">
        <w:rPr>
          <w:rFonts w:ascii="Times New Roman" w:hAnsi="Times New Roman"/>
          <w:sz w:val="24"/>
        </w:rPr>
        <w:t>24 at 458 [67] per Lord Hoffmann.</w:t>
      </w:r>
    </w:p>
  </w:footnote>
  <w:footnote w:id="84">
    <w:p w14:paraId="0FA99C56" w14:textId="6BEFE2E6"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United Wire Ltd v Screen Repair Services (Scotland) Ltd</w:t>
      </w:r>
      <w:r w:rsidRPr="00847696" w:rsidDel="00553EC2">
        <w:rPr>
          <w:rFonts w:ascii="Times New Roman" w:hAnsi="Times New Roman"/>
          <w:sz w:val="24"/>
        </w:rPr>
        <w:t xml:space="preserve"> </w:t>
      </w:r>
      <w:r w:rsidRPr="00847696">
        <w:rPr>
          <w:rFonts w:ascii="Times New Roman" w:hAnsi="Times New Roman"/>
          <w:sz w:val="24"/>
        </w:rPr>
        <w:t>[2001] RPC</w:t>
      </w:r>
      <w:r w:rsidRPr="00847696" w:rsidDel="00553EC2">
        <w:rPr>
          <w:rFonts w:ascii="Times New Roman" w:hAnsi="Times New Roman"/>
          <w:sz w:val="24"/>
        </w:rPr>
        <w:t xml:space="preserve"> </w:t>
      </w:r>
      <w:r w:rsidRPr="00847696">
        <w:rPr>
          <w:rFonts w:ascii="Times New Roman" w:hAnsi="Times New Roman"/>
          <w:sz w:val="24"/>
        </w:rPr>
        <w:t>24 at 459 [73] per Lord Hoffmann.</w:t>
      </w:r>
    </w:p>
  </w:footnote>
  <w:footnote w:id="85">
    <w:p w14:paraId="78DF4BEE" w14:textId="47DDF2A9"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United Wire Ltd v Screen Repair Services (Scotland) Ltd</w:t>
      </w:r>
      <w:r w:rsidRPr="00847696" w:rsidDel="00553EC2">
        <w:rPr>
          <w:rFonts w:ascii="Times New Roman" w:hAnsi="Times New Roman"/>
          <w:sz w:val="24"/>
        </w:rPr>
        <w:t xml:space="preserve"> </w:t>
      </w:r>
      <w:r w:rsidRPr="00847696">
        <w:rPr>
          <w:rFonts w:ascii="Times New Roman" w:hAnsi="Times New Roman"/>
          <w:sz w:val="24"/>
        </w:rPr>
        <w:t>[2001] RPC</w:t>
      </w:r>
      <w:r w:rsidRPr="00847696" w:rsidDel="00553EC2">
        <w:rPr>
          <w:rFonts w:ascii="Times New Roman" w:hAnsi="Times New Roman"/>
          <w:sz w:val="24"/>
        </w:rPr>
        <w:t xml:space="preserve"> </w:t>
      </w:r>
      <w:r w:rsidRPr="00847696">
        <w:rPr>
          <w:rFonts w:ascii="Times New Roman" w:hAnsi="Times New Roman"/>
          <w:sz w:val="24"/>
        </w:rPr>
        <w:t>24 at 459 [71].</w:t>
      </w:r>
    </w:p>
  </w:footnote>
  <w:footnote w:id="86">
    <w:p w14:paraId="2970EE9C" w14:textId="6E60A662"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United Wire Ltd v Screen Repair Services (Scotland) Ltd</w:t>
      </w:r>
      <w:r w:rsidRPr="00847696" w:rsidDel="00553EC2">
        <w:rPr>
          <w:rFonts w:ascii="Times New Roman" w:hAnsi="Times New Roman"/>
          <w:sz w:val="24"/>
        </w:rPr>
        <w:t xml:space="preserve"> </w:t>
      </w:r>
      <w:r w:rsidRPr="00847696">
        <w:rPr>
          <w:rFonts w:ascii="Times New Roman" w:hAnsi="Times New Roman"/>
          <w:sz w:val="24"/>
        </w:rPr>
        <w:t>[2001] RPC</w:t>
      </w:r>
      <w:r w:rsidRPr="00847696" w:rsidDel="00553EC2">
        <w:rPr>
          <w:rFonts w:ascii="Times New Roman" w:hAnsi="Times New Roman"/>
          <w:sz w:val="24"/>
        </w:rPr>
        <w:t xml:space="preserve"> </w:t>
      </w:r>
      <w:r w:rsidRPr="00847696">
        <w:rPr>
          <w:rFonts w:ascii="Times New Roman" w:hAnsi="Times New Roman"/>
          <w:sz w:val="24"/>
        </w:rPr>
        <w:t>24 at 458-459 [70]-[71].</w:t>
      </w:r>
    </w:p>
  </w:footnote>
  <w:footnote w:id="87">
    <w:p w14:paraId="6C7EA7F7" w14:textId="28B315E3"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Sirdar Rubber Co Ltd v Wallington, Weston &amp; Co </w:t>
      </w:r>
      <w:r w:rsidRPr="00847696">
        <w:rPr>
          <w:rFonts w:ascii="Times New Roman" w:hAnsi="Times New Roman"/>
          <w:sz w:val="24"/>
        </w:rPr>
        <w:t>(1907) 24 RPC 539 at 543.</w:t>
      </w:r>
    </w:p>
  </w:footnote>
  <w:footnote w:id="88">
    <w:p w14:paraId="51FEB201" w14:textId="4369A4F4"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[2013] RPC 16 at 410-411 [48]-[51].</w:t>
      </w:r>
    </w:p>
  </w:footnote>
  <w:footnote w:id="89">
    <w:p w14:paraId="32FFB332" w14:textId="6E163D20"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Aro Manufacturing Co Inc v Convertible Top Replacement Co Inc </w:t>
      </w:r>
      <w:r w:rsidRPr="00847696">
        <w:rPr>
          <w:rFonts w:ascii="Times New Roman" w:hAnsi="Times New Roman"/>
          <w:sz w:val="24"/>
        </w:rPr>
        <w:t xml:space="preserve">(1961) 365 US 336 at 346; </w:t>
      </w:r>
      <w:r w:rsidRPr="00847696">
        <w:rPr>
          <w:rFonts w:ascii="Times New Roman" w:hAnsi="Times New Roman"/>
          <w:i/>
          <w:sz w:val="24"/>
        </w:rPr>
        <w:t>Hewlett-Packard Co v Repeat-O-Type Stencil Manufacturing Corporation Inc</w:t>
      </w:r>
      <w:r w:rsidRPr="00847696">
        <w:rPr>
          <w:rFonts w:ascii="Times New Roman" w:hAnsi="Times New Roman"/>
          <w:sz w:val="24"/>
        </w:rPr>
        <w:t xml:space="preserve"> (1997) 123 F 3d 1445 at 1451.</w:t>
      </w:r>
    </w:p>
  </w:footnote>
  <w:footnote w:id="90">
    <w:p w14:paraId="168A4F0C" w14:textId="6633DA87"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Hewlett-Packard Co v Repeat-O-Type Stencil Manufacturing Corporation Inc</w:t>
      </w:r>
      <w:r w:rsidRPr="00847696">
        <w:rPr>
          <w:rFonts w:ascii="Times New Roman" w:hAnsi="Times New Roman"/>
          <w:sz w:val="24"/>
        </w:rPr>
        <w:t xml:space="preserve"> (1997) 123 F 3d 1445 at 1451-1452.</w:t>
      </w:r>
    </w:p>
  </w:footnote>
  <w:footnote w:id="91">
    <w:p w14:paraId="53073695" w14:textId="6E534814"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Hewlett-Packard Co v Repeat-O-Type Stencil Manufacturing Corporation Inc</w:t>
      </w:r>
      <w:r w:rsidRPr="00847696">
        <w:rPr>
          <w:rFonts w:ascii="Times New Roman" w:hAnsi="Times New Roman"/>
          <w:sz w:val="24"/>
        </w:rPr>
        <w:t xml:space="preserve"> (1997) 123 F 3d 1445 at 1452.</w:t>
      </w:r>
    </w:p>
  </w:footnote>
  <w:footnote w:id="92">
    <w:p w14:paraId="2AD409A6" w14:textId="2190ACB9"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Impression Products Inc v Lexmark International Inc</w:t>
      </w:r>
      <w:r w:rsidRPr="00847696">
        <w:rPr>
          <w:rFonts w:ascii="Times New Roman" w:hAnsi="Times New Roman"/>
          <w:sz w:val="24"/>
        </w:rPr>
        <w:t xml:space="preserve"> (2017) 137 S Ct 1523.</w:t>
      </w:r>
    </w:p>
  </w:footnote>
  <w:footnote w:id="93">
    <w:p w14:paraId="56C5C6F2" w14:textId="77B064E3"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(1997) 123 F 3d 1445.</w:t>
      </w:r>
    </w:p>
  </w:footnote>
  <w:footnote w:id="94">
    <w:p w14:paraId="7C6E236D" w14:textId="451B5B24"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Hewlett-Packard Co v Repeat-O-Type Stencil Manufacturing Corporation Inc</w:t>
      </w:r>
      <w:r w:rsidRPr="00847696">
        <w:rPr>
          <w:rFonts w:ascii="Times New Roman" w:hAnsi="Times New Roman"/>
          <w:sz w:val="24"/>
        </w:rPr>
        <w:t xml:space="preserve"> (1997) 123 F 3d 1445 at 1450.</w:t>
      </w:r>
    </w:p>
  </w:footnote>
  <w:footnote w:id="95">
    <w:p w14:paraId="285213EC" w14:textId="45844586"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Hewlett-Packard Co v Repeat-O-Type Stencil Manufacturing Corporation Inc</w:t>
      </w:r>
      <w:r w:rsidRPr="00847696">
        <w:rPr>
          <w:rFonts w:ascii="Times New Roman" w:hAnsi="Times New Roman"/>
          <w:sz w:val="24"/>
        </w:rPr>
        <w:t xml:space="preserve"> (1997) 123 F 3d 1445 at 1452.</w:t>
      </w:r>
    </w:p>
  </w:footnote>
  <w:footnote w:id="96">
    <w:p w14:paraId="6FD2FA01" w14:textId="12C2E5A2"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Hewlett-Packard Co v Repeat-O-Type Stencil Manufacturing Corporation Inc</w:t>
      </w:r>
      <w:r w:rsidRPr="00847696">
        <w:rPr>
          <w:rFonts w:ascii="Times New Roman" w:hAnsi="Times New Roman"/>
          <w:sz w:val="24"/>
        </w:rPr>
        <w:t xml:space="preserve"> (1997) 123 F 3d 1445 at 1451, 1454.</w:t>
      </w:r>
    </w:p>
  </w:footnote>
  <w:footnote w:id="97">
    <w:p w14:paraId="0BCDFE30" w14:textId="71361F18"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(2001) 264 F 3d 1094.</w:t>
      </w:r>
    </w:p>
  </w:footnote>
  <w:footnote w:id="98">
    <w:p w14:paraId="789D3ACB" w14:textId="4453CFEF"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Jazz Photo Corporation v International Trade Commission</w:t>
      </w:r>
      <w:r w:rsidRPr="00847696">
        <w:rPr>
          <w:rFonts w:ascii="Times New Roman" w:hAnsi="Times New Roman"/>
          <w:sz w:val="24"/>
        </w:rPr>
        <w:t xml:space="preserve"> (2001) 264 F 3d 1094 at 1102.</w:t>
      </w:r>
    </w:p>
  </w:footnote>
  <w:footnote w:id="99">
    <w:p w14:paraId="42E58943" w14:textId="5E5CD32C"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Jazz Photo Corporation v International Trade Commission</w:t>
      </w:r>
      <w:r w:rsidRPr="00847696">
        <w:rPr>
          <w:rFonts w:ascii="Times New Roman" w:hAnsi="Times New Roman"/>
          <w:sz w:val="24"/>
        </w:rPr>
        <w:t xml:space="preserve"> (2001) 264 F 3d 1094 at 1103-1104.</w:t>
      </w:r>
    </w:p>
  </w:footnote>
  <w:footnote w:id="100">
    <w:p w14:paraId="7ACFB191" w14:textId="12B5F6D6"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Wilbur-Ellis Co v </w:t>
      </w:r>
      <w:r w:rsidRPr="00847696">
        <w:rPr>
          <w:rFonts w:ascii="Times New Roman" w:hAnsi="Times New Roman"/>
          <w:i/>
          <w:sz w:val="24"/>
        </w:rPr>
        <w:t xml:space="preserve">Kuther </w:t>
      </w:r>
      <w:r w:rsidRPr="00847696">
        <w:rPr>
          <w:rFonts w:ascii="Times New Roman" w:hAnsi="Times New Roman"/>
          <w:sz w:val="24"/>
        </w:rPr>
        <w:t>(1964) 377 US 422.</w:t>
      </w:r>
    </w:p>
  </w:footnote>
  <w:footnote w:id="101">
    <w:p w14:paraId="0CDC0CE7" w14:textId="2A1E2689"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Hewlett-Packard Co v Repeat-O-Type Stencil Manufacturing Corporation Inc</w:t>
      </w:r>
      <w:r w:rsidRPr="00847696">
        <w:rPr>
          <w:rFonts w:ascii="Times New Roman" w:hAnsi="Times New Roman"/>
          <w:sz w:val="24"/>
        </w:rPr>
        <w:t xml:space="preserve"> (1997) 123 F 3d 1445 at 1452.</w:t>
      </w:r>
    </w:p>
  </w:footnote>
  <w:footnote w:id="102">
    <w:p w14:paraId="70E7ABE4" w14:textId="2239FFAF"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Wilbur-Ellis Co v </w:t>
      </w:r>
      <w:r w:rsidRPr="00847696">
        <w:rPr>
          <w:rFonts w:ascii="Times New Roman" w:hAnsi="Times New Roman"/>
          <w:i/>
          <w:sz w:val="24"/>
        </w:rPr>
        <w:t xml:space="preserve">Kuther </w:t>
      </w:r>
      <w:r w:rsidRPr="00847696">
        <w:rPr>
          <w:rFonts w:ascii="Times New Roman" w:hAnsi="Times New Roman"/>
          <w:sz w:val="24"/>
        </w:rPr>
        <w:t>(1964) 377 US 422 at 424-425.</w:t>
      </w:r>
    </w:p>
  </w:footnote>
  <w:footnote w:id="103">
    <w:p w14:paraId="02BA4FF4" w14:textId="61B930A8"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(1961) 365 US 336 at 354 per Black J.</w:t>
      </w:r>
    </w:p>
  </w:footnote>
  <w:footnote w:id="104">
    <w:p w14:paraId="4099FC83" w14:textId="619EE4D3"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Schütz (UK) Ltd v Werit (UK) Ltd</w:t>
      </w:r>
      <w:r w:rsidRPr="00847696">
        <w:rPr>
          <w:rFonts w:ascii="Times New Roman" w:hAnsi="Times New Roman"/>
          <w:sz w:val="24"/>
        </w:rPr>
        <w:t xml:space="preserve"> [2013] RPC 16 at 410 [47].</w:t>
      </w:r>
    </w:p>
  </w:footnote>
  <w:footnote w:id="105">
    <w:p w14:paraId="6E790242" w14:textId="69FDE6DA" w:rsidR="0047638A" w:rsidRPr="00847696" w:rsidRDefault="0047638A" w:rsidP="00847696">
      <w:pPr>
        <w:pStyle w:val="FootnoteText"/>
        <w:spacing w:line="280" w:lineRule="exact"/>
        <w:ind w:right="0"/>
        <w:jc w:val="both"/>
        <w:rPr>
          <w:rFonts w:ascii="Times New Roman" w:hAnsi="Times New Roman"/>
          <w:i/>
          <w:iCs/>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iCs/>
          <w:sz w:val="24"/>
        </w:rPr>
        <w:t xml:space="preserve">Flügelradzähler </w:t>
      </w:r>
      <w:r w:rsidRPr="00847696">
        <w:rPr>
          <w:rFonts w:ascii="Times New Roman" w:hAnsi="Times New Roman"/>
          <w:i/>
          <w:sz w:val="24"/>
        </w:rPr>
        <w:t>(</w:t>
      </w:r>
      <w:r w:rsidRPr="00847696">
        <w:rPr>
          <w:rFonts w:ascii="Times New Roman" w:hAnsi="Times New Roman"/>
          <w:i/>
          <w:iCs/>
          <w:sz w:val="24"/>
        </w:rPr>
        <w:t>Impeller Flow Meter</w:t>
      </w:r>
      <w:r w:rsidRPr="00847696">
        <w:rPr>
          <w:rFonts w:ascii="Times New Roman" w:hAnsi="Times New Roman"/>
          <w:i/>
          <w:sz w:val="24"/>
        </w:rPr>
        <w:t>)</w:t>
      </w:r>
      <w:r w:rsidRPr="00847696">
        <w:rPr>
          <w:rFonts w:ascii="Times New Roman" w:hAnsi="Times New Roman"/>
          <w:sz w:val="24"/>
        </w:rPr>
        <w:t xml:space="preserve">, Bundesgerichtshof [German Federal Court of Justice], X ZR 48/03, 4 May 2004; </w:t>
      </w:r>
      <w:r w:rsidRPr="00847696">
        <w:rPr>
          <w:rFonts w:ascii="Times New Roman" w:hAnsi="Times New Roman"/>
          <w:i/>
          <w:iCs/>
          <w:sz w:val="24"/>
        </w:rPr>
        <w:t xml:space="preserve">Palettenbehälter II, Schütz v Mauser </w:t>
      </w:r>
      <w:r w:rsidRPr="00847696">
        <w:rPr>
          <w:rFonts w:ascii="Times New Roman" w:hAnsi="Times New Roman"/>
          <w:i/>
          <w:sz w:val="24"/>
        </w:rPr>
        <w:t>(</w:t>
      </w:r>
      <w:r w:rsidRPr="00847696">
        <w:rPr>
          <w:rFonts w:ascii="Times New Roman" w:hAnsi="Times New Roman"/>
          <w:i/>
          <w:iCs/>
          <w:sz w:val="24"/>
        </w:rPr>
        <w:t>Pallet Container II</w:t>
      </w:r>
      <w:r w:rsidRPr="00847696">
        <w:rPr>
          <w:rFonts w:ascii="Times New Roman" w:hAnsi="Times New Roman"/>
          <w:i/>
          <w:sz w:val="24"/>
        </w:rPr>
        <w:t>)</w:t>
      </w:r>
      <w:r w:rsidRPr="00847696">
        <w:rPr>
          <w:rFonts w:ascii="Times New Roman" w:hAnsi="Times New Roman"/>
          <w:sz w:val="24"/>
        </w:rPr>
        <w:t>, Bundesgerichtshof [German Federal Court of Justice], X ZR 97/11, 17 July 2012.</w:t>
      </w:r>
    </w:p>
  </w:footnote>
  <w:footnote w:id="106">
    <w:p w14:paraId="3358988F" w14:textId="4C8E223F"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Hewlett-Packard Co v Repeat-O-Type Stencil Manufacturing Corporation Inc</w:t>
      </w:r>
      <w:r w:rsidRPr="00847696">
        <w:rPr>
          <w:rFonts w:ascii="Times New Roman" w:hAnsi="Times New Roman"/>
          <w:sz w:val="24"/>
        </w:rPr>
        <w:t xml:space="preserve"> (1997) 123 F 3d 1445 at 1453.</w:t>
      </w:r>
    </w:p>
  </w:footnote>
  <w:footnote w:id="107">
    <w:p w14:paraId="5922B808" w14:textId="1A85DD52"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[1977] RPC 537 at 555 per Buckley LJ.</w:t>
      </w:r>
    </w:p>
  </w:footnote>
  <w:footnote w:id="108">
    <w:p w14:paraId="1A38A0B7" w14:textId="49253FF4"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Kimberly-Clark Australia Pty Ltd v </w:t>
      </w:r>
      <w:r w:rsidRPr="00847696">
        <w:rPr>
          <w:rFonts w:ascii="Times New Roman" w:hAnsi="Times New Roman"/>
          <w:i/>
          <w:sz w:val="24"/>
        </w:rPr>
        <w:t>Arico Trading International Pty Ltd</w:t>
      </w:r>
      <w:r w:rsidRPr="00847696">
        <w:rPr>
          <w:rFonts w:ascii="Times New Roman" w:hAnsi="Times New Roman"/>
          <w:sz w:val="24"/>
        </w:rPr>
        <w:t xml:space="preserve"> (2001) 207 CLR 1 at 14 [19], [21]; </w:t>
      </w:r>
      <w:r w:rsidRPr="00847696">
        <w:rPr>
          <w:rFonts w:ascii="Times New Roman" w:hAnsi="Times New Roman"/>
          <w:i/>
          <w:sz w:val="24"/>
        </w:rPr>
        <w:t>D'Arcy v Myriad Genetics Inc</w:t>
      </w:r>
      <w:r w:rsidRPr="00847696">
        <w:rPr>
          <w:rFonts w:ascii="Times New Roman" w:hAnsi="Times New Roman"/>
          <w:sz w:val="24"/>
        </w:rPr>
        <w:t xml:space="preserve"> (2015) 258 CLR 334 at 339-340 [6], 343-344 [13]-[14]; </w:t>
      </w:r>
      <w:r w:rsidRPr="00847696">
        <w:rPr>
          <w:rFonts w:ascii="Times New Roman" w:hAnsi="Times New Roman"/>
          <w:i/>
          <w:sz w:val="24"/>
        </w:rPr>
        <w:t xml:space="preserve">Catnic Components Ltd v Hill and Smith Ltd </w:t>
      </w:r>
      <w:r w:rsidRPr="00847696">
        <w:rPr>
          <w:rFonts w:ascii="Times New Roman" w:hAnsi="Times New Roman"/>
          <w:sz w:val="24"/>
        </w:rPr>
        <w:t xml:space="preserve">[1981] FSR 60 at 65; </w:t>
      </w:r>
      <w:r w:rsidRPr="00847696">
        <w:rPr>
          <w:rFonts w:ascii="Times New Roman" w:hAnsi="Times New Roman"/>
          <w:i/>
          <w:sz w:val="24"/>
        </w:rPr>
        <w:t xml:space="preserve">Schütz (UK) Ltd v Werit (UK) Ltd </w:t>
      </w:r>
      <w:r w:rsidRPr="00847696">
        <w:rPr>
          <w:rFonts w:ascii="Times New Roman" w:hAnsi="Times New Roman"/>
          <w:sz w:val="24"/>
        </w:rPr>
        <w:t>[2013] RPC 16 at 407 [28].</w:t>
      </w:r>
    </w:p>
  </w:footnote>
  <w:footnote w:id="109">
    <w:p w14:paraId="34217796" w14:textId="5EDC67EE"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szCs w:val="20"/>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United Wire Ltd v Screen Repair Services (Scotland) Ltd</w:t>
      </w:r>
      <w:r w:rsidRPr="00847696">
        <w:rPr>
          <w:rFonts w:ascii="Times New Roman" w:hAnsi="Times New Roman"/>
          <w:sz w:val="24"/>
        </w:rPr>
        <w:t xml:space="preserve"> [2001] RPC 24.</w:t>
      </w:r>
    </w:p>
  </w:footnote>
  <w:footnote w:id="110">
    <w:p w14:paraId="2B764710" w14:textId="793EDD4F"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(1850) 50 US 109 at 123.</w:t>
      </w:r>
    </w:p>
  </w:footnote>
  <w:footnote w:id="111">
    <w:p w14:paraId="68E18614" w14:textId="73391CBA"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Aro Manufacturing Co Inc v Convertible Top Replacement Co Inc</w:t>
      </w:r>
      <w:r w:rsidRPr="00847696">
        <w:rPr>
          <w:rFonts w:ascii="Times New Roman" w:hAnsi="Times New Roman"/>
          <w:sz w:val="24"/>
        </w:rPr>
        <w:t xml:space="preserve"> (1961) 365 US 336 at 352 per Black J.</w:t>
      </w:r>
    </w:p>
  </w:footnote>
  <w:footnote w:id="112">
    <w:p w14:paraId="2EE1AF31" w14:textId="58C7040E"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United Wire Ltd v Screen Repair Services (Scotland) Ltd</w:t>
      </w:r>
      <w:r w:rsidRPr="00847696">
        <w:rPr>
          <w:rFonts w:ascii="Times New Roman" w:hAnsi="Times New Roman"/>
          <w:sz w:val="24"/>
        </w:rPr>
        <w:t xml:space="preserve"> [2001] RPC 24 at 458-459 [70] per Lord Hoffmann, quoting </w:t>
      </w:r>
      <w:r w:rsidRPr="00847696">
        <w:rPr>
          <w:rFonts w:ascii="Times New Roman" w:hAnsi="Times New Roman"/>
          <w:i/>
          <w:sz w:val="24"/>
        </w:rPr>
        <w:t xml:space="preserve">Sirdar Rubber Co Ltd v Wallington, Weston &amp; Co </w:t>
      </w:r>
      <w:r w:rsidRPr="00847696">
        <w:rPr>
          <w:rFonts w:ascii="Times New Roman" w:hAnsi="Times New Roman"/>
          <w:sz w:val="24"/>
        </w:rPr>
        <w:t>(1907) 24 RPC 539 at 543.</w:t>
      </w:r>
    </w:p>
  </w:footnote>
  <w:footnote w:id="113">
    <w:p w14:paraId="26F47327" w14:textId="1DEEFFD1"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 xml:space="preserve">See </w:t>
      </w:r>
      <w:r w:rsidRPr="00847696">
        <w:rPr>
          <w:rFonts w:ascii="Times New Roman" w:hAnsi="Times New Roman"/>
          <w:sz w:val="24"/>
        </w:rPr>
        <w:t xml:space="preserve">eg </w:t>
      </w:r>
      <w:r w:rsidRPr="00847696">
        <w:rPr>
          <w:rFonts w:ascii="Times New Roman" w:hAnsi="Times New Roman"/>
          <w:i/>
          <w:sz w:val="24"/>
        </w:rPr>
        <w:t>United Wire Ltd v Screen Repair Services (Scotland) Ltd</w:t>
      </w:r>
      <w:r w:rsidRPr="00847696">
        <w:rPr>
          <w:rFonts w:ascii="Times New Roman" w:hAnsi="Times New Roman"/>
          <w:sz w:val="24"/>
        </w:rPr>
        <w:t xml:space="preserve"> [2001] RPC 24 at 458 [68]; see also </w:t>
      </w:r>
      <w:r w:rsidRPr="00847696">
        <w:rPr>
          <w:rFonts w:ascii="Times New Roman" w:hAnsi="Times New Roman"/>
          <w:i/>
          <w:sz w:val="24"/>
        </w:rPr>
        <w:t>Interstate Parcel Express Co Pty Ltd v Time-Life International (Nederlands) BV</w:t>
      </w:r>
      <w:r w:rsidRPr="00847696">
        <w:rPr>
          <w:rFonts w:ascii="Times New Roman" w:hAnsi="Times New Roman"/>
          <w:sz w:val="24"/>
        </w:rPr>
        <w:t xml:space="preserve"> (1977) 138 CLR 534 at 540 per Gibbs J.</w:t>
      </w:r>
    </w:p>
  </w:footnote>
  <w:footnote w:id="114">
    <w:p w14:paraId="0AF26D0F" w14:textId="710FF897"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(1871) LR 6 Ch App 239.</w:t>
      </w:r>
    </w:p>
  </w:footnote>
  <w:footnote w:id="115">
    <w:p w14:paraId="114E9807" w14:textId="0CC09DCA"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Betts v Willmott</w:t>
      </w:r>
      <w:r w:rsidRPr="00847696">
        <w:rPr>
          <w:rFonts w:ascii="Times New Roman" w:hAnsi="Times New Roman"/>
          <w:sz w:val="24"/>
        </w:rPr>
        <w:t xml:space="preserve"> (1871) LR 6 Ch App 239 at 245.</w:t>
      </w:r>
    </w:p>
  </w:footnote>
  <w:footnote w:id="116">
    <w:p w14:paraId="0F2B0FE3" w14:textId="5471F545"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(1895)</w:t>
      </w:r>
      <w:r w:rsidRPr="00847696">
        <w:rPr>
          <w:rFonts w:ascii="Times New Roman" w:hAnsi="Times New Roman"/>
          <w:i/>
          <w:sz w:val="24"/>
        </w:rPr>
        <w:t xml:space="preserve"> </w:t>
      </w:r>
      <w:r w:rsidRPr="00847696">
        <w:rPr>
          <w:rFonts w:ascii="Times New Roman" w:hAnsi="Times New Roman"/>
          <w:sz w:val="24"/>
        </w:rPr>
        <w:t>12 RPC 262 at 264.</w:t>
      </w:r>
    </w:p>
  </w:footnote>
  <w:footnote w:id="117">
    <w:p w14:paraId="224AE82B" w14:textId="27342EA5"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Menck</w:t>
      </w:r>
      <w:r w:rsidRPr="00847696">
        <w:rPr>
          <w:rFonts w:ascii="Times New Roman" w:hAnsi="Times New Roman"/>
          <w:sz w:val="24"/>
        </w:rPr>
        <w:t xml:space="preserve"> (1911) 12 CLR 15 at 28; [1911] AC 336 at 353.</w:t>
      </w:r>
    </w:p>
  </w:footnote>
  <w:footnote w:id="118">
    <w:p w14:paraId="6EB79769" w14:textId="420C49F0"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Menck</w:t>
      </w:r>
      <w:r w:rsidRPr="00847696">
        <w:rPr>
          <w:rFonts w:ascii="Times New Roman" w:hAnsi="Times New Roman"/>
          <w:sz w:val="24"/>
        </w:rPr>
        <w:t xml:space="preserve"> (1911) 12 CLR 15 at 22; [1911] AC 336 at 347; see also </w:t>
      </w:r>
      <w:r w:rsidRPr="00847696">
        <w:rPr>
          <w:rFonts w:ascii="Times New Roman" w:hAnsi="Times New Roman"/>
          <w:i/>
          <w:sz w:val="24"/>
        </w:rPr>
        <w:t>Grain Pool</w:t>
      </w:r>
      <w:r w:rsidRPr="00847696">
        <w:rPr>
          <w:rFonts w:ascii="Times New Roman" w:hAnsi="Times New Roman"/>
          <w:sz w:val="24"/>
        </w:rPr>
        <w:t xml:space="preserve"> </w:t>
      </w:r>
      <w:r w:rsidRPr="00847696">
        <w:rPr>
          <w:rFonts w:ascii="Times New Roman" w:hAnsi="Times New Roman"/>
          <w:i/>
          <w:sz w:val="24"/>
        </w:rPr>
        <w:t xml:space="preserve">of Western Australia v The Commonwealth </w:t>
      </w:r>
      <w:r w:rsidRPr="00847696">
        <w:rPr>
          <w:rFonts w:ascii="Times New Roman" w:hAnsi="Times New Roman"/>
          <w:sz w:val="24"/>
        </w:rPr>
        <w:t>(2000) 202 CLR 479 at 513 [83].</w:t>
      </w:r>
    </w:p>
  </w:footnote>
  <w:footnote w:id="119">
    <w:p w14:paraId="020D304D" w14:textId="77777777"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United Wire Ltd v Screen Repair Services (Scotland) Ltd</w:t>
      </w:r>
      <w:r w:rsidRPr="00847696">
        <w:rPr>
          <w:rFonts w:ascii="Times New Roman" w:hAnsi="Times New Roman"/>
          <w:sz w:val="24"/>
        </w:rPr>
        <w:t xml:space="preserve"> [2001] RPC 24 at 458 [69].</w:t>
      </w:r>
    </w:p>
  </w:footnote>
  <w:footnote w:id="120">
    <w:p w14:paraId="4F02B7FA" w14:textId="1FA5F0FB"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Aro Manufacturing Co Inc v Convertible Top Replacement Co Inc </w:t>
      </w:r>
      <w:r w:rsidRPr="00847696">
        <w:rPr>
          <w:rFonts w:ascii="Times New Roman" w:hAnsi="Times New Roman"/>
          <w:sz w:val="24"/>
        </w:rPr>
        <w:t xml:space="preserve">(1961) 365 US 336 at 342-343, quoting </w:t>
      </w:r>
      <w:r w:rsidRPr="00847696">
        <w:rPr>
          <w:rFonts w:ascii="Times New Roman" w:hAnsi="Times New Roman"/>
          <w:i/>
          <w:sz w:val="24"/>
        </w:rPr>
        <w:t xml:space="preserve">Wilson v Simpson </w:t>
      </w:r>
      <w:r w:rsidRPr="00847696">
        <w:rPr>
          <w:rFonts w:ascii="Times New Roman" w:hAnsi="Times New Roman"/>
          <w:sz w:val="24"/>
        </w:rPr>
        <w:t>(1850) 50 US 109 at 123.</w:t>
      </w:r>
    </w:p>
  </w:footnote>
  <w:footnote w:id="121">
    <w:p w14:paraId="5B4BBBB9" w14:textId="59EACD0E"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sz w:val="24"/>
        </w:rPr>
        <w:t xml:space="preserve">cf </w:t>
      </w:r>
      <w:r w:rsidRPr="00847696">
        <w:rPr>
          <w:rFonts w:ascii="Times New Roman" w:hAnsi="Times New Roman"/>
          <w:i/>
          <w:sz w:val="24"/>
        </w:rPr>
        <w:t>Interstate Parcel Express Co Pty Ltd v Time-Life International (Nederlands) BV</w:t>
      </w:r>
      <w:r w:rsidRPr="00847696">
        <w:rPr>
          <w:rFonts w:ascii="Times New Roman" w:hAnsi="Times New Roman"/>
          <w:sz w:val="24"/>
        </w:rPr>
        <w:t xml:space="preserve"> (1977) 138 CLR 534 at 542 per Gibbs J.</w:t>
      </w:r>
    </w:p>
  </w:footnote>
  <w:footnote w:id="122">
    <w:p w14:paraId="14B2D4D4" w14:textId="3A3B356E"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(1998) 192 CLR 330 at 387 [163].</w:t>
      </w:r>
    </w:p>
  </w:footnote>
  <w:footnote w:id="123">
    <w:p w14:paraId="714FD162" w14:textId="6AF56FCA"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Menck</w:t>
      </w:r>
      <w:r w:rsidRPr="00847696">
        <w:rPr>
          <w:rFonts w:ascii="Times New Roman" w:hAnsi="Times New Roman"/>
          <w:sz w:val="24"/>
        </w:rPr>
        <w:t xml:space="preserve"> (1911) 12 CLR 15 at 23, 28; [1911] AC 336 at 348, 353.</w:t>
      </w:r>
    </w:p>
  </w:footnote>
  <w:footnote w:id="124">
    <w:p w14:paraId="3658C448" w14:textId="601A0150"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Impression Products Inc v Lexmark International Inc </w:t>
      </w:r>
      <w:r w:rsidRPr="00847696">
        <w:rPr>
          <w:rFonts w:ascii="Times New Roman" w:hAnsi="Times New Roman"/>
          <w:sz w:val="24"/>
        </w:rPr>
        <w:t>(2017) 137 S Ct 1523</w:t>
      </w:r>
      <w:r w:rsidRPr="00847696">
        <w:rPr>
          <w:rFonts w:ascii="Times New Roman" w:hAnsi="Times New Roman"/>
          <w:i/>
          <w:sz w:val="24"/>
        </w:rPr>
        <w:t xml:space="preserve"> </w:t>
      </w:r>
      <w:r w:rsidRPr="00847696">
        <w:rPr>
          <w:rFonts w:ascii="Times New Roman" w:hAnsi="Times New Roman"/>
          <w:sz w:val="24"/>
        </w:rPr>
        <w:t>at 1532.</w:t>
      </w:r>
    </w:p>
  </w:footnote>
  <w:footnote w:id="125">
    <w:p w14:paraId="066ED7C6" w14:textId="50D7FA2E"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 xml:space="preserve">Menck </w:t>
      </w:r>
      <w:r w:rsidRPr="00847696">
        <w:rPr>
          <w:rFonts w:ascii="Times New Roman" w:hAnsi="Times New Roman"/>
          <w:sz w:val="24"/>
        </w:rPr>
        <w:t xml:space="preserve">(1908) 7 CLR 481 at 508 per Griffith CJ; </w:t>
      </w:r>
      <w:r w:rsidRPr="00847696">
        <w:rPr>
          <w:rFonts w:ascii="Times New Roman" w:hAnsi="Times New Roman"/>
          <w:i/>
          <w:sz w:val="24"/>
        </w:rPr>
        <w:t>National Phonograph Co of Australia Ltd v Menck</w:t>
      </w:r>
      <w:r w:rsidRPr="00847696">
        <w:rPr>
          <w:rFonts w:ascii="Times New Roman" w:hAnsi="Times New Roman"/>
          <w:sz w:val="24"/>
        </w:rPr>
        <w:t xml:space="preserve"> (1911) 12 CLR 15 at 22; [1911] AC 336 at 347.</w:t>
      </w:r>
    </w:p>
  </w:footnote>
  <w:footnote w:id="126">
    <w:p w14:paraId="655883B2" w14:textId="08A5859D"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Grain Pool of Western Australia v The Commonwealth</w:t>
      </w:r>
      <w:r w:rsidRPr="00847696">
        <w:rPr>
          <w:rFonts w:ascii="Times New Roman" w:hAnsi="Times New Roman"/>
          <w:sz w:val="24"/>
        </w:rPr>
        <w:t xml:space="preserve"> (2000) 202 CLR 479 at 514 [85].</w:t>
      </w:r>
    </w:p>
  </w:footnote>
  <w:footnote w:id="127">
    <w:p w14:paraId="0FC1296C" w14:textId="425031E5"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Grain Pool</w:t>
      </w:r>
      <w:r w:rsidRPr="00847696">
        <w:rPr>
          <w:rFonts w:ascii="Times New Roman" w:hAnsi="Times New Roman"/>
          <w:sz w:val="24"/>
        </w:rPr>
        <w:t xml:space="preserve"> </w:t>
      </w:r>
      <w:r w:rsidRPr="00847696">
        <w:rPr>
          <w:rFonts w:ascii="Times New Roman" w:hAnsi="Times New Roman"/>
          <w:i/>
          <w:sz w:val="24"/>
        </w:rPr>
        <w:t>of Western Australia v The Commonwealth</w:t>
      </w:r>
      <w:r w:rsidRPr="00847696">
        <w:rPr>
          <w:rFonts w:ascii="Times New Roman" w:hAnsi="Times New Roman"/>
          <w:sz w:val="24"/>
        </w:rPr>
        <w:t xml:space="preserve"> (2000) 202 CLR 479 at 513 [83], quoting </w:t>
      </w:r>
      <w:r w:rsidRPr="00847696">
        <w:rPr>
          <w:rFonts w:ascii="Times New Roman" w:hAnsi="Times New Roman"/>
          <w:i/>
          <w:sz w:val="24"/>
        </w:rPr>
        <w:t xml:space="preserve">National Phonograph Co of Australia Ltd v </w:t>
      </w:r>
      <w:r w:rsidRPr="00847696">
        <w:rPr>
          <w:rFonts w:ascii="Times New Roman" w:hAnsi="Times New Roman"/>
          <w:i/>
          <w:sz w:val="24"/>
        </w:rPr>
        <w:t>Menck</w:t>
      </w:r>
      <w:r w:rsidRPr="00847696">
        <w:rPr>
          <w:rFonts w:ascii="Times New Roman" w:hAnsi="Times New Roman"/>
          <w:sz w:val="24"/>
        </w:rPr>
        <w:t xml:space="preserve"> (1911) 12 CLR 15 at 22; [1911] AC 336 at 347.</w:t>
      </w:r>
    </w:p>
  </w:footnote>
  <w:footnote w:id="128">
    <w:p w14:paraId="005EBAFA" w14:textId="510395C6"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[1893] AC 232 at 235.</w:t>
      </w:r>
    </w:p>
  </w:footnote>
  <w:footnote w:id="129">
    <w:p w14:paraId="3547B2C7" w14:textId="755CF2DF"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Patents Act 1990</w:t>
      </w:r>
      <w:r w:rsidRPr="00847696">
        <w:rPr>
          <w:rFonts w:ascii="Times New Roman" w:hAnsi="Times New Roman"/>
          <w:sz w:val="24"/>
        </w:rPr>
        <w:t xml:space="preserve">, Sch 1 (definition of "exploit"). </w:t>
      </w:r>
    </w:p>
  </w:footnote>
  <w:footnote w:id="130">
    <w:p w14:paraId="1BF34DCA" w14:textId="60B15565"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 xml:space="preserve">Menck </w:t>
      </w:r>
      <w:r w:rsidRPr="00847696">
        <w:rPr>
          <w:rFonts w:ascii="Times New Roman" w:hAnsi="Times New Roman"/>
          <w:sz w:val="24"/>
        </w:rPr>
        <w:t>(1908) 7 CLR 481 at 512.</w:t>
      </w:r>
    </w:p>
  </w:footnote>
  <w:footnote w:id="131">
    <w:p w14:paraId="1B68584B" w14:textId="115D4EFC"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Acts Interpretation Act 1901</w:t>
      </w:r>
      <w:r w:rsidRPr="00847696">
        <w:rPr>
          <w:rFonts w:ascii="Times New Roman" w:hAnsi="Times New Roman"/>
          <w:sz w:val="24"/>
        </w:rPr>
        <w:t xml:space="preserve"> (</w:t>
      </w:r>
      <w:r w:rsidRPr="00847696">
        <w:rPr>
          <w:rFonts w:ascii="Times New Roman" w:hAnsi="Times New Roman"/>
          <w:sz w:val="24"/>
        </w:rPr>
        <w:t>Cth), s 15AA.</w:t>
      </w:r>
    </w:p>
  </w:footnote>
  <w:footnote w:id="132">
    <w:p w14:paraId="0D10056C" w14:textId="1195C08C"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Thiess v Collector of Customs</w:t>
      </w:r>
      <w:r w:rsidRPr="00847696">
        <w:rPr>
          <w:rFonts w:ascii="Times New Roman" w:hAnsi="Times New Roman"/>
          <w:sz w:val="24"/>
        </w:rPr>
        <w:t xml:space="preserve"> (2014) 250 CLR 664 at 672 [23].</w:t>
      </w:r>
    </w:p>
  </w:footnote>
  <w:footnote w:id="133">
    <w:p w14:paraId="4D37B8C6" w14:textId="0E25DCC9"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See [82] above.</w:t>
      </w:r>
    </w:p>
  </w:footnote>
  <w:footnote w:id="134">
    <w:p w14:paraId="7BD0AA3B" w14:textId="52AD75A6"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Patents Act 1909 </w:t>
      </w:r>
      <w:r w:rsidRPr="00847696">
        <w:rPr>
          <w:rFonts w:ascii="Times New Roman" w:hAnsi="Times New Roman"/>
          <w:sz w:val="24"/>
        </w:rPr>
        <w:t>(</w:t>
      </w:r>
      <w:r w:rsidRPr="00847696">
        <w:rPr>
          <w:rFonts w:ascii="Times New Roman" w:hAnsi="Times New Roman"/>
          <w:sz w:val="24"/>
        </w:rPr>
        <w:t xml:space="preserve">Cth), s 14; </w:t>
      </w:r>
      <w:r w:rsidRPr="00847696">
        <w:rPr>
          <w:rFonts w:ascii="Times New Roman" w:hAnsi="Times New Roman"/>
          <w:i/>
          <w:sz w:val="24"/>
        </w:rPr>
        <w:t>Intellectual Property Laws Amendment (Productivity Commission Response Part 2 and Other Measures) Act</w:t>
      </w:r>
      <w:r w:rsidRPr="00847696">
        <w:rPr>
          <w:rFonts w:ascii="Times New Roman" w:hAnsi="Times New Roman"/>
          <w:sz w:val="24"/>
        </w:rPr>
        <w:t xml:space="preserve">, Sch 4 item 13. </w:t>
      </w:r>
    </w:p>
  </w:footnote>
  <w:footnote w:id="135">
    <w:p w14:paraId="6DB8675C" w14:textId="07D4C1C1"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National Phonograph Co of Australia Ltd v </w:t>
      </w:r>
      <w:r w:rsidRPr="00847696">
        <w:rPr>
          <w:rFonts w:ascii="Times New Roman" w:hAnsi="Times New Roman"/>
          <w:i/>
          <w:sz w:val="24"/>
        </w:rPr>
        <w:t>Menck</w:t>
      </w:r>
      <w:r w:rsidRPr="00847696">
        <w:rPr>
          <w:rFonts w:ascii="Times New Roman" w:hAnsi="Times New Roman"/>
          <w:sz w:val="24"/>
        </w:rPr>
        <w:t xml:space="preserve"> (1911) 12 CLR 15 at 22; [1911] AC 336 at 346-347.</w:t>
      </w:r>
    </w:p>
  </w:footnote>
  <w:footnote w:id="136">
    <w:p w14:paraId="2C20E5C2" w14:textId="0819AD3C"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 xml:space="preserve">Patents Act 1903 </w:t>
      </w:r>
      <w:r w:rsidRPr="00847696">
        <w:rPr>
          <w:rFonts w:ascii="Times New Roman" w:hAnsi="Times New Roman"/>
          <w:sz w:val="24"/>
        </w:rPr>
        <w:t>(</w:t>
      </w:r>
      <w:r w:rsidRPr="00847696">
        <w:rPr>
          <w:rFonts w:ascii="Times New Roman" w:hAnsi="Times New Roman"/>
          <w:sz w:val="24"/>
        </w:rPr>
        <w:t>Cth), s 87B.</w:t>
      </w:r>
    </w:p>
  </w:footnote>
  <w:footnote w:id="137">
    <w:p w14:paraId="07D76AFA" w14:textId="35821165"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Patents Act 1909</w:t>
      </w:r>
      <w:r w:rsidRPr="00847696">
        <w:rPr>
          <w:rFonts w:ascii="Times New Roman" w:hAnsi="Times New Roman"/>
          <w:sz w:val="24"/>
        </w:rPr>
        <w:t>, s 15.</w:t>
      </w:r>
    </w:p>
  </w:footnote>
  <w:footnote w:id="138">
    <w:p w14:paraId="25B84C3B" w14:textId="4FCB9055"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 xml:space="preserve">Australia, Senate, </w:t>
      </w:r>
      <w:r w:rsidRPr="00847696">
        <w:rPr>
          <w:rFonts w:ascii="Times New Roman" w:hAnsi="Times New Roman"/>
          <w:i/>
          <w:sz w:val="24"/>
        </w:rPr>
        <w:t>Parliamentary Debates</w:t>
      </w:r>
      <w:r w:rsidRPr="00847696">
        <w:rPr>
          <w:rFonts w:ascii="Times New Roman" w:hAnsi="Times New Roman"/>
          <w:sz w:val="24"/>
        </w:rPr>
        <w:t xml:space="preserve"> (Hansard), 11 August 1909 at 2261-2263; Australia, Senate, </w:t>
      </w:r>
      <w:r w:rsidRPr="00847696">
        <w:rPr>
          <w:rFonts w:ascii="Times New Roman" w:hAnsi="Times New Roman"/>
          <w:i/>
          <w:sz w:val="24"/>
        </w:rPr>
        <w:t>Parliamentary Debates</w:t>
      </w:r>
      <w:r w:rsidRPr="00847696">
        <w:rPr>
          <w:rFonts w:ascii="Times New Roman" w:hAnsi="Times New Roman"/>
          <w:sz w:val="24"/>
        </w:rPr>
        <w:t xml:space="preserve"> (Hansard), 26 August 1909 at 2610-2611.</w:t>
      </w:r>
    </w:p>
  </w:footnote>
  <w:footnote w:id="139">
    <w:p w14:paraId="58043865" w14:textId="4F6CDD20"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 xml:space="preserve">Industrial Property Advisory Committee, </w:t>
      </w:r>
      <w:r w:rsidRPr="00847696">
        <w:rPr>
          <w:rFonts w:ascii="Times New Roman" w:hAnsi="Times New Roman"/>
          <w:i/>
          <w:sz w:val="24"/>
        </w:rPr>
        <w:t>Patents, Innovation and Competition in Australia</w:t>
      </w:r>
      <w:r w:rsidRPr="00847696">
        <w:rPr>
          <w:rFonts w:ascii="Times New Roman" w:hAnsi="Times New Roman"/>
          <w:sz w:val="24"/>
        </w:rPr>
        <w:t xml:space="preserve"> (1984) at 34.</w:t>
      </w:r>
    </w:p>
  </w:footnote>
  <w:footnote w:id="140">
    <w:p w14:paraId="09EA44B0" w14:textId="07C581F8"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 xml:space="preserve">Australia, Senate, </w:t>
      </w:r>
      <w:r w:rsidRPr="00847696">
        <w:rPr>
          <w:rFonts w:ascii="Times New Roman" w:hAnsi="Times New Roman"/>
          <w:i/>
          <w:sz w:val="24"/>
        </w:rPr>
        <w:t>Patents Bill 1990</w:t>
      </w:r>
      <w:r w:rsidRPr="00847696">
        <w:rPr>
          <w:rFonts w:ascii="Times New Roman" w:hAnsi="Times New Roman"/>
          <w:sz w:val="24"/>
        </w:rPr>
        <w:t>, Explanatory Memorandum at 5 [24].</w:t>
      </w:r>
    </w:p>
  </w:footnote>
  <w:footnote w:id="141">
    <w:p w14:paraId="654D4D6F" w14:textId="1B0D633E"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Impression Products Inc v Lexmark International Inc</w:t>
      </w:r>
      <w:r w:rsidRPr="00847696">
        <w:rPr>
          <w:rFonts w:ascii="Times New Roman" w:hAnsi="Times New Roman"/>
          <w:sz w:val="24"/>
        </w:rPr>
        <w:t xml:space="preserve"> (2017) 137 S Ct 1523 at 1532-1533.</w:t>
      </w:r>
    </w:p>
  </w:footnote>
  <w:footnote w:id="142">
    <w:p w14:paraId="49290BA9" w14:textId="3A9D848B"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35 USC § 261.</w:t>
      </w:r>
    </w:p>
  </w:footnote>
  <w:footnote w:id="143">
    <w:p w14:paraId="46B13107" w14:textId="45412C15"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Patents Act 1903</w:t>
      </w:r>
      <w:r w:rsidRPr="00847696">
        <w:rPr>
          <w:rFonts w:ascii="Times New Roman" w:hAnsi="Times New Roman"/>
          <w:sz w:val="24"/>
        </w:rPr>
        <w:t xml:space="preserve">, s 110A(1), inserted by </w:t>
      </w:r>
      <w:r w:rsidRPr="00847696">
        <w:rPr>
          <w:rFonts w:ascii="Times New Roman" w:hAnsi="Times New Roman"/>
          <w:i/>
          <w:sz w:val="24"/>
        </w:rPr>
        <w:t>Patents Act 1909</w:t>
      </w:r>
      <w:r w:rsidRPr="00847696">
        <w:rPr>
          <w:rFonts w:ascii="Times New Roman" w:hAnsi="Times New Roman"/>
          <w:sz w:val="24"/>
        </w:rPr>
        <w:t>, s 18.</w:t>
      </w:r>
    </w:p>
  </w:footnote>
  <w:footnote w:id="144">
    <w:p w14:paraId="16B2C332" w14:textId="764220C3"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(1977) 138 CLR 534.</w:t>
      </w:r>
    </w:p>
  </w:footnote>
  <w:footnote w:id="145">
    <w:p w14:paraId="62F70CFC" w14:textId="4D90F0A0"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Interstate Parcel Express Co Pty Ltd v Time-Life International (</w:t>
      </w:r>
      <w:r w:rsidRPr="00847696">
        <w:rPr>
          <w:rFonts w:ascii="Times New Roman" w:hAnsi="Times New Roman"/>
          <w:i/>
          <w:sz w:val="24"/>
        </w:rPr>
        <w:t>Nederlands) BV</w:t>
      </w:r>
      <w:r w:rsidRPr="00847696">
        <w:rPr>
          <w:rFonts w:ascii="Times New Roman" w:hAnsi="Times New Roman"/>
          <w:sz w:val="24"/>
        </w:rPr>
        <w:t xml:space="preserve"> (1977) 138 CLR 534 at 541-542.</w:t>
      </w:r>
    </w:p>
  </w:footnote>
  <w:footnote w:id="146">
    <w:p w14:paraId="3ABA05C0" w14:textId="70450BCD"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Interstate Parcel Express Co Pty Ltd v Time-Life International (</w:t>
      </w:r>
      <w:r w:rsidRPr="00847696">
        <w:rPr>
          <w:rFonts w:ascii="Times New Roman" w:hAnsi="Times New Roman"/>
          <w:i/>
          <w:sz w:val="24"/>
        </w:rPr>
        <w:t>Nederlands) BV</w:t>
      </w:r>
      <w:r w:rsidRPr="00847696">
        <w:rPr>
          <w:rFonts w:ascii="Times New Roman" w:hAnsi="Times New Roman"/>
          <w:sz w:val="24"/>
        </w:rPr>
        <w:t xml:space="preserve"> (1977) 138 CLR 534 at 550-552.</w:t>
      </w:r>
    </w:p>
  </w:footnote>
  <w:footnote w:id="147">
    <w:p w14:paraId="0D7B674D" w14:textId="1EE03126" w:rsidR="0047638A" w:rsidRPr="00847696" w:rsidRDefault="0047638A" w:rsidP="00847696">
      <w:pPr>
        <w:pStyle w:val="FootnoteText"/>
        <w:spacing w:line="280" w:lineRule="exact"/>
        <w:ind w:right="0"/>
        <w:jc w:val="both"/>
        <w:rPr>
          <w:rFonts w:ascii="Times New Roman" w:hAnsi="Times New Roman"/>
          <w:sz w:val="24"/>
          <w:u w:val="single"/>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(2000) 202 CLR 479 at 513-514 [83]-[85].</w:t>
      </w:r>
    </w:p>
  </w:footnote>
  <w:footnote w:id="148">
    <w:p w14:paraId="595D56F5" w14:textId="75CAFCAF"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i/>
          <w:sz w:val="24"/>
        </w:rPr>
        <w:t>Interstate Parcel Express Co Pty Ltd v Time-Life International (</w:t>
      </w:r>
      <w:r w:rsidRPr="00847696">
        <w:rPr>
          <w:rFonts w:ascii="Times New Roman" w:hAnsi="Times New Roman"/>
          <w:i/>
          <w:sz w:val="24"/>
        </w:rPr>
        <w:t>Nederlands) BV</w:t>
      </w:r>
      <w:r w:rsidRPr="00847696">
        <w:rPr>
          <w:rFonts w:ascii="Times New Roman" w:hAnsi="Times New Roman"/>
          <w:sz w:val="24"/>
        </w:rPr>
        <w:t xml:space="preserve"> (1977) 138 CLR 534 at 541. </w:t>
      </w:r>
    </w:p>
  </w:footnote>
  <w:footnote w:id="149">
    <w:p w14:paraId="213A9B97" w14:textId="75AEF25F"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t xml:space="preserve">See </w:t>
      </w:r>
      <w:r w:rsidRPr="00847696">
        <w:rPr>
          <w:rFonts w:ascii="Times New Roman" w:hAnsi="Times New Roman"/>
          <w:i/>
          <w:sz w:val="24"/>
        </w:rPr>
        <w:t xml:space="preserve">Austshade Pty Ltd v Boss Shade Pty Ltd </w:t>
      </w:r>
      <w:r w:rsidRPr="00847696">
        <w:rPr>
          <w:rFonts w:ascii="Times New Roman" w:hAnsi="Times New Roman"/>
          <w:sz w:val="24"/>
        </w:rPr>
        <w:t xml:space="preserve">(2016) 118 IPR 93; </w:t>
      </w:r>
      <w:r w:rsidRPr="00847696">
        <w:rPr>
          <w:rFonts w:ascii="Times New Roman" w:hAnsi="Times New Roman"/>
          <w:i/>
          <w:sz w:val="24"/>
        </w:rPr>
        <w:t xml:space="preserve">Australian Competition and Consumer Commission v Pfizer Australia Pty Ltd </w:t>
      </w:r>
      <w:r w:rsidRPr="00847696">
        <w:rPr>
          <w:rFonts w:ascii="Times New Roman" w:hAnsi="Times New Roman"/>
          <w:sz w:val="24"/>
        </w:rPr>
        <w:t xml:space="preserve">(2018) 356 ALR 582. </w:t>
      </w:r>
    </w:p>
  </w:footnote>
  <w:footnote w:id="150">
    <w:p w14:paraId="293BAC8A" w14:textId="4546C5D6" w:rsidR="0047638A" w:rsidRPr="00847696" w:rsidRDefault="0047638A" w:rsidP="00847696">
      <w:pPr>
        <w:pStyle w:val="FootnoteText"/>
        <w:spacing w:line="280" w:lineRule="exact"/>
        <w:ind w:right="0"/>
        <w:jc w:val="both"/>
        <w:rPr>
          <w:rFonts w:ascii="Times New Roman" w:hAnsi="Times New Roman"/>
          <w:sz w:val="24"/>
        </w:rPr>
      </w:pPr>
      <w:r w:rsidRPr="00847696">
        <w:rPr>
          <w:rStyle w:val="FootnoteReference"/>
          <w:rFonts w:ascii="Times New Roman" w:hAnsi="Times New Roman"/>
          <w:sz w:val="22"/>
          <w:vertAlign w:val="baseline"/>
        </w:rPr>
        <w:footnoteRef/>
      </w:r>
      <w:r w:rsidRPr="00847696">
        <w:rPr>
          <w:rFonts w:ascii="Times New Roman" w:hAnsi="Times New Roman"/>
          <w:sz w:val="24"/>
        </w:rPr>
        <w:t xml:space="preserve"> </w:t>
      </w:r>
      <w:r w:rsidRPr="00847696">
        <w:rPr>
          <w:rFonts w:ascii="Times New Roman" w:hAnsi="Times New Roman"/>
          <w:sz w:val="24"/>
        </w:rPr>
        <w:tab/>
      </w:r>
      <w:r w:rsidRPr="00847696">
        <w:rPr>
          <w:rFonts w:ascii="Times New Roman" w:hAnsi="Times New Roman"/>
          <w:sz w:val="24"/>
        </w:rPr>
        <w:t xml:space="preserve">cf </w:t>
      </w:r>
      <w:r w:rsidRPr="00847696">
        <w:rPr>
          <w:rFonts w:ascii="Times New Roman" w:hAnsi="Times New Roman"/>
          <w:i/>
          <w:sz w:val="24"/>
        </w:rPr>
        <w:t>Austshade Pty Ltd v Boss Shade Pty Ltd</w:t>
      </w:r>
      <w:r w:rsidRPr="00847696">
        <w:rPr>
          <w:rFonts w:ascii="Times New Roman" w:hAnsi="Times New Roman"/>
          <w:sz w:val="24"/>
        </w:rPr>
        <w:t xml:space="preserve"> (2016) 118 IPR 93 at 130 [121].</w:t>
      </w:r>
    </w:p>
  </w:footnote>
  <w:footnote w:id="151">
    <w:p w14:paraId="1F659CAF"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t xml:space="preserve">See Sherman and </w:t>
      </w:r>
      <w:r w:rsidRPr="00250C1E">
        <w:rPr>
          <w:rFonts w:ascii="Times New Roman" w:hAnsi="Times New Roman"/>
          <w:sz w:val="24"/>
        </w:rPr>
        <w:t xml:space="preserve">Bently, </w:t>
      </w:r>
      <w:r w:rsidRPr="00250C1E">
        <w:rPr>
          <w:rFonts w:ascii="Times New Roman" w:hAnsi="Times New Roman"/>
          <w:i/>
          <w:sz w:val="24"/>
        </w:rPr>
        <w:t>The Making of Modern Intellectual Property Law</w:t>
      </w:r>
      <w:r w:rsidRPr="00250C1E">
        <w:rPr>
          <w:rFonts w:ascii="Times New Roman" w:hAnsi="Times New Roman"/>
          <w:sz w:val="24"/>
        </w:rPr>
        <w:t xml:space="preserve"> (1999) at 101-110, 129-134.</w:t>
      </w:r>
    </w:p>
  </w:footnote>
  <w:footnote w:id="152">
    <w:p w14:paraId="1838B06E"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t xml:space="preserve">Blackstone, </w:t>
      </w:r>
      <w:r w:rsidRPr="00250C1E">
        <w:rPr>
          <w:rFonts w:ascii="Times New Roman" w:hAnsi="Times New Roman"/>
          <w:i/>
          <w:sz w:val="24"/>
        </w:rPr>
        <w:t>Commentaries on the Laws of England</w:t>
      </w:r>
      <w:r w:rsidRPr="00250C1E">
        <w:rPr>
          <w:rFonts w:ascii="Times New Roman" w:hAnsi="Times New Roman"/>
          <w:sz w:val="24"/>
        </w:rPr>
        <w:t xml:space="preserve"> (1766), bk 2, </w:t>
      </w:r>
      <w:r w:rsidRPr="00250C1E">
        <w:rPr>
          <w:rFonts w:ascii="Times New Roman" w:hAnsi="Times New Roman"/>
          <w:sz w:val="24"/>
        </w:rPr>
        <w:t>ch 21 at 346.</w:t>
      </w:r>
    </w:p>
  </w:footnote>
  <w:footnote w:id="153">
    <w:p w14:paraId="51D5310B"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t xml:space="preserve">See quoted in </w:t>
      </w:r>
      <w:r w:rsidRPr="00250C1E">
        <w:rPr>
          <w:rFonts w:ascii="Times New Roman" w:hAnsi="Times New Roman"/>
          <w:i/>
          <w:sz w:val="24"/>
        </w:rPr>
        <w:t>Terrell on The Law of Patents</w:t>
      </w:r>
      <w:r w:rsidRPr="00250C1E">
        <w:rPr>
          <w:rFonts w:ascii="Times New Roman" w:hAnsi="Times New Roman"/>
          <w:sz w:val="24"/>
        </w:rPr>
        <w:t>, 19th ed (2020) at [1-03]-[1-04].</w:t>
      </w:r>
    </w:p>
  </w:footnote>
  <w:footnote w:id="154">
    <w:p w14:paraId="7AC75EF7"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t xml:space="preserve">See Gordon, </w:t>
      </w:r>
      <w:r w:rsidRPr="00250C1E">
        <w:rPr>
          <w:rFonts w:ascii="Times New Roman" w:hAnsi="Times New Roman"/>
          <w:i/>
          <w:sz w:val="24"/>
        </w:rPr>
        <w:t xml:space="preserve">Monopolies by Patents </w:t>
      </w:r>
      <w:r w:rsidRPr="00250C1E">
        <w:rPr>
          <w:rFonts w:ascii="Times New Roman" w:hAnsi="Times New Roman"/>
          <w:sz w:val="24"/>
        </w:rPr>
        <w:t xml:space="preserve">(1897) at 121-122; </w:t>
      </w:r>
      <w:r w:rsidRPr="00250C1E">
        <w:rPr>
          <w:rFonts w:ascii="Times New Roman" w:hAnsi="Times New Roman"/>
          <w:sz w:val="24"/>
        </w:rPr>
        <w:t xml:space="preserve">Hulme, "The History of the Patent System under the Prerogative and at Common Law: A Sequel" (1900) 16 </w:t>
      </w:r>
      <w:r w:rsidRPr="00250C1E">
        <w:rPr>
          <w:rFonts w:ascii="Times New Roman" w:hAnsi="Times New Roman"/>
          <w:i/>
          <w:sz w:val="24"/>
        </w:rPr>
        <w:t>Law Quarterly Review</w:t>
      </w:r>
      <w:r w:rsidRPr="00250C1E">
        <w:rPr>
          <w:rFonts w:ascii="Times New Roman" w:hAnsi="Times New Roman"/>
          <w:sz w:val="24"/>
        </w:rPr>
        <w:t xml:space="preserve"> 44; Fletcher Moulton, </w:t>
      </w:r>
      <w:r w:rsidRPr="00250C1E">
        <w:rPr>
          <w:rFonts w:ascii="Times New Roman" w:hAnsi="Times New Roman"/>
          <w:i/>
          <w:sz w:val="24"/>
        </w:rPr>
        <w:t>The Present Law and Practice Relating to Letters Patent for Inventions</w:t>
      </w:r>
      <w:r w:rsidRPr="00250C1E" w:rsidDel="00E97EDF">
        <w:rPr>
          <w:rFonts w:ascii="Times New Roman" w:hAnsi="Times New Roman"/>
          <w:i/>
          <w:sz w:val="24"/>
        </w:rPr>
        <w:t xml:space="preserve"> </w:t>
      </w:r>
      <w:r w:rsidRPr="00250C1E">
        <w:rPr>
          <w:rFonts w:ascii="Times New Roman" w:hAnsi="Times New Roman"/>
          <w:sz w:val="24"/>
        </w:rPr>
        <w:t>(1913) at 4.</w:t>
      </w:r>
    </w:p>
  </w:footnote>
  <w:footnote w:id="155">
    <w:p w14:paraId="4D93201E"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sz w:val="24"/>
        </w:rPr>
        <w:t>Patents, Designs, and Trade Marks Act 1883</w:t>
      </w:r>
      <w:r w:rsidRPr="00250C1E">
        <w:rPr>
          <w:rFonts w:ascii="Times New Roman" w:hAnsi="Times New Roman"/>
          <w:sz w:val="24"/>
        </w:rPr>
        <w:t xml:space="preserve"> (UK), The First Schedule, Form D.</w:t>
      </w:r>
    </w:p>
  </w:footnote>
  <w:footnote w:id="156">
    <w:p w14:paraId="2043F871"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sz w:val="24"/>
        </w:rPr>
        <w:t>Steers v Rogers</w:t>
      </w:r>
      <w:r w:rsidRPr="00250C1E">
        <w:rPr>
          <w:rFonts w:ascii="Times New Roman" w:hAnsi="Times New Roman"/>
          <w:sz w:val="24"/>
        </w:rPr>
        <w:t xml:space="preserve"> [1893] AC 232 at 235.</w:t>
      </w:r>
    </w:p>
  </w:footnote>
  <w:footnote w:id="157">
    <w:p w14:paraId="6A9EBCD9"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sz w:val="24"/>
        </w:rPr>
        <w:t>Revised Statutes of the United States</w:t>
      </w:r>
      <w:r w:rsidRPr="00250C1E">
        <w:rPr>
          <w:rFonts w:ascii="Times New Roman" w:hAnsi="Times New Roman"/>
          <w:sz w:val="24"/>
        </w:rPr>
        <w:t>, 2nd ed (1878), § 4884.</w:t>
      </w:r>
    </w:p>
  </w:footnote>
  <w:footnote w:id="158">
    <w:p w14:paraId="66BFBAB4"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sz w:val="24"/>
        </w:rPr>
        <w:t>United States v American Bell Telephone Company</w:t>
      </w:r>
      <w:r w:rsidRPr="00250C1E">
        <w:rPr>
          <w:rFonts w:ascii="Times New Roman" w:hAnsi="Times New Roman"/>
          <w:sz w:val="24"/>
        </w:rPr>
        <w:t xml:space="preserve"> (1897) 167 US 224 at 238-239.</w:t>
      </w:r>
    </w:p>
  </w:footnote>
  <w:footnote w:id="159">
    <w:p w14:paraId="646A7E7B"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sz w:val="24"/>
        </w:rPr>
        <w:t xml:space="preserve">Bloomer v </w:t>
      </w:r>
      <w:r w:rsidRPr="00250C1E">
        <w:rPr>
          <w:rFonts w:ascii="Times New Roman" w:hAnsi="Times New Roman"/>
          <w:i/>
          <w:sz w:val="24"/>
        </w:rPr>
        <w:t xml:space="preserve">McQuewan </w:t>
      </w:r>
      <w:r w:rsidRPr="00250C1E">
        <w:rPr>
          <w:rFonts w:ascii="Times New Roman" w:hAnsi="Times New Roman"/>
          <w:sz w:val="24"/>
        </w:rPr>
        <w:t>(1853) 55 US 539 at 549.</w:t>
      </w:r>
    </w:p>
  </w:footnote>
  <w:footnote w:id="160">
    <w:p w14:paraId="64830E85"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t xml:space="preserve">Section 51(xviii) of the </w:t>
      </w:r>
      <w:r w:rsidRPr="00250C1E">
        <w:rPr>
          <w:rFonts w:ascii="Times New Roman" w:hAnsi="Times New Roman"/>
          <w:i/>
          <w:sz w:val="24"/>
        </w:rPr>
        <w:t>Constitution</w:t>
      </w:r>
      <w:r w:rsidRPr="00250C1E">
        <w:rPr>
          <w:rFonts w:ascii="Times New Roman" w:hAnsi="Times New Roman"/>
          <w:sz w:val="24"/>
        </w:rPr>
        <w:t>.</w:t>
      </w:r>
    </w:p>
  </w:footnote>
  <w:footnote w:id="161">
    <w:p w14:paraId="12D0FC5B"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t xml:space="preserve">Section 62 of the </w:t>
      </w:r>
      <w:r w:rsidRPr="00250C1E">
        <w:rPr>
          <w:rFonts w:ascii="Times New Roman" w:hAnsi="Times New Roman"/>
          <w:i/>
          <w:sz w:val="24"/>
        </w:rPr>
        <w:t xml:space="preserve">Patents Act 1903 </w:t>
      </w:r>
      <w:r w:rsidRPr="00250C1E">
        <w:rPr>
          <w:rFonts w:ascii="Times New Roman" w:hAnsi="Times New Roman"/>
          <w:sz w:val="24"/>
        </w:rPr>
        <w:t>(</w:t>
      </w:r>
      <w:r w:rsidRPr="00250C1E">
        <w:rPr>
          <w:rFonts w:ascii="Times New Roman" w:hAnsi="Times New Roman"/>
          <w:sz w:val="24"/>
        </w:rPr>
        <w:t>Cth).</w:t>
      </w:r>
    </w:p>
  </w:footnote>
  <w:footnote w:id="162">
    <w:p w14:paraId="766DE215"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t xml:space="preserve">The First Schedule to the </w:t>
      </w:r>
      <w:r w:rsidRPr="00250C1E">
        <w:rPr>
          <w:rFonts w:ascii="Times New Roman" w:hAnsi="Times New Roman"/>
          <w:i/>
          <w:sz w:val="24"/>
        </w:rPr>
        <w:t>Patents Act 1903</w:t>
      </w:r>
      <w:r w:rsidRPr="00250C1E">
        <w:rPr>
          <w:rFonts w:ascii="Times New Roman" w:hAnsi="Times New Roman"/>
          <w:sz w:val="24"/>
        </w:rPr>
        <w:t xml:space="preserve"> (</w:t>
      </w:r>
      <w:r w:rsidRPr="00250C1E">
        <w:rPr>
          <w:rFonts w:ascii="Times New Roman" w:hAnsi="Times New Roman"/>
          <w:sz w:val="24"/>
        </w:rPr>
        <w:t>Cth).</w:t>
      </w:r>
    </w:p>
  </w:footnote>
  <w:footnote w:id="163">
    <w:p w14:paraId="70873437"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t xml:space="preserve">See </w:t>
      </w:r>
      <w:r w:rsidRPr="00250C1E">
        <w:rPr>
          <w:rFonts w:ascii="Times New Roman" w:hAnsi="Times New Roman"/>
          <w:i/>
          <w:sz w:val="24"/>
        </w:rPr>
        <w:t xml:space="preserve">In re </w:t>
      </w:r>
      <w:r w:rsidRPr="00250C1E">
        <w:rPr>
          <w:rFonts w:ascii="Times New Roman" w:hAnsi="Times New Roman"/>
          <w:i/>
          <w:sz w:val="24"/>
        </w:rPr>
        <w:t>Usines de Melle's Patent</w:t>
      </w:r>
      <w:r w:rsidRPr="00250C1E">
        <w:rPr>
          <w:rFonts w:ascii="Times New Roman" w:hAnsi="Times New Roman"/>
          <w:sz w:val="24"/>
        </w:rPr>
        <w:t xml:space="preserve"> (1954) 91 CLR 42 at 45.</w:t>
      </w:r>
    </w:p>
  </w:footnote>
  <w:footnote w:id="164">
    <w:p w14:paraId="0DEB141A"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iCs/>
          <w:sz w:val="24"/>
        </w:rPr>
        <w:t xml:space="preserve">Grain Pool of Western Australia v The Commonwealth </w:t>
      </w:r>
      <w:r w:rsidRPr="00250C1E">
        <w:rPr>
          <w:rFonts w:ascii="Times New Roman" w:hAnsi="Times New Roman"/>
          <w:sz w:val="24"/>
        </w:rPr>
        <w:t xml:space="preserve">(2000) 202 CLR 479 at 513-514 [81]-[85].  </w:t>
      </w:r>
    </w:p>
  </w:footnote>
  <w:footnote w:id="165">
    <w:p w14:paraId="0E6ECF23"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iCs/>
          <w:sz w:val="24"/>
        </w:rPr>
        <w:t xml:space="preserve">National Phonograph Co of Australia Ltd v </w:t>
      </w:r>
      <w:r w:rsidRPr="00250C1E">
        <w:rPr>
          <w:rFonts w:ascii="Times New Roman" w:hAnsi="Times New Roman"/>
          <w:i/>
          <w:iCs/>
          <w:sz w:val="24"/>
        </w:rPr>
        <w:t xml:space="preserve">Menck </w:t>
      </w:r>
      <w:r w:rsidRPr="00250C1E">
        <w:rPr>
          <w:rFonts w:ascii="Times New Roman" w:hAnsi="Times New Roman"/>
          <w:sz w:val="24"/>
        </w:rPr>
        <w:t xml:space="preserve">(1908) 7 CLR 481 at 508, 535. See earlier </w:t>
      </w:r>
      <w:r w:rsidRPr="00250C1E">
        <w:rPr>
          <w:rFonts w:ascii="Times New Roman" w:hAnsi="Times New Roman"/>
          <w:i/>
          <w:sz w:val="24"/>
        </w:rPr>
        <w:t>Potter v Broken Hill Proprietary Co Ltd</w:t>
      </w:r>
      <w:r w:rsidRPr="00250C1E">
        <w:rPr>
          <w:rFonts w:ascii="Times New Roman" w:hAnsi="Times New Roman"/>
          <w:sz w:val="24"/>
        </w:rPr>
        <w:t xml:space="preserve"> (1906) 3 CLR 479 at 493-494, 502-503, 507-508.</w:t>
      </w:r>
    </w:p>
  </w:footnote>
  <w:footnote w:id="166">
    <w:p w14:paraId="4C0D3334"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iCs/>
          <w:sz w:val="24"/>
        </w:rPr>
        <w:t xml:space="preserve">National Phonograph Co of Australia Ltd v </w:t>
      </w:r>
      <w:r w:rsidRPr="00250C1E">
        <w:rPr>
          <w:rFonts w:ascii="Times New Roman" w:hAnsi="Times New Roman"/>
          <w:i/>
          <w:iCs/>
          <w:sz w:val="24"/>
        </w:rPr>
        <w:t xml:space="preserve">Menck </w:t>
      </w:r>
      <w:r w:rsidRPr="00250C1E">
        <w:rPr>
          <w:rFonts w:ascii="Times New Roman" w:hAnsi="Times New Roman"/>
          <w:sz w:val="24"/>
        </w:rPr>
        <w:t xml:space="preserve">(1911) 12 CLR 15 at 22; [1911] AC 336 at 347. </w:t>
      </w:r>
    </w:p>
  </w:footnote>
  <w:footnote w:id="167">
    <w:p w14:paraId="3172224A"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t>[1901] 1 Ch 671 at 675-676.</w:t>
      </w:r>
    </w:p>
  </w:footnote>
  <w:footnote w:id="168">
    <w:p w14:paraId="029A46E8"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iCs/>
          <w:sz w:val="24"/>
        </w:rPr>
        <w:t xml:space="preserve">National Phonograph Co of Australia Ltd v </w:t>
      </w:r>
      <w:r w:rsidRPr="00250C1E">
        <w:rPr>
          <w:rFonts w:ascii="Times New Roman" w:hAnsi="Times New Roman"/>
          <w:i/>
          <w:iCs/>
          <w:sz w:val="24"/>
        </w:rPr>
        <w:t xml:space="preserve">Menck </w:t>
      </w:r>
      <w:r w:rsidRPr="00250C1E">
        <w:rPr>
          <w:rFonts w:ascii="Times New Roman" w:hAnsi="Times New Roman"/>
          <w:sz w:val="24"/>
        </w:rPr>
        <w:t>(1908) 7 CLR 481 at 515.</w:t>
      </w:r>
    </w:p>
  </w:footnote>
  <w:footnote w:id="169">
    <w:p w14:paraId="739ED379"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iCs/>
          <w:sz w:val="24"/>
        </w:rPr>
        <w:t xml:space="preserve">National Phonograph Co of Australia Ltd v </w:t>
      </w:r>
      <w:r w:rsidRPr="00250C1E">
        <w:rPr>
          <w:rFonts w:ascii="Times New Roman" w:hAnsi="Times New Roman"/>
          <w:i/>
          <w:iCs/>
          <w:sz w:val="24"/>
        </w:rPr>
        <w:t xml:space="preserve">Menck </w:t>
      </w:r>
      <w:r w:rsidRPr="00250C1E">
        <w:rPr>
          <w:rFonts w:ascii="Times New Roman" w:hAnsi="Times New Roman"/>
          <w:sz w:val="24"/>
        </w:rPr>
        <w:t xml:space="preserve">(1911) 12 CLR 15 at 26-27; [1911] AC 336 at 351-352. </w:t>
      </w:r>
    </w:p>
  </w:footnote>
  <w:footnote w:id="170">
    <w:p w14:paraId="2F23B4B5"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sz w:val="24"/>
        </w:rPr>
        <w:t xml:space="preserve">Bloomer v </w:t>
      </w:r>
      <w:r w:rsidRPr="00250C1E">
        <w:rPr>
          <w:rFonts w:ascii="Times New Roman" w:hAnsi="Times New Roman"/>
          <w:i/>
          <w:sz w:val="24"/>
        </w:rPr>
        <w:t xml:space="preserve">McQuewan </w:t>
      </w:r>
      <w:r w:rsidRPr="00250C1E">
        <w:rPr>
          <w:rFonts w:ascii="Times New Roman" w:hAnsi="Times New Roman"/>
          <w:sz w:val="24"/>
        </w:rPr>
        <w:t xml:space="preserve">(1853) 55 US 539 at 549-550. See also </w:t>
      </w:r>
      <w:r w:rsidRPr="00250C1E">
        <w:rPr>
          <w:rFonts w:ascii="Times New Roman" w:hAnsi="Times New Roman"/>
          <w:i/>
          <w:sz w:val="24"/>
        </w:rPr>
        <w:t xml:space="preserve">Chaffee v Boston Belting Co </w:t>
      </w:r>
      <w:r w:rsidRPr="00250C1E">
        <w:rPr>
          <w:rFonts w:ascii="Times New Roman" w:hAnsi="Times New Roman"/>
          <w:sz w:val="24"/>
        </w:rPr>
        <w:t xml:space="preserve">(1859) 63 US 217 at 223; </w:t>
      </w:r>
      <w:r w:rsidRPr="00250C1E">
        <w:rPr>
          <w:rFonts w:ascii="Times New Roman" w:hAnsi="Times New Roman"/>
          <w:i/>
          <w:iCs/>
          <w:sz w:val="24"/>
        </w:rPr>
        <w:t xml:space="preserve">Bloomer v Millinger </w:t>
      </w:r>
      <w:r w:rsidRPr="00250C1E">
        <w:rPr>
          <w:rFonts w:ascii="Times New Roman" w:hAnsi="Times New Roman"/>
          <w:sz w:val="24"/>
        </w:rPr>
        <w:t>(1864) 68 US 340 at 351.</w:t>
      </w:r>
    </w:p>
  </w:footnote>
  <w:footnote w:id="171">
    <w:p w14:paraId="07D855F4"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sz w:val="24"/>
        </w:rPr>
        <w:t>Impression Products</w:t>
      </w:r>
      <w:r w:rsidRPr="00250C1E">
        <w:rPr>
          <w:rFonts w:ascii="Times New Roman" w:hAnsi="Times New Roman"/>
          <w:sz w:val="24"/>
        </w:rPr>
        <w:t xml:space="preserve"> </w:t>
      </w:r>
      <w:r w:rsidRPr="00250C1E">
        <w:rPr>
          <w:rFonts w:ascii="Times New Roman" w:hAnsi="Times New Roman"/>
          <w:i/>
          <w:sz w:val="24"/>
        </w:rPr>
        <w:t>Inc v Lexmark International</w:t>
      </w:r>
      <w:r w:rsidRPr="00250C1E">
        <w:rPr>
          <w:rFonts w:ascii="Times New Roman" w:hAnsi="Times New Roman"/>
          <w:sz w:val="24"/>
        </w:rPr>
        <w:t xml:space="preserve"> </w:t>
      </w:r>
      <w:r w:rsidRPr="00250C1E">
        <w:rPr>
          <w:rFonts w:ascii="Times New Roman" w:hAnsi="Times New Roman"/>
          <w:i/>
          <w:sz w:val="24"/>
        </w:rPr>
        <w:t>Inc</w:t>
      </w:r>
      <w:r w:rsidRPr="00250C1E">
        <w:rPr>
          <w:rFonts w:ascii="Times New Roman" w:hAnsi="Times New Roman"/>
          <w:sz w:val="24"/>
        </w:rPr>
        <w:t xml:space="preserve"> (2017) 137 S Ct 1523.</w:t>
      </w:r>
    </w:p>
  </w:footnote>
  <w:footnote w:id="172">
    <w:p w14:paraId="11662F16"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iCs/>
          <w:sz w:val="24"/>
        </w:rPr>
        <w:t xml:space="preserve">National Phonograph Co of Australia Ltd v </w:t>
      </w:r>
      <w:r w:rsidRPr="00250C1E">
        <w:rPr>
          <w:rFonts w:ascii="Times New Roman" w:hAnsi="Times New Roman"/>
          <w:i/>
          <w:iCs/>
          <w:sz w:val="24"/>
        </w:rPr>
        <w:t>Menck</w:t>
      </w:r>
      <w:r w:rsidRPr="00250C1E">
        <w:rPr>
          <w:rFonts w:ascii="Times New Roman" w:hAnsi="Times New Roman"/>
          <w:sz w:val="24"/>
        </w:rPr>
        <w:t xml:space="preserve"> (1908) 7 CLR 481 at 511.</w:t>
      </w:r>
    </w:p>
  </w:footnote>
  <w:footnote w:id="173">
    <w:p w14:paraId="1829105F"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iCs/>
          <w:sz w:val="24"/>
        </w:rPr>
        <w:t xml:space="preserve">National Phonograph Co of Australia Ltd v </w:t>
      </w:r>
      <w:r w:rsidRPr="00250C1E">
        <w:rPr>
          <w:rFonts w:ascii="Times New Roman" w:hAnsi="Times New Roman"/>
          <w:i/>
          <w:iCs/>
          <w:sz w:val="24"/>
        </w:rPr>
        <w:t>Menck</w:t>
      </w:r>
      <w:r w:rsidRPr="00250C1E">
        <w:rPr>
          <w:rFonts w:ascii="Times New Roman" w:hAnsi="Times New Roman"/>
          <w:sz w:val="24"/>
        </w:rPr>
        <w:t xml:space="preserve"> (1908) 7 CLR 481 at 538.</w:t>
      </w:r>
    </w:p>
  </w:footnote>
  <w:footnote w:id="174">
    <w:p w14:paraId="7A65DAE2"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iCs/>
          <w:sz w:val="24"/>
        </w:rPr>
        <w:t xml:space="preserve">National Phonograph Co of Australia Ltd v </w:t>
      </w:r>
      <w:r w:rsidRPr="00250C1E">
        <w:rPr>
          <w:rFonts w:ascii="Times New Roman" w:hAnsi="Times New Roman"/>
          <w:i/>
          <w:iCs/>
          <w:sz w:val="24"/>
        </w:rPr>
        <w:t>Menck</w:t>
      </w:r>
      <w:r w:rsidRPr="00250C1E">
        <w:rPr>
          <w:rFonts w:ascii="Times New Roman" w:hAnsi="Times New Roman"/>
          <w:sz w:val="24"/>
        </w:rPr>
        <w:t xml:space="preserve"> (1908) 7 CLR 481 at 539.</w:t>
      </w:r>
    </w:p>
  </w:footnote>
  <w:footnote w:id="175">
    <w:p w14:paraId="308B1028"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iCs/>
          <w:sz w:val="24"/>
        </w:rPr>
        <w:t xml:space="preserve">National Phonograph Co of Australia Ltd v </w:t>
      </w:r>
      <w:r w:rsidRPr="00250C1E">
        <w:rPr>
          <w:rFonts w:ascii="Times New Roman" w:hAnsi="Times New Roman"/>
          <w:i/>
          <w:iCs/>
          <w:sz w:val="24"/>
        </w:rPr>
        <w:t xml:space="preserve">Menck </w:t>
      </w:r>
      <w:r w:rsidRPr="00250C1E">
        <w:rPr>
          <w:rFonts w:ascii="Times New Roman" w:hAnsi="Times New Roman"/>
          <w:sz w:val="24"/>
        </w:rPr>
        <w:t>(1911) 12 CLR 15 at 23; [1911] AC 336 at 348.</w:t>
      </w:r>
    </w:p>
  </w:footnote>
  <w:footnote w:id="176">
    <w:p w14:paraId="61F79257"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iCs/>
          <w:sz w:val="24"/>
        </w:rPr>
        <w:t xml:space="preserve">National Phonograph Co of Australia Ltd v </w:t>
      </w:r>
      <w:r w:rsidRPr="00250C1E">
        <w:rPr>
          <w:rFonts w:ascii="Times New Roman" w:hAnsi="Times New Roman"/>
          <w:i/>
          <w:iCs/>
          <w:sz w:val="24"/>
        </w:rPr>
        <w:t xml:space="preserve">Menck </w:t>
      </w:r>
      <w:r w:rsidRPr="00250C1E">
        <w:rPr>
          <w:rFonts w:ascii="Times New Roman" w:hAnsi="Times New Roman"/>
          <w:sz w:val="24"/>
        </w:rPr>
        <w:t>(1911) 12 CLR 15 at 28; [1911] AC 336 at 353.</w:t>
      </w:r>
    </w:p>
  </w:footnote>
  <w:footnote w:id="177">
    <w:p w14:paraId="71B5FC34"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iCs/>
          <w:sz w:val="24"/>
        </w:rPr>
        <w:t xml:space="preserve">National Phonograph Co of Australia Ltd v </w:t>
      </w:r>
      <w:r w:rsidRPr="00250C1E">
        <w:rPr>
          <w:rFonts w:ascii="Times New Roman" w:hAnsi="Times New Roman"/>
          <w:i/>
          <w:iCs/>
          <w:sz w:val="24"/>
        </w:rPr>
        <w:t xml:space="preserve">Menck </w:t>
      </w:r>
      <w:r w:rsidRPr="00250C1E">
        <w:rPr>
          <w:rFonts w:ascii="Times New Roman" w:hAnsi="Times New Roman"/>
          <w:sz w:val="24"/>
        </w:rPr>
        <w:t>(1911) 12 CLR 15 at 24, 28; [1911] AC 336 at 349, 353.</w:t>
      </w:r>
    </w:p>
  </w:footnote>
  <w:footnote w:id="178">
    <w:p w14:paraId="6D99469B"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iCs/>
          <w:sz w:val="24"/>
        </w:rPr>
        <w:t xml:space="preserve">National Phonograph Co of Australia Ltd v </w:t>
      </w:r>
      <w:r w:rsidRPr="00250C1E">
        <w:rPr>
          <w:rFonts w:ascii="Times New Roman" w:hAnsi="Times New Roman"/>
          <w:i/>
          <w:iCs/>
          <w:sz w:val="24"/>
        </w:rPr>
        <w:t xml:space="preserve">Menck </w:t>
      </w:r>
      <w:r w:rsidRPr="00250C1E">
        <w:rPr>
          <w:rFonts w:ascii="Times New Roman" w:hAnsi="Times New Roman"/>
          <w:sz w:val="24"/>
        </w:rPr>
        <w:t>(1911) 12 CLR 15 at 24-28; [1911] AC 336 at 349-353.</w:t>
      </w:r>
    </w:p>
  </w:footnote>
  <w:footnote w:id="179">
    <w:p w14:paraId="2C36A1EB"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sz w:val="24"/>
        </w:rPr>
        <w:t xml:space="preserve">Dunlop Rubber Co Ltd v </w:t>
      </w:r>
      <w:r w:rsidRPr="00250C1E">
        <w:rPr>
          <w:rFonts w:ascii="Times New Roman" w:hAnsi="Times New Roman"/>
          <w:i/>
          <w:sz w:val="24"/>
        </w:rPr>
        <w:t>Longlife Battery Depot</w:t>
      </w:r>
      <w:r w:rsidRPr="00250C1E">
        <w:rPr>
          <w:rFonts w:ascii="Times New Roman" w:hAnsi="Times New Roman"/>
          <w:sz w:val="24"/>
        </w:rPr>
        <w:t xml:space="preserve"> [1958] RPC 473 at 476.</w:t>
      </w:r>
    </w:p>
  </w:footnote>
  <w:footnote w:id="180">
    <w:p w14:paraId="46EE86B8"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t xml:space="preserve">See </w:t>
      </w:r>
      <w:r w:rsidRPr="00250C1E">
        <w:rPr>
          <w:rFonts w:ascii="Times New Roman" w:hAnsi="Times New Roman"/>
          <w:i/>
          <w:sz w:val="24"/>
        </w:rPr>
        <w:t>Howie v New South Wales Lawn Tennis Ground Ltd</w:t>
      </w:r>
      <w:r w:rsidRPr="00250C1E">
        <w:rPr>
          <w:rFonts w:ascii="Times New Roman" w:hAnsi="Times New Roman"/>
          <w:sz w:val="24"/>
        </w:rPr>
        <w:t xml:space="preserve"> (1956) 95 CLR 132 at 156-157, discussing </w:t>
      </w:r>
      <w:r w:rsidRPr="00250C1E">
        <w:rPr>
          <w:rFonts w:ascii="Times New Roman" w:hAnsi="Times New Roman"/>
          <w:i/>
          <w:iCs/>
          <w:sz w:val="24"/>
        </w:rPr>
        <w:t xml:space="preserve">Lord Strathcona Steamship Co Ltd v Dominion Coal Co Ltd </w:t>
      </w:r>
      <w:r w:rsidRPr="00250C1E">
        <w:rPr>
          <w:rFonts w:ascii="Times New Roman" w:hAnsi="Times New Roman"/>
          <w:sz w:val="24"/>
        </w:rPr>
        <w:t xml:space="preserve">[1926] AC 108 (referring to </w:t>
      </w:r>
      <w:r w:rsidRPr="00250C1E">
        <w:rPr>
          <w:rFonts w:ascii="Times New Roman" w:hAnsi="Times New Roman"/>
          <w:i/>
          <w:sz w:val="24"/>
        </w:rPr>
        <w:t>De Mattos v Gibson</w:t>
      </w:r>
      <w:r w:rsidRPr="00250C1E">
        <w:rPr>
          <w:rFonts w:ascii="Times New Roman" w:hAnsi="Times New Roman"/>
          <w:sz w:val="24"/>
        </w:rPr>
        <w:t xml:space="preserve"> (1859) 4 De G &amp; J 276 [45 ER 108]). See generally Heydon, Leeming and Turner, </w:t>
      </w:r>
      <w:r w:rsidRPr="00250C1E">
        <w:rPr>
          <w:rFonts w:ascii="Times New Roman" w:hAnsi="Times New Roman"/>
          <w:i/>
          <w:sz w:val="24"/>
        </w:rPr>
        <w:t xml:space="preserve">Meagher, Gummow and </w:t>
      </w:r>
      <w:r w:rsidRPr="00250C1E">
        <w:rPr>
          <w:rFonts w:ascii="Times New Roman" w:hAnsi="Times New Roman"/>
          <w:i/>
          <w:sz w:val="24"/>
        </w:rPr>
        <w:t>Lehane's Equity: Doctrines and Remedies</w:t>
      </w:r>
      <w:r w:rsidRPr="00250C1E">
        <w:rPr>
          <w:rFonts w:ascii="Times New Roman" w:hAnsi="Times New Roman"/>
          <w:sz w:val="24"/>
        </w:rPr>
        <w:t>, 5th ed (2015) at [21</w:t>
      </w:r>
      <w:r w:rsidRPr="00250C1E">
        <w:rPr>
          <w:rFonts w:ascii="Times New Roman" w:hAnsi="Times New Roman"/>
          <w:sz w:val="24"/>
        </w:rPr>
        <w:noBreakHyphen/>
        <w:t>235].</w:t>
      </w:r>
    </w:p>
  </w:footnote>
  <w:footnote w:id="181">
    <w:p w14:paraId="47B30C39"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t xml:space="preserve">See </w:t>
      </w:r>
      <w:r w:rsidRPr="00250C1E">
        <w:rPr>
          <w:rFonts w:ascii="Times New Roman" w:hAnsi="Times New Roman"/>
          <w:i/>
          <w:sz w:val="24"/>
        </w:rPr>
        <w:t xml:space="preserve">Grundt v Great Boulder Pty Gold Mines Ltd </w:t>
      </w:r>
      <w:r w:rsidRPr="00250C1E">
        <w:rPr>
          <w:rFonts w:ascii="Times New Roman" w:hAnsi="Times New Roman"/>
          <w:sz w:val="24"/>
        </w:rPr>
        <w:t xml:space="preserve">(1937) 59 CLR 641 at 675-676; </w:t>
      </w:r>
      <w:r w:rsidRPr="00250C1E">
        <w:rPr>
          <w:rFonts w:ascii="Times New Roman" w:hAnsi="Times New Roman"/>
          <w:i/>
          <w:sz w:val="24"/>
        </w:rPr>
        <w:t>Waltons Stores</w:t>
      </w:r>
      <w:r w:rsidRPr="00250C1E">
        <w:rPr>
          <w:rFonts w:ascii="Times New Roman" w:hAnsi="Times New Roman"/>
          <w:sz w:val="24"/>
        </w:rPr>
        <w:t xml:space="preserve"> </w:t>
      </w:r>
      <w:r w:rsidRPr="00250C1E">
        <w:rPr>
          <w:rFonts w:ascii="Times New Roman" w:hAnsi="Times New Roman"/>
          <w:i/>
          <w:sz w:val="24"/>
        </w:rPr>
        <w:t>(Interstate)</w:t>
      </w:r>
      <w:r w:rsidRPr="00250C1E">
        <w:rPr>
          <w:rFonts w:ascii="Times New Roman" w:hAnsi="Times New Roman"/>
          <w:sz w:val="24"/>
        </w:rPr>
        <w:t xml:space="preserve"> </w:t>
      </w:r>
      <w:r w:rsidRPr="00250C1E">
        <w:rPr>
          <w:rFonts w:ascii="Times New Roman" w:hAnsi="Times New Roman"/>
          <w:i/>
          <w:sz w:val="24"/>
        </w:rPr>
        <w:t xml:space="preserve">Ltd v Maher </w:t>
      </w:r>
      <w:r w:rsidRPr="00250C1E">
        <w:rPr>
          <w:rFonts w:ascii="Times New Roman" w:hAnsi="Times New Roman"/>
          <w:sz w:val="24"/>
        </w:rPr>
        <w:t>(1988) 164 CLR 387 at 449-450.</w:t>
      </w:r>
    </w:p>
  </w:footnote>
  <w:footnote w:id="182">
    <w:p w14:paraId="3AE8B635"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ab/>
      </w:r>
      <w:r w:rsidRPr="00250C1E">
        <w:rPr>
          <w:rFonts w:ascii="Times New Roman" w:hAnsi="Times New Roman"/>
          <w:i/>
          <w:iCs/>
          <w:color w:val="000000"/>
          <w:sz w:val="24"/>
          <w:shd w:val="clear" w:color="auto" w:fill="FFFFFF"/>
        </w:rPr>
        <w:t xml:space="preserve">Royal Botanic Gardens and Domain Trust v South Sydney City Council </w:t>
      </w:r>
      <w:r w:rsidRPr="00250C1E">
        <w:rPr>
          <w:rFonts w:ascii="Times New Roman" w:hAnsi="Times New Roman"/>
          <w:iCs/>
          <w:color w:val="000000"/>
          <w:sz w:val="24"/>
          <w:shd w:val="clear" w:color="auto" w:fill="FFFFFF"/>
        </w:rPr>
        <w:t>(2002) 240 CLR 45 at 75 [88].</w:t>
      </w:r>
    </w:p>
  </w:footnote>
  <w:footnote w:id="183">
    <w:p w14:paraId="0CA2DE62"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t xml:space="preserve">See </w:t>
      </w:r>
      <w:r w:rsidRPr="00250C1E">
        <w:rPr>
          <w:rFonts w:ascii="Times New Roman" w:hAnsi="Times New Roman"/>
          <w:i/>
          <w:iCs/>
          <w:sz w:val="24"/>
        </w:rPr>
        <w:t xml:space="preserve">Badische Anilin und Soda Fabrik v Isler </w:t>
      </w:r>
      <w:r w:rsidRPr="00250C1E">
        <w:rPr>
          <w:rFonts w:ascii="Times New Roman" w:hAnsi="Times New Roman"/>
          <w:sz w:val="24"/>
        </w:rPr>
        <w:t xml:space="preserve">[1906] 1 Ch 605 at 611.  </w:t>
      </w:r>
    </w:p>
  </w:footnote>
  <w:footnote w:id="184">
    <w:p w14:paraId="5F3A01E2"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t xml:space="preserve">See </w:t>
      </w:r>
      <w:r w:rsidRPr="00250C1E">
        <w:rPr>
          <w:rFonts w:ascii="Times New Roman" w:hAnsi="Times New Roman"/>
          <w:i/>
          <w:iCs/>
          <w:sz w:val="24"/>
        </w:rPr>
        <w:t xml:space="preserve">HTC Corporation v Nokia Corporation </w:t>
      </w:r>
      <w:r w:rsidRPr="00250C1E">
        <w:rPr>
          <w:rFonts w:ascii="Times New Roman" w:hAnsi="Times New Roman"/>
          <w:sz w:val="24"/>
        </w:rPr>
        <w:t xml:space="preserve">[2014] RPC 19 at 585 [165]. </w:t>
      </w:r>
    </w:p>
  </w:footnote>
  <w:footnote w:id="185">
    <w:p w14:paraId="4F67225A"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t xml:space="preserve">See </w:t>
      </w:r>
      <w:r w:rsidRPr="00250C1E">
        <w:rPr>
          <w:rFonts w:ascii="Times New Roman" w:hAnsi="Times New Roman"/>
          <w:i/>
          <w:sz w:val="24"/>
        </w:rPr>
        <w:t>Gillette Industries Ltd v Bernstein</w:t>
      </w:r>
      <w:r w:rsidRPr="00250C1E">
        <w:rPr>
          <w:rFonts w:ascii="Times New Roman" w:hAnsi="Times New Roman"/>
          <w:sz w:val="24"/>
        </w:rPr>
        <w:t xml:space="preserve"> [1942] 1 Ch 45 at 47.</w:t>
      </w:r>
    </w:p>
  </w:footnote>
  <w:footnote w:id="186">
    <w:p w14:paraId="429DBC13"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sz w:val="24"/>
        </w:rPr>
        <w:t>Terrell on The Law of Patents</w:t>
      </w:r>
      <w:r w:rsidRPr="00250C1E">
        <w:rPr>
          <w:rFonts w:ascii="Times New Roman" w:hAnsi="Times New Roman"/>
          <w:sz w:val="24"/>
        </w:rPr>
        <w:t>, 19th ed (2020) at [14-294]-[14</w:t>
      </w:r>
      <w:r w:rsidRPr="00250C1E">
        <w:rPr>
          <w:rFonts w:ascii="Times New Roman" w:hAnsi="Times New Roman"/>
          <w:sz w:val="24"/>
        </w:rPr>
        <w:noBreakHyphen/>
        <w:t xml:space="preserve">301]; Johnson, </w:t>
      </w:r>
      <w:r w:rsidRPr="00250C1E">
        <w:rPr>
          <w:rFonts w:ascii="Times New Roman" w:hAnsi="Times New Roman"/>
          <w:sz w:val="24"/>
        </w:rPr>
        <w:t xml:space="preserve">Roughton and Cook, </w:t>
      </w:r>
      <w:r w:rsidRPr="00250C1E">
        <w:rPr>
          <w:rFonts w:ascii="Times New Roman" w:hAnsi="Times New Roman"/>
          <w:i/>
          <w:sz w:val="24"/>
        </w:rPr>
        <w:t>The Modern Law of Patents</w:t>
      </w:r>
      <w:r w:rsidRPr="00250C1E">
        <w:rPr>
          <w:rFonts w:ascii="Times New Roman" w:hAnsi="Times New Roman"/>
          <w:sz w:val="24"/>
        </w:rPr>
        <w:t>, 4th ed (2018) at [7.186]-[7.191].</w:t>
      </w:r>
    </w:p>
  </w:footnote>
  <w:footnote w:id="187">
    <w:p w14:paraId="3844F587"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sz w:val="24"/>
        </w:rPr>
        <w:t xml:space="preserve">United States v </w:t>
      </w:r>
      <w:r w:rsidRPr="00250C1E">
        <w:rPr>
          <w:rFonts w:ascii="Times New Roman" w:hAnsi="Times New Roman"/>
          <w:i/>
          <w:sz w:val="24"/>
        </w:rPr>
        <w:t>Univis Lens Co Inc</w:t>
      </w:r>
      <w:r w:rsidRPr="00250C1E">
        <w:rPr>
          <w:rFonts w:ascii="Times New Roman" w:hAnsi="Times New Roman"/>
          <w:sz w:val="24"/>
        </w:rPr>
        <w:t xml:space="preserve"> (1942) 316 US 241 at 251. See Nard, </w:t>
      </w:r>
      <w:r w:rsidRPr="00250C1E">
        <w:rPr>
          <w:rFonts w:ascii="Times New Roman" w:hAnsi="Times New Roman"/>
          <w:i/>
          <w:sz w:val="24"/>
        </w:rPr>
        <w:t>The Law of Patents</w:t>
      </w:r>
      <w:r w:rsidRPr="00250C1E">
        <w:rPr>
          <w:rFonts w:ascii="Times New Roman" w:hAnsi="Times New Roman"/>
          <w:sz w:val="24"/>
        </w:rPr>
        <w:t>, 5th ed (2020) at 701-703.</w:t>
      </w:r>
    </w:p>
  </w:footnote>
  <w:footnote w:id="188">
    <w:p w14:paraId="488C009A"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sz w:val="24"/>
        </w:rPr>
        <w:t xml:space="preserve">Heerey and Malone, "RPM for RPM: </w:t>
      </w:r>
      <w:r w:rsidRPr="00250C1E">
        <w:rPr>
          <w:rFonts w:ascii="Times New Roman" w:hAnsi="Times New Roman"/>
          <w:i/>
          <w:iCs/>
          <w:sz w:val="24"/>
        </w:rPr>
        <w:t>National Phonograph Company of Australia v Menck</w:t>
      </w:r>
      <w:r w:rsidRPr="00250C1E">
        <w:rPr>
          <w:rFonts w:ascii="Times New Roman" w:hAnsi="Times New Roman"/>
          <w:sz w:val="24"/>
        </w:rPr>
        <w:t xml:space="preserve">", in Kenyon, Richardson and Ricketson (eds), </w:t>
      </w:r>
      <w:r w:rsidRPr="00250C1E">
        <w:rPr>
          <w:rFonts w:ascii="Times New Roman" w:hAnsi="Times New Roman"/>
          <w:i/>
          <w:iCs/>
          <w:sz w:val="24"/>
        </w:rPr>
        <w:t xml:space="preserve">Landmarks in Australian Intellectual Property Law </w:t>
      </w:r>
      <w:r w:rsidRPr="00250C1E">
        <w:rPr>
          <w:rFonts w:ascii="Times New Roman" w:hAnsi="Times New Roman"/>
          <w:sz w:val="24"/>
        </w:rPr>
        <w:t xml:space="preserve">(2009) 37 at 52. </w:t>
      </w:r>
    </w:p>
  </w:footnote>
  <w:footnote w:id="189">
    <w:p w14:paraId="3DFFF581"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sz w:val="24"/>
        </w:rPr>
        <w:t xml:space="preserve">Heerey and Malone, "RPM for RPM: </w:t>
      </w:r>
      <w:r w:rsidRPr="00250C1E">
        <w:rPr>
          <w:rFonts w:ascii="Times New Roman" w:hAnsi="Times New Roman"/>
          <w:i/>
          <w:iCs/>
          <w:sz w:val="24"/>
        </w:rPr>
        <w:t>National Phonograph Company of Australia v Menck</w:t>
      </w:r>
      <w:r w:rsidRPr="00250C1E">
        <w:rPr>
          <w:rFonts w:ascii="Times New Roman" w:hAnsi="Times New Roman"/>
          <w:sz w:val="24"/>
        </w:rPr>
        <w:t xml:space="preserve">", in Kenyon, Richardson and Ricketson (eds), </w:t>
      </w:r>
      <w:r w:rsidRPr="00250C1E">
        <w:rPr>
          <w:rFonts w:ascii="Times New Roman" w:hAnsi="Times New Roman"/>
          <w:i/>
          <w:iCs/>
          <w:sz w:val="24"/>
        </w:rPr>
        <w:t xml:space="preserve">Landmarks in Australian Intellectual Property Law </w:t>
      </w:r>
      <w:r w:rsidRPr="00250C1E">
        <w:rPr>
          <w:rFonts w:ascii="Times New Roman" w:hAnsi="Times New Roman"/>
          <w:sz w:val="24"/>
        </w:rPr>
        <w:t xml:space="preserve">(2009) 37 at 44. The authors appear to have overlooked just one first instance decision in Australia: </w:t>
      </w:r>
      <w:r w:rsidRPr="00250C1E">
        <w:rPr>
          <w:rFonts w:ascii="Times New Roman" w:hAnsi="Times New Roman"/>
          <w:i/>
          <w:sz w:val="24"/>
        </w:rPr>
        <w:t xml:space="preserve">Columbia Gramophone Co Ltd v Fossey </w:t>
      </w:r>
      <w:r w:rsidRPr="00250C1E">
        <w:rPr>
          <w:rFonts w:ascii="Times New Roman" w:hAnsi="Times New Roman"/>
          <w:sz w:val="24"/>
        </w:rPr>
        <w:t>(1927) 27 SR (NSW) 246.</w:t>
      </w:r>
    </w:p>
  </w:footnote>
  <w:footnote w:id="190">
    <w:p w14:paraId="1F7A1C60"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t>[1919] NZLR 276.</w:t>
      </w:r>
    </w:p>
  </w:footnote>
  <w:footnote w:id="191">
    <w:p w14:paraId="2A9F3F6E"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t xml:space="preserve">(1977) 138 CLR 534.  </w:t>
      </w:r>
    </w:p>
  </w:footnote>
  <w:footnote w:id="192">
    <w:p w14:paraId="3A512D69"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t>(1990) 171 CLR 88 at 98.</w:t>
      </w:r>
    </w:p>
  </w:footnote>
  <w:footnote w:id="193">
    <w:p w14:paraId="5747F5CD"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i/>
          <w:sz w:val="24"/>
        </w:rPr>
        <w:t>Treasury Laws Amendment (2018 Measures No 5) Act 2019</w:t>
      </w:r>
      <w:r w:rsidRPr="00250C1E">
        <w:rPr>
          <w:rFonts w:ascii="Times New Roman" w:hAnsi="Times New Roman"/>
          <w:sz w:val="24"/>
        </w:rPr>
        <w:t xml:space="preserve"> (</w:t>
      </w:r>
      <w:r w:rsidRPr="00250C1E">
        <w:rPr>
          <w:rFonts w:ascii="Times New Roman" w:hAnsi="Times New Roman"/>
          <w:sz w:val="24"/>
        </w:rPr>
        <w:t>Cth).</w:t>
      </w:r>
    </w:p>
  </w:footnote>
  <w:footnote w:id="194">
    <w:p w14:paraId="7EAD9F72" w14:textId="43CB945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t xml:space="preserve">See s 51(3)(a) of the </w:t>
      </w:r>
      <w:r w:rsidRPr="00250C1E">
        <w:rPr>
          <w:rFonts w:ascii="Times New Roman" w:hAnsi="Times New Roman"/>
          <w:i/>
          <w:sz w:val="24"/>
        </w:rPr>
        <w:t xml:space="preserve">Competition and Consumer Act 2010 </w:t>
      </w:r>
      <w:r w:rsidRPr="00250C1E">
        <w:rPr>
          <w:rFonts w:ascii="Times New Roman" w:hAnsi="Times New Roman"/>
          <w:sz w:val="24"/>
        </w:rPr>
        <w:t>(</w:t>
      </w:r>
      <w:r w:rsidRPr="00250C1E">
        <w:rPr>
          <w:rFonts w:ascii="Times New Roman" w:hAnsi="Times New Roman"/>
          <w:sz w:val="24"/>
        </w:rPr>
        <w:t>Cth), formerly s</w:t>
      </w:r>
      <w:r>
        <w:rPr>
          <w:rFonts w:ascii="Times New Roman" w:hAnsi="Times New Roman"/>
          <w:sz w:val="24"/>
        </w:rPr>
        <w:t> </w:t>
      </w:r>
      <w:r w:rsidRPr="00250C1E">
        <w:rPr>
          <w:rFonts w:ascii="Times New Roman" w:hAnsi="Times New Roman"/>
          <w:sz w:val="24"/>
        </w:rPr>
        <w:t xml:space="preserve">51(3)(a) of the </w:t>
      </w:r>
      <w:r w:rsidRPr="00250C1E">
        <w:rPr>
          <w:rFonts w:ascii="Times New Roman" w:hAnsi="Times New Roman"/>
          <w:i/>
          <w:sz w:val="24"/>
        </w:rPr>
        <w:t xml:space="preserve">Trade Practices Act 1974 </w:t>
      </w:r>
      <w:r w:rsidRPr="00250C1E">
        <w:rPr>
          <w:rFonts w:ascii="Times New Roman" w:hAnsi="Times New Roman"/>
          <w:sz w:val="24"/>
        </w:rPr>
        <w:t xml:space="preserve">(Cth). See Gummow, "Abuse of Monopoly: Industrial Property and Trade Practices Control" (1976) 7 </w:t>
      </w:r>
      <w:r w:rsidRPr="00250C1E">
        <w:rPr>
          <w:rFonts w:ascii="Times New Roman" w:hAnsi="Times New Roman"/>
          <w:i/>
          <w:sz w:val="24"/>
        </w:rPr>
        <w:t>Sydney Law Review</w:t>
      </w:r>
      <w:r w:rsidRPr="00250C1E">
        <w:rPr>
          <w:rFonts w:ascii="Times New Roman" w:hAnsi="Times New Roman"/>
          <w:sz w:val="24"/>
        </w:rPr>
        <w:t xml:space="preserve"> 339 at 348-349.</w:t>
      </w:r>
    </w:p>
  </w:footnote>
  <w:footnote w:id="195">
    <w:p w14:paraId="65CAE0C8"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t xml:space="preserve">Australia, House of Representatives, </w:t>
      </w:r>
      <w:r w:rsidRPr="00250C1E">
        <w:rPr>
          <w:rFonts w:ascii="Times New Roman" w:hAnsi="Times New Roman"/>
          <w:i/>
          <w:sz w:val="24"/>
        </w:rPr>
        <w:t>Treasury Laws Amendment (2018 Measures No 5) Bill 2018</w:t>
      </w:r>
      <w:r w:rsidRPr="00250C1E">
        <w:rPr>
          <w:rFonts w:ascii="Times New Roman" w:hAnsi="Times New Roman"/>
          <w:sz w:val="24"/>
        </w:rPr>
        <w:t>,</w:t>
      </w:r>
      <w:r w:rsidRPr="00250C1E">
        <w:rPr>
          <w:rFonts w:ascii="Times New Roman" w:hAnsi="Times New Roman"/>
          <w:i/>
          <w:sz w:val="24"/>
        </w:rPr>
        <w:t xml:space="preserve"> </w:t>
      </w:r>
      <w:r w:rsidRPr="00250C1E">
        <w:rPr>
          <w:rFonts w:ascii="Times New Roman" w:hAnsi="Times New Roman"/>
          <w:sz w:val="24"/>
        </w:rPr>
        <w:t>Explanatory Memorandum at [4.3].</w:t>
      </w:r>
    </w:p>
  </w:footnote>
  <w:footnote w:id="196">
    <w:p w14:paraId="331E48FA" w14:textId="77777777" w:rsidR="0047638A" w:rsidRPr="00250C1E" w:rsidRDefault="0047638A" w:rsidP="00261C63">
      <w:pPr>
        <w:pStyle w:val="FootnoteText"/>
        <w:spacing w:line="280" w:lineRule="exact"/>
        <w:ind w:right="0"/>
        <w:jc w:val="both"/>
        <w:rPr>
          <w:rFonts w:ascii="Times New Roman" w:hAnsi="Times New Roman"/>
          <w:sz w:val="24"/>
        </w:rPr>
      </w:pPr>
      <w:r w:rsidRPr="00250C1E">
        <w:rPr>
          <w:rStyle w:val="FootnoteReference"/>
          <w:rFonts w:ascii="Times New Roman" w:hAnsi="Times New Roman"/>
          <w:sz w:val="22"/>
          <w:vertAlign w:val="baseline"/>
        </w:rPr>
        <w:footnoteRef/>
      </w:r>
      <w:r w:rsidRPr="00250C1E">
        <w:rPr>
          <w:rFonts w:ascii="Times New Roman" w:hAnsi="Times New Roman"/>
          <w:sz w:val="24"/>
        </w:rPr>
        <w:t xml:space="preserve"> </w:t>
      </w:r>
      <w:r w:rsidRPr="00250C1E">
        <w:rPr>
          <w:rFonts w:ascii="Times New Roman" w:hAnsi="Times New Roman"/>
          <w:sz w:val="24"/>
        </w:rPr>
        <w:tab/>
      </w:r>
      <w:r w:rsidRPr="00250C1E">
        <w:rPr>
          <w:rFonts w:ascii="Times New Roman" w:hAnsi="Times New Roman"/>
          <w:sz w:val="24"/>
        </w:rPr>
        <w:t xml:space="preserve">cf </w:t>
      </w:r>
      <w:r w:rsidRPr="00250C1E">
        <w:rPr>
          <w:rFonts w:ascii="Times New Roman" w:hAnsi="Times New Roman"/>
          <w:i/>
          <w:sz w:val="24"/>
        </w:rPr>
        <w:t>Levy v Victoria</w:t>
      </w:r>
      <w:r w:rsidRPr="00250C1E">
        <w:rPr>
          <w:rFonts w:ascii="Times New Roman" w:hAnsi="Times New Roman"/>
          <w:sz w:val="24"/>
        </w:rPr>
        <w:t xml:space="preserve"> (1997) 189 CLR 579 at 601-603.</w:t>
      </w:r>
    </w:p>
  </w:footnote>
  <w:footnote w:id="197">
    <w:p w14:paraId="32938B92"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Schütz</w:t>
      </w:r>
      <w:r w:rsidRPr="0044114E">
        <w:rPr>
          <w:rFonts w:ascii="Times New Roman" w:hAnsi="Times New Roman"/>
          <w:sz w:val="24"/>
        </w:rPr>
        <w:t xml:space="preserve"> </w:t>
      </w:r>
      <w:r w:rsidRPr="0044114E">
        <w:rPr>
          <w:rFonts w:ascii="Times New Roman" w:hAnsi="Times New Roman"/>
          <w:i/>
          <w:sz w:val="24"/>
        </w:rPr>
        <w:t xml:space="preserve">(UK) Ltd v Werit (UK) Ltd </w:t>
      </w:r>
      <w:r w:rsidRPr="0044114E">
        <w:rPr>
          <w:rFonts w:ascii="Times New Roman" w:hAnsi="Times New Roman"/>
          <w:sz w:val="24"/>
        </w:rPr>
        <w:t xml:space="preserve">[2013] RPC 395 at 408 [35], citing </w:t>
      </w:r>
      <w:r w:rsidRPr="0044114E">
        <w:rPr>
          <w:rFonts w:ascii="Times New Roman" w:hAnsi="Times New Roman"/>
          <w:i/>
          <w:sz w:val="24"/>
        </w:rPr>
        <w:t>United Wire Ltd v Screen Repair Services (Scotland) Ltd</w:t>
      </w:r>
      <w:r w:rsidRPr="0044114E">
        <w:rPr>
          <w:rFonts w:ascii="Times New Roman" w:hAnsi="Times New Roman"/>
          <w:sz w:val="24"/>
        </w:rPr>
        <w:t xml:space="preserve"> [2001] RPC 439 at 458-459 [68]-[73].</w:t>
      </w:r>
    </w:p>
  </w:footnote>
  <w:footnote w:id="198">
    <w:p w14:paraId="615E34DB"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[2001] RPC 439 at 458 [70] (emphasis in original).</w:t>
      </w:r>
    </w:p>
  </w:footnote>
  <w:footnote w:id="199">
    <w:p w14:paraId="761EA712"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In relation to the implied licence theory, see </w:t>
      </w:r>
      <w:r w:rsidRPr="0044114E">
        <w:rPr>
          <w:rFonts w:ascii="Times New Roman" w:hAnsi="Times New Roman"/>
          <w:i/>
          <w:sz w:val="24"/>
        </w:rPr>
        <w:t xml:space="preserve">Solar Thomson Engineering Co Ltd v Barton </w:t>
      </w:r>
      <w:r w:rsidRPr="0044114E">
        <w:rPr>
          <w:rFonts w:ascii="Times New Roman" w:hAnsi="Times New Roman"/>
          <w:sz w:val="24"/>
        </w:rPr>
        <w:t xml:space="preserve">[1977] RPC 537 at 554, quoting </w:t>
      </w:r>
      <w:r w:rsidRPr="0044114E">
        <w:rPr>
          <w:rFonts w:ascii="Times New Roman" w:hAnsi="Times New Roman"/>
          <w:i/>
          <w:sz w:val="24"/>
        </w:rPr>
        <w:t xml:space="preserve">Sirdar Rubber Co Ltd v Wallington, Weston &amp; Co </w:t>
      </w:r>
      <w:r w:rsidRPr="0044114E">
        <w:rPr>
          <w:rFonts w:ascii="Times New Roman" w:hAnsi="Times New Roman"/>
          <w:sz w:val="24"/>
        </w:rPr>
        <w:t xml:space="preserve">(1907) 24 RPC 539 at 543; </w:t>
      </w:r>
      <w:r w:rsidRPr="0044114E">
        <w:rPr>
          <w:rFonts w:ascii="Times New Roman" w:hAnsi="Times New Roman"/>
          <w:i/>
          <w:sz w:val="24"/>
        </w:rPr>
        <w:t>United Wire</w:t>
      </w:r>
      <w:r w:rsidRPr="0044114E" w:rsidDel="00E907F3">
        <w:rPr>
          <w:rFonts w:ascii="Times New Roman" w:hAnsi="Times New Roman"/>
          <w:i/>
          <w:sz w:val="24"/>
        </w:rPr>
        <w:t xml:space="preserve"> </w:t>
      </w:r>
      <w:r w:rsidRPr="0044114E">
        <w:rPr>
          <w:rFonts w:ascii="Times New Roman" w:hAnsi="Times New Roman"/>
          <w:sz w:val="24"/>
        </w:rPr>
        <w:t xml:space="preserve">[2001] RPC 439 at 458 [70]. In relation to the exhaustion theory, see </w:t>
      </w:r>
      <w:r w:rsidRPr="0044114E">
        <w:rPr>
          <w:rFonts w:ascii="Times New Roman" w:hAnsi="Times New Roman"/>
          <w:i/>
          <w:sz w:val="24"/>
        </w:rPr>
        <w:t xml:space="preserve">Aro Manufacturing Co Inc v Convertible Top Replacement Co Inc </w:t>
      </w:r>
      <w:r w:rsidRPr="0044114E">
        <w:rPr>
          <w:rFonts w:ascii="Times New Roman" w:hAnsi="Times New Roman"/>
          <w:sz w:val="24"/>
        </w:rPr>
        <w:t xml:space="preserve">(1961) 365 US 336 at 343, 346, citing </w:t>
      </w:r>
      <w:r w:rsidRPr="0044114E">
        <w:rPr>
          <w:rFonts w:ascii="Times New Roman" w:hAnsi="Times New Roman"/>
          <w:i/>
          <w:sz w:val="24"/>
        </w:rPr>
        <w:t xml:space="preserve">United States v Aluminum Co of America </w:t>
      </w:r>
      <w:r w:rsidRPr="0044114E">
        <w:rPr>
          <w:rFonts w:ascii="Times New Roman" w:hAnsi="Times New Roman"/>
          <w:sz w:val="24"/>
        </w:rPr>
        <w:t xml:space="preserve">(1945) 148 F 2d 416 at 425; </w:t>
      </w:r>
      <w:r w:rsidRPr="0044114E">
        <w:rPr>
          <w:rFonts w:ascii="Times New Roman" w:hAnsi="Times New Roman"/>
          <w:i/>
          <w:sz w:val="24"/>
        </w:rPr>
        <w:t xml:space="preserve">Impression Products Inc v Lexmark International Inc </w:t>
      </w:r>
      <w:r w:rsidRPr="0044114E">
        <w:rPr>
          <w:rFonts w:ascii="Times New Roman" w:hAnsi="Times New Roman"/>
          <w:sz w:val="24"/>
        </w:rPr>
        <w:t>(2017) 137 S Ct 1523 at 1534.</w:t>
      </w:r>
    </w:p>
  </w:footnote>
  <w:footnote w:id="200">
    <w:p w14:paraId="10FC64DD"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sz w:val="24"/>
        </w:rPr>
        <w:t xml:space="preserve">eg, </w:t>
      </w:r>
      <w:r w:rsidRPr="0044114E">
        <w:rPr>
          <w:rFonts w:ascii="Times New Roman" w:hAnsi="Times New Roman"/>
          <w:i/>
          <w:sz w:val="24"/>
        </w:rPr>
        <w:t xml:space="preserve">Lexmark </w:t>
      </w:r>
      <w:r w:rsidRPr="0044114E">
        <w:rPr>
          <w:rFonts w:ascii="Times New Roman" w:hAnsi="Times New Roman"/>
          <w:sz w:val="24"/>
        </w:rPr>
        <w:t>(2017) 137 S Ct 1523 at 1539.</w:t>
      </w:r>
      <w:r w:rsidRPr="0044114E">
        <w:rPr>
          <w:rFonts w:ascii="Times New Roman" w:hAnsi="Times New Roman"/>
          <w:sz w:val="24"/>
          <w:highlight w:val="yellow"/>
        </w:rPr>
        <w:t xml:space="preserve"> </w:t>
      </w:r>
    </w:p>
  </w:footnote>
  <w:footnote w:id="201">
    <w:p w14:paraId="3DB6278F"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 xml:space="preserve">National Phonograph Co of Australia Ltd v </w:t>
      </w:r>
      <w:r w:rsidRPr="0044114E">
        <w:rPr>
          <w:rFonts w:ascii="Times New Roman" w:hAnsi="Times New Roman"/>
          <w:i/>
          <w:sz w:val="24"/>
        </w:rPr>
        <w:t xml:space="preserve">Menck </w:t>
      </w:r>
      <w:r w:rsidRPr="0044114E">
        <w:rPr>
          <w:rFonts w:ascii="Times New Roman" w:hAnsi="Times New Roman"/>
          <w:sz w:val="24"/>
        </w:rPr>
        <w:t>(1911) 12 CLR 15; [1911] AC 336 ("</w:t>
      </w:r>
      <w:r w:rsidRPr="0044114E">
        <w:rPr>
          <w:rFonts w:ascii="Times New Roman" w:hAnsi="Times New Roman"/>
          <w:i/>
          <w:sz w:val="24"/>
        </w:rPr>
        <w:t>Menck (PC)</w:t>
      </w:r>
      <w:r w:rsidRPr="0044114E">
        <w:rPr>
          <w:rFonts w:ascii="Times New Roman" w:hAnsi="Times New Roman"/>
          <w:sz w:val="24"/>
        </w:rPr>
        <w:t>").</w:t>
      </w:r>
    </w:p>
  </w:footnote>
  <w:footnote w:id="202">
    <w:p w14:paraId="10187869"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sz w:val="24"/>
        </w:rPr>
        <w:t>fnn </w:t>
      </w:r>
      <w:r>
        <w:rPr>
          <w:rFonts w:ascii="Times New Roman" w:hAnsi="Times New Roman"/>
          <w:sz w:val="24"/>
        </w:rPr>
        <w:t>302</w:t>
      </w:r>
      <w:r w:rsidRPr="0044114E">
        <w:rPr>
          <w:rFonts w:ascii="Times New Roman" w:hAnsi="Times New Roman"/>
          <w:sz w:val="24"/>
        </w:rPr>
        <w:noBreakHyphen/>
      </w:r>
      <w:r>
        <w:rPr>
          <w:rFonts w:ascii="Times New Roman" w:hAnsi="Times New Roman"/>
          <w:sz w:val="24"/>
        </w:rPr>
        <w:t>304</w:t>
      </w:r>
      <w:r w:rsidRPr="0044114E">
        <w:rPr>
          <w:rFonts w:ascii="Times New Roman" w:hAnsi="Times New Roman"/>
          <w:sz w:val="24"/>
        </w:rPr>
        <w:t xml:space="preserve"> below.</w:t>
      </w:r>
    </w:p>
  </w:footnote>
  <w:footnote w:id="203">
    <w:p w14:paraId="15D0175C"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Patents Act 1990</w:t>
      </w:r>
      <w:r w:rsidRPr="0044114E">
        <w:rPr>
          <w:rFonts w:ascii="Times New Roman" w:hAnsi="Times New Roman"/>
          <w:sz w:val="24"/>
        </w:rPr>
        <w:t>, ss 7(2)-(3) and 18(1)(b)(ii).</w:t>
      </w:r>
    </w:p>
  </w:footnote>
  <w:footnote w:id="204">
    <w:p w14:paraId="6B1CD546"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Patents Act 1990</w:t>
      </w:r>
      <w:r w:rsidRPr="0044114E">
        <w:rPr>
          <w:rFonts w:ascii="Times New Roman" w:hAnsi="Times New Roman"/>
          <w:sz w:val="24"/>
        </w:rPr>
        <w:t>, s 13(2).</w:t>
      </w:r>
    </w:p>
  </w:footnote>
  <w:footnote w:id="205">
    <w:p w14:paraId="4C2EC8C1"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sz w:val="24"/>
        </w:rPr>
        <w:t xml:space="preserve">eg, Daniel, </w:t>
      </w:r>
      <w:r w:rsidRPr="0044114E">
        <w:rPr>
          <w:rFonts w:ascii="Times New Roman" w:hAnsi="Times New Roman"/>
          <w:i/>
          <w:sz w:val="24"/>
        </w:rPr>
        <w:t>A Complete Treatise upon the New Law of Patents, Designs and Trade Marks</w:t>
      </w:r>
      <w:r w:rsidRPr="0044114E">
        <w:rPr>
          <w:rFonts w:ascii="Times New Roman" w:hAnsi="Times New Roman"/>
          <w:sz w:val="24"/>
        </w:rPr>
        <w:t xml:space="preserve"> (1884) at 1</w:t>
      </w:r>
      <w:r w:rsidRPr="0044114E">
        <w:rPr>
          <w:rFonts w:ascii="Times New Roman" w:hAnsi="Times New Roman"/>
          <w:sz w:val="24"/>
        </w:rPr>
        <w:noBreakHyphen/>
        <w:t xml:space="preserve">2; Martin, </w:t>
      </w:r>
      <w:r w:rsidRPr="0044114E">
        <w:rPr>
          <w:rFonts w:ascii="Times New Roman" w:hAnsi="Times New Roman"/>
          <w:i/>
          <w:sz w:val="24"/>
        </w:rPr>
        <w:t xml:space="preserve">The English Patent System </w:t>
      </w:r>
      <w:r w:rsidRPr="0044114E">
        <w:rPr>
          <w:rFonts w:ascii="Times New Roman" w:hAnsi="Times New Roman"/>
          <w:sz w:val="24"/>
        </w:rPr>
        <w:t xml:space="preserve">(1904) at 43-44; Terrell, </w:t>
      </w:r>
      <w:r w:rsidRPr="0044114E">
        <w:rPr>
          <w:rFonts w:ascii="Times New Roman" w:hAnsi="Times New Roman"/>
          <w:i/>
          <w:sz w:val="24"/>
        </w:rPr>
        <w:t>The Law and Practice relating to Letters Patent for Inventions</w:t>
      </w:r>
      <w:r w:rsidRPr="0044114E">
        <w:rPr>
          <w:rFonts w:ascii="Times New Roman" w:hAnsi="Times New Roman"/>
          <w:sz w:val="24"/>
        </w:rPr>
        <w:t>, 4th ed (1906) at 274</w:t>
      </w:r>
      <w:r w:rsidRPr="0044114E">
        <w:rPr>
          <w:rFonts w:ascii="Times New Roman" w:hAnsi="Times New Roman"/>
          <w:sz w:val="24"/>
        </w:rPr>
        <w:noBreakHyphen/>
        <w:t xml:space="preserve">276; Bannon, </w:t>
      </w:r>
      <w:r w:rsidRPr="0044114E">
        <w:rPr>
          <w:rFonts w:ascii="Times New Roman" w:hAnsi="Times New Roman"/>
          <w:i/>
          <w:sz w:val="24"/>
        </w:rPr>
        <w:t xml:space="preserve">Australian Patent Law </w:t>
      </w:r>
      <w:r w:rsidRPr="0044114E">
        <w:rPr>
          <w:rFonts w:ascii="Times New Roman" w:hAnsi="Times New Roman"/>
          <w:sz w:val="24"/>
        </w:rPr>
        <w:t>(1984) at 1</w:t>
      </w:r>
      <w:r w:rsidRPr="0044114E">
        <w:rPr>
          <w:rFonts w:ascii="Times New Roman" w:hAnsi="Times New Roman"/>
          <w:sz w:val="24"/>
        </w:rPr>
        <w:noBreakHyphen/>
        <w:t xml:space="preserve">2; Birss et al, </w:t>
      </w:r>
      <w:r w:rsidRPr="0044114E">
        <w:rPr>
          <w:rFonts w:ascii="Times New Roman" w:hAnsi="Times New Roman"/>
          <w:i/>
          <w:sz w:val="24"/>
        </w:rPr>
        <w:t>Terrell on the Law of Patents</w:t>
      </w:r>
      <w:r w:rsidRPr="0044114E">
        <w:rPr>
          <w:rFonts w:ascii="Times New Roman" w:hAnsi="Times New Roman"/>
          <w:sz w:val="24"/>
        </w:rPr>
        <w:t>, 19th ed (2020)</w:t>
      </w:r>
      <w:r w:rsidRPr="0044114E">
        <w:rPr>
          <w:rFonts w:ascii="Times New Roman" w:hAnsi="Times New Roman"/>
          <w:i/>
          <w:sz w:val="24"/>
        </w:rPr>
        <w:t xml:space="preserve"> </w:t>
      </w:r>
      <w:r w:rsidRPr="0044114E">
        <w:rPr>
          <w:rFonts w:ascii="Times New Roman" w:hAnsi="Times New Roman"/>
          <w:sz w:val="24"/>
        </w:rPr>
        <w:t>at 1 [1</w:t>
      </w:r>
      <w:r w:rsidRPr="0044114E">
        <w:rPr>
          <w:rFonts w:ascii="Times New Roman" w:hAnsi="Times New Roman"/>
          <w:sz w:val="24"/>
        </w:rPr>
        <w:noBreakHyphen/>
        <w:t>01].</w:t>
      </w:r>
    </w:p>
  </w:footnote>
  <w:footnote w:id="206">
    <w:p w14:paraId="39D8645D"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Patents Act 1990</w:t>
      </w:r>
      <w:r w:rsidRPr="0044114E">
        <w:rPr>
          <w:rFonts w:ascii="Times New Roman" w:hAnsi="Times New Roman"/>
          <w:sz w:val="24"/>
        </w:rPr>
        <w:t>, ss 40 and 55.</w:t>
      </w:r>
    </w:p>
  </w:footnote>
  <w:footnote w:id="207">
    <w:p w14:paraId="3D8F0BDE"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Patents Act 1990</w:t>
      </w:r>
      <w:r w:rsidRPr="0044114E">
        <w:rPr>
          <w:rFonts w:ascii="Times New Roman" w:hAnsi="Times New Roman"/>
          <w:sz w:val="24"/>
        </w:rPr>
        <w:t>, Ch 12, Pt 2.</w:t>
      </w:r>
    </w:p>
  </w:footnote>
  <w:footnote w:id="208">
    <w:p w14:paraId="33C7137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Patents Act 1990</w:t>
      </w:r>
      <w:r w:rsidRPr="0044114E">
        <w:rPr>
          <w:rFonts w:ascii="Times New Roman" w:hAnsi="Times New Roman"/>
          <w:sz w:val="24"/>
        </w:rPr>
        <w:t>, s 133(3).</w:t>
      </w:r>
    </w:p>
  </w:footnote>
  <w:footnote w:id="209">
    <w:p w14:paraId="7741E769"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21 Jac I c 3 (1623).</w:t>
      </w:r>
    </w:p>
  </w:footnote>
  <w:footnote w:id="210">
    <w:p w14:paraId="36578FAC"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Frost, </w:t>
      </w:r>
      <w:r w:rsidRPr="0044114E">
        <w:rPr>
          <w:rFonts w:ascii="Times New Roman" w:hAnsi="Times New Roman"/>
          <w:i/>
          <w:sz w:val="24"/>
        </w:rPr>
        <w:t>Treatise on the Law and Practice relating to Letters Patent for Inventions</w:t>
      </w:r>
      <w:r w:rsidRPr="0044114E">
        <w:rPr>
          <w:rFonts w:ascii="Times New Roman" w:hAnsi="Times New Roman"/>
          <w:sz w:val="24"/>
        </w:rPr>
        <w:t xml:space="preserve">, 4th ed (1912), vol 1 at 1; Federico, "Origin and Early History of Patents" (1929) 11 </w:t>
      </w:r>
      <w:r w:rsidRPr="0044114E">
        <w:rPr>
          <w:rFonts w:ascii="Times New Roman" w:hAnsi="Times New Roman"/>
          <w:i/>
          <w:sz w:val="24"/>
        </w:rPr>
        <w:t xml:space="preserve">Journal of the Patent Office Society </w:t>
      </w:r>
      <w:r w:rsidRPr="0044114E">
        <w:rPr>
          <w:rFonts w:ascii="Times New Roman" w:hAnsi="Times New Roman"/>
          <w:sz w:val="24"/>
        </w:rPr>
        <w:t>292 at 299</w:t>
      </w:r>
      <w:r w:rsidRPr="0044114E">
        <w:rPr>
          <w:rFonts w:ascii="Times New Roman" w:hAnsi="Times New Roman"/>
          <w:sz w:val="24"/>
        </w:rPr>
        <w:noBreakHyphen/>
        <w:t xml:space="preserve">302; </w:t>
      </w:r>
      <w:r w:rsidRPr="0044114E">
        <w:rPr>
          <w:rFonts w:ascii="Times New Roman" w:hAnsi="Times New Roman"/>
          <w:sz w:val="24"/>
        </w:rPr>
        <w:t xml:space="preserve">Birss et al, </w:t>
      </w:r>
      <w:r w:rsidRPr="0044114E">
        <w:rPr>
          <w:rFonts w:ascii="Times New Roman" w:hAnsi="Times New Roman"/>
          <w:i/>
          <w:sz w:val="24"/>
        </w:rPr>
        <w:t>Terrell on the Law of Patents</w:t>
      </w:r>
      <w:r w:rsidRPr="0044114E">
        <w:rPr>
          <w:rFonts w:ascii="Times New Roman" w:hAnsi="Times New Roman"/>
          <w:sz w:val="24"/>
        </w:rPr>
        <w:t>, 19th ed (2020)</w:t>
      </w:r>
      <w:r w:rsidRPr="0044114E">
        <w:rPr>
          <w:rFonts w:ascii="Times New Roman" w:hAnsi="Times New Roman"/>
          <w:i/>
          <w:sz w:val="24"/>
        </w:rPr>
        <w:t xml:space="preserve"> </w:t>
      </w:r>
      <w:r w:rsidRPr="0044114E">
        <w:rPr>
          <w:rFonts w:ascii="Times New Roman" w:hAnsi="Times New Roman"/>
          <w:sz w:val="24"/>
        </w:rPr>
        <w:t>at 5 [1-16]-[1-17].</w:t>
      </w:r>
    </w:p>
  </w:footnote>
  <w:footnote w:id="211">
    <w:p w14:paraId="582F7BF2"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Statute of Monopolies</w:t>
      </w:r>
      <w:r w:rsidRPr="0044114E">
        <w:rPr>
          <w:rFonts w:ascii="Times New Roman" w:hAnsi="Times New Roman"/>
          <w:sz w:val="24"/>
        </w:rPr>
        <w:t>, s 1. See </w:t>
      </w:r>
      <w:r w:rsidRPr="0044114E">
        <w:rPr>
          <w:rFonts w:ascii="Times New Roman" w:hAnsi="Times New Roman"/>
          <w:i/>
          <w:sz w:val="24"/>
        </w:rPr>
        <w:t xml:space="preserve">Australian Gold Recovery Co Ltd v Lake View </w:t>
      </w:r>
      <w:r w:rsidRPr="0044114E">
        <w:rPr>
          <w:rFonts w:ascii="Times New Roman" w:hAnsi="Times New Roman"/>
          <w:i/>
          <w:sz w:val="24"/>
        </w:rPr>
        <w:t xml:space="preserve">Consols Ltd </w:t>
      </w:r>
      <w:r w:rsidRPr="0044114E">
        <w:rPr>
          <w:rFonts w:ascii="Times New Roman" w:hAnsi="Times New Roman"/>
          <w:sz w:val="24"/>
        </w:rPr>
        <w:t>[1901] AC 142 at 149.</w:t>
      </w:r>
    </w:p>
  </w:footnote>
  <w:footnote w:id="212">
    <w:p w14:paraId="30B2D12D"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 xml:space="preserve">Darcy v </w:t>
      </w:r>
      <w:r w:rsidRPr="0044114E">
        <w:rPr>
          <w:rFonts w:ascii="Times New Roman" w:hAnsi="Times New Roman"/>
          <w:i/>
          <w:sz w:val="24"/>
        </w:rPr>
        <w:t xml:space="preserve">Allin </w:t>
      </w:r>
      <w:r w:rsidRPr="0044114E">
        <w:rPr>
          <w:rFonts w:ascii="Times New Roman" w:hAnsi="Times New Roman"/>
          <w:sz w:val="24"/>
        </w:rPr>
        <w:t xml:space="preserve">(1602) Noy 173 [74 ER 1131]; </w:t>
      </w:r>
      <w:r w:rsidRPr="0044114E">
        <w:rPr>
          <w:rFonts w:ascii="Times New Roman" w:hAnsi="Times New Roman"/>
          <w:i/>
          <w:sz w:val="24"/>
        </w:rPr>
        <w:t xml:space="preserve">Clothworkers of Ipswich Case </w:t>
      </w:r>
      <w:r w:rsidRPr="0044114E">
        <w:rPr>
          <w:rFonts w:ascii="Times New Roman" w:hAnsi="Times New Roman"/>
          <w:sz w:val="24"/>
        </w:rPr>
        <w:t xml:space="preserve">(1614) Godb 252 [78 ER 147]. See also Letwin, "The English Common Law Concerning Monopolies" (1954) 21 </w:t>
      </w:r>
      <w:r w:rsidRPr="0044114E">
        <w:rPr>
          <w:rFonts w:ascii="Times New Roman" w:hAnsi="Times New Roman"/>
          <w:i/>
          <w:sz w:val="24"/>
        </w:rPr>
        <w:t xml:space="preserve">University of Chicago Law Review </w:t>
      </w:r>
      <w:r w:rsidRPr="0044114E">
        <w:rPr>
          <w:rFonts w:ascii="Times New Roman" w:hAnsi="Times New Roman"/>
          <w:sz w:val="24"/>
        </w:rPr>
        <w:t>355; Birss</w:t>
      </w:r>
      <w:r>
        <w:rPr>
          <w:rFonts w:ascii="Times New Roman" w:hAnsi="Times New Roman"/>
          <w:sz w:val="24"/>
        </w:rPr>
        <w:t> </w:t>
      </w:r>
      <w:r w:rsidRPr="0044114E">
        <w:rPr>
          <w:rFonts w:ascii="Times New Roman" w:hAnsi="Times New Roman"/>
          <w:sz w:val="24"/>
        </w:rPr>
        <w:t>et</w:t>
      </w:r>
      <w:r>
        <w:rPr>
          <w:rFonts w:ascii="Times New Roman" w:hAnsi="Times New Roman"/>
          <w:sz w:val="24"/>
        </w:rPr>
        <w:t> </w:t>
      </w:r>
      <w:r w:rsidRPr="0044114E">
        <w:rPr>
          <w:rFonts w:ascii="Times New Roman" w:hAnsi="Times New Roman"/>
          <w:sz w:val="24"/>
        </w:rPr>
        <w:t xml:space="preserve">al, </w:t>
      </w:r>
      <w:r w:rsidRPr="0044114E">
        <w:rPr>
          <w:rFonts w:ascii="Times New Roman" w:hAnsi="Times New Roman"/>
          <w:i/>
          <w:sz w:val="24"/>
        </w:rPr>
        <w:t>Terrell on the Law of Patents</w:t>
      </w:r>
      <w:r w:rsidRPr="0044114E">
        <w:rPr>
          <w:rFonts w:ascii="Times New Roman" w:hAnsi="Times New Roman"/>
          <w:sz w:val="24"/>
        </w:rPr>
        <w:t>, 19th ed (2020) at 2-4 [1</w:t>
      </w:r>
      <w:r w:rsidRPr="0044114E">
        <w:rPr>
          <w:rFonts w:ascii="Times New Roman" w:hAnsi="Times New Roman"/>
          <w:sz w:val="24"/>
        </w:rPr>
        <w:noBreakHyphen/>
        <w:t>07]</w:t>
      </w:r>
      <w:r w:rsidRPr="0044114E">
        <w:rPr>
          <w:rFonts w:ascii="Times New Roman" w:hAnsi="Times New Roman"/>
          <w:sz w:val="24"/>
        </w:rPr>
        <w:noBreakHyphen/>
        <w:t>[1</w:t>
      </w:r>
      <w:r w:rsidRPr="0044114E">
        <w:rPr>
          <w:rFonts w:ascii="Times New Roman" w:hAnsi="Times New Roman"/>
          <w:sz w:val="24"/>
        </w:rPr>
        <w:noBreakHyphen/>
        <w:t>15].</w:t>
      </w:r>
    </w:p>
  </w:footnote>
  <w:footnote w:id="213">
    <w:p w14:paraId="570F7227"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Coke upon Littleton</w:t>
      </w:r>
      <w:r w:rsidRPr="0044114E">
        <w:rPr>
          <w:rFonts w:ascii="Times New Roman" w:hAnsi="Times New Roman"/>
          <w:sz w:val="24"/>
        </w:rPr>
        <w:t xml:space="preserve"> (1628), s 360 at 223a. See also </w:t>
      </w:r>
      <w:r w:rsidRPr="0044114E">
        <w:rPr>
          <w:rFonts w:ascii="Times New Roman" w:hAnsi="Times New Roman"/>
          <w:i/>
          <w:sz w:val="24"/>
        </w:rPr>
        <w:t xml:space="preserve">Hall v </w:t>
      </w:r>
      <w:r w:rsidRPr="0044114E">
        <w:rPr>
          <w:rFonts w:ascii="Times New Roman" w:hAnsi="Times New Roman"/>
          <w:i/>
          <w:sz w:val="24"/>
        </w:rPr>
        <w:t xml:space="preserve">Busst </w:t>
      </w:r>
      <w:r w:rsidRPr="0044114E">
        <w:rPr>
          <w:rFonts w:ascii="Times New Roman" w:hAnsi="Times New Roman"/>
          <w:sz w:val="24"/>
        </w:rPr>
        <w:t>(1960) 104 CLR 206 at 217</w:t>
      </w:r>
      <w:r w:rsidRPr="0044114E">
        <w:rPr>
          <w:rFonts w:ascii="Times New Roman" w:hAnsi="Times New Roman"/>
          <w:sz w:val="24"/>
        </w:rPr>
        <w:noBreakHyphen/>
        <w:t xml:space="preserve">218; </w:t>
      </w:r>
      <w:r w:rsidRPr="0044114E">
        <w:rPr>
          <w:rFonts w:ascii="Times New Roman" w:hAnsi="Times New Roman"/>
          <w:i/>
          <w:sz w:val="24"/>
        </w:rPr>
        <w:t xml:space="preserve">Bondi Beach Astra Retirement Village Pty Ltd v Gora </w:t>
      </w:r>
      <w:r w:rsidRPr="0044114E">
        <w:rPr>
          <w:rFonts w:ascii="Times New Roman" w:hAnsi="Times New Roman"/>
          <w:sz w:val="24"/>
        </w:rPr>
        <w:t>(2011) 82 NSWLR 665 at 694-698 [142]-[156].</w:t>
      </w:r>
    </w:p>
  </w:footnote>
  <w:footnote w:id="214">
    <w:p w14:paraId="069B34F6"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Statute of Monopolies</w:t>
      </w:r>
      <w:r w:rsidRPr="0044114E">
        <w:rPr>
          <w:rFonts w:ascii="Times New Roman" w:hAnsi="Times New Roman"/>
          <w:sz w:val="24"/>
        </w:rPr>
        <w:t>, ss 1, 5 and 6.</w:t>
      </w:r>
    </w:p>
  </w:footnote>
  <w:footnote w:id="215">
    <w:p w14:paraId="0B4B7F56"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sz w:val="24"/>
        </w:rPr>
        <w:t xml:space="preserve">cf </w:t>
      </w:r>
      <w:r w:rsidRPr="0044114E">
        <w:rPr>
          <w:rFonts w:ascii="Times New Roman" w:hAnsi="Times New Roman"/>
          <w:i/>
          <w:sz w:val="24"/>
        </w:rPr>
        <w:t xml:space="preserve">National Phonograph Co of Australia Ltd v Menck </w:t>
      </w:r>
      <w:r w:rsidRPr="0044114E">
        <w:rPr>
          <w:rFonts w:ascii="Times New Roman" w:hAnsi="Times New Roman"/>
          <w:sz w:val="24"/>
        </w:rPr>
        <w:t>(1908) 7 CLR 481 at 510</w:t>
      </w:r>
      <w:r w:rsidRPr="0044114E">
        <w:rPr>
          <w:rFonts w:ascii="Times New Roman" w:hAnsi="Times New Roman"/>
          <w:sz w:val="24"/>
        </w:rPr>
        <w:noBreakHyphen/>
        <w:t>511 ("</w:t>
      </w:r>
      <w:r w:rsidRPr="0044114E">
        <w:rPr>
          <w:rFonts w:ascii="Times New Roman" w:hAnsi="Times New Roman"/>
          <w:i/>
          <w:sz w:val="24"/>
        </w:rPr>
        <w:t>Menck (HCA)</w:t>
      </w:r>
      <w:r w:rsidRPr="0044114E">
        <w:rPr>
          <w:rFonts w:ascii="Times New Roman" w:hAnsi="Times New Roman"/>
          <w:sz w:val="24"/>
        </w:rPr>
        <w:t>").</w:t>
      </w:r>
    </w:p>
  </w:footnote>
  <w:footnote w:id="216">
    <w:p w14:paraId="6A60C208"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See [</w:t>
      </w:r>
      <w:r>
        <w:rPr>
          <w:rFonts w:ascii="Times New Roman" w:hAnsi="Times New Roman"/>
          <w:sz w:val="24"/>
        </w:rPr>
        <w:t>155</w:t>
      </w:r>
      <w:r w:rsidRPr="0044114E">
        <w:rPr>
          <w:rFonts w:ascii="Times New Roman" w:hAnsi="Times New Roman"/>
          <w:sz w:val="24"/>
        </w:rPr>
        <w:t>]</w:t>
      </w:r>
      <w:r w:rsidRPr="0044114E">
        <w:rPr>
          <w:rFonts w:ascii="Times New Roman" w:hAnsi="Times New Roman"/>
          <w:sz w:val="24"/>
        </w:rPr>
        <w:noBreakHyphen/>
        <w:t>[</w:t>
      </w:r>
      <w:r>
        <w:rPr>
          <w:rFonts w:ascii="Times New Roman" w:hAnsi="Times New Roman"/>
          <w:sz w:val="24"/>
        </w:rPr>
        <w:t>163</w:t>
      </w:r>
      <w:r w:rsidRPr="0044114E">
        <w:rPr>
          <w:rFonts w:ascii="Times New Roman" w:hAnsi="Times New Roman"/>
          <w:sz w:val="24"/>
        </w:rPr>
        <w:t>] below.</w:t>
      </w:r>
    </w:p>
  </w:footnote>
  <w:footnote w:id="217">
    <w:p w14:paraId="1D00AB2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Blackstone, </w:t>
      </w:r>
      <w:r w:rsidRPr="0044114E">
        <w:rPr>
          <w:rFonts w:ascii="Times New Roman" w:hAnsi="Times New Roman"/>
          <w:i/>
          <w:sz w:val="24"/>
        </w:rPr>
        <w:t xml:space="preserve">Commentaries on the Laws of England </w:t>
      </w:r>
      <w:r w:rsidRPr="0044114E">
        <w:rPr>
          <w:rFonts w:ascii="Times New Roman" w:hAnsi="Times New Roman"/>
          <w:sz w:val="24"/>
        </w:rPr>
        <w:t xml:space="preserve">(1766), bk 2, </w:t>
      </w:r>
      <w:r w:rsidRPr="0044114E">
        <w:rPr>
          <w:rFonts w:ascii="Times New Roman" w:hAnsi="Times New Roman"/>
          <w:sz w:val="24"/>
        </w:rPr>
        <w:t>ch 21 at 344</w:t>
      </w:r>
      <w:r w:rsidRPr="0044114E">
        <w:rPr>
          <w:rFonts w:ascii="Times New Roman" w:hAnsi="Times New Roman"/>
          <w:sz w:val="24"/>
        </w:rPr>
        <w:noBreakHyphen/>
        <w:t>348.</w:t>
      </w:r>
    </w:p>
  </w:footnote>
  <w:footnote w:id="218">
    <w:p w14:paraId="3DB32035"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"By the special favour, certain knowledge and mere motion of the king." </w:t>
      </w:r>
    </w:p>
  </w:footnote>
  <w:footnote w:id="219">
    <w:p w14:paraId="1BE762B4"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See [</w:t>
      </w:r>
      <w:r>
        <w:rPr>
          <w:rFonts w:ascii="Times New Roman" w:hAnsi="Times New Roman"/>
          <w:sz w:val="24"/>
        </w:rPr>
        <w:t>158</w:t>
      </w:r>
      <w:r w:rsidRPr="0044114E">
        <w:rPr>
          <w:rFonts w:ascii="Times New Roman" w:hAnsi="Times New Roman"/>
          <w:sz w:val="24"/>
        </w:rPr>
        <w:t>]</w:t>
      </w:r>
      <w:r w:rsidRPr="0044114E">
        <w:rPr>
          <w:rFonts w:ascii="Times New Roman" w:hAnsi="Times New Roman"/>
          <w:sz w:val="24"/>
        </w:rPr>
        <w:noBreakHyphen/>
        <w:t>[</w:t>
      </w:r>
      <w:r>
        <w:rPr>
          <w:rFonts w:ascii="Times New Roman" w:hAnsi="Times New Roman"/>
          <w:sz w:val="24"/>
        </w:rPr>
        <w:t>159</w:t>
      </w:r>
      <w:r w:rsidRPr="0044114E">
        <w:rPr>
          <w:rFonts w:ascii="Times New Roman" w:hAnsi="Times New Roman"/>
          <w:sz w:val="24"/>
        </w:rPr>
        <w:t>] below.</w:t>
      </w:r>
    </w:p>
  </w:footnote>
  <w:footnote w:id="220">
    <w:p w14:paraId="16C257E1"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15 Geo III c 61.</w:t>
      </w:r>
    </w:p>
  </w:footnote>
  <w:footnote w:id="221">
    <w:p w14:paraId="38B206F7"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15 Geo III c 61, Preamble, s 1.</w:t>
      </w:r>
    </w:p>
  </w:footnote>
  <w:footnote w:id="222">
    <w:p w14:paraId="20C1FC5C"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(1795) 2 H Bl 463 [126 ER 651].</w:t>
      </w:r>
    </w:p>
  </w:footnote>
  <w:footnote w:id="223">
    <w:p w14:paraId="4CFB2BF7" w14:textId="77777777" w:rsidR="0047638A" w:rsidRPr="0044114E" w:rsidRDefault="0047638A" w:rsidP="00261C63">
      <w:pPr>
        <w:pStyle w:val="FootnoteText"/>
        <w:spacing w:line="280" w:lineRule="exact"/>
        <w:ind w:right="0"/>
        <w:jc w:val="both"/>
        <w:rPr>
          <w:rFonts w:ascii="Times New Roman" w:hAnsi="Times New Roman"/>
          <w:i/>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Boulton </w:t>
      </w:r>
      <w:r w:rsidRPr="0044114E">
        <w:rPr>
          <w:rFonts w:ascii="Times New Roman" w:hAnsi="Times New Roman"/>
          <w:sz w:val="24"/>
        </w:rPr>
        <w:t>(1795) 2 H Bl 463 at 471 [126 ER 651 at 655].</w:t>
      </w:r>
    </w:p>
  </w:footnote>
  <w:footnote w:id="224">
    <w:p w14:paraId="5AD274B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Boulton </w:t>
      </w:r>
      <w:r w:rsidRPr="0044114E">
        <w:rPr>
          <w:rFonts w:ascii="Times New Roman" w:hAnsi="Times New Roman"/>
          <w:sz w:val="24"/>
        </w:rPr>
        <w:t>(1795) 2 H Bl 463 at 477</w:t>
      </w:r>
      <w:r w:rsidRPr="0044114E">
        <w:rPr>
          <w:rFonts w:ascii="Times New Roman" w:hAnsi="Times New Roman"/>
          <w:sz w:val="24"/>
        </w:rPr>
        <w:noBreakHyphen/>
        <w:t>478, 481, 486, 491</w:t>
      </w:r>
      <w:r w:rsidRPr="0044114E">
        <w:rPr>
          <w:rFonts w:ascii="Times New Roman" w:hAnsi="Times New Roman"/>
          <w:sz w:val="24"/>
        </w:rPr>
        <w:noBreakHyphen/>
        <w:t>492 [126 ER 651 at 658</w:t>
      </w:r>
      <w:r w:rsidRPr="0044114E">
        <w:rPr>
          <w:rFonts w:ascii="Times New Roman" w:hAnsi="Times New Roman"/>
          <w:sz w:val="24"/>
        </w:rPr>
        <w:noBreakHyphen/>
        <w:t>659, 660, 663, 665</w:t>
      </w:r>
      <w:r w:rsidRPr="0044114E">
        <w:rPr>
          <w:rFonts w:ascii="Times New Roman" w:hAnsi="Times New Roman"/>
          <w:sz w:val="24"/>
        </w:rPr>
        <w:noBreakHyphen/>
        <w:t>666].</w:t>
      </w:r>
    </w:p>
  </w:footnote>
  <w:footnote w:id="225">
    <w:p w14:paraId="56D3EC4A" w14:textId="77777777" w:rsidR="0047638A" w:rsidRPr="0044114E" w:rsidDel="00541FD2" w:rsidRDefault="0047638A" w:rsidP="00261C63">
      <w:pPr>
        <w:pStyle w:val="FootnoteText"/>
        <w:spacing w:line="280" w:lineRule="exact"/>
        <w:ind w:right="0"/>
        <w:jc w:val="both"/>
        <w:rPr>
          <w:rFonts w:ascii="Times New Roman" w:hAnsi="Times New Roman"/>
          <w:sz w:val="24"/>
        </w:rPr>
      </w:pPr>
      <w:r w:rsidRPr="0044114E" w:rsidDel="00541FD2">
        <w:rPr>
          <w:rStyle w:val="FootnoteReference"/>
          <w:rFonts w:ascii="Times New Roman" w:hAnsi="Times New Roman"/>
          <w:sz w:val="22"/>
          <w:vertAlign w:val="baseline"/>
        </w:rPr>
        <w:footnoteRef/>
      </w:r>
      <w:r w:rsidRPr="0044114E" w:rsidDel="00541FD2">
        <w:rPr>
          <w:rFonts w:ascii="Times New Roman" w:hAnsi="Times New Roman"/>
          <w:sz w:val="24"/>
        </w:rPr>
        <w:t xml:space="preserve"> </w:t>
      </w:r>
      <w:r w:rsidRPr="0044114E" w:rsidDel="00541FD2">
        <w:rPr>
          <w:rFonts w:ascii="Times New Roman" w:hAnsi="Times New Roman"/>
          <w:sz w:val="24"/>
        </w:rPr>
        <w:tab/>
      </w:r>
      <w:r w:rsidRPr="0044114E">
        <w:rPr>
          <w:rFonts w:ascii="Times New Roman" w:hAnsi="Times New Roman"/>
          <w:i/>
          <w:sz w:val="24"/>
        </w:rPr>
        <w:t xml:space="preserve">Boulton </w:t>
      </w:r>
      <w:r w:rsidRPr="0044114E" w:rsidDel="00541FD2">
        <w:rPr>
          <w:rFonts w:ascii="Times New Roman" w:hAnsi="Times New Roman"/>
          <w:sz w:val="24"/>
        </w:rPr>
        <w:t xml:space="preserve">(1795) 2 H Bl 463 </w:t>
      </w:r>
      <w:r w:rsidRPr="0044114E">
        <w:rPr>
          <w:rFonts w:ascii="Times New Roman" w:hAnsi="Times New Roman"/>
          <w:sz w:val="24"/>
        </w:rPr>
        <w:t>at 490</w:t>
      </w:r>
      <w:r w:rsidRPr="0044114E">
        <w:rPr>
          <w:rFonts w:ascii="Times New Roman" w:hAnsi="Times New Roman"/>
          <w:sz w:val="24"/>
        </w:rPr>
        <w:noBreakHyphen/>
        <w:t xml:space="preserve">491 </w:t>
      </w:r>
      <w:r w:rsidRPr="0044114E" w:rsidDel="00541FD2">
        <w:rPr>
          <w:rFonts w:ascii="Times New Roman" w:hAnsi="Times New Roman"/>
          <w:sz w:val="24"/>
        </w:rPr>
        <w:t>[126 ER 651</w:t>
      </w:r>
      <w:r w:rsidRPr="0044114E">
        <w:rPr>
          <w:rFonts w:ascii="Times New Roman" w:hAnsi="Times New Roman"/>
          <w:sz w:val="24"/>
        </w:rPr>
        <w:t xml:space="preserve"> at 665</w:t>
      </w:r>
      <w:r w:rsidRPr="0044114E" w:rsidDel="00541FD2">
        <w:rPr>
          <w:rFonts w:ascii="Times New Roman" w:hAnsi="Times New Roman"/>
          <w:sz w:val="24"/>
        </w:rPr>
        <w:t>].</w:t>
      </w:r>
    </w:p>
  </w:footnote>
  <w:footnote w:id="226">
    <w:p w14:paraId="1B1CB6FD"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Coke, </w:t>
      </w:r>
      <w:r w:rsidRPr="0044114E">
        <w:rPr>
          <w:rFonts w:ascii="Times New Roman" w:hAnsi="Times New Roman"/>
          <w:i/>
          <w:sz w:val="24"/>
        </w:rPr>
        <w:t xml:space="preserve">The Third Part of the Institutes of the Laws of England </w:t>
      </w:r>
      <w:r w:rsidRPr="0044114E">
        <w:rPr>
          <w:rFonts w:ascii="Times New Roman" w:hAnsi="Times New Roman"/>
          <w:sz w:val="24"/>
        </w:rPr>
        <w:t>(1644), c 85.</w:t>
      </w:r>
    </w:p>
  </w:footnote>
  <w:footnote w:id="227">
    <w:p w14:paraId="37A4D529"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(1691) 2 Salk 447 [91 ER 387]. See a more comprehensive report at Holt KB 475 [90 ER 1162].</w:t>
      </w:r>
    </w:p>
  </w:footnote>
  <w:footnote w:id="228">
    <w:p w14:paraId="49926A26"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Dutton, </w:t>
      </w:r>
      <w:r w:rsidRPr="0044114E">
        <w:rPr>
          <w:rFonts w:ascii="Times New Roman" w:hAnsi="Times New Roman"/>
          <w:i/>
          <w:sz w:val="24"/>
        </w:rPr>
        <w:t>The Patent System and Inventive Activity During the Industrial Revolution 1750</w:t>
      </w:r>
      <w:r w:rsidRPr="0044114E">
        <w:rPr>
          <w:rFonts w:ascii="Times New Roman" w:hAnsi="Times New Roman"/>
          <w:i/>
          <w:sz w:val="24"/>
        </w:rPr>
        <w:noBreakHyphen/>
        <w:t>1852</w:t>
      </w:r>
      <w:r w:rsidRPr="0044114E">
        <w:rPr>
          <w:rFonts w:ascii="Times New Roman" w:hAnsi="Times New Roman"/>
          <w:sz w:val="24"/>
        </w:rPr>
        <w:t xml:space="preserve"> (1984) at 69</w:t>
      </w:r>
      <w:r w:rsidRPr="0044114E">
        <w:rPr>
          <w:rFonts w:ascii="Times New Roman" w:hAnsi="Times New Roman"/>
          <w:sz w:val="24"/>
        </w:rPr>
        <w:noBreakHyphen/>
        <w:t>71.</w:t>
      </w:r>
    </w:p>
  </w:footnote>
  <w:footnote w:id="229">
    <w:p w14:paraId="10FF0EFF"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ab/>
        <w:t xml:space="preserve">Section 2 of the 1835 Act included the </w:t>
      </w:r>
      <w:r w:rsidRPr="0044114E">
        <w:rPr>
          <w:rFonts w:ascii="Times New Roman" w:hAnsi="Times New Roman"/>
          <w:sz w:val="24"/>
        </w:rPr>
        <w:t>prohibitory clause in relation to letters patent granted by the monarch to a patentee who was found not to be the first inventor, but</w:t>
      </w:r>
      <w:r>
        <w:rPr>
          <w:rFonts w:ascii="Times New Roman" w:hAnsi="Times New Roman"/>
          <w:sz w:val="24"/>
        </w:rPr>
        <w:t> </w:t>
      </w:r>
      <w:r w:rsidRPr="0044114E">
        <w:rPr>
          <w:rFonts w:ascii="Times New Roman" w:hAnsi="Times New Roman"/>
          <w:sz w:val="24"/>
        </w:rPr>
        <w:t>whose letters patent were confirmed – or re-issued – by satisfying criteria not presently relevant. Section 2 provided that the confirmed or re</w:t>
      </w:r>
      <w:r w:rsidRPr="0044114E">
        <w:rPr>
          <w:rFonts w:ascii="Times New Roman" w:hAnsi="Times New Roman"/>
          <w:sz w:val="24"/>
        </w:rPr>
        <w:noBreakHyphen/>
        <w:t xml:space="preserve">issued letters patent conferred "the sole Right of using, making, and vending such Invention </w:t>
      </w:r>
      <w:r w:rsidRPr="0044114E">
        <w:rPr>
          <w:rFonts w:ascii="Times New Roman" w:hAnsi="Times New Roman"/>
          <w:i/>
          <w:sz w:val="24"/>
        </w:rPr>
        <w:t xml:space="preserve">as against all Persons </w:t>
      </w:r>
      <w:r w:rsidRPr="0044114E">
        <w:rPr>
          <w:rFonts w:ascii="Times New Roman" w:hAnsi="Times New Roman"/>
          <w:sz w:val="24"/>
        </w:rPr>
        <w:t>whatsoever, any Law, Usage, or Custom to the contrary thereof notwithstanding" (emphasis added).</w:t>
      </w:r>
    </w:p>
  </w:footnote>
  <w:footnote w:id="230">
    <w:p w14:paraId="23EF024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15 &amp; 16 </w:t>
      </w:r>
      <w:r w:rsidRPr="0044114E">
        <w:rPr>
          <w:rFonts w:ascii="Times New Roman" w:hAnsi="Times New Roman"/>
          <w:sz w:val="24"/>
        </w:rPr>
        <w:t>Vict c 83.</w:t>
      </w:r>
    </w:p>
  </w:footnote>
  <w:footnote w:id="231">
    <w:p w14:paraId="23378675"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46 &amp; 47 </w:t>
      </w:r>
      <w:r w:rsidRPr="0044114E">
        <w:rPr>
          <w:rFonts w:ascii="Times New Roman" w:hAnsi="Times New Roman"/>
          <w:sz w:val="24"/>
        </w:rPr>
        <w:t>Vict c 57.</w:t>
      </w:r>
    </w:p>
  </w:footnote>
  <w:footnote w:id="232">
    <w:p w14:paraId="242E0B7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The 1852 Act: established what would come to be known as the Patent Office (</w:t>
      </w:r>
      <w:r w:rsidRPr="0044114E">
        <w:rPr>
          <w:rFonts w:ascii="Times New Roman" w:hAnsi="Times New Roman"/>
          <w:i/>
          <w:sz w:val="24"/>
        </w:rPr>
        <w:t>Patent Law Amendment Act</w:t>
      </w:r>
      <w:r w:rsidRPr="0044114E">
        <w:rPr>
          <w:rFonts w:ascii="Times New Roman" w:hAnsi="Times New Roman"/>
          <w:sz w:val="24"/>
        </w:rPr>
        <w:t>, ss 2 and 4); authorised certain persons (such as the Lord Chancellor and the Master of the Rolls) to exercise powers as Commissioners of Patents for Inventions, including the power to seal letters patent (ss 1 and 2); required a register of patents to be kept (s 34); and conferred jurisdiction upon common law courts to grant injunctions and order an inspection and account when determining infringement claims (s 42).</w:t>
      </w:r>
    </w:p>
  </w:footnote>
  <w:footnote w:id="233">
    <w:p w14:paraId="157AFA0D"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MacLeod, "Patents for Invention: Setting the Stage for the British Industrial Revolution?" (2009) 18 </w:t>
      </w:r>
      <w:r w:rsidRPr="0044114E">
        <w:rPr>
          <w:rFonts w:ascii="Times New Roman" w:hAnsi="Times New Roman"/>
          <w:i/>
          <w:sz w:val="24"/>
        </w:rPr>
        <w:t>Empiria</w:t>
      </w:r>
      <w:r w:rsidRPr="0044114E">
        <w:rPr>
          <w:rFonts w:ascii="Times New Roman" w:hAnsi="Times New Roman"/>
          <w:sz w:val="24"/>
        </w:rPr>
        <w:t xml:space="preserve"> 37 at 41</w:t>
      </w:r>
      <w:r w:rsidRPr="0044114E">
        <w:rPr>
          <w:rFonts w:ascii="Times New Roman" w:hAnsi="Times New Roman"/>
          <w:sz w:val="24"/>
        </w:rPr>
        <w:noBreakHyphen/>
        <w:t xml:space="preserve">42. See also Dickens, </w:t>
      </w:r>
      <w:r w:rsidRPr="0044114E">
        <w:rPr>
          <w:rFonts w:ascii="Times New Roman" w:hAnsi="Times New Roman"/>
          <w:i/>
          <w:sz w:val="24"/>
        </w:rPr>
        <w:t>Little Dorrit</w:t>
      </w:r>
      <w:r w:rsidRPr="0044114E">
        <w:rPr>
          <w:rFonts w:ascii="Times New Roman" w:hAnsi="Times New Roman"/>
          <w:sz w:val="24"/>
        </w:rPr>
        <w:t xml:space="preserve"> (1868) at 112</w:t>
      </w:r>
      <w:r w:rsidRPr="0044114E">
        <w:rPr>
          <w:rFonts w:ascii="Times New Roman" w:hAnsi="Times New Roman"/>
          <w:sz w:val="24"/>
        </w:rPr>
        <w:noBreakHyphen/>
        <w:t>114.</w:t>
      </w:r>
    </w:p>
  </w:footnote>
  <w:footnote w:id="234">
    <w:p w14:paraId="29D7771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Patent Law Amendment Act</w:t>
      </w:r>
      <w:r w:rsidRPr="0044114E">
        <w:rPr>
          <w:rFonts w:ascii="Times New Roman" w:hAnsi="Times New Roman"/>
          <w:sz w:val="24"/>
        </w:rPr>
        <w:t>, Schedule.</w:t>
      </w:r>
    </w:p>
  </w:footnote>
  <w:footnote w:id="235">
    <w:p w14:paraId="49FFF024"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See [</w:t>
      </w:r>
      <w:r>
        <w:rPr>
          <w:rFonts w:ascii="Times New Roman" w:hAnsi="Times New Roman"/>
          <w:sz w:val="24"/>
        </w:rPr>
        <w:t>155</w:t>
      </w:r>
      <w:r w:rsidRPr="0044114E">
        <w:rPr>
          <w:rFonts w:ascii="Times New Roman" w:hAnsi="Times New Roman"/>
          <w:sz w:val="24"/>
        </w:rPr>
        <w:t>] above.</w:t>
      </w:r>
    </w:p>
  </w:footnote>
  <w:footnote w:id="236">
    <w:p w14:paraId="7AAC5F8E"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sz w:val="24"/>
        </w:rPr>
        <w:t xml:space="preserve">cf </w:t>
      </w:r>
      <w:r w:rsidRPr="0044114E">
        <w:rPr>
          <w:rFonts w:ascii="Times New Roman" w:hAnsi="Times New Roman"/>
          <w:i/>
          <w:sz w:val="24"/>
        </w:rPr>
        <w:t>Menck</w:t>
      </w:r>
      <w:r w:rsidRPr="0044114E">
        <w:rPr>
          <w:rFonts w:ascii="Times New Roman" w:hAnsi="Times New Roman"/>
          <w:sz w:val="24"/>
        </w:rPr>
        <w:t xml:space="preserve"> </w:t>
      </w:r>
      <w:r w:rsidRPr="0044114E" w:rsidDel="002B1409">
        <w:rPr>
          <w:rFonts w:ascii="Times New Roman" w:hAnsi="Times New Roman"/>
          <w:i/>
          <w:sz w:val="24"/>
        </w:rPr>
        <w:t>(</w:t>
      </w:r>
      <w:r w:rsidRPr="0044114E">
        <w:rPr>
          <w:rFonts w:ascii="Times New Roman" w:hAnsi="Times New Roman"/>
          <w:i/>
          <w:sz w:val="24"/>
        </w:rPr>
        <w:t xml:space="preserve">HCA) </w:t>
      </w:r>
      <w:r w:rsidRPr="0044114E">
        <w:rPr>
          <w:rFonts w:ascii="Times New Roman" w:hAnsi="Times New Roman"/>
          <w:sz w:val="24"/>
        </w:rPr>
        <w:t>(1908) 7 CLR 481 at 510.</w:t>
      </w:r>
    </w:p>
  </w:footnote>
  <w:footnote w:id="237">
    <w:p w14:paraId="41DAB98E"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ab/>
        <w:t xml:space="preserve">Frost, </w:t>
      </w:r>
      <w:r w:rsidRPr="0044114E">
        <w:rPr>
          <w:rFonts w:ascii="Times New Roman" w:hAnsi="Times New Roman"/>
          <w:i/>
          <w:sz w:val="24"/>
        </w:rPr>
        <w:t>Treatise on the Law and Practice relating to Letters Patent for Inventions</w:t>
      </w:r>
      <w:r w:rsidRPr="0044114E">
        <w:rPr>
          <w:rFonts w:ascii="Times New Roman" w:hAnsi="Times New Roman"/>
          <w:sz w:val="24"/>
        </w:rPr>
        <w:t>, 4th ed (1912), vol 1 at 4.</w:t>
      </w:r>
    </w:p>
  </w:footnote>
  <w:footnote w:id="238">
    <w:p w14:paraId="7F0D56DF"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ab/>
      </w:r>
      <w:r w:rsidRPr="0044114E">
        <w:rPr>
          <w:rFonts w:ascii="Times New Roman" w:hAnsi="Times New Roman"/>
          <w:i/>
          <w:sz w:val="24"/>
        </w:rPr>
        <w:t>Patents, Designs, and Trade Marks Act 1883</w:t>
      </w:r>
      <w:r w:rsidRPr="0044114E">
        <w:rPr>
          <w:rFonts w:ascii="Times New Roman" w:hAnsi="Times New Roman"/>
          <w:sz w:val="24"/>
        </w:rPr>
        <w:t>, First Schedule, Form D.</w:t>
      </w:r>
    </w:p>
  </w:footnote>
  <w:footnote w:id="239">
    <w:p w14:paraId="3DCAA47E"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Menck</w:t>
      </w:r>
      <w:r w:rsidRPr="0044114E">
        <w:rPr>
          <w:rFonts w:ascii="Times New Roman" w:hAnsi="Times New Roman"/>
          <w:sz w:val="24"/>
        </w:rPr>
        <w:t xml:space="preserve"> </w:t>
      </w:r>
      <w:r w:rsidRPr="0044114E">
        <w:rPr>
          <w:rFonts w:ascii="Times New Roman" w:hAnsi="Times New Roman"/>
          <w:i/>
          <w:sz w:val="24"/>
        </w:rPr>
        <w:t xml:space="preserve">(HCA) </w:t>
      </w:r>
      <w:r w:rsidRPr="0044114E">
        <w:rPr>
          <w:rFonts w:ascii="Times New Roman" w:hAnsi="Times New Roman"/>
          <w:sz w:val="24"/>
        </w:rPr>
        <w:t>(1908) 7 CLR 481 at 510.</w:t>
      </w:r>
    </w:p>
  </w:footnote>
  <w:footnote w:id="240">
    <w:p w14:paraId="22155CCD"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Australia, Senate, </w:t>
      </w:r>
      <w:r w:rsidRPr="0044114E">
        <w:rPr>
          <w:rFonts w:ascii="Times New Roman" w:hAnsi="Times New Roman"/>
          <w:i/>
          <w:sz w:val="24"/>
        </w:rPr>
        <w:t>Patents Bill 1990</w:t>
      </w:r>
      <w:r w:rsidRPr="0044114E">
        <w:rPr>
          <w:rFonts w:ascii="Times New Roman" w:hAnsi="Times New Roman"/>
          <w:sz w:val="24"/>
        </w:rPr>
        <w:t>, Explanatory Memorandum at 5 [23]-[24].</w:t>
      </w:r>
    </w:p>
  </w:footnote>
  <w:footnote w:id="241">
    <w:p w14:paraId="2895F4F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Australia, Senate, </w:t>
      </w:r>
      <w:r w:rsidRPr="0044114E">
        <w:rPr>
          <w:rFonts w:ascii="Times New Roman" w:hAnsi="Times New Roman"/>
          <w:i/>
          <w:sz w:val="24"/>
        </w:rPr>
        <w:t>Patents Bill 1990</w:t>
      </w:r>
      <w:r w:rsidRPr="0044114E">
        <w:rPr>
          <w:rFonts w:ascii="Times New Roman" w:hAnsi="Times New Roman"/>
          <w:sz w:val="24"/>
        </w:rPr>
        <w:t>, Explanatory Memorandum at 5 [23].</w:t>
      </w:r>
    </w:p>
  </w:footnote>
  <w:footnote w:id="242">
    <w:p w14:paraId="1BE2C4E7"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And as Australian patents legislation has since s 18 of the </w:t>
      </w:r>
      <w:r w:rsidRPr="0044114E">
        <w:rPr>
          <w:rFonts w:ascii="Times New Roman" w:hAnsi="Times New Roman"/>
          <w:i/>
          <w:sz w:val="24"/>
        </w:rPr>
        <w:t xml:space="preserve">Patents Act 1909 </w:t>
      </w:r>
      <w:r w:rsidRPr="0044114E">
        <w:rPr>
          <w:rFonts w:ascii="Times New Roman" w:hAnsi="Times New Roman"/>
          <w:sz w:val="24"/>
        </w:rPr>
        <w:t>(</w:t>
      </w:r>
      <w:r w:rsidRPr="0044114E">
        <w:rPr>
          <w:rFonts w:ascii="Times New Roman" w:hAnsi="Times New Roman"/>
          <w:sz w:val="24"/>
        </w:rPr>
        <w:t xml:space="preserve">Cth) inserted s 110A into the </w:t>
      </w:r>
      <w:r w:rsidRPr="0044114E">
        <w:rPr>
          <w:rFonts w:ascii="Times New Roman" w:hAnsi="Times New Roman"/>
          <w:i/>
          <w:sz w:val="24"/>
        </w:rPr>
        <w:t>Patents Act 1903</w:t>
      </w:r>
      <w:r w:rsidRPr="0044114E">
        <w:rPr>
          <w:rFonts w:ascii="Times New Roman" w:hAnsi="Times New Roman"/>
          <w:sz w:val="24"/>
        </w:rPr>
        <w:t xml:space="preserve"> to provide that the rights granted to a patentee by a patent are personal property and are capable of assignment and of devolution by operation of law.</w:t>
      </w:r>
    </w:p>
  </w:footnote>
  <w:footnote w:id="243">
    <w:p w14:paraId="65A8955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sz w:val="24"/>
        </w:rPr>
        <w:t xml:space="preserve">Hohfeld, "Some Fundamental Legal Conceptions as Applied in Judicial Reasoning" (1913) 23 </w:t>
      </w:r>
      <w:r w:rsidRPr="0044114E">
        <w:rPr>
          <w:rFonts w:ascii="Times New Roman" w:hAnsi="Times New Roman"/>
          <w:i/>
          <w:sz w:val="24"/>
        </w:rPr>
        <w:t xml:space="preserve">Yale Law Journal </w:t>
      </w:r>
      <w:r w:rsidRPr="0044114E">
        <w:rPr>
          <w:rFonts w:ascii="Times New Roman" w:hAnsi="Times New Roman"/>
          <w:sz w:val="24"/>
        </w:rPr>
        <w:t xml:space="preserve">16 at 30-31, 37-38; Douglas and McFarlane, "Defining Property Rights", in Penner and Smith (eds), </w:t>
      </w:r>
      <w:r w:rsidRPr="0044114E">
        <w:rPr>
          <w:rFonts w:ascii="Times New Roman" w:hAnsi="Times New Roman"/>
          <w:i/>
          <w:sz w:val="24"/>
        </w:rPr>
        <w:t>Philosophical Foundations of Property Law</w:t>
      </w:r>
      <w:r w:rsidRPr="0044114E">
        <w:rPr>
          <w:rFonts w:ascii="Times New Roman" w:hAnsi="Times New Roman"/>
          <w:sz w:val="24"/>
        </w:rPr>
        <w:t xml:space="preserve"> (2013) 219 at 226-228. cf </w:t>
      </w:r>
      <w:r w:rsidRPr="0044114E">
        <w:rPr>
          <w:rFonts w:ascii="Times New Roman" w:hAnsi="Times New Roman"/>
          <w:i/>
          <w:sz w:val="24"/>
        </w:rPr>
        <w:t xml:space="preserve">Fejo v Northern Territory </w:t>
      </w:r>
      <w:r w:rsidRPr="0044114E">
        <w:rPr>
          <w:rFonts w:ascii="Times New Roman" w:hAnsi="Times New Roman"/>
          <w:sz w:val="24"/>
        </w:rPr>
        <w:t xml:space="preserve">(1998) 195 CLR 96 at 126 [43], 128 [47]; </w:t>
      </w:r>
      <w:r w:rsidRPr="0044114E">
        <w:rPr>
          <w:rFonts w:ascii="Times New Roman" w:hAnsi="Times New Roman"/>
          <w:i/>
          <w:sz w:val="24"/>
        </w:rPr>
        <w:t xml:space="preserve">Western Australia v Brown </w:t>
      </w:r>
      <w:r w:rsidRPr="0044114E">
        <w:rPr>
          <w:rFonts w:ascii="Times New Roman" w:hAnsi="Times New Roman"/>
          <w:sz w:val="24"/>
        </w:rPr>
        <w:t>(2014) 253 CLR 507 at 522 [36].</w:t>
      </w:r>
    </w:p>
  </w:footnote>
  <w:footnote w:id="244">
    <w:p w14:paraId="0F7689D2"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United Wire </w:t>
      </w:r>
      <w:r w:rsidRPr="0044114E">
        <w:rPr>
          <w:rFonts w:ascii="Times New Roman" w:hAnsi="Times New Roman"/>
          <w:sz w:val="24"/>
        </w:rPr>
        <w:t>[2001] RPC 439 at 458 [68].</w:t>
      </w:r>
    </w:p>
  </w:footnote>
  <w:footnote w:id="245">
    <w:p w14:paraId="5191F4E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sz w:val="24"/>
        </w:rPr>
        <w:t xml:space="preserve">cf </w:t>
      </w:r>
      <w:r w:rsidRPr="0044114E">
        <w:rPr>
          <w:rFonts w:ascii="Times New Roman" w:hAnsi="Times New Roman"/>
          <w:i/>
          <w:sz w:val="24"/>
        </w:rPr>
        <w:t>Patents Act 1990</w:t>
      </w:r>
      <w:r w:rsidRPr="0044114E">
        <w:rPr>
          <w:rFonts w:ascii="Times New Roman" w:hAnsi="Times New Roman"/>
          <w:sz w:val="24"/>
        </w:rPr>
        <w:t>, s 13.</w:t>
      </w:r>
    </w:p>
  </w:footnote>
  <w:footnote w:id="246">
    <w:p w14:paraId="676C79C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 xml:space="preserve">Menck (PC) </w:t>
      </w:r>
      <w:r w:rsidRPr="0044114E">
        <w:rPr>
          <w:rFonts w:ascii="Times New Roman" w:hAnsi="Times New Roman"/>
          <w:sz w:val="24"/>
        </w:rPr>
        <w:t>(1911) 12 CLR 15; [1911] AC 336.</w:t>
      </w:r>
    </w:p>
  </w:footnote>
  <w:footnote w:id="247">
    <w:p w14:paraId="47880AC0"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United Wire </w:t>
      </w:r>
      <w:r w:rsidRPr="0044114E">
        <w:rPr>
          <w:rFonts w:ascii="Times New Roman" w:hAnsi="Times New Roman"/>
          <w:sz w:val="24"/>
        </w:rPr>
        <w:t xml:space="preserve">[2001] RPC 439 at 458 [69]. See also </w:t>
      </w:r>
      <w:r w:rsidRPr="0044114E">
        <w:rPr>
          <w:rFonts w:ascii="Times New Roman" w:hAnsi="Times New Roman"/>
          <w:i/>
          <w:sz w:val="24"/>
        </w:rPr>
        <w:t>Lexmark</w:t>
      </w:r>
      <w:r w:rsidRPr="0044114E">
        <w:rPr>
          <w:rFonts w:ascii="Times New Roman" w:hAnsi="Times New Roman"/>
          <w:sz w:val="24"/>
        </w:rPr>
        <w:t xml:space="preserve"> (2017) 137 S Ct 1523 at 1532</w:t>
      </w:r>
      <w:r w:rsidRPr="0044114E">
        <w:rPr>
          <w:rFonts w:ascii="Times New Roman" w:hAnsi="Times New Roman"/>
          <w:sz w:val="24"/>
        </w:rPr>
        <w:noBreakHyphen/>
        <w:t>1534.</w:t>
      </w:r>
    </w:p>
  </w:footnote>
  <w:footnote w:id="248">
    <w:p w14:paraId="49114A95"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Lexmark </w:t>
      </w:r>
      <w:r w:rsidRPr="0044114E">
        <w:rPr>
          <w:rFonts w:ascii="Times New Roman" w:hAnsi="Times New Roman"/>
          <w:sz w:val="24"/>
        </w:rPr>
        <w:t>(2017) 137 S Ct 1523 at 1531</w:t>
      </w:r>
      <w:r w:rsidRPr="0044114E">
        <w:rPr>
          <w:rFonts w:ascii="Times New Roman" w:hAnsi="Times New Roman"/>
          <w:sz w:val="24"/>
        </w:rPr>
        <w:noBreakHyphen/>
        <w:t>1532.</w:t>
      </w:r>
    </w:p>
  </w:footnote>
  <w:footnote w:id="249">
    <w:p w14:paraId="37670002"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 xml:space="preserve">United Wire </w:t>
      </w:r>
      <w:r w:rsidRPr="0044114E">
        <w:rPr>
          <w:rFonts w:ascii="Times New Roman" w:hAnsi="Times New Roman"/>
          <w:sz w:val="24"/>
        </w:rPr>
        <w:t>[2001] RPC 439 at 458 [69].</w:t>
      </w:r>
    </w:p>
  </w:footnote>
  <w:footnote w:id="250">
    <w:p w14:paraId="05782A51"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[2001] RPC 439 at 458 [69].</w:t>
      </w:r>
    </w:p>
  </w:footnote>
  <w:footnote w:id="251">
    <w:p w14:paraId="6DFC13E1"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(1911) 12 CLR 15; [1911] AC 336.</w:t>
      </w:r>
    </w:p>
  </w:footnote>
  <w:footnote w:id="252">
    <w:p w14:paraId="7A939040"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(PC) </w:t>
      </w:r>
      <w:r w:rsidRPr="0044114E">
        <w:rPr>
          <w:rFonts w:ascii="Times New Roman" w:hAnsi="Times New Roman"/>
          <w:sz w:val="24"/>
        </w:rPr>
        <w:t>(1911) 12 CLR 15 at 22; [1911] AC 336 at 347.</w:t>
      </w:r>
    </w:p>
  </w:footnote>
  <w:footnote w:id="253">
    <w:p w14:paraId="0A11EEA6"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 xml:space="preserve">Taddy &amp; Co v Sterious &amp; Co </w:t>
      </w:r>
      <w:r w:rsidRPr="0044114E">
        <w:rPr>
          <w:rFonts w:ascii="Times New Roman" w:hAnsi="Times New Roman"/>
          <w:sz w:val="24"/>
        </w:rPr>
        <w:t xml:space="preserve">[1904] 1 Ch 354 at 358; </w:t>
      </w:r>
      <w:r w:rsidRPr="0044114E">
        <w:rPr>
          <w:rFonts w:ascii="Times New Roman" w:hAnsi="Times New Roman"/>
          <w:i/>
          <w:sz w:val="24"/>
        </w:rPr>
        <w:t xml:space="preserve">McGruther v Pitcher </w:t>
      </w:r>
      <w:r w:rsidRPr="0044114E">
        <w:rPr>
          <w:rFonts w:ascii="Times New Roman" w:hAnsi="Times New Roman"/>
          <w:sz w:val="24"/>
        </w:rPr>
        <w:t xml:space="preserve">[1904] 2 Ch 306 at 309-310; </w:t>
      </w:r>
      <w:r w:rsidRPr="0044114E">
        <w:rPr>
          <w:rFonts w:ascii="Times New Roman" w:hAnsi="Times New Roman"/>
          <w:i/>
          <w:sz w:val="24"/>
        </w:rPr>
        <w:t xml:space="preserve">Dunlop Pneumatic Tyre Co Ltd v Selfridge and Co Ltd </w:t>
      </w:r>
      <w:r w:rsidRPr="0044114E">
        <w:rPr>
          <w:rFonts w:ascii="Times New Roman" w:hAnsi="Times New Roman"/>
          <w:sz w:val="24"/>
        </w:rPr>
        <w:t xml:space="preserve">[1915] AC 847 at 860, 865; </w:t>
      </w:r>
      <w:r w:rsidRPr="0044114E">
        <w:rPr>
          <w:rFonts w:ascii="Times New Roman" w:hAnsi="Times New Roman"/>
          <w:i/>
          <w:sz w:val="24"/>
        </w:rPr>
        <w:t xml:space="preserve">Barker v Stickney </w:t>
      </w:r>
      <w:r w:rsidRPr="0044114E">
        <w:rPr>
          <w:rFonts w:ascii="Times New Roman" w:hAnsi="Times New Roman"/>
          <w:sz w:val="24"/>
        </w:rPr>
        <w:t xml:space="preserve">[1918] 2 KB 356 at 359. See also </w:t>
      </w:r>
      <w:r w:rsidRPr="0044114E">
        <w:rPr>
          <w:rFonts w:ascii="Times New Roman" w:hAnsi="Times New Roman"/>
          <w:i/>
          <w:sz w:val="24"/>
        </w:rPr>
        <w:t xml:space="preserve">Menck (HCA) </w:t>
      </w:r>
      <w:r w:rsidRPr="0044114E">
        <w:rPr>
          <w:rFonts w:ascii="Times New Roman" w:hAnsi="Times New Roman"/>
          <w:sz w:val="24"/>
        </w:rPr>
        <w:t>(1908) 7 CLR 481 at 510, 527</w:t>
      </w:r>
      <w:r w:rsidRPr="0044114E">
        <w:rPr>
          <w:rFonts w:ascii="Times New Roman" w:hAnsi="Times New Roman"/>
          <w:sz w:val="24"/>
        </w:rPr>
        <w:noBreakHyphen/>
        <w:t>528, 538.</w:t>
      </w:r>
    </w:p>
  </w:footnote>
  <w:footnote w:id="254">
    <w:p w14:paraId="6CFD1278"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Menck (PC)</w:t>
      </w:r>
      <w:r w:rsidRPr="0044114E">
        <w:rPr>
          <w:rFonts w:ascii="Times New Roman" w:hAnsi="Times New Roman"/>
          <w:sz w:val="24"/>
        </w:rPr>
        <w:t xml:space="preserve"> (1911) 12 CLR 15 at 22; [1911] AC 336 at 347.</w:t>
      </w:r>
    </w:p>
  </w:footnote>
  <w:footnote w:id="255">
    <w:p w14:paraId="43BA8054"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(PC) </w:t>
      </w:r>
      <w:r w:rsidRPr="0044114E">
        <w:rPr>
          <w:rFonts w:ascii="Times New Roman" w:hAnsi="Times New Roman"/>
          <w:sz w:val="24"/>
        </w:rPr>
        <w:t>(1911) 12 CLR 15 at 17; [1911] AC 336 at 342.</w:t>
      </w:r>
    </w:p>
  </w:footnote>
  <w:footnote w:id="256">
    <w:p w14:paraId="64D9DE5F"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(PC) </w:t>
      </w:r>
      <w:r w:rsidRPr="0044114E">
        <w:rPr>
          <w:rFonts w:ascii="Times New Roman" w:hAnsi="Times New Roman"/>
          <w:sz w:val="24"/>
        </w:rPr>
        <w:t>(1911) 12 CLR 15 at 23-24; [1911] AC 336 at 348</w:t>
      </w:r>
      <w:r w:rsidRPr="0044114E">
        <w:rPr>
          <w:rFonts w:ascii="Times New Roman" w:hAnsi="Times New Roman"/>
          <w:sz w:val="24"/>
        </w:rPr>
        <w:noBreakHyphen/>
        <w:t>349.</w:t>
      </w:r>
    </w:p>
  </w:footnote>
  <w:footnote w:id="257">
    <w:p w14:paraId="1534C3C6"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(PC) </w:t>
      </w:r>
      <w:r w:rsidRPr="0044114E">
        <w:rPr>
          <w:rFonts w:ascii="Times New Roman" w:hAnsi="Times New Roman"/>
          <w:sz w:val="24"/>
        </w:rPr>
        <w:t>(1911) 12 CLR 15 at 24; [1911] AC 336 at 349.</w:t>
      </w:r>
    </w:p>
  </w:footnote>
  <w:footnote w:id="258">
    <w:p w14:paraId="24472D91"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(PC) </w:t>
      </w:r>
      <w:r w:rsidRPr="0044114E">
        <w:rPr>
          <w:rFonts w:ascii="Times New Roman" w:hAnsi="Times New Roman"/>
          <w:sz w:val="24"/>
        </w:rPr>
        <w:t>(1911) 12 CLR 15 at 22</w:t>
      </w:r>
      <w:r w:rsidRPr="0044114E">
        <w:rPr>
          <w:rFonts w:ascii="Times New Roman" w:hAnsi="Times New Roman"/>
          <w:sz w:val="24"/>
        </w:rPr>
        <w:noBreakHyphen/>
        <w:t>23; [1911] AC 336 at 347</w:t>
      </w:r>
      <w:r w:rsidRPr="0044114E">
        <w:rPr>
          <w:rFonts w:ascii="Times New Roman" w:hAnsi="Times New Roman"/>
          <w:sz w:val="24"/>
        </w:rPr>
        <w:noBreakHyphen/>
        <w:t xml:space="preserve">348. See also </w:t>
      </w:r>
      <w:r w:rsidRPr="0044114E">
        <w:rPr>
          <w:rFonts w:ascii="Times New Roman" w:hAnsi="Times New Roman"/>
          <w:i/>
          <w:sz w:val="24"/>
        </w:rPr>
        <w:t xml:space="preserve">Menck (HCA) </w:t>
      </w:r>
      <w:r w:rsidRPr="0044114E">
        <w:rPr>
          <w:rFonts w:ascii="Times New Roman" w:hAnsi="Times New Roman"/>
          <w:sz w:val="24"/>
        </w:rPr>
        <w:t xml:space="preserve">(1908) 7 CLR 481 at 534, citing </w:t>
      </w:r>
      <w:r w:rsidRPr="0044114E">
        <w:rPr>
          <w:rFonts w:ascii="Times New Roman" w:hAnsi="Times New Roman"/>
          <w:i/>
          <w:sz w:val="24"/>
        </w:rPr>
        <w:t xml:space="preserve">Incandescent Gas Light Co Ltd v Cantelo </w:t>
      </w:r>
      <w:r w:rsidRPr="0044114E">
        <w:rPr>
          <w:rFonts w:ascii="Times New Roman" w:hAnsi="Times New Roman"/>
          <w:sz w:val="24"/>
        </w:rPr>
        <w:t xml:space="preserve">(1895) 12 RPC 262; </w:t>
      </w:r>
      <w:r w:rsidRPr="0044114E">
        <w:rPr>
          <w:rFonts w:ascii="Times New Roman" w:hAnsi="Times New Roman"/>
          <w:i/>
          <w:sz w:val="24"/>
        </w:rPr>
        <w:t xml:space="preserve">Incandescent Gas Light Co Ltd v Brogden </w:t>
      </w:r>
      <w:r w:rsidRPr="0044114E">
        <w:rPr>
          <w:rFonts w:ascii="Times New Roman" w:hAnsi="Times New Roman"/>
          <w:sz w:val="24"/>
        </w:rPr>
        <w:t xml:space="preserve">(1899) 16 RPC 179; </w:t>
      </w:r>
      <w:r w:rsidRPr="0044114E">
        <w:rPr>
          <w:rFonts w:ascii="Times New Roman" w:hAnsi="Times New Roman"/>
          <w:i/>
          <w:sz w:val="24"/>
        </w:rPr>
        <w:t xml:space="preserve">British Mutoscope and Biograph Co Ltd v Homer </w:t>
      </w:r>
      <w:r w:rsidRPr="0044114E">
        <w:rPr>
          <w:rFonts w:ascii="Times New Roman" w:hAnsi="Times New Roman"/>
          <w:sz w:val="24"/>
        </w:rPr>
        <w:t xml:space="preserve">[1901] 1 Ch 671; </w:t>
      </w:r>
      <w:r w:rsidRPr="0044114E">
        <w:rPr>
          <w:rFonts w:ascii="Times New Roman" w:hAnsi="Times New Roman"/>
          <w:i/>
          <w:sz w:val="24"/>
        </w:rPr>
        <w:t xml:space="preserve">McGruther </w:t>
      </w:r>
      <w:r w:rsidRPr="0044114E">
        <w:rPr>
          <w:rFonts w:ascii="Times New Roman" w:hAnsi="Times New Roman"/>
          <w:sz w:val="24"/>
        </w:rPr>
        <w:t xml:space="preserve">[1904] 2 Ch 306 at 312; </w:t>
      </w:r>
      <w:r w:rsidRPr="0044114E">
        <w:rPr>
          <w:rFonts w:ascii="Times New Roman" w:hAnsi="Times New Roman"/>
          <w:i/>
          <w:sz w:val="24"/>
        </w:rPr>
        <w:t xml:space="preserve">Badische Anilin und Soda Fabrik v Isler </w:t>
      </w:r>
      <w:r w:rsidRPr="0044114E">
        <w:rPr>
          <w:rFonts w:ascii="Times New Roman" w:hAnsi="Times New Roman"/>
          <w:sz w:val="24"/>
        </w:rPr>
        <w:t xml:space="preserve">[1906] 1 Ch 605; Frost, </w:t>
      </w:r>
      <w:r w:rsidRPr="0044114E">
        <w:rPr>
          <w:rFonts w:ascii="Times New Roman" w:hAnsi="Times New Roman"/>
          <w:i/>
          <w:sz w:val="24"/>
        </w:rPr>
        <w:t>Treatise on the Law and Practice relating to Letters Patent for Inventions</w:t>
      </w:r>
      <w:r w:rsidRPr="0044114E">
        <w:rPr>
          <w:rFonts w:ascii="Times New Roman" w:hAnsi="Times New Roman"/>
          <w:sz w:val="24"/>
        </w:rPr>
        <w:t>, 3rd ed (1906), vol 1 at 377</w:t>
      </w:r>
      <w:r w:rsidRPr="0044114E">
        <w:rPr>
          <w:rFonts w:ascii="Times New Roman" w:hAnsi="Times New Roman"/>
          <w:sz w:val="24"/>
        </w:rPr>
        <w:noBreakHyphen/>
        <w:t>379; Wallace and Williamson,</w:t>
      </w:r>
      <w:r w:rsidRPr="0044114E">
        <w:rPr>
          <w:rFonts w:ascii="Times New Roman" w:hAnsi="Times New Roman"/>
          <w:i/>
          <w:sz w:val="24"/>
        </w:rPr>
        <w:t xml:space="preserve"> The Law and Practice relating to Letters Patent for Inventions </w:t>
      </w:r>
      <w:r w:rsidRPr="0044114E">
        <w:rPr>
          <w:rFonts w:ascii="Times New Roman" w:hAnsi="Times New Roman"/>
          <w:sz w:val="24"/>
        </w:rPr>
        <w:t>(1900) at 339.</w:t>
      </w:r>
    </w:p>
  </w:footnote>
  <w:footnote w:id="259">
    <w:p w14:paraId="59ABD4B6"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(1908) 7 CLR 481.</w:t>
      </w:r>
    </w:p>
  </w:footnote>
  <w:footnote w:id="260">
    <w:p w14:paraId="300C3D6F"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(HCA) </w:t>
      </w:r>
      <w:r w:rsidRPr="0044114E">
        <w:rPr>
          <w:rFonts w:ascii="Times New Roman" w:hAnsi="Times New Roman"/>
          <w:sz w:val="24"/>
        </w:rPr>
        <w:t>(1908) 7 CLR 481 at 508.</w:t>
      </w:r>
    </w:p>
  </w:footnote>
  <w:footnote w:id="261">
    <w:p w14:paraId="609D93B4"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(HCA) </w:t>
      </w:r>
      <w:r w:rsidRPr="0044114E">
        <w:rPr>
          <w:rFonts w:ascii="Times New Roman" w:hAnsi="Times New Roman"/>
          <w:sz w:val="24"/>
        </w:rPr>
        <w:t>(1908) 7 CLR 481 at 508</w:t>
      </w:r>
      <w:r w:rsidRPr="0044114E">
        <w:rPr>
          <w:rFonts w:ascii="Times New Roman" w:hAnsi="Times New Roman"/>
          <w:sz w:val="24"/>
        </w:rPr>
        <w:noBreakHyphen/>
        <w:t>515.</w:t>
      </w:r>
    </w:p>
  </w:footnote>
  <w:footnote w:id="262">
    <w:p w14:paraId="18384C11"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 xml:space="preserve">Hall </w:t>
      </w:r>
      <w:r w:rsidRPr="0044114E">
        <w:rPr>
          <w:rFonts w:ascii="Times New Roman" w:hAnsi="Times New Roman"/>
          <w:sz w:val="24"/>
        </w:rPr>
        <w:t xml:space="preserve">(1960) 104 CLR 206 at 218, citing </w:t>
      </w:r>
      <w:r w:rsidRPr="0044114E">
        <w:rPr>
          <w:rFonts w:ascii="Times New Roman" w:hAnsi="Times New Roman"/>
          <w:i/>
          <w:sz w:val="24"/>
        </w:rPr>
        <w:t xml:space="preserve">In re Ridley; Buckton v Hay </w:t>
      </w:r>
      <w:r w:rsidRPr="0044114E">
        <w:rPr>
          <w:rFonts w:ascii="Times New Roman" w:hAnsi="Times New Roman"/>
          <w:sz w:val="24"/>
        </w:rPr>
        <w:t xml:space="preserve">(1879) 11 Ch D 645 at 648-649; </w:t>
      </w:r>
      <w:r w:rsidRPr="0044114E">
        <w:rPr>
          <w:rFonts w:ascii="Times New Roman" w:hAnsi="Times New Roman"/>
          <w:i/>
          <w:sz w:val="24"/>
        </w:rPr>
        <w:t xml:space="preserve">Nullagine Investments Pty Ltd v Western Australian Club Inc </w:t>
      </w:r>
      <w:r w:rsidRPr="0044114E">
        <w:rPr>
          <w:rFonts w:ascii="Times New Roman" w:hAnsi="Times New Roman"/>
          <w:sz w:val="24"/>
        </w:rPr>
        <w:t>(1993) 177 CLR 635 at 649.</w:t>
      </w:r>
    </w:p>
  </w:footnote>
  <w:footnote w:id="263">
    <w:p w14:paraId="42CADC5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(PC) </w:t>
      </w:r>
      <w:r w:rsidRPr="0044114E">
        <w:rPr>
          <w:rFonts w:ascii="Times New Roman" w:hAnsi="Times New Roman"/>
          <w:sz w:val="24"/>
        </w:rPr>
        <w:t>(1911) 12 CLR 15 at 21; [1911] AC 336 at 346.</w:t>
      </w:r>
    </w:p>
  </w:footnote>
  <w:footnote w:id="264">
    <w:p w14:paraId="7B73462C"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(HCA) </w:t>
      </w:r>
      <w:r w:rsidRPr="0044114E">
        <w:rPr>
          <w:rFonts w:ascii="Times New Roman" w:hAnsi="Times New Roman"/>
          <w:sz w:val="24"/>
        </w:rPr>
        <w:t>(1908) 7 CLR 481 at 508</w:t>
      </w:r>
      <w:r w:rsidRPr="0044114E">
        <w:rPr>
          <w:rFonts w:ascii="Times New Roman" w:hAnsi="Times New Roman"/>
          <w:sz w:val="24"/>
        </w:rPr>
        <w:noBreakHyphen/>
        <w:t>509, 519, 525</w:t>
      </w:r>
      <w:r w:rsidRPr="0044114E">
        <w:rPr>
          <w:rFonts w:ascii="Times New Roman" w:hAnsi="Times New Roman"/>
          <w:sz w:val="24"/>
        </w:rPr>
        <w:noBreakHyphen/>
        <w:t>527, 531, 537</w:t>
      </w:r>
      <w:r w:rsidRPr="0044114E">
        <w:rPr>
          <w:rFonts w:ascii="Times New Roman" w:hAnsi="Times New Roman"/>
          <w:sz w:val="24"/>
        </w:rPr>
        <w:noBreakHyphen/>
        <w:t xml:space="preserve">539, 543; </w:t>
      </w:r>
      <w:r w:rsidRPr="0044114E">
        <w:rPr>
          <w:rFonts w:ascii="Times New Roman" w:hAnsi="Times New Roman"/>
          <w:i/>
          <w:sz w:val="24"/>
        </w:rPr>
        <w:t xml:space="preserve">Menck (PC) </w:t>
      </w:r>
      <w:r w:rsidRPr="0044114E">
        <w:rPr>
          <w:rFonts w:ascii="Times New Roman" w:hAnsi="Times New Roman"/>
          <w:sz w:val="24"/>
        </w:rPr>
        <w:t>(1911) 12 CLR 15 at 28; [1911] AC 336 at 353.</w:t>
      </w:r>
    </w:p>
  </w:footnote>
  <w:footnote w:id="265">
    <w:p w14:paraId="10580704"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(PC) </w:t>
      </w:r>
      <w:r w:rsidRPr="0044114E">
        <w:rPr>
          <w:rFonts w:ascii="Times New Roman" w:hAnsi="Times New Roman"/>
          <w:sz w:val="24"/>
        </w:rPr>
        <w:t>(1911) 12 CLR 15 at 24; [1911] AC 336 at 349.</w:t>
      </w:r>
    </w:p>
  </w:footnote>
  <w:footnote w:id="266">
    <w:p w14:paraId="1C11CFD7"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(HCA) </w:t>
      </w:r>
      <w:r w:rsidRPr="0044114E">
        <w:rPr>
          <w:rFonts w:ascii="Times New Roman" w:hAnsi="Times New Roman"/>
          <w:sz w:val="24"/>
        </w:rPr>
        <w:t>(1908) 7 CLR 481 at 538</w:t>
      </w:r>
      <w:r w:rsidRPr="0044114E">
        <w:rPr>
          <w:rFonts w:ascii="Times New Roman" w:hAnsi="Times New Roman"/>
          <w:sz w:val="24"/>
        </w:rPr>
        <w:noBreakHyphen/>
        <w:t>539;</w:t>
      </w:r>
      <w:r w:rsidRPr="0044114E">
        <w:rPr>
          <w:rFonts w:ascii="Times New Roman" w:hAnsi="Times New Roman"/>
          <w:i/>
          <w:sz w:val="24"/>
        </w:rPr>
        <w:t xml:space="preserve"> Menck (PC) </w:t>
      </w:r>
      <w:r w:rsidRPr="0044114E">
        <w:rPr>
          <w:rFonts w:ascii="Times New Roman" w:hAnsi="Times New Roman"/>
          <w:sz w:val="24"/>
        </w:rPr>
        <w:t>(1911) 12 CLR 15 at 24; [1911] AC 336 at 349.</w:t>
      </w:r>
    </w:p>
  </w:footnote>
  <w:footnote w:id="267">
    <w:p w14:paraId="725F2519"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ab/>
      </w:r>
      <w:r w:rsidRPr="0044114E">
        <w:rPr>
          <w:rFonts w:ascii="Times New Roman" w:hAnsi="Times New Roman"/>
          <w:i/>
          <w:sz w:val="24"/>
        </w:rPr>
        <w:t xml:space="preserve">Menck (HCA) </w:t>
      </w:r>
      <w:r w:rsidRPr="0044114E">
        <w:rPr>
          <w:rFonts w:ascii="Times New Roman" w:hAnsi="Times New Roman"/>
          <w:sz w:val="24"/>
        </w:rPr>
        <w:t>(1908) 7 CLR 481 at 508.</w:t>
      </w:r>
    </w:p>
  </w:footnote>
  <w:footnote w:id="268">
    <w:p w14:paraId="471F208D"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(HCA) </w:t>
      </w:r>
      <w:r w:rsidRPr="0044114E">
        <w:rPr>
          <w:rFonts w:ascii="Times New Roman" w:hAnsi="Times New Roman"/>
          <w:sz w:val="24"/>
        </w:rPr>
        <w:t>(1908) 7 CLR 481 at 509.</w:t>
      </w:r>
    </w:p>
  </w:footnote>
  <w:footnote w:id="269">
    <w:p w14:paraId="10308D6E"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ab/>
        <w:t>(1842) 4 Man &amp; G 580 [134 ER 239].</w:t>
      </w:r>
    </w:p>
  </w:footnote>
  <w:footnote w:id="270">
    <w:p w14:paraId="31AE5E06"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ab/>
        <w:t>(1864) 68 US 340 at 351.</w:t>
      </w:r>
    </w:p>
  </w:footnote>
  <w:footnote w:id="271">
    <w:p w14:paraId="0959D457"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ab/>
      </w:r>
      <w:r w:rsidRPr="0044114E">
        <w:rPr>
          <w:rFonts w:ascii="Times New Roman" w:hAnsi="Times New Roman"/>
          <w:i/>
          <w:sz w:val="24"/>
        </w:rPr>
        <w:t xml:space="preserve">Menck (HCA) </w:t>
      </w:r>
      <w:r w:rsidRPr="0044114E">
        <w:rPr>
          <w:rFonts w:ascii="Times New Roman" w:hAnsi="Times New Roman"/>
          <w:sz w:val="24"/>
        </w:rPr>
        <w:t xml:space="preserve">(1908) 7 CLR 481 at 509, citing </w:t>
      </w:r>
      <w:r w:rsidRPr="0044114E">
        <w:rPr>
          <w:rFonts w:ascii="Times New Roman" w:hAnsi="Times New Roman"/>
          <w:i/>
          <w:sz w:val="24"/>
        </w:rPr>
        <w:t xml:space="preserve">Crane </w:t>
      </w:r>
      <w:r w:rsidRPr="0044114E">
        <w:rPr>
          <w:rFonts w:ascii="Times New Roman" w:hAnsi="Times New Roman"/>
          <w:sz w:val="24"/>
        </w:rPr>
        <w:t>(1842) 4 Man &amp; G 580 [134</w:t>
      </w:r>
      <w:r>
        <w:rPr>
          <w:rFonts w:ascii="Times New Roman" w:hAnsi="Times New Roman"/>
          <w:sz w:val="24"/>
        </w:rPr>
        <w:t> </w:t>
      </w:r>
      <w:r w:rsidRPr="0044114E">
        <w:rPr>
          <w:rFonts w:ascii="Times New Roman" w:hAnsi="Times New Roman"/>
          <w:sz w:val="24"/>
        </w:rPr>
        <w:t xml:space="preserve">ER 239] as reported in Webster, </w:t>
      </w:r>
      <w:r w:rsidRPr="0044114E">
        <w:rPr>
          <w:rFonts w:ascii="Times New Roman" w:hAnsi="Times New Roman"/>
          <w:i/>
          <w:sz w:val="24"/>
        </w:rPr>
        <w:t xml:space="preserve">Reports and Notes of Cases on Letters Patent for Inventions </w:t>
      </w:r>
      <w:r w:rsidRPr="0044114E">
        <w:rPr>
          <w:rFonts w:ascii="Times New Roman" w:hAnsi="Times New Roman"/>
          <w:sz w:val="24"/>
        </w:rPr>
        <w:t>(1844) at 413 fn (p).</w:t>
      </w:r>
    </w:p>
  </w:footnote>
  <w:footnote w:id="272">
    <w:p w14:paraId="5633BE02"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(HCA) </w:t>
      </w:r>
      <w:r w:rsidRPr="0044114E">
        <w:rPr>
          <w:rFonts w:ascii="Times New Roman" w:hAnsi="Times New Roman"/>
          <w:sz w:val="24"/>
        </w:rPr>
        <w:t>(1908) 7 CLR 481 at 510.</w:t>
      </w:r>
    </w:p>
  </w:footnote>
  <w:footnote w:id="273">
    <w:p w14:paraId="1A0D399B"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ab/>
      </w:r>
      <w:r w:rsidRPr="0044114E">
        <w:rPr>
          <w:rFonts w:ascii="Times New Roman" w:hAnsi="Times New Roman"/>
          <w:i/>
          <w:sz w:val="24"/>
        </w:rPr>
        <w:t xml:space="preserve">Menck (HCA) </w:t>
      </w:r>
      <w:r w:rsidRPr="0044114E">
        <w:rPr>
          <w:rFonts w:ascii="Times New Roman" w:hAnsi="Times New Roman"/>
          <w:sz w:val="24"/>
        </w:rPr>
        <w:t>(1908) 7 CLR 481 at 512.</w:t>
      </w:r>
    </w:p>
  </w:footnote>
  <w:footnote w:id="274">
    <w:p w14:paraId="0867B1D9"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ab/>
      </w:r>
      <w:r w:rsidRPr="0044114E">
        <w:rPr>
          <w:rFonts w:ascii="Times New Roman" w:hAnsi="Times New Roman"/>
          <w:i/>
          <w:sz w:val="24"/>
        </w:rPr>
        <w:t xml:space="preserve">Menck (HCA) </w:t>
      </w:r>
      <w:r w:rsidRPr="0044114E">
        <w:rPr>
          <w:rFonts w:ascii="Times New Roman" w:hAnsi="Times New Roman"/>
          <w:sz w:val="24"/>
        </w:rPr>
        <w:t>(1908) 7 CLR 481 at 512.</w:t>
      </w:r>
    </w:p>
  </w:footnote>
  <w:footnote w:id="275">
    <w:p w14:paraId="0D1E90B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Terrell, </w:t>
      </w:r>
      <w:r w:rsidRPr="0044114E">
        <w:rPr>
          <w:rFonts w:ascii="Times New Roman" w:hAnsi="Times New Roman"/>
          <w:i/>
          <w:sz w:val="24"/>
        </w:rPr>
        <w:t>The Law and Practice relating to Letters Patent for Inventions</w:t>
      </w:r>
      <w:r w:rsidRPr="0044114E">
        <w:rPr>
          <w:rFonts w:ascii="Times New Roman" w:hAnsi="Times New Roman"/>
          <w:sz w:val="24"/>
        </w:rPr>
        <w:t>, 4th ed (1906) at 106.</w:t>
      </w:r>
    </w:p>
  </w:footnote>
  <w:footnote w:id="276">
    <w:p w14:paraId="68A1E5B6"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See [</w:t>
      </w:r>
      <w:r>
        <w:rPr>
          <w:rFonts w:ascii="Times New Roman" w:hAnsi="Times New Roman"/>
          <w:sz w:val="24"/>
        </w:rPr>
        <w:t>155</w:t>
      </w:r>
      <w:r w:rsidRPr="0044114E">
        <w:rPr>
          <w:rFonts w:ascii="Times New Roman" w:hAnsi="Times New Roman"/>
          <w:sz w:val="24"/>
        </w:rPr>
        <w:t>]</w:t>
      </w:r>
      <w:r w:rsidRPr="0044114E">
        <w:rPr>
          <w:rFonts w:ascii="Times New Roman" w:hAnsi="Times New Roman"/>
          <w:sz w:val="24"/>
        </w:rPr>
        <w:noBreakHyphen/>
        <w:t>[</w:t>
      </w:r>
      <w:r>
        <w:rPr>
          <w:rFonts w:ascii="Times New Roman" w:hAnsi="Times New Roman"/>
          <w:sz w:val="24"/>
        </w:rPr>
        <w:t>160</w:t>
      </w:r>
      <w:r w:rsidRPr="0044114E">
        <w:rPr>
          <w:rFonts w:ascii="Times New Roman" w:hAnsi="Times New Roman"/>
          <w:sz w:val="24"/>
        </w:rPr>
        <w:t>] above.</w:t>
      </w:r>
    </w:p>
  </w:footnote>
  <w:footnote w:id="277">
    <w:p w14:paraId="25F66A49"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See [</w:t>
      </w:r>
      <w:r>
        <w:rPr>
          <w:rFonts w:ascii="Times New Roman" w:hAnsi="Times New Roman"/>
          <w:sz w:val="24"/>
        </w:rPr>
        <w:t>157</w:t>
      </w:r>
      <w:r w:rsidRPr="0044114E">
        <w:rPr>
          <w:rFonts w:ascii="Times New Roman" w:hAnsi="Times New Roman"/>
          <w:sz w:val="24"/>
        </w:rPr>
        <w:t>] above.</w:t>
      </w:r>
    </w:p>
  </w:footnote>
  <w:footnote w:id="278">
    <w:p w14:paraId="79582CF6"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(1865) LR 1 Ch App 29 at 33. See also </w:t>
      </w:r>
      <w:r w:rsidRPr="0044114E">
        <w:rPr>
          <w:rFonts w:ascii="Times New Roman" w:hAnsi="Times New Roman"/>
          <w:i/>
          <w:sz w:val="24"/>
        </w:rPr>
        <w:t>Steers v Rogers</w:t>
      </w:r>
      <w:r w:rsidRPr="0044114E">
        <w:rPr>
          <w:rFonts w:ascii="Times New Roman" w:hAnsi="Times New Roman"/>
          <w:sz w:val="24"/>
        </w:rPr>
        <w:t xml:space="preserve"> [1893] AC 232 at 235.</w:t>
      </w:r>
    </w:p>
  </w:footnote>
  <w:footnote w:id="279">
    <w:p w14:paraId="46C1CD48"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[1893] AC 232 at 235.</w:t>
      </w:r>
    </w:p>
  </w:footnote>
  <w:footnote w:id="280">
    <w:p w14:paraId="13ED1D00"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(1865) LR 1 Ch App 29.</w:t>
      </w:r>
    </w:p>
  </w:footnote>
  <w:footnote w:id="281">
    <w:p w14:paraId="0A7E3450"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Steers</w:t>
      </w:r>
      <w:r w:rsidRPr="0044114E">
        <w:rPr>
          <w:rFonts w:ascii="Times New Roman" w:hAnsi="Times New Roman"/>
          <w:sz w:val="24"/>
        </w:rPr>
        <w:t xml:space="preserve"> [1893] AC 232 at 234</w:t>
      </w:r>
      <w:r w:rsidRPr="0044114E">
        <w:rPr>
          <w:rFonts w:ascii="Times New Roman" w:hAnsi="Times New Roman"/>
          <w:sz w:val="24"/>
        </w:rPr>
        <w:noBreakHyphen/>
        <w:t>235.</w:t>
      </w:r>
    </w:p>
  </w:footnote>
  <w:footnote w:id="282">
    <w:p w14:paraId="26A99417"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(1897) 14 RPC 701 at 710.</w:t>
      </w:r>
    </w:p>
  </w:footnote>
  <w:footnote w:id="283">
    <w:p w14:paraId="52A30494" w14:textId="77777777" w:rsidR="0047638A" w:rsidRPr="0044114E" w:rsidRDefault="0047638A" w:rsidP="00261C63">
      <w:pPr>
        <w:pStyle w:val="FootnoteText"/>
        <w:spacing w:line="280" w:lineRule="exact"/>
        <w:ind w:right="0"/>
        <w:jc w:val="both"/>
        <w:rPr>
          <w:rFonts w:ascii="Times New Roman" w:hAnsi="Times New Roman"/>
          <w:i/>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(1897) 14 RPC 701 at 710.</w:t>
      </w:r>
    </w:p>
  </w:footnote>
  <w:footnote w:id="284">
    <w:p w14:paraId="52F393E1"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Basset </w:t>
      </w:r>
      <w:r w:rsidRPr="0044114E">
        <w:rPr>
          <w:rFonts w:ascii="Times New Roman" w:hAnsi="Times New Roman"/>
          <w:sz w:val="24"/>
        </w:rPr>
        <w:t>(1897) 14 RPC 701 at 713.</w:t>
      </w:r>
    </w:p>
  </w:footnote>
  <w:footnote w:id="285">
    <w:p w14:paraId="657D1114"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(HCA) </w:t>
      </w:r>
      <w:r w:rsidRPr="0044114E">
        <w:rPr>
          <w:rFonts w:ascii="Times New Roman" w:hAnsi="Times New Roman"/>
          <w:sz w:val="24"/>
        </w:rPr>
        <w:t>(1908) 7 CLR 481 at 534.</w:t>
      </w:r>
    </w:p>
  </w:footnote>
  <w:footnote w:id="286">
    <w:p w14:paraId="0A050D27"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Menck (HCA)</w:t>
      </w:r>
      <w:r w:rsidRPr="0044114E">
        <w:rPr>
          <w:rFonts w:ascii="Times New Roman" w:hAnsi="Times New Roman"/>
          <w:sz w:val="24"/>
        </w:rPr>
        <w:t xml:space="preserve"> (1908) 7 CLR 481 at 536.</w:t>
      </w:r>
    </w:p>
  </w:footnote>
  <w:footnote w:id="287">
    <w:p w14:paraId="7ED63F52"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[1900] 2 Ch 659 at 663.</w:t>
      </w:r>
    </w:p>
  </w:footnote>
  <w:footnote w:id="288">
    <w:p w14:paraId="7C4828CB"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Menck (HCA)</w:t>
      </w:r>
      <w:r w:rsidRPr="0044114E">
        <w:rPr>
          <w:rFonts w:ascii="Times New Roman" w:hAnsi="Times New Roman"/>
          <w:sz w:val="24"/>
        </w:rPr>
        <w:t xml:space="preserve"> (1908) 7 CLR 481 at 535 (emphasis in original).</w:t>
      </w:r>
    </w:p>
  </w:footnote>
  <w:footnote w:id="289">
    <w:p w14:paraId="7751E542"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(1908) 7 CLR 481 at 535.</w:t>
      </w:r>
    </w:p>
  </w:footnote>
  <w:footnote w:id="290">
    <w:p w14:paraId="1BD51C60"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 xml:space="preserve">Menck (HCA) </w:t>
      </w:r>
      <w:r w:rsidRPr="0044114E">
        <w:rPr>
          <w:rFonts w:ascii="Times New Roman" w:hAnsi="Times New Roman"/>
          <w:sz w:val="24"/>
        </w:rPr>
        <w:t>(1908) 7 CLR 481 at 512</w:t>
      </w:r>
      <w:r w:rsidRPr="0044114E">
        <w:rPr>
          <w:rFonts w:ascii="Times New Roman" w:hAnsi="Times New Roman"/>
          <w:sz w:val="24"/>
        </w:rPr>
        <w:noBreakHyphen/>
        <w:t>519.</w:t>
      </w:r>
    </w:p>
  </w:footnote>
  <w:footnote w:id="291">
    <w:p w14:paraId="59AE4B0B"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 xml:space="preserve">Menck (HCA) </w:t>
      </w:r>
      <w:r w:rsidRPr="0044114E">
        <w:rPr>
          <w:rFonts w:ascii="Times New Roman" w:hAnsi="Times New Roman"/>
          <w:sz w:val="24"/>
        </w:rPr>
        <w:t>(1908) 7 CLR 481 at 533</w:t>
      </w:r>
      <w:r w:rsidRPr="0044114E">
        <w:rPr>
          <w:rFonts w:ascii="Times New Roman" w:hAnsi="Times New Roman"/>
          <w:sz w:val="24"/>
        </w:rPr>
        <w:noBreakHyphen/>
        <w:t xml:space="preserve">539; </w:t>
      </w:r>
      <w:r w:rsidRPr="0044114E">
        <w:rPr>
          <w:rFonts w:ascii="Times New Roman" w:hAnsi="Times New Roman"/>
          <w:i/>
          <w:sz w:val="24"/>
        </w:rPr>
        <w:t xml:space="preserve">Menck (PC) </w:t>
      </w:r>
      <w:r w:rsidRPr="0044114E">
        <w:rPr>
          <w:rFonts w:ascii="Times New Roman" w:hAnsi="Times New Roman"/>
          <w:sz w:val="24"/>
        </w:rPr>
        <w:t>(1911) 12 CLR 15 at 26</w:t>
      </w:r>
      <w:r w:rsidRPr="0044114E">
        <w:rPr>
          <w:rFonts w:ascii="Times New Roman" w:hAnsi="Times New Roman"/>
          <w:sz w:val="24"/>
        </w:rPr>
        <w:noBreakHyphen/>
        <w:t>28; [1911] AC 336 at 351</w:t>
      </w:r>
      <w:r w:rsidRPr="0044114E">
        <w:rPr>
          <w:rFonts w:ascii="Times New Roman" w:hAnsi="Times New Roman"/>
          <w:sz w:val="24"/>
        </w:rPr>
        <w:noBreakHyphen/>
        <w:t>353.</w:t>
      </w:r>
    </w:p>
  </w:footnote>
  <w:footnote w:id="292">
    <w:p w14:paraId="0E81B95E"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(HCA) </w:t>
      </w:r>
      <w:r w:rsidRPr="0044114E">
        <w:rPr>
          <w:rFonts w:ascii="Times New Roman" w:hAnsi="Times New Roman"/>
          <w:sz w:val="24"/>
        </w:rPr>
        <w:t>(1908) 7 CLR 481 at 538</w:t>
      </w:r>
      <w:r w:rsidRPr="0044114E">
        <w:rPr>
          <w:rFonts w:ascii="Times New Roman" w:hAnsi="Times New Roman"/>
          <w:sz w:val="24"/>
        </w:rPr>
        <w:noBreakHyphen/>
        <w:t>539.</w:t>
      </w:r>
    </w:p>
  </w:footnote>
  <w:footnote w:id="293">
    <w:p w14:paraId="21B112DB"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See [</w:t>
      </w:r>
      <w:r>
        <w:rPr>
          <w:rFonts w:ascii="Times New Roman" w:hAnsi="Times New Roman"/>
          <w:sz w:val="24"/>
        </w:rPr>
        <w:t>154</w:t>
      </w:r>
      <w:r w:rsidRPr="0044114E">
        <w:rPr>
          <w:rFonts w:ascii="Times New Roman" w:hAnsi="Times New Roman"/>
          <w:sz w:val="24"/>
        </w:rPr>
        <w:t>]-[</w:t>
      </w:r>
      <w:r>
        <w:rPr>
          <w:rFonts w:ascii="Times New Roman" w:hAnsi="Times New Roman"/>
          <w:sz w:val="24"/>
        </w:rPr>
        <w:t>164</w:t>
      </w:r>
      <w:r w:rsidRPr="0044114E">
        <w:rPr>
          <w:rFonts w:ascii="Times New Roman" w:hAnsi="Times New Roman"/>
          <w:sz w:val="24"/>
        </w:rPr>
        <w:t>] above.</w:t>
      </w:r>
    </w:p>
  </w:footnote>
  <w:footnote w:id="294">
    <w:p w14:paraId="212D2EE2"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(1911) 12 CLR 15 at 22; [1911] AC 336 at 347.</w:t>
      </w:r>
    </w:p>
  </w:footnote>
  <w:footnote w:id="295">
    <w:p w14:paraId="5D6C46F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(HCA) </w:t>
      </w:r>
      <w:r w:rsidRPr="0044114E">
        <w:rPr>
          <w:rFonts w:ascii="Times New Roman" w:hAnsi="Times New Roman"/>
          <w:sz w:val="24"/>
        </w:rPr>
        <w:t>(1908) 7 CLR 481 at 508.</w:t>
      </w:r>
    </w:p>
  </w:footnote>
  <w:footnote w:id="296">
    <w:p w14:paraId="1DEBCB79"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Coke, </w:t>
      </w:r>
      <w:r w:rsidRPr="0044114E">
        <w:rPr>
          <w:rFonts w:ascii="Times New Roman" w:hAnsi="Times New Roman"/>
          <w:i/>
          <w:sz w:val="24"/>
        </w:rPr>
        <w:t>The</w:t>
      </w:r>
      <w:r w:rsidRPr="0044114E">
        <w:rPr>
          <w:rFonts w:ascii="Times New Roman" w:hAnsi="Times New Roman"/>
          <w:sz w:val="24"/>
        </w:rPr>
        <w:t xml:space="preserve"> </w:t>
      </w:r>
      <w:r w:rsidRPr="0044114E">
        <w:rPr>
          <w:rFonts w:ascii="Times New Roman" w:hAnsi="Times New Roman"/>
          <w:i/>
          <w:sz w:val="24"/>
        </w:rPr>
        <w:t>Third Part of the Institutes of the Laws of England</w:t>
      </w:r>
      <w:r w:rsidRPr="0044114E">
        <w:rPr>
          <w:rFonts w:ascii="Times New Roman" w:hAnsi="Times New Roman"/>
          <w:sz w:val="24"/>
        </w:rPr>
        <w:t xml:space="preserve"> (1644), c 85 at 181.</w:t>
      </w:r>
    </w:p>
  </w:footnote>
  <w:footnote w:id="297">
    <w:p w14:paraId="79E9B4F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sz w:val="24"/>
        </w:rPr>
        <w:t xml:space="preserve">cf </w:t>
      </w:r>
      <w:r w:rsidRPr="0044114E">
        <w:rPr>
          <w:rFonts w:ascii="Times New Roman" w:hAnsi="Times New Roman"/>
          <w:i/>
          <w:sz w:val="24"/>
        </w:rPr>
        <w:t>Baume v</w:t>
      </w:r>
      <w:r w:rsidRPr="0044114E">
        <w:rPr>
          <w:rFonts w:ascii="Times New Roman" w:hAnsi="Times New Roman"/>
          <w:sz w:val="24"/>
        </w:rPr>
        <w:t xml:space="preserve"> </w:t>
      </w:r>
      <w:r w:rsidRPr="0044114E">
        <w:rPr>
          <w:rFonts w:ascii="Times New Roman" w:hAnsi="Times New Roman"/>
          <w:i/>
          <w:sz w:val="24"/>
        </w:rPr>
        <w:t xml:space="preserve">The Commonwealth </w:t>
      </w:r>
      <w:r w:rsidRPr="0044114E">
        <w:rPr>
          <w:rFonts w:ascii="Times New Roman" w:hAnsi="Times New Roman"/>
          <w:sz w:val="24"/>
        </w:rPr>
        <w:t xml:space="preserve">(1906) 4 CLR 97 at 112; </w:t>
      </w:r>
      <w:r w:rsidRPr="0044114E">
        <w:rPr>
          <w:rFonts w:ascii="Times New Roman" w:hAnsi="Times New Roman"/>
          <w:i/>
          <w:sz w:val="24"/>
        </w:rPr>
        <w:t xml:space="preserve">Leon Fink Holdings Pty Ltd v Australian Film Commission </w:t>
      </w:r>
      <w:r w:rsidRPr="0044114E">
        <w:rPr>
          <w:rFonts w:ascii="Times New Roman" w:hAnsi="Times New Roman"/>
          <w:sz w:val="24"/>
        </w:rPr>
        <w:t>(1979) 141 CLR 672 at 679.</w:t>
      </w:r>
    </w:p>
  </w:footnote>
  <w:footnote w:id="298">
    <w:p w14:paraId="15CFBFDF"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[1906] 1 Ch 605 at 610, quoted in </w:t>
      </w:r>
      <w:r w:rsidRPr="0044114E">
        <w:rPr>
          <w:rFonts w:ascii="Times New Roman" w:hAnsi="Times New Roman"/>
          <w:i/>
          <w:sz w:val="24"/>
        </w:rPr>
        <w:t>Interstate Parcel Express Co Pty Ltd v Time</w:t>
      </w:r>
      <w:r w:rsidRPr="0044114E">
        <w:rPr>
          <w:rFonts w:ascii="Times New Roman" w:hAnsi="Times New Roman"/>
          <w:i/>
          <w:sz w:val="24"/>
        </w:rPr>
        <w:noBreakHyphen/>
        <w:t>Life International (</w:t>
      </w:r>
      <w:r w:rsidRPr="0044114E">
        <w:rPr>
          <w:rFonts w:ascii="Times New Roman" w:hAnsi="Times New Roman"/>
          <w:i/>
          <w:sz w:val="24"/>
        </w:rPr>
        <w:t xml:space="preserve">Nederlands) BV </w:t>
      </w:r>
      <w:r w:rsidRPr="0044114E">
        <w:rPr>
          <w:rFonts w:ascii="Times New Roman" w:hAnsi="Times New Roman"/>
          <w:sz w:val="24"/>
        </w:rPr>
        <w:t>(1977) 138 CLR 534 at 541</w:t>
      </w:r>
      <w:r w:rsidRPr="0044114E">
        <w:rPr>
          <w:rFonts w:ascii="Times New Roman" w:hAnsi="Times New Roman"/>
          <w:sz w:val="24"/>
        </w:rPr>
        <w:noBreakHyphen/>
        <w:t>542.</w:t>
      </w:r>
    </w:p>
  </w:footnote>
  <w:footnote w:id="299">
    <w:p w14:paraId="5E008F9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sz w:val="24"/>
        </w:rPr>
        <w:t xml:space="preserve">cf </w:t>
      </w:r>
      <w:r w:rsidRPr="0044114E">
        <w:rPr>
          <w:rFonts w:ascii="Times New Roman" w:hAnsi="Times New Roman"/>
          <w:i/>
          <w:sz w:val="24"/>
        </w:rPr>
        <w:t xml:space="preserve">Menck (HCA) </w:t>
      </w:r>
      <w:r w:rsidRPr="0044114E">
        <w:rPr>
          <w:rFonts w:ascii="Times New Roman" w:hAnsi="Times New Roman"/>
          <w:sz w:val="24"/>
        </w:rPr>
        <w:t>(1908) 7 CLR 481 at 517</w:t>
      </w:r>
      <w:r w:rsidRPr="0044114E">
        <w:rPr>
          <w:rFonts w:ascii="Times New Roman" w:hAnsi="Times New Roman"/>
          <w:sz w:val="24"/>
        </w:rPr>
        <w:noBreakHyphen/>
        <w:t>518.</w:t>
      </w:r>
    </w:p>
  </w:footnote>
  <w:footnote w:id="300">
    <w:p w14:paraId="5690D1C5"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(1977) 138 CLR 534.</w:t>
      </w:r>
    </w:p>
  </w:footnote>
  <w:footnote w:id="301">
    <w:p w14:paraId="0CCC4477"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(1977) 138 CLR 534 at 542.</w:t>
      </w:r>
    </w:p>
  </w:footnote>
  <w:footnote w:id="302">
    <w:p w14:paraId="136B512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Time-Life International</w:t>
      </w:r>
      <w:r w:rsidRPr="0044114E">
        <w:rPr>
          <w:rFonts w:ascii="Times New Roman" w:hAnsi="Times New Roman"/>
          <w:sz w:val="24"/>
        </w:rPr>
        <w:t xml:space="preserve"> (1977) 138 CLR 534 at 542.</w:t>
      </w:r>
    </w:p>
  </w:footnote>
  <w:footnote w:id="303">
    <w:p w14:paraId="17157A1F"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sz w:val="24"/>
        </w:rPr>
        <w:t xml:space="preserve">eg, </w:t>
      </w:r>
      <w:r w:rsidRPr="0044114E">
        <w:rPr>
          <w:rFonts w:ascii="Times New Roman" w:hAnsi="Times New Roman"/>
          <w:i/>
          <w:sz w:val="24"/>
        </w:rPr>
        <w:t>Columbia Graphophone Co v Vanner</w:t>
      </w:r>
      <w:r w:rsidRPr="0044114E">
        <w:rPr>
          <w:rFonts w:ascii="Times New Roman" w:hAnsi="Times New Roman"/>
          <w:sz w:val="24"/>
        </w:rPr>
        <w:t xml:space="preserve"> (1916) 33 RPC 104 at 106; </w:t>
      </w:r>
      <w:r w:rsidRPr="0044114E">
        <w:rPr>
          <w:rFonts w:ascii="Times New Roman" w:hAnsi="Times New Roman"/>
          <w:i/>
          <w:sz w:val="24"/>
        </w:rPr>
        <w:t>Columbia Graphophone Co Ltd v Murray</w:t>
      </w:r>
      <w:r w:rsidRPr="0044114E">
        <w:rPr>
          <w:rFonts w:ascii="Times New Roman" w:hAnsi="Times New Roman"/>
          <w:sz w:val="24"/>
        </w:rPr>
        <w:t xml:space="preserve"> (1922) 39 RPC 239 at 241; </w:t>
      </w:r>
      <w:r w:rsidRPr="0044114E">
        <w:rPr>
          <w:rFonts w:ascii="Times New Roman" w:hAnsi="Times New Roman"/>
          <w:i/>
          <w:sz w:val="24"/>
        </w:rPr>
        <w:t>Columbia Graphophone Co Ltd v Thoms</w:t>
      </w:r>
      <w:r w:rsidRPr="0044114E">
        <w:rPr>
          <w:rFonts w:ascii="Times New Roman" w:hAnsi="Times New Roman"/>
          <w:sz w:val="24"/>
        </w:rPr>
        <w:t xml:space="preserve"> (1924) 41 RPC 294 at 296; </w:t>
      </w:r>
      <w:r w:rsidRPr="0044114E">
        <w:rPr>
          <w:rFonts w:ascii="Times New Roman" w:hAnsi="Times New Roman"/>
          <w:i/>
          <w:sz w:val="24"/>
        </w:rPr>
        <w:t>The Chloride Electrical Storage Co Ltd v Silvia Wireless Stores</w:t>
      </w:r>
      <w:r w:rsidRPr="0044114E">
        <w:rPr>
          <w:rFonts w:ascii="Times New Roman" w:hAnsi="Times New Roman"/>
          <w:sz w:val="24"/>
        </w:rPr>
        <w:t xml:space="preserve"> (1931) 48 RPC 468 at 470; </w:t>
      </w:r>
      <w:r w:rsidRPr="0044114E">
        <w:rPr>
          <w:rFonts w:ascii="Times New Roman" w:hAnsi="Times New Roman"/>
          <w:i/>
          <w:sz w:val="24"/>
        </w:rPr>
        <w:t>Gillette Industries Ltd v Bernstein</w:t>
      </w:r>
      <w:r w:rsidRPr="0044114E">
        <w:rPr>
          <w:rFonts w:ascii="Times New Roman" w:hAnsi="Times New Roman"/>
          <w:sz w:val="24"/>
        </w:rPr>
        <w:t xml:space="preserve"> (1941) 58 RPC 271 at 278-279; </w:t>
      </w:r>
      <w:r w:rsidRPr="0044114E">
        <w:rPr>
          <w:rFonts w:ascii="Times New Roman" w:hAnsi="Times New Roman"/>
          <w:i/>
          <w:sz w:val="24"/>
        </w:rPr>
        <w:t xml:space="preserve">Dunlop Rubber Co Ltd v Longlife Battery Depot </w:t>
      </w:r>
      <w:r w:rsidRPr="0044114E">
        <w:rPr>
          <w:rFonts w:ascii="Times New Roman" w:hAnsi="Times New Roman"/>
          <w:sz w:val="24"/>
        </w:rPr>
        <w:t xml:space="preserve">[1958] RPC 473 at 476; </w:t>
      </w:r>
      <w:r w:rsidRPr="0044114E">
        <w:rPr>
          <w:rFonts w:ascii="Times New Roman" w:hAnsi="Times New Roman"/>
          <w:i/>
          <w:sz w:val="24"/>
        </w:rPr>
        <w:t>Sterling Drug Inc v C H Beck Ltd</w:t>
      </w:r>
      <w:r w:rsidRPr="0044114E">
        <w:rPr>
          <w:rFonts w:ascii="Times New Roman" w:hAnsi="Times New Roman"/>
          <w:sz w:val="24"/>
        </w:rPr>
        <w:t xml:space="preserve"> [1973] RPC 915 at 917-918; </w:t>
      </w:r>
      <w:r w:rsidRPr="0044114E">
        <w:rPr>
          <w:rFonts w:ascii="Times New Roman" w:hAnsi="Times New Roman"/>
          <w:i/>
          <w:sz w:val="24"/>
        </w:rPr>
        <w:t xml:space="preserve">Solar Thomson </w:t>
      </w:r>
      <w:r w:rsidRPr="0044114E">
        <w:rPr>
          <w:rFonts w:ascii="Times New Roman" w:hAnsi="Times New Roman"/>
          <w:sz w:val="24"/>
        </w:rPr>
        <w:t>[1977] RPC 537 at 554</w:t>
      </w:r>
      <w:r w:rsidRPr="0044114E">
        <w:rPr>
          <w:rFonts w:ascii="Times New Roman" w:hAnsi="Times New Roman"/>
          <w:sz w:val="24"/>
        </w:rPr>
        <w:noBreakHyphen/>
        <w:t xml:space="preserve">555; </w:t>
      </w:r>
      <w:r w:rsidRPr="0044114E">
        <w:rPr>
          <w:rFonts w:ascii="Times New Roman" w:hAnsi="Times New Roman"/>
          <w:i/>
          <w:sz w:val="24"/>
        </w:rPr>
        <w:t xml:space="preserve">Dellareed Ltd v Delkim Developments </w:t>
      </w:r>
      <w:r w:rsidRPr="0044114E">
        <w:rPr>
          <w:rFonts w:ascii="Times New Roman" w:hAnsi="Times New Roman"/>
          <w:sz w:val="24"/>
        </w:rPr>
        <w:t>[1988] FSR 329 at 345</w:t>
      </w:r>
      <w:r w:rsidRPr="0044114E">
        <w:rPr>
          <w:rFonts w:ascii="Times New Roman" w:hAnsi="Times New Roman"/>
          <w:sz w:val="24"/>
        </w:rPr>
        <w:noBreakHyphen/>
        <w:t xml:space="preserve">347; </w:t>
      </w:r>
      <w:r w:rsidRPr="0044114E">
        <w:rPr>
          <w:rFonts w:ascii="Times New Roman" w:hAnsi="Times New Roman"/>
          <w:i/>
          <w:sz w:val="24"/>
        </w:rPr>
        <w:t>Roussel UCLAF SA v Hockley International</w:t>
      </w:r>
      <w:r w:rsidRPr="0044114E">
        <w:rPr>
          <w:rFonts w:ascii="Times New Roman" w:hAnsi="Times New Roman"/>
          <w:sz w:val="24"/>
        </w:rPr>
        <w:t xml:space="preserve"> </w:t>
      </w:r>
      <w:r w:rsidRPr="0044114E">
        <w:rPr>
          <w:rFonts w:ascii="Times New Roman" w:hAnsi="Times New Roman"/>
          <w:i/>
          <w:sz w:val="24"/>
        </w:rPr>
        <w:t>Ltd</w:t>
      </w:r>
      <w:r w:rsidRPr="0044114E">
        <w:rPr>
          <w:rFonts w:ascii="Times New Roman" w:hAnsi="Times New Roman"/>
          <w:sz w:val="24"/>
        </w:rPr>
        <w:t xml:space="preserve"> [1996] RPC 441 at 443-445; </w:t>
      </w:r>
      <w:r w:rsidRPr="0044114E">
        <w:rPr>
          <w:rFonts w:ascii="Times New Roman" w:hAnsi="Times New Roman"/>
          <w:i/>
          <w:sz w:val="24"/>
        </w:rPr>
        <w:t xml:space="preserve">United Wire </w:t>
      </w:r>
      <w:r w:rsidRPr="0044114E">
        <w:rPr>
          <w:rFonts w:ascii="Times New Roman" w:hAnsi="Times New Roman"/>
          <w:sz w:val="24"/>
        </w:rPr>
        <w:t>[2001] RPC 439 at 458</w:t>
      </w:r>
      <w:r w:rsidRPr="0044114E">
        <w:rPr>
          <w:rFonts w:ascii="Times New Roman" w:hAnsi="Times New Roman"/>
          <w:sz w:val="24"/>
        </w:rPr>
        <w:noBreakHyphen/>
        <w:t>459 [68]</w:t>
      </w:r>
      <w:r w:rsidRPr="0044114E">
        <w:rPr>
          <w:rFonts w:ascii="Times New Roman" w:hAnsi="Times New Roman"/>
          <w:sz w:val="24"/>
        </w:rPr>
        <w:noBreakHyphen/>
        <w:t xml:space="preserve">[72]; </w:t>
      </w:r>
      <w:r w:rsidRPr="0044114E">
        <w:rPr>
          <w:rFonts w:ascii="Times New Roman" w:hAnsi="Times New Roman"/>
          <w:i/>
          <w:sz w:val="24"/>
        </w:rPr>
        <w:t>Schütz</w:t>
      </w:r>
      <w:r w:rsidRPr="0044114E">
        <w:rPr>
          <w:rFonts w:ascii="Times New Roman" w:hAnsi="Times New Roman"/>
          <w:sz w:val="24"/>
        </w:rPr>
        <w:t xml:space="preserve"> [2013] RPC 395 at 413 [66]; </w:t>
      </w:r>
      <w:r w:rsidRPr="0044114E">
        <w:rPr>
          <w:rFonts w:ascii="Times New Roman" w:hAnsi="Times New Roman"/>
          <w:i/>
          <w:sz w:val="24"/>
        </w:rPr>
        <w:t>HTC Corporation v Nokia Corporation</w:t>
      </w:r>
      <w:r w:rsidRPr="0044114E">
        <w:rPr>
          <w:rFonts w:ascii="Times New Roman" w:hAnsi="Times New Roman"/>
          <w:sz w:val="24"/>
        </w:rPr>
        <w:t xml:space="preserve"> [2014] RPC 577 at 582-583 [154]-[156], 585 [165].</w:t>
      </w:r>
    </w:p>
  </w:footnote>
  <w:footnote w:id="304">
    <w:p w14:paraId="2DFAC424"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sz w:val="24"/>
        </w:rPr>
        <w:t xml:space="preserve">eg, </w:t>
      </w:r>
      <w:r w:rsidRPr="0044114E">
        <w:rPr>
          <w:rFonts w:ascii="Times New Roman" w:hAnsi="Times New Roman"/>
          <w:i/>
          <w:sz w:val="24"/>
        </w:rPr>
        <w:t>Columbia Gramophone Co Ltd v Fossey</w:t>
      </w:r>
      <w:r w:rsidRPr="0044114E">
        <w:rPr>
          <w:rFonts w:ascii="Times New Roman" w:hAnsi="Times New Roman"/>
          <w:sz w:val="24"/>
        </w:rPr>
        <w:t xml:space="preserve"> (1927) 27 SR (NSW) 246 at 249</w:t>
      </w:r>
      <w:r>
        <w:rPr>
          <w:rFonts w:ascii="Times New Roman" w:hAnsi="Times New Roman"/>
          <w:sz w:val="24"/>
        </w:rPr>
        <w:noBreakHyphen/>
      </w:r>
      <w:r w:rsidRPr="0044114E">
        <w:rPr>
          <w:rFonts w:ascii="Times New Roman" w:hAnsi="Times New Roman"/>
          <w:sz w:val="24"/>
        </w:rPr>
        <w:t xml:space="preserve">251; </w:t>
      </w:r>
      <w:r w:rsidRPr="0044114E">
        <w:rPr>
          <w:rFonts w:ascii="Times New Roman" w:hAnsi="Times New Roman"/>
          <w:i/>
          <w:sz w:val="24"/>
        </w:rPr>
        <w:t>Time</w:t>
      </w:r>
      <w:r w:rsidRPr="0044114E">
        <w:rPr>
          <w:rFonts w:ascii="Times New Roman" w:hAnsi="Times New Roman"/>
          <w:i/>
          <w:sz w:val="24"/>
        </w:rPr>
        <w:noBreakHyphen/>
        <w:t>Life International</w:t>
      </w:r>
      <w:r w:rsidRPr="0044114E">
        <w:rPr>
          <w:rFonts w:ascii="Times New Roman" w:hAnsi="Times New Roman"/>
          <w:sz w:val="24"/>
        </w:rPr>
        <w:t xml:space="preserve"> (1977) 138 CLR 534 at 541</w:t>
      </w:r>
      <w:r w:rsidRPr="0044114E">
        <w:rPr>
          <w:rFonts w:ascii="Times New Roman" w:hAnsi="Times New Roman"/>
          <w:sz w:val="24"/>
        </w:rPr>
        <w:noBreakHyphen/>
        <w:t>542, 549</w:t>
      </w:r>
      <w:r w:rsidRPr="0044114E">
        <w:rPr>
          <w:rFonts w:ascii="Times New Roman" w:hAnsi="Times New Roman"/>
          <w:sz w:val="24"/>
        </w:rPr>
        <w:noBreakHyphen/>
        <w:t xml:space="preserve">550; </w:t>
      </w:r>
      <w:r w:rsidRPr="0044114E">
        <w:rPr>
          <w:rFonts w:ascii="Times New Roman" w:hAnsi="Times New Roman"/>
          <w:i/>
          <w:sz w:val="24"/>
        </w:rPr>
        <w:t>Computermate Products (Aust) Pty Ltd v Ozi</w:t>
      </w:r>
      <w:r w:rsidRPr="0044114E">
        <w:rPr>
          <w:rFonts w:ascii="Times New Roman" w:hAnsi="Times New Roman"/>
          <w:i/>
          <w:sz w:val="24"/>
        </w:rPr>
        <w:noBreakHyphen/>
        <w:t xml:space="preserve">Soft Pty Ltd </w:t>
      </w:r>
      <w:r w:rsidRPr="0044114E">
        <w:rPr>
          <w:rFonts w:ascii="Times New Roman" w:hAnsi="Times New Roman"/>
          <w:sz w:val="24"/>
        </w:rPr>
        <w:t>(1988) 20 FCR 46 at 50</w:t>
      </w:r>
      <w:r w:rsidRPr="0044114E">
        <w:rPr>
          <w:rFonts w:ascii="Times New Roman" w:hAnsi="Times New Roman"/>
          <w:sz w:val="24"/>
        </w:rPr>
        <w:noBreakHyphen/>
        <w:t xml:space="preserve">51; </w:t>
      </w:r>
      <w:r w:rsidRPr="0044114E">
        <w:rPr>
          <w:rFonts w:ascii="Times New Roman" w:hAnsi="Times New Roman"/>
          <w:i/>
          <w:sz w:val="24"/>
        </w:rPr>
        <w:t xml:space="preserve">Levi Strauss &amp; Co v Wingate Marketing Pty Ltd </w:t>
      </w:r>
      <w:r w:rsidRPr="0044114E">
        <w:rPr>
          <w:rFonts w:ascii="Times New Roman" w:hAnsi="Times New Roman"/>
          <w:sz w:val="24"/>
        </w:rPr>
        <w:t xml:space="preserve">(1993) 43 FCR 344 at 370; </w:t>
      </w:r>
      <w:r w:rsidRPr="0044114E">
        <w:rPr>
          <w:rFonts w:ascii="Times New Roman" w:hAnsi="Times New Roman"/>
          <w:i/>
          <w:sz w:val="24"/>
        </w:rPr>
        <w:t xml:space="preserve">Grain Pool of Western Australia v The Commonwealth </w:t>
      </w:r>
      <w:r w:rsidRPr="0044114E">
        <w:rPr>
          <w:rFonts w:ascii="Times New Roman" w:hAnsi="Times New Roman"/>
          <w:sz w:val="24"/>
        </w:rPr>
        <w:t>(2000) 202 CLR 479 at 513</w:t>
      </w:r>
      <w:r w:rsidRPr="0044114E">
        <w:rPr>
          <w:rFonts w:ascii="Times New Roman" w:hAnsi="Times New Roman"/>
          <w:sz w:val="24"/>
        </w:rPr>
        <w:noBreakHyphen/>
        <w:t>514 [83]</w:t>
      </w:r>
      <w:r w:rsidRPr="0044114E">
        <w:rPr>
          <w:rFonts w:ascii="Times New Roman" w:hAnsi="Times New Roman"/>
          <w:sz w:val="24"/>
        </w:rPr>
        <w:noBreakHyphen/>
        <w:t xml:space="preserve">[84]; </w:t>
      </w:r>
      <w:r w:rsidRPr="0044114E">
        <w:rPr>
          <w:rFonts w:ascii="Times New Roman" w:hAnsi="Times New Roman"/>
          <w:i/>
          <w:sz w:val="24"/>
        </w:rPr>
        <w:t xml:space="preserve">Austshade Pty Ltd v Boss Shade Pty Ltd </w:t>
      </w:r>
      <w:r w:rsidRPr="0044114E">
        <w:rPr>
          <w:rFonts w:ascii="Times New Roman" w:hAnsi="Times New Roman"/>
          <w:sz w:val="24"/>
        </w:rPr>
        <w:t xml:space="preserve">(2016) 118 IPR 93 at 116-119 [78]-[82]; </w:t>
      </w:r>
      <w:r w:rsidRPr="0044114E">
        <w:rPr>
          <w:rFonts w:ascii="Times New Roman" w:hAnsi="Times New Roman"/>
          <w:i/>
          <w:sz w:val="24"/>
        </w:rPr>
        <w:t>Australian Competition and Consumer Commission v Pfizer Australia Pty Ltd</w:t>
      </w:r>
      <w:r w:rsidRPr="0044114E">
        <w:rPr>
          <w:rFonts w:ascii="Times New Roman" w:hAnsi="Times New Roman"/>
          <w:sz w:val="24"/>
        </w:rPr>
        <w:t xml:space="preserve"> (2018) 356 ALR 582 at 729-730 [592]-[594].</w:t>
      </w:r>
    </w:p>
  </w:footnote>
  <w:footnote w:id="305">
    <w:p w14:paraId="08435A7F"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sz w:val="24"/>
        </w:rPr>
        <w:t>eg, Moulton,</w:t>
      </w:r>
      <w:r w:rsidRPr="0044114E">
        <w:rPr>
          <w:rFonts w:ascii="Times New Roman" w:hAnsi="Times New Roman"/>
          <w:i/>
          <w:sz w:val="24"/>
        </w:rPr>
        <w:t xml:space="preserve"> The Present Law and Practice relating to Letters Patent for Inventions</w:t>
      </w:r>
      <w:r w:rsidRPr="0044114E">
        <w:rPr>
          <w:rFonts w:ascii="Times New Roman" w:hAnsi="Times New Roman"/>
          <w:sz w:val="24"/>
        </w:rPr>
        <w:t xml:space="preserve"> (1913) at 161-163; </w:t>
      </w:r>
      <w:r w:rsidRPr="0044114E">
        <w:rPr>
          <w:rFonts w:ascii="Times New Roman" w:hAnsi="Times New Roman"/>
          <w:i/>
          <w:sz w:val="24"/>
        </w:rPr>
        <w:t>Terrell on the Law of Patents</w:t>
      </w:r>
      <w:r w:rsidRPr="0044114E">
        <w:rPr>
          <w:rFonts w:ascii="Times New Roman" w:hAnsi="Times New Roman"/>
          <w:sz w:val="24"/>
        </w:rPr>
        <w:t>, 6th ed (1921) at 150</w:t>
      </w:r>
      <w:r>
        <w:rPr>
          <w:rFonts w:ascii="Times New Roman" w:hAnsi="Times New Roman"/>
          <w:sz w:val="24"/>
        </w:rPr>
        <w:noBreakHyphen/>
      </w:r>
      <w:r w:rsidRPr="0044114E">
        <w:rPr>
          <w:rFonts w:ascii="Times New Roman" w:hAnsi="Times New Roman"/>
          <w:sz w:val="24"/>
        </w:rPr>
        <w:t>151, 232-233; 7th ed (1927) at 173, 249; 8th ed (1934) at 183</w:t>
      </w:r>
      <w:r w:rsidRPr="0044114E">
        <w:rPr>
          <w:rFonts w:ascii="Times New Roman" w:hAnsi="Times New Roman"/>
          <w:sz w:val="24"/>
        </w:rPr>
        <w:noBreakHyphen/>
        <w:t>184, 273; 9th ed (1951) at 165-166, 264; 10th ed (1961) at 148-149, 240</w:t>
      </w:r>
      <w:r w:rsidRPr="0044114E">
        <w:rPr>
          <w:rFonts w:ascii="Times New Roman" w:hAnsi="Times New Roman"/>
          <w:sz w:val="24"/>
        </w:rPr>
        <w:noBreakHyphen/>
        <w:t>241; 11th ed (1965) at 152</w:t>
      </w:r>
      <w:r>
        <w:rPr>
          <w:rFonts w:ascii="Times New Roman" w:hAnsi="Times New Roman"/>
          <w:sz w:val="24"/>
        </w:rPr>
        <w:noBreakHyphen/>
      </w:r>
      <w:r w:rsidRPr="0044114E">
        <w:rPr>
          <w:rFonts w:ascii="Times New Roman" w:hAnsi="Times New Roman"/>
          <w:sz w:val="24"/>
        </w:rPr>
        <w:t>153 [380]</w:t>
      </w:r>
      <w:r w:rsidRPr="0044114E">
        <w:rPr>
          <w:rFonts w:ascii="Times New Roman" w:hAnsi="Times New Roman"/>
          <w:sz w:val="24"/>
        </w:rPr>
        <w:noBreakHyphen/>
        <w:t>[382]; 12th ed (1971) at 158</w:t>
      </w:r>
      <w:r w:rsidRPr="0044114E">
        <w:rPr>
          <w:rFonts w:ascii="Times New Roman" w:hAnsi="Times New Roman"/>
          <w:sz w:val="24"/>
        </w:rPr>
        <w:noBreakHyphen/>
        <w:t>159 [381]-[383]; 13th ed (1982) at 277</w:t>
      </w:r>
      <w:r>
        <w:rPr>
          <w:rFonts w:ascii="Times New Roman" w:hAnsi="Times New Roman"/>
          <w:sz w:val="24"/>
        </w:rPr>
        <w:noBreakHyphen/>
      </w:r>
      <w:r w:rsidRPr="0044114E">
        <w:rPr>
          <w:rFonts w:ascii="Times New Roman" w:hAnsi="Times New Roman"/>
          <w:sz w:val="24"/>
        </w:rPr>
        <w:t>279 [9.63]-[9.67]; 14th ed (1994) at 201-202 [6.60]-[6.61]; 15th ed (2000) at 224-226 [8.45]-[8.47]; 16th ed (2006) at 332-334 [8</w:t>
      </w:r>
      <w:r w:rsidRPr="0044114E">
        <w:rPr>
          <w:rFonts w:ascii="Times New Roman" w:hAnsi="Times New Roman"/>
          <w:sz w:val="24"/>
        </w:rPr>
        <w:noBreakHyphen/>
        <w:t>65]</w:t>
      </w:r>
      <w:r w:rsidRPr="0044114E">
        <w:rPr>
          <w:rFonts w:ascii="Times New Roman" w:hAnsi="Times New Roman"/>
          <w:sz w:val="24"/>
        </w:rPr>
        <w:noBreakHyphen/>
        <w:t>[8</w:t>
      </w:r>
      <w:r w:rsidRPr="0044114E">
        <w:rPr>
          <w:rFonts w:ascii="Times New Roman" w:hAnsi="Times New Roman"/>
          <w:sz w:val="24"/>
        </w:rPr>
        <w:noBreakHyphen/>
        <w:t>67]; 17th ed (2011) at 468</w:t>
      </w:r>
      <w:r w:rsidRPr="0044114E">
        <w:rPr>
          <w:rFonts w:ascii="Times New Roman" w:hAnsi="Times New Roman"/>
          <w:sz w:val="24"/>
        </w:rPr>
        <w:noBreakHyphen/>
        <w:t>469 [14-110]-[14-113]; 18th ed (2016) at 467</w:t>
      </w:r>
      <w:r w:rsidRPr="0044114E">
        <w:rPr>
          <w:rFonts w:ascii="Times New Roman" w:hAnsi="Times New Roman"/>
          <w:sz w:val="24"/>
        </w:rPr>
        <w:noBreakHyphen/>
        <w:t>469 [14-221]-[14</w:t>
      </w:r>
      <w:r w:rsidRPr="0044114E">
        <w:rPr>
          <w:rFonts w:ascii="Times New Roman" w:hAnsi="Times New Roman"/>
          <w:sz w:val="24"/>
        </w:rPr>
        <w:noBreakHyphen/>
        <w:t>228]; 19th ed (2020) at 492</w:t>
      </w:r>
      <w:r w:rsidRPr="0044114E">
        <w:rPr>
          <w:rFonts w:ascii="Times New Roman" w:hAnsi="Times New Roman"/>
          <w:sz w:val="24"/>
        </w:rPr>
        <w:noBreakHyphen/>
        <w:t xml:space="preserve">494 [14-272]-[14-282]; Blanco White, </w:t>
      </w:r>
      <w:r w:rsidRPr="0044114E">
        <w:rPr>
          <w:rFonts w:ascii="Times New Roman" w:hAnsi="Times New Roman"/>
          <w:i/>
          <w:sz w:val="24"/>
        </w:rPr>
        <w:t>Patents for Inventions and the Registration of Industrial Designs</w:t>
      </w:r>
      <w:r w:rsidRPr="0044114E">
        <w:rPr>
          <w:rFonts w:ascii="Times New Roman" w:hAnsi="Times New Roman"/>
          <w:sz w:val="24"/>
        </w:rPr>
        <w:t>, 1st ed (1950) at 63-64, 207-209; 2nd ed (1955) at 78-79, 263-265; 3rd ed (1962) at 91-93, 295-297;</w:t>
      </w:r>
      <w:r w:rsidRPr="0044114E">
        <w:rPr>
          <w:rFonts w:ascii="Times New Roman" w:hAnsi="Times New Roman"/>
          <w:i/>
          <w:sz w:val="24"/>
        </w:rPr>
        <w:t xml:space="preserve"> </w:t>
      </w:r>
      <w:r w:rsidRPr="0044114E">
        <w:rPr>
          <w:rFonts w:ascii="Times New Roman" w:hAnsi="Times New Roman"/>
          <w:sz w:val="24"/>
        </w:rPr>
        <w:t>4th ed (1974) at 104-105 [3</w:t>
      </w:r>
      <w:r w:rsidRPr="0044114E">
        <w:rPr>
          <w:rFonts w:ascii="Times New Roman" w:hAnsi="Times New Roman"/>
          <w:sz w:val="24"/>
        </w:rPr>
        <w:noBreakHyphen/>
        <w:t xml:space="preserve">219], 360-362 [10-104]-[10-105]; Bannon, </w:t>
      </w:r>
      <w:r w:rsidRPr="0044114E">
        <w:rPr>
          <w:rFonts w:ascii="Times New Roman" w:hAnsi="Times New Roman"/>
          <w:i/>
          <w:sz w:val="24"/>
        </w:rPr>
        <w:t>Australian Patent Law</w:t>
      </w:r>
      <w:r w:rsidRPr="0044114E">
        <w:rPr>
          <w:rFonts w:ascii="Times New Roman" w:hAnsi="Times New Roman"/>
          <w:sz w:val="24"/>
        </w:rPr>
        <w:t xml:space="preserve"> (1984) at 98 [251]; Ricketson, </w:t>
      </w:r>
      <w:r w:rsidRPr="0044114E">
        <w:rPr>
          <w:rFonts w:ascii="Times New Roman" w:hAnsi="Times New Roman"/>
          <w:i/>
          <w:sz w:val="24"/>
        </w:rPr>
        <w:t>Intellectual Property: Cases, Materials and Commentary</w:t>
      </w:r>
      <w:r w:rsidRPr="0044114E">
        <w:rPr>
          <w:rFonts w:ascii="Times New Roman" w:hAnsi="Times New Roman"/>
          <w:sz w:val="24"/>
        </w:rPr>
        <w:t xml:space="preserve">, 1st ed (1994) at 734 [15.1.2]; 2nd ed (1998) at 707 [15.1.2]; 3rd ed (2005) at 821 [15.2]; 4th ed (2009) at 816 [14.2]; 5th ed (2013) at 924 [14.2]; 6th ed (2020) at 870 [13.2]; Heerey and Malone, "RPM for RPM: </w:t>
      </w:r>
      <w:r w:rsidRPr="0044114E">
        <w:rPr>
          <w:rFonts w:ascii="Times New Roman" w:hAnsi="Times New Roman"/>
          <w:i/>
          <w:sz w:val="24"/>
        </w:rPr>
        <w:t>National Phonograph Company of Australia v Menck</w:t>
      </w:r>
      <w:r w:rsidRPr="0044114E">
        <w:rPr>
          <w:rFonts w:ascii="Times New Roman" w:hAnsi="Times New Roman"/>
          <w:sz w:val="24"/>
        </w:rPr>
        <w:t xml:space="preserve">", in Kenyon, Richardson and Ricketson (eds), </w:t>
      </w:r>
      <w:r w:rsidRPr="0044114E">
        <w:rPr>
          <w:rFonts w:ascii="Times New Roman" w:hAnsi="Times New Roman"/>
          <w:i/>
          <w:sz w:val="24"/>
        </w:rPr>
        <w:t>Landmarks in Australian Intellectual Property Law</w:t>
      </w:r>
      <w:r w:rsidRPr="0044114E">
        <w:rPr>
          <w:rFonts w:ascii="Times New Roman" w:hAnsi="Times New Roman"/>
          <w:sz w:val="24"/>
        </w:rPr>
        <w:t xml:space="preserve"> (2009) 37 at 43; Johnson, Roughton and Cook, </w:t>
      </w:r>
      <w:r w:rsidRPr="0044114E">
        <w:rPr>
          <w:rFonts w:ascii="Times New Roman" w:hAnsi="Times New Roman"/>
          <w:i/>
          <w:sz w:val="24"/>
        </w:rPr>
        <w:t>The</w:t>
      </w:r>
      <w:r>
        <w:rPr>
          <w:rFonts w:ascii="Times New Roman" w:hAnsi="Times New Roman"/>
          <w:i/>
          <w:sz w:val="24"/>
        </w:rPr>
        <w:t> </w:t>
      </w:r>
      <w:r w:rsidRPr="0044114E">
        <w:rPr>
          <w:rFonts w:ascii="Times New Roman" w:hAnsi="Times New Roman"/>
          <w:i/>
          <w:sz w:val="24"/>
        </w:rPr>
        <w:t>Modern Law of Patents</w:t>
      </w:r>
      <w:r w:rsidRPr="0044114E">
        <w:rPr>
          <w:rFonts w:ascii="Times New Roman" w:hAnsi="Times New Roman"/>
          <w:sz w:val="24"/>
        </w:rPr>
        <w:t>, 3rd ed (2014) at 422-423 [7.190], 568-569 [10.81].</w:t>
      </w:r>
    </w:p>
  </w:footnote>
  <w:footnote w:id="306">
    <w:p w14:paraId="1AF35D35"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 xml:space="preserve">Steers </w:t>
      </w:r>
      <w:r w:rsidRPr="0044114E">
        <w:rPr>
          <w:rFonts w:ascii="Times New Roman" w:hAnsi="Times New Roman"/>
          <w:sz w:val="24"/>
        </w:rPr>
        <w:t xml:space="preserve">[1893] AC 232 at 235; </w:t>
      </w:r>
      <w:r w:rsidRPr="0044114E">
        <w:rPr>
          <w:rFonts w:ascii="Times New Roman" w:hAnsi="Times New Roman"/>
          <w:i/>
          <w:sz w:val="24"/>
        </w:rPr>
        <w:t xml:space="preserve">British </w:t>
      </w:r>
      <w:r w:rsidRPr="0044114E">
        <w:rPr>
          <w:rFonts w:ascii="Times New Roman" w:hAnsi="Times New Roman"/>
          <w:i/>
          <w:sz w:val="24"/>
        </w:rPr>
        <w:t xml:space="preserve">Mutoscope </w:t>
      </w:r>
      <w:r w:rsidRPr="0044114E">
        <w:rPr>
          <w:rFonts w:ascii="Times New Roman" w:hAnsi="Times New Roman"/>
          <w:sz w:val="24"/>
        </w:rPr>
        <w:t>[1901] 1 Ch 671 at 675</w:t>
      </w:r>
      <w:r w:rsidRPr="0044114E">
        <w:rPr>
          <w:rFonts w:ascii="Times New Roman" w:hAnsi="Times New Roman"/>
          <w:sz w:val="24"/>
        </w:rPr>
        <w:noBreakHyphen/>
        <w:t xml:space="preserve">676; </w:t>
      </w:r>
      <w:r w:rsidRPr="0044114E">
        <w:rPr>
          <w:rFonts w:ascii="Times New Roman" w:hAnsi="Times New Roman"/>
          <w:i/>
          <w:sz w:val="24"/>
        </w:rPr>
        <w:t xml:space="preserve">Badische </w:t>
      </w:r>
      <w:r w:rsidRPr="0044114E">
        <w:rPr>
          <w:rFonts w:ascii="Times New Roman" w:hAnsi="Times New Roman"/>
          <w:sz w:val="24"/>
        </w:rPr>
        <w:t>[1906] 1 Ch 605 at 610.</w:t>
      </w:r>
    </w:p>
  </w:footnote>
  <w:footnote w:id="307">
    <w:p w14:paraId="054B6E09"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bookmarkStart w:id="5" w:name="_Hlk48912915"/>
      <w:r w:rsidRPr="0044114E">
        <w:rPr>
          <w:rFonts w:ascii="Times New Roman" w:hAnsi="Times New Roman"/>
          <w:i/>
          <w:sz w:val="24"/>
        </w:rPr>
        <w:t xml:space="preserve">Betts v Willmott </w:t>
      </w:r>
      <w:r w:rsidRPr="0044114E">
        <w:rPr>
          <w:rFonts w:ascii="Times New Roman" w:hAnsi="Times New Roman"/>
          <w:sz w:val="24"/>
        </w:rPr>
        <w:t xml:space="preserve">(1871) LR 6 Ch App 239 at 245; </w:t>
      </w:r>
      <w:r w:rsidRPr="0044114E">
        <w:rPr>
          <w:rFonts w:ascii="Times New Roman" w:hAnsi="Times New Roman"/>
          <w:i/>
          <w:sz w:val="24"/>
        </w:rPr>
        <w:t xml:space="preserve">Société Anonyme des Manufactures de </w:t>
      </w:r>
      <w:r w:rsidRPr="0044114E">
        <w:rPr>
          <w:rFonts w:ascii="Times New Roman" w:hAnsi="Times New Roman"/>
          <w:i/>
          <w:sz w:val="24"/>
        </w:rPr>
        <w:t>Glaces v Tilghman's Patent Sand Blast Co</w:t>
      </w:r>
      <w:r w:rsidRPr="0044114E">
        <w:rPr>
          <w:rFonts w:ascii="Times New Roman" w:hAnsi="Times New Roman"/>
          <w:sz w:val="24"/>
        </w:rPr>
        <w:t xml:space="preserve"> (1883) 25 Ch D 1</w:t>
      </w:r>
      <w:r w:rsidRPr="0044114E">
        <w:rPr>
          <w:rFonts w:ascii="Times New Roman" w:hAnsi="Times New Roman"/>
          <w:i/>
          <w:sz w:val="24"/>
        </w:rPr>
        <w:t xml:space="preserve"> </w:t>
      </w:r>
      <w:r w:rsidRPr="0044114E">
        <w:rPr>
          <w:rFonts w:ascii="Times New Roman" w:hAnsi="Times New Roman"/>
          <w:sz w:val="24"/>
        </w:rPr>
        <w:t xml:space="preserve">at 9; </w:t>
      </w:r>
      <w:bookmarkStart w:id="6" w:name="_Hlk48913311"/>
      <w:r w:rsidRPr="0044114E">
        <w:rPr>
          <w:rFonts w:ascii="Times New Roman" w:hAnsi="Times New Roman"/>
          <w:i/>
          <w:sz w:val="24"/>
        </w:rPr>
        <w:t xml:space="preserve">Heap v Hartley </w:t>
      </w:r>
      <w:r w:rsidRPr="0044114E">
        <w:rPr>
          <w:rFonts w:ascii="Times New Roman" w:hAnsi="Times New Roman"/>
          <w:sz w:val="24"/>
        </w:rPr>
        <w:t>(1888) 5 RPC 603 at 610</w:t>
      </w:r>
      <w:bookmarkEnd w:id="6"/>
      <w:r w:rsidRPr="0044114E">
        <w:rPr>
          <w:rFonts w:ascii="Times New Roman" w:hAnsi="Times New Roman"/>
          <w:sz w:val="24"/>
        </w:rPr>
        <w:t xml:space="preserve">; </w:t>
      </w:r>
      <w:r w:rsidRPr="0044114E">
        <w:rPr>
          <w:rFonts w:ascii="Times New Roman" w:hAnsi="Times New Roman"/>
          <w:i/>
          <w:sz w:val="24"/>
        </w:rPr>
        <w:t>Cantelo</w:t>
      </w:r>
      <w:r w:rsidRPr="0044114E">
        <w:rPr>
          <w:rFonts w:ascii="Times New Roman" w:hAnsi="Times New Roman"/>
          <w:sz w:val="24"/>
        </w:rPr>
        <w:t xml:space="preserve"> (1895) 12 RPC 262 at 264</w:t>
      </w:r>
      <w:r w:rsidRPr="0044114E">
        <w:rPr>
          <w:rFonts w:ascii="Times New Roman" w:hAnsi="Times New Roman"/>
          <w:sz w:val="24"/>
        </w:rPr>
        <w:noBreakHyphen/>
        <w:t xml:space="preserve">265; </w:t>
      </w:r>
      <w:r w:rsidRPr="0044114E">
        <w:rPr>
          <w:rFonts w:ascii="Times New Roman" w:hAnsi="Times New Roman"/>
          <w:i/>
          <w:sz w:val="24"/>
        </w:rPr>
        <w:t xml:space="preserve">Brogden </w:t>
      </w:r>
      <w:r w:rsidRPr="0044114E">
        <w:rPr>
          <w:rFonts w:ascii="Times New Roman" w:hAnsi="Times New Roman"/>
          <w:sz w:val="24"/>
        </w:rPr>
        <w:t xml:space="preserve">(1899) 16 RPC 179 at 183; </w:t>
      </w:r>
      <w:r w:rsidRPr="0044114E">
        <w:rPr>
          <w:rFonts w:ascii="Times New Roman" w:hAnsi="Times New Roman"/>
          <w:i/>
          <w:sz w:val="24"/>
        </w:rPr>
        <w:t xml:space="preserve">Badische </w:t>
      </w:r>
      <w:r w:rsidRPr="0044114E">
        <w:rPr>
          <w:rFonts w:ascii="Times New Roman" w:hAnsi="Times New Roman"/>
          <w:sz w:val="24"/>
        </w:rPr>
        <w:t xml:space="preserve">[1906] 1 Ch 605 at 610; </w:t>
      </w:r>
      <w:r w:rsidRPr="0044114E">
        <w:rPr>
          <w:rFonts w:ascii="Times New Roman" w:hAnsi="Times New Roman"/>
          <w:i/>
          <w:sz w:val="24"/>
        </w:rPr>
        <w:t xml:space="preserve">Menck (HCA) </w:t>
      </w:r>
      <w:r w:rsidRPr="0044114E">
        <w:rPr>
          <w:rFonts w:ascii="Times New Roman" w:hAnsi="Times New Roman"/>
          <w:sz w:val="24"/>
        </w:rPr>
        <w:t>(1908) 7 CLR 481 at 537</w:t>
      </w:r>
      <w:r w:rsidRPr="0044114E">
        <w:rPr>
          <w:rFonts w:ascii="Times New Roman" w:hAnsi="Times New Roman"/>
          <w:sz w:val="24"/>
        </w:rPr>
        <w:noBreakHyphen/>
        <w:t xml:space="preserve">538; </w:t>
      </w:r>
      <w:r w:rsidRPr="0044114E">
        <w:rPr>
          <w:rFonts w:ascii="Times New Roman" w:hAnsi="Times New Roman"/>
          <w:i/>
          <w:sz w:val="24"/>
        </w:rPr>
        <w:t xml:space="preserve">Menck (PC) </w:t>
      </w:r>
      <w:r w:rsidRPr="0044114E">
        <w:rPr>
          <w:rFonts w:ascii="Times New Roman" w:hAnsi="Times New Roman"/>
          <w:sz w:val="24"/>
        </w:rPr>
        <w:t xml:space="preserve">(1911) 12 CLR 15 at 24, 28; [1911] AC 336 at 349, 353; </w:t>
      </w:r>
      <w:r w:rsidRPr="0044114E">
        <w:rPr>
          <w:rFonts w:ascii="Times New Roman" w:hAnsi="Times New Roman"/>
          <w:i/>
          <w:sz w:val="24"/>
        </w:rPr>
        <w:t>Time-Life International</w:t>
      </w:r>
      <w:r w:rsidRPr="0044114E">
        <w:rPr>
          <w:rFonts w:ascii="Times New Roman" w:hAnsi="Times New Roman"/>
          <w:sz w:val="24"/>
        </w:rPr>
        <w:t xml:space="preserve"> (1977) 138 CLR 534 at 542.</w:t>
      </w:r>
      <w:bookmarkEnd w:id="5"/>
    </w:p>
  </w:footnote>
  <w:footnote w:id="308">
    <w:p w14:paraId="39C8F017"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Time</w:t>
      </w:r>
      <w:r w:rsidRPr="0044114E">
        <w:rPr>
          <w:rFonts w:ascii="Times New Roman" w:hAnsi="Times New Roman"/>
          <w:i/>
          <w:sz w:val="24"/>
        </w:rPr>
        <w:noBreakHyphen/>
        <w:t>Life International</w:t>
      </w:r>
      <w:r w:rsidRPr="0044114E">
        <w:rPr>
          <w:rFonts w:ascii="Times New Roman" w:hAnsi="Times New Roman"/>
          <w:sz w:val="24"/>
        </w:rPr>
        <w:t xml:space="preserve"> (1977) 138 CLR 534 at 542.</w:t>
      </w:r>
    </w:p>
  </w:footnote>
  <w:footnote w:id="309">
    <w:p w14:paraId="6CAF6B42"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(1977) 138 CLR 534 at 542.</w:t>
      </w:r>
    </w:p>
  </w:footnote>
  <w:footnote w:id="310">
    <w:p w14:paraId="20B2B911"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Cantelo</w:t>
      </w:r>
      <w:r w:rsidRPr="0044114E">
        <w:rPr>
          <w:rFonts w:ascii="Times New Roman" w:hAnsi="Times New Roman"/>
          <w:sz w:val="24"/>
        </w:rPr>
        <w:t xml:space="preserve"> (1895) 12 RPC 262 at 264; </w:t>
      </w:r>
      <w:r w:rsidRPr="0044114E">
        <w:rPr>
          <w:rFonts w:ascii="Times New Roman" w:hAnsi="Times New Roman"/>
          <w:i/>
          <w:sz w:val="24"/>
        </w:rPr>
        <w:t>Brogden</w:t>
      </w:r>
      <w:r w:rsidRPr="0044114E">
        <w:rPr>
          <w:rFonts w:ascii="Times New Roman" w:hAnsi="Times New Roman"/>
          <w:sz w:val="24"/>
        </w:rPr>
        <w:t xml:space="preserve"> (1899) 16 RPC 179 at 183; </w:t>
      </w:r>
      <w:r w:rsidRPr="0044114E">
        <w:rPr>
          <w:rFonts w:ascii="Times New Roman" w:hAnsi="Times New Roman"/>
          <w:i/>
          <w:sz w:val="24"/>
        </w:rPr>
        <w:t xml:space="preserve">British Mutoscope </w:t>
      </w:r>
      <w:r w:rsidRPr="0044114E">
        <w:rPr>
          <w:rFonts w:ascii="Times New Roman" w:hAnsi="Times New Roman"/>
          <w:sz w:val="24"/>
        </w:rPr>
        <w:t>[1901] 1 Ch 671 at 673</w:t>
      </w:r>
      <w:r w:rsidRPr="0044114E">
        <w:rPr>
          <w:rFonts w:ascii="Times New Roman" w:hAnsi="Times New Roman"/>
          <w:sz w:val="24"/>
        </w:rPr>
        <w:noBreakHyphen/>
        <w:t xml:space="preserve">674; </w:t>
      </w:r>
      <w:r w:rsidRPr="0044114E">
        <w:rPr>
          <w:rFonts w:ascii="Times New Roman" w:hAnsi="Times New Roman"/>
          <w:i/>
          <w:sz w:val="24"/>
        </w:rPr>
        <w:t xml:space="preserve">McGruther </w:t>
      </w:r>
      <w:r w:rsidRPr="0044114E">
        <w:rPr>
          <w:rFonts w:ascii="Times New Roman" w:hAnsi="Times New Roman"/>
          <w:sz w:val="24"/>
        </w:rPr>
        <w:t>[1904] 2 Ch 306</w:t>
      </w:r>
      <w:r w:rsidRPr="0044114E">
        <w:rPr>
          <w:rFonts w:ascii="Times New Roman" w:hAnsi="Times New Roman"/>
          <w:i/>
          <w:sz w:val="24"/>
        </w:rPr>
        <w:t xml:space="preserve"> </w:t>
      </w:r>
      <w:r w:rsidRPr="0044114E">
        <w:rPr>
          <w:rFonts w:ascii="Times New Roman" w:hAnsi="Times New Roman"/>
          <w:sz w:val="24"/>
        </w:rPr>
        <w:t xml:space="preserve">at 312; </w:t>
      </w:r>
      <w:r w:rsidRPr="0044114E">
        <w:rPr>
          <w:rFonts w:ascii="Times New Roman" w:hAnsi="Times New Roman"/>
          <w:i/>
          <w:sz w:val="24"/>
        </w:rPr>
        <w:t>Menck (HCA)</w:t>
      </w:r>
      <w:r w:rsidRPr="0044114E">
        <w:rPr>
          <w:rFonts w:ascii="Times New Roman" w:hAnsi="Times New Roman"/>
          <w:sz w:val="24"/>
        </w:rPr>
        <w:t xml:space="preserve"> (1908) 7 CLR 481 at 538; </w:t>
      </w:r>
      <w:r w:rsidRPr="0044114E">
        <w:rPr>
          <w:rFonts w:ascii="Times New Roman" w:hAnsi="Times New Roman"/>
          <w:i/>
          <w:sz w:val="24"/>
        </w:rPr>
        <w:t xml:space="preserve">Menck (PC) </w:t>
      </w:r>
      <w:r w:rsidRPr="0044114E">
        <w:rPr>
          <w:rFonts w:ascii="Times New Roman" w:hAnsi="Times New Roman"/>
          <w:sz w:val="24"/>
        </w:rPr>
        <w:t xml:space="preserve">(1911) 12 CLR 15 at 24, 28; [1911] AC 336 at 349, 353; </w:t>
      </w:r>
      <w:r w:rsidRPr="0044114E">
        <w:rPr>
          <w:rFonts w:ascii="Times New Roman" w:hAnsi="Times New Roman"/>
          <w:i/>
          <w:sz w:val="24"/>
        </w:rPr>
        <w:t>Time</w:t>
      </w:r>
      <w:r w:rsidRPr="0044114E">
        <w:rPr>
          <w:rFonts w:ascii="Times New Roman" w:hAnsi="Times New Roman"/>
          <w:i/>
          <w:sz w:val="24"/>
        </w:rPr>
        <w:noBreakHyphen/>
        <w:t>Life International</w:t>
      </w:r>
      <w:r w:rsidRPr="0044114E">
        <w:rPr>
          <w:rFonts w:ascii="Times New Roman" w:hAnsi="Times New Roman"/>
          <w:sz w:val="24"/>
        </w:rPr>
        <w:t xml:space="preserve"> (1977) 138 CLR 534 at 549.</w:t>
      </w:r>
    </w:p>
  </w:footnote>
  <w:footnote w:id="311">
    <w:p w14:paraId="03727ED9"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sz w:val="24"/>
        </w:rPr>
        <w:t>fn </w:t>
      </w:r>
      <w:r>
        <w:rPr>
          <w:rFonts w:ascii="Times New Roman" w:hAnsi="Times New Roman"/>
          <w:sz w:val="24"/>
        </w:rPr>
        <w:t>305</w:t>
      </w:r>
      <w:r w:rsidRPr="0044114E">
        <w:rPr>
          <w:rFonts w:ascii="Times New Roman" w:hAnsi="Times New Roman"/>
          <w:sz w:val="24"/>
        </w:rPr>
        <w:t xml:space="preserve"> above.</w:t>
      </w:r>
    </w:p>
  </w:footnote>
  <w:footnote w:id="312">
    <w:p w14:paraId="5A78EAC0"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sz w:val="24"/>
        </w:rPr>
        <w:t>fn </w:t>
      </w:r>
      <w:r>
        <w:rPr>
          <w:rFonts w:ascii="Times New Roman" w:hAnsi="Times New Roman"/>
          <w:sz w:val="24"/>
        </w:rPr>
        <w:t>309</w:t>
      </w:r>
      <w:r w:rsidRPr="0044114E">
        <w:rPr>
          <w:rFonts w:ascii="Times New Roman" w:hAnsi="Times New Roman"/>
          <w:sz w:val="24"/>
        </w:rPr>
        <w:t xml:space="preserve"> above.</w:t>
      </w:r>
    </w:p>
  </w:footnote>
  <w:footnote w:id="313">
    <w:p w14:paraId="6BD2B01F"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 xml:space="preserve">Menck (PC) </w:t>
      </w:r>
      <w:r w:rsidRPr="0044114E">
        <w:rPr>
          <w:rFonts w:ascii="Times New Roman" w:hAnsi="Times New Roman"/>
          <w:sz w:val="24"/>
        </w:rPr>
        <w:t>(1911) 12 CLR 15 at 28-29; [1911] AC 336 at 353</w:t>
      </w:r>
      <w:r w:rsidRPr="0044114E">
        <w:rPr>
          <w:rFonts w:ascii="Times New Roman" w:hAnsi="Times New Roman"/>
          <w:sz w:val="24"/>
        </w:rPr>
        <w:noBreakHyphen/>
        <w:t>354.</w:t>
      </w:r>
    </w:p>
  </w:footnote>
  <w:footnote w:id="314">
    <w:p w14:paraId="0CBB9671"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sz w:val="24"/>
        </w:rPr>
        <w:t xml:space="preserve">eg, </w:t>
      </w:r>
      <w:r w:rsidRPr="0044114E">
        <w:rPr>
          <w:rFonts w:ascii="Times New Roman" w:hAnsi="Times New Roman"/>
          <w:i/>
          <w:sz w:val="24"/>
        </w:rPr>
        <w:t xml:space="preserve">Mann v Paterson Constructions Pty Ltd </w:t>
      </w:r>
      <w:r w:rsidRPr="0044114E">
        <w:rPr>
          <w:rFonts w:ascii="Times New Roman" w:hAnsi="Times New Roman"/>
          <w:sz w:val="24"/>
        </w:rPr>
        <w:t>(2019) 93 ALJR 1164 at 1188 [91], 1201-1202 [165]-[166]; 373 ALR 1 at 26, 43</w:t>
      </w:r>
      <w:r w:rsidRPr="0044114E">
        <w:rPr>
          <w:rFonts w:ascii="Times New Roman" w:hAnsi="Times New Roman"/>
          <w:sz w:val="24"/>
        </w:rPr>
        <w:noBreakHyphen/>
        <w:t xml:space="preserve">44. See also </w:t>
      </w:r>
      <w:r w:rsidRPr="0044114E">
        <w:rPr>
          <w:rFonts w:ascii="Times New Roman" w:hAnsi="Times New Roman"/>
          <w:i/>
          <w:sz w:val="24"/>
        </w:rPr>
        <w:t xml:space="preserve">Nocton v Lord Ashburton </w:t>
      </w:r>
      <w:r w:rsidRPr="0044114E">
        <w:rPr>
          <w:rFonts w:ascii="Times New Roman" w:hAnsi="Times New Roman"/>
          <w:sz w:val="24"/>
        </w:rPr>
        <w:t>[1914] AC 932 at 956.</w:t>
      </w:r>
    </w:p>
  </w:footnote>
  <w:footnote w:id="315">
    <w:p w14:paraId="13872639"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(PC) </w:t>
      </w:r>
      <w:r w:rsidRPr="0044114E">
        <w:rPr>
          <w:rFonts w:ascii="Times New Roman" w:hAnsi="Times New Roman"/>
          <w:sz w:val="24"/>
        </w:rPr>
        <w:t xml:space="preserve">(1911) 12 CLR 15 at 28; [1911] AC 336 at 353; </w:t>
      </w:r>
      <w:r w:rsidRPr="0044114E">
        <w:rPr>
          <w:rFonts w:ascii="Times New Roman" w:hAnsi="Times New Roman"/>
          <w:i/>
          <w:sz w:val="24"/>
        </w:rPr>
        <w:t>Time-Life International</w:t>
      </w:r>
      <w:r w:rsidRPr="0044114E">
        <w:rPr>
          <w:rFonts w:ascii="Times New Roman" w:hAnsi="Times New Roman"/>
          <w:sz w:val="24"/>
        </w:rPr>
        <w:t xml:space="preserve"> (1977) 138 CLR 534 at 540.</w:t>
      </w:r>
    </w:p>
  </w:footnote>
  <w:footnote w:id="316">
    <w:p w14:paraId="42D222E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[1906] 1 Ch 605 at 611.</w:t>
      </w:r>
    </w:p>
  </w:footnote>
  <w:footnote w:id="317">
    <w:p w14:paraId="12913190"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Badische</w:t>
      </w:r>
      <w:r w:rsidRPr="0044114E">
        <w:rPr>
          <w:rFonts w:ascii="Times New Roman" w:hAnsi="Times New Roman"/>
          <w:sz w:val="24"/>
        </w:rPr>
        <w:t xml:space="preserve"> [1906] 1 Ch 605 at 611.</w:t>
      </w:r>
    </w:p>
  </w:footnote>
  <w:footnote w:id="318">
    <w:p w14:paraId="672725A5"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(1881) 19 Ch D 246 at 252.</w:t>
      </w:r>
    </w:p>
  </w:footnote>
  <w:footnote w:id="319">
    <w:p w14:paraId="63DC1DF4"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(1859) 4 De G &amp; J 276 at 282; see also 298</w:t>
      </w:r>
      <w:r w:rsidRPr="0044114E">
        <w:rPr>
          <w:rFonts w:ascii="Times New Roman" w:hAnsi="Times New Roman"/>
          <w:sz w:val="24"/>
        </w:rPr>
        <w:noBreakHyphen/>
        <w:t>299 [45 ER 108 at 110, 116].</w:t>
      </w:r>
    </w:p>
  </w:footnote>
  <w:footnote w:id="320">
    <w:p w14:paraId="0E7612E1"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Swiss Bank Corporation v Lloyds Bank Ltd</w:t>
      </w:r>
      <w:r w:rsidRPr="0044114E">
        <w:rPr>
          <w:rFonts w:ascii="Times New Roman" w:hAnsi="Times New Roman"/>
          <w:sz w:val="24"/>
        </w:rPr>
        <w:t xml:space="preserve"> [1979] Ch 548 at 569</w:t>
      </w:r>
      <w:r w:rsidRPr="0044114E">
        <w:rPr>
          <w:rFonts w:ascii="Times New Roman" w:hAnsi="Times New Roman"/>
          <w:sz w:val="24"/>
        </w:rPr>
        <w:noBreakHyphen/>
        <w:t xml:space="preserve">575. See also </w:t>
      </w:r>
      <w:r w:rsidRPr="0044114E">
        <w:rPr>
          <w:rFonts w:ascii="Times New Roman" w:hAnsi="Times New Roman"/>
          <w:i/>
          <w:sz w:val="24"/>
        </w:rPr>
        <w:t xml:space="preserve">Swiss Bank Corporation v Lloyds Bank Ltd </w:t>
      </w:r>
      <w:r w:rsidRPr="0044114E">
        <w:rPr>
          <w:rFonts w:ascii="Times New Roman" w:hAnsi="Times New Roman"/>
          <w:sz w:val="24"/>
        </w:rPr>
        <w:t>[1982] AC 584 at 593, 598.</w:t>
      </w:r>
    </w:p>
  </w:footnote>
  <w:footnote w:id="321">
    <w:p w14:paraId="62BEF12B"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(1986) 7 IPR 581 at 635</w:t>
      </w:r>
      <w:r w:rsidRPr="0044114E">
        <w:rPr>
          <w:rFonts w:ascii="Times New Roman" w:hAnsi="Times New Roman"/>
          <w:sz w:val="24"/>
        </w:rPr>
        <w:noBreakHyphen/>
        <w:t xml:space="preserve">636. See also </w:t>
      </w:r>
      <w:r w:rsidRPr="0044114E">
        <w:rPr>
          <w:rFonts w:ascii="Times New Roman" w:hAnsi="Times New Roman"/>
          <w:i/>
          <w:sz w:val="24"/>
        </w:rPr>
        <w:t xml:space="preserve">Beneficial Finance Corporation Ltd v Multiplex Constructions Pty Ltd </w:t>
      </w:r>
      <w:r w:rsidRPr="0044114E">
        <w:rPr>
          <w:rFonts w:ascii="Times New Roman" w:hAnsi="Times New Roman"/>
          <w:sz w:val="24"/>
        </w:rPr>
        <w:t>(1995) 36 NSWLR 510 at 539.</w:t>
      </w:r>
    </w:p>
  </w:footnote>
  <w:footnote w:id="322">
    <w:p w14:paraId="5236D7A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(1899) 16 RPC 179 at 183.</w:t>
      </w:r>
    </w:p>
  </w:footnote>
  <w:footnote w:id="323">
    <w:p w14:paraId="1CFB59F7"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[1901] 1 Ch 671.</w:t>
      </w:r>
    </w:p>
  </w:footnote>
  <w:footnote w:id="324">
    <w:p w14:paraId="71B712B9"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British </w:t>
      </w:r>
      <w:r w:rsidRPr="0044114E">
        <w:rPr>
          <w:rFonts w:ascii="Times New Roman" w:hAnsi="Times New Roman"/>
          <w:i/>
          <w:sz w:val="24"/>
        </w:rPr>
        <w:t xml:space="preserve">Mutoscope </w:t>
      </w:r>
      <w:r w:rsidRPr="0044114E">
        <w:rPr>
          <w:rFonts w:ascii="Times New Roman" w:hAnsi="Times New Roman"/>
          <w:sz w:val="24"/>
        </w:rPr>
        <w:t>[1901] 1 Ch 671 at 676.</w:t>
      </w:r>
    </w:p>
  </w:footnote>
  <w:footnote w:id="325">
    <w:p w14:paraId="175633AD"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[1904] 2 Ch 306</w:t>
      </w:r>
      <w:r w:rsidRPr="0044114E" w:rsidDel="0055080C">
        <w:rPr>
          <w:rFonts w:ascii="Times New Roman" w:hAnsi="Times New Roman"/>
          <w:sz w:val="24"/>
        </w:rPr>
        <w:t xml:space="preserve"> </w:t>
      </w:r>
      <w:r w:rsidRPr="0044114E">
        <w:rPr>
          <w:rFonts w:ascii="Times New Roman" w:hAnsi="Times New Roman"/>
          <w:sz w:val="24"/>
        </w:rPr>
        <w:t>at 312.</w:t>
      </w:r>
    </w:p>
  </w:footnote>
  <w:footnote w:id="326">
    <w:p w14:paraId="6109400C"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(1911) 12 CLR 15 at 28; [1911] AC 336 at 353.</w:t>
      </w:r>
    </w:p>
  </w:footnote>
  <w:footnote w:id="327">
    <w:p w14:paraId="3AEB0226"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Bourne v Keane </w:t>
      </w:r>
      <w:r w:rsidRPr="0044114E">
        <w:rPr>
          <w:rFonts w:ascii="Times New Roman" w:hAnsi="Times New Roman"/>
          <w:sz w:val="24"/>
        </w:rPr>
        <w:t xml:space="preserve">[1919] AC 815 at 874. See </w:t>
      </w:r>
      <w:r w:rsidRPr="0044114E">
        <w:rPr>
          <w:rFonts w:ascii="Times New Roman" w:hAnsi="Times New Roman"/>
          <w:i/>
          <w:sz w:val="24"/>
        </w:rPr>
        <w:t xml:space="preserve">Lord Strathcona Steamship Co Ltd v Dominion Coal Co Ltd </w:t>
      </w:r>
      <w:r w:rsidRPr="0044114E">
        <w:rPr>
          <w:rFonts w:ascii="Times New Roman" w:hAnsi="Times New Roman"/>
          <w:sz w:val="24"/>
        </w:rPr>
        <w:t>[1926] AC 108 at 117</w:t>
      </w:r>
      <w:r w:rsidRPr="0044114E">
        <w:rPr>
          <w:rFonts w:ascii="Times New Roman" w:hAnsi="Times New Roman"/>
          <w:sz w:val="24"/>
        </w:rPr>
        <w:noBreakHyphen/>
        <w:t>120.</w:t>
      </w:r>
    </w:p>
  </w:footnote>
  <w:footnote w:id="328">
    <w:p w14:paraId="64BE33F5"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sz w:val="24"/>
        </w:rPr>
        <w:t xml:space="preserve">eg, </w:t>
      </w:r>
      <w:r w:rsidRPr="0044114E">
        <w:rPr>
          <w:rFonts w:ascii="Times New Roman" w:hAnsi="Times New Roman"/>
          <w:i/>
          <w:sz w:val="24"/>
        </w:rPr>
        <w:t xml:space="preserve">Pilcher v Rawlins </w:t>
      </w:r>
      <w:r w:rsidRPr="0044114E">
        <w:rPr>
          <w:rFonts w:ascii="Times New Roman" w:hAnsi="Times New Roman"/>
          <w:sz w:val="24"/>
        </w:rPr>
        <w:t>(1872) LR 7 Ch App 259 at 267</w:t>
      </w:r>
      <w:r w:rsidRPr="0044114E">
        <w:rPr>
          <w:rFonts w:ascii="Times New Roman" w:hAnsi="Times New Roman"/>
          <w:sz w:val="24"/>
        </w:rPr>
        <w:noBreakHyphen/>
        <w:t>269.</w:t>
      </w:r>
    </w:p>
  </w:footnote>
  <w:footnote w:id="329">
    <w:p w14:paraId="6FDC3B22"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(PC) </w:t>
      </w:r>
      <w:r w:rsidRPr="0044114E">
        <w:rPr>
          <w:rFonts w:ascii="Times New Roman" w:hAnsi="Times New Roman"/>
          <w:sz w:val="24"/>
        </w:rPr>
        <w:t>(1911) 12 CLR 15 at 28; [1911] AC 336 at 353. cf </w:t>
      </w:r>
      <w:r w:rsidRPr="0044114E">
        <w:rPr>
          <w:rFonts w:ascii="Times New Roman" w:hAnsi="Times New Roman"/>
          <w:i/>
          <w:sz w:val="24"/>
        </w:rPr>
        <w:t xml:space="preserve">Badische </w:t>
      </w:r>
      <w:r w:rsidRPr="0044114E">
        <w:rPr>
          <w:rFonts w:ascii="Times New Roman" w:hAnsi="Times New Roman"/>
          <w:sz w:val="24"/>
        </w:rPr>
        <w:t>[1906] 1 Ch 605 at 611.</w:t>
      </w:r>
    </w:p>
  </w:footnote>
  <w:footnote w:id="330">
    <w:p w14:paraId="6ED56E3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Brogden</w:t>
      </w:r>
      <w:r w:rsidRPr="0044114E">
        <w:rPr>
          <w:rFonts w:ascii="Times New Roman" w:hAnsi="Times New Roman"/>
          <w:sz w:val="24"/>
        </w:rPr>
        <w:t xml:space="preserve"> (1899) 16 RPC 179 at 183; </w:t>
      </w:r>
      <w:r w:rsidRPr="0044114E">
        <w:rPr>
          <w:rFonts w:ascii="Times New Roman" w:hAnsi="Times New Roman"/>
          <w:i/>
          <w:sz w:val="24"/>
        </w:rPr>
        <w:t xml:space="preserve">Badische </w:t>
      </w:r>
      <w:r w:rsidRPr="0044114E">
        <w:rPr>
          <w:rFonts w:ascii="Times New Roman" w:hAnsi="Times New Roman"/>
          <w:sz w:val="24"/>
        </w:rPr>
        <w:t xml:space="preserve">[1906] 1 Ch 605 at 611; </w:t>
      </w:r>
      <w:r w:rsidRPr="0044114E">
        <w:rPr>
          <w:rFonts w:ascii="Times New Roman" w:hAnsi="Times New Roman"/>
          <w:i/>
          <w:sz w:val="24"/>
        </w:rPr>
        <w:t xml:space="preserve">Menck (PC) </w:t>
      </w:r>
      <w:r w:rsidRPr="0044114E">
        <w:rPr>
          <w:rFonts w:ascii="Times New Roman" w:hAnsi="Times New Roman"/>
          <w:sz w:val="24"/>
        </w:rPr>
        <w:t>(1911) 12 CLR 15 at 28</w:t>
      </w:r>
      <w:r w:rsidRPr="0044114E">
        <w:rPr>
          <w:rFonts w:ascii="Times New Roman" w:hAnsi="Times New Roman"/>
          <w:sz w:val="24"/>
        </w:rPr>
        <w:noBreakHyphen/>
        <w:t>29; [1911] AC 336 at 353</w:t>
      </w:r>
      <w:r w:rsidRPr="0044114E">
        <w:rPr>
          <w:rFonts w:ascii="Times New Roman" w:hAnsi="Times New Roman"/>
          <w:sz w:val="24"/>
        </w:rPr>
        <w:noBreakHyphen/>
        <w:t>354.</w:t>
      </w:r>
    </w:p>
  </w:footnote>
  <w:footnote w:id="331">
    <w:p w14:paraId="0CF2900C"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(PC) </w:t>
      </w:r>
      <w:r w:rsidRPr="0044114E">
        <w:rPr>
          <w:rFonts w:ascii="Times New Roman" w:hAnsi="Times New Roman"/>
          <w:sz w:val="24"/>
        </w:rPr>
        <w:t xml:space="preserve">(1911) 12 CLR 15 at 24, 28; [1911] AC 336 at 349, 353. See also </w:t>
      </w:r>
      <w:r w:rsidRPr="0044114E">
        <w:rPr>
          <w:rFonts w:ascii="Times New Roman" w:hAnsi="Times New Roman"/>
          <w:i/>
          <w:sz w:val="24"/>
        </w:rPr>
        <w:t xml:space="preserve">Betts v Willmott </w:t>
      </w:r>
      <w:r w:rsidRPr="0044114E">
        <w:rPr>
          <w:rFonts w:ascii="Times New Roman" w:hAnsi="Times New Roman"/>
          <w:sz w:val="24"/>
        </w:rPr>
        <w:t xml:space="preserve">(1871) LR 6 Ch App 239 at 245; </w:t>
      </w:r>
      <w:r w:rsidRPr="0044114E">
        <w:rPr>
          <w:rFonts w:ascii="Times New Roman" w:hAnsi="Times New Roman"/>
          <w:i/>
          <w:sz w:val="24"/>
        </w:rPr>
        <w:t>Cantelo</w:t>
      </w:r>
      <w:r w:rsidRPr="0044114E">
        <w:rPr>
          <w:rFonts w:ascii="Times New Roman" w:hAnsi="Times New Roman"/>
          <w:sz w:val="24"/>
        </w:rPr>
        <w:t xml:space="preserve"> (1895) 12 RPC 262 at 264-265.</w:t>
      </w:r>
    </w:p>
  </w:footnote>
  <w:footnote w:id="332">
    <w:p w14:paraId="508CE244"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Cantelo</w:t>
      </w:r>
      <w:r w:rsidRPr="0044114E">
        <w:rPr>
          <w:rFonts w:ascii="Times New Roman" w:hAnsi="Times New Roman"/>
          <w:sz w:val="24"/>
        </w:rPr>
        <w:t xml:space="preserve"> (1895) 12 RPC 262 at 264.</w:t>
      </w:r>
    </w:p>
  </w:footnote>
  <w:footnote w:id="333">
    <w:p w14:paraId="47D1369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 xml:space="preserve">Menck (PC) </w:t>
      </w:r>
      <w:r w:rsidRPr="0044114E">
        <w:rPr>
          <w:rFonts w:ascii="Times New Roman" w:hAnsi="Times New Roman"/>
          <w:sz w:val="24"/>
        </w:rPr>
        <w:t>(1911) 12 CLR 15 at 28-29; [1911] AC 336 at 353-354.</w:t>
      </w:r>
    </w:p>
  </w:footnote>
  <w:footnote w:id="334">
    <w:p w14:paraId="40287B00"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Cantelo</w:t>
      </w:r>
      <w:r w:rsidRPr="0044114E">
        <w:rPr>
          <w:rFonts w:ascii="Times New Roman" w:hAnsi="Times New Roman"/>
          <w:sz w:val="24"/>
        </w:rPr>
        <w:t xml:space="preserve"> (1895) 12 RPC 262 at 264-265; </w:t>
      </w:r>
      <w:r w:rsidRPr="0044114E">
        <w:rPr>
          <w:rFonts w:ascii="Times New Roman" w:hAnsi="Times New Roman"/>
          <w:i/>
          <w:sz w:val="24"/>
        </w:rPr>
        <w:t xml:space="preserve">Menck (PC) </w:t>
      </w:r>
      <w:r w:rsidRPr="0044114E">
        <w:rPr>
          <w:rFonts w:ascii="Times New Roman" w:hAnsi="Times New Roman"/>
          <w:sz w:val="24"/>
        </w:rPr>
        <w:t>(1911) 12 CLR 15 at 26; [1911] AC 336 at 351.</w:t>
      </w:r>
    </w:p>
  </w:footnote>
  <w:footnote w:id="335">
    <w:p w14:paraId="6C038CA8"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Cantelo</w:t>
      </w:r>
      <w:r w:rsidRPr="0044114E">
        <w:rPr>
          <w:rFonts w:ascii="Times New Roman" w:hAnsi="Times New Roman"/>
          <w:sz w:val="24"/>
        </w:rPr>
        <w:t xml:space="preserve"> (1895) 12 RPC 262 at 264-265.</w:t>
      </w:r>
    </w:p>
  </w:footnote>
  <w:footnote w:id="336">
    <w:p w14:paraId="5F380B2E"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 xml:space="preserve">Cardile v LED Builders Pty Ltd </w:t>
      </w:r>
      <w:r w:rsidRPr="0044114E">
        <w:rPr>
          <w:rFonts w:ascii="Times New Roman" w:hAnsi="Times New Roman"/>
          <w:sz w:val="24"/>
        </w:rPr>
        <w:t>(1999) 198 CLR 380 at 394</w:t>
      </w:r>
      <w:r w:rsidRPr="0044114E">
        <w:rPr>
          <w:rFonts w:ascii="Times New Roman" w:hAnsi="Times New Roman"/>
          <w:sz w:val="24"/>
        </w:rPr>
        <w:noBreakHyphen/>
        <w:t>395 [28]</w:t>
      </w:r>
      <w:r w:rsidRPr="0044114E">
        <w:rPr>
          <w:rFonts w:ascii="Times New Roman" w:hAnsi="Times New Roman"/>
          <w:sz w:val="24"/>
        </w:rPr>
        <w:noBreakHyphen/>
        <w:t>[30].</w:t>
      </w:r>
    </w:p>
  </w:footnote>
  <w:footnote w:id="337">
    <w:p w14:paraId="0411D12F"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 xml:space="preserve">Nocton </w:t>
      </w:r>
      <w:r w:rsidRPr="0044114E">
        <w:rPr>
          <w:rFonts w:ascii="Times New Roman" w:hAnsi="Times New Roman"/>
          <w:sz w:val="24"/>
        </w:rPr>
        <w:t>[1914] AC 932 at 956</w:t>
      </w:r>
      <w:r w:rsidRPr="0044114E">
        <w:rPr>
          <w:rFonts w:ascii="Times New Roman" w:hAnsi="Times New Roman"/>
          <w:sz w:val="24"/>
        </w:rPr>
        <w:noBreakHyphen/>
        <w:t xml:space="preserve">957; </w:t>
      </w:r>
      <w:r w:rsidRPr="0044114E">
        <w:rPr>
          <w:rFonts w:ascii="Times New Roman" w:hAnsi="Times New Roman"/>
          <w:i/>
          <w:sz w:val="24"/>
        </w:rPr>
        <w:t>Warman International Ltd v Dwyer</w:t>
      </w:r>
      <w:r w:rsidRPr="0044114E">
        <w:rPr>
          <w:rFonts w:ascii="Times New Roman" w:hAnsi="Times New Roman"/>
          <w:sz w:val="24"/>
        </w:rPr>
        <w:t xml:space="preserve"> (1995) 182 CLR 544 at 556</w:t>
      </w:r>
      <w:r w:rsidRPr="0044114E">
        <w:rPr>
          <w:rFonts w:ascii="Times New Roman" w:hAnsi="Times New Roman"/>
          <w:sz w:val="24"/>
        </w:rPr>
        <w:noBreakHyphen/>
        <w:t>562.</w:t>
      </w:r>
    </w:p>
  </w:footnote>
  <w:footnote w:id="338">
    <w:p w14:paraId="3A92BA0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 xml:space="preserve">Menck (HCA) </w:t>
      </w:r>
      <w:r w:rsidRPr="0044114E">
        <w:rPr>
          <w:rFonts w:ascii="Times New Roman" w:hAnsi="Times New Roman"/>
          <w:sz w:val="24"/>
        </w:rPr>
        <w:t>(1908) 7 CLR 481 at 535</w:t>
      </w:r>
      <w:r w:rsidRPr="0044114E">
        <w:rPr>
          <w:rFonts w:ascii="Times New Roman" w:hAnsi="Times New Roman"/>
          <w:sz w:val="24"/>
        </w:rPr>
        <w:noBreakHyphen/>
        <w:t>536, 538</w:t>
      </w:r>
      <w:r w:rsidRPr="0044114E">
        <w:rPr>
          <w:rFonts w:ascii="Times New Roman" w:hAnsi="Times New Roman"/>
          <w:sz w:val="24"/>
        </w:rPr>
        <w:noBreakHyphen/>
        <w:t xml:space="preserve">541; </w:t>
      </w:r>
      <w:r w:rsidRPr="0044114E">
        <w:rPr>
          <w:rFonts w:ascii="Times New Roman" w:hAnsi="Times New Roman"/>
          <w:i/>
          <w:sz w:val="24"/>
        </w:rPr>
        <w:t xml:space="preserve">Menck (PC) </w:t>
      </w:r>
      <w:r w:rsidRPr="0044114E">
        <w:rPr>
          <w:rFonts w:ascii="Times New Roman" w:hAnsi="Times New Roman"/>
          <w:sz w:val="24"/>
        </w:rPr>
        <w:t>(1911) 12 CLR 15 at 23</w:t>
      </w:r>
      <w:r w:rsidRPr="0044114E">
        <w:rPr>
          <w:rFonts w:ascii="Times New Roman" w:hAnsi="Times New Roman"/>
          <w:sz w:val="24"/>
        </w:rPr>
        <w:noBreakHyphen/>
        <w:t>24, 28; [1911] AC 336 at 348</w:t>
      </w:r>
      <w:r w:rsidRPr="0044114E">
        <w:rPr>
          <w:rFonts w:ascii="Times New Roman" w:hAnsi="Times New Roman"/>
          <w:sz w:val="24"/>
        </w:rPr>
        <w:noBreakHyphen/>
        <w:t xml:space="preserve">349, 353; </w:t>
      </w:r>
      <w:r w:rsidRPr="0044114E">
        <w:rPr>
          <w:rFonts w:ascii="Times New Roman" w:hAnsi="Times New Roman"/>
          <w:i/>
          <w:sz w:val="24"/>
        </w:rPr>
        <w:t xml:space="preserve">United Wire </w:t>
      </w:r>
      <w:r w:rsidRPr="0044114E">
        <w:rPr>
          <w:rFonts w:ascii="Times New Roman" w:hAnsi="Times New Roman"/>
          <w:sz w:val="24"/>
        </w:rPr>
        <w:t>[2001] RPC 439 at 458 [68]. cf </w:t>
      </w:r>
      <w:r w:rsidRPr="0044114E">
        <w:rPr>
          <w:rFonts w:ascii="Times New Roman" w:hAnsi="Times New Roman"/>
          <w:i/>
          <w:sz w:val="24"/>
        </w:rPr>
        <w:t xml:space="preserve">British Mutoscope </w:t>
      </w:r>
      <w:r w:rsidRPr="0044114E">
        <w:rPr>
          <w:rFonts w:ascii="Times New Roman" w:hAnsi="Times New Roman"/>
          <w:sz w:val="24"/>
        </w:rPr>
        <w:t>[1901] 1 Ch 671 at 673</w:t>
      </w:r>
      <w:r w:rsidRPr="0044114E">
        <w:rPr>
          <w:rFonts w:ascii="Times New Roman" w:hAnsi="Times New Roman"/>
          <w:sz w:val="24"/>
        </w:rPr>
        <w:noBreakHyphen/>
        <w:t>674, 676</w:t>
      </w:r>
      <w:r w:rsidRPr="0044114E">
        <w:rPr>
          <w:rFonts w:ascii="Times New Roman" w:hAnsi="Times New Roman"/>
          <w:sz w:val="24"/>
        </w:rPr>
        <w:noBreakHyphen/>
        <w:t>677.</w:t>
      </w:r>
    </w:p>
  </w:footnote>
  <w:footnote w:id="339">
    <w:p w14:paraId="29F6D8F0"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Smethurst v Commissioner of the Australian Federal Police </w:t>
      </w:r>
      <w:r w:rsidRPr="0044114E">
        <w:rPr>
          <w:rFonts w:ascii="Times New Roman" w:hAnsi="Times New Roman"/>
          <w:sz w:val="24"/>
        </w:rPr>
        <w:t>(2020) 94 ALJR 502 at 538</w:t>
      </w:r>
      <w:r w:rsidRPr="0044114E">
        <w:rPr>
          <w:rFonts w:ascii="Times New Roman" w:hAnsi="Times New Roman"/>
          <w:i/>
          <w:sz w:val="24"/>
        </w:rPr>
        <w:t xml:space="preserve"> </w:t>
      </w:r>
      <w:r w:rsidRPr="0044114E">
        <w:rPr>
          <w:rFonts w:ascii="Times New Roman" w:hAnsi="Times New Roman"/>
          <w:sz w:val="24"/>
        </w:rPr>
        <w:t>[146]; 376 ALR 575 at 612.</w:t>
      </w:r>
    </w:p>
  </w:footnote>
  <w:footnote w:id="340">
    <w:p w14:paraId="7DED2C7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 xml:space="preserve">Lamshed v Lamshed </w:t>
      </w:r>
      <w:r w:rsidRPr="0044114E">
        <w:rPr>
          <w:rFonts w:ascii="Times New Roman" w:hAnsi="Times New Roman"/>
          <w:sz w:val="24"/>
        </w:rPr>
        <w:t>(1963) 109 CLR 440 at 453;</w:t>
      </w:r>
      <w:r w:rsidRPr="0044114E">
        <w:rPr>
          <w:rFonts w:ascii="Times New Roman" w:hAnsi="Times New Roman"/>
          <w:i/>
          <w:sz w:val="24"/>
        </w:rPr>
        <w:t xml:space="preserve"> The Commonwealth v Verwayen </w:t>
      </w:r>
      <w:r w:rsidRPr="0044114E">
        <w:rPr>
          <w:rFonts w:ascii="Times New Roman" w:hAnsi="Times New Roman"/>
          <w:sz w:val="24"/>
        </w:rPr>
        <w:t>(1990) 170 CLR 394 at 409, 434</w:t>
      </w:r>
      <w:r w:rsidRPr="0044114E">
        <w:rPr>
          <w:rFonts w:ascii="Times New Roman" w:hAnsi="Times New Roman"/>
          <w:sz w:val="24"/>
        </w:rPr>
        <w:noBreakHyphen/>
        <w:t xml:space="preserve">435. See also </w:t>
      </w:r>
      <w:r w:rsidRPr="0044114E">
        <w:rPr>
          <w:rFonts w:ascii="Times New Roman" w:hAnsi="Times New Roman"/>
          <w:i/>
          <w:sz w:val="24"/>
        </w:rPr>
        <w:t xml:space="preserve">Menck (HCA) </w:t>
      </w:r>
      <w:r w:rsidRPr="0044114E">
        <w:rPr>
          <w:rFonts w:ascii="Times New Roman" w:hAnsi="Times New Roman"/>
          <w:sz w:val="24"/>
        </w:rPr>
        <w:t>(1908) 7 CLR 481 at 540</w:t>
      </w:r>
      <w:r w:rsidRPr="0044114E">
        <w:rPr>
          <w:rFonts w:ascii="Times New Roman" w:hAnsi="Times New Roman"/>
          <w:sz w:val="24"/>
        </w:rPr>
        <w:noBreakHyphen/>
        <w:t>541.</w:t>
      </w:r>
    </w:p>
  </w:footnote>
  <w:footnote w:id="341">
    <w:p w14:paraId="0ED0347E"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 xml:space="preserve">Australian Broadcasting Corporation v Lenah Game Meats Pty Ltd </w:t>
      </w:r>
      <w:r w:rsidRPr="0044114E">
        <w:rPr>
          <w:rFonts w:ascii="Times New Roman" w:hAnsi="Times New Roman"/>
          <w:sz w:val="24"/>
        </w:rPr>
        <w:t>(2001) 208 CLR 199 at 217</w:t>
      </w:r>
      <w:r w:rsidRPr="0044114E">
        <w:rPr>
          <w:rFonts w:ascii="Times New Roman" w:hAnsi="Times New Roman"/>
          <w:sz w:val="24"/>
        </w:rPr>
        <w:noBreakHyphen/>
        <w:t>218 [11]</w:t>
      </w:r>
      <w:r w:rsidRPr="0044114E">
        <w:rPr>
          <w:rFonts w:ascii="Times New Roman" w:hAnsi="Times New Roman"/>
          <w:sz w:val="24"/>
        </w:rPr>
        <w:noBreakHyphen/>
        <w:t>[16], 231</w:t>
      </w:r>
      <w:r w:rsidRPr="0044114E">
        <w:rPr>
          <w:rFonts w:ascii="Times New Roman" w:hAnsi="Times New Roman"/>
          <w:sz w:val="24"/>
        </w:rPr>
        <w:noBreakHyphen/>
        <w:t>232 [60]</w:t>
      </w:r>
      <w:r w:rsidRPr="0044114E">
        <w:rPr>
          <w:rFonts w:ascii="Times New Roman" w:hAnsi="Times New Roman"/>
          <w:sz w:val="24"/>
        </w:rPr>
        <w:noBreakHyphen/>
        <w:t>[61], 241 [91].</w:t>
      </w:r>
    </w:p>
  </w:footnote>
  <w:footnote w:id="342">
    <w:p w14:paraId="647A761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See 35 USC §§ 154(a)(1) and 261.</w:t>
      </w:r>
    </w:p>
  </w:footnote>
  <w:footnote w:id="343">
    <w:p w14:paraId="4911A35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Italian Code of Industrial Property 2010</w:t>
      </w:r>
      <w:r w:rsidRPr="0044114E">
        <w:rPr>
          <w:rFonts w:ascii="Times New Roman" w:hAnsi="Times New Roman"/>
          <w:sz w:val="24"/>
        </w:rPr>
        <w:t xml:space="preserve"> (Italy), Art 5; </w:t>
      </w:r>
      <w:r w:rsidRPr="0044114E">
        <w:rPr>
          <w:rFonts w:ascii="Times New Roman" w:hAnsi="Times New Roman"/>
          <w:i/>
          <w:sz w:val="24"/>
        </w:rPr>
        <w:t>Act XXXIII of 1995 on the Protection of Inventions by Patents</w:t>
      </w:r>
      <w:r w:rsidRPr="0044114E">
        <w:rPr>
          <w:rFonts w:ascii="Times New Roman" w:hAnsi="Times New Roman"/>
          <w:sz w:val="24"/>
        </w:rPr>
        <w:t xml:space="preserve"> (Hungary), Art 20; </w:t>
      </w:r>
      <w:r w:rsidRPr="0044114E">
        <w:rPr>
          <w:rFonts w:ascii="Times New Roman" w:hAnsi="Times New Roman"/>
          <w:i/>
          <w:sz w:val="24"/>
        </w:rPr>
        <w:t>Law on Patents and Utility Model Registration 1993</w:t>
      </w:r>
      <w:r w:rsidRPr="0044114E">
        <w:rPr>
          <w:rFonts w:ascii="Times New Roman" w:hAnsi="Times New Roman"/>
          <w:sz w:val="24"/>
        </w:rPr>
        <w:t xml:space="preserve"> (Bulgaria), Art 20a.</w:t>
      </w:r>
    </w:p>
  </w:footnote>
  <w:footnote w:id="344">
    <w:p w14:paraId="44B4A0B7"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(2017) 137 S Ct 1523 at 1539, citing </w:t>
      </w:r>
      <w:r w:rsidRPr="0044114E">
        <w:rPr>
          <w:rFonts w:ascii="Times New Roman" w:hAnsi="Times New Roman"/>
          <w:i/>
          <w:sz w:val="24"/>
        </w:rPr>
        <w:t xml:space="preserve">Microsoft Corp v AT&amp;T Corp </w:t>
      </w:r>
      <w:r w:rsidRPr="0044114E">
        <w:rPr>
          <w:rFonts w:ascii="Times New Roman" w:hAnsi="Times New Roman"/>
          <w:sz w:val="24"/>
        </w:rPr>
        <w:t>(2007) 550 US 437 at 455.</w:t>
      </w:r>
    </w:p>
  </w:footnote>
  <w:footnote w:id="345">
    <w:p w14:paraId="60867155"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Depending on the jurisdiction, a distinction is often drawn between national, regional and international (or extra</w:t>
      </w:r>
      <w:r w:rsidRPr="0044114E">
        <w:rPr>
          <w:rFonts w:ascii="Times New Roman" w:hAnsi="Times New Roman"/>
          <w:sz w:val="24"/>
        </w:rPr>
        <w:noBreakHyphen/>
      </w:r>
      <w:r w:rsidRPr="0044114E">
        <w:rPr>
          <w:rFonts w:ascii="Times New Roman" w:hAnsi="Times New Roman"/>
          <w:sz w:val="24"/>
        </w:rPr>
        <w:t xml:space="preserve">communitary) exhaustion. For example, domestic and international exhaustion applies in the United States: </w:t>
      </w:r>
      <w:r w:rsidRPr="0044114E">
        <w:rPr>
          <w:rFonts w:ascii="Times New Roman" w:hAnsi="Times New Roman"/>
          <w:i/>
          <w:sz w:val="24"/>
        </w:rPr>
        <w:t xml:space="preserve">Lexmark </w:t>
      </w:r>
      <w:r w:rsidRPr="0044114E">
        <w:rPr>
          <w:rFonts w:ascii="Times New Roman" w:hAnsi="Times New Roman"/>
          <w:sz w:val="24"/>
        </w:rPr>
        <w:t xml:space="preserve">(2017) 137 S Ct 1523 at 1535. See also Heath, "Exhaustion and Patent Rights", in Okediji and Bagley (eds), </w:t>
      </w:r>
      <w:r w:rsidRPr="0044114E">
        <w:rPr>
          <w:rFonts w:ascii="Times New Roman" w:hAnsi="Times New Roman"/>
          <w:i/>
          <w:sz w:val="24"/>
        </w:rPr>
        <w:t xml:space="preserve">Patent Law in Global Perspective </w:t>
      </w:r>
      <w:r w:rsidRPr="0044114E">
        <w:rPr>
          <w:rFonts w:ascii="Times New Roman" w:hAnsi="Times New Roman"/>
          <w:sz w:val="24"/>
        </w:rPr>
        <w:t>(2014) 419.</w:t>
      </w:r>
    </w:p>
  </w:footnote>
  <w:footnote w:id="346">
    <w:p w14:paraId="20B6B674"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[2012] OJ L 361/1. See also </w:t>
      </w:r>
      <w:r w:rsidRPr="0044114E">
        <w:rPr>
          <w:rFonts w:ascii="Times New Roman" w:hAnsi="Times New Roman"/>
          <w:i/>
          <w:sz w:val="24"/>
        </w:rPr>
        <w:t>Notices from European Union Institutions, Bodies, Offices and Agencies – Council – Agreement on a Unified Patent Court</w:t>
      </w:r>
      <w:r w:rsidRPr="0044114E">
        <w:rPr>
          <w:rFonts w:ascii="Times New Roman" w:hAnsi="Times New Roman"/>
          <w:sz w:val="24"/>
        </w:rPr>
        <w:t xml:space="preserve"> [2013] OJ C 175/1, Art 29.</w:t>
      </w:r>
    </w:p>
  </w:footnote>
  <w:footnote w:id="347">
    <w:p w14:paraId="1C823B30"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35 USC § 154(a)(1).</w:t>
      </w:r>
    </w:p>
  </w:footnote>
  <w:footnote w:id="348">
    <w:p w14:paraId="4B255902"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35 USC § 271(a).</w:t>
      </w:r>
    </w:p>
  </w:footnote>
  <w:footnote w:id="349">
    <w:p w14:paraId="72D480E2"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Restoring America's Leadership in Innovation Act of 2020</w:t>
      </w:r>
      <w:r w:rsidRPr="0044114E">
        <w:rPr>
          <w:rFonts w:ascii="Times New Roman" w:hAnsi="Times New Roman"/>
          <w:sz w:val="24"/>
        </w:rPr>
        <w:t>, HR 7366, 116th Congress (2020).</w:t>
      </w:r>
    </w:p>
  </w:footnote>
  <w:footnote w:id="350">
    <w:p w14:paraId="5D61522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Restoring America's Leadership in Innovation Act of 2020</w:t>
      </w:r>
      <w:r w:rsidRPr="0044114E">
        <w:rPr>
          <w:rFonts w:ascii="Times New Roman" w:hAnsi="Times New Roman"/>
          <w:sz w:val="24"/>
        </w:rPr>
        <w:t>, HR 7366, 116th Congress (2020), § 9.</w:t>
      </w:r>
    </w:p>
  </w:footnote>
  <w:footnote w:id="351">
    <w:p w14:paraId="7999FD08"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Lexmark </w:t>
      </w:r>
      <w:r w:rsidRPr="0044114E">
        <w:rPr>
          <w:rFonts w:ascii="Times New Roman" w:hAnsi="Times New Roman"/>
          <w:sz w:val="24"/>
        </w:rPr>
        <w:t>(2017) 137 S Ct 1523 at 1530.</w:t>
      </w:r>
    </w:p>
  </w:footnote>
  <w:footnote w:id="352">
    <w:p w14:paraId="238D0BB4"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Lexmark </w:t>
      </w:r>
      <w:r w:rsidRPr="0044114E">
        <w:rPr>
          <w:rFonts w:ascii="Times New Roman" w:hAnsi="Times New Roman"/>
          <w:sz w:val="24"/>
        </w:rPr>
        <w:t>(2017) 137 S Ct 1523 at 1529, 1531.</w:t>
      </w:r>
    </w:p>
  </w:footnote>
  <w:footnote w:id="353">
    <w:p w14:paraId="7506AC2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Lexmark </w:t>
      </w:r>
      <w:r w:rsidRPr="0044114E">
        <w:rPr>
          <w:rFonts w:ascii="Times New Roman" w:hAnsi="Times New Roman"/>
          <w:sz w:val="24"/>
        </w:rPr>
        <w:t>(2017) 137 S Ct 1523 at 1531</w:t>
      </w:r>
      <w:r w:rsidRPr="0044114E">
        <w:rPr>
          <w:rFonts w:ascii="Times New Roman" w:hAnsi="Times New Roman"/>
          <w:sz w:val="24"/>
        </w:rPr>
        <w:noBreakHyphen/>
        <w:t>1532; see also 1533, 153</w:t>
      </w:r>
      <w:r w:rsidRPr="0044114E" w:rsidDel="00D84440">
        <w:rPr>
          <w:rFonts w:ascii="Times New Roman" w:hAnsi="Times New Roman"/>
          <w:sz w:val="24"/>
        </w:rPr>
        <w:t>4</w:t>
      </w:r>
      <w:r w:rsidRPr="0044114E">
        <w:rPr>
          <w:rFonts w:ascii="Times New Roman" w:hAnsi="Times New Roman"/>
          <w:sz w:val="24"/>
        </w:rPr>
        <w:t>.</w:t>
      </w:r>
    </w:p>
  </w:footnote>
  <w:footnote w:id="354">
    <w:p w14:paraId="1C07B4CE"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Lexmark </w:t>
      </w:r>
      <w:r w:rsidRPr="0044114E">
        <w:rPr>
          <w:rFonts w:ascii="Times New Roman" w:hAnsi="Times New Roman"/>
          <w:sz w:val="24"/>
        </w:rPr>
        <w:t>(2017) 137 S Ct 1523 at 1534.</w:t>
      </w:r>
    </w:p>
  </w:footnote>
  <w:footnote w:id="355">
    <w:p w14:paraId="6EB00BE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 xml:space="preserve">Lexmark </w:t>
      </w:r>
      <w:r w:rsidRPr="0044114E">
        <w:rPr>
          <w:rFonts w:ascii="Times New Roman" w:hAnsi="Times New Roman"/>
          <w:sz w:val="24"/>
        </w:rPr>
        <w:t>(2017) 137 S Ct 1523 at 1539.</w:t>
      </w:r>
    </w:p>
  </w:footnote>
  <w:footnote w:id="356">
    <w:p w14:paraId="72C5077C"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sz w:val="24"/>
        </w:rPr>
        <w:t xml:space="preserve">cf </w:t>
      </w:r>
      <w:r w:rsidRPr="0044114E">
        <w:rPr>
          <w:rFonts w:ascii="Times New Roman" w:hAnsi="Times New Roman"/>
          <w:i/>
          <w:sz w:val="24"/>
        </w:rPr>
        <w:t>Patents Act 1990</w:t>
      </w:r>
      <w:r w:rsidRPr="0044114E">
        <w:rPr>
          <w:rFonts w:ascii="Times New Roman" w:hAnsi="Times New Roman"/>
          <w:sz w:val="24"/>
        </w:rPr>
        <w:t>, s 13(1). See [</w:t>
      </w:r>
      <w:r>
        <w:rPr>
          <w:rFonts w:ascii="Times New Roman" w:hAnsi="Times New Roman"/>
          <w:sz w:val="24"/>
        </w:rPr>
        <w:t>155</w:t>
      </w:r>
      <w:r w:rsidRPr="0044114E">
        <w:rPr>
          <w:rFonts w:ascii="Times New Roman" w:hAnsi="Times New Roman"/>
          <w:sz w:val="24"/>
        </w:rPr>
        <w:t>]-[</w:t>
      </w:r>
      <w:r>
        <w:rPr>
          <w:rFonts w:ascii="Times New Roman" w:hAnsi="Times New Roman"/>
          <w:sz w:val="24"/>
        </w:rPr>
        <w:t>163</w:t>
      </w:r>
      <w:r w:rsidRPr="0044114E">
        <w:rPr>
          <w:rFonts w:ascii="Times New Roman" w:hAnsi="Times New Roman"/>
          <w:sz w:val="24"/>
        </w:rPr>
        <w:t>] above.</w:t>
      </w:r>
    </w:p>
  </w:footnote>
  <w:footnote w:id="357">
    <w:p w14:paraId="0BBD225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Lexmark </w:t>
      </w:r>
      <w:r w:rsidRPr="0044114E">
        <w:rPr>
          <w:rFonts w:ascii="Times New Roman" w:hAnsi="Times New Roman"/>
          <w:sz w:val="24"/>
        </w:rPr>
        <w:t>(2017) 137 S Ct 1523 at 1531.</w:t>
      </w:r>
    </w:p>
  </w:footnote>
  <w:footnote w:id="358">
    <w:p w14:paraId="71DB855F"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(1853) 55 US 539.</w:t>
      </w:r>
    </w:p>
  </w:footnote>
  <w:footnote w:id="359">
    <w:p w14:paraId="0D9893F0"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Dufresne, "The Exhaustion Doctrine Revived? Assessing the Scope and Possible Effects of the Supreme Court's </w:t>
      </w:r>
      <w:r w:rsidRPr="0044114E">
        <w:rPr>
          <w:rFonts w:ascii="Times New Roman" w:hAnsi="Times New Roman"/>
          <w:i/>
          <w:sz w:val="24"/>
        </w:rPr>
        <w:t>Quanta</w:t>
      </w:r>
      <w:r w:rsidRPr="0044114E">
        <w:rPr>
          <w:rFonts w:ascii="Times New Roman" w:hAnsi="Times New Roman"/>
          <w:sz w:val="24"/>
        </w:rPr>
        <w:t xml:space="preserve"> Decision" (2009) 24 </w:t>
      </w:r>
      <w:r w:rsidRPr="0044114E">
        <w:rPr>
          <w:rFonts w:ascii="Times New Roman" w:hAnsi="Times New Roman"/>
          <w:i/>
          <w:sz w:val="24"/>
        </w:rPr>
        <w:t>Berkeley Technology Law Journal</w:t>
      </w:r>
      <w:r w:rsidRPr="0044114E">
        <w:rPr>
          <w:rFonts w:ascii="Times New Roman" w:hAnsi="Times New Roman"/>
          <w:sz w:val="24"/>
        </w:rPr>
        <w:t xml:space="preserve"> 11 at 12</w:t>
      </w:r>
      <w:r w:rsidRPr="0044114E">
        <w:rPr>
          <w:rFonts w:ascii="Times New Roman" w:hAnsi="Times New Roman"/>
          <w:sz w:val="24"/>
        </w:rPr>
        <w:noBreakHyphen/>
        <w:t xml:space="preserve">13; </w:t>
      </w:r>
      <w:r w:rsidRPr="0044114E">
        <w:rPr>
          <w:rFonts w:ascii="Times New Roman" w:hAnsi="Times New Roman"/>
          <w:sz w:val="24"/>
        </w:rPr>
        <w:t xml:space="preserve">Hovenkamp, "The Emergence of Classical American Patent Law" (2016) 58 </w:t>
      </w:r>
      <w:r w:rsidRPr="0044114E">
        <w:rPr>
          <w:rFonts w:ascii="Times New Roman" w:hAnsi="Times New Roman"/>
          <w:i/>
          <w:sz w:val="24"/>
        </w:rPr>
        <w:t>Arizona Law Review</w:t>
      </w:r>
      <w:r w:rsidRPr="0044114E">
        <w:rPr>
          <w:rFonts w:ascii="Times New Roman" w:hAnsi="Times New Roman"/>
          <w:sz w:val="24"/>
        </w:rPr>
        <w:t xml:space="preserve"> 263 at 289, 291</w:t>
      </w:r>
      <w:r w:rsidRPr="0044114E">
        <w:rPr>
          <w:rFonts w:ascii="Times New Roman" w:hAnsi="Times New Roman"/>
          <w:sz w:val="24"/>
        </w:rPr>
        <w:noBreakHyphen/>
        <w:t xml:space="preserve">292; Ernst, "Why Patent Exhaustion Should Liberate Products (And Not Just People)" (2016) 93 </w:t>
      </w:r>
      <w:r w:rsidRPr="0044114E">
        <w:rPr>
          <w:rFonts w:ascii="Times New Roman" w:hAnsi="Times New Roman"/>
          <w:i/>
          <w:sz w:val="24"/>
        </w:rPr>
        <w:t>Denver Law Review</w:t>
      </w:r>
      <w:r w:rsidRPr="0044114E">
        <w:rPr>
          <w:rFonts w:ascii="Times New Roman" w:hAnsi="Times New Roman"/>
          <w:sz w:val="24"/>
        </w:rPr>
        <w:t xml:space="preserve"> 899 at 909</w:t>
      </w:r>
      <w:r w:rsidRPr="0044114E">
        <w:rPr>
          <w:rFonts w:ascii="Times New Roman" w:hAnsi="Times New Roman"/>
          <w:sz w:val="24"/>
        </w:rPr>
        <w:noBreakHyphen/>
        <w:t xml:space="preserve">910; Tur-Sinai, "Exhaustion in the Service of Progress" (2019) 37 </w:t>
      </w:r>
      <w:r w:rsidRPr="0044114E">
        <w:rPr>
          <w:rFonts w:ascii="Times New Roman" w:hAnsi="Times New Roman"/>
          <w:i/>
          <w:sz w:val="24"/>
        </w:rPr>
        <w:t>Cardozo Arts &amp; Entertainment Law Journal</w:t>
      </w:r>
      <w:r w:rsidRPr="0044114E">
        <w:rPr>
          <w:rFonts w:ascii="Times New Roman" w:hAnsi="Times New Roman"/>
          <w:sz w:val="24"/>
        </w:rPr>
        <w:t xml:space="preserve"> 87 at 92.</w:t>
      </w:r>
    </w:p>
  </w:footnote>
  <w:footnote w:id="360">
    <w:p w14:paraId="31700C92"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Lexmark </w:t>
      </w:r>
      <w:r w:rsidRPr="0044114E">
        <w:rPr>
          <w:rFonts w:ascii="Times New Roman" w:hAnsi="Times New Roman"/>
          <w:sz w:val="24"/>
        </w:rPr>
        <w:t>(2017) 137 S Ct 1523 at 1531.</w:t>
      </w:r>
    </w:p>
  </w:footnote>
  <w:footnote w:id="361">
    <w:p w14:paraId="329F013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sz w:val="24"/>
        </w:rPr>
        <w:t xml:space="preserve">cf </w:t>
      </w:r>
      <w:r w:rsidRPr="0044114E">
        <w:rPr>
          <w:rFonts w:ascii="Times New Roman" w:hAnsi="Times New Roman"/>
          <w:i/>
          <w:sz w:val="24"/>
        </w:rPr>
        <w:t xml:space="preserve">Société Anonyme </w:t>
      </w:r>
      <w:r w:rsidRPr="0044114E">
        <w:rPr>
          <w:rFonts w:ascii="Times New Roman" w:hAnsi="Times New Roman"/>
          <w:sz w:val="24"/>
        </w:rPr>
        <w:t>(1883) 25 Ch D 1</w:t>
      </w:r>
      <w:r w:rsidRPr="0044114E">
        <w:rPr>
          <w:rFonts w:ascii="Times New Roman" w:hAnsi="Times New Roman"/>
          <w:i/>
          <w:sz w:val="24"/>
        </w:rPr>
        <w:t xml:space="preserve"> </w:t>
      </w:r>
      <w:r w:rsidRPr="0044114E">
        <w:rPr>
          <w:rFonts w:ascii="Times New Roman" w:hAnsi="Times New Roman"/>
          <w:sz w:val="24"/>
        </w:rPr>
        <w:t xml:space="preserve">at 9; </w:t>
      </w:r>
      <w:r w:rsidRPr="0044114E">
        <w:rPr>
          <w:rFonts w:ascii="Times New Roman" w:hAnsi="Times New Roman"/>
          <w:i/>
          <w:sz w:val="24"/>
        </w:rPr>
        <w:t>Cantelo</w:t>
      </w:r>
      <w:r w:rsidRPr="0044114E">
        <w:rPr>
          <w:rFonts w:ascii="Times New Roman" w:hAnsi="Times New Roman"/>
          <w:sz w:val="24"/>
        </w:rPr>
        <w:t xml:space="preserve"> (1895) 12 RPC 262 at 264; </w:t>
      </w:r>
      <w:r w:rsidRPr="0044114E">
        <w:rPr>
          <w:rFonts w:ascii="Times New Roman" w:hAnsi="Times New Roman"/>
          <w:i/>
          <w:sz w:val="24"/>
        </w:rPr>
        <w:t>Menck (HCA)</w:t>
      </w:r>
      <w:r w:rsidRPr="0044114E">
        <w:rPr>
          <w:rFonts w:ascii="Times New Roman" w:hAnsi="Times New Roman"/>
          <w:sz w:val="24"/>
        </w:rPr>
        <w:t xml:space="preserve"> (1908) 7 CLR 481 at 539; </w:t>
      </w:r>
      <w:r w:rsidRPr="0044114E">
        <w:rPr>
          <w:rFonts w:ascii="Times New Roman" w:hAnsi="Times New Roman"/>
          <w:i/>
          <w:sz w:val="24"/>
        </w:rPr>
        <w:t>Menck (PC)</w:t>
      </w:r>
      <w:r w:rsidRPr="0044114E">
        <w:rPr>
          <w:rFonts w:ascii="Times New Roman" w:hAnsi="Times New Roman"/>
          <w:sz w:val="24"/>
        </w:rPr>
        <w:t xml:space="preserve"> (1911) 12 CLR 15 at 27</w:t>
      </w:r>
      <w:r w:rsidRPr="0044114E">
        <w:rPr>
          <w:rFonts w:ascii="Times New Roman" w:hAnsi="Times New Roman"/>
          <w:sz w:val="24"/>
        </w:rPr>
        <w:noBreakHyphen/>
        <w:t>28; [1911] AC 336 at 352</w:t>
      </w:r>
      <w:r w:rsidRPr="0044114E">
        <w:rPr>
          <w:rFonts w:ascii="Times New Roman" w:hAnsi="Times New Roman"/>
          <w:sz w:val="24"/>
        </w:rPr>
        <w:noBreakHyphen/>
        <w:t>353.</w:t>
      </w:r>
    </w:p>
  </w:footnote>
  <w:footnote w:id="362">
    <w:p w14:paraId="18FECCC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Lexmark </w:t>
      </w:r>
      <w:r w:rsidRPr="0044114E">
        <w:rPr>
          <w:rFonts w:ascii="Times New Roman" w:hAnsi="Times New Roman"/>
          <w:sz w:val="24"/>
        </w:rPr>
        <w:t>(2017) 137 S Ct 1523 at 1532</w:t>
      </w:r>
      <w:r w:rsidRPr="0044114E">
        <w:rPr>
          <w:rFonts w:ascii="Times New Roman" w:hAnsi="Times New Roman"/>
          <w:sz w:val="24"/>
        </w:rPr>
        <w:noBreakHyphen/>
        <w:t>1534.</w:t>
      </w:r>
    </w:p>
  </w:footnote>
  <w:footnote w:id="363">
    <w:p w14:paraId="0203162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Lexmark</w:t>
      </w:r>
      <w:r w:rsidRPr="0044114E">
        <w:rPr>
          <w:rFonts w:ascii="Times New Roman" w:hAnsi="Times New Roman"/>
          <w:sz w:val="24"/>
        </w:rPr>
        <w:t xml:space="preserve"> (2017) 137 S Ct 1523 at 1534, citing </w:t>
      </w:r>
      <w:r w:rsidRPr="0044114E">
        <w:rPr>
          <w:rFonts w:ascii="Times New Roman" w:hAnsi="Times New Roman"/>
          <w:i/>
          <w:sz w:val="24"/>
        </w:rPr>
        <w:t xml:space="preserve">Bloomer v </w:t>
      </w:r>
      <w:r w:rsidRPr="0044114E">
        <w:rPr>
          <w:rFonts w:ascii="Times New Roman" w:hAnsi="Times New Roman"/>
          <w:i/>
          <w:sz w:val="24"/>
        </w:rPr>
        <w:t>McQuewan</w:t>
      </w:r>
      <w:r w:rsidRPr="0044114E">
        <w:rPr>
          <w:rFonts w:ascii="Times New Roman" w:hAnsi="Times New Roman"/>
          <w:sz w:val="24"/>
        </w:rPr>
        <w:t xml:space="preserve"> (1853) 55 US 539 at 549.</w:t>
      </w:r>
    </w:p>
  </w:footnote>
  <w:footnote w:id="364">
    <w:p w14:paraId="4B74EB65" w14:textId="77777777" w:rsidR="0047638A" w:rsidRPr="0044114E" w:rsidRDefault="0047638A" w:rsidP="00261C63">
      <w:pPr>
        <w:pStyle w:val="FootnoteText"/>
        <w:spacing w:line="280" w:lineRule="exact"/>
        <w:ind w:right="0"/>
        <w:jc w:val="both"/>
        <w:rPr>
          <w:rFonts w:ascii="Times New Roman" w:hAnsi="Times New Roman"/>
          <w:i/>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(HCA) </w:t>
      </w:r>
      <w:r w:rsidRPr="0044114E">
        <w:rPr>
          <w:rFonts w:ascii="Times New Roman" w:hAnsi="Times New Roman"/>
          <w:sz w:val="24"/>
        </w:rPr>
        <w:t>(1908) 7 CLR 481 at 538.</w:t>
      </w:r>
    </w:p>
  </w:footnote>
  <w:footnote w:id="365">
    <w:p w14:paraId="5F7761C0"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(1911) 12 CLR 15 at 24; [1911] AC 336 at 349.</w:t>
      </w:r>
    </w:p>
  </w:footnote>
  <w:footnote w:id="366">
    <w:p w14:paraId="01EDEE5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(1977) 138 CLR 534 at 549.</w:t>
      </w:r>
    </w:p>
  </w:footnote>
  <w:footnote w:id="367">
    <w:p w14:paraId="1FDD9FE1"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Menck (HCA) </w:t>
      </w:r>
      <w:r w:rsidRPr="0044114E">
        <w:rPr>
          <w:rFonts w:ascii="Times New Roman" w:hAnsi="Times New Roman"/>
          <w:sz w:val="24"/>
        </w:rPr>
        <w:t xml:space="preserve">(1908) 7 CLR 481 at 538; </w:t>
      </w:r>
      <w:r w:rsidRPr="0044114E">
        <w:rPr>
          <w:rFonts w:ascii="Times New Roman" w:hAnsi="Times New Roman"/>
          <w:i/>
          <w:sz w:val="24"/>
        </w:rPr>
        <w:t>Time-Life International</w:t>
      </w:r>
      <w:r w:rsidRPr="0044114E">
        <w:rPr>
          <w:rFonts w:ascii="Times New Roman" w:hAnsi="Times New Roman"/>
          <w:sz w:val="24"/>
        </w:rPr>
        <w:t xml:space="preserve"> (1977) 138 CLR 534 at 549; </w:t>
      </w:r>
      <w:r w:rsidRPr="0044114E">
        <w:rPr>
          <w:rFonts w:ascii="Times New Roman" w:hAnsi="Times New Roman"/>
          <w:i/>
          <w:sz w:val="24"/>
        </w:rPr>
        <w:t xml:space="preserve">Alcan (NT) Alumina Pty Ltd v Commissioner of Territory Revenue </w:t>
      </w:r>
      <w:r w:rsidRPr="0044114E">
        <w:rPr>
          <w:rFonts w:ascii="Times New Roman" w:hAnsi="Times New Roman"/>
          <w:sz w:val="24"/>
        </w:rPr>
        <w:t xml:space="preserve">(2009) 239 CLR 27 at 31 [4]; </w:t>
      </w:r>
      <w:r w:rsidRPr="0044114E">
        <w:rPr>
          <w:rFonts w:ascii="Times New Roman" w:hAnsi="Times New Roman"/>
          <w:i/>
          <w:sz w:val="24"/>
        </w:rPr>
        <w:t xml:space="preserve">Baini v The Queen </w:t>
      </w:r>
      <w:r w:rsidRPr="0044114E">
        <w:rPr>
          <w:rFonts w:ascii="Times New Roman" w:hAnsi="Times New Roman"/>
          <w:sz w:val="24"/>
        </w:rPr>
        <w:t xml:space="preserve">(2012) 246 CLR 469 at 476 [14]; </w:t>
      </w:r>
      <w:r w:rsidRPr="0044114E">
        <w:rPr>
          <w:rFonts w:ascii="Times New Roman" w:hAnsi="Times New Roman"/>
          <w:i/>
          <w:sz w:val="24"/>
        </w:rPr>
        <w:t xml:space="preserve">Federal Commissioner of Taxation v Consolidated Media Holdings Ltd </w:t>
      </w:r>
      <w:r w:rsidRPr="0044114E">
        <w:rPr>
          <w:rFonts w:ascii="Times New Roman" w:hAnsi="Times New Roman"/>
          <w:sz w:val="24"/>
        </w:rPr>
        <w:t xml:space="preserve">(2012) 250 CLR 503 at 519 [39]; </w:t>
      </w:r>
      <w:r w:rsidRPr="0044114E">
        <w:rPr>
          <w:rFonts w:ascii="Times New Roman" w:hAnsi="Times New Roman"/>
          <w:i/>
          <w:sz w:val="24"/>
        </w:rPr>
        <w:t xml:space="preserve">SZTAL v Minister for Immigration and Border Protection </w:t>
      </w:r>
      <w:r w:rsidRPr="0044114E">
        <w:rPr>
          <w:rFonts w:ascii="Times New Roman" w:hAnsi="Times New Roman"/>
          <w:sz w:val="24"/>
        </w:rPr>
        <w:t>(2017) 262 CLR 362 at 368 [14].</w:t>
      </w:r>
    </w:p>
  </w:footnote>
  <w:footnote w:id="368">
    <w:p w14:paraId="144B4286"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See [</w:t>
      </w:r>
      <w:r>
        <w:rPr>
          <w:rFonts w:ascii="Times New Roman" w:hAnsi="Times New Roman"/>
          <w:sz w:val="24"/>
        </w:rPr>
        <w:t>158</w:t>
      </w:r>
      <w:r w:rsidRPr="0044114E">
        <w:rPr>
          <w:rFonts w:ascii="Times New Roman" w:hAnsi="Times New Roman"/>
          <w:sz w:val="24"/>
        </w:rPr>
        <w:t xml:space="preserve">] </w:t>
      </w:r>
      <w:r w:rsidRPr="0044114E">
        <w:rPr>
          <w:rFonts w:ascii="Times New Roman" w:hAnsi="Times New Roman"/>
          <w:sz w:val="24"/>
        </w:rPr>
        <w:t>fn </w:t>
      </w:r>
      <w:r>
        <w:rPr>
          <w:rFonts w:ascii="Times New Roman" w:hAnsi="Times New Roman"/>
          <w:sz w:val="24"/>
        </w:rPr>
        <w:t>231</w:t>
      </w:r>
      <w:r w:rsidRPr="0044114E">
        <w:rPr>
          <w:rFonts w:ascii="Times New Roman" w:hAnsi="Times New Roman"/>
          <w:sz w:val="24"/>
        </w:rPr>
        <w:t xml:space="preserve"> above.</w:t>
      </w:r>
    </w:p>
  </w:footnote>
  <w:footnote w:id="369">
    <w:p w14:paraId="2643D99C"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Including additional damages: see </w:t>
      </w:r>
      <w:r w:rsidRPr="0044114E">
        <w:rPr>
          <w:rFonts w:ascii="Times New Roman" w:hAnsi="Times New Roman"/>
          <w:i/>
          <w:sz w:val="24"/>
        </w:rPr>
        <w:t>Patents Act 1990</w:t>
      </w:r>
      <w:r w:rsidRPr="0044114E">
        <w:rPr>
          <w:rFonts w:ascii="Times New Roman" w:hAnsi="Times New Roman"/>
          <w:sz w:val="24"/>
        </w:rPr>
        <w:t>, s 122(1A).</w:t>
      </w:r>
    </w:p>
  </w:footnote>
  <w:footnote w:id="370">
    <w:p w14:paraId="140001B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(1968) 122 CLR 25 at 32. See also </w:t>
      </w:r>
      <w:r w:rsidRPr="0044114E">
        <w:rPr>
          <w:rFonts w:ascii="Times New Roman" w:eastAsia="Calibri" w:hAnsi="Times New Roman"/>
          <w:i/>
          <w:sz w:val="24"/>
        </w:rPr>
        <w:t xml:space="preserve">Lever v Goodwin </w:t>
      </w:r>
      <w:r w:rsidRPr="0044114E">
        <w:rPr>
          <w:rFonts w:ascii="Times New Roman" w:eastAsia="Calibri" w:hAnsi="Times New Roman"/>
          <w:sz w:val="24"/>
        </w:rPr>
        <w:t xml:space="preserve">(1887) 36 Ch D 1 at 7; </w:t>
      </w:r>
      <w:r w:rsidRPr="0044114E">
        <w:rPr>
          <w:rFonts w:ascii="Times New Roman" w:eastAsia="Calibri" w:hAnsi="Times New Roman"/>
          <w:i/>
          <w:sz w:val="24"/>
        </w:rPr>
        <w:t>Dart</w:t>
      </w:r>
      <w:r>
        <w:rPr>
          <w:rFonts w:ascii="Times New Roman" w:eastAsia="Calibri" w:hAnsi="Times New Roman"/>
          <w:i/>
          <w:sz w:val="24"/>
        </w:rPr>
        <w:t> </w:t>
      </w:r>
      <w:r w:rsidRPr="0044114E">
        <w:rPr>
          <w:rFonts w:ascii="Times New Roman" w:eastAsia="Calibri" w:hAnsi="Times New Roman"/>
          <w:i/>
          <w:sz w:val="24"/>
        </w:rPr>
        <w:t>Industries Inc v Decor Corporation Pty Ltd</w:t>
      </w:r>
      <w:r w:rsidRPr="0044114E">
        <w:rPr>
          <w:rFonts w:ascii="Times New Roman" w:eastAsia="Calibri" w:hAnsi="Times New Roman"/>
          <w:sz w:val="24"/>
        </w:rPr>
        <w:t xml:space="preserve"> (1993) 179 CLR 101 at 110</w:t>
      </w:r>
      <w:r w:rsidRPr="0044114E">
        <w:rPr>
          <w:rFonts w:ascii="Times New Roman" w:eastAsia="Calibri" w:hAnsi="Times New Roman"/>
          <w:sz w:val="24"/>
        </w:rPr>
        <w:noBreakHyphen/>
        <w:t xml:space="preserve">111; </w:t>
      </w:r>
      <w:r w:rsidRPr="0044114E">
        <w:rPr>
          <w:rFonts w:ascii="Times New Roman" w:hAnsi="Times New Roman"/>
          <w:i/>
          <w:sz w:val="24"/>
        </w:rPr>
        <w:t xml:space="preserve">Warman </w:t>
      </w:r>
      <w:r w:rsidRPr="0044114E">
        <w:rPr>
          <w:rFonts w:ascii="Times New Roman" w:hAnsi="Times New Roman"/>
          <w:sz w:val="24"/>
        </w:rPr>
        <w:t>(1995) 182 CLR 544 at 558</w:t>
      </w:r>
      <w:r w:rsidRPr="0044114E">
        <w:rPr>
          <w:rFonts w:ascii="Times New Roman" w:hAnsi="Times New Roman"/>
          <w:sz w:val="24"/>
        </w:rPr>
        <w:noBreakHyphen/>
        <w:t>559.</w:t>
      </w:r>
    </w:p>
  </w:footnote>
  <w:footnote w:id="371">
    <w:p w14:paraId="5F4EFE0E"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Patents Act 1990</w:t>
      </w:r>
      <w:r w:rsidRPr="0044114E">
        <w:rPr>
          <w:rFonts w:ascii="Times New Roman" w:hAnsi="Times New Roman"/>
          <w:sz w:val="24"/>
        </w:rPr>
        <w:t>, s 122(1).</w:t>
      </w:r>
    </w:p>
  </w:footnote>
  <w:footnote w:id="372">
    <w:p w14:paraId="747555D8"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Neilson v Betts</w:t>
      </w:r>
      <w:r w:rsidRPr="0044114E">
        <w:rPr>
          <w:rFonts w:ascii="Times New Roman" w:hAnsi="Times New Roman"/>
          <w:sz w:val="24"/>
        </w:rPr>
        <w:t xml:space="preserve"> (1871) LR 5 HL 1 at 22. See also </w:t>
      </w:r>
      <w:r w:rsidRPr="0044114E">
        <w:rPr>
          <w:rFonts w:ascii="Times New Roman" w:eastAsia="Calibri" w:hAnsi="Times New Roman"/>
          <w:i/>
          <w:sz w:val="24"/>
        </w:rPr>
        <w:t xml:space="preserve">De </w:t>
      </w:r>
      <w:r w:rsidRPr="0044114E">
        <w:rPr>
          <w:rFonts w:ascii="Times New Roman" w:eastAsia="Calibri" w:hAnsi="Times New Roman"/>
          <w:i/>
          <w:sz w:val="24"/>
        </w:rPr>
        <w:t xml:space="preserve">Vitre v Betts </w:t>
      </w:r>
      <w:r w:rsidRPr="0044114E">
        <w:rPr>
          <w:rFonts w:ascii="Times New Roman" w:eastAsia="Calibri" w:hAnsi="Times New Roman"/>
          <w:caps/>
          <w:sz w:val="24"/>
        </w:rPr>
        <w:t>(1873</w:t>
      </w:r>
      <w:r w:rsidRPr="0044114E">
        <w:rPr>
          <w:rFonts w:ascii="Times New Roman" w:eastAsia="Calibri" w:hAnsi="Times New Roman"/>
          <w:sz w:val="24"/>
        </w:rPr>
        <w:t xml:space="preserve">) LR 6 HL 319 at 321; </w:t>
      </w:r>
      <w:r w:rsidRPr="0044114E">
        <w:rPr>
          <w:rFonts w:ascii="Times New Roman" w:eastAsia="Calibri" w:hAnsi="Times New Roman"/>
          <w:i/>
          <w:sz w:val="24"/>
        </w:rPr>
        <w:t xml:space="preserve">Lever </w:t>
      </w:r>
      <w:r w:rsidRPr="0044114E">
        <w:rPr>
          <w:rFonts w:ascii="Times New Roman" w:eastAsia="Calibri" w:hAnsi="Times New Roman"/>
          <w:sz w:val="24"/>
        </w:rPr>
        <w:t xml:space="preserve">(1887) 36 Ch D 1 at 7; </w:t>
      </w:r>
      <w:r w:rsidRPr="0044114E">
        <w:rPr>
          <w:rFonts w:ascii="Times New Roman" w:eastAsia="Calibri" w:hAnsi="Times New Roman"/>
          <w:i/>
          <w:sz w:val="24"/>
        </w:rPr>
        <w:t xml:space="preserve">Siddell v Vickers </w:t>
      </w:r>
      <w:r w:rsidRPr="0044114E">
        <w:rPr>
          <w:rFonts w:ascii="Times New Roman" w:eastAsia="Calibri" w:hAnsi="Times New Roman"/>
          <w:sz w:val="24"/>
        </w:rPr>
        <w:t xml:space="preserve">(1892) 9 RPC 152 at 162; </w:t>
      </w:r>
      <w:r w:rsidRPr="0044114E">
        <w:rPr>
          <w:rFonts w:ascii="Times New Roman" w:eastAsia="Calibri" w:hAnsi="Times New Roman"/>
          <w:i/>
          <w:sz w:val="24"/>
        </w:rPr>
        <w:t xml:space="preserve">Sutherland Publishing Co Ltd v Caxton Publishing Co Ltd </w:t>
      </w:r>
      <w:r w:rsidRPr="0044114E">
        <w:rPr>
          <w:rFonts w:ascii="Times New Roman" w:eastAsia="Calibri" w:hAnsi="Times New Roman"/>
          <w:sz w:val="24"/>
        </w:rPr>
        <w:t xml:space="preserve">[1936] Ch 323 at 325; </w:t>
      </w:r>
      <w:r w:rsidRPr="0044114E">
        <w:rPr>
          <w:rFonts w:ascii="Times New Roman" w:eastAsia="Calibri" w:hAnsi="Times New Roman"/>
          <w:i/>
          <w:sz w:val="24"/>
        </w:rPr>
        <w:t xml:space="preserve">Dart </w:t>
      </w:r>
      <w:r w:rsidRPr="0044114E">
        <w:rPr>
          <w:rFonts w:ascii="Times New Roman" w:eastAsia="Calibri" w:hAnsi="Times New Roman"/>
          <w:sz w:val="24"/>
        </w:rPr>
        <w:t>(1993) 179 CLR 101 at 110</w:t>
      </w:r>
      <w:r w:rsidRPr="0044114E">
        <w:rPr>
          <w:rFonts w:ascii="Times New Roman" w:eastAsia="Calibri" w:hAnsi="Times New Roman"/>
          <w:sz w:val="24"/>
        </w:rPr>
        <w:noBreakHyphen/>
        <w:t xml:space="preserve">111; </w:t>
      </w:r>
      <w:r w:rsidRPr="0044114E">
        <w:rPr>
          <w:rFonts w:ascii="Times New Roman" w:eastAsia="Calibri" w:hAnsi="Times New Roman"/>
          <w:i/>
          <w:sz w:val="24"/>
        </w:rPr>
        <w:t>Unilin Beeher BV v Huili Building Materials Pty Ltd [No 2]</w:t>
      </w:r>
      <w:r w:rsidRPr="0044114E">
        <w:rPr>
          <w:rFonts w:ascii="Times New Roman" w:eastAsia="Calibri" w:hAnsi="Times New Roman"/>
          <w:sz w:val="24"/>
        </w:rPr>
        <w:t xml:space="preserve"> (2007) 74 IPR 345 at 365-366 [70]. See further </w:t>
      </w:r>
      <w:r w:rsidRPr="0044114E">
        <w:rPr>
          <w:rFonts w:ascii="Times New Roman" w:hAnsi="Times New Roman"/>
          <w:sz w:val="24"/>
        </w:rPr>
        <w:t xml:space="preserve">Seton, </w:t>
      </w:r>
      <w:r w:rsidRPr="0044114E">
        <w:rPr>
          <w:rFonts w:ascii="Times New Roman" w:hAnsi="Times New Roman"/>
          <w:i/>
          <w:sz w:val="24"/>
        </w:rPr>
        <w:t>Forms of Judgments and Orders in the High Court of Justice and Court of Appeal</w:t>
      </w:r>
      <w:r w:rsidRPr="0044114E">
        <w:rPr>
          <w:rFonts w:ascii="Times New Roman" w:hAnsi="Times New Roman"/>
          <w:sz w:val="24"/>
        </w:rPr>
        <w:t>, 7th ed (1912), vol 1 at 651.</w:t>
      </w:r>
    </w:p>
  </w:footnote>
  <w:footnote w:id="373">
    <w:p w14:paraId="546B3BD9"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eastAsia="Calibri" w:hAnsi="Times New Roman"/>
          <w:sz w:val="24"/>
        </w:rPr>
        <w:t>(1993) 179 CLR 101 at 110-111 (footnotes omitted).</w:t>
      </w:r>
    </w:p>
  </w:footnote>
  <w:footnote w:id="374">
    <w:p w14:paraId="30E3E1C1"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(1871) LR 5 HL 1 at 22.</w:t>
      </w:r>
    </w:p>
  </w:footnote>
  <w:footnote w:id="375">
    <w:p w14:paraId="31586E80"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eastAsia="Calibri" w:hAnsi="Times New Roman"/>
          <w:sz w:val="24"/>
        </w:rPr>
        <w:t>(1887) 36 Ch D 1 at 7.</w:t>
      </w:r>
    </w:p>
  </w:footnote>
  <w:footnote w:id="376">
    <w:p w14:paraId="2893DF9F"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Consul Development Pty Ltd v DPC Estates Pty Ltd</w:t>
      </w:r>
      <w:r w:rsidRPr="0044114E">
        <w:rPr>
          <w:rFonts w:ascii="Times New Roman" w:hAnsi="Times New Roman"/>
          <w:sz w:val="24"/>
        </w:rPr>
        <w:t xml:space="preserve"> (1975) 132 CLR 373 at 394, citing </w:t>
      </w:r>
      <w:r w:rsidRPr="0044114E">
        <w:rPr>
          <w:rFonts w:ascii="Times New Roman" w:hAnsi="Times New Roman"/>
          <w:i/>
          <w:sz w:val="24"/>
        </w:rPr>
        <w:t>Birtchnell v Equity Trustees, Executors and Agency Co Ltd</w:t>
      </w:r>
      <w:r w:rsidRPr="0044114E">
        <w:rPr>
          <w:rFonts w:ascii="Times New Roman" w:hAnsi="Times New Roman"/>
          <w:sz w:val="24"/>
        </w:rPr>
        <w:t xml:space="preserve"> (1929) 42 CLR 384 at 408</w:t>
      </w:r>
      <w:r w:rsidRPr="0044114E">
        <w:rPr>
          <w:rFonts w:ascii="Times New Roman" w:hAnsi="Times New Roman"/>
          <w:sz w:val="24"/>
        </w:rPr>
        <w:noBreakHyphen/>
        <w:t>409.</w:t>
      </w:r>
    </w:p>
  </w:footnote>
  <w:footnote w:id="377">
    <w:p w14:paraId="4BF6964D"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Patents Act 1990</w:t>
      </w:r>
      <w:r w:rsidRPr="0044114E">
        <w:rPr>
          <w:rFonts w:ascii="Times New Roman" w:hAnsi="Times New Roman"/>
          <w:sz w:val="24"/>
        </w:rPr>
        <w:t>, s 123.</w:t>
      </w:r>
    </w:p>
  </w:footnote>
  <w:footnote w:id="378">
    <w:p w14:paraId="4DF0E30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Warman </w:t>
      </w:r>
      <w:r w:rsidRPr="0044114E">
        <w:rPr>
          <w:rFonts w:ascii="Times New Roman" w:hAnsi="Times New Roman"/>
          <w:sz w:val="24"/>
        </w:rPr>
        <w:t xml:space="preserve">(1995) 182 CLR 544 at 558; </w:t>
      </w:r>
      <w:r w:rsidRPr="0044114E">
        <w:rPr>
          <w:rFonts w:ascii="Times New Roman" w:hAnsi="Times New Roman"/>
          <w:i/>
          <w:sz w:val="24"/>
        </w:rPr>
        <w:t xml:space="preserve">Mann </w:t>
      </w:r>
      <w:r w:rsidRPr="0044114E">
        <w:rPr>
          <w:rFonts w:ascii="Times New Roman" w:hAnsi="Times New Roman"/>
          <w:sz w:val="24"/>
        </w:rPr>
        <w:t>(2019) 93 ALJR 1164</w:t>
      </w:r>
      <w:r w:rsidRPr="0044114E">
        <w:rPr>
          <w:rFonts w:ascii="Times New Roman" w:hAnsi="Times New Roman"/>
          <w:i/>
          <w:sz w:val="24"/>
        </w:rPr>
        <w:t xml:space="preserve"> </w:t>
      </w:r>
      <w:r w:rsidRPr="0044114E">
        <w:rPr>
          <w:rFonts w:ascii="Times New Roman" w:hAnsi="Times New Roman"/>
          <w:sz w:val="24"/>
        </w:rPr>
        <w:t>at 1190</w:t>
      </w:r>
      <w:r w:rsidRPr="0044114E">
        <w:rPr>
          <w:rFonts w:ascii="Times New Roman" w:hAnsi="Times New Roman"/>
          <w:i/>
          <w:sz w:val="24"/>
        </w:rPr>
        <w:t xml:space="preserve"> </w:t>
      </w:r>
      <w:r w:rsidRPr="0044114E">
        <w:rPr>
          <w:rFonts w:ascii="Times New Roman" w:hAnsi="Times New Roman"/>
          <w:sz w:val="24"/>
        </w:rPr>
        <w:t>[98]; 373 ALR 1 at 27</w:t>
      </w:r>
      <w:r w:rsidRPr="0044114E">
        <w:rPr>
          <w:rFonts w:ascii="Times New Roman" w:hAnsi="Times New Roman"/>
          <w:sz w:val="24"/>
        </w:rPr>
        <w:noBreakHyphen/>
        <w:t>28.</w:t>
      </w:r>
    </w:p>
  </w:footnote>
  <w:footnote w:id="379">
    <w:p w14:paraId="2D41B82B"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General Tire &amp; Rubber Co v Firestone Tyre &amp; Rubber Co Ltd</w:t>
      </w:r>
      <w:r w:rsidRPr="0044114E">
        <w:rPr>
          <w:rFonts w:ascii="Times New Roman" w:hAnsi="Times New Roman"/>
          <w:sz w:val="24"/>
        </w:rPr>
        <w:t xml:space="preserve"> [1975] 1 WLR 819 at 824; [1975] 2 All ER 173 at 177. See also </w:t>
      </w:r>
      <w:r w:rsidRPr="0044114E">
        <w:rPr>
          <w:rFonts w:ascii="Times New Roman" w:hAnsi="Times New Roman"/>
          <w:i/>
          <w:sz w:val="24"/>
        </w:rPr>
        <w:t xml:space="preserve">Watson, Laidlaw &amp; Co Ltd v Pott, Cassels, and Williamson </w:t>
      </w:r>
      <w:r w:rsidRPr="0044114E">
        <w:rPr>
          <w:rFonts w:ascii="Times New Roman" w:hAnsi="Times New Roman"/>
          <w:sz w:val="24"/>
        </w:rPr>
        <w:t>(1914) 31 RPC 104 at 117</w:t>
      </w:r>
      <w:r w:rsidRPr="0044114E">
        <w:rPr>
          <w:rFonts w:ascii="Times New Roman" w:hAnsi="Times New Roman"/>
          <w:sz w:val="24"/>
        </w:rPr>
        <w:noBreakHyphen/>
        <w:t xml:space="preserve">120; </w:t>
      </w:r>
      <w:r w:rsidRPr="0044114E">
        <w:rPr>
          <w:rFonts w:ascii="Times New Roman" w:hAnsi="Times New Roman"/>
          <w:i/>
          <w:sz w:val="24"/>
        </w:rPr>
        <w:t>One Step (Support) Ltd v Morris</w:t>
      </w:r>
      <w:r w:rsidRPr="0044114E">
        <w:rPr>
          <w:rFonts w:ascii="Times New Roman" w:hAnsi="Times New Roman"/>
          <w:i/>
          <w:sz w:val="24"/>
        </w:rPr>
        <w:noBreakHyphen/>
        <w:t xml:space="preserve">Garner </w:t>
      </w:r>
      <w:r w:rsidRPr="0044114E">
        <w:rPr>
          <w:rFonts w:ascii="Times New Roman" w:hAnsi="Times New Roman"/>
          <w:sz w:val="24"/>
        </w:rPr>
        <w:t>[2019] AC 649 at 669</w:t>
      </w:r>
      <w:r w:rsidRPr="0044114E">
        <w:rPr>
          <w:rFonts w:ascii="Times New Roman" w:hAnsi="Times New Roman"/>
          <w:sz w:val="24"/>
        </w:rPr>
        <w:noBreakHyphen/>
        <w:t>671 [25]</w:t>
      </w:r>
      <w:r w:rsidRPr="0044114E">
        <w:rPr>
          <w:rFonts w:ascii="Times New Roman" w:hAnsi="Times New Roman"/>
          <w:sz w:val="24"/>
        </w:rPr>
        <w:noBreakHyphen/>
        <w:t>[30].</w:t>
      </w:r>
    </w:p>
  </w:footnote>
  <w:footnote w:id="380">
    <w:p w14:paraId="4D430770"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General Tire </w:t>
      </w:r>
      <w:r w:rsidRPr="0044114E">
        <w:rPr>
          <w:rFonts w:ascii="Times New Roman" w:hAnsi="Times New Roman"/>
          <w:sz w:val="24"/>
        </w:rPr>
        <w:t>[1975] 1 WLR 819 at 826; [1975] 2 All ER 173 at 179.</w:t>
      </w:r>
    </w:p>
  </w:footnote>
  <w:footnote w:id="381">
    <w:p w14:paraId="1F8127E9"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sz w:val="24"/>
        </w:rPr>
        <w:t xml:space="preserve">eg, </w:t>
      </w:r>
      <w:r w:rsidRPr="0044114E">
        <w:rPr>
          <w:rFonts w:ascii="Times New Roman" w:hAnsi="Times New Roman"/>
          <w:i/>
          <w:sz w:val="24"/>
        </w:rPr>
        <w:t xml:space="preserve">Ungar v Sugg </w:t>
      </w:r>
      <w:r w:rsidRPr="0044114E">
        <w:rPr>
          <w:rFonts w:ascii="Times New Roman" w:hAnsi="Times New Roman"/>
          <w:sz w:val="24"/>
        </w:rPr>
        <w:t xml:space="preserve">(1892) 9 RPC 113 at 117; </w:t>
      </w:r>
      <w:r w:rsidRPr="0044114E">
        <w:rPr>
          <w:rFonts w:ascii="Times New Roman" w:hAnsi="Times New Roman"/>
          <w:i/>
          <w:sz w:val="24"/>
        </w:rPr>
        <w:t xml:space="preserve">Meters Ltd v Metropolitan Gas Meters Ltd </w:t>
      </w:r>
      <w:r w:rsidRPr="0044114E">
        <w:rPr>
          <w:rFonts w:ascii="Times New Roman" w:hAnsi="Times New Roman"/>
          <w:sz w:val="24"/>
        </w:rPr>
        <w:t>(1911) 28 RPC 157</w:t>
      </w:r>
      <w:r w:rsidRPr="0044114E">
        <w:rPr>
          <w:rFonts w:ascii="Times New Roman" w:hAnsi="Times New Roman"/>
          <w:i/>
          <w:sz w:val="24"/>
        </w:rPr>
        <w:t xml:space="preserve"> </w:t>
      </w:r>
      <w:r w:rsidRPr="0044114E">
        <w:rPr>
          <w:rFonts w:ascii="Times New Roman" w:hAnsi="Times New Roman"/>
          <w:sz w:val="24"/>
        </w:rPr>
        <w:t>at 164</w:t>
      </w:r>
      <w:r w:rsidRPr="0044114E">
        <w:rPr>
          <w:rFonts w:ascii="Times New Roman" w:hAnsi="Times New Roman"/>
          <w:sz w:val="24"/>
        </w:rPr>
        <w:noBreakHyphen/>
        <w:t xml:space="preserve">165; </w:t>
      </w:r>
      <w:r w:rsidRPr="0044114E">
        <w:rPr>
          <w:rFonts w:ascii="Times New Roman" w:hAnsi="Times New Roman"/>
          <w:i/>
          <w:sz w:val="24"/>
        </w:rPr>
        <w:t xml:space="preserve">General Tire </w:t>
      </w:r>
      <w:r w:rsidRPr="0044114E">
        <w:rPr>
          <w:rFonts w:ascii="Times New Roman" w:hAnsi="Times New Roman"/>
          <w:sz w:val="24"/>
        </w:rPr>
        <w:t>[1975] 1 WLR 819 at 827</w:t>
      </w:r>
      <w:r>
        <w:rPr>
          <w:rFonts w:ascii="Times New Roman" w:hAnsi="Times New Roman"/>
          <w:sz w:val="24"/>
        </w:rPr>
        <w:noBreakHyphen/>
      </w:r>
      <w:r w:rsidRPr="0044114E">
        <w:rPr>
          <w:rFonts w:ascii="Times New Roman" w:hAnsi="Times New Roman"/>
          <w:sz w:val="24"/>
        </w:rPr>
        <w:t>835; [1975] 2 All ER 173 at 179</w:t>
      </w:r>
      <w:r w:rsidRPr="0044114E">
        <w:rPr>
          <w:rFonts w:ascii="Times New Roman" w:hAnsi="Times New Roman"/>
          <w:sz w:val="24"/>
        </w:rPr>
        <w:noBreakHyphen/>
        <w:t xml:space="preserve">187; </w:t>
      </w:r>
      <w:r w:rsidRPr="0044114E">
        <w:rPr>
          <w:rFonts w:ascii="Times New Roman" w:hAnsi="Times New Roman"/>
          <w:i/>
          <w:sz w:val="24"/>
        </w:rPr>
        <w:t xml:space="preserve">Pearce v Paul Kingston Pty Ltd </w:t>
      </w:r>
      <w:r w:rsidRPr="0044114E">
        <w:rPr>
          <w:rFonts w:ascii="Times New Roman" w:hAnsi="Times New Roman"/>
          <w:sz w:val="24"/>
        </w:rPr>
        <w:t xml:space="preserve">(1992) 25 IPR 591 at 595; </w:t>
      </w:r>
      <w:r w:rsidRPr="0044114E">
        <w:rPr>
          <w:rFonts w:ascii="Times New Roman" w:hAnsi="Times New Roman"/>
          <w:i/>
          <w:sz w:val="24"/>
        </w:rPr>
        <w:t xml:space="preserve">Gerber Garment Technology Inc v Lectra Systems Ltd </w:t>
      </w:r>
      <w:r w:rsidRPr="0044114E">
        <w:rPr>
          <w:rFonts w:ascii="Times New Roman" w:hAnsi="Times New Roman"/>
          <w:sz w:val="24"/>
        </w:rPr>
        <w:t>[1997] RPC 443 at 453</w:t>
      </w:r>
      <w:r w:rsidRPr="0044114E">
        <w:rPr>
          <w:rFonts w:ascii="Times New Roman" w:hAnsi="Times New Roman"/>
          <w:sz w:val="24"/>
        </w:rPr>
        <w:noBreakHyphen/>
        <w:t>456.</w:t>
      </w:r>
    </w:p>
  </w:footnote>
  <w:footnote w:id="382">
    <w:p w14:paraId="38E4CF6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sz w:val="24"/>
        </w:rPr>
        <w:t xml:space="preserve">cf </w:t>
      </w:r>
      <w:r w:rsidRPr="0044114E">
        <w:rPr>
          <w:rFonts w:ascii="Times New Roman" w:hAnsi="Times New Roman"/>
          <w:i/>
          <w:sz w:val="24"/>
        </w:rPr>
        <w:t>Patents Act 1990</w:t>
      </w:r>
      <w:r w:rsidRPr="0044114E">
        <w:rPr>
          <w:rFonts w:ascii="Times New Roman" w:hAnsi="Times New Roman"/>
          <w:sz w:val="24"/>
        </w:rPr>
        <w:t>, Ch 11, Pt 1.</w:t>
      </w:r>
    </w:p>
  </w:footnote>
  <w:footnote w:id="383">
    <w:p w14:paraId="3CF5F112"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Regulation (EU) No 1257/2012 of the European Parliament and of the Council of 17 December 2012 Implementing Enhanced Cooperation in the Area of the Creation of Unitary Patent Protection</w:t>
      </w:r>
      <w:r w:rsidRPr="0044114E">
        <w:rPr>
          <w:rFonts w:ascii="Times New Roman" w:hAnsi="Times New Roman"/>
          <w:sz w:val="24"/>
        </w:rPr>
        <w:t xml:space="preserve"> [2012] OJ L 361/1, Art 6. See also </w:t>
      </w:r>
      <w:r w:rsidRPr="0044114E">
        <w:rPr>
          <w:rFonts w:ascii="Times New Roman" w:hAnsi="Times New Roman"/>
          <w:i/>
          <w:sz w:val="24"/>
        </w:rPr>
        <w:t xml:space="preserve">Coty Prestige Lancaster Group GmbH v </w:t>
      </w:r>
      <w:r w:rsidRPr="0044114E">
        <w:rPr>
          <w:rFonts w:ascii="Times New Roman" w:hAnsi="Times New Roman"/>
          <w:i/>
          <w:sz w:val="24"/>
        </w:rPr>
        <w:t xml:space="preserve">Simex Trading AG </w:t>
      </w:r>
      <w:r w:rsidRPr="0044114E">
        <w:rPr>
          <w:rFonts w:ascii="Times New Roman" w:hAnsi="Times New Roman"/>
          <w:sz w:val="24"/>
        </w:rPr>
        <w:t>[2010] ETMR 703 at 710 [31].</w:t>
      </w:r>
    </w:p>
  </w:footnote>
  <w:footnote w:id="384">
    <w:p w14:paraId="422E1808"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Nard, </w:t>
      </w:r>
      <w:r w:rsidRPr="0044114E">
        <w:rPr>
          <w:rFonts w:ascii="Times New Roman" w:hAnsi="Times New Roman"/>
          <w:i/>
          <w:sz w:val="24"/>
        </w:rPr>
        <w:t>The Law of Patents</w:t>
      </w:r>
      <w:r w:rsidRPr="0044114E">
        <w:rPr>
          <w:rFonts w:ascii="Times New Roman" w:hAnsi="Times New Roman"/>
          <w:sz w:val="24"/>
        </w:rPr>
        <w:t>, 5th ed</w:t>
      </w:r>
      <w:r w:rsidRPr="0044114E">
        <w:rPr>
          <w:rFonts w:ascii="Times New Roman" w:hAnsi="Times New Roman"/>
          <w:i/>
          <w:sz w:val="24"/>
        </w:rPr>
        <w:t xml:space="preserve"> </w:t>
      </w:r>
      <w:r w:rsidRPr="0044114E">
        <w:rPr>
          <w:rFonts w:ascii="Times New Roman" w:hAnsi="Times New Roman"/>
          <w:sz w:val="24"/>
        </w:rPr>
        <w:t>(2020) at 728-729.</w:t>
      </w:r>
    </w:p>
  </w:footnote>
  <w:footnote w:id="385">
    <w:p w14:paraId="7D5CB23C"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Time</w:t>
      </w:r>
      <w:r w:rsidRPr="0044114E">
        <w:rPr>
          <w:rFonts w:ascii="Times New Roman" w:hAnsi="Times New Roman"/>
          <w:i/>
          <w:sz w:val="24"/>
        </w:rPr>
        <w:noBreakHyphen/>
        <w:t>Life International</w:t>
      </w:r>
      <w:r w:rsidRPr="0044114E">
        <w:rPr>
          <w:rFonts w:ascii="Times New Roman" w:hAnsi="Times New Roman"/>
          <w:sz w:val="24"/>
        </w:rPr>
        <w:t xml:space="preserve"> (1977) 138 CLR 534 at 541-542, 548</w:t>
      </w:r>
      <w:r w:rsidRPr="0044114E">
        <w:rPr>
          <w:rFonts w:ascii="Times New Roman" w:hAnsi="Times New Roman"/>
          <w:sz w:val="24"/>
        </w:rPr>
        <w:noBreakHyphen/>
        <w:t>553.</w:t>
      </w:r>
    </w:p>
  </w:footnote>
  <w:footnote w:id="386">
    <w:p w14:paraId="682EA500"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Betts v Willmott </w:t>
      </w:r>
      <w:r w:rsidRPr="0044114E">
        <w:rPr>
          <w:rFonts w:ascii="Times New Roman" w:hAnsi="Times New Roman"/>
          <w:sz w:val="24"/>
        </w:rPr>
        <w:t xml:space="preserve">(1871) LR 6 Ch App 239; </w:t>
      </w:r>
      <w:r w:rsidRPr="0044114E">
        <w:rPr>
          <w:rFonts w:ascii="Times New Roman" w:hAnsi="Times New Roman"/>
          <w:i/>
          <w:sz w:val="24"/>
        </w:rPr>
        <w:t xml:space="preserve">Société Anonyme </w:t>
      </w:r>
      <w:r w:rsidRPr="0044114E">
        <w:rPr>
          <w:rFonts w:ascii="Times New Roman" w:hAnsi="Times New Roman"/>
          <w:sz w:val="24"/>
        </w:rPr>
        <w:t xml:space="preserve">(1883) 25 Ch D 1; </w:t>
      </w:r>
      <w:r w:rsidRPr="0044114E">
        <w:rPr>
          <w:rFonts w:ascii="Times New Roman" w:hAnsi="Times New Roman"/>
          <w:i/>
          <w:sz w:val="24"/>
        </w:rPr>
        <w:t xml:space="preserve">Heap </w:t>
      </w:r>
      <w:r w:rsidRPr="0044114E">
        <w:rPr>
          <w:rFonts w:ascii="Times New Roman" w:hAnsi="Times New Roman"/>
          <w:sz w:val="24"/>
        </w:rPr>
        <w:t xml:space="preserve">(1888) 5 RPC 603; </w:t>
      </w:r>
      <w:r w:rsidRPr="0044114E">
        <w:rPr>
          <w:rFonts w:ascii="Times New Roman" w:hAnsi="Times New Roman"/>
          <w:i/>
          <w:sz w:val="24"/>
        </w:rPr>
        <w:t>Cantelo</w:t>
      </w:r>
      <w:r w:rsidRPr="0044114E">
        <w:rPr>
          <w:rFonts w:ascii="Times New Roman" w:hAnsi="Times New Roman"/>
          <w:sz w:val="24"/>
        </w:rPr>
        <w:t xml:space="preserve"> (1895) 12 RPC 262; </w:t>
      </w:r>
      <w:r w:rsidRPr="0044114E">
        <w:rPr>
          <w:rFonts w:ascii="Times New Roman" w:hAnsi="Times New Roman"/>
          <w:i/>
          <w:sz w:val="24"/>
        </w:rPr>
        <w:t xml:space="preserve">Brogden </w:t>
      </w:r>
      <w:r w:rsidRPr="0044114E">
        <w:rPr>
          <w:rFonts w:ascii="Times New Roman" w:hAnsi="Times New Roman"/>
          <w:sz w:val="24"/>
        </w:rPr>
        <w:t xml:space="preserve">(1899) 16 RPC 179; </w:t>
      </w:r>
      <w:r w:rsidRPr="0044114E">
        <w:rPr>
          <w:rFonts w:ascii="Times New Roman" w:hAnsi="Times New Roman"/>
          <w:i/>
          <w:sz w:val="24"/>
        </w:rPr>
        <w:t xml:space="preserve">Saccharin Corporation </w:t>
      </w:r>
      <w:r w:rsidRPr="0044114E">
        <w:rPr>
          <w:rFonts w:ascii="Times New Roman" w:hAnsi="Times New Roman"/>
          <w:sz w:val="24"/>
        </w:rPr>
        <w:t xml:space="preserve">[1900] 2 Ch 659; </w:t>
      </w:r>
      <w:r w:rsidRPr="0044114E">
        <w:rPr>
          <w:rFonts w:ascii="Times New Roman" w:hAnsi="Times New Roman"/>
          <w:i/>
          <w:sz w:val="24"/>
        </w:rPr>
        <w:t xml:space="preserve">British Mutoscope </w:t>
      </w:r>
      <w:r w:rsidRPr="0044114E">
        <w:rPr>
          <w:rFonts w:ascii="Times New Roman" w:hAnsi="Times New Roman"/>
          <w:sz w:val="24"/>
        </w:rPr>
        <w:t xml:space="preserve">[1901] 1 Ch 671; </w:t>
      </w:r>
      <w:r w:rsidRPr="0044114E">
        <w:rPr>
          <w:rFonts w:ascii="Times New Roman" w:hAnsi="Times New Roman"/>
          <w:i/>
          <w:sz w:val="24"/>
        </w:rPr>
        <w:t xml:space="preserve">McGruther </w:t>
      </w:r>
      <w:r w:rsidRPr="0044114E">
        <w:rPr>
          <w:rFonts w:ascii="Times New Roman" w:hAnsi="Times New Roman"/>
          <w:sz w:val="24"/>
        </w:rPr>
        <w:t>[1904] 2 Ch 306;</w:t>
      </w:r>
      <w:r w:rsidRPr="0044114E">
        <w:rPr>
          <w:rFonts w:ascii="Times New Roman" w:hAnsi="Times New Roman"/>
          <w:i/>
          <w:sz w:val="24"/>
        </w:rPr>
        <w:t xml:space="preserve"> Badische </w:t>
      </w:r>
      <w:r w:rsidRPr="0044114E">
        <w:rPr>
          <w:rFonts w:ascii="Times New Roman" w:hAnsi="Times New Roman"/>
          <w:sz w:val="24"/>
        </w:rPr>
        <w:t xml:space="preserve">[1906] 1 Ch 605; </w:t>
      </w:r>
      <w:r w:rsidRPr="0044114E">
        <w:rPr>
          <w:rFonts w:ascii="Times New Roman" w:hAnsi="Times New Roman"/>
          <w:i/>
          <w:sz w:val="24"/>
        </w:rPr>
        <w:t xml:space="preserve">Menck (HCA) </w:t>
      </w:r>
      <w:r w:rsidRPr="0044114E">
        <w:rPr>
          <w:rFonts w:ascii="Times New Roman" w:hAnsi="Times New Roman"/>
          <w:sz w:val="24"/>
        </w:rPr>
        <w:t xml:space="preserve">(1908) 7 CLR 481; </w:t>
      </w:r>
      <w:r w:rsidRPr="0044114E">
        <w:rPr>
          <w:rFonts w:ascii="Times New Roman" w:eastAsia="Calibri" w:hAnsi="Times New Roman"/>
          <w:i/>
          <w:sz w:val="24"/>
        </w:rPr>
        <w:t xml:space="preserve">Menck (PC) </w:t>
      </w:r>
      <w:r w:rsidRPr="0044114E">
        <w:rPr>
          <w:rFonts w:ascii="Times New Roman" w:eastAsia="Calibri" w:hAnsi="Times New Roman"/>
          <w:sz w:val="24"/>
        </w:rPr>
        <w:t>(1911) 12 CLR</w:t>
      </w:r>
      <w:r w:rsidRPr="0044114E" w:rsidDel="007A2C4C">
        <w:rPr>
          <w:rFonts w:ascii="Times New Roman" w:hAnsi="Times New Roman"/>
          <w:sz w:val="24"/>
        </w:rPr>
        <w:t xml:space="preserve"> </w:t>
      </w:r>
      <w:r w:rsidRPr="0044114E">
        <w:rPr>
          <w:rFonts w:ascii="Times New Roman" w:hAnsi="Times New Roman"/>
          <w:sz w:val="24"/>
        </w:rPr>
        <w:t xml:space="preserve">15; [1911] AC 336; </w:t>
      </w:r>
      <w:r w:rsidRPr="0044114E">
        <w:rPr>
          <w:rFonts w:ascii="Times New Roman" w:hAnsi="Times New Roman"/>
          <w:i/>
          <w:sz w:val="24"/>
        </w:rPr>
        <w:t>Time-Life International</w:t>
      </w:r>
      <w:r w:rsidRPr="0044114E">
        <w:rPr>
          <w:rFonts w:ascii="Times New Roman" w:hAnsi="Times New Roman"/>
          <w:sz w:val="24"/>
        </w:rPr>
        <w:t xml:space="preserve"> (1977) 138 CLR 534. </w:t>
      </w:r>
    </w:p>
  </w:footnote>
  <w:footnote w:id="387">
    <w:p w14:paraId="607CDEEB"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Patents Act 1903</w:t>
      </w:r>
      <w:r w:rsidRPr="0044114E">
        <w:rPr>
          <w:rFonts w:ascii="Times New Roman" w:hAnsi="Times New Roman"/>
          <w:sz w:val="24"/>
        </w:rPr>
        <w:t xml:space="preserve">; </w:t>
      </w:r>
      <w:r w:rsidRPr="0044114E">
        <w:rPr>
          <w:rFonts w:ascii="Times New Roman" w:hAnsi="Times New Roman"/>
          <w:i/>
          <w:sz w:val="24"/>
        </w:rPr>
        <w:t xml:space="preserve">Patents Act 1952 </w:t>
      </w:r>
      <w:r w:rsidRPr="0044114E">
        <w:rPr>
          <w:rFonts w:ascii="Times New Roman" w:hAnsi="Times New Roman"/>
          <w:sz w:val="24"/>
        </w:rPr>
        <w:t>(</w:t>
      </w:r>
      <w:r w:rsidRPr="0044114E">
        <w:rPr>
          <w:rFonts w:ascii="Times New Roman" w:hAnsi="Times New Roman"/>
          <w:sz w:val="24"/>
        </w:rPr>
        <w:t xml:space="preserve">Cth); </w:t>
      </w:r>
      <w:r w:rsidRPr="0044114E">
        <w:rPr>
          <w:rFonts w:ascii="Times New Roman" w:hAnsi="Times New Roman"/>
          <w:i/>
          <w:sz w:val="24"/>
        </w:rPr>
        <w:t>Patents Act 1990</w:t>
      </w:r>
      <w:r w:rsidRPr="0044114E">
        <w:rPr>
          <w:rFonts w:ascii="Times New Roman" w:hAnsi="Times New Roman"/>
          <w:sz w:val="24"/>
        </w:rPr>
        <w:t xml:space="preserve">. See also </w:t>
      </w:r>
      <w:r w:rsidRPr="0044114E">
        <w:rPr>
          <w:rFonts w:ascii="Times New Roman" w:hAnsi="Times New Roman"/>
          <w:i/>
          <w:sz w:val="24"/>
        </w:rPr>
        <w:t xml:space="preserve">Menck (HCA) </w:t>
      </w:r>
      <w:r w:rsidRPr="0044114E">
        <w:rPr>
          <w:rFonts w:ascii="Times New Roman" w:hAnsi="Times New Roman"/>
          <w:sz w:val="24"/>
        </w:rPr>
        <w:t>(1908) 7 CLR 481 at 508</w:t>
      </w:r>
      <w:r w:rsidRPr="0044114E">
        <w:rPr>
          <w:rFonts w:ascii="Times New Roman" w:hAnsi="Times New Roman"/>
          <w:sz w:val="24"/>
        </w:rPr>
        <w:noBreakHyphen/>
        <w:t>509, 529, 542</w:t>
      </w:r>
      <w:r w:rsidRPr="0044114E">
        <w:rPr>
          <w:rFonts w:ascii="Times New Roman" w:hAnsi="Times New Roman"/>
          <w:sz w:val="24"/>
        </w:rPr>
        <w:noBreakHyphen/>
        <w:t xml:space="preserve">543; </w:t>
      </w:r>
      <w:r w:rsidRPr="0044114E">
        <w:rPr>
          <w:rFonts w:ascii="Times New Roman" w:eastAsia="Calibri" w:hAnsi="Times New Roman"/>
          <w:i/>
          <w:sz w:val="24"/>
        </w:rPr>
        <w:t xml:space="preserve">Menck (PC) </w:t>
      </w:r>
      <w:r w:rsidRPr="0044114E">
        <w:rPr>
          <w:rFonts w:ascii="Times New Roman" w:eastAsia="Calibri" w:hAnsi="Times New Roman"/>
          <w:sz w:val="24"/>
        </w:rPr>
        <w:t>(1911) 12 CLR</w:t>
      </w:r>
      <w:r w:rsidRPr="0044114E" w:rsidDel="007A2C4C">
        <w:rPr>
          <w:rFonts w:ascii="Times New Roman" w:hAnsi="Times New Roman"/>
          <w:sz w:val="24"/>
        </w:rPr>
        <w:t xml:space="preserve"> </w:t>
      </w:r>
      <w:r w:rsidRPr="0044114E">
        <w:rPr>
          <w:rFonts w:ascii="Times New Roman" w:hAnsi="Times New Roman"/>
          <w:sz w:val="24"/>
        </w:rPr>
        <w:t>15 at 16</w:t>
      </w:r>
      <w:r w:rsidRPr="0044114E">
        <w:rPr>
          <w:rFonts w:ascii="Times New Roman" w:hAnsi="Times New Roman"/>
          <w:sz w:val="24"/>
        </w:rPr>
        <w:noBreakHyphen/>
        <w:t xml:space="preserve">17; [1911] AC 336 at 341-342; </w:t>
      </w:r>
      <w:r w:rsidRPr="0044114E">
        <w:rPr>
          <w:rFonts w:ascii="Times New Roman" w:hAnsi="Times New Roman"/>
          <w:i/>
          <w:sz w:val="24"/>
        </w:rPr>
        <w:t>Time-Life International</w:t>
      </w:r>
      <w:r w:rsidRPr="0044114E">
        <w:rPr>
          <w:rFonts w:ascii="Times New Roman" w:hAnsi="Times New Roman"/>
          <w:sz w:val="24"/>
        </w:rPr>
        <w:t xml:space="preserve"> (1977) 138 CLR 534 at 540-542.</w:t>
      </w:r>
    </w:p>
  </w:footnote>
  <w:footnote w:id="388">
    <w:p w14:paraId="3180C91F"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(1977) 138 CLR 534.</w:t>
      </w:r>
    </w:p>
  </w:footnote>
  <w:footnote w:id="389">
    <w:p w14:paraId="34B06562"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sz w:val="24"/>
        </w:rPr>
        <w:t xml:space="preserve">eg, </w:t>
      </w:r>
      <w:r w:rsidRPr="0044114E">
        <w:rPr>
          <w:rFonts w:ascii="Times New Roman" w:hAnsi="Times New Roman"/>
          <w:i/>
          <w:sz w:val="24"/>
        </w:rPr>
        <w:t xml:space="preserve">Menck (HCA) </w:t>
      </w:r>
      <w:r w:rsidRPr="0044114E">
        <w:rPr>
          <w:rFonts w:ascii="Times New Roman" w:hAnsi="Times New Roman"/>
          <w:sz w:val="24"/>
        </w:rPr>
        <w:t xml:space="preserve">(1908) 7 CLR 481; </w:t>
      </w:r>
      <w:r w:rsidRPr="0044114E">
        <w:rPr>
          <w:rFonts w:ascii="Times New Roman" w:eastAsia="Calibri" w:hAnsi="Times New Roman"/>
          <w:i/>
          <w:sz w:val="24"/>
        </w:rPr>
        <w:t xml:space="preserve">Menck (PC) </w:t>
      </w:r>
      <w:r w:rsidRPr="0044114E">
        <w:rPr>
          <w:rFonts w:ascii="Times New Roman" w:eastAsia="Calibri" w:hAnsi="Times New Roman"/>
          <w:sz w:val="24"/>
        </w:rPr>
        <w:t>(1911) 12 CLR</w:t>
      </w:r>
      <w:r w:rsidRPr="0044114E" w:rsidDel="007A2C4C">
        <w:rPr>
          <w:rFonts w:ascii="Times New Roman" w:hAnsi="Times New Roman"/>
          <w:sz w:val="24"/>
        </w:rPr>
        <w:t xml:space="preserve"> </w:t>
      </w:r>
      <w:r w:rsidRPr="0044114E">
        <w:rPr>
          <w:rFonts w:ascii="Times New Roman" w:hAnsi="Times New Roman"/>
          <w:sz w:val="24"/>
        </w:rPr>
        <w:t xml:space="preserve">15; [1911] AC 336; </w:t>
      </w:r>
      <w:r w:rsidRPr="0044114E">
        <w:rPr>
          <w:rFonts w:ascii="Times New Roman" w:hAnsi="Times New Roman"/>
          <w:i/>
          <w:sz w:val="24"/>
        </w:rPr>
        <w:t>Time</w:t>
      </w:r>
      <w:r w:rsidRPr="0044114E">
        <w:rPr>
          <w:rFonts w:ascii="Times New Roman" w:hAnsi="Times New Roman"/>
          <w:i/>
          <w:sz w:val="24"/>
        </w:rPr>
        <w:noBreakHyphen/>
        <w:t>Life International</w:t>
      </w:r>
      <w:r w:rsidRPr="0044114E">
        <w:rPr>
          <w:rFonts w:ascii="Times New Roman" w:hAnsi="Times New Roman"/>
          <w:sz w:val="24"/>
        </w:rPr>
        <w:t xml:space="preserve"> (1977) 138 CLR 534; </w:t>
      </w:r>
      <w:r w:rsidRPr="0044114E">
        <w:rPr>
          <w:rFonts w:ascii="Times New Roman" w:hAnsi="Times New Roman"/>
          <w:i/>
          <w:sz w:val="24"/>
        </w:rPr>
        <w:t xml:space="preserve">Grain Pool </w:t>
      </w:r>
      <w:r w:rsidRPr="0044114E">
        <w:rPr>
          <w:rFonts w:ascii="Times New Roman" w:hAnsi="Times New Roman"/>
          <w:sz w:val="24"/>
        </w:rPr>
        <w:t>(2000) 202 CLR 479 at 513</w:t>
      </w:r>
      <w:r w:rsidRPr="0044114E">
        <w:rPr>
          <w:rFonts w:ascii="Times New Roman" w:hAnsi="Times New Roman"/>
          <w:sz w:val="24"/>
        </w:rPr>
        <w:noBreakHyphen/>
        <w:t>514 [83]</w:t>
      </w:r>
      <w:r w:rsidRPr="0044114E">
        <w:rPr>
          <w:rFonts w:ascii="Times New Roman" w:hAnsi="Times New Roman"/>
          <w:sz w:val="24"/>
        </w:rPr>
        <w:noBreakHyphen/>
        <w:t>[84].</w:t>
      </w:r>
    </w:p>
  </w:footnote>
  <w:footnote w:id="390">
    <w:p w14:paraId="6E2E202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sz w:val="24"/>
        </w:rPr>
        <w:t xml:space="preserve">eg, </w:t>
      </w:r>
      <w:r w:rsidRPr="0044114E">
        <w:rPr>
          <w:rFonts w:ascii="Times New Roman" w:hAnsi="Times New Roman"/>
          <w:i/>
          <w:sz w:val="24"/>
        </w:rPr>
        <w:t xml:space="preserve">Computermate </w:t>
      </w:r>
      <w:r w:rsidRPr="0044114E">
        <w:rPr>
          <w:rFonts w:ascii="Times New Roman" w:hAnsi="Times New Roman"/>
          <w:sz w:val="24"/>
        </w:rPr>
        <w:t>(1988) 20 FCR 46 at 50</w:t>
      </w:r>
      <w:r w:rsidRPr="0044114E">
        <w:rPr>
          <w:rFonts w:ascii="Times New Roman" w:hAnsi="Times New Roman"/>
          <w:sz w:val="24"/>
        </w:rPr>
        <w:noBreakHyphen/>
        <w:t xml:space="preserve">51; </w:t>
      </w:r>
      <w:r w:rsidRPr="0044114E">
        <w:rPr>
          <w:rFonts w:ascii="Times New Roman" w:hAnsi="Times New Roman"/>
          <w:i/>
          <w:sz w:val="24"/>
        </w:rPr>
        <w:t xml:space="preserve">Levi Strauss </w:t>
      </w:r>
      <w:r w:rsidRPr="0044114E">
        <w:rPr>
          <w:rFonts w:ascii="Times New Roman" w:hAnsi="Times New Roman"/>
          <w:sz w:val="24"/>
        </w:rPr>
        <w:t xml:space="preserve">(1993) 43 FCR 344 at 370. See also </w:t>
      </w:r>
      <w:r w:rsidRPr="0044114E">
        <w:rPr>
          <w:rFonts w:ascii="Times New Roman" w:hAnsi="Times New Roman"/>
          <w:i/>
          <w:sz w:val="24"/>
        </w:rPr>
        <w:t xml:space="preserve">Austshade </w:t>
      </w:r>
      <w:r w:rsidRPr="0044114E">
        <w:rPr>
          <w:rFonts w:ascii="Times New Roman" w:hAnsi="Times New Roman"/>
          <w:sz w:val="24"/>
        </w:rPr>
        <w:t>(2016) 118 IPR 93 at 116-119 [78]-[82].</w:t>
      </w:r>
    </w:p>
  </w:footnote>
  <w:footnote w:id="391">
    <w:p w14:paraId="7A93E01D"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sz w:val="24"/>
        </w:rPr>
        <w:t xml:space="preserve">eg, </w:t>
      </w:r>
      <w:r w:rsidRPr="0044114E">
        <w:rPr>
          <w:rFonts w:ascii="Times New Roman" w:hAnsi="Times New Roman"/>
          <w:i/>
          <w:sz w:val="24"/>
        </w:rPr>
        <w:t xml:space="preserve">Betts v Willmott </w:t>
      </w:r>
      <w:r w:rsidRPr="0044114E">
        <w:rPr>
          <w:rFonts w:ascii="Times New Roman" w:hAnsi="Times New Roman"/>
          <w:sz w:val="24"/>
        </w:rPr>
        <w:t xml:space="preserve">(1871) LR 6 Ch App 239; </w:t>
      </w:r>
      <w:r w:rsidRPr="0044114E">
        <w:rPr>
          <w:rFonts w:ascii="Times New Roman" w:hAnsi="Times New Roman"/>
          <w:i/>
          <w:sz w:val="24"/>
        </w:rPr>
        <w:t>Société Anonyme</w:t>
      </w:r>
      <w:r w:rsidRPr="0044114E" w:rsidDel="00FA3164">
        <w:rPr>
          <w:rFonts w:ascii="Times New Roman" w:hAnsi="Times New Roman"/>
          <w:i/>
          <w:sz w:val="24"/>
        </w:rPr>
        <w:t xml:space="preserve"> </w:t>
      </w:r>
      <w:r w:rsidRPr="0044114E">
        <w:rPr>
          <w:rFonts w:ascii="Times New Roman" w:hAnsi="Times New Roman"/>
          <w:sz w:val="24"/>
        </w:rPr>
        <w:t xml:space="preserve">(1883) 25 Ch D 1; </w:t>
      </w:r>
      <w:r w:rsidRPr="0044114E">
        <w:rPr>
          <w:rFonts w:ascii="Times New Roman" w:hAnsi="Times New Roman"/>
          <w:i/>
          <w:sz w:val="24"/>
        </w:rPr>
        <w:t xml:space="preserve">Heap </w:t>
      </w:r>
      <w:r w:rsidRPr="0044114E">
        <w:rPr>
          <w:rFonts w:ascii="Times New Roman" w:hAnsi="Times New Roman"/>
          <w:sz w:val="24"/>
        </w:rPr>
        <w:t xml:space="preserve">(1888) 5 RPC 603; </w:t>
      </w:r>
      <w:r w:rsidRPr="0044114E">
        <w:rPr>
          <w:rFonts w:ascii="Times New Roman" w:hAnsi="Times New Roman"/>
          <w:i/>
          <w:sz w:val="24"/>
        </w:rPr>
        <w:t>Cantelo</w:t>
      </w:r>
      <w:r w:rsidRPr="0044114E">
        <w:rPr>
          <w:rFonts w:ascii="Times New Roman" w:hAnsi="Times New Roman"/>
          <w:sz w:val="24"/>
        </w:rPr>
        <w:t xml:space="preserve"> (1895) 12 RPC 262; </w:t>
      </w:r>
      <w:r w:rsidRPr="0044114E">
        <w:rPr>
          <w:rFonts w:ascii="Times New Roman" w:hAnsi="Times New Roman"/>
          <w:i/>
          <w:sz w:val="24"/>
        </w:rPr>
        <w:t xml:space="preserve">Brogden </w:t>
      </w:r>
      <w:r w:rsidRPr="0044114E">
        <w:rPr>
          <w:rFonts w:ascii="Times New Roman" w:hAnsi="Times New Roman"/>
          <w:sz w:val="24"/>
        </w:rPr>
        <w:t xml:space="preserve">(1899) 16 RPC 179; </w:t>
      </w:r>
      <w:r w:rsidRPr="0044114E">
        <w:rPr>
          <w:rFonts w:ascii="Times New Roman" w:hAnsi="Times New Roman"/>
          <w:i/>
          <w:sz w:val="24"/>
        </w:rPr>
        <w:t xml:space="preserve">Saccharin Corporation </w:t>
      </w:r>
      <w:r w:rsidRPr="0044114E">
        <w:rPr>
          <w:rFonts w:ascii="Times New Roman" w:hAnsi="Times New Roman"/>
          <w:sz w:val="24"/>
        </w:rPr>
        <w:t xml:space="preserve">[1900] 2 Ch 659; </w:t>
      </w:r>
      <w:r w:rsidRPr="0044114E">
        <w:rPr>
          <w:rFonts w:ascii="Times New Roman" w:hAnsi="Times New Roman"/>
          <w:i/>
          <w:sz w:val="24"/>
        </w:rPr>
        <w:t xml:space="preserve">British Mutoscope </w:t>
      </w:r>
      <w:r w:rsidRPr="0044114E">
        <w:rPr>
          <w:rFonts w:ascii="Times New Roman" w:hAnsi="Times New Roman"/>
          <w:sz w:val="24"/>
        </w:rPr>
        <w:t xml:space="preserve">[1901] 1 Ch 671; </w:t>
      </w:r>
      <w:r w:rsidRPr="0044114E">
        <w:rPr>
          <w:rFonts w:ascii="Times New Roman" w:hAnsi="Times New Roman"/>
          <w:i/>
          <w:sz w:val="24"/>
        </w:rPr>
        <w:t xml:space="preserve">McGruther </w:t>
      </w:r>
      <w:r w:rsidRPr="0044114E">
        <w:rPr>
          <w:rFonts w:ascii="Times New Roman" w:hAnsi="Times New Roman"/>
          <w:sz w:val="24"/>
        </w:rPr>
        <w:t>[1904] 2 Ch 306;</w:t>
      </w:r>
      <w:r w:rsidRPr="0044114E">
        <w:rPr>
          <w:rFonts w:ascii="Times New Roman" w:hAnsi="Times New Roman"/>
          <w:i/>
          <w:sz w:val="24"/>
        </w:rPr>
        <w:t xml:space="preserve"> Badische </w:t>
      </w:r>
      <w:r w:rsidRPr="0044114E">
        <w:rPr>
          <w:rFonts w:ascii="Times New Roman" w:hAnsi="Times New Roman"/>
          <w:sz w:val="24"/>
        </w:rPr>
        <w:t xml:space="preserve">[1906] 1 Ch 605; </w:t>
      </w:r>
      <w:r w:rsidRPr="0044114E">
        <w:rPr>
          <w:rFonts w:ascii="Times New Roman" w:hAnsi="Times New Roman"/>
          <w:i/>
          <w:sz w:val="24"/>
        </w:rPr>
        <w:t xml:space="preserve">Menck (PC) </w:t>
      </w:r>
      <w:r w:rsidRPr="0044114E">
        <w:rPr>
          <w:rFonts w:ascii="Times New Roman" w:hAnsi="Times New Roman"/>
          <w:sz w:val="24"/>
        </w:rPr>
        <w:t>(1911) 12 CLR 15; [1911] AC 336. See also fn </w:t>
      </w:r>
      <w:r>
        <w:rPr>
          <w:rFonts w:ascii="Times New Roman" w:hAnsi="Times New Roman"/>
          <w:sz w:val="24"/>
        </w:rPr>
        <w:t>302</w:t>
      </w:r>
      <w:r w:rsidRPr="0044114E">
        <w:rPr>
          <w:rFonts w:ascii="Times New Roman" w:hAnsi="Times New Roman"/>
          <w:sz w:val="24"/>
        </w:rPr>
        <w:t xml:space="preserve"> above.</w:t>
      </w:r>
    </w:p>
  </w:footnote>
  <w:footnote w:id="392">
    <w:p w14:paraId="1609AD0D"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Queensland v The Commonwealth </w:t>
      </w:r>
      <w:r w:rsidRPr="0044114E">
        <w:rPr>
          <w:rFonts w:ascii="Times New Roman" w:hAnsi="Times New Roman"/>
          <w:sz w:val="24"/>
        </w:rPr>
        <w:t>(1977) 139 CLR 585 at 599.</w:t>
      </w:r>
    </w:p>
  </w:footnote>
  <w:footnote w:id="393">
    <w:p w14:paraId="0C409096"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As the</w:t>
      </w:r>
      <w:r w:rsidRPr="0044114E" w:rsidDel="00B13153">
        <w:rPr>
          <w:rFonts w:ascii="Times New Roman" w:hAnsi="Times New Roman"/>
          <w:sz w:val="24"/>
        </w:rPr>
        <w:t xml:space="preserve"> </w:t>
      </w:r>
      <w:r w:rsidRPr="0044114E">
        <w:rPr>
          <w:rFonts w:ascii="Times New Roman" w:hAnsi="Times New Roman"/>
          <w:sz w:val="24"/>
        </w:rPr>
        <w:t xml:space="preserve">Commonwealth Parliament did in Australia in 1909 with the introduction of s 87B into the </w:t>
      </w:r>
      <w:r w:rsidRPr="0044114E">
        <w:rPr>
          <w:rFonts w:ascii="Times New Roman" w:hAnsi="Times New Roman"/>
          <w:i/>
          <w:sz w:val="24"/>
        </w:rPr>
        <w:t xml:space="preserve">Patents Act 1903 </w:t>
      </w:r>
      <w:r w:rsidRPr="0044114E">
        <w:rPr>
          <w:rFonts w:ascii="Times New Roman" w:hAnsi="Times New Roman"/>
          <w:sz w:val="24"/>
        </w:rPr>
        <w:t xml:space="preserve">limiting the kinds of conditions that a patentee might impose on subsequent purchasers: </w:t>
      </w:r>
      <w:r w:rsidRPr="0044114E">
        <w:rPr>
          <w:rFonts w:ascii="Times New Roman" w:hAnsi="Times New Roman"/>
          <w:i/>
          <w:sz w:val="24"/>
        </w:rPr>
        <w:t>Patents Act 1909</w:t>
      </w:r>
      <w:r w:rsidRPr="0044114E">
        <w:rPr>
          <w:rFonts w:ascii="Times New Roman" w:hAnsi="Times New Roman"/>
          <w:sz w:val="24"/>
        </w:rPr>
        <w:t>, s 15.</w:t>
      </w:r>
    </w:p>
  </w:footnote>
  <w:footnote w:id="394">
    <w:p w14:paraId="23F77B3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sz w:val="24"/>
        </w:rPr>
        <w:t xml:space="preserve">eg, </w:t>
      </w:r>
      <w:r w:rsidRPr="0044114E">
        <w:rPr>
          <w:rFonts w:ascii="Times New Roman" w:hAnsi="Times New Roman"/>
          <w:i/>
          <w:sz w:val="24"/>
        </w:rPr>
        <w:t xml:space="preserve">Competition and Consumer Act 2010 </w:t>
      </w:r>
      <w:r w:rsidRPr="0044114E">
        <w:rPr>
          <w:rFonts w:ascii="Times New Roman" w:hAnsi="Times New Roman"/>
          <w:sz w:val="24"/>
        </w:rPr>
        <w:t xml:space="preserve">(Cth), s 51(3)(a) (as in force on 11 September 2019); </w:t>
      </w:r>
      <w:r w:rsidRPr="0044114E">
        <w:rPr>
          <w:rFonts w:ascii="Times New Roman" w:hAnsi="Times New Roman"/>
          <w:i/>
          <w:sz w:val="24"/>
        </w:rPr>
        <w:t xml:space="preserve">Treasury Laws Amendment (2018 Measures No 5) Act 2019 </w:t>
      </w:r>
      <w:r w:rsidRPr="0044114E">
        <w:rPr>
          <w:rFonts w:ascii="Times New Roman" w:hAnsi="Times New Roman"/>
          <w:sz w:val="24"/>
        </w:rPr>
        <w:t>(Cth), Sch 4.</w:t>
      </w:r>
    </w:p>
  </w:footnote>
  <w:footnote w:id="395">
    <w:p w14:paraId="683E098C"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Indeed, when the Commonwealth Acts were consolidated in 1935 and 1950, including the </w:t>
      </w:r>
      <w:r w:rsidRPr="0044114E">
        <w:rPr>
          <w:rFonts w:ascii="Times New Roman" w:hAnsi="Times New Roman"/>
          <w:i/>
          <w:sz w:val="24"/>
        </w:rPr>
        <w:t>Patents Act 1903</w:t>
      </w:r>
      <w:r w:rsidRPr="0044114E">
        <w:rPr>
          <w:rFonts w:ascii="Times New Roman" w:hAnsi="Times New Roman"/>
          <w:sz w:val="24"/>
        </w:rPr>
        <w:t xml:space="preserve">, s 62 was accompanied by a footnote which stated "[a]s to the right of a patentee to attach restrictive conditions to the sale of a patented article see </w:t>
      </w:r>
      <w:r w:rsidRPr="0044114E">
        <w:rPr>
          <w:rFonts w:ascii="Times New Roman" w:hAnsi="Times New Roman"/>
          <w:i/>
          <w:sz w:val="24"/>
        </w:rPr>
        <w:t xml:space="preserve">National Phonograph Co of Australia Ltd v </w:t>
      </w:r>
      <w:r w:rsidRPr="0044114E">
        <w:rPr>
          <w:rFonts w:ascii="Times New Roman" w:hAnsi="Times New Roman"/>
          <w:i/>
          <w:sz w:val="24"/>
        </w:rPr>
        <w:t>Menck</w:t>
      </w:r>
      <w:r w:rsidRPr="0044114E">
        <w:rPr>
          <w:rFonts w:ascii="Times New Roman" w:hAnsi="Times New Roman"/>
          <w:sz w:val="24"/>
        </w:rPr>
        <w:t>,</w:t>
      </w:r>
      <w:r w:rsidRPr="0044114E">
        <w:rPr>
          <w:rFonts w:ascii="Times New Roman" w:hAnsi="Times New Roman"/>
          <w:i/>
          <w:sz w:val="24"/>
        </w:rPr>
        <w:t xml:space="preserve"> </w:t>
      </w:r>
      <w:r w:rsidRPr="0044114E">
        <w:rPr>
          <w:rFonts w:ascii="Times New Roman" w:hAnsi="Times New Roman"/>
          <w:sz w:val="24"/>
        </w:rPr>
        <w:t xml:space="preserve">[1911] AC 336; 12 CLR 15; 17 ALR 94": </w:t>
      </w:r>
      <w:r w:rsidRPr="0044114E">
        <w:rPr>
          <w:rFonts w:ascii="Times New Roman" w:hAnsi="Times New Roman"/>
          <w:i/>
          <w:sz w:val="24"/>
        </w:rPr>
        <w:t>Patents Act 1903</w:t>
      </w:r>
      <w:r w:rsidRPr="0044114E">
        <w:rPr>
          <w:rFonts w:ascii="Times New Roman" w:hAnsi="Times New Roman"/>
          <w:sz w:val="24"/>
        </w:rPr>
        <w:t xml:space="preserve">, as published in Australia, </w:t>
      </w:r>
      <w:r w:rsidRPr="0044114E">
        <w:rPr>
          <w:rFonts w:ascii="Times New Roman" w:hAnsi="Times New Roman"/>
          <w:i/>
          <w:sz w:val="24"/>
        </w:rPr>
        <w:t>Commonwealth Acts 1901-1935</w:t>
      </w:r>
      <w:r w:rsidRPr="0044114E">
        <w:rPr>
          <w:rFonts w:ascii="Times New Roman" w:hAnsi="Times New Roman"/>
          <w:sz w:val="24"/>
        </w:rPr>
        <w:t xml:space="preserve"> (1936), vol 2 at 1264 fn (a); </w:t>
      </w:r>
      <w:r w:rsidRPr="0044114E">
        <w:rPr>
          <w:rFonts w:ascii="Times New Roman" w:hAnsi="Times New Roman"/>
          <w:i/>
          <w:sz w:val="24"/>
        </w:rPr>
        <w:t>Patents Act 1903</w:t>
      </w:r>
      <w:r w:rsidRPr="0044114E">
        <w:rPr>
          <w:rFonts w:ascii="Times New Roman" w:hAnsi="Times New Roman"/>
          <w:sz w:val="24"/>
        </w:rPr>
        <w:t xml:space="preserve">, as published in Australia, </w:t>
      </w:r>
      <w:r w:rsidRPr="0044114E">
        <w:rPr>
          <w:rFonts w:ascii="Times New Roman" w:hAnsi="Times New Roman"/>
          <w:i/>
          <w:sz w:val="24"/>
        </w:rPr>
        <w:t>Commonwealth Acts 1901-1950</w:t>
      </w:r>
      <w:r w:rsidRPr="0044114E">
        <w:rPr>
          <w:rFonts w:ascii="Times New Roman" w:hAnsi="Times New Roman"/>
          <w:sz w:val="24"/>
        </w:rPr>
        <w:t xml:space="preserve"> (1953), vol 4 at 3201 fn (d).</w:t>
      </w:r>
    </w:p>
  </w:footnote>
  <w:footnote w:id="396">
    <w:p w14:paraId="2F013EA4"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Seiko Epson Corporation v Calidad Pty Ltd </w:t>
      </w:r>
      <w:r w:rsidRPr="0044114E">
        <w:rPr>
          <w:rFonts w:ascii="Times New Roman" w:hAnsi="Times New Roman"/>
          <w:sz w:val="24"/>
        </w:rPr>
        <w:t>(2017) 133 IPR 1 at 6 [4], 53 [246], 55</w:t>
      </w:r>
      <w:r>
        <w:rPr>
          <w:rFonts w:ascii="Times New Roman" w:hAnsi="Times New Roman"/>
          <w:sz w:val="24"/>
        </w:rPr>
        <w:t> </w:t>
      </w:r>
      <w:r w:rsidRPr="0044114E">
        <w:rPr>
          <w:rFonts w:ascii="Times New Roman" w:hAnsi="Times New Roman"/>
          <w:sz w:val="24"/>
        </w:rPr>
        <w:t>[259], [265], 56 [268], 57 [277], 58 [283], [286], 59 [291], [293].</w:t>
      </w:r>
    </w:p>
  </w:footnote>
  <w:footnote w:id="397">
    <w:p w14:paraId="5DCCD9F1"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Seiko </w:t>
      </w:r>
      <w:r w:rsidRPr="0044114E">
        <w:rPr>
          <w:rFonts w:ascii="Times New Roman" w:hAnsi="Times New Roman"/>
          <w:sz w:val="24"/>
        </w:rPr>
        <w:t>(2017) 133 IPR 1 at 20</w:t>
      </w:r>
      <w:r w:rsidRPr="0044114E">
        <w:rPr>
          <w:rFonts w:ascii="Times New Roman" w:hAnsi="Times New Roman"/>
          <w:sz w:val="24"/>
        </w:rPr>
        <w:noBreakHyphen/>
        <w:t>21 [73].</w:t>
      </w:r>
    </w:p>
  </w:footnote>
  <w:footnote w:id="398">
    <w:p w14:paraId="16D1CD84"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Seiko </w:t>
      </w:r>
      <w:r w:rsidRPr="0044114E">
        <w:rPr>
          <w:rFonts w:ascii="Times New Roman" w:hAnsi="Times New Roman"/>
          <w:sz w:val="24"/>
        </w:rPr>
        <w:t>(2017) 133 IPR 1 at 57 [276].</w:t>
      </w:r>
    </w:p>
  </w:footnote>
  <w:footnote w:id="399">
    <w:p w14:paraId="09C60810"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Seiko </w:t>
      </w:r>
      <w:r w:rsidRPr="0044114E">
        <w:rPr>
          <w:rFonts w:ascii="Times New Roman" w:hAnsi="Times New Roman"/>
          <w:sz w:val="24"/>
        </w:rPr>
        <w:t>(2017) 133 IPR 1 at 57 [276].</w:t>
      </w:r>
    </w:p>
  </w:footnote>
  <w:footnote w:id="400">
    <w:p w14:paraId="0D300FC1"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Calidad Pty Ltd v Seiko Epson Corporation </w:t>
      </w:r>
      <w:r w:rsidRPr="0044114E">
        <w:rPr>
          <w:rFonts w:ascii="Times New Roman" w:hAnsi="Times New Roman"/>
          <w:sz w:val="24"/>
        </w:rPr>
        <w:t>(2019) 270 FCR 572 at 588 [68] (emphasis in original).</w:t>
      </w:r>
    </w:p>
  </w:footnote>
  <w:footnote w:id="401">
    <w:p w14:paraId="07D90C99"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Calidad </w:t>
      </w:r>
      <w:r w:rsidRPr="0044114E">
        <w:rPr>
          <w:rFonts w:ascii="Times New Roman" w:hAnsi="Times New Roman"/>
          <w:sz w:val="24"/>
        </w:rPr>
        <w:t>(2019) 270 FCR 572 at 590 [83].</w:t>
      </w:r>
    </w:p>
  </w:footnote>
  <w:footnote w:id="402">
    <w:p w14:paraId="2CC506E0"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Calidad </w:t>
      </w:r>
      <w:r w:rsidRPr="0044114E">
        <w:rPr>
          <w:rFonts w:ascii="Times New Roman" w:hAnsi="Times New Roman"/>
          <w:sz w:val="24"/>
        </w:rPr>
        <w:t>(2019) 270 FCR 572 at 590 [84]</w:t>
      </w:r>
      <w:r w:rsidRPr="0044114E">
        <w:rPr>
          <w:rFonts w:ascii="Times New Roman" w:hAnsi="Times New Roman"/>
          <w:sz w:val="24"/>
        </w:rPr>
        <w:noBreakHyphen/>
        <w:t>[85].</w:t>
      </w:r>
    </w:p>
  </w:footnote>
  <w:footnote w:id="403">
    <w:p w14:paraId="1DA5892F"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Calidad </w:t>
      </w:r>
      <w:r w:rsidRPr="0044114E">
        <w:rPr>
          <w:rFonts w:ascii="Times New Roman" w:hAnsi="Times New Roman"/>
          <w:sz w:val="24"/>
        </w:rPr>
        <w:t>(2019) 270 FCR 572 at 619 [166].</w:t>
      </w:r>
    </w:p>
  </w:footnote>
  <w:footnote w:id="404">
    <w:p w14:paraId="728C805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Calidad </w:t>
      </w:r>
      <w:r w:rsidRPr="0044114E">
        <w:rPr>
          <w:rFonts w:ascii="Times New Roman" w:hAnsi="Times New Roman"/>
          <w:sz w:val="24"/>
        </w:rPr>
        <w:t>(2019) 270 FCR 572 at 619 [166].</w:t>
      </w:r>
    </w:p>
  </w:footnote>
  <w:footnote w:id="405">
    <w:p w14:paraId="1323EF75"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Calidad </w:t>
      </w:r>
      <w:r w:rsidRPr="0044114E">
        <w:rPr>
          <w:rFonts w:ascii="Times New Roman" w:hAnsi="Times New Roman"/>
          <w:sz w:val="24"/>
        </w:rPr>
        <w:t>(2019) 270 FCR 572 at 619 [167].</w:t>
      </w:r>
    </w:p>
  </w:footnote>
  <w:footnote w:id="406">
    <w:p w14:paraId="64A6265B"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Calidad </w:t>
      </w:r>
      <w:r w:rsidRPr="0044114E">
        <w:rPr>
          <w:rFonts w:ascii="Times New Roman" w:hAnsi="Times New Roman"/>
          <w:sz w:val="24"/>
        </w:rPr>
        <w:t>(2019) 270 FCR 572 at 620 [170].</w:t>
      </w:r>
    </w:p>
  </w:footnote>
  <w:footnote w:id="407">
    <w:p w14:paraId="551A5C81"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Calidad </w:t>
      </w:r>
      <w:r w:rsidRPr="0044114E">
        <w:rPr>
          <w:rFonts w:ascii="Times New Roman" w:hAnsi="Times New Roman"/>
          <w:sz w:val="24"/>
        </w:rPr>
        <w:t>(2019) 270 FCR 572 at 620 [171].</w:t>
      </w:r>
    </w:p>
  </w:footnote>
  <w:footnote w:id="408">
    <w:p w14:paraId="6F5BACD5"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Calidad </w:t>
      </w:r>
      <w:r w:rsidRPr="0044114E">
        <w:rPr>
          <w:rFonts w:ascii="Times New Roman" w:hAnsi="Times New Roman"/>
          <w:sz w:val="24"/>
        </w:rPr>
        <w:t>(2019) 270 FCR 572 at 620 [172].</w:t>
      </w:r>
    </w:p>
  </w:footnote>
  <w:footnote w:id="409">
    <w:p w14:paraId="2B025DC4"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Calidad </w:t>
      </w:r>
      <w:r w:rsidRPr="0044114E">
        <w:rPr>
          <w:rFonts w:ascii="Times New Roman" w:hAnsi="Times New Roman"/>
          <w:sz w:val="24"/>
        </w:rPr>
        <w:t>(2019) 270 FCR 572 at 620-621 [172].</w:t>
      </w:r>
    </w:p>
  </w:footnote>
  <w:footnote w:id="410">
    <w:p w14:paraId="14D401BF"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Calidad </w:t>
      </w:r>
      <w:r w:rsidRPr="0044114E">
        <w:rPr>
          <w:rFonts w:ascii="Times New Roman" w:hAnsi="Times New Roman"/>
          <w:sz w:val="24"/>
        </w:rPr>
        <w:t>(2019) 270 FCR 572 at 621 [172].</w:t>
      </w:r>
    </w:p>
  </w:footnote>
  <w:footnote w:id="411">
    <w:p w14:paraId="2453B230"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Calidad </w:t>
      </w:r>
      <w:r w:rsidRPr="0044114E">
        <w:rPr>
          <w:rFonts w:ascii="Times New Roman" w:hAnsi="Times New Roman"/>
          <w:sz w:val="24"/>
        </w:rPr>
        <w:t>(2019) 270 FCR 572 at 643 [293]</w:t>
      </w:r>
      <w:r w:rsidRPr="0044114E">
        <w:rPr>
          <w:rFonts w:ascii="Times New Roman" w:hAnsi="Times New Roman"/>
          <w:sz w:val="24"/>
        </w:rPr>
        <w:noBreakHyphen/>
        <w:t>[294].</w:t>
      </w:r>
    </w:p>
  </w:footnote>
  <w:footnote w:id="412">
    <w:p w14:paraId="39E79EF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(1907) 24 RPC 539 at 543.</w:t>
      </w:r>
    </w:p>
  </w:footnote>
  <w:footnote w:id="413">
    <w:p w14:paraId="05C99D02"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[1977] RPC 537 at 554</w:t>
      </w:r>
      <w:r w:rsidRPr="0044114E">
        <w:rPr>
          <w:rFonts w:ascii="Times New Roman" w:hAnsi="Times New Roman"/>
          <w:sz w:val="24"/>
        </w:rPr>
        <w:noBreakHyphen/>
        <w:t>555.</w:t>
      </w:r>
    </w:p>
  </w:footnote>
  <w:footnote w:id="414">
    <w:p w14:paraId="22990934"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Solar Thomson </w:t>
      </w:r>
      <w:r w:rsidRPr="0044114E">
        <w:rPr>
          <w:rFonts w:ascii="Times New Roman" w:hAnsi="Times New Roman"/>
          <w:sz w:val="24"/>
        </w:rPr>
        <w:t>[1977] RPC 537 at 554</w:t>
      </w:r>
      <w:r w:rsidRPr="0044114E">
        <w:rPr>
          <w:rFonts w:ascii="Times New Roman" w:hAnsi="Times New Roman"/>
          <w:sz w:val="24"/>
        </w:rPr>
        <w:noBreakHyphen/>
        <w:t xml:space="preserve">555, quoting </w:t>
      </w:r>
      <w:r w:rsidRPr="0044114E">
        <w:rPr>
          <w:rFonts w:ascii="Times New Roman" w:hAnsi="Times New Roman"/>
          <w:i/>
          <w:sz w:val="24"/>
        </w:rPr>
        <w:t>Sirdar Rubber</w:t>
      </w:r>
      <w:r w:rsidRPr="0044114E">
        <w:rPr>
          <w:rFonts w:ascii="Times New Roman" w:hAnsi="Times New Roman"/>
          <w:sz w:val="24"/>
        </w:rPr>
        <w:t xml:space="preserve"> (1905) 22 RPC 257 at 266.</w:t>
      </w:r>
    </w:p>
  </w:footnote>
  <w:footnote w:id="415">
    <w:p w14:paraId="6402E190"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Solar Thomson </w:t>
      </w:r>
      <w:r w:rsidRPr="0044114E">
        <w:rPr>
          <w:rFonts w:ascii="Times New Roman" w:hAnsi="Times New Roman"/>
          <w:sz w:val="24"/>
        </w:rPr>
        <w:t>[1977] RPC 537 at 555.</w:t>
      </w:r>
    </w:p>
  </w:footnote>
  <w:footnote w:id="416">
    <w:p w14:paraId="5D942AB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[2001] RPC 439 at 459 [71]</w:t>
      </w:r>
      <w:r w:rsidRPr="0044114E">
        <w:rPr>
          <w:rFonts w:ascii="Times New Roman" w:hAnsi="Times New Roman"/>
          <w:sz w:val="24"/>
        </w:rPr>
        <w:noBreakHyphen/>
        <w:t xml:space="preserve">[72], quoting </w:t>
      </w:r>
      <w:r w:rsidRPr="0044114E">
        <w:rPr>
          <w:rFonts w:ascii="Times New Roman" w:hAnsi="Times New Roman"/>
          <w:i/>
          <w:sz w:val="24"/>
        </w:rPr>
        <w:t xml:space="preserve">Solar Thomson </w:t>
      </w:r>
      <w:r w:rsidRPr="0044114E">
        <w:rPr>
          <w:rFonts w:ascii="Times New Roman" w:hAnsi="Times New Roman"/>
          <w:sz w:val="24"/>
        </w:rPr>
        <w:t>[1977] RPC 537 at 555.</w:t>
      </w:r>
    </w:p>
  </w:footnote>
  <w:footnote w:id="417">
    <w:p w14:paraId="1837099E"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[2013] RPC 395 at 410-411 [49]</w:t>
      </w:r>
      <w:r w:rsidRPr="0044114E">
        <w:rPr>
          <w:rFonts w:ascii="Times New Roman" w:hAnsi="Times New Roman"/>
          <w:sz w:val="24"/>
        </w:rPr>
        <w:noBreakHyphen/>
        <w:t>[50].</w:t>
      </w:r>
    </w:p>
  </w:footnote>
  <w:footnote w:id="418">
    <w:p w14:paraId="1278BE27"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Schütz</w:t>
      </w:r>
      <w:r w:rsidRPr="0044114E">
        <w:rPr>
          <w:rFonts w:ascii="Times New Roman" w:hAnsi="Times New Roman"/>
          <w:sz w:val="24"/>
        </w:rPr>
        <w:t xml:space="preserve"> [2013] RPC 395 at 411 [50]</w:t>
      </w:r>
      <w:r w:rsidRPr="0044114E">
        <w:rPr>
          <w:rFonts w:ascii="Times New Roman" w:hAnsi="Times New Roman"/>
          <w:sz w:val="24"/>
        </w:rPr>
        <w:noBreakHyphen/>
        <w:t>[51].</w:t>
      </w:r>
    </w:p>
  </w:footnote>
  <w:footnote w:id="419">
    <w:p w14:paraId="3D23AA25"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See [</w:t>
      </w:r>
      <w:r>
        <w:rPr>
          <w:rFonts w:ascii="Times New Roman" w:hAnsi="Times New Roman"/>
          <w:sz w:val="24"/>
        </w:rPr>
        <w:t>196</w:t>
      </w:r>
      <w:r w:rsidRPr="0044114E">
        <w:rPr>
          <w:rFonts w:ascii="Times New Roman" w:hAnsi="Times New Roman"/>
          <w:sz w:val="24"/>
        </w:rPr>
        <w:t>]-[</w:t>
      </w:r>
      <w:r>
        <w:rPr>
          <w:rFonts w:ascii="Times New Roman" w:hAnsi="Times New Roman"/>
          <w:sz w:val="24"/>
        </w:rPr>
        <w:t>202</w:t>
      </w:r>
      <w:r w:rsidRPr="0044114E">
        <w:rPr>
          <w:rFonts w:ascii="Times New Roman" w:hAnsi="Times New Roman"/>
          <w:sz w:val="24"/>
        </w:rPr>
        <w:t>] above.</w:t>
      </w:r>
    </w:p>
  </w:footnote>
  <w:footnote w:id="420">
    <w:p w14:paraId="1C432E54"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 xml:space="preserve">Varex Imaging Corporation v Richardson Electronics Ltd </w:t>
      </w:r>
      <w:r w:rsidRPr="0044114E">
        <w:rPr>
          <w:rFonts w:ascii="Times New Roman" w:hAnsi="Times New Roman"/>
          <w:sz w:val="24"/>
        </w:rPr>
        <w:t>(unreported, United States District Court, ND Illinois, 27 August 2019) at 4.</w:t>
      </w:r>
    </w:p>
  </w:footnote>
  <w:footnote w:id="421">
    <w:p w14:paraId="5854FAAC"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(1961) 365 US 336 at 342.</w:t>
      </w:r>
    </w:p>
  </w:footnote>
  <w:footnote w:id="422">
    <w:p w14:paraId="4F216E20"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(1997) 123 F 3d 1445 at 1451; see also </w:t>
      </w:r>
      <w:r w:rsidRPr="0044114E">
        <w:rPr>
          <w:rFonts w:ascii="Times New Roman" w:hAnsi="Times New Roman"/>
          <w:i/>
          <w:sz w:val="24"/>
        </w:rPr>
        <w:t>Zenith Electronics Corporation v PDI Communication Systems Inc</w:t>
      </w:r>
      <w:r w:rsidRPr="0044114E">
        <w:rPr>
          <w:rFonts w:ascii="Times New Roman" w:hAnsi="Times New Roman"/>
          <w:sz w:val="24"/>
        </w:rPr>
        <w:t xml:space="preserve"> (2008) 522 F 3d 1348 at 1362.</w:t>
      </w:r>
    </w:p>
  </w:footnote>
  <w:footnote w:id="423">
    <w:p w14:paraId="508AB311" w14:textId="77777777" w:rsidR="0047638A" w:rsidRPr="0044114E" w:rsidRDefault="0047638A" w:rsidP="00261C63">
      <w:pPr>
        <w:pStyle w:val="FootnoteText"/>
        <w:spacing w:line="280" w:lineRule="exact"/>
        <w:ind w:right="0"/>
        <w:jc w:val="both"/>
        <w:rPr>
          <w:rFonts w:ascii="Times New Roman" w:hAnsi="Times New Roman"/>
          <w:i/>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Hewlett-Packard </w:t>
      </w:r>
      <w:r w:rsidRPr="0044114E">
        <w:rPr>
          <w:rFonts w:ascii="Times New Roman" w:hAnsi="Times New Roman"/>
          <w:sz w:val="24"/>
        </w:rPr>
        <w:t>(1997) 123 F 3d 1445 at 1452.</w:t>
      </w:r>
    </w:p>
  </w:footnote>
  <w:footnote w:id="424">
    <w:p w14:paraId="74046D29"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Hewlett-Packard </w:t>
      </w:r>
      <w:r w:rsidRPr="0044114E">
        <w:rPr>
          <w:rFonts w:ascii="Times New Roman" w:hAnsi="Times New Roman"/>
          <w:sz w:val="24"/>
        </w:rPr>
        <w:t>(1997) 123 F 3d 1445 at 1453.</w:t>
      </w:r>
    </w:p>
  </w:footnote>
  <w:footnote w:id="425">
    <w:p w14:paraId="68DCC3DD"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[1997] AC 728 at 735.</w:t>
      </w:r>
    </w:p>
  </w:footnote>
  <w:footnote w:id="426">
    <w:p w14:paraId="7852ECCB"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(2001) 264 F 3d 1094.</w:t>
      </w:r>
    </w:p>
  </w:footnote>
  <w:footnote w:id="427">
    <w:p w14:paraId="20531D16"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(2001) 264 F 3d 1094 at 1101, 1110</w:t>
      </w:r>
      <w:r w:rsidRPr="0044114E">
        <w:rPr>
          <w:rFonts w:ascii="Times New Roman" w:hAnsi="Times New Roman"/>
          <w:sz w:val="24"/>
        </w:rPr>
        <w:noBreakHyphen/>
        <w:t>1111.</w:t>
      </w:r>
    </w:p>
  </w:footnote>
  <w:footnote w:id="428">
    <w:p w14:paraId="2F8F99D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Jazz Photo</w:t>
      </w:r>
      <w:r w:rsidRPr="0044114E">
        <w:rPr>
          <w:rFonts w:ascii="Times New Roman" w:hAnsi="Times New Roman"/>
          <w:sz w:val="24"/>
        </w:rPr>
        <w:t xml:space="preserve"> (2001) 264 F 3d 1094 at 1106.</w:t>
      </w:r>
    </w:p>
  </w:footnote>
  <w:footnote w:id="429">
    <w:p w14:paraId="330E1743"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Jazz Photo</w:t>
      </w:r>
      <w:r w:rsidRPr="0044114E">
        <w:rPr>
          <w:rFonts w:ascii="Times New Roman" w:hAnsi="Times New Roman"/>
          <w:sz w:val="24"/>
        </w:rPr>
        <w:t xml:space="preserve"> (2001) 264 F 3d 1094 at 1103</w:t>
      </w:r>
      <w:r w:rsidRPr="0044114E">
        <w:rPr>
          <w:rFonts w:ascii="Times New Roman" w:hAnsi="Times New Roman"/>
          <w:sz w:val="24"/>
        </w:rPr>
        <w:noBreakHyphen/>
        <w:t>1104.</w:t>
      </w:r>
    </w:p>
  </w:footnote>
  <w:footnote w:id="430">
    <w:p w14:paraId="3E9F41B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(1987) 827 F 2d 755.</w:t>
      </w:r>
    </w:p>
  </w:footnote>
  <w:footnote w:id="431">
    <w:p w14:paraId="7EA954FB"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(1978) 572 F 2d 745.</w:t>
      </w:r>
    </w:p>
  </w:footnote>
  <w:footnote w:id="432">
    <w:p w14:paraId="412E2E46"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Jazz Photo</w:t>
      </w:r>
      <w:r w:rsidRPr="0044114E">
        <w:rPr>
          <w:rFonts w:ascii="Times New Roman" w:hAnsi="Times New Roman"/>
          <w:sz w:val="24"/>
        </w:rPr>
        <w:t xml:space="preserve"> (2001) 264 F 3d 1094 at 1103</w:t>
      </w:r>
      <w:r w:rsidRPr="0044114E">
        <w:rPr>
          <w:rFonts w:ascii="Times New Roman" w:hAnsi="Times New Roman"/>
          <w:sz w:val="24"/>
        </w:rPr>
        <w:noBreakHyphen/>
        <w:t>1104.</w:t>
      </w:r>
    </w:p>
  </w:footnote>
  <w:footnote w:id="433">
    <w:p w14:paraId="23B20E78"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Unreported, United States District Court, ND Illinois, 27 August 2019 at 5.</w:t>
      </w:r>
    </w:p>
  </w:footnote>
  <w:footnote w:id="434">
    <w:p w14:paraId="00E1DFAC"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Varex Imaging </w:t>
      </w:r>
      <w:r w:rsidRPr="0044114E">
        <w:rPr>
          <w:rFonts w:ascii="Times New Roman" w:hAnsi="Times New Roman"/>
          <w:sz w:val="24"/>
        </w:rPr>
        <w:t>(unreported, United States District Court, ND Illinois, 27 August 2019) at 4.</w:t>
      </w:r>
    </w:p>
  </w:footnote>
  <w:footnote w:id="435">
    <w:p w14:paraId="744E874C"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See [</w:t>
      </w:r>
      <w:r>
        <w:rPr>
          <w:rFonts w:ascii="Times New Roman" w:hAnsi="Times New Roman"/>
          <w:sz w:val="24"/>
        </w:rPr>
        <w:t>215</w:t>
      </w:r>
      <w:r w:rsidRPr="0044114E">
        <w:rPr>
          <w:rFonts w:ascii="Times New Roman" w:hAnsi="Times New Roman"/>
          <w:sz w:val="24"/>
        </w:rPr>
        <w:t>]</w:t>
      </w:r>
      <w:r w:rsidRPr="0044114E">
        <w:rPr>
          <w:rFonts w:ascii="Times New Roman" w:hAnsi="Times New Roman"/>
          <w:sz w:val="24"/>
        </w:rPr>
        <w:noBreakHyphen/>
        <w:t>[</w:t>
      </w:r>
      <w:r>
        <w:rPr>
          <w:rFonts w:ascii="Times New Roman" w:hAnsi="Times New Roman"/>
          <w:sz w:val="24"/>
        </w:rPr>
        <w:t>216</w:t>
      </w:r>
      <w:r w:rsidRPr="0044114E">
        <w:rPr>
          <w:rFonts w:ascii="Times New Roman" w:hAnsi="Times New Roman"/>
          <w:sz w:val="24"/>
        </w:rPr>
        <w:t xml:space="preserve">] above; </w:t>
      </w:r>
      <w:r w:rsidRPr="0044114E">
        <w:rPr>
          <w:rFonts w:ascii="Times New Roman" w:hAnsi="Times New Roman"/>
          <w:i/>
          <w:sz w:val="24"/>
        </w:rPr>
        <w:t>Schütz</w:t>
      </w:r>
      <w:r w:rsidRPr="0044114E">
        <w:rPr>
          <w:rFonts w:ascii="Times New Roman" w:hAnsi="Times New Roman"/>
          <w:sz w:val="24"/>
        </w:rPr>
        <w:t xml:space="preserve"> [2013] RPC 395 at 406 [25].</w:t>
      </w:r>
    </w:p>
  </w:footnote>
  <w:footnote w:id="436">
    <w:p w14:paraId="03A96932"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See </w:t>
      </w:r>
      <w:r w:rsidRPr="0044114E">
        <w:rPr>
          <w:rFonts w:ascii="Times New Roman" w:hAnsi="Times New Roman"/>
          <w:i/>
          <w:sz w:val="24"/>
        </w:rPr>
        <w:t xml:space="preserve">Radiation Ltd v </w:t>
      </w:r>
      <w:r w:rsidRPr="0044114E">
        <w:rPr>
          <w:rFonts w:ascii="Times New Roman" w:hAnsi="Times New Roman"/>
          <w:i/>
          <w:sz w:val="24"/>
        </w:rPr>
        <w:t xml:space="preserve">Galliers &amp; Klaerr Pty Ltd </w:t>
      </w:r>
      <w:r w:rsidRPr="0044114E">
        <w:rPr>
          <w:rFonts w:ascii="Times New Roman" w:hAnsi="Times New Roman"/>
          <w:sz w:val="24"/>
        </w:rPr>
        <w:t>(1938) 60 CLR 36 at 46, 51</w:t>
      </w:r>
      <w:r w:rsidRPr="0044114E">
        <w:rPr>
          <w:rFonts w:ascii="Times New Roman" w:hAnsi="Times New Roman"/>
          <w:sz w:val="24"/>
        </w:rPr>
        <w:noBreakHyphen/>
        <w:t xml:space="preserve">52; </w:t>
      </w:r>
      <w:r w:rsidRPr="0044114E">
        <w:rPr>
          <w:rFonts w:ascii="Times New Roman" w:hAnsi="Times New Roman"/>
          <w:i/>
          <w:sz w:val="24"/>
        </w:rPr>
        <w:t xml:space="preserve">Olin Corporation v Super Cartridge Co Pty Ltd </w:t>
      </w:r>
      <w:r w:rsidRPr="0044114E">
        <w:rPr>
          <w:rFonts w:ascii="Times New Roman" w:hAnsi="Times New Roman"/>
          <w:sz w:val="24"/>
        </w:rPr>
        <w:t xml:space="preserve">(1977) 180 CLR 236 at 246; </w:t>
      </w:r>
      <w:r w:rsidRPr="0044114E">
        <w:rPr>
          <w:rFonts w:ascii="Times New Roman" w:hAnsi="Times New Roman"/>
          <w:i/>
          <w:sz w:val="24"/>
        </w:rPr>
        <w:t xml:space="preserve">Minnesota Mining and Manufacturing Co v Beiersdorf (Australia) Ltd </w:t>
      </w:r>
      <w:r w:rsidRPr="0044114E">
        <w:rPr>
          <w:rFonts w:ascii="Times New Roman" w:hAnsi="Times New Roman"/>
          <w:sz w:val="24"/>
        </w:rPr>
        <w:t xml:space="preserve">(1980) 144 CLR 253 at 286; </w:t>
      </w:r>
      <w:r w:rsidRPr="0044114E">
        <w:rPr>
          <w:rFonts w:ascii="Times New Roman" w:hAnsi="Times New Roman"/>
          <w:i/>
          <w:sz w:val="24"/>
        </w:rPr>
        <w:t xml:space="preserve">Catnic Components Ltd v Hill and Smith Ltd </w:t>
      </w:r>
      <w:r w:rsidRPr="0044114E">
        <w:rPr>
          <w:rFonts w:ascii="Times New Roman" w:hAnsi="Times New Roman"/>
          <w:sz w:val="24"/>
        </w:rPr>
        <w:t>[1981] FSR 60 at 65</w:t>
      </w:r>
      <w:r w:rsidRPr="0044114E">
        <w:rPr>
          <w:rFonts w:ascii="Times New Roman" w:hAnsi="Times New Roman"/>
          <w:sz w:val="24"/>
        </w:rPr>
        <w:noBreakHyphen/>
        <w:t xml:space="preserve">66; </w:t>
      </w:r>
      <w:r w:rsidRPr="0044114E">
        <w:rPr>
          <w:rFonts w:ascii="Times New Roman" w:hAnsi="Times New Roman"/>
          <w:i/>
          <w:sz w:val="24"/>
        </w:rPr>
        <w:t>Kirin</w:t>
      </w:r>
      <w:r>
        <w:rPr>
          <w:rFonts w:ascii="Times New Roman" w:hAnsi="Times New Roman"/>
          <w:i/>
          <w:sz w:val="24"/>
        </w:rPr>
        <w:noBreakHyphen/>
      </w:r>
      <w:r w:rsidRPr="0044114E">
        <w:rPr>
          <w:rFonts w:ascii="Times New Roman" w:hAnsi="Times New Roman"/>
          <w:i/>
          <w:sz w:val="24"/>
        </w:rPr>
        <w:t xml:space="preserve">Amgen Inc v Hoechst Marion Roussel Ltd </w:t>
      </w:r>
      <w:r w:rsidRPr="0044114E">
        <w:rPr>
          <w:rFonts w:ascii="Times New Roman" w:hAnsi="Times New Roman"/>
          <w:sz w:val="24"/>
        </w:rPr>
        <w:t>[2005] RPC 169 at 190-191 [50]</w:t>
      </w:r>
      <w:r w:rsidRPr="0044114E">
        <w:rPr>
          <w:rFonts w:ascii="Times New Roman" w:hAnsi="Times New Roman"/>
          <w:sz w:val="24"/>
        </w:rPr>
        <w:noBreakHyphen/>
        <w:t xml:space="preserve">[52]; </w:t>
      </w:r>
      <w:r w:rsidRPr="0044114E">
        <w:rPr>
          <w:rFonts w:ascii="Times New Roman" w:hAnsi="Times New Roman"/>
          <w:i/>
          <w:sz w:val="24"/>
        </w:rPr>
        <w:t xml:space="preserve">GlaxoSmithKline Australia Pty Ltd v Reckitt Benckiser Healthcare (UK) Ltd </w:t>
      </w:r>
      <w:r w:rsidRPr="0044114E">
        <w:rPr>
          <w:rFonts w:ascii="Times New Roman" w:hAnsi="Times New Roman"/>
          <w:sz w:val="24"/>
        </w:rPr>
        <w:t xml:space="preserve">(2016) 120 IPR 406 at 420 [54]; </w:t>
      </w:r>
      <w:r w:rsidRPr="0044114E">
        <w:rPr>
          <w:rFonts w:ascii="Times New Roman" w:hAnsi="Times New Roman"/>
          <w:i/>
          <w:sz w:val="24"/>
        </w:rPr>
        <w:t xml:space="preserve">Actavis UK Ltd v Eli Lilly and Co </w:t>
      </w:r>
      <w:r w:rsidRPr="0044114E">
        <w:rPr>
          <w:rFonts w:ascii="Times New Roman" w:hAnsi="Times New Roman"/>
          <w:sz w:val="24"/>
        </w:rPr>
        <w:t xml:space="preserve">[2017] RPC 957 at 989 [66]. See also </w:t>
      </w:r>
      <w:r w:rsidRPr="0044114E">
        <w:rPr>
          <w:rFonts w:ascii="Times New Roman" w:hAnsi="Times New Roman"/>
          <w:i/>
          <w:sz w:val="24"/>
        </w:rPr>
        <w:t>Schütz</w:t>
      </w:r>
      <w:r w:rsidRPr="0044114E">
        <w:rPr>
          <w:rFonts w:ascii="Times New Roman" w:hAnsi="Times New Roman"/>
          <w:sz w:val="24"/>
        </w:rPr>
        <w:t xml:space="preserve"> [2013] RPC 395 at 406 [25], 413 [63]</w:t>
      </w:r>
      <w:r w:rsidRPr="0044114E">
        <w:rPr>
          <w:rFonts w:ascii="Times New Roman" w:hAnsi="Times New Roman"/>
          <w:sz w:val="24"/>
        </w:rPr>
        <w:noBreakHyphen/>
        <w:t>[67].</w:t>
      </w:r>
    </w:p>
  </w:footnote>
  <w:footnote w:id="437">
    <w:p w14:paraId="1535687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r>
      <w:r w:rsidRPr="0044114E">
        <w:rPr>
          <w:rFonts w:ascii="Times New Roman" w:hAnsi="Times New Roman"/>
          <w:i/>
          <w:sz w:val="24"/>
        </w:rPr>
        <w:t xml:space="preserve">Sirdar Rubber </w:t>
      </w:r>
      <w:r w:rsidRPr="0044114E">
        <w:rPr>
          <w:rFonts w:ascii="Times New Roman" w:hAnsi="Times New Roman"/>
          <w:sz w:val="24"/>
        </w:rPr>
        <w:t xml:space="preserve">(1905) 22 RPC 257 at 266; </w:t>
      </w:r>
      <w:r w:rsidRPr="0044114E">
        <w:rPr>
          <w:rFonts w:ascii="Times New Roman" w:hAnsi="Times New Roman"/>
          <w:i/>
          <w:sz w:val="24"/>
        </w:rPr>
        <w:t xml:space="preserve">Sirdar Rubber </w:t>
      </w:r>
      <w:r w:rsidRPr="0044114E">
        <w:rPr>
          <w:rFonts w:ascii="Times New Roman" w:hAnsi="Times New Roman"/>
          <w:sz w:val="24"/>
        </w:rPr>
        <w:t xml:space="preserve">(1907) 24 RPC 539 at 543; </w:t>
      </w:r>
      <w:r w:rsidRPr="0044114E">
        <w:rPr>
          <w:rFonts w:ascii="Times New Roman" w:hAnsi="Times New Roman"/>
          <w:i/>
          <w:sz w:val="24"/>
        </w:rPr>
        <w:t xml:space="preserve">Solar Thomson </w:t>
      </w:r>
      <w:r w:rsidRPr="0044114E">
        <w:rPr>
          <w:rFonts w:ascii="Times New Roman" w:hAnsi="Times New Roman"/>
          <w:sz w:val="24"/>
        </w:rPr>
        <w:t>[1977] RPC 537 at 554</w:t>
      </w:r>
      <w:r w:rsidRPr="0044114E">
        <w:rPr>
          <w:rFonts w:ascii="Times New Roman" w:hAnsi="Times New Roman"/>
          <w:sz w:val="24"/>
        </w:rPr>
        <w:noBreakHyphen/>
        <w:t xml:space="preserve">555; </w:t>
      </w:r>
      <w:r w:rsidRPr="0044114E">
        <w:rPr>
          <w:rFonts w:ascii="Times New Roman" w:hAnsi="Times New Roman"/>
          <w:i/>
          <w:sz w:val="24"/>
        </w:rPr>
        <w:t>United Wire</w:t>
      </w:r>
      <w:r w:rsidRPr="0044114E">
        <w:rPr>
          <w:rFonts w:ascii="Times New Roman" w:hAnsi="Times New Roman"/>
          <w:sz w:val="24"/>
        </w:rPr>
        <w:t xml:space="preserve"> [2001] RPC 439 at 458</w:t>
      </w:r>
      <w:r>
        <w:rPr>
          <w:rFonts w:ascii="Times New Roman" w:hAnsi="Times New Roman"/>
          <w:sz w:val="24"/>
        </w:rPr>
        <w:noBreakHyphen/>
      </w:r>
      <w:r w:rsidRPr="0044114E">
        <w:rPr>
          <w:rFonts w:ascii="Times New Roman" w:hAnsi="Times New Roman"/>
          <w:sz w:val="24"/>
        </w:rPr>
        <w:t>459 [68]</w:t>
      </w:r>
      <w:r w:rsidRPr="0044114E">
        <w:rPr>
          <w:rFonts w:ascii="Times New Roman" w:hAnsi="Times New Roman"/>
          <w:sz w:val="24"/>
        </w:rPr>
        <w:noBreakHyphen/>
        <w:t xml:space="preserve">[72]; </w:t>
      </w:r>
      <w:r w:rsidRPr="0044114E">
        <w:rPr>
          <w:rFonts w:ascii="Times New Roman" w:hAnsi="Times New Roman"/>
          <w:i/>
          <w:sz w:val="24"/>
        </w:rPr>
        <w:t xml:space="preserve">Schütz </w:t>
      </w:r>
      <w:r w:rsidRPr="0044114E">
        <w:rPr>
          <w:rFonts w:ascii="Times New Roman" w:hAnsi="Times New Roman"/>
          <w:sz w:val="24"/>
        </w:rPr>
        <w:t>[2013] RPC 395 at 406 [27], 412 [57]</w:t>
      </w:r>
      <w:r w:rsidRPr="0044114E">
        <w:rPr>
          <w:rFonts w:ascii="Times New Roman" w:hAnsi="Times New Roman"/>
          <w:sz w:val="24"/>
        </w:rPr>
        <w:noBreakHyphen/>
        <w:t>[59].</w:t>
      </w:r>
    </w:p>
  </w:footnote>
  <w:footnote w:id="438">
    <w:p w14:paraId="3CF5C479"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 xml:space="preserve">(1967) 117 CLR 631 at 638. An appeal to the Full Court was dismissed: </w:t>
      </w:r>
      <w:r w:rsidRPr="0044114E">
        <w:rPr>
          <w:rFonts w:ascii="Times New Roman" w:hAnsi="Times New Roman"/>
          <w:i/>
          <w:sz w:val="24"/>
        </w:rPr>
        <w:t xml:space="preserve">MP Metals </w:t>
      </w:r>
      <w:r w:rsidRPr="0044114E">
        <w:rPr>
          <w:rFonts w:ascii="Times New Roman" w:hAnsi="Times New Roman"/>
          <w:sz w:val="24"/>
        </w:rPr>
        <w:t>(1968) 117 CLR 631 at 650.</w:t>
      </w:r>
    </w:p>
  </w:footnote>
  <w:footnote w:id="439">
    <w:p w14:paraId="3B7F199E"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See [</w:t>
      </w:r>
      <w:r>
        <w:rPr>
          <w:rFonts w:ascii="Times New Roman" w:hAnsi="Times New Roman"/>
          <w:sz w:val="24"/>
        </w:rPr>
        <w:t>232</w:t>
      </w:r>
      <w:r w:rsidRPr="0044114E">
        <w:rPr>
          <w:rFonts w:ascii="Times New Roman" w:hAnsi="Times New Roman"/>
          <w:sz w:val="24"/>
        </w:rPr>
        <w:t>]</w:t>
      </w:r>
      <w:r w:rsidRPr="0044114E">
        <w:rPr>
          <w:rFonts w:ascii="Times New Roman" w:hAnsi="Times New Roman"/>
          <w:sz w:val="24"/>
        </w:rPr>
        <w:noBreakHyphen/>
        <w:t>[</w:t>
      </w:r>
      <w:r>
        <w:rPr>
          <w:rFonts w:ascii="Times New Roman" w:hAnsi="Times New Roman"/>
          <w:sz w:val="24"/>
        </w:rPr>
        <w:t>234</w:t>
      </w:r>
      <w:r w:rsidRPr="0044114E">
        <w:rPr>
          <w:rFonts w:ascii="Times New Roman" w:hAnsi="Times New Roman"/>
          <w:sz w:val="24"/>
        </w:rPr>
        <w:t>] above.</w:t>
      </w:r>
      <w:r w:rsidRPr="0044114E">
        <w:rPr>
          <w:rFonts w:ascii="Times New Roman" w:hAnsi="Times New Roman"/>
          <w:i/>
          <w:sz w:val="24"/>
        </w:rPr>
        <w:t xml:space="preserve"> </w:t>
      </w:r>
    </w:p>
  </w:footnote>
  <w:footnote w:id="440">
    <w:p w14:paraId="16069D11"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See [</w:t>
      </w:r>
      <w:r>
        <w:rPr>
          <w:rFonts w:ascii="Times New Roman" w:hAnsi="Times New Roman"/>
          <w:sz w:val="24"/>
        </w:rPr>
        <w:t>232</w:t>
      </w:r>
      <w:r w:rsidRPr="0044114E">
        <w:rPr>
          <w:rFonts w:ascii="Times New Roman" w:hAnsi="Times New Roman"/>
          <w:sz w:val="24"/>
        </w:rPr>
        <w:t>(3)] above.</w:t>
      </w:r>
    </w:p>
  </w:footnote>
  <w:footnote w:id="441">
    <w:p w14:paraId="16C4406A"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See [</w:t>
      </w:r>
      <w:r>
        <w:rPr>
          <w:rFonts w:ascii="Times New Roman" w:hAnsi="Times New Roman"/>
          <w:sz w:val="24"/>
        </w:rPr>
        <w:t>226</w:t>
      </w:r>
      <w:r w:rsidRPr="0044114E">
        <w:rPr>
          <w:rFonts w:ascii="Times New Roman" w:hAnsi="Times New Roman"/>
          <w:sz w:val="24"/>
        </w:rPr>
        <w:t>], [</w:t>
      </w:r>
      <w:r>
        <w:rPr>
          <w:rFonts w:ascii="Times New Roman" w:hAnsi="Times New Roman"/>
          <w:sz w:val="24"/>
        </w:rPr>
        <w:t>237</w:t>
      </w:r>
      <w:r w:rsidRPr="0044114E">
        <w:rPr>
          <w:rFonts w:ascii="Times New Roman" w:hAnsi="Times New Roman"/>
          <w:sz w:val="24"/>
        </w:rPr>
        <w:t>], [</w:t>
      </w:r>
      <w:r>
        <w:rPr>
          <w:rFonts w:ascii="Times New Roman" w:hAnsi="Times New Roman"/>
          <w:sz w:val="24"/>
        </w:rPr>
        <w:t>239</w:t>
      </w:r>
      <w:r w:rsidRPr="0044114E">
        <w:rPr>
          <w:rFonts w:ascii="Times New Roman" w:hAnsi="Times New Roman"/>
          <w:sz w:val="24"/>
        </w:rPr>
        <w:t>]-[</w:t>
      </w:r>
      <w:r>
        <w:rPr>
          <w:rFonts w:ascii="Times New Roman" w:hAnsi="Times New Roman"/>
          <w:sz w:val="24"/>
        </w:rPr>
        <w:t>240</w:t>
      </w:r>
      <w:r w:rsidRPr="0044114E">
        <w:rPr>
          <w:rFonts w:ascii="Times New Roman" w:hAnsi="Times New Roman"/>
          <w:sz w:val="24"/>
        </w:rPr>
        <w:t>] above.</w:t>
      </w:r>
    </w:p>
  </w:footnote>
  <w:footnote w:id="442">
    <w:p w14:paraId="01E7CE92" w14:textId="77777777" w:rsidR="0047638A" w:rsidRPr="0044114E" w:rsidRDefault="0047638A" w:rsidP="00261C63">
      <w:pPr>
        <w:pStyle w:val="FootnoteText"/>
        <w:spacing w:line="280" w:lineRule="exact"/>
        <w:ind w:right="0"/>
        <w:jc w:val="both"/>
        <w:rPr>
          <w:rFonts w:ascii="Times New Roman" w:hAnsi="Times New Roman"/>
          <w:sz w:val="24"/>
        </w:rPr>
      </w:pPr>
      <w:r w:rsidRPr="0044114E">
        <w:rPr>
          <w:rStyle w:val="FootnoteReference"/>
          <w:rFonts w:ascii="Times New Roman" w:hAnsi="Times New Roman"/>
          <w:sz w:val="22"/>
          <w:vertAlign w:val="baseline"/>
        </w:rPr>
        <w:footnoteRef/>
      </w:r>
      <w:r w:rsidRPr="0044114E">
        <w:rPr>
          <w:rFonts w:ascii="Times New Roman" w:hAnsi="Times New Roman"/>
          <w:sz w:val="24"/>
        </w:rPr>
        <w:t xml:space="preserve"> </w:t>
      </w:r>
      <w:r w:rsidRPr="0044114E">
        <w:rPr>
          <w:rFonts w:ascii="Times New Roman" w:hAnsi="Times New Roman"/>
          <w:sz w:val="24"/>
        </w:rPr>
        <w:tab/>
        <w:t>See [</w:t>
      </w:r>
      <w:r>
        <w:rPr>
          <w:rFonts w:ascii="Times New Roman" w:hAnsi="Times New Roman"/>
          <w:sz w:val="24"/>
        </w:rPr>
        <w:t>241</w:t>
      </w:r>
      <w:r w:rsidRPr="0044114E">
        <w:rPr>
          <w:rFonts w:ascii="Times New Roman" w:hAnsi="Times New Roman"/>
          <w:sz w:val="24"/>
        </w:rPr>
        <w:t>]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0A4A" w14:textId="38DBCFAA" w:rsidR="0047638A" w:rsidRPr="0047638A" w:rsidRDefault="0047638A" w:rsidP="0047638A">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7B1903">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7B1903">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99C2" w14:textId="77777777" w:rsidR="0047638A" w:rsidRDefault="0047638A" w:rsidP="00261C63">
    <w:pPr>
      <w:pStyle w:val="Header"/>
      <w:tabs>
        <w:tab w:val="clear" w:pos="4153"/>
        <w:tab w:val="clear" w:pos="8306"/>
        <w:tab w:val="center" w:pos="1134"/>
      </w:tabs>
      <w:spacing w:line="280" w:lineRule="exact"/>
      <w:ind w:firstLine="0"/>
      <w:rPr>
        <w:rFonts w:ascii="Times New Roman" w:hAnsi="Times New Roman"/>
        <w:i/>
        <w:sz w:val="22"/>
      </w:rPr>
    </w:pPr>
  </w:p>
  <w:p w14:paraId="45CD952C" w14:textId="77777777" w:rsidR="0047638A" w:rsidRDefault="0047638A" w:rsidP="00261C63">
    <w:pPr>
      <w:pStyle w:val="Header"/>
      <w:tabs>
        <w:tab w:val="clear" w:pos="4153"/>
        <w:tab w:val="clear" w:pos="8306"/>
        <w:tab w:val="center" w:pos="1134"/>
      </w:tabs>
      <w:spacing w:line="280" w:lineRule="exact"/>
      <w:ind w:firstLine="0"/>
      <w:rPr>
        <w:rFonts w:ascii="Times New Roman" w:hAnsi="Times New Roman"/>
        <w:i/>
        <w:sz w:val="22"/>
      </w:rPr>
    </w:pPr>
  </w:p>
  <w:p w14:paraId="7AE08FD3" w14:textId="77777777" w:rsidR="0047638A" w:rsidRDefault="0047638A" w:rsidP="00261C63">
    <w:pPr>
      <w:pStyle w:val="Header"/>
      <w:tabs>
        <w:tab w:val="clear" w:pos="4153"/>
        <w:tab w:val="clear" w:pos="8306"/>
        <w:tab w:val="center" w:pos="1134"/>
      </w:tabs>
      <w:spacing w:line="280" w:lineRule="exact"/>
      <w:ind w:firstLine="0"/>
      <w:rPr>
        <w:rFonts w:ascii="Times New Roman" w:hAnsi="Times New Roman"/>
        <w:i/>
        <w:sz w:val="22"/>
      </w:rPr>
    </w:pPr>
  </w:p>
  <w:p w14:paraId="13FA7F80" w14:textId="77777777" w:rsidR="0047638A" w:rsidRDefault="0047638A" w:rsidP="00261C63">
    <w:pPr>
      <w:pStyle w:val="Header"/>
      <w:tabs>
        <w:tab w:val="clear" w:pos="4153"/>
        <w:tab w:val="clear" w:pos="8306"/>
        <w:tab w:val="center" w:pos="1134"/>
      </w:tabs>
      <w:spacing w:line="280" w:lineRule="exact"/>
      <w:ind w:firstLine="0"/>
      <w:rPr>
        <w:rFonts w:ascii="Times New Roman" w:hAnsi="Times New Roman"/>
        <w:i/>
        <w:sz w:val="22"/>
      </w:rPr>
    </w:pPr>
  </w:p>
  <w:p w14:paraId="0BFA1012" w14:textId="77777777" w:rsidR="0047638A" w:rsidRDefault="0047638A" w:rsidP="00261C63">
    <w:pPr>
      <w:pStyle w:val="Header"/>
      <w:tabs>
        <w:tab w:val="clear" w:pos="4153"/>
        <w:tab w:val="clear" w:pos="8306"/>
        <w:tab w:val="center" w:pos="1134"/>
      </w:tabs>
      <w:spacing w:line="280" w:lineRule="exact"/>
      <w:ind w:firstLine="0"/>
      <w:rPr>
        <w:rFonts w:ascii="Times New Roman" w:hAnsi="Times New Roman"/>
        <w:i/>
        <w:sz w:val="22"/>
      </w:rPr>
    </w:pPr>
  </w:p>
  <w:p w14:paraId="1347295B" w14:textId="77777777" w:rsidR="0047638A" w:rsidRPr="0044114E" w:rsidRDefault="0047638A" w:rsidP="00261C63">
    <w:pPr>
      <w:pStyle w:val="Header"/>
      <w:tabs>
        <w:tab w:val="clear" w:pos="4153"/>
        <w:tab w:val="clear" w:pos="8306"/>
        <w:tab w:val="center" w:pos="1134"/>
      </w:tabs>
      <w:spacing w:line="280" w:lineRule="exact"/>
      <w:ind w:firstLine="0"/>
      <w:rPr>
        <w:rFonts w:ascii="Times New Roman" w:hAnsi="Times New Roman"/>
        <w:i/>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4DAE" w14:textId="77777777" w:rsidR="0047638A" w:rsidRPr="0044114E" w:rsidRDefault="0047638A" w:rsidP="00261C6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FB973" w14:textId="77777777" w:rsidR="0047638A" w:rsidRPr="00847696" w:rsidRDefault="0047638A" w:rsidP="00847696">
    <w:pPr>
      <w:pStyle w:val="Header"/>
      <w:tabs>
        <w:tab w:val="clear" w:pos="4153"/>
        <w:tab w:val="clear" w:pos="8306"/>
        <w:tab w:val="right" w:pos="1304"/>
      </w:tabs>
      <w:spacing w:line="280" w:lineRule="exact"/>
      <w:ind w:firstLine="0"/>
      <w:rPr>
        <w:rFonts w:ascii="Times New Roman" w:hAnsi="Times New Roman"/>
        <w:i/>
        <w:sz w:val="22"/>
      </w:rPr>
    </w:pPr>
    <w:r w:rsidRPr="00847696">
      <w:rPr>
        <w:rFonts w:ascii="Times New Roman" w:hAnsi="Times New Roman"/>
        <w:i/>
        <w:sz w:val="22"/>
      </w:rPr>
      <w:t>Kiefel</w:t>
    </w:r>
    <w:r w:rsidRPr="00847696">
      <w:rPr>
        <w:rFonts w:ascii="Times New Roman" w:hAnsi="Times New Roman"/>
        <w:i/>
        <w:sz w:val="22"/>
      </w:rPr>
      <w:tab/>
      <w:t>CJ</w:t>
    </w:r>
  </w:p>
  <w:p w14:paraId="14FA3EC8" w14:textId="77777777" w:rsidR="0047638A" w:rsidRPr="00847696" w:rsidRDefault="0047638A" w:rsidP="00847696">
    <w:pPr>
      <w:pStyle w:val="Header"/>
      <w:tabs>
        <w:tab w:val="clear" w:pos="4153"/>
        <w:tab w:val="clear" w:pos="8306"/>
        <w:tab w:val="right" w:pos="1304"/>
      </w:tabs>
      <w:spacing w:line="280" w:lineRule="exact"/>
      <w:ind w:firstLine="0"/>
      <w:rPr>
        <w:rFonts w:ascii="Times New Roman" w:hAnsi="Times New Roman"/>
        <w:i/>
        <w:sz w:val="22"/>
      </w:rPr>
    </w:pPr>
    <w:r w:rsidRPr="00847696">
      <w:rPr>
        <w:rFonts w:ascii="Times New Roman" w:hAnsi="Times New Roman"/>
        <w:i/>
        <w:sz w:val="22"/>
      </w:rPr>
      <w:t>Bell</w:t>
    </w:r>
    <w:r w:rsidRPr="00847696">
      <w:rPr>
        <w:rFonts w:ascii="Times New Roman" w:hAnsi="Times New Roman"/>
        <w:i/>
        <w:sz w:val="22"/>
      </w:rPr>
      <w:tab/>
      <w:t>J</w:t>
    </w:r>
  </w:p>
  <w:p w14:paraId="5F473581" w14:textId="77777777" w:rsidR="0047638A" w:rsidRDefault="0047638A" w:rsidP="0084769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Keane</w:t>
    </w:r>
    <w:r>
      <w:rPr>
        <w:rFonts w:ascii="Times New Roman" w:hAnsi="Times New Roman"/>
        <w:i/>
        <w:sz w:val="22"/>
      </w:rPr>
      <w:tab/>
      <w:t>J</w:t>
    </w:r>
  </w:p>
  <w:p w14:paraId="49DC6E34" w14:textId="77777777" w:rsidR="0047638A" w:rsidRDefault="0047638A" w:rsidP="00847696">
    <w:pPr>
      <w:pStyle w:val="Header"/>
      <w:tabs>
        <w:tab w:val="clear" w:pos="4153"/>
        <w:tab w:val="clear" w:pos="8306"/>
        <w:tab w:val="right" w:pos="1304"/>
      </w:tabs>
      <w:spacing w:line="280" w:lineRule="exact"/>
      <w:ind w:firstLine="0"/>
      <w:rPr>
        <w:rFonts w:ascii="Times New Roman" w:hAnsi="Times New Roman"/>
        <w:i/>
        <w:sz w:val="22"/>
      </w:rPr>
    </w:pPr>
  </w:p>
  <w:p w14:paraId="287CA0A7" w14:textId="77777777" w:rsidR="0047638A" w:rsidRDefault="0047638A" w:rsidP="0084769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02BDF63" w14:textId="77777777" w:rsidR="0047638A" w:rsidRPr="00847696" w:rsidRDefault="0047638A" w:rsidP="0084769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2038A" w14:textId="77777777" w:rsidR="0047638A" w:rsidRPr="00847696" w:rsidRDefault="0047638A" w:rsidP="00847696">
    <w:pPr>
      <w:pStyle w:val="Header"/>
      <w:tabs>
        <w:tab w:val="clear" w:pos="4153"/>
        <w:tab w:val="clear" w:pos="8306"/>
        <w:tab w:val="left" w:pos="7200"/>
        <w:tab w:val="right" w:pos="8504"/>
      </w:tabs>
      <w:spacing w:line="280" w:lineRule="exact"/>
      <w:jc w:val="right"/>
      <w:rPr>
        <w:rFonts w:ascii="Times New Roman" w:hAnsi="Times New Roman"/>
        <w:i/>
        <w:sz w:val="22"/>
      </w:rPr>
    </w:pPr>
    <w:r w:rsidRPr="00847696">
      <w:rPr>
        <w:rFonts w:ascii="Times New Roman" w:hAnsi="Times New Roman"/>
        <w:i/>
        <w:sz w:val="22"/>
      </w:rPr>
      <w:tab/>
      <w:t>Kiefel</w:t>
    </w:r>
    <w:r w:rsidRPr="00847696">
      <w:rPr>
        <w:rFonts w:ascii="Times New Roman" w:hAnsi="Times New Roman"/>
        <w:i/>
        <w:sz w:val="22"/>
      </w:rPr>
      <w:tab/>
      <w:t>CJ</w:t>
    </w:r>
  </w:p>
  <w:p w14:paraId="637EBA18" w14:textId="77777777" w:rsidR="0047638A" w:rsidRPr="00847696" w:rsidRDefault="0047638A" w:rsidP="00847696">
    <w:pPr>
      <w:pStyle w:val="Header"/>
      <w:tabs>
        <w:tab w:val="clear" w:pos="4153"/>
        <w:tab w:val="clear" w:pos="8306"/>
        <w:tab w:val="left" w:pos="7200"/>
        <w:tab w:val="right" w:pos="8504"/>
      </w:tabs>
      <w:spacing w:line="280" w:lineRule="exact"/>
      <w:jc w:val="right"/>
      <w:rPr>
        <w:rFonts w:ascii="Times New Roman" w:hAnsi="Times New Roman"/>
        <w:i/>
        <w:sz w:val="22"/>
      </w:rPr>
    </w:pPr>
    <w:r w:rsidRPr="00847696">
      <w:rPr>
        <w:rFonts w:ascii="Times New Roman" w:hAnsi="Times New Roman"/>
        <w:i/>
        <w:sz w:val="22"/>
      </w:rPr>
      <w:tab/>
      <w:t>Bell</w:t>
    </w:r>
    <w:r w:rsidRPr="00847696">
      <w:rPr>
        <w:rFonts w:ascii="Times New Roman" w:hAnsi="Times New Roman"/>
        <w:i/>
        <w:sz w:val="22"/>
      </w:rPr>
      <w:tab/>
      <w:t>J</w:t>
    </w:r>
  </w:p>
  <w:p w14:paraId="0FB61951" w14:textId="77777777" w:rsidR="0047638A" w:rsidRDefault="0047638A" w:rsidP="0084769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Keane</w:t>
    </w:r>
    <w:r>
      <w:rPr>
        <w:rFonts w:ascii="Times New Roman" w:hAnsi="Times New Roman"/>
        <w:i/>
        <w:sz w:val="22"/>
      </w:rPr>
      <w:tab/>
      <w:t>J</w:t>
    </w:r>
  </w:p>
  <w:p w14:paraId="57F5EFCC" w14:textId="77777777" w:rsidR="0047638A" w:rsidRDefault="0047638A" w:rsidP="00847696">
    <w:pPr>
      <w:pStyle w:val="Header"/>
      <w:tabs>
        <w:tab w:val="clear" w:pos="4153"/>
        <w:tab w:val="clear" w:pos="8306"/>
        <w:tab w:val="left" w:pos="7200"/>
        <w:tab w:val="right" w:pos="8504"/>
      </w:tabs>
      <w:spacing w:line="280" w:lineRule="exact"/>
      <w:jc w:val="right"/>
      <w:rPr>
        <w:rFonts w:ascii="Times New Roman" w:hAnsi="Times New Roman"/>
        <w:i/>
        <w:sz w:val="22"/>
      </w:rPr>
    </w:pPr>
  </w:p>
  <w:p w14:paraId="10FD47DE" w14:textId="77777777" w:rsidR="0047638A" w:rsidRDefault="0047638A" w:rsidP="0084769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FBAD28F" w14:textId="77777777" w:rsidR="0047638A" w:rsidRPr="00847696" w:rsidRDefault="0047638A" w:rsidP="0084769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365E8" w14:textId="77777777" w:rsidR="0047638A" w:rsidRDefault="0047638A" w:rsidP="00847696">
    <w:pPr>
      <w:pStyle w:val="Header"/>
      <w:tabs>
        <w:tab w:val="clear" w:pos="4153"/>
        <w:tab w:val="clear" w:pos="8306"/>
        <w:tab w:val="center" w:pos="1134"/>
      </w:tabs>
      <w:spacing w:line="280" w:lineRule="exact"/>
      <w:ind w:firstLine="0"/>
      <w:rPr>
        <w:rFonts w:ascii="Times New Roman" w:hAnsi="Times New Roman"/>
        <w:i/>
        <w:sz w:val="22"/>
      </w:rPr>
    </w:pPr>
  </w:p>
  <w:p w14:paraId="05692550" w14:textId="77777777" w:rsidR="0047638A" w:rsidRDefault="0047638A" w:rsidP="00847696">
    <w:pPr>
      <w:pStyle w:val="Header"/>
      <w:tabs>
        <w:tab w:val="clear" w:pos="4153"/>
        <w:tab w:val="clear" w:pos="8306"/>
        <w:tab w:val="center" w:pos="1134"/>
      </w:tabs>
      <w:spacing w:line="280" w:lineRule="exact"/>
      <w:ind w:firstLine="0"/>
      <w:rPr>
        <w:rFonts w:ascii="Times New Roman" w:hAnsi="Times New Roman"/>
        <w:i/>
        <w:sz w:val="22"/>
      </w:rPr>
    </w:pPr>
  </w:p>
  <w:p w14:paraId="2DC93219" w14:textId="77777777" w:rsidR="0047638A" w:rsidRDefault="0047638A" w:rsidP="00847696">
    <w:pPr>
      <w:pStyle w:val="Header"/>
      <w:tabs>
        <w:tab w:val="clear" w:pos="4153"/>
        <w:tab w:val="clear" w:pos="8306"/>
        <w:tab w:val="center" w:pos="1134"/>
      </w:tabs>
      <w:spacing w:line="280" w:lineRule="exact"/>
      <w:ind w:firstLine="0"/>
      <w:rPr>
        <w:rFonts w:ascii="Times New Roman" w:hAnsi="Times New Roman"/>
        <w:i/>
        <w:sz w:val="22"/>
      </w:rPr>
    </w:pPr>
  </w:p>
  <w:p w14:paraId="1A93C03A" w14:textId="77777777" w:rsidR="0047638A" w:rsidRDefault="0047638A" w:rsidP="00847696">
    <w:pPr>
      <w:pStyle w:val="Header"/>
      <w:tabs>
        <w:tab w:val="clear" w:pos="4153"/>
        <w:tab w:val="clear" w:pos="8306"/>
        <w:tab w:val="center" w:pos="1134"/>
      </w:tabs>
      <w:spacing w:line="280" w:lineRule="exact"/>
      <w:ind w:firstLine="0"/>
      <w:rPr>
        <w:rFonts w:ascii="Times New Roman" w:hAnsi="Times New Roman"/>
        <w:i/>
        <w:sz w:val="22"/>
      </w:rPr>
    </w:pPr>
  </w:p>
  <w:p w14:paraId="31422E10" w14:textId="77777777" w:rsidR="0047638A" w:rsidRDefault="0047638A" w:rsidP="00847696">
    <w:pPr>
      <w:pStyle w:val="Header"/>
      <w:tabs>
        <w:tab w:val="clear" w:pos="4153"/>
        <w:tab w:val="clear" w:pos="8306"/>
        <w:tab w:val="center" w:pos="1134"/>
      </w:tabs>
      <w:spacing w:line="280" w:lineRule="exact"/>
      <w:ind w:firstLine="0"/>
      <w:rPr>
        <w:rFonts w:ascii="Times New Roman" w:hAnsi="Times New Roman"/>
        <w:i/>
        <w:sz w:val="22"/>
      </w:rPr>
    </w:pPr>
  </w:p>
  <w:p w14:paraId="52EDF01B" w14:textId="77777777" w:rsidR="0047638A" w:rsidRPr="00847696" w:rsidRDefault="0047638A" w:rsidP="00847696">
    <w:pPr>
      <w:pStyle w:val="Header"/>
      <w:tabs>
        <w:tab w:val="clear" w:pos="4153"/>
        <w:tab w:val="clear" w:pos="8306"/>
        <w:tab w:val="center" w:pos="1134"/>
      </w:tabs>
      <w:spacing w:line="280" w:lineRule="exact"/>
      <w:ind w:firstLine="0"/>
      <w:rPr>
        <w:rFonts w:ascii="Times New Roman" w:hAnsi="Times New Roman"/>
        <w:i/>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25D03" w14:textId="77777777" w:rsidR="0047638A" w:rsidRDefault="0047638A" w:rsidP="00261C6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J</w:t>
    </w:r>
  </w:p>
  <w:p w14:paraId="26170CCA" w14:textId="77777777" w:rsidR="0047638A" w:rsidRDefault="0047638A" w:rsidP="00261C63">
    <w:pPr>
      <w:pStyle w:val="Header"/>
      <w:tabs>
        <w:tab w:val="clear" w:pos="4153"/>
        <w:tab w:val="clear" w:pos="8306"/>
        <w:tab w:val="right" w:pos="1304"/>
      </w:tabs>
      <w:spacing w:line="280" w:lineRule="exact"/>
      <w:ind w:firstLine="0"/>
      <w:rPr>
        <w:rFonts w:ascii="Times New Roman" w:hAnsi="Times New Roman"/>
        <w:i/>
        <w:sz w:val="22"/>
      </w:rPr>
    </w:pPr>
  </w:p>
  <w:p w14:paraId="5D526CE9" w14:textId="77777777" w:rsidR="0047638A" w:rsidRDefault="0047638A" w:rsidP="00261C6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E290415" w14:textId="77777777" w:rsidR="0047638A" w:rsidRPr="00250C1E" w:rsidRDefault="0047638A" w:rsidP="00261C6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954FC" w14:textId="77777777" w:rsidR="0047638A" w:rsidRDefault="0047638A" w:rsidP="00261C6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J</w:t>
    </w:r>
  </w:p>
  <w:p w14:paraId="69DE27C1" w14:textId="77777777" w:rsidR="0047638A" w:rsidRDefault="0047638A" w:rsidP="00261C63">
    <w:pPr>
      <w:pStyle w:val="Header"/>
      <w:tabs>
        <w:tab w:val="clear" w:pos="4153"/>
        <w:tab w:val="clear" w:pos="8306"/>
        <w:tab w:val="left" w:pos="7200"/>
        <w:tab w:val="right" w:pos="8504"/>
      </w:tabs>
      <w:spacing w:line="280" w:lineRule="exact"/>
      <w:jc w:val="right"/>
      <w:rPr>
        <w:rFonts w:ascii="Times New Roman" w:hAnsi="Times New Roman"/>
        <w:i/>
        <w:sz w:val="22"/>
      </w:rPr>
    </w:pPr>
  </w:p>
  <w:p w14:paraId="0AA7F9A6" w14:textId="77777777" w:rsidR="0047638A" w:rsidRDefault="0047638A" w:rsidP="00261C6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921034F" w14:textId="77777777" w:rsidR="0047638A" w:rsidRPr="00250C1E" w:rsidRDefault="0047638A" w:rsidP="00261C6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C9881" w14:textId="77777777" w:rsidR="0047638A" w:rsidRDefault="0047638A" w:rsidP="00261C63">
    <w:pPr>
      <w:pStyle w:val="Header"/>
      <w:tabs>
        <w:tab w:val="clear" w:pos="4153"/>
        <w:tab w:val="clear" w:pos="8306"/>
        <w:tab w:val="center" w:pos="1134"/>
      </w:tabs>
      <w:spacing w:line="280" w:lineRule="exact"/>
      <w:ind w:firstLine="0"/>
      <w:rPr>
        <w:rFonts w:ascii="Times New Roman" w:hAnsi="Times New Roman"/>
        <w:i/>
        <w:sz w:val="22"/>
      </w:rPr>
    </w:pPr>
  </w:p>
  <w:p w14:paraId="2FE34E6D" w14:textId="77777777" w:rsidR="0047638A" w:rsidRDefault="0047638A" w:rsidP="00261C63">
    <w:pPr>
      <w:pStyle w:val="Header"/>
      <w:tabs>
        <w:tab w:val="clear" w:pos="4153"/>
        <w:tab w:val="clear" w:pos="8306"/>
        <w:tab w:val="center" w:pos="1134"/>
      </w:tabs>
      <w:spacing w:line="280" w:lineRule="exact"/>
      <w:ind w:firstLine="0"/>
      <w:rPr>
        <w:rFonts w:ascii="Times New Roman" w:hAnsi="Times New Roman"/>
        <w:i/>
        <w:sz w:val="22"/>
      </w:rPr>
    </w:pPr>
  </w:p>
  <w:p w14:paraId="3E4482F7" w14:textId="77777777" w:rsidR="0047638A" w:rsidRDefault="0047638A" w:rsidP="00261C63">
    <w:pPr>
      <w:pStyle w:val="Header"/>
      <w:tabs>
        <w:tab w:val="clear" w:pos="4153"/>
        <w:tab w:val="clear" w:pos="8306"/>
        <w:tab w:val="center" w:pos="1134"/>
      </w:tabs>
      <w:spacing w:line="280" w:lineRule="exact"/>
      <w:ind w:firstLine="0"/>
      <w:rPr>
        <w:rFonts w:ascii="Times New Roman" w:hAnsi="Times New Roman"/>
        <w:i/>
        <w:sz w:val="22"/>
      </w:rPr>
    </w:pPr>
  </w:p>
  <w:p w14:paraId="65610FA0" w14:textId="77777777" w:rsidR="0047638A" w:rsidRPr="00250C1E" w:rsidRDefault="0047638A" w:rsidP="00261C63">
    <w:pPr>
      <w:pStyle w:val="Header"/>
      <w:tabs>
        <w:tab w:val="clear" w:pos="4153"/>
        <w:tab w:val="clear" w:pos="8306"/>
        <w:tab w:val="center" w:pos="1134"/>
      </w:tabs>
      <w:spacing w:line="280" w:lineRule="exact"/>
      <w:ind w:firstLine="0"/>
      <w:rPr>
        <w:rFonts w:ascii="Times New Roman" w:hAnsi="Times New Roman"/>
        <w:i/>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6306" w14:textId="77777777" w:rsidR="0047638A" w:rsidRPr="0044114E" w:rsidRDefault="0047638A" w:rsidP="00261C63">
    <w:pPr>
      <w:pStyle w:val="Header"/>
      <w:tabs>
        <w:tab w:val="clear" w:pos="4153"/>
        <w:tab w:val="clear" w:pos="8306"/>
        <w:tab w:val="right" w:pos="1304"/>
      </w:tabs>
      <w:spacing w:line="280" w:lineRule="exact"/>
      <w:ind w:firstLine="0"/>
      <w:rPr>
        <w:rFonts w:ascii="Times New Roman" w:hAnsi="Times New Roman"/>
        <w:i/>
        <w:sz w:val="22"/>
      </w:rPr>
    </w:pPr>
    <w:r w:rsidRPr="0044114E">
      <w:rPr>
        <w:rFonts w:ascii="Times New Roman" w:hAnsi="Times New Roman"/>
        <w:i/>
        <w:sz w:val="22"/>
      </w:rPr>
      <w:t>Nettle</w:t>
    </w:r>
    <w:r w:rsidRPr="0044114E">
      <w:rPr>
        <w:rFonts w:ascii="Times New Roman" w:hAnsi="Times New Roman"/>
        <w:i/>
        <w:sz w:val="22"/>
      </w:rPr>
      <w:tab/>
      <w:t>J</w:t>
    </w:r>
  </w:p>
  <w:p w14:paraId="6B9FA88F" w14:textId="77777777" w:rsidR="0047638A" w:rsidRPr="0044114E" w:rsidRDefault="0047638A" w:rsidP="00261C63">
    <w:pPr>
      <w:pStyle w:val="Header"/>
      <w:tabs>
        <w:tab w:val="clear" w:pos="4153"/>
        <w:tab w:val="clear" w:pos="8306"/>
        <w:tab w:val="right" w:pos="1304"/>
      </w:tabs>
      <w:spacing w:line="280" w:lineRule="exact"/>
      <w:ind w:firstLine="0"/>
      <w:rPr>
        <w:rFonts w:ascii="Times New Roman" w:hAnsi="Times New Roman"/>
        <w:i/>
        <w:sz w:val="22"/>
      </w:rPr>
    </w:pPr>
    <w:r w:rsidRPr="0044114E">
      <w:rPr>
        <w:rFonts w:ascii="Times New Roman" w:hAnsi="Times New Roman"/>
        <w:i/>
        <w:sz w:val="22"/>
      </w:rPr>
      <w:t>Gordon</w:t>
    </w:r>
    <w:r w:rsidRPr="0044114E">
      <w:rPr>
        <w:rFonts w:ascii="Times New Roman" w:hAnsi="Times New Roman"/>
        <w:i/>
        <w:sz w:val="22"/>
      </w:rPr>
      <w:tab/>
      <w:t>J</w:t>
    </w:r>
  </w:p>
  <w:p w14:paraId="67125C73" w14:textId="77777777" w:rsidR="0047638A" w:rsidRDefault="0047638A" w:rsidP="00261C6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46719433" w14:textId="77777777" w:rsidR="0047638A" w:rsidRDefault="0047638A" w:rsidP="00261C63">
    <w:pPr>
      <w:pStyle w:val="Header"/>
      <w:tabs>
        <w:tab w:val="clear" w:pos="4153"/>
        <w:tab w:val="clear" w:pos="8306"/>
        <w:tab w:val="right" w:pos="1304"/>
      </w:tabs>
      <w:spacing w:line="280" w:lineRule="exact"/>
      <w:ind w:firstLine="0"/>
      <w:rPr>
        <w:rFonts w:ascii="Times New Roman" w:hAnsi="Times New Roman"/>
        <w:i/>
        <w:sz w:val="22"/>
      </w:rPr>
    </w:pPr>
  </w:p>
  <w:p w14:paraId="0E4F3C00" w14:textId="77777777" w:rsidR="0047638A" w:rsidRDefault="0047638A" w:rsidP="00261C6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0BD8CD1" w14:textId="77777777" w:rsidR="0047638A" w:rsidRPr="0044114E" w:rsidRDefault="0047638A" w:rsidP="00261C6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65634" w14:textId="77777777" w:rsidR="0047638A" w:rsidRPr="0044114E" w:rsidRDefault="0047638A" w:rsidP="00261C63">
    <w:pPr>
      <w:pStyle w:val="Header"/>
      <w:tabs>
        <w:tab w:val="clear" w:pos="4153"/>
        <w:tab w:val="clear" w:pos="8306"/>
        <w:tab w:val="left" w:pos="7200"/>
        <w:tab w:val="right" w:pos="8504"/>
      </w:tabs>
      <w:spacing w:line="280" w:lineRule="exact"/>
      <w:jc w:val="right"/>
      <w:rPr>
        <w:rFonts w:ascii="Times New Roman" w:hAnsi="Times New Roman"/>
        <w:i/>
        <w:sz w:val="22"/>
      </w:rPr>
    </w:pPr>
    <w:r w:rsidRPr="0044114E">
      <w:rPr>
        <w:rFonts w:ascii="Times New Roman" w:hAnsi="Times New Roman"/>
        <w:i/>
        <w:sz w:val="22"/>
      </w:rPr>
      <w:tab/>
      <w:t>Nettle</w:t>
    </w:r>
    <w:r w:rsidRPr="0044114E">
      <w:rPr>
        <w:rFonts w:ascii="Times New Roman" w:hAnsi="Times New Roman"/>
        <w:i/>
        <w:sz w:val="22"/>
      </w:rPr>
      <w:tab/>
      <w:t>J</w:t>
    </w:r>
  </w:p>
  <w:p w14:paraId="4A15CD13" w14:textId="77777777" w:rsidR="0047638A" w:rsidRPr="0044114E" w:rsidRDefault="0047638A" w:rsidP="00261C63">
    <w:pPr>
      <w:pStyle w:val="Header"/>
      <w:tabs>
        <w:tab w:val="clear" w:pos="4153"/>
        <w:tab w:val="clear" w:pos="8306"/>
        <w:tab w:val="left" w:pos="7200"/>
        <w:tab w:val="right" w:pos="8504"/>
      </w:tabs>
      <w:spacing w:line="280" w:lineRule="exact"/>
      <w:jc w:val="right"/>
      <w:rPr>
        <w:rFonts w:ascii="Times New Roman" w:hAnsi="Times New Roman"/>
        <w:i/>
        <w:sz w:val="22"/>
      </w:rPr>
    </w:pPr>
    <w:r w:rsidRPr="0044114E">
      <w:rPr>
        <w:rFonts w:ascii="Times New Roman" w:hAnsi="Times New Roman"/>
        <w:i/>
        <w:sz w:val="22"/>
      </w:rPr>
      <w:tab/>
      <w:t>Gordon</w:t>
    </w:r>
    <w:r w:rsidRPr="0044114E">
      <w:rPr>
        <w:rFonts w:ascii="Times New Roman" w:hAnsi="Times New Roman"/>
        <w:i/>
        <w:sz w:val="22"/>
      </w:rPr>
      <w:tab/>
      <w:t>J</w:t>
    </w:r>
  </w:p>
  <w:p w14:paraId="416936FB" w14:textId="77777777" w:rsidR="0047638A" w:rsidRDefault="0047638A" w:rsidP="00261C6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7C6F164B" w14:textId="77777777" w:rsidR="0047638A" w:rsidRDefault="0047638A" w:rsidP="00261C63">
    <w:pPr>
      <w:pStyle w:val="Header"/>
      <w:tabs>
        <w:tab w:val="clear" w:pos="4153"/>
        <w:tab w:val="clear" w:pos="8306"/>
        <w:tab w:val="left" w:pos="7200"/>
        <w:tab w:val="right" w:pos="8504"/>
      </w:tabs>
      <w:spacing w:line="280" w:lineRule="exact"/>
      <w:jc w:val="right"/>
      <w:rPr>
        <w:rFonts w:ascii="Times New Roman" w:hAnsi="Times New Roman"/>
        <w:i/>
        <w:sz w:val="22"/>
      </w:rPr>
    </w:pPr>
  </w:p>
  <w:p w14:paraId="4CB736A7" w14:textId="77777777" w:rsidR="0047638A" w:rsidRDefault="0047638A" w:rsidP="00261C6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BB884CD" w14:textId="77777777" w:rsidR="0047638A" w:rsidRPr="0044114E" w:rsidRDefault="0047638A" w:rsidP="00261C6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3CC1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43DD6"/>
    <w:multiLevelType w:val="multilevel"/>
    <w:tmpl w:val="0B18F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B416A8"/>
    <w:multiLevelType w:val="multilevel"/>
    <w:tmpl w:val="CBCAA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15:restartNumberingAfterBreak="0">
    <w:nsid w:val="0BAB63AE"/>
    <w:multiLevelType w:val="multilevel"/>
    <w:tmpl w:val="BAC46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83844A5"/>
    <w:multiLevelType w:val="hybridMultilevel"/>
    <w:tmpl w:val="6B844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F5578A"/>
    <w:multiLevelType w:val="hybridMultilevel"/>
    <w:tmpl w:val="1576A010"/>
    <w:lvl w:ilvl="0" w:tplc="97AE9906">
      <w:start w:val="1"/>
      <w:numFmt w:val="decimal"/>
      <w:pStyle w:val="NormalHC"/>
      <w:lvlText w:val="%1."/>
      <w:lvlJc w:val="left"/>
      <w:pPr>
        <w:ind w:left="3425"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9EA2014"/>
    <w:multiLevelType w:val="multilevel"/>
    <w:tmpl w:val="6284BB80"/>
    <w:lvl w:ilvl="0">
      <w:start w:val="1"/>
      <w:numFmt w:val="decimal"/>
      <w:pStyle w:val="Level1"/>
      <w:lvlText w:val="%1"/>
      <w:lvlJc w:val="left"/>
      <w:pPr>
        <w:ind w:left="587" w:hanging="567"/>
      </w:pPr>
      <w:rPr>
        <w:rFonts w:hint="default"/>
        <w:sz w:val="16"/>
        <w:szCs w:val="16"/>
      </w:rPr>
    </w:lvl>
    <w:lvl w:ilvl="1">
      <w:start w:val="1"/>
      <w:numFmt w:val="decimal"/>
      <w:pStyle w:val="Level2"/>
      <w:lvlText w:val="%1.%2"/>
      <w:lvlJc w:val="left"/>
      <w:pPr>
        <w:ind w:left="1154" w:hanging="567"/>
      </w:pPr>
      <w:rPr>
        <w:rFonts w:hint="default"/>
        <w:sz w:val="16"/>
        <w:szCs w:val="16"/>
      </w:rPr>
    </w:lvl>
    <w:lvl w:ilvl="2">
      <w:start w:val="1"/>
      <w:numFmt w:val="decimal"/>
      <w:lvlText w:val="[%1.%2.%3]"/>
      <w:lvlJc w:val="left"/>
      <w:pPr>
        <w:tabs>
          <w:tab w:val="num" w:pos="2005"/>
        </w:tabs>
        <w:ind w:left="2005" w:hanging="851"/>
      </w:pPr>
      <w:rPr>
        <w:rFonts w:hint="default"/>
        <w:sz w:val="18"/>
        <w:szCs w:val="18"/>
      </w:rPr>
    </w:lvl>
    <w:lvl w:ilvl="3">
      <w:start w:val="1"/>
      <w:numFmt w:val="decimal"/>
      <w:lvlText w:val="%1.%2.%3.%4"/>
      <w:lvlJc w:val="left"/>
      <w:pPr>
        <w:ind w:left="884" w:hanging="864"/>
      </w:pPr>
      <w:rPr>
        <w:rFonts w:hint="default"/>
      </w:rPr>
    </w:lvl>
    <w:lvl w:ilvl="4">
      <w:start w:val="1"/>
      <w:numFmt w:val="decimal"/>
      <w:lvlText w:val="%1.%2.%3.%4.%5"/>
      <w:lvlJc w:val="left"/>
      <w:pPr>
        <w:ind w:left="1028" w:hanging="1008"/>
      </w:pPr>
      <w:rPr>
        <w:rFonts w:hint="default"/>
      </w:rPr>
    </w:lvl>
    <w:lvl w:ilvl="5">
      <w:start w:val="1"/>
      <w:numFmt w:val="decimal"/>
      <w:lvlText w:val="%1.%2.%3.%4.%5.%6"/>
      <w:lvlJc w:val="left"/>
      <w:pPr>
        <w:ind w:left="1172" w:hanging="1152"/>
      </w:pPr>
      <w:rPr>
        <w:rFonts w:hint="default"/>
      </w:rPr>
    </w:lvl>
    <w:lvl w:ilvl="6">
      <w:start w:val="1"/>
      <w:numFmt w:val="decimal"/>
      <w:lvlText w:val="%1.%2.%3.%4.%5.%6.%7"/>
      <w:lvlJc w:val="left"/>
      <w:pPr>
        <w:ind w:left="1316" w:hanging="1296"/>
      </w:pPr>
      <w:rPr>
        <w:rFonts w:hint="default"/>
      </w:rPr>
    </w:lvl>
    <w:lvl w:ilvl="7">
      <w:start w:val="1"/>
      <w:numFmt w:val="decimal"/>
      <w:lvlText w:val="%1.%2.%3.%4.%5.%6.%7.%8"/>
      <w:lvlJc w:val="left"/>
      <w:pPr>
        <w:ind w:left="1460" w:hanging="1440"/>
      </w:pPr>
      <w:rPr>
        <w:rFonts w:hint="default"/>
      </w:rPr>
    </w:lvl>
    <w:lvl w:ilvl="8">
      <w:start w:val="1"/>
      <w:numFmt w:val="decimal"/>
      <w:lvlText w:val="%1.%2.%3.%4.%5.%6.%7.%8.%9"/>
      <w:lvlJc w:val="left"/>
      <w:pPr>
        <w:ind w:left="1604" w:hanging="1584"/>
      </w:pPr>
      <w:rPr>
        <w:rFonts w:hint="default"/>
      </w:rPr>
    </w:lvl>
  </w:abstractNum>
  <w:abstractNum w:abstractNumId="18" w15:restartNumberingAfterBreak="0">
    <w:nsid w:val="2A860BC7"/>
    <w:multiLevelType w:val="hybridMultilevel"/>
    <w:tmpl w:val="26EEF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1"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06417C"/>
    <w:multiLevelType w:val="multilevel"/>
    <w:tmpl w:val="D9202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C457F09"/>
    <w:multiLevelType w:val="multilevel"/>
    <w:tmpl w:val="72C4249E"/>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25" w15:restartNumberingAfterBreak="0">
    <w:nsid w:val="5C50405E"/>
    <w:multiLevelType w:val="multilevel"/>
    <w:tmpl w:val="0AD8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9B76DA"/>
    <w:multiLevelType w:val="multilevel"/>
    <w:tmpl w:val="C0480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C0568C"/>
    <w:multiLevelType w:val="multilevel"/>
    <w:tmpl w:val="1BD8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0"/>
  </w:num>
  <w:num w:numId="3">
    <w:abstractNumId w:val="28"/>
  </w:num>
  <w:num w:numId="4">
    <w:abstractNumId w:val="19"/>
  </w:num>
  <w:num w:numId="5">
    <w:abstractNumId w:val="23"/>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1"/>
  </w:num>
  <w:num w:numId="18">
    <w:abstractNumId w:val="14"/>
  </w:num>
  <w:num w:numId="19">
    <w:abstractNumId w:val="14"/>
  </w:num>
  <w:num w:numId="20">
    <w:abstractNumId w:val="24"/>
  </w:num>
  <w:num w:numId="21">
    <w:abstractNumId w:val="18"/>
  </w:num>
  <w:num w:numId="22">
    <w:abstractNumId w:val="15"/>
  </w:num>
  <w:num w:numId="23">
    <w:abstractNumId w:val="17"/>
    <w:lvlOverride w:ilvl="0">
      <w:lvl w:ilvl="0">
        <w:start w:val="1"/>
        <w:numFmt w:val="decimal"/>
        <w:pStyle w:val="Level1"/>
        <w:lvlText w:val="%1"/>
        <w:lvlJc w:val="left"/>
        <w:pPr>
          <w:ind w:left="587" w:hanging="567"/>
        </w:pPr>
        <w:rPr>
          <w:rFonts w:hint="default"/>
          <w:sz w:val="24"/>
          <w:szCs w:val="16"/>
        </w:rPr>
      </w:lvl>
    </w:lvlOverride>
    <w:lvlOverride w:ilvl="1">
      <w:lvl w:ilvl="1">
        <w:start w:val="1"/>
        <w:numFmt w:val="decimal"/>
        <w:pStyle w:val="Level2"/>
        <w:lvlText w:val="%1.%2"/>
        <w:lvlJc w:val="left"/>
        <w:pPr>
          <w:ind w:left="1154" w:hanging="567"/>
        </w:pPr>
        <w:rPr>
          <w:rFonts w:hint="default"/>
          <w:sz w:val="16"/>
          <w:szCs w:val="16"/>
        </w:rPr>
      </w:lvl>
    </w:lvlOverride>
    <w:lvlOverride w:ilvl="2">
      <w:lvl w:ilvl="2">
        <w:start w:val="1"/>
        <w:numFmt w:val="decimal"/>
        <w:lvlText w:val="(%3)"/>
        <w:lvlJc w:val="left"/>
        <w:pPr>
          <w:tabs>
            <w:tab w:val="num" w:pos="2005"/>
          </w:tabs>
          <w:ind w:left="1440" w:hanging="286"/>
        </w:pPr>
        <w:rPr>
          <w:rFonts w:hint="default"/>
          <w:sz w:val="18"/>
          <w:szCs w:val="18"/>
        </w:rPr>
      </w:lvl>
    </w:lvlOverride>
    <w:lvlOverride w:ilvl="3">
      <w:lvl w:ilvl="3">
        <w:start w:val="1"/>
        <w:numFmt w:val="lowerLetter"/>
        <w:lvlText w:val="(%4)"/>
        <w:lvlJc w:val="left"/>
        <w:pPr>
          <w:tabs>
            <w:tab w:val="num" w:pos="1985"/>
          </w:tabs>
          <w:ind w:left="1724" w:hanging="284"/>
        </w:pPr>
        <w:rPr>
          <w:rFonts w:hint="default"/>
        </w:rPr>
      </w:lvl>
    </w:lvlOverride>
    <w:lvlOverride w:ilvl="4">
      <w:lvl w:ilvl="4">
        <w:start w:val="1"/>
        <w:numFmt w:val="decimal"/>
        <w:lvlText w:val="%1.%2.%3.%4.%5"/>
        <w:lvlJc w:val="left"/>
        <w:pPr>
          <w:ind w:left="1028" w:hanging="1008"/>
        </w:pPr>
        <w:rPr>
          <w:rFonts w:hint="default"/>
        </w:rPr>
      </w:lvl>
    </w:lvlOverride>
    <w:lvlOverride w:ilvl="5">
      <w:lvl w:ilvl="5">
        <w:start w:val="1"/>
        <w:numFmt w:val="decimal"/>
        <w:lvlText w:val="%1.%2.%3.%4.%5.%6"/>
        <w:lvlJc w:val="left"/>
        <w:pPr>
          <w:ind w:left="1172" w:hanging="1152"/>
        </w:pPr>
        <w:rPr>
          <w:rFonts w:hint="default"/>
        </w:rPr>
      </w:lvl>
    </w:lvlOverride>
    <w:lvlOverride w:ilvl="6">
      <w:lvl w:ilvl="6">
        <w:start w:val="1"/>
        <w:numFmt w:val="decimal"/>
        <w:lvlText w:val="%1.%2.%3.%4.%5.%6.%7"/>
        <w:lvlJc w:val="left"/>
        <w:pPr>
          <w:ind w:left="1316" w:hanging="1296"/>
        </w:pPr>
        <w:rPr>
          <w:rFonts w:hint="default"/>
        </w:rPr>
      </w:lvl>
    </w:lvlOverride>
    <w:lvlOverride w:ilvl="7">
      <w:lvl w:ilvl="7">
        <w:start w:val="1"/>
        <w:numFmt w:val="decimal"/>
        <w:lvlText w:val="%1.%2.%3.%4.%5.%6.%7.%8"/>
        <w:lvlJc w:val="left"/>
        <w:pPr>
          <w:ind w:left="1460" w:hanging="1440"/>
        </w:pPr>
        <w:rPr>
          <w:rFonts w:hint="default"/>
        </w:rPr>
      </w:lvl>
    </w:lvlOverride>
    <w:lvlOverride w:ilvl="8">
      <w:lvl w:ilvl="8">
        <w:start w:val="1"/>
        <w:numFmt w:val="decimal"/>
        <w:lvlText w:val="%1.%2.%3.%4.%5.%6.%7.%8.%9"/>
        <w:lvlJc w:val="left"/>
        <w:pPr>
          <w:ind w:left="1604" w:hanging="1584"/>
        </w:pPr>
        <w:rPr>
          <w:rFonts w:hint="default"/>
        </w:rPr>
      </w:lvl>
    </w:lvlOverride>
  </w:num>
  <w:num w:numId="24">
    <w:abstractNumId w:val="26"/>
    <w:lvlOverride w:ilvl="0">
      <w:startOverride w:val="122"/>
    </w:lvlOverride>
  </w:num>
  <w:num w:numId="25">
    <w:abstractNumId w:val="26"/>
    <w:lvlOverride w:ilvl="0">
      <w:startOverride w:val="123"/>
    </w:lvlOverride>
  </w:num>
  <w:num w:numId="26">
    <w:abstractNumId w:val="13"/>
    <w:lvlOverride w:ilvl="0">
      <w:startOverride w:val="124"/>
    </w:lvlOverride>
  </w:num>
  <w:num w:numId="27">
    <w:abstractNumId w:val="25"/>
    <w:lvlOverride w:ilvl="0">
      <w:startOverride w:val="125"/>
    </w:lvlOverride>
  </w:num>
  <w:num w:numId="28">
    <w:abstractNumId w:val="11"/>
    <w:lvlOverride w:ilvl="0">
      <w:startOverride w:val="46"/>
    </w:lvlOverride>
  </w:num>
  <w:num w:numId="29">
    <w:abstractNumId w:val="11"/>
    <w:lvlOverride w:ilvl="0">
      <w:startOverride w:val="47"/>
    </w:lvlOverride>
  </w:num>
  <w:num w:numId="30">
    <w:abstractNumId w:val="11"/>
    <w:lvlOverride w:ilvl="0">
      <w:startOverride w:val="48"/>
    </w:lvlOverride>
  </w:num>
  <w:num w:numId="31">
    <w:abstractNumId w:val="11"/>
    <w:lvlOverride w:ilvl="0">
      <w:startOverride w:val="49"/>
    </w:lvlOverride>
  </w:num>
  <w:num w:numId="32">
    <w:abstractNumId w:val="11"/>
    <w:lvlOverride w:ilvl="0">
      <w:startOverride w:val="50"/>
    </w:lvlOverride>
  </w:num>
  <w:num w:numId="33">
    <w:abstractNumId w:val="11"/>
    <w:lvlOverride w:ilvl="0">
      <w:startOverride w:val="51"/>
    </w:lvlOverride>
  </w:num>
  <w:num w:numId="34">
    <w:abstractNumId w:val="11"/>
    <w:lvlOverride w:ilvl="0">
      <w:startOverride w:val="52"/>
    </w:lvlOverride>
  </w:num>
  <w:num w:numId="35">
    <w:abstractNumId w:val="11"/>
    <w:lvlOverride w:ilvl="0">
      <w:startOverride w:val="53"/>
    </w:lvlOverride>
  </w:num>
  <w:num w:numId="36">
    <w:abstractNumId w:val="11"/>
    <w:lvlOverride w:ilvl="0">
      <w:startOverride w:val="54"/>
    </w:lvlOverride>
  </w:num>
  <w:num w:numId="37">
    <w:abstractNumId w:val="11"/>
    <w:lvlOverride w:ilvl="0">
      <w:startOverride w:val="55"/>
    </w:lvlOverride>
  </w:num>
  <w:num w:numId="38">
    <w:abstractNumId w:val="22"/>
    <w:lvlOverride w:ilvl="0">
      <w:startOverride w:val="73"/>
    </w:lvlOverride>
  </w:num>
  <w:num w:numId="39">
    <w:abstractNumId w:val="16"/>
    <w:lvlOverride w:ilvl="0">
      <w:startOverride w:val="1"/>
    </w:lvlOverride>
  </w:num>
  <w:num w:numId="40">
    <w:abstractNumId w:val="27"/>
    <w:lvlOverride w:ilvl="0">
      <w:startOverride w:val="284"/>
    </w:lvlOverride>
  </w:num>
  <w:num w:numId="41">
    <w:abstractNumId w:val="10"/>
    <w:lvlOverride w:ilvl="0">
      <w:startOverride w:val="285"/>
    </w:lvlOverride>
  </w:num>
  <w:num w:numId="42">
    <w:abstractNumId w:val="10"/>
    <w:lvlOverride w:ilvl="0">
      <w:startOverride w:val="28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A6"/>
    <w:rsid w:val="000003E9"/>
    <w:rsid w:val="00000539"/>
    <w:rsid w:val="000009C0"/>
    <w:rsid w:val="00000C73"/>
    <w:rsid w:val="00000D2A"/>
    <w:rsid w:val="00001824"/>
    <w:rsid w:val="0000188C"/>
    <w:rsid w:val="00001E51"/>
    <w:rsid w:val="00002069"/>
    <w:rsid w:val="000025BD"/>
    <w:rsid w:val="000027DD"/>
    <w:rsid w:val="00002CE6"/>
    <w:rsid w:val="0000316A"/>
    <w:rsid w:val="000032A0"/>
    <w:rsid w:val="0000349F"/>
    <w:rsid w:val="000034F2"/>
    <w:rsid w:val="00003525"/>
    <w:rsid w:val="0000379E"/>
    <w:rsid w:val="00003989"/>
    <w:rsid w:val="0000408A"/>
    <w:rsid w:val="00004511"/>
    <w:rsid w:val="0000484A"/>
    <w:rsid w:val="0000490E"/>
    <w:rsid w:val="000049B7"/>
    <w:rsid w:val="00004E9D"/>
    <w:rsid w:val="00004FEB"/>
    <w:rsid w:val="0000593C"/>
    <w:rsid w:val="000059D4"/>
    <w:rsid w:val="00005E50"/>
    <w:rsid w:val="000060D7"/>
    <w:rsid w:val="000065ED"/>
    <w:rsid w:val="00006C8D"/>
    <w:rsid w:val="0000737F"/>
    <w:rsid w:val="0000745D"/>
    <w:rsid w:val="00007BED"/>
    <w:rsid w:val="00007CA2"/>
    <w:rsid w:val="00007E17"/>
    <w:rsid w:val="00007E1B"/>
    <w:rsid w:val="00007EB5"/>
    <w:rsid w:val="000104B4"/>
    <w:rsid w:val="000106CD"/>
    <w:rsid w:val="00010BD9"/>
    <w:rsid w:val="00010C0B"/>
    <w:rsid w:val="00010D75"/>
    <w:rsid w:val="000116C0"/>
    <w:rsid w:val="00011899"/>
    <w:rsid w:val="000118A1"/>
    <w:rsid w:val="00011ED7"/>
    <w:rsid w:val="00012154"/>
    <w:rsid w:val="000121A9"/>
    <w:rsid w:val="000123F7"/>
    <w:rsid w:val="000124E9"/>
    <w:rsid w:val="00012686"/>
    <w:rsid w:val="00012B6A"/>
    <w:rsid w:val="00012B96"/>
    <w:rsid w:val="00012C9E"/>
    <w:rsid w:val="000131EB"/>
    <w:rsid w:val="000134EA"/>
    <w:rsid w:val="0001353B"/>
    <w:rsid w:val="0001390B"/>
    <w:rsid w:val="00014050"/>
    <w:rsid w:val="00014142"/>
    <w:rsid w:val="000145D5"/>
    <w:rsid w:val="0001470F"/>
    <w:rsid w:val="000148FC"/>
    <w:rsid w:val="00014B34"/>
    <w:rsid w:val="00014BCE"/>
    <w:rsid w:val="00014F51"/>
    <w:rsid w:val="0001515E"/>
    <w:rsid w:val="000151B2"/>
    <w:rsid w:val="00015296"/>
    <w:rsid w:val="00015367"/>
    <w:rsid w:val="0001573A"/>
    <w:rsid w:val="00015777"/>
    <w:rsid w:val="00015878"/>
    <w:rsid w:val="00015BB0"/>
    <w:rsid w:val="00015C7A"/>
    <w:rsid w:val="00015E0B"/>
    <w:rsid w:val="0001604C"/>
    <w:rsid w:val="00016391"/>
    <w:rsid w:val="000165CC"/>
    <w:rsid w:val="000168C9"/>
    <w:rsid w:val="00016C20"/>
    <w:rsid w:val="00016DAF"/>
    <w:rsid w:val="00016DBB"/>
    <w:rsid w:val="000170ED"/>
    <w:rsid w:val="00017144"/>
    <w:rsid w:val="000172D0"/>
    <w:rsid w:val="00017509"/>
    <w:rsid w:val="000176DD"/>
    <w:rsid w:val="00017D04"/>
    <w:rsid w:val="00017DC4"/>
    <w:rsid w:val="0002052E"/>
    <w:rsid w:val="00020641"/>
    <w:rsid w:val="00020FDB"/>
    <w:rsid w:val="000218DD"/>
    <w:rsid w:val="0002253E"/>
    <w:rsid w:val="00022643"/>
    <w:rsid w:val="00022A4C"/>
    <w:rsid w:val="000232A5"/>
    <w:rsid w:val="00023781"/>
    <w:rsid w:val="00023CF4"/>
    <w:rsid w:val="00023DE1"/>
    <w:rsid w:val="000246DD"/>
    <w:rsid w:val="000250AF"/>
    <w:rsid w:val="000252FB"/>
    <w:rsid w:val="00025490"/>
    <w:rsid w:val="0002561E"/>
    <w:rsid w:val="00025875"/>
    <w:rsid w:val="00025DD4"/>
    <w:rsid w:val="00025E98"/>
    <w:rsid w:val="00025F41"/>
    <w:rsid w:val="000262AC"/>
    <w:rsid w:val="0002637C"/>
    <w:rsid w:val="000268E1"/>
    <w:rsid w:val="00026BA5"/>
    <w:rsid w:val="00026C60"/>
    <w:rsid w:val="00026DB2"/>
    <w:rsid w:val="000270F6"/>
    <w:rsid w:val="0002716E"/>
    <w:rsid w:val="000272CB"/>
    <w:rsid w:val="00027384"/>
    <w:rsid w:val="000273CB"/>
    <w:rsid w:val="0003039F"/>
    <w:rsid w:val="000304BB"/>
    <w:rsid w:val="000304C8"/>
    <w:rsid w:val="00030852"/>
    <w:rsid w:val="000309E7"/>
    <w:rsid w:val="00030CCF"/>
    <w:rsid w:val="0003186B"/>
    <w:rsid w:val="00031C13"/>
    <w:rsid w:val="00031C15"/>
    <w:rsid w:val="00031ED7"/>
    <w:rsid w:val="000323AB"/>
    <w:rsid w:val="0003281C"/>
    <w:rsid w:val="0003287C"/>
    <w:rsid w:val="00033AAF"/>
    <w:rsid w:val="00033B0F"/>
    <w:rsid w:val="00033FB8"/>
    <w:rsid w:val="00033FCB"/>
    <w:rsid w:val="0003471C"/>
    <w:rsid w:val="00034ADE"/>
    <w:rsid w:val="00034ED9"/>
    <w:rsid w:val="00034F0C"/>
    <w:rsid w:val="00034F33"/>
    <w:rsid w:val="0003575A"/>
    <w:rsid w:val="00035AAC"/>
    <w:rsid w:val="00035E0F"/>
    <w:rsid w:val="000360EB"/>
    <w:rsid w:val="00036679"/>
    <w:rsid w:val="000368E0"/>
    <w:rsid w:val="00036C4C"/>
    <w:rsid w:val="000371F0"/>
    <w:rsid w:val="00037251"/>
    <w:rsid w:val="00037316"/>
    <w:rsid w:val="00037477"/>
    <w:rsid w:val="000374D0"/>
    <w:rsid w:val="00037656"/>
    <w:rsid w:val="0003781C"/>
    <w:rsid w:val="0003783E"/>
    <w:rsid w:val="000379E5"/>
    <w:rsid w:val="00037A5F"/>
    <w:rsid w:val="00037D87"/>
    <w:rsid w:val="00040014"/>
    <w:rsid w:val="00040032"/>
    <w:rsid w:val="000403DD"/>
    <w:rsid w:val="000407DD"/>
    <w:rsid w:val="0004088E"/>
    <w:rsid w:val="00040BEB"/>
    <w:rsid w:val="0004120A"/>
    <w:rsid w:val="0004187F"/>
    <w:rsid w:val="00041BE1"/>
    <w:rsid w:val="00041D4F"/>
    <w:rsid w:val="00041E7E"/>
    <w:rsid w:val="0004204C"/>
    <w:rsid w:val="0004205B"/>
    <w:rsid w:val="00042167"/>
    <w:rsid w:val="0004283B"/>
    <w:rsid w:val="000429FB"/>
    <w:rsid w:val="00042B34"/>
    <w:rsid w:val="00042D10"/>
    <w:rsid w:val="000432BD"/>
    <w:rsid w:val="00043355"/>
    <w:rsid w:val="0004338F"/>
    <w:rsid w:val="00043711"/>
    <w:rsid w:val="00043D2C"/>
    <w:rsid w:val="000445A4"/>
    <w:rsid w:val="00044847"/>
    <w:rsid w:val="00044C67"/>
    <w:rsid w:val="000452A2"/>
    <w:rsid w:val="000453CC"/>
    <w:rsid w:val="00045463"/>
    <w:rsid w:val="0004561E"/>
    <w:rsid w:val="00045ABE"/>
    <w:rsid w:val="00045B29"/>
    <w:rsid w:val="00046628"/>
    <w:rsid w:val="00046812"/>
    <w:rsid w:val="000468D7"/>
    <w:rsid w:val="00046DC9"/>
    <w:rsid w:val="00046E35"/>
    <w:rsid w:val="0004717C"/>
    <w:rsid w:val="00047913"/>
    <w:rsid w:val="000505A3"/>
    <w:rsid w:val="00050725"/>
    <w:rsid w:val="0005075A"/>
    <w:rsid w:val="0005085F"/>
    <w:rsid w:val="00050A09"/>
    <w:rsid w:val="00050E4C"/>
    <w:rsid w:val="00050EA0"/>
    <w:rsid w:val="00050F55"/>
    <w:rsid w:val="00051090"/>
    <w:rsid w:val="000510FE"/>
    <w:rsid w:val="00051AD0"/>
    <w:rsid w:val="0005225F"/>
    <w:rsid w:val="00053430"/>
    <w:rsid w:val="000534BD"/>
    <w:rsid w:val="0005364A"/>
    <w:rsid w:val="00053A0F"/>
    <w:rsid w:val="00053A92"/>
    <w:rsid w:val="00054221"/>
    <w:rsid w:val="000543DD"/>
    <w:rsid w:val="00054426"/>
    <w:rsid w:val="00054E33"/>
    <w:rsid w:val="00054E40"/>
    <w:rsid w:val="000551D1"/>
    <w:rsid w:val="0005563F"/>
    <w:rsid w:val="00055679"/>
    <w:rsid w:val="00055980"/>
    <w:rsid w:val="00055ACD"/>
    <w:rsid w:val="00055B9D"/>
    <w:rsid w:val="00055EAC"/>
    <w:rsid w:val="00056A4A"/>
    <w:rsid w:val="00056A4C"/>
    <w:rsid w:val="00056C2F"/>
    <w:rsid w:val="00056C53"/>
    <w:rsid w:val="00056F27"/>
    <w:rsid w:val="0005700D"/>
    <w:rsid w:val="000570AC"/>
    <w:rsid w:val="00057225"/>
    <w:rsid w:val="000573AF"/>
    <w:rsid w:val="00057A6B"/>
    <w:rsid w:val="00057BE6"/>
    <w:rsid w:val="00060187"/>
    <w:rsid w:val="000602A1"/>
    <w:rsid w:val="00060360"/>
    <w:rsid w:val="00060471"/>
    <w:rsid w:val="000605D1"/>
    <w:rsid w:val="0006094D"/>
    <w:rsid w:val="00061153"/>
    <w:rsid w:val="0006141E"/>
    <w:rsid w:val="000614DE"/>
    <w:rsid w:val="00061669"/>
    <w:rsid w:val="0006169E"/>
    <w:rsid w:val="00061A89"/>
    <w:rsid w:val="00061EB9"/>
    <w:rsid w:val="000624D1"/>
    <w:rsid w:val="000626FD"/>
    <w:rsid w:val="00062A8F"/>
    <w:rsid w:val="00062AE6"/>
    <w:rsid w:val="000630E5"/>
    <w:rsid w:val="000637EE"/>
    <w:rsid w:val="00063E0B"/>
    <w:rsid w:val="00063FA3"/>
    <w:rsid w:val="000642E4"/>
    <w:rsid w:val="0006432B"/>
    <w:rsid w:val="000643EB"/>
    <w:rsid w:val="0006457C"/>
    <w:rsid w:val="0006483D"/>
    <w:rsid w:val="000653D4"/>
    <w:rsid w:val="000653E7"/>
    <w:rsid w:val="000654CF"/>
    <w:rsid w:val="000659BC"/>
    <w:rsid w:val="00065E52"/>
    <w:rsid w:val="00066B65"/>
    <w:rsid w:val="00066E23"/>
    <w:rsid w:val="000671C4"/>
    <w:rsid w:val="00067232"/>
    <w:rsid w:val="000675B0"/>
    <w:rsid w:val="0006777E"/>
    <w:rsid w:val="00067A4E"/>
    <w:rsid w:val="00070115"/>
    <w:rsid w:val="0007024F"/>
    <w:rsid w:val="000705E6"/>
    <w:rsid w:val="000706DE"/>
    <w:rsid w:val="00070ABB"/>
    <w:rsid w:val="000712E0"/>
    <w:rsid w:val="00071C35"/>
    <w:rsid w:val="00071C4C"/>
    <w:rsid w:val="00071CBD"/>
    <w:rsid w:val="00072726"/>
    <w:rsid w:val="000727D7"/>
    <w:rsid w:val="00072A49"/>
    <w:rsid w:val="00072BA9"/>
    <w:rsid w:val="00072E57"/>
    <w:rsid w:val="000734A2"/>
    <w:rsid w:val="000736E4"/>
    <w:rsid w:val="0007378A"/>
    <w:rsid w:val="00073A75"/>
    <w:rsid w:val="00073BFD"/>
    <w:rsid w:val="00073F30"/>
    <w:rsid w:val="00073F9D"/>
    <w:rsid w:val="00074488"/>
    <w:rsid w:val="000744F7"/>
    <w:rsid w:val="0007453E"/>
    <w:rsid w:val="0007465B"/>
    <w:rsid w:val="00074B0F"/>
    <w:rsid w:val="00074CBB"/>
    <w:rsid w:val="00074D05"/>
    <w:rsid w:val="00074EF6"/>
    <w:rsid w:val="00075F50"/>
    <w:rsid w:val="00075F9A"/>
    <w:rsid w:val="00075FA7"/>
    <w:rsid w:val="00076625"/>
    <w:rsid w:val="000769A6"/>
    <w:rsid w:val="000769CC"/>
    <w:rsid w:val="000771D1"/>
    <w:rsid w:val="0007758B"/>
    <w:rsid w:val="0007762A"/>
    <w:rsid w:val="000776C7"/>
    <w:rsid w:val="000777F5"/>
    <w:rsid w:val="00077AB1"/>
    <w:rsid w:val="00077C5E"/>
    <w:rsid w:val="00077DE7"/>
    <w:rsid w:val="00077DF0"/>
    <w:rsid w:val="00077FAE"/>
    <w:rsid w:val="00080128"/>
    <w:rsid w:val="00080924"/>
    <w:rsid w:val="00080A0A"/>
    <w:rsid w:val="00080AF6"/>
    <w:rsid w:val="00080C5D"/>
    <w:rsid w:val="00080D77"/>
    <w:rsid w:val="0008129A"/>
    <w:rsid w:val="0008143F"/>
    <w:rsid w:val="00081A47"/>
    <w:rsid w:val="00081FF4"/>
    <w:rsid w:val="000820ED"/>
    <w:rsid w:val="00082443"/>
    <w:rsid w:val="000829A1"/>
    <w:rsid w:val="000831F4"/>
    <w:rsid w:val="00083631"/>
    <w:rsid w:val="000837FB"/>
    <w:rsid w:val="00083D29"/>
    <w:rsid w:val="00083F3D"/>
    <w:rsid w:val="00084061"/>
    <w:rsid w:val="000842C3"/>
    <w:rsid w:val="0008435D"/>
    <w:rsid w:val="000843D9"/>
    <w:rsid w:val="00084829"/>
    <w:rsid w:val="00084860"/>
    <w:rsid w:val="0008558C"/>
    <w:rsid w:val="00085AFF"/>
    <w:rsid w:val="00085CF2"/>
    <w:rsid w:val="00085DC7"/>
    <w:rsid w:val="00085F13"/>
    <w:rsid w:val="000861DC"/>
    <w:rsid w:val="0008622A"/>
    <w:rsid w:val="00086414"/>
    <w:rsid w:val="000864D3"/>
    <w:rsid w:val="000866C2"/>
    <w:rsid w:val="00087265"/>
    <w:rsid w:val="00087566"/>
    <w:rsid w:val="0008768F"/>
    <w:rsid w:val="000878BA"/>
    <w:rsid w:val="00087C2D"/>
    <w:rsid w:val="00087C6E"/>
    <w:rsid w:val="00087DCB"/>
    <w:rsid w:val="00087E45"/>
    <w:rsid w:val="00087FC6"/>
    <w:rsid w:val="0009004F"/>
    <w:rsid w:val="00090450"/>
    <w:rsid w:val="000905F2"/>
    <w:rsid w:val="00090879"/>
    <w:rsid w:val="000908B7"/>
    <w:rsid w:val="00090C58"/>
    <w:rsid w:val="00090E28"/>
    <w:rsid w:val="0009122B"/>
    <w:rsid w:val="00091971"/>
    <w:rsid w:val="00091ACE"/>
    <w:rsid w:val="00091B28"/>
    <w:rsid w:val="00091C7E"/>
    <w:rsid w:val="000920C8"/>
    <w:rsid w:val="000921B1"/>
    <w:rsid w:val="000921C4"/>
    <w:rsid w:val="00092399"/>
    <w:rsid w:val="0009269D"/>
    <w:rsid w:val="000930B7"/>
    <w:rsid w:val="0009390C"/>
    <w:rsid w:val="00093A57"/>
    <w:rsid w:val="00094018"/>
    <w:rsid w:val="0009411B"/>
    <w:rsid w:val="000946EF"/>
    <w:rsid w:val="00094F4F"/>
    <w:rsid w:val="00095434"/>
    <w:rsid w:val="00095465"/>
    <w:rsid w:val="000956AC"/>
    <w:rsid w:val="0009575E"/>
    <w:rsid w:val="00095A96"/>
    <w:rsid w:val="00095AD5"/>
    <w:rsid w:val="00095C3A"/>
    <w:rsid w:val="00095D23"/>
    <w:rsid w:val="00095DF6"/>
    <w:rsid w:val="000962BB"/>
    <w:rsid w:val="00096495"/>
    <w:rsid w:val="00096497"/>
    <w:rsid w:val="00096B5C"/>
    <w:rsid w:val="00096BC6"/>
    <w:rsid w:val="00096E06"/>
    <w:rsid w:val="0009786B"/>
    <w:rsid w:val="00097943"/>
    <w:rsid w:val="00097CB1"/>
    <w:rsid w:val="000A0053"/>
    <w:rsid w:val="000A009E"/>
    <w:rsid w:val="000A0330"/>
    <w:rsid w:val="000A0752"/>
    <w:rsid w:val="000A0A26"/>
    <w:rsid w:val="000A0D70"/>
    <w:rsid w:val="000A0EA5"/>
    <w:rsid w:val="000A109A"/>
    <w:rsid w:val="000A1271"/>
    <w:rsid w:val="000A130B"/>
    <w:rsid w:val="000A1733"/>
    <w:rsid w:val="000A1750"/>
    <w:rsid w:val="000A1899"/>
    <w:rsid w:val="000A1C2E"/>
    <w:rsid w:val="000A1E10"/>
    <w:rsid w:val="000A20EA"/>
    <w:rsid w:val="000A2392"/>
    <w:rsid w:val="000A2839"/>
    <w:rsid w:val="000A28D4"/>
    <w:rsid w:val="000A2B58"/>
    <w:rsid w:val="000A2C9A"/>
    <w:rsid w:val="000A2D04"/>
    <w:rsid w:val="000A2EB4"/>
    <w:rsid w:val="000A304F"/>
    <w:rsid w:val="000A30A1"/>
    <w:rsid w:val="000A315D"/>
    <w:rsid w:val="000A35E1"/>
    <w:rsid w:val="000A3D35"/>
    <w:rsid w:val="000A3EE1"/>
    <w:rsid w:val="000A4384"/>
    <w:rsid w:val="000A4C46"/>
    <w:rsid w:val="000A4E0C"/>
    <w:rsid w:val="000A4F3D"/>
    <w:rsid w:val="000A5956"/>
    <w:rsid w:val="000A59CE"/>
    <w:rsid w:val="000A5A16"/>
    <w:rsid w:val="000A5AFC"/>
    <w:rsid w:val="000A5C3A"/>
    <w:rsid w:val="000A632B"/>
    <w:rsid w:val="000A638B"/>
    <w:rsid w:val="000A63C6"/>
    <w:rsid w:val="000A6407"/>
    <w:rsid w:val="000A66C2"/>
    <w:rsid w:val="000A6742"/>
    <w:rsid w:val="000A7540"/>
    <w:rsid w:val="000A7CA0"/>
    <w:rsid w:val="000A7D47"/>
    <w:rsid w:val="000A7E5D"/>
    <w:rsid w:val="000B04A8"/>
    <w:rsid w:val="000B061C"/>
    <w:rsid w:val="000B074F"/>
    <w:rsid w:val="000B0750"/>
    <w:rsid w:val="000B08AF"/>
    <w:rsid w:val="000B0F62"/>
    <w:rsid w:val="000B13A4"/>
    <w:rsid w:val="000B1913"/>
    <w:rsid w:val="000B1B5E"/>
    <w:rsid w:val="000B1F7F"/>
    <w:rsid w:val="000B241D"/>
    <w:rsid w:val="000B2626"/>
    <w:rsid w:val="000B2735"/>
    <w:rsid w:val="000B27C8"/>
    <w:rsid w:val="000B2CEB"/>
    <w:rsid w:val="000B2D27"/>
    <w:rsid w:val="000B3790"/>
    <w:rsid w:val="000B3801"/>
    <w:rsid w:val="000B409C"/>
    <w:rsid w:val="000B4121"/>
    <w:rsid w:val="000B4630"/>
    <w:rsid w:val="000B47E7"/>
    <w:rsid w:val="000B497F"/>
    <w:rsid w:val="000B4BBB"/>
    <w:rsid w:val="000B4D57"/>
    <w:rsid w:val="000B53AC"/>
    <w:rsid w:val="000B56BC"/>
    <w:rsid w:val="000B59BB"/>
    <w:rsid w:val="000B5A77"/>
    <w:rsid w:val="000B5C23"/>
    <w:rsid w:val="000B5DB6"/>
    <w:rsid w:val="000B683F"/>
    <w:rsid w:val="000B6CD4"/>
    <w:rsid w:val="000B710D"/>
    <w:rsid w:val="000B7558"/>
    <w:rsid w:val="000B7B77"/>
    <w:rsid w:val="000C012D"/>
    <w:rsid w:val="000C034F"/>
    <w:rsid w:val="000C04DC"/>
    <w:rsid w:val="000C0CF6"/>
    <w:rsid w:val="000C0D98"/>
    <w:rsid w:val="000C1112"/>
    <w:rsid w:val="000C1421"/>
    <w:rsid w:val="000C1582"/>
    <w:rsid w:val="000C16F1"/>
    <w:rsid w:val="000C1A27"/>
    <w:rsid w:val="000C1A41"/>
    <w:rsid w:val="000C1C6E"/>
    <w:rsid w:val="000C1E79"/>
    <w:rsid w:val="000C2339"/>
    <w:rsid w:val="000C23DB"/>
    <w:rsid w:val="000C2C6C"/>
    <w:rsid w:val="000C2D8D"/>
    <w:rsid w:val="000C2EC3"/>
    <w:rsid w:val="000C339B"/>
    <w:rsid w:val="000C3EE3"/>
    <w:rsid w:val="000C43C5"/>
    <w:rsid w:val="000C4AC0"/>
    <w:rsid w:val="000C4B28"/>
    <w:rsid w:val="000C5130"/>
    <w:rsid w:val="000C54B9"/>
    <w:rsid w:val="000C561F"/>
    <w:rsid w:val="000C58E8"/>
    <w:rsid w:val="000C5B73"/>
    <w:rsid w:val="000C5C44"/>
    <w:rsid w:val="000C5C5E"/>
    <w:rsid w:val="000C5CE5"/>
    <w:rsid w:val="000C65AD"/>
    <w:rsid w:val="000C71A6"/>
    <w:rsid w:val="000C781E"/>
    <w:rsid w:val="000C7CC8"/>
    <w:rsid w:val="000D04E9"/>
    <w:rsid w:val="000D05D8"/>
    <w:rsid w:val="000D0897"/>
    <w:rsid w:val="000D0AFB"/>
    <w:rsid w:val="000D0B58"/>
    <w:rsid w:val="000D0F27"/>
    <w:rsid w:val="000D173F"/>
    <w:rsid w:val="000D1D17"/>
    <w:rsid w:val="000D1DD9"/>
    <w:rsid w:val="000D2077"/>
    <w:rsid w:val="000D24C5"/>
    <w:rsid w:val="000D25E6"/>
    <w:rsid w:val="000D276A"/>
    <w:rsid w:val="000D282D"/>
    <w:rsid w:val="000D2848"/>
    <w:rsid w:val="000D2968"/>
    <w:rsid w:val="000D2BA5"/>
    <w:rsid w:val="000D2E87"/>
    <w:rsid w:val="000D31A9"/>
    <w:rsid w:val="000D39BD"/>
    <w:rsid w:val="000D3CFA"/>
    <w:rsid w:val="000D3D78"/>
    <w:rsid w:val="000D3EF8"/>
    <w:rsid w:val="000D44B6"/>
    <w:rsid w:val="000D472A"/>
    <w:rsid w:val="000D4BD6"/>
    <w:rsid w:val="000D4F2C"/>
    <w:rsid w:val="000D53E4"/>
    <w:rsid w:val="000D5547"/>
    <w:rsid w:val="000D55BB"/>
    <w:rsid w:val="000D5E8E"/>
    <w:rsid w:val="000D5FCF"/>
    <w:rsid w:val="000D64B8"/>
    <w:rsid w:val="000D65D9"/>
    <w:rsid w:val="000D6627"/>
    <w:rsid w:val="000D67D0"/>
    <w:rsid w:val="000D684F"/>
    <w:rsid w:val="000D6866"/>
    <w:rsid w:val="000D6CAC"/>
    <w:rsid w:val="000D6D88"/>
    <w:rsid w:val="000D6F46"/>
    <w:rsid w:val="000D7102"/>
    <w:rsid w:val="000D7368"/>
    <w:rsid w:val="000D738B"/>
    <w:rsid w:val="000D7C4E"/>
    <w:rsid w:val="000D7FDD"/>
    <w:rsid w:val="000E00C0"/>
    <w:rsid w:val="000E01A2"/>
    <w:rsid w:val="000E01D3"/>
    <w:rsid w:val="000E01F4"/>
    <w:rsid w:val="000E0454"/>
    <w:rsid w:val="000E06D6"/>
    <w:rsid w:val="000E09FE"/>
    <w:rsid w:val="000E10CD"/>
    <w:rsid w:val="000E18CA"/>
    <w:rsid w:val="000E1A51"/>
    <w:rsid w:val="000E1E26"/>
    <w:rsid w:val="000E206D"/>
    <w:rsid w:val="000E22C2"/>
    <w:rsid w:val="000E2593"/>
    <w:rsid w:val="000E28B6"/>
    <w:rsid w:val="000E2DD1"/>
    <w:rsid w:val="000E2E02"/>
    <w:rsid w:val="000E34BB"/>
    <w:rsid w:val="000E37AE"/>
    <w:rsid w:val="000E39D6"/>
    <w:rsid w:val="000E41BE"/>
    <w:rsid w:val="000E468B"/>
    <w:rsid w:val="000E475C"/>
    <w:rsid w:val="000E4C73"/>
    <w:rsid w:val="000E4D76"/>
    <w:rsid w:val="000E4EBE"/>
    <w:rsid w:val="000E4F1D"/>
    <w:rsid w:val="000E4FE7"/>
    <w:rsid w:val="000E5161"/>
    <w:rsid w:val="000E53CA"/>
    <w:rsid w:val="000E540C"/>
    <w:rsid w:val="000E5941"/>
    <w:rsid w:val="000E65F7"/>
    <w:rsid w:val="000E6D33"/>
    <w:rsid w:val="000E6E47"/>
    <w:rsid w:val="000E77C9"/>
    <w:rsid w:val="000F006E"/>
    <w:rsid w:val="000F0100"/>
    <w:rsid w:val="000F0312"/>
    <w:rsid w:val="000F0589"/>
    <w:rsid w:val="000F0E16"/>
    <w:rsid w:val="000F1017"/>
    <w:rsid w:val="000F12EF"/>
    <w:rsid w:val="000F1345"/>
    <w:rsid w:val="000F1403"/>
    <w:rsid w:val="000F14D7"/>
    <w:rsid w:val="000F1546"/>
    <w:rsid w:val="000F17D9"/>
    <w:rsid w:val="000F1AA6"/>
    <w:rsid w:val="000F1D77"/>
    <w:rsid w:val="000F24BB"/>
    <w:rsid w:val="000F24D5"/>
    <w:rsid w:val="000F254C"/>
    <w:rsid w:val="000F28A7"/>
    <w:rsid w:val="000F2E10"/>
    <w:rsid w:val="000F31BE"/>
    <w:rsid w:val="000F31C6"/>
    <w:rsid w:val="000F336F"/>
    <w:rsid w:val="000F3658"/>
    <w:rsid w:val="000F36B2"/>
    <w:rsid w:val="000F3976"/>
    <w:rsid w:val="000F4021"/>
    <w:rsid w:val="000F46BB"/>
    <w:rsid w:val="000F4C52"/>
    <w:rsid w:val="000F563F"/>
    <w:rsid w:val="000F5658"/>
    <w:rsid w:val="000F57D5"/>
    <w:rsid w:val="000F587D"/>
    <w:rsid w:val="000F5895"/>
    <w:rsid w:val="000F61B0"/>
    <w:rsid w:val="000F66C7"/>
    <w:rsid w:val="000F6847"/>
    <w:rsid w:val="000F6C14"/>
    <w:rsid w:val="000F6DEB"/>
    <w:rsid w:val="000F7151"/>
    <w:rsid w:val="000F73EE"/>
    <w:rsid w:val="000F7831"/>
    <w:rsid w:val="000F7A23"/>
    <w:rsid w:val="000F7EA7"/>
    <w:rsid w:val="000F7EC2"/>
    <w:rsid w:val="000F7F86"/>
    <w:rsid w:val="001001B9"/>
    <w:rsid w:val="001001D3"/>
    <w:rsid w:val="0010057A"/>
    <w:rsid w:val="00100838"/>
    <w:rsid w:val="00100854"/>
    <w:rsid w:val="001009AD"/>
    <w:rsid w:val="00100AE1"/>
    <w:rsid w:val="00100C8E"/>
    <w:rsid w:val="00101329"/>
    <w:rsid w:val="00101969"/>
    <w:rsid w:val="00101D83"/>
    <w:rsid w:val="00102254"/>
    <w:rsid w:val="00102621"/>
    <w:rsid w:val="0010285E"/>
    <w:rsid w:val="00102C06"/>
    <w:rsid w:val="00102CD0"/>
    <w:rsid w:val="00102F6E"/>
    <w:rsid w:val="00103366"/>
    <w:rsid w:val="001034E5"/>
    <w:rsid w:val="00103501"/>
    <w:rsid w:val="00103C0E"/>
    <w:rsid w:val="00104C98"/>
    <w:rsid w:val="00104FBB"/>
    <w:rsid w:val="001051B1"/>
    <w:rsid w:val="0010531D"/>
    <w:rsid w:val="00105CE9"/>
    <w:rsid w:val="00106073"/>
    <w:rsid w:val="00106403"/>
    <w:rsid w:val="001067B0"/>
    <w:rsid w:val="00107004"/>
    <w:rsid w:val="0010702C"/>
    <w:rsid w:val="0010798C"/>
    <w:rsid w:val="0010799C"/>
    <w:rsid w:val="00107D04"/>
    <w:rsid w:val="00110001"/>
    <w:rsid w:val="00110107"/>
    <w:rsid w:val="001104B4"/>
    <w:rsid w:val="00110970"/>
    <w:rsid w:val="0011104A"/>
    <w:rsid w:val="00111568"/>
    <w:rsid w:val="00111679"/>
    <w:rsid w:val="001118DE"/>
    <w:rsid w:val="00112015"/>
    <w:rsid w:val="001120C0"/>
    <w:rsid w:val="00112142"/>
    <w:rsid w:val="00112811"/>
    <w:rsid w:val="001128A7"/>
    <w:rsid w:val="00112A7E"/>
    <w:rsid w:val="00112F5C"/>
    <w:rsid w:val="00112FC7"/>
    <w:rsid w:val="0011344A"/>
    <w:rsid w:val="0011390E"/>
    <w:rsid w:val="001139CB"/>
    <w:rsid w:val="00113A3E"/>
    <w:rsid w:val="001146A7"/>
    <w:rsid w:val="001147AB"/>
    <w:rsid w:val="00114A1A"/>
    <w:rsid w:val="001150BF"/>
    <w:rsid w:val="0011578B"/>
    <w:rsid w:val="001158E4"/>
    <w:rsid w:val="00115ABD"/>
    <w:rsid w:val="00115BF1"/>
    <w:rsid w:val="00115C8E"/>
    <w:rsid w:val="00115DC5"/>
    <w:rsid w:val="00115EB0"/>
    <w:rsid w:val="00115F2A"/>
    <w:rsid w:val="00115F64"/>
    <w:rsid w:val="001161FB"/>
    <w:rsid w:val="00116378"/>
    <w:rsid w:val="001168EC"/>
    <w:rsid w:val="001168F2"/>
    <w:rsid w:val="00117D5F"/>
    <w:rsid w:val="00117F37"/>
    <w:rsid w:val="00117F57"/>
    <w:rsid w:val="00117FE0"/>
    <w:rsid w:val="00120207"/>
    <w:rsid w:val="001202E4"/>
    <w:rsid w:val="001207B9"/>
    <w:rsid w:val="001210FD"/>
    <w:rsid w:val="001213CD"/>
    <w:rsid w:val="001219BE"/>
    <w:rsid w:val="00121CF4"/>
    <w:rsid w:val="00121E83"/>
    <w:rsid w:val="00122084"/>
    <w:rsid w:val="0012285D"/>
    <w:rsid w:val="00122882"/>
    <w:rsid w:val="001230D9"/>
    <w:rsid w:val="00123468"/>
    <w:rsid w:val="00123C1B"/>
    <w:rsid w:val="00123F74"/>
    <w:rsid w:val="0012471B"/>
    <w:rsid w:val="00124C16"/>
    <w:rsid w:val="00124F66"/>
    <w:rsid w:val="0012506D"/>
    <w:rsid w:val="0012537D"/>
    <w:rsid w:val="00125DD0"/>
    <w:rsid w:val="00125E3C"/>
    <w:rsid w:val="00125FE8"/>
    <w:rsid w:val="00126778"/>
    <w:rsid w:val="001269C7"/>
    <w:rsid w:val="00126B3D"/>
    <w:rsid w:val="00126E5C"/>
    <w:rsid w:val="0012764B"/>
    <w:rsid w:val="00127DF1"/>
    <w:rsid w:val="001303F9"/>
    <w:rsid w:val="00130878"/>
    <w:rsid w:val="00131140"/>
    <w:rsid w:val="00131F82"/>
    <w:rsid w:val="00132392"/>
    <w:rsid w:val="001328E7"/>
    <w:rsid w:val="00132CA1"/>
    <w:rsid w:val="00132CE7"/>
    <w:rsid w:val="001333B3"/>
    <w:rsid w:val="00133660"/>
    <w:rsid w:val="00133939"/>
    <w:rsid w:val="00133E7E"/>
    <w:rsid w:val="001341D1"/>
    <w:rsid w:val="001342E0"/>
    <w:rsid w:val="0013456F"/>
    <w:rsid w:val="0013459A"/>
    <w:rsid w:val="00134845"/>
    <w:rsid w:val="001349EB"/>
    <w:rsid w:val="00134EAB"/>
    <w:rsid w:val="00135096"/>
    <w:rsid w:val="001350BB"/>
    <w:rsid w:val="001351E0"/>
    <w:rsid w:val="001358E8"/>
    <w:rsid w:val="001358F3"/>
    <w:rsid w:val="001363E9"/>
    <w:rsid w:val="00136445"/>
    <w:rsid w:val="0013646D"/>
    <w:rsid w:val="0013683F"/>
    <w:rsid w:val="0013686C"/>
    <w:rsid w:val="00136A47"/>
    <w:rsid w:val="00136A50"/>
    <w:rsid w:val="00136A6C"/>
    <w:rsid w:val="00137489"/>
    <w:rsid w:val="00137781"/>
    <w:rsid w:val="00137840"/>
    <w:rsid w:val="00137E75"/>
    <w:rsid w:val="00140487"/>
    <w:rsid w:val="0014075A"/>
    <w:rsid w:val="001407FE"/>
    <w:rsid w:val="001409C2"/>
    <w:rsid w:val="00140DB8"/>
    <w:rsid w:val="00140EA0"/>
    <w:rsid w:val="001411CF"/>
    <w:rsid w:val="0014129E"/>
    <w:rsid w:val="00141A62"/>
    <w:rsid w:val="00141C51"/>
    <w:rsid w:val="00141DB2"/>
    <w:rsid w:val="00142072"/>
    <w:rsid w:val="00142547"/>
    <w:rsid w:val="001429A9"/>
    <w:rsid w:val="00142C15"/>
    <w:rsid w:val="00142FB0"/>
    <w:rsid w:val="001430C9"/>
    <w:rsid w:val="0014351A"/>
    <w:rsid w:val="00143A0E"/>
    <w:rsid w:val="00143BCA"/>
    <w:rsid w:val="00143FCB"/>
    <w:rsid w:val="00144034"/>
    <w:rsid w:val="00144DA7"/>
    <w:rsid w:val="00145627"/>
    <w:rsid w:val="00145784"/>
    <w:rsid w:val="00145AA1"/>
    <w:rsid w:val="00145B28"/>
    <w:rsid w:val="00145DDB"/>
    <w:rsid w:val="001467E9"/>
    <w:rsid w:val="00146A41"/>
    <w:rsid w:val="00146AB9"/>
    <w:rsid w:val="00146DD3"/>
    <w:rsid w:val="00147D0D"/>
    <w:rsid w:val="001507FF"/>
    <w:rsid w:val="00150B59"/>
    <w:rsid w:val="00150E39"/>
    <w:rsid w:val="00151679"/>
    <w:rsid w:val="001517DE"/>
    <w:rsid w:val="00151B59"/>
    <w:rsid w:val="00151EF0"/>
    <w:rsid w:val="00151F83"/>
    <w:rsid w:val="0015240A"/>
    <w:rsid w:val="0015244A"/>
    <w:rsid w:val="00152A77"/>
    <w:rsid w:val="00152CF1"/>
    <w:rsid w:val="00152DD5"/>
    <w:rsid w:val="00152E4B"/>
    <w:rsid w:val="001530A4"/>
    <w:rsid w:val="0015318E"/>
    <w:rsid w:val="001538F7"/>
    <w:rsid w:val="00153A86"/>
    <w:rsid w:val="00153B4F"/>
    <w:rsid w:val="00153B71"/>
    <w:rsid w:val="00154783"/>
    <w:rsid w:val="00154B70"/>
    <w:rsid w:val="00154EB6"/>
    <w:rsid w:val="00154F7C"/>
    <w:rsid w:val="00154F8B"/>
    <w:rsid w:val="0015548F"/>
    <w:rsid w:val="00155AC4"/>
    <w:rsid w:val="00155AC5"/>
    <w:rsid w:val="001563E8"/>
    <w:rsid w:val="00156B06"/>
    <w:rsid w:val="00156F7A"/>
    <w:rsid w:val="00157043"/>
    <w:rsid w:val="00157080"/>
    <w:rsid w:val="00157099"/>
    <w:rsid w:val="00157418"/>
    <w:rsid w:val="001574F5"/>
    <w:rsid w:val="00157512"/>
    <w:rsid w:val="001578A8"/>
    <w:rsid w:val="00157929"/>
    <w:rsid w:val="00157E63"/>
    <w:rsid w:val="0016018F"/>
    <w:rsid w:val="001607A1"/>
    <w:rsid w:val="00160FCD"/>
    <w:rsid w:val="00161822"/>
    <w:rsid w:val="00161865"/>
    <w:rsid w:val="00161E34"/>
    <w:rsid w:val="00162291"/>
    <w:rsid w:val="001627D8"/>
    <w:rsid w:val="00162BB1"/>
    <w:rsid w:val="00162BF6"/>
    <w:rsid w:val="00162E65"/>
    <w:rsid w:val="00162FB2"/>
    <w:rsid w:val="00163673"/>
    <w:rsid w:val="00163D92"/>
    <w:rsid w:val="00163E6E"/>
    <w:rsid w:val="00164144"/>
    <w:rsid w:val="001643C9"/>
    <w:rsid w:val="0016475B"/>
    <w:rsid w:val="0016479E"/>
    <w:rsid w:val="001648DC"/>
    <w:rsid w:val="00164BF7"/>
    <w:rsid w:val="00164D0A"/>
    <w:rsid w:val="00164D49"/>
    <w:rsid w:val="00164E8F"/>
    <w:rsid w:val="00164FAE"/>
    <w:rsid w:val="0016506D"/>
    <w:rsid w:val="0016511A"/>
    <w:rsid w:val="001653DF"/>
    <w:rsid w:val="001654A7"/>
    <w:rsid w:val="0016597B"/>
    <w:rsid w:val="001659E3"/>
    <w:rsid w:val="00165C0E"/>
    <w:rsid w:val="00165C7E"/>
    <w:rsid w:val="00165EE6"/>
    <w:rsid w:val="0016602C"/>
    <w:rsid w:val="0016652D"/>
    <w:rsid w:val="00166669"/>
    <w:rsid w:val="00166917"/>
    <w:rsid w:val="00166ABA"/>
    <w:rsid w:val="00166DB3"/>
    <w:rsid w:val="00167256"/>
    <w:rsid w:val="001676F8"/>
    <w:rsid w:val="00167A53"/>
    <w:rsid w:val="00167B66"/>
    <w:rsid w:val="00167C56"/>
    <w:rsid w:val="00167E0C"/>
    <w:rsid w:val="001702BF"/>
    <w:rsid w:val="00170F99"/>
    <w:rsid w:val="00171413"/>
    <w:rsid w:val="00171807"/>
    <w:rsid w:val="00171CDC"/>
    <w:rsid w:val="00171D19"/>
    <w:rsid w:val="00171DAD"/>
    <w:rsid w:val="0017274B"/>
    <w:rsid w:val="00172ADE"/>
    <w:rsid w:val="00172CCD"/>
    <w:rsid w:val="00172DFD"/>
    <w:rsid w:val="00172E33"/>
    <w:rsid w:val="00173A6A"/>
    <w:rsid w:val="00173D89"/>
    <w:rsid w:val="00173E53"/>
    <w:rsid w:val="00173E56"/>
    <w:rsid w:val="0017446A"/>
    <w:rsid w:val="00174710"/>
    <w:rsid w:val="001747D0"/>
    <w:rsid w:val="001748DD"/>
    <w:rsid w:val="00174BB9"/>
    <w:rsid w:val="00174E00"/>
    <w:rsid w:val="001752A0"/>
    <w:rsid w:val="00175466"/>
    <w:rsid w:val="00175703"/>
    <w:rsid w:val="00175858"/>
    <w:rsid w:val="001758DE"/>
    <w:rsid w:val="0017592D"/>
    <w:rsid w:val="00175C9F"/>
    <w:rsid w:val="00176129"/>
    <w:rsid w:val="001764CA"/>
    <w:rsid w:val="00176623"/>
    <w:rsid w:val="00176745"/>
    <w:rsid w:val="00176B37"/>
    <w:rsid w:val="00176D25"/>
    <w:rsid w:val="00176D52"/>
    <w:rsid w:val="00176EA2"/>
    <w:rsid w:val="00176F38"/>
    <w:rsid w:val="00177167"/>
    <w:rsid w:val="001773C2"/>
    <w:rsid w:val="0017740E"/>
    <w:rsid w:val="00177742"/>
    <w:rsid w:val="00177B01"/>
    <w:rsid w:val="001804D5"/>
    <w:rsid w:val="00180786"/>
    <w:rsid w:val="001807F0"/>
    <w:rsid w:val="001810D1"/>
    <w:rsid w:val="0018115C"/>
    <w:rsid w:val="001816E0"/>
    <w:rsid w:val="001816E5"/>
    <w:rsid w:val="00181B6F"/>
    <w:rsid w:val="001821A3"/>
    <w:rsid w:val="00182466"/>
    <w:rsid w:val="001827F0"/>
    <w:rsid w:val="00182CB6"/>
    <w:rsid w:val="00182F7B"/>
    <w:rsid w:val="0018342E"/>
    <w:rsid w:val="001838C3"/>
    <w:rsid w:val="001840C2"/>
    <w:rsid w:val="0018427B"/>
    <w:rsid w:val="001849E5"/>
    <w:rsid w:val="00184B46"/>
    <w:rsid w:val="001853A8"/>
    <w:rsid w:val="00185422"/>
    <w:rsid w:val="00185428"/>
    <w:rsid w:val="00185482"/>
    <w:rsid w:val="0018591C"/>
    <w:rsid w:val="00185939"/>
    <w:rsid w:val="00185CFE"/>
    <w:rsid w:val="00185D7E"/>
    <w:rsid w:val="00186162"/>
    <w:rsid w:val="0018641D"/>
    <w:rsid w:val="00186751"/>
    <w:rsid w:val="00186B66"/>
    <w:rsid w:val="00186C9D"/>
    <w:rsid w:val="00187219"/>
    <w:rsid w:val="00187230"/>
    <w:rsid w:val="00187244"/>
    <w:rsid w:val="001876F6"/>
    <w:rsid w:val="00187989"/>
    <w:rsid w:val="00187A0F"/>
    <w:rsid w:val="00187E33"/>
    <w:rsid w:val="001905EC"/>
    <w:rsid w:val="001906AB"/>
    <w:rsid w:val="001909BA"/>
    <w:rsid w:val="00190CAF"/>
    <w:rsid w:val="00190F2A"/>
    <w:rsid w:val="001912DC"/>
    <w:rsid w:val="00191897"/>
    <w:rsid w:val="001918F9"/>
    <w:rsid w:val="001919E9"/>
    <w:rsid w:val="00191A60"/>
    <w:rsid w:val="001920E3"/>
    <w:rsid w:val="00192267"/>
    <w:rsid w:val="00192629"/>
    <w:rsid w:val="00192A65"/>
    <w:rsid w:val="00192D78"/>
    <w:rsid w:val="00193295"/>
    <w:rsid w:val="001932CD"/>
    <w:rsid w:val="0019373D"/>
    <w:rsid w:val="00193B34"/>
    <w:rsid w:val="00193C96"/>
    <w:rsid w:val="00194069"/>
    <w:rsid w:val="00194434"/>
    <w:rsid w:val="00194483"/>
    <w:rsid w:val="001944C1"/>
    <w:rsid w:val="0019450F"/>
    <w:rsid w:val="00194849"/>
    <w:rsid w:val="00195041"/>
    <w:rsid w:val="001953B1"/>
    <w:rsid w:val="001956CE"/>
    <w:rsid w:val="00195AA4"/>
    <w:rsid w:val="001960B0"/>
    <w:rsid w:val="001960F3"/>
    <w:rsid w:val="00196294"/>
    <w:rsid w:val="001963C0"/>
    <w:rsid w:val="00196446"/>
    <w:rsid w:val="00196651"/>
    <w:rsid w:val="001967D4"/>
    <w:rsid w:val="001969BA"/>
    <w:rsid w:val="00196E4C"/>
    <w:rsid w:val="0019733B"/>
    <w:rsid w:val="0019750E"/>
    <w:rsid w:val="00197956"/>
    <w:rsid w:val="001A0015"/>
    <w:rsid w:val="001A0957"/>
    <w:rsid w:val="001A09D6"/>
    <w:rsid w:val="001A09FF"/>
    <w:rsid w:val="001A0F0D"/>
    <w:rsid w:val="001A10FB"/>
    <w:rsid w:val="001A110D"/>
    <w:rsid w:val="001A15B5"/>
    <w:rsid w:val="001A194A"/>
    <w:rsid w:val="001A1F26"/>
    <w:rsid w:val="001A37A0"/>
    <w:rsid w:val="001A39AA"/>
    <w:rsid w:val="001A3BDB"/>
    <w:rsid w:val="001A3D04"/>
    <w:rsid w:val="001A3D5A"/>
    <w:rsid w:val="001A3ED4"/>
    <w:rsid w:val="001A446E"/>
    <w:rsid w:val="001A488D"/>
    <w:rsid w:val="001A4B01"/>
    <w:rsid w:val="001A4D04"/>
    <w:rsid w:val="001A55B7"/>
    <w:rsid w:val="001A5E67"/>
    <w:rsid w:val="001A6712"/>
    <w:rsid w:val="001A6B79"/>
    <w:rsid w:val="001A7762"/>
    <w:rsid w:val="001A7947"/>
    <w:rsid w:val="001A7AFB"/>
    <w:rsid w:val="001A7B34"/>
    <w:rsid w:val="001B00F2"/>
    <w:rsid w:val="001B0510"/>
    <w:rsid w:val="001B0C86"/>
    <w:rsid w:val="001B0F60"/>
    <w:rsid w:val="001B104C"/>
    <w:rsid w:val="001B17A8"/>
    <w:rsid w:val="001B17CB"/>
    <w:rsid w:val="001B1F2B"/>
    <w:rsid w:val="001B22E5"/>
    <w:rsid w:val="001B277B"/>
    <w:rsid w:val="001B2984"/>
    <w:rsid w:val="001B2A38"/>
    <w:rsid w:val="001B2CB9"/>
    <w:rsid w:val="001B2E4B"/>
    <w:rsid w:val="001B3478"/>
    <w:rsid w:val="001B34E1"/>
    <w:rsid w:val="001B3541"/>
    <w:rsid w:val="001B35D4"/>
    <w:rsid w:val="001B35EC"/>
    <w:rsid w:val="001B3ACB"/>
    <w:rsid w:val="001B3CFC"/>
    <w:rsid w:val="001B477D"/>
    <w:rsid w:val="001B4A95"/>
    <w:rsid w:val="001B4A96"/>
    <w:rsid w:val="001B4FBE"/>
    <w:rsid w:val="001B526B"/>
    <w:rsid w:val="001B5B9F"/>
    <w:rsid w:val="001B5E38"/>
    <w:rsid w:val="001B6262"/>
    <w:rsid w:val="001B6281"/>
    <w:rsid w:val="001B63C6"/>
    <w:rsid w:val="001B688E"/>
    <w:rsid w:val="001B6F31"/>
    <w:rsid w:val="001B6F7C"/>
    <w:rsid w:val="001B7070"/>
    <w:rsid w:val="001B7186"/>
    <w:rsid w:val="001B732C"/>
    <w:rsid w:val="001C0046"/>
    <w:rsid w:val="001C0234"/>
    <w:rsid w:val="001C093E"/>
    <w:rsid w:val="001C0BF9"/>
    <w:rsid w:val="001C1699"/>
    <w:rsid w:val="001C17AB"/>
    <w:rsid w:val="001C1E57"/>
    <w:rsid w:val="001C231C"/>
    <w:rsid w:val="001C2DE6"/>
    <w:rsid w:val="001C2E66"/>
    <w:rsid w:val="001C335B"/>
    <w:rsid w:val="001C3A55"/>
    <w:rsid w:val="001C3BD7"/>
    <w:rsid w:val="001C3F75"/>
    <w:rsid w:val="001C404C"/>
    <w:rsid w:val="001C409E"/>
    <w:rsid w:val="001C4365"/>
    <w:rsid w:val="001C4688"/>
    <w:rsid w:val="001C48D4"/>
    <w:rsid w:val="001C498D"/>
    <w:rsid w:val="001C4A71"/>
    <w:rsid w:val="001C4B1C"/>
    <w:rsid w:val="001C4B99"/>
    <w:rsid w:val="001C4BFF"/>
    <w:rsid w:val="001C5B07"/>
    <w:rsid w:val="001C5E04"/>
    <w:rsid w:val="001C5F0F"/>
    <w:rsid w:val="001C5F1C"/>
    <w:rsid w:val="001C6604"/>
    <w:rsid w:val="001C6D92"/>
    <w:rsid w:val="001C6F15"/>
    <w:rsid w:val="001C6F17"/>
    <w:rsid w:val="001C712D"/>
    <w:rsid w:val="001C7351"/>
    <w:rsid w:val="001C7871"/>
    <w:rsid w:val="001C7B6E"/>
    <w:rsid w:val="001C7C15"/>
    <w:rsid w:val="001C7C93"/>
    <w:rsid w:val="001D0134"/>
    <w:rsid w:val="001D0906"/>
    <w:rsid w:val="001D0E18"/>
    <w:rsid w:val="001D11F5"/>
    <w:rsid w:val="001D1340"/>
    <w:rsid w:val="001D15BC"/>
    <w:rsid w:val="001D15C1"/>
    <w:rsid w:val="001D1634"/>
    <w:rsid w:val="001D19D9"/>
    <w:rsid w:val="001D1E4E"/>
    <w:rsid w:val="001D20DD"/>
    <w:rsid w:val="001D2BF8"/>
    <w:rsid w:val="001D2E32"/>
    <w:rsid w:val="001D2F26"/>
    <w:rsid w:val="001D327E"/>
    <w:rsid w:val="001D363B"/>
    <w:rsid w:val="001D36CD"/>
    <w:rsid w:val="001D3A24"/>
    <w:rsid w:val="001D423B"/>
    <w:rsid w:val="001D46AF"/>
    <w:rsid w:val="001D47B1"/>
    <w:rsid w:val="001D4E1D"/>
    <w:rsid w:val="001D4F49"/>
    <w:rsid w:val="001D59DC"/>
    <w:rsid w:val="001D5E3D"/>
    <w:rsid w:val="001D6199"/>
    <w:rsid w:val="001D6272"/>
    <w:rsid w:val="001D6A5F"/>
    <w:rsid w:val="001D6E57"/>
    <w:rsid w:val="001D741C"/>
    <w:rsid w:val="001D7982"/>
    <w:rsid w:val="001D7BFC"/>
    <w:rsid w:val="001D7D70"/>
    <w:rsid w:val="001D7ECA"/>
    <w:rsid w:val="001E025F"/>
    <w:rsid w:val="001E0330"/>
    <w:rsid w:val="001E0730"/>
    <w:rsid w:val="001E074C"/>
    <w:rsid w:val="001E0FB8"/>
    <w:rsid w:val="001E108D"/>
    <w:rsid w:val="001E10CE"/>
    <w:rsid w:val="001E12ED"/>
    <w:rsid w:val="001E1B44"/>
    <w:rsid w:val="001E1C4C"/>
    <w:rsid w:val="001E1D3D"/>
    <w:rsid w:val="001E1E70"/>
    <w:rsid w:val="001E1E97"/>
    <w:rsid w:val="001E1F6A"/>
    <w:rsid w:val="001E2141"/>
    <w:rsid w:val="001E22F8"/>
    <w:rsid w:val="001E299B"/>
    <w:rsid w:val="001E2BCF"/>
    <w:rsid w:val="001E2E72"/>
    <w:rsid w:val="001E306C"/>
    <w:rsid w:val="001E313D"/>
    <w:rsid w:val="001E32B2"/>
    <w:rsid w:val="001E350A"/>
    <w:rsid w:val="001E3566"/>
    <w:rsid w:val="001E3A22"/>
    <w:rsid w:val="001E3C3B"/>
    <w:rsid w:val="001E3D49"/>
    <w:rsid w:val="001E3F47"/>
    <w:rsid w:val="001E4397"/>
    <w:rsid w:val="001E47D1"/>
    <w:rsid w:val="001E50E5"/>
    <w:rsid w:val="001E5AF8"/>
    <w:rsid w:val="001E5D9E"/>
    <w:rsid w:val="001E5DEA"/>
    <w:rsid w:val="001E637C"/>
    <w:rsid w:val="001E6484"/>
    <w:rsid w:val="001E656D"/>
    <w:rsid w:val="001E6A64"/>
    <w:rsid w:val="001E6BEE"/>
    <w:rsid w:val="001E6FA2"/>
    <w:rsid w:val="001E7212"/>
    <w:rsid w:val="001E757D"/>
    <w:rsid w:val="001E75C5"/>
    <w:rsid w:val="001E77EC"/>
    <w:rsid w:val="001E7965"/>
    <w:rsid w:val="001F079F"/>
    <w:rsid w:val="001F07C6"/>
    <w:rsid w:val="001F0872"/>
    <w:rsid w:val="001F087A"/>
    <w:rsid w:val="001F0D7A"/>
    <w:rsid w:val="001F0EEA"/>
    <w:rsid w:val="001F0F2C"/>
    <w:rsid w:val="001F0F62"/>
    <w:rsid w:val="001F1474"/>
    <w:rsid w:val="001F14E1"/>
    <w:rsid w:val="001F1AB3"/>
    <w:rsid w:val="001F1ADF"/>
    <w:rsid w:val="001F1BC9"/>
    <w:rsid w:val="001F24C1"/>
    <w:rsid w:val="001F25E3"/>
    <w:rsid w:val="001F27A5"/>
    <w:rsid w:val="001F299C"/>
    <w:rsid w:val="001F2E3B"/>
    <w:rsid w:val="001F31D6"/>
    <w:rsid w:val="001F359E"/>
    <w:rsid w:val="001F3BCE"/>
    <w:rsid w:val="001F3DFB"/>
    <w:rsid w:val="001F3F2A"/>
    <w:rsid w:val="001F41DC"/>
    <w:rsid w:val="001F4227"/>
    <w:rsid w:val="001F48C6"/>
    <w:rsid w:val="001F5863"/>
    <w:rsid w:val="001F5D5F"/>
    <w:rsid w:val="001F5F74"/>
    <w:rsid w:val="001F61E0"/>
    <w:rsid w:val="001F62A0"/>
    <w:rsid w:val="001F661C"/>
    <w:rsid w:val="001F69C2"/>
    <w:rsid w:val="001F6A8D"/>
    <w:rsid w:val="001F70D1"/>
    <w:rsid w:val="001F70E8"/>
    <w:rsid w:val="001F742C"/>
    <w:rsid w:val="001F76FB"/>
    <w:rsid w:val="00200088"/>
    <w:rsid w:val="002004FE"/>
    <w:rsid w:val="002006E4"/>
    <w:rsid w:val="00200B1C"/>
    <w:rsid w:val="00200D13"/>
    <w:rsid w:val="00200D39"/>
    <w:rsid w:val="00200D9B"/>
    <w:rsid w:val="00200E8F"/>
    <w:rsid w:val="002010AD"/>
    <w:rsid w:val="00201262"/>
    <w:rsid w:val="002015C5"/>
    <w:rsid w:val="0020179B"/>
    <w:rsid w:val="0020188A"/>
    <w:rsid w:val="00201CEA"/>
    <w:rsid w:val="002026E8"/>
    <w:rsid w:val="00203256"/>
    <w:rsid w:val="00203377"/>
    <w:rsid w:val="00203E2E"/>
    <w:rsid w:val="002048D1"/>
    <w:rsid w:val="00204F25"/>
    <w:rsid w:val="0020508B"/>
    <w:rsid w:val="002051F1"/>
    <w:rsid w:val="0020558A"/>
    <w:rsid w:val="002058C3"/>
    <w:rsid w:val="00205C57"/>
    <w:rsid w:val="00205E5C"/>
    <w:rsid w:val="00205E70"/>
    <w:rsid w:val="002062F2"/>
    <w:rsid w:val="0020761A"/>
    <w:rsid w:val="002077F1"/>
    <w:rsid w:val="00207836"/>
    <w:rsid w:val="002079CB"/>
    <w:rsid w:val="00207CF6"/>
    <w:rsid w:val="002100D8"/>
    <w:rsid w:val="002102E0"/>
    <w:rsid w:val="0021033C"/>
    <w:rsid w:val="002104D8"/>
    <w:rsid w:val="00210750"/>
    <w:rsid w:val="002107EA"/>
    <w:rsid w:val="0021096E"/>
    <w:rsid w:val="00210DE8"/>
    <w:rsid w:val="002114A2"/>
    <w:rsid w:val="002114CB"/>
    <w:rsid w:val="00211A16"/>
    <w:rsid w:val="00211C97"/>
    <w:rsid w:val="00211CAB"/>
    <w:rsid w:val="00211D6E"/>
    <w:rsid w:val="00211D73"/>
    <w:rsid w:val="0021211C"/>
    <w:rsid w:val="002122CE"/>
    <w:rsid w:val="002124C5"/>
    <w:rsid w:val="00212528"/>
    <w:rsid w:val="002126B7"/>
    <w:rsid w:val="00212A3E"/>
    <w:rsid w:val="00212FE0"/>
    <w:rsid w:val="002131AD"/>
    <w:rsid w:val="0021343A"/>
    <w:rsid w:val="00213598"/>
    <w:rsid w:val="0021367B"/>
    <w:rsid w:val="00213968"/>
    <w:rsid w:val="00213BD1"/>
    <w:rsid w:val="00213C59"/>
    <w:rsid w:val="00213ECF"/>
    <w:rsid w:val="00213F52"/>
    <w:rsid w:val="002146EA"/>
    <w:rsid w:val="00214962"/>
    <w:rsid w:val="00214BF2"/>
    <w:rsid w:val="00214E23"/>
    <w:rsid w:val="002153AA"/>
    <w:rsid w:val="002154A0"/>
    <w:rsid w:val="002155DF"/>
    <w:rsid w:val="002157FC"/>
    <w:rsid w:val="00215A7F"/>
    <w:rsid w:val="00215BD7"/>
    <w:rsid w:val="00215FC0"/>
    <w:rsid w:val="002162D4"/>
    <w:rsid w:val="00216522"/>
    <w:rsid w:val="002165B7"/>
    <w:rsid w:val="00216CF8"/>
    <w:rsid w:val="00216DB8"/>
    <w:rsid w:val="0021735F"/>
    <w:rsid w:val="002173F5"/>
    <w:rsid w:val="00217442"/>
    <w:rsid w:val="002174EA"/>
    <w:rsid w:val="002176EB"/>
    <w:rsid w:val="00217716"/>
    <w:rsid w:val="002202DB"/>
    <w:rsid w:val="0022050A"/>
    <w:rsid w:val="00220608"/>
    <w:rsid w:val="00220725"/>
    <w:rsid w:val="002208E3"/>
    <w:rsid w:val="00220930"/>
    <w:rsid w:val="00220FA5"/>
    <w:rsid w:val="002211EE"/>
    <w:rsid w:val="00221343"/>
    <w:rsid w:val="00221372"/>
    <w:rsid w:val="0022161C"/>
    <w:rsid w:val="00221644"/>
    <w:rsid w:val="002216D6"/>
    <w:rsid w:val="00221741"/>
    <w:rsid w:val="00221907"/>
    <w:rsid w:val="00221BFC"/>
    <w:rsid w:val="00221D19"/>
    <w:rsid w:val="00221E03"/>
    <w:rsid w:val="0022260F"/>
    <w:rsid w:val="00222B47"/>
    <w:rsid w:val="00222CCF"/>
    <w:rsid w:val="00223B00"/>
    <w:rsid w:val="00223F4F"/>
    <w:rsid w:val="002246FC"/>
    <w:rsid w:val="00224871"/>
    <w:rsid w:val="00224B91"/>
    <w:rsid w:val="00224DE7"/>
    <w:rsid w:val="0022500D"/>
    <w:rsid w:val="002253DF"/>
    <w:rsid w:val="0022598A"/>
    <w:rsid w:val="00225B95"/>
    <w:rsid w:val="00225DE6"/>
    <w:rsid w:val="0022666B"/>
    <w:rsid w:val="0022734D"/>
    <w:rsid w:val="002273A0"/>
    <w:rsid w:val="002274B6"/>
    <w:rsid w:val="002276F7"/>
    <w:rsid w:val="00227803"/>
    <w:rsid w:val="00227B36"/>
    <w:rsid w:val="00227E1F"/>
    <w:rsid w:val="00230422"/>
    <w:rsid w:val="0023087D"/>
    <w:rsid w:val="00230BC9"/>
    <w:rsid w:val="00230FB8"/>
    <w:rsid w:val="00231A24"/>
    <w:rsid w:val="00231D26"/>
    <w:rsid w:val="00232296"/>
    <w:rsid w:val="002325D8"/>
    <w:rsid w:val="0023262D"/>
    <w:rsid w:val="00232920"/>
    <w:rsid w:val="00232EC3"/>
    <w:rsid w:val="00232FEC"/>
    <w:rsid w:val="002331C5"/>
    <w:rsid w:val="002335B4"/>
    <w:rsid w:val="002338DC"/>
    <w:rsid w:val="00233B31"/>
    <w:rsid w:val="00233D6B"/>
    <w:rsid w:val="00234046"/>
    <w:rsid w:val="0023447F"/>
    <w:rsid w:val="00234835"/>
    <w:rsid w:val="00234B6E"/>
    <w:rsid w:val="002350B3"/>
    <w:rsid w:val="002351E1"/>
    <w:rsid w:val="00235314"/>
    <w:rsid w:val="002353C7"/>
    <w:rsid w:val="00235B98"/>
    <w:rsid w:val="002361EE"/>
    <w:rsid w:val="00236289"/>
    <w:rsid w:val="0023645D"/>
    <w:rsid w:val="002368AE"/>
    <w:rsid w:val="00236987"/>
    <w:rsid w:val="00236AC9"/>
    <w:rsid w:val="00236EF9"/>
    <w:rsid w:val="00237221"/>
    <w:rsid w:val="002374C7"/>
    <w:rsid w:val="0023798E"/>
    <w:rsid w:val="00237B5B"/>
    <w:rsid w:val="00237C26"/>
    <w:rsid w:val="00237D18"/>
    <w:rsid w:val="002403A2"/>
    <w:rsid w:val="002403CA"/>
    <w:rsid w:val="002405FD"/>
    <w:rsid w:val="00240A63"/>
    <w:rsid w:val="00240A8D"/>
    <w:rsid w:val="002415A2"/>
    <w:rsid w:val="0024190D"/>
    <w:rsid w:val="002420D7"/>
    <w:rsid w:val="002420E6"/>
    <w:rsid w:val="002421CB"/>
    <w:rsid w:val="002425AE"/>
    <w:rsid w:val="00242A8E"/>
    <w:rsid w:val="00242EE4"/>
    <w:rsid w:val="00242EFC"/>
    <w:rsid w:val="00243176"/>
    <w:rsid w:val="00243567"/>
    <w:rsid w:val="002436D6"/>
    <w:rsid w:val="00243A8B"/>
    <w:rsid w:val="00243BF7"/>
    <w:rsid w:val="00243CB9"/>
    <w:rsid w:val="00243E12"/>
    <w:rsid w:val="00244046"/>
    <w:rsid w:val="00244155"/>
    <w:rsid w:val="0024426A"/>
    <w:rsid w:val="0024462E"/>
    <w:rsid w:val="0024471A"/>
    <w:rsid w:val="00244BEC"/>
    <w:rsid w:val="00244F54"/>
    <w:rsid w:val="0024532E"/>
    <w:rsid w:val="002453F8"/>
    <w:rsid w:val="0024592E"/>
    <w:rsid w:val="00245999"/>
    <w:rsid w:val="00245D65"/>
    <w:rsid w:val="00245D66"/>
    <w:rsid w:val="002460DC"/>
    <w:rsid w:val="002464CE"/>
    <w:rsid w:val="00246AFF"/>
    <w:rsid w:val="00246D0B"/>
    <w:rsid w:val="00246F4C"/>
    <w:rsid w:val="00246F51"/>
    <w:rsid w:val="002474BD"/>
    <w:rsid w:val="002474FA"/>
    <w:rsid w:val="00247607"/>
    <w:rsid w:val="002477CA"/>
    <w:rsid w:val="00247A07"/>
    <w:rsid w:val="00247EF0"/>
    <w:rsid w:val="00250041"/>
    <w:rsid w:val="0025011C"/>
    <w:rsid w:val="00250397"/>
    <w:rsid w:val="002503ED"/>
    <w:rsid w:val="002503F8"/>
    <w:rsid w:val="00250655"/>
    <w:rsid w:val="00250FE2"/>
    <w:rsid w:val="0025173F"/>
    <w:rsid w:val="0025195B"/>
    <w:rsid w:val="00251A25"/>
    <w:rsid w:val="00251BF4"/>
    <w:rsid w:val="00251D72"/>
    <w:rsid w:val="0025239D"/>
    <w:rsid w:val="00252A19"/>
    <w:rsid w:val="00253493"/>
    <w:rsid w:val="00253809"/>
    <w:rsid w:val="00253CCD"/>
    <w:rsid w:val="00254472"/>
    <w:rsid w:val="0025479F"/>
    <w:rsid w:val="00254BF2"/>
    <w:rsid w:val="00254DC6"/>
    <w:rsid w:val="002551BD"/>
    <w:rsid w:val="00255776"/>
    <w:rsid w:val="0025597E"/>
    <w:rsid w:val="00255A99"/>
    <w:rsid w:val="0025656F"/>
    <w:rsid w:val="002566A9"/>
    <w:rsid w:val="00257019"/>
    <w:rsid w:val="00257463"/>
    <w:rsid w:val="00257536"/>
    <w:rsid w:val="002576DD"/>
    <w:rsid w:val="00257AFB"/>
    <w:rsid w:val="00257D8E"/>
    <w:rsid w:val="00257FEE"/>
    <w:rsid w:val="002603C6"/>
    <w:rsid w:val="00260997"/>
    <w:rsid w:val="00260D99"/>
    <w:rsid w:val="00260F87"/>
    <w:rsid w:val="0026123A"/>
    <w:rsid w:val="002612D0"/>
    <w:rsid w:val="002615E8"/>
    <w:rsid w:val="00261940"/>
    <w:rsid w:val="00261994"/>
    <w:rsid w:val="00261C63"/>
    <w:rsid w:val="00261D71"/>
    <w:rsid w:val="00261E56"/>
    <w:rsid w:val="002627C9"/>
    <w:rsid w:val="0026293D"/>
    <w:rsid w:val="00262ABB"/>
    <w:rsid w:val="00262D66"/>
    <w:rsid w:val="00262F53"/>
    <w:rsid w:val="00263262"/>
    <w:rsid w:val="0026332C"/>
    <w:rsid w:val="00263B25"/>
    <w:rsid w:val="00263F88"/>
    <w:rsid w:val="0026462A"/>
    <w:rsid w:val="00264DE7"/>
    <w:rsid w:val="0026501B"/>
    <w:rsid w:val="0026501E"/>
    <w:rsid w:val="0026509E"/>
    <w:rsid w:val="002650E2"/>
    <w:rsid w:val="00265787"/>
    <w:rsid w:val="00265982"/>
    <w:rsid w:val="00265CCE"/>
    <w:rsid w:val="00265E75"/>
    <w:rsid w:val="00265F6C"/>
    <w:rsid w:val="00266382"/>
    <w:rsid w:val="002664A4"/>
    <w:rsid w:val="0026662F"/>
    <w:rsid w:val="0026677D"/>
    <w:rsid w:val="00266C59"/>
    <w:rsid w:val="002675A4"/>
    <w:rsid w:val="002676D5"/>
    <w:rsid w:val="0026773B"/>
    <w:rsid w:val="0026782D"/>
    <w:rsid w:val="00267B44"/>
    <w:rsid w:val="00267C12"/>
    <w:rsid w:val="00270154"/>
    <w:rsid w:val="002701AB"/>
    <w:rsid w:val="002703C3"/>
    <w:rsid w:val="0027059E"/>
    <w:rsid w:val="002706A7"/>
    <w:rsid w:val="002708A7"/>
    <w:rsid w:val="00270A36"/>
    <w:rsid w:val="00270AFD"/>
    <w:rsid w:val="00270B83"/>
    <w:rsid w:val="00270E32"/>
    <w:rsid w:val="0027134E"/>
    <w:rsid w:val="002714D8"/>
    <w:rsid w:val="002716C8"/>
    <w:rsid w:val="00271B1F"/>
    <w:rsid w:val="00271CAD"/>
    <w:rsid w:val="00271CB9"/>
    <w:rsid w:val="00271E67"/>
    <w:rsid w:val="00271F70"/>
    <w:rsid w:val="00272950"/>
    <w:rsid w:val="00272F7B"/>
    <w:rsid w:val="002736AA"/>
    <w:rsid w:val="00273B52"/>
    <w:rsid w:val="0027408B"/>
    <w:rsid w:val="002743BA"/>
    <w:rsid w:val="0027471B"/>
    <w:rsid w:val="00274C2A"/>
    <w:rsid w:val="00274C2F"/>
    <w:rsid w:val="00274FD9"/>
    <w:rsid w:val="00275EA3"/>
    <w:rsid w:val="00276A47"/>
    <w:rsid w:val="00276B56"/>
    <w:rsid w:val="00276B71"/>
    <w:rsid w:val="00276E76"/>
    <w:rsid w:val="00276F53"/>
    <w:rsid w:val="00277002"/>
    <w:rsid w:val="00277155"/>
    <w:rsid w:val="00277294"/>
    <w:rsid w:val="002772B4"/>
    <w:rsid w:val="00277368"/>
    <w:rsid w:val="002773E4"/>
    <w:rsid w:val="00280870"/>
    <w:rsid w:val="00280E52"/>
    <w:rsid w:val="00280F46"/>
    <w:rsid w:val="002811A7"/>
    <w:rsid w:val="002818F5"/>
    <w:rsid w:val="0028196C"/>
    <w:rsid w:val="002819FD"/>
    <w:rsid w:val="00281DF1"/>
    <w:rsid w:val="002821EC"/>
    <w:rsid w:val="0028256D"/>
    <w:rsid w:val="002828C2"/>
    <w:rsid w:val="00282AD6"/>
    <w:rsid w:val="002832AB"/>
    <w:rsid w:val="00283A10"/>
    <w:rsid w:val="00283E07"/>
    <w:rsid w:val="00284A1D"/>
    <w:rsid w:val="00284EBD"/>
    <w:rsid w:val="002850CF"/>
    <w:rsid w:val="002850ED"/>
    <w:rsid w:val="00285201"/>
    <w:rsid w:val="00285261"/>
    <w:rsid w:val="0028573C"/>
    <w:rsid w:val="0028583A"/>
    <w:rsid w:val="00285987"/>
    <w:rsid w:val="00285E2B"/>
    <w:rsid w:val="00285E3C"/>
    <w:rsid w:val="00286012"/>
    <w:rsid w:val="0028666E"/>
    <w:rsid w:val="00286C4A"/>
    <w:rsid w:val="00287019"/>
    <w:rsid w:val="00287368"/>
    <w:rsid w:val="00287481"/>
    <w:rsid w:val="002875EF"/>
    <w:rsid w:val="002877DF"/>
    <w:rsid w:val="00287873"/>
    <w:rsid w:val="002901E5"/>
    <w:rsid w:val="002904B8"/>
    <w:rsid w:val="002904EE"/>
    <w:rsid w:val="00290914"/>
    <w:rsid w:val="00290C2E"/>
    <w:rsid w:val="002916CC"/>
    <w:rsid w:val="00291947"/>
    <w:rsid w:val="002923FA"/>
    <w:rsid w:val="0029278C"/>
    <w:rsid w:val="00292CBC"/>
    <w:rsid w:val="00292E65"/>
    <w:rsid w:val="00292F7C"/>
    <w:rsid w:val="00293011"/>
    <w:rsid w:val="00293158"/>
    <w:rsid w:val="002935A2"/>
    <w:rsid w:val="00293A1E"/>
    <w:rsid w:val="00293AA9"/>
    <w:rsid w:val="00293CD0"/>
    <w:rsid w:val="00293CE5"/>
    <w:rsid w:val="00294063"/>
    <w:rsid w:val="00294084"/>
    <w:rsid w:val="002942AE"/>
    <w:rsid w:val="00294434"/>
    <w:rsid w:val="0029467A"/>
    <w:rsid w:val="00294732"/>
    <w:rsid w:val="002947B4"/>
    <w:rsid w:val="002961A4"/>
    <w:rsid w:val="002966B9"/>
    <w:rsid w:val="00296807"/>
    <w:rsid w:val="0029697C"/>
    <w:rsid w:val="0029707F"/>
    <w:rsid w:val="002970AC"/>
    <w:rsid w:val="00297912"/>
    <w:rsid w:val="002979F1"/>
    <w:rsid w:val="00297B53"/>
    <w:rsid w:val="00297D61"/>
    <w:rsid w:val="002A00D7"/>
    <w:rsid w:val="002A0398"/>
    <w:rsid w:val="002A0568"/>
    <w:rsid w:val="002A0BE4"/>
    <w:rsid w:val="002A0DF0"/>
    <w:rsid w:val="002A0E7C"/>
    <w:rsid w:val="002A0F03"/>
    <w:rsid w:val="002A13E1"/>
    <w:rsid w:val="002A15D5"/>
    <w:rsid w:val="002A1658"/>
    <w:rsid w:val="002A2340"/>
    <w:rsid w:val="002A2348"/>
    <w:rsid w:val="002A252A"/>
    <w:rsid w:val="002A2891"/>
    <w:rsid w:val="002A3111"/>
    <w:rsid w:val="002A3248"/>
    <w:rsid w:val="002A3430"/>
    <w:rsid w:val="002A3606"/>
    <w:rsid w:val="002A36C7"/>
    <w:rsid w:val="002A3858"/>
    <w:rsid w:val="002A44E0"/>
    <w:rsid w:val="002A4F79"/>
    <w:rsid w:val="002A5373"/>
    <w:rsid w:val="002A53DC"/>
    <w:rsid w:val="002A56A7"/>
    <w:rsid w:val="002A6A27"/>
    <w:rsid w:val="002A6C13"/>
    <w:rsid w:val="002A6C86"/>
    <w:rsid w:val="002A6DBC"/>
    <w:rsid w:val="002A6F41"/>
    <w:rsid w:val="002A7374"/>
    <w:rsid w:val="002A751D"/>
    <w:rsid w:val="002A7BAB"/>
    <w:rsid w:val="002A7C97"/>
    <w:rsid w:val="002B0362"/>
    <w:rsid w:val="002B0846"/>
    <w:rsid w:val="002B087E"/>
    <w:rsid w:val="002B0A12"/>
    <w:rsid w:val="002B0B72"/>
    <w:rsid w:val="002B0C9B"/>
    <w:rsid w:val="002B0DBD"/>
    <w:rsid w:val="002B1149"/>
    <w:rsid w:val="002B1212"/>
    <w:rsid w:val="002B1304"/>
    <w:rsid w:val="002B1381"/>
    <w:rsid w:val="002B1633"/>
    <w:rsid w:val="002B1A8A"/>
    <w:rsid w:val="002B2143"/>
    <w:rsid w:val="002B2295"/>
    <w:rsid w:val="002B27CD"/>
    <w:rsid w:val="002B2876"/>
    <w:rsid w:val="002B28B0"/>
    <w:rsid w:val="002B2929"/>
    <w:rsid w:val="002B30F1"/>
    <w:rsid w:val="002B33AF"/>
    <w:rsid w:val="002B34DE"/>
    <w:rsid w:val="002B35B6"/>
    <w:rsid w:val="002B3832"/>
    <w:rsid w:val="002B491C"/>
    <w:rsid w:val="002B4A22"/>
    <w:rsid w:val="002B4A50"/>
    <w:rsid w:val="002B4CD4"/>
    <w:rsid w:val="002B5065"/>
    <w:rsid w:val="002B54B6"/>
    <w:rsid w:val="002B5538"/>
    <w:rsid w:val="002B5854"/>
    <w:rsid w:val="002B5988"/>
    <w:rsid w:val="002B5A55"/>
    <w:rsid w:val="002B5F53"/>
    <w:rsid w:val="002B5FDA"/>
    <w:rsid w:val="002B6CA9"/>
    <w:rsid w:val="002B7C85"/>
    <w:rsid w:val="002B7CEF"/>
    <w:rsid w:val="002B7D06"/>
    <w:rsid w:val="002C0064"/>
    <w:rsid w:val="002C0933"/>
    <w:rsid w:val="002C1068"/>
    <w:rsid w:val="002C112E"/>
    <w:rsid w:val="002C12CC"/>
    <w:rsid w:val="002C17DA"/>
    <w:rsid w:val="002C1E7C"/>
    <w:rsid w:val="002C3404"/>
    <w:rsid w:val="002C38FF"/>
    <w:rsid w:val="002C392C"/>
    <w:rsid w:val="002C395D"/>
    <w:rsid w:val="002C48CE"/>
    <w:rsid w:val="002C493E"/>
    <w:rsid w:val="002C4B3A"/>
    <w:rsid w:val="002C4D85"/>
    <w:rsid w:val="002C4E30"/>
    <w:rsid w:val="002C4ED8"/>
    <w:rsid w:val="002C585F"/>
    <w:rsid w:val="002C594C"/>
    <w:rsid w:val="002C5981"/>
    <w:rsid w:val="002C5999"/>
    <w:rsid w:val="002C5B5E"/>
    <w:rsid w:val="002C6498"/>
    <w:rsid w:val="002C6532"/>
    <w:rsid w:val="002C6998"/>
    <w:rsid w:val="002C699C"/>
    <w:rsid w:val="002C6C07"/>
    <w:rsid w:val="002C73AB"/>
    <w:rsid w:val="002C7727"/>
    <w:rsid w:val="002C78F5"/>
    <w:rsid w:val="002C7DD8"/>
    <w:rsid w:val="002C7FD9"/>
    <w:rsid w:val="002D0410"/>
    <w:rsid w:val="002D083D"/>
    <w:rsid w:val="002D0899"/>
    <w:rsid w:val="002D0AF9"/>
    <w:rsid w:val="002D0E73"/>
    <w:rsid w:val="002D1333"/>
    <w:rsid w:val="002D14BF"/>
    <w:rsid w:val="002D1707"/>
    <w:rsid w:val="002D17E2"/>
    <w:rsid w:val="002D1A5A"/>
    <w:rsid w:val="002D1C31"/>
    <w:rsid w:val="002D1DA1"/>
    <w:rsid w:val="002D1FB0"/>
    <w:rsid w:val="002D2892"/>
    <w:rsid w:val="002D2A49"/>
    <w:rsid w:val="002D2E37"/>
    <w:rsid w:val="002D2EB8"/>
    <w:rsid w:val="002D3037"/>
    <w:rsid w:val="002D3EC4"/>
    <w:rsid w:val="002D3F5B"/>
    <w:rsid w:val="002D4052"/>
    <w:rsid w:val="002D4096"/>
    <w:rsid w:val="002D4184"/>
    <w:rsid w:val="002D45FF"/>
    <w:rsid w:val="002D51B3"/>
    <w:rsid w:val="002D54C5"/>
    <w:rsid w:val="002D59E9"/>
    <w:rsid w:val="002D5CFB"/>
    <w:rsid w:val="002D6037"/>
    <w:rsid w:val="002D6AE1"/>
    <w:rsid w:val="002D6B02"/>
    <w:rsid w:val="002D6B2C"/>
    <w:rsid w:val="002D6B6B"/>
    <w:rsid w:val="002D6DE6"/>
    <w:rsid w:val="002D72C9"/>
    <w:rsid w:val="002D755E"/>
    <w:rsid w:val="002D76E5"/>
    <w:rsid w:val="002D790C"/>
    <w:rsid w:val="002D7A78"/>
    <w:rsid w:val="002D7BFC"/>
    <w:rsid w:val="002E011E"/>
    <w:rsid w:val="002E0487"/>
    <w:rsid w:val="002E08A0"/>
    <w:rsid w:val="002E0D8F"/>
    <w:rsid w:val="002E0EC8"/>
    <w:rsid w:val="002E120B"/>
    <w:rsid w:val="002E14C5"/>
    <w:rsid w:val="002E1650"/>
    <w:rsid w:val="002E24D8"/>
    <w:rsid w:val="002E255C"/>
    <w:rsid w:val="002E265E"/>
    <w:rsid w:val="002E278F"/>
    <w:rsid w:val="002E29A6"/>
    <w:rsid w:val="002E29C5"/>
    <w:rsid w:val="002E2B75"/>
    <w:rsid w:val="002E2CA4"/>
    <w:rsid w:val="002E3332"/>
    <w:rsid w:val="002E3A6F"/>
    <w:rsid w:val="002E3B4D"/>
    <w:rsid w:val="002E3D34"/>
    <w:rsid w:val="002E4221"/>
    <w:rsid w:val="002E4E19"/>
    <w:rsid w:val="002E4FDA"/>
    <w:rsid w:val="002E5151"/>
    <w:rsid w:val="002E5676"/>
    <w:rsid w:val="002E5732"/>
    <w:rsid w:val="002E58E7"/>
    <w:rsid w:val="002E5A96"/>
    <w:rsid w:val="002E5B8B"/>
    <w:rsid w:val="002E5BC0"/>
    <w:rsid w:val="002E5D51"/>
    <w:rsid w:val="002E5E68"/>
    <w:rsid w:val="002E5E88"/>
    <w:rsid w:val="002E6339"/>
    <w:rsid w:val="002E6ACA"/>
    <w:rsid w:val="002E6D93"/>
    <w:rsid w:val="002E7183"/>
    <w:rsid w:val="002E748A"/>
    <w:rsid w:val="002E77FC"/>
    <w:rsid w:val="002E79AC"/>
    <w:rsid w:val="002E7D40"/>
    <w:rsid w:val="002F0522"/>
    <w:rsid w:val="002F0734"/>
    <w:rsid w:val="002F0A03"/>
    <w:rsid w:val="002F0E38"/>
    <w:rsid w:val="002F0E5A"/>
    <w:rsid w:val="002F0EB3"/>
    <w:rsid w:val="002F13B1"/>
    <w:rsid w:val="002F141C"/>
    <w:rsid w:val="002F17C0"/>
    <w:rsid w:val="002F1A1C"/>
    <w:rsid w:val="002F1E69"/>
    <w:rsid w:val="002F1FE1"/>
    <w:rsid w:val="002F20D5"/>
    <w:rsid w:val="002F2337"/>
    <w:rsid w:val="002F35B2"/>
    <w:rsid w:val="002F3668"/>
    <w:rsid w:val="002F37C9"/>
    <w:rsid w:val="002F38A3"/>
    <w:rsid w:val="002F38C0"/>
    <w:rsid w:val="002F3DA3"/>
    <w:rsid w:val="002F43F8"/>
    <w:rsid w:val="002F4EBE"/>
    <w:rsid w:val="002F519B"/>
    <w:rsid w:val="002F57B8"/>
    <w:rsid w:val="002F5A58"/>
    <w:rsid w:val="002F5CD6"/>
    <w:rsid w:val="002F5D21"/>
    <w:rsid w:val="002F60CF"/>
    <w:rsid w:val="002F613E"/>
    <w:rsid w:val="002F62E1"/>
    <w:rsid w:val="002F661A"/>
    <w:rsid w:val="002F691B"/>
    <w:rsid w:val="002F69CC"/>
    <w:rsid w:val="002F752A"/>
    <w:rsid w:val="002F75FD"/>
    <w:rsid w:val="002F7B76"/>
    <w:rsid w:val="002F7F3E"/>
    <w:rsid w:val="003001D0"/>
    <w:rsid w:val="00300543"/>
    <w:rsid w:val="003006B1"/>
    <w:rsid w:val="00300C26"/>
    <w:rsid w:val="00300DCF"/>
    <w:rsid w:val="00300E2D"/>
    <w:rsid w:val="003011A8"/>
    <w:rsid w:val="00301975"/>
    <w:rsid w:val="00301AB6"/>
    <w:rsid w:val="00301C1D"/>
    <w:rsid w:val="00301D56"/>
    <w:rsid w:val="00301E0D"/>
    <w:rsid w:val="003020BB"/>
    <w:rsid w:val="00302155"/>
    <w:rsid w:val="00302266"/>
    <w:rsid w:val="00302340"/>
    <w:rsid w:val="0030252E"/>
    <w:rsid w:val="00302A56"/>
    <w:rsid w:val="00302C95"/>
    <w:rsid w:val="00303252"/>
    <w:rsid w:val="0030352D"/>
    <w:rsid w:val="00303656"/>
    <w:rsid w:val="003036B0"/>
    <w:rsid w:val="00303821"/>
    <w:rsid w:val="00303983"/>
    <w:rsid w:val="0030399B"/>
    <w:rsid w:val="00304205"/>
    <w:rsid w:val="003042F5"/>
    <w:rsid w:val="00304587"/>
    <w:rsid w:val="00304A46"/>
    <w:rsid w:val="00304CB8"/>
    <w:rsid w:val="0030500D"/>
    <w:rsid w:val="003052C5"/>
    <w:rsid w:val="0030532F"/>
    <w:rsid w:val="0030542C"/>
    <w:rsid w:val="003055DC"/>
    <w:rsid w:val="003056AD"/>
    <w:rsid w:val="00305E33"/>
    <w:rsid w:val="003060B2"/>
    <w:rsid w:val="00306D6E"/>
    <w:rsid w:val="00307116"/>
    <w:rsid w:val="0030740C"/>
    <w:rsid w:val="0030749E"/>
    <w:rsid w:val="00307F52"/>
    <w:rsid w:val="00310404"/>
    <w:rsid w:val="00310418"/>
    <w:rsid w:val="00310597"/>
    <w:rsid w:val="003108EA"/>
    <w:rsid w:val="00310D2A"/>
    <w:rsid w:val="00310D9C"/>
    <w:rsid w:val="00310E44"/>
    <w:rsid w:val="00310E74"/>
    <w:rsid w:val="0031159F"/>
    <w:rsid w:val="00311605"/>
    <w:rsid w:val="003116FC"/>
    <w:rsid w:val="00311EC7"/>
    <w:rsid w:val="00312010"/>
    <w:rsid w:val="00312266"/>
    <w:rsid w:val="00312FD3"/>
    <w:rsid w:val="00312FFC"/>
    <w:rsid w:val="003131E4"/>
    <w:rsid w:val="003137CF"/>
    <w:rsid w:val="00313825"/>
    <w:rsid w:val="00313C07"/>
    <w:rsid w:val="00313CC0"/>
    <w:rsid w:val="0031437B"/>
    <w:rsid w:val="0031450E"/>
    <w:rsid w:val="0031455C"/>
    <w:rsid w:val="0031488D"/>
    <w:rsid w:val="00314B42"/>
    <w:rsid w:val="00314FFB"/>
    <w:rsid w:val="003150BF"/>
    <w:rsid w:val="003150CE"/>
    <w:rsid w:val="003158C5"/>
    <w:rsid w:val="00315BCD"/>
    <w:rsid w:val="00315E92"/>
    <w:rsid w:val="003161C1"/>
    <w:rsid w:val="003166AE"/>
    <w:rsid w:val="00316761"/>
    <w:rsid w:val="00317264"/>
    <w:rsid w:val="003177FC"/>
    <w:rsid w:val="0031798C"/>
    <w:rsid w:val="00317DA7"/>
    <w:rsid w:val="00320348"/>
    <w:rsid w:val="003205C7"/>
    <w:rsid w:val="003207EB"/>
    <w:rsid w:val="003210A7"/>
    <w:rsid w:val="003211F4"/>
    <w:rsid w:val="0032148A"/>
    <w:rsid w:val="00321910"/>
    <w:rsid w:val="00321A39"/>
    <w:rsid w:val="00321E7E"/>
    <w:rsid w:val="003228B3"/>
    <w:rsid w:val="003228F6"/>
    <w:rsid w:val="00322CDD"/>
    <w:rsid w:val="0032319F"/>
    <w:rsid w:val="003231DD"/>
    <w:rsid w:val="003237F4"/>
    <w:rsid w:val="00323A0D"/>
    <w:rsid w:val="00323B9E"/>
    <w:rsid w:val="003241DF"/>
    <w:rsid w:val="00324234"/>
    <w:rsid w:val="003242A0"/>
    <w:rsid w:val="003242AD"/>
    <w:rsid w:val="003242FC"/>
    <w:rsid w:val="00324864"/>
    <w:rsid w:val="00324C4C"/>
    <w:rsid w:val="003250BF"/>
    <w:rsid w:val="00325638"/>
    <w:rsid w:val="00325F91"/>
    <w:rsid w:val="00325FD4"/>
    <w:rsid w:val="00326227"/>
    <w:rsid w:val="0032679E"/>
    <w:rsid w:val="0032680E"/>
    <w:rsid w:val="00326C1C"/>
    <w:rsid w:val="00326CB6"/>
    <w:rsid w:val="003271F7"/>
    <w:rsid w:val="00327301"/>
    <w:rsid w:val="0032739D"/>
    <w:rsid w:val="00327930"/>
    <w:rsid w:val="00327C81"/>
    <w:rsid w:val="00327CE2"/>
    <w:rsid w:val="00330079"/>
    <w:rsid w:val="00330804"/>
    <w:rsid w:val="0033138C"/>
    <w:rsid w:val="0033224D"/>
    <w:rsid w:val="0033265B"/>
    <w:rsid w:val="00332C1A"/>
    <w:rsid w:val="003335F3"/>
    <w:rsid w:val="0033370A"/>
    <w:rsid w:val="00333A84"/>
    <w:rsid w:val="00333CC1"/>
    <w:rsid w:val="00334681"/>
    <w:rsid w:val="003346E5"/>
    <w:rsid w:val="00334A6B"/>
    <w:rsid w:val="00334C10"/>
    <w:rsid w:val="00334E3F"/>
    <w:rsid w:val="00335022"/>
    <w:rsid w:val="003350D8"/>
    <w:rsid w:val="003351CA"/>
    <w:rsid w:val="003353DC"/>
    <w:rsid w:val="0033559A"/>
    <w:rsid w:val="00335799"/>
    <w:rsid w:val="003366B2"/>
    <w:rsid w:val="003368F8"/>
    <w:rsid w:val="00336A16"/>
    <w:rsid w:val="00336B6A"/>
    <w:rsid w:val="00336C22"/>
    <w:rsid w:val="00336CD2"/>
    <w:rsid w:val="00336F92"/>
    <w:rsid w:val="00337175"/>
    <w:rsid w:val="003371DA"/>
    <w:rsid w:val="003372F2"/>
    <w:rsid w:val="00337473"/>
    <w:rsid w:val="00337647"/>
    <w:rsid w:val="003376E7"/>
    <w:rsid w:val="00337893"/>
    <w:rsid w:val="00337DEC"/>
    <w:rsid w:val="00340066"/>
    <w:rsid w:val="0034014E"/>
    <w:rsid w:val="00340202"/>
    <w:rsid w:val="003408F7"/>
    <w:rsid w:val="003408F8"/>
    <w:rsid w:val="00340A99"/>
    <w:rsid w:val="00340BD1"/>
    <w:rsid w:val="00340BF0"/>
    <w:rsid w:val="003415D8"/>
    <w:rsid w:val="00341ECF"/>
    <w:rsid w:val="00341F74"/>
    <w:rsid w:val="0034221F"/>
    <w:rsid w:val="00342782"/>
    <w:rsid w:val="0034288B"/>
    <w:rsid w:val="00342E18"/>
    <w:rsid w:val="00342F71"/>
    <w:rsid w:val="0034332B"/>
    <w:rsid w:val="0034392A"/>
    <w:rsid w:val="00343EE3"/>
    <w:rsid w:val="00343F9F"/>
    <w:rsid w:val="0034450B"/>
    <w:rsid w:val="00344644"/>
    <w:rsid w:val="00344756"/>
    <w:rsid w:val="003447CC"/>
    <w:rsid w:val="00344FE4"/>
    <w:rsid w:val="00345101"/>
    <w:rsid w:val="00345283"/>
    <w:rsid w:val="0034559E"/>
    <w:rsid w:val="00345E79"/>
    <w:rsid w:val="003462AF"/>
    <w:rsid w:val="0034631D"/>
    <w:rsid w:val="0034681C"/>
    <w:rsid w:val="003470BF"/>
    <w:rsid w:val="003475D7"/>
    <w:rsid w:val="003478AE"/>
    <w:rsid w:val="003479B8"/>
    <w:rsid w:val="00347F19"/>
    <w:rsid w:val="003501AB"/>
    <w:rsid w:val="00350556"/>
    <w:rsid w:val="00350912"/>
    <w:rsid w:val="00350FD5"/>
    <w:rsid w:val="00351307"/>
    <w:rsid w:val="0035133C"/>
    <w:rsid w:val="003513BD"/>
    <w:rsid w:val="003515F7"/>
    <w:rsid w:val="00351E56"/>
    <w:rsid w:val="00351EE4"/>
    <w:rsid w:val="00352090"/>
    <w:rsid w:val="0035266E"/>
    <w:rsid w:val="00352AD7"/>
    <w:rsid w:val="00352DFD"/>
    <w:rsid w:val="00352E55"/>
    <w:rsid w:val="00353286"/>
    <w:rsid w:val="00353635"/>
    <w:rsid w:val="00353643"/>
    <w:rsid w:val="00353DF7"/>
    <w:rsid w:val="00353FA8"/>
    <w:rsid w:val="00354062"/>
    <w:rsid w:val="0035448E"/>
    <w:rsid w:val="00354884"/>
    <w:rsid w:val="003548E5"/>
    <w:rsid w:val="00354D0A"/>
    <w:rsid w:val="00354D96"/>
    <w:rsid w:val="003554E4"/>
    <w:rsid w:val="00355577"/>
    <w:rsid w:val="003555BE"/>
    <w:rsid w:val="00355837"/>
    <w:rsid w:val="00355BEF"/>
    <w:rsid w:val="00355F85"/>
    <w:rsid w:val="003566E5"/>
    <w:rsid w:val="003566FA"/>
    <w:rsid w:val="00356941"/>
    <w:rsid w:val="00356BEC"/>
    <w:rsid w:val="00356CCA"/>
    <w:rsid w:val="00356CF7"/>
    <w:rsid w:val="00356D2D"/>
    <w:rsid w:val="00357077"/>
    <w:rsid w:val="00357336"/>
    <w:rsid w:val="003600A8"/>
    <w:rsid w:val="00360534"/>
    <w:rsid w:val="0036081E"/>
    <w:rsid w:val="0036093C"/>
    <w:rsid w:val="00360C85"/>
    <w:rsid w:val="00360CCF"/>
    <w:rsid w:val="00360EE3"/>
    <w:rsid w:val="00360FE4"/>
    <w:rsid w:val="003610FB"/>
    <w:rsid w:val="003613A8"/>
    <w:rsid w:val="003617FF"/>
    <w:rsid w:val="00361F90"/>
    <w:rsid w:val="0036232B"/>
    <w:rsid w:val="0036237D"/>
    <w:rsid w:val="003629B1"/>
    <w:rsid w:val="00362D2F"/>
    <w:rsid w:val="00363577"/>
    <w:rsid w:val="0036389B"/>
    <w:rsid w:val="003638D3"/>
    <w:rsid w:val="003646A8"/>
    <w:rsid w:val="00364963"/>
    <w:rsid w:val="00364D88"/>
    <w:rsid w:val="00364F01"/>
    <w:rsid w:val="00365081"/>
    <w:rsid w:val="0036525C"/>
    <w:rsid w:val="00365CA9"/>
    <w:rsid w:val="00365E64"/>
    <w:rsid w:val="00366524"/>
    <w:rsid w:val="003666B0"/>
    <w:rsid w:val="0036678F"/>
    <w:rsid w:val="00366A12"/>
    <w:rsid w:val="00366CCF"/>
    <w:rsid w:val="00366DFD"/>
    <w:rsid w:val="00366E40"/>
    <w:rsid w:val="003671F3"/>
    <w:rsid w:val="0036728B"/>
    <w:rsid w:val="003672B8"/>
    <w:rsid w:val="00367744"/>
    <w:rsid w:val="00367E94"/>
    <w:rsid w:val="00370340"/>
    <w:rsid w:val="003703C7"/>
    <w:rsid w:val="003703DB"/>
    <w:rsid w:val="0037062B"/>
    <w:rsid w:val="00370920"/>
    <w:rsid w:val="00371064"/>
    <w:rsid w:val="00371C56"/>
    <w:rsid w:val="00372309"/>
    <w:rsid w:val="00372C32"/>
    <w:rsid w:val="00373C79"/>
    <w:rsid w:val="00373E58"/>
    <w:rsid w:val="00373E9F"/>
    <w:rsid w:val="00374386"/>
    <w:rsid w:val="003743F4"/>
    <w:rsid w:val="003750CE"/>
    <w:rsid w:val="00375127"/>
    <w:rsid w:val="00375370"/>
    <w:rsid w:val="00376073"/>
    <w:rsid w:val="00376373"/>
    <w:rsid w:val="0037640D"/>
    <w:rsid w:val="003765F7"/>
    <w:rsid w:val="0037664F"/>
    <w:rsid w:val="00376ABE"/>
    <w:rsid w:val="00376F0C"/>
    <w:rsid w:val="00377452"/>
    <w:rsid w:val="003775FF"/>
    <w:rsid w:val="00377D9F"/>
    <w:rsid w:val="00377EBA"/>
    <w:rsid w:val="00380249"/>
    <w:rsid w:val="003804AB"/>
    <w:rsid w:val="003804DF"/>
    <w:rsid w:val="00380B30"/>
    <w:rsid w:val="003810BA"/>
    <w:rsid w:val="00381223"/>
    <w:rsid w:val="003814D2"/>
    <w:rsid w:val="00381641"/>
    <w:rsid w:val="00381849"/>
    <w:rsid w:val="00381C0E"/>
    <w:rsid w:val="00381DCE"/>
    <w:rsid w:val="00381F6D"/>
    <w:rsid w:val="00382811"/>
    <w:rsid w:val="00382BFA"/>
    <w:rsid w:val="0038321B"/>
    <w:rsid w:val="00383BD7"/>
    <w:rsid w:val="003840D0"/>
    <w:rsid w:val="003840DF"/>
    <w:rsid w:val="003843BA"/>
    <w:rsid w:val="00384509"/>
    <w:rsid w:val="00384565"/>
    <w:rsid w:val="00384645"/>
    <w:rsid w:val="003848FB"/>
    <w:rsid w:val="00384C6F"/>
    <w:rsid w:val="00384D3F"/>
    <w:rsid w:val="00384F36"/>
    <w:rsid w:val="00385025"/>
    <w:rsid w:val="00385233"/>
    <w:rsid w:val="00385271"/>
    <w:rsid w:val="003855CD"/>
    <w:rsid w:val="00385833"/>
    <w:rsid w:val="003858A0"/>
    <w:rsid w:val="003858CF"/>
    <w:rsid w:val="00385E0D"/>
    <w:rsid w:val="00385E68"/>
    <w:rsid w:val="003860E3"/>
    <w:rsid w:val="00386902"/>
    <w:rsid w:val="00386B2F"/>
    <w:rsid w:val="00386C3C"/>
    <w:rsid w:val="003874DB"/>
    <w:rsid w:val="00387645"/>
    <w:rsid w:val="00387AC2"/>
    <w:rsid w:val="003902EE"/>
    <w:rsid w:val="00390336"/>
    <w:rsid w:val="003904AD"/>
    <w:rsid w:val="0039066B"/>
    <w:rsid w:val="00390795"/>
    <w:rsid w:val="00390A13"/>
    <w:rsid w:val="003913E9"/>
    <w:rsid w:val="003916EF"/>
    <w:rsid w:val="00391CC6"/>
    <w:rsid w:val="00391DF5"/>
    <w:rsid w:val="0039215B"/>
    <w:rsid w:val="0039226E"/>
    <w:rsid w:val="0039292C"/>
    <w:rsid w:val="00392CBD"/>
    <w:rsid w:val="00392CC8"/>
    <w:rsid w:val="0039328C"/>
    <w:rsid w:val="00393379"/>
    <w:rsid w:val="00393599"/>
    <w:rsid w:val="00394022"/>
    <w:rsid w:val="003941EF"/>
    <w:rsid w:val="00394960"/>
    <w:rsid w:val="00394B8D"/>
    <w:rsid w:val="00394F10"/>
    <w:rsid w:val="00394F76"/>
    <w:rsid w:val="003950AF"/>
    <w:rsid w:val="003957A0"/>
    <w:rsid w:val="0039589D"/>
    <w:rsid w:val="00396108"/>
    <w:rsid w:val="00396184"/>
    <w:rsid w:val="003961D8"/>
    <w:rsid w:val="00396245"/>
    <w:rsid w:val="0039647A"/>
    <w:rsid w:val="003969F7"/>
    <w:rsid w:val="00396E4D"/>
    <w:rsid w:val="00396ECE"/>
    <w:rsid w:val="003973E0"/>
    <w:rsid w:val="00397B86"/>
    <w:rsid w:val="00397C16"/>
    <w:rsid w:val="00397CCB"/>
    <w:rsid w:val="003A03D2"/>
    <w:rsid w:val="003A0875"/>
    <w:rsid w:val="003A0C0B"/>
    <w:rsid w:val="003A0C5A"/>
    <w:rsid w:val="003A1174"/>
    <w:rsid w:val="003A128F"/>
    <w:rsid w:val="003A14EA"/>
    <w:rsid w:val="003A17BC"/>
    <w:rsid w:val="003A2017"/>
    <w:rsid w:val="003A2367"/>
    <w:rsid w:val="003A25B2"/>
    <w:rsid w:val="003A2846"/>
    <w:rsid w:val="003A28A7"/>
    <w:rsid w:val="003A2B89"/>
    <w:rsid w:val="003A305C"/>
    <w:rsid w:val="003A31E4"/>
    <w:rsid w:val="003A34DA"/>
    <w:rsid w:val="003A35FC"/>
    <w:rsid w:val="003A3C79"/>
    <w:rsid w:val="003A416E"/>
    <w:rsid w:val="003A4273"/>
    <w:rsid w:val="003A4315"/>
    <w:rsid w:val="003A472B"/>
    <w:rsid w:val="003A48CC"/>
    <w:rsid w:val="003A4A27"/>
    <w:rsid w:val="003A58DA"/>
    <w:rsid w:val="003A5B31"/>
    <w:rsid w:val="003A6037"/>
    <w:rsid w:val="003A60F5"/>
    <w:rsid w:val="003A64B3"/>
    <w:rsid w:val="003A683A"/>
    <w:rsid w:val="003A6BAB"/>
    <w:rsid w:val="003A6F5F"/>
    <w:rsid w:val="003A71E0"/>
    <w:rsid w:val="003A72EF"/>
    <w:rsid w:val="003A741B"/>
    <w:rsid w:val="003A75B1"/>
    <w:rsid w:val="003A770E"/>
    <w:rsid w:val="003A78C4"/>
    <w:rsid w:val="003A7E95"/>
    <w:rsid w:val="003A7F3C"/>
    <w:rsid w:val="003B060A"/>
    <w:rsid w:val="003B08C0"/>
    <w:rsid w:val="003B0C21"/>
    <w:rsid w:val="003B1554"/>
    <w:rsid w:val="003B1803"/>
    <w:rsid w:val="003B1A68"/>
    <w:rsid w:val="003B261B"/>
    <w:rsid w:val="003B274C"/>
    <w:rsid w:val="003B27ED"/>
    <w:rsid w:val="003B2A38"/>
    <w:rsid w:val="003B2C2B"/>
    <w:rsid w:val="003B2EF7"/>
    <w:rsid w:val="003B34D6"/>
    <w:rsid w:val="003B3540"/>
    <w:rsid w:val="003B379B"/>
    <w:rsid w:val="003B3CB8"/>
    <w:rsid w:val="003B3D8E"/>
    <w:rsid w:val="003B404A"/>
    <w:rsid w:val="003B453A"/>
    <w:rsid w:val="003B49DE"/>
    <w:rsid w:val="003B4B73"/>
    <w:rsid w:val="003B4EED"/>
    <w:rsid w:val="003B526C"/>
    <w:rsid w:val="003B5308"/>
    <w:rsid w:val="003B54F9"/>
    <w:rsid w:val="003B5BCC"/>
    <w:rsid w:val="003B5FC4"/>
    <w:rsid w:val="003B64D1"/>
    <w:rsid w:val="003B69A7"/>
    <w:rsid w:val="003B6B2C"/>
    <w:rsid w:val="003B6BF4"/>
    <w:rsid w:val="003B6C28"/>
    <w:rsid w:val="003B75DB"/>
    <w:rsid w:val="003C002C"/>
    <w:rsid w:val="003C0465"/>
    <w:rsid w:val="003C0B96"/>
    <w:rsid w:val="003C0C18"/>
    <w:rsid w:val="003C1C06"/>
    <w:rsid w:val="003C1F13"/>
    <w:rsid w:val="003C2000"/>
    <w:rsid w:val="003C266A"/>
    <w:rsid w:val="003C2749"/>
    <w:rsid w:val="003C381F"/>
    <w:rsid w:val="003C39A4"/>
    <w:rsid w:val="003C3A55"/>
    <w:rsid w:val="003C3A59"/>
    <w:rsid w:val="003C3AEA"/>
    <w:rsid w:val="003C3C95"/>
    <w:rsid w:val="003C3D55"/>
    <w:rsid w:val="003C3DA4"/>
    <w:rsid w:val="003C4617"/>
    <w:rsid w:val="003C4D37"/>
    <w:rsid w:val="003C547B"/>
    <w:rsid w:val="003C5A1F"/>
    <w:rsid w:val="003C602A"/>
    <w:rsid w:val="003C60B9"/>
    <w:rsid w:val="003C60E9"/>
    <w:rsid w:val="003C6388"/>
    <w:rsid w:val="003C642A"/>
    <w:rsid w:val="003C64ED"/>
    <w:rsid w:val="003C6BA5"/>
    <w:rsid w:val="003C6E2F"/>
    <w:rsid w:val="003C6E67"/>
    <w:rsid w:val="003C7594"/>
    <w:rsid w:val="003C79CF"/>
    <w:rsid w:val="003C7A55"/>
    <w:rsid w:val="003D0CBC"/>
    <w:rsid w:val="003D0D54"/>
    <w:rsid w:val="003D0F03"/>
    <w:rsid w:val="003D1412"/>
    <w:rsid w:val="003D1674"/>
    <w:rsid w:val="003D1759"/>
    <w:rsid w:val="003D185B"/>
    <w:rsid w:val="003D1896"/>
    <w:rsid w:val="003D1AF4"/>
    <w:rsid w:val="003D1D39"/>
    <w:rsid w:val="003D2134"/>
    <w:rsid w:val="003D272A"/>
    <w:rsid w:val="003D3016"/>
    <w:rsid w:val="003D35DC"/>
    <w:rsid w:val="003D3720"/>
    <w:rsid w:val="003D3AEC"/>
    <w:rsid w:val="003D3B14"/>
    <w:rsid w:val="003D4248"/>
    <w:rsid w:val="003D4395"/>
    <w:rsid w:val="003D4515"/>
    <w:rsid w:val="003D47BD"/>
    <w:rsid w:val="003D485F"/>
    <w:rsid w:val="003D4BE1"/>
    <w:rsid w:val="003D50A2"/>
    <w:rsid w:val="003D562E"/>
    <w:rsid w:val="003D5C46"/>
    <w:rsid w:val="003D62F7"/>
    <w:rsid w:val="003D6690"/>
    <w:rsid w:val="003D6853"/>
    <w:rsid w:val="003D7010"/>
    <w:rsid w:val="003D7E68"/>
    <w:rsid w:val="003E024E"/>
    <w:rsid w:val="003E070C"/>
    <w:rsid w:val="003E0923"/>
    <w:rsid w:val="003E1035"/>
    <w:rsid w:val="003E17F2"/>
    <w:rsid w:val="003E1819"/>
    <w:rsid w:val="003E1824"/>
    <w:rsid w:val="003E19F7"/>
    <w:rsid w:val="003E1D6D"/>
    <w:rsid w:val="003E1EB2"/>
    <w:rsid w:val="003E20D7"/>
    <w:rsid w:val="003E26C8"/>
    <w:rsid w:val="003E316F"/>
    <w:rsid w:val="003E3201"/>
    <w:rsid w:val="003E385C"/>
    <w:rsid w:val="003E3A2E"/>
    <w:rsid w:val="003E3A6C"/>
    <w:rsid w:val="003E3B3D"/>
    <w:rsid w:val="003E3EBB"/>
    <w:rsid w:val="003E4262"/>
    <w:rsid w:val="003E47A7"/>
    <w:rsid w:val="003E485E"/>
    <w:rsid w:val="003E48A3"/>
    <w:rsid w:val="003E492C"/>
    <w:rsid w:val="003E4B3F"/>
    <w:rsid w:val="003E53DC"/>
    <w:rsid w:val="003E5BF0"/>
    <w:rsid w:val="003E6C16"/>
    <w:rsid w:val="003E6C69"/>
    <w:rsid w:val="003E6D07"/>
    <w:rsid w:val="003E6EA5"/>
    <w:rsid w:val="003E710D"/>
    <w:rsid w:val="003E79F3"/>
    <w:rsid w:val="003E7A9C"/>
    <w:rsid w:val="003F0109"/>
    <w:rsid w:val="003F0273"/>
    <w:rsid w:val="003F0762"/>
    <w:rsid w:val="003F0D6C"/>
    <w:rsid w:val="003F0ED0"/>
    <w:rsid w:val="003F10E9"/>
    <w:rsid w:val="003F13ED"/>
    <w:rsid w:val="003F164F"/>
    <w:rsid w:val="003F1ACF"/>
    <w:rsid w:val="003F1D16"/>
    <w:rsid w:val="003F25CB"/>
    <w:rsid w:val="003F292E"/>
    <w:rsid w:val="003F2F73"/>
    <w:rsid w:val="003F2FC4"/>
    <w:rsid w:val="003F322E"/>
    <w:rsid w:val="003F328F"/>
    <w:rsid w:val="003F3A09"/>
    <w:rsid w:val="003F3FB3"/>
    <w:rsid w:val="003F40EF"/>
    <w:rsid w:val="003F463D"/>
    <w:rsid w:val="003F4AD3"/>
    <w:rsid w:val="003F4F1A"/>
    <w:rsid w:val="003F4FCB"/>
    <w:rsid w:val="003F531A"/>
    <w:rsid w:val="003F5641"/>
    <w:rsid w:val="003F60A4"/>
    <w:rsid w:val="003F6189"/>
    <w:rsid w:val="003F664E"/>
    <w:rsid w:val="003F68CA"/>
    <w:rsid w:val="003F7254"/>
    <w:rsid w:val="003F73E7"/>
    <w:rsid w:val="003F79BB"/>
    <w:rsid w:val="003F7C3A"/>
    <w:rsid w:val="003F7C8F"/>
    <w:rsid w:val="003F7C9E"/>
    <w:rsid w:val="003F7EF3"/>
    <w:rsid w:val="00400577"/>
    <w:rsid w:val="0040062F"/>
    <w:rsid w:val="00400C8B"/>
    <w:rsid w:val="004016F7"/>
    <w:rsid w:val="00401809"/>
    <w:rsid w:val="00402286"/>
    <w:rsid w:val="004025E8"/>
    <w:rsid w:val="00402768"/>
    <w:rsid w:val="00402FF6"/>
    <w:rsid w:val="004032FA"/>
    <w:rsid w:val="004034C9"/>
    <w:rsid w:val="0040375C"/>
    <w:rsid w:val="004037B7"/>
    <w:rsid w:val="00403B51"/>
    <w:rsid w:val="00403C6D"/>
    <w:rsid w:val="00403C8A"/>
    <w:rsid w:val="00403F94"/>
    <w:rsid w:val="004044DA"/>
    <w:rsid w:val="00404602"/>
    <w:rsid w:val="00404B8A"/>
    <w:rsid w:val="00404C36"/>
    <w:rsid w:val="0040510B"/>
    <w:rsid w:val="00405170"/>
    <w:rsid w:val="00405A1C"/>
    <w:rsid w:val="00405F92"/>
    <w:rsid w:val="00406969"/>
    <w:rsid w:val="00406F38"/>
    <w:rsid w:val="00407032"/>
    <w:rsid w:val="00407059"/>
    <w:rsid w:val="0040779C"/>
    <w:rsid w:val="00407E01"/>
    <w:rsid w:val="00407E19"/>
    <w:rsid w:val="00410205"/>
    <w:rsid w:val="004107CA"/>
    <w:rsid w:val="0041087D"/>
    <w:rsid w:val="00410D10"/>
    <w:rsid w:val="00410E4D"/>
    <w:rsid w:val="00410FF1"/>
    <w:rsid w:val="004111BC"/>
    <w:rsid w:val="004114CB"/>
    <w:rsid w:val="00411A57"/>
    <w:rsid w:val="00411C71"/>
    <w:rsid w:val="004125F4"/>
    <w:rsid w:val="004126D4"/>
    <w:rsid w:val="00412800"/>
    <w:rsid w:val="00412BC2"/>
    <w:rsid w:val="00412C49"/>
    <w:rsid w:val="004132B5"/>
    <w:rsid w:val="00413652"/>
    <w:rsid w:val="00413AB2"/>
    <w:rsid w:val="0041417D"/>
    <w:rsid w:val="00414703"/>
    <w:rsid w:val="0041482A"/>
    <w:rsid w:val="00415055"/>
    <w:rsid w:val="0041565D"/>
    <w:rsid w:val="00415CB1"/>
    <w:rsid w:val="00415D2B"/>
    <w:rsid w:val="004164E3"/>
    <w:rsid w:val="004167A2"/>
    <w:rsid w:val="004169F9"/>
    <w:rsid w:val="00416C0A"/>
    <w:rsid w:val="00416EA5"/>
    <w:rsid w:val="004170F8"/>
    <w:rsid w:val="0041789E"/>
    <w:rsid w:val="00417A4B"/>
    <w:rsid w:val="00417BD4"/>
    <w:rsid w:val="00417D6F"/>
    <w:rsid w:val="0042108E"/>
    <w:rsid w:val="004213E8"/>
    <w:rsid w:val="00421941"/>
    <w:rsid w:val="00421AF7"/>
    <w:rsid w:val="00421CEA"/>
    <w:rsid w:val="004221FC"/>
    <w:rsid w:val="00422540"/>
    <w:rsid w:val="00422B2A"/>
    <w:rsid w:val="00422BD6"/>
    <w:rsid w:val="00422C69"/>
    <w:rsid w:val="00422E70"/>
    <w:rsid w:val="00423341"/>
    <w:rsid w:val="004234C9"/>
    <w:rsid w:val="00423573"/>
    <w:rsid w:val="00423D0D"/>
    <w:rsid w:val="00423E27"/>
    <w:rsid w:val="00424DE2"/>
    <w:rsid w:val="0042563B"/>
    <w:rsid w:val="004256B8"/>
    <w:rsid w:val="00425AFE"/>
    <w:rsid w:val="00425D39"/>
    <w:rsid w:val="0042614B"/>
    <w:rsid w:val="00426513"/>
    <w:rsid w:val="00426B99"/>
    <w:rsid w:val="00426E85"/>
    <w:rsid w:val="004270D2"/>
    <w:rsid w:val="004270E9"/>
    <w:rsid w:val="0042753A"/>
    <w:rsid w:val="00427632"/>
    <w:rsid w:val="004279CC"/>
    <w:rsid w:val="00427ABD"/>
    <w:rsid w:val="0043009A"/>
    <w:rsid w:val="0043010D"/>
    <w:rsid w:val="00430512"/>
    <w:rsid w:val="00431A68"/>
    <w:rsid w:val="00432528"/>
    <w:rsid w:val="00432836"/>
    <w:rsid w:val="0043339A"/>
    <w:rsid w:val="00433487"/>
    <w:rsid w:val="0043395F"/>
    <w:rsid w:val="0043454C"/>
    <w:rsid w:val="004348A6"/>
    <w:rsid w:val="0043501C"/>
    <w:rsid w:val="00435129"/>
    <w:rsid w:val="0043573B"/>
    <w:rsid w:val="0043586D"/>
    <w:rsid w:val="0043595D"/>
    <w:rsid w:val="00435AC2"/>
    <w:rsid w:val="00435B9A"/>
    <w:rsid w:val="00435C4A"/>
    <w:rsid w:val="004368D7"/>
    <w:rsid w:val="00436996"/>
    <w:rsid w:val="004372E9"/>
    <w:rsid w:val="004373D1"/>
    <w:rsid w:val="00437542"/>
    <w:rsid w:val="0043778D"/>
    <w:rsid w:val="00437D53"/>
    <w:rsid w:val="0044096A"/>
    <w:rsid w:val="00440F01"/>
    <w:rsid w:val="00441543"/>
    <w:rsid w:val="00441724"/>
    <w:rsid w:val="00441A19"/>
    <w:rsid w:val="00441C8A"/>
    <w:rsid w:val="00442029"/>
    <w:rsid w:val="004420A2"/>
    <w:rsid w:val="00442E85"/>
    <w:rsid w:val="00443332"/>
    <w:rsid w:val="00443FA0"/>
    <w:rsid w:val="0044459C"/>
    <w:rsid w:val="004447D5"/>
    <w:rsid w:val="00445405"/>
    <w:rsid w:val="004454C2"/>
    <w:rsid w:val="004455DB"/>
    <w:rsid w:val="004456E4"/>
    <w:rsid w:val="00445874"/>
    <w:rsid w:val="00445ED0"/>
    <w:rsid w:val="00445F1B"/>
    <w:rsid w:val="004463BD"/>
    <w:rsid w:val="0044669B"/>
    <w:rsid w:val="004466F1"/>
    <w:rsid w:val="0044700D"/>
    <w:rsid w:val="004471D8"/>
    <w:rsid w:val="00447347"/>
    <w:rsid w:val="00447538"/>
    <w:rsid w:val="004477FA"/>
    <w:rsid w:val="004479E4"/>
    <w:rsid w:val="00447F33"/>
    <w:rsid w:val="00450441"/>
    <w:rsid w:val="004506C6"/>
    <w:rsid w:val="004506D4"/>
    <w:rsid w:val="0045077C"/>
    <w:rsid w:val="00450A27"/>
    <w:rsid w:val="004514F8"/>
    <w:rsid w:val="00451534"/>
    <w:rsid w:val="0045170D"/>
    <w:rsid w:val="00451845"/>
    <w:rsid w:val="00451EC2"/>
    <w:rsid w:val="004521BA"/>
    <w:rsid w:val="00452558"/>
    <w:rsid w:val="004525C8"/>
    <w:rsid w:val="0045275C"/>
    <w:rsid w:val="00452DA7"/>
    <w:rsid w:val="004537D0"/>
    <w:rsid w:val="00453EE6"/>
    <w:rsid w:val="004541EA"/>
    <w:rsid w:val="004544B8"/>
    <w:rsid w:val="004548A1"/>
    <w:rsid w:val="00454903"/>
    <w:rsid w:val="00454CA3"/>
    <w:rsid w:val="00455349"/>
    <w:rsid w:val="00455800"/>
    <w:rsid w:val="004558FE"/>
    <w:rsid w:val="0045595C"/>
    <w:rsid w:val="00455F7B"/>
    <w:rsid w:val="00456023"/>
    <w:rsid w:val="004567B8"/>
    <w:rsid w:val="00456B97"/>
    <w:rsid w:val="00457708"/>
    <w:rsid w:val="00457B29"/>
    <w:rsid w:val="00457C2B"/>
    <w:rsid w:val="00460408"/>
    <w:rsid w:val="004605EB"/>
    <w:rsid w:val="00460A87"/>
    <w:rsid w:val="00460BF7"/>
    <w:rsid w:val="00460F3A"/>
    <w:rsid w:val="004615FF"/>
    <w:rsid w:val="004617F8"/>
    <w:rsid w:val="00461C3A"/>
    <w:rsid w:val="00461F2F"/>
    <w:rsid w:val="00461F3A"/>
    <w:rsid w:val="0046205D"/>
    <w:rsid w:val="0046223F"/>
    <w:rsid w:val="00462387"/>
    <w:rsid w:val="004623D4"/>
    <w:rsid w:val="00462490"/>
    <w:rsid w:val="00462558"/>
    <w:rsid w:val="0046273B"/>
    <w:rsid w:val="0046277B"/>
    <w:rsid w:val="00462BAC"/>
    <w:rsid w:val="00462DCA"/>
    <w:rsid w:val="004631B1"/>
    <w:rsid w:val="004631CD"/>
    <w:rsid w:val="00463357"/>
    <w:rsid w:val="00463671"/>
    <w:rsid w:val="004639F3"/>
    <w:rsid w:val="00463A04"/>
    <w:rsid w:val="00463CAE"/>
    <w:rsid w:val="00463DFE"/>
    <w:rsid w:val="00463FD6"/>
    <w:rsid w:val="00464140"/>
    <w:rsid w:val="00464158"/>
    <w:rsid w:val="00464903"/>
    <w:rsid w:val="00464A5A"/>
    <w:rsid w:val="00464B56"/>
    <w:rsid w:val="00464C22"/>
    <w:rsid w:val="00464C54"/>
    <w:rsid w:val="00464D48"/>
    <w:rsid w:val="00465255"/>
    <w:rsid w:val="0046543D"/>
    <w:rsid w:val="004654B4"/>
    <w:rsid w:val="00465888"/>
    <w:rsid w:val="00466F63"/>
    <w:rsid w:val="004672F9"/>
    <w:rsid w:val="0046730B"/>
    <w:rsid w:val="0046756B"/>
    <w:rsid w:val="0046759E"/>
    <w:rsid w:val="0046764B"/>
    <w:rsid w:val="0046765E"/>
    <w:rsid w:val="00467B6B"/>
    <w:rsid w:val="00467C15"/>
    <w:rsid w:val="00467C41"/>
    <w:rsid w:val="0047046E"/>
    <w:rsid w:val="00470580"/>
    <w:rsid w:val="004708AD"/>
    <w:rsid w:val="00470A97"/>
    <w:rsid w:val="00470C09"/>
    <w:rsid w:val="00470D74"/>
    <w:rsid w:val="00470FA8"/>
    <w:rsid w:val="00471A02"/>
    <w:rsid w:val="004724DD"/>
    <w:rsid w:val="00472A44"/>
    <w:rsid w:val="00472BC8"/>
    <w:rsid w:val="00472D74"/>
    <w:rsid w:val="00472DF7"/>
    <w:rsid w:val="00472FB1"/>
    <w:rsid w:val="0047315B"/>
    <w:rsid w:val="0047341D"/>
    <w:rsid w:val="00473497"/>
    <w:rsid w:val="00473709"/>
    <w:rsid w:val="00473718"/>
    <w:rsid w:val="00473869"/>
    <w:rsid w:val="00473C85"/>
    <w:rsid w:val="00473F70"/>
    <w:rsid w:val="0047410E"/>
    <w:rsid w:val="00474178"/>
    <w:rsid w:val="004746C9"/>
    <w:rsid w:val="00474A7F"/>
    <w:rsid w:val="00474C57"/>
    <w:rsid w:val="00474FA8"/>
    <w:rsid w:val="004754C8"/>
    <w:rsid w:val="004758BB"/>
    <w:rsid w:val="00475F8A"/>
    <w:rsid w:val="004760E6"/>
    <w:rsid w:val="00476196"/>
    <w:rsid w:val="0047638A"/>
    <w:rsid w:val="00476446"/>
    <w:rsid w:val="00476B19"/>
    <w:rsid w:val="00477224"/>
    <w:rsid w:val="00477754"/>
    <w:rsid w:val="004778CD"/>
    <w:rsid w:val="00477AC3"/>
    <w:rsid w:val="00477D72"/>
    <w:rsid w:val="004801D9"/>
    <w:rsid w:val="0048054A"/>
    <w:rsid w:val="00480692"/>
    <w:rsid w:val="00480A94"/>
    <w:rsid w:val="00480B23"/>
    <w:rsid w:val="00480BF0"/>
    <w:rsid w:val="00481438"/>
    <w:rsid w:val="0048163B"/>
    <w:rsid w:val="004818E8"/>
    <w:rsid w:val="00481C4A"/>
    <w:rsid w:val="00481F6F"/>
    <w:rsid w:val="00482275"/>
    <w:rsid w:val="00482603"/>
    <w:rsid w:val="00482830"/>
    <w:rsid w:val="00482ADD"/>
    <w:rsid w:val="00482EBD"/>
    <w:rsid w:val="00482F67"/>
    <w:rsid w:val="00483006"/>
    <w:rsid w:val="004832C0"/>
    <w:rsid w:val="004838C6"/>
    <w:rsid w:val="00483B4D"/>
    <w:rsid w:val="0048416D"/>
    <w:rsid w:val="00484495"/>
    <w:rsid w:val="00484581"/>
    <w:rsid w:val="004846B4"/>
    <w:rsid w:val="004847F6"/>
    <w:rsid w:val="0048486E"/>
    <w:rsid w:val="00484915"/>
    <w:rsid w:val="004852FA"/>
    <w:rsid w:val="00485961"/>
    <w:rsid w:val="00485BFD"/>
    <w:rsid w:val="00485F5C"/>
    <w:rsid w:val="00485FE3"/>
    <w:rsid w:val="004862BA"/>
    <w:rsid w:val="00486400"/>
    <w:rsid w:val="00486621"/>
    <w:rsid w:val="00486CEC"/>
    <w:rsid w:val="00486E7C"/>
    <w:rsid w:val="0048710D"/>
    <w:rsid w:val="004872C8"/>
    <w:rsid w:val="00487387"/>
    <w:rsid w:val="00487436"/>
    <w:rsid w:val="0048773C"/>
    <w:rsid w:val="004877AE"/>
    <w:rsid w:val="00487B62"/>
    <w:rsid w:val="0049033F"/>
    <w:rsid w:val="00490A67"/>
    <w:rsid w:val="004919FD"/>
    <w:rsid w:val="00491D37"/>
    <w:rsid w:val="00491E7A"/>
    <w:rsid w:val="00492125"/>
    <w:rsid w:val="004923BC"/>
    <w:rsid w:val="004925D6"/>
    <w:rsid w:val="004927D6"/>
    <w:rsid w:val="0049281D"/>
    <w:rsid w:val="0049299F"/>
    <w:rsid w:val="00492BE3"/>
    <w:rsid w:val="00492C1B"/>
    <w:rsid w:val="00492E45"/>
    <w:rsid w:val="004932BE"/>
    <w:rsid w:val="00493342"/>
    <w:rsid w:val="0049361C"/>
    <w:rsid w:val="00493684"/>
    <w:rsid w:val="00494131"/>
    <w:rsid w:val="0049433D"/>
    <w:rsid w:val="00494692"/>
    <w:rsid w:val="004946C3"/>
    <w:rsid w:val="00495F2A"/>
    <w:rsid w:val="0049632A"/>
    <w:rsid w:val="00496366"/>
    <w:rsid w:val="00496E1F"/>
    <w:rsid w:val="004971CB"/>
    <w:rsid w:val="004973E4"/>
    <w:rsid w:val="004975C8"/>
    <w:rsid w:val="00497B0E"/>
    <w:rsid w:val="00497C91"/>
    <w:rsid w:val="00497FCF"/>
    <w:rsid w:val="004A00AF"/>
    <w:rsid w:val="004A02E7"/>
    <w:rsid w:val="004A0A26"/>
    <w:rsid w:val="004A0F05"/>
    <w:rsid w:val="004A106F"/>
    <w:rsid w:val="004A1083"/>
    <w:rsid w:val="004A132C"/>
    <w:rsid w:val="004A15C5"/>
    <w:rsid w:val="004A18BA"/>
    <w:rsid w:val="004A1A03"/>
    <w:rsid w:val="004A1AD3"/>
    <w:rsid w:val="004A23CD"/>
    <w:rsid w:val="004A259F"/>
    <w:rsid w:val="004A268E"/>
    <w:rsid w:val="004A269D"/>
    <w:rsid w:val="004A28E2"/>
    <w:rsid w:val="004A2F0C"/>
    <w:rsid w:val="004A31BC"/>
    <w:rsid w:val="004A345D"/>
    <w:rsid w:val="004A357D"/>
    <w:rsid w:val="004A39EB"/>
    <w:rsid w:val="004A48C5"/>
    <w:rsid w:val="004A4A0C"/>
    <w:rsid w:val="004A4D23"/>
    <w:rsid w:val="004A581E"/>
    <w:rsid w:val="004A5CD1"/>
    <w:rsid w:val="004A5D9B"/>
    <w:rsid w:val="004A602B"/>
    <w:rsid w:val="004A65A0"/>
    <w:rsid w:val="004A6B93"/>
    <w:rsid w:val="004A6C47"/>
    <w:rsid w:val="004A710D"/>
    <w:rsid w:val="004A71D5"/>
    <w:rsid w:val="004A7BA8"/>
    <w:rsid w:val="004A7C8A"/>
    <w:rsid w:val="004A7D16"/>
    <w:rsid w:val="004B039A"/>
    <w:rsid w:val="004B0B27"/>
    <w:rsid w:val="004B0B41"/>
    <w:rsid w:val="004B0CD6"/>
    <w:rsid w:val="004B0D00"/>
    <w:rsid w:val="004B0FB9"/>
    <w:rsid w:val="004B11E0"/>
    <w:rsid w:val="004B1200"/>
    <w:rsid w:val="004B128B"/>
    <w:rsid w:val="004B12BF"/>
    <w:rsid w:val="004B151F"/>
    <w:rsid w:val="004B16D7"/>
    <w:rsid w:val="004B17A0"/>
    <w:rsid w:val="004B1A1F"/>
    <w:rsid w:val="004B2055"/>
    <w:rsid w:val="004B2323"/>
    <w:rsid w:val="004B2406"/>
    <w:rsid w:val="004B2450"/>
    <w:rsid w:val="004B262A"/>
    <w:rsid w:val="004B26D9"/>
    <w:rsid w:val="004B2C5E"/>
    <w:rsid w:val="004B2C80"/>
    <w:rsid w:val="004B2E1C"/>
    <w:rsid w:val="004B333F"/>
    <w:rsid w:val="004B3D46"/>
    <w:rsid w:val="004B3DCB"/>
    <w:rsid w:val="004B3DE8"/>
    <w:rsid w:val="004B407F"/>
    <w:rsid w:val="004B4B3C"/>
    <w:rsid w:val="004B4E24"/>
    <w:rsid w:val="004B4FAF"/>
    <w:rsid w:val="004B5955"/>
    <w:rsid w:val="004B5B87"/>
    <w:rsid w:val="004B5F17"/>
    <w:rsid w:val="004B5F76"/>
    <w:rsid w:val="004B627F"/>
    <w:rsid w:val="004B6A3A"/>
    <w:rsid w:val="004B6A78"/>
    <w:rsid w:val="004B6E27"/>
    <w:rsid w:val="004B70ED"/>
    <w:rsid w:val="004B774B"/>
    <w:rsid w:val="004B7A0E"/>
    <w:rsid w:val="004C0023"/>
    <w:rsid w:val="004C005B"/>
    <w:rsid w:val="004C03CC"/>
    <w:rsid w:val="004C0600"/>
    <w:rsid w:val="004C0691"/>
    <w:rsid w:val="004C0892"/>
    <w:rsid w:val="004C1022"/>
    <w:rsid w:val="004C151D"/>
    <w:rsid w:val="004C204E"/>
    <w:rsid w:val="004C2618"/>
    <w:rsid w:val="004C2743"/>
    <w:rsid w:val="004C2A47"/>
    <w:rsid w:val="004C2B56"/>
    <w:rsid w:val="004C306E"/>
    <w:rsid w:val="004C3119"/>
    <w:rsid w:val="004C318B"/>
    <w:rsid w:val="004C3479"/>
    <w:rsid w:val="004C3A40"/>
    <w:rsid w:val="004C3BA9"/>
    <w:rsid w:val="004C3EB6"/>
    <w:rsid w:val="004C4629"/>
    <w:rsid w:val="004C466F"/>
    <w:rsid w:val="004C46FC"/>
    <w:rsid w:val="004C475E"/>
    <w:rsid w:val="004C48F2"/>
    <w:rsid w:val="004C4B71"/>
    <w:rsid w:val="004C4BB7"/>
    <w:rsid w:val="004C50A5"/>
    <w:rsid w:val="004C566A"/>
    <w:rsid w:val="004C57DA"/>
    <w:rsid w:val="004C597E"/>
    <w:rsid w:val="004C5DC1"/>
    <w:rsid w:val="004C600F"/>
    <w:rsid w:val="004C606F"/>
    <w:rsid w:val="004C611C"/>
    <w:rsid w:val="004C6277"/>
    <w:rsid w:val="004C6AEB"/>
    <w:rsid w:val="004C6BB0"/>
    <w:rsid w:val="004C6D62"/>
    <w:rsid w:val="004C6E8A"/>
    <w:rsid w:val="004C736D"/>
    <w:rsid w:val="004C772B"/>
    <w:rsid w:val="004C7765"/>
    <w:rsid w:val="004C7979"/>
    <w:rsid w:val="004C79D6"/>
    <w:rsid w:val="004C7C8B"/>
    <w:rsid w:val="004C7FE2"/>
    <w:rsid w:val="004D02DB"/>
    <w:rsid w:val="004D074B"/>
    <w:rsid w:val="004D087E"/>
    <w:rsid w:val="004D08CB"/>
    <w:rsid w:val="004D097A"/>
    <w:rsid w:val="004D0AD4"/>
    <w:rsid w:val="004D11D4"/>
    <w:rsid w:val="004D15D1"/>
    <w:rsid w:val="004D15E5"/>
    <w:rsid w:val="004D19DB"/>
    <w:rsid w:val="004D1E88"/>
    <w:rsid w:val="004D1F0C"/>
    <w:rsid w:val="004D2591"/>
    <w:rsid w:val="004D310B"/>
    <w:rsid w:val="004D3358"/>
    <w:rsid w:val="004D33AF"/>
    <w:rsid w:val="004D340C"/>
    <w:rsid w:val="004D3B30"/>
    <w:rsid w:val="004D3C95"/>
    <w:rsid w:val="004D3CD7"/>
    <w:rsid w:val="004D3FA8"/>
    <w:rsid w:val="004D41AE"/>
    <w:rsid w:val="004D46D2"/>
    <w:rsid w:val="004D482F"/>
    <w:rsid w:val="004D4934"/>
    <w:rsid w:val="004D4C4A"/>
    <w:rsid w:val="004D5119"/>
    <w:rsid w:val="004D5134"/>
    <w:rsid w:val="004D5301"/>
    <w:rsid w:val="004D5370"/>
    <w:rsid w:val="004D58DE"/>
    <w:rsid w:val="004D5E57"/>
    <w:rsid w:val="004D6177"/>
    <w:rsid w:val="004D63E2"/>
    <w:rsid w:val="004D6417"/>
    <w:rsid w:val="004D6441"/>
    <w:rsid w:val="004D6449"/>
    <w:rsid w:val="004D66CE"/>
    <w:rsid w:val="004E05AC"/>
    <w:rsid w:val="004E06B7"/>
    <w:rsid w:val="004E0AA5"/>
    <w:rsid w:val="004E0D5A"/>
    <w:rsid w:val="004E0E92"/>
    <w:rsid w:val="004E1758"/>
    <w:rsid w:val="004E1BC2"/>
    <w:rsid w:val="004E1D06"/>
    <w:rsid w:val="004E1D1A"/>
    <w:rsid w:val="004E2673"/>
    <w:rsid w:val="004E293B"/>
    <w:rsid w:val="004E296A"/>
    <w:rsid w:val="004E2BBA"/>
    <w:rsid w:val="004E2D59"/>
    <w:rsid w:val="004E3282"/>
    <w:rsid w:val="004E369E"/>
    <w:rsid w:val="004E3E57"/>
    <w:rsid w:val="004E3F30"/>
    <w:rsid w:val="004E46F8"/>
    <w:rsid w:val="004E4BEB"/>
    <w:rsid w:val="004E4F01"/>
    <w:rsid w:val="004E4F28"/>
    <w:rsid w:val="004E50C8"/>
    <w:rsid w:val="004E52E8"/>
    <w:rsid w:val="004E5732"/>
    <w:rsid w:val="004E583E"/>
    <w:rsid w:val="004E5B79"/>
    <w:rsid w:val="004E5E01"/>
    <w:rsid w:val="004E6096"/>
    <w:rsid w:val="004E62D9"/>
    <w:rsid w:val="004E653E"/>
    <w:rsid w:val="004E65F5"/>
    <w:rsid w:val="004E6FEC"/>
    <w:rsid w:val="004E740C"/>
    <w:rsid w:val="004E7458"/>
    <w:rsid w:val="004E7726"/>
    <w:rsid w:val="004E7832"/>
    <w:rsid w:val="004E7963"/>
    <w:rsid w:val="004E7A06"/>
    <w:rsid w:val="004F06C4"/>
    <w:rsid w:val="004F0787"/>
    <w:rsid w:val="004F0789"/>
    <w:rsid w:val="004F0B58"/>
    <w:rsid w:val="004F1017"/>
    <w:rsid w:val="004F1176"/>
    <w:rsid w:val="004F11C7"/>
    <w:rsid w:val="004F12A6"/>
    <w:rsid w:val="004F1CEA"/>
    <w:rsid w:val="004F25D6"/>
    <w:rsid w:val="004F2887"/>
    <w:rsid w:val="004F2D69"/>
    <w:rsid w:val="004F2D77"/>
    <w:rsid w:val="004F3107"/>
    <w:rsid w:val="004F3199"/>
    <w:rsid w:val="004F3627"/>
    <w:rsid w:val="004F3E28"/>
    <w:rsid w:val="004F40FC"/>
    <w:rsid w:val="004F46D4"/>
    <w:rsid w:val="004F4791"/>
    <w:rsid w:val="004F4C56"/>
    <w:rsid w:val="004F4F79"/>
    <w:rsid w:val="004F570C"/>
    <w:rsid w:val="004F57ED"/>
    <w:rsid w:val="004F5ADE"/>
    <w:rsid w:val="004F5EFB"/>
    <w:rsid w:val="004F6110"/>
    <w:rsid w:val="004F621F"/>
    <w:rsid w:val="004F62BC"/>
    <w:rsid w:val="004F62EA"/>
    <w:rsid w:val="004F6B0F"/>
    <w:rsid w:val="004F6F35"/>
    <w:rsid w:val="004F754C"/>
    <w:rsid w:val="004F78EC"/>
    <w:rsid w:val="004F7A34"/>
    <w:rsid w:val="004F7E70"/>
    <w:rsid w:val="004F7F11"/>
    <w:rsid w:val="004F7F28"/>
    <w:rsid w:val="00500092"/>
    <w:rsid w:val="00500217"/>
    <w:rsid w:val="00500245"/>
    <w:rsid w:val="005002F2"/>
    <w:rsid w:val="0050063C"/>
    <w:rsid w:val="005006B1"/>
    <w:rsid w:val="005009B9"/>
    <w:rsid w:val="00500C99"/>
    <w:rsid w:val="00501233"/>
    <w:rsid w:val="005014B7"/>
    <w:rsid w:val="00501A06"/>
    <w:rsid w:val="00501AAC"/>
    <w:rsid w:val="00501ADF"/>
    <w:rsid w:val="00501CCC"/>
    <w:rsid w:val="00501E85"/>
    <w:rsid w:val="005021E9"/>
    <w:rsid w:val="00502EAE"/>
    <w:rsid w:val="00503433"/>
    <w:rsid w:val="005035BB"/>
    <w:rsid w:val="00503710"/>
    <w:rsid w:val="00503A1B"/>
    <w:rsid w:val="00503DC9"/>
    <w:rsid w:val="005041A5"/>
    <w:rsid w:val="005048FE"/>
    <w:rsid w:val="005049C5"/>
    <w:rsid w:val="0050500F"/>
    <w:rsid w:val="00505279"/>
    <w:rsid w:val="00505566"/>
    <w:rsid w:val="005055A2"/>
    <w:rsid w:val="005056B1"/>
    <w:rsid w:val="005058B3"/>
    <w:rsid w:val="00505CA7"/>
    <w:rsid w:val="00505D02"/>
    <w:rsid w:val="00505FB4"/>
    <w:rsid w:val="005060B1"/>
    <w:rsid w:val="0050629D"/>
    <w:rsid w:val="005062BA"/>
    <w:rsid w:val="005063E1"/>
    <w:rsid w:val="00506887"/>
    <w:rsid w:val="00506D2E"/>
    <w:rsid w:val="00506F9F"/>
    <w:rsid w:val="005070AA"/>
    <w:rsid w:val="00507166"/>
    <w:rsid w:val="00507857"/>
    <w:rsid w:val="00507A02"/>
    <w:rsid w:val="00507CC5"/>
    <w:rsid w:val="00510CAA"/>
    <w:rsid w:val="00510FB2"/>
    <w:rsid w:val="00511099"/>
    <w:rsid w:val="00511678"/>
    <w:rsid w:val="00511A37"/>
    <w:rsid w:val="00511B7D"/>
    <w:rsid w:val="00511D73"/>
    <w:rsid w:val="00511FF6"/>
    <w:rsid w:val="00512253"/>
    <w:rsid w:val="005128C6"/>
    <w:rsid w:val="00512B5E"/>
    <w:rsid w:val="00512BFC"/>
    <w:rsid w:val="00512E84"/>
    <w:rsid w:val="00512F7A"/>
    <w:rsid w:val="005131BC"/>
    <w:rsid w:val="00513A5A"/>
    <w:rsid w:val="00513B53"/>
    <w:rsid w:val="00513C3D"/>
    <w:rsid w:val="00513C7D"/>
    <w:rsid w:val="00513F03"/>
    <w:rsid w:val="00513F48"/>
    <w:rsid w:val="005151D4"/>
    <w:rsid w:val="005153F0"/>
    <w:rsid w:val="005155E7"/>
    <w:rsid w:val="005157C2"/>
    <w:rsid w:val="00515829"/>
    <w:rsid w:val="0051589D"/>
    <w:rsid w:val="0051595B"/>
    <w:rsid w:val="00515FDB"/>
    <w:rsid w:val="00516008"/>
    <w:rsid w:val="00516476"/>
    <w:rsid w:val="00516BBB"/>
    <w:rsid w:val="00516CC9"/>
    <w:rsid w:val="00517631"/>
    <w:rsid w:val="00517678"/>
    <w:rsid w:val="00517987"/>
    <w:rsid w:val="00520C40"/>
    <w:rsid w:val="005211D6"/>
    <w:rsid w:val="00521608"/>
    <w:rsid w:val="00521A8A"/>
    <w:rsid w:val="00522A70"/>
    <w:rsid w:val="00522B9D"/>
    <w:rsid w:val="005232B9"/>
    <w:rsid w:val="0052351F"/>
    <w:rsid w:val="00523E83"/>
    <w:rsid w:val="00524058"/>
    <w:rsid w:val="005240BD"/>
    <w:rsid w:val="00524187"/>
    <w:rsid w:val="005248BB"/>
    <w:rsid w:val="00524E13"/>
    <w:rsid w:val="005253A8"/>
    <w:rsid w:val="005255E0"/>
    <w:rsid w:val="005258D9"/>
    <w:rsid w:val="00525E30"/>
    <w:rsid w:val="00525EF7"/>
    <w:rsid w:val="005266F7"/>
    <w:rsid w:val="005267F9"/>
    <w:rsid w:val="00526E0D"/>
    <w:rsid w:val="005270A5"/>
    <w:rsid w:val="00527896"/>
    <w:rsid w:val="00527D78"/>
    <w:rsid w:val="00530513"/>
    <w:rsid w:val="005305D8"/>
    <w:rsid w:val="00530814"/>
    <w:rsid w:val="005308A5"/>
    <w:rsid w:val="00530E57"/>
    <w:rsid w:val="00530ED1"/>
    <w:rsid w:val="005314E9"/>
    <w:rsid w:val="00531723"/>
    <w:rsid w:val="00531934"/>
    <w:rsid w:val="00531AB3"/>
    <w:rsid w:val="00531C25"/>
    <w:rsid w:val="00531CB5"/>
    <w:rsid w:val="00531D91"/>
    <w:rsid w:val="00531DE6"/>
    <w:rsid w:val="00531E45"/>
    <w:rsid w:val="00531E48"/>
    <w:rsid w:val="0053275E"/>
    <w:rsid w:val="00532873"/>
    <w:rsid w:val="005328BA"/>
    <w:rsid w:val="00532DD7"/>
    <w:rsid w:val="0053327E"/>
    <w:rsid w:val="00533CC6"/>
    <w:rsid w:val="00533DE0"/>
    <w:rsid w:val="00533F01"/>
    <w:rsid w:val="0053454F"/>
    <w:rsid w:val="00535220"/>
    <w:rsid w:val="0053571F"/>
    <w:rsid w:val="00535D5B"/>
    <w:rsid w:val="00535EFB"/>
    <w:rsid w:val="005363B4"/>
    <w:rsid w:val="005367BA"/>
    <w:rsid w:val="0053681B"/>
    <w:rsid w:val="00536BB9"/>
    <w:rsid w:val="00536C3C"/>
    <w:rsid w:val="00536FEE"/>
    <w:rsid w:val="0053704E"/>
    <w:rsid w:val="0053739E"/>
    <w:rsid w:val="0053781F"/>
    <w:rsid w:val="00537980"/>
    <w:rsid w:val="005402C8"/>
    <w:rsid w:val="00540B78"/>
    <w:rsid w:val="00540D10"/>
    <w:rsid w:val="00540E38"/>
    <w:rsid w:val="00541011"/>
    <w:rsid w:val="00541076"/>
    <w:rsid w:val="005410F0"/>
    <w:rsid w:val="005412D1"/>
    <w:rsid w:val="005413C4"/>
    <w:rsid w:val="00541484"/>
    <w:rsid w:val="00541BE8"/>
    <w:rsid w:val="00541BF3"/>
    <w:rsid w:val="00541D7D"/>
    <w:rsid w:val="00541D89"/>
    <w:rsid w:val="00541EF9"/>
    <w:rsid w:val="00541FBB"/>
    <w:rsid w:val="005420CA"/>
    <w:rsid w:val="00542411"/>
    <w:rsid w:val="00542AB1"/>
    <w:rsid w:val="00542D5A"/>
    <w:rsid w:val="00542D85"/>
    <w:rsid w:val="00542E9C"/>
    <w:rsid w:val="005431CF"/>
    <w:rsid w:val="00543D0A"/>
    <w:rsid w:val="00544115"/>
    <w:rsid w:val="0054422C"/>
    <w:rsid w:val="00544252"/>
    <w:rsid w:val="005442E1"/>
    <w:rsid w:val="0054434A"/>
    <w:rsid w:val="0054480A"/>
    <w:rsid w:val="00544E34"/>
    <w:rsid w:val="00545275"/>
    <w:rsid w:val="00545355"/>
    <w:rsid w:val="005454F3"/>
    <w:rsid w:val="005455E5"/>
    <w:rsid w:val="00545691"/>
    <w:rsid w:val="00545698"/>
    <w:rsid w:val="00545867"/>
    <w:rsid w:val="00545993"/>
    <w:rsid w:val="00545A85"/>
    <w:rsid w:val="00545F12"/>
    <w:rsid w:val="0054604B"/>
    <w:rsid w:val="0054620D"/>
    <w:rsid w:val="005463C7"/>
    <w:rsid w:val="0054681B"/>
    <w:rsid w:val="00546A43"/>
    <w:rsid w:val="00547181"/>
    <w:rsid w:val="005475AA"/>
    <w:rsid w:val="0054764C"/>
    <w:rsid w:val="0054779A"/>
    <w:rsid w:val="0054785E"/>
    <w:rsid w:val="00547BA1"/>
    <w:rsid w:val="00547C63"/>
    <w:rsid w:val="00547D3D"/>
    <w:rsid w:val="00550B7E"/>
    <w:rsid w:val="00551394"/>
    <w:rsid w:val="005516A4"/>
    <w:rsid w:val="0055183C"/>
    <w:rsid w:val="005518F3"/>
    <w:rsid w:val="0055198B"/>
    <w:rsid w:val="005525F0"/>
    <w:rsid w:val="00552809"/>
    <w:rsid w:val="00552E32"/>
    <w:rsid w:val="00553542"/>
    <w:rsid w:val="005536D3"/>
    <w:rsid w:val="00553731"/>
    <w:rsid w:val="005537AF"/>
    <w:rsid w:val="0055380E"/>
    <w:rsid w:val="0055397C"/>
    <w:rsid w:val="00553AB4"/>
    <w:rsid w:val="00553BE2"/>
    <w:rsid w:val="00553DCA"/>
    <w:rsid w:val="00553EC2"/>
    <w:rsid w:val="00554165"/>
    <w:rsid w:val="00554435"/>
    <w:rsid w:val="0055452A"/>
    <w:rsid w:val="00554675"/>
    <w:rsid w:val="00554CCE"/>
    <w:rsid w:val="00554E87"/>
    <w:rsid w:val="00554F0D"/>
    <w:rsid w:val="00555580"/>
    <w:rsid w:val="005555C1"/>
    <w:rsid w:val="005559DD"/>
    <w:rsid w:val="00555E0B"/>
    <w:rsid w:val="005561E4"/>
    <w:rsid w:val="00556563"/>
    <w:rsid w:val="005567F4"/>
    <w:rsid w:val="0055686F"/>
    <w:rsid w:val="00556C7F"/>
    <w:rsid w:val="0055757C"/>
    <w:rsid w:val="0055761F"/>
    <w:rsid w:val="005579F9"/>
    <w:rsid w:val="00557C0C"/>
    <w:rsid w:val="00557C42"/>
    <w:rsid w:val="00557CB1"/>
    <w:rsid w:val="00557E9B"/>
    <w:rsid w:val="00560393"/>
    <w:rsid w:val="0056091E"/>
    <w:rsid w:val="005609E7"/>
    <w:rsid w:val="00560BCB"/>
    <w:rsid w:val="00560D9C"/>
    <w:rsid w:val="00561009"/>
    <w:rsid w:val="00561371"/>
    <w:rsid w:val="0056172D"/>
    <w:rsid w:val="00561AD3"/>
    <w:rsid w:val="00561AFD"/>
    <w:rsid w:val="00561B8A"/>
    <w:rsid w:val="00562015"/>
    <w:rsid w:val="005623B9"/>
    <w:rsid w:val="005629AB"/>
    <w:rsid w:val="00562BC9"/>
    <w:rsid w:val="00562C9F"/>
    <w:rsid w:val="00562E35"/>
    <w:rsid w:val="00562FAF"/>
    <w:rsid w:val="00563211"/>
    <w:rsid w:val="005635F3"/>
    <w:rsid w:val="0056411C"/>
    <w:rsid w:val="0056474D"/>
    <w:rsid w:val="005648BE"/>
    <w:rsid w:val="00564C87"/>
    <w:rsid w:val="00564F2B"/>
    <w:rsid w:val="00565715"/>
    <w:rsid w:val="00565741"/>
    <w:rsid w:val="00565958"/>
    <w:rsid w:val="00565B10"/>
    <w:rsid w:val="00565B4C"/>
    <w:rsid w:val="00565BC0"/>
    <w:rsid w:val="005663FF"/>
    <w:rsid w:val="00566631"/>
    <w:rsid w:val="005667D1"/>
    <w:rsid w:val="00567003"/>
    <w:rsid w:val="005677E5"/>
    <w:rsid w:val="00567865"/>
    <w:rsid w:val="00567F70"/>
    <w:rsid w:val="005700F6"/>
    <w:rsid w:val="00570479"/>
    <w:rsid w:val="005704F2"/>
    <w:rsid w:val="005704FF"/>
    <w:rsid w:val="00570BB0"/>
    <w:rsid w:val="00570D06"/>
    <w:rsid w:val="00570D24"/>
    <w:rsid w:val="00571046"/>
    <w:rsid w:val="00571095"/>
    <w:rsid w:val="00571232"/>
    <w:rsid w:val="005713C0"/>
    <w:rsid w:val="00571756"/>
    <w:rsid w:val="0057216B"/>
    <w:rsid w:val="005723EC"/>
    <w:rsid w:val="0057293F"/>
    <w:rsid w:val="00573026"/>
    <w:rsid w:val="005731C7"/>
    <w:rsid w:val="005731DD"/>
    <w:rsid w:val="00573A6B"/>
    <w:rsid w:val="00573AD2"/>
    <w:rsid w:val="00573EBD"/>
    <w:rsid w:val="005743B7"/>
    <w:rsid w:val="005744B5"/>
    <w:rsid w:val="005745FF"/>
    <w:rsid w:val="00574BD9"/>
    <w:rsid w:val="00574C1A"/>
    <w:rsid w:val="005751C7"/>
    <w:rsid w:val="005751FD"/>
    <w:rsid w:val="005752D9"/>
    <w:rsid w:val="005757B6"/>
    <w:rsid w:val="005757DE"/>
    <w:rsid w:val="00575AA0"/>
    <w:rsid w:val="00575C59"/>
    <w:rsid w:val="005760A2"/>
    <w:rsid w:val="005760AA"/>
    <w:rsid w:val="00576264"/>
    <w:rsid w:val="005762BA"/>
    <w:rsid w:val="00576668"/>
    <w:rsid w:val="0057689F"/>
    <w:rsid w:val="005770CB"/>
    <w:rsid w:val="00577135"/>
    <w:rsid w:val="00577255"/>
    <w:rsid w:val="00577528"/>
    <w:rsid w:val="0057786B"/>
    <w:rsid w:val="00577E70"/>
    <w:rsid w:val="005802F6"/>
    <w:rsid w:val="005804AA"/>
    <w:rsid w:val="00580512"/>
    <w:rsid w:val="00580892"/>
    <w:rsid w:val="00580A49"/>
    <w:rsid w:val="00580C9C"/>
    <w:rsid w:val="00580D00"/>
    <w:rsid w:val="00580E3F"/>
    <w:rsid w:val="00580EEB"/>
    <w:rsid w:val="00580FCF"/>
    <w:rsid w:val="0058150B"/>
    <w:rsid w:val="0058151F"/>
    <w:rsid w:val="00581973"/>
    <w:rsid w:val="0058284C"/>
    <w:rsid w:val="00582C21"/>
    <w:rsid w:val="00582D07"/>
    <w:rsid w:val="005831B5"/>
    <w:rsid w:val="005833C0"/>
    <w:rsid w:val="0058349A"/>
    <w:rsid w:val="00583673"/>
    <w:rsid w:val="0058394E"/>
    <w:rsid w:val="00583D08"/>
    <w:rsid w:val="005841C9"/>
    <w:rsid w:val="00584C6E"/>
    <w:rsid w:val="00584E40"/>
    <w:rsid w:val="00584F53"/>
    <w:rsid w:val="005850AC"/>
    <w:rsid w:val="00585192"/>
    <w:rsid w:val="00585B70"/>
    <w:rsid w:val="00585DD5"/>
    <w:rsid w:val="00585FBD"/>
    <w:rsid w:val="005862AB"/>
    <w:rsid w:val="00586C5B"/>
    <w:rsid w:val="00586D3D"/>
    <w:rsid w:val="00587201"/>
    <w:rsid w:val="00587682"/>
    <w:rsid w:val="00587BE7"/>
    <w:rsid w:val="00587CBC"/>
    <w:rsid w:val="00587CCC"/>
    <w:rsid w:val="005908D1"/>
    <w:rsid w:val="00590A97"/>
    <w:rsid w:val="00590ACF"/>
    <w:rsid w:val="005913D0"/>
    <w:rsid w:val="005914D0"/>
    <w:rsid w:val="00591B07"/>
    <w:rsid w:val="00591B7F"/>
    <w:rsid w:val="00592507"/>
    <w:rsid w:val="00592657"/>
    <w:rsid w:val="00592D11"/>
    <w:rsid w:val="00593215"/>
    <w:rsid w:val="00593960"/>
    <w:rsid w:val="00593AD1"/>
    <w:rsid w:val="00593BB4"/>
    <w:rsid w:val="00593D96"/>
    <w:rsid w:val="005941BF"/>
    <w:rsid w:val="0059494B"/>
    <w:rsid w:val="0059536F"/>
    <w:rsid w:val="00595A20"/>
    <w:rsid w:val="00595A3D"/>
    <w:rsid w:val="00595DF1"/>
    <w:rsid w:val="00595EEF"/>
    <w:rsid w:val="00595F06"/>
    <w:rsid w:val="00596467"/>
    <w:rsid w:val="00596524"/>
    <w:rsid w:val="005966BF"/>
    <w:rsid w:val="005973CA"/>
    <w:rsid w:val="00597AB4"/>
    <w:rsid w:val="00597D35"/>
    <w:rsid w:val="00597EF3"/>
    <w:rsid w:val="005A0481"/>
    <w:rsid w:val="005A050C"/>
    <w:rsid w:val="005A09A1"/>
    <w:rsid w:val="005A0D61"/>
    <w:rsid w:val="005A1047"/>
    <w:rsid w:val="005A1B9F"/>
    <w:rsid w:val="005A1D0E"/>
    <w:rsid w:val="005A29D6"/>
    <w:rsid w:val="005A2A5E"/>
    <w:rsid w:val="005A2F09"/>
    <w:rsid w:val="005A326D"/>
    <w:rsid w:val="005A33AB"/>
    <w:rsid w:val="005A3445"/>
    <w:rsid w:val="005A3781"/>
    <w:rsid w:val="005A3B72"/>
    <w:rsid w:val="005A3F63"/>
    <w:rsid w:val="005A3FE1"/>
    <w:rsid w:val="005A4057"/>
    <w:rsid w:val="005A45FD"/>
    <w:rsid w:val="005A485F"/>
    <w:rsid w:val="005A4A14"/>
    <w:rsid w:val="005A4A16"/>
    <w:rsid w:val="005A4A36"/>
    <w:rsid w:val="005A5258"/>
    <w:rsid w:val="005A548F"/>
    <w:rsid w:val="005A55E3"/>
    <w:rsid w:val="005A5A18"/>
    <w:rsid w:val="005A62B4"/>
    <w:rsid w:val="005A68BF"/>
    <w:rsid w:val="005A6CA4"/>
    <w:rsid w:val="005A6D6D"/>
    <w:rsid w:val="005A70E2"/>
    <w:rsid w:val="005A7264"/>
    <w:rsid w:val="005A7567"/>
    <w:rsid w:val="005A796E"/>
    <w:rsid w:val="005A7AA5"/>
    <w:rsid w:val="005A7E60"/>
    <w:rsid w:val="005B0078"/>
    <w:rsid w:val="005B0103"/>
    <w:rsid w:val="005B047E"/>
    <w:rsid w:val="005B048B"/>
    <w:rsid w:val="005B04D4"/>
    <w:rsid w:val="005B06CC"/>
    <w:rsid w:val="005B0AD9"/>
    <w:rsid w:val="005B0FB6"/>
    <w:rsid w:val="005B1283"/>
    <w:rsid w:val="005B1387"/>
    <w:rsid w:val="005B1601"/>
    <w:rsid w:val="005B164C"/>
    <w:rsid w:val="005B289E"/>
    <w:rsid w:val="005B2D2A"/>
    <w:rsid w:val="005B2D74"/>
    <w:rsid w:val="005B3156"/>
    <w:rsid w:val="005B32BE"/>
    <w:rsid w:val="005B3318"/>
    <w:rsid w:val="005B352D"/>
    <w:rsid w:val="005B37F3"/>
    <w:rsid w:val="005B40F4"/>
    <w:rsid w:val="005B41C6"/>
    <w:rsid w:val="005B4B58"/>
    <w:rsid w:val="005B4CFC"/>
    <w:rsid w:val="005B4F23"/>
    <w:rsid w:val="005B51F1"/>
    <w:rsid w:val="005B54DA"/>
    <w:rsid w:val="005B558D"/>
    <w:rsid w:val="005B58B0"/>
    <w:rsid w:val="005B5C8D"/>
    <w:rsid w:val="005B5EC7"/>
    <w:rsid w:val="005B5FDD"/>
    <w:rsid w:val="005B66B4"/>
    <w:rsid w:val="005B66E3"/>
    <w:rsid w:val="005B6CDB"/>
    <w:rsid w:val="005B6CF1"/>
    <w:rsid w:val="005B7612"/>
    <w:rsid w:val="005B76F1"/>
    <w:rsid w:val="005C0298"/>
    <w:rsid w:val="005C0769"/>
    <w:rsid w:val="005C07D1"/>
    <w:rsid w:val="005C10F7"/>
    <w:rsid w:val="005C16F1"/>
    <w:rsid w:val="005C1BC0"/>
    <w:rsid w:val="005C1F49"/>
    <w:rsid w:val="005C2075"/>
    <w:rsid w:val="005C227E"/>
    <w:rsid w:val="005C3019"/>
    <w:rsid w:val="005C3504"/>
    <w:rsid w:val="005C360A"/>
    <w:rsid w:val="005C4034"/>
    <w:rsid w:val="005C4CB7"/>
    <w:rsid w:val="005C5149"/>
    <w:rsid w:val="005C51EF"/>
    <w:rsid w:val="005C52F3"/>
    <w:rsid w:val="005C625B"/>
    <w:rsid w:val="005C6B5B"/>
    <w:rsid w:val="005C6CFB"/>
    <w:rsid w:val="005C6DA2"/>
    <w:rsid w:val="005C6E4A"/>
    <w:rsid w:val="005C6ED6"/>
    <w:rsid w:val="005C7178"/>
    <w:rsid w:val="005C737A"/>
    <w:rsid w:val="005C73A8"/>
    <w:rsid w:val="005C776E"/>
    <w:rsid w:val="005C7DDD"/>
    <w:rsid w:val="005C7E97"/>
    <w:rsid w:val="005C7FAF"/>
    <w:rsid w:val="005D00F4"/>
    <w:rsid w:val="005D02BE"/>
    <w:rsid w:val="005D037C"/>
    <w:rsid w:val="005D0769"/>
    <w:rsid w:val="005D07B5"/>
    <w:rsid w:val="005D0CA7"/>
    <w:rsid w:val="005D0F9F"/>
    <w:rsid w:val="005D1026"/>
    <w:rsid w:val="005D1087"/>
    <w:rsid w:val="005D1BB6"/>
    <w:rsid w:val="005D1EF3"/>
    <w:rsid w:val="005D221C"/>
    <w:rsid w:val="005D2859"/>
    <w:rsid w:val="005D2A43"/>
    <w:rsid w:val="005D2BE4"/>
    <w:rsid w:val="005D2D75"/>
    <w:rsid w:val="005D2D93"/>
    <w:rsid w:val="005D2DBD"/>
    <w:rsid w:val="005D351D"/>
    <w:rsid w:val="005D378D"/>
    <w:rsid w:val="005D399D"/>
    <w:rsid w:val="005D3B90"/>
    <w:rsid w:val="005D3C7E"/>
    <w:rsid w:val="005D45AD"/>
    <w:rsid w:val="005D49D8"/>
    <w:rsid w:val="005D527A"/>
    <w:rsid w:val="005D556F"/>
    <w:rsid w:val="005D60A4"/>
    <w:rsid w:val="005D632C"/>
    <w:rsid w:val="005D6350"/>
    <w:rsid w:val="005D635D"/>
    <w:rsid w:val="005D675F"/>
    <w:rsid w:val="005D680D"/>
    <w:rsid w:val="005D6DAD"/>
    <w:rsid w:val="005D6EA0"/>
    <w:rsid w:val="005D7054"/>
    <w:rsid w:val="005D76D5"/>
    <w:rsid w:val="005D781C"/>
    <w:rsid w:val="005D7A2F"/>
    <w:rsid w:val="005D7C89"/>
    <w:rsid w:val="005E00C6"/>
    <w:rsid w:val="005E080A"/>
    <w:rsid w:val="005E0AA4"/>
    <w:rsid w:val="005E0BE0"/>
    <w:rsid w:val="005E0CE4"/>
    <w:rsid w:val="005E0DCC"/>
    <w:rsid w:val="005E0F8C"/>
    <w:rsid w:val="005E170A"/>
    <w:rsid w:val="005E1829"/>
    <w:rsid w:val="005E1950"/>
    <w:rsid w:val="005E2260"/>
    <w:rsid w:val="005E2676"/>
    <w:rsid w:val="005E27C7"/>
    <w:rsid w:val="005E2AA6"/>
    <w:rsid w:val="005E2C36"/>
    <w:rsid w:val="005E2DA2"/>
    <w:rsid w:val="005E2F8B"/>
    <w:rsid w:val="005E31E9"/>
    <w:rsid w:val="005E3232"/>
    <w:rsid w:val="005E3386"/>
    <w:rsid w:val="005E3783"/>
    <w:rsid w:val="005E3785"/>
    <w:rsid w:val="005E3CA0"/>
    <w:rsid w:val="005E3F76"/>
    <w:rsid w:val="005E4698"/>
    <w:rsid w:val="005E490D"/>
    <w:rsid w:val="005E4ADE"/>
    <w:rsid w:val="005E4E14"/>
    <w:rsid w:val="005E4EFD"/>
    <w:rsid w:val="005E5746"/>
    <w:rsid w:val="005E5889"/>
    <w:rsid w:val="005E6507"/>
    <w:rsid w:val="005E6BBB"/>
    <w:rsid w:val="005E6F3F"/>
    <w:rsid w:val="005E7079"/>
    <w:rsid w:val="005E749E"/>
    <w:rsid w:val="005E7B36"/>
    <w:rsid w:val="005E7E27"/>
    <w:rsid w:val="005E7F56"/>
    <w:rsid w:val="005F0268"/>
    <w:rsid w:val="005F02E6"/>
    <w:rsid w:val="005F034C"/>
    <w:rsid w:val="005F047D"/>
    <w:rsid w:val="005F094B"/>
    <w:rsid w:val="005F0E42"/>
    <w:rsid w:val="005F10F1"/>
    <w:rsid w:val="005F1545"/>
    <w:rsid w:val="005F1554"/>
    <w:rsid w:val="005F17B7"/>
    <w:rsid w:val="005F1911"/>
    <w:rsid w:val="005F1940"/>
    <w:rsid w:val="005F197F"/>
    <w:rsid w:val="005F1B82"/>
    <w:rsid w:val="005F1DAE"/>
    <w:rsid w:val="005F1E99"/>
    <w:rsid w:val="005F1F9D"/>
    <w:rsid w:val="005F214B"/>
    <w:rsid w:val="005F2340"/>
    <w:rsid w:val="005F2CBA"/>
    <w:rsid w:val="005F2D30"/>
    <w:rsid w:val="005F2DB3"/>
    <w:rsid w:val="005F3216"/>
    <w:rsid w:val="005F3678"/>
    <w:rsid w:val="005F3D79"/>
    <w:rsid w:val="005F3DDA"/>
    <w:rsid w:val="005F3F97"/>
    <w:rsid w:val="005F4039"/>
    <w:rsid w:val="005F4305"/>
    <w:rsid w:val="005F44B3"/>
    <w:rsid w:val="005F4DFE"/>
    <w:rsid w:val="005F4EF9"/>
    <w:rsid w:val="005F553D"/>
    <w:rsid w:val="005F5551"/>
    <w:rsid w:val="005F5A11"/>
    <w:rsid w:val="005F5BCF"/>
    <w:rsid w:val="005F5C05"/>
    <w:rsid w:val="005F5CF9"/>
    <w:rsid w:val="005F6004"/>
    <w:rsid w:val="005F6047"/>
    <w:rsid w:val="005F66B2"/>
    <w:rsid w:val="005F67D3"/>
    <w:rsid w:val="005F68B6"/>
    <w:rsid w:val="005F6A99"/>
    <w:rsid w:val="005F6B12"/>
    <w:rsid w:val="005F6C07"/>
    <w:rsid w:val="005F6C82"/>
    <w:rsid w:val="005F77A8"/>
    <w:rsid w:val="005F7E65"/>
    <w:rsid w:val="005F7FE0"/>
    <w:rsid w:val="00600151"/>
    <w:rsid w:val="006003F3"/>
    <w:rsid w:val="006007E8"/>
    <w:rsid w:val="00600D70"/>
    <w:rsid w:val="006011F0"/>
    <w:rsid w:val="006012CB"/>
    <w:rsid w:val="006015AE"/>
    <w:rsid w:val="006017A4"/>
    <w:rsid w:val="006017B1"/>
    <w:rsid w:val="00601825"/>
    <w:rsid w:val="00601B94"/>
    <w:rsid w:val="00601EB5"/>
    <w:rsid w:val="0060234A"/>
    <w:rsid w:val="006023BF"/>
    <w:rsid w:val="00602462"/>
    <w:rsid w:val="00602CA0"/>
    <w:rsid w:val="00602EEE"/>
    <w:rsid w:val="00602FF0"/>
    <w:rsid w:val="00603371"/>
    <w:rsid w:val="00603396"/>
    <w:rsid w:val="0060352E"/>
    <w:rsid w:val="0060356C"/>
    <w:rsid w:val="0060378D"/>
    <w:rsid w:val="0060389F"/>
    <w:rsid w:val="006039B5"/>
    <w:rsid w:val="00603D6B"/>
    <w:rsid w:val="00603FC2"/>
    <w:rsid w:val="006043EE"/>
    <w:rsid w:val="00605108"/>
    <w:rsid w:val="006055EF"/>
    <w:rsid w:val="0060579F"/>
    <w:rsid w:val="0060593E"/>
    <w:rsid w:val="00605B67"/>
    <w:rsid w:val="006066D1"/>
    <w:rsid w:val="0060685F"/>
    <w:rsid w:val="00606A25"/>
    <w:rsid w:val="00607066"/>
    <w:rsid w:val="00607099"/>
    <w:rsid w:val="00607197"/>
    <w:rsid w:val="00607404"/>
    <w:rsid w:val="006074B4"/>
    <w:rsid w:val="006075C6"/>
    <w:rsid w:val="00607691"/>
    <w:rsid w:val="0060773F"/>
    <w:rsid w:val="00607A16"/>
    <w:rsid w:val="00607AF2"/>
    <w:rsid w:val="00607B1C"/>
    <w:rsid w:val="00607C95"/>
    <w:rsid w:val="00607F75"/>
    <w:rsid w:val="006103AD"/>
    <w:rsid w:val="006109F8"/>
    <w:rsid w:val="00611AB7"/>
    <w:rsid w:val="00611C7D"/>
    <w:rsid w:val="00611D9D"/>
    <w:rsid w:val="006122D6"/>
    <w:rsid w:val="006125F4"/>
    <w:rsid w:val="00612D69"/>
    <w:rsid w:val="00612EEF"/>
    <w:rsid w:val="00613285"/>
    <w:rsid w:val="00613947"/>
    <w:rsid w:val="00613BEC"/>
    <w:rsid w:val="00613C0F"/>
    <w:rsid w:val="006141C2"/>
    <w:rsid w:val="006143BF"/>
    <w:rsid w:val="0061468D"/>
    <w:rsid w:val="006147EA"/>
    <w:rsid w:val="00614875"/>
    <w:rsid w:val="00614881"/>
    <w:rsid w:val="00614927"/>
    <w:rsid w:val="00614B64"/>
    <w:rsid w:val="00614D16"/>
    <w:rsid w:val="006153D8"/>
    <w:rsid w:val="0061543D"/>
    <w:rsid w:val="0061579B"/>
    <w:rsid w:val="006157B5"/>
    <w:rsid w:val="00615912"/>
    <w:rsid w:val="00615DD9"/>
    <w:rsid w:val="00616864"/>
    <w:rsid w:val="00616B54"/>
    <w:rsid w:val="00616F26"/>
    <w:rsid w:val="006170B4"/>
    <w:rsid w:val="0061733F"/>
    <w:rsid w:val="00620633"/>
    <w:rsid w:val="00620661"/>
    <w:rsid w:val="006206B1"/>
    <w:rsid w:val="00620B42"/>
    <w:rsid w:val="00620B50"/>
    <w:rsid w:val="00620BF2"/>
    <w:rsid w:val="00620F7C"/>
    <w:rsid w:val="0062116E"/>
    <w:rsid w:val="00621789"/>
    <w:rsid w:val="00621816"/>
    <w:rsid w:val="00621A72"/>
    <w:rsid w:val="00621F58"/>
    <w:rsid w:val="006226E0"/>
    <w:rsid w:val="00622CC0"/>
    <w:rsid w:val="00623075"/>
    <w:rsid w:val="006233FE"/>
    <w:rsid w:val="006237B5"/>
    <w:rsid w:val="00623910"/>
    <w:rsid w:val="00623947"/>
    <w:rsid w:val="00623D63"/>
    <w:rsid w:val="00623DF8"/>
    <w:rsid w:val="00623E88"/>
    <w:rsid w:val="006245CA"/>
    <w:rsid w:val="00624661"/>
    <w:rsid w:val="006246C1"/>
    <w:rsid w:val="00624A27"/>
    <w:rsid w:val="00624ACC"/>
    <w:rsid w:val="00624BEC"/>
    <w:rsid w:val="00624D74"/>
    <w:rsid w:val="00624DF4"/>
    <w:rsid w:val="00625459"/>
    <w:rsid w:val="006254BA"/>
    <w:rsid w:val="006255B2"/>
    <w:rsid w:val="00625964"/>
    <w:rsid w:val="00625A99"/>
    <w:rsid w:val="00625D40"/>
    <w:rsid w:val="006263A0"/>
    <w:rsid w:val="006263C5"/>
    <w:rsid w:val="00626451"/>
    <w:rsid w:val="00626595"/>
    <w:rsid w:val="006265C9"/>
    <w:rsid w:val="00626A89"/>
    <w:rsid w:val="00626C9C"/>
    <w:rsid w:val="0062716D"/>
    <w:rsid w:val="006272B6"/>
    <w:rsid w:val="00627418"/>
    <w:rsid w:val="00627917"/>
    <w:rsid w:val="00627AF2"/>
    <w:rsid w:val="00627B61"/>
    <w:rsid w:val="00627C4E"/>
    <w:rsid w:val="00630253"/>
    <w:rsid w:val="00630492"/>
    <w:rsid w:val="00631134"/>
    <w:rsid w:val="006318BB"/>
    <w:rsid w:val="00631EC2"/>
    <w:rsid w:val="00632152"/>
    <w:rsid w:val="00632167"/>
    <w:rsid w:val="0063259E"/>
    <w:rsid w:val="0063287A"/>
    <w:rsid w:val="00632CE0"/>
    <w:rsid w:val="00632F94"/>
    <w:rsid w:val="00633035"/>
    <w:rsid w:val="006331D9"/>
    <w:rsid w:val="006332F2"/>
    <w:rsid w:val="00633FF8"/>
    <w:rsid w:val="00634042"/>
    <w:rsid w:val="00634404"/>
    <w:rsid w:val="006345B3"/>
    <w:rsid w:val="006346E3"/>
    <w:rsid w:val="00634926"/>
    <w:rsid w:val="00634A99"/>
    <w:rsid w:val="00634B6C"/>
    <w:rsid w:val="00635777"/>
    <w:rsid w:val="0063601F"/>
    <w:rsid w:val="0063632F"/>
    <w:rsid w:val="006363C6"/>
    <w:rsid w:val="006365E7"/>
    <w:rsid w:val="00636984"/>
    <w:rsid w:val="00636A3E"/>
    <w:rsid w:val="00636D82"/>
    <w:rsid w:val="00637615"/>
    <w:rsid w:val="006376D9"/>
    <w:rsid w:val="00637807"/>
    <w:rsid w:val="0063780D"/>
    <w:rsid w:val="00637F55"/>
    <w:rsid w:val="0064059C"/>
    <w:rsid w:val="00640EA7"/>
    <w:rsid w:val="00640EF1"/>
    <w:rsid w:val="00640F52"/>
    <w:rsid w:val="006410F9"/>
    <w:rsid w:val="00641137"/>
    <w:rsid w:val="0064141F"/>
    <w:rsid w:val="0064159E"/>
    <w:rsid w:val="00641EE2"/>
    <w:rsid w:val="006421C9"/>
    <w:rsid w:val="0064231B"/>
    <w:rsid w:val="006426C8"/>
    <w:rsid w:val="00642A50"/>
    <w:rsid w:val="00642E77"/>
    <w:rsid w:val="00643091"/>
    <w:rsid w:val="0064334D"/>
    <w:rsid w:val="00643E7A"/>
    <w:rsid w:val="00644750"/>
    <w:rsid w:val="00644777"/>
    <w:rsid w:val="006449F4"/>
    <w:rsid w:val="00644FB4"/>
    <w:rsid w:val="00645325"/>
    <w:rsid w:val="0064545D"/>
    <w:rsid w:val="006455DF"/>
    <w:rsid w:val="00645B75"/>
    <w:rsid w:val="00645DBE"/>
    <w:rsid w:val="00645E20"/>
    <w:rsid w:val="006462BA"/>
    <w:rsid w:val="006462C9"/>
    <w:rsid w:val="0064631C"/>
    <w:rsid w:val="006464F2"/>
    <w:rsid w:val="0064651C"/>
    <w:rsid w:val="00646CB2"/>
    <w:rsid w:val="00646E13"/>
    <w:rsid w:val="0064716F"/>
    <w:rsid w:val="006474E6"/>
    <w:rsid w:val="0064786B"/>
    <w:rsid w:val="006478AC"/>
    <w:rsid w:val="00647AD4"/>
    <w:rsid w:val="00647B53"/>
    <w:rsid w:val="00647D7A"/>
    <w:rsid w:val="00647DE4"/>
    <w:rsid w:val="006506C3"/>
    <w:rsid w:val="0065098C"/>
    <w:rsid w:val="00650C56"/>
    <w:rsid w:val="00650EF8"/>
    <w:rsid w:val="00651077"/>
    <w:rsid w:val="0065115E"/>
    <w:rsid w:val="0065132F"/>
    <w:rsid w:val="006515E6"/>
    <w:rsid w:val="006518B4"/>
    <w:rsid w:val="006519CE"/>
    <w:rsid w:val="00651CEA"/>
    <w:rsid w:val="00652371"/>
    <w:rsid w:val="006527D1"/>
    <w:rsid w:val="00652858"/>
    <w:rsid w:val="00652B9D"/>
    <w:rsid w:val="00652DF1"/>
    <w:rsid w:val="00653380"/>
    <w:rsid w:val="006533FC"/>
    <w:rsid w:val="00653639"/>
    <w:rsid w:val="00653650"/>
    <w:rsid w:val="0065376A"/>
    <w:rsid w:val="00653844"/>
    <w:rsid w:val="00653AF5"/>
    <w:rsid w:val="00653E4E"/>
    <w:rsid w:val="0065409A"/>
    <w:rsid w:val="0065415B"/>
    <w:rsid w:val="00654A31"/>
    <w:rsid w:val="00654C7E"/>
    <w:rsid w:val="00654DAA"/>
    <w:rsid w:val="006558DC"/>
    <w:rsid w:val="00655BBD"/>
    <w:rsid w:val="00655DC5"/>
    <w:rsid w:val="006568F1"/>
    <w:rsid w:val="00656B27"/>
    <w:rsid w:val="00656B6E"/>
    <w:rsid w:val="00656D3F"/>
    <w:rsid w:val="00656EF2"/>
    <w:rsid w:val="006571ED"/>
    <w:rsid w:val="00657616"/>
    <w:rsid w:val="00657B7C"/>
    <w:rsid w:val="00657E7F"/>
    <w:rsid w:val="00657F8B"/>
    <w:rsid w:val="00660163"/>
    <w:rsid w:val="00660401"/>
    <w:rsid w:val="00661866"/>
    <w:rsid w:val="006618FC"/>
    <w:rsid w:val="00661A8A"/>
    <w:rsid w:val="00661B1A"/>
    <w:rsid w:val="00662063"/>
    <w:rsid w:val="00662EFA"/>
    <w:rsid w:val="006637AE"/>
    <w:rsid w:val="0066382F"/>
    <w:rsid w:val="00663D00"/>
    <w:rsid w:val="00663E86"/>
    <w:rsid w:val="00663FDA"/>
    <w:rsid w:val="00664057"/>
    <w:rsid w:val="006640C9"/>
    <w:rsid w:val="0066414B"/>
    <w:rsid w:val="006642C8"/>
    <w:rsid w:val="00664655"/>
    <w:rsid w:val="00664713"/>
    <w:rsid w:val="00664BB6"/>
    <w:rsid w:val="00664E02"/>
    <w:rsid w:val="006656A9"/>
    <w:rsid w:val="00665796"/>
    <w:rsid w:val="00665FEE"/>
    <w:rsid w:val="0066601A"/>
    <w:rsid w:val="00666770"/>
    <w:rsid w:val="00666C72"/>
    <w:rsid w:val="00666D09"/>
    <w:rsid w:val="00666E2C"/>
    <w:rsid w:val="00666F42"/>
    <w:rsid w:val="0066700E"/>
    <w:rsid w:val="00667044"/>
    <w:rsid w:val="006673C7"/>
    <w:rsid w:val="006674A5"/>
    <w:rsid w:val="0066759D"/>
    <w:rsid w:val="00667B1F"/>
    <w:rsid w:val="00667D97"/>
    <w:rsid w:val="00667EB3"/>
    <w:rsid w:val="00670043"/>
    <w:rsid w:val="00670955"/>
    <w:rsid w:val="006709A4"/>
    <w:rsid w:val="006709F0"/>
    <w:rsid w:val="00670ECF"/>
    <w:rsid w:val="006712B4"/>
    <w:rsid w:val="00671B3B"/>
    <w:rsid w:val="00671B6D"/>
    <w:rsid w:val="00671B7E"/>
    <w:rsid w:val="00671C0E"/>
    <w:rsid w:val="00671E7A"/>
    <w:rsid w:val="0067236A"/>
    <w:rsid w:val="00672C2C"/>
    <w:rsid w:val="00672C2D"/>
    <w:rsid w:val="00673042"/>
    <w:rsid w:val="0067343A"/>
    <w:rsid w:val="006734F0"/>
    <w:rsid w:val="0067362A"/>
    <w:rsid w:val="006740AE"/>
    <w:rsid w:val="0067449B"/>
    <w:rsid w:val="00674B26"/>
    <w:rsid w:val="00674C4A"/>
    <w:rsid w:val="00675112"/>
    <w:rsid w:val="006751C6"/>
    <w:rsid w:val="00675B6A"/>
    <w:rsid w:val="00675CBE"/>
    <w:rsid w:val="00675F28"/>
    <w:rsid w:val="0067627A"/>
    <w:rsid w:val="00676298"/>
    <w:rsid w:val="00676334"/>
    <w:rsid w:val="0067650B"/>
    <w:rsid w:val="0067674B"/>
    <w:rsid w:val="0067674E"/>
    <w:rsid w:val="006767BC"/>
    <w:rsid w:val="00676A30"/>
    <w:rsid w:val="00676D4D"/>
    <w:rsid w:val="00676F9C"/>
    <w:rsid w:val="00677172"/>
    <w:rsid w:val="00677332"/>
    <w:rsid w:val="0067787A"/>
    <w:rsid w:val="00677A65"/>
    <w:rsid w:val="00677DFC"/>
    <w:rsid w:val="0068007A"/>
    <w:rsid w:val="0068082B"/>
    <w:rsid w:val="00680D35"/>
    <w:rsid w:val="006812AD"/>
    <w:rsid w:val="00681340"/>
    <w:rsid w:val="00681D75"/>
    <w:rsid w:val="00681E44"/>
    <w:rsid w:val="00682099"/>
    <w:rsid w:val="006822A8"/>
    <w:rsid w:val="0068242E"/>
    <w:rsid w:val="00682990"/>
    <w:rsid w:val="006831D1"/>
    <w:rsid w:val="006834CD"/>
    <w:rsid w:val="006835CB"/>
    <w:rsid w:val="0068382E"/>
    <w:rsid w:val="006838A4"/>
    <w:rsid w:val="00683A52"/>
    <w:rsid w:val="00683E7F"/>
    <w:rsid w:val="00683EB9"/>
    <w:rsid w:val="00684932"/>
    <w:rsid w:val="00684BAF"/>
    <w:rsid w:val="00684D32"/>
    <w:rsid w:val="00684F36"/>
    <w:rsid w:val="006850C0"/>
    <w:rsid w:val="0068551F"/>
    <w:rsid w:val="00685E78"/>
    <w:rsid w:val="00686AEE"/>
    <w:rsid w:val="00687007"/>
    <w:rsid w:val="006871DC"/>
    <w:rsid w:val="00687587"/>
    <w:rsid w:val="00687DAC"/>
    <w:rsid w:val="00687DBA"/>
    <w:rsid w:val="00687EBC"/>
    <w:rsid w:val="00687EE5"/>
    <w:rsid w:val="00687EF1"/>
    <w:rsid w:val="00690211"/>
    <w:rsid w:val="006904A8"/>
    <w:rsid w:val="006904DB"/>
    <w:rsid w:val="006905C2"/>
    <w:rsid w:val="00690646"/>
    <w:rsid w:val="00690AF4"/>
    <w:rsid w:val="00690C5A"/>
    <w:rsid w:val="006910FE"/>
    <w:rsid w:val="00691432"/>
    <w:rsid w:val="00691719"/>
    <w:rsid w:val="0069172D"/>
    <w:rsid w:val="0069193A"/>
    <w:rsid w:val="006919B5"/>
    <w:rsid w:val="00691A64"/>
    <w:rsid w:val="00691B8A"/>
    <w:rsid w:val="00691C3A"/>
    <w:rsid w:val="00691C3E"/>
    <w:rsid w:val="00691EA1"/>
    <w:rsid w:val="00691EB6"/>
    <w:rsid w:val="00691FDE"/>
    <w:rsid w:val="00692237"/>
    <w:rsid w:val="006926AB"/>
    <w:rsid w:val="006928B2"/>
    <w:rsid w:val="00692904"/>
    <w:rsid w:val="00692CA7"/>
    <w:rsid w:val="006930F4"/>
    <w:rsid w:val="00693147"/>
    <w:rsid w:val="006932A1"/>
    <w:rsid w:val="0069357F"/>
    <w:rsid w:val="00693F36"/>
    <w:rsid w:val="00694072"/>
    <w:rsid w:val="00694211"/>
    <w:rsid w:val="0069458D"/>
    <w:rsid w:val="00694A30"/>
    <w:rsid w:val="0069507A"/>
    <w:rsid w:val="006952A4"/>
    <w:rsid w:val="006956E0"/>
    <w:rsid w:val="00695E46"/>
    <w:rsid w:val="00695E85"/>
    <w:rsid w:val="00696C25"/>
    <w:rsid w:val="00696CCF"/>
    <w:rsid w:val="00696EBB"/>
    <w:rsid w:val="00697037"/>
    <w:rsid w:val="006971A4"/>
    <w:rsid w:val="00697382"/>
    <w:rsid w:val="00697672"/>
    <w:rsid w:val="00697822"/>
    <w:rsid w:val="00697AA7"/>
    <w:rsid w:val="006A07EC"/>
    <w:rsid w:val="006A08B6"/>
    <w:rsid w:val="006A0A87"/>
    <w:rsid w:val="006A10A9"/>
    <w:rsid w:val="006A1168"/>
    <w:rsid w:val="006A166D"/>
    <w:rsid w:val="006A19D7"/>
    <w:rsid w:val="006A1D1D"/>
    <w:rsid w:val="006A1D7A"/>
    <w:rsid w:val="006A1E14"/>
    <w:rsid w:val="006A1F10"/>
    <w:rsid w:val="006A26A6"/>
    <w:rsid w:val="006A27E8"/>
    <w:rsid w:val="006A287D"/>
    <w:rsid w:val="006A28E9"/>
    <w:rsid w:val="006A342A"/>
    <w:rsid w:val="006A39CC"/>
    <w:rsid w:val="006A3EF8"/>
    <w:rsid w:val="006A4AFD"/>
    <w:rsid w:val="006A4D4E"/>
    <w:rsid w:val="006A512C"/>
    <w:rsid w:val="006A5189"/>
    <w:rsid w:val="006A556A"/>
    <w:rsid w:val="006A55B6"/>
    <w:rsid w:val="006A58EA"/>
    <w:rsid w:val="006A5E0D"/>
    <w:rsid w:val="006A5E58"/>
    <w:rsid w:val="006A6223"/>
    <w:rsid w:val="006A6298"/>
    <w:rsid w:val="006A7198"/>
    <w:rsid w:val="006A7334"/>
    <w:rsid w:val="006A77E1"/>
    <w:rsid w:val="006A7E41"/>
    <w:rsid w:val="006A7EC9"/>
    <w:rsid w:val="006B0765"/>
    <w:rsid w:val="006B116B"/>
    <w:rsid w:val="006B1309"/>
    <w:rsid w:val="006B13F4"/>
    <w:rsid w:val="006B16F3"/>
    <w:rsid w:val="006B1764"/>
    <w:rsid w:val="006B18BA"/>
    <w:rsid w:val="006B1E2B"/>
    <w:rsid w:val="006B1E38"/>
    <w:rsid w:val="006B1EF1"/>
    <w:rsid w:val="006B2174"/>
    <w:rsid w:val="006B2508"/>
    <w:rsid w:val="006B26DD"/>
    <w:rsid w:val="006B27BC"/>
    <w:rsid w:val="006B2996"/>
    <w:rsid w:val="006B2C21"/>
    <w:rsid w:val="006B35A8"/>
    <w:rsid w:val="006B378A"/>
    <w:rsid w:val="006B3B8D"/>
    <w:rsid w:val="006B447E"/>
    <w:rsid w:val="006B4540"/>
    <w:rsid w:val="006B529C"/>
    <w:rsid w:val="006B55C7"/>
    <w:rsid w:val="006B5C84"/>
    <w:rsid w:val="006B630A"/>
    <w:rsid w:val="006B650D"/>
    <w:rsid w:val="006B6D47"/>
    <w:rsid w:val="006B6DD6"/>
    <w:rsid w:val="006B75B9"/>
    <w:rsid w:val="006B7659"/>
    <w:rsid w:val="006B7999"/>
    <w:rsid w:val="006B7FD7"/>
    <w:rsid w:val="006C0053"/>
    <w:rsid w:val="006C0089"/>
    <w:rsid w:val="006C028A"/>
    <w:rsid w:val="006C0370"/>
    <w:rsid w:val="006C0AEA"/>
    <w:rsid w:val="006C0C06"/>
    <w:rsid w:val="006C0CD0"/>
    <w:rsid w:val="006C0F7C"/>
    <w:rsid w:val="006C1577"/>
    <w:rsid w:val="006C1651"/>
    <w:rsid w:val="006C1BDC"/>
    <w:rsid w:val="006C1CEC"/>
    <w:rsid w:val="006C1E23"/>
    <w:rsid w:val="006C20A2"/>
    <w:rsid w:val="006C213E"/>
    <w:rsid w:val="006C21A1"/>
    <w:rsid w:val="006C253C"/>
    <w:rsid w:val="006C25DB"/>
    <w:rsid w:val="006C25E2"/>
    <w:rsid w:val="006C27B2"/>
    <w:rsid w:val="006C2A11"/>
    <w:rsid w:val="006C2A26"/>
    <w:rsid w:val="006C2B3E"/>
    <w:rsid w:val="006C31E4"/>
    <w:rsid w:val="006C359D"/>
    <w:rsid w:val="006C3F43"/>
    <w:rsid w:val="006C4040"/>
    <w:rsid w:val="006C40E5"/>
    <w:rsid w:val="006C4CD9"/>
    <w:rsid w:val="006C5546"/>
    <w:rsid w:val="006C5ACD"/>
    <w:rsid w:val="006C5E55"/>
    <w:rsid w:val="006C5F53"/>
    <w:rsid w:val="006C6300"/>
    <w:rsid w:val="006C76A3"/>
    <w:rsid w:val="006D066C"/>
    <w:rsid w:val="006D0753"/>
    <w:rsid w:val="006D0E61"/>
    <w:rsid w:val="006D1544"/>
    <w:rsid w:val="006D169F"/>
    <w:rsid w:val="006D1961"/>
    <w:rsid w:val="006D1B23"/>
    <w:rsid w:val="006D1F95"/>
    <w:rsid w:val="006D2033"/>
    <w:rsid w:val="006D2142"/>
    <w:rsid w:val="006D241F"/>
    <w:rsid w:val="006D24BC"/>
    <w:rsid w:val="006D2A7A"/>
    <w:rsid w:val="006D2A85"/>
    <w:rsid w:val="006D36B7"/>
    <w:rsid w:val="006D38F7"/>
    <w:rsid w:val="006D390E"/>
    <w:rsid w:val="006D39C4"/>
    <w:rsid w:val="006D3A49"/>
    <w:rsid w:val="006D3B1C"/>
    <w:rsid w:val="006D3BAF"/>
    <w:rsid w:val="006D3F1A"/>
    <w:rsid w:val="006D4206"/>
    <w:rsid w:val="006D4D83"/>
    <w:rsid w:val="006D5020"/>
    <w:rsid w:val="006D54A5"/>
    <w:rsid w:val="006D5690"/>
    <w:rsid w:val="006D577B"/>
    <w:rsid w:val="006D62E3"/>
    <w:rsid w:val="006D63F2"/>
    <w:rsid w:val="006D6428"/>
    <w:rsid w:val="006D6726"/>
    <w:rsid w:val="006D6997"/>
    <w:rsid w:val="006D6F9C"/>
    <w:rsid w:val="006D7924"/>
    <w:rsid w:val="006D7945"/>
    <w:rsid w:val="006D798F"/>
    <w:rsid w:val="006D7AB4"/>
    <w:rsid w:val="006D7B7E"/>
    <w:rsid w:val="006D7FE3"/>
    <w:rsid w:val="006E03BA"/>
    <w:rsid w:val="006E03BB"/>
    <w:rsid w:val="006E0A00"/>
    <w:rsid w:val="006E0C82"/>
    <w:rsid w:val="006E1646"/>
    <w:rsid w:val="006E16F1"/>
    <w:rsid w:val="006E1B8B"/>
    <w:rsid w:val="006E240E"/>
    <w:rsid w:val="006E2E74"/>
    <w:rsid w:val="006E359B"/>
    <w:rsid w:val="006E3846"/>
    <w:rsid w:val="006E3AE1"/>
    <w:rsid w:val="006E44B7"/>
    <w:rsid w:val="006E47D1"/>
    <w:rsid w:val="006E4D42"/>
    <w:rsid w:val="006E4D99"/>
    <w:rsid w:val="006E4FEA"/>
    <w:rsid w:val="006E5131"/>
    <w:rsid w:val="006E52E1"/>
    <w:rsid w:val="006E560E"/>
    <w:rsid w:val="006E622C"/>
    <w:rsid w:val="006E659A"/>
    <w:rsid w:val="006E688B"/>
    <w:rsid w:val="006E68C9"/>
    <w:rsid w:val="006E6911"/>
    <w:rsid w:val="006E6B4A"/>
    <w:rsid w:val="006E6C06"/>
    <w:rsid w:val="006E6EE6"/>
    <w:rsid w:val="006E72EA"/>
    <w:rsid w:val="006E75BF"/>
    <w:rsid w:val="006E7826"/>
    <w:rsid w:val="006E7A49"/>
    <w:rsid w:val="006E7A4F"/>
    <w:rsid w:val="006E7A66"/>
    <w:rsid w:val="006F02B7"/>
    <w:rsid w:val="006F0385"/>
    <w:rsid w:val="006F041D"/>
    <w:rsid w:val="006F046F"/>
    <w:rsid w:val="006F09B5"/>
    <w:rsid w:val="006F0C80"/>
    <w:rsid w:val="006F0E4C"/>
    <w:rsid w:val="006F0E93"/>
    <w:rsid w:val="006F0FEF"/>
    <w:rsid w:val="006F1100"/>
    <w:rsid w:val="006F1238"/>
    <w:rsid w:val="006F12DA"/>
    <w:rsid w:val="006F1349"/>
    <w:rsid w:val="006F16EC"/>
    <w:rsid w:val="006F186E"/>
    <w:rsid w:val="006F1924"/>
    <w:rsid w:val="006F1A18"/>
    <w:rsid w:val="006F1F59"/>
    <w:rsid w:val="006F201F"/>
    <w:rsid w:val="006F28E7"/>
    <w:rsid w:val="006F2C03"/>
    <w:rsid w:val="006F2E6A"/>
    <w:rsid w:val="006F303C"/>
    <w:rsid w:val="006F3AE2"/>
    <w:rsid w:val="006F3CAB"/>
    <w:rsid w:val="006F48B3"/>
    <w:rsid w:val="006F48B8"/>
    <w:rsid w:val="006F50B6"/>
    <w:rsid w:val="006F50C8"/>
    <w:rsid w:val="006F553C"/>
    <w:rsid w:val="006F5704"/>
    <w:rsid w:val="006F5B5F"/>
    <w:rsid w:val="006F5BB1"/>
    <w:rsid w:val="006F5D45"/>
    <w:rsid w:val="006F611A"/>
    <w:rsid w:val="006F6258"/>
    <w:rsid w:val="006F6351"/>
    <w:rsid w:val="006F65E1"/>
    <w:rsid w:val="006F6862"/>
    <w:rsid w:val="006F6FBC"/>
    <w:rsid w:val="006F7252"/>
    <w:rsid w:val="006F727F"/>
    <w:rsid w:val="006F7388"/>
    <w:rsid w:val="006F73E6"/>
    <w:rsid w:val="006F79A8"/>
    <w:rsid w:val="006F7A16"/>
    <w:rsid w:val="006F7C3E"/>
    <w:rsid w:val="006F7F8E"/>
    <w:rsid w:val="00700409"/>
    <w:rsid w:val="00700BE7"/>
    <w:rsid w:val="00701552"/>
    <w:rsid w:val="007017BB"/>
    <w:rsid w:val="00701E01"/>
    <w:rsid w:val="0070205B"/>
    <w:rsid w:val="00702231"/>
    <w:rsid w:val="00702255"/>
    <w:rsid w:val="00702A07"/>
    <w:rsid w:val="00702AD9"/>
    <w:rsid w:val="00702DB6"/>
    <w:rsid w:val="0070370F"/>
    <w:rsid w:val="00703898"/>
    <w:rsid w:val="007038E9"/>
    <w:rsid w:val="00703AE1"/>
    <w:rsid w:val="00703C27"/>
    <w:rsid w:val="00703CC5"/>
    <w:rsid w:val="00703FB3"/>
    <w:rsid w:val="00704034"/>
    <w:rsid w:val="00704489"/>
    <w:rsid w:val="00704511"/>
    <w:rsid w:val="00704770"/>
    <w:rsid w:val="007047C2"/>
    <w:rsid w:val="007048B4"/>
    <w:rsid w:val="00704D2B"/>
    <w:rsid w:val="00704ED3"/>
    <w:rsid w:val="00704FDE"/>
    <w:rsid w:val="00705448"/>
    <w:rsid w:val="00705960"/>
    <w:rsid w:val="00705C3C"/>
    <w:rsid w:val="00705DD7"/>
    <w:rsid w:val="00705E1A"/>
    <w:rsid w:val="007068C6"/>
    <w:rsid w:val="00706B15"/>
    <w:rsid w:val="00706E1B"/>
    <w:rsid w:val="00707037"/>
    <w:rsid w:val="00707732"/>
    <w:rsid w:val="00707742"/>
    <w:rsid w:val="00707BF2"/>
    <w:rsid w:val="00707E55"/>
    <w:rsid w:val="00710511"/>
    <w:rsid w:val="007109C7"/>
    <w:rsid w:val="00710ECE"/>
    <w:rsid w:val="007118F4"/>
    <w:rsid w:val="00711961"/>
    <w:rsid w:val="00711EBA"/>
    <w:rsid w:val="00711EC6"/>
    <w:rsid w:val="007122EC"/>
    <w:rsid w:val="007129FC"/>
    <w:rsid w:val="007129FD"/>
    <w:rsid w:val="00712D76"/>
    <w:rsid w:val="00713059"/>
    <w:rsid w:val="00713281"/>
    <w:rsid w:val="0071342B"/>
    <w:rsid w:val="0071372F"/>
    <w:rsid w:val="00713AF6"/>
    <w:rsid w:val="00713BD4"/>
    <w:rsid w:val="00713CB6"/>
    <w:rsid w:val="00713D0A"/>
    <w:rsid w:val="007144B4"/>
    <w:rsid w:val="007144DE"/>
    <w:rsid w:val="00714504"/>
    <w:rsid w:val="00714600"/>
    <w:rsid w:val="007146A7"/>
    <w:rsid w:val="00714964"/>
    <w:rsid w:val="00714DAE"/>
    <w:rsid w:val="00714E76"/>
    <w:rsid w:val="00715387"/>
    <w:rsid w:val="00715553"/>
    <w:rsid w:val="00715C37"/>
    <w:rsid w:val="00715D33"/>
    <w:rsid w:val="00716257"/>
    <w:rsid w:val="007162F0"/>
    <w:rsid w:val="00716906"/>
    <w:rsid w:val="00716BBB"/>
    <w:rsid w:val="00716C60"/>
    <w:rsid w:val="00716C69"/>
    <w:rsid w:val="00716E05"/>
    <w:rsid w:val="00716E1E"/>
    <w:rsid w:val="0071742A"/>
    <w:rsid w:val="00717785"/>
    <w:rsid w:val="00717A2D"/>
    <w:rsid w:val="00717BF2"/>
    <w:rsid w:val="00717C9F"/>
    <w:rsid w:val="00717EE6"/>
    <w:rsid w:val="0072070E"/>
    <w:rsid w:val="00721053"/>
    <w:rsid w:val="0072145D"/>
    <w:rsid w:val="00721C1B"/>
    <w:rsid w:val="007220D4"/>
    <w:rsid w:val="007221DF"/>
    <w:rsid w:val="007224A4"/>
    <w:rsid w:val="00722D6A"/>
    <w:rsid w:val="00722E71"/>
    <w:rsid w:val="0072350E"/>
    <w:rsid w:val="00723CC3"/>
    <w:rsid w:val="0072442A"/>
    <w:rsid w:val="00724C37"/>
    <w:rsid w:val="00724C9B"/>
    <w:rsid w:val="00724F7D"/>
    <w:rsid w:val="00725169"/>
    <w:rsid w:val="00725893"/>
    <w:rsid w:val="00725FE7"/>
    <w:rsid w:val="00726F54"/>
    <w:rsid w:val="0072731B"/>
    <w:rsid w:val="007278D8"/>
    <w:rsid w:val="00727B3C"/>
    <w:rsid w:val="00727BB7"/>
    <w:rsid w:val="007302B5"/>
    <w:rsid w:val="007309FE"/>
    <w:rsid w:val="00730E8F"/>
    <w:rsid w:val="007311F2"/>
    <w:rsid w:val="00731D48"/>
    <w:rsid w:val="007320C7"/>
    <w:rsid w:val="00732885"/>
    <w:rsid w:val="0073289B"/>
    <w:rsid w:val="007330FB"/>
    <w:rsid w:val="00733149"/>
    <w:rsid w:val="00733765"/>
    <w:rsid w:val="007339E2"/>
    <w:rsid w:val="00734298"/>
    <w:rsid w:val="007342A5"/>
    <w:rsid w:val="00734484"/>
    <w:rsid w:val="0073453C"/>
    <w:rsid w:val="007345D8"/>
    <w:rsid w:val="0073498E"/>
    <w:rsid w:val="00734BBC"/>
    <w:rsid w:val="00734F02"/>
    <w:rsid w:val="00735193"/>
    <w:rsid w:val="007351AF"/>
    <w:rsid w:val="00735504"/>
    <w:rsid w:val="00735B0C"/>
    <w:rsid w:val="00735BD5"/>
    <w:rsid w:val="00735EF7"/>
    <w:rsid w:val="0073606D"/>
    <w:rsid w:val="0073608B"/>
    <w:rsid w:val="007361AE"/>
    <w:rsid w:val="007365EB"/>
    <w:rsid w:val="00736A70"/>
    <w:rsid w:val="00736D97"/>
    <w:rsid w:val="00737045"/>
    <w:rsid w:val="00737850"/>
    <w:rsid w:val="00740128"/>
    <w:rsid w:val="00740490"/>
    <w:rsid w:val="00740AA0"/>
    <w:rsid w:val="00740F01"/>
    <w:rsid w:val="00740F53"/>
    <w:rsid w:val="00741AF4"/>
    <w:rsid w:val="00741C7F"/>
    <w:rsid w:val="00742076"/>
    <w:rsid w:val="00742171"/>
    <w:rsid w:val="0074250E"/>
    <w:rsid w:val="00742BF5"/>
    <w:rsid w:val="007436CD"/>
    <w:rsid w:val="00743999"/>
    <w:rsid w:val="00743BA6"/>
    <w:rsid w:val="00743C7C"/>
    <w:rsid w:val="00744685"/>
    <w:rsid w:val="00744710"/>
    <w:rsid w:val="00744A29"/>
    <w:rsid w:val="00744EEA"/>
    <w:rsid w:val="00745136"/>
    <w:rsid w:val="00745783"/>
    <w:rsid w:val="00745A15"/>
    <w:rsid w:val="00745DD2"/>
    <w:rsid w:val="007460D4"/>
    <w:rsid w:val="0074683D"/>
    <w:rsid w:val="00747531"/>
    <w:rsid w:val="00747634"/>
    <w:rsid w:val="00747A8B"/>
    <w:rsid w:val="00747F87"/>
    <w:rsid w:val="007505AD"/>
    <w:rsid w:val="007506BA"/>
    <w:rsid w:val="00750801"/>
    <w:rsid w:val="0075097E"/>
    <w:rsid w:val="007509C2"/>
    <w:rsid w:val="00750DBD"/>
    <w:rsid w:val="00750DED"/>
    <w:rsid w:val="00750E3F"/>
    <w:rsid w:val="00751041"/>
    <w:rsid w:val="00751354"/>
    <w:rsid w:val="007517F3"/>
    <w:rsid w:val="0075186A"/>
    <w:rsid w:val="00751CF6"/>
    <w:rsid w:val="00752023"/>
    <w:rsid w:val="0075223C"/>
    <w:rsid w:val="007524EB"/>
    <w:rsid w:val="00752EF6"/>
    <w:rsid w:val="00753200"/>
    <w:rsid w:val="0075332B"/>
    <w:rsid w:val="007534FB"/>
    <w:rsid w:val="00753700"/>
    <w:rsid w:val="007538B7"/>
    <w:rsid w:val="00753A02"/>
    <w:rsid w:val="00753AFD"/>
    <w:rsid w:val="00753F18"/>
    <w:rsid w:val="00753FD9"/>
    <w:rsid w:val="00754A2A"/>
    <w:rsid w:val="00754AFF"/>
    <w:rsid w:val="00754DD4"/>
    <w:rsid w:val="0075505C"/>
    <w:rsid w:val="00755436"/>
    <w:rsid w:val="007557F3"/>
    <w:rsid w:val="00755928"/>
    <w:rsid w:val="00755DE9"/>
    <w:rsid w:val="00756084"/>
    <w:rsid w:val="0075669C"/>
    <w:rsid w:val="0075677C"/>
    <w:rsid w:val="00756882"/>
    <w:rsid w:val="00756909"/>
    <w:rsid w:val="007569F2"/>
    <w:rsid w:val="00756A6E"/>
    <w:rsid w:val="00757096"/>
    <w:rsid w:val="00757102"/>
    <w:rsid w:val="00757411"/>
    <w:rsid w:val="00757E1D"/>
    <w:rsid w:val="00757EC7"/>
    <w:rsid w:val="00757EF2"/>
    <w:rsid w:val="00760920"/>
    <w:rsid w:val="00760D10"/>
    <w:rsid w:val="00760D84"/>
    <w:rsid w:val="00760F5D"/>
    <w:rsid w:val="00761A50"/>
    <w:rsid w:val="00761BA8"/>
    <w:rsid w:val="00761E4C"/>
    <w:rsid w:val="007620B5"/>
    <w:rsid w:val="00762108"/>
    <w:rsid w:val="00762118"/>
    <w:rsid w:val="00762183"/>
    <w:rsid w:val="007628B4"/>
    <w:rsid w:val="007629A0"/>
    <w:rsid w:val="00762A9B"/>
    <w:rsid w:val="00762D65"/>
    <w:rsid w:val="00762E79"/>
    <w:rsid w:val="007632BA"/>
    <w:rsid w:val="0076378C"/>
    <w:rsid w:val="0076388B"/>
    <w:rsid w:val="00763D16"/>
    <w:rsid w:val="00763ECA"/>
    <w:rsid w:val="007640B6"/>
    <w:rsid w:val="0076498F"/>
    <w:rsid w:val="00764FDB"/>
    <w:rsid w:val="007652D4"/>
    <w:rsid w:val="00765343"/>
    <w:rsid w:val="00765B27"/>
    <w:rsid w:val="00765EDC"/>
    <w:rsid w:val="007661D6"/>
    <w:rsid w:val="00766761"/>
    <w:rsid w:val="00766898"/>
    <w:rsid w:val="00766C5C"/>
    <w:rsid w:val="00766CDD"/>
    <w:rsid w:val="00766E71"/>
    <w:rsid w:val="0076774E"/>
    <w:rsid w:val="00767B87"/>
    <w:rsid w:val="00770154"/>
    <w:rsid w:val="007701A3"/>
    <w:rsid w:val="00770E38"/>
    <w:rsid w:val="00771429"/>
    <w:rsid w:val="00771998"/>
    <w:rsid w:val="00772291"/>
    <w:rsid w:val="007725C7"/>
    <w:rsid w:val="0077275E"/>
    <w:rsid w:val="00772987"/>
    <w:rsid w:val="00772C5A"/>
    <w:rsid w:val="00772EB6"/>
    <w:rsid w:val="00773138"/>
    <w:rsid w:val="007739F8"/>
    <w:rsid w:val="007748DA"/>
    <w:rsid w:val="00774B72"/>
    <w:rsid w:val="00774CBB"/>
    <w:rsid w:val="007751DE"/>
    <w:rsid w:val="00775406"/>
    <w:rsid w:val="00775A9F"/>
    <w:rsid w:val="00775C40"/>
    <w:rsid w:val="00775FC7"/>
    <w:rsid w:val="007762DF"/>
    <w:rsid w:val="007773C1"/>
    <w:rsid w:val="0077755E"/>
    <w:rsid w:val="0077756F"/>
    <w:rsid w:val="007777FB"/>
    <w:rsid w:val="00777845"/>
    <w:rsid w:val="0078051B"/>
    <w:rsid w:val="00780728"/>
    <w:rsid w:val="00780B81"/>
    <w:rsid w:val="00780DF5"/>
    <w:rsid w:val="0078105C"/>
    <w:rsid w:val="007812D8"/>
    <w:rsid w:val="007812D9"/>
    <w:rsid w:val="0078133D"/>
    <w:rsid w:val="00781627"/>
    <w:rsid w:val="00781D8E"/>
    <w:rsid w:val="00781E34"/>
    <w:rsid w:val="00781F28"/>
    <w:rsid w:val="007822C8"/>
    <w:rsid w:val="00782770"/>
    <w:rsid w:val="00782B14"/>
    <w:rsid w:val="00782BF2"/>
    <w:rsid w:val="00782CA0"/>
    <w:rsid w:val="00782F61"/>
    <w:rsid w:val="00783116"/>
    <w:rsid w:val="007831AA"/>
    <w:rsid w:val="007831E1"/>
    <w:rsid w:val="007833C7"/>
    <w:rsid w:val="0078363D"/>
    <w:rsid w:val="00783817"/>
    <w:rsid w:val="00783DEB"/>
    <w:rsid w:val="007844E3"/>
    <w:rsid w:val="00784BDE"/>
    <w:rsid w:val="00784C58"/>
    <w:rsid w:val="00784EBA"/>
    <w:rsid w:val="0078506D"/>
    <w:rsid w:val="00785347"/>
    <w:rsid w:val="0078536F"/>
    <w:rsid w:val="00785785"/>
    <w:rsid w:val="00785B0D"/>
    <w:rsid w:val="00785FBE"/>
    <w:rsid w:val="007861C3"/>
    <w:rsid w:val="007861ED"/>
    <w:rsid w:val="00786ED3"/>
    <w:rsid w:val="00786F20"/>
    <w:rsid w:val="00786F71"/>
    <w:rsid w:val="00787485"/>
    <w:rsid w:val="0078758A"/>
    <w:rsid w:val="0078766C"/>
    <w:rsid w:val="00790330"/>
    <w:rsid w:val="0079092C"/>
    <w:rsid w:val="00790B33"/>
    <w:rsid w:val="00790F7A"/>
    <w:rsid w:val="00791085"/>
    <w:rsid w:val="007912FA"/>
    <w:rsid w:val="0079178A"/>
    <w:rsid w:val="007917B6"/>
    <w:rsid w:val="00791A46"/>
    <w:rsid w:val="00791DED"/>
    <w:rsid w:val="00791E24"/>
    <w:rsid w:val="00791EB2"/>
    <w:rsid w:val="00791EB5"/>
    <w:rsid w:val="00791F4D"/>
    <w:rsid w:val="0079233E"/>
    <w:rsid w:val="00792842"/>
    <w:rsid w:val="00792884"/>
    <w:rsid w:val="00792A8B"/>
    <w:rsid w:val="00792AA8"/>
    <w:rsid w:val="00792C84"/>
    <w:rsid w:val="00792D8E"/>
    <w:rsid w:val="00793359"/>
    <w:rsid w:val="00793907"/>
    <w:rsid w:val="00793AAE"/>
    <w:rsid w:val="00793B7C"/>
    <w:rsid w:val="00793F0E"/>
    <w:rsid w:val="007942EB"/>
    <w:rsid w:val="007943C0"/>
    <w:rsid w:val="00794657"/>
    <w:rsid w:val="00794972"/>
    <w:rsid w:val="00794D75"/>
    <w:rsid w:val="00794F90"/>
    <w:rsid w:val="00795689"/>
    <w:rsid w:val="007960EB"/>
    <w:rsid w:val="00796DFA"/>
    <w:rsid w:val="00796EB9"/>
    <w:rsid w:val="00796EE7"/>
    <w:rsid w:val="00797022"/>
    <w:rsid w:val="0079705F"/>
    <w:rsid w:val="007972E5"/>
    <w:rsid w:val="00797942"/>
    <w:rsid w:val="00797D2B"/>
    <w:rsid w:val="00797E4A"/>
    <w:rsid w:val="00797F03"/>
    <w:rsid w:val="00797F49"/>
    <w:rsid w:val="00797FA9"/>
    <w:rsid w:val="007A00A2"/>
    <w:rsid w:val="007A08E1"/>
    <w:rsid w:val="007A0E1A"/>
    <w:rsid w:val="007A16AF"/>
    <w:rsid w:val="007A1D46"/>
    <w:rsid w:val="007A1F80"/>
    <w:rsid w:val="007A29CD"/>
    <w:rsid w:val="007A2CE3"/>
    <w:rsid w:val="007A2E60"/>
    <w:rsid w:val="007A2F6D"/>
    <w:rsid w:val="007A30D0"/>
    <w:rsid w:val="007A3143"/>
    <w:rsid w:val="007A32F3"/>
    <w:rsid w:val="007A335B"/>
    <w:rsid w:val="007A3667"/>
    <w:rsid w:val="007A3ABE"/>
    <w:rsid w:val="007A3E45"/>
    <w:rsid w:val="007A3EF2"/>
    <w:rsid w:val="007A4CB0"/>
    <w:rsid w:val="007A585E"/>
    <w:rsid w:val="007A59C6"/>
    <w:rsid w:val="007A5A6A"/>
    <w:rsid w:val="007A5B52"/>
    <w:rsid w:val="007A5CB0"/>
    <w:rsid w:val="007A62C3"/>
    <w:rsid w:val="007A6989"/>
    <w:rsid w:val="007A711C"/>
    <w:rsid w:val="007A75D1"/>
    <w:rsid w:val="007A799A"/>
    <w:rsid w:val="007B0D13"/>
    <w:rsid w:val="007B1091"/>
    <w:rsid w:val="007B148F"/>
    <w:rsid w:val="007B1713"/>
    <w:rsid w:val="007B1903"/>
    <w:rsid w:val="007B1A07"/>
    <w:rsid w:val="007B1B91"/>
    <w:rsid w:val="007B1C73"/>
    <w:rsid w:val="007B1E48"/>
    <w:rsid w:val="007B1E9A"/>
    <w:rsid w:val="007B21AD"/>
    <w:rsid w:val="007B2A04"/>
    <w:rsid w:val="007B3138"/>
    <w:rsid w:val="007B32E7"/>
    <w:rsid w:val="007B35A3"/>
    <w:rsid w:val="007B365F"/>
    <w:rsid w:val="007B4102"/>
    <w:rsid w:val="007B4244"/>
    <w:rsid w:val="007B42F8"/>
    <w:rsid w:val="007B43F7"/>
    <w:rsid w:val="007B45D4"/>
    <w:rsid w:val="007B47C5"/>
    <w:rsid w:val="007B4867"/>
    <w:rsid w:val="007B4C31"/>
    <w:rsid w:val="007B4EED"/>
    <w:rsid w:val="007B532E"/>
    <w:rsid w:val="007B544B"/>
    <w:rsid w:val="007B5C54"/>
    <w:rsid w:val="007B5D14"/>
    <w:rsid w:val="007B5E11"/>
    <w:rsid w:val="007B5FBC"/>
    <w:rsid w:val="007B651A"/>
    <w:rsid w:val="007B660D"/>
    <w:rsid w:val="007B6648"/>
    <w:rsid w:val="007B6669"/>
    <w:rsid w:val="007B66A0"/>
    <w:rsid w:val="007B6954"/>
    <w:rsid w:val="007B6F3A"/>
    <w:rsid w:val="007B7049"/>
    <w:rsid w:val="007B70CD"/>
    <w:rsid w:val="007B736E"/>
    <w:rsid w:val="007B74CD"/>
    <w:rsid w:val="007B77CD"/>
    <w:rsid w:val="007B79A0"/>
    <w:rsid w:val="007B7A1E"/>
    <w:rsid w:val="007B7D93"/>
    <w:rsid w:val="007B7DB9"/>
    <w:rsid w:val="007B7EF2"/>
    <w:rsid w:val="007C0231"/>
    <w:rsid w:val="007C04FD"/>
    <w:rsid w:val="007C05A9"/>
    <w:rsid w:val="007C0631"/>
    <w:rsid w:val="007C0969"/>
    <w:rsid w:val="007C0C3C"/>
    <w:rsid w:val="007C10B2"/>
    <w:rsid w:val="007C10C9"/>
    <w:rsid w:val="007C1265"/>
    <w:rsid w:val="007C17B9"/>
    <w:rsid w:val="007C1A1F"/>
    <w:rsid w:val="007C1BA8"/>
    <w:rsid w:val="007C1D18"/>
    <w:rsid w:val="007C24AB"/>
    <w:rsid w:val="007C2663"/>
    <w:rsid w:val="007C2A63"/>
    <w:rsid w:val="007C311B"/>
    <w:rsid w:val="007C32EC"/>
    <w:rsid w:val="007C3419"/>
    <w:rsid w:val="007C371F"/>
    <w:rsid w:val="007C382A"/>
    <w:rsid w:val="007C3A9B"/>
    <w:rsid w:val="007C4186"/>
    <w:rsid w:val="007C41A0"/>
    <w:rsid w:val="007C41FA"/>
    <w:rsid w:val="007C43FE"/>
    <w:rsid w:val="007C4647"/>
    <w:rsid w:val="007C4C1E"/>
    <w:rsid w:val="007C4C4D"/>
    <w:rsid w:val="007C506B"/>
    <w:rsid w:val="007C51BB"/>
    <w:rsid w:val="007C53C5"/>
    <w:rsid w:val="007C6194"/>
    <w:rsid w:val="007C61AA"/>
    <w:rsid w:val="007C7B38"/>
    <w:rsid w:val="007C7D54"/>
    <w:rsid w:val="007C7E78"/>
    <w:rsid w:val="007D00F3"/>
    <w:rsid w:val="007D092D"/>
    <w:rsid w:val="007D0986"/>
    <w:rsid w:val="007D1049"/>
    <w:rsid w:val="007D10B2"/>
    <w:rsid w:val="007D1215"/>
    <w:rsid w:val="007D12AB"/>
    <w:rsid w:val="007D190A"/>
    <w:rsid w:val="007D1E0C"/>
    <w:rsid w:val="007D1FE6"/>
    <w:rsid w:val="007D2547"/>
    <w:rsid w:val="007D2B4A"/>
    <w:rsid w:val="007D2DCA"/>
    <w:rsid w:val="007D30EE"/>
    <w:rsid w:val="007D322D"/>
    <w:rsid w:val="007D3750"/>
    <w:rsid w:val="007D388C"/>
    <w:rsid w:val="007D38E8"/>
    <w:rsid w:val="007D392B"/>
    <w:rsid w:val="007D3A4D"/>
    <w:rsid w:val="007D3EDE"/>
    <w:rsid w:val="007D4206"/>
    <w:rsid w:val="007D447C"/>
    <w:rsid w:val="007D4492"/>
    <w:rsid w:val="007D45C8"/>
    <w:rsid w:val="007D46D0"/>
    <w:rsid w:val="007D4770"/>
    <w:rsid w:val="007D4ADC"/>
    <w:rsid w:val="007D4B21"/>
    <w:rsid w:val="007D4B8D"/>
    <w:rsid w:val="007D4B9F"/>
    <w:rsid w:val="007D5015"/>
    <w:rsid w:val="007D508C"/>
    <w:rsid w:val="007D5125"/>
    <w:rsid w:val="007D5277"/>
    <w:rsid w:val="007D551A"/>
    <w:rsid w:val="007D59A7"/>
    <w:rsid w:val="007D5DA7"/>
    <w:rsid w:val="007D5E96"/>
    <w:rsid w:val="007D6212"/>
    <w:rsid w:val="007D64B3"/>
    <w:rsid w:val="007D663F"/>
    <w:rsid w:val="007D6777"/>
    <w:rsid w:val="007D67FF"/>
    <w:rsid w:val="007D698B"/>
    <w:rsid w:val="007D6C03"/>
    <w:rsid w:val="007D703A"/>
    <w:rsid w:val="007D7188"/>
    <w:rsid w:val="007D79D3"/>
    <w:rsid w:val="007D7BB6"/>
    <w:rsid w:val="007D7D59"/>
    <w:rsid w:val="007E0081"/>
    <w:rsid w:val="007E028B"/>
    <w:rsid w:val="007E03BE"/>
    <w:rsid w:val="007E0721"/>
    <w:rsid w:val="007E0763"/>
    <w:rsid w:val="007E0B87"/>
    <w:rsid w:val="007E0FBF"/>
    <w:rsid w:val="007E0FE0"/>
    <w:rsid w:val="007E1308"/>
    <w:rsid w:val="007E16C1"/>
    <w:rsid w:val="007E1800"/>
    <w:rsid w:val="007E1878"/>
    <w:rsid w:val="007E190A"/>
    <w:rsid w:val="007E1EC4"/>
    <w:rsid w:val="007E2475"/>
    <w:rsid w:val="007E2A17"/>
    <w:rsid w:val="007E2A84"/>
    <w:rsid w:val="007E2B54"/>
    <w:rsid w:val="007E2D5B"/>
    <w:rsid w:val="007E2D7B"/>
    <w:rsid w:val="007E2DAC"/>
    <w:rsid w:val="007E30DA"/>
    <w:rsid w:val="007E315A"/>
    <w:rsid w:val="007E37A2"/>
    <w:rsid w:val="007E3C8D"/>
    <w:rsid w:val="007E4000"/>
    <w:rsid w:val="007E448C"/>
    <w:rsid w:val="007E4AAD"/>
    <w:rsid w:val="007E4CC3"/>
    <w:rsid w:val="007E4F3F"/>
    <w:rsid w:val="007E52F8"/>
    <w:rsid w:val="007E5499"/>
    <w:rsid w:val="007E552F"/>
    <w:rsid w:val="007E5571"/>
    <w:rsid w:val="007E5774"/>
    <w:rsid w:val="007E5820"/>
    <w:rsid w:val="007E5D35"/>
    <w:rsid w:val="007E5D51"/>
    <w:rsid w:val="007E5D5B"/>
    <w:rsid w:val="007E5EEC"/>
    <w:rsid w:val="007E625E"/>
    <w:rsid w:val="007E6359"/>
    <w:rsid w:val="007E67ED"/>
    <w:rsid w:val="007E6DDD"/>
    <w:rsid w:val="007E749E"/>
    <w:rsid w:val="007E752C"/>
    <w:rsid w:val="007E7661"/>
    <w:rsid w:val="007E7A63"/>
    <w:rsid w:val="007E7C46"/>
    <w:rsid w:val="007F0922"/>
    <w:rsid w:val="007F0AE2"/>
    <w:rsid w:val="007F1701"/>
    <w:rsid w:val="007F22CB"/>
    <w:rsid w:val="007F273D"/>
    <w:rsid w:val="007F2B3E"/>
    <w:rsid w:val="007F2B92"/>
    <w:rsid w:val="007F4021"/>
    <w:rsid w:val="007F44BA"/>
    <w:rsid w:val="007F45FC"/>
    <w:rsid w:val="007F466A"/>
    <w:rsid w:val="007F4A13"/>
    <w:rsid w:val="007F4A26"/>
    <w:rsid w:val="007F4BA9"/>
    <w:rsid w:val="007F4BCE"/>
    <w:rsid w:val="007F4C2C"/>
    <w:rsid w:val="007F4D05"/>
    <w:rsid w:val="007F4F21"/>
    <w:rsid w:val="007F4F3D"/>
    <w:rsid w:val="007F52A6"/>
    <w:rsid w:val="007F5789"/>
    <w:rsid w:val="007F581E"/>
    <w:rsid w:val="007F5B56"/>
    <w:rsid w:val="007F5C77"/>
    <w:rsid w:val="007F609B"/>
    <w:rsid w:val="007F6299"/>
    <w:rsid w:val="007F6312"/>
    <w:rsid w:val="007F68DA"/>
    <w:rsid w:val="007F6D64"/>
    <w:rsid w:val="007F7FD3"/>
    <w:rsid w:val="00800443"/>
    <w:rsid w:val="008004E7"/>
    <w:rsid w:val="00800622"/>
    <w:rsid w:val="00800F66"/>
    <w:rsid w:val="00800FEF"/>
    <w:rsid w:val="00801091"/>
    <w:rsid w:val="0080179B"/>
    <w:rsid w:val="00801867"/>
    <w:rsid w:val="0080192C"/>
    <w:rsid w:val="00801B89"/>
    <w:rsid w:val="008026B7"/>
    <w:rsid w:val="0080276C"/>
    <w:rsid w:val="008027A0"/>
    <w:rsid w:val="00802D49"/>
    <w:rsid w:val="0080311F"/>
    <w:rsid w:val="008039E1"/>
    <w:rsid w:val="00803DA7"/>
    <w:rsid w:val="008040F2"/>
    <w:rsid w:val="00804252"/>
    <w:rsid w:val="008045F7"/>
    <w:rsid w:val="00804B67"/>
    <w:rsid w:val="00804F39"/>
    <w:rsid w:val="00805219"/>
    <w:rsid w:val="008052D2"/>
    <w:rsid w:val="00805350"/>
    <w:rsid w:val="008053F1"/>
    <w:rsid w:val="00805524"/>
    <w:rsid w:val="00805D4E"/>
    <w:rsid w:val="00805D60"/>
    <w:rsid w:val="00805DFB"/>
    <w:rsid w:val="00805E77"/>
    <w:rsid w:val="00805FC6"/>
    <w:rsid w:val="008060C8"/>
    <w:rsid w:val="00806538"/>
    <w:rsid w:val="00807410"/>
    <w:rsid w:val="00807EC6"/>
    <w:rsid w:val="008107D8"/>
    <w:rsid w:val="00810A1A"/>
    <w:rsid w:val="00810B91"/>
    <w:rsid w:val="00810F5C"/>
    <w:rsid w:val="008114F1"/>
    <w:rsid w:val="00811940"/>
    <w:rsid w:val="00812017"/>
    <w:rsid w:val="00812723"/>
    <w:rsid w:val="008128EB"/>
    <w:rsid w:val="00813374"/>
    <w:rsid w:val="0081365B"/>
    <w:rsid w:val="00813815"/>
    <w:rsid w:val="008138CA"/>
    <w:rsid w:val="008145FC"/>
    <w:rsid w:val="008149EC"/>
    <w:rsid w:val="00814A6A"/>
    <w:rsid w:val="00814ED4"/>
    <w:rsid w:val="008150DD"/>
    <w:rsid w:val="008152E3"/>
    <w:rsid w:val="0081537F"/>
    <w:rsid w:val="0081557C"/>
    <w:rsid w:val="008156DF"/>
    <w:rsid w:val="008156F6"/>
    <w:rsid w:val="008159B1"/>
    <w:rsid w:val="00815C63"/>
    <w:rsid w:val="00815ED8"/>
    <w:rsid w:val="00816189"/>
    <w:rsid w:val="0081670F"/>
    <w:rsid w:val="00816739"/>
    <w:rsid w:val="00816A08"/>
    <w:rsid w:val="00816E9F"/>
    <w:rsid w:val="0081702F"/>
    <w:rsid w:val="00817097"/>
    <w:rsid w:val="00817279"/>
    <w:rsid w:val="00817528"/>
    <w:rsid w:val="00817676"/>
    <w:rsid w:val="008179CB"/>
    <w:rsid w:val="00817A09"/>
    <w:rsid w:val="00817EDC"/>
    <w:rsid w:val="0082013C"/>
    <w:rsid w:val="0082021C"/>
    <w:rsid w:val="00820282"/>
    <w:rsid w:val="0082117F"/>
    <w:rsid w:val="008212AB"/>
    <w:rsid w:val="0082133D"/>
    <w:rsid w:val="00821375"/>
    <w:rsid w:val="008215F9"/>
    <w:rsid w:val="0082164D"/>
    <w:rsid w:val="008217AB"/>
    <w:rsid w:val="008217B6"/>
    <w:rsid w:val="00821944"/>
    <w:rsid w:val="00821B06"/>
    <w:rsid w:val="00821C99"/>
    <w:rsid w:val="0082202F"/>
    <w:rsid w:val="008222DF"/>
    <w:rsid w:val="00822427"/>
    <w:rsid w:val="00822546"/>
    <w:rsid w:val="00822742"/>
    <w:rsid w:val="0082311C"/>
    <w:rsid w:val="008238DF"/>
    <w:rsid w:val="0082411F"/>
    <w:rsid w:val="008241B3"/>
    <w:rsid w:val="00824784"/>
    <w:rsid w:val="008253DA"/>
    <w:rsid w:val="008255EB"/>
    <w:rsid w:val="00825BA3"/>
    <w:rsid w:val="00825FFB"/>
    <w:rsid w:val="00826035"/>
    <w:rsid w:val="0082619C"/>
    <w:rsid w:val="008261F9"/>
    <w:rsid w:val="008267CB"/>
    <w:rsid w:val="00826A21"/>
    <w:rsid w:val="00826A4F"/>
    <w:rsid w:val="00826D33"/>
    <w:rsid w:val="00830327"/>
    <w:rsid w:val="008305BA"/>
    <w:rsid w:val="00830827"/>
    <w:rsid w:val="00831372"/>
    <w:rsid w:val="008313DB"/>
    <w:rsid w:val="0083188C"/>
    <w:rsid w:val="008319F9"/>
    <w:rsid w:val="00831A0D"/>
    <w:rsid w:val="00831EAB"/>
    <w:rsid w:val="008322C4"/>
    <w:rsid w:val="008327BF"/>
    <w:rsid w:val="008327DD"/>
    <w:rsid w:val="00832B24"/>
    <w:rsid w:val="00832F5C"/>
    <w:rsid w:val="00833D1B"/>
    <w:rsid w:val="00833F72"/>
    <w:rsid w:val="00834454"/>
    <w:rsid w:val="00834470"/>
    <w:rsid w:val="0083463E"/>
    <w:rsid w:val="0083538B"/>
    <w:rsid w:val="00835CA7"/>
    <w:rsid w:val="00835D5D"/>
    <w:rsid w:val="0083644E"/>
    <w:rsid w:val="008364A3"/>
    <w:rsid w:val="008366CC"/>
    <w:rsid w:val="00836943"/>
    <w:rsid w:val="00836AD2"/>
    <w:rsid w:val="00836D28"/>
    <w:rsid w:val="00836D80"/>
    <w:rsid w:val="00836F50"/>
    <w:rsid w:val="008375CC"/>
    <w:rsid w:val="00837804"/>
    <w:rsid w:val="00837D29"/>
    <w:rsid w:val="00840036"/>
    <w:rsid w:val="00840118"/>
    <w:rsid w:val="008408F2"/>
    <w:rsid w:val="00840975"/>
    <w:rsid w:val="00840A0C"/>
    <w:rsid w:val="0084149B"/>
    <w:rsid w:val="008415CC"/>
    <w:rsid w:val="00841AA7"/>
    <w:rsid w:val="00841C4F"/>
    <w:rsid w:val="00842260"/>
    <w:rsid w:val="0084234C"/>
    <w:rsid w:val="00842862"/>
    <w:rsid w:val="00842A52"/>
    <w:rsid w:val="00843618"/>
    <w:rsid w:val="00844036"/>
    <w:rsid w:val="00844051"/>
    <w:rsid w:val="00844182"/>
    <w:rsid w:val="0084472B"/>
    <w:rsid w:val="00845199"/>
    <w:rsid w:val="008451A5"/>
    <w:rsid w:val="00845DB9"/>
    <w:rsid w:val="00845DFA"/>
    <w:rsid w:val="00845F9E"/>
    <w:rsid w:val="0084612C"/>
    <w:rsid w:val="008461B1"/>
    <w:rsid w:val="0084625A"/>
    <w:rsid w:val="0084629D"/>
    <w:rsid w:val="00846884"/>
    <w:rsid w:val="0084697F"/>
    <w:rsid w:val="00846AC3"/>
    <w:rsid w:val="00846CCE"/>
    <w:rsid w:val="00846E69"/>
    <w:rsid w:val="00847380"/>
    <w:rsid w:val="00847696"/>
    <w:rsid w:val="00847726"/>
    <w:rsid w:val="00847930"/>
    <w:rsid w:val="00847AB6"/>
    <w:rsid w:val="00847CF2"/>
    <w:rsid w:val="00847DFE"/>
    <w:rsid w:val="00847F42"/>
    <w:rsid w:val="0085058B"/>
    <w:rsid w:val="0085095F"/>
    <w:rsid w:val="00850C2E"/>
    <w:rsid w:val="00850D52"/>
    <w:rsid w:val="00851111"/>
    <w:rsid w:val="0085139A"/>
    <w:rsid w:val="00851503"/>
    <w:rsid w:val="008517D1"/>
    <w:rsid w:val="008518F4"/>
    <w:rsid w:val="008523F7"/>
    <w:rsid w:val="008525CF"/>
    <w:rsid w:val="00852843"/>
    <w:rsid w:val="00852A9A"/>
    <w:rsid w:val="00852AE0"/>
    <w:rsid w:val="008532FE"/>
    <w:rsid w:val="00853340"/>
    <w:rsid w:val="0085345B"/>
    <w:rsid w:val="008535E6"/>
    <w:rsid w:val="00853CBC"/>
    <w:rsid w:val="00853CF7"/>
    <w:rsid w:val="008542CC"/>
    <w:rsid w:val="0085436C"/>
    <w:rsid w:val="008546E8"/>
    <w:rsid w:val="00854B69"/>
    <w:rsid w:val="0085525C"/>
    <w:rsid w:val="008552DC"/>
    <w:rsid w:val="008558B7"/>
    <w:rsid w:val="00855A4C"/>
    <w:rsid w:val="00855B79"/>
    <w:rsid w:val="00855E71"/>
    <w:rsid w:val="00856102"/>
    <w:rsid w:val="00856128"/>
    <w:rsid w:val="00856350"/>
    <w:rsid w:val="0085662E"/>
    <w:rsid w:val="00856672"/>
    <w:rsid w:val="008567C4"/>
    <w:rsid w:val="008569FA"/>
    <w:rsid w:val="00856BF9"/>
    <w:rsid w:val="00857290"/>
    <w:rsid w:val="00857294"/>
    <w:rsid w:val="008572E1"/>
    <w:rsid w:val="0085791F"/>
    <w:rsid w:val="00857A99"/>
    <w:rsid w:val="00857B1D"/>
    <w:rsid w:val="00857B59"/>
    <w:rsid w:val="00860034"/>
    <w:rsid w:val="0086008A"/>
    <w:rsid w:val="00860390"/>
    <w:rsid w:val="008605FD"/>
    <w:rsid w:val="00860763"/>
    <w:rsid w:val="00860973"/>
    <w:rsid w:val="00860986"/>
    <w:rsid w:val="00860AA7"/>
    <w:rsid w:val="00860AD9"/>
    <w:rsid w:val="00860B77"/>
    <w:rsid w:val="00860ED0"/>
    <w:rsid w:val="008617B4"/>
    <w:rsid w:val="008617CD"/>
    <w:rsid w:val="0086183E"/>
    <w:rsid w:val="00861949"/>
    <w:rsid w:val="00861B2B"/>
    <w:rsid w:val="00861B71"/>
    <w:rsid w:val="00861E82"/>
    <w:rsid w:val="00861EF5"/>
    <w:rsid w:val="0086237F"/>
    <w:rsid w:val="00862478"/>
    <w:rsid w:val="0086269C"/>
    <w:rsid w:val="00862875"/>
    <w:rsid w:val="00862D8D"/>
    <w:rsid w:val="00862F0D"/>
    <w:rsid w:val="00862FD7"/>
    <w:rsid w:val="008633ED"/>
    <w:rsid w:val="00863726"/>
    <w:rsid w:val="0086372A"/>
    <w:rsid w:val="008637C7"/>
    <w:rsid w:val="00863F8E"/>
    <w:rsid w:val="00864367"/>
    <w:rsid w:val="00864675"/>
    <w:rsid w:val="008648B5"/>
    <w:rsid w:val="00864985"/>
    <w:rsid w:val="0086512B"/>
    <w:rsid w:val="00865FCA"/>
    <w:rsid w:val="008660C9"/>
    <w:rsid w:val="0086641A"/>
    <w:rsid w:val="008667A6"/>
    <w:rsid w:val="008667AB"/>
    <w:rsid w:val="00866DDA"/>
    <w:rsid w:val="0086711B"/>
    <w:rsid w:val="00867787"/>
    <w:rsid w:val="00867F68"/>
    <w:rsid w:val="00870145"/>
    <w:rsid w:val="008702FF"/>
    <w:rsid w:val="00870365"/>
    <w:rsid w:val="00870663"/>
    <w:rsid w:val="00870C79"/>
    <w:rsid w:val="00870D8A"/>
    <w:rsid w:val="00870EED"/>
    <w:rsid w:val="00870F39"/>
    <w:rsid w:val="00871536"/>
    <w:rsid w:val="008716CB"/>
    <w:rsid w:val="00871BB3"/>
    <w:rsid w:val="00871E01"/>
    <w:rsid w:val="008720AE"/>
    <w:rsid w:val="00872259"/>
    <w:rsid w:val="008722C1"/>
    <w:rsid w:val="008729E4"/>
    <w:rsid w:val="008732F6"/>
    <w:rsid w:val="00873662"/>
    <w:rsid w:val="008737D3"/>
    <w:rsid w:val="00873DB1"/>
    <w:rsid w:val="00873F41"/>
    <w:rsid w:val="00874112"/>
    <w:rsid w:val="008744E6"/>
    <w:rsid w:val="008745CB"/>
    <w:rsid w:val="0087489C"/>
    <w:rsid w:val="0087504F"/>
    <w:rsid w:val="0087598F"/>
    <w:rsid w:val="00875C96"/>
    <w:rsid w:val="00875FDB"/>
    <w:rsid w:val="00876315"/>
    <w:rsid w:val="00876520"/>
    <w:rsid w:val="008767E3"/>
    <w:rsid w:val="00876818"/>
    <w:rsid w:val="00876DA6"/>
    <w:rsid w:val="00876F14"/>
    <w:rsid w:val="0087740D"/>
    <w:rsid w:val="00877422"/>
    <w:rsid w:val="0087760A"/>
    <w:rsid w:val="0087791E"/>
    <w:rsid w:val="00877CBF"/>
    <w:rsid w:val="00877D62"/>
    <w:rsid w:val="00877D78"/>
    <w:rsid w:val="00877F33"/>
    <w:rsid w:val="00877FAB"/>
    <w:rsid w:val="00880447"/>
    <w:rsid w:val="00880565"/>
    <w:rsid w:val="00880C45"/>
    <w:rsid w:val="00880E13"/>
    <w:rsid w:val="0088133B"/>
    <w:rsid w:val="008819C1"/>
    <w:rsid w:val="00881C93"/>
    <w:rsid w:val="008820D8"/>
    <w:rsid w:val="00882133"/>
    <w:rsid w:val="008821BC"/>
    <w:rsid w:val="00882829"/>
    <w:rsid w:val="00882CA0"/>
    <w:rsid w:val="00882D53"/>
    <w:rsid w:val="00882E4C"/>
    <w:rsid w:val="00882ED7"/>
    <w:rsid w:val="0088308F"/>
    <w:rsid w:val="008830C7"/>
    <w:rsid w:val="00883437"/>
    <w:rsid w:val="008834C5"/>
    <w:rsid w:val="008836EC"/>
    <w:rsid w:val="008837EA"/>
    <w:rsid w:val="0088380E"/>
    <w:rsid w:val="00883A43"/>
    <w:rsid w:val="00883C24"/>
    <w:rsid w:val="00883F77"/>
    <w:rsid w:val="0088408A"/>
    <w:rsid w:val="008840D5"/>
    <w:rsid w:val="00884A7F"/>
    <w:rsid w:val="008853F8"/>
    <w:rsid w:val="0088546E"/>
    <w:rsid w:val="00885608"/>
    <w:rsid w:val="00885F53"/>
    <w:rsid w:val="008866E1"/>
    <w:rsid w:val="008869C9"/>
    <w:rsid w:val="00886D91"/>
    <w:rsid w:val="00886ED9"/>
    <w:rsid w:val="00887233"/>
    <w:rsid w:val="008873B2"/>
    <w:rsid w:val="0088746F"/>
    <w:rsid w:val="008876AA"/>
    <w:rsid w:val="008876EC"/>
    <w:rsid w:val="00887901"/>
    <w:rsid w:val="0088797D"/>
    <w:rsid w:val="00887B2A"/>
    <w:rsid w:val="00887FA8"/>
    <w:rsid w:val="008900A5"/>
    <w:rsid w:val="00890305"/>
    <w:rsid w:val="0089045E"/>
    <w:rsid w:val="00890D0C"/>
    <w:rsid w:val="00891BF3"/>
    <w:rsid w:val="00891F8B"/>
    <w:rsid w:val="00892366"/>
    <w:rsid w:val="00892395"/>
    <w:rsid w:val="00893DC5"/>
    <w:rsid w:val="00893FE0"/>
    <w:rsid w:val="00894D64"/>
    <w:rsid w:val="00894EA4"/>
    <w:rsid w:val="008953BD"/>
    <w:rsid w:val="0089541F"/>
    <w:rsid w:val="00895569"/>
    <w:rsid w:val="0089569A"/>
    <w:rsid w:val="008959AA"/>
    <w:rsid w:val="00895BA5"/>
    <w:rsid w:val="00895F71"/>
    <w:rsid w:val="00896AFD"/>
    <w:rsid w:val="00896B0A"/>
    <w:rsid w:val="00896CDF"/>
    <w:rsid w:val="008972F8"/>
    <w:rsid w:val="0089752F"/>
    <w:rsid w:val="0089791D"/>
    <w:rsid w:val="00897B1D"/>
    <w:rsid w:val="008A0052"/>
    <w:rsid w:val="008A0104"/>
    <w:rsid w:val="008A0178"/>
    <w:rsid w:val="008A030A"/>
    <w:rsid w:val="008A03C0"/>
    <w:rsid w:val="008A04CE"/>
    <w:rsid w:val="008A0554"/>
    <w:rsid w:val="008A071A"/>
    <w:rsid w:val="008A08F1"/>
    <w:rsid w:val="008A0B99"/>
    <w:rsid w:val="008A0D59"/>
    <w:rsid w:val="008A1090"/>
    <w:rsid w:val="008A12EB"/>
    <w:rsid w:val="008A1760"/>
    <w:rsid w:val="008A1D5E"/>
    <w:rsid w:val="008A1D95"/>
    <w:rsid w:val="008A2222"/>
    <w:rsid w:val="008A2510"/>
    <w:rsid w:val="008A266B"/>
    <w:rsid w:val="008A2AED"/>
    <w:rsid w:val="008A308E"/>
    <w:rsid w:val="008A42AA"/>
    <w:rsid w:val="008A4628"/>
    <w:rsid w:val="008A4710"/>
    <w:rsid w:val="008A496D"/>
    <w:rsid w:val="008A49BF"/>
    <w:rsid w:val="008A49D2"/>
    <w:rsid w:val="008A4B4C"/>
    <w:rsid w:val="008A4B9E"/>
    <w:rsid w:val="008A4E55"/>
    <w:rsid w:val="008A4F05"/>
    <w:rsid w:val="008A5266"/>
    <w:rsid w:val="008A536A"/>
    <w:rsid w:val="008A5566"/>
    <w:rsid w:val="008A5690"/>
    <w:rsid w:val="008A5AFA"/>
    <w:rsid w:val="008A6112"/>
    <w:rsid w:val="008A6634"/>
    <w:rsid w:val="008A6F4A"/>
    <w:rsid w:val="008A6F70"/>
    <w:rsid w:val="008A7471"/>
    <w:rsid w:val="008A749C"/>
    <w:rsid w:val="008A7575"/>
    <w:rsid w:val="008A7765"/>
    <w:rsid w:val="008B0040"/>
    <w:rsid w:val="008B0215"/>
    <w:rsid w:val="008B068A"/>
    <w:rsid w:val="008B078B"/>
    <w:rsid w:val="008B08AE"/>
    <w:rsid w:val="008B0A0F"/>
    <w:rsid w:val="008B0FDD"/>
    <w:rsid w:val="008B0FEA"/>
    <w:rsid w:val="008B18B2"/>
    <w:rsid w:val="008B1BCC"/>
    <w:rsid w:val="008B1F71"/>
    <w:rsid w:val="008B20D4"/>
    <w:rsid w:val="008B2285"/>
    <w:rsid w:val="008B2289"/>
    <w:rsid w:val="008B2640"/>
    <w:rsid w:val="008B31CD"/>
    <w:rsid w:val="008B321D"/>
    <w:rsid w:val="008B35AF"/>
    <w:rsid w:val="008B3624"/>
    <w:rsid w:val="008B4005"/>
    <w:rsid w:val="008B4391"/>
    <w:rsid w:val="008B47CB"/>
    <w:rsid w:val="008B4AE3"/>
    <w:rsid w:val="008B4C41"/>
    <w:rsid w:val="008B4EE0"/>
    <w:rsid w:val="008B564D"/>
    <w:rsid w:val="008B5C3B"/>
    <w:rsid w:val="008B6824"/>
    <w:rsid w:val="008B6A40"/>
    <w:rsid w:val="008B6A6C"/>
    <w:rsid w:val="008B6D49"/>
    <w:rsid w:val="008B6F6A"/>
    <w:rsid w:val="008B72A3"/>
    <w:rsid w:val="008B7335"/>
    <w:rsid w:val="008B73E8"/>
    <w:rsid w:val="008C0113"/>
    <w:rsid w:val="008C035F"/>
    <w:rsid w:val="008C08FB"/>
    <w:rsid w:val="008C0C2C"/>
    <w:rsid w:val="008C0D22"/>
    <w:rsid w:val="008C15BB"/>
    <w:rsid w:val="008C2005"/>
    <w:rsid w:val="008C201E"/>
    <w:rsid w:val="008C2282"/>
    <w:rsid w:val="008C28E5"/>
    <w:rsid w:val="008C2B21"/>
    <w:rsid w:val="008C31B4"/>
    <w:rsid w:val="008C33E2"/>
    <w:rsid w:val="008C35DD"/>
    <w:rsid w:val="008C3E28"/>
    <w:rsid w:val="008C4016"/>
    <w:rsid w:val="008C49AD"/>
    <w:rsid w:val="008C4A89"/>
    <w:rsid w:val="008C4E5F"/>
    <w:rsid w:val="008C4F07"/>
    <w:rsid w:val="008C50A2"/>
    <w:rsid w:val="008C58CE"/>
    <w:rsid w:val="008C5A72"/>
    <w:rsid w:val="008C5C03"/>
    <w:rsid w:val="008C5DDC"/>
    <w:rsid w:val="008C5EF3"/>
    <w:rsid w:val="008C6267"/>
    <w:rsid w:val="008C670A"/>
    <w:rsid w:val="008C6A94"/>
    <w:rsid w:val="008C6C82"/>
    <w:rsid w:val="008C6D39"/>
    <w:rsid w:val="008C6D41"/>
    <w:rsid w:val="008C708A"/>
    <w:rsid w:val="008C709D"/>
    <w:rsid w:val="008C7372"/>
    <w:rsid w:val="008C750E"/>
    <w:rsid w:val="008C7B3A"/>
    <w:rsid w:val="008D0593"/>
    <w:rsid w:val="008D0ED5"/>
    <w:rsid w:val="008D0F17"/>
    <w:rsid w:val="008D0FE0"/>
    <w:rsid w:val="008D1462"/>
    <w:rsid w:val="008D15F7"/>
    <w:rsid w:val="008D1963"/>
    <w:rsid w:val="008D1ACE"/>
    <w:rsid w:val="008D1C9C"/>
    <w:rsid w:val="008D1F94"/>
    <w:rsid w:val="008D1FDE"/>
    <w:rsid w:val="008D22B7"/>
    <w:rsid w:val="008D291E"/>
    <w:rsid w:val="008D34BC"/>
    <w:rsid w:val="008D351D"/>
    <w:rsid w:val="008D395F"/>
    <w:rsid w:val="008D433C"/>
    <w:rsid w:val="008D438F"/>
    <w:rsid w:val="008D476C"/>
    <w:rsid w:val="008D496F"/>
    <w:rsid w:val="008D4D53"/>
    <w:rsid w:val="008D5930"/>
    <w:rsid w:val="008D59CB"/>
    <w:rsid w:val="008D5EC3"/>
    <w:rsid w:val="008D5F49"/>
    <w:rsid w:val="008D6137"/>
    <w:rsid w:val="008D61A2"/>
    <w:rsid w:val="008D66C3"/>
    <w:rsid w:val="008D6788"/>
    <w:rsid w:val="008D6AB5"/>
    <w:rsid w:val="008D7157"/>
    <w:rsid w:val="008D7288"/>
    <w:rsid w:val="008D79A9"/>
    <w:rsid w:val="008D7C09"/>
    <w:rsid w:val="008E0087"/>
    <w:rsid w:val="008E059F"/>
    <w:rsid w:val="008E0FFF"/>
    <w:rsid w:val="008E1C45"/>
    <w:rsid w:val="008E1D16"/>
    <w:rsid w:val="008E1DC8"/>
    <w:rsid w:val="008E1FAB"/>
    <w:rsid w:val="008E242E"/>
    <w:rsid w:val="008E24FE"/>
    <w:rsid w:val="008E26EF"/>
    <w:rsid w:val="008E2A8A"/>
    <w:rsid w:val="008E2B22"/>
    <w:rsid w:val="008E308E"/>
    <w:rsid w:val="008E31FC"/>
    <w:rsid w:val="008E3722"/>
    <w:rsid w:val="008E3889"/>
    <w:rsid w:val="008E3962"/>
    <w:rsid w:val="008E3AC3"/>
    <w:rsid w:val="008E3C3E"/>
    <w:rsid w:val="008E428A"/>
    <w:rsid w:val="008E4772"/>
    <w:rsid w:val="008E491D"/>
    <w:rsid w:val="008E4A16"/>
    <w:rsid w:val="008E4A9A"/>
    <w:rsid w:val="008E4B22"/>
    <w:rsid w:val="008E4FBC"/>
    <w:rsid w:val="008E51BD"/>
    <w:rsid w:val="008E524D"/>
    <w:rsid w:val="008E538D"/>
    <w:rsid w:val="008E5948"/>
    <w:rsid w:val="008E5AC0"/>
    <w:rsid w:val="008E604D"/>
    <w:rsid w:val="008E6173"/>
    <w:rsid w:val="008E6370"/>
    <w:rsid w:val="008E647B"/>
    <w:rsid w:val="008E64D1"/>
    <w:rsid w:val="008E65B4"/>
    <w:rsid w:val="008E70A9"/>
    <w:rsid w:val="008E71C3"/>
    <w:rsid w:val="008E7287"/>
    <w:rsid w:val="008E79A0"/>
    <w:rsid w:val="008E7A2A"/>
    <w:rsid w:val="008E7B61"/>
    <w:rsid w:val="008E7EA4"/>
    <w:rsid w:val="008E7F3B"/>
    <w:rsid w:val="008F01CE"/>
    <w:rsid w:val="008F048F"/>
    <w:rsid w:val="008F05FC"/>
    <w:rsid w:val="008F0698"/>
    <w:rsid w:val="008F0862"/>
    <w:rsid w:val="008F09BA"/>
    <w:rsid w:val="008F0AF1"/>
    <w:rsid w:val="008F0D34"/>
    <w:rsid w:val="008F18C3"/>
    <w:rsid w:val="008F1B80"/>
    <w:rsid w:val="008F1CBD"/>
    <w:rsid w:val="008F1CDB"/>
    <w:rsid w:val="008F1D9E"/>
    <w:rsid w:val="008F2829"/>
    <w:rsid w:val="008F2ED7"/>
    <w:rsid w:val="008F2F10"/>
    <w:rsid w:val="008F349E"/>
    <w:rsid w:val="008F3687"/>
    <w:rsid w:val="008F3AE2"/>
    <w:rsid w:val="008F3C4C"/>
    <w:rsid w:val="008F3CE1"/>
    <w:rsid w:val="008F3E5E"/>
    <w:rsid w:val="008F42C8"/>
    <w:rsid w:val="008F433B"/>
    <w:rsid w:val="008F45CC"/>
    <w:rsid w:val="008F49E4"/>
    <w:rsid w:val="008F4B1B"/>
    <w:rsid w:val="008F4C05"/>
    <w:rsid w:val="008F4E7A"/>
    <w:rsid w:val="008F4F11"/>
    <w:rsid w:val="008F5099"/>
    <w:rsid w:val="008F5585"/>
    <w:rsid w:val="008F5943"/>
    <w:rsid w:val="008F5C08"/>
    <w:rsid w:val="008F5D4B"/>
    <w:rsid w:val="008F5DB7"/>
    <w:rsid w:val="008F5E25"/>
    <w:rsid w:val="008F6023"/>
    <w:rsid w:val="008F6221"/>
    <w:rsid w:val="008F63FE"/>
    <w:rsid w:val="008F6766"/>
    <w:rsid w:val="008F6C66"/>
    <w:rsid w:val="008F715F"/>
    <w:rsid w:val="008F722B"/>
    <w:rsid w:val="008F73C3"/>
    <w:rsid w:val="008F750A"/>
    <w:rsid w:val="008F777B"/>
    <w:rsid w:val="008F78E0"/>
    <w:rsid w:val="008F7A15"/>
    <w:rsid w:val="008F7B74"/>
    <w:rsid w:val="008F7CCE"/>
    <w:rsid w:val="008F7D0C"/>
    <w:rsid w:val="00900796"/>
    <w:rsid w:val="00900B39"/>
    <w:rsid w:val="00900B3E"/>
    <w:rsid w:val="00900F87"/>
    <w:rsid w:val="00901436"/>
    <w:rsid w:val="0090192C"/>
    <w:rsid w:val="00901A61"/>
    <w:rsid w:val="00902840"/>
    <w:rsid w:val="00902CF0"/>
    <w:rsid w:val="00903642"/>
    <w:rsid w:val="009037F7"/>
    <w:rsid w:val="0090380E"/>
    <w:rsid w:val="009039A7"/>
    <w:rsid w:val="00903B92"/>
    <w:rsid w:val="00903FB4"/>
    <w:rsid w:val="0090430F"/>
    <w:rsid w:val="009043C6"/>
    <w:rsid w:val="00904771"/>
    <w:rsid w:val="00904A8E"/>
    <w:rsid w:val="0090511E"/>
    <w:rsid w:val="00905700"/>
    <w:rsid w:val="009059C6"/>
    <w:rsid w:val="00906002"/>
    <w:rsid w:val="009064E2"/>
    <w:rsid w:val="009069FF"/>
    <w:rsid w:val="00906F10"/>
    <w:rsid w:val="00907412"/>
    <w:rsid w:val="009074DA"/>
    <w:rsid w:val="00907761"/>
    <w:rsid w:val="009077C7"/>
    <w:rsid w:val="0090785F"/>
    <w:rsid w:val="009078AF"/>
    <w:rsid w:val="00907C97"/>
    <w:rsid w:val="00907E34"/>
    <w:rsid w:val="00910101"/>
    <w:rsid w:val="00910204"/>
    <w:rsid w:val="009104CC"/>
    <w:rsid w:val="00910BD5"/>
    <w:rsid w:val="00910C45"/>
    <w:rsid w:val="00910D5B"/>
    <w:rsid w:val="0091125B"/>
    <w:rsid w:val="0091184C"/>
    <w:rsid w:val="00911B53"/>
    <w:rsid w:val="00911C07"/>
    <w:rsid w:val="00911C9C"/>
    <w:rsid w:val="00911F29"/>
    <w:rsid w:val="0091220E"/>
    <w:rsid w:val="00912B27"/>
    <w:rsid w:val="00912EA0"/>
    <w:rsid w:val="00912F3A"/>
    <w:rsid w:val="00913180"/>
    <w:rsid w:val="009132C9"/>
    <w:rsid w:val="009135AD"/>
    <w:rsid w:val="0091364E"/>
    <w:rsid w:val="00913F82"/>
    <w:rsid w:val="00913FCD"/>
    <w:rsid w:val="009141F6"/>
    <w:rsid w:val="00914222"/>
    <w:rsid w:val="00914367"/>
    <w:rsid w:val="0091465A"/>
    <w:rsid w:val="009148AD"/>
    <w:rsid w:val="00914925"/>
    <w:rsid w:val="00914B21"/>
    <w:rsid w:val="00914B4D"/>
    <w:rsid w:val="00914E74"/>
    <w:rsid w:val="00915173"/>
    <w:rsid w:val="009153B7"/>
    <w:rsid w:val="009155ED"/>
    <w:rsid w:val="009156F9"/>
    <w:rsid w:val="00915A60"/>
    <w:rsid w:val="00915CF2"/>
    <w:rsid w:val="00916997"/>
    <w:rsid w:val="00916CA2"/>
    <w:rsid w:val="00916CBC"/>
    <w:rsid w:val="00917125"/>
    <w:rsid w:val="009173B9"/>
    <w:rsid w:val="009176FA"/>
    <w:rsid w:val="00917718"/>
    <w:rsid w:val="0091780A"/>
    <w:rsid w:val="00917852"/>
    <w:rsid w:val="00917A48"/>
    <w:rsid w:val="00917FB1"/>
    <w:rsid w:val="00920216"/>
    <w:rsid w:val="009203A2"/>
    <w:rsid w:val="00920463"/>
    <w:rsid w:val="0092068A"/>
    <w:rsid w:val="00920740"/>
    <w:rsid w:val="009214E3"/>
    <w:rsid w:val="00921699"/>
    <w:rsid w:val="009219CE"/>
    <w:rsid w:val="00921DCC"/>
    <w:rsid w:val="00921E95"/>
    <w:rsid w:val="009221E8"/>
    <w:rsid w:val="00922B73"/>
    <w:rsid w:val="0092310E"/>
    <w:rsid w:val="009231E5"/>
    <w:rsid w:val="009232E0"/>
    <w:rsid w:val="009234F7"/>
    <w:rsid w:val="009238C7"/>
    <w:rsid w:val="00923D68"/>
    <w:rsid w:val="00923DD4"/>
    <w:rsid w:val="00923E93"/>
    <w:rsid w:val="009242F6"/>
    <w:rsid w:val="0092453B"/>
    <w:rsid w:val="009245CA"/>
    <w:rsid w:val="00924B76"/>
    <w:rsid w:val="00924F97"/>
    <w:rsid w:val="009251DE"/>
    <w:rsid w:val="00925304"/>
    <w:rsid w:val="00925963"/>
    <w:rsid w:val="00925A45"/>
    <w:rsid w:val="00925DCF"/>
    <w:rsid w:val="009260E2"/>
    <w:rsid w:val="009260E5"/>
    <w:rsid w:val="009261EC"/>
    <w:rsid w:val="00926483"/>
    <w:rsid w:val="009268F0"/>
    <w:rsid w:val="00926A14"/>
    <w:rsid w:val="00926A81"/>
    <w:rsid w:val="00926E4D"/>
    <w:rsid w:val="00927113"/>
    <w:rsid w:val="00927F86"/>
    <w:rsid w:val="0093035C"/>
    <w:rsid w:val="00930849"/>
    <w:rsid w:val="00930CFB"/>
    <w:rsid w:val="00930DFF"/>
    <w:rsid w:val="0093145E"/>
    <w:rsid w:val="00931736"/>
    <w:rsid w:val="009317C9"/>
    <w:rsid w:val="00931B07"/>
    <w:rsid w:val="00932429"/>
    <w:rsid w:val="00932B02"/>
    <w:rsid w:val="00932EE1"/>
    <w:rsid w:val="0093352D"/>
    <w:rsid w:val="0093462C"/>
    <w:rsid w:val="009347EF"/>
    <w:rsid w:val="00934BFF"/>
    <w:rsid w:val="00935033"/>
    <w:rsid w:val="009354CD"/>
    <w:rsid w:val="00935883"/>
    <w:rsid w:val="00935CF2"/>
    <w:rsid w:val="00936121"/>
    <w:rsid w:val="009361D0"/>
    <w:rsid w:val="00936293"/>
    <w:rsid w:val="00936A8D"/>
    <w:rsid w:val="0093729E"/>
    <w:rsid w:val="0093765B"/>
    <w:rsid w:val="009376D2"/>
    <w:rsid w:val="00937B46"/>
    <w:rsid w:val="00937ED0"/>
    <w:rsid w:val="00937F1A"/>
    <w:rsid w:val="00940185"/>
    <w:rsid w:val="00940779"/>
    <w:rsid w:val="00940BCD"/>
    <w:rsid w:val="00940D63"/>
    <w:rsid w:val="00941279"/>
    <w:rsid w:val="009414B4"/>
    <w:rsid w:val="0094177C"/>
    <w:rsid w:val="009418DD"/>
    <w:rsid w:val="00941FAB"/>
    <w:rsid w:val="0094243D"/>
    <w:rsid w:val="009426F0"/>
    <w:rsid w:val="00942B44"/>
    <w:rsid w:val="00942C34"/>
    <w:rsid w:val="00942EAC"/>
    <w:rsid w:val="00943FEB"/>
    <w:rsid w:val="00944033"/>
    <w:rsid w:val="00944156"/>
    <w:rsid w:val="00944333"/>
    <w:rsid w:val="00944694"/>
    <w:rsid w:val="009449F4"/>
    <w:rsid w:val="00944A1D"/>
    <w:rsid w:val="00944B4C"/>
    <w:rsid w:val="00944B4D"/>
    <w:rsid w:val="00945208"/>
    <w:rsid w:val="00945362"/>
    <w:rsid w:val="00945386"/>
    <w:rsid w:val="009453B8"/>
    <w:rsid w:val="00945952"/>
    <w:rsid w:val="00945AEE"/>
    <w:rsid w:val="00945CD3"/>
    <w:rsid w:val="009460A2"/>
    <w:rsid w:val="009462D5"/>
    <w:rsid w:val="009466AE"/>
    <w:rsid w:val="00946EF2"/>
    <w:rsid w:val="00946F9A"/>
    <w:rsid w:val="0094708F"/>
    <w:rsid w:val="00947356"/>
    <w:rsid w:val="00947365"/>
    <w:rsid w:val="009477E9"/>
    <w:rsid w:val="009479FF"/>
    <w:rsid w:val="00947AE4"/>
    <w:rsid w:val="00947FA7"/>
    <w:rsid w:val="00950056"/>
    <w:rsid w:val="00950EAF"/>
    <w:rsid w:val="00951174"/>
    <w:rsid w:val="009512EA"/>
    <w:rsid w:val="009512F4"/>
    <w:rsid w:val="0095179F"/>
    <w:rsid w:val="00951F38"/>
    <w:rsid w:val="00952766"/>
    <w:rsid w:val="00952A7C"/>
    <w:rsid w:val="00952AB8"/>
    <w:rsid w:val="00953206"/>
    <w:rsid w:val="00953313"/>
    <w:rsid w:val="00953764"/>
    <w:rsid w:val="00954475"/>
    <w:rsid w:val="0095456C"/>
    <w:rsid w:val="009547B3"/>
    <w:rsid w:val="00954EA8"/>
    <w:rsid w:val="00955261"/>
    <w:rsid w:val="009553F4"/>
    <w:rsid w:val="00955402"/>
    <w:rsid w:val="00956104"/>
    <w:rsid w:val="00956435"/>
    <w:rsid w:val="009566FA"/>
    <w:rsid w:val="00956905"/>
    <w:rsid w:val="00956E2B"/>
    <w:rsid w:val="00957B07"/>
    <w:rsid w:val="009603A1"/>
    <w:rsid w:val="00960511"/>
    <w:rsid w:val="009606F4"/>
    <w:rsid w:val="009614C6"/>
    <w:rsid w:val="0096157D"/>
    <w:rsid w:val="0096177A"/>
    <w:rsid w:val="00961C75"/>
    <w:rsid w:val="00961C9C"/>
    <w:rsid w:val="00961D3F"/>
    <w:rsid w:val="00961EE2"/>
    <w:rsid w:val="009622AD"/>
    <w:rsid w:val="00962797"/>
    <w:rsid w:val="00962A7D"/>
    <w:rsid w:val="00962BFB"/>
    <w:rsid w:val="00962CF8"/>
    <w:rsid w:val="00962D11"/>
    <w:rsid w:val="00962D64"/>
    <w:rsid w:val="00962E1C"/>
    <w:rsid w:val="00963134"/>
    <w:rsid w:val="009631AF"/>
    <w:rsid w:val="0096349D"/>
    <w:rsid w:val="00963FE7"/>
    <w:rsid w:val="009643A1"/>
    <w:rsid w:val="0096467C"/>
    <w:rsid w:val="00964776"/>
    <w:rsid w:val="009647A1"/>
    <w:rsid w:val="00964954"/>
    <w:rsid w:val="009652AE"/>
    <w:rsid w:val="009654B6"/>
    <w:rsid w:val="0096571C"/>
    <w:rsid w:val="00965809"/>
    <w:rsid w:val="00965AF6"/>
    <w:rsid w:val="00965C85"/>
    <w:rsid w:val="00965C91"/>
    <w:rsid w:val="00966273"/>
    <w:rsid w:val="0096628B"/>
    <w:rsid w:val="00966348"/>
    <w:rsid w:val="0096646A"/>
    <w:rsid w:val="009665E0"/>
    <w:rsid w:val="00966826"/>
    <w:rsid w:val="0096695C"/>
    <w:rsid w:val="00966DEC"/>
    <w:rsid w:val="00966EFB"/>
    <w:rsid w:val="00966F21"/>
    <w:rsid w:val="00967568"/>
    <w:rsid w:val="00967843"/>
    <w:rsid w:val="00967D43"/>
    <w:rsid w:val="00967E47"/>
    <w:rsid w:val="00970127"/>
    <w:rsid w:val="00970850"/>
    <w:rsid w:val="00970ECD"/>
    <w:rsid w:val="00971BC9"/>
    <w:rsid w:val="00971F06"/>
    <w:rsid w:val="00972085"/>
    <w:rsid w:val="009722AB"/>
    <w:rsid w:val="0097233E"/>
    <w:rsid w:val="009724DA"/>
    <w:rsid w:val="0097261B"/>
    <w:rsid w:val="009726D2"/>
    <w:rsid w:val="00972706"/>
    <w:rsid w:val="00972DFA"/>
    <w:rsid w:val="00973094"/>
    <w:rsid w:val="0097347C"/>
    <w:rsid w:val="00973C00"/>
    <w:rsid w:val="009740FB"/>
    <w:rsid w:val="009741FE"/>
    <w:rsid w:val="009744AB"/>
    <w:rsid w:val="0097470B"/>
    <w:rsid w:val="00974A90"/>
    <w:rsid w:val="00974B59"/>
    <w:rsid w:val="0097524D"/>
    <w:rsid w:val="00975744"/>
    <w:rsid w:val="0097604C"/>
    <w:rsid w:val="0097652D"/>
    <w:rsid w:val="0097673B"/>
    <w:rsid w:val="00976C71"/>
    <w:rsid w:val="00977044"/>
    <w:rsid w:val="00977330"/>
    <w:rsid w:val="009778BF"/>
    <w:rsid w:val="00977A7B"/>
    <w:rsid w:val="00977BCB"/>
    <w:rsid w:val="00977E9A"/>
    <w:rsid w:val="00980014"/>
    <w:rsid w:val="00980427"/>
    <w:rsid w:val="00980A44"/>
    <w:rsid w:val="00980D83"/>
    <w:rsid w:val="009813D2"/>
    <w:rsid w:val="00981EF8"/>
    <w:rsid w:val="00982034"/>
    <w:rsid w:val="00983659"/>
    <w:rsid w:val="00983671"/>
    <w:rsid w:val="00983749"/>
    <w:rsid w:val="009837E8"/>
    <w:rsid w:val="00983B79"/>
    <w:rsid w:val="00983BED"/>
    <w:rsid w:val="00983E1B"/>
    <w:rsid w:val="009840D4"/>
    <w:rsid w:val="009841B7"/>
    <w:rsid w:val="00984269"/>
    <w:rsid w:val="00984D6E"/>
    <w:rsid w:val="00984D8D"/>
    <w:rsid w:val="00985208"/>
    <w:rsid w:val="009856DB"/>
    <w:rsid w:val="00985729"/>
    <w:rsid w:val="00985AF6"/>
    <w:rsid w:val="00985F5E"/>
    <w:rsid w:val="00985FAD"/>
    <w:rsid w:val="0098615C"/>
    <w:rsid w:val="009866F1"/>
    <w:rsid w:val="00986A34"/>
    <w:rsid w:val="00986B97"/>
    <w:rsid w:val="009872EE"/>
    <w:rsid w:val="009876CE"/>
    <w:rsid w:val="00987750"/>
    <w:rsid w:val="00987D75"/>
    <w:rsid w:val="0099010C"/>
    <w:rsid w:val="00990380"/>
    <w:rsid w:val="00990C7F"/>
    <w:rsid w:val="009911B8"/>
    <w:rsid w:val="009912E0"/>
    <w:rsid w:val="0099153A"/>
    <w:rsid w:val="00991B72"/>
    <w:rsid w:val="00991E70"/>
    <w:rsid w:val="009921DB"/>
    <w:rsid w:val="009937AC"/>
    <w:rsid w:val="00993A9D"/>
    <w:rsid w:val="00993B69"/>
    <w:rsid w:val="00993D78"/>
    <w:rsid w:val="00993F32"/>
    <w:rsid w:val="00993F5F"/>
    <w:rsid w:val="0099407B"/>
    <w:rsid w:val="009940EF"/>
    <w:rsid w:val="00994260"/>
    <w:rsid w:val="0099463D"/>
    <w:rsid w:val="00994819"/>
    <w:rsid w:val="00994904"/>
    <w:rsid w:val="00994A8D"/>
    <w:rsid w:val="00994D06"/>
    <w:rsid w:val="00995479"/>
    <w:rsid w:val="0099556C"/>
    <w:rsid w:val="00995B4C"/>
    <w:rsid w:val="009963D4"/>
    <w:rsid w:val="0099648E"/>
    <w:rsid w:val="009972A4"/>
    <w:rsid w:val="00997453"/>
    <w:rsid w:val="00997CF0"/>
    <w:rsid w:val="009A003E"/>
    <w:rsid w:val="009A044D"/>
    <w:rsid w:val="009A0607"/>
    <w:rsid w:val="009A0866"/>
    <w:rsid w:val="009A086E"/>
    <w:rsid w:val="009A0AD7"/>
    <w:rsid w:val="009A0BBC"/>
    <w:rsid w:val="009A0BF4"/>
    <w:rsid w:val="009A12F2"/>
    <w:rsid w:val="009A133B"/>
    <w:rsid w:val="009A175A"/>
    <w:rsid w:val="009A18E0"/>
    <w:rsid w:val="009A1EE8"/>
    <w:rsid w:val="009A27D8"/>
    <w:rsid w:val="009A2932"/>
    <w:rsid w:val="009A29CB"/>
    <w:rsid w:val="009A2A41"/>
    <w:rsid w:val="009A2DAC"/>
    <w:rsid w:val="009A2DBF"/>
    <w:rsid w:val="009A3241"/>
    <w:rsid w:val="009A3E9A"/>
    <w:rsid w:val="009A3FFE"/>
    <w:rsid w:val="009A414E"/>
    <w:rsid w:val="009A4390"/>
    <w:rsid w:val="009A515C"/>
    <w:rsid w:val="009A55DA"/>
    <w:rsid w:val="009A5607"/>
    <w:rsid w:val="009A5752"/>
    <w:rsid w:val="009A5A71"/>
    <w:rsid w:val="009A5AFD"/>
    <w:rsid w:val="009A5E0E"/>
    <w:rsid w:val="009A5E16"/>
    <w:rsid w:val="009A6245"/>
    <w:rsid w:val="009A62A5"/>
    <w:rsid w:val="009A639D"/>
    <w:rsid w:val="009A6569"/>
    <w:rsid w:val="009A6582"/>
    <w:rsid w:val="009A6593"/>
    <w:rsid w:val="009A65C4"/>
    <w:rsid w:val="009A664B"/>
    <w:rsid w:val="009A67D9"/>
    <w:rsid w:val="009A6C08"/>
    <w:rsid w:val="009A6E0C"/>
    <w:rsid w:val="009A6EFD"/>
    <w:rsid w:val="009A74ED"/>
    <w:rsid w:val="009A7BF7"/>
    <w:rsid w:val="009A7EBC"/>
    <w:rsid w:val="009B0154"/>
    <w:rsid w:val="009B01A6"/>
    <w:rsid w:val="009B0374"/>
    <w:rsid w:val="009B066A"/>
    <w:rsid w:val="009B0AC9"/>
    <w:rsid w:val="009B0EF5"/>
    <w:rsid w:val="009B2407"/>
    <w:rsid w:val="009B2444"/>
    <w:rsid w:val="009B2853"/>
    <w:rsid w:val="009B2919"/>
    <w:rsid w:val="009B2E61"/>
    <w:rsid w:val="009B30E2"/>
    <w:rsid w:val="009B328A"/>
    <w:rsid w:val="009B33EC"/>
    <w:rsid w:val="009B35FB"/>
    <w:rsid w:val="009B379A"/>
    <w:rsid w:val="009B39DC"/>
    <w:rsid w:val="009B3A9C"/>
    <w:rsid w:val="009B413F"/>
    <w:rsid w:val="009B4D00"/>
    <w:rsid w:val="009B4EDC"/>
    <w:rsid w:val="009B5054"/>
    <w:rsid w:val="009B51B4"/>
    <w:rsid w:val="009B5519"/>
    <w:rsid w:val="009B5574"/>
    <w:rsid w:val="009B576C"/>
    <w:rsid w:val="009B59CD"/>
    <w:rsid w:val="009B5A14"/>
    <w:rsid w:val="009B61E7"/>
    <w:rsid w:val="009B6587"/>
    <w:rsid w:val="009B66E1"/>
    <w:rsid w:val="009B6DF4"/>
    <w:rsid w:val="009B6E49"/>
    <w:rsid w:val="009B6E96"/>
    <w:rsid w:val="009B7167"/>
    <w:rsid w:val="009B7592"/>
    <w:rsid w:val="009B75F0"/>
    <w:rsid w:val="009B796F"/>
    <w:rsid w:val="009B7FA4"/>
    <w:rsid w:val="009B7FC6"/>
    <w:rsid w:val="009C0171"/>
    <w:rsid w:val="009C0447"/>
    <w:rsid w:val="009C07B7"/>
    <w:rsid w:val="009C10ED"/>
    <w:rsid w:val="009C14EE"/>
    <w:rsid w:val="009C15AD"/>
    <w:rsid w:val="009C18E0"/>
    <w:rsid w:val="009C1A14"/>
    <w:rsid w:val="009C1A59"/>
    <w:rsid w:val="009C1BB4"/>
    <w:rsid w:val="009C23CC"/>
    <w:rsid w:val="009C2579"/>
    <w:rsid w:val="009C29D7"/>
    <w:rsid w:val="009C2A3D"/>
    <w:rsid w:val="009C2E1D"/>
    <w:rsid w:val="009C34BA"/>
    <w:rsid w:val="009C356E"/>
    <w:rsid w:val="009C36DF"/>
    <w:rsid w:val="009C371F"/>
    <w:rsid w:val="009C39A8"/>
    <w:rsid w:val="009C3A13"/>
    <w:rsid w:val="009C3A46"/>
    <w:rsid w:val="009C42D6"/>
    <w:rsid w:val="009C4339"/>
    <w:rsid w:val="009C4540"/>
    <w:rsid w:val="009C53CA"/>
    <w:rsid w:val="009C5AB3"/>
    <w:rsid w:val="009C603D"/>
    <w:rsid w:val="009C6187"/>
    <w:rsid w:val="009C6527"/>
    <w:rsid w:val="009C6B2A"/>
    <w:rsid w:val="009C6CCB"/>
    <w:rsid w:val="009C6E72"/>
    <w:rsid w:val="009C6EFC"/>
    <w:rsid w:val="009C7440"/>
    <w:rsid w:val="009C7543"/>
    <w:rsid w:val="009C790A"/>
    <w:rsid w:val="009D03E9"/>
    <w:rsid w:val="009D154D"/>
    <w:rsid w:val="009D162E"/>
    <w:rsid w:val="009D1893"/>
    <w:rsid w:val="009D1B57"/>
    <w:rsid w:val="009D1E27"/>
    <w:rsid w:val="009D20EA"/>
    <w:rsid w:val="009D28B8"/>
    <w:rsid w:val="009D2E77"/>
    <w:rsid w:val="009D3061"/>
    <w:rsid w:val="009D306D"/>
    <w:rsid w:val="009D3353"/>
    <w:rsid w:val="009D369F"/>
    <w:rsid w:val="009D3C27"/>
    <w:rsid w:val="009D3C3F"/>
    <w:rsid w:val="009D3F91"/>
    <w:rsid w:val="009D4706"/>
    <w:rsid w:val="009D4CB4"/>
    <w:rsid w:val="009D4D67"/>
    <w:rsid w:val="009D56D9"/>
    <w:rsid w:val="009D5925"/>
    <w:rsid w:val="009D59A7"/>
    <w:rsid w:val="009D5CAD"/>
    <w:rsid w:val="009D6139"/>
    <w:rsid w:val="009D635B"/>
    <w:rsid w:val="009D659F"/>
    <w:rsid w:val="009D66DC"/>
    <w:rsid w:val="009D67BC"/>
    <w:rsid w:val="009D68FE"/>
    <w:rsid w:val="009D6B2B"/>
    <w:rsid w:val="009D7170"/>
    <w:rsid w:val="009D784B"/>
    <w:rsid w:val="009D7A2C"/>
    <w:rsid w:val="009D7F6F"/>
    <w:rsid w:val="009E0393"/>
    <w:rsid w:val="009E0511"/>
    <w:rsid w:val="009E07D3"/>
    <w:rsid w:val="009E106B"/>
    <w:rsid w:val="009E129D"/>
    <w:rsid w:val="009E12D0"/>
    <w:rsid w:val="009E1374"/>
    <w:rsid w:val="009E1779"/>
    <w:rsid w:val="009E1EFB"/>
    <w:rsid w:val="009E2185"/>
    <w:rsid w:val="009E21E5"/>
    <w:rsid w:val="009E264C"/>
    <w:rsid w:val="009E29A5"/>
    <w:rsid w:val="009E2ADE"/>
    <w:rsid w:val="009E2B31"/>
    <w:rsid w:val="009E2E25"/>
    <w:rsid w:val="009E3418"/>
    <w:rsid w:val="009E345C"/>
    <w:rsid w:val="009E3A12"/>
    <w:rsid w:val="009E3EAB"/>
    <w:rsid w:val="009E4156"/>
    <w:rsid w:val="009E4224"/>
    <w:rsid w:val="009E4607"/>
    <w:rsid w:val="009E48C3"/>
    <w:rsid w:val="009E4A3A"/>
    <w:rsid w:val="009E4A7C"/>
    <w:rsid w:val="009E4F81"/>
    <w:rsid w:val="009E50D7"/>
    <w:rsid w:val="009E56AD"/>
    <w:rsid w:val="009E622C"/>
    <w:rsid w:val="009E6237"/>
    <w:rsid w:val="009E62E5"/>
    <w:rsid w:val="009E656D"/>
    <w:rsid w:val="009E6E10"/>
    <w:rsid w:val="009E6EEA"/>
    <w:rsid w:val="009E7112"/>
    <w:rsid w:val="009E7A24"/>
    <w:rsid w:val="009E7CE0"/>
    <w:rsid w:val="009F02DC"/>
    <w:rsid w:val="009F06F2"/>
    <w:rsid w:val="009F0B02"/>
    <w:rsid w:val="009F1726"/>
    <w:rsid w:val="009F18B0"/>
    <w:rsid w:val="009F23D4"/>
    <w:rsid w:val="009F26C8"/>
    <w:rsid w:val="009F28FC"/>
    <w:rsid w:val="009F3247"/>
    <w:rsid w:val="009F340D"/>
    <w:rsid w:val="009F3439"/>
    <w:rsid w:val="009F3A68"/>
    <w:rsid w:val="009F3C96"/>
    <w:rsid w:val="009F3F2D"/>
    <w:rsid w:val="009F4863"/>
    <w:rsid w:val="009F486C"/>
    <w:rsid w:val="009F4A6C"/>
    <w:rsid w:val="009F5505"/>
    <w:rsid w:val="009F5992"/>
    <w:rsid w:val="009F5B94"/>
    <w:rsid w:val="009F62BA"/>
    <w:rsid w:val="009F635E"/>
    <w:rsid w:val="009F6930"/>
    <w:rsid w:val="009F6B68"/>
    <w:rsid w:val="009F6D84"/>
    <w:rsid w:val="009F704E"/>
    <w:rsid w:val="009F74C4"/>
    <w:rsid w:val="009F7569"/>
    <w:rsid w:val="009F79F8"/>
    <w:rsid w:val="009F7D60"/>
    <w:rsid w:val="00A00379"/>
    <w:rsid w:val="00A0058E"/>
    <w:rsid w:val="00A009A5"/>
    <w:rsid w:val="00A00F19"/>
    <w:rsid w:val="00A01401"/>
    <w:rsid w:val="00A018D4"/>
    <w:rsid w:val="00A019C6"/>
    <w:rsid w:val="00A01F2C"/>
    <w:rsid w:val="00A02076"/>
    <w:rsid w:val="00A026FF"/>
    <w:rsid w:val="00A02C5D"/>
    <w:rsid w:val="00A02CC3"/>
    <w:rsid w:val="00A0301A"/>
    <w:rsid w:val="00A03F05"/>
    <w:rsid w:val="00A043BB"/>
    <w:rsid w:val="00A04AFD"/>
    <w:rsid w:val="00A04B45"/>
    <w:rsid w:val="00A04C22"/>
    <w:rsid w:val="00A04DD1"/>
    <w:rsid w:val="00A057E2"/>
    <w:rsid w:val="00A05985"/>
    <w:rsid w:val="00A05AA4"/>
    <w:rsid w:val="00A05CA6"/>
    <w:rsid w:val="00A05DA5"/>
    <w:rsid w:val="00A06240"/>
    <w:rsid w:val="00A063B1"/>
    <w:rsid w:val="00A06400"/>
    <w:rsid w:val="00A06404"/>
    <w:rsid w:val="00A067D0"/>
    <w:rsid w:val="00A070AB"/>
    <w:rsid w:val="00A0717B"/>
    <w:rsid w:val="00A072E3"/>
    <w:rsid w:val="00A07747"/>
    <w:rsid w:val="00A077A9"/>
    <w:rsid w:val="00A07AF1"/>
    <w:rsid w:val="00A07B04"/>
    <w:rsid w:val="00A07C9A"/>
    <w:rsid w:val="00A10002"/>
    <w:rsid w:val="00A10E0A"/>
    <w:rsid w:val="00A10F39"/>
    <w:rsid w:val="00A11082"/>
    <w:rsid w:val="00A11A65"/>
    <w:rsid w:val="00A11B0C"/>
    <w:rsid w:val="00A11D83"/>
    <w:rsid w:val="00A11F25"/>
    <w:rsid w:val="00A12282"/>
    <w:rsid w:val="00A1240A"/>
    <w:rsid w:val="00A124E8"/>
    <w:rsid w:val="00A127B5"/>
    <w:rsid w:val="00A127D6"/>
    <w:rsid w:val="00A1394E"/>
    <w:rsid w:val="00A13D8C"/>
    <w:rsid w:val="00A1446B"/>
    <w:rsid w:val="00A147B3"/>
    <w:rsid w:val="00A148C7"/>
    <w:rsid w:val="00A14A59"/>
    <w:rsid w:val="00A14CB2"/>
    <w:rsid w:val="00A151CF"/>
    <w:rsid w:val="00A1535D"/>
    <w:rsid w:val="00A154D1"/>
    <w:rsid w:val="00A15942"/>
    <w:rsid w:val="00A15A44"/>
    <w:rsid w:val="00A1653A"/>
    <w:rsid w:val="00A165F9"/>
    <w:rsid w:val="00A167F2"/>
    <w:rsid w:val="00A168DF"/>
    <w:rsid w:val="00A16AEF"/>
    <w:rsid w:val="00A16C88"/>
    <w:rsid w:val="00A16CFD"/>
    <w:rsid w:val="00A17317"/>
    <w:rsid w:val="00A1752A"/>
    <w:rsid w:val="00A1784A"/>
    <w:rsid w:val="00A17C48"/>
    <w:rsid w:val="00A17D00"/>
    <w:rsid w:val="00A17EFE"/>
    <w:rsid w:val="00A2027F"/>
    <w:rsid w:val="00A20399"/>
    <w:rsid w:val="00A203DB"/>
    <w:rsid w:val="00A2049F"/>
    <w:rsid w:val="00A20531"/>
    <w:rsid w:val="00A20B68"/>
    <w:rsid w:val="00A20C78"/>
    <w:rsid w:val="00A20FE7"/>
    <w:rsid w:val="00A21024"/>
    <w:rsid w:val="00A2139E"/>
    <w:rsid w:val="00A215A8"/>
    <w:rsid w:val="00A21BD3"/>
    <w:rsid w:val="00A21D80"/>
    <w:rsid w:val="00A21E78"/>
    <w:rsid w:val="00A220A6"/>
    <w:rsid w:val="00A22A53"/>
    <w:rsid w:val="00A2312E"/>
    <w:rsid w:val="00A238FC"/>
    <w:rsid w:val="00A24028"/>
    <w:rsid w:val="00A240B1"/>
    <w:rsid w:val="00A24323"/>
    <w:rsid w:val="00A249BC"/>
    <w:rsid w:val="00A24F67"/>
    <w:rsid w:val="00A24FE5"/>
    <w:rsid w:val="00A2512C"/>
    <w:rsid w:val="00A2515B"/>
    <w:rsid w:val="00A25214"/>
    <w:rsid w:val="00A2528A"/>
    <w:rsid w:val="00A25444"/>
    <w:rsid w:val="00A2588E"/>
    <w:rsid w:val="00A258EF"/>
    <w:rsid w:val="00A2597F"/>
    <w:rsid w:val="00A26235"/>
    <w:rsid w:val="00A2688C"/>
    <w:rsid w:val="00A269DC"/>
    <w:rsid w:val="00A26E92"/>
    <w:rsid w:val="00A26EDF"/>
    <w:rsid w:val="00A27000"/>
    <w:rsid w:val="00A273A4"/>
    <w:rsid w:val="00A2756B"/>
    <w:rsid w:val="00A27584"/>
    <w:rsid w:val="00A2772F"/>
    <w:rsid w:val="00A27DDF"/>
    <w:rsid w:val="00A30DC1"/>
    <w:rsid w:val="00A311F2"/>
    <w:rsid w:val="00A312F0"/>
    <w:rsid w:val="00A313EA"/>
    <w:rsid w:val="00A31827"/>
    <w:rsid w:val="00A31A5A"/>
    <w:rsid w:val="00A3200A"/>
    <w:rsid w:val="00A3217E"/>
    <w:rsid w:val="00A3289A"/>
    <w:rsid w:val="00A328C3"/>
    <w:rsid w:val="00A32C5D"/>
    <w:rsid w:val="00A32C81"/>
    <w:rsid w:val="00A33217"/>
    <w:rsid w:val="00A33512"/>
    <w:rsid w:val="00A33659"/>
    <w:rsid w:val="00A33CB5"/>
    <w:rsid w:val="00A33F90"/>
    <w:rsid w:val="00A34789"/>
    <w:rsid w:val="00A34DB4"/>
    <w:rsid w:val="00A34EDC"/>
    <w:rsid w:val="00A35694"/>
    <w:rsid w:val="00A35A74"/>
    <w:rsid w:val="00A35B7C"/>
    <w:rsid w:val="00A35C4D"/>
    <w:rsid w:val="00A35C78"/>
    <w:rsid w:val="00A3612E"/>
    <w:rsid w:val="00A3630A"/>
    <w:rsid w:val="00A3630E"/>
    <w:rsid w:val="00A3637E"/>
    <w:rsid w:val="00A3655A"/>
    <w:rsid w:val="00A369A2"/>
    <w:rsid w:val="00A36A97"/>
    <w:rsid w:val="00A36B09"/>
    <w:rsid w:val="00A36B99"/>
    <w:rsid w:val="00A372CF"/>
    <w:rsid w:val="00A372F5"/>
    <w:rsid w:val="00A37BB8"/>
    <w:rsid w:val="00A37BBF"/>
    <w:rsid w:val="00A37DDF"/>
    <w:rsid w:val="00A40232"/>
    <w:rsid w:val="00A4048B"/>
    <w:rsid w:val="00A40493"/>
    <w:rsid w:val="00A40ABF"/>
    <w:rsid w:val="00A411CE"/>
    <w:rsid w:val="00A414C4"/>
    <w:rsid w:val="00A4158F"/>
    <w:rsid w:val="00A41A70"/>
    <w:rsid w:val="00A41BE2"/>
    <w:rsid w:val="00A41FF8"/>
    <w:rsid w:val="00A420AF"/>
    <w:rsid w:val="00A42751"/>
    <w:rsid w:val="00A42AE1"/>
    <w:rsid w:val="00A42C8D"/>
    <w:rsid w:val="00A42D87"/>
    <w:rsid w:val="00A42E62"/>
    <w:rsid w:val="00A42F9D"/>
    <w:rsid w:val="00A43413"/>
    <w:rsid w:val="00A43AAD"/>
    <w:rsid w:val="00A43BCF"/>
    <w:rsid w:val="00A43C2F"/>
    <w:rsid w:val="00A44228"/>
    <w:rsid w:val="00A442E7"/>
    <w:rsid w:val="00A448D3"/>
    <w:rsid w:val="00A44A8B"/>
    <w:rsid w:val="00A44BD3"/>
    <w:rsid w:val="00A4521D"/>
    <w:rsid w:val="00A4536F"/>
    <w:rsid w:val="00A45574"/>
    <w:rsid w:val="00A4563F"/>
    <w:rsid w:val="00A45825"/>
    <w:rsid w:val="00A45C64"/>
    <w:rsid w:val="00A46173"/>
    <w:rsid w:val="00A4657B"/>
    <w:rsid w:val="00A465D9"/>
    <w:rsid w:val="00A46B97"/>
    <w:rsid w:val="00A46D6F"/>
    <w:rsid w:val="00A46E28"/>
    <w:rsid w:val="00A47074"/>
    <w:rsid w:val="00A47266"/>
    <w:rsid w:val="00A4728F"/>
    <w:rsid w:val="00A47B80"/>
    <w:rsid w:val="00A47D06"/>
    <w:rsid w:val="00A50192"/>
    <w:rsid w:val="00A50352"/>
    <w:rsid w:val="00A50A12"/>
    <w:rsid w:val="00A50E51"/>
    <w:rsid w:val="00A50F0E"/>
    <w:rsid w:val="00A5125A"/>
    <w:rsid w:val="00A517EC"/>
    <w:rsid w:val="00A51AE6"/>
    <w:rsid w:val="00A51F0A"/>
    <w:rsid w:val="00A520A2"/>
    <w:rsid w:val="00A5246E"/>
    <w:rsid w:val="00A5263B"/>
    <w:rsid w:val="00A528C0"/>
    <w:rsid w:val="00A528D4"/>
    <w:rsid w:val="00A53100"/>
    <w:rsid w:val="00A53278"/>
    <w:rsid w:val="00A53575"/>
    <w:rsid w:val="00A5367C"/>
    <w:rsid w:val="00A538CC"/>
    <w:rsid w:val="00A5396C"/>
    <w:rsid w:val="00A53B4A"/>
    <w:rsid w:val="00A53D41"/>
    <w:rsid w:val="00A545EC"/>
    <w:rsid w:val="00A54618"/>
    <w:rsid w:val="00A54664"/>
    <w:rsid w:val="00A54AD6"/>
    <w:rsid w:val="00A54EF2"/>
    <w:rsid w:val="00A54F8D"/>
    <w:rsid w:val="00A5546E"/>
    <w:rsid w:val="00A55628"/>
    <w:rsid w:val="00A55B1A"/>
    <w:rsid w:val="00A55CD9"/>
    <w:rsid w:val="00A55D09"/>
    <w:rsid w:val="00A55D48"/>
    <w:rsid w:val="00A55D66"/>
    <w:rsid w:val="00A566AB"/>
    <w:rsid w:val="00A56948"/>
    <w:rsid w:val="00A57223"/>
    <w:rsid w:val="00A573FB"/>
    <w:rsid w:val="00A5770A"/>
    <w:rsid w:val="00A577BA"/>
    <w:rsid w:val="00A57BEB"/>
    <w:rsid w:val="00A604F6"/>
    <w:rsid w:val="00A60549"/>
    <w:rsid w:val="00A60EB3"/>
    <w:rsid w:val="00A60F17"/>
    <w:rsid w:val="00A61539"/>
    <w:rsid w:val="00A61566"/>
    <w:rsid w:val="00A61673"/>
    <w:rsid w:val="00A61786"/>
    <w:rsid w:val="00A61C1B"/>
    <w:rsid w:val="00A6334A"/>
    <w:rsid w:val="00A638AF"/>
    <w:rsid w:val="00A63A8D"/>
    <w:rsid w:val="00A63B83"/>
    <w:rsid w:val="00A645EF"/>
    <w:rsid w:val="00A64926"/>
    <w:rsid w:val="00A64CED"/>
    <w:rsid w:val="00A650D9"/>
    <w:rsid w:val="00A651CE"/>
    <w:rsid w:val="00A65D3A"/>
    <w:rsid w:val="00A665CF"/>
    <w:rsid w:val="00A668CC"/>
    <w:rsid w:val="00A669A9"/>
    <w:rsid w:val="00A66E59"/>
    <w:rsid w:val="00A66FAB"/>
    <w:rsid w:val="00A67250"/>
    <w:rsid w:val="00A674A7"/>
    <w:rsid w:val="00A67630"/>
    <w:rsid w:val="00A67967"/>
    <w:rsid w:val="00A67B15"/>
    <w:rsid w:val="00A67C45"/>
    <w:rsid w:val="00A67CA5"/>
    <w:rsid w:val="00A67CA7"/>
    <w:rsid w:val="00A67CB9"/>
    <w:rsid w:val="00A67CD6"/>
    <w:rsid w:val="00A67D06"/>
    <w:rsid w:val="00A706C7"/>
    <w:rsid w:val="00A7094F"/>
    <w:rsid w:val="00A7098C"/>
    <w:rsid w:val="00A70C5E"/>
    <w:rsid w:val="00A70DE7"/>
    <w:rsid w:val="00A710CE"/>
    <w:rsid w:val="00A71837"/>
    <w:rsid w:val="00A71A95"/>
    <w:rsid w:val="00A71C65"/>
    <w:rsid w:val="00A71D0A"/>
    <w:rsid w:val="00A72018"/>
    <w:rsid w:val="00A724AE"/>
    <w:rsid w:val="00A72EBE"/>
    <w:rsid w:val="00A72EC0"/>
    <w:rsid w:val="00A72F7B"/>
    <w:rsid w:val="00A73168"/>
    <w:rsid w:val="00A73372"/>
    <w:rsid w:val="00A734C9"/>
    <w:rsid w:val="00A7379F"/>
    <w:rsid w:val="00A73C8D"/>
    <w:rsid w:val="00A73D5E"/>
    <w:rsid w:val="00A73E93"/>
    <w:rsid w:val="00A7414F"/>
    <w:rsid w:val="00A74242"/>
    <w:rsid w:val="00A74B75"/>
    <w:rsid w:val="00A74E6B"/>
    <w:rsid w:val="00A74F7E"/>
    <w:rsid w:val="00A75354"/>
    <w:rsid w:val="00A76073"/>
    <w:rsid w:val="00A76313"/>
    <w:rsid w:val="00A7667A"/>
    <w:rsid w:val="00A76751"/>
    <w:rsid w:val="00A76CE9"/>
    <w:rsid w:val="00A7752F"/>
    <w:rsid w:val="00A77574"/>
    <w:rsid w:val="00A7758D"/>
    <w:rsid w:val="00A776B3"/>
    <w:rsid w:val="00A77B2B"/>
    <w:rsid w:val="00A77BDA"/>
    <w:rsid w:val="00A77CB4"/>
    <w:rsid w:val="00A80114"/>
    <w:rsid w:val="00A807C4"/>
    <w:rsid w:val="00A80E4E"/>
    <w:rsid w:val="00A80E6B"/>
    <w:rsid w:val="00A81295"/>
    <w:rsid w:val="00A8147A"/>
    <w:rsid w:val="00A81E4B"/>
    <w:rsid w:val="00A825AC"/>
    <w:rsid w:val="00A82782"/>
    <w:rsid w:val="00A82FA3"/>
    <w:rsid w:val="00A83370"/>
    <w:rsid w:val="00A83474"/>
    <w:rsid w:val="00A834EA"/>
    <w:rsid w:val="00A83768"/>
    <w:rsid w:val="00A83B1F"/>
    <w:rsid w:val="00A83C04"/>
    <w:rsid w:val="00A83E8B"/>
    <w:rsid w:val="00A8428E"/>
    <w:rsid w:val="00A84520"/>
    <w:rsid w:val="00A845BB"/>
    <w:rsid w:val="00A84838"/>
    <w:rsid w:val="00A849D4"/>
    <w:rsid w:val="00A8554D"/>
    <w:rsid w:val="00A8557B"/>
    <w:rsid w:val="00A85766"/>
    <w:rsid w:val="00A8593B"/>
    <w:rsid w:val="00A85C35"/>
    <w:rsid w:val="00A85EB7"/>
    <w:rsid w:val="00A86090"/>
    <w:rsid w:val="00A8617B"/>
    <w:rsid w:val="00A8642A"/>
    <w:rsid w:val="00A86481"/>
    <w:rsid w:val="00A86681"/>
    <w:rsid w:val="00A8701B"/>
    <w:rsid w:val="00A875E2"/>
    <w:rsid w:val="00A87C43"/>
    <w:rsid w:val="00A87E0B"/>
    <w:rsid w:val="00A904A1"/>
    <w:rsid w:val="00A90589"/>
    <w:rsid w:val="00A905B6"/>
    <w:rsid w:val="00A90833"/>
    <w:rsid w:val="00A90D79"/>
    <w:rsid w:val="00A90F73"/>
    <w:rsid w:val="00A90F90"/>
    <w:rsid w:val="00A910E5"/>
    <w:rsid w:val="00A91704"/>
    <w:rsid w:val="00A91C2A"/>
    <w:rsid w:val="00A9201D"/>
    <w:rsid w:val="00A92061"/>
    <w:rsid w:val="00A92197"/>
    <w:rsid w:val="00A92228"/>
    <w:rsid w:val="00A9263D"/>
    <w:rsid w:val="00A92942"/>
    <w:rsid w:val="00A929C5"/>
    <w:rsid w:val="00A92B3F"/>
    <w:rsid w:val="00A92EDC"/>
    <w:rsid w:val="00A9313A"/>
    <w:rsid w:val="00A934D5"/>
    <w:rsid w:val="00A93B87"/>
    <w:rsid w:val="00A94156"/>
    <w:rsid w:val="00A941F9"/>
    <w:rsid w:val="00A94234"/>
    <w:rsid w:val="00A94249"/>
    <w:rsid w:val="00A947F5"/>
    <w:rsid w:val="00A947FB"/>
    <w:rsid w:val="00A94B25"/>
    <w:rsid w:val="00A94B78"/>
    <w:rsid w:val="00A94BC9"/>
    <w:rsid w:val="00A94D95"/>
    <w:rsid w:val="00A94F86"/>
    <w:rsid w:val="00A95040"/>
    <w:rsid w:val="00A959BC"/>
    <w:rsid w:val="00A95FBC"/>
    <w:rsid w:val="00A9631C"/>
    <w:rsid w:val="00A96902"/>
    <w:rsid w:val="00A96A68"/>
    <w:rsid w:val="00A96C34"/>
    <w:rsid w:val="00A96CC4"/>
    <w:rsid w:val="00A96DBC"/>
    <w:rsid w:val="00A96E24"/>
    <w:rsid w:val="00A96E34"/>
    <w:rsid w:val="00A977B7"/>
    <w:rsid w:val="00A979BB"/>
    <w:rsid w:val="00A97A73"/>
    <w:rsid w:val="00A97F8A"/>
    <w:rsid w:val="00AA0333"/>
    <w:rsid w:val="00AA0EDF"/>
    <w:rsid w:val="00AA1039"/>
    <w:rsid w:val="00AA1973"/>
    <w:rsid w:val="00AA1CA6"/>
    <w:rsid w:val="00AA21D6"/>
    <w:rsid w:val="00AA273A"/>
    <w:rsid w:val="00AA29DD"/>
    <w:rsid w:val="00AA2C98"/>
    <w:rsid w:val="00AA3168"/>
    <w:rsid w:val="00AA3504"/>
    <w:rsid w:val="00AA3700"/>
    <w:rsid w:val="00AA3ABE"/>
    <w:rsid w:val="00AA3C60"/>
    <w:rsid w:val="00AA3D3C"/>
    <w:rsid w:val="00AA4403"/>
    <w:rsid w:val="00AA45C9"/>
    <w:rsid w:val="00AA49FA"/>
    <w:rsid w:val="00AA4E46"/>
    <w:rsid w:val="00AA4EDD"/>
    <w:rsid w:val="00AA53C0"/>
    <w:rsid w:val="00AA5A66"/>
    <w:rsid w:val="00AA5FA9"/>
    <w:rsid w:val="00AA600A"/>
    <w:rsid w:val="00AA663A"/>
    <w:rsid w:val="00AA6918"/>
    <w:rsid w:val="00AA6A54"/>
    <w:rsid w:val="00AA6E52"/>
    <w:rsid w:val="00AA7043"/>
    <w:rsid w:val="00AA7237"/>
    <w:rsid w:val="00AA72CD"/>
    <w:rsid w:val="00AA732E"/>
    <w:rsid w:val="00AA7374"/>
    <w:rsid w:val="00AA7483"/>
    <w:rsid w:val="00AA7A92"/>
    <w:rsid w:val="00AA7C24"/>
    <w:rsid w:val="00AB034A"/>
    <w:rsid w:val="00AB06B3"/>
    <w:rsid w:val="00AB0B1E"/>
    <w:rsid w:val="00AB10C4"/>
    <w:rsid w:val="00AB167B"/>
    <w:rsid w:val="00AB1AA4"/>
    <w:rsid w:val="00AB1ABA"/>
    <w:rsid w:val="00AB1FE4"/>
    <w:rsid w:val="00AB21D6"/>
    <w:rsid w:val="00AB25AF"/>
    <w:rsid w:val="00AB27BF"/>
    <w:rsid w:val="00AB285B"/>
    <w:rsid w:val="00AB290D"/>
    <w:rsid w:val="00AB2FF4"/>
    <w:rsid w:val="00AB35FB"/>
    <w:rsid w:val="00AB379A"/>
    <w:rsid w:val="00AB3D7D"/>
    <w:rsid w:val="00AB4120"/>
    <w:rsid w:val="00AB43E2"/>
    <w:rsid w:val="00AB467C"/>
    <w:rsid w:val="00AB497C"/>
    <w:rsid w:val="00AB4C71"/>
    <w:rsid w:val="00AB4CAB"/>
    <w:rsid w:val="00AB4E08"/>
    <w:rsid w:val="00AB5215"/>
    <w:rsid w:val="00AB5271"/>
    <w:rsid w:val="00AB55A3"/>
    <w:rsid w:val="00AB56CF"/>
    <w:rsid w:val="00AB58D7"/>
    <w:rsid w:val="00AB5999"/>
    <w:rsid w:val="00AB5F9C"/>
    <w:rsid w:val="00AB60CC"/>
    <w:rsid w:val="00AB61C7"/>
    <w:rsid w:val="00AB6381"/>
    <w:rsid w:val="00AB64F6"/>
    <w:rsid w:val="00AB66FF"/>
    <w:rsid w:val="00AB672B"/>
    <w:rsid w:val="00AB6897"/>
    <w:rsid w:val="00AB6C18"/>
    <w:rsid w:val="00AB6DCD"/>
    <w:rsid w:val="00AB74E4"/>
    <w:rsid w:val="00AB7CBD"/>
    <w:rsid w:val="00AC0486"/>
    <w:rsid w:val="00AC08B9"/>
    <w:rsid w:val="00AC0E41"/>
    <w:rsid w:val="00AC0F22"/>
    <w:rsid w:val="00AC0FF1"/>
    <w:rsid w:val="00AC1040"/>
    <w:rsid w:val="00AC11E8"/>
    <w:rsid w:val="00AC15A4"/>
    <w:rsid w:val="00AC1AD6"/>
    <w:rsid w:val="00AC1C78"/>
    <w:rsid w:val="00AC1ED5"/>
    <w:rsid w:val="00AC2655"/>
    <w:rsid w:val="00AC2CDC"/>
    <w:rsid w:val="00AC2D05"/>
    <w:rsid w:val="00AC3311"/>
    <w:rsid w:val="00AC355C"/>
    <w:rsid w:val="00AC35C3"/>
    <w:rsid w:val="00AC3788"/>
    <w:rsid w:val="00AC38E6"/>
    <w:rsid w:val="00AC3C6B"/>
    <w:rsid w:val="00AC3DDC"/>
    <w:rsid w:val="00AC3E93"/>
    <w:rsid w:val="00AC3FA9"/>
    <w:rsid w:val="00AC4013"/>
    <w:rsid w:val="00AC41F4"/>
    <w:rsid w:val="00AC42F3"/>
    <w:rsid w:val="00AC43F5"/>
    <w:rsid w:val="00AC46D0"/>
    <w:rsid w:val="00AC4829"/>
    <w:rsid w:val="00AC499F"/>
    <w:rsid w:val="00AC541D"/>
    <w:rsid w:val="00AC579C"/>
    <w:rsid w:val="00AC5A91"/>
    <w:rsid w:val="00AC5E58"/>
    <w:rsid w:val="00AC6383"/>
    <w:rsid w:val="00AC649A"/>
    <w:rsid w:val="00AC6533"/>
    <w:rsid w:val="00AC66C9"/>
    <w:rsid w:val="00AC75FF"/>
    <w:rsid w:val="00AC76B0"/>
    <w:rsid w:val="00AC7933"/>
    <w:rsid w:val="00AC7A98"/>
    <w:rsid w:val="00AC7C37"/>
    <w:rsid w:val="00AC7EF2"/>
    <w:rsid w:val="00AD006B"/>
    <w:rsid w:val="00AD015D"/>
    <w:rsid w:val="00AD04BC"/>
    <w:rsid w:val="00AD12F6"/>
    <w:rsid w:val="00AD1533"/>
    <w:rsid w:val="00AD18F3"/>
    <w:rsid w:val="00AD1D7D"/>
    <w:rsid w:val="00AD1DAA"/>
    <w:rsid w:val="00AD1F4D"/>
    <w:rsid w:val="00AD2492"/>
    <w:rsid w:val="00AD2727"/>
    <w:rsid w:val="00AD287C"/>
    <w:rsid w:val="00AD2EC7"/>
    <w:rsid w:val="00AD39F5"/>
    <w:rsid w:val="00AD3A07"/>
    <w:rsid w:val="00AD3D10"/>
    <w:rsid w:val="00AD3E22"/>
    <w:rsid w:val="00AD4225"/>
    <w:rsid w:val="00AD43FC"/>
    <w:rsid w:val="00AD464A"/>
    <w:rsid w:val="00AD47D8"/>
    <w:rsid w:val="00AD4821"/>
    <w:rsid w:val="00AD4C22"/>
    <w:rsid w:val="00AD4D6B"/>
    <w:rsid w:val="00AD51C5"/>
    <w:rsid w:val="00AD53E7"/>
    <w:rsid w:val="00AD541A"/>
    <w:rsid w:val="00AD5593"/>
    <w:rsid w:val="00AD563C"/>
    <w:rsid w:val="00AD5655"/>
    <w:rsid w:val="00AD56B5"/>
    <w:rsid w:val="00AD5737"/>
    <w:rsid w:val="00AD64DF"/>
    <w:rsid w:val="00AD76CE"/>
    <w:rsid w:val="00AD79B5"/>
    <w:rsid w:val="00AD7EBC"/>
    <w:rsid w:val="00AE039F"/>
    <w:rsid w:val="00AE053F"/>
    <w:rsid w:val="00AE0AEA"/>
    <w:rsid w:val="00AE1025"/>
    <w:rsid w:val="00AE1069"/>
    <w:rsid w:val="00AE1309"/>
    <w:rsid w:val="00AE18A4"/>
    <w:rsid w:val="00AE1FA5"/>
    <w:rsid w:val="00AE204B"/>
    <w:rsid w:val="00AE231F"/>
    <w:rsid w:val="00AE2522"/>
    <w:rsid w:val="00AE2869"/>
    <w:rsid w:val="00AE296F"/>
    <w:rsid w:val="00AE2B77"/>
    <w:rsid w:val="00AE2C7A"/>
    <w:rsid w:val="00AE2F60"/>
    <w:rsid w:val="00AE3590"/>
    <w:rsid w:val="00AE3B57"/>
    <w:rsid w:val="00AE3C3B"/>
    <w:rsid w:val="00AE3F03"/>
    <w:rsid w:val="00AE4029"/>
    <w:rsid w:val="00AE4420"/>
    <w:rsid w:val="00AE4A97"/>
    <w:rsid w:val="00AE4BAF"/>
    <w:rsid w:val="00AE53B6"/>
    <w:rsid w:val="00AE558D"/>
    <w:rsid w:val="00AE5F95"/>
    <w:rsid w:val="00AE611C"/>
    <w:rsid w:val="00AE6201"/>
    <w:rsid w:val="00AE62A9"/>
    <w:rsid w:val="00AE62C0"/>
    <w:rsid w:val="00AE62FB"/>
    <w:rsid w:val="00AE6396"/>
    <w:rsid w:val="00AE64F0"/>
    <w:rsid w:val="00AE655A"/>
    <w:rsid w:val="00AE67FE"/>
    <w:rsid w:val="00AE6820"/>
    <w:rsid w:val="00AE6937"/>
    <w:rsid w:val="00AE6C95"/>
    <w:rsid w:val="00AE6E47"/>
    <w:rsid w:val="00AE6FD4"/>
    <w:rsid w:val="00AE7733"/>
    <w:rsid w:val="00AE7C68"/>
    <w:rsid w:val="00AE7D12"/>
    <w:rsid w:val="00AF008D"/>
    <w:rsid w:val="00AF0439"/>
    <w:rsid w:val="00AF09CA"/>
    <w:rsid w:val="00AF154A"/>
    <w:rsid w:val="00AF1B15"/>
    <w:rsid w:val="00AF21B3"/>
    <w:rsid w:val="00AF2312"/>
    <w:rsid w:val="00AF2383"/>
    <w:rsid w:val="00AF23C8"/>
    <w:rsid w:val="00AF24DE"/>
    <w:rsid w:val="00AF25E8"/>
    <w:rsid w:val="00AF2607"/>
    <w:rsid w:val="00AF26B1"/>
    <w:rsid w:val="00AF2734"/>
    <w:rsid w:val="00AF29C2"/>
    <w:rsid w:val="00AF2AE2"/>
    <w:rsid w:val="00AF2CAE"/>
    <w:rsid w:val="00AF2F12"/>
    <w:rsid w:val="00AF2FE8"/>
    <w:rsid w:val="00AF31D4"/>
    <w:rsid w:val="00AF34F8"/>
    <w:rsid w:val="00AF361C"/>
    <w:rsid w:val="00AF3B9D"/>
    <w:rsid w:val="00AF3FCD"/>
    <w:rsid w:val="00AF41B3"/>
    <w:rsid w:val="00AF41E8"/>
    <w:rsid w:val="00AF43E0"/>
    <w:rsid w:val="00AF4498"/>
    <w:rsid w:val="00AF461B"/>
    <w:rsid w:val="00AF4F5F"/>
    <w:rsid w:val="00AF50D6"/>
    <w:rsid w:val="00AF55D4"/>
    <w:rsid w:val="00AF567E"/>
    <w:rsid w:val="00AF712A"/>
    <w:rsid w:val="00AF78F3"/>
    <w:rsid w:val="00AF7BEF"/>
    <w:rsid w:val="00B0044C"/>
    <w:rsid w:val="00B00733"/>
    <w:rsid w:val="00B00737"/>
    <w:rsid w:val="00B00D46"/>
    <w:rsid w:val="00B00D60"/>
    <w:rsid w:val="00B00DFF"/>
    <w:rsid w:val="00B00E3F"/>
    <w:rsid w:val="00B01559"/>
    <w:rsid w:val="00B01F17"/>
    <w:rsid w:val="00B02497"/>
    <w:rsid w:val="00B024ED"/>
    <w:rsid w:val="00B0265D"/>
    <w:rsid w:val="00B02665"/>
    <w:rsid w:val="00B027C9"/>
    <w:rsid w:val="00B02912"/>
    <w:rsid w:val="00B02A48"/>
    <w:rsid w:val="00B02BEE"/>
    <w:rsid w:val="00B02D6A"/>
    <w:rsid w:val="00B02EBC"/>
    <w:rsid w:val="00B03351"/>
    <w:rsid w:val="00B0377E"/>
    <w:rsid w:val="00B037FD"/>
    <w:rsid w:val="00B03A3F"/>
    <w:rsid w:val="00B04349"/>
    <w:rsid w:val="00B04688"/>
    <w:rsid w:val="00B049FE"/>
    <w:rsid w:val="00B04C11"/>
    <w:rsid w:val="00B050B2"/>
    <w:rsid w:val="00B05184"/>
    <w:rsid w:val="00B051A7"/>
    <w:rsid w:val="00B058B1"/>
    <w:rsid w:val="00B05ACD"/>
    <w:rsid w:val="00B0629E"/>
    <w:rsid w:val="00B06385"/>
    <w:rsid w:val="00B067A7"/>
    <w:rsid w:val="00B069FC"/>
    <w:rsid w:val="00B06FF2"/>
    <w:rsid w:val="00B07204"/>
    <w:rsid w:val="00B0742C"/>
    <w:rsid w:val="00B07560"/>
    <w:rsid w:val="00B0799D"/>
    <w:rsid w:val="00B07BA9"/>
    <w:rsid w:val="00B07C0A"/>
    <w:rsid w:val="00B07E11"/>
    <w:rsid w:val="00B10055"/>
    <w:rsid w:val="00B102AC"/>
    <w:rsid w:val="00B1032F"/>
    <w:rsid w:val="00B1055B"/>
    <w:rsid w:val="00B106DB"/>
    <w:rsid w:val="00B10B18"/>
    <w:rsid w:val="00B10CE3"/>
    <w:rsid w:val="00B10CFA"/>
    <w:rsid w:val="00B11071"/>
    <w:rsid w:val="00B1141E"/>
    <w:rsid w:val="00B1189E"/>
    <w:rsid w:val="00B1219C"/>
    <w:rsid w:val="00B123E5"/>
    <w:rsid w:val="00B12432"/>
    <w:rsid w:val="00B1266F"/>
    <w:rsid w:val="00B1278B"/>
    <w:rsid w:val="00B129BC"/>
    <w:rsid w:val="00B12A40"/>
    <w:rsid w:val="00B12C8A"/>
    <w:rsid w:val="00B12EC7"/>
    <w:rsid w:val="00B1306D"/>
    <w:rsid w:val="00B138F4"/>
    <w:rsid w:val="00B139D0"/>
    <w:rsid w:val="00B14032"/>
    <w:rsid w:val="00B140A3"/>
    <w:rsid w:val="00B140F8"/>
    <w:rsid w:val="00B143FB"/>
    <w:rsid w:val="00B149C2"/>
    <w:rsid w:val="00B14BF4"/>
    <w:rsid w:val="00B14DE9"/>
    <w:rsid w:val="00B14F92"/>
    <w:rsid w:val="00B1518D"/>
    <w:rsid w:val="00B154B4"/>
    <w:rsid w:val="00B15750"/>
    <w:rsid w:val="00B1584C"/>
    <w:rsid w:val="00B15BF2"/>
    <w:rsid w:val="00B15D9F"/>
    <w:rsid w:val="00B15DFB"/>
    <w:rsid w:val="00B16936"/>
    <w:rsid w:val="00B1698C"/>
    <w:rsid w:val="00B16A25"/>
    <w:rsid w:val="00B16EFA"/>
    <w:rsid w:val="00B17295"/>
    <w:rsid w:val="00B173A1"/>
    <w:rsid w:val="00B1745F"/>
    <w:rsid w:val="00B178E6"/>
    <w:rsid w:val="00B17BC4"/>
    <w:rsid w:val="00B17EB6"/>
    <w:rsid w:val="00B20299"/>
    <w:rsid w:val="00B2062A"/>
    <w:rsid w:val="00B20DCC"/>
    <w:rsid w:val="00B20FBC"/>
    <w:rsid w:val="00B21187"/>
    <w:rsid w:val="00B215F5"/>
    <w:rsid w:val="00B2162C"/>
    <w:rsid w:val="00B217DE"/>
    <w:rsid w:val="00B21827"/>
    <w:rsid w:val="00B219A6"/>
    <w:rsid w:val="00B219D5"/>
    <w:rsid w:val="00B21A8C"/>
    <w:rsid w:val="00B21B2A"/>
    <w:rsid w:val="00B21C8E"/>
    <w:rsid w:val="00B21E35"/>
    <w:rsid w:val="00B22691"/>
    <w:rsid w:val="00B228AB"/>
    <w:rsid w:val="00B228B1"/>
    <w:rsid w:val="00B22BFC"/>
    <w:rsid w:val="00B22EC4"/>
    <w:rsid w:val="00B22F31"/>
    <w:rsid w:val="00B22F5E"/>
    <w:rsid w:val="00B23028"/>
    <w:rsid w:val="00B2306A"/>
    <w:rsid w:val="00B2310C"/>
    <w:rsid w:val="00B2364B"/>
    <w:rsid w:val="00B23C03"/>
    <w:rsid w:val="00B240F5"/>
    <w:rsid w:val="00B24183"/>
    <w:rsid w:val="00B24392"/>
    <w:rsid w:val="00B25272"/>
    <w:rsid w:val="00B25363"/>
    <w:rsid w:val="00B25610"/>
    <w:rsid w:val="00B26BF5"/>
    <w:rsid w:val="00B27058"/>
    <w:rsid w:val="00B2747B"/>
    <w:rsid w:val="00B27850"/>
    <w:rsid w:val="00B27A54"/>
    <w:rsid w:val="00B3021C"/>
    <w:rsid w:val="00B302B1"/>
    <w:rsid w:val="00B30378"/>
    <w:rsid w:val="00B30432"/>
    <w:rsid w:val="00B306F1"/>
    <w:rsid w:val="00B30783"/>
    <w:rsid w:val="00B319CD"/>
    <w:rsid w:val="00B31A1A"/>
    <w:rsid w:val="00B31A7F"/>
    <w:rsid w:val="00B31D12"/>
    <w:rsid w:val="00B3203F"/>
    <w:rsid w:val="00B32399"/>
    <w:rsid w:val="00B324C5"/>
    <w:rsid w:val="00B32FB9"/>
    <w:rsid w:val="00B34020"/>
    <w:rsid w:val="00B3474D"/>
    <w:rsid w:val="00B35D98"/>
    <w:rsid w:val="00B36239"/>
    <w:rsid w:val="00B363FE"/>
    <w:rsid w:val="00B365FB"/>
    <w:rsid w:val="00B36706"/>
    <w:rsid w:val="00B36782"/>
    <w:rsid w:val="00B3691B"/>
    <w:rsid w:val="00B36BB6"/>
    <w:rsid w:val="00B36DD8"/>
    <w:rsid w:val="00B371DB"/>
    <w:rsid w:val="00B37750"/>
    <w:rsid w:val="00B377ED"/>
    <w:rsid w:val="00B37AC3"/>
    <w:rsid w:val="00B4001E"/>
    <w:rsid w:val="00B4026B"/>
    <w:rsid w:val="00B40477"/>
    <w:rsid w:val="00B4051B"/>
    <w:rsid w:val="00B40AF1"/>
    <w:rsid w:val="00B40C01"/>
    <w:rsid w:val="00B40E6F"/>
    <w:rsid w:val="00B412DA"/>
    <w:rsid w:val="00B413C8"/>
    <w:rsid w:val="00B41507"/>
    <w:rsid w:val="00B41B39"/>
    <w:rsid w:val="00B41F0F"/>
    <w:rsid w:val="00B421AD"/>
    <w:rsid w:val="00B422B6"/>
    <w:rsid w:val="00B42560"/>
    <w:rsid w:val="00B42A38"/>
    <w:rsid w:val="00B42EA0"/>
    <w:rsid w:val="00B43124"/>
    <w:rsid w:val="00B43229"/>
    <w:rsid w:val="00B43525"/>
    <w:rsid w:val="00B43653"/>
    <w:rsid w:val="00B43DCD"/>
    <w:rsid w:val="00B43FDC"/>
    <w:rsid w:val="00B443C3"/>
    <w:rsid w:val="00B444BD"/>
    <w:rsid w:val="00B4460F"/>
    <w:rsid w:val="00B44721"/>
    <w:rsid w:val="00B44732"/>
    <w:rsid w:val="00B447BC"/>
    <w:rsid w:val="00B447CE"/>
    <w:rsid w:val="00B45488"/>
    <w:rsid w:val="00B4555E"/>
    <w:rsid w:val="00B455AA"/>
    <w:rsid w:val="00B45778"/>
    <w:rsid w:val="00B457A1"/>
    <w:rsid w:val="00B45885"/>
    <w:rsid w:val="00B45B37"/>
    <w:rsid w:val="00B45CE1"/>
    <w:rsid w:val="00B45EC1"/>
    <w:rsid w:val="00B4601A"/>
    <w:rsid w:val="00B46030"/>
    <w:rsid w:val="00B46198"/>
    <w:rsid w:val="00B4630F"/>
    <w:rsid w:val="00B464B1"/>
    <w:rsid w:val="00B46502"/>
    <w:rsid w:val="00B4650B"/>
    <w:rsid w:val="00B467B1"/>
    <w:rsid w:val="00B47130"/>
    <w:rsid w:val="00B47554"/>
    <w:rsid w:val="00B47748"/>
    <w:rsid w:val="00B4797C"/>
    <w:rsid w:val="00B479C3"/>
    <w:rsid w:val="00B47A4A"/>
    <w:rsid w:val="00B47B99"/>
    <w:rsid w:val="00B47F6B"/>
    <w:rsid w:val="00B506F2"/>
    <w:rsid w:val="00B50B8D"/>
    <w:rsid w:val="00B50C04"/>
    <w:rsid w:val="00B50C49"/>
    <w:rsid w:val="00B510E3"/>
    <w:rsid w:val="00B5115D"/>
    <w:rsid w:val="00B512DE"/>
    <w:rsid w:val="00B51604"/>
    <w:rsid w:val="00B51BF9"/>
    <w:rsid w:val="00B51F0B"/>
    <w:rsid w:val="00B521AC"/>
    <w:rsid w:val="00B52634"/>
    <w:rsid w:val="00B526B8"/>
    <w:rsid w:val="00B52702"/>
    <w:rsid w:val="00B5286F"/>
    <w:rsid w:val="00B52D36"/>
    <w:rsid w:val="00B530BE"/>
    <w:rsid w:val="00B53254"/>
    <w:rsid w:val="00B5374D"/>
    <w:rsid w:val="00B53D3D"/>
    <w:rsid w:val="00B542FA"/>
    <w:rsid w:val="00B543E3"/>
    <w:rsid w:val="00B544A9"/>
    <w:rsid w:val="00B5492B"/>
    <w:rsid w:val="00B5498D"/>
    <w:rsid w:val="00B5501D"/>
    <w:rsid w:val="00B5510E"/>
    <w:rsid w:val="00B5571E"/>
    <w:rsid w:val="00B55834"/>
    <w:rsid w:val="00B558D9"/>
    <w:rsid w:val="00B55CC9"/>
    <w:rsid w:val="00B55E66"/>
    <w:rsid w:val="00B563AD"/>
    <w:rsid w:val="00B56B21"/>
    <w:rsid w:val="00B572AB"/>
    <w:rsid w:val="00B6045E"/>
    <w:rsid w:val="00B60663"/>
    <w:rsid w:val="00B6151E"/>
    <w:rsid w:val="00B616D1"/>
    <w:rsid w:val="00B61B8C"/>
    <w:rsid w:val="00B61C1E"/>
    <w:rsid w:val="00B61F73"/>
    <w:rsid w:val="00B6202C"/>
    <w:rsid w:val="00B62051"/>
    <w:rsid w:val="00B62544"/>
    <w:rsid w:val="00B625D2"/>
    <w:rsid w:val="00B628F2"/>
    <w:rsid w:val="00B6318F"/>
    <w:rsid w:val="00B63630"/>
    <w:rsid w:val="00B6374F"/>
    <w:rsid w:val="00B63824"/>
    <w:rsid w:val="00B63DCA"/>
    <w:rsid w:val="00B63F59"/>
    <w:rsid w:val="00B642E3"/>
    <w:rsid w:val="00B644C8"/>
    <w:rsid w:val="00B647FA"/>
    <w:rsid w:val="00B64962"/>
    <w:rsid w:val="00B64C13"/>
    <w:rsid w:val="00B64C4D"/>
    <w:rsid w:val="00B65472"/>
    <w:rsid w:val="00B65796"/>
    <w:rsid w:val="00B65F2F"/>
    <w:rsid w:val="00B6624C"/>
    <w:rsid w:val="00B66307"/>
    <w:rsid w:val="00B66550"/>
    <w:rsid w:val="00B669FD"/>
    <w:rsid w:val="00B671BC"/>
    <w:rsid w:val="00B67298"/>
    <w:rsid w:val="00B676EC"/>
    <w:rsid w:val="00B67F50"/>
    <w:rsid w:val="00B67FF4"/>
    <w:rsid w:val="00B7016C"/>
    <w:rsid w:val="00B7039B"/>
    <w:rsid w:val="00B7073D"/>
    <w:rsid w:val="00B708EB"/>
    <w:rsid w:val="00B709E6"/>
    <w:rsid w:val="00B7146D"/>
    <w:rsid w:val="00B715F7"/>
    <w:rsid w:val="00B71678"/>
    <w:rsid w:val="00B71722"/>
    <w:rsid w:val="00B71C50"/>
    <w:rsid w:val="00B71FDA"/>
    <w:rsid w:val="00B72614"/>
    <w:rsid w:val="00B72A84"/>
    <w:rsid w:val="00B72C30"/>
    <w:rsid w:val="00B7300E"/>
    <w:rsid w:val="00B7362A"/>
    <w:rsid w:val="00B73737"/>
    <w:rsid w:val="00B7389F"/>
    <w:rsid w:val="00B73B12"/>
    <w:rsid w:val="00B73DB6"/>
    <w:rsid w:val="00B742C6"/>
    <w:rsid w:val="00B743F0"/>
    <w:rsid w:val="00B74498"/>
    <w:rsid w:val="00B74D1E"/>
    <w:rsid w:val="00B74FD0"/>
    <w:rsid w:val="00B7563A"/>
    <w:rsid w:val="00B758E3"/>
    <w:rsid w:val="00B758ED"/>
    <w:rsid w:val="00B759C7"/>
    <w:rsid w:val="00B762F4"/>
    <w:rsid w:val="00B76819"/>
    <w:rsid w:val="00B76983"/>
    <w:rsid w:val="00B76998"/>
    <w:rsid w:val="00B76A18"/>
    <w:rsid w:val="00B76BAC"/>
    <w:rsid w:val="00B76E2A"/>
    <w:rsid w:val="00B76F58"/>
    <w:rsid w:val="00B7730F"/>
    <w:rsid w:val="00B77407"/>
    <w:rsid w:val="00B77A94"/>
    <w:rsid w:val="00B77C00"/>
    <w:rsid w:val="00B80748"/>
    <w:rsid w:val="00B8096E"/>
    <w:rsid w:val="00B80D55"/>
    <w:rsid w:val="00B80EB4"/>
    <w:rsid w:val="00B80FDB"/>
    <w:rsid w:val="00B81081"/>
    <w:rsid w:val="00B810CB"/>
    <w:rsid w:val="00B810E3"/>
    <w:rsid w:val="00B812C7"/>
    <w:rsid w:val="00B8163D"/>
    <w:rsid w:val="00B824F5"/>
    <w:rsid w:val="00B8250E"/>
    <w:rsid w:val="00B82922"/>
    <w:rsid w:val="00B83249"/>
    <w:rsid w:val="00B832FC"/>
    <w:rsid w:val="00B8386A"/>
    <w:rsid w:val="00B839E5"/>
    <w:rsid w:val="00B83B56"/>
    <w:rsid w:val="00B83F19"/>
    <w:rsid w:val="00B8407E"/>
    <w:rsid w:val="00B84700"/>
    <w:rsid w:val="00B84797"/>
    <w:rsid w:val="00B849FA"/>
    <w:rsid w:val="00B84C6C"/>
    <w:rsid w:val="00B85080"/>
    <w:rsid w:val="00B8526C"/>
    <w:rsid w:val="00B85987"/>
    <w:rsid w:val="00B85A18"/>
    <w:rsid w:val="00B85D5D"/>
    <w:rsid w:val="00B8691A"/>
    <w:rsid w:val="00B86BDC"/>
    <w:rsid w:val="00B878A0"/>
    <w:rsid w:val="00B90389"/>
    <w:rsid w:val="00B90549"/>
    <w:rsid w:val="00B908EE"/>
    <w:rsid w:val="00B90ED9"/>
    <w:rsid w:val="00B90F21"/>
    <w:rsid w:val="00B91090"/>
    <w:rsid w:val="00B91327"/>
    <w:rsid w:val="00B91643"/>
    <w:rsid w:val="00B91A75"/>
    <w:rsid w:val="00B91B57"/>
    <w:rsid w:val="00B91E4E"/>
    <w:rsid w:val="00B9205B"/>
    <w:rsid w:val="00B92397"/>
    <w:rsid w:val="00B9244E"/>
    <w:rsid w:val="00B92450"/>
    <w:rsid w:val="00B924CF"/>
    <w:rsid w:val="00B92687"/>
    <w:rsid w:val="00B92815"/>
    <w:rsid w:val="00B9299D"/>
    <w:rsid w:val="00B93792"/>
    <w:rsid w:val="00B93920"/>
    <w:rsid w:val="00B93ABB"/>
    <w:rsid w:val="00B93C21"/>
    <w:rsid w:val="00B94248"/>
    <w:rsid w:val="00B942A1"/>
    <w:rsid w:val="00B94B4F"/>
    <w:rsid w:val="00B94DDB"/>
    <w:rsid w:val="00B94DEC"/>
    <w:rsid w:val="00B94E8A"/>
    <w:rsid w:val="00B95005"/>
    <w:rsid w:val="00B9564A"/>
    <w:rsid w:val="00B957F5"/>
    <w:rsid w:val="00B95D2E"/>
    <w:rsid w:val="00B95D60"/>
    <w:rsid w:val="00B95D8C"/>
    <w:rsid w:val="00B95E72"/>
    <w:rsid w:val="00B9600B"/>
    <w:rsid w:val="00B962FB"/>
    <w:rsid w:val="00B966CC"/>
    <w:rsid w:val="00B96894"/>
    <w:rsid w:val="00B969EB"/>
    <w:rsid w:val="00B96AFF"/>
    <w:rsid w:val="00B97164"/>
    <w:rsid w:val="00B9723E"/>
    <w:rsid w:val="00B97246"/>
    <w:rsid w:val="00B976F6"/>
    <w:rsid w:val="00B9771E"/>
    <w:rsid w:val="00B97F15"/>
    <w:rsid w:val="00BA0146"/>
    <w:rsid w:val="00BA0D4B"/>
    <w:rsid w:val="00BA0ED5"/>
    <w:rsid w:val="00BA1049"/>
    <w:rsid w:val="00BA13FB"/>
    <w:rsid w:val="00BA1594"/>
    <w:rsid w:val="00BA16A6"/>
    <w:rsid w:val="00BA1715"/>
    <w:rsid w:val="00BA179F"/>
    <w:rsid w:val="00BA1C49"/>
    <w:rsid w:val="00BA201B"/>
    <w:rsid w:val="00BA21F1"/>
    <w:rsid w:val="00BA22DA"/>
    <w:rsid w:val="00BA252D"/>
    <w:rsid w:val="00BA29D6"/>
    <w:rsid w:val="00BA2E24"/>
    <w:rsid w:val="00BA2E47"/>
    <w:rsid w:val="00BA3165"/>
    <w:rsid w:val="00BA3322"/>
    <w:rsid w:val="00BA35C0"/>
    <w:rsid w:val="00BA39B8"/>
    <w:rsid w:val="00BA3A06"/>
    <w:rsid w:val="00BA46E4"/>
    <w:rsid w:val="00BA4809"/>
    <w:rsid w:val="00BA507D"/>
    <w:rsid w:val="00BA5BEB"/>
    <w:rsid w:val="00BA5DDC"/>
    <w:rsid w:val="00BA5F41"/>
    <w:rsid w:val="00BA5FF8"/>
    <w:rsid w:val="00BA698C"/>
    <w:rsid w:val="00BA6BC7"/>
    <w:rsid w:val="00BA72C8"/>
    <w:rsid w:val="00BA7385"/>
    <w:rsid w:val="00BA755E"/>
    <w:rsid w:val="00BA7EED"/>
    <w:rsid w:val="00BA7F4B"/>
    <w:rsid w:val="00BA7FE6"/>
    <w:rsid w:val="00BB0777"/>
    <w:rsid w:val="00BB161E"/>
    <w:rsid w:val="00BB187C"/>
    <w:rsid w:val="00BB191F"/>
    <w:rsid w:val="00BB1A7F"/>
    <w:rsid w:val="00BB1C68"/>
    <w:rsid w:val="00BB1F90"/>
    <w:rsid w:val="00BB201B"/>
    <w:rsid w:val="00BB213C"/>
    <w:rsid w:val="00BB2887"/>
    <w:rsid w:val="00BB296B"/>
    <w:rsid w:val="00BB2EC7"/>
    <w:rsid w:val="00BB339E"/>
    <w:rsid w:val="00BB3622"/>
    <w:rsid w:val="00BB39E4"/>
    <w:rsid w:val="00BB4249"/>
    <w:rsid w:val="00BB440D"/>
    <w:rsid w:val="00BB4643"/>
    <w:rsid w:val="00BB4A80"/>
    <w:rsid w:val="00BB4C21"/>
    <w:rsid w:val="00BB4FE4"/>
    <w:rsid w:val="00BB5663"/>
    <w:rsid w:val="00BB566E"/>
    <w:rsid w:val="00BB5A79"/>
    <w:rsid w:val="00BB5FF2"/>
    <w:rsid w:val="00BB6292"/>
    <w:rsid w:val="00BB66E3"/>
    <w:rsid w:val="00BB682C"/>
    <w:rsid w:val="00BB7384"/>
    <w:rsid w:val="00BB7520"/>
    <w:rsid w:val="00BB78D8"/>
    <w:rsid w:val="00BB7CA9"/>
    <w:rsid w:val="00BC00D2"/>
    <w:rsid w:val="00BC02D0"/>
    <w:rsid w:val="00BC09BF"/>
    <w:rsid w:val="00BC0DDD"/>
    <w:rsid w:val="00BC16F1"/>
    <w:rsid w:val="00BC1BB7"/>
    <w:rsid w:val="00BC1DD0"/>
    <w:rsid w:val="00BC1EB6"/>
    <w:rsid w:val="00BC236B"/>
    <w:rsid w:val="00BC25D9"/>
    <w:rsid w:val="00BC295D"/>
    <w:rsid w:val="00BC2BB4"/>
    <w:rsid w:val="00BC2DA8"/>
    <w:rsid w:val="00BC32E9"/>
    <w:rsid w:val="00BC350B"/>
    <w:rsid w:val="00BC3809"/>
    <w:rsid w:val="00BC3DF2"/>
    <w:rsid w:val="00BC47F8"/>
    <w:rsid w:val="00BC4A16"/>
    <w:rsid w:val="00BC4A49"/>
    <w:rsid w:val="00BC4A9C"/>
    <w:rsid w:val="00BC4D81"/>
    <w:rsid w:val="00BC4E77"/>
    <w:rsid w:val="00BC52DE"/>
    <w:rsid w:val="00BC533F"/>
    <w:rsid w:val="00BC53B8"/>
    <w:rsid w:val="00BC5912"/>
    <w:rsid w:val="00BC5C76"/>
    <w:rsid w:val="00BC5DE2"/>
    <w:rsid w:val="00BC5E58"/>
    <w:rsid w:val="00BC619C"/>
    <w:rsid w:val="00BC65D9"/>
    <w:rsid w:val="00BC6833"/>
    <w:rsid w:val="00BC6C18"/>
    <w:rsid w:val="00BC792E"/>
    <w:rsid w:val="00BC79EE"/>
    <w:rsid w:val="00BC7C52"/>
    <w:rsid w:val="00BC7DBD"/>
    <w:rsid w:val="00BC7F46"/>
    <w:rsid w:val="00BD0B45"/>
    <w:rsid w:val="00BD0CF6"/>
    <w:rsid w:val="00BD1208"/>
    <w:rsid w:val="00BD14BF"/>
    <w:rsid w:val="00BD14C5"/>
    <w:rsid w:val="00BD15C4"/>
    <w:rsid w:val="00BD1699"/>
    <w:rsid w:val="00BD196A"/>
    <w:rsid w:val="00BD1A59"/>
    <w:rsid w:val="00BD1D32"/>
    <w:rsid w:val="00BD2081"/>
    <w:rsid w:val="00BD2172"/>
    <w:rsid w:val="00BD2311"/>
    <w:rsid w:val="00BD2552"/>
    <w:rsid w:val="00BD2590"/>
    <w:rsid w:val="00BD259D"/>
    <w:rsid w:val="00BD2878"/>
    <w:rsid w:val="00BD2A02"/>
    <w:rsid w:val="00BD2A40"/>
    <w:rsid w:val="00BD2CC7"/>
    <w:rsid w:val="00BD3254"/>
    <w:rsid w:val="00BD346E"/>
    <w:rsid w:val="00BD3506"/>
    <w:rsid w:val="00BD3721"/>
    <w:rsid w:val="00BD3794"/>
    <w:rsid w:val="00BD3FC2"/>
    <w:rsid w:val="00BD42CC"/>
    <w:rsid w:val="00BD45CC"/>
    <w:rsid w:val="00BD4643"/>
    <w:rsid w:val="00BD4A08"/>
    <w:rsid w:val="00BD4A34"/>
    <w:rsid w:val="00BD5123"/>
    <w:rsid w:val="00BD5320"/>
    <w:rsid w:val="00BD544C"/>
    <w:rsid w:val="00BD5761"/>
    <w:rsid w:val="00BD5872"/>
    <w:rsid w:val="00BD5983"/>
    <w:rsid w:val="00BD5993"/>
    <w:rsid w:val="00BD5AEE"/>
    <w:rsid w:val="00BD5D2C"/>
    <w:rsid w:val="00BD5F96"/>
    <w:rsid w:val="00BD6262"/>
    <w:rsid w:val="00BD6276"/>
    <w:rsid w:val="00BD647C"/>
    <w:rsid w:val="00BD6615"/>
    <w:rsid w:val="00BD662E"/>
    <w:rsid w:val="00BD674D"/>
    <w:rsid w:val="00BD6BA7"/>
    <w:rsid w:val="00BD709D"/>
    <w:rsid w:val="00BE030F"/>
    <w:rsid w:val="00BE0619"/>
    <w:rsid w:val="00BE098E"/>
    <w:rsid w:val="00BE09E6"/>
    <w:rsid w:val="00BE178D"/>
    <w:rsid w:val="00BE1BD8"/>
    <w:rsid w:val="00BE1C60"/>
    <w:rsid w:val="00BE296A"/>
    <w:rsid w:val="00BE2E49"/>
    <w:rsid w:val="00BE2E8B"/>
    <w:rsid w:val="00BE2F6A"/>
    <w:rsid w:val="00BE30D5"/>
    <w:rsid w:val="00BE3350"/>
    <w:rsid w:val="00BE376A"/>
    <w:rsid w:val="00BE37D1"/>
    <w:rsid w:val="00BE38DD"/>
    <w:rsid w:val="00BE3D02"/>
    <w:rsid w:val="00BE448C"/>
    <w:rsid w:val="00BE448D"/>
    <w:rsid w:val="00BE4527"/>
    <w:rsid w:val="00BE468D"/>
    <w:rsid w:val="00BE47F3"/>
    <w:rsid w:val="00BE4882"/>
    <w:rsid w:val="00BE4928"/>
    <w:rsid w:val="00BE4C48"/>
    <w:rsid w:val="00BE548D"/>
    <w:rsid w:val="00BE56D1"/>
    <w:rsid w:val="00BE61C1"/>
    <w:rsid w:val="00BE64AF"/>
    <w:rsid w:val="00BE6717"/>
    <w:rsid w:val="00BE73F8"/>
    <w:rsid w:val="00BE7802"/>
    <w:rsid w:val="00BE7A98"/>
    <w:rsid w:val="00BF01AE"/>
    <w:rsid w:val="00BF0355"/>
    <w:rsid w:val="00BF037F"/>
    <w:rsid w:val="00BF0381"/>
    <w:rsid w:val="00BF05E9"/>
    <w:rsid w:val="00BF0DB4"/>
    <w:rsid w:val="00BF0E24"/>
    <w:rsid w:val="00BF1123"/>
    <w:rsid w:val="00BF12E3"/>
    <w:rsid w:val="00BF1640"/>
    <w:rsid w:val="00BF19D0"/>
    <w:rsid w:val="00BF22D1"/>
    <w:rsid w:val="00BF23FA"/>
    <w:rsid w:val="00BF269A"/>
    <w:rsid w:val="00BF26A5"/>
    <w:rsid w:val="00BF2703"/>
    <w:rsid w:val="00BF2DDC"/>
    <w:rsid w:val="00BF3395"/>
    <w:rsid w:val="00BF34EB"/>
    <w:rsid w:val="00BF35C9"/>
    <w:rsid w:val="00BF3761"/>
    <w:rsid w:val="00BF3880"/>
    <w:rsid w:val="00BF3A26"/>
    <w:rsid w:val="00BF3E25"/>
    <w:rsid w:val="00BF3F30"/>
    <w:rsid w:val="00BF3F9D"/>
    <w:rsid w:val="00BF4281"/>
    <w:rsid w:val="00BF445B"/>
    <w:rsid w:val="00BF499E"/>
    <w:rsid w:val="00BF49CD"/>
    <w:rsid w:val="00BF4B3F"/>
    <w:rsid w:val="00BF54F0"/>
    <w:rsid w:val="00BF55DA"/>
    <w:rsid w:val="00BF58C2"/>
    <w:rsid w:val="00BF5917"/>
    <w:rsid w:val="00BF5B5A"/>
    <w:rsid w:val="00BF5FD3"/>
    <w:rsid w:val="00BF6208"/>
    <w:rsid w:val="00BF67B2"/>
    <w:rsid w:val="00BF67B7"/>
    <w:rsid w:val="00BF6E7B"/>
    <w:rsid w:val="00BF6F18"/>
    <w:rsid w:val="00BF6FE8"/>
    <w:rsid w:val="00BF7BF6"/>
    <w:rsid w:val="00BF7FA2"/>
    <w:rsid w:val="00C0034D"/>
    <w:rsid w:val="00C00B94"/>
    <w:rsid w:val="00C01021"/>
    <w:rsid w:val="00C013B1"/>
    <w:rsid w:val="00C0141F"/>
    <w:rsid w:val="00C0148A"/>
    <w:rsid w:val="00C015BE"/>
    <w:rsid w:val="00C017D8"/>
    <w:rsid w:val="00C01B49"/>
    <w:rsid w:val="00C020F7"/>
    <w:rsid w:val="00C024EB"/>
    <w:rsid w:val="00C0286C"/>
    <w:rsid w:val="00C02D75"/>
    <w:rsid w:val="00C03287"/>
    <w:rsid w:val="00C033E8"/>
    <w:rsid w:val="00C038B9"/>
    <w:rsid w:val="00C03911"/>
    <w:rsid w:val="00C03DB7"/>
    <w:rsid w:val="00C042E4"/>
    <w:rsid w:val="00C04713"/>
    <w:rsid w:val="00C047CF"/>
    <w:rsid w:val="00C04882"/>
    <w:rsid w:val="00C048AF"/>
    <w:rsid w:val="00C04A8D"/>
    <w:rsid w:val="00C04E28"/>
    <w:rsid w:val="00C05AA1"/>
    <w:rsid w:val="00C05EC0"/>
    <w:rsid w:val="00C061AC"/>
    <w:rsid w:val="00C06AD5"/>
    <w:rsid w:val="00C06CB0"/>
    <w:rsid w:val="00C07606"/>
    <w:rsid w:val="00C076B6"/>
    <w:rsid w:val="00C077E0"/>
    <w:rsid w:val="00C07DE6"/>
    <w:rsid w:val="00C10473"/>
    <w:rsid w:val="00C10994"/>
    <w:rsid w:val="00C10C58"/>
    <w:rsid w:val="00C10D3D"/>
    <w:rsid w:val="00C10EE6"/>
    <w:rsid w:val="00C10F7F"/>
    <w:rsid w:val="00C10FB2"/>
    <w:rsid w:val="00C11227"/>
    <w:rsid w:val="00C117E4"/>
    <w:rsid w:val="00C11883"/>
    <w:rsid w:val="00C11913"/>
    <w:rsid w:val="00C11AF9"/>
    <w:rsid w:val="00C11C56"/>
    <w:rsid w:val="00C11D26"/>
    <w:rsid w:val="00C12139"/>
    <w:rsid w:val="00C12C7C"/>
    <w:rsid w:val="00C13065"/>
    <w:rsid w:val="00C139DF"/>
    <w:rsid w:val="00C13A9F"/>
    <w:rsid w:val="00C13EE7"/>
    <w:rsid w:val="00C13F5E"/>
    <w:rsid w:val="00C14756"/>
    <w:rsid w:val="00C1483B"/>
    <w:rsid w:val="00C14B24"/>
    <w:rsid w:val="00C154B5"/>
    <w:rsid w:val="00C1558E"/>
    <w:rsid w:val="00C15960"/>
    <w:rsid w:val="00C15A75"/>
    <w:rsid w:val="00C15BBB"/>
    <w:rsid w:val="00C15E0D"/>
    <w:rsid w:val="00C16269"/>
    <w:rsid w:val="00C16AE4"/>
    <w:rsid w:val="00C16E0B"/>
    <w:rsid w:val="00C17040"/>
    <w:rsid w:val="00C173E4"/>
    <w:rsid w:val="00C174A7"/>
    <w:rsid w:val="00C17872"/>
    <w:rsid w:val="00C17BA3"/>
    <w:rsid w:val="00C17BB7"/>
    <w:rsid w:val="00C2001D"/>
    <w:rsid w:val="00C205E9"/>
    <w:rsid w:val="00C207C8"/>
    <w:rsid w:val="00C20A7F"/>
    <w:rsid w:val="00C21002"/>
    <w:rsid w:val="00C212F4"/>
    <w:rsid w:val="00C212FC"/>
    <w:rsid w:val="00C21388"/>
    <w:rsid w:val="00C216E3"/>
    <w:rsid w:val="00C21846"/>
    <w:rsid w:val="00C21877"/>
    <w:rsid w:val="00C2196B"/>
    <w:rsid w:val="00C21A82"/>
    <w:rsid w:val="00C21DCF"/>
    <w:rsid w:val="00C21F29"/>
    <w:rsid w:val="00C225A3"/>
    <w:rsid w:val="00C22850"/>
    <w:rsid w:val="00C22DB8"/>
    <w:rsid w:val="00C22DCD"/>
    <w:rsid w:val="00C22EC1"/>
    <w:rsid w:val="00C22F48"/>
    <w:rsid w:val="00C22FAC"/>
    <w:rsid w:val="00C23070"/>
    <w:rsid w:val="00C2344E"/>
    <w:rsid w:val="00C236D8"/>
    <w:rsid w:val="00C23989"/>
    <w:rsid w:val="00C23A53"/>
    <w:rsid w:val="00C23D41"/>
    <w:rsid w:val="00C23F48"/>
    <w:rsid w:val="00C2414D"/>
    <w:rsid w:val="00C24802"/>
    <w:rsid w:val="00C24B72"/>
    <w:rsid w:val="00C250F0"/>
    <w:rsid w:val="00C251DE"/>
    <w:rsid w:val="00C25470"/>
    <w:rsid w:val="00C2550F"/>
    <w:rsid w:val="00C25638"/>
    <w:rsid w:val="00C25803"/>
    <w:rsid w:val="00C2584E"/>
    <w:rsid w:val="00C25E8D"/>
    <w:rsid w:val="00C25F69"/>
    <w:rsid w:val="00C2627A"/>
    <w:rsid w:val="00C262BD"/>
    <w:rsid w:val="00C26694"/>
    <w:rsid w:val="00C26CB8"/>
    <w:rsid w:val="00C26FF9"/>
    <w:rsid w:val="00C301F5"/>
    <w:rsid w:val="00C30429"/>
    <w:rsid w:val="00C30808"/>
    <w:rsid w:val="00C308F0"/>
    <w:rsid w:val="00C30A53"/>
    <w:rsid w:val="00C30E8C"/>
    <w:rsid w:val="00C310C2"/>
    <w:rsid w:val="00C314EF"/>
    <w:rsid w:val="00C316E3"/>
    <w:rsid w:val="00C317AD"/>
    <w:rsid w:val="00C3209D"/>
    <w:rsid w:val="00C32703"/>
    <w:rsid w:val="00C32727"/>
    <w:rsid w:val="00C327F7"/>
    <w:rsid w:val="00C33347"/>
    <w:rsid w:val="00C33A26"/>
    <w:rsid w:val="00C33F49"/>
    <w:rsid w:val="00C3453F"/>
    <w:rsid w:val="00C34726"/>
    <w:rsid w:val="00C34780"/>
    <w:rsid w:val="00C347F7"/>
    <w:rsid w:val="00C34CA1"/>
    <w:rsid w:val="00C34E13"/>
    <w:rsid w:val="00C34F04"/>
    <w:rsid w:val="00C34FD5"/>
    <w:rsid w:val="00C354D6"/>
    <w:rsid w:val="00C35E2B"/>
    <w:rsid w:val="00C35E74"/>
    <w:rsid w:val="00C3621E"/>
    <w:rsid w:val="00C36525"/>
    <w:rsid w:val="00C366E5"/>
    <w:rsid w:val="00C367ED"/>
    <w:rsid w:val="00C36979"/>
    <w:rsid w:val="00C369B5"/>
    <w:rsid w:val="00C36D72"/>
    <w:rsid w:val="00C36F50"/>
    <w:rsid w:val="00C373AB"/>
    <w:rsid w:val="00C373CB"/>
    <w:rsid w:val="00C37AF3"/>
    <w:rsid w:val="00C37CBD"/>
    <w:rsid w:val="00C400D9"/>
    <w:rsid w:val="00C40725"/>
    <w:rsid w:val="00C40758"/>
    <w:rsid w:val="00C40CCC"/>
    <w:rsid w:val="00C40E7B"/>
    <w:rsid w:val="00C40EB3"/>
    <w:rsid w:val="00C41367"/>
    <w:rsid w:val="00C413D5"/>
    <w:rsid w:val="00C415D0"/>
    <w:rsid w:val="00C4163F"/>
    <w:rsid w:val="00C41BD9"/>
    <w:rsid w:val="00C41C8A"/>
    <w:rsid w:val="00C42002"/>
    <w:rsid w:val="00C422A5"/>
    <w:rsid w:val="00C42408"/>
    <w:rsid w:val="00C429B0"/>
    <w:rsid w:val="00C42A74"/>
    <w:rsid w:val="00C42DBB"/>
    <w:rsid w:val="00C434FD"/>
    <w:rsid w:val="00C43856"/>
    <w:rsid w:val="00C43ADE"/>
    <w:rsid w:val="00C43AE1"/>
    <w:rsid w:val="00C445E2"/>
    <w:rsid w:val="00C446AE"/>
    <w:rsid w:val="00C4495C"/>
    <w:rsid w:val="00C45501"/>
    <w:rsid w:val="00C45753"/>
    <w:rsid w:val="00C4578A"/>
    <w:rsid w:val="00C457DF"/>
    <w:rsid w:val="00C4580F"/>
    <w:rsid w:val="00C458DF"/>
    <w:rsid w:val="00C45A1F"/>
    <w:rsid w:val="00C45AB5"/>
    <w:rsid w:val="00C45F2C"/>
    <w:rsid w:val="00C46679"/>
    <w:rsid w:val="00C46882"/>
    <w:rsid w:val="00C469FA"/>
    <w:rsid w:val="00C46DEB"/>
    <w:rsid w:val="00C47104"/>
    <w:rsid w:val="00C471D1"/>
    <w:rsid w:val="00C47420"/>
    <w:rsid w:val="00C477CE"/>
    <w:rsid w:val="00C479EE"/>
    <w:rsid w:val="00C47A0F"/>
    <w:rsid w:val="00C47AC7"/>
    <w:rsid w:val="00C47BDA"/>
    <w:rsid w:val="00C47E2D"/>
    <w:rsid w:val="00C50493"/>
    <w:rsid w:val="00C50A4D"/>
    <w:rsid w:val="00C50DB8"/>
    <w:rsid w:val="00C5110C"/>
    <w:rsid w:val="00C5192E"/>
    <w:rsid w:val="00C51A65"/>
    <w:rsid w:val="00C51C90"/>
    <w:rsid w:val="00C51D51"/>
    <w:rsid w:val="00C51D67"/>
    <w:rsid w:val="00C52050"/>
    <w:rsid w:val="00C5228F"/>
    <w:rsid w:val="00C52502"/>
    <w:rsid w:val="00C528E5"/>
    <w:rsid w:val="00C52DE6"/>
    <w:rsid w:val="00C532D3"/>
    <w:rsid w:val="00C535B7"/>
    <w:rsid w:val="00C53B97"/>
    <w:rsid w:val="00C54480"/>
    <w:rsid w:val="00C54A18"/>
    <w:rsid w:val="00C54E6D"/>
    <w:rsid w:val="00C554C3"/>
    <w:rsid w:val="00C556EB"/>
    <w:rsid w:val="00C55951"/>
    <w:rsid w:val="00C55976"/>
    <w:rsid w:val="00C55CF8"/>
    <w:rsid w:val="00C56271"/>
    <w:rsid w:val="00C57052"/>
    <w:rsid w:val="00C578DF"/>
    <w:rsid w:val="00C57C07"/>
    <w:rsid w:val="00C57EC9"/>
    <w:rsid w:val="00C57ED9"/>
    <w:rsid w:val="00C6016B"/>
    <w:rsid w:val="00C6018E"/>
    <w:rsid w:val="00C60231"/>
    <w:rsid w:val="00C60713"/>
    <w:rsid w:val="00C60718"/>
    <w:rsid w:val="00C60CD4"/>
    <w:rsid w:val="00C60E37"/>
    <w:rsid w:val="00C610EA"/>
    <w:rsid w:val="00C615A9"/>
    <w:rsid w:val="00C61894"/>
    <w:rsid w:val="00C619B1"/>
    <w:rsid w:val="00C61DB6"/>
    <w:rsid w:val="00C61F2D"/>
    <w:rsid w:val="00C6217B"/>
    <w:rsid w:val="00C6239C"/>
    <w:rsid w:val="00C625E1"/>
    <w:rsid w:val="00C6296D"/>
    <w:rsid w:val="00C62B7E"/>
    <w:rsid w:val="00C62C50"/>
    <w:rsid w:val="00C633BC"/>
    <w:rsid w:val="00C634A7"/>
    <w:rsid w:val="00C6358A"/>
    <w:rsid w:val="00C638D7"/>
    <w:rsid w:val="00C63B06"/>
    <w:rsid w:val="00C64720"/>
    <w:rsid w:val="00C647DD"/>
    <w:rsid w:val="00C64F88"/>
    <w:rsid w:val="00C6517F"/>
    <w:rsid w:val="00C6530A"/>
    <w:rsid w:val="00C654C9"/>
    <w:rsid w:val="00C658C2"/>
    <w:rsid w:val="00C6594B"/>
    <w:rsid w:val="00C65E66"/>
    <w:rsid w:val="00C66072"/>
    <w:rsid w:val="00C66117"/>
    <w:rsid w:val="00C662C0"/>
    <w:rsid w:val="00C66533"/>
    <w:rsid w:val="00C6696B"/>
    <w:rsid w:val="00C66EC3"/>
    <w:rsid w:val="00C67617"/>
    <w:rsid w:val="00C67710"/>
    <w:rsid w:val="00C6772E"/>
    <w:rsid w:val="00C67935"/>
    <w:rsid w:val="00C67BA6"/>
    <w:rsid w:val="00C7017F"/>
    <w:rsid w:val="00C701B8"/>
    <w:rsid w:val="00C704D0"/>
    <w:rsid w:val="00C705B0"/>
    <w:rsid w:val="00C70724"/>
    <w:rsid w:val="00C70771"/>
    <w:rsid w:val="00C70864"/>
    <w:rsid w:val="00C70DA3"/>
    <w:rsid w:val="00C70F18"/>
    <w:rsid w:val="00C70F67"/>
    <w:rsid w:val="00C71308"/>
    <w:rsid w:val="00C71920"/>
    <w:rsid w:val="00C7198E"/>
    <w:rsid w:val="00C71BDB"/>
    <w:rsid w:val="00C71BEC"/>
    <w:rsid w:val="00C71C87"/>
    <w:rsid w:val="00C71CC2"/>
    <w:rsid w:val="00C71E30"/>
    <w:rsid w:val="00C724DB"/>
    <w:rsid w:val="00C72A63"/>
    <w:rsid w:val="00C72AD9"/>
    <w:rsid w:val="00C7316B"/>
    <w:rsid w:val="00C731CA"/>
    <w:rsid w:val="00C733FE"/>
    <w:rsid w:val="00C7363F"/>
    <w:rsid w:val="00C736DC"/>
    <w:rsid w:val="00C738E2"/>
    <w:rsid w:val="00C73D18"/>
    <w:rsid w:val="00C74180"/>
    <w:rsid w:val="00C74298"/>
    <w:rsid w:val="00C74520"/>
    <w:rsid w:val="00C74BE1"/>
    <w:rsid w:val="00C74E10"/>
    <w:rsid w:val="00C75211"/>
    <w:rsid w:val="00C753E3"/>
    <w:rsid w:val="00C755EA"/>
    <w:rsid w:val="00C758E7"/>
    <w:rsid w:val="00C75955"/>
    <w:rsid w:val="00C76261"/>
    <w:rsid w:val="00C76633"/>
    <w:rsid w:val="00C76ED0"/>
    <w:rsid w:val="00C76EEB"/>
    <w:rsid w:val="00C77159"/>
    <w:rsid w:val="00C77545"/>
    <w:rsid w:val="00C776AC"/>
    <w:rsid w:val="00C77C27"/>
    <w:rsid w:val="00C77E4B"/>
    <w:rsid w:val="00C801D6"/>
    <w:rsid w:val="00C8082C"/>
    <w:rsid w:val="00C80AE4"/>
    <w:rsid w:val="00C80C79"/>
    <w:rsid w:val="00C80C84"/>
    <w:rsid w:val="00C80F5D"/>
    <w:rsid w:val="00C8178B"/>
    <w:rsid w:val="00C82056"/>
    <w:rsid w:val="00C82142"/>
    <w:rsid w:val="00C8242B"/>
    <w:rsid w:val="00C8262F"/>
    <w:rsid w:val="00C830FE"/>
    <w:rsid w:val="00C83557"/>
    <w:rsid w:val="00C83821"/>
    <w:rsid w:val="00C841CA"/>
    <w:rsid w:val="00C8423D"/>
    <w:rsid w:val="00C845CF"/>
    <w:rsid w:val="00C845FD"/>
    <w:rsid w:val="00C849A6"/>
    <w:rsid w:val="00C851AF"/>
    <w:rsid w:val="00C85485"/>
    <w:rsid w:val="00C855F3"/>
    <w:rsid w:val="00C8564B"/>
    <w:rsid w:val="00C85860"/>
    <w:rsid w:val="00C8591E"/>
    <w:rsid w:val="00C85924"/>
    <w:rsid w:val="00C85CD1"/>
    <w:rsid w:val="00C85D63"/>
    <w:rsid w:val="00C8617E"/>
    <w:rsid w:val="00C8630F"/>
    <w:rsid w:val="00C868FA"/>
    <w:rsid w:val="00C86A72"/>
    <w:rsid w:val="00C86E7B"/>
    <w:rsid w:val="00C871C4"/>
    <w:rsid w:val="00C873BE"/>
    <w:rsid w:val="00C8768E"/>
    <w:rsid w:val="00C87966"/>
    <w:rsid w:val="00C87C17"/>
    <w:rsid w:val="00C90293"/>
    <w:rsid w:val="00C904A0"/>
    <w:rsid w:val="00C906E3"/>
    <w:rsid w:val="00C908DC"/>
    <w:rsid w:val="00C90D91"/>
    <w:rsid w:val="00C90EAA"/>
    <w:rsid w:val="00C91578"/>
    <w:rsid w:val="00C915E4"/>
    <w:rsid w:val="00C91B80"/>
    <w:rsid w:val="00C91FD2"/>
    <w:rsid w:val="00C92433"/>
    <w:rsid w:val="00C92482"/>
    <w:rsid w:val="00C92C47"/>
    <w:rsid w:val="00C92D9E"/>
    <w:rsid w:val="00C937C7"/>
    <w:rsid w:val="00C93805"/>
    <w:rsid w:val="00C93A66"/>
    <w:rsid w:val="00C93EF9"/>
    <w:rsid w:val="00C94771"/>
    <w:rsid w:val="00C94772"/>
    <w:rsid w:val="00C94AB9"/>
    <w:rsid w:val="00C94DD0"/>
    <w:rsid w:val="00C95CF4"/>
    <w:rsid w:val="00C95F48"/>
    <w:rsid w:val="00C96854"/>
    <w:rsid w:val="00C96C30"/>
    <w:rsid w:val="00C96F9E"/>
    <w:rsid w:val="00C97223"/>
    <w:rsid w:val="00C97925"/>
    <w:rsid w:val="00C97AFC"/>
    <w:rsid w:val="00CA00E3"/>
    <w:rsid w:val="00CA0886"/>
    <w:rsid w:val="00CA0C6A"/>
    <w:rsid w:val="00CA0EA4"/>
    <w:rsid w:val="00CA1130"/>
    <w:rsid w:val="00CA1156"/>
    <w:rsid w:val="00CA1214"/>
    <w:rsid w:val="00CA122D"/>
    <w:rsid w:val="00CA1297"/>
    <w:rsid w:val="00CA1544"/>
    <w:rsid w:val="00CA18B4"/>
    <w:rsid w:val="00CA1D3E"/>
    <w:rsid w:val="00CA211E"/>
    <w:rsid w:val="00CA2C30"/>
    <w:rsid w:val="00CA2D98"/>
    <w:rsid w:val="00CA31AD"/>
    <w:rsid w:val="00CA3683"/>
    <w:rsid w:val="00CA38BD"/>
    <w:rsid w:val="00CA3907"/>
    <w:rsid w:val="00CA3CED"/>
    <w:rsid w:val="00CA3DA2"/>
    <w:rsid w:val="00CA3FB4"/>
    <w:rsid w:val="00CA415F"/>
    <w:rsid w:val="00CA43F7"/>
    <w:rsid w:val="00CA4683"/>
    <w:rsid w:val="00CA4B8C"/>
    <w:rsid w:val="00CA58B1"/>
    <w:rsid w:val="00CA5DAB"/>
    <w:rsid w:val="00CA5DAF"/>
    <w:rsid w:val="00CA5EA7"/>
    <w:rsid w:val="00CA6037"/>
    <w:rsid w:val="00CA676D"/>
    <w:rsid w:val="00CA6D85"/>
    <w:rsid w:val="00CA6E41"/>
    <w:rsid w:val="00CA721F"/>
    <w:rsid w:val="00CA7396"/>
    <w:rsid w:val="00CA7477"/>
    <w:rsid w:val="00CA74C3"/>
    <w:rsid w:val="00CA7A51"/>
    <w:rsid w:val="00CA7F02"/>
    <w:rsid w:val="00CB026C"/>
    <w:rsid w:val="00CB1700"/>
    <w:rsid w:val="00CB1AB1"/>
    <w:rsid w:val="00CB1C33"/>
    <w:rsid w:val="00CB2148"/>
    <w:rsid w:val="00CB22EB"/>
    <w:rsid w:val="00CB22FE"/>
    <w:rsid w:val="00CB243A"/>
    <w:rsid w:val="00CB2479"/>
    <w:rsid w:val="00CB286D"/>
    <w:rsid w:val="00CB2A08"/>
    <w:rsid w:val="00CB2BF0"/>
    <w:rsid w:val="00CB2C14"/>
    <w:rsid w:val="00CB2F61"/>
    <w:rsid w:val="00CB32FD"/>
    <w:rsid w:val="00CB42CE"/>
    <w:rsid w:val="00CB4995"/>
    <w:rsid w:val="00CB4C36"/>
    <w:rsid w:val="00CB4F78"/>
    <w:rsid w:val="00CB4F87"/>
    <w:rsid w:val="00CB51FB"/>
    <w:rsid w:val="00CB5310"/>
    <w:rsid w:val="00CB5952"/>
    <w:rsid w:val="00CB5A49"/>
    <w:rsid w:val="00CB5C15"/>
    <w:rsid w:val="00CB5D8B"/>
    <w:rsid w:val="00CB60FD"/>
    <w:rsid w:val="00CB6171"/>
    <w:rsid w:val="00CB668C"/>
    <w:rsid w:val="00CB66DC"/>
    <w:rsid w:val="00CB678B"/>
    <w:rsid w:val="00CB67AD"/>
    <w:rsid w:val="00CB68C3"/>
    <w:rsid w:val="00CB6CD7"/>
    <w:rsid w:val="00CB6D0F"/>
    <w:rsid w:val="00CB6E3F"/>
    <w:rsid w:val="00CB719E"/>
    <w:rsid w:val="00CB732F"/>
    <w:rsid w:val="00CB756D"/>
    <w:rsid w:val="00CB7B70"/>
    <w:rsid w:val="00CB7C72"/>
    <w:rsid w:val="00CC001B"/>
    <w:rsid w:val="00CC0197"/>
    <w:rsid w:val="00CC02E4"/>
    <w:rsid w:val="00CC045B"/>
    <w:rsid w:val="00CC0CE4"/>
    <w:rsid w:val="00CC0FA9"/>
    <w:rsid w:val="00CC106F"/>
    <w:rsid w:val="00CC115E"/>
    <w:rsid w:val="00CC1228"/>
    <w:rsid w:val="00CC1255"/>
    <w:rsid w:val="00CC1270"/>
    <w:rsid w:val="00CC12F0"/>
    <w:rsid w:val="00CC175B"/>
    <w:rsid w:val="00CC1A21"/>
    <w:rsid w:val="00CC1FE3"/>
    <w:rsid w:val="00CC22C7"/>
    <w:rsid w:val="00CC231A"/>
    <w:rsid w:val="00CC2861"/>
    <w:rsid w:val="00CC294D"/>
    <w:rsid w:val="00CC2A3B"/>
    <w:rsid w:val="00CC2C8F"/>
    <w:rsid w:val="00CC2E44"/>
    <w:rsid w:val="00CC3312"/>
    <w:rsid w:val="00CC340D"/>
    <w:rsid w:val="00CC3A71"/>
    <w:rsid w:val="00CC3AB4"/>
    <w:rsid w:val="00CC3B1B"/>
    <w:rsid w:val="00CC3E15"/>
    <w:rsid w:val="00CC42C5"/>
    <w:rsid w:val="00CC436C"/>
    <w:rsid w:val="00CC48D8"/>
    <w:rsid w:val="00CC4B4A"/>
    <w:rsid w:val="00CC4FF9"/>
    <w:rsid w:val="00CC512F"/>
    <w:rsid w:val="00CC525E"/>
    <w:rsid w:val="00CC5382"/>
    <w:rsid w:val="00CC595A"/>
    <w:rsid w:val="00CC5984"/>
    <w:rsid w:val="00CC5A1D"/>
    <w:rsid w:val="00CC5E4F"/>
    <w:rsid w:val="00CC6146"/>
    <w:rsid w:val="00CC66DE"/>
    <w:rsid w:val="00CC67C6"/>
    <w:rsid w:val="00CC700C"/>
    <w:rsid w:val="00CC7267"/>
    <w:rsid w:val="00CC73BB"/>
    <w:rsid w:val="00CC75A2"/>
    <w:rsid w:val="00CC7695"/>
    <w:rsid w:val="00CC7ABF"/>
    <w:rsid w:val="00CC7C0C"/>
    <w:rsid w:val="00CC7D58"/>
    <w:rsid w:val="00CD0034"/>
    <w:rsid w:val="00CD08A2"/>
    <w:rsid w:val="00CD0A63"/>
    <w:rsid w:val="00CD119B"/>
    <w:rsid w:val="00CD1868"/>
    <w:rsid w:val="00CD204F"/>
    <w:rsid w:val="00CD2077"/>
    <w:rsid w:val="00CD297F"/>
    <w:rsid w:val="00CD2DAA"/>
    <w:rsid w:val="00CD31CE"/>
    <w:rsid w:val="00CD3354"/>
    <w:rsid w:val="00CD344C"/>
    <w:rsid w:val="00CD3575"/>
    <w:rsid w:val="00CD3AFA"/>
    <w:rsid w:val="00CD3E9B"/>
    <w:rsid w:val="00CD3ED7"/>
    <w:rsid w:val="00CD44E9"/>
    <w:rsid w:val="00CD4D65"/>
    <w:rsid w:val="00CD4F0B"/>
    <w:rsid w:val="00CD59E9"/>
    <w:rsid w:val="00CD5C13"/>
    <w:rsid w:val="00CD5FF9"/>
    <w:rsid w:val="00CD6276"/>
    <w:rsid w:val="00CD629A"/>
    <w:rsid w:val="00CD69A7"/>
    <w:rsid w:val="00CD6A63"/>
    <w:rsid w:val="00CD6DE7"/>
    <w:rsid w:val="00CD6F34"/>
    <w:rsid w:val="00CD70D3"/>
    <w:rsid w:val="00CD74BC"/>
    <w:rsid w:val="00CD7540"/>
    <w:rsid w:val="00CD7565"/>
    <w:rsid w:val="00CD75E3"/>
    <w:rsid w:val="00CD7D7D"/>
    <w:rsid w:val="00CD7F44"/>
    <w:rsid w:val="00CE0411"/>
    <w:rsid w:val="00CE0457"/>
    <w:rsid w:val="00CE0571"/>
    <w:rsid w:val="00CE0B29"/>
    <w:rsid w:val="00CE0D25"/>
    <w:rsid w:val="00CE105F"/>
    <w:rsid w:val="00CE1694"/>
    <w:rsid w:val="00CE16DF"/>
    <w:rsid w:val="00CE1E57"/>
    <w:rsid w:val="00CE1FF6"/>
    <w:rsid w:val="00CE22B6"/>
    <w:rsid w:val="00CE2627"/>
    <w:rsid w:val="00CE272F"/>
    <w:rsid w:val="00CE2990"/>
    <w:rsid w:val="00CE2A7C"/>
    <w:rsid w:val="00CE2E7E"/>
    <w:rsid w:val="00CE2EB2"/>
    <w:rsid w:val="00CE3474"/>
    <w:rsid w:val="00CE34E9"/>
    <w:rsid w:val="00CE3500"/>
    <w:rsid w:val="00CE35BE"/>
    <w:rsid w:val="00CE3AF2"/>
    <w:rsid w:val="00CE3B17"/>
    <w:rsid w:val="00CE3B37"/>
    <w:rsid w:val="00CE3D4B"/>
    <w:rsid w:val="00CE4932"/>
    <w:rsid w:val="00CE4BCF"/>
    <w:rsid w:val="00CE4C7B"/>
    <w:rsid w:val="00CE4DC7"/>
    <w:rsid w:val="00CE525D"/>
    <w:rsid w:val="00CE5339"/>
    <w:rsid w:val="00CE5523"/>
    <w:rsid w:val="00CE5681"/>
    <w:rsid w:val="00CE5777"/>
    <w:rsid w:val="00CE5BB2"/>
    <w:rsid w:val="00CE5C99"/>
    <w:rsid w:val="00CE6188"/>
    <w:rsid w:val="00CE61AB"/>
    <w:rsid w:val="00CE6274"/>
    <w:rsid w:val="00CE6A17"/>
    <w:rsid w:val="00CE6D5C"/>
    <w:rsid w:val="00CE7128"/>
    <w:rsid w:val="00CE7263"/>
    <w:rsid w:val="00CE7897"/>
    <w:rsid w:val="00CE7C27"/>
    <w:rsid w:val="00CF010F"/>
    <w:rsid w:val="00CF0540"/>
    <w:rsid w:val="00CF06DB"/>
    <w:rsid w:val="00CF0771"/>
    <w:rsid w:val="00CF07CA"/>
    <w:rsid w:val="00CF0A18"/>
    <w:rsid w:val="00CF0CAF"/>
    <w:rsid w:val="00CF0CE8"/>
    <w:rsid w:val="00CF1352"/>
    <w:rsid w:val="00CF13AD"/>
    <w:rsid w:val="00CF1701"/>
    <w:rsid w:val="00CF18BC"/>
    <w:rsid w:val="00CF1B55"/>
    <w:rsid w:val="00CF1EBC"/>
    <w:rsid w:val="00CF2022"/>
    <w:rsid w:val="00CF2041"/>
    <w:rsid w:val="00CF23EE"/>
    <w:rsid w:val="00CF2535"/>
    <w:rsid w:val="00CF2C92"/>
    <w:rsid w:val="00CF2CDC"/>
    <w:rsid w:val="00CF2DD3"/>
    <w:rsid w:val="00CF2FA1"/>
    <w:rsid w:val="00CF3EC7"/>
    <w:rsid w:val="00CF45DD"/>
    <w:rsid w:val="00CF47AE"/>
    <w:rsid w:val="00CF4861"/>
    <w:rsid w:val="00CF48BF"/>
    <w:rsid w:val="00CF52B1"/>
    <w:rsid w:val="00CF5812"/>
    <w:rsid w:val="00CF5DB7"/>
    <w:rsid w:val="00CF5E22"/>
    <w:rsid w:val="00CF5EB4"/>
    <w:rsid w:val="00CF5EC5"/>
    <w:rsid w:val="00CF65A7"/>
    <w:rsid w:val="00CF6617"/>
    <w:rsid w:val="00CF6634"/>
    <w:rsid w:val="00CF66E4"/>
    <w:rsid w:val="00CF68C7"/>
    <w:rsid w:val="00CF6A1E"/>
    <w:rsid w:val="00CF6CE9"/>
    <w:rsid w:val="00CF73DE"/>
    <w:rsid w:val="00CF7AA3"/>
    <w:rsid w:val="00CF7ACC"/>
    <w:rsid w:val="00D000E6"/>
    <w:rsid w:val="00D00132"/>
    <w:rsid w:val="00D008A5"/>
    <w:rsid w:val="00D00B72"/>
    <w:rsid w:val="00D00C29"/>
    <w:rsid w:val="00D01B07"/>
    <w:rsid w:val="00D01B46"/>
    <w:rsid w:val="00D01B99"/>
    <w:rsid w:val="00D01BF3"/>
    <w:rsid w:val="00D01C84"/>
    <w:rsid w:val="00D01F96"/>
    <w:rsid w:val="00D021BD"/>
    <w:rsid w:val="00D021EA"/>
    <w:rsid w:val="00D02C65"/>
    <w:rsid w:val="00D03509"/>
    <w:rsid w:val="00D03884"/>
    <w:rsid w:val="00D038E0"/>
    <w:rsid w:val="00D03B54"/>
    <w:rsid w:val="00D03D36"/>
    <w:rsid w:val="00D0402F"/>
    <w:rsid w:val="00D048FF"/>
    <w:rsid w:val="00D05890"/>
    <w:rsid w:val="00D05C02"/>
    <w:rsid w:val="00D05F03"/>
    <w:rsid w:val="00D0668A"/>
    <w:rsid w:val="00D0676C"/>
    <w:rsid w:val="00D06CDF"/>
    <w:rsid w:val="00D071C0"/>
    <w:rsid w:val="00D07321"/>
    <w:rsid w:val="00D07354"/>
    <w:rsid w:val="00D07603"/>
    <w:rsid w:val="00D07B28"/>
    <w:rsid w:val="00D07E56"/>
    <w:rsid w:val="00D107BF"/>
    <w:rsid w:val="00D109B5"/>
    <w:rsid w:val="00D10C08"/>
    <w:rsid w:val="00D10D01"/>
    <w:rsid w:val="00D11357"/>
    <w:rsid w:val="00D1185A"/>
    <w:rsid w:val="00D11A9E"/>
    <w:rsid w:val="00D11BAE"/>
    <w:rsid w:val="00D11EA6"/>
    <w:rsid w:val="00D12323"/>
    <w:rsid w:val="00D126F7"/>
    <w:rsid w:val="00D129F5"/>
    <w:rsid w:val="00D12ED9"/>
    <w:rsid w:val="00D12FD0"/>
    <w:rsid w:val="00D132FA"/>
    <w:rsid w:val="00D133ED"/>
    <w:rsid w:val="00D134F8"/>
    <w:rsid w:val="00D13DB9"/>
    <w:rsid w:val="00D13DDF"/>
    <w:rsid w:val="00D13F56"/>
    <w:rsid w:val="00D14174"/>
    <w:rsid w:val="00D141DD"/>
    <w:rsid w:val="00D142AC"/>
    <w:rsid w:val="00D143E7"/>
    <w:rsid w:val="00D148A7"/>
    <w:rsid w:val="00D148BE"/>
    <w:rsid w:val="00D1494A"/>
    <w:rsid w:val="00D14BA1"/>
    <w:rsid w:val="00D14E26"/>
    <w:rsid w:val="00D150B5"/>
    <w:rsid w:val="00D150ED"/>
    <w:rsid w:val="00D1531C"/>
    <w:rsid w:val="00D153B8"/>
    <w:rsid w:val="00D15506"/>
    <w:rsid w:val="00D157BE"/>
    <w:rsid w:val="00D158AC"/>
    <w:rsid w:val="00D15AE6"/>
    <w:rsid w:val="00D15C98"/>
    <w:rsid w:val="00D161BE"/>
    <w:rsid w:val="00D168D0"/>
    <w:rsid w:val="00D169EE"/>
    <w:rsid w:val="00D16F05"/>
    <w:rsid w:val="00D16FA4"/>
    <w:rsid w:val="00D17187"/>
    <w:rsid w:val="00D17623"/>
    <w:rsid w:val="00D17BE7"/>
    <w:rsid w:val="00D2054E"/>
    <w:rsid w:val="00D20732"/>
    <w:rsid w:val="00D20A0B"/>
    <w:rsid w:val="00D20A86"/>
    <w:rsid w:val="00D20FB3"/>
    <w:rsid w:val="00D21296"/>
    <w:rsid w:val="00D21887"/>
    <w:rsid w:val="00D21FDA"/>
    <w:rsid w:val="00D221BF"/>
    <w:rsid w:val="00D22820"/>
    <w:rsid w:val="00D229F2"/>
    <w:rsid w:val="00D22C01"/>
    <w:rsid w:val="00D23625"/>
    <w:rsid w:val="00D23A5F"/>
    <w:rsid w:val="00D23C6D"/>
    <w:rsid w:val="00D23D64"/>
    <w:rsid w:val="00D241C2"/>
    <w:rsid w:val="00D242CB"/>
    <w:rsid w:val="00D248F1"/>
    <w:rsid w:val="00D24A2D"/>
    <w:rsid w:val="00D24A83"/>
    <w:rsid w:val="00D24A8A"/>
    <w:rsid w:val="00D24F96"/>
    <w:rsid w:val="00D250F2"/>
    <w:rsid w:val="00D266DE"/>
    <w:rsid w:val="00D2693B"/>
    <w:rsid w:val="00D271CE"/>
    <w:rsid w:val="00D276E0"/>
    <w:rsid w:val="00D27DE1"/>
    <w:rsid w:val="00D27E89"/>
    <w:rsid w:val="00D3083F"/>
    <w:rsid w:val="00D30889"/>
    <w:rsid w:val="00D30A39"/>
    <w:rsid w:val="00D30E09"/>
    <w:rsid w:val="00D30E2C"/>
    <w:rsid w:val="00D30E5E"/>
    <w:rsid w:val="00D3149C"/>
    <w:rsid w:val="00D31689"/>
    <w:rsid w:val="00D316C3"/>
    <w:rsid w:val="00D32954"/>
    <w:rsid w:val="00D32AC7"/>
    <w:rsid w:val="00D32B5B"/>
    <w:rsid w:val="00D32C65"/>
    <w:rsid w:val="00D32C80"/>
    <w:rsid w:val="00D3334F"/>
    <w:rsid w:val="00D333B0"/>
    <w:rsid w:val="00D33B2D"/>
    <w:rsid w:val="00D3414A"/>
    <w:rsid w:val="00D3457D"/>
    <w:rsid w:val="00D34DF8"/>
    <w:rsid w:val="00D34EF7"/>
    <w:rsid w:val="00D355E8"/>
    <w:rsid w:val="00D3565C"/>
    <w:rsid w:val="00D35AE7"/>
    <w:rsid w:val="00D35AF9"/>
    <w:rsid w:val="00D35B79"/>
    <w:rsid w:val="00D35E18"/>
    <w:rsid w:val="00D35E59"/>
    <w:rsid w:val="00D363CC"/>
    <w:rsid w:val="00D36659"/>
    <w:rsid w:val="00D36DF4"/>
    <w:rsid w:val="00D37A11"/>
    <w:rsid w:val="00D37B06"/>
    <w:rsid w:val="00D37C4B"/>
    <w:rsid w:val="00D40DC6"/>
    <w:rsid w:val="00D41069"/>
    <w:rsid w:val="00D41082"/>
    <w:rsid w:val="00D4172C"/>
    <w:rsid w:val="00D4193B"/>
    <w:rsid w:val="00D41DAB"/>
    <w:rsid w:val="00D42909"/>
    <w:rsid w:val="00D43008"/>
    <w:rsid w:val="00D43354"/>
    <w:rsid w:val="00D43AF1"/>
    <w:rsid w:val="00D43B6B"/>
    <w:rsid w:val="00D43B7E"/>
    <w:rsid w:val="00D43DD6"/>
    <w:rsid w:val="00D43DFE"/>
    <w:rsid w:val="00D441DA"/>
    <w:rsid w:val="00D4441E"/>
    <w:rsid w:val="00D44560"/>
    <w:rsid w:val="00D448EA"/>
    <w:rsid w:val="00D44CD4"/>
    <w:rsid w:val="00D44EEB"/>
    <w:rsid w:val="00D44EEE"/>
    <w:rsid w:val="00D4514C"/>
    <w:rsid w:val="00D4556F"/>
    <w:rsid w:val="00D45845"/>
    <w:rsid w:val="00D45888"/>
    <w:rsid w:val="00D45B21"/>
    <w:rsid w:val="00D45BCA"/>
    <w:rsid w:val="00D45ED5"/>
    <w:rsid w:val="00D46389"/>
    <w:rsid w:val="00D4752C"/>
    <w:rsid w:val="00D4755B"/>
    <w:rsid w:val="00D47675"/>
    <w:rsid w:val="00D477B1"/>
    <w:rsid w:val="00D47A56"/>
    <w:rsid w:val="00D47E07"/>
    <w:rsid w:val="00D50455"/>
    <w:rsid w:val="00D507A6"/>
    <w:rsid w:val="00D5085A"/>
    <w:rsid w:val="00D509C5"/>
    <w:rsid w:val="00D50BF5"/>
    <w:rsid w:val="00D51331"/>
    <w:rsid w:val="00D518BA"/>
    <w:rsid w:val="00D51A4A"/>
    <w:rsid w:val="00D51C2C"/>
    <w:rsid w:val="00D51F6F"/>
    <w:rsid w:val="00D52300"/>
    <w:rsid w:val="00D525B8"/>
    <w:rsid w:val="00D528E7"/>
    <w:rsid w:val="00D52D1E"/>
    <w:rsid w:val="00D52D65"/>
    <w:rsid w:val="00D530D8"/>
    <w:rsid w:val="00D53C4F"/>
    <w:rsid w:val="00D53E05"/>
    <w:rsid w:val="00D53EFD"/>
    <w:rsid w:val="00D540BA"/>
    <w:rsid w:val="00D54273"/>
    <w:rsid w:val="00D547E3"/>
    <w:rsid w:val="00D549DA"/>
    <w:rsid w:val="00D54AA3"/>
    <w:rsid w:val="00D553BA"/>
    <w:rsid w:val="00D5562A"/>
    <w:rsid w:val="00D55689"/>
    <w:rsid w:val="00D557D1"/>
    <w:rsid w:val="00D558C7"/>
    <w:rsid w:val="00D55A36"/>
    <w:rsid w:val="00D55C10"/>
    <w:rsid w:val="00D55C34"/>
    <w:rsid w:val="00D55D66"/>
    <w:rsid w:val="00D55E8C"/>
    <w:rsid w:val="00D56203"/>
    <w:rsid w:val="00D56261"/>
    <w:rsid w:val="00D56272"/>
    <w:rsid w:val="00D56396"/>
    <w:rsid w:val="00D56423"/>
    <w:rsid w:val="00D5689A"/>
    <w:rsid w:val="00D56A84"/>
    <w:rsid w:val="00D56F53"/>
    <w:rsid w:val="00D57072"/>
    <w:rsid w:val="00D57456"/>
    <w:rsid w:val="00D576FC"/>
    <w:rsid w:val="00D601BE"/>
    <w:rsid w:val="00D60416"/>
    <w:rsid w:val="00D60648"/>
    <w:rsid w:val="00D606B8"/>
    <w:rsid w:val="00D607D7"/>
    <w:rsid w:val="00D607FB"/>
    <w:rsid w:val="00D61030"/>
    <w:rsid w:val="00D61150"/>
    <w:rsid w:val="00D61249"/>
    <w:rsid w:val="00D612CD"/>
    <w:rsid w:val="00D615E4"/>
    <w:rsid w:val="00D61883"/>
    <w:rsid w:val="00D619F3"/>
    <w:rsid w:val="00D61AE5"/>
    <w:rsid w:val="00D61BB2"/>
    <w:rsid w:val="00D61C09"/>
    <w:rsid w:val="00D61E3D"/>
    <w:rsid w:val="00D61F01"/>
    <w:rsid w:val="00D62304"/>
    <w:rsid w:val="00D62685"/>
    <w:rsid w:val="00D62785"/>
    <w:rsid w:val="00D62909"/>
    <w:rsid w:val="00D62D9C"/>
    <w:rsid w:val="00D63ED9"/>
    <w:rsid w:val="00D64525"/>
    <w:rsid w:val="00D64636"/>
    <w:rsid w:val="00D6483E"/>
    <w:rsid w:val="00D6542B"/>
    <w:rsid w:val="00D6548D"/>
    <w:rsid w:val="00D65568"/>
    <w:rsid w:val="00D65E18"/>
    <w:rsid w:val="00D65E28"/>
    <w:rsid w:val="00D65FB2"/>
    <w:rsid w:val="00D66618"/>
    <w:rsid w:val="00D6674A"/>
    <w:rsid w:val="00D668E4"/>
    <w:rsid w:val="00D671F9"/>
    <w:rsid w:val="00D67439"/>
    <w:rsid w:val="00D67466"/>
    <w:rsid w:val="00D675FD"/>
    <w:rsid w:val="00D677FE"/>
    <w:rsid w:val="00D7047B"/>
    <w:rsid w:val="00D70CB1"/>
    <w:rsid w:val="00D713DE"/>
    <w:rsid w:val="00D71583"/>
    <w:rsid w:val="00D71A0D"/>
    <w:rsid w:val="00D71E36"/>
    <w:rsid w:val="00D723F9"/>
    <w:rsid w:val="00D729A9"/>
    <w:rsid w:val="00D73C68"/>
    <w:rsid w:val="00D741F4"/>
    <w:rsid w:val="00D7477C"/>
    <w:rsid w:val="00D74C70"/>
    <w:rsid w:val="00D74FB0"/>
    <w:rsid w:val="00D74FEC"/>
    <w:rsid w:val="00D750BD"/>
    <w:rsid w:val="00D75505"/>
    <w:rsid w:val="00D75FF7"/>
    <w:rsid w:val="00D76506"/>
    <w:rsid w:val="00D76695"/>
    <w:rsid w:val="00D76E7F"/>
    <w:rsid w:val="00D77028"/>
    <w:rsid w:val="00D776C0"/>
    <w:rsid w:val="00D77DAB"/>
    <w:rsid w:val="00D80517"/>
    <w:rsid w:val="00D807DB"/>
    <w:rsid w:val="00D80896"/>
    <w:rsid w:val="00D80C07"/>
    <w:rsid w:val="00D80CD5"/>
    <w:rsid w:val="00D8121F"/>
    <w:rsid w:val="00D8168B"/>
    <w:rsid w:val="00D816A8"/>
    <w:rsid w:val="00D81DB4"/>
    <w:rsid w:val="00D8217D"/>
    <w:rsid w:val="00D8228F"/>
    <w:rsid w:val="00D8276C"/>
    <w:rsid w:val="00D82A2E"/>
    <w:rsid w:val="00D82AE7"/>
    <w:rsid w:val="00D82F8A"/>
    <w:rsid w:val="00D83110"/>
    <w:rsid w:val="00D8347E"/>
    <w:rsid w:val="00D83CB1"/>
    <w:rsid w:val="00D849E0"/>
    <w:rsid w:val="00D84BAC"/>
    <w:rsid w:val="00D84C4A"/>
    <w:rsid w:val="00D84CF0"/>
    <w:rsid w:val="00D855A2"/>
    <w:rsid w:val="00D85B48"/>
    <w:rsid w:val="00D85C91"/>
    <w:rsid w:val="00D86274"/>
    <w:rsid w:val="00D862DA"/>
    <w:rsid w:val="00D863B5"/>
    <w:rsid w:val="00D8640C"/>
    <w:rsid w:val="00D86456"/>
    <w:rsid w:val="00D86D6E"/>
    <w:rsid w:val="00D870BD"/>
    <w:rsid w:val="00D87201"/>
    <w:rsid w:val="00D87AAF"/>
    <w:rsid w:val="00D87D29"/>
    <w:rsid w:val="00D87D46"/>
    <w:rsid w:val="00D9012E"/>
    <w:rsid w:val="00D905F4"/>
    <w:rsid w:val="00D90615"/>
    <w:rsid w:val="00D9078C"/>
    <w:rsid w:val="00D90911"/>
    <w:rsid w:val="00D90C05"/>
    <w:rsid w:val="00D90ED8"/>
    <w:rsid w:val="00D91320"/>
    <w:rsid w:val="00D913D7"/>
    <w:rsid w:val="00D91A1A"/>
    <w:rsid w:val="00D91C70"/>
    <w:rsid w:val="00D91E35"/>
    <w:rsid w:val="00D91E57"/>
    <w:rsid w:val="00D92100"/>
    <w:rsid w:val="00D921E3"/>
    <w:rsid w:val="00D92202"/>
    <w:rsid w:val="00D92427"/>
    <w:rsid w:val="00D92705"/>
    <w:rsid w:val="00D93083"/>
    <w:rsid w:val="00D933D5"/>
    <w:rsid w:val="00D93CE9"/>
    <w:rsid w:val="00D940CB"/>
    <w:rsid w:val="00D940FE"/>
    <w:rsid w:val="00D9417F"/>
    <w:rsid w:val="00D948B7"/>
    <w:rsid w:val="00D94B26"/>
    <w:rsid w:val="00D94B54"/>
    <w:rsid w:val="00D94C2F"/>
    <w:rsid w:val="00D94D7A"/>
    <w:rsid w:val="00D9518F"/>
    <w:rsid w:val="00D965E6"/>
    <w:rsid w:val="00D9697A"/>
    <w:rsid w:val="00D969DF"/>
    <w:rsid w:val="00D96AB3"/>
    <w:rsid w:val="00D977DA"/>
    <w:rsid w:val="00D97EB1"/>
    <w:rsid w:val="00DA027A"/>
    <w:rsid w:val="00DA088A"/>
    <w:rsid w:val="00DA0ADA"/>
    <w:rsid w:val="00DA139B"/>
    <w:rsid w:val="00DA1487"/>
    <w:rsid w:val="00DA1C95"/>
    <w:rsid w:val="00DA23B7"/>
    <w:rsid w:val="00DA2441"/>
    <w:rsid w:val="00DA274F"/>
    <w:rsid w:val="00DA2FFA"/>
    <w:rsid w:val="00DA3207"/>
    <w:rsid w:val="00DA322D"/>
    <w:rsid w:val="00DA32C2"/>
    <w:rsid w:val="00DA39C7"/>
    <w:rsid w:val="00DA3A70"/>
    <w:rsid w:val="00DA3D7B"/>
    <w:rsid w:val="00DA427D"/>
    <w:rsid w:val="00DA4501"/>
    <w:rsid w:val="00DA4534"/>
    <w:rsid w:val="00DA4B61"/>
    <w:rsid w:val="00DA4D60"/>
    <w:rsid w:val="00DA4DDE"/>
    <w:rsid w:val="00DA5733"/>
    <w:rsid w:val="00DA57E7"/>
    <w:rsid w:val="00DA583D"/>
    <w:rsid w:val="00DA5B84"/>
    <w:rsid w:val="00DA5DBF"/>
    <w:rsid w:val="00DA62DB"/>
    <w:rsid w:val="00DA62DC"/>
    <w:rsid w:val="00DA6482"/>
    <w:rsid w:val="00DA6610"/>
    <w:rsid w:val="00DA6721"/>
    <w:rsid w:val="00DA68E7"/>
    <w:rsid w:val="00DA69C3"/>
    <w:rsid w:val="00DA6B24"/>
    <w:rsid w:val="00DA6E61"/>
    <w:rsid w:val="00DA6F9E"/>
    <w:rsid w:val="00DA7189"/>
    <w:rsid w:val="00DA7370"/>
    <w:rsid w:val="00DA74EA"/>
    <w:rsid w:val="00DA762D"/>
    <w:rsid w:val="00DA78A9"/>
    <w:rsid w:val="00DA79CF"/>
    <w:rsid w:val="00DB0A48"/>
    <w:rsid w:val="00DB0D7E"/>
    <w:rsid w:val="00DB1190"/>
    <w:rsid w:val="00DB16EE"/>
    <w:rsid w:val="00DB1BB2"/>
    <w:rsid w:val="00DB2047"/>
    <w:rsid w:val="00DB245E"/>
    <w:rsid w:val="00DB28CD"/>
    <w:rsid w:val="00DB2BD9"/>
    <w:rsid w:val="00DB2C3E"/>
    <w:rsid w:val="00DB2DD5"/>
    <w:rsid w:val="00DB305D"/>
    <w:rsid w:val="00DB3072"/>
    <w:rsid w:val="00DB319B"/>
    <w:rsid w:val="00DB32F5"/>
    <w:rsid w:val="00DB366A"/>
    <w:rsid w:val="00DB371C"/>
    <w:rsid w:val="00DB3817"/>
    <w:rsid w:val="00DB3D47"/>
    <w:rsid w:val="00DB4594"/>
    <w:rsid w:val="00DB49BC"/>
    <w:rsid w:val="00DB4AA3"/>
    <w:rsid w:val="00DB4F07"/>
    <w:rsid w:val="00DB4FCA"/>
    <w:rsid w:val="00DB5A06"/>
    <w:rsid w:val="00DB6143"/>
    <w:rsid w:val="00DB6320"/>
    <w:rsid w:val="00DB63A0"/>
    <w:rsid w:val="00DB67DD"/>
    <w:rsid w:val="00DB6880"/>
    <w:rsid w:val="00DB68FF"/>
    <w:rsid w:val="00DB7230"/>
    <w:rsid w:val="00DB735A"/>
    <w:rsid w:val="00DB7AE4"/>
    <w:rsid w:val="00DC004F"/>
    <w:rsid w:val="00DC0676"/>
    <w:rsid w:val="00DC067D"/>
    <w:rsid w:val="00DC06BE"/>
    <w:rsid w:val="00DC1076"/>
    <w:rsid w:val="00DC1361"/>
    <w:rsid w:val="00DC15FE"/>
    <w:rsid w:val="00DC1979"/>
    <w:rsid w:val="00DC1C87"/>
    <w:rsid w:val="00DC1EEF"/>
    <w:rsid w:val="00DC1F2F"/>
    <w:rsid w:val="00DC2111"/>
    <w:rsid w:val="00DC2AA5"/>
    <w:rsid w:val="00DC2E48"/>
    <w:rsid w:val="00DC32BA"/>
    <w:rsid w:val="00DC393A"/>
    <w:rsid w:val="00DC3BC5"/>
    <w:rsid w:val="00DC3C90"/>
    <w:rsid w:val="00DC45FF"/>
    <w:rsid w:val="00DC469E"/>
    <w:rsid w:val="00DC47A1"/>
    <w:rsid w:val="00DC4D61"/>
    <w:rsid w:val="00DC4FBB"/>
    <w:rsid w:val="00DC574B"/>
    <w:rsid w:val="00DC5ABE"/>
    <w:rsid w:val="00DC5BAB"/>
    <w:rsid w:val="00DC5E4F"/>
    <w:rsid w:val="00DC5FD8"/>
    <w:rsid w:val="00DC6193"/>
    <w:rsid w:val="00DC7020"/>
    <w:rsid w:val="00DC7092"/>
    <w:rsid w:val="00DC7678"/>
    <w:rsid w:val="00DC7D64"/>
    <w:rsid w:val="00DC7E15"/>
    <w:rsid w:val="00DC7EB3"/>
    <w:rsid w:val="00DD0027"/>
    <w:rsid w:val="00DD015A"/>
    <w:rsid w:val="00DD026D"/>
    <w:rsid w:val="00DD0404"/>
    <w:rsid w:val="00DD04BD"/>
    <w:rsid w:val="00DD060E"/>
    <w:rsid w:val="00DD106F"/>
    <w:rsid w:val="00DD1563"/>
    <w:rsid w:val="00DD15DA"/>
    <w:rsid w:val="00DD16EE"/>
    <w:rsid w:val="00DD1FAF"/>
    <w:rsid w:val="00DD20B5"/>
    <w:rsid w:val="00DD225A"/>
    <w:rsid w:val="00DD2269"/>
    <w:rsid w:val="00DD22C2"/>
    <w:rsid w:val="00DD24B3"/>
    <w:rsid w:val="00DD278C"/>
    <w:rsid w:val="00DD2F16"/>
    <w:rsid w:val="00DD2F1D"/>
    <w:rsid w:val="00DD36F0"/>
    <w:rsid w:val="00DD37FC"/>
    <w:rsid w:val="00DD3C4D"/>
    <w:rsid w:val="00DD3C8B"/>
    <w:rsid w:val="00DD3EF7"/>
    <w:rsid w:val="00DD4835"/>
    <w:rsid w:val="00DD483D"/>
    <w:rsid w:val="00DD4A7F"/>
    <w:rsid w:val="00DD4CE1"/>
    <w:rsid w:val="00DD4F04"/>
    <w:rsid w:val="00DD5057"/>
    <w:rsid w:val="00DD52F1"/>
    <w:rsid w:val="00DD5BB1"/>
    <w:rsid w:val="00DD5CFC"/>
    <w:rsid w:val="00DD5F10"/>
    <w:rsid w:val="00DD5FCC"/>
    <w:rsid w:val="00DD641C"/>
    <w:rsid w:val="00DD6537"/>
    <w:rsid w:val="00DD6667"/>
    <w:rsid w:val="00DD6B6E"/>
    <w:rsid w:val="00DD6E53"/>
    <w:rsid w:val="00DD6ED5"/>
    <w:rsid w:val="00DD74A2"/>
    <w:rsid w:val="00DD7533"/>
    <w:rsid w:val="00DD7FB8"/>
    <w:rsid w:val="00DE06F2"/>
    <w:rsid w:val="00DE09BB"/>
    <w:rsid w:val="00DE11B6"/>
    <w:rsid w:val="00DE1352"/>
    <w:rsid w:val="00DE151C"/>
    <w:rsid w:val="00DE1A76"/>
    <w:rsid w:val="00DE1B44"/>
    <w:rsid w:val="00DE224F"/>
    <w:rsid w:val="00DE2445"/>
    <w:rsid w:val="00DE2576"/>
    <w:rsid w:val="00DE2629"/>
    <w:rsid w:val="00DE2910"/>
    <w:rsid w:val="00DE2A3C"/>
    <w:rsid w:val="00DE2B41"/>
    <w:rsid w:val="00DE3188"/>
    <w:rsid w:val="00DE3373"/>
    <w:rsid w:val="00DE350F"/>
    <w:rsid w:val="00DE36BF"/>
    <w:rsid w:val="00DE383B"/>
    <w:rsid w:val="00DE38C8"/>
    <w:rsid w:val="00DE3E97"/>
    <w:rsid w:val="00DE412C"/>
    <w:rsid w:val="00DE434B"/>
    <w:rsid w:val="00DE45E1"/>
    <w:rsid w:val="00DE48B8"/>
    <w:rsid w:val="00DE49BE"/>
    <w:rsid w:val="00DE4A03"/>
    <w:rsid w:val="00DE4BBD"/>
    <w:rsid w:val="00DE4CAA"/>
    <w:rsid w:val="00DE554C"/>
    <w:rsid w:val="00DE557C"/>
    <w:rsid w:val="00DE5C12"/>
    <w:rsid w:val="00DE5D05"/>
    <w:rsid w:val="00DE5F88"/>
    <w:rsid w:val="00DE6076"/>
    <w:rsid w:val="00DE61A1"/>
    <w:rsid w:val="00DE6566"/>
    <w:rsid w:val="00DE6576"/>
    <w:rsid w:val="00DE6E9F"/>
    <w:rsid w:val="00DE7383"/>
    <w:rsid w:val="00DE7513"/>
    <w:rsid w:val="00DE7660"/>
    <w:rsid w:val="00DE7739"/>
    <w:rsid w:val="00DE79F1"/>
    <w:rsid w:val="00DE7F35"/>
    <w:rsid w:val="00DF0386"/>
    <w:rsid w:val="00DF0466"/>
    <w:rsid w:val="00DF0781"/>
    <w:rsid w:val="00DF0B8F"/>
    <w:rsid w:val="00DF0B9E"/>
    <w:rsid w:val="00DF0C49"/>
    <w:rsid w:val="00DF0D67"/>
    <w:rsid w:val="00DF12D4"/>
    <w:rsid w:val="00DF1B66"/>
    <w:rsid w:val="00DF1B67"/>
    <w:rsid w:val="00DF226A"/>
    <w:rsid w:val="00DF2520"/>
    <w:rsid w:val="00DF2CB5"/>
    <w:rsid w:val="00DF2DD1"/>
    <w:rsid w:val="00DF322E"/>
    <w:rsid w:val="00DF34B7"/>
    <w:rsid w:val="00DF3A12"/>
    <w:rsid w:val="00DF3A84"/>
    <w:rsid w:val="00DF3BC9"/>
    <w:rsid w:val="00DF3DEE"/>
    <w:rsid w:val="00DF403B"/>
    <w:rsid w:val="00DF45FF"/>
    <w:rsid w:val="00DF4614"/>
    <w:rsid w:val="00DF4809"/>
    <w:rsid w:val="00DF48C4"/>
    <w:rsid w:val="00DF4ACC"/>
    <w:rsid w:val="00DF50EE"/>
    <w:rsid w:val="00DF5225"/>
    <w:rsid w:val="00DF5864"/>
    <w:rsid w:val="00DF5E31"/>
    <w:rsid w:val="00DF60B8"/>
    <w:rsid w:val="00DF63C4"/>
    <w:rsid w:val="00DF6D10"/>
    <w:rsid w:val="00DF7073"/>
    <w:rsid w:val="00DF71D9"/>
    <w:rsid w:val="00DF7270"/>
    <w:rsid w:val="00DF75BB"/>
    <w:rsid w:val="00DF77A0"/>
    <w:rsid w:val="00DF7A7B"/>
    <w:rsid w:val="00DF7AAE"/>
    <w:rsid w:val="00DF7AC8"/>
    <w:rsid w:val="00DF7B25"/>
    <w:rsid w:val="00DF7E6B"/>
    <w:rsid w:val="00DF7EB0"/>
    <w:rsid w:val="00DF7EB9"/>
    <w:rsid w:val="00E000EA"/>
    <w:rsid w:val="00E00446"/>
    <w:rsid w:val="00E00B67"/>
    <w:rsid w:val="00E00C44"/>
    <w:rsid w:val="00E00CD0"/>
    <w:rsid w:val="00E00F93"/>
    <w:rsid w:val="00E0103F"/>
    <w:rsid w:val="00E013AF"/>
    <w:rsid w:val="00E01B44"/>
    <w:rsid w:val="00E01F56"/>
    <w:rsid w:val="00E0273F"/>
    <w:rsid w:val="00E028F6"/>
    <w:rsid w:val="00E02A09"/>
    <w:rsid w:val="00E02ABF"/>
    <w:rsid w:val="00E02B80"/>
    <w:rsid w:val="00E02C69"/>
    <w:rsid w:val="00E03287"/>
    <w:rsid w:val="00E03569"/>
    <w:rsid w:val="00E037D7"/>
    <w:rsid w:val="00E04148"/>
    <w:rsid w:val="00E0445E"/>
    <w:rsid w:val="00E0456A"/>
    <w:rsid w:val="00E048F8"/>
    <w:rsid w:val="00E04ADD"/>
    <w:rsid w:val="00E04C74"/>
    <w:rsid w:val="00E05E74"/>
    <w:rsid w:val="00E065AE"/>
    <w:rsid w:val="00E067D8"/>
    <w:rsid w:val="00E06800"/>
    <w:rsid w:val="00E06AD8"/>
    <w:rsid w:val="00E06FCA"/>
    <w:rsid w:val="00E07293"/>
    <w:rsid w:val="00E07684"/>
    <w:rsid w:val="00E07AEF"/>
    <w:rsid w:val="00E07E20"/>
    <w:rsid w:val="00E1032A"/>
    <w:rsid w:val="00E10488"/>
    <w:rsid w:val="00E10598"/>
    <w:rsid w:val="00E107F7"/>
    <w:rsid w:val="00E1087D"/>
    <w:rsid w:val="00E11078"/>
    <w:rsid w:val="00E11421"/>
    <w:rsid w:val="00E12427"/>
    <w:rsid w:val="00E12583"/>
    <w:rsid w:val="00E12B07"/>
    <w:rsid w:val="00E12C3D"/>
    <w:rsid w:val="00E13038"/>
    <w:rsid w:val="00E13250"/>
    <w:rsid w:val="00E13301"/>
    <w:rsid w:val="00E135A1"/>
    <w:rsid w:val="00E13CC6"/>
    <w:rsid w:val="00E13F08"/>
    <w:rsid w:val="00E142DC"/>
    <w:rsid w:val="00E1496E"/>
    <w:rsid w:val="00E14FB8"/>
    <w:rsid w:val="00E1569D"/>
    <w:rsid w:val="00E158DF"/>
    <w:rsid w:val="00E159F7"/>
    <w:rsid w:val="00E15CA7"/>
    <w:rsid w:val="00E1614D"/>
    <w:rsid w:val="00E168CE"/>
    <w:rsid w:val="00E169C2"/>
    <w:rsid w:val="00E16A5A"/>
    <w:rsid w:val="00E16EF1"/>
    <w:rsid w:val="00E16EF8"/>
    <w:rsid w:val="00E16F2C"/>
    <w:rsid w:val="00E16F7B"/>
    <w:rsid w:val="00E175D6"/>
    <w:rsid w:val="00E1761F"/>
    <w:rsid w:val="00E177A0"/>
    <w:rsid w:val="00E17F63"/>
    <w:rsid w:val="00E20105"/>
    <w:rsid w:val="00E20409"/>
    <w:rsid w:val="00E209A2"/>
    <w:rsid w:val="00E20E3A"/>
    <w:rsid w:val="00E20F91"/>
    <w:rsid w:val="00E21151"/>
    <w:rsid w:val="00E2118A"/>
    <w:rsid w:val="00E213C3"/>
    <w:rsid w:val="00E21812"/>
    <w:rsid w:val="00E21949"/>
    <w:rsid w:val="00E21D38"/>
    <w:rsid w:val="00E220CB"/>
    <w:rsid w:val="00E2213C"/>
    <w:rsid w:val="00E223EF"/>
    <w:rsid w:val="00E22446"/>
    <w:rsid w:val="00E22AD5"/>
    <w:rsid w:val="00E23248"/>
    <w:rsid w:val="00E23553"/>
    <w:rsid w:val="00E23612"/>
    <w:rsid w:val="00E236DD"/>
    <w:rsid w:val="00E238D1"/>
    <w:rsid w:val="00E243E6"/>
    <w:rsid w:val="00E2452B"/>
    <w:rsid w:val="00E24C60"/>
    <w:rsid w:val="00E24CB6"/>
    <w:rsid w:val="00E25086"/>
    <w:rsid w:val="00E25130"/>
    <w:rsid w:val="00E256E7"/>
    <w:rsid w:val="00E25872"/>
    <w:rsid w:val="00E2588B"/>
    <w:rsid w:val="00E25BE9"/>
    <w:rsid w:val="00E263E7"/>
    <w:rsid w:val="00E26440"/>
    <w:rsid w:val="00E264F3"/>
    <w:rsid w:val="00E269BD"/>
    <w:rsid w:val="00E27931"/>
    <w:rsid w:val="00E30284"/>
    <w:rsid w:val="00E30959"/>
    <w:rsid w:val="00E30ACE"/>
    <w:rsid w:val="00E3151D"/>
    <w:rsid w:val="00E316C0"/>
    <w:rsid w:val="00E31D33"/>
    <w:rsid w:val="00E31F2C"/>
    <w:rsid w:val="00E322F6"/>
    <w:rsid w:val="00E32D83"/>
    <w:rsid w:val="00E33038"/>
    <w:rsid w:val="00E331E5"/>
    <w:rsid w:val="00E338FE"/>
    <w:rsid w:val="00E34275"/>
    <w:rsid w:val="00E34913"/>
    <w:rsid w:val="00E34ABB"/>
    <w:rsid w:val="00E350A3"/>
    <w:rsid w:val="00E3517A"/>
    <w:rsid w:val="00E35658"/>
    <w:rsid w:val="00E35765"/>
    <w:rsid w:val="00E35DEC"/>
    <w:rsid w:val="00E35FA5"/>
    <w:rsid w:val="00E36163"/>
    <w:rsid w:val="00E364C8"/>
    <w:rsid w:val="00E366B3"/>
    <w:rsid w:val="00E368BE"/>
    <w:rsid w:val="00E36CE5"/>
    <w:rsid w:val="00E36F8B"/>
    <w:rsid w:val="00E36FBE"/>
    <w:rsid w:val="00E372AE"/>
    <w:rsid w:val="00E37332"/>
    <w:rsid w:val="00E373F2"/>
    <w:rsid w:val="00E37574"/>
    <w:rsid w:val="00E37BF6"/>
    <w:rsid w:val="00E37D74"/>
    <w:rsid w:val="00E37F8D"/>
    <w:rsid w:val="00E402D6"/>
    <w:rsid w:val="00E40782"/>
    <w:rsid w:val="00E40879"/>
    <w:rsid w:val="00E40E05"/>
    <w:rsid w:val="00E4161A"/>
    <w:rsid w:val="00E41B9C"/>
    <w:rsid w:val="00E42444"/>
    <w:rsid w:val="00E425AD"/>
    <w:rsid w:val="00E426CE"/>
    <w:rsid w:val="00E42702"/>
    <w:rsid w:val="00E42E30"/>
    <w:rsid w:val="00E4350C"/>
    <w:rsid w:val="00E435B9"/>
    <w:rsid w:val="00E4371D"/>
    <w:rsid w:val="00E4372B"/>
    <w:rsid w:val="00E43C06"/>
    <w:rsid w:val="00E43D70"/>
    <w:rsid w:val="00E43E1E"/>
    <w:rsid w:val="00E4420C"/>
    <w:rsid w:val="00E44646"/>
    <w:rsid w:val="00E449B1"/>
    <w:rsid w:val="00E44D41"/>
    <w:rsid w:val="00E44EA6"/>
    <w:rsid w:val="00E44F45"/>
    <w:rsid w:val="00E45050"/>
    <w:rsid w:val="00E45079"/>
    <w:rsid w:val="00E45093"/>
    <w:rsid w:val="00E45840"/>
    <w:rsid w:val="00E45D33"/>
    <w:rsid w:val="00E45D94"/>
    <w:rsid w:val="00E46631"/>
    <w:rsid w:val="00E46843"/>
    <w:rsid w:val="00E46F68"/>
    <w:rsid w:val="00E4706E"/>
    <w:rsid w:val="00E4719C"/>
    <w:rsid w:val="00E4745E"/>
    <w:rsid w:val="00E474D5"/>
    <w:rsid w:val="00E475B3"/>
    <w:rsid w:val="00E47766"/>
    <w:rsid w:val="00E47B31"/>
    <w:rsid w:val="00E47FFA"/>
    <w:rsid w:val="00E50100"/>
    <w:rsid w:val="00E501F7"/>
    <w:rsid w:val="00E50536"/>
    <w:rsid w:val="00E50550"/>
    <w:rsid w:val="00E50786"/>
    <w:rsid w:val="00E5082D"/>
    <w:rsid w:val="00E50A4F"/>
    <w:rsid w:val="00E50F53"/>
    <w:rsid w:val="00E51167"/>
    <w:rsid w:val="00E51DA4"/>
    <w:rsid w:val="00E52618"/>
    <w:rsid w:val="00E52DAE"/>
    <w:rsid w:val="00E52E17"/>
    <w:rsid w:val="00E5380D"/>
    <w:rsid w:val="00E538C3"/>
    <w:rsid w:val="00E54131"/>
    <w:rsid w:val="00E54590"/>
    <w:rsid w:val="00E54CAE"/>
    <w:rsid w:val="00E55116"/>
    <w:rsid w:val="00E55141"/>
    <w:rsid w:val="00E55485"/>
    <w:rsid w:val="00E5552B"/>
    <w:rsid w:val="00E55E4E"/>
    <w:rsid w:val="00E55EF4"/>
    <w:rsid w:val="00E55F9A"/>
    <w:rsid w:val="00E56124"/>
    <w:rsid w:val="00E561C5"/>
    <w:rsid w:val="00E56CBF"/>
    <w:rsid w:val="00E56E31"/>
    <w:rsid w:val="00E56FF3"/>
    <w:rsid w:val="00E574A9"/>
    <w:rsid w:val="00E576A1"/>
    <w:rsid w:val="00E576F4"/>
    <w:rsid w:val="00E57A42"/>
    <w:rsid w:val="00E60117"/>
    <w:rsid w:val="00E602D8"/>
    <w:rsid w:val="00E60451"/>
    <w:rsid w:val="00E60615"/>
    <w:rsid w:val="00E60906"/>
    <w:rsid w:val="00E60A47"/>
    <w:rsid w:val="00E60ADA"/>
    <w:rsid w:val="00E61355"/>
    <w:rsid w:val="00E613BC"/>
    <w:rsid w:val="00E61948"/>
    <w:rsid w:val="00E619B9"/>
    <w:rsid w:val="00E61C0C"/>
    <w:rsid w:val="00E61F1E"/>
    <w:rsid w:val="00E6282E"/>
    <w:rsid w:val="00E62A2A"/>
    <w:rsid w:val="00E6365E"/>
    <w:rsid w:val="00E6371E"/>
    <w:rsid w:val="00E63F30"/>
    <w:rsid w:val="00E6437C"/>
    <w:rsid w:val="00E6474C"/>
    <w:rsid w:val="00E647B4"/>
    <w:rsid w:val="00E647BE"/>
    <w:rsid w:val="00E64BAB"/>
    <w:rsid w:val="00E65329"/>
    <w:rsid w:val="00E65397"/>
    <w:rsid w:val="00E658E8"/>
    <w:rsid w:val="00E660DA"/>
    <w:rsid w:val="00E663B0"/>
    <w:rsid w:val="00E66609"/>
    <w:rsid w:val="00E66861"/>
    <w:rsid w:val="00E66E21"/>
    <w:rsid w:val="00E67063"/>
    <w:rsid w:val="00E67077"/>
    <w:rsid w:val="00E6711C"/>
    <w:rsid w:val="00E67277"/>
    <w:rsid w:val="00E672AB"/>
    <w:rsid w:val="00E704C7"/>
    <w:rsid w:val="00E706A8"/>
    <w:rsid w:val="00E70B5D"/>
    <w:rsid w:val="00E70BB2"/>
    <w:rsid w:val="00E70F38"/>
    <w:rsid w:val="00E710FC"/>
    <w:rsid w:val="00E711D6"/>
    <w:rsid w:val="00E714CB"/>
    <w:rsid w:val="00E71725"/>
    <w:rsid w:val="00E718FF"/>
    <w:rsid w:val="00E71915"/>
    <w:rsid w:val="00E719F6"/>
    <w:rsid w:val="00E71FAE"/>
    <w:rsid w:val="00E72075"/>
    <w:rsid w:val="00E72663"/>
    <w:rsid w:val="00E72A2F"/>
    <w:rsid w:val="00E72F02"/>
    <w:rsid w:val="00E732D0"/>
    <w:rsid w:val="00E73492"/>
    <w:rsid w:val="00E74424"/>
    <w:rsid w:val="00E74FBB"/>
    <w:rsid w:val="00E74FF4"/>
    <w:rsid w:val="00E75177"/>
    <w:rsid w:val="00E756B6"/>
    <w:rsid w:val="00E76058"/>
    <w:rsid w:val="00E764C2"/>
    <w:rsid w:val="00E76CFE"/>
    <w:rsid w:val="00E77569"/>
    <w:rsid w:val="00E777A1"/>
    <w:rsid w:val="00E77AC7"/>
    <w:rsid w:val="00E77D3F"/>
    <w:rsid w:val="00E77D58"/>
    <w:rsid w:val="00E80037"/>
    <w:rsid w:val="00E8026B"/>
    <w:rsid w:val="00E804BB"/>
    <w:rsid w:val="00E80872"/>
    <w:rsid w:val="00E80916"/>
    <w:rsid w:val="00E81159"/>
    <w:rsid w:val="00E81181"/>
    <w:rsid w:val="00E816E5"/>
    <w:rsid w:val="00E81C5C"/>
    <w:rsid w:val="00E82173"/>
    <w:rsid w:val="00E82209"/>
    <w:rsid w:val="00E822B6"/>
    <w:rsid w:val="00E82B2E"/>
    <w:rsid w:val="00E82E9A"/>
    <w:rsid w:val="00E82EA2"/>
    <w:rsid w:val="00E8310D"/>
    <w:rsid w:val="00E83365"/>
    <w:rsid w:val="00E83571"/>
    <w:rsid w:val="00E83D3F"/>
    <w:rsid w:val="00E83E96"/>
    <w:rsid w:val="00E840DF"/>
    <w:rsid w:val="00E841B9"/>
    <w:rsid w:val="00E842AD"/>
    <w:rsid w:val="00E848D3"/>
    <w:rsid w:val="00E84936"/>
    <w:rsid w:val="00E84A0C"/>
    <w:rsid w:val="00E84E28"/>
    <w:rsid w:val="00E8528A"/>
    <w:rsid w:val="00E8560F"/>
    <w:rsid w:val="00E85761"/>
    <w:rsid w:val="00E864D8"/>
    <w:rsid w:val="00E8688C"/>
    <w:rsid w:val="00E871E8"/>
    <w:rsid w:val="00E8742D"/>
    <w:rsid w:val="00E8780A"/>
    <w:rsid w:val="00E8789B"/>
    <w:rsid w:val="00E87925"/>
    <w:rsid w:val="00E9030A"/>
    <w:rsid w:val="00E90492"/>
    <w:rsid w:val="00E90522"/>
    <w:rsid w:val="00E905D0"/>
    <w:rsid w:val="00E90876"/>
    <w:rsid w:val="00E90981"/>
    <w:rsid w:val="00E90C4C"/>
    <w:rsid w:val="00E90CD7"/>
    <w:rsid w:val="00E90CEA"/>
    <w:rsid w:val="00E90D78"/>
    <w:rsid w:val="00E90EF9"/>
    <w:rsid w:val="00E9140B"/>
    <w:rsid w:val="00E9156F"/>
    <w:rsid w:val="00E91C4B"/>
    <w:rsid w:val="00E920CC"/>
    <w:rsid w:val="00E923DA"/>
    <w:rsid w:val="00E92E65"/>
    <w:rsid w:val="00E92F5C"/>
    <w:rsid w:val="00E933BE"/>
    <w:rsid w:val="00E936C3"/>
    <w:rsid w:val="00E93711"/>
    <w:rsid w:val="00E93A82"/>
    <w:rsid w:val="00E93E28"/>
    <w:rsid w:val="00E93E29"/>
    <w:rsid w:val="00E93F06"/>
    <w:rsid w:val="00E94B32"/>
    <w:rsid w:val="00E94B90"/>
    <w:rsid w:val="00E95309"/>
    <w:rsid w:val="00E954A5"/>
    <w:rsid w:val="00E955D2"/>
    <w:rsid w:val="00E957FC"/>
    <w:rsid w:val="00E96017"/>
    <w:rsid w:val="00E96088"/>
    <w:rsid w:val="00E96202"/>
    <w:rsid w:val="00E963F7"/>
    <w:rsid w:val="00E967DF"/>
    <w:rsid w:val="00E96C57"/>
    <w:rsid w:val="00E96CBA"/>
    <w:rsid w:val="00E96D7F"/>
    <w:rsid w:val="00E97142"/>
    <w:rsid w:val="00E977D4"/>
    <w:rsid w:val="00EA0074"/>
    <w:rsid w:val="00EA0289"/>
    <w:rsid w:val="00EA0319"/>
    <w:rsid w:val="00EA0320"/>
    <w:rsid w:val="00EA05E1"/>
    <w:rsid w:val="00EA0DA6"/>
    <w:rsid w:val="00EA0EF5"/>
    <w:rsid w:val="00EA13EF"/>
    <w:rsid w:val="00EA15A4"/>
    <w:rsid w:val="00EA18C3"/>
    <w:rsid w:val="00EA1987"/>
    <w:rsid w:val="00EA1F58"/>
    <w:rsid w:val="00EA1F7B"/>
    <w:rsid w:val="00EA2BF2"/>
    <w:rsid w:val="00EA341A"/>
    <w:rsid w:val="00EA3A3F"/>
    <w:rsid w:val="00EA48F5"/>
    <w:rsid w:val="00EA4B08"/>
    <w:rsid w:val="00EA4BFF"/>
    <w:rsid w:val="00EA51A5"/>
    <w:rsid w:val="00EA528B"/>
    <w:rsid w:val="00EA5CBF"/>
    <w:rsid w:val="00EA5F1D"/>
    <w:rsid w:val="00EA6510"/>
    <w:rsid w:val="00EA6A88"/>
    <w:rsid w:val="00EA6F8B"/>
    <w:rsid w:val="00EA7152"/>
    <w:rsid w:val="00EA7166"/>
    <w:rsid w:val="00EA7594"/>
    <w:rsid w:val="00EA7618"/>
    <w:rsid w:val="00EA7889"/>
    <w:rsid w:val="00EA7B0E"/>
    <w:rsid w:val="00EA7C1A"/>
    <w:rsid w:val="00EA7CAB"/>
    <w:rsid w:val="00EA7E96"/>
    <w:rsid w:val="00EB028F"/>
    <w:rsid w:val="00EB0603"/>
    <w:rsid w:val="00EB07F4"/>
    <w:rsid w:val="00EB0851"/>
    <w:rsid w:val="00EB090C"/>
    <w:rsid w:val="00EB097E"/>
    <w:rsid w:val="00EB0A8A"/>
    <w:rsid w:val="00EB0D3B"/>
    <w:rsid w:val="00EB0D6C"/>
    <w:rsid w:val="00EB0DF1"/>
    <w:rsid w:val="00EB0E1C"/>
    <w:rsid w:val="00EB0F5D"/>
    <w:rsid w:val="00EB11D1"/>
    <w:rsid w:val="00EB16C9"/>
    <w:rsid w:val="00EB181B"/>
    <w:rsid w:val="00EB1CA4"/>
    <w:rsid w:val="00EB1D88"/>
    <w:rsid w:val="00EB1E55"/>
    <w:rsid w:val="00EB1FCB"/>
    <w:rsid w:val="00EB229E"/>
    <w:rsid w:val="00EB25C5"/>
    <w:rsid w:val="00EB2671"/>
    <w:rsid w:val="00EB26ED"/>
    <w:rsid w:val="00EB27EE"/>
    <w:rsid w:val="00EB286A"/>
    <w:rsid w:val="00EB29F7"/>
    <w:rsid w:val="00EB2AFC"/>
    <w:rsid w:val="00EB2AFD"/>
    <w:rsid w:val="00EB2DEA"/>
    <w:rsid w:val="00EB2F2B"/>
    <w:rsid w:val="00EB31BC"/>
    <w:rsid w:val="00EB3574"/>
    <w:rsid w:val="00EB35EE"/>
    <w:rsid w:val="00EB37CA"/>
    <w:rsid w:val="00EB391F"/>
    <w:rsid w:val="00EB3946"/>
    <w:rsid w:val="00EB42BA"/>
    <w:rsid w:val="00EB52FF"/>
    <w:rsid w:val="00EB53AE"/>
    <w:rsid w:val="00EB5788"/>
    <w:rsid w:val="00EB5879"/>
    <w:rsid w:val="00EB5F6E"/>
    <w:rsid w:val="00EB6394"/>
    <w:rsid w:val="00EB6B54"/>
    <w:rsid w:val="00EB70B7"/>
    <w:rsid w:val="00EB70C2"/>
    <w:rsid w:val="00EB7453"/>
    <w:rsid w:val="00EB799C"/>
    <w:rsid w:val="00EB7BB5"/>
    <w:rsid w:val="00EB7BC3"/>
    <w:rsid w:val="00EB7BD3"/>
    <w:rsid w:val="00EC0232"/>
    <w:rsid w:val="00EC0471"/>
    <w:rsid w:val="00EC0A75"/>
    <w:rsid w:val="00EC1289"/>
    <w:rsid w:val="00EC1FF6"/>
    <w:rsid w:val="00EC22AD"/>
    <w:rsid w:val="00EC2505"/>
    <w:rsid w:val="00EC2534"/>
    <w:rsid w:val="00EC25E1"/>
    <w:rsid w:val="00EC26C8"/>
    <w:rsid w:val="00EC2852"/>
    <w:rsid w:val="00EC294C"/>
    <w:rsid w:val="00EC2CA1"/>
    <w:rsid w:val="00EC2ED8"/>
    <w:rsid w:val="00EC3085"/>
    <w:rsid w:val="00EC341C"/>
    <w:rsid w:val="00EC37EE"/>
    <w:rsid w:val="00EC3E3A"/>
    <w:rsid w:val="00EC3F55"/>
    <w:rsid w:val="00EC4B49"/>
    <w:rsid w:val="00EC4BD6"/>
    <w:rsid w:val="00EC4D55"/>
    <w:rsid w:val="00EC4ED1"/>
    <w:rsid w:val="00EC51D1"/>
    <w:rsid w:val="00EC57A4"/>
    <w:rsid w:val="00EC5FA7"/>
    <w:rsid w:val="00EC6142"/>
    <w:rsid w:val="00EC6C06"/>
    <w:rsid w:val="00EC75BF"/>
    <w:rsid w:val="00EC7B6C"/>
    <w:rsid w:val="00ED0007"/>
    <w:rsid w:val="00ED0407"/>
    <w:rsid w:val="00ED0BC9"/>
    <w:rsid w:val="00ED12DD"/>
    <w:rsid w:val="00ED15D2"/>
    <w:rsid w:val="00ED1630"/>
    <w:rsid w:val="00ED1657"/>
    <w:rsid w:val="00ED16C8"/>
    <w:rsid w:val="00ED16E4"/>
    <w:rsid w:val="00ED18C5"/>
    <w:rsid w:val="00ED1BD4"/>
    <w:rsid w:val="00ED1E35"/>
    <w:rsid w:val="00ED1E69"/>
    <w:rsid w:val="00ED2675"/>
    <w:rsid w:val="00ED2AAE"/>
    <w:rsid w:val="00ED2F54"/>
    <w:rsid w:val="00ED3128"/>
    <w:rsid w:val="00ED3422"/>
    <w:rsid w:val="00ED356D"/>
    <w:rsid w:val="00ED3E90"/>
    <w:rsid w:val="00ED40C1"/>
    <w:rsid w:val="00ED4287"/>
    <w:rsid w:val="00ED431B"/>
    <w:rsid w:val="00ED4DA7"/>
    <w:rsid w:val="00ED4FE9"/>
    <w:rsid w:val="00ED54DC"/>
    <w:rsid w:val="00ED5637"/>
    <w:rsid w:val="00ED58C8"/>
    <w:rsid w:val="00ED5BD5"/>
    <w:rsid w:val="00ED5ED4"/>
    <w:rsid w:val="00ED6325"/>
    <w:rsid w:val="00ED6618"/>
    <w:rsid w:val="00ED6676"/>
    <w:rsid w:val="00ED6A13"/>
    <w:rsid w:val="00ED6A68"/>
    <w:rsid w:val="00ED6F1B"/>
    <w:rsid w:val="00ED75B6"/>
    <w:rsid w:val="00EE03C0"/>
    <w:rsid w:val="00EE062E"/>
    <w:rsid w:val="00EE075D"/>
    <w:rsid w:val="00EE0B8D"/>
    <w:rsid w:val="00EE0FF9"/>
    <w:rsid w:val="00EE1166"/>
    <w:rsid w:val="00EE298B"/>
    <w:rsid w:val="00EE31AC"/>
    <w:rsid w:val="00EE31EF"/>
    <w:rsid w:val="00EE37EF"/>
    <w:rsid w:val="00EE38F0"/>
    <w:rsid w:val="00EE4060"/>
    <w:rsid w:val="00EE4322"/>
    <w:rsid w:val="00EE44F9"/>
    <w:rsid w:val="00EE48D0"/>
    <w:rsid w:val="00EE48F4"/>
    <w:rsid w:val="00EE5129"/>
    <w:rsid w:val="00EE565F"/>
    <w:rsid w:val="00EE58F1"/>
    <w:rsid w:val="00EE59AA"/>
    <w:rsid w:val="00EE5AA6"/>
    <w:rsid w:val="00EE5BA0"/>
    <w:rsid w:val="00EE5C15"/>
    <w:rsid w:val="00EE6251"/>
    <w:rsid w:val="00EE625D"/>
    <w:rsid w:val="00EE6580"/>
    <w:rsid w:val="00EE71C9"/>
    <w:rsid w:val="00EE7463"/>
    <w:rsid w:val="00EE7940"/>
    <w:rsid w:val="00EF010D"/>
    <w:rsid w:val="00EF0536"/>
    <w:rsid w:val="00EF05FF"/>
    <w:rsid w:val="00EF0674"/>
    <w:rsid w:val="00EF0789"/>
    <w:rsid w:val="00EF07A8"/>
    <w:rsid w:val="00EF09C4"/>
    <w:rsid w:val="00EF0B96"/>
    <w:rsid w:val="00EF130E"/>
    <w:rsid w:val="00EF161C"/>
    <w:rsid w:val="00EF167C"/>
    <w:rsid w:val="00EF1BDB"/>
    <w:rsid w:val="00EF1BF7"/>
    <w:rsid w:val="00EF1FB4"/>
    <w:rsid w:val="00EF2241"/>
    <w:rsid w:val="00EF25B1"/>
    <w:rsid w:val="00EF2630"/>
    <w:rsid w:val="00EF27C4"/>
    <w:rsid w:val="00EF299F"/>
    <w:rsid w:val="00EF2A2A"/>
    <w:rsid w:val="00EF2C0A"/>
    <w:rsid w:val="00EF2CF2"/>
    <w:rsid w:val="00EF2F3A"/>
    <w:rsid w:val="00EF30CF"/>
    <w:rsid w:val="00EF3397"/>
    <w:rsid w:val="00EF3477"/>
    <w:rsid w:val="00EF352D"/>
    <w:rsid w:val="00EF3656"/>
    <w:rsid w:val="00EF3A75"/>
    <w:rsid w:val="00EF3F53"/>
    <w:rsid w:val="00EF4089"/>
    <w:rsid w:val="00EF41F1"/>
    <w:rsid w:val="00EF4AEE"/>
    <w:rsid w:val="00EF4CF3"/>
    <w:rsid w:val="00EF4D2C"/>
    <w:rsid w:val="00EF5184"/>
    <w:rsid w:val="00EF54DB"/>
    <w:rsid w:val="00EF54E7"/>
    <w:rsid w:val="00EF6203"/>
    <w:rsid w:val="00EF6431"/>
    <w:rsid w:val="00EF6C8C"/>
    <w:rsid w:val="00EF6D58"/>
    <w:rsid w:val="00EF6E41"/>
    <w:rsid w:val="00EF741E"/>
    <w:rsid w:val="00EF760F"/>
    <w:rsid w:val="00EF7975"/>
    <w:rsid w:val="00EF7BFF"/>
    <w:rsid w:val="00EF7C99"/>
    <w:rsid w:val="00EF7D84"/>
    <w:rsid w:val="00F00652"/>
    <w:rsid w:val="00F00C65"/>
    <w:rsid w:val="00F01366"/>
    <w:rsid w:val="00F01516"/>
    <w:rsid w:val="00F01A0C"/>
    <w:rsid w:val="00F01EB0"/>
    <w:rsid w:val="00F0225D"/>
    <w:rsid w:val="00F022EB"/>
    <w:rsid w:val="00F02FAE"/>
    <w:rsid w:val="00F03F3B"/>
    <w:rsid w:val="00F040D8"/>
    <w:rsid w:val="00F0499D"/>
    <w:rsid w:val="00F04BCA"/>
    <w:rsid w:val="00F04ECC"/>
    <w:rsid w:val="00F0559A"/>
    <w:rsid w:val="00F055A7"/>
    <w:rsid w:val="00F059A6"/>
    <w:rsid w:val="00F05BDC"/>
    <w:rsid w:val="00F060C9"/>
    <w:rsid w:val="00F0707D"/>
    <w:rsid w:val="00F071ED"/>
    <w:rsid w:val="00F07468"/>
    <w:rsid w:val="00F1024C"/>
    <w:rsid w:val="00F1061E"/>
    <w:rsid w:val="00F10DB5"/>
    <w:rsid w:val="00F10E1C"/>
    <w:rsid w:val="00F117AB"/>
    <w:rsid w:val="00F1183E"/>
    <w:rsid w:val="00F119F9"/>
    <w:rsid w:val="00F11DDC"/>
    <w:rsid w:val="00F120A5"/>
    <w:rsid w:val="00F12875"/>
    <w:rsid w:val="00F128F4"/>
    <w:rsid w:val="00F129EF"/>
    <w:rsid w:val="00F12B60"/>
    <w:rsid w:val="00F12DD8"/>
    <w:rsid w:val="00F1302B"/>
    <w:rsid w:val="00F13123"/>
    <w:rsid w:val="00F13A60"/>
    <w:rsid w:val="00F13F76"/>
    <w:rsid w:val="00F1403B"/>
    <w:rsid w:val="00F14182"/>
    <w:rsid w:val="00F1424D"/>
    <w:rsid w:val="00F14476"/>
    <w:rsid w:val="00F146FA"/>
    <w:rsid w:val="00F149F5"/>
    <w:rsid w:val="00F14BF4"/>
    <w:rsid w:val="00F14D3D"/>
    <w:rsid w:val="00F14E1D"/>
    <w:rsid w:val="00F14F4E"/>
    <w:rsid w:val="00F1528C"/>
    <w:rsid w:val="00F1545C"/>
    <w:rsid w:val="00F15497"/>
    <w:rsid w:val="00F1636F"/>
    <w:rsid w:val="00F164B0"/>
    <w:rsid w:val="00F168EC"/>
    <w:rsid w:val="00F16A26"/>
    <w:rsid w:val="00F16C45"/>
    <w:rsid w:val="00F16D30"/>
    <w:rsid w:val="00F17042"/>
    <w:rsid w:val="00F17085"/>
    <w:rsid w:val="00F179E2"/>
    <w:rsid w:val="00F17A04"/>
    <w:rsid w:val="00F17A1E"/>
    <w:rsid w:val="00F17A89"/>
    <w:rsid w:val="00F17AD6"/>
    <w:rsid w:val="00F17B6C"/>
    <w:rsid w:val="00F21009"/>
    <w:rsid w:val="00F2108E"/>
    <w:rsid w:val="00F21221"/>
    <w:rsid w:val="00F21281"/>
    <w:rsid w:val="00F2176B"/>
    <w:rsid w:val="00F217D2"/>
    <w:rsid w:val="00F220DB"/>
    <w:rsid w:val="00F22D82"/>
    <w:rsid w:val="00F2305C"/>
    <w:rsid w:val="00F234A0"/>
    <w:rsid w:val="00F23A8E"/>
    <w:rsid w:val="00F23C67"/>
    <w:rsid w:val="00F23EA2"/>
    <w:rsid w:val="00F2466D"/>
    <w:rsid w:val="00F24805"/>
    <w:rsid w:val="00F24A80"/>
    <w:rsid w:val="00F24B6B"/>
    <w:rsid w:val="00F24ECD"/>
    <w:rsid w:val="00F24FD4"/>
    <w:rsid w:val="00F25144"/>
    <w:rsid w:val="00F2528B"/>
    <w:rsid w:val="00F252C5"/>
    <w:rsid w:val="00F259DD"/>
    <w:rsid w:val="00F25CB0"/>
    <w:rsid w:val="00F269BB"/>
    <w:rsid w:val="00F26BE0"/>
    <w:rsid w:val="00F26D40"/>
    <w:rsid w:val="00F26DAB"/>
    <w:rsid w:val="00F26DCA"/>
    <w:rsid w:val="00F26E5D"/>
    <w:rsid w:val="00F2704B"/>
    <w:rsid w:val="00F27B9E"/>
    <w:rsid w:val="00F27C88"/>
    <w:rsid w:val="00F27FE4"/>
    <w:rsid w:val="00F301D1"/>
    <w:rsid w:val="00F303C8"/>
    <w:rsid w:val="00F30409"/>
    <w:rsid w:val="00F3049E"/>
    <w:rsid w:val="00F3124E"/>
    <w:rsid w:val="00F315A7"/>
    <w:rsid w:val="00F31C71"/>
    <w:rsid w:val="00F31DC4"/>
    <w:rsid w:val="00F3201C"/>
    <w:rsid w:val="00F3225C"/>
    <w:rsid w:val="00F325EF"/>
    <w:rsid w:val="00F32678"/>
    <w:rsid w:val="00F32913"/>
    <w:rsid w:val="00F32A58"/>
    <w:rsid w:val="00F33692"/>
    <w:rsid w:val="00F339FD"/>
    <w:rsid w:val="00F33B5A"/>
    <w:rsid w:val="00F33B86"/>
    <w:rsid w:val="00F33BD9"/>
    <w:rsid w:val="00F340B6"/>
    <w:rsid w:val="00F34642"/>
    <w:rsid w:val="00F34678"/>
    <w:rsid w:val="00F346AC"/>
    <w:rsid w:val="00F3473E"/>
    <w:rsid w:val="00F34C24"/>
    <w:rsid w:val="00F34C4B"/>
    <w:rsid w:val="00F34E2F"/>
    <w:rsid w:val="00F34F50"/>
    <w:rsid w:val="00F35279"/>
    <w:rsid w:val="00F35422"/>
    <w:rsid w:val="00F35A25"/>
    <w:rsid w:val="00F361B7"/>
    <w:rsid w:val="00F363D7"/>
    <w:rsid w:val="00F364FC"/>
    <w:rsid w:val="00F367DD"/>
    <w:rsid w:val="00F36977"/>
    <w:rsid w:val="00F36B2A"/>
    <w:rsid w:val="00F3711D"/>
    <w:rsid w:val="00F37238"/>
    <w:rsid w:val="00F373FD"/>
    <w:rsid w:val="00F3790D"/>
    <w:rsid w:val="00F379D8"/>
    <w:rsid w:val="00F37C50"/>
    <w:rsid w:val="00F37CBD"/>
    <w:rsid w:val="00F401AD"/>
    <w:rsid w:val="00F409AD"/>
    <w:rsid w:val="00F409DE"/>
    <w:rsid w:val="00F40BAE"/>
    <w:rsid w:val="00F40DC2"/>
    <w:rsid w:val="00F412D4"/>
    <w:rsid w:val="00F41511"/>
    <w:rsid w:val="00F417C0"/>
    <w:rsid w:val="00F41BC0"/>
    <w:rsid w:val="00F41BC2"/>
    <w:rsid w:val="00F42015"/>
    <w:rsid w:val="00F42554"/>
    <w:rsid w:val="00F42577"/>
    <w:rsid w:val="00F42620"/>
    <w:rsid w:val="00F433E8"/>
    <w:rsid w:val="00F43A5B"/>
    <w:rsid w:val="00F43E4A"/>
    <w:rsid w:val="00F43EC6"/>
    <w:rsid w:val="00F44067"/>
    <w:rsid w:val="00F4407F"/>
    <w:rsid w:val="00F441CC"/>
    <w:rsid w:val="00F44304"/>
    <w:rsid w:val="00F44595"/>
    <w:rsid w:val="00F4465B"/>
    <w:rsid w:val="00F45061"/>
    <w:rsid w:val="00F450AC"/>
    <w:rsid w:val="00F4535F"/>
    <w:rsid w:val="00F4547D"/>
    <w:rsid w:val="00F454AD"/>
    <w:rsid w:val="00F458DF"/>
    <w:rsid w:val="00F458F1"/>
    <w:rsid w:val="00F45947"/>
    <w:rsid w:val="00F459B5"/>
    <w:rsid w:val="00F45E82"/>
    <w:rsid w:val="00F45FE0"/>
    <w:rsid w:val="00F464DC"/>
    <w:rsid w:val="00F46513"/>
    <w:rsid w:val="00F46A3B"/>
    <w:rsid w:val="00F46A70"/>
    <w:rsid w:val="00F4731C"/>
    <w:rsid w:val="00F4774C"/>
    <w:rsid w:val="00F47D25"/>
    <w:rsid w:val="00F47DB6"/>
    <w:rsid w:val="00F50136"/>
    <w:rsid w:val="00F509C2"/>
    <w:rsid w:val="00F51265"/>
    <w:rsid w:val="00F51311"/>
    <w:rsid w:val="00F516BF"/>
    <w:rsid w:val="00F5196C"/>
    <w:rsid w:val="00F51AA9"/>
    <w:rsid w:val="00F51F8D"/>
    <w:rsid w:val="00F5214E"/>
    <w:rsid w:val="00F52545"/>
    <w:rsid w:val="00F529AA"/>
    <w:rsid w:val="00F52F93"/>
    <w:rsid w:val="00F52FF9"/>
    <w:rsid w:val="00F53006"/>
    <w:rsid w:val="00F5316F"/>
    <w:rsid w:val="00F531ED"/>
    <w:rsid w:val="00F53296"/>
    <w:rsid w:val="00F534A2"/>
    <w:rsid w:val="00F536AD"/>
    <w:rsid w:val="00F537D4"/>
    <w:rsid w:val="00F53D5A"/>
    <w:rsid w:val="00F53E44"/>
    <w:rsid w:val="00F5402B"/>
    <w:rsid w:val="00F5422A"/>
    <w:rsid w:val="00F544E4"/>
    <w:rsid w:val="00F54608"/>
    <w:rsid w:val="00F54977"/>
    <w:rsid w:val="00F54A79"/>
    <w:rsid w:val="00F54AAA"/>
    <w:rsid w:val="00F54E99"/>
    <w:rsid w:val="00F54FFF"/>
    <w:rsid w:val="00F552F2"/>
    <w:rsid w:val="00F55899"/>
    <w:rsid w:val="00F55BB9"/>
    <w:rsid w:val="00F55E52"/>
    <w:rsid w:val="00F55F52"/>
    <w:rsid w:val="00F56318"/>
    <w:rsid w:val="00F563FF"/>
    <w:rsid w:val="00F56AF3"/>
    <w:rsid w:val="00F56E8F"/>
    <w:rsid w:val="00F56E97"/>
    <w:rsid w:val="00F571AC"/>
    <w:rsid w:val="00F57343"/>
    <w:rsid w:val="00F57EE4"/>
    <w:rsid w:val="00F57EF0"/>
    <w:rsid w:val="00F60402"/>
    <w:rsid w:val="00F606DD"/>
    <w:rsid w:val="00F6112A"/>
    <w:rsid w:val="00F61131"/>
    <w:rsid w:val="00F61877"/>
    <w:rsid w:val="00F6193B"/>
    <w:rsid w:val="00F61F46"/>
    <w:rsid w:val="00F62071"/>
    <w:rsid w:val="00F621AD"/>
    <w:rsid w:val="00F62384"/>
    <w:rsid w:val="00F62474"/>
    <w:rsid w:val="00F627E2"/>
    <w:rsid w:val="00F62C73"/>
    <w:rsid w:val="00F62CA3"/>
    <w:rsid w:val="00F62CA7"/>
    <w:rsid w:val="00F630B6"/>
    <w:rsid w:val="00F63B91"/>
    <w:rsid w:val="00F63E09"/>
    <w:rsid w:val="00F6405F"/>
    <w:rsid w:val="00F64E58"/>
    <w:rsid w:val="00F65080"/>
    <w:rsid w:val="00F650C0"/>
    <w:rsid w:val="00F65272"/>
    <w:rsid w:val="00F654F3"/>
    <w:rsid w:val="00F657AA"/>
    <w:rsid w:val="00F65D95"/>
    <w:rsid w:val="00F6627A"/>
    <w:rsid w:val="00F66426"/>
    <w:rsid w:val="00F66527"/>
    <w:rsid w:val="00F6661E"/>
    <w:rsid w:val="00F668FF"/>
    <w:rsid w:val="00F66A8B"/>
    <w:rsid w:val="00F66D2E"/>
    <w:rsid w:val="00F66DFC"/>
    <w:rsid w:val="00F6704C"/>
    <w:rsid w:val="00F676E4"/>
    <w:rsid w:val="00F67CA1"/>
    <w:rsid w:val="00F67DF7"/>
    <w:rsid w:val="00F7005C"/>
    <w:rsid w:val="00F701E8"/>
    <w:rsid w:val="00F703F5"/>
    <w:rsid w:val="00F708B4"/>
    <w:rsid w:val="00F70C69"/>
    <w:rsid w:val="00F70D1E"/>
    <w:rsid w:val="00F70DEE"/>
    <w:rsid w:val="00F70F65"/>
    <w:rsid w:val="00F71520"/>
    <w:rsid w:val="00F71658"/>
    <w:rsid w:val="00F716A1"/>
    <w:rsid w:val="00F71B72"/>
    <w:rsid w:val="00F72188"/>
    <w:rsid w:val="00F729FA"/>
    <w:rsid w:val="00F72C05"/>
    <w:rsid w:val="00F72E73"/>
    <w:rsid w:val="00F7303D"/>
    <w:rsid w:val="00F7317C"/>
    <w:rsid w:val="00F73193"/>
    <w:rsid w:val="00F73992"/>
    <w:rsid w:val="00F73A39"/>
    <w:rsid w:val="00F73BED"/>
    <w:rsid w:val="00F741D0"/>
    <w:rsid w:val="00F7470B"/>
    <w:rsid w:val="00F749CA"/>
    <w:rsid w:val="00F74C0B"/>
    <w:rsid w:val="00F74D4A"/>
    <w:rsid w:val="00F74D9C"/>
    <w:rsid w:val="00F750A4"/>
    <w:rsid w:val="00F7517F"/>
    <w:rsid w:val="00F75879"/>
    <w:rsid w:val="00F7590F"/>
    <w:rsid w:val="00F75957"/>
    <w:rsid w:val="00F75CDD"/>
    <w:rsid w:val="00F75FE2"/>
    <w:rsid w:val="00F7655C"/>
    <w:rsid w:val="00F766D3"/>
    <w:rsid w:val="00F767B0"/>
    <w:rsid w:val="00F76B2D"/>
    <w:rsid w:val="00F76F64"/>
    <w:rsid w:val="00F772CC"/>
    <w:rsid w:val="00F77F1D"/>
    <w:rsid w:val="00F77F51"/>
    <w:rsid w:val="00F8046C"/>
    <w:rsid w:val="00F80566"/>
    <w:rsid w:val="00F806B7"/>
    <w:rsid w:val="00F80DB3"/>
    <w:rsid w:val="00F80E5E"/>
    <w:rsid w:val="00F80F2D"/>
    <w:rsid w:val="00F812E4"/>
    <w:rsid w:val="00F81502"/>
    <w:rsid w:val="00F81544"/>
    <w:rsid w:val="00F81951"/>
    <w:rsid w:val="00F81DEA"/>
    <w:rsid w:val="00F81E40"/>
    <w:rsid w:val="00F81F79"/>
    <w:rsid w:val="00F8228E"/>
    <w:rsid w:val="00F8279E"/>
    <w:rsid w:val="00F82CBB"/>
    <w:rsid w:val="00F83069"/>
    <w:rsid w:val="00F8443C"/>
    <w:rsid w:val="00F8450C"/>
    <w:rsid w:val="00F849A6"/>
    <w:rsid w:val="00F84B8B"/>
    <w:rsid w:val="00F850B9"/>
    <w:rsid w:val="00F854ED"/>
    <w:rsid w:val="00F8569E"/>
    <w:rsid w:val="00F856F8"/>
    <w:rsid w:val="00F856FC"/>
    <w:rsid w:val="00F85956"/>
    <w:rsid w:val="00F85989"/>
    <w:rsid w:val="00F85997"/>
    <w:rsid w:val="00F85A14"/>
    <w:rsid w:val="00F85B12"/>
    <w:rsid w:val="00F85FDD"/>
    <w:rsid w:val="00F86B45"/>
    <w:rsid w:val="00F86C78"/>
    <w:rsid w:val="00F87627"/>
    <w:rsid w:val="00F87CC0"/>
    <w:rsid w:val="00F87DA6"/>
    <w:rsid w:val="00F87EC7"/>
    <w:rsid w:val="00F90250"/>
    <w:rsid w:val="00F9031B"/>
    <w:rsid w:val="00F90EB0"/>
    <w:rsid w:val="00F90F3A"/>
    <w:rsid w:val="00F910B3"/>
    <w:rsid w:val="00F9116A"/>
    <w:rsid w:val="00F912E8"/>
    <w:rsid w:val="00F913C6"/>
    <w:rsid w:val="00F91464"/>
    <w:rsid w:val="00F91C69"/>
    <w:rsid w:val="00F91DC6"/>
    <w:rsid w:val="00F91EEE"/>
    <w:rsid w:val="00F91F3D"/>
    <w:rsid w:val="00F92329"/>
    <w:rsid w:val="00F927F2"/>
    <w:rsid w:val="00F92B00"/>
    <w:rsid w:val="00F92BF1"/>
    <w:rsid w:val="00F92FB1"/>
    <w:rsid w:val="00F93620"/>
    <w:rsid w:val="00F93A16"/>
    <w:rsid w:val="00F93BC3"/>
    <w:rsid w:val="00F93E7A"/>
    <w:rsid w:val="00F93ECF"/>
    <w:rsid w:val="00F93EFA"/>
    <w:rsid w:val="00F9484A"/>
    <w:rsid w:val="00F94864"/>
    <w:rsid w:val="00F949BB"/>
    <w:rsid w:val="00F94CEC"/>
    <w:rsid w:val="00F95179"/>
    <w:rsid w:val="00F951D1"/>
    <w:rsid w:val="00F9544B"/>
    <w:rsid w:val="00F95602"/>
    <w:rsid w:val="00F95993"/>
    <w:rsid w:val="00F95A8D"/>
    <w:rsid w:val="00F95BDD"/>
    <w:rsid w:val="00F95DBB"/>
    <w:rsid w:val="00F960B6"/>
    <w:rsid w:val="00F9621F"/>
    <w:rsid w:val="00F96679"/>
    <w:rsid w:val="00F96986"/>
    <w:rsid w:val="00F971D5"/>
    <w:rsid w:val="00F9777D"/>
    <w:rsid w:val="00F97B17"/>
    <w:rsid w:val="00F97F3C"/>
    <w:rsid w:val="00FA02EE"/>
    <w:rsid w:val="00FA034F"/>
    <w:rsid w:val="00FA0352"/>
    <w:rsid w:val="00FA03CA"/>
    <w:rsid w:val="00FA0635"/>
    <w:rsid w:val="00FA0684"/>
    <w:rsid w:val="00FA0C34"/>
    <w:rsid w:val="00FA0C90"/>
    <w:rsid w:val="00FA0D6A"/>
    <w:rsid w:val="00FA0DE0"/>
    <w:rsid w:val="00FA10C3"/>
    <w:rsid w:val="00FA1792"/>
    <w:rsid w:val="00FA1B3F"/>
    <w:rsid w:val="00FA24A6"/>
    <w:rsid w:val="00FA272B"/>
    <w:rsid w:val="00FA2964"/>
    <w:rsid w:val="00FA2B31"/>
    <w:rsid w:val="00FA2EA2"/>
    <w:rsid w:val="00FA3194"/>
    <w:rsid w:val="00FA31CB"/>
    <w:rsid w:val="00FA3333"/>
    <w:rsid w:val="00FA33A6"/>
    <w:rsid w:val="00FA3856"/>
    <w:rsid w:val="00FA3A91"/>
    <w:rsid w:val="00FA3EC1"/>
    <w:rsid w:val="00FA42F9"/>
    <w:rsid w:val="00FA43EB"/>
    <w:rsid w:val="00FA4BB9"/>
    <w:rsid w:val="00FA5C04"/>
    <w:rsid w:val="00FA5D2C"/>
    <w:rsid w:val="00FA63D7"/>
    <w:rsid w:val="00FA65D3"/>
    <w:rsid w:val="00FA67F3"/>
    <w:rsid w:val="00FA6B55"/>
    <w:rsid w:val="00FA6DB8"/>
    <w:rsid w:val="00FA7633"/>
    <w:rsid w:val="00FA775C"/>
    <w:rsid w:val="00FA779D"/>
    <w:rsid w:val="00FA7A68"/>
    <w:rsid w:val="00FB029F"/>
    <w:rsid w:val="00FB0479"/>
    <w:rsid w:val="00FB0B18"/>
    <w:rsid w:val="00FB0C86"/>
    <w:rsid w:val="00FB14C3"/>
    <w:rsid w:val="00FB1703"/>
    <w:rsid w:val="00FB187E"/>
    <w:rsid w:val="00FB1971"/>
    <w:rsid w:val="00FB1B72"/>
    <w:rsid w:val="00FB1BD7"/>
    <w:rsid w:val="00FB1C1A"/>
    <w:rsid w:val="00FB1C48"/>
    <w:rsid w:val="00FB25D5"/>
    <w:rsid w:val="00FB2ACA"/>
    <w:rsid w:val="00FB2DDC"/>
    <w:rsid w:val="00FB2F3F"/>
    <w:rsid w:val="00FB330B"/>
    <w:rsid w:val="00FB3392"/>
    <w:rsid w:val="00FB39DF"/>
    <w:rsid w:val="00FB40F0"/>
    <w:rsid w:val="00FB4A1B"/>
    <w:rsid w:val="00FB4B83"/>
    <w:rsid w:val="00FB4EB2"/>
    <w:rsid w:val="00FB52C4"/>
    <w:rsid w:val="00FB53EC"/>
    <w:rsid w:val="00FB54C2"/>
    <w:rsid w:val="00FB5535"/>
    <w:rsid w:val="00FB577F"/>
    <w:rsid w:val="00FB5B58"/>
    <w:rsid w:val="00FB664A"/>
    <w:rsid w:val="00FB6706"/>
    <w:rsid w:val="00FB673E"/>
    <w:rsid w:val="00FB6757"/>
    <w:rsid w:val="00FB6A10"/>
    <w:rsid w:val="00FB6DFE"/>
    <w:rsid w:val="00FB7133"/>
    <w:rsid w:val="00FB71DB"/>
    <w:rsid w:val="00FB72A0"/>
    <w:rsid w:val="00FB753B"/>
    <w:rsid w:val="00FB7901"/>
    <w:rsid w:val="00FB7B2F"/>
    <w:rsid w:val="00FB7F40"/>
    <w:rsid w:val="00FC08E7"/>
    <w:rsid w:val="00FC0BAB"/>
    <w:rsid w:val="00FC0FA3"/>
    <w:rsid w:val="00FC1148"/>
    <w:rsid w:val="00FC12E3"/>
    <w:rsid w:val="00FC18BF"/>
    <w:rsid w:val="00FC1E30"/>
    <w:rsid w:val="00FC2173"/>
    <w:rsid w:val="00FC24D0"/>
    <w:rsid w:val="00FC2A33"/>
    <w:rsid w:val="00FC2BB0"/>
    <w:rsid w:val="00FC3407"/>
    <w:rsid w:val="00FC3469"/>
    <w:rsid w:val="00FC37C5"/>
    <w:rsid w:val="00FC3847"/>
    <w:rsid w:val="00FC3AF4"/>
    <w:rsid w:val="00FC3CB8"/>
    <w:rsid w:val="00FC3D57"/>
    <w:rsid w:val="00FC3EB4"/>
    <w:rsid w:val="00FC4243"/>
    <w:rsid w:val="00FC464B"/>
    <w:rsid w:val="00FC4C50"/>
    <w:rsid w:val="00FC4D38"/>
    <w:rsid w:val="00FC51B8"/>
    <w:rsid w:val="00FC522C"/>
    <w:rsid w:val="00FC5352"/>
    <w:rsid w:val="00FC55EB"/>
    <w:rsid w:val="00FC5B09"/>
    <w:rsid w:val="00FC5B52"/>
    <w:rsid w:val="00FC5FB4"/>
    <w:rsid w:val="00FC5FD1"/>
    <w:rsid w:val="00FC6065"/>
    <w:rsid w:val="00FC60E7"/>
    <w:rsid w:val="00FC62B5"/>
    <w:rsid w:val="00FC6570"/>
    <w:rsid w:val="00FC673B"/>
    <w:rsid w:val="00FC68D7"/>
    <w:rsid w:val="00FC6A41"/>
    <w:rsid w:val="00FC6C2D"/>
    <w:rsid w:val="00FC6D58"/>
    <w:rsid w:val="00FC6E21"/>
    <w:rsid w:val="00FC777D"/>
    <w:rsid w:val="00FC793A"/>
    <w:rsid w:val="00FC7965"/>
    <w:rsid w:val="00FC7971"/>
    <w:rsid w:val="00FC7DCD"/>
    <w:rsid w:val="00FC7E3A"/>
    <w:rsid w:val="00FC7E62"/>
    <w:rsid w:val="00FD0518"/>
    <w:rsid w:val="00FD0641"/>
    <w:rsid w:val="00FD09B0"/>
    <w:rsid w:val="00FD0AD9"/>
    <w:rsid w:val="00FD0BE5"/>
    <w:rsid w:val="00FD0E67"/>
    <w:rsid w:val="00FD16AB"/>
    <w:rsid w:val="00FD18B1"/>
    <w:rsid w:val="00FD1EC2"/>
    <w:rsid w:val="00FD2134"/>
    <w:rsid w:val="00FD230F"/>
    <w:rsid w:val="00FD2581"/>
    <w:rsid w:val="00FD2858"/>
    <w:rsid w:val="00FD2866"/>
    <w:rsid w:val="00FD2884"/>
    <w:rsid w:val="00FD292B"/>
    <w:rsid w:val="00FD2E3A"/>
    <w:rsid w:val="00FD3231"/>
    <w:rsid w:val="00FD3249"/>
    <w:rsid w:val="00FD3333"/>
    <w:rsid w:val="00FD3380"/>
    <w:rsid w:val="00FD34A8"/>
    <w:rsid w:val="00FD3806"/>
    <w:rsid w:val="00FD38DC"/>
    <w:rsid w:val="00FD3A4B"/>
    <w:rsid w:val="00FD4265"/>
    <w:rsid w:val="00FD42B9"/>
    <w:rsid w:val="00FD43C6"/>
    <w:rsid w:val="00FD4869"/>
    <w:rsid w:val="00FD4AED"/>
    <w:rsid w:val="00FD4BEE"/>
    <w:rsid w:val="00FD4D2E"/>
    <w:rsid w:val="00FD4EB7"/>
    <w:rsid w:val="00FD4F61"/>
    <w:rsid w:val="00FD5DCD"/>
    <w:rsid w:val="00FD63E5"/>
    <w:rsid w:val="00FD6457"/>
    <w:rsid w:val="00FD65DF"/>
    <w:rsid w:val="00FD69A1"/>
    <w:rsid w:val="00FD712D"/>
    <w:rsid w:val="00FD7559"/>
    <w:rsid w:val="00FD755E"/>
    <w:rsid w:val="00FD75C1"/>
    <w:rsid w:val="00FD760A"/>
    <w:rsid w:val="00FD76C9"/>
    <w:rsid w:val="00FD7713"/>
    <w:rsid w:val="00FD7B79"/>
    <w:rsid w:val="00FD7C7A"/>
    <w:rsid w:val="00FD7CD3"/>
    <w:rsid w:val="00FE01A1"/>
    <w:rsid w:val="00FE0332"/>
    <w:rsid w:val="00FE0369"/>
    <w:rsid w:val="00FE080D"/>
    <w:rsid w:val="00FE0912"/>
    <w:rsid w:val="00FE0B13"/>
    <w:rsid w:val="00FE1018"/>
    <w:rsid w:val="00FE14A9"/>
    <w:rsid w:val="00FE198A"/>
    <w:rsid w:val="00FE1C73"/>
    <w:rsid w:val="00FE1C77"/>
    <w:rsid w:val="00FE1E2A"/>
    <w:rsid w:val="00FE1E96"/>
    <w:rsid w:val="00FE1FFB"/>
    <w:rsid w:val="00FE24CE"/>
    <w:rsid w:val="00FE276F"/>
    <w:rsid w:val="00FE311C"/>
    <w:rsid w:val="00FE44C5"/>
    <w:rsid w:val="00FE4746"/>
    <w:rsid w:val="00FE4854"/>
    <w:rsid w:val="00FE488F"/>
    <w:rsid w:val="00FE4958"/>
    <w:rsid w:val="00FE4C5A"/>
    <w:rsid w:val="00FE53E4"/>
    <w:rsid w:val="00FE57C8"/>
    <w:rsid w:val="00FE59F7"/>
    <w:rsid w:val="00FE62E3"/>
    <w:rsid w:val="00FE653E"/>
    <w:rsid w:val="00FE6649"/>
    <w:rsid w:val="00FE6660"/>
    <w:rsid w:val="00FE66DA"/>
    <w:rsid w:val="00FE6782"/>
    <w:rsid w:val="00FE67F4"/>
    <w:rsid w:val="00FE68E8"/>
    <w:rsid w:val="00FE6906"/>
    <w:rsid w:val="00FE6955"/>
    <w:rsid w:val="00FE71C5"/>
    <w:rsid w:val="00FE730B"/>
    <w:rsid w:val="00FE7C11"/>
    <w:rsid w:val="00FF1021"/>
    <w:rsid w:val="00FF141F"/>
    <w:rsid w:val="00FF266C"/>
    <w:rsid w:val="00FF2686"/>
    <w:rsid w:val="00FF2C8D"/>
    <w:rsid w:val="00FF34D6"/>
    <w:rsid w:val="00FF3947"/>
    <w:rsid w:val="00FF3F17"/>
    <w:rsid w:val="00FF406D"/>
    <w:rsid w:val="00FF4910"/>
    <w:rsid w:val="00FF49EF"/>
    <w:rsid w:val="00FF49FF"/>
    <w:rsid w:val="00FF4EF1"/>
    <w:rsid w:val="00FF4F07"/>
    <w:rsid w:val="00FF4F42"/>
    <w:rsid w:val="00FF54D2"/>
    <w:rsid w:val="00FF5CE3"/>
    <w:rsid w:val="00FF6039"/>
    <w:rsid w:val="00FF6489"/>
    <w:rsid w:val="00FF6BBA"/>
    <w:rsid w:val="00FF6F4E"/>
    <w:rsid w:val="00FF7242"/>
    <w:rsid w:val="00FF7D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E01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character" w:customStyle="1" w:styleId="FooterChar">
    <w:name w:val="Footer Char"/>
    <w:basedOn w:val="DefaultParagraphFont"/>
    <w:link w:val="Footer"/>
    <w:uiPriority w:val="43"/>
    <w:rsid w:val="00663E86"/>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styleId="FootnoteText">
    <w:name w:val="footnote text"/>
    <w:basedOn w:val="Normal"/>
    <w:link w:val="FootnoteTextChar"/>
    <w:uiPriority w:val="53"/>
    <w:locked/>
    <w:pPr>
      <w:spacing w:after="240" w:line="240" w:lineRule="exact"/>
      <w:ind w:left="510" w:hanging="510"/>
    </w:pPr>
  </w:style>
  <w:style w:type="character" w:customStyle="1" w:styleId="FootnoteTextChar">
    <w:name w:val="Footnote Text Char"/>
    <w:basedOn w:val="DefaultParagraphFont"/>
    <w:link w:val="FootnoteText"/>
    <w:uiPriority w:val="53"/>
    <w:rsid w:val="00677A65"/>
  </w:style>
  <w:style w:type="paragraph" w:customStyle="1" w:styleId="leftright">
    <w:name w:val="leftright"/>
    <w:basedOn w:val="Normal"/>
    <w:uiPriority w:val="33"/>
    <w:qFormat/>
    <w:locked/>
    <w:rsid w:val="00B976F6"/>
    <w:pPr>
      <w:spacing w:before="240" w:line="240" w:lineRule="exact"/>
      <w:ind w:left="720" w:right="794" w:firstLine="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V">
    <w:name w:val="Heading V"/>
    <w:basedOn w:val="HeadingFirst"/>
    <w:next w:val="HeadingSecond"/>
    <w:uiPriority w:val="17"/>
    <w:qFormat/>
    <w:locked/>
    <w:rsid w:val="000E65F7"/>
    <w:rPr>
      <w:caps w:val="0"/>
      <w:u w:val="non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Default">
    <w:name w:val="Default"/>
    <w:rsid w:val="006170B4"/>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locked/>
    <w:rsid w:val="008A1090"/>
    <w:rPr>
      <w:sz w:val="16"/>
      <w:szCs w:val="16"/>
    </w:rPr>
  </w:style>
  <w:style w:type="paragraph" w:styleId="CommentText">
    <w:name w:val="annotation text"/>
    <w:basedOn w:val="Normal"/>
    <w:link w:val="CommentTextChar"/>
    <w:uiPriority w:val="99"/>
    <w:semiHidden/>
    <w:unhideWhenUsed/>
    <w:locked/>
    <w:rsid w:val="008A1090"/>
    <w:pPr>
      <w:spacing w:line="240" w:lineRule="auto"/>
    </w:pPr>
    <w:rPr>
      <w:sz w:val="20"/>
      <w:szCs w:val="20"/>
    </w:rPr>
  </w:style>
  <w:style w:type="character" w:customStyle="1" w:styleId="CommentTextChar">
    <w:name w:val="Comment Text Char"/>
    <w:basedOn w:val="DefaultParagraphFont"/>
    <w:link w:val="CommentText"/>
    <w:uiPriority w:val="99"/>
    <w:semiHidden/>
    <w:rsid w:val="008A1090"/>
    <w:rPr>
      <w:sz w:val="20"/>
      <w:szCs w:val="20"/>
    </w:rPr>
  </w:style>
  <w:style w:type="paragraph" w:styleId="CommentSubject">
    <w:name w:val="annotation subject"/>
    <w:basedOn w:val="CommentText"/>
    <w:next w:val="CommentText"/>
    <w:link w:val="CommentSubjectChar"/>
    <w:uiPriority w:val="99"/>
    <w:semiHidden/>
    <w:unhideWhenUsed/>
    <w:locked/>
    <w:rsid w:val="008A1090"/>
    <w:rPr>
      <w:b/>
      <w:bCs/>
    </w:rPr>
  </w:style>
  <w:style w:type="character" w:customStyle="1" w:styleId="CommentSubjectChar">
    <w:name w:val="Comment Subject Char"/>
    <w:basedOn w:val="CommentTextChar"/>
    <w:link w:val="CommentSubject"/>
    <w:uiPriority w:val="99"/>
    <w:semiHidden/>
    <w:rsid w:val="008A1090"/>
    <w:rPr>
      <w:b/>
      <w:bCs/>
      <w:sz w:val="20"/>
      <w:szCs w:val="20"/>
    </w:rPr>
  </w:style>
  <w:style w:type="paragraph" w:styleId="Revision">
    <w:name w:val="Revision"/>
    <w:hidden/>
    <w:uiPriority w:val="99"/>
    <w:semiHidden/>
    <w:rsid w:val="008E24FE"/>
  </w:style>
  <w:style w:type="character" w:styleId="Strong">
    <w:name w:val="Strong"/>
    <w:basedOn w:val="DefaultParagraphFont"/>
    <w:uiPriority w:val="22"/>
    <w:qFormat/>
    <w:locked/>
    <w:rsid w:val="00A077A9"/>
    <w:rPr>
      <w:b/>
      <w:bCs/>
    </w:rPr>
  </w:style>
  <w:style w:type="paragraph" w:customStyle="1" w:styleId="NoNorm">
    <w:name w:val="No Norm"/>
    <w:basedOn w:val="Normal"/>
    <w:qFormat/>
    <w:rsid w:val="00261C63"/>
    <w:pPr>
      <w:tabs>
        <w:tab w:val="clear" w:pos="720"/>
        <w:tab w:val="clear" w:pos="1440"/>
        <w:tab w:val="left" w:pos="709"/>
      </w:tabs>
      <w:spacing w:before="120" w:line="360" w:lineRule="auto"/>
      <w:ind w:left="720" w:hanging="720"/>
      <w:jc w:val="both"/>
    </w:pPr>
    <w:rPr>
      <w:rFonts w:ascii="Arial" w:hAnsi="Arial" w:cs="Arial"/>
      <w:sz w:val="22"/>
      <w:szCs w:val="22"/>
    </w:rPr>
  </w:style>
  <w:style w:type="paragraph" w:customStyle="1" w:styleId="Noindentnormal">
    <w:name w:val="No indent normal"/>
    <w:basedOn w:val="NoNorm"/>
    <w:qFormat/>
    <w:rsid w:val="00261C63"/>
  </w:style>
  <w:style w:type="paragraph" w:customStyle="1" w:styleId="Indentlista">
    <w:name w:val="Indent list a)"/>
    <w:basedOn w:val="Noindentnormal"/>
    <w:qFormat/>
    <w:rsid w:val="00261C63"/>
  </w:style>
  <w:style w:type="paragraph" w:styleId="Quote">
    <w:name w:val="Quote"/>
    <w:basedOn w:val="Normal"/>
    <w:next w:val="NoNorm"/>
    <w:link w:val="QuoteChar"/>
    <w:uiPriority w:val="29"/>
    <w:qFormat/>
    <w:locked/>
    <w:rsid w:val="00261C63"/>
    <w:pPr>
      <w:tabs>
        <w:tab w:val="clear" w:pos="720"/>
        <w:tab w:val="clear" w:pos="1440"/>
        <w:tab w:val="left" w:pos="1276"/>
      </w:tabs>
      <w:spacing w:before="120" w:after="240" w:line="276" w:lineRule="auto"/>
      <w:ind w:left="1276" w:right="566" w:firstLine="0"/>
      <w:jc w:val="both"/>
    </w:pPr>
    <w:rPr>
      <w:rFonts w:ascii="Arial" w:hAnsi="Arial" w:cs="Arial"/>
      <w:sz w:val="21"/>
      <w:szCs w:val="22"/>
    </w:rPr>
  </w:style>
  <w:style w:type="character" w:customStyle="1" w:styleId="QuoteChar">
    <w:name w:val="Quote Char"/>
    <w:basedOn w:val="DefaultParagraphFont"/>
    <w:link w:val="Quote"/>
    <w:uiPriority w:val="29"/>
    <w:rsid w:val="00261C63"/>
    <w:rPr>
      <w:rFonts w:ascii="Arial" w:hAnsi="Arial" w:cs="Arial"/>
      <w:sz w:val="21"/>
      <w:szCs w:val="22"/>
    </w:rPr>
  </w:style>
  <w:style w:type="paragraph" w:styleId="ListBullet5">
    <w:name w:val="List Bullet 5"/>
    <w:basedOn w:val="Normal"/>
    <w:uiPriority w:val="99"/>
    <w:unhideWhenUsed/>
    <w:locked/>
    <w:rsid w:val="00261C63"/>
    <w:pPr>
      <w:tabs>
        <w:tab w:val="clear" w:pos="720"/>
        <w:tab w:val="num" w:pos="1492"/>
      </w:tabs>
      <w:spacing w:before="120" w:line="312" w:lineRule="auto"/>
      <w:ind w:left="1492" w:hanging="360"/>
      <w:contextualSpacing/>
      <w:jc w:val="both"/>
    </w:pPr>
    <w:rPr>
      <w:rFonts w:ascii="Arial" w:hAnsi="Arial" w:cs="Arial"/>
      <w:sz w:val="22"/>
      <w:szCs w:val="22"/>
    </w:rPr>
  </w:style>
  <w:style w:type="paragraph" w:styleId="ListParagraph">
    <w:name w:val="List Paragraph"/>
    <w:basedOn w:val="Normal"/>
    <w:uiPriority w:val="34"/>
    <w:qFormat/>
    <w:locked/>
    <w:rsid w:val="00261C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exact"/>
      <w:ind w:left="720" w:right="0" w:firstLine="0"/>
      <w:contextualSpacing/>
    </w:pPr>
    <w:rPr>
      <w:szCs w:val="20"/>
    </w:rPr>
  </w:style>
  <w:style w:type="paragraph" w:customStyle="1" w:styleId="Level1">
    <w:name w:val="Level 1"/>
    <w:basedOn w:val="Normal"/>
    <w:qFormat/>
    <w:rsid w:val="00261C63"/>
    <w:pPr>
      <w:widowControl w:val="0"/>
      <w:numPr>
        <w:numId w:val="23"/>
      </w:numPr>
      <w:tabs>
        <w:tab w:val="clear" w:pos="720"/>
        <w:tab w:val="clear" w:pos="1440"/>
        <w:tab w:val="clear" w:pos="2160"/>
        <w:tab w:val="clear" w:pos="2880"/>
        <w:tab w:val="clear" w:pos="3600"/>
        <w:tab w:val="clear" w:pos="4320"/>
        <w:tab w:val="clear" w:pos="5760"/>
        <w:tab w:val="clear" w:pos="6480"/>
        <w:tab w:val="clear" w:pos="7200"/>
        <w:tab w:val="left" w:pos="20"/>
        <w:tab w:val="left" w:pos="709"/>
        <w:tab w:val="left" w:pos="1680"/>
        <w:tab w:val="left" w:pos="2240"/>
        <w:tab w:val="left" w:pos="2800"/>
        <w:tab w:val="left" w:pos="3360"/>
        <w:tab w:val="left" w:pos="3920"/>
        <w:tab w:val="left" w:pos="4480"/>
        <w:tab w:val="left" w:pos="5600"/>
        <w:tab w:val="left" w:pos="6160"/>
        <w:tab w:val="left" w:pos="6720"/>
      </w:tabs>
      <w:autoSpaceDE w:val="0"/>
      <w:autoSpaceDN w:val="0"/>
      <w:adjustRightInd w:val="0"/>
      <w:spacing w:before="250" w:after="130" w:line="300" w:lineRule="auto"/>
      <w:ind w:left="709" w:right="0" w:hanging="689"/>
    </w:pPr>
    <w:rPr>
      <w:rFonts w:eastAsia="MS Mincho"/>
      <w:b/>
      <w:sz w:val="24"/>
      <w:szCs w:val="24"/>
      <w:lang w:eastAsia="ja-JP"/>
    </w:rPr>
  </w:style>
  <w:style w:type="paragraph" w:customStyle="1" w:styleId="Level2">
    <w:name w:val="Level 2"/>
    <w:basedOn w:val="Level1"/>
    <w:qFormat/>
    <w:rsid w:val="00261C63"/>
    <w:pPr>
      <w:widowControl/>
      <w:numPr>
        <w:ilvl w:val="1"/>
      </w:numPr>
      <w:tabs>
        <w:tab w:val="clear" w:pos="20"/>
      </w:tabs>
      <w:spacing w:before="0"/>
      <w:ind w:left="709" w:hanging="709"/>
      <w:jc w:val="both"/>
    </w:pPr>
    <w:rPr>
      <w:b w:val="0"/>
      <w:sz w:val="20"/>
      <w:szCs w:val="20"/>
      <w:lang w:val="en-US" w:eastAsia="en-US" w:bidi="en-US"/>
    </w:rPr>
  </w:style>
  <w:style w:type="character" w:styleId="Emphasis">
    <w:name w:val="Emphasis"/>
    <w:basedOn w:val="DefaultParagraphFont"/>
    <w:uiPriority w:val="20"/>
    <w:qFormat/>
    <w:locked/>
    <w:rsid w:val="00261C63"/>
    <w:rPr>
      <w:i/>
      <w:iCs/>
    </w:rPr>
  </w:style>
  <w:style w:type="character" w:customStyle="1" w:styleId="smallfont">
    <w:name w:val="smallfont"/>
    <w:basedOn w:val="DefaultParagraphFont"/>
    <w:rsid w:val="00261C63"/>
  </w:style>
  <w:style w:type="paragraph" w:customStyle="1" w:styleId="Body">
    <w:name w:val="Body"/>
    <w:basedOn w:val="Normal"/>
    <w:qFormat/>
    <w:rsid w:val="0047638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7638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7638A"/>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7638A"/>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7638A"/>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7638A"/>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93912">
      <w:bodyDiv w:val="1"/>
      <w:marLeft w:val="0"/>
      <w:marRight w:val="0"/>
      <w:marTop w:val="0"/>
      <w:marBottom w:val="0"/>
      <w:divBdr>
        <w:top w:val="none" w:sz="0" w:space="0" w:color="auto"/>
        <w:left w:val="none" w:sz="0" w:space="0" w:color="auto"/>
        <w:bottom w:val="none" w:sz="0" w:space="0" w:color="auto"/>
        <w:right w:val="none" w:sz="0" w:space="0" w:color="auto"/>
      </w:divBdr>
      <w:divsChild>
        <w:div w:id="1667323100">
          <w:marLeft w:val="0"/>
          <w:marRight w:val="0"/>
          <w:marTop w:val="0"/>
          <w:marBottom w:val="0"/>
          <w:divBdr>
            <w:top w:val="none" w:sz="0" w:space="0" w:color="auto"/>
            <w:left w:val="none" w:sz="0" w:space="0" w:color="auto"/>
            <w:bottom w:val="none" w:sz="0" w:space="0" w:color="auto"/>
            <w:right w:val="none" w:sz="0" w:space="0" w:color="auto"/>
          </w:divBdr>
          <w:divsChild>
            <w:div w:id="1203976378">
              <w:marLeft w:val="0"/>
              <w:marRight w:val="0"/>
              <w:marTop w:val="0"/>
              <w:marBottom w:val="0"/>
              <w:divBdr>
                <w:top w:val="none" w:sz="0" w:space="0" w:color="auto"/>
                <w:left w:val="none" w:sz="0" w:space="0" w:color="auto"/>
                <w:bottom w:val="none" w:sz="0" w:space="0" w:color="auto"/>
                <w:right w:val="none" w:sz="0" w:space="0" w:color="auto"/>
              </w:divBdr>
              <w:divsChild>
                <w:div w:id="562764854">
                  <w:marLeft w:val="0"/>
                  <w:marRight w:val="0"/>
                  <w:marTop w:val="0"/>
                  <w:marBottom w:val="0"/>
                  <w:divBdr>
                    <w:top w:val="none" w:sz="0" w:space="0" w:color="auto"/>
                    <w:left w:val="none" w:sz="0" w:space="0" w:color="auto"/>
                    <w:bottom w:val="none" w:sz="0" w:space="0" w:color="auto"/>
                    <w:right w:val="none" w:sz="0" w:space="0" w:color="auto"/>
                  </w:divBdr>
                </w:div>
                <w:div w:id="1727603073">
                  <w:marLeft w:val="0"/>
                  <w:marRight w:val="0"/>
                  <w:marTop w:val="0"/>
                  <w:marBottom w:val="0"/>
                  <w:divBdr>
                    <w:top w:val="none" w:sz="0" w:space="0" w:color="auto"/>
                    <w:left w:val="none" w:sz="0" w:space="0" w:color="auto"/>
                    <w:bottom w:val="none" w:sz="0" w:space="0" w:color="auto"/>
                    <w:right w:val="none" w:sz="0" w:space="0" w:color="auto"/>
                  </w:divBdr>
                </w:div>
                <w:div w:id="1858536909">
                  <w:marLeft w:val="0"/>
                  <w:marRight w:val="0"/>
                  <w:marTop w:val="0"/>
                  <w:marBottom w:val="0"/>
                  <w:divBdr>
                    <w:top w:val="none" w:sz="0" w:space="0" w:color="auto"/>
                    <w:left w:val="none" w:sz="0" w:space="0" w:color="auto"/>
                    <w:bottom w:val="none" w:sz="0" w:space="0" w:color="auto"/>
                    <w:right w:val="none" w:sz="0" w:space="0" w:color="auto"/>
                  </w:divBdr>
                  <w:divsChild>
                    <w:div w:id="15886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766220">
      <w:bodyDiv w:val="1"/>
      <w:marLeft w:val="0"/>
      <w:marRight w:val="0"/>
      <w:marTop w:val="0"/>
      <w:marBottom w:val="0"/>
      <w:divBdr>
        <w:top w:val="none" w:sz="0" w:space="0" w:color="auto"/>
        <w:left w:val="none" w:sz="0" w:space="0" w:color="auto"/>
        <w:bottom w:val="none" w:sz="0" w:space="0" w:color="auto"/>
        <w:right w:val="none" w:sz="0" w:space="0" w:color="auto"/>
      </w:divBdr>
    </w:div>
    <w:div w:id="1582524839">
      <w:bodyDiv w:val="1"/>
      <w:marLeft w:val="0"/>
      <w:marRight w:val="0"/>
      <w:marTop w:val="0"/>
      <w:marBottom w:val="0"/>
      <w:divBdr>
        <w:top w:val="none" w:sz="0" w:space="0" w:color="auto"/>
        <w:left w:val="none" w:sz="0" w:space="0" w:color="auto"/>
        <w:bottom w:val="none" w:sz="0" w:space="0" w:color="auto"/>
        <w:right w:val="none" w:sz="0" w:space="0" w:color="auto"/>
      </w:divBdr>
    </w:div>
    <w:div w:id="19303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customXml" Target="../customXml/item3.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7763A5-4DEA-4C61-8167-0922CA3ACEE3}">
  <ds:schemaRefs>
    <ds:schemaRef ds:uri="http://schemas.openxmlformats.org/officeDocument/2006/bibliography"/>
  </ds:schemaRefs>
</ds:datastoreItem>
</file>

<file path=customXml/itemProps2.xml><?xml version="1.0" encoding="utf-8"?>
<ds:datastoreItem xmlns:ds="http://schemas.openxmlformats.org/officeDocument/2006/customXml" ds:itemID="{226F1C88-67EB-41FD-8168-2FDD8D6D50B6}"/>
</file>

<file path=customXml/itemProps3.xml><?xml version="1.0" encoding="utf-8"?>
<ds:datastoreItem xmlns:ds="http://schemas.openxmlformats.org/officeDocument/2006/customXml" ds:itemID="{41C601DB-7457-4E50-90B3-86956DEBAA27}"/>
</file>

<file path=customXml/itemProps4.xml><?xml version="1.0" encoding="utf-8"?>
<ds:datastoreItem xmlns:ds="http://schemas.openxmlformats.org/officeDocument/2006/customXml" ds:itemID="{DB0C4C82-C49B-43CC-A9F3-D3C418EF16C7}"/>
</file>

<file path=docProps/app.xml><?xml version="1.0" encoding="utf-8"?>
<Properties xmlns="http://schemas.openxmlformats.org/officeDocument/2006/extended-properties" xmlns:vt="http://schemas.openxmlformats.org/officeDocument/2006/docPropsVTypes">
  <Template>Normal.dotm</Template>
  <TotalTime>0</TotalTime>
  <Pages>115</Pages>
  <Words>35061</Words>
  <Characters>171429</Characters>
  <Application>Microsoft Office Word</Application>
  <DocSecurity>0</DocSecurity>
  <Lines>1428</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2021-06-17T02:51:00Z</dcterms:created>
  <dcterms:modified xsi:type="dcterms:W3CDTF">2021-06-17T02:51:00Z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5">
    <vt:lpwstr>NETTLE J 05</vt:lpwstr>
  </property>
  <property fmtid="{D5CDD505-2E9C-101B-9397-08002B2CF9AE}" pid="3" name="ContentTypeId">
    <vt:lpwstr>0x0101001F32D2EC4F8DE44A8C0C478B82839881</vt:lpwstr>
  </property>
  <property fmtid="{D5CDD505-2E9C-101B-9397-08002B2CF9AE}" pid="4" name="Judge03">
    <vt:lpwstr>GAGELER J 03</vt:lpwstr>
  </property>
  <property fmtid="{D5CDD505-2E9C-101B-9397-08002B2CF9AE}" pid="5" name="Judge06">
    <vt:lpwstr>GORDON J 06</vt:lpwstr>
  </property>
  <property fmtid="{D5CDD505-2E9C-101B-9397-08002B2CF9AE}" pid="6" name="Judge01">
    <vt:lpwstr>KIEFEL CJ 01</vt:lpwstr>
  </property>
  <property fmtid="{D5CDD505-2E9C-101B-9397-08002B2CF9AE}" pid="7" name="Judge04">
    <vt:lpwstr>KEANE J 04</vt:lpwstr>
  </property>
  <property fmtid="{D5CDD505-2E9C-101B-9397-08002B2CF9AE}" pid="8" name="Judge07">
    <vt:lpwstr>EDELMAN J 07</vt:lpwstr>
  </property>
  <property fmtid="{D5CDD505-2E9C-101B-9397-08002B2CF9AE}" pid="9" name="Judge02">
    <vt:lpwstr>BELL J 02</vt:lpwstr>
  </property>
</Properties>
</file>