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1D9F" w14:textId="77777777" w:rsidR="00577BDD" w:rsidRPr="00704FF8" w:rsidRDefault="00577BDD" w:rsidP="00704FF8">
      <w:pPr>
        <w:pStyle w:val="OrdersTopLine"/>
      </w:pPr>
      <w:r w:rsidRPr="00704FF8">
        <w:t>HIGH COURT OF AUSTRALIA</w:t>
      </w:r>
    </w:p>
    <w:p w14:paraId="236B31E2" w14:textId="77777777" w:rsidR="00577BDD" w:rsidRPr="00704FF8" w:rsidRDefault="00577BDD" w:rsidP="00704FF8">
      <w:pPr>
        <w:pStyle w:val="OrderCentre"/>
      </w:pPr>
    </w:p>
    <w:p w14:paraId="62656BC3" w14:textId="77777777" w:rsidR="00577BDD" w:rsidRPr="002F0CE5" w:rsidRDefault="00577BDD" w:rsidP="00704FF8">
      <w:pPr>
        <w:pStyle w:val="OrderCentre"/>
        <w:rPr>
          <w:sz w:val="24"/>
          <w:szCs w:val="24"/>
        </w:rPr>
      </w:pPr>
      <w:r w:rsidRPr="002F0CE5">
        <w:rPr>
          <w:sz w:val="24"/>
          <w:szCs w:val="24"/>
        </w:rPr>
        <w:t>KIEFEL CJ,</w:t>
      </w:r>
    </w:p>
    <w:p w14:paraId="67E40EAD" w14:textId="77777777" w:rsidR="00577BDD" w:rsidRPr="002F0CE5" w:rsidRDefault="00577BDD" w:rsidP="00704FF8">
      <w:pPr>
        <w:pStyle w:val="OrderCentre"/>
        <w:rPr>
          <w:sz w:val="24"/>
          <w:szCs w:val="24"/>
        </w:rPr>
      </w:pPr>
      <w:r w:rsidRPr="002F0CE5">
        <w:rPr>
          <w:sz w:val="24"/>
          <w:szCs w:val="24"/>
        </w:rPr>
        <w:t>GAGELER, KEANE, GORDON, EDELMAN, STEWARD AND GLEESON JJ</w:t>
      </w:r>
    </w:p>
    <w:p w14:paraId="3313DFD6" w14:textId="77777777" w:rsidR="00577BDD" w:rsidRPr="00427F3A" w:rsidRDefault="00577BDD" w:rsidP="00EE5374">
      <w:pPr>
        <w:pStyle w:val="Centre"/>
        <w:rPr>
          <w:lang w:val="en-AU"/>
        </w:rPr>
      </w:pPr>
    </w:p>
    <w:p w14:paraId="1C7ED82E" w14:textId="77777777" w:rsidR="00577BDD" w:rsidRPr="00704FF8" w:rsidRDefault="00577BDD" w:rsidP="00704FF8">
      <w:pPr>
        <w:pStyle w:val="OrdersCenteredBorder"/>
      </w:pPr>
    </w:p>
    <w:p w14:paraId="49382278" w14:textId="77777777" w:rsidR="00577BDD" w:rsidRPr="00704FF8" w:rsidRDefault="00577BDD" w:rsidP="0032341F">
      <w:pPr>
        <w:pStyle w:val="OrdersBodyHeading"/>
      </w:pPr>
    </w:p>
    <w:p w14:paraId="098F338F" w14:textId="77777777" w:rsidR="00577BDD" w:rsidRPr="0032341F" w:rsidRDefault="00577BDD" w:rsidP="009362E8">
      <w:pPr>
        <w:pStyle w:val="OrdersPartyName"/>
        <w:ind w:right="-1"/>
      </w:pPr>
      <w:r w:rsidRPr="00D50704">
        <w:t>MZAPC</w:t>
      </w:r>
      <w:r w:rsidRPr="0032341F">
        <w:tab/>
        <w:t>APPELLANT</w:t>
      </w:r>
    </w:p>
    <w:p w14:paraId="55B99FE2" w14:textId="77777777" w:rsidR="00577BDD" w:rsidRPr="0032341F" w:rsidRDefault="00577BDD" w:rsidP="009362E8">
      <w:pPr>
        <w:pStyle w:val="OrdersPartyName"/>
        <w:ind w:right="-1"/>
      </w:pPr>
    </w:p>
    <w:p w14:paraId="4D377E03" w14:textId="77777777" w:rsidR="00577BDD" w:rsidRPr="0032341F" w:rsidRDefault="00577BDD" w:rsidP="009362E8">
      <w:pPr>
        <w:pStyle w:val="OrdersPartyName"/>
        <w:ind w:right="-1"/>
      </w:pPr>
      <w:r w:rsidRPr="0032341F">
        <w:t>AND</w:t>
      </w:r>
    </w:p>
    <w:p w14:paraId="64EA1BEB" w14:textId="77777777" w:rsidR="00577BDD" w:rsidRPr="0032341F" w:rsidRDefault="00577BDD" w:rsidP="009362E8">
      <w:pPr>
        <w:pStyle w:val="OrdersPartyName"/>
        <w:ind w:right="-1"/>
      </w:pPr>
    </w:p>
    <w:p w14:paraId="043DF69E" w14:textId="77777777" w:rsidR="00577BDD" w:rsidRDefault="00577BDD" w:rsidP="00FD7CEF">
      <w:pPr>
        <w:pStyle w:val="OrdersPartyName"/>
        <w:ind w:right="-1"/>
        <w:jc w:val="left"/>
      </w:pPr>
      <w:r w:rsidRPr="00D50704">
        <w:t>MINISTER FOR IMMIGRATION AND BORDER</w:t>
      </w:r>
    </w:p>
    <w:p w14:paraId="582AC29F" w14:textId="77777777" w:rsidR="00577BDD" w:rsidRPr="0032341F" w:rsidRDefault="00577BDD" w:rsidP="00FD7CEF">
      <w:pPr>
        <w:pStyle w:val="OrdersPartyName"/>
        <w:ind w:right="-1"/>
        <w:jc w:val="left"/>
      </w:pPr>
      <w:r w:rsidRPr="00D50704">
        <w:t>PROTECTION</w:t>
      </w:r>
      <w:r>
        <w:t xml:space="preserve"> </w:t>
      </w:r>
      <w:r w:rsidRPr="00D50704">
        <w:t>&amp;</w:t>
      </w:r>
      <w:r>
        <w:t xml:space="preserve"> </w:t>
      </w:r>
      <w:r w:rsidRPr="00D50704">
        <w:t>ANOR</w:t>
      </w:r>
      <w:r w:rsidRPr="0032341F">
        <w:tab/>
        <w:t>RESPONDENT</w:t>
      </w:r>
      <w:r>
        <w:t>S</w:t>
      </w:r>
    </w:p>
    <w:p w14:paraId="7B792294" w14:textId="77777777" w:rsidR="00577BDD" w:rsidRPr="00427F3A" w:rsidRDefault="00577BDD" w:rsidP="00AF0A5E">
      <w:pPr>
        <w:pStyle w:val="BodyHeading"/>
      </w:pPr>
    </w:p>
    <w:p w14:paraId="71307948" w14:textId="77777777" w:rsidR="00577BDD" w:rsidRPr="00427F3A" w:rsidRDefault="00577BDD" w:rsidP="00BE0A6C">
      <w:pPr>
        <w:pStyle w:val="BodyHeading"/>
      </w:pPr>
    </w:p>
    <w:p w14:paraId="6BA9A030" w14:textId="77777777" w:rsidR="00577BDD" w:rsidRPr="00427F3A" w:rsidRDefault="00577BDD" w:rsidP="00EE5374">
      <w:pPr>
        <w:pStyle w:val="CentreItalics"/>
      </w:pPr>
      <w:r w:rsidRPr="00FD7CEF">
        <w:t>MZAPC v Minister for Immigration and Border Protection</w:t>
      </w:r>
    </w:p>
    <w:p w14:paraId="657333F7" w14:textId="77777777" w:rsidR="00577BDD" w:rsidRPr="00427F3A" w:rsidRDefault="00577BDD" w:rsidP="00E90E4F">
      <w:pPr>
        <w:pStyle w:val="OrdersCentre"/>
      </w:pPr>
      <w:r>
        <w:t>[2021</w:t>
      </w:r>
      <w:r w:rsidRPr="00427F3A">
        <w:t xml:space="preserve">] HCA </w:t>
      </w:r>
      <w:r>
        <w:t>17</w:t>
      </w:r>
    </w:p>
    <w:p w14:paraId="0F9D858B" w14:textId="77777777" w:rsidR="00577BDD" w:rsidRDefault="00577BDD" w:rsidP="00E90E4F">
      <w:pPr>
        <w:pStyle w:val="OrdersCentreItalics"/>
      </w:pPr>
      <w:r>
        <w:t>Date of Hearing: 5 March 2021</w:t>
      </w:r>
    </w:p>
    <w:p w14:paraId="2918CDCF" w14:textId="77777777" w:rsidR="00577BDD" w:rsidRPr="00427F3A" w:rsidRDefault="00577BDD" w:rsidP="00E90E4F">
      <w:pPr>
        <w:pStyle w:val="OrdersCentreItalics"/>
      </w:pPr>
      <w:r>
        <w:t>Date of Judgment: 19 May 2021</w:t>
      </w:r>
    </w:p>
    <w:p w14:paraId="379C4D66" w14:textId="77777777" w:rsidR="00577BDD" w:rsidRDefault="00577BDD" w:rsidP="00E90E4F">
      <w:pPr>
        <w:pStyle w:val="OrdersCentre"/>
      </w:pPr>
      <w:r w:rsidRPr="00FD7CEF">
        <w:t>M77/2020</w:t>
      </w:r>
    </w:p>
    <w:p w14:paraId="02521BAC" w14:textId="77777777" w:rsidR="00577BDD" w:rsidRPr="00427F3A" w:rsidRDefault="00577BDD" w:rsidP="00E90E4F">
      <w:pPr>
        <w:pStyle w:val="OrdersCentre"/>
      </w:pPr>
    </w:p>
    <w:p w14:paraId="22FC5241" w14:textId="77777777" w:rsidR="00577BDD" w:rsidRPr="00BE0A6C" w:rsidRDefault="00577BDD" w:rsidP="00E90E4F">
      <w:pPr>
        <w:pStyle w:val="OrderCentreBold"/>
      </w:pPr>
      <w:r w:rsidRPr="00BE0A6C">
        <w:t>ORDER</w:t>
      </w:r>
    </w:p>
    <w:p w14:paraId="44EC4701" w14:textId="77777777" w:rsidR="00577BDD" w:rsidRPr="00427F3A" w:rsidRDefault="00577BDD" w:rsidP="00736C52">
      <w:pPr>
        <w:pStyle w:val="Centre"/>
        <w:rPr>
          <w:lang w:val="en-AU"/>
        </w:rPr>
      </w:pPr>
    </w:p>
    <w:p w14:paraId="376CD578" w14:textId="77777777" w:rsidR="00577BDD" w:rsidRDefault="00577BDD" w:rsidP="00B521B2">
      <w:pPr>
        <w:pStyle w:val="OrdersText"/>
      </w:pPr>
      <w:r>
        <w:t xml:space="preserve">Appeal dismissed with costs. </w:t>
      </w:r>
    </w:p>
    <w:p w14:paraId="654629D8" w14:textId="77777777" w:rsidR="00577BDD" w:rsidRDefault="00577BDD" w:rsidP="00EE5374">
      <w:pPr>
        <w:pStyle w:val="Body"/>
      </w:pPr>
    </w:p>
    <w:p w14:paraId="4FC027B9" w14:textId="77777777" w:rsidR="00577BDD" w:rsidRPr="00427F3A" w:rsidRDefault="00577BDD" w:rsidP="00EE5374">
      <w:pPr>
        <w:pStyle w:val="Body"/>
      </w:pPr>
    </w:p>
    <w:p w14:paraId="19C0BF66" w14:textId="77777777" w:rsidR="00577BDD" w:rsidRPr="00427F3A" w:rsidRDefault="00577BDD" w:rsidP="0032341F">
      <w:pPr>
        <w:pStyle w:val="OrdersBody"/>
      </w:pPr>
      <w:r w:rsidRPr="00427F3A">
        <w:t xml:space="preserve">On appeal from the </w:t>
      </w:r>
      <w:r w:rsidRPr="00FD7CEF">
        <w:t>Federal Court of Australia</w:t>
      </w:r>
    </w:p>
    <w:p w14:paraId="127B61B5" w14:textId="77777777" w:rsidR="00577BDD" w:rsidRDefault="00577BDD" w:rsidP="00EE5374">
      <w:pPr>
        <w:pStyle w:val="Body"/>
      </w:pPr>
    </w:p>
    <w:p w14:paraId="22601254" w14:textId="77777777" w:rsidR="00577BDD" w:rsidRPr="00427F3A" w:rsidRDefault="00577BDD" w:rsidP="00EE5374">
      <w:pPr>
        <w:pStyle w:val="Body"/>
      </w:pPr>
    </w:p>
    <w:p w14:paraId="5AABF57C" w14:textId="77777777" w:rsidR="00577BDD" w:rsidRPr="00480707" w:rsidRDefault="00577BDD" w:rsidP="00E90E4F">
      <w:pPr>
        <w:pStyle w:val="OrdersBodyHeading"/>
      </w:pPr>
      <w:r w:rsidRPr="00480707">
        <w:t>Representation</w:t>
      </w:r>
    </w:p>
    <w:p w14:paraId="11F56F24" w14:textId="77777777" w:rsidR="00577BDD" w:rsidRPr="00480707" w:rsidRDefault="00577BDD" w:rsidP="00EE5374">
      <w:pPr>
        <w:pStyle w:val="Body"/>
      </w:pPr>
    </w:p>
    <w:p w14:paraId="0FB56A6F" w14:textId="77777777" w:rsidR="00577BDD" w:rsidRPr="00480707" w:rsidRDefault="00577BDD" w:rsidP="00E90E4F">
      <w:pPr>
        <w:pStyle w:val="OrdersBody"/>
      </w:pPr>
      <w:r w:rsidRPr="00480707">
        <w:t>D J Hooke SC with S H Hartford Davis, S G Lawrence and D J Reynolds for the appellant (instructed by Conditsis Lawyers)</w:t>
      </w:r>
    </w:p>
    <w:p w14:paraId="3DC0DA33" w14:textId="77777777" w:rsidR="00577BDD" w:rsidRPr="00480707" w:rsidRDefault="00577BDD" w:rsidP="001B3C97">
      <w:pPr>
        <w:pStyle w:val="Body"/>
      </w:pPr>
    </w:p>
    <w:p w14:paraId="2A7FA102" w14:textId="77777777" w:rsidR="00577BDD" w:rsidRPr="00480707" w:rsidRDefault="00577BDD" w:rsidP="00E90E4F">
      <w:pPr>
        <w:pStyle w:val="OrdersBody"/>
      </w:pPr>
      <w:r w:rsidRPr="00480707">
        <w:t>S P Donaghue QC, Solicitor-General of the Commonwealth, with M A Hosking for the first respondent (instructed by Clayton Utz)</w:t>
      </w:r>
    </w:p>
    <w:p w14:paraId="7D509254" w14:textId="77777777" w:rsidR="00577BDD" w:rsidRPr="00480707" w:rsidRDefault="00577BDD" w:rsidP="00A01277">
      <w:pPr>
        <w:pStyle w:val="Body"/>
      </w:pPr>
    </w:p>
    <w:p w14:paraId="170AA118" w14:textId="77777777" w:rsidR="00577BDD" w:rsidRPr="00480707" w:rsidRDefault="00577BDD" w:rsidP="00E90E4F">
      <w:pPr>
        <w:pStyle w:val="OrdersBody"/>
      </w:pPr>
      <w:r w:rsidRPr="00480707">
        <w:t>Submitting appearance for the second respondent</w:t>
      </w:r>
    </w:p>
    <w:p w14:paraId="0DD2E3DF" w14:textId="77777777" w:rsidR="00577BDD" w:rsidRPr="00480707" w:rsidRDefault="00577BDD" w:rsidP="00A01277">
      <w:pPr>
        <w:pStyle w:val="Body"/>
      </w:pPr>
    </w:p>
    <w:p w14:paraId="6E7CA6CB" w14:textId="77777777" w:rsidR="00577BDD" w:rsidRPr="00480707" w:rsidRDefault="00577BDD" w:rsidP="00EE5374">
      <w:pPr>
        <w:pStyle w:val="Body"/>
      </w:pPr>
    </w:p>
    <w:p w14:paraId="3F17B035" w14:textId="77777777" w:rsidR="00577BDD" w:rsidRPr="00480707" w:rsidRDefault="00577BDD" w:rsidP="00EE5374">
      <w:pPr>
        <w:pStyle w:val="Body"/>
      </w:pPr>
    </w:p>
    <w:p w14:paraId="0ACFC1D7" w14:textId="77777777" w:rsidR="00577BDD" w:rsidRPr="00427F3A" w:rsidRDefault="00577BDD" w:rsidP="00F9713B">
      <w:pPr>
        <w:pStyle w:val="Notice"/>
        <w:rPr>
          <w:lang w:val="en-AU"/>
        </w:rPr>
      </w:pPr>
      <w:r w:rsidRPr="00480707">
        <w:rPr>
          <w:lang w:val="en-AU"/>
        </w:rPr>
        <w:t>Notice:  This copy of the Court's Reasons for Judgment is subject to</w:t>
      </w:r>
      <w:r w:rsidRPr="00427F3A">
        <w:rPr>
          <w:lang w:val="en-AU"/>
        </w:rPr>
        <w:t xml:space="preserve"> formal revision prior to publication in the Commonwealth Law Reports.</w:t>
      </w:r>
    </w:p>
    <w:p w14:paraId="42C9C809" w14:textId="09CDA6E5" w:rsidR="00577BDD" w:rsidRDefault="00577B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0BC1A3D" w14:textId="77777777" w:rsidR="00577BDD" w:rsidRDefault="00577B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77BDD" w:rsidSect="00577BD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05462819" w14:textId="77777777" w:rsidR="00577BDD" w:rsidRDefault="00577BDD" w:rsidP="007A74C0">
      <w:pPr>
        <w:pStyle w:val="CatchwordsBold"/>
        <w:tabs>
          <w:tab w:val="clear" w:pos="3600"/>
          <w:tab w:val="clear" w:pos="6480"/>
          <w:tab w:val="left" w:pos="7560"/>
        </w:tabs>
      </w:pPr>
      <w:r w:rsidRPr="00B9489E">
        <w:lastRenderedPageBreak/>
        <w:t>CATCHWORDS</w:t>
      </w:r>
    </w:p>
    <w:p w14:paraId="6F7D0BDD" w14:textId="77777777" w:rsidR="00577BDD" w:rsidRPr="00B9489E" w:rsidRDefault="00577BDD" w:rsidP="001649CA">
      <w:pPr>
        <w:pStyle w:val="CatchwordsBold"/>
      </w:pPr>
    </w:p>
    <w:p w14:paraId="2B3D13C0" w14:textId="77777777" w:rsidR="00577BDD" w:rsidRPr="00441E1C" w:rsidRDefault="00577BDD" w:rsidP="001649CA">
      <w:pPr>
        <w:pStyle w:val="CatchwordsBold"/>
      </w:pPr>
      <w:r w:rsidRPr="00441E1C">
        <w:t xml:space="preserve">MZAPC v Minister for Immigration and Border Protection </w:t>
      </w:r>
    </w:p>
    <w:p w14:paraId="612B66F8" w14:textId="77777777" w:rsidR="00577BDD" w:rsidRPr="00441E1C" w:rsidRDefault="00577BDD" w:rsidP="00562CAB">
      <w:pPr>
        <w:pStyle w:val="Default"/>
      </w:pPr>
    </w:p>
    <w:p w14:paraId="591A171A" w14:textId="563CD744" w:rsidR="00577BDD" w:rsidRDefault="00577BDD" w:rsidP="001649CA">
      <w:pPr>
        <w:pStyle w:val="CatchwordsText"/>
      </w:pPr>
      <w:r w:rsidRPr="00441E1C">
        <w:t>Immigration – Refugees – Application</w:t>
      </w:r>
      <w:r>
        <w:t xml:space="preserve"> for protection visa </w:t>
      </w:r>
      <w:r w:rsidRPr="00B9489E">
        <w:t>–</w:t>
      </w:r>
      <w:r>
        <w:t xml:space="preserve"> Where appellant applied to Refugee Review Tribunal ("Tribunal") for review of first respondent's decision to refuse protection visa under </w:t>
      </w:r>
      <w:r w:rsidRPr="00B50A6E">
        <w:rPr>
          <w:i/>
        </w:rPr>
        <w:t>Migration Act 1958</w:t>
      </w:r>
      <w:r>
        <w:t xml:space="preserve"> (Cth) ("Act") </w:t>
      </w:r>
      <w:r w:rsidRPr="00B9489E">
        <w:t>–</w:t>
      </w:r>
      <w:r>
        <w:t xml:space="preserve"> Where s 438 notification issued under Act in relation to material including appellant's criminal record </w:t>
      </w:r>
      <w:r w:rsidRPr="00B9489E">
        <w:t>–</w:t>
      </w:r>
      <w:r>
        <w:t xml:space="preserve"> Where Tribunal did not disclose existence of s 438 notification to appellant </w:t>
      </w:r>
      <w:r w:rsidRPr="00B9489E">
        <w:t>–</w:t>
      </w:r>
      <w:r>
        <w:t xml:space="preserve"> Where first respondent conceded failure to disclose amounted to breach of procedural fairness </w:t>
      </w:r>
      <w:r w:rsidRPr="00B9489E">
        <w:t>–</w:t>
      </w:r>
      <w:r>
        <w:t xml:space="preserve"> Where information covered by s 438 notification not referred to in reasons for decision</w:t>
      </w:r>
      <w:r w:rsidRPr="00B9489E">
        <w:t xml:space="preserve"> –</w:t>
      </w:r>
      <w:r>
        <w:t xml:space="preserve"> Whether breach material</w:t>
      </w:r>
      <w:r w:rsidRPr="00B9489E">
        <w:t xml:space="preserve"> –</w:t>
      </w:r>
      <w:r>
        <w:t xml:space="preserve"> Whether </w:t>
      </w:r>
      <w:r>
        <w:rPr>
          <w:rStyle w:val="ssleftalign"/>
        </w:rPr>
        <w:t xml:space="preserve">Tribunal in fact took s 438 notification information into account in making decision </w:t>
      </w:r>
      <w:r w:rsidRPr="00B9489E">
        <w:t>–</w:t>
      </w:r>
      <w:r>
        <w:t xml:space="preserve"> </w:t>
      </w:r>
      <w:r>
        <w:rPr>
          <w:rStyle w:val="ssleftalign"/>
        </w:rPr>
        <w:t xml:space="preserve">Whether Federal Court erred by erecting presumption that Tribunal did not take s 438 notification information into account </w:t>
      </w:r>
      <w:r w:rsidRPr="00B9489E">
        <w:t>–</w:t>
      </w:r>
      <w:r>
        <w:rPr>
          <w:rStyle w:val="ssleftalign"/>
        </w:rPr>
        <w:t xml:space="preserve"> Whether disclosure to appellant of fact of s 438 notification could realistically have led to different decision</w:t>
      </w:r>
      <w:r w:rsidRPr="00B9489E">
        <w:t xml:space="preserve"> –</w:t>
      </w:r>
      <w:r>
        <w:t xml:space="preserve"> Whether appellant or first respondent bore onus of proof of materiality </w:t>
      </w:r>
      <w:r w:rsidRPr="00B9489E">
        <w:t>–</w:t>
      </w:r>
      <w:r>
        <w:t xml:space="preserve"> Whether Federal Court erred by confining materiality consideration to offence of dishonesty to exclusion of other offences. </w:t>
      </w:r>
    </w:p>
    <w:p w14:paraId="58F52692" w14:textId="77777777" w:rsidR="00577BDD" w:rsidRDefault="00577BDD" w:rsidP="001649CA">
      <w:pPr>
        <w:pStyle w:val="CatchwordsText"/>
      </w:pPr>
    </w:p>
    <w:p w14:paraId="4FD59EFB" w14:textId="77777777" w:rsidR="00577BDD" w:rsidRDefault="00577BDD" w:rsidP="001649CA">
      <w:pPr>
        <w:pStyle w:val="CatchwordsText"/>
      </w:pPr>
      <w:r w:rsidRPr="00B9489E">
        <w:t>Words and phrases –</w:t>
      </w:r>
      <w:r>
        <w:t xml:space="preserve"> "counterfactual inquiry", "credit", "discharging the burden of proof", "failure to disclose", "judicial review", "jurisdictional error", "lost opportunity to present legal and factual argument", "materiality", "onus of proof", "opportunity to be heard", "practical injustice", "presumption", "procedural fairness", "realistic possibility", "reasonable conjecture", "statutory interpretation", "subconscious impact", "threshold of materiality".</w:t>
      </w:r>
    </w:p>
    <w:p w14:paraId="5140EB42" w14:textId="77777777" w:rsidR="00577BDD" w:rsidRPr="00B9489E" w:rsidRDefault="00577BDD" w:rsidP="001649CA">
      <w:pPr>
        <w:pStyle w:val="CatchwordsText"/>
      </w:pPr>
    </w:p>
    <w:p w14:paraId="428E2848" w14:textId="77777777" w:rsidR="00577BDD" w:rsidRPr="0052265C" w:rsidRDefault="00577BDD" w:rsidP="0052265C">
      <w:pPr>
        <w:pStyle w:val="CatchwordsText"/>
        <w:rPr>
          <w:b/>
        </w:rPr>
      </w:pPr>
      <w:r>
        <w:rPr>
          <w:i/>
        </w:rPr>
        <w:t xml:space="preserve">Migration Act 1958 </w:t>
      </w:r>
      <w:r>
        <w:t>(Cth), Pt 7, s 438.</w:t>
      </w:r>
    </w:p>
    <w:p w14:paraId="62AC1BCF" w14:textId="77777777" w:rsidR="00577BDD" w:rsidRDefault="00577BDD" w:rsidP="001649CA">
      <w:pPr>
        <w:pStyle w:val="CatchwordsText"/>
        <w:rPr>
          <w:b/>
        </w:rPr>
      </w:pPr>
    </w:p>
    <w:p w14:paraId="03B864E2" w14:textId="1BF0D22F" w:rsidR="00577BDD" w:rsidRDefault="00577BDD" w:rsidP="00577B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BBE6C81" w14:textId="56C94ABD" w:rsidR="00577BDD" w:rsidRDefault="00577B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3451A91" w14:textId="0D18E15B" w:rsidR="00577BDD" w:rsidRDefault="00577B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E8A07C7" w14:textId="77777777" w:rsidR="00577BDD" w:rsidRDefault="00577BDD" w:rsidP="005E1802">
      <w:pPr>
        <w:pStyle w:val="FixListStyle"/>
        <w:tabs>
          <w:tab w:val="clear" w:pos="720"/>
          <w:tab w:val="left" w:pos="0"/>
        </w:tabs>
        <w:spacing w:after="260" w:line="280" w:lineRule="exact"/>
        <w:ind w:right="0"/>
        <w:jc w:val="both"/>
        <w:rPr>
          <w:rFonts w:ascii="Times New Roman" w:hAnsi="Times New Roman"/>
        </w:rPr>
        <w:sectPr w:rsidR="00577BDD" w:rsidSect="00577BDD">
          <w:pgSz w:w="11907" w:h="16839" w:code="9"/>
          <w:pgMar w:top="1440" w:right="1701" w:bottom="1984" w:left="1701" w:header="720" w:footer="720" w:gutter="0"/>
          <w:pgNumType w:start="1"/>
          <w:cols w:space="720"/>
          <w:titlePg/>
          <w:docGrid w:linePitch="354"/>
        </w:sectPr>
      </w:pPr>
    </w:p>
    <w:p w14:paraId="30373315" w14:textId="7C0E11B2" w:rsidR="0053605C" w:rsidRPr="005E1802" w:rsidRDefault="005E1802" w:rsidP="005E1802">
      <w:pPr>
        <w:pStyle w:val="FixListStyle"/>
        <w:tabs>
          <w:tab w:val="clear" w:pos="720"/>
          <w:tab w:val="left" w:pos="0"/>
        </w:tabs>
        <w:spacing w:after="260" w:line="280" w:lineRule="exact"/>
        <w:ind w:right="0"/>
        <w:jc w:val="both"/>
        <w:rPr>
          <w:rFonts w:ascii="Times New Roman" w:hAnsi="Times New Roman"/>
        </w:rPr>
      </w:pPr>
      <w:r w:rsidRPr="005E1802">
        <w:rPr>
          <w:rFonts w:ascii="Times New Roman" w:hAnsi="Times New Roman"/>
        </w:rPr>
        <w:lastRenderedPageBreak/>
        <w:t xml:space="preserve">KIEFEL CJ, GAGELER, KEANE AND GLEESON JJ.   </w:t>
      </w:r>
      <w:r w:rsidR="00784CC2" w:rsidRPr="005E1802">
        <w:rPr>
          <w:rFonts w:ascii="Times New Roman" w:hAnsi="Times New Roman"/>
        </w:rPr>
        <w:t xml:space="preserve">This appeal </w:t>
      </w:r>
      <w:r w:rsidR="0083467C" w:rsidRPr="005E1802">
        <w:rPr>
          <w:rFonts w:ascii="Times New Roman" w:hAnsi="Times New Roman"/>
        </w:rPr>
        <w:t xml:space="preserve">raises issues </w:t>
      </w:r>
      <w:r w:rsidR="009115A0" w:rsidRPr="005E1802">
        <w:rPr>
          <w:rFonts w:ascii="Times New Roman" w:hAnsi="Times New Roman"/>
        </w:rPr>
        <w:t>concern</w:t>
      </w:r>
      <w:r w:rsidR="0083467C" w:rsidRPr="005E1802">
        <w:rPr>
          <w:rFonts w:ascii="Times New Roman" w:hAnsi="Times New Roman"/>
        </w:rPr>
        <w:t>ing</w:t>
      </w:r>
      <w:r w:rsidR="00784CC2" w:rsidRPr="005E1802">
        <w:rPr>
          <w:rFonts w:ascii="Times New Roman" w:hAnsi="Times New Roman"/>
        </w:rPr>
        <w:t xml:space="preserve"> </w:t>
      </w:r>
      <w:r w:rsidR="00417296" w:rsidRPr="005E1802">
        <w:rPr>
          <w:rFonts w:ascii="Times New Roman" w:hAnsi="Times New Roman"/>
        </w:rPr>
        <w:t xml:space="preserve">the content and </w:t>
      </w:r>
      <w:r w:rsidR="009115A0" w:rsidRPr="005E1802">
        <w:rPr>
          <w:rFonts w:ascii="Times New Roman" w:hAnsi="Times New Roman"/>
        </w:rPr>
        <w:t>proof</w:t>
      </w:r>
      <w:r w:rsidR="00906EA2" w:rsidRPr="005E1802">
        <w:rPr>
          <w:rFonts w:ascii="Times New Roman" w:hAnsi="Times New Roman"/>
        </w:rPr>
        <w:t xml:space="preserve"> of the element of materiality</w:t>
      </w:r>
      <w:r w:rsidR="009115A0" w:rsidRPr="005E1802">
        <w:rPr>
          <w:rFonts w:ascii="Times New Roman" w:hAnsi="Times New Roman"/>
        </w:rPr>
        <w:t xml:space="preserve"> </w:t>
      </w:r>
      <w:r w:rsidR="00783117" w:rsidRPr="005E1802">
        <w:rPr>
          <w:rFonts w:ascii="Times New Roman" w:hAnsi="Times New Roman"/>
        </w:rPr>
        <w:t xml:space="preserve">identified in </w:t>
      </w:r>
      <w:r w:rsidR="00C65C06" w:rsidRPr="005E1802">
        <w:rPr>
          <w:rFonts w:ascii="Times New Roman" w:hAnsi="Times New Roman"/>
          <w:i/>
        </w:rPr>
        <w:t>Hossain v Minister for Immigration and Border Protection</w:t>
      </w:r>
      <w:r w:rsidR="009115A0" w:rsidRPr="005E1802">
        <w:rPr>
          <w:rStyle w:val="FootnoteReference"/>
          <w:rFonts w:ascii="Times New Roman" w:hAnsi="Times New Roman"/>
          <w:sz w:val="24"/>
        </w:rPr>
        <w:footnoteReference w:id="2"/>
      </w:r>
      <w:r w:rsidR="009115A0" w:rsidRPr="005E1802">
        <w:rPr>
          <w:rFonts w:ascii="Times New Roman" w:hAnsi="Times New Roman"/>
        </w:rPr>
        <w:t xml:space="preserve"> </w:t>
      </w:r>
      <w:r w:rsidR="005F728E" w:rsidRPr="005E1802">
        <w:rPr>
          <w:rFonts w:ascii="Times New Roman" w:hAnsi="Times New Roman"/>
        </w:rPr>
        <w:t>as ordinarily</w:t>
      </w:r>
      <w:r w:rsidR="00EE1452" w:rsidRPr="005E1802">
        <w:rPr>
          <w:rFonts w:ascii="Times New Roman" w:hAnsi="Times New Roman"/>
        </w:rPr>
        <w:t xml:space="preserve"> </w:t>
      </w:r>
      <w:r w:rsidR="0053605C" w:rsidRPr="005E1802">
        <w:rPr>
          <w:rFonts w:ascii="Times New Roman" w:hAnsi="Times New Roman"/>
        </w:rPr>
        <w:t>required</w:t>
      </w:r>
      <w:r w:rsidR="00EE1452" w:rsidRPr="005E1802">
        <w:rPr>
          <w:rFonts w:ascii="Times New Roman" w:hAnsi="Times New Roman"/>
        </w:rPr>
        <w:t xml:space="preserve"> </w:t>
      </w:r>
      <w:r w:rsidR="004318BB" w:rsidRPr="005E1802">
        <w:rPr>
          <w:rFonts w:ascii="Times New Roman" w:hAnsi="Times New Roman"/>
        </w:rPr>
        <w:t xml:space="preserve">to </w:t>
      </w:r>
      <w:r w:rsidR="003B5DBE" w:rsidRPr="005E1802">
        <w:rPr>
          <w:rFonts w:ascii="Times New Roman" w:hAnsi="Times New Roman"/>
        </w:rPr>
        <w:t>exist for</w:t>
      </w:r>
      <w:r w:rsidR="00A54550" w:rsidRPr="005E1802">
        <w:rPr>
          <w:rFonts w:ascii="Times New Roman" w:hAnsi="Times New Roman"/>
        </w:rPr>
        <w:t xml:space="preserve"> a breach of </w:t>
      </w:r>
      <w:r w:rsidR="003063AF" w:rsidRPr="005E1802">
        <w:rPr>
          <w:rFonts w:ascii="Times New Roman" w:hAnsi="Times New Roman"/>
        </w:rPr>
        <w:t>a</w:t>
      </w:r>
      <w:r w:rsidR="002B27AB" w:rsidRPr="005E1802">
        <w:rPr>
          <w:rFonts w:ascii="Times New Roman" w:hAnsi="Times New Roman"/>
        </w:rPr>
        <w:t>n express or implied</w:t>
      </w:r>
      <w:r w:rsidR="00EE1452" w:rsidRPr="005E1802">
        <w:rPr>
          <w:rFonts w:ascii="Times New Roman" w:hAnsi="Times New Roman"/>
        </w:rPr>
        <w:t xml:space="preserve"> </w:t>
      </w:r>
      <w:r w:rsidR="003063AF" w:rsidRPr="005E1802">
        <w:rPr>
          <w:rFonts w:ascii="Times New Roman" w:hAnsi="Times New Roman"/>
        </w:rPr>
        <w:t>condition</w:t>
      </w:r>
      <w:r w:rsidR="00A54550" w:rsidRPr="005E1802">
        <w:rPr>
          <w:rFonts w:ascii="Times New Roman" w:hAnsi="Times New Roman"/>
        </w:rPr>
        <w:t xml:space="preserve"> </w:t>
      </w:r>
      <w:r w:rsidR="0083467C" w:rsidRPr="005E1802">
        <w:rPr>
          <w:rFonts w:ascii="Times New Roman" w:hAnsi="Times New Roman"/>
        </w:rPr>
        <w:t xml:space="preserve">of </w:t>
      </w:r>
      <w:r w:rsidR="00E73E58" w:rsidRPr="005E1802">
        <w:rPr>
          <w:rFonts w:ascii="Times New Roman" w:hAnsi="Times New Roman"/>
        </w:rPr>
        <w:t>a</w:t>
      </w:r>
      <w:r w:rsidR="00ED60C3" w:rsidRPr="005E1802">
        <w:rPr>
          <w:rFonts w:ascii="Times New Roman" w:hAnsi="Times New Roman"/>
        </w:rPr>
        <w:t xml:space="preserve"> conferral</w:t>
      </w:r>
      <w:r w:rsidR="0083467C" w:rsidRPr="005E1802">
        <w:rPr>
          <w:rFonts w:ascii="Times New Roman" w:hAnsi="Times New Roman"/>
        </w:rPr>
        <w:t xml:space="preserve"> </w:t>
      </w:r>
      <w:r w:rsidR="008E0D61" w:rsidRPr="005E1802">
        <w:rPr>
          <w:rFonts w:ascii="Times New Roman" w:hAnsi="Times New Roman"/>
        </w:rPr>
        <w:t>of statutory</w:t>
      </w:r>
      <w:r w:rsidR="00ED60C3" w:rsidRPr="005E1802">
        <w:rPr>
          <w:rFonts w:ascii="Times New Roman" w:hAnsi="Times New Roman"/>
        </w:rPr>
        <w:t xml:space="preserve"> decision-making authority </w:t>
      </w:r>
      <w:r w:rsidR="002B27AB" w:rsidRPr="005E1802">
        <w:rPr>
          <w:rFonts w:ascii="Times New Roman" w:hAnsi="Times New Roman"/>
        </w:rPr>
        <w:t>to</w:t>
      </w:r>
      <w:r w:rsidR="004318BB" w:rsidRPr="005E1802">
        <w:rPr>
          <w:rFonts w:ascii="Times New Roman" w:hAnsi="Times New Roman"/>
        </w:rPr>
        <w:t xml:space="preserve"> </w:t>
      </w:r>
      <w:r w:rsidR="004167B7" w:rsidRPr="005E1802">
        <w:rPr>
          <w:rFonts w:ascii="Times New Roman" w:hAnsi="Times New Roman"/>
        </w:rPr>
        <w:t>result</w:t>
      </w:r>
      <w:r w:rsidR="00A54550" w:rsidRPr="005E1802">
        <w:rPr>
          <w:rFonts w:ascii="Times New Roman" w:hAnsi="Times New Roman"/>
        </w:rPr>
        <w:t xml:space="preserve"> </w:t>
      </w:r>
      <w:r w:rsidR="004167B7" w:rsidRPr="005E1802">
        <w:rPr>
          <w:rFonts w:ascii="Times New Roman" w:hAnsi="Times New Roman"/>
        </w:rPr>
        <w:t>in</w:t>
      </w:r>
      <w:r w:rsidR="00A54550" w:rsidRPr="005E1802">
        <w:rPr>
          <w:rFonts w:ascii="Times New Roman" w:hAnsi="Times New Roman"/>
        </w:rPr>
        <w:t xml:space="preserve"> </w:t>
      </w:r>
      <w:r w:rsidR="000E7A47" w:rsidRPr="005E1802">
        <w:rPr>
          <w:rFonts w:ascii="Times New Roman" w:hAnsi="Times New Roman"/>
        </w:rPr>
        <w:t>jurisdictional error</w:t>
      </w:r>
      <w:r w:rsidR="004167B7" w:rsidRPr="005E1802">
        <w:rPr>
          <w:rFonts w:ascii="Times New Roman" w:hAnsi="Times New Roman"/>
        </w:rPr>
        <w:t xml:space="preserve">. </w:t>
      </w:r>
    </w:p>
    <w:p w14:paraId="71F189DE" w14:textId="4A7DA91A" w:rsidR="00663D00" w:rsidRPr="005E1802" w:rsidRDefault="0053605C"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C96FCC" w:rsidRPr="005E1802">
        <w:rPr>
          <w:rFonts w:ascii="Times New Roman" w:hAnsi="Times New Roman"/>
        </w:rPr>
        <w:t>M</w:t>
      </w:r>
      <w:r w:rsidR="000E68E5" w:rsidRPr="005E1802">
        <w:rPr>
          <w:rFonts w:ascii="Times New Roman" w:hAnsi="Times New Roman"/>
        </w:rPr>
        <w:t>ateriality</w:t>
      </w:r>
      <w:r w:rsidR="00776A3C" w:rsidRPr="005E1802">
        <w:rPr>
          <w:rFonts w:ascii="Times New Roman" w:hAnsi="Times New Roman"/>
        </w:rPr>
        <w:t xml:space="preserve"> </w:t>
      </w:r>
      <w:r w:rsidR="000E68E5" w:rsidRPr="005E1802">
        <w:rPr>
          <w:rFonts w:ascii="Times New Roman" w:hAnsi="Times New Roman"/>
        </w:rPr>
        <w:t xml:space="preserve">was </w:t>
      </w:r>
      <w:r w:rsidR="00064882" w:rsidRPr="005E1802">
        <w:rPr>
          <w:rFonts w:ascii="Times New Roman" w:hAnsi="Times New Roman"/>
        </w:rPr>
        <w:t xml:space="preserve">subsequently </w:t>
      </w:r>
      <w:r w:rsidR="000E68E5" w:rsidRPr="005E1802">
        <w:rPr>
          <w:rFonts w:ascii="Times New Roman" w:hAnsi="Times New Roman"/>
        </w:rPr>
        <w:t xml:space="preserve">explained in </w:t>
      </w:r>
      <w:r w:rsidR="00AF6856" w:rsidRPr="005E1802">
        <w:rPr>
          <w:rFonts w:ascii="Times New Roman" w:hAnsi="Times New Roman"/>
          <w:i/>
        </w:rPr>
        <w:t>Minister for Immigration and Border Protection v SZMTA</w:t>
      </w:r>
      <w:r w:rsidR="00BC0B1C" w:rsidRPr="005E1802">
        <w:rPr>
          <w:rStyle w:val="FootnoteReference"/>
          <w:rFonts w:ascii="Times New Roman" w:hAnsi="Times New Roman"/>
          <w:sz w:val="24"/>
        </w:rPr>
        <w:footnoteReference w:id="3"/>
      </w:r>
      <w:r w:rsidR="00BC0B1C" w:rsidRPr="005E1802">
        <w:rPr>
          <w:rFonts w:ascii="Times New Roman" w:hAnsi="Times New Roman"/>
        </w:rPr>
        <w:t xml:space="preserve"> </w:t>
      </w:r>
      <w:r w:rsidR="00C96FCC" w:rsidRPr="005E1802">
        <w:rPr>
          <w:rFonts w:ascii="Times New Roman" w:hAnsi="Times New Roman"/>
        </w:rPr>
        <w:t xml:space="preserve">to </w:t>
      </w:r>
      <w:r w:rsidR="007D4098" w:rsidRPr="005E1802">
        <w:rPr>
          <w:rFonts w:ascii="Times New Roman" w:hAnsi="Times New Roman"/>
        </w:rPr>
        <w:t>involve</w:t>
      </w:r>
      <w:r w:rsidR="00D90D61" w:rsidRPr="005E1802">
        <w:rPr>
          <w:rFonts w:ascii="Times New Roman" w:hAnsi="Times New Roman"/>
        </w:rPr>
        <w:t xml:space="preserve"> </w:t>
      </w:r>
      <w:r w:rsidR="00EF4A41" w:rsidRPr="005E1802">
        <w:rPr>
          <w:rFonts w:ascii="Times New Roman" w:hAnsi="Times New Roman"/>
        </w:rPr>
        <w:t xml:space="preserve">a realistic possibility </w:t>
      </w:r>
      <w:r w:rsidR="0075494F" w:rsidRPr="005E1802">
        <w:rPr>
          <w:rFonts w:ascii="Times New Roman" w:hAnsi="Times New Roman"/>
        </w:rPr>
        <w:t>that</w:t>
      </w:r>
      <w:r w:rsidR="00EF4A41" w:rsidRPr="005E1802">
        <w:rPr>
          <w:rFonts w:ascii="Times New Roman" w:hAnsi="Times New Roman"/>
        </w:rPr>
        <w:t xml:space="preserve"> </w:t>
      </w:r>
      <w:r w:rsidR="0075494F" w:rsidRPr="005E1802">
        <w:rPr>
          <w:rFonts w:ascii="Times New Roman" w:hAnsi="Times New Roman"/>
        </w:rPr>
        <w:t xml:space="preserve">the </w:t>
      </w:r>
      <w:r w:rsidR="005867D9" w:rsidRPr="005E1802">
        <w:rPr>
          <w:rFonts w:ascii="Times New Roman" w:hAnsi="Times New Roman"/>
        </w:rPr>
        <w:t xml:space="preserve">decision </w:t>
      </w:r>
      <w:r w:rsidR="008A34A2" w:rsidRPr="005E1802">
        <w:rPr>
          <w:rFonts w:ascii="Times New Roman" w:hAnsi="Times New Roman"/>
        </w:rPr>
        <w:t xml:space="preserve">in fact made </w:t>
      </w:r>
      <w:r w:rsidR="0075494F" w:rsidRPr="005E1802">
        <w:rPr>
          <w:rFonts w:ascii="Times New Roman" w:hAnsi="Times New Roman"/>
        </w:rPr>
        <w:t xml:space="preserve">could have </w:t>
      </w:r>
      <w:r w:rsidR="005867D9" w:rsidRPr="005E1802">
        <w:rPr>
          <w:rFonts w:ascii="Times New Roman" w:hAnsi="Times New Roman"/>
        </w:rPr>
        <w:t xml:space="preserve">been different </w:t>
      </w:r>
      <w:r w:rsidR="00DA179B" w:rsidRPr="005E1802">
        <w:rPr>
          <w:rFonts w:ascii="Times New Roman" w:hAnsi="Times New Roman"/>
        </w:rPr>
        <w:t xml:space="preserve">had the breach </w:t>
      </w:r>
      <w:r w:rsidR="00C96FCC" w:rsidRPr="005E1802">
        <w:rPr>
          <w:rFonts w:ascii="Times New Roman" w:hAnsi="Times New Roman"/>
        </w:rPr>
        <w:t xml:space="preserve">of the condition </w:t>
      </w:r>
      <w:r w:rsidR="00DA179B" w:rsidRPr="005E1802">
        <w:rPr>
          <w:rFonts w:ascii="Times New Roman" w:hAnsi="Times New Roman"/>
        </w:rPr>
        <w:t xml:space="preserve">not occurred. </w:t>
      </w:r>
      <w:r w:rsidR="003B072E" w:rsidRPr="005E1802">
        <w:rPr>
          <w:rFonts w:ascii="Times New Roman" w:hAnsi="Times New Roman"/>
        </w:rPr>
        <w:t>E</w:t>
      </w:r>
      <w:r w:rsidR="00D8492A" w:rsidRPr="005E1802">
        <w:rPr>
          <w:rFonts w:ascii="Times New Roman" w:hAnsi="Times New Roman"/>
        </w:rPr>
        <w:t xml:space="preserve">xistence </w:t>
      </w:r>
      <w:r w:rsidR="003B072E" w:rsidRPr="005E1802">
        <w:rPr>
          <w:rFonts w:ascii="Times New Roman" w:hAnsi="Times New Roman"/>
        </w:rPr>
        <w:t xml:space="preserve">or non-existence </w:t>
      </w:r>
      <w:r w:rsidR="00D8492A" w:rsidRPr="005E1802">
        <w:rPr>
          <w:rFonts w:ascii="Times New Roman" w:hAnsi="Times New Roman"/>
        </w:rPr>
        <w:t xml:space="preserve">of a realistic possibility </w:t>
      </w:r>
      <w:r w:rsidR="00B152FC" w:rsidRPr="005E1802">
        <w:rPr>
          <w:rFonts w:ascii="Times New Roman" w:hAnsi="Times New Roman"/>
        </w:rPr>
        <w:t>that the decis</w:t>
      </w:r>
      <w:r w:rsidR="00683360" w:rsidRPr="005E1802">
        <w:rPr>
          <w:rFonts w:ascii="Times New Roman" w:hAnsi="Times New Roman"/>
        </w:rPr>
        <w:t>ion</w:t>
      </w:r>
      <w:r w:rsidR="00B152FC" w:rsidRPr="005E1802">
        <w:rPr>
          <w:rFonts w:ascii="Times New Roman" w:hAnsi="Times New Roman"/>
        </w:rPr>
        <w:t xml:space="preserve"> could have been different </w:t>
      </w:r>
      <w:r w:rsidR="00D8492A" w:rsidRPr="005E1802">
        <w:rPr>
          <w:rFonts w:ascii="Times New Roman" w:hAnsi="Times New Roman"/>
        </w:rPr>
        <w:t xml:space="preserve">was explained </w:t>
      </w:r>
      <w:r w:rsidR="00A7655F" w:rsidRPr="005E1802">
        <w:rPr>
          <w:rFonts w:ascii="Times New Roman" w:hAnsi="Times New Roman"/>
        </w:rPr>
        <w:t xml:space="preserve">to </w:t>
      </w:r>
      <w:r w:rsidR="00222476" w:rsidRPr="005E1802">
        <w:rPr>
          <w:rFonts w:ascii="Times New Roman" w:hAnsi="Times New Roman"/>
        </w:rPr>
        <w:t>be a</w:t>
      </w:r>
      <w:r w:rsidR="004F68DA" w:rsidRPr="005E1802">
        <w:rPr>
          <w:rFonts w:ascii="Times New Roman" w:hAnsi="Times New Roman"/>
        </w:rPr>
        <w:t xml:space="preserve"> </w:t>
      </w:r>
      <w:r w:rsidR="00222476" w:rsidRPr="005E1802">
        <w:rPr>
          <w:rFonts w:ascii="Times New Roman" w:hAnsi="Times New Roman"/>
        </w:rPr>
        <w:t xml:space="preserve">question of fact </w:t>
      </w:r>
      <w:r w:rsidR="004D5799" w:rsidRPr="005E1802">
        <w:rPr>
          <w:rFonts w:ascii="Times New Roman" w:hAnsi="Times New Roman"/>
        </w:rPr>
        <w:t xml:space="preserve">in respect of </w:t>
      </w:r>
      <w:r w:rsidR="00222476" w:rsidRPr="005E1802">
        <w:rPr>
          <w:rFonts w:ascii="Times New Roman" w:hAnsi="Times New Roman"/>
        </w:rPr>
        <w:t xml:space="preserve">which </w:t>
      </w:r>
      <w:r w:rsidR="003405DC" w:rsidRPr="005E1802">
        <w:rPr>
          <w:rFonts w:ascii="Times New Roman" w:hAnsi="Times New Roman"/>
        </w:rPr>
        <w:t xml:space="preserve">the plaintiff in an </w:t>
      </w:r>
      <w:r w:rsidR="004D5799" w:rsidRPr="005E1802">
        <w:rPr>
          <w:rFonts w:ascii="Times New Roman" w:hAnsi="Times New Roman"/>
        </w:rPr>
        <w:t>applica</w:t>
      </w:r>
      <w:r w:rsidR="003405DC" w:rsidRPr="005E1802">
        <w:rPr>
          <w:rFonts w:ascii="Times New Roman" w:hAnsi="Times New Roman"/>
        </w:rPr>
        <w:t>tion</w:t>
      </w:r>
      <w:r w:rsidR="004D5799" w:rsidRPr="005E1802">
        <w:rPr>
          <w:rFonts w:ascii="Times New Roman" w:hAnsi="Times New Roman"/>
        </w:rPr>
        <w:t xml:space="preserve"> for judicial review </w:t>
      </w:r>
      <w:r w:rsidR="00115896" w:rsidRPr="005E1802">
        <w:rPr>
          <w:rFonts w:ascii="Times New Roman" w:hAnsi="Times New Roman"/>
        </w:rPr>
        <w:t xml:space="preserve">of the decision </w:t>
      </w:r>
      <w:r w:rsidR="00AF0CE5" w:rsidRPr="005E1802">
        <w:rPr>
          <w:rFonts w:ascii="Times New Roman" w:hAnsi="Times New Roman"/>
        </w:rPr>
        <w:t xml:space="preserve">on the ground of jurisdictional error </w:t>
      </w:r>
      <w:r w:rsidR="007E6398" w:rsidRPr="005E1802">
        <w:rPr>
          <w:rFonts w:ascii="Times New Roman" w:hAnsi="Times New Roman"/>
        </w:rPr>
        <w:t>b</w:t>
      </w:r>
      <w:r w:rsidR="004F68DA" w:rsidRPr="005E1802">
        <w:rPr>
          <w:rFonts w:ascii="Times New Roman" w:hAnsi="Times New Roman"/>
        </w:rPr>
        <w:t>ears</w:t>
      </w:r>
      <w:r w:rsidR="007E6398" w:rsidRPr="005E1802">
        <w:rPr>
          <w:rFonts w:ascii="Times New Roman" w:hAnsi="Times New Roman"/>
        </w:rPr>
        <w:t xml:space="preserve"> the onus of proof.</w:t>
      </w:r>
    </w:p>
    <w:p w14:paraId="40B1B6DA" w14:textId="7AEE1F66" w:rsidR="00876F1E" w:rsidRPr="005E1802" w:rsidRDefault="00720DE6"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The </w:t>
      </w:r>
      <w:r w:rsidR="004D21C6" w:rsidRPr="005E1802">
        <w:rPr>
          <w:rFonts w:ascii="Times New Roman" w:hAnsi="Times New Roman"/>
        </w:rPr>
        <w:t>explanation</w:t>
      </w:r>
      <w:r w:rsidR="00EE7A76" w:rsidRPr="005E1802">
        <w:rPr>
          <w:rFonts w:ascii="Times New Roman" w:hAnsi="Times New Roman"/>
        </w:rPr>
        <w:t xml:space="preserve"> </w:t>
      </w:r>
      <w:r w:rsidR="00C665FC" w:rsidRPr="005E1802">
        <w:rPr>
          <w:rFonts w:ascii="Times New Roman" w:hAnsi="Times New Roman"/>
        </w:rPr>
        <w:t xml:space="preserve">in </w:t>
      </w:r>
      <w:r w:rsidR="001F5ADA" w:rsidRPr="005E1802">
        <w:rPr>
          <w:rFonts w:ascii="Times New Roman" w:hAnsi="Times New Roman"/>
          <w:i/>
        </w:rPr>
        <w:t>SZMTA</w:t>
      </w:r>
      <w:r w:rsidR="001F5ADA" w:rsidRPr="005E1802">
        <w:rPr>
          <w:rFonts w:ascii="Times New Roman" w:hAnsi="Times New Roman"/>
        </w:rPr>
        <w:t xml:space="preserve"> </w:t>
      </w:r>
      <w:r w:rsidR="00F0443B" w:rsidRPr="005E1802">
        <w:rPr>
          <w:rFonts w:ascii="Times New Roman" w:hAnsi="Times New Roman"/>
        </w:rPr>
        <w:t>i</w:t>
      </w:r>
      <w:r w:rsidR="001F5ADA" w:rsidRPr="005E1802">
        <w:rPr>
          <w:rFonts w:ascii="Times New Roman" w:hAnsi="Times New Roman"/>
        </w:rPr>
        <w:t xml:space="preserve">s </w:t>
      </w:r>
      <w:r w:rsidR="00CF701A" w:rsidRPr="005E1802">
        <w:rPr>
          <w:rFonts w:ascii="Times New Roman" w:hAnsi="Times New Roman"/>
        </w:rPr>
        <w:t xml:space="preserve">sound in </w:t>
      </w:r>
      <w:r w:rsidR="001F5ADA" w:rsidRPr="005E1802">
        <w:rPr>
          <w:rFonts w:ascii="Times New Roman" w:hAnsi="Times New Roman"/>
        </w:rPr>
        <w:t>principle</w:t>
      </w:r>
      <w:r w:rsidR="00862CD6" w:rsidRPr="005E1802">
        <w:rPr>
          <w:rFonts w:ascii="Times New Roman" w:hAnsi="Times New Roman"/>
        </w:rPr>
        <w:t xml:space="preserve"> and consistent with precedent</w:t>
      </w:r>
      <w:r w:rsidR="00E24B34" w:rsidRPr="005E1802">
        <w:rPr>
          <w:rFonts w:ascii="Times New Roman" w:hAnsi="Times New Roman"/>
        </w:rPr>
        <w:t xml:space="preserve">. </w:t>
      </w:r>
      <w:r w:rsidR="008404FE" w:rsidRPr="005E1802">
        <w:rPr>
          <w:rFonts w:ascii="Times New Roman" w:hAnsi="Times New Roman"/>
          <w:i/>
        </w:rPr>
        <w:t>SZMTA</w:t>
      </w:r>
      <w:r w:rsidR="008404FE" w:rsidRPr="005E1802">
        <w:rPr>
          <w:rFonts w:ascii="Times New Roman" w:hAnsi="Times New Roman"/>
        </w:rPr>
        <w:t xml:space="preserve"> </w:t>
      </w:r>
      <w:r w:rsidR="00E24B34" w:rsidRPr="005E1802">
        <w:rPr>
          <w:rFonts w:ascii="Times New Roman" w:hAnsi="Times New Roman"/>
        </w:rPr>
        <w:t xml:space="preserve">ought not to be revisited. </w:t>
      </w:r>
    </w:p>
    <w:p w14:paraId="20A00AFB" w14:textId="608DF081" w:rsidR="00720DE6" w:rsidRPr="005E1802" w:rsidRDefault="00876F1E"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C2295E" w:rsidRPr="005E1802">
        <w:rPr>
          <w:rFonts w:ascii="Times New Roman" w:hAnsi="Times New Roman"/>
          <w:i/>
        </w:rPr>
        <w:t>SZMTA</w:t>
      </w:r>
      <w:r w:rsidR="005A4E22" w:rsidRPr="005E1802">
        <w:rPr>
          <w:rFonts w:ascii="Times New Roman" w:hAnsi="Times New Roman"/>
        </w:rPr>
        <w:t xml:space="preserve"> </w:t>
      </w:r>
      <w:r w:rsidR="00CC5FD2" w:rsidRPr="005E1802">
        <w:rPr>
          <w:rFonts w:ascii="Times New Roman" w:hAnsi="Times New Roman"/>
        </w:rPr>
        <w:t xml:space="preserve">was correctly applied </w:t>
      </w:r>
      <w:r w:rsidR="00CE399B" w:rsidRPr="005E1802">
        <w:rPr>
          <w:rFonts w:ascii="Times New Roman" w:hAnsi="Times New Roman"/>
        </w:rPr>
        <w:t xml:space="preserve">in </w:t>
      </w:r>
      <w:r w:rsidR="00E44DFC" w:rsidRPr="005E1802">
        <w:rPr>
          <w:rFonts w:ascii="Times New Roman" w:hAnsi="Times New Roman"/>
        </w:rPr>
        <w:t>the</w:t>
      </w:r>
      <w:r w:rsidR="0083457E" w:rsidRPr="005E1802">
        <w:rPr>
          <w:rFonts w:ascii="Times New Roman" w:hAnsi="Times New Roman"/>
        </w:rPr>
        <w:t xml:space="preserve"> result in </w:t>
      </w:r>
      <w:r w:rsidR="00CE399B" w:rsidRPr="005E1802">
        <w:rPr>
          <w:rFonts w:ascii="Times New Roman" w:hAnsi="Times New Roman"/>
        </w:rPr>
        <w:t>the decision under appeal</w:t>
      </w:r>
      <w:r w:rsidR="00A62674" w:rsidRPr="005E1802">
        <w:rPr>
          <w:rStyle w:val="FootnoteReference"/>
          <w:rFonts w:ascii="Times New Roman" w:hAnsi="Times New Roman"/>
          <w:sz w:val="24"/>
        </w:rPr>
        <w:footnoteReference w:id="4"/>
      </w:r>
      <w:r w:rsidR="00CE399B" w:rsidRPr="005E1802">
        <w:rPr>
          <w:rFonts w:ascii="Times New Roman" w:hAnsi="Times New Roman"/>
        </w:rPr>
        <w:t xml:space="preserve"> </w:t>
      </w:r>
      <w:r w:rsidRPr="005E1802">
        <w:rPr>
          <w:rFonts w:ascii="Times New Roman" w:hAnsi="Times New Roman"/>
        </w:rPr>
        <w:t xml:space="preserve">to hold that </w:t>
      </w:r>
      <w:r w:rsidR="00DC6E5B" w:rsidRPr="005E1802">
        <w:rPr>
          <w:rFonts w:ascii="Times New Roman" w:hAnsi="Times New Roman"/>
        </w:rPr>
        <w:t xml:space="preserve">a </w:t>
      </w:r>
      <w:r w:rsidR="000241F3" w:rsidRPr="005E1802">
        <w:rPr>
          <w:rFonts w:ascii="Times New Roman" w:hAnsi="Times New Roman"/>
        </w:rPr>
        <w:t>breach</w:t>
      </w:r>
      <w:r w:rsidR="00432E36" w:rsidRPr="005E1802">
        <w:rPr>
          <w:rFonts w:ascii="Times New Roman" w:hAnsi="Times New Roman"/>
        </w:rPr>
        <w:t xml:space="preserve"> of </w:t>
      </w:r>
      <w:r w:rsidR="007A1AA6" w:rsidRPr="005E1802">
        <w:rPr>
          <w:rFonts w:ascii="Times New Roman" w:hAnsi="Times New Roman"/>
        </w:rPr>
        <w:t xml:space="preserve">an implied condition of </w:t>
      </w:r>
      <w:r w:rsidR="00432E36" w:rsidRPr="005E1802">
        <w:rPr>
          <w:rFonts w:ascii="Times New Roman" w:hAnsi="Times New Roman"/>
        </w:rPr>
        <w:t xml:space="preserve">procedural fairness </w:t>
      </w:r>
      <w:r w:rsidR="0052240B" w:rsidRPr="005E1802">
        <w:rPr>
          <w:rFonts w:ascii="Times New Roman" w:hAnsi="Times New Roman"/>
        </w:rPr>
        <w:t xml:space="preserve">by </w:t>
      </w:r>
      <w:r w:rsidR="00FA3C49" w:rsidRPr="005E1802">
        <w:rPr>
          <w:rFonts w:ascii="Times New Roman" w:hAnsi="Times New Roman"/>
        </w:rPr>
        <w:t xml:space="preserve">the </w:t>
      </w:r>
      <w:r w:rsidR="00646C50" w:rsidRPr="005E1802">
        <w:rPr>
          <w:rFonts w:ascii="Times New Roman" w:hAnsi="Times New Roman"/>
        </w:rPr>
        <w:t xml:space="preserve">Refugee Review </w:t>
      </w:r>
      <w:r w:rsidR="00FE5F5D" w:rsidRPr="005E1802">
        <w:rPr>
          <w:rFonts w:ascii="Times New Roman" w:hAnsi="Times New Roman"/>
        </w:rPr>
        <w:t>Tribunal</w:t>
      </w:r>
      <w:r w:rsidR="00646C50" w:rsidRPr="005E1802">
        <w:rPr>
          <w:rFonts w:ascii="Times New Roman" w:hAnsi="Times New Roman"/>
        </w:rPr>
        <w:t xml:space="preserve"> </w:t>
      </w:r>
      <w:r w:rsidR="00FA3C49" w:rsidRPr="005E1802">
        <w:rPr>
          <w:rFonts w:ascii="Times New Roman" w:hAnsi="Times New Roman"/>
        </w:rPr>
        <w:t>("the</w:t>
      </w:r>
      <w:r w:rsidR="002902F0" w:rsidRPr="005E1802">
        <w:rPr>
          <w:rFonts w:ascii="Times New Roman" w:hAnsi="Times New Roman"/>
        </w:rPr>
        <w:t> </w:t>
      </w:r>
      <w:r w:rsidR="00FE5F5D" w:rsidRPr="005E1802">
        <w:rPr>
          <w:rFonts w:ascii="Times New Roman" w:hAnsi="Times New Roman"/>
        </w:rPr>
        <w:t>T</w:t>
      </w:r>
      <w:r w:rsidR="006A57BE" w:rsidRPr="005E1802">
        <w:rPr>
          <w:rFonts w:ascii="Times New Roman" w:hAnsi="Times New Roman"/>
        </w:rPr>
        <w:t>ribunal</w:t>
      </w:r>
      <w:r w:rsidR="00FA3C49" w:rsidRPr="005E1802">
        <w:rPr>
          <w:rFonts w:ascii="Times New Roman" w:hAnsi="Times New Roman"/>
        </w:rPr>
        <w:t xml:space="preserve">") </w:t>
      </w:r>
      <w:r w:rsidR="0052240B" w:rsidRPr="005E1802">
        <w:rPr>
          <w:rFonts w:ascii="Times New Roman" w:hAnsi="Times New Roman"/>
        </w:rPr>
        <w:t xml:space="preserve">in the conduct of a review under Pt 7 of the </w:t>
      </w:r>
      <w:r w:rsidR="0052240B" w:rsidRPr="005E1802">
        <w:rPr>
          <w:rFonts w:ascii="Times New Roman" w:hAnsi="Times New Roman"/>
          <w:i/>
        </w:rPr>
        <w:t>Migration Act</w:t>
      </w:r>
      <w:r w:rsidR="00314754" w:rsidRPr="005E1802">
        <w:rPr>
          <w:rFonts w:ascii="Times New Roman" w:hAnsi="Times New Roman"/>
          <w:i/>
        </w:rPr>
        <w:t xml:space="preserve"> </w:t>
      </w:r>
      <w:r w:rsidR="0052240B" w:rsidRPr="005E1802">
        <w:rPr>
          <w:rFonts w:ascii="Times New Roman" w:hAnsi="Times New Roman"/>
          <w:i/>
        </w:rPr>
        <w:t>1958</w:t>
      </w:r>
      <w:r w:rsidR="0052240B" w:rsidRPr="005E1802">
        <w:rPr>
          <w:rFonts w:ascii="Times New Roman" w:hAnsi="Times New Roman"/>
        </w:rPr>
        <w:t xml:space="preserve"> (Cth) ("the Act") </w:t>
      </w:r>
      <w:r w:rsidR="00A26757" w:rsidRPr="005E1802">
        <w:rPr>
          <w:rFonts w:ascii="Times New Roman" w:hAnsi="Times New Roman"/>
        </w:rPr>
        <w:t>did</w:t>
      </w:r>
      <w:r w:rsidR="00524863" w:rsidRPr="005E1802">
        <w:rPr>
          <w:rFonts w:ascii="Times New Roman" w:hAnsi="Times New Roman"/>
        </w:rPr>
        <w:t xml:space="preserve"> not</w:t>
      </w:r>
      <w:r w:rsidR="00EA2A32" w:rsidRPr="005E1802">
        <w:rPr>
          <w:rFonts w:ascii="Times New Roman" w:hAnsi="Times New Roman"/>
        </w:rPr>
        <w:t xml:space="preserve"> resul</w:t>
      </w:r>
      <w:r w:rsidR="00A26757" w:rsidRPr="005E1802">
        <w:rPr>
          <w:rFonts w:ascii="Times New Roman" w:hAnsi="Times New Roman"/>
        </w:rPr>
        <w:t>t</w:t>
      </w:r>
      <w:r w:rsidR="00EA2A32" w:rsidRPr="005E1802">
        <w:rPr>
          <w:rFonts w:ascii="Times New Roman" w:hAnsi="Times New Roman"/>
        </w:rPr>
        <w:t xml:space="preserve"> in </w:t>
      </w:r>
      <w:r w:rsidR="00F850EA" w:rsidRPr="005E1802">
        <w:rPr>
          <w:rFonts w:ascii="Times New Roman" w:hAnsi="Times New Roman"/>
        </w:rPr>
        <w:t xml:space="preserve">jurisdictional error in </w:t>
      </w:r>
      <w:r w:rsidR="0052240B" w:rsidRPr="005E1802">
        <w:rPr>
          <w:rFonts w:ascii="Times New Roman" w:hAnsi="Times New Roman"/>
        </w:rPr>
        <w:t>the</w:t>
      </w:r>
      <w:r w:rsidR="00066161" w:rsidRPr="005E1802">
        <w:rPr>
          <w:rFonts w:ascii="Times New Roman" w:hAnsi="Times New Roman"/>
        </w:rPr>
        <w:t xml:space="preserve"> decision </w:t>
      </w:r>
      <w:r w:rsidR="00F37EC6" w:rsidRPr="005E1802">
        <w:rPr>
          <w:rFonts w:ascii="Times New Roman" w:hAnsi="Times New Roman"/>
        </w:rPr>
        <w:t xml:space="preserve">of the </w:t>
      </w:r>
      <w:r w:rsidR="00FE5F5D" w:rsidRPr="005E1802">
        <w:rPr>
          <w:rFonts w:ascii="Times New Roman" w:hAnsi="Times New Roman"/>
        </w:rPr>
        <w:t>Tribunal</w:t>
      </w:r>
      <w:r w:rsidR="005272B9" w:rsidRPr="005E1802">
        <w:rPr>
          <w:rFonts w:ascii="Times New Roman" w:hAnsi="Times New Roman"/>
        </w:rPr>
        <w:t xml:space="preserve"> </w:t>
      </w:r>
      <w:r w:rsidR="007A1AA6" w:rsidRPr="005E1802">
        <w:rPr>
          <w:rFonts w:ascii="Times New Roman" w:hAnsi="Times New Roman"/>
        </w:rPr>
        <w:t xml:space="preserve">which </w:t>
      </w:r>
      <w:r w:rsidR="006F06AF" w:rsidRPr="005E1802">
        <w:rPr>
          <w:rFonts w:ascii="Times New Roman" w:hAnsi="Times New Roman"/>
        </w:rPr>
        <w:t>affirm</w:t>
      </w:r>
      <w:r w:rsidR="007A1AA6" w:rsidRPr="005E1802">
        <w:rPr>
          <w:rFonts w:ascii="Times New Roman" w:hAnsi="Times New Roman"/>
        </w:rPr>
        <w:t>ed</w:t>
      </w:r>
      <w:r w:rsidR="006F06AF" w:rsidRPr="005E1802">
        <w:rPr>
          <w:rFonts w:ascii="Times New Roman" w:hAnsi="Times New Roman"/>
        </w:rPr>
        <w:t xml:space="preserve"> a decision of </w:t>
      </w:r>
      <w:r w:rsidR="00E56078" w:rsidRPr="005E1802">
        <w:rPr>
          <w:rFonts w:ascii="Times New Roman" w:hAnsi="Times New Roman"/>
        </w:rPr>
        <w:t xml:space="preserve">a delegate of </w:t>
      </w:r>
      <w:r w:rsidR="006F06AF" w:rsidRPr="005E1802">
        <w:rPr>
          <w:rFonts w:ascii="Times New Roman" w:hAnsi="Times New Roman"/>
        </w:rPr>
        <w:t xml:space="preserve">the </w:t>
      </w:r>
      <w:r w:rsidR="00484E54" w:rsidRPr="005E1802">
        <w:rPr>
          <w:rFonts w:ascii="Times New Roman" w:hAnsi="Times New Roman"/>
        </w:rPr>
        <w:t xml:space="preserve">Minister for Immigration and Border Protection to </w:t>
      </w:r>
      <w:r w:rsidR="00462853" w:rsidRPr="005E1802">
        <w:rPr>
          <w:rFonts w:ascii="Times New Roman" w:hAnsi="Times New Roman"/>
        </w:rPr>
        <w:t xml:space="preserve">refuse </w:t>
      </w:r>
      <w:r w:rsidR="007A1AA6" w:rsidRPr="005E1802">
        <w:rPr>
          <w:rFonts w:ascii="Times New Roman" w:hAnsi="Times New Roman"/>
        </w:rPr>
        <w:t xml:space="preserve">the appellant </w:t>
      </w:r>
      <w:r w:rsidR="00462853" w:rsidRPr="005E1802">
        <w:rPr>
          <w:rFonts w:ascii="Times New Roman" w:hAnsi="Times New Roman"/>
        </w:rPr>
        <w:t>a protection visa.</w:t>
      </w:r>
      <w:r w:rsidR="005112CE" w:rsidRPr="005E1802">
        <w:rPr>
          <w:rFonts w:ascii="Times New Roman" w:hAnsi="Times New Roman"/>
        </w:rPr>
        <w:t xml:space="preserve"> </w:t>
      </w:r>
      <w:r w:rsidR="007A1AA6" w:rsidRPr="005E1802">
        <w:rPr>
          <w:rFonts w:ascii="Times New Roman" w:hAnsi="Times New Roman"/>
        </w:rPr>
        <w:t xml:space="preserve">The breach was </w:t>
      </w:r>
      <w:r w:rsidR="00FA3C49" w:rsidRPr="005E1802">
        <w:rPr>
          <w:rFonts w:ascii="Times New Roman" w:hAnsi="Times New Roman"/>
        </w:rPr>
        <w:t xml:space="preserve">constituted by </w:t>
      </w:r>
      <w:r w:rsidR="00314754" w:rsidRPr="005E1802">
        <w:rPr>
          <w:rFonts w:ascii="Times New Roman" w:hAnsi="Times New Roman"/>
        </w:rPr>
        <w:t xml:space="preserve">a </w:t>
      </w:r>
      <w:r w:rsidR="00FA3C49" w:rsidRPr="005E1802">
        <w:rPr>
          <w:rFonts w:ascii="Times New Roman" w:hAnsi="Times New Roman"/>
        </w:rPr>
        <w:t xml:space="preserve">failure </w:t>
      </w:r>
      <w:r w:rsidR="0083457E" w:rsidRPr="005E1802">
        <w:rPr>
          <w:rFonts w:ascii="Times New Roman" w:hAnsi="Times New Roman"/>
        </w:rPr>
        <w:t xml:space="preserve">on the part of the </w:t>
      </w:r>
      <w:r w:rsidR="00FE5F5D" w:rsidRPr="005E1802">
        <w:rPr>
          <w:rFonts w:ascii="Times New Roman" w:hAnsi="Times New Roman"/>
        </w:rPr>
        <w:t>Tribunal</w:t>
      </w:r>
      <w:r w:rsidR="0083457E" w:rsidRPr="005E1802">
        <w:rPr>
          <w:rFonts w:ascii="Times New Roman" w:hAnsi="Times New Roman"/>
        </w:rPr>
        <w:t xml:space="preserve"> </w:t>
      </w:r>
      <w:r w:rsidR="00FA3C49" w:rsidRPr="005E1802">
        <w:rPr>
          <w:rFonts w:ascii="Times New Roman" w:hAnsi="Times New Roman"/>
        </w:rPr>
        <w:t xml:space="preserve">to disclose to </w:t>
      </w:r>
      <w:r w:rsidR="007C7E17" w:rsidRPr="005E1802">
        <w:rPr>
          <w:rFonts w:ascii="Times New Roman" w:hAnsi="Times New Roman"/>
        </w:rPr>
        <w:t xml:space="preserve">the appellant the existence of </w:t>
      </w:r>
      <w:r w:rsidR="00FA3C49" w:rsidRPr="005E1802">
        <w:rPr>
          <w:rFonts w:ascii="Times New Roman" w:hAnsi="Times New Roman"/>
        </w:rPr>
        <w:t xml:space="preserve">a notification by the Secretary of the Department of Immigration and Border Protection under s 438(2)(a) that s 438(1)(b) applied to information contained in documents given </w:t>
      </w:r>
      <w:r w:rsidR="007C7E17" w:rsidRPr="005E1802">
        <w:rPr>
          <w:rFonts w:ascii="Times New Roman" w:hAnsi="Times New Roman"/>
        </w:rPr>
        <w:t xml:space="preserve">to the </w:t>
      </w:r>
      <w:r w:rsidR="00FE5F5D" w:rsidRPr="005E1802">
        <w:rPr>
          <w:rFonts w:ascii="Times New Roman" w:hAnsi="Times New Roman"/>
        </w:rPr>
        <w:t>Tribunal</w:t>
      </w:r>
      <w:r w:rsidR="007C7E17" w:rsidRPr="005E1802">
        <w:rPr>
          <w:rFonts w:ascii="Times New Roman" w:hAnsi="Times New Roman"/>
        </w:rPr>
        <w:t xml:space="preserve"> </w:t>
      </w:r>
      <w:r w:rsidR="00FA3C49" w:rsidRPr="005E1802">
        <w:rPr>
          <w:rFonts w:ascii="Times New Roman" w:hAnsi="Times New Roman"/>
        </w:rPr>
        <w:t>by the Secretary</w:t>
      </w:r>
      <w:r w:rsidR="0086496E" w:rsidRPr="005E1802">
        <w:rPr>
          <w:rFonts w:ascii="Times New Roman" w:hAnsi="Times New Roman"/>
        </w:rPr>
        <w:t xml:space="preserve"> under s</w:t>
      </w:r>
      <w:r w:rsidR="00247CBA" w:rsidRPr="005E1802">
        <w:rPr>
          <w:rFonts w:ascii="Times New Roman" w:hAnsi="Times New Roman"/>
        </w:rPr>
        <w:t> </w:t>
      </w:r>
      <w:r w:rsidR="0086496E" w:rsidRPr="005E1802">
        <w:rPr>
          <w:rFonts w:ascii="Times New Roman" w:hAnsi="Times New Roman"/>
        </w:rPr>
        <w:t>418(3) of the Act</w:t>
      </w:r>
      <w:r w:rsidR="007C7E17" w:rsidRPr="005E1802">
        <w:rPr>
          <w:rFonts w:ascii="Times New Roman" w:hAnsi="Times New Roman"/>
        </w:rPr>
        <w:t>.</w:t>
      </w:r>
    </w:p>
    <w:p w14:paraId="63E5A00A" w14:textId="455FCD69" w:rsidR="00FB7980" w:rsidRPr="005E1802" w:rsidRDefault="006A77DD" w:rsidP="005E1802">
      <w:pPr>
        <w:pStyle w:val="HeadingL1"/>
        <w:spacing w:after="260" w:line="280" w:lineRule="exact"/>
        <w:ind w:right="0"/>
        <w:jc w:val="both"/>
        <w:rPr>
          <w:rFonts w:ascii="Times New Roman" w:hAnsi="Times New Roman"/>
        </w:rPr>
      </w:pPr>
      <w:r w:rsidRPr="005E1802">
        <w:rPr>
          <w:rFonts w:ascii="Times New Roman" w:hAnsi="Times New Roman"/>
        </w:rPr>
        <w:t>Facts and p</w:t>
      </w:r>
      <w:r w:rsidR="00143680" w:rsidRPr="005E1802">
        <w:rPr>
          <w:rFonts w:ascii="Times New Roman" w:hAnsi="Times New Roman"/>
        </w:rPr>
        <w:t>rocedural history</w:t>
      </w:r>
    </w:p>
    <w:p w14:paraId="5A96E902" w14:textId="46143DFD" w:rsidR="00995B4A" w:rsidRPr="005E1802" w:rsidRDefault="0003085D"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The appellant </w:t>
      </w:r>
      <w:r w:rsidR="008615C2" w:rsidRPr="005E1802">
        <w:rPr>
          <w:rFonts w:ascii="Times New Roman" w:hAnsi="Times New Roman"/>
        </w:rPr>
        <w:t>is a</w:t>
      </w:r>
      <w:r w:rsidR="00BF33B4" w:rsidRPr="005E1802">
        <w:rPr>
          <w:rFonts w:ascii="Times New Roman" w:hAnsi="Times New Roman"/>
        </w:rPr>
        <w:t xml:space="preserve"> </w:t>
      </w:r>
      <w:r w:rsidR="008615C2" w:rsidRPr="005E1802">
        <w:rPr>
          <w:rFonts w:ascii="Times New Roman" w:hAnsi="Times New Roman"/>
        </w:rPr>
        <w:t>citizen</w:t>
      </w:r>
      <w:r w:rsidR="00BF33B4" w:rsidRPr="005E1802">
        <w:rPr>
          <w:rFonts w:ascii="Times New Roman" w:hAnsi="Times New Roman"/>
        </w:rPr>
        <w:t xml:space="preserve"> of India</w:t>
      </w:r>
      <w:r w:rsidR="00FC1FD3" w:rsidRPr="005E1802">
        <w:rPr>
          <w:rFonts w:ascii="Times New Roman" w:hAnsi="Times New Roman"/>
        </w:rPr>
        <w:t>. He</w:t>
      </w:r>
      <w:r w:rsidR="008615C2" w:rsidRPr="005E1802">
        <w:rPr>
          <w:rFonts w:ascii="Times New Roman" w:hAnsi="Times New Roman"/>
        </w:rPr>
        <w:t xml:space="preserve"> </w:t>
      </w:r>
      <w:r w:rsidR="00FD5DDE" w:rsidRPr="005E1802">
        <w:rPr>
          <w:rFonts w:ascii="Times New Roman" w:hAnsi="Times New Roman"/>
        </w:rPr>
        <w:t xml:space="preserve">arrived in Australia </w:t>
      </w:r>
      <w:r w:rsidR="003077E6" w:rsidRPr="005E1802">
        <w:rPr>
          <w:rFonts w:ascii="Times New Roman" w:hAnsi="Times New Roman"/>
        </w:rPr>
        <w:t>in 2006</w:t>
      </w:r>
      <w:r w:rsidR="0086496E" w:rsidRPr="005E1802">
        <w:rPr>
          <w:rFonts w:ascii="Times New Roman" w:hAnsi="Times New Roman"/>
        </w:rPr>
        <w:t xml:space="preserve"> </w:t>
      </w:r>
      <w:r w:rsidR="00FD5DDE" w:rsidRPr="005E1802">
        <w:rPr>
          <w:rFonts w:ascii="Times New Roman" w:hAnsi="Times New Roman"/>
        </w:rPr>
        <w:t>on a student visa</w:t>
      </w:r>
      <w:r w:rsidR="003077E6" w:rsidRPr="005E1802">
        <w:rPr>
          <w:rFonts w:ascii="Times New Roman" w:hAnsi="Times New Roman"/>
        </w:rPr>
        <w:t xml:space="preserve"> which expired in 2008</w:t>
      </w:r>
      <w:r w:rsidR="00B90FCF" w:rsidRPr="005E1802">
        <w:rPr>
          <w:rFonts w:ascii="Times New Roman" w:hAnsi="Times New Roman"/>
        </w:rPr>
        <w:t xml:space="preserve">. </w:t>
      </w:r>
      <w:r w:rsidR="003077E6" w:rsidRPr="005E1802">
        <w:rPr>
          <w:rFonts w:ascii="Times New Roman" w:hAnsi="Times New Roman"/>
        </w:rPr>
        <w:t>H</w:t>
      </w:r>
      <w:r w:rsidR="00361581" w:rsidRPr="005E1802">
        <w:rPr>
          <w:rFonts w:ascii="Times New Roman" w:hAnsi="Times New Roman"/>
        </w:rPr>
        <w:t xml:space="preserve">e applied </w:t>
      </w:r>
      <w:r w:rsidR="003077E6" w:rsidRPr="005E1802">
        <w:rPr>
          <w:rFonts w:ascii="Times New Roman" w:hAnsi="Times New Roman"/>
        </w:rPr>
        <w:t xml:space="preserve">in 2007 </w:t>
      </w:r>
      <w:r w:rsidR="00361581" w:rsidRPr="005E1802">
        <w:rPr>
          <w:rFonts w:ascii="Times New Roman" w:hAnsi="Times New Roman"/>
        </w:rPr>
        <w:t xml:space="preserve">for </w:t>
      </w:r>
      <w:r w:rsidR="00AD4D56" w:rsidRPr="005E1802">
        <w:rPr>
          <w:rFonts w:ascii="Times New Roman" w:hAnsi="Times New Roman"/>
        </w:rPr>
        <w:t>a</w:t>
      </w:r>
      <w:r w:rsidR="002623F7" w:rsidRPr="005E1802">
        <w:rPr>
          <w:rFonts w:ascii="Times New Roman" w:hAnsi="Times New Roman"/>
        </w:rPr>
        <w:t xml:space="preserve"> further</w:t>
      </w:r>
      <w:r w:rsidR="00361581" w:rsidRPr="005E1802">
        <w:rPr>
          <w:rFonts w:ascii="Times New Roman" w:hAnsi="Times New Roman"/>
        </w:rPr>
        <w:t xml:space="preserve"> student visa</w:t>
      </w:r>
      <w:r w:rsidR="00905B82" w:rsidRPr="005E1802">
        <w:rPr>
          <w:rFonts w:ascii="Times New Roman" w:hAnsi="Times New Roman"/>
        </w:rPr>
        <w:t xml:space="preserve"> </w:t>
      </w:r>
      <w:r w:rsidR="000A3D34" w:rsidRPr="005E1802">
        <w:rPr>
          <w:rFonts w:ascii="Times New Roman" w:hAnsi="Times New Roman"/>
        </w:rPr>
        <w:t>which a</w:t>
      </w:r>
      <w:r w:rsidR="0069548F" w:rsidRPr="005E1802">
        <w:rPr>
          <w:rFonts w:ascii="Times New Roman" w:hAnsi="Times New Roman"/>
        </w:rPr>
        <w:t xml:space="preserve"> delegate</w:t>
      </w:r>
      <w:r w:rsidR="002D7C39" w:rsidRPr="005E1802">
        <w:rPr>
          <w:rFonts w:ascii="Times New Roman" w:hAnsi="Times New Roman"/>
        </w:rPr>
        <w:t xml:space="preserve"> </w:t>
      </w:r>
      <w:r w:rsidR="00C57875" w:rsidRPr="005E1802">
        <w:rPr>
          <w:rFonts w:ascii="Times New Roman" w:hAnsi="Times New Roman"/>
        </w:rPr>
        <w:t xml:space="preserve">of the Minister </w:t>
      </w:r>
      <w:r w:rsidR="00C21D77" w:rsidRPr="005E1802">
        <w:rPr>
          <w:rFonts w:ascii="Times New Roman" w:hAnsi="Times New Roman"/>
        </w:rPr>
        <w:t>refuse</w:t>
      </w:r>
      <w:r w:rsidR="00C57875" w:rsidRPr="005E1802">
        <w:rPr>
          <w:rFonts w:ascii="Times New Roman" w:hAnsi="Times New Roman"/>
        </w:rPr>
        <w:t>d</w:t>
      </w:r>
      <w:r w:rsidR="00D126E2" w:rsidRPr="005E1802">
        <w:rPr>
          <w:rFonts w:ascii="Times New Roman" w:hAnsi="Times New Roman"/>
        </w:rPr>
        <w:t xml:space="preserve"> </w:t>
      </w:r>
      <w:r w:rsidR="00C21D77" w:rsidRPr="005E1802">
        <w:rPr>
          <w:rFonts w:ascii="Times New Roman" w:hAnsi="Times New Roman"/>
        </w:rPr>
        <w:t>in 2012</w:t>
      </w:r>
      <w:r w:rsidR="006D55C5" w:rsidRPr="005E1802">
        <w:rPr>
          <w:rFonts w:ascii="Times New Roman" w:hAnsi="Times New Roman"/>
        </w:rPr>
        <w:t xml:space="preserve">. </w:t>
      </w:r>
      <w:r w:rsidR="005B646F" w:rsidRPr="005E1802">
        <w:rPr>
          <w:rFonts w:ascii="Times New Roman" w:hAnsi="Times New Roman"/>
        </w:rPr>
        <w:t>He</w:t>
      </w:r>
      <w:r w:rsidR="0099196B" w:rsidRPr="005E1802">
        <w:rPr>
          <w:rFonts w:ascii="Times New Roman" w:hAnsi="Times New Roman"/>
        </w:rPr>
        <w:t xml:space="preserve"> </w:t>
      </w:r>
      <w:r w:rsidR="00A66FF3" w:rsidRPr="005E1802">
        <w:rPr>
          <w:rFonts w:ascii="Times New Roman" w:hAnsi="Times New Roman"/>
        </w:rPr>
        <w:t>then applied</w:t>
      </w:r>
      <w:r w:rsidR="00AB19A0" w:rsidRPr="005E1802">
        <w:rPr>
          <w:rFonts w:ascii="Times New Roman" w:hAnsi="Times New Roman"/>
        </w:rPr>
        <w:t xml:space="preserve"> </w:t>
      </w:r>
      <w:r w:rsidR="00F52337" w:rsidRPr="005E1802">
        <w:rPr>
          <w:rFonts w:ascii="Times New Roman" w:hAnsi="Times New Roman"/>
        </w:rPr>
        <w:t xml:space="preserve">to the Migration Review </w:t>
      </w:r>
      <w:r w:rsidR="00FE5F5D" w:rsidRPr="005E1802">
        <w:rPr>
          <w:rFonts w:ascii="Times New Roman" w:hAnsi="Times New Roman"/>
        </w:rPr>
        <w:t>Tribunal</w:t>
      </w:r>
      <w:r w:rsidR="00F52337" w:rsidRPr="005E1802">
        <w:rPr>
          <w:rFonts w:ascii="Times New Roman" w:hAnsi="Times New Roman"/>
        </w:rPr>
        <w:t xml:space="preserve"> </w:t>
      </w:r>
      <w:r w:rsidR="00C63FB4" w:rsidRPr="005E1802">
        <w:rPr>
          <w:rFonts w:ascii="Times New Roman" w:hAnsi="Times New Roman"/>
        </w:rPr>
        <w:t xml:space="preserve">("the MRT") </w:t>
      </w:r>
      <w:r w:rsidR="0099196B" w:rsidRPr="005E1802">
        <w:rPr>
          <w:rFonts w:ascii="Times New Roman" w:hAnsi="Times New Roman"/>
        </w:rPr>
        <w:t>for</w:t>
      </w:r>
      <w:r w:rsidR="000842DC" w:rsidRPr="005E1802">
        <w:rPr>
          <w:rFonts w:ascii="Times New Roman" w:hAnsi="Times New Roman"/>
        </w:rPr>
        <w:t xml:space="preserve"> </w:t>
      </w:r>
      <w:r w:rsidR="00314676" w:rsidRPr="005E1802">
        <w:rPr>
          <w:rFonts w:ascii="Times New Roman" w:hAnsi="Times New Roman"/>
        </w:rPr>
        <w:t xml:space="preserve">merits </w:t>
      </w:r>
      <w:r w:rsidR="002D5954" w:rsidRPr="005E1802">
        <w:rPr>
          <w:rFonts w:ascii="Times New Roman" w:hAnsi="Times New Roman"/>
        </w:rPr>
        <w:t xml:space="preserve">review of the </w:t>
      </w:r>
      <w:r w:rsidR="00905B82" w:rsidRPr="005E1802">
        <w:rPr>
          <w:rFonts w:ascii="Times New Roman" w:hAnsi="Times New Roman"/>
        </w:rPr>
        <w:t>decision of th</w:t>
      </w:r>
      <w:r w:rsidR="00251120" w:rsidRPr="005E1802">
        <w:rPr>
          <w:rFonts w:ascii="Times New Roman" w:hAnsi="Times New Roman"/>
        </w:rPr>
        <w:t>at</w:t>
      </w:r>
      <w:r w:rsidR="00905B82" w:rsidRPr="005E1802">
        <w:rPr>
          <w:rFonts w:ascii="Times New Roman" w:hAnsi="Times New Roman"/>
        </w:rPr>
        <w:t xml:space="preserve"> delegate</w:t>
      </w:r>
      <w:r w:rsidR="00770ECB" w:rsidRPr="005E1802">
        <w:rPr>
          <w:rFonts w:ascii="Times New Roman" w:hAnsi="Times New Roman"/>
        </w:rPr>
        <w:t xml:space="preserve"> under Pt </w:t>
      </w:r>
      <w:r w:rsidR="003973B0" w:rsidRPr="005E1802">
        <w:rPr>
          <w:rFonts w:ascii="Times New Roman" w:hAnsi="Times New Roman"/>
        </w:rPr>
        <w:t>5</w:t>
      </w:r>
      <w:r w:rsidR="00770ECB" w:rsidRPr="005E1802">
        <w:rPr>
          <w:rFonts w:ascii="Times New Roman" w:hAnsi="Times New Roman"/>
        </w:rPr>
        <w:t xml:space="preserve"> of the Act</w:t>
      </w:r>
      <w:r w:rsidR="00D473BF" w:rsidRPr="005E1802">
        <w:rPr>
          <w:rFonts w:ascii="Times New Roman" w:hAnsi="Times New Roman"/>
        </w:rPr>
        <w:t>. T</w:t>
      </w:r>
      <w:r w:rsidR="000842DC" w:rsidRPr="005E1802">
        <w:rPr>
          <w:rFonts w:ascii="Times New Roman" w:hAnsi="Times New Roman"/>
        </w:rPr>
        <w:t>he M</w:t>
      </w:r>
      <w:r w:rsidR="00D473BF" w:rsidRPr="005E1802">
        <w:rPr>
          <w:rFonts w:ascii="Times New Roman" w:hAnsi="Times New Roman"/>
        </w:rPr>
        <w:t>RT</w:t>
      </w:r>
      <w:r w:rsidR="001168A7" w:rsidRPr="005E1802">
        <w:rPr>
          <w:rFonts w:ascii="Times New Roman" w:hAnsi="Times New Roman"/>
        </w:rPr>
        <w:t xml:space="preserve"> </w:t>
      </w:r>
      <w:r w:rsidR="00070A65" w:rsidRPr="005E1802">
        <w:rPr>
          <w:rFonts w:ascii="Times New Roman" w:hAnsi="Times New Roman"/>
        </w:rPr>
        <w:t>decided</w:t>
      </w:r>
      <w:r w:rsidR="001168A7" w:rsidRPr="005E1802">
        <w:rPr>
          <w:rFonts w:ascii="Times New Roman" w:hAnsi="Times New Roman"/>
        </w:rPr>
        <w:t xml:space="preserve"> that it lacked jurisdiction because </w:t>
      </w:r>
      <w:r w:rsidR="00F2623A" w:rsidRPr="005E1802">
        <w:rPr>
          <w:rFonts w:ascii="Times New Roman" w:hAnsi="Times New Roman"/>
        </w:rPr>
        <w:t>the</w:t>
      </w:r>
      <w:r w:rsidR="001168A7" w:rsidRPr="005E1802">
        <w:rPr>
          <w:rFonts w:ascii="Times New Roman" w:hAnsi="Times New Roman"/>
        </w:rPr>
        <w:t xml:space="preserve"> </w:t>
      </w:r>
      <w:r w:rsidR="001168A7" w:rsidRPr="005E1802">
        <w:rPr>
          <w:rFonts w:ascii="Times New Roman" w:hAnsi="Times New Roman"/>
        </w:rPr>
        <w:lastRenderedPageBreak/>
        <w:t>application</w:t>
      </w:r>
      <w:r w:rsidR="00DB0B11" w:rsidRPr="005E1802">
        <w:rPr>
          <w:rFonts w:ascii="Times New Roman" w:hAnsi="Times New Roman"/>
        </w:rPr>
        <w:t xml:space="preserve"> was lodged out of time. </w:t>
      </w:r>
      <w:r w:rsidR="0099196B" w:rsidRPr="005E1802">
        <w:rPr>
          <w:rFonts w:ascii="Times New Roman" w:hAnsi="Times New Roman"/>
        </w:rPr>
        <w:t xml:space="preserve">He then </w:t>
      </w:r>
      <w:r w:rsidR="005C1621" w:rsidRPr="005E1802">
        <w:rPr>
          <w:rFonts w:ascii="Times New Roman" w:hAnsi="Times New Roman"/>
        </w:rPr>
        <w:t>applied to the Federal Circuit Court for</w:t>
      </w:r>
      <w:r w:rsidR="0099196B" w:rsidRPr="005E1802">
        <w:rPr>
          <w:rFonts w:ascii="Times New Roman" w:hAnsi="Times New Roman"/>
        </w:rPr>
        <w:t xml:space="preserve"> judicial review of the decision of the </w:t>
      </w:r>
      <w:r w:rsidR="00D473BF" w:rsidRPr="005E1802">
        <w:rPr>
          <w:rFonts w:ascii="Times New Roman" w:hAnsi="Times New Roman"/>
        </w:rPr>
        <w:t>MRT</w:t>
      </w:r>
      <w:r w:rsidR="005C1621" w:rsidRPr="005E1802">
        <w:rPr>
          <w:rFonts w:ascii="Times New Roman" w:hAnsi="Times New Roman"/>
        </w:rPr>
        <w:t xml:space="preserve">. The Federal Circuit Court </w:t>
      </w:r>
      <w:r w:rsidR="0099196B" w:rsidRPr="005E1802">
        <w:rPr>
          <w:rFonts w:ascii="Times New Roman" w:hAnsi="Times New Roman"/>
        </w:rPr>
        <w:t>di</w:t>
      </w:r>
      <w:r w:rsidR="002623F7" w:rsidRPr="005E1802">
        <w:rPr>
          <w:rFonts w:ascii="Times New Roman" w:hAnsi="Times New Roman"/>
        </w:rPr>
        <w:t xml:space="preserve">smissed </w:t>
      </w:r>
      <w:r w:rsidR="009A3275" w:rsidRPr="005E1802">
        <w:rPr>
          <w:rFonts w:ascii="Times New Roman" w:hAnsi="Times New Roman"/>
        </w:rPr>
        <w:t>that</w:t>
      </w:r>
      <w:r w:rsidR="002623F7" w:rsidRPr="005E1802">
        <w:rPr>
          <w:rFonts w:ascii="Times New Roman" w:hAnsi="Times New Roman"/>
        </w:rPr>
        <w:t xml:space="preserve"> application</w:t>
      </w:r>
      <w:r w:rsidR="002D3911" w:rsidRPr="005E1802">
        <w:rPr>
          <w:rFonts w:ascii="Times New Roman" w:hAnsi="Times New Roman"/>
        </w:rPr>
        <w:t xml:space="preserve"> in 2013</w:t>
      </w:r>
      <w:r w:rsidR="002623F7" w:rsidRPr="005E1802">
        <w:rPr>
          <w:rFonts w:ascii="Times New Roman" w:hAnsi="Times New Roman"/>
        </w:rPr>
        <w:t>.</w:t>
      </w:r>
    </w:p>
    <w:p w14:paraId="608859FA" w14:textId="677B49AF" w:rsidR="002623F7" w:rsidRPr="005E1802" w:rsidRDefault="002623F7"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Having </w:t>
      </w:r>
      <w:r w:rsidR="00911DA8" w:rsidRPr="005E1802">
        <w:rPr>
          <w:rFonts w:ascii="Times New Roman" w:hAnsi="Times New Roman"/>
        </w:rPr>
        <w:t xml:space="preserve">failed </w:t>
      </w:r>
      <w:r w:rsidR="008246BD" w:rsidRPr="005E1802">
        <w:rPr>
          <w:rFonts w:ascii="Times New Roman" w:hAnsi="Times New Roman"/>
        </w:rPr>
        <w:t>to obtain</w:t>
      </w:r>
      <w:r w:rsidRPr="005E1802">
        <w:rPr>
          <w:rFonts w:ascii="Times New Roman" w:hAnsi="Times New Roman"/>
        </w:rPr>
        <w:t xml:space="preserve"> a further student visa, </w:t>
      </w:r>
      <w:r w:rsidR="008246BD" w:rsidRPr="005E1802">
        <w:rPr>
          <w:rFonts w:ascii="Times New Roman" w:hAnsi="Times New Roman"/>
        </w:rPr>
        <w:t xml:space="preserve">the appellant </w:t>
      </w:r>
      <w:r w:rsidR="006A77DD" w:rsidRPr="005E1802">
        <w:rPr>
          <w:rFonts w:ascii="Times New Roman" w:hAnsi="Times New Roman"/>
        </w:rPr>
        <w:t xml:space="preserve">applied </w:t>
      </w:r>
      <w:r w:rsidR="008246BD" w:rsidRPr="005E1802">
        <w:rPr>
          <w:rFonts w:ascii="Times New Roman" w:hAnsi="Times New Roman"/>
        </w:rPr>
        <w:t>in 20</w:t>
      </w:r>
      <w:r w:rsidR="002D3911" w:rsidRPr="005E1802">
        <w:rPr>
          <w:rFonts w:ascii="Times New Roman" w:hAnsi="Times New Roman"/>
        </w:rPr>
        <w:t>14</w:t>
      </w:r>
      <w:r w:rsidR="008246BD" w:rsidRPr="005E1802">
        <w:rPr>
          <w:rFonts w:ascii="Times New Roman" w:hAnsi="Times New Roman"/>
        </w:rPr>
        <w:t xml:space="preserve"> </w:t>
      </w:r>
      <w:r w:rsidR="000A52FA" w:rsidRPr="005E1802">
        <w:rPr>
          <w:rFonts w:ascii="Times New Roman" w:hAnsi="Times New Roman"/>
        </w:rPr>
        <w:t>for a protection visa</w:t>
      </w:r>
      <w:r w:rsidR="00DA1836" w:rsidRPr="005E1802">
        <w:rPr>
          <w:rFonts w:ascii="Times New Roman" w:hAnsi="Times New Roman"/>
        </w:rPr>
        <w:t xml:space="preserve">. </w:t>
      </w:r>
      <w:r w:rsidR="00EA48E8" w:rsidRPr="005E1802">
        <w:rPr>
          <w:rFonts w:ascii="Times New Roman" w:hAnsi="Times New Roman"/>
        </w:rPr>
        <w:t>Amongst t</w:t>
      </w:r>
      <w:r w:rsidR="00DA1836" w:rsidRPr="005E1802">
        <w:rPr>
          <w:rFonts w:ascii="Times New Roman" w:hAnsi="Times New Roman"/>
        </w:rPr>
        <w:t xml:space="preserve">he claims he made </w:t>
      </w:r>
      <w:r w:rsidR="00523324" w:rsidRPr="005E1802">
        <w:rPr>
          <w:rFonts w:ascii="Times New Roman" w:hAnsi="Times New Roman"/>
        </w:rPr>
        <w:t>in</w:t>
      </w:r>
      <w:r w:rsidR="00496F8A" w:rsidRPr="005E1802">
        <w:rPr>
          <w:rFonts w:ascii="Times New Roman" w:hAnsi="Times New Roman"/>
        </w:rPr>
        <w:t xml:space="preserve"> support of that application </w:t>
      </w:r>
      <w:r w:rsidR="00E976A5" w:rsidRPr="005E1802">
        <w:rPr>
          <w:rFonts w:ascii="Times New Roman" w:hAnsi="Times New Roman"/>
        </w:rPr>
        <w:t>was</w:t>
      </w:r>
      <w:r w:rsidR="00496F8A" w:rsidRPr="005E1802">
        <w:rPr>
          <w:rFonts w:ascii="Times New Roman" w:hAnsi="Times New Roman"/>
        </w:rPr>
        <w:t xml:space="preserve"> a claim to </w:t>
      </w:r>
      <w:r w:rsidR="00523324" w:rsidRPr="005E1802">
        <w:rPr>
          <w:rFonts w:ascii="Times New Roman" w:hAnsi="Times New Roman"/>
        </w:rPr>
        <w:t>fe</w:t>
      </w:r>
      <w:r w:rsidR="001D0170" w:rsidRPr="005E1802">
        <w:rPr>
          <w:rFonts w:ascii="Times New Roman" w:hAnsi="Times New Roman"/>
        </w:rPr>
        <w:t>ar that his</w:t>
      </w:r>
      <w:r w:rsidR="00844B6F" w:rsidRPr="005E1802">
        <w:rPr>
          <w:rFonts w:ascii="Times New Roman" w:hAnsi="Times New Roman"/>
        </w:rPr>
        <w:t xml:space="preserve"> uncle </w:t>
      </w:r>
      <w:r w:rsidR="001D0170" w:rsidRPr="005E1802">
        <w:rPr>
          <w:rFonts w:ascii="Times New Roman" w:hAnsi="Times New Roman"/>
        </w:rPr>
        <w:t>would kill him on his</w:t>
      </w:r>
      <w:r w:rsidR="00E25B95" w:rsidRPr="005E1802">
        <w:rPr>
          <w:rFonts w:ascii="Times New Roman" w:hAnsi="Times New Roman"/>
        </w:rPr>
        <w:t xml:space="preserve"> return to </w:t>
      </w:r>
      <w:r w:rsidR="00AE720D" w:rsidRPr="005E1802">
        <w:rPr>
          <w:rFonts w:ascii="Times New Roman" w:hAnsi="Times New Roman"/>
        </w:rPr>
        <w:t xml:space="preserve">India </w:t>
      </w:r>
      <w:r w:rsidR="001D0170" w:rsidRPr="005E1802">
        <w:rPr>
          <w:rFonts w:ascii="Times New Roman" w:hAnsi="Times New Roman"/>
        </w:rPr>
        <w:t>in connection with</w:t>
      </w:r>
      <w:r w:rsidR="00AE720D" w:rsidRPr="005E1802">
        <w:rPr>
          <w:rFonts w:ascii="Times New Roman" w:hAnsi="Times New Roman"/>
        </w:rPr>
        <w:t xml:space="preserve"> a dispute bet</w:t>
      </w:r>
      <w:r w:rsidR="005B5C65" w:rsidRPr="005E1802">
        <w:rPr>
          <w:rFonts w:ascii="Times New Roman" w:hAnsi="Times New Roman"/>
        </w:rPr>
        <w:t xml:space="preserve">ween his </w:t>
      </w:r>
      <w:r w:rsidR="0067296E" w:rsidRPr="005E1802">
        <w:rPr>
          <w:rFonts w:ascii="Times New Roman" w:hAnsi="Times New Roman"/>
        </w:rPr>
        <w:t xml:space="preserve">uncle and his </w:t>
      </w:r>
      <w:r w:rsidR="005B5C65" w:rsidRPr="005E1802">
        <w:rPr>
          <w:rFonts w:ascii="Times New Roman" w:hAnsi="Times New Roman"/>
        </w:rPr>
        <w:t xml:space="preserve">father over land in </w:t>
      </w:r>
      <w:r w:rsidR="007A615B" w:rsidRPr="005E1802">
        <w:rPr>
          <w:rFonts w:ascii="Times New Roman" w:hAnsi="Times New Roman"/>
        </w:rPr>
        <w:t>Punjab</w:t>
      </w:r>
      <w:r w:rsidR="001D0170" w:rsidRPr="005E1802">
        <w:rPr>
          <w:rFonts w:ascii="Times New Roman" w:hAnsi="Times New Roman"/>
        </w:rPr>
        <w:t xml:space="preserve">. </w:t>
      </w:r>
      <w:r w:rsidR="00D3259F" w:rsidRPr="005E1802">
        <w:rPr>
          <w:rFonts w:ascii="Times New Roman" w:hAnsi="Times New Roman"/>
        </w:rPr>
        <w:t>He claimed that</w:t>
      </w:r>
      <w:r w:rsidR="00FC703A" w:rsidRPr="005E1802">
        <w:rPr>
          <w:rFonts w:ascii="Times New Roman" w:hAnsi="Times New Roman"/>
        </w:rPr>
        <w:t xml:space="preserve"> he was his father's oldest son and that</w:t>
      </w:r>
      <w:r w:rsidR="00D3259F" w:rsidRPr="005E1802">
        <w:rPr>
          <w:rFonts w:ascii="Times New Roman" w:hAnsi="Times New Roman"/>
        </w:rPr>
        <w:t xml:space="preserve"> his uncle had threate</w:t>
      </w:r>
      <w:r w:rsidR="00043FDB" w:rsidRPr="005E1802">
        <w:rPr>
          <w:rFonts w:ascii="Times New Roman" w:hAnsi="Times New Roman"/>
        </w:rPr>
        <w:t>ned</w:t>
      </w:r>
      <w:r w:rsidR="00D3259F" w:rsidRPr="005E1802">
        <w:rPr>
          <w:rFonts w:ascii="Times New Roman" w:hAnsi="Times New Roman"/>
        </w:rPr>
        <w:t xml:space="preserve"> to kill him if the land went under his name</w:t>
      </w:r>
      <w:r w:rsidR="00EA48E8" w:rsidRPr="005E1802">
        <w:rPr>
          <w:rFonts w:ascii="Times New Roman" w:hAnsi="Times New Roman"/>
        </w:rPr>
        <w:t xml:space="preserve">. He </w:t>
      </w:r>
      <w:r w:rsidR="0067296E" w:rsidRPr="005E1802">
        <w:rPr>
          <w:rFonts w:ascii="Times New Roman" w:hAnsi="Times New Roman"/>
        </w:rPr>
        <w:t>claimed that h</w:t>
      </w:r>
      <w:r w:rsidR="00F50A92" w:rsidRPr="005E1802">
        <w:rPr>
          <w:rFonts w:ascii="Times New Roman" w:hAnsi="Times New Roman"/>
        </w:rPr>
        <w:t xml:space="preserve">e had been kidnapped </w:t>
      </w:r>
      <w:r w:rsidR="00F26ECF" w:rsidRPr="005E1802">
        <w:rPr>
          <w:rFonts w:ascii="Times New Roman" w:hAnsi="Times New Roman"/>
        </w:rPr>
        <w:t>when visiting</w:t>
      </w:r>
      <w:r w:rsidR="006F313E" w:rsidRPr="005E1802">
        <w:rPr>
          <w:rFonts w:ascii="Times New Roman" w:hAnsi="Times New Roman"/>
        </w:rPr>
        <w:t xml:space="preserve"> Punjab </w:t>
      </w:r>
      <w:r w:rsidR="00264B99" w:rsidRPr="005E1802">
        <w:rPr>
          <w:rFonts w:ascii="Times New Roman" w:hAnsi="Times New Roman"/>
        </w:rPr>
        <w:t xml:space="preserve">from Delhi </w:t>
      </w:r>
      <w:r w:rsidR="0067296E" w:rsidRPr="005E1802">
        <w:rPr>
          <w:rFonts w:ascii="Times New Roman" w:hAnsi="Times New Roman"/>
        </w:rPr>
        <w:t>in 2004</w:t>
      </w:r>
      <w:r w:rsidR="00BA094D" w:rsidRPr="005E1802">
        <w:rPr>
          <w:rFonts w:ascii="Times New Roman" w:hAnsi="Times New Roman"/>
        </w:rPr>
        <w:t>. The kidnappers demanded that</w:t>
      </w:r>
      <w:r w:rsidR="00EA48E8" w:rsidRPr="005E1802">
        <w:rPr>
          <w:rFonts w:ascii="Times New Roman" w:hAnsi="Times New Roman"/>
        </w:rPr>
        <w:t xml:space="preserve"> his father sign papers putting the land in their names</w:t>
      </w:r>
      <w:r w:rsidR="00BA0BD9" w:rsidRPr="005E1802">
        <w:rPr>
          <w:rFonts w:ascii="Times New Roman" w:hAnsi="Times New Roman"/>
        </w:rPr>
        <w:t xml:space="preserve">. They </w:t>
      </w:r>
      <w:r w:rsidR="007B5884" w:rsidRPr="005E1802">
        <w:rPr>
          <w:rFonts w:ascii="Times New Roman" w:hAnsi="Times New Roman"/>
        </w:rPr>
        <w:t xml:space="preserve">released him </w:t>
      </w:r>
      <w:r w:rsidR="00106F59" w:rsidRPr="005E1802">
        <w:rPr>
          <w:rFonts w:ascii="Times New Roman" w:hAnsi="Times New Roman"/>
        </w:rPr>
        <w:t xml:space="preserve">after his </w:t>
      </w:r>
      <w:r w:rsidR="00376F05" w:rsidRPr="005E1802">
        <w:rPr>
          <w:rFonts w:ascii="Times New Roman" w:hAnsi="Times New Roman"/>
        </w:rPr>
        <w:t xml:space="preserve">father paid </w:t>
      </w:r>
      <w:r w:rsidR="00E0764D" w:rsidRPr="005E1802">
        <w:rPr>
          <w:rFonts w:ascii="Times New Roman" w:hAnsi="Times New Roman"/>
        </w:rPr>
        <w:t xml:space="preserve">them </w:t>
      </w:r>
      <w:r w:rsidR="00376F05" w:rsidRPr="005E1802">
        <w:rPr>
          <w:rFonts w:ascii="Times New Roman" w:hAnsi="Times New Roman"/>
        </w:rPr>
        <w:t>a settlement amoun</w:t>
      </w:r>
      <w:r w:rsidR="009A2EA7" w:rsidRPr="005E1802">
        <w:rPr>
          <w:rFonts w:ascii="Times New Roman" w:hAnsi="Times New Roman"/>
        </w:rPr>
        <w:t>t</w:t>
      </w:r>
      <w:r w:rsidR="00131700" w:rsidRPr="005E1802">
        <w:rPr>
          <w:rFonts w:ascii="Times New Roman" w:hAnsi="Times New Roman"/>
        </w:rPr>
        <w:t xml:space="preserve">. </w:t>
      </w:r>
    </w:p>
    <w:p w14:paraId="5294E9A3" w14:textId="608D764D" w:rsidR="00D03E11" w:rsidRPr="005E1802" w:rsidRDefault="00376F05"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D0E5E" w:rsidRPr="005E1802">
        <w:rPr>
          <w:rFonts w:ascii="Times New Roman" w:hAnsi="Times New Roman"/>
        </w:rPr>
        <w:t>A</w:t>
      </w:r>
      <w:r w:rsidR="00251120" w:rsidRPr="005E1802">
        <w:rPr>
          <w:rFonts w:ascii="Times New Roman" w:hAnsi="Times New Roman"/>
        </w:rPr>
        <w:t>nother</w:t>
      </w:r>
      <w:r w:rsidR="00DD0E5E" w:rsidRPr="005E1802">
        <w:rPr>
          <w:rFonts w:ascii="Times New Roman" w:hAnsi="Times New Roman"/>
        </w:rPr>
        <w:t xml:space="preserve"> delegate of the Minister </w:t>
      </w:r>
      <w:r w:rsidR="000E54AE" w:rsidRPr="005E1802">
        <w:rPr>
          <w:rFonts w:ascii="Times New Roman" w:hAnsi="Times New Roman"/>
        </w:rPr>
        <w:t>refused the protection visa</w:t>
      </w:r>
      <w:r w:rsidR="00746DDC" w:rsidRPr="005E1802">
        <w:rPr>
          <w:rFonts w:ascii="Times New Roman" w:hAnsi="Times New Roman"/>
        </w:rPr>
        <w:t xml:space="preserve"> </w:t>
      </w:r>
      <w:r w:rsidR="005F6A21" w:rsidRPr="005E1802">
        <w:rPr>
          <w:rFonts w:ascii="Times New Roman" w:hAnsi="Times New Roman"/>
        </w:rPr>
        <w:t xml:space="preserve">in </w:t>
      </w:r>
      <w:r w:rsidR="006B4887" w:rsidRPr="005E1802">
        <w:rPr>
          <w:rFonts w:ascii="Times New Roman" w:hAnsi="Times New Roman"/>
        </w:rPr>
        <w:t xml:space="preserve">June </w:t>
      </w:r>
      <w:r w:rsidR="005F6A21" w:rsidRPr="005E1802">
        <w:rPr>
          <w:rFonts w:ascii="Times New Roman" w:hAnsi="Times New Roman"/>
        </w:rPr>
        <w:t>2014</w:t>
      </w:r>
      <w:r w:rsidR="00F94FDB" w:rsidRPr="005E1802">
        <w:rPr>
          <w:rFonts w:ascii="Times New Roman" w:hAnsi="Times New Roman"/>
        </w:rPr>
        <w:t xml:space="preserve">. </w:t>
      </w:r>
      <w:r w:rsidR="00D03E11" w:rsidRPr="005E1802">
        <w:rPr>
          <w:rFonts w:ascii="Times New Roman" w:hAnsi="Times New Roman"/>
        </w:rPr>
        <w:t>T</w:t>
      </w:r>
      <w:r w:rsidR="00746DDC" w:rsidRPr="005E1802">
        <w:rPr>
          <w:rFonts w:ascii="Times New Roman" w:hAnsi="Times New Roman"/>
        </w:rPr>
        <w:t xml:space="preserve">he </w:t>
      </w:r>
      <w:r w:rsidR="00BB53EE" w:rsidRPr="005E1802">
        <w:rPr>
          <w:rFonts w:ascii="Times New Roman" w:hAnsi="Times New Roman"/>
        </w:rPr>
        <w:t xml:space="preserve">appellant </w:t>
      </w:r>
      <w:r w:rsidR="00AE664B" w:rsidRPr="005E1802">
        <w:rPr>
          <w:rFonts w:ascii="Times New Roman" w:hAnsi="Times New Roman"/>
        </w:rPr>
        <w:t xml:space="preserve">then </w:t>
      </w:r>
      <w:r w:rsidR="00BB53EE" w:rsidRPr="005E1802">
        <w:rPr>
          <w:rFonts w:ascii="Times New Roman" w:hAnsi="Times New Roman"/>
        </w:rPr>
        <w:t xml:space="preserve">applied to the </w:t>
      </w:r>
      <w:r w:rsidR="00FE5F5D" w:rsidRPr="005E1802">
        <w:rPr>
          <w:rFonts w:ascii="Times New Roman" w:hAnsi="Times New Roman"/>
        </w:rPr>
        <w:t>T</w:t>
      </w:r>
      <w:r w:rsidR="00F840E0" w:rsidRPr="005E1802">
        <w:rPr>
          <w:rFonts w:ascii="Times New Roman" w:hAnsi="Times New Roman"/>
        </w:rPr>
        <w:t>ribunal</w:t>
      </w:r>
      <w:r w:rsidR="00BF4AF6" w:rsidRPr="005E1802">
        <w:rPr>
          <w:rFonts w:ascii="Times New Roman" w:hAnsi="Times New Roman"/>
        </w:rPr>
        <w:t xml:space="preserve"> for merits </w:t>
      </w:r>
      <w:r w:rsidR="00084478" w:rsidRPr="005E1802">
        <w:rPr>
          <w:rFonts w:ascii="Times New Roman" w:hAnsi="Times New Roman"/>
        </w:rPr>
        <w:t xml:space="preserve">review </w:t>
      </w:r>
      <w:r w:rsidR="00BF4AF6" w:rsidRPr="005E1802">
        <w:rPr>
          <w:rFonts w:ascii="Times New Roman" w:hAnsi="Times New Roman"/>
        </w:rPr>
        <w:t>of th</w:t>
      </w:r>
      <w:r w:rsidR="004A4F53" w:rsidRPr="005E1802">
        <w:rPr>
          <w:rFonts w:ascii="Times New Roman" w:hAnsi="Times New Roman"/>
        </w:rPr>
        <w:t>at</w:t>
      </w:r>
      <w:r w:rsidR="00BF4AF6" w:rsidRPr="005E1802">
        <w:rPr>
          <w:rFonts w:ascii="Times New Roman" w:hAnsi="Times New Roman"/>
        </w:rPr>
        <w:t xml:space="preserve"> decision</w:t>
      </w:r>
      <w:r w:rsidR="001D5009" w:rsidRPr="005E1802">
        <w:rPr>
          <w:rFonts w:ascii="Times New Roman" w:hAnsi="Times New Roman"/>
        </w:rPr>
        <w:t xml:space="preserve"> under Pt 7 of the Act</w:t>
      </w:r>
      <w:r w:rsidR="00F94FDB" w:rsidRPr="005E1802">
        <w:rPr>
          <w:rFonts w:ascii="Times New Roman" w:hAnsi="Times New Roman"/>
        </w:rPr>
        <w:t>.</w:t>
      </w:r>
    </w:p>
    <w:p w14:paraId="774E76D6" w14:textId="3AE3CD76" w:rsidR="00376F05" w:rsidRPr="005E1802" w:rsidRDefault="00D03E11"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B50BCC" w:rsidRPr="005E1802">
        <w:rPr>
          <w:rFonts w:ascii="Times New Roman" w:hAnsi="Times New Roman"/>
        </w:rPr>
        <w:t xml:space="preserve">As required by </w:t>
      </w:r>
      <w:r w:rsidR="00FB3E1F" w:rsidRPr="005E1802">
        <w:rPr>
          <w:rFonts w:ascii="Times New Roman" w:hAnsi="Times New Roman"/>
        </w:rPr>
        <w:t>s 418(3)</w:t>
      </w:r>
      <w:r w:rsidR="00B50BCC" w:rsidRPr="005E1802">
        <w:rPr>
          <w:rFonts w:ascii="Times New Roman" w:hAnsi="Times New Roman"/>
        </w:rPr>
        <w:t xml:space="preserve"> of the Act, the Secretary gave to the </w:t>
      </w:r>
      <w:r w:rsidR="00FE5F5D" w:rsidRPr="005E1802">
        <w:rPr>
          <w:rFonts w:ascii="Times New Roman" w:hAnsi="Times New Roman"/>
        </w:rPr>
        <w:t>T</w:t>
      </w:r>
      <w:r w:rsidR="00F840E0" w:rsidRPr="005E1802">
        <w:rPr>
          <w:rFonts w:ascii="Times New Roman" w:hAnsi="Times New Roman"/>
        </w:rPr>
        <w:t>ribunal</w:t>
      </w:r>
      <w:r w:rsidR="00A81552" w:rsidRPr="005E1802">
        <w:rPr>
          <w:rFonts w:ascii="Times New Roman" w:hAnsi="Times New Roman"/>
        </w:rPr>
        <w:t xml:space="preserve"> </w:t>
      </w:r>
      <w:r w:rsidR="00F7104D" w:rsidRPr="005E1802">
        <w:rPr>
          <w:rFonts w:ascii="Times New Roman" w:hAnsi="Times New Roman"/>
        </w:rPr>
        <w:t xml:space="preserve">documents within the Secretary's possession or control </w:t>
      </w:r>
      <w:r w:rsidR="00BA0BD9" w:rsidRPr="005E1802">
        <w:rPr>
          <w:rFonts w:ascii="Times New Roman" w:hAnsi="Times New Roman"/>
        </w:rPr>
        <w:t xml:space="preserve">which the </w:t>
      </w:r>
      <w:r w:rsidR="004A3752" w:rsidRPr="005E1802">
        <w:rPr>
          <w:rFonts w:ascii="Times New Roman" w:hAnsi="Times New Roman"/>
        </w:rPr>
        <w:t xml:space="preserve">Secretary </w:t>
      </w:r>
      <w:r w:rsidR="004F6348" w:rsidRPr="005E1802">
        <w:rPr>
          <w:rFonts w:ascii="Times New Roman" w:hAnsi="Times New Roman"/>
        </w:rPr>
        <w:t xml:space="preserve">considered </w:t>
      </w:r>
      <w:r w:rsidR="004A3752" w:rsidRPr="005E1802">
        <w:rPr>
          <w:rFonts w:ascii="Times New Roman" w:hAnsi="Times New Roman"/>
        </w:rPr>
        <w:t>to be</w:t>
      </w:r>
      <w:r w:rsidR="004F6348" w:rsidRPr="005E1802">
        <w:rPr>
          <w:rFonts w:ascii="Times New Roman" w:hAnsi="Times New Roman"/>
        </w:rPr>
        <w:t xml:space="preserve"> relevant to the </w:t>
      </w:r>
      <w:r w:rsidR="00E5104E" w:rsidRPr="005E1802">
        <w:rPr>
          <w:rFonts w:ascii="Times New Roman" w:hAnsi="Times New Roman"/>
        </w:rPr>
        <w:t>review</w:t>
      </w:r>
      <w:r w:rsidR="00ED5BC6" w:rsidRPr="005E1802">
        <w:rPr>
          <w:rFonts w:ascii="Times New Roman" w:hAnsi="Times New Roman"/>
        </w:rPr>
        <w:t xml:space="preserve"> by the </w:t>
      </w:r>
      <w:r w:rsidR="00FE5F5D" w:rsidRPr="005E1802">
        <w:rPr>
          <w:rFonts w:ascii="Times New Roman" w:hAnsi="Times New Roman"/>
        </w:rPr>
        <w:t>T</w:t>
      </w:r>
      <w:r w:rsidR="00F840E0" w:rsidRPr="005E1802">
        <w:rPr>
          <w:rFonts w:ascii="Times New Roman" w:hAnsi="Times New Roman"/>
        </w:rPr>
        <w:t>ribunal</w:t>
      </w:r>
      <w:r w:rsidR="00A81552" w:rsidRPr="005E1802">
        <w:rPr>
          <w:rFonts w:ascii="Times New Roman" w:hAnsi="Times New Roman"/>
        </w:rPr>
        <w:t>.</w:t>
      </w:r>
      <w:r w:rsidR="009F1446" w:rsidRPr="005E1802">
        <w:rPr>
          <w:rFonts w:ascii="Times New Roman" w:hAnsi="Times New Roman"/>
        </w:rPr>
        <w:t xml:space="preserve"> </w:t>
      </w:r>
      <w:r w:rsidR="00BA05A0" w:rsidRPr="005E1802">
        <w:rPr>
          <w:rFonts w:ascii="Times New Roman" w:hAnsi="Times New Roman"/>
        </w:rPr>
        <w:t>Accompanying th</w:t>
      </w:r>
      <w:r w:rsidR="00A81552" w:rsidRPr="005E1802">
        <w:rPr>
          <w:rFonts w:ascii="Times New Roman" w:hAnsi="Times New Roman"/>
        </w:rPr>
        <w:t>e</w:t>
      </w:r>
      <w:r w:rsidR="00BA05A0" w:rsidRPr="005E1802">
        <w:rPr>
          <w:rFonts w:ascii="Times New Roman" w:hAnsi="Times New Roman"/>
        </w:rPr>
        <w:t xml:space="preserve"> documents</w:t>
      </w:r>
      <w:r w:rsidR="00A81552" w:rsidRPr="005E1802">
        <w:rPr>
          <w:rFonts w:ascii="Times New Roman" w:hAnsi="Times New Roman"/>
        </w:rPr>
        <w:t xml:space="preserve"> </w:t>
      </w:r>
      <w:r w:rsidR="004A3752" w:rsidRPr="005E1802">
        <w:rPr>
          <w:rFonts w:ascii="Times New Roman" w:hAnsi="Times New Roman"/>
        </w:rPr>
        <w:t xml:space="preserve">so </w:t>
      </w:r>
      <w:r w:rsidR="00A81552" w:rsidRPr="005E1802">
        <w:rPr>
          <w:rFonts w:ascii="Times New Roman" w:hAnsi="Times New Roman"/>
        </w:rPr>
        <w:t>given</w:t>
      </w:r>
      <w:r w:rsidR="00BA05A0" w:rsidRPr="005E1802">
        <w:rPr>
          <w:rFonts w:ascii="Times New Roman" w:hAnsi="Times New Roman"/>
        </w:rPr>
        <w:t xml:space="preserve"> </w:t>
      </w:r>
      <w:r w:rsidR="00AB6FE9" w:rsidRPr="005E1802">
        <w:rPr>
          <w:rFonts w:ascii="Times New Roman" w:hAnsi="Times New Roman"/>
        </w:rPr>
        <w:t xml:space="preserve">was </w:t>
      </w:r>
      <w:r w:rsidR="00571379" w:rsidRPr="005E1802">
        <w:rPr>
          <w:rFonts w:ascii="Times New Roman" w:hAnsi="Times New Roman"/>
        </w:rPr>
        <w:t xml:space="preserve">a </w:t>
      </w:r>
      <w:r w:rsidR="00BA5839" w:rsidRPr="005E1802">
        <w:rPr>
          <w:rFonts w:ascii="Times New Roman" w:hAnsi="Times New Roman"/>
        </w:rPr>
        <w:t>letter notifying</w:t>
      </w:r>
      <w:r w:rsidR="00571379" w:rsidRPr="005E1802">
        <w:rPr>
          <w:rFonts w:ascii="Times New Roman" w:hAnsi="Times New Roman"/>
        </w:rPr>
        <w:t xml:space="preserve"> </w:t>
      </w:r>
      <w:r w:rsidR="004F6348" w:rsidRPr="005E1802">
        <w:rPr>
          <w:rFonts w:ascii="Times New Roman" w:hAnsi="Times New Roman"/>
        </w:rPr>
        <w:t xml:space="preserve">the </w:t>
      </w:r>
      <w:r w:rsidR="00FE5F5D" w:rsidRPr="005E1802">
        <w:rPr>
          <w:rFonts w:ascii="Times New Roman" w:hAnsi="Times New Roman"/>
        </w:rPr>
        <w:t>T</w:t>
      </w:r>
      <w:r w:rsidR="00F840E0" w:rsidRPr="005E1802">
        <w:rPr>
          <w:rFonts w:ascii="Times New Roman" w:hAnsi="Times New Roman"/>
        </w:rPr>
        <w:t>ribunal</w:t>
      </w:r>
      <w:r w:rsidR="004F6348" w:rsidRPr="005E1802">
        <w:rPr>
          <w:rFonts w:ascii="Times New Roman" w:hAnsi="Times New Roman"/>
        </w:rPr>
        <w:t xml:space="preserve"> </w:t>
      </w:r>
      <w:r w:rsidR="002371CF" w:rsidRPr="005E1802">
        <w:rPr>
          <w:rFonts w:ascii="Times New Roman" w:hAnsi="Times New Roman"/>
        </w:rPr>
        <w:t xml:space="preserve">under s 438(2)(a) </w:t>
      </w:r>
      <w:r w:rsidR="00835C91" w:rsidRPr="005E1802">
        <w:rPr>
          <w:rFonts w:ascii="Times New Roman" w:hAnsi="Times New Roman"/>
        </w:rPr>
        <w:t xml:space="preserve">that </w:t>
      </w:r>
      <w:r w:rsidR="00B57448" w:rsidRPr="005E1802">
        <w:rPr>
          <w:rFonts w:ascii="Times New Roman" w:hAnsi="Times New Roman"/>
        </w:rPr>
        <w:t>s</w:t>
      </w:r>
      <w:r w:rsidR="00D70EAF" w:rsidRPr="005E1802">
        <w:rPr>
          <w:rFonts w:ascii="Times New Roman" w:hAnsi="Times New Roman"/>
        </w:rPr>
        <w:t> </w:t>
      </w:r>
      <w:r w:rsidR="00B57448" w:rsidRPr="005E1802">
        <w:rPr>
          <w:rFonts w:ascii="Times New Roman" w:hAnsi="Times New Roman"/>
        </w:rPr>
        <w:t xml:space="preserve">438(1)(b) applied to information contained in </w:t>
      </w:r>
      <w:r w:rsidR="00AD3616" w:rsidRPr="005E1802">
        <w:rPr>
          <w:rFonts w:ascii="Times New Roman" w:hAnsi="Times New Roman"/>
        </w:rPr>
        <w:t>specified</w:t>
      </w:r>
      <w:r w:rsidR="00557D63" w:rsidRPr="005E1802">
        <w:rPr>
          <w:rFonts w:ascii="Times New Roman" w:hAnsi="Times New Roman"/>
        </w:rPr>
        <w:t xml:space="preserve"> </w:t>
      </w:r>
      <w:r w:rsidR="001C3286" w:rsidRPr="005E1802">
        <w:rPr>
          <w:rFonts w:ascii="Times New Roman" w:hAnsi="Times New Roman"/>
        </w:rPr>
        <w:t>documents on</w:t>
      </w:r>
      <w:r w:rsidR="00557D63" w:rsidRPr="005E1802">
        <w:rPr>
          <w:rFonts w:ascii="Times New Roman" w:hAnsi="Times New Roman"/>
        </w:rPr>
        <w:t xml:space="preserve"> </w:t>
      </w:r>
      <w:r w:rsidR="0064237E" w:rsidRPr="005E1802">
        <w:rPr>
          <w:rFonts w:ascii="Times New Roman" w:hAnsi="Times New Roman"/>
        </w:rPr>
        <w:t>a</w:t>
      </w:r>
      <w:r w:rsidR="005B20E0" w:rsidRPr="005E1802">
        <w:rPr>
          <w:rFonts w:ascii="Times New Roman" w:hAnsi="Times New Roman"/>
        </w:rPr>
        <w:t xml:space="preserve"> specified</w:t>
      </w:r>
      <w:r w:rsidR="00557D63" w:rsidRPr="005E1802">
        <w:rPr>
          <w:rFonts w:ascii="Times New Roman" w:hAnsi="Times New Roman"/>
        </w:rPr>
        <w:t xml:space="preserve"> </w:t>
      </w:r>
      <w:r w:rsidR="00852F2C" w:rsidRPr="005E1802">
        <w:rPr>
          <w:rFonts w:ascii="Times New Roman" w:hAnsi="Times New Roman"/>
        </w:rPr>
        <w:t xml:space="preserve">departmental </w:t>
      </w:r>
      <w:r w:rsidR="00BA5839" w:rsidRPr="005E1802">
        <w:rPr>
          <w:rFonts w:ascii="Times New Roman" w:hAnsi="Times New Roman"/>
        </w:rPr>
        <w:t>file</w:t>
      </w:r>
      <w:r w:rsidR="00E21538" w:rsidRPr="005E1802">
        <w:rPr>
          <w:rFonts w:ascii="Times New Roman" w:hAnsi="Times New Roman"/>
        </w:rPr>
        <w:t xml:space="preserve">. </w:t>
      </w:r>
      <w:r w:rsidR="00A37BB6" w:rsidRPr="005E1802">
        <w:rPr>
          <w:rFonts w:ascii="Times New Roman" w:hAnsi="Times New Roman"/>
        </w:rPr>
        <w:t>By way of advice under s</w:t>
      </w:r>
      <w:r w:rsidR="00671A26" w:rsidRPr="005E1802">
        <w:rPr>
          <w:rFonts w:ascii="Times New Roman" w:hAnsi="Times New Roman"/>
        </w:rPr>
        <w:t> </w:t>
      </w:r>
      <w:r w:rsidR="00A37BB6" w:rsidRPr="005E1802">
        <w:rPr>
          <w:rFonts w:ascii="Times New Roman" w:hAnsi="Times New Roman"/>
        </w:rPr>
        <w:t>438(2)(b), t</w:t>
      </w:r>
      <w:r w:rsidR="00E21538" w:rsidRPr="005E1802">
        <w:rPr>
          <w:rFonts w:ascii="Times New Roman" w:hAnsi="Times New Roman"/>
        </w:rPr>
        <w:t>he letter express</w:t>
      </w:r>
      <w:r w:rsidR="00A81552" w:rsidRPr="005E1802">
        <w:rPr>
          <w:rFonts w:ascii="Times New Roman" w:hAnsi="Times New Roman"/>
        </w:rPr>
        <w:t>ed</w:t>
      </w:r>
      <w:r w:rsidR="00E21538" w:rsidRPr="005E1802">
        <w:rPr>
          <w:rFonts w:ascii="Times New Roman" w:hAnsi="Times New Roman"/>
        </w:rPr>
        <w:t xml:space="preserve"> the view</w:t>
      </w:r>
      <w:r w:rsidR="00205164" w:rsidRPr="005E1802">
        <w:rPr>
          <w:rFonts w:ascii="Times New Roman" w:hAnsi="Times New Roman"/>
        </w:rPr>
        <w:t xml:space="preserve"> that the information should not be disclosed to </w:t>
      </w:r>
      <w:r w:rsidR="008F3163" w:rsidRPr="005E1802">
        <w:rPr>
          <w:rFonts w:ascii="Times New Roman" w:hAnsi="Times New Roman"/>
        </w:rPr>
        <w:t xml:space="preserve">the appellant or </w:t>
      </w:r>
      <w:r w:rsidR="007114E3" w:rsidRPr="005E1802">
        <w:rPr>
          <w:rFonts w:ascii="Times New Roman" w:hAnsi="Times New Roman"/>
        </w:rPr>
        <w:t>hi</w:t>
      </w:r>
      <w:r w:rsidR="00B44F02" w:rsidRPr="005E1802">
        <w:rPr>
          <w:rFonts w:ascii="Times New Roman" w:hAnsi="Times New Roman"/>
        </w:rPr>
        <w:t xml:space="preserve">s representative because the information </w:t>
      </w:r>
      <w:r w:rsidR="006C2058" w:rsidRPr="005E1802">
        <w:rPr>
          <w:rFonts w:ascii="Times New Roman" w:hAnsi="Times New Roman"/>
        </w:rPr>
        <w:t>had been "shared by Victoria Police with the Department for investigative purposes only"</w:t>
      </w:r>
      <w:r w:rsidR="0025098A" w:rsidRPr="005E1802">
        <w:rPr>
          <w:rFonts w:ascii="Times New Roman" w:hAnsi="Times New Roman"/>
        </w:rPr>
        <w:t>.</w:t>
      </w:r>
    </w:p>
    <w:p w14:paraId="763D8677" w14:textId="0C4D84F0" w:rsidR="00CE5871" w:rsidRPr="005E1802" w:rsidRDefault="00CE5871"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74427D" w:rsidRPr="005E1802">
        <w:rPr>
          <w:rFonts w:ascii="Times New Roman" w:hAnsi="Times New Roman"/>
        </w:rPr>
        <w:t>T</w:t>
      </w:r>
      <w:r w:rsidR="00102F1C" w:rsidRPr="005E1802">
        <w:rPr>
          <w:rFonts w:ascii="Times New Roman" w:hAnsi="Times New Roman"/>
        </w:rPr>
        <w:t xml:space="preserve">he documents </w:t>
      </w:r>
      <w:r w:rsidR="00E37F48" w:rsidRPr="005E1802">
        <w:rPr>
          <w:rFonts w:ascii="Times New Roman" w:hAnsi="Times New Roman"/>
        </w:rPr>
        <w:t xml:space="preserve">specified in the notification included a </w:t>
      </w:r>
      <w:r w:rsidR="00827D97" w:rsidRPr="005E1802">
        <w:rPr>
          <w:rFonts w:ascii="Times New Roman" w:hAnsi="Times New Roman"/>
        </w:rPr>
        <w:t>"Court Outcomes Report"</w:t>
      </w:r>
      <w:r w:rsidR="005A7FFE" w:rsidRPr="005E1802">
        <w:rPr>
          <w:rFonts w:ascii="Times New Roman" w:hAnsi="Times New Roman"/>
        </w:rPr>
        <w:t xml:space="preserve"> which</w:t>
      </w:r>
      <w:r w:rsidR="00827D97" w:rsidRPr="005E1802">
        <w:rPr>
          <w:rFonts w:ascii="Times New Roman" w:hAnsi="Times New Roman"/>
        </w:rPr>
        <w:t xml:space="preserve"> </w:t>
      </w:r>
      <w:r w:rsidR="005D16AA" w:rsidRPr="005E1802">
        <w:rPr>
          <w:rFonts w:ascii="Times New Roman" w:hAnsi="Times New Roman"/>
        </w:rPr>
        <w:t>indicat</w:t>
      </w:r>
      <w:r w:rsidR="005A7FFE" w:rsidRPr="005E1802">
        <w:rPr>
          <w:rFonts w:ascii="Times New Roman" w:hAnsi="Times New Roman"/>
        </w:rPr>
        <w:t>ed</w:t>
      </w:r>
      <w:r w:rsidR="005D16AA" w:rsidRPr="005E1802">
        <w:rPr>
          <w:rFonts w:ascii="Times New Roman" w:hAnsi="Times New Roman"/>
        </w:rPr>
        <w:t xml:space="preserve"> that the </w:t>
      </w:r>
      <w:r w:rsidR="002D5B1B" w:rsidRPr="005E1802">
        <w:rPr>
          <w:rFonts w:ascii="Times New Roman" w:hAnsi="Times New Roman"/>
        </w:rPr>
        <w:t xml:space="preserve">appellant had been convicted </w:t>
      </w:r>
      <w:r w:rsidR="00230FF7" w:rsidRPr="005E1802">
        <w:rPr>
          <w:rFonts w:ascii="Times New Roman" w:hAnsi="Times New Roman"/>
        </w:rPr>
        <w:t xml:space="preserve">of offences </w:t>
      </w:r>
      <w:r w:rsidR="00C23A16" w:rsidRPr="005E1802">
        <w:rPr>
          <w:rFonts w:ascii="Times New Roman" w:hAnsi="Times New Roman"/>
        </w:rPr>
        <w:t xml:space="preserve">in the </w:t>
      </w:r>
      <w:r w:rsidR="00026B1B" w:rsidRPr="005E1802">
        <w:rPr>
          <w:rFonts w:ascii="Times New Roman" w:hAnsi="Times New Roman"/>
        </w:rPr>
        <w:t>Dandenong Magistrates</w:t>
      </w:r>
      <w:r w:rsidR="004F4BBC" w:rsidRPr="005E1802">
        <w:rPr>
          <w:rFonts w:ascii="Times New Roman" w:hAnsi="Times New Roman"/>
        </w:rPr>
        <w:t>'</w:t>
      </w:r>
      <w:r w:rsidR="00026B1B" w:rsidRPr="005E1802">
        <w:rPr>
          <w:rFonts w:ascii="Times New Roman" w:hAnsi="Times New Roman"/>
        </w:rPr>
        <w:t xml:space="preserve"> Court in </w:t>
      </w:r>
      <w:r w:rsidR="00121D8C" w:rsidRPr="005E1802">
        <w:rPr>
          <w:rFonts w:ascii="Times New Roman" w:hAnsi="Times New Roman"/>
        </w:rPr>
        <w:t xml:space="preserve">September </w:t>
      </w:r>
      <w:r w:rsidR="00026B1B" w:rsidRPr="005E1802">
        <w:rPr>
          <w:rFonts w:ascii="Times New Roman" w:hAnsi="Times New Roman"/>
        </w:rPr>
        <w:t>2011</w:t>
      </w:r>
      <w:r w:rsidR="00230FF7" w:rsidRPr="005E1802">
        <w:rPr>
          <w:rFonts w:ascii="Times New Roman" w:hAnsi="Times New Roman"/>
        </w:rPr>
        <w:t>.</w:t>
      </w:r>
      <w:r w:rsidR="00F7651D" w:rsidRPr="005E1802">
        <w:rPr>
          <w:rFonts w:ascii="Times New Roman" w:hAnsi="Times New Roman"/>
        </w:rPr>
        <w:t xml:space="preserve"> </w:t>
      </w:r>
      <w:r w:rsidR="00230FF7" w:rsidRPr="005E1802">
        <w:rPr>
          <w:rFonts w:ascii="Times New Roman" w:hAnsi="Times New Roman"/>
        </w:rPr>
        <w:t xml:space="preserve">The offences </w:t>
      </w:r>
      <w:r w:rsidR="009E7042" w:rsidRPr="005E1802">
        <w:rPr>
          <w:rFonts w:ascii="Times New Roman" w:hAnsi="Times New Roman"/>
        </w:rPr>
        <w:t xml:space="preserve">of which he had been convicted </w:t>
      </w:r>
      <w:r w:rsidR="00230FF7" w:rsidRPr="005E1802">
        <w:rPr>
          <w:rFonts w:ascii="Times New Roman" w:hAnsi="Times New Roman"/>
        </w:rPr>
        <w:t xml:space="preserve">were </w:t>
      </w:r>
      <w:r w:rsidR="009B635C" w:rsidRPr="005E1802">
        <w:rPr>
          <w:rFonts w:ascii="Times New Roman" w:hAnsi="Times New Roman"/>
        </w:rPr>
        <w:t>t</w:t>
      </w:r>
      <w:r w:rsidR="00584D80" w:rsidRPr="005E1802">
        <w:rPr>
          <w:rFonts w:ascii="Times New Roman" w:hAnsi="Times New Roman"/>
        </w:rPr>
        <w:t>hree</w:t>
      </w:r>
      <w:r w:rsidR="00D809BA" w:rsidRPr="005E1802">
        <w:rPr>
          <w:rFonts w:ascii="Times New Roman" w:hAnsi="Times New Roman"/>
        </w:rPr>
        <w:t xml:space="preserve"> </w:t>
      </w:r>
      <w:r w:rsidR="00D07912" w:rsidRPr="005E1802">
        <w:rPr>
          <w:rFonts w:ascii="Times New Roman" w:hAnsi="Times New Roman"/>
        </w:rPr>
        <w:t xml:space="preserve">counts of drink driving, </w:t>
      </w:r>
      <w:r w:rsidR="00017753" w:rsidRPr="005E1802">
        <w:rPr>
          <w:rFonts w:ascii="Times New Roman" w:hAnsi="Times New Roman"/>
        </w:rPr>
        <w:t>eight</w:t>
      </w:r>
      <w:r w:rsidR="00D07912" w:rsidRPr="005E1802">
        <w:rPr>
          <w:rFonts w:ascii="Times New Roman" w:hAnsi="Times New Roman"/>
        </w:rPr>
        <w:t xml:space="preserve"> counts of driving while disqualified</w:t>
      </w:r>
      <w:r w:rsidR="00B173FE" w:rsidRPr="005E1802">
        <w:rPr>
          <w:rFonts w:ascii="Times New Roman" w:hAnsi="Times New Roman"/>
        </w:rPr>
        <w:t xml:space="preserve">, three counts of using an unregistered vehicle on a highway, </w:t>
      </w:r>
      <w:r w:rsidR="00230FF7" w:rsidRPr="005E1802">
        <w:rPr>
          <w:rFonts w:ascii="Times New Roman" w:hAnsi="Times New Roman"/>
        </w:rPr>
        <w:t xml:space="preserve">two counts of using a </w:t>
      </w:r>
      <w:r w:rsidR="005A3630" w:rsidRPr="005E1802">
        <w:rPr>
          <w:rFonts w:ascii="Times New Roman" w:hAnsi="Times New Roman"/>
        </w:rPr>
        <w:t>vehicle</w:t>
      </w:r>
      <w:r w:rsidR="0016131E" w:rsidRPr="005E1802">
        <w:rPr>
          <w:rFonts w:ascii="Times New Roman" w:hAnsi="Times New Roman"/>
        </w:rPr>
        <w:t xml:space="preserve"> not in a safe and roadworthy condition, </w:t>
      </w:r>
      <w:r w:rsidR="00B344AD" w:rsidRPr="005E1802">
        <w:rPr>
          <w:rFonts w:ascii="Times New Roman" w:hAnsi="Times New Roman"/>
        </w:rPr>
        <w:t>one count of removing a defective vehicle label</w:t>
      </w:r>
      <w:r w:rsidR="000D5FA3" w:rsidRPr="005E1802">
        <w:rPr>
          <w:rFonts w:ascii="Times New Roman" w:hAnsi="Times New Roman"/>
        </w:rPr>
        <w:t xml:space="preserve">, one count of </w:t>
      </w:r>
      <w:r w:rsidR="006E63ED" w:rsidRPr="005E1802">
        <w:rPr>
          <w:rFonts w:ascii="Times New Roman" w:hAnsi="Times New Roman"/>
        </w:rPr>
        <w:t xml:space="preserve">failing to wear a seat belt and one count of </w:t>
      </w:r>
      <w:r w:rsidR="00FE1778" w:rsidRPr="005E1802">
        <w:rPr>
          <w:rFonts w:ascii="Times New Roman" w:hAnsi="Times New Roman"/>
        </w:rPr>
        <w:t xml:space="preserve">an offence described as "state false name". </w:t>
      </w:r>
      <w:r w:rsidR="00A65060" w:rsidRPr="005E1802">
        <w:rPr>
          <w:rFonts w:ascii="Times New Roman" w:hAnsi="Times New Roman"/>
        </w:rPr>
        <w:t>There is no</w:t>
      </w:r>
      <w:r w:rsidR="004562D7" w:rsidRPr="005E1802">
        <w:rPr>
          <w:rFonts w:ascii="Times New Roman" w:hAnsi="Times New Roman"/>
        </w:rPr>
        <w:t xml:space="preserve"> dispute</w:t>
      </w:r>
      <w:r w:rsidR="00A65060" w:rsidRPr="005E1802">
        <w:rPr>
          <w:rFonts w:ascii="Times New Roman" w:hAnsi="Times New Roman"/>
        </w:rPr>
        <w:t xml:space="preserve"> </w:t>
      </w:r>
      <w:r w:rsidR="007F7EA0" w:rsidRPr="005E1802">
        <w:rPr>
          <w:rFonts w:ascii="Times New Roman" w:hAnsi="Times New Roman"/>
        </w:rPr>
        <w:t xml:space="preserve">between the parties to the appeal </w:t>
      </w:r>
      <w:r w:rsidR="00A65060" w:rsidRPr="005E1802">
        <w:rPr>
          <w:rFonts w:ascii="Times New Roman" w:hAnsi="Times New Roman"/>
        </w:rPr>
        <w:t>that the offence described as "state false name"</w:t>
      </w:r>
      <w:r w:rsidR="004562D7" w:rsidRPr="005E1802">
        <w:rPr>
          <w:rFonts w:ascii="Times New Roman" w:hAnsi="Times New Roman"/>
        </w:rPr>
        <w:t xml:space="preserve"> was an offence of dishonesty.</w:t>
      </w:r>
    </w:p>
    <w:p w14:paraId="3BF1115F" w14:textId="536C8A6F" w:rsidR="00E71E0C" w:rsidRPr="005E1802" w:rsidRDefault="004562D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2C6ED0" w:rsidRPr="005E1802">
        <w:rPr>
          <w:rFonts w:ascii="Times New Roman" w:hAnsi="Times New Roman"/>
        </w:rPr>
        <w:t>Neither the existence of the notification</w:t>
      </w:r>
      <w:r w:rsidR="002343CB" w:rsidRPr="005E1802">
        <w:rPr>
          <w:rFonts w:ascii="Times New Roman" w:hAnsi="Times New Roman"/>
        </w:rPr>
        <w:t xml:space="preserve"> </w:t>
      </w:r>
      <w:r w:rsidR="00D92CFA" w:rsidRPr="005E1802">
        <w:rPr>
          <w:rFonts w:ascii="Times New Roman" w:hAnsi="Times New Roman"/>
        </w:rPr>
        <w:t>nor any of</w:t>
      </w:r>
      <w:r w:rsidR="00F7104D" w:rsidRPr="005E1802">
        <w:rPr>
          <w:rFonts w:ascii="Times New Roman" w:hAnsi="Times New Roman"/>
        </w:rPr>
        <w:t xml:space="preserve"> the information </w:t>
      </w:r>
      <w:r w:rsidR="00D92CFA" w:rsidRPr="005E1802">
        <w:rPr>
          <w:rFonts w:ascii="Times New Roman" w:hAnsi="Times New Roman"/>
        </w:rPr>
        <w:t xml:space="preserve">contained in the </w:t>
      </w:r>
      <w:r w:rsidR="00E71E0C" w:rsidRPr="005E1802">
        <w:rPr>
          <w:rFonts w:ascii="Times New Roman" w:hAnsi="Times New Roman"/>
        </w:rPr>
        <w:t xml:space="preserve">documents specified in the notification </w:t>
      </w:r>
      <w:r w:rsidR="00355810" w:rsidRPr="005E1802">
        <w:rPr>
          <w:rFonts w:ascii="Times New Roman" w:hAnsi="Times New Roman"/>
        </w:rPr>
        <w:t>w</w:t>
      </w:r>
      <w:r w:rsidR="000C7C36" w:rsidRPr="005E1802">
        <w:rPr>
          <w:rFonts w:ascii="Times New Roman" w:hAnsi="Times New Roman"/>
        </w:rPr>
        <w:t>as</w:t>
      </w:r>
      <w:r w:rsidR="00355810" w:rsidRPr="005E1802">
        <w:rPr>
          <w:rFonts w:ascii="Times New Roman" w:hAnsi="Times New Roman"/>
        </w:rPr>
        <w:t xml:space="preserve"> </w:t>
      </w:r>
      <w:r w:rsidR="002F5C8F" w:rsidRPr="005E1802">
        <w:rPr>
          <w:rFonts w:ascii="Times New Roman" w:hAnsi="Times New Roman"/>
        </w:rPr>
        <w:t xml:space="preserve">disclosed to the </w:t>
      </w:r>
      <w:r w:rsidR="00A32B74" w:rsidRPr="005E1802">
        <w:rPr>
          <w:rFonts w:ascii="Times New Roman" w:hAnsi="Times New Roman"/>
        </w:rPr>
        <w:t xml:space="preserve">appellant by the </w:t>
      </w:r>
      <w:r w:rsidR="00FE5F5D" w:rsidRPr="005E1802">
        <w:rPr>
          <w:rFonts w:ascii="Times New Roman" w:hAnsi="Times New Roman"/>
        </w:rPr>
        <w:t>T</w:t>
      </w:r>
      <w:r w:rsidR="00475A00" w:rsidRPr="005E1802">
        <w:rPr>
          <w:rFonts w:ascii="Times New Roman" w:hAnsi="Times New Roman"/>
        </w:rPr>
        <w:t>ribunal</w:t>
      </w:r>
      <w:r w:rsidR="00D47DD9" w:rsidRPr="005E1802">
        <w:rPr>
          <w:rFonts w:ascii="Times New Roman" w:hAnsi="Times New Roman"/>
        </w:rPr>
        <w:t xml:space="preserve">. </w:t>
      </w:r>
    </w:p>
    <w:p w14:paraId="4F85A749" w14:textId="1C21ABDD" w:rsidR="004562D7" w:rsidRPr="005E1802" w:rsidRDefault="00E71E0C" w:rsidP="005E1802">
      <w:pPr>
        <w:pStyle w:val="FixListStyle"/>
        <w:spacing w:after="260" w:line="280" w:lineRule="exact"/>
        <w:ind w:right="0"/>
        <w:jc w:val="both"/>
        <w:rPr>
          <w:rFonts w:ascii="Times New Roman" w:hAnsi="Times New Roman"/>
        </w:rPr>
      </w:pPr>
      <w:r w:rsidRPr="005E1802">
        <w:rPr>
          <w:rFonts w:ascii="Times New Roman" w:hAnsi="Times New Roman"/>
        </w:rPr>
        <w:lastRenderedPageBreak/>
        <w:tab/>
      </w:r>
      <w:r w:rsidR="00797FD8" w:rsidRPr="005E1802">
        <w:rPr>
          <w:rFonts w:ascii="Times New Roman" w:hAnsi="Times New Roman"/>
        </w:rPr>
        <w:t xml:space="preserve">Proceeding on the mistaken understanding that the appellant had </w:t>
      </w:r>
      <w:r w:rsidR="0077516D" w:rsidRPr="005E1802">
        <w:rPr>
          <w:rFonts w:ascii="Times New Roman" w:hAnsi="Times New Roman"/>
        </w:rPr>
        <w:t xml:space="preserve">been </w:t>
      </w:r>
      <w:r w:rsidR="00D4429F" w:rsidRPr="005E1802">
        <w:rPr>
          <w:rFonts w:ascii="Times New Roman" w:hAnsi="Times New Roman"/>
        </w:rPr>
        <w:t>invit</w:t>
      </w:r>
      <w:r w:rsidR="0077516D" w:rsidRPr="005E1802">
        <w:rPr>
          <w:rFonts w:ascii="Times New Roman" w:hAnsi="Times New Roman"/>
        </w:rPr>
        <w:t>ed</w:t>
      </w:r>
      <w:r w:rsidR="00D4429F" w:rsidRPr="005E1802">
        <w:rPr>
          <w:rFonts w:ascii="Times New Roman" w:hAnsi="Times New Roman"/>
        </w:rPr>
        <w:t xml:space="preserve"> to a </w:t>
      </w:r>
      <w:r w:rsidR="00FF474F" w:rsidRPr="005E1802">
        <w:rPr>
          <w:rFonts w:ascii="Times New Roman" w:hAnsi="Times New Roman"/>
        </w:rPr>
        <w:t xml:space="preserve">scheduled </w:t>
      </w:r>
      <w:r w:rsidR="00D4429F" w:rsidRPr="005E1802">
        <w:rPr>
          <w:rFonts w:ascii="Times New Roman" w:hAnsi="Times New Roman"/>
        </w:rPr>
        <w:t xml:space="preserve">hearing and had failed to attend, the </w:t>
      </w:r>
      <w:r w:rsidR="00FE5F5D" w:rsidRPr="005E1802">
        <w:rPr>
          <w:rFonts w:ascii="Times New Roman" w:hAnsi="Times New Roman"/>
        </w:rPr>
        <w:t>T</w:t>
      </w:r>
      <w:r w:rsidR="00475A00" w:rsidRPr="005E1802">
        <w:rPr>
          <w:rFonts w:ascii="Times New Roman" w:hAnsi="Times New Roman"/>
        </w:rPr>
        <w:t>ribunal</w:t>
      </w:r>
      <w:r w:rsidR="006456D4" w:rsidRPr="005E1802">
        <w:rPr>
          <w:rFonts w:ascii="Times New Roman" w:hAnsi="Times New Roman"/>
        </w:rPr>
        <w:t xml:space="preserve"> made a</w:t>
      </w:r>
      <w:r w:rsidR="00A47B56" w:rsidRPr="005E1802">
        <w:rPr>
          <w:rFonts w:ascii="Times New Roman" w:hAnsi="Times New Roman"/>
        </w:rPr>
        <w:t xml:space="preserve">n initial decision in </w:t>
      </w:r>
      <w:r w:rsidR="00671159" w:rsidRPr="005E1802">
        <w:rPr>
          <w:rFonts w:ascii="Times New Roman" w:hAnsi="Times New Roman"/>
        </w:rPr>
        <w:t>September 2014</w:t>
      </w:r>
      <w:r w:rsidR="00DE5281" w:rsidRPr="005E1802">
        <w:rPr>
          <w:rFonts w:ascii="Times New Roman" w:hAnsi="Times New Roman"/>
        </w:rPr>
        <w:t xml:space="preserve">, </w:t>
      </w:r>
      <w:r w:rsidR="00716510" w:rsidRPr="005E1802">
        <w:rPr>
          <w:rFonts w:ascii="Times New Roman" w:hAnsi="Times New Roman"/>
        </w:rPr>
        <w:t xml:space="preserve">affirming the decision of the delegate. </w:t>
      </w:r>
      <w:r w:rsidR="001146B7"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095214" w:rsidRPr="005E1802">
        <w:rPr>
          <w:rFonts w:ascii="Times New Roman" w:hAnsi="Times New Roman"/>
        </w:rPr>
        <w:t xml:space="preserve">'s statement of reasons for that initial decision </w:t>
      </w:r>
      <w:r w:rsidR="002C1B28" w:rsidRPr="005E1802">
        <w:rPr>
          <w:rFonts w:ascii="Times New Roman" w:hAnsi="Times New Roman"/>
        </w:rPr>
        <w:t xml:space="preserve">stated that </w:t>
      </w:r>
      <w:r w:rsidR="00ED77C5" w:rsidRPr="005E1802">
        <w:rPr>
          <w:rFonts w:ascii="Times New Roman" w:hAnsi="Times New Roman"/>
        </w:rPr>
        <w:t xml:space="preserve">it </w:t>
      </w:r>
      <w:r w:rsidR="002C1B28" w:rsidRPr="005E1802">
        <w:rPr>
          <w:rFonts w:ascii="Times New Roman" w:hAnsi="Times New Roman"/>
        </w:rPr>
        <w:t xml:space="preserve">had "considered all the material before it </w:t>
      </w:r>
      <w:r w:rsidR="0078387C" w:rsidRPr="005E1802">
        <w:rPr>
          <w:rFonts w:ascii="Times New Roman" w:hAnsi="Times New Roman"/>
        </w:rPr>
        <w:t>relating to [the] application"</w:t>
      </w:r>
      <w:r w:rsidR="001F1BAF" w:rsidRPr="005E1802">
        <w:rPr>
          <w:rFonts w:ascii="Times New Roman" w:hAnsi="Times New Roman"/>
        </w:rPr>
        <w:t xml:space="preserve">. The statement of reasons went on </w:t>
      </w:r>
      <w:r w:rsidR="00210E07" w:rsidRPr="005E1802">
        <w:rPr>
          <w:rFonts w:ascii="Times New Roman" w:hAnsi="Times New Roman"/>
        </w:rPr>
        <w:t xml:space="preserve">relevantly </w:t>
      </w:r>
      <w:r w:rsidR="001F1BAF" w:rsidRPr="005E1802">
        <w:rPr>
          <w:rFonts w:ascii="Times New Roman" w:hAnsi="Times New Roman"/>
        </w:rPr>
        <w:t>to explain that</w:t>
      </w:r>
      <w:r w:rsidR="001F7603" w:rsidRPr="005E1802">
        <w:rPr>
          <w:rFonts w:ascii="Times New Roman" w:hAnsi="Times New Roman"/>
        </w:rPr>
        <w:t xml:space="preserve">, </w:t>
      </w:r>
      <w:r w:rsidR="00715871" w:rsidRPr="005E1802">
        <w:rPr>
          <w:rFonts w:ascii="Times New Roman" w:hAnsi="Times New Roman"/>
        </w:rPr>
        <w:t>on the "limited and vague evidence"</w:t>
      </w:r>
      <w:r w:rsidR="001F7603" w:rsidRPr="005E1802">
        <w:rPr>
          <w:rFonts w:ascii="Times New Roman" w:hAnsi="Times New Roman"/>
        </w:rPr>
        <w:t xml:space="preserve">, the </w:t>
      </w:r>
      <w:r w:rsidR="00FE5F5D" w:rsidRPr="005E1802">
        <w:rPr>
          <w:rFonts w:ascii="Times New Roman" w:hAnsi="Times New Roman"/>
        </w:rPr>
        <w:t>T</w:t>
      </w:r>
      <w:r w:rsidR="00475A00" w:rsidRPr="005E1802">
        <w:rPr>
          <w:rFonts w:ascii="Times New Roman" w:hAnsi="Times New Roman"/>
        </w:rPr>
        <w:t>ribunal</w:t>
      </w:r>
      <w:r w:rsidR="001F7603" w:rsidRPr="005E1802">
        <w:rPr>
          <w:rFonts w:ascii="Times New Roman" w:hAnsi="Times New Roman"/>
        </w:rPr>
        <w:t xml:space="preserve"> did not accept </w:t>
      </w:r>
      <w:r w:rsidR="00000030" w:rsidRPr="005E1802">
        <w:rPr>
          <w:rFonts w:ascii="Times New Roman" w:hAnsi="Times New Roman"/>
        </w:rPr>
        <w:t xml:space="preserve">the </w:t>
      </w:r>
      <w:r w:rsidR="00D24DD7" w:rsidRPr="005E1802">
        <w:rPr>
          <w:rFonts w:ascii="Times New Roman" w:hAnsi="Times New Roman"/>
        </w:rPr>
        <w:t xml:space="preserve">appellant's </w:t>
      </w:r>
      <w:r w:rsidR="00000030" w:rsidRPr="005E1802">
        <w:rPr>
          <w:rFonts w:ascii="Times New Roman" w:hAnsi="Times New Roman"/>
        </w:rPr>
        <w:t xml:space="preserve">claim </w:t>
      </w:r>
      <w:r w:rsidR="00EF220A" w:rsidRPr="005E1802">
        <w:rPr>
          <w:rFonts w:ascii="Times New Roman" w:hAnsi="Times New Roman"/>
        </w:rPr>
        <w:t xml:space="preserve">to fear harm </w:t>
      </w:r>
      <w:r w:rsidR="0032292B" w:rsidRPr="005E1802">
        <w:rPr>
          <w:rFonts w:ascii="Times New Roman" w:hAnsi="Times New Roman"/>
        </w:rPr>
        <w:t>in connection with the dispute over land in Punjab</w:t>
      </w:r>
      <w:r w:rsidR="00EF220A" w:rsidRPr="005E1802">
        <w:rPr>
          <w:rFonts w:ascii="Times New Roman" w:hAnsi="Times New Roman"/>
        </w:rPr>
        <w:t>.</w:t>
      </w:r>
      <w:r w:rsidR="00BA4A8A" w:rsidRPr="005E1802">
        <w:rPr>
          <w:rFonts w:ascii="Times New Roman" w:hAnsi="Times New Roman"/>
        </w:rPr>
        <w:t xml:space="preserve"> The statement of reasons </w:t>
      </w:r>
      <w:r w:rsidR="001436F1" w:rsidRPr="005E1802">
        <w:rPr>
          <w:rFonts w:ascii="Times New Roman" w:hAnsi="Times New Roman"/>
        </w:rPr>
        <w:t xml:space="preserve">made no reference to </w:t>
      </w:r>
      <w:r w:rsidR="00BA4A8A" w:rsidRPr="005E1802">
        <w:rPr>
          <w:rFonts w:ascii="Times New Roman" w:hAnsi="Times New Roman"/>
        </w:rPr>
        <w:t>the notification</w:t>
      </w:r>
      <w:r w:rsidR="00DA3701" w:rsidRPr="005E1802">
        <w:rPr>
          <w:rFonts w:ascii="Times New Roman" w:hAnsi="Times New Roman"/>
        </w:rPr>
        <w:t xml:space="preserve"> or</w:t>
      </w:r>
      <w:r w:rsidR="001436F1" w:rsidRPr="005E1802">
        <w:rPr>
          <w:rFonts w:ascii="Times New Roman" w:hAnsi="Times New Roman"/>
        </w:rPr>
        <w:t xml:space="preserve"> to</w:t>
      </w:r>
      <w:r w:rsidR="00BA4A8A" w:rsidRPr="005E1802">
        <w:rPr>
          <w:rFonts w:ascii="Times New Roman" w:hAnsi="Times New Roman"/>
        </w:rPr>
        <w:t xml:space="preserve"> any information contained in </w:t>
      </w:r>
      <w:r w:rsidR="001436F1" w:rsidRPr="005E1802">
        <w:rPr>
          <w:rFonts w:ascii="Times New Roman" w:hAnsi="Times New Roman"/>
        </w:rPr>
        <w:t xml:space="preserve">any of </w:t>
      </w:r>
      <w:r w:rsidR="00BA4A8A" w:rsidRPr="005E1802">
        <w:rPr>
          <w:rFonts w:ascii="Times New Roman" w:hAnsi="Times New Roman"/>
        </w:rPr>
        <w:t>the documents specified in the notification</w:t>
      </w:r>
      <w:r w:rsidR="00221798" w:rsidRPr="005E1802">
        <w:rPr>
          <w:rFonts w:ascii="Times New Roman" w:hAnsi="Times New Roman"/>
        </w:rPr>
        <w:t>.</w:t>
      </w:r>
    </w:p>
    <w:p w14:paraId="1B576BF8" w14:textId="6C3A6900" w:rsidR="00210E07" w:rsidRPr="005E1802" w:rsidRDefault="00210E0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92306C" w:rsidRPr="005E1802">
        <w:rPr>
          <w:rFonts w:ascii="Times New Roman" w:hAnsi="Times New Roman"/>
        </w:rPr>
        <w:t xml:space="preserve">When later </w:t>
      </w:r>
      <w:r w:rsidR="004A791F" w:rsidRPr="005E1802">
        <w:rPr>
          <w:rFonts w:ascii="Times New Roman" w:hAnsi="Times New Roman"/>
        </w:rPr>
        <w:t xml:space="preserve">it </w:t>
      </w:r>
      <w:r w:rsidR="00D027D8" w:rsidRPr="005E1802">
        <w:rPr>
          <w:rFonts w:ascii="Times New Roman" w:hAnsi="Times New Roman"/>
        </w:rPr>
        <w:t>e</w:t>
      </w:r>
      <w:r w:rsidR="0092306C" w:rsidRPr="005E1802">
        <w:rPr>
          <w:rFonts w:ascii="Times New Roman" w:hAnsi="Times New Roman"/>
        </w:rPr>
        <w:t xml:space="preserve">merged that </w:t>
      </w:r>
      <w:r w:rsidR="00295BEA" w:rsidRPr="005E1802">
        <w:rPr>
          <w:rFonts w:ascii="Times New Roman" w:hAnsi="Times New Roman"/>
        </w:rPr>
        <w:t xml:space="preserve">the appellant had not </w:t>
      </w:r>
      <w:r w:rsidR="00001D3C" w:rsidRPr="005E1802">
        <w:rPr>
          <w:rFonts w:ascii="Times New Roman" w:hAnsi="Times New Roman"/>
        </w:rPr>
        <w:t>been notified of</w:t>
      </w:r>
      <w:r w:rsidR="008C24DA" w:rsidRPr="005E1802">
        <w:rPr>
          <w:rFonts w:ascii="Times New Roman" w:hAnsi="Times New Roman"/>
        </w:rPr>
        <w:t xml:space="preserve"> the tim</w:t>
      </w:r>
      <w:r w:rsidR="00FF474F" w:rsidRPr="005E1802">
        <w:rPr>
          <w:rFonts w:ascii="Times New Roman" w:hAnsi="Times New Roman"/>
        </w:rPr>
        <w:t xml:space="preserve">e of the scheduled hearing, </w:t>
      </w:r>
      <w:r w:rsidR="00E819D5"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E819D5" w:rsidRPr="005E1802">
        <w:rPr>
          <w:rFonts w:ascii="Times New Roman" w:hAnsi="Times New Roman"/>
        </w:rPr>
        <w:t xml:space="preserve"> </w:t>
      </w:r>
      <w:r w:rsidR="006A49A0" w:rsidRPr="005E1802">
        <w:rPr>
          <w:rFonts w:ascii="Times New Roman" w:hAnsi="Times New Roman"/>
        </w:rPr>
        <w:t>accept</w:t>
      </w:r>
      <w:r w:rsidR="00BB1CD2" w:rsidRPr="005E1802">
        <w:rPr>
          <w:rFonts w:ascii="Times New Roman" w:hAnsi="Times New Roman"/>
        </w:rPr>
        <w:t>ed advice that the initial decision was affected by jurisdictional error</w:t>
      </w:r>
      <w:r w:rsidR="00CC1852" w:rsidRPr="005E1802">
        <w:rPr>
          <w:rStyle w:val="FootnoteReference"/>
          <w:rFonts w:ascii="Times New Roman" w:hAnsi="Times New Roman"/>
          <w:sz w:val="24"/>
        </w:rPr>
        <w:footnoteReference w:id="5"/>
      </w:r>
      <w:r w:rsidR="00802C57" w:rsidRPr="005E1802">
        <w:rPr>
          <w:rFonts w:ascii="Times New Roman" w:hAnsi="Times New Roman"/>
        </w:rPr>
        <w:t xml:space="preserve"> </w:t>
      </w:r>
      <w:r w:rsidR="00A55F20" w:rsidRPr="005E1802">
        <w:rPr>
          <w:rFonts w:ascii="Times New Roman" w:hAnsi="Times New Roman"/>
        </w:rPr>
        <w:t>a</w:t>
      </w:r>
      <w:r w:rsidR="00903CAC" w:rsidRPr="005E1802">
        <w:rPr>
          <w:rFonts w:ascii="Times New Roman" w:hAnsi="Times New Roman"/>
        </w:rPr>
        <w:t xml:space="preserve">nd </w:t>
      </w:r>
      <w:r w:rsidR="00660557" w:rsidRPr="005E1802">
        <w:rPr>
          <w:rFonts w:ascii="Times New Roman" w:hAnsi="Times New Roman"/>
        </w:rPr>
        <w:t>re</w:t>
      </w:r>
      <w:r w:rsidR="0021103D" w:rsidRPr="005E1802">
        <w:rPr>
          <w:rFonts w:ascii="Times New Roman" w:hAnsi="Times New Roman"/>
        </w:rPr>
        <w:t>-</w:t>
      </w:r>
      <w:r w:rsidR="00660557" w:rsidRPr="005E1802">
        <w:rPr>
          <w:rFonts w:ascii="Times New Roman" w:hAnsi="Times New Roman"/>
        </w:rPr>
        <w:t>open</w:t>
      </w:r>
      <w:r w:rsidR="00FC321B" w:rsidRPr="005E1802">
        <w:rPr>
          <w:rFonts w:ascii="Times New Roman" w:hAnsi="Times New Roman"/>
        </w:rPr>
        <w:t>ed</w:t>
      </w:r>
      <w:r w:rsidR="00660557" w:rsidRPr="005E1802">
        <w:rPr>
          <w:rFonts w:ascii="Times New Roman" w:hAnsi="Times New Roman"/>
        </w:rPr>
        <w:t xml:space="preserve"> the review. </w:t>
      </w:r>
      <w:r w:rsidR="00D465F2"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D465F2" w:rsidRPr="005E1802">
        <w:rPr>
          <w:rFonts w:ascii="Times New Roman" w:hAnsi="Times New Roman"/>
        </w:rPr>
        <w:t>, c</w:t>
      </w:r>
      <w:r w:rsidR="00495242" w:rsidRPr="005E1802">
        <w:rPr>
          <w:rFonts w:ascii="Times New Roman" w:hAnsi="Times New Roman"/>
        </w:rPr>
        <w:t>on</w:t>
      </w:r>
      <w:r w:rsidR="00FB6B3B" w:rsidRPr="005E1802">
        <w:rPr>
          <w:rFonts w:ascii="Times New Roman" w:hAnsi="Times New Roman"/>
        </w:rPr>
        <w:t xml:space="preserve">stituted by the same member who had made the initial decision, </w:t>
      </w:r>
      <w:r w:rsidR="009517AB" w:rsidRPr="005E1802">
        <w:rPr>
          <w:rFonts w:ascii="Times New Roman" w:hAnsi="Times New Roman"/>
        </w:rPr>
        <w:t xml:space="preserve">conducted a </w:t>
      </w:r>
      <w:r w:rsidR="0085576E" w:rsidRPr="005E1802">
        <w:rPr>
          <w:rFonts w:ascii="Times New Roman" w:hAnsi="Times New Roman"/>
        </w:rPr>
        <w:t xml:space="preserve">rescheduled </w:t>
      </w:r>
      <w:r w:rsidR="00267453" w:rsidRPr="005E1802">
        <w:rPr>
          <w:rFonts w:ascii="Times New Roman" w:hAnsi="Times New Roman"/>
        </w:rPr>
        <w:t xml:space="preserve">hearing </w:t>
      </w:r>
      <w:r w:rsidR="008D7583" w:rsidRPr="005E1802">
        <w:rPr>
          <w:rFonts w:ascii="Times New Roman" w:hAnsi="Times New Roman"/>
        </w:rPr>
        <w:t>in October 2014 which the appellant attended</w:t>
      </w:r>
      <w:r w:rsidR="000F57B5" w:rsidRPr="005E1802">
        <w:rPr>
          <w:rFonts w:ascii="Times New Roman" w:hAnsi="Times New Roman"/>
        </w:rPr>
        <w:t xml:space="preserve">. </w:t>
      </w:r>
      <w:r w:rsidR="00D43201"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D43201" w:rsidRPr="005E1802">
        <w:rPr>
          <w:rFonts w:ascii="Times New Roman" w:hAnsi="Times New Roman"/>
        </w:rPr>
        <w:t xml:space="preserve"> made </w:t>
      </w:r>
      <w:r w:rsidR="00513875" w:rsidRPr="005E1802">
        <w:rPr>
          <w:rFonts w:ascii="Times New Roman" w:hAnsi="Times New Roman"/>
        </w:rPr>
        <w:t xml:space="preserve">a final decision </w:t>
      </w:r>
      <w:r w:rsidR="00B91419" w:rsidRPr="005E1802">
        <w:rPr>
          <w:rFonts w:ascii="Times New Roman" w:hAnsi="Times New Roman"/>
        </w:rPr>
        <w:t xml:space="preserve">in </w:t>
      </w:r>
      <w:r w:rsidR="00513875" w:rsidRPr="005E1802">
        <w:rPr>
          <w:rFonts w:ascii="Times New Roman" w:hAnsi="Times New Roman"/>
        </w:rPr>
        <w:t>November 2014, again affirming the decision of the delegate.</w:t>
      </w:r>
    </w:p>
    <w:p w14:paraId="386A91A2" w14:textId="46DC588F" w:rsidR="00AA6C43" w:rsidRPr="005E1802" w:rsidRDefault="00307F12"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0453DF" w:rsidRPr="005E1802">
        <w:rPr>
          <w:rFonts w:ascii="Times New Roman" w:hAnsi="Times New Roman"/>
        </w:rPr>
        <w:t>T</w:t>
      </w:r>
      <w:r w:rsidRPr="005E1802">
        <w:rPr>
          <w:rFonts w:ascii="Times New Roman" w:hAnsi="Times New Roman"/>
        </w:rPr>
        <w:t>h</w:t>
      </w:r>
      <w:r w:rsidR="006D7BA4" w:rsidRPr="005E1802">
        <w:rPr>
          <w:rFonts w:ascii="Times New Roman" w:hAnsi="Times New Roman"/>
        </w:rPr>
        <w:t>e</w:t>
      </w:r>
      <w:r w:rsidRPr="005E1802">
        <w:rPr>
          <w:rFonts w:ascii="Times New Roman" w:hAnsi="Times New Roman"/>
        </w:rPr>
        <w:t xml:space="preserve"> </w:t>
      </w:r>
      <w:r w:rsidR="00FE5F5D" w:rsidRPr="005E1802">
        <w:rPr>
          <w:rFonts w:ascii="Times New Roman" w:hAnsi="Times New Roman"/>
        </w:rPr>
        <w:t>T</w:t>
      </w:r>
      <w:r w:rsidR="00475A00" w:rsidRPr="005E1802">
        <w:rPr>
          <w:rFonts w:ascii="Times New Roman" w:hAnsi="Times New Roman"/>
        </w:rPr>
        <w:t>ribunal</w:t>
      </w:r>
      <w:r w:rsidR="000453DF" w:rsidRPr="005E1802">
        <w:rPr>
          <w:rFonts w:ascii="Times New Roman" w:hAnsi="Times New Roman"/>
        </w:rPr>
        <w:t xml:space="preserve">'s </w:t>
      </w:r>
      <w:r w:rsidRPr="005E1802">
        <w:rPr>
          <w:rFonts w:ascii="Times New Roman" w:hAnsi="Times New Roman"/>
        </w:rPr>
        <w:t>statement of reasons for th</w:t>
      </w:r>
      <w:r w:rsidR="00E969A4" w:rsidRPr="005E1802">
        <w:rPr>
          <w:rFonts w:ascii="Times New Roman" w:hAnsi="Times New Roman"/>
        </w:rPr>
        <w:t>at</w:t>
      </w:r>
      <w:r w:rsidR="003D6AEA" w:rsidRPr="005E1802">
        <w:rPr>
          <w:rFonts w:ascii="Times New Roman" w:hAnsi="Times New Roman"/>
        </w:rPr>
        <w:t xml:space="preserve"> </w:t>
      </w:r>
      <w:r w:rsidR="00777979" w:rsidRPr="005E1802">
        <w:rPr>
          <w:rFonts w:ascii="Times New Roman" w:hAnsi="Times New Roman"/>
        </w:rPr>
        <w:t>final</w:t>
      </w:r>
      <w:r w:rsidRPr="005E1802">
        <w:rPr>
          <w:rFonts w:ascii="Times New Roman" w:hAnsi="Times New Roman"/>
        </w:rPr>
        <w:t xml:space="preserve"> decision</w:t>
      </w:r>
      <w:r w:rsidR="008F1341" w:rsidRPr="005E1802">
        <w:rPr>
          <w:rFonts w:ascii="Times New Roman" w:hAnsi="Times New Roman"/>
        </w:rPr>
        <w:t xml:space="preserve"> set out the </w:t>
      </w:r>
      <w:r w:rsidR="00D47DD9" w:rsidRPr="005E1802">
        <w:rPr>
          <w:rFonts w:ascii="Times New Roman" w:hAnsi="Times New Roman"/>
        </w:rPr>
        <w:t>m</w:t>
      </w:r>
      <w:r w:rsidR="008F1341" w:rsidRPr="005E1802">
        <w:rPr>
          <w:rFonts w:ascii="Times New Roman" w:hAnsi="Times New Roman"/>
        </w:rPr>
        <w:t xml:space="preserve">ember's </w:t>
      </w:r>
      <w:r w:rsidR="00015936" w:rsidRPr="005E1802">
        <w:rPr>
          <w:rFonts w:ascii="Times New Roman" w:hAnsi="Times New Roman"/>
        </w:rPr>
        <w:t xml:space="preserve">findings in relation to the appellant's </w:t>
      </w:r>
      <w:r w:rsidR="008F1341" w:rsidRPr="005E1802">
        <w:rPr>
          <w:rFonts w:ascii="Times New Roman" w:hAnsi="Times New Roman"/>
        </w:rPr>
        <w:t xml:space="preserve">claim to fear </w:t>
      </w:r>
      <w:r w:rsidR="00015936" w:rsidRPr="005E1802">
        <w:rPr>
          <w:rFonts w:ascii="Times New Roman" w:hAnsi="Times New Roman"/>
        </w:rPr>
        <w:t>harm</w:t>
      </w:r>
      <w:r w:rsidR="008F1341" w:rsidRPr="005E1802">
        <w:rPr>
          <w:rFonts w:ascii="Times New Roman" w:hAnsi="Times New Roman"/>
        </w:rPr>
        <w:t xml:space="preserve"> in connection with </w:t>
      </w:r>
      <w:r w:rsidR="005651CF" w:rsidRPr="005E1802">
        <w:rPr>
          <w:rFonts w:ascii="Times New Roman" w:hAnsi="Times New Roman"/>
        </w:rPr>
        <w:t xml:space="preserve">the </w:t>
      </w:r>
      <w:r w:rsidR="008F1341" w:rsidRPr="005E1802">
        <w:rPr>
          <w:rFonts w:ascii="Times New Roman" w:hAnsi="Times New Roman"/>
        </w:rPr>
        <w:t>dispute over land in Punjab</w:t>
      </w:r>
      <w:r w:rsidR="005651CF" w:rsidRPr="005E1802">
        <w:rPr>
          <w:rFonts w:ascii="Times New Roman" w:hAnsi="Times New Roman"/>
        </w:rPr>
        <w:t xml:space="preserve"> as follows:</w:t>
      </w:r>
      <w:r w:rsidR="002B1A22" w:rsidRPr="005E1802">
        <w:rPr>
          <w:rFonts w:ascii="Times New Roman" w:hAnsi="Times New Roman"/>
        </w:rPr>
        <w:t xml:space="preserve"> </w:t>
      </w:r>
    </w:p>
    <w:p w14:paraId="296F989C" w14:textId="3F202E66" w:rsidR="003138BE" w:rsidRPr="005E1802" w:rsidRDefault="003138BE" w:rsidP="005E1802">
      <w:pPr>
        <w:pStyle w:val="leftright"/>
        <w:spacing w:before="0" w:after="260" w:line="280" w:lineRule="exact"/>
        <w:ind w:right="0"/>
        <w:jc w:val="both"/>
        <w:rPr>
          <w:rFonts w:ascii="Times New Roman" w:hAnsi="Times New Roman"/>
        </w:rPr>
      </w:pPr>
      <w:r w:rsidRPr="005E1802">
        <w:rPr>
          <w:rFonts w:ascii="Times New Roman" w:hAnsi="Times New Roman"/>
        </w:rPr>
        <w:t>"Despite some concern</w:t>
      </w:r>
      <w:r w:rsidR="00113995" w:rsidRPr="005E1802">
        <w:rPr>
          <w:rFonts w:ascii="Times New Roman" w:hAnsi="Times New Roman"/>
        </w:rPr>
        <w:t>s</w:t>
      </w:r>
      <w:r w:rsidRPr="005E1802">
        <w:rPr>
          <w:rFonts w:ascii="Times New Roman" w:hAnsi="Times New Roman"/>
        </w:rPr>
        <w:t xml:space="preserve"> about the applicant's credibility, I am willing to accept that there was a dispute between his father and his uncle over land in Punjab. I accept </w:t>
      </w:r>
      <w:r w:rsidR="00C81DBB" w:rsidRPr="005E1802">
        <w:rPr>
          <w:rFonts w:ascii="Times New Roman" w:hAnsi="Times New Roman"/>
        </w:rPr>
        <w:t xml:space="preserve">that </w:t>
      </w:r>
      <w:r w:rsidRPr="005E1802">
        <w:rPr>
          <w:rFonts w:ascii="Times New Roman" w:hAnsi="Times New Roman"/>
        </w:rPr>
        <w:t>when the applicant visited Amritsar in 2003 or 2004, he was taken to a house by his cousin (though not actually threatened as he stated at the hearing), drugged and held there until his father arrived and paid the amount of $AUD3500 for his release. I accept that the applicant stopped going to the Punjab after this until he came to Australia in 2006.</w:t>
      </w:r>
    </w:p>
    <w:p w14:paraId="393E5DAE" w14:textId="593CC5A6" w:rsidR="003138BE" w:rsidRPr="005E1802" w:rsidRDefault="003138BE" w:rsidP="005E1802">
      <w:pPr>
        <w:pStyle w:val="leftright"/>
        <w:spacing w:before="0" w:after="260" w:line="280" w:lineRule="exact"/>
        <w:ind w:right="0"/>
        <w:jc w:val="both"/>
        <w:rPr>
          <w:rFonts w:ascii="Times New Roman" w:hAnsi="Times New Roman"/>
        </w:rPr>
      </w:pPr>
      <w:r w:rsidRPr="005E1802">
        <w:rPr>
          <w:rFonts w:ascii="Times New Roman" w:hAnsi="Times New Roman"/>
        </w:rPr>
        <w:t xml:space="preserve">I do not accept that the applicant has been subject to continuing threats in relation to the land dispute because he is the eldest son of his father. The applicant was able to reside in Delhi, India for 2-3 years after the Amritsar incident without facing any further harm from his uncles and </w:t>
      </w:r>
      <w:r w:rsidR="00113995" w:rsidRPr="005E1802">
        <w:rPr>
          <w:rFonts w:ascii="Times New Roman" w:hAnsi="Times New Roman"/>
        </w:rPr>
        <w:t xml:space="preserve">his </w:t>
      </w:r>
      <w:r w:rsidRPr="005E1802">
        <w:rPr>
          <w:rFonts w:ascii="Times New Roman" w:hAnsi="Times New Roman"/>
        </w:rPr>
        <w:t xml:space="preserve">relatives. The Amritsar incident was 12-13 years ago and resolved when the father made payment to his uncle. Furthermore, on the applicant's oral evidence at hearing, in recent times his father has been pressured but not actually harmed or threatened by the relatives despite his father refusing to sign over the land through an affidavit. I do not accept that if the relatives wanted to </w:t>
      </w:r>
      <w:r w:rsidRPr="005E1802">
        <w:rPr>
          <w:rFonts w:ascii="Times New Roman" w:hAnsi="Times New Roman"/>
        </w:rPr>
        <w:lastRenderedPageBreak/>
        <w:t xml:space="preserve">harm the applicant over the land that they would not be threatening or harming his father in circumstances where </w:t>
      </w:r>
      <w:r w:rsidR="002E001D" w:rsidRPr="005E1802">
        <w:rPr>
          <w:rFonts w:ascii="Times New Roman" w:hAnsi="Times New Roman"/>
        </w:rPr>
        <w:t xml:space="preserve">the </w:t>
      </w:r>
      <w:r w:rsidRPr="005E1802">
        <w:rPr>
          <w:rFonts w:ascii="Times New Roman" w:hAnsi="Times New Roman"/>
        </w:rPr>
        <w:t xml:space="preserve">dispute originates in relation to the father and the father has the ability to sign a document giving them the land. I do not accept as credible or plausible that simply because his father was in Delhi and </w:t>
      </w:r>
      <w:r w:rsidR="00113995" w:rsidRPr="005E1802">
        <w:rPr>
          <w:rFonts w:ascii="Times New Roman" w:hAnsi="Times New Roman"/>
        </w:rPr>
        <w:t xml:space="preserve">not </w:t>
      </w:r>
      <w:r w:rsidRPr="005E1802">
        <w:rPr>
          <w:rFonts w:ascii="Times New Roman" w:hAnsi="Times New Roman"/>
        </w:rPr>
        <w:t xml:space="preserve">Amritsar that this would completely deter the relatives from undertaking threatening or violent action against his father to obtain legal ownership of the land. The applicant stated at </w:t>
      </w:r>
      <w:r w:rsidR="00D47DD9" w:rsidRPr="005E1802">
        <w:rPr>
          <w:rFonts w:ascii="Times New Roman" w:hAnsi="Times New Roman"/>
        </w:rPr>
        <w:t>the</w:t>
      </w:r>
      <w:r w:rsidRPr="005E1802">
        <w:rPr>
          <w:rFonts w:ascii="Times New Roman" w:hAnsi="Times New Roman"/>
        </w:rPr>
        <w:t xml:space="preserve"> hearing that his mother's brother was a policeman, which I accept. However, I do not accept as credible or plausible that the relatives would not threaten or harm his father (but would threaten or harm the applicant) because his mother's brother was a policeman. In all the circumstances, I do not accept that the relatives have a continuing adverse interest in the applicant.</w:t>
      </w:r>
    </w:p>
    <w:p w14:paraId="7EB789EB" w14:textId="77777777" w:rsidR="005E1802" w:rsidRDefault="003138BE" w:rsidP="005E1802">
      <w:pPr>
        <w:pStyle w:val="leftright"/>
        <w:spacing w:before="0" w:after="260" w:line="280" w:lineRule="exact"/>
        <w:ind w:right="0"/>
        <w:jc w:val="both"/>
        <w:rPr>
          <w:rFonts w:ascii="Times New Roman" w:hAnsi="Times New Roman"/>
        </w:rPr>
      </w:pPr>
      <w:r w:rsidRPr="005E1802">
        <w:rPr>
          <w:rFonts w:ascii="Times New Roman" w:hAnsi="Times New Roman"/>
        </w:rPr>
        <w:t>Considering all the circumstances, I find that the applicant does not face a real chance of p</w:t>
      </w:r>
      <w:r w:rsidR="00553842" w:rsidRPr="005E1802">
        <w:rPr>
          <w:rFonts w:ascii="Times New Roman" w:hAnsi="Times New Roman"/>
        </w:rPr>
        <w:t>ersecutio</w:t>
      </w:r>
      <w:r w:rsidRPr="005E1802">
        <w:rPr>
          <w:rFonts w:ascii="Times New Roman" w:hAnsi="Times New Roman"/>
        </w:rPr>
        <w:t xml:space="preserve">n in the reasonably foreseeable future in India for any reason </w:t>
      </w:r>
      <w:r w:rsidR="006936EC" w:rsidRPr="005E1802">
        <w:rPr>
          <w:rFonts w:ascii="Times New Roman" w:hAnsi="Times New Roman"/>
        </w:rPr>
        <w:t>...</w:t>
      </w:r>
      <w:r w:rsidRPr="005E1802">
        <w:rPr>
          <w:rFonts w:ascii="Times New Roman" w:hAnsi="Times New Roman"/>
        </w:rPr>
        <w:t xml:space="preserve"> from his relatives over the land dispute."</w:t>
      </w:r>
    </w:p>
    <w:p w14:paraId="6F82E180" w14:textId="3B491BAD" w:rsidR="00EE5608" w:rsidRPr="005E1802" w:rsidRDefault="00FF7B65"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251D88" w:rsidRPr="005E1802">
        <w:rPr>
          <w:rFonts w:ascii="Times New Roman" w:hAnsi="Times New Roman"/>
        </w:rPr>
        <w:t xml:space="preserve">Like the statement of reasons for the </w:t>
      </w:r>
      <w:r w:rsidR="00EE5608" w:rsidRPr="005E1802">
        <w:rPr>
          <w:rFonts w:ascii="Times New Roman" w:hAnsi="Times New Roman"/>
        </w:rPr>
        <w:t>initial</w:t>
      </w:r>
      <w:r w:rsidR="00251D88" w:rsidRPr="005E1802">
        <w:rPr>
          <w:rFonts w:ascii="Times New Roman" w:hAnsi="Times New Roman"/>
        </w:rPr>
        <w:t xml:space="preserve"> de</w:t>
      </w:r>
      <w:r w:rsidR="00EE5608" w:rsidRPr="005E1802">
        <w:rPr>
          <w:rFonts w:ascii="Times New Roman" w:hAnsi="Times New Roman"/>
        </w:rPr>
        <w:t>cision, the statement of reasons for the final decision made no reference to the notification or to any information contained in any of the documents specified in the notification</w:t>
      </w:r>
      <w:r w:rsidR="00BC3DF4" w:rsidRPr="005E1802">
        <w:rPr>
          <w:rFonts w:ascii="Times New Roman" w:hAnsi="Times New Roman"/>
        </w:rPr>
        <w:t xml:space="preserve">. </w:t>
      </w:r>
    </w:p>
    <w:p w14:paraId="1ED333DF" w14:textId="6CCD8282" w:rsidR="009A3275" w:rsidRPr="005E1802" w:rsidRDefault="00EE5608"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9A3275" w:rsidRPr="005E1802">
        <w:rPr>
          <w:rFonts w:ascii="Times New Roman" w:hAnsi="Times New Roman"/>
        </w:rPr>
        <w:t xml:space="preserve">The appellant </w:t>
      </w:r>
      <w:r w:rsidR="00377C5B" w:rsidRPr="005E1802">
        <w:rPr>
          <w:rFonts w:ascii="Times New Roman" w:hAnsi="Times New Roman"/>
        </w:rPr>
        <w:t xml:space="preserve">in due course </w:t>
      </w:r>
      <w:r w:rsidR="009A3275" w:rsidRPr="005E1802">
        <w:rPr>
          <w:rFonts w:ascii="Times New Roman" w:hAnsi="Times New Roman"/>
        </w:rPr>
        <w:t xml:space="preserve">applied to the Federal Circuit Court for judicial review of the </w:t>
      </w:r>
      <w:r w:rsidR="00C23A1C" w:rsidRPr="005E1802">
        <w:rPr>
          <w:rFonts w:ascii="Times New Roman" w:hAnsi="Times New Roman"/>
        </w:rPr>
        <w:t xml:space="preserve">final </w:t>
      </w:r>
      <w:r w:rsidR="009A3275" w:rsidRPr="005E1802">
        <w:rPr>
          <w:rFonts w:ascii="Times New Roman" w:hAnsi="Times New Roman"/>
        </w:rPr>
        <w:t xml:space="preserve">decision of the </w:t>
      </w:r>
      <w:r w:rsidR="00FE5F5D" w:rsidRPr="005E1802">
        <w:rPr>
          <w:rFonts w:ascii="Times New Roman" w:hAnsi="Times New Roman"/>
        </w:rPr>
        <w:t>T</w:t>
      </w:r>
      <w:r w:rsidR="00475A00" w:rsidRPr="005E1802">
        <w:rPr>
          <w:rFonts w:ascii="Times New Roman" w:hAnsi="Times New Roman"/>
        </w:rPr>
        <w:t>ribunal</w:t>
      </w:r>
      <w:r w:rsidR="009A3275" w:rsidRPr="005E1802">
        <w:rPr>
          <w:rFonts w:ascii="Times New Roman" w:hAnsi="Times New Roman"/>
        </w:rPr>
        <w:t xml:space="preserve">. The Federal Circuit Court dismissed </w:t>
      </w:r>
      <w:r w:rsidR="005A2455" w:rsidRPr="005E1802">
        <w:rPr>
          <w:rFonts w:ascii="Times New Roman" w:hAnsi="Times New Roman"/>
        </w:rPr>
        <w:t>that</w:t>
      </w:r>
      <w:r w:rsidR="009A3275" w:rsidRPr="005E1802">
        <w:rPr>
          <w:rFonts w:ascii="Times New Roman" w:hAnsi="Times New Roman"/>
        </w:rPr>
        <w:t xml:space="preserve"> application in 201</w:t>
      </w:r>
      <w:r w:rsidR="00986B66" w:rsidRPr="005E1802">
        <w:rPr>
          <w:rFonts w:ascii="Times New Roman" w:hAnsi="Times New Roman"/>
        </w:rPr>
        <w:t>6</w:t>
      </w:r>
      <w:r w:rsidR="009A3275" w:rsidRPr="005E1802">
        <w:rPr>
          <w:rFonts w:ascii="Times New Roman" w:hAnsi="Times New Roman"/>
        </w:rPr>
        <w:t>.</w:t>
      </w:r>
    </w:p>
    <w:p w14:paraId="79AD84E7" w14:textId="186C60B5" w:rsidR="005651CF" w:rsidRPr="005E1802" w:rsidRDefault="009B6C6D"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The appellant </w:t>
      </w:r>
      <w:r w:rsidR="00603DC4" w:rsidRPr="005E1802">
        <w:rPr>
          <w:rFonts w:ascii="Times New Roman" w:hAnsi="Times New Roman"/>
        </w:rPr>
        <w:t>next</w:t>
      </w:r>
      <w:r w:rsidRPr="005E1802">
        <w:rPr>
          <w:rFonts w:ascii="Times New Roman" w:hAnsi="Times New Roman"/>
        </w:rPr>
        <w:t xml:space="preserve"> appealed to the </w:t>
      </w:r>
      <w:r w:rsidR="00E6722B" w:rsidRPr="005E1802">
        <w:rPr>
          <w:rFonts w:ascii="Times New Roman" w:hAnsi="Times New Roman"/>
        </w:rPr>
        <w:t>Federal Court</w:t>
      </w:r>
      <w:r w:rsidR="00460ABB" w:rsidRPr="005E1802">
        <w:rPr>
          <w:rFonts w:ascii="Times New Roman" w:hAnsi="Times New Roman"/>
        </w:rPr>
        <w:t xml:space="preserve">. The appeal was </w:t>
      </w:r>
      <w:r w:rsidR="007763A6" w:rsidRPr="005E1802">
        <w:rPr>
          <w:rFonts w:ascii="Times New Roman" w:hAnsi="Times New Roman"/>
        </w:rPr>
        <w:t xml:space="preserve">held in abeyance pending the decision in </w:t>
      </w:r>
      <w:r w:rsidR="007763A6" w:rsidRPr="005E1802">
        <w:rPr>
          <w:rFonts w:ascii="Times New Roman" w:hAnsi="Times New Roman"/>
          <w:i/>
        </w:rPr>
        <w:t>SZMTA</w:t>
      </w:r>
      <w:r w:rsidR="007763A6" w:rsidRPr="005E1802">
        <w:rPr>
          <w:rFonts w:ascii="Times New Roman" w:hAnsi="Times New Roman"/>
        </w:rPr>
        <w:t xml:space="preserve">. </w:t>
      </w:r>
      <w:r w:rsidR="002D6E81" w:rsidRPr="005E1802">
        <w:rPr>
          <w:rFonts w:ascii="Times New Roman" w:hAnsi="Times New Roman"/>
        </w:rPr>
        <w:t xml:space="preserve">Following </w:t>
      </w:r>
      <w:r w:rsidR="00826C91" w:rsidRPr="005E1802">
        <w:rPr>
          <w:rFonts w:ascii="Times New Roman" w:hAnsi="Times New Roman"/>
        </w:rPr>
        <w:t>th</w:t>
      </w:r>
      <w:r w:rsidR="002D6E81" w:rsidRPr="005E1802">
        <w:rPr>
          <w:rFonts w:ascii="Times New Roman" w:hAnsi="Times New Roman"/>
        </w:rPr>
        <w:t>at</w:t>
      </w:r>
      <w:r w:rsidR="00826C91" w:rsidRPr="005E1802">
        <w:rPr>
          <w:rFonts w:ascii="Times New Roman" w:hAnsi="Times New Roman"/>
        </w:rPr>
        <w:t xml:space="preserve"> decision</w:t>
      </w:r>
      <w:r w:rsidR="00EC5F65" w:rsidRPr="005E1802">
        <w:rPr>
          <w:rFonts w:ascii="Times New Roman" w:hAnsi="Times New Roman"/>
        </w:rPr>
        <w:t xml:space="preserve">, </w:t>
      </w:r>
      <w:r w:rsidR="00230B8E" w:rsidRPr="005E1802">
        <w:rPr>
          <w:rFonts w:ascii="Times New Roman" w:hAnsi="Times New Roman"/>
        </w:rPr>
        <w:t xml:space="preserve">the notice of appeal to the Federal Court </w:t>
      </w:r>
      <w:r w:rsidR="00AC41F0" w:rsidRPr="005E1802">
        <w:rPr>
          <w:rFonts w:ascii="Times New Roman" w:hAnsi="Times New Roman"/>
        </w:rPr>
        <w:t xml:space="preserve">was amended </w:t>
      </w:r>
      <w:r w:rsidR="003A4B8A" w:rsidRPr="005E1802">
        <w:rPr>
          <w:rFonts w:ascii="Times New Roman" w:hAnsi="Times New Roman"/>
        </w:rPr>
        <w:t xml:space="preserve">by consent </w:t>
      </w:r>
      <w:r w:rsidR="00AC41F0" w:rsidRPr="005E1802">
        <w:rPr>
          <w:rFonts w:ascii="Times New Roman" w:hAnsi="Times New Roman"/>
        </w:rPr>
        <w:t>to comprise a single ground</w:t>
      </w:r>
      <w:r w:rsidR="00C8172D" w:rsidRPr="005E1802">
        <w:rPr>
          <w:rFonts w:ascii="Times New Roman" w:hAnsi="Times New Roman"/>
        </w:rPr>
        <w:t xml:space="preserve"> </w:t>
      </w:r>
      <w:r w:rsidR="000B5426" w:rsidRPr="005E1802">
        <w:rPr>
          <w:rFonts w:ascii="Times New Roman" w:hAnsi="Times New Roman"/>
        </w:rPr>
        <w:t xml:space="preserve">of challenge to the final decision of the </w:t>
      </w:r>
      <w:r w:rsidR="00FE5F5D" w:rsidRPr="005E1802">
        <w:rPr>
          <w:rFonts w:ascii="Times New Roman" w:hAnsi="Times New Roman"/>
        </w:rPr>
        <w:t>T</w:t>
      </w:r>
      <w:r w:rsidR="00475A00" w:rsidRPr="005E1802">
        <w:rPr>
          <w:rFonts w:ascii="Times New Roman" w:hAnsi="Times New Roman"/>
        </w:rPr>
        <w:t>ribunal</w:t>
      </w:r>
      <w:r w:rsidR="002D6E81" w:rsidRPr="005E1802">
        <w:rPr>
          <w:rFonts w:ascii="Times New Roman" w:hAnsi="Times New Roman"/>
        </w:rPr>
        <w:t xml:space="preserve">. </w:t>
      </w:r>
      <w:r w:rsidR="00627BBE" w:rsidRPr="005E1802">
        <w:rPr>
          <w:rFonts w:ascii="Times New Roman" w:hAnsi="Times New Roman"/>
        </w:rPr>
        <w:t>The single ground of challenge,</w:t>
      </w:r>
      <w:r w:rsidR="00BF0235" w:rsidRPr="005E1802">
        <w:rPr>
          <w:rFonts w:ascii="Times New Roman" w:hAnsi="Times New Roman"/>
        </w:rPr>
        <w:t xml:space="preserve"> </w:t>
      </w:r>
      <w:r w:rsidR="00B6349D" w:rsidRPr="005E1802">
        <w:rPr>
          <w:rFonts w:ascii="Times New Roman" w:hAnsi="Times New Roman"/>
        </w:rPr>
        <w:t xml:space="preserve">which had </w:t>
      </w:r>
      <w:r w:rsidR="00F110B0" w:rsidRPr="005E1802">
        <w:rPr>
          <w:rFonts w:ascii="Times New Roman" w:hAnsi="Times New Roman"/>
        </w:rPr>
        <w:t xml:space="preserve">not </w:t>
      </w:r>
      <w:r w:rsidR="00B6349D" w:rsidRPr="005E1802">
        <w:rPr>
          <w:rFonts w:ascii="Times New Roman" w:hAnsi="Times New Roman"/>
        </w:rPr>
        <w:t xml:space="preserve">been </w:t>
      </w:r>
      <w:r w:rsidR="00436C46" w:rsidRPr="005E1802">
        <w:rPr>
          <w:rFonts w:ascii="Times New Roman" w:hAnsi="Times New Roman"/>
        </w:rPr>
        <w:t xml:space="preserve">raised </w:t>
      </w:r>
      <w:r w:rsidR="00F110B0" w:rsidRPr="005E1802">
        <w:rPr>
          <w:rFonts w:ascii="Times New Roman" w:hAnsi="Times New Roman"/>
        </w:rPr>
        <w:t xml:space="preserve">before </w:t>
      </w:r>
      <w:r w:rsidR="002E3CD9" w:rsidRPr="005E1802">
        <w:rPr>
          <w:rFonts w:ascii="Times New Roman" w:hAnsi="Times New Roman"/>
        </w:rPr>
        <w:t>the Federal Circuit Court</w:t>
      </w:r>
      <w:r w:rsidR="00BF0235" w:rsidRPr="005E1802">
        <w:rPr>
          <w:rFonts w:ascii="Times New Roman" w:hAnsi="Times New Roman"/>
        </w:rPr>
        <w:t xml:space="preserve">, </w:t>
      </w:r>
      <w:r w:rsidR="00627BBE" w:rsidRPr="005E1802">
        <w:rPr>
          <w:rFonts w:ascii="Times New Roman" w:hAnsi="Times New Roman"/>
        </w:rPr>
        <w:t>was</w:t>
      </w:r>
      <w:r w:rsidR="004B3D9B" w:rsidRPr="005E1802">
        <w:rPr>
          <w:rFonts w:ascii="Times New Roman" w:hAnsi="Times New Roman"/>
        </w:rPr>
        <w:t xml:space="preserve"> that </w:t>
      </w:r>
      <w:r w:rsidR="000B5426" w:rsidRPr="005E1802">
        <w:rPr>
          <w:rFonts w:ascii="Times New Roman" w:hAnsi="Times New Roman"/>
        </w:rPr>
        <w:t xml:space="preserve">the decision </w:t>
      </w:r>
      <w:r w:rsidR="00C23A1C" w:rsidRPr="005E1802">
        <w:rPr>
          <w:rFonts w:ascii="Times New Roman" w:hAnsi="Times New Roman"/>
        </w:rPr>
        <w:t xml:space="preserve">"was affected by </w:t>
      </w:r>
      <w:r w:rsidR="008E30F1" w:rsidRPr="005E1802">
        <w:rPr>
          <w:rFonts w:ascii="Times New Roman" w:hAnsi="Times New Roman"/>
        </w:rPr>
        <w:t>jurisdictional</w:t>
      </w:r>
      <w:r w:rsidR="00C23A1C" w:rsidRPr="005E1802">
        <w:rPr>
          <w:rFonts w:ascii="Times New Roman" w:hAnsi="Times New Roman"/>
        </w:rPr>
        <w:t xml:space="preserve"> error</w:t>
      </w:r>
      <w:r w:rsidR="004C4339" w:rsidRPr="005E1802">
        <w:rPr>
          <w:rFonts w:ascii="Times New Roman" w:hAnsi="Times New Roman"/>
        </w:rPr>
        <w:t xml:space="preserve">, in that the </w:t>
      </w:r>
      <w:r w:rsidR="00475A00" w:rsidRPr="005E1802">
        <w:rPr>
          <w:rFonts w:ascii="Times New Roman" w:hAnsi="Times New Roman"/>
        </w:rPr>
        <w:t>Tribunal</w:t>
      </w:r>
      <w:r w:rsidR="004C4339" w:rsidRPr="005E1802">
        <w:rPr>
          <w:rFonts w:ascii="Times New Roman" w:hAnsi="Times New Roman"/>
        </w:rPr>
        <w:t xml:space="preserve"> failed to comply with the rules of procedural fairness"</w:t>
      </w:r>
      <w:r w:rsidR="001E03F9" w:rsidRPr="005E1802">
        <w:rPr>
          <w:rFonts w:ascii="Times New Roman" w:hAnsi="Times New Roman"/>
        </w:rPr>
        <w:t>.</w:t>
      </w:r>
    </w:p>
    <w:p w14:paraId="06A96CB4" w14:textId="470BE882" w:rsidR="007522D2" w:rsidRPr="005E1802" w:rsidRDefault="007522D2"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C00C3C" w:rsidRPr="005E1802">
        <w:rPr>
          <w:rFonts w:ascii="Times New Roman" w:hAnsi="Times New Roman"/>
        </w:rPr>
        <w:t>There was no dispute</w:t>
      </w:r>
      <w:r w:rsidR="003A388D" w:rsidRPr="005E1802">
        <w:rPr>
          <w:rFonts w:ascii="Times New Roman" w:hAnsi="Times New Roman"/>
        </w:rPr>
        <w:t xml:space="preserve"> </w:t>
      </w:r>
      <w:r w:rsidR="00627BBE" w:rsidRPr="005E1802">
        <w:rPr>
          <w:rFonts w:ascii="Times New Roman" w:hAnsi="Times New Roman"/>
        </w:rPr>
        <w:t xml:space="preserve">between the appellant and the Minister </w:t>
      </w:r>
      <w:r w:rsidR="003A388D" w:rsidRPr="005E1802">
        <w:rPr>
          <w:rFonts w:ascii="Times New Roman" w:hAnsi="Times New Roman"/>
        </w:rPr>
        <w:t xml:space="preserve">before the Federal Court </w:t>
      </w:r>
      <w:r w:rsidR="00A673B2" w:rsidRPr="005E1802">
        <w:rPr>
          <w:rFonts w:ascii="Times New Roman" w:hAnsi="Times New Roman"/>
        </w:rPr>
        <w:t xml:space="preserve">that </w:t>
      </w:r>
      <w:r w:rsidR="00375AC1"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5D7FE3" w:rsidRPr="005E1802">
        <w:rPr>
          <w:rFonts w:ascii="Times New Roman" w:hAnsi="Times New Roman"/>
        </w:rPr>
        <w:t>'s failure to disclose to the appellant the existence of the notification</w:t>
      </w:r>
      <w:r w:rsidR="00DA3602" w:rsidRPr="005E1802">
        <w:rPr>
          <w:rFonts w:ascii="Times New Roman" w:hAnsi="Times New Roman"/>
        </w:rPr>
        <w:t xml:space="preserve"> </w:t>
      </w:r>
      <w:r w:rsidR="00B67100" w:rsidRPr="005E1802">
        <w:rPr>
          <w:rFonts w:ascii="Times New Roman" w:hAnsi="Times New Roman"/>
        </w:rPr>
        <w:t>had</w:t>
      </w:r>
      <w:r w:rsidR="003E4077" w:rsidRPr="005E1802">
        <w:rPr>
          <w:rFonts w:ascii="Times New Roman" w:hAnsi="Times New Roman"/>
        </w:rPr>
        <w:t xml:space="preserve"> </w:t>
      </w:r>
      <w:r w:rsidR="0023172A" w:rsidRPr="005E1802">
        <w:rPr>
          <w:rFonts w:ascii="Times New Roman" w:hAnsi="Times New Roman"/>
        </w:rPr>
        <w:t>breach</w:t>
      </w:r>
      <w:r w:rsidR="00DA3602" w:rsidRPr="005E1802">
        <w:rPr>
          <w:rFonts w:ascii="Times New Roman" w:hAnsi="Times New Roman"/>
        </w:rPr>
        <w:t>ed</w:t>
      </w:r>
      <w:r w:rsidR="0023172A" w:rsidRPr="005E1802">
        <w:rPr>
          <w:rFonts w:ascii="Times New Roman" w:hAnsi="Times New Roman"/>
        </w:rPr>
        <w:t xml:space="preserve"> </w:t>
      </w:r>
      <w:r w:rsidR="00CB31C5" w:rsidRPr="005E1802">
        <w:rPr>
          <w:rFonts w:ascii="Times New Roman" w:hAnsi="Times New Roman"/>
        </w:rPr>
        <w:t>a</w:t>
      </w:r>
      <w:r w:rsidR="00C84D70" w:rsidRPr="005E1802">
        <w:rPr>
          <w:rFonts w:ascii="Times New Roman" w:hAnsi="Times New Roman"/>
        </w:rPr>
        <w:t>n implied</w:t>
      </w:r>
      <w:r w:rsidR="00CB31C5" w:rsidRPr="005E1802">
        <w:rPr>
          <w:rFonts w:ascii="Times New Roman" w:hAnsi="Times New Roman"/>
        </w:rPr>
        <w:t xml:space="preserve"> condition of </w:t>
      </w:r>
      <w:r w:rsidR="0023172A" w:rsidRPr="005E1802">
        <w:rPr>
          <w:rFonts w:ascii="Times New Roman" w:hAnsi="Times New Roman"/>
        </w:rPr>
        <w:t xml:space="preserve">procedural fairness </w:t>
      </w:r>
      <w:r w:rsidR="00C84D70" w:rsidRPr="005E1802">
        <w:rPr>
          <w:rFonts w:ascii="Times New Roman" w:hAnsi="Times New Roman"/>
        </w:rPr>
        <w:t xml:space="preserve">identified in </w:t>
      </w:r>
      <w:r w:rsidR="00C84D70" w:rsidRPr="005E1802">
        <w:rPr>
          <w:rFonts w:ascii="Times New Roman" w:hAnsi="Times New Roman"/>
          <w:i/>
        </w:rPr>
        <w:t>SZMTA</w:t>
      </w:r>
      <w:r w:rsidR="0087003F" w:rsidRPr="005E1802">
        <w:rPr>
          <w:rFonts w:ascii="Times New Roman" w:hAnsi="Times New Roman"/>
        </w:rPr>
        <w:t xml:space="preserve">. </w:t>
      </w:r>
      <w:r w:rsidR="00545230" w:rsidRPr="005E1802">
        <w:rPr>
          <w:rFonts w:ascii="Times New Roman" w:hAnsi="Times New Roman"/>
        </w:rPr>
        <w:t>T</w:t>
      </w:r>
      <w:r w:rsidR="00880CF3" w:rsidRPr="005E1802">
        <w:rPr>
          <w:rFonts w:ascii="Times New Roman" w:hAnsi="Times New Roman"/>
        </w:rPr>
        <w:t xml:space="preserve">he </w:t>
      </w:r>
      <w:r w:rsidR="00836507" w:rsidRPr="005E1802">
        <w:rPr>
          <w:rFonts w:ascii="Times New Roman" w:hAnsi="Times New Roman"/>
        </w:rPr>
        <w:t xml:space="preserve">parties </w:t>
      </w:r>
      <w:r w:rsidR="00C00C3C" w:rsidRPr="005E1802">
        <w:rPr>
          <w:rFonts w:ascii="Times New Roman" w:hAnsi="Times New Roman"/>
        </w:rPr>
        <w:t xml:space="preserve">to the appeal </w:t>
      </w:r>
      <w:r w:rsidR="00D930FF" w:rsidRPr="005E1802">
        <w:rPr>
          <w:rFonts w:ascii="Times New Roman" w:hAnsi="Times New Roman"/>
        </w:rPr>
        <w:t>were at</w:t>
      </w:r>
      <w:r w:rsidR="00545230" w:rsidRPr="005E1802">
        <w:rPr>
          <w:rFonts w:ascii="Times New Roman" w:hAnsi="Times New Roman"/>
        </w:rPr>
        <w:t xml:space="preserve"> issue only </w:t>
      </w:r>
      <w:r w:rsidR="00836507" w:rsidRPr="005E1802">
        <w:rPr>
          <w:rFonts w:ascii="Times New Roman" w:hAnsi="Times New Roman"/>
        </w:rPr>
        <w:t xml:space="preserve">as to the materiality </w:t>
      </w:r>
      <w:r w:rsidR="00305063" w:rsidRPr="005E1802">
        <w:rPr>
          <w:rFonts w:ascii="Times New Roman" w:hAnsi="Times New Roman"/>
        </w:rPr>
        <w:t xml:space="preserve">of that </w:t>
      </w:r>
      <w:r w:rsidR="00711F6F" w:rsidRPr="005E1802">
        <w:rPr>
          <w:rFonts w:ascii="Times New Roman" w:hAnsi="Times New Roman"/>
        </w:rPr>
        <w:t xml:space="preserve">breach to the </w:t>
      </w:r>
      <w:r w:rsidR="005A3034" w:rsidRPr="005E1802">
        <w:rPr>
          <w:rFonts w:ascii="Times New Roman" w:hAnsi="Times New Roman"/>
        </w:rPr>
        <w:t xml:space="preserve">final decision </w:t>
      </w:r>
      <w:r w:rsidR="007B332A" w:rsidRPr="005E1802">
        <w:rPr>
          <w:rFonts w:ascii="Times New Roman" w:hAnsi="Times New Roman"/>
        </w:rPr>
        <w:t>made by</w:t>
      </w:r>
      <w:r w:rsidR="005A3034" w:rsidRPr="005E1802">
        <w:rPr>
          <w:rFonts w:ascii="Times New Roman" w:hAnsi="Times New Roman"/>
        </w:rPr>
        <w:t xml:space="preserve"> the </w:t>
      </w:r>
      <w:r w:rsidR="00FE5F5D" w:rsidRPr="005E1802">
        <w:rPr>
          <w:rFonts w:ascii="Times New Roman" w:hAnsi="Times New Roman"/>
        </w:rPr>
        <w:t>T</w:t>
      </w:r>
      <w:r w:rsidR="00475A00" w:rsidRPr="005E1802">
        <w:rPr>
          <w:rFonts w:ascii="Times New Roman" w:hAnsi="Times New Roman"/>
        </w:rPr>
        <w:t>ribunal</w:t>
      </w:r>
      <w:r w:rsidR="00B35F5E" w:rsidRPr="005E1802">
        <w:rPr>
          <w:rFonts w:ascii="Times New Roman" w:hAnsi="Times New Roman"/>
        </w:rPr>
        <w:t>.</w:t>
      </w:r>
    </w:p>
    <w:p w14:paraId="0C9B9433" w14:textId="2C810D4A" w:rsidR="000F5D01" w:rsidRPr="005E1802" w:rsidRDefault="00ED7BF2" w:rsidP="005E1802">
      <w:pPr>
        <w:pStyle w:val="HeadingL1"/>
        <w:spacing w:after="260" w:line="280" w:lineRule="exact"/>
        <w:ind w:right="0"/>
        <w:jc w:val="both"/>
        <w:rPr>
          <w:rFonts w:ascii="Times New Roman" w:hAnsi="Times New Roman"/>
        </w:rPr>
      </w:pPr>
      <w:r w:rsidRPr="005E1802">
        <w:rPr>
          <w:rFonts w:ascii="Times New Roman" w:hAnsi="Times New Roman"/>
        </w:rPr>
        <w:t>Reasoning in the F</w:t>
      </w:r>
      <w:r w:rsidR="00A83D22" w:rsidRPr="005E1802">
        <w:rPr>
          <w:rFonts w:ascii="Times New Roman" w:hAnsi="Times New Roman"/>
        </w:rPr>
        <w:t>ederal Court</w:t>
      </w:r>
    </w:p>
    <w:p w14:paraId="0F1EF515" w14:textId="5C004A49" w:rsidR="004D73F5" w:rsidRPr="005E1802" w:rsidRDefault="005052CF"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AE353D" w:rsidRPr="005E1802">
        <w:rPr>
          <w:rFonts w:ascii="Times New Roman" w:hAnsi="Times New Roman"/>
        </w:rPr>
        <w:t xml:space="preserve">The Federal Court was constituted for the </w:t>
      </w:r>
      <w:r w:rsidR="0000221A" w:rsidRPr="005E1802">
        <w:rPr>
          <w:rFonts w:ascii="Times New Roman" w:hAnsi="Times New Roman"/>
        </w:rPr>
        <w:t>hearing of the appeal by Mortimer</w:t>
      </w:r>
      <w:r w:rsidR="00D70EAF" w:rsidRPr="005E1802">
        <w:rPr>
          <w:rFonts w:ascii="Times New Roman" w:hAnsi="Times New Roman"/>
        </w:rPr>
        <w:t> </w:t>
      </w:r>
      <w:r w:rsidR="0000221A" w:rsidRPr="005E1802">
        <w:rPr>
          <w:rFonts w:ascii="Times New Roman" w:hAnsi="Times New Roman"/>
        </w:rPr>
        <w:t xml:space="preserve">J alone. </w:t>
      </w:r>
      <w:r w:rsidR="004D73F5" w:rsidRPr="005E1802">
        <w:rPr>
          <w:rFonts w:ascii="Times New Roman" w:hAnsi="Times New Roman"/>
        </w:rPr>
        <w:t>Her Honour</w:t>
      </w:r>
      <w:r w:rsidR="00DB782B" w:rsidRPr="005E1802">
        <w:rPr>
          <w:rFonts w:ascii="Times New Roman" w:hAnsi="Times New Roman"/>
        </w:rPr>
        <w:t xml:space="preserve"> </w:t>
      </w:r>
      <w:r w:rsidR="002E4D7B" w:rsidRPr="005E1802">
        <w:rPr>
          <w:rFonts w:ascii="Times New Roman" w:hAnsi="Times New Roman"/>
        </w:rPr>
        <w:t xml:space="preserve">recognised </w:t>
      </w:r>
      <w:r w:rsidR="000C5131" w:rsidRPr="005E1802">
        <w:rPr>
          <w:rFonts w:ascii="Times New Roman" w:hAnsi="Times New Roman"/>
        </w:rPr>
        <w:t xml:space="preserve">that </w:t>
      </w:r>
      <w:r w:rsidR="00242248" w:rsidRPr="005E1802">
        <w:rPr>
          <w:rFonts w:ascii="Times New Roman" w:hAnsi="Times New Roman"/>
        </w:rPr>
        <w:t xml:space="preserve">the issue </w:t>
      </w:r>
      <w:r w:rsidR="009E38CF" w:rsidRPr="005E1802">
        <w:rPr>
          <w:rFonts w:ascii="Times New Roman" w:hAnsi="Times New Roman"/>
        </w:rPr>
        <w:t>of</w:t>
      </w:r>
      <w:r w:rsidR="00650BA0" w:rsidRPr="005E1802">
        <w:rPr>
          <w:rFonts w:ascii="Times New Roman" w:hAnsi="Times New Roman"/>
        </w:rPr>
        <w:t xml:space="preserve"> </w:t>
      </w:r>
      <w:r w:rsidR="00BE4CFF" w:rsidRPr="005E1802">
        <w:rPr>
          <w:rFonts w:ascii="Times New Roman" w:hAnsi="Times New Roman"/>
        </w:rPr>
        <w:t xml:space="preserve">materiality </w:t>
      </w:r>
      <w:r w:rsidR="009E38CF" w:rsidRPr="005E1802">
        <w:rPr>
          <w:rFonts w:ascii="Times New Roman" w:hAnsi="Times New Roman"/>
        </w:rPr>
        <w:t>turn</w:t>
      </w:r>
      <w:r w:rsidR="000C5131" w:rsidRPr="005E1802">
        <w:rPr>
          <w:rFonts w:ascii="Times New Roman" w:hAnsi="Times New Roman"/>
        </w:rPr>
        <w:t>ed</w:t>
      </w:r>
      <w:r w:rsidR="009E38CF" w:rsidRPr="005E1802">
        <w:rPr>
          <w:rFonts w:ascii="Times New Roman" w:hAnsi="Times New Roman"/>
        </w:rPr>
        <w:t xml:space="preserve"> on</w:t>
      </w:r>
      <w:r w:rsidR="00983F80" w:rsidRPr="005E1802">
        <w:rPr>
          <w:rFonts w:ascii="Times New Roman" w:hAnsi="Times New Roman"/>
        </w:rPr>
        <w:t xml:space="preserve"> </w:t>
      </w:r>
      <w:r w:rsidR="00983F80" w:rsidRPr="005E1802">
        <w:rPr>
          <w:rFonts w:ascii="Times New Roman" w:hAnsi="Times New Roman"/>
        </w:rPr>
        <w:lastRenderedPageBreak/>
        <w:t xml:space="preserve">whether </w:t>
      </w:r>
      <w:r w:rsidR="00F27B18" w:rsidRPr="005E1802">
        <w:rPr>
          <w:rFonts w:ascii="Times New Roman" w:hAnsi="Times New Roman"/>
        </w:rPr>
        <w:t>disclos</w:t>
      </w:r>
      <w:r w:rsidR="005C5572" w:rsidRPr="005E1802">
        <w:rPr>
          <w:rFonts w:ascii="Times New Roman" w:hAnsi="Times New Roman"/>
        </w:rPr>
        <w:t xml:space="preserve">ure </w:t>
      </w:r>
      <w:r w:rsidR="00975A11" w:rsidRPr="005E1802">
        <w:rPr>
          <w:rFonts w:ascii="Times New Roman" w:hAnsi="Times New Roman"/>
        </w:rPr>
        <w:t xml:space="preserve">to the appellant </w:t>
      </w:r>
      <w:r w:rsidR="005C5572" w:rsidRPr="005E1802">
        <w:rPr>
          <w:rFonts w:ascii="Times New Roman" w:hAnsi="Times New Roman"/>
        </w:rPr>
        <w:t>of</w:t>
      </w:r>
      <w:r w:rsidR="00F27B18" w:rsidRPr="005E1802">
        <w:rPr>
          <w:rFonts w:ascii="Times New Roman" w:hAnsi="Times New Roman"/>
        </w:rPr>
        <w:t xml:space="preserve"> the existence of the notification</w:t>
      </w:r>
      <w:r w:rsidR="008239C5" w:rsidRPr="005E1802">
        <w:rPr>
          <w:rFonts w:ascii="Times New Roman" w:hAnsi="Times New Roman"/>
        </w:rPr>
        <w:t xml:space="preserve"> could realistically </w:t>
      </w:r>
      <w:r w:rsidR="0044083A" w:rsidRPr="005E1802">
        <w:rPr>
          <w:rFonts w:ascii="Times New Roman" w:hAnsi="Times New Roman"/>
        </w:rPr>
        <w:t xml:space="preserve">have resulted in </w:t>
      </w:r>
      <w:r w:rsidR="007B332A"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7B332A" w:rsidRPr="005E1802">
        <w:rPr>
          <w:rFonts w:ascii="Times New Roman" w:hAnsi="Times New Roman"/>
        </w:rPr>
        <w:t xml:space="preserve"> having made a</w:t>
      </w:r>
      <w:r w:rsidR="0044083A" w:rsidRPr="005E1802">
        <w:rPr>
          <w:rFonts w:ascii="Times New Roman" w:hAnsi="Times New Roman"/>
        </w:rPr>
        <w:t xml:space="preserve"> different decision</w:t>
      </w:r>
      <w:r w:rsidR="00B426E5" w:rsidRPr="005E1802">
        <w:rPr>
          <w:rStyle w:val="FootnoteReference"/>
          <w:rFonts w:ascii="Times New Roman" w:hAnsi="Times New Roman"/>
          <w:sz w:val="24"/>
        </w:rPr>
        <w:footnoteReference w:id="6"/>
      </w:r>
      <w:r w:rsidR="002E4D7B" w:rsidRPr="005E1802">
        <w:rPr>
          <w:rFonts w:ascii="Times New Roman" w:hAnsi="Times New Roman"/>
        </w:rPr>
        <w:t xml:space="preserve">. </w:t>
      </w:r>
    </w:p>
    <w:p w14:paraId="0B241D25" w14:textId="2EC7B79A" w:rsidR="005564F2" w:rsidRPr="005E1802" w:rsidRDefault="004D73F5"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B725B4" w:rsidRPr="005E1802">
        <w:rPr>
          <w:rFonts w:ascii="Times New Roman" w:hAnsi="Times New Roman"/>
        </w:rPr>
        <w:t xml:space="preserve">Noting </w:t>
      </w:r>
      <w:r w:rsidR="00C52A03" w:rsidRPr="005E1802">
        <w:rPr>
          <w:rFonts w:ascii="Times New Roman" w:hAnsi="Times New Roman"/>
        </w:rPr>
        <w:t xml:space="preserve">that </w:t>
      </w:r>
      <w:r w:rsidR="00B725B4" w:rsidRPr="005E1802">
        <w:rPr>
          <w:rFonts w:ascii="Times New Roman" w:hAnsi="Times New Roman"/>
        </w:rPr>
        <w:t>t</w:t>
      </w:r>
      <w:r w:rsidR="00256018" w:rsidRPr="005E1802">
        <w:rPr>
          <w:rFonts w:ascii="Times New Roman" w:hAnsi="Times New Roman"/>
        </w:rPr>
        <w:t xml:space="preserve">he information covered by the </w:t>
      </w:r>
      <w:r w:rsidR="004E3425" w:rsidRPr="005E1802">
        <w:rPr>
          <w:rFonts w:ascii="Times New Roman" w:hAnsi="Times New Roman"/>
        </w:rPr>
        <w:t xml:space="preserve">undisclosed </w:t>
      </w:r>
      <w:r w:rsidR="006D19D9" w:rsidRPr="005E1802">
        <w:rPr>
          <w:rFonts w:ascii="Times New Roman" w:hAnsi="Times New Roman"/>
        </w:rPr>
        <w:t xml:space="preserve">notification </w:t>
      </w:r>
      <w:r w:rsidR="00C52A03" w:rsidRPr="005E1802">
        <w:rPr>
          <w:rFonts w:ascii="Times New Roman" w:hAnsi="Times New Roman"/>
        </w:rPr>
        <w:t>had</w:t>
      </w:r>
      <w:r w:rsidR="00B725B4" w:rsidRPr="005E1802">
        <w:rPr>
          <w:rFonts w:ascii="Times New Roman" w:hAnsi="Times New Roman"/>
        </w:rPr>
        <w:t xml:space="preserve"> </w:t>
      </w:r>
      <w:r w:rsidR="00294167" w:rsidRPr="005E1802">
        <w:rPr>
          <w:rFonts w:ascii="Times New Roman" w:hAnsi="Times New Roman"/>
        </w:rPr>
        <w:t>be</w:t>
      </w:r>
      <w:r w:rsidR="00B725B4" w:rsidRPr="005E1802">
        <w:rPr>
          <w:rFonts w:ascii="Times New Roman" w:hAnsi="Times New Roman"/>
        </w:rPr>
        <w:t>en</w:t>
      </w:r>
      <w:r w:rsidR="00294167" w:rsidRPr="005E1802">
        <w:rPr>
          <w:rFonts w:ascii="Times New Roman" w:hAnsi="Times New Roman"/>
        </w:rPr>
        <w:t xml:space="preserve"> </w:t>
      </w:r>
      <w:r w:rsidR="00B76AAD" w:rsidRPr="005E1802">
        <w:rPr>
          <w:rFonts w:ascii="Times New Roman" w:hAnsi="Times New Roman"/>
        </w:rPr>
        <w:t xml:space="preserve">potentially </w:t>
      </w:r>
      <w:r w:rsidR="009D55DE" w:rsidRPr="005E1802">
        <w:rPr>
          <w:rFonts w:ascii="Times New Roman" w:hAnsi="Times New Roman"/>
        </w:rPr>
        <w:t>contrary to the interests of</w:t>
      </w:r>
      <w:r w:rsidR="00B76AAD" w:rsidRPr="005E1802">
        <w:rPr>
          <w:rFonts w:ascii="Times New Roman" w:hAnsi="Times New Roman"/>
        </w:rPr>
        <w:t xml:space="preserve"> the appellant</w:t>
      </w:r>
      <w:r w:rsidR="006D19D9" w:rsidRPr="005E1802">
        <w:rPr>
          <w:rFonts w:ascii="Times New Roman" w:hAnsi="Times New Roman"/>
        </w:rPr>
        <w:t xml:space="preserve">, </w:t>
      </w:r>
      <w:r w:rsidR="003349CE" w:rsidRPr="005E1802">
        <w:rPr>
          <w:rFonts w:ascii="Times New Roman" w:hAnsi="Times New Roman"/>
        </w:rPr>
        <w:t>Mortimer</w:t>
      </w:r>
      <w:r w:rsidR="002E4D7B" w:rsidRPr="005E1802">
        <w:rPr>
          <w:rFonts w:ascii="Times New Roman" w:hAnsi="Times New Roman"/>
        </w:rPr>
        <w:t xml:space="preserve"> </w:t>
      </w:r>
      <w:r w:rsidR="00C6265A" w:rsidRPr="005E1802">
        <w:rPr>
          <w:rFonts w:ascii="Times New Roman" w:hAnsi="Times New Roman"/>
        </w:rPr>
        <w:t xml:space="preserve">J </w:t>
      </w:r>
      <w:r w:rsidR="00AC02F4" w:rsidRPr="005E1802">
        <w:rPr>
          <w:rFonts w:ascii="Times New Roman" w:hAnsi="Times New Roman"/>
        </w:rPr>
        <w:t xml:space="preserve">went on to </w:t>
      </w:r>
      <w:r w:rsidR="003F17BE" w:rsidRPr="005E1802">
        <w:rPr>
          <w:rFonts w:ascii="Times New Roman" w:hAnsi="Times New Roman"/>
        </w:rPr>
        <w:t>accept</w:t>
      </w:r>
      <w:r w:rsidR="007C3D80" w:rsidRPr="005E1802">
        <w:rPr>
          <w:rFonts w:ascii="Times New Roman" w:hAnsi="Times New Roman"/>
        </w:rPr>
        <w:t xml:space="preserve"> that</w:t>
      </w:r>
      <w:r w:rsidR="00576870" w:rsidRPr="005E1802">
        <w:rPr>
          <w:rFonts w:ascii="Times New Roman" w:hAnsi="Times New Roman"/>
        </w:rPr>
        <w:t xml:space="preserve"> she could not conclude that</w:t>
      </w:r>
      <w:r w:rsidR="007C3D80" w:rsidRPr="005E1802">
        <w:rPr>
          <w:rFonts w:ascii="Times New Roman" w:hAnsi="Times New Roman"/>
        </w:rPr>
        <w:t xml:space="preserve"> disclosure of </w:t>
      </w:r>
      <w:r w:rsidR="00BC0211" w:rsidRPr="005E1802">
        <w:rPr>
          <w:rFonts w:ascii="Times New Roman" w:hAnsi="Times New Roman"/>
        </w:rPr>
        <w:t>t</w:t>
      </w:r>
      <w:r w:rsidR="007C3D80" w:rsidRPr="005E1802">
        <w:rPr>
          <w:rFonts w:ascii="Times New Roman" w:hAnsi="Times New Roman"/>
        </w:rPr>
        <w:t xml:space="preserve">he notification could realistically have resulted </w:t>
      </w:r>
      <w:r w:rsidR="007B332A" w:rsidRPr="005E1802">
        <w:rPr>
          <w:rFonts w:ascii="Times New Roman" w:hAnsi="Times New Roman"/>
        </w:rPr>
        <w:t xml:space="preserve">in the </w:t>
      </w:r>
      <w:r w:rsidR="00FE5F5D" w:rsidRPr="005E1802">
        <w:rPr>
          <w:rFonts w:ascii="Times New Roman" w:hAnsi="Times New Roman"/>
        </w:rPr>
        <w:t>T</w:t>
      </w:r>
      <w:r w:rsidR="00475A00" w:rsidRPr="005E1802">
        <w:rPr>
          <w:rFonts w:ascii="Times New Roman" w:hAnsi="Times New Roman"/>
        </w:rPr>
        <w:t>ribunal</w:t>
      </w:r>
      <w:r w:rsidR="007B332A" w:rsidRPr="005E1802">
        <w:rPr>
          <w:rFonts w:ascii="Times New Roman" w:hAnsi="Times New Roman"/>
        </w:rPr>
        <w:t xml:space="preserve"> having made</w:t>
      </w:r>
      <w:r w:rsidR="007C3D80" w:rsidRPr="005E1802">
        <w:rPr>
          <w:rFonts w:ascii="Times New Roman" w:hAnsi="Times New Roman"/>
        </w:rPr>
        <w:t xml:space="preserve"> a different decision</w:t>
      </w:r>
      <w:r w:rsidR="00A8564A" w:rsidRPr="005E1802">
        <w:rPr>
          <w:rFonts w:ascii="Times New Roman" w:hAnsi="Times New Roman"/>
        </w:rPr>
        <w:t xml:space="preserve"> </w:t>
      </w:r>
      <w:r w:rsidR="00714F34" w:rsidRPr="005E1802">
        <w:rPr>
          <w:rFonts w:ascii="Times New Roman" w:hAnsi="Times New Roman"/>
        </w:rPr>
        <w:t>without</w:t>
      </w:r>
      <w:r w:rsidR="0016144C" w:rsidRPr="005E1802">
        <w:rPr>
          <w:rFonts w:ascii="Times New Roman" w:hAnsi="Times New Roman"/>
        </w:rPr>
        <w:t xml:space="preserve"> first</w:t>
      </w:r>
      <w:r w:rsidR="00714F34" w:rsidRPr="005E1802">
        <w:rPr>
          <w:rFonts w:ascii="Times New Roman" w:hAnsi="Times New Roman"/>
        </w:rPr>
        <w:t xml:space="preserve"> </w:t>
      </w:r>
      <w:r w:rsidR="003500E5" w:rsidRPr="005E1802">
        <w:rPr>
          <w:rFonts w:ascii="Times New Roman" w:hAnsi="Times New Roman"/>
        </w:rPr>
        <w:t>find</w:t>
      </w:r>
      <w:r w:rsidR="006E0E32" w:rsidRPr="005E1802">
        <w:rPr>
          <w:rFonts w:ascii="Times New Roman" w:hAnsi="Times New Roman"/>
        </w:rPr>
        <w:t>ing</w:t>
      </w:r>
      <w:r w:rsidR="003500E5" w:rsidRPr="005E1802">
        <w:rPr>
          <w:rFonts w:ascii="Times New Roman" w:hAnsi="Times New Roman"/>
        </w:rPr>
        <w:t xml:space="preserve"> that </w:t>
      </w:r>
      <w:r w:rsidR="00F27092" w:rsidRPr="005E1802">
        <w:rPr>
          <w:rFonts w:ascii="Times New Roman" w:hAnsi="Times New Roman"/>
        </w:rPr>
        <w:t xml:space="preserve">the </w:t>
      </w:r>
      <w:r w:rsidR="00FE5F5D" w:rsidRPr="005E1802">
        <w:rPr>
          <w:rFonts w:ascii="Times New Roman" w:hAnsi="Times New Roman"/>
        </w:rPr>
        <w:t>T</w:t>
      </w:r>
      <w:r w:rsidR="00475A00" w:rsidRPr="005E1802">
        <w:rPr>
          <w:rFonts w:ascii="Times New Roman" w:hAnsi="Times New Roman"/>
        </w:rPr>
        <w:t>ribunal</w:t>
      </w:r>
      <w:r w:rsidR="00F27092" w:rsidRPr="005E1802">
        <w:rPr>
          <w:rFonts w:ascii="Times New Roman" w:hAnsi="Times New Roman"/>
        </w:rPr>
        <w:t xml:space="preserve"> had in fact taken </w:t>
      </w:r>
      <w:r w:rsidR="005604A4" w:rsidRPr="005E1802">
        <w:rPr>
          <w:rFonts w:ascii="Times New Roman" w:hAnsi="Times New Roman"/>
        </w:rPr>
        <w:t xml:space="preserve">information covered by </w:t>
      </w:r>
      <w:r w:rsidR="005F0DD7" w:rsidRPr="005E1802">
        <w:rPr>
          <w:rFonts w:ascii="Times New Roman" w:hAnsi="Times New Roman"/>
        </w:rPr>
        <w:t>the notification</w:t>
      </w:r>
      <w:r w:rsidR="005604A4" w:rsidRPr="005E1802">
        <w:rPr>
          <w:rFonts w:ascii="Times New Roman" w:hAnsi="Times New Roman"/>
        </w:rPr>
        <w:t xml:space="preserve"> </w:t>
      </w:r>
      <w:r w:rsidR="00F27092" w:rsidRPr="005E1802">
        <w:rPr>
          <w:rFonts w:ascii="Times New Roman" w:hAnsi="Times New Roman"/>
        </w:rPr>
        <w:t xml:space="preserve">into account </w:t>
      </w:r>
      <w:r w:rsidR="00563FBC" w:rsidRPr="005E1802">
        <w:rPr>
          <w:rFonts w:ascii="Times New Roman" w:hAnsi="Times New Roman"/>
        </w:rPr>
        <w:t xml:space="preserve">in </w:t>
      </w:r>
      <w:r w:rsidR="00954D05" w:rsidRPr="005E1802">
        <w:rPr>
          <w:rFonts w:ascii="Times New Roman" w:hAnsi="Times New Roman"/>
        </w:rPr>
        <w:t>making the decision</w:t>
      </w:r>
      <w:r w:rsidR="00954D05" w:rsidRPr="005E1802">
        <w:rPr>
          <w:rStyle w:val="FootnoteReference"/>
          <w:rFonts w:ascii="Times New Roman" w:hAnsi="Times New Roman"/>
          <w:sz w:val="24"/>
        </w:rPr>
        <w:footnoteReference w:id="7"/>
      </w:r>
      <w:r w:rsidR="00954D05" w:rsidRPr="005E1802">
        <w:rPr>
          <w:rFonts w:ascii="Times New Roman" w:hAnsi="Times New Roman"/>
        </w:rPr>
        <w:t>.</w:t>
      </w:r>
      <w:r w:rsidR="00EA4F67" w:rsidRPr="005E1802">
        <w:rPr>
          <w:rFonts w:ascii="Times New Roman" w:hAnsi="Times New Roman"/>
        </w:rPr>
        <w:t xml:space="preserve"> </w:t>
      </w:r>
      <w:r w:rsidR="00015F8A" w:rsidRPr="005E1802">
        <w:rPr>
          <w:rFonts w:ascii="Times New Roman" w:hAnsi="Times New Roman"/>
        </w:rPr>
        <w:t>That</w:t>
      </w:r>
      <w:r w:rsidR="004B2FBF" w:rsidRPr="005E1802">
        <w:rPr>
          <w:rFonts w:ascii="Times New Roman" w:hAnsi="Times New Roman"/>
        </w:rPr>
        <w:t xml:space="preserve"> </w:t>
      </w:r>
      <w:r w:rsidR="0022015F" w:rsidRPr="005E1802">
        <w:rPr>
          <w:rFonts w:ascii="Times New Roman" w:hAnsi="Times New Roman"/>
        </w:rPr>
        <w:t>accords</w:t>
      </w:r>
      <w:r w:rsidR="00294167" w:rsidRPr="005E1802">
        <w:rPr>
          <w:rFonts w:ascii="Times New Roman" w:hAnsi="Times New Roman"/>
        </w:rPr>
        <w:t xml:space="preserve"> </w:t>
      </w:r>
      <w:r w:rsidR="00D811A9" w:rsidRPr="005E1802">
        <w:rPr>
          <w:rFonts w:ascii="Times New Roman" w:hAnsi="Times New Roman"/>
        </w:rPr>
        <w:t>with</w:t>
      </w:r>
      <w:r w:rsidR="00FE6B0A" w:rsidRPr="005E1802">
        <w:rPr>
          <w:rFonts w:ascii="Times New Roman" w:hAnsi="Times New Roman"/>
        </w:rPr>
        <w:t xml:space="preserve"> </w:t>
      </w:r>
      <w:r w:rsidR="003629B9" w:rsidRPr="005E1802">
        <w:rPr>
          <w:rFonts w:ascii="Times New Roman" w:hAnsi="Times New Roman"/>
        </w:rPr>
        <w:t xml:space="preserve">the approach </w:t>
      </w:r>
      <w:r w:rsidR="00331CE3" w:rsidRPr="005E1802">
        <w:rPr>
          <w:rFonts w:ascii="Times New Roman" w:hAnsi="Times New Roman"/>
        </w:rPr>
        <w:t>taken by</w:t>
      </w:r>
      <w:r w:rsidR="00D460E3" w:rsidRPr="005E1802">
        <w:rPr>
          <w:rFonts w:ascii="Times New Roman" w:hAnsi="Times New Roman"/>
        </w:rPr>
        <w:t xml:space="preserve"> </w:t>
      </w:r>
      <w:r w:rsidR="009C1DD8" w:rsidRPr="005E1802">
        <w:rPr>
          <w:rFonts w:ascii="Times New Roman" w:hAnsi="Times New Roman"/>
        </w:rPr>
        <w:t>the</w:t>
      </w:r>
      <w:r w:rsidR="0073163A" w:rsidRPr="005E1802">
        <w:rPr>
          <w:rFonts w:ascii="Times New Roman" w:hAnsi="Times New Roman"/>
        </w:rPr>
        <w:t xml:space="preserve"> </w:t>
      </w:r>
      <w:r w:rsidR="00D811A9" w:rsidRPr="005E1802">
        <w:rPr>
          <w:rFonts w:ascii="Times New Roman" w:hAnsi="Times New Roman"/>
        </w:rPr>
        <w:t xml:space="preserve">Full Court of the </w:t>
      </w:r>
      <w:r w:rsidR="001F7DB0" w:rsidRPr="005E1802">
        <w:rPr>
          <w:rFonts w:ascii="Times New Roman" w:hAnsi="Times New Roman"/>
        </w:rPr>
        <w:t>Federal Court</w:t>
      </w:r>
      <w:r w:rsidR="003629B9" w:rsidRPr="005E1802">
        <w:rPr>
          <w:rFonts w:ascii="Times New Roman" w:hAnsi="Times New Roman"/>
        </w:rPr>
        <w:t xml:space="preserve"> </w:t>
      </w:r>
      <w:r w:rsidR="00D460E3" w:rsidRPr="005E1802">
        <w:rPr>
          <w:rFonts w:ascii="Times New Roman" w:hAnsi="Times New Roman"/>
        </w:rPr>
        <w:t xml:space="preserve">earlier </w:t>
      </w:r>
      <w:r w:rsidR="003629B9" w:rsidRPr="005E1802">
        <w:rPr>
          <w:rFonts w:ascii="Times New Roman" w:hAnsi="Times New Roman"/>
        </w:rPr>
        <w:t>in</w:t>
      </w:r>
      <w:r w:rsidR="004151C2" w:rsidRPr="005E1802">
        <w:rPr>
          <w:rFonts w:ascii="Times New Roman" w:hAnsi="Times New Roman"/>
        </w:rPr>
        <w:t xml:space="preserve"> </w:t>
      </w:r>
      <w:r w:rsidR="002E7553" w:rsidRPr="005E1802">
        <w:rPr>
          <w:rFonts w:ascii="Times New Roman" w:hAnsi="Times New Roman"/>
          <w:i/>
        </w:rPr>
        <w:t>MZAOL v Minister for Immigration and Border Protection</w:t>
      </w:r>
      <w:r w:rsidR="000E7C28" w:rsidRPr="005E1802">
        <w:rPr>
          <w:rStyle w:val="FootnoteReference"/>
          <w:rFonts w:ascii="Times New Roman" w:hAnsi="Times New Roman"/>
          <w:sz w:val="24"/>
        </w:rPr>
        <w:footnoteReference w:id="8"/>
      </w:r>
      <w:r w:rsidR="000E7C28" w:rsidRPr="005E1802">
        <w:rPr>
          <w:rFonts w:ascii="Times New Roman" w:hAnsi="Times New Roman"/>
        </w:rPr>
        <w:t xml:space="preserve"> a</w:t>
      </w:r>
      <w:r w:rsidR="00D460E3" w:rsidRPr="005E1802">
        <w:rPr>
          <w:rFonts w:ascii="Times New Roman" w:hAnsi="Times New Roman"/>
        </w:rPr>
        <w:t>nd</w:t>
      </w:r>
      <w:r w:rsidR="003629B9" w:rsidRPr="005E1802">
        <w:rPr>
          <w:rFonts w:ascii="Times New Roman" w:hAnsi="Times New Roman"/>
        </w:rPr>
        <w:t xml:space="preserve"> </w:t>
      </w:r>
      <w:r w:rsidR="008408B7" w:rsidRPr="005E1802">
        <w:rPr>
          <w:rFonts w:ascii="Times New Roman" w:hAnsi="Times New Roman"/>
        </w:rPr>
        <w:t>more recent</w:t>
      </w:r>
      <w:r w:rsidR="003629B9" w:rsidRPr="005E1802">
        <w:rPr>
          <w:rFonts w:ascii="Times New Roman" w:hAnsi="Times New Roman"/>
        </w:rPr>
        <w:t>ly</w:t>
      </w:r>
      <w:r w:rsidR="00D460E3" w:rsidRPr="005E1802">
        <w:rPr>
          <w:rFonts w:ascii="Times New Roman" w:hAnsi="Times New Roman"/>
        </w:rPr>
        <w:t xml:space="preserve"> </w:t>
      </w:r>
      <w:r w:rsidR="008408B7" w:rsidRPr="005E1802">
        <w:rPr>
          <w:rFonts w:ascii="Times New Roman" w:hAnsi="Times New Roman"/>
        </w:rPr>
        <w:t xml:space="preserve">in </w:t>
      </w:r>
      <w:r w:rsidR="00D460E3" w:rsidRPr="005E1802">
        <w:rPr>
          <w:rFonts w:ascii="Times New Roman" w:hAnsi="Times New Roman"/>
          <w:i/>
        </w:rPr>
        <w:t>Minister for Immigration, Citizenship, Migrant Services and Multicultural Affairs</w:t>
      </w:r>
      <w:r w:rsidR="00C6265A" w:rsidRPr="005E1802">
        <w:rPr>
          <w:rFonts w:ascii="Times New Roman" w:hAnsi="Times New Roman"/>
          <w:i/>
        </w:rPr>
        <w:t xml:space="preserve"> v CQZ1</w:t>
      </w:r>
      <w:r w:rsidR="00D65BFF" w:rsidRPr="005E1802">
        <w:rPr>
          <w:rFonts w:ascii="Times New Roman" w:hAnsi="Times New Roman"/>
          <w:i/>
        </w:rPr>
        <w:t>5</w:t>
      </w:r>
      <w:r w:rsidR="000E7C28" w:rsidRPr="005E1802">
        <w:rPr>
          <w:rStyle w:val="FootnoteReference"/>
          <w:rFonts w:ascii="Times New Roman" w:hAnsi="Times New Roman"/>
          <w:sz w:val="24"/>
        </w:rPr>
        <w:footnoteReference w:id="9"/>
      </w:r>
      <w:r w:rsidR="000E7C28" w:rsidRPr="005E1802">
        <w:rPr>
          <w:rFonts w:ascii="Times New Roman" w:hAnsi="Times New Roman"/>
        </w:rPr>
        <w:t>.</w:t>
      </w:r>
    </w:p>
    <w:p w14:paraId="585FD0D2" w14:textId="77B60DD7" w:rsidR="00E44009" w:rsidRPr="005E1802" w:rsidRDefault="00E44009"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437E68" w:rsidRPr="005E1802">
        <w:rPr>
          <w:rFonts w:ascii="Times New Roman" w:hAnsi="Times New Roman"/>
        </w:rPr>
        <w:t xml:space="preserve">Focusing on </w:t>
      </w:r>
      <w:r w:rsidR="00775270" w:rsidRPr="005E1802">
        <w:rPr>
          <w:rFonts w:ascii="Times New Roman" w:hAnsi="Times New Roman"/>
        </w:rPr>
        <w:t xml:space="preserve">the potential </w:t>
      </w:r>
      <w:r w:rsidR="00F27B90" w:rsidRPr="005E1802">
        <w:rPr>
          <w:rFonts w:ascii="Times New Roman" w:hAnsi="Times New Roman"/>
        </w:rPr>
        <w:t>for</w:t>
      </w:r>
      <w:r w:rsidR="001F6541" w:rsidRPr="005E1802">
        <w:rPr>
          <w:rFonts w:ascii="Times New Roman" w:hAnsi="Times New Roman"/>
        </w:rPr>
        <w:t xml:space="preserve"> the </w:t>
      </w:r>
      <w:r w:rsidR="000B36C0" w:rsidRPr="005E1802">
        <w:rPr>
          <w:rFonts w:ascii="Times New Roman" w:hAnsi="Times New Roman"/>
        </w:rPr>
        <w:t xml:space="preserve">offence of dishonesty </w:t>
      </w:r>
      <w:r w:rsidR="001624E8" w:rsidRPr="005E1802">
        <w:rPr>
          <w:rFonts w:ascii="Times New Roman" w:hAnsi="Times New Roman"/>
        </w:rPr>
        <w:t>referred to in</w:t>
      </w:r>
      <w:r w:rsidR="000B36C0" w:rsidRPr="005E1802">
        <w:rPr>
          <w:rFonts w:ascii="Times New Roman" w:hAnsi="Times New Roman"/>
        </w:rPr>
        <w:t xml:space="preserve"> the </w:t>
      </w:r>
      <w:r w:rsidR="00437E68" w:rsidRPr="005E1802">
        <w:rPr>
          <w:rFonts w:ascii="Times New Roman" w:hAnsi="Times New Roman"/>
        </w:rPr>
        <w:t>Court Outcomes Report</w:t>
      </w:r>
      <w:r w:rsidR="00962146" w:rsidRPr="005E1802">
        <w:rPr>
          <w:rFonts w:ascii="Times New Roman" w:hAnsi="Times New Roman"/>
        </w:rPr>
        <w:t xml:space="preserve"> covered by the notification</w:t>
      </w:r>
      <w:r w:rsidR="00775270" w:rsidRPr="005E1802">
        <w:rPr>
          <w:rFonts w:ascii="Times New Roman" w:hAnsi="Times New Roman"/>
        </w:rPr>
        <w:t xml:space="preserve"> to </w:t>
      </w:r>
      <w:r w:rsidR="00993281" w:rsidRPr="005E1802">
        <w:rPr>
          <w:rFonts w:ascii="Times New Roman" w:hAnsi="Times New Roman"/>
        </w:rPr>
        <w:t xml:space="preserve">have borne on </w:t>
      </w:r>
      <w:r w:rsidR="006053D9" w:rsidRPr="005E1802">
        <w:rPr>
          <w:rFonts w:ascii="Times New Roman" w:hAnsi="Times New Roman"/>
        </w:rPr>
        <w:t xml:space="preserve">the </w:t>
      </w:r>
      <w:r w:rsidR="00FE5F5D" w:rsidRPr="005E1802">
        <w:rPr>
          <w:rFonts w:ascii="Times New Roman" w:hAnsi="Times New Roman"/>
        </w:rPr>
        <w:t>T</w:t>
      </w:r>
      <w:r w:rsidR="007A43F2" w:rsidRPr="005E1802">
        <w:rPr>
          <w:rFonts w:ascii="Times New Roman" w:hAnsi="Times New Roman"/>
        </w:rPr>
        <w:t>ribunal</w:t>
      </w:r>
      <w:r w:rsidR="006053D9" w:rsidRPr="005E1802">
        <w:rPr>
          <w:rFonts w:ascii="Times New Roman" w:hAnsi="Times New Roman"/>
        </w:rPr>
        <w:t xml:space="preserve">'s rejection of </w:t>
      </w:r>
      <w:r w:rsidR="006D09FD" w:rsidRPr="005E1802">
        <w:rPr>
          <w:rFonts w:ascii="Times New Roman" w:hAnsi="Times New Roman"/>
        </w:rPr>
        <w:t xml:space="preserve">the </w:t>
      </w:r>
      <w:r w:rsidR="006053D9" w:rsidRPr="005E1802">
        <w:rPr>
          <w:rFonts w:ascii="Times New Roman" w:hAnsi="Times New Roman"/>
        </w:rPr>
        <w:t>appellant's claim to fear harm in connection with the dispute over land in Punjab</w:t>
      </w:r>
      <w:r w:rsidR="00A06D04" w:rsidRPr="005E1802">
        <w:rPr>
          <w:rFonts w:ascii="Times New Roman" w:hAnsi="Times New Roman"/>
        </w:rPr>
        <w:t xml:space="preserve">, </w:t>
      </w:r>
      <w:r w:rsidR="000B36C0" w:rsidRPr="005E1802">
        <w:rPr>
          <w:rFonts w:ascii="Times New Roman" w:hAnsi="Times New Roman"/>
        </w:rPr>
        <w:t xml:space="preserve">and unable to find </w:t>
      </w:r>
      <w:r w:rsidR="00A06D04" w:rsidRPr="005E1802">
        <w:rPr>
          <w:rFonts w:ascii="Times New Roman" w:hAnsi="Times New Roman"/>
        </w:rPr>
        <w:t>on</w:t>
      </w:r>
      <w:r w:rsidR="00FE6B0A" w:rsidRPr="005E1802">
        <w:rPr>
          <w:rFonts w:ascii="Times New Roman" w:hAnsi="Times New Roman"/>
        </w:rPr>
        <w:t xml:space="preserve"> the </w:t>
      </w:r>
      <w:r w:rsidR="00A06D04" w:rsidRPr="005E1802">
        <w:rPr>
          <w:rFonts w:ascii="Times New Roman" w:hAnsi="Times New Roman"/>
        </w:rPr>
        <w:t xml:space="preserve">evidence </w:t>
      </w:r>
      <w:r w:rsidR="00FE6B0A" w:rsidRPr="005E1802">
        <w:rPr>
          <w:rFonts w:ascii="Times New Roman" w:hAnsi="Times New Roman"/>
        </w:rPr>
        <w:t xml:space="preserve">before her </w:t>
      </w:r>
      <w:r w:rsidR="00561592" w:rsidRPr="005E1802">
        <w:rPr>
          <w:rFonts w:ascii="Times New Roman" w:hAnsi="Times New Roman"/>
        </w:rPr>
        <w:t xml:space="preserve">that the offence </w:t>
      </w:r>
      <w:r w:rsidR="002F339A" w:rsidRPr="005E1802">
        <w:rPr>
          <w:rFonts w:ascii="Times New Roman" w:hAnsi="Times New Roman"/>
        </w:rPr>
        <w:t xml:space="preserve">of dishonesty </w:t>
      </w:r>
      <w:r w:rsidR="00962146" w:rsidRPr="005E1802">
        <w:rPr>
          <w:rFonts w:ascii="Times New Roman" w:hAnsi="Times New Roman"/>
        </w:rPr>
        <w:t xml:space="preserve">had in fact been </w:t>
      </w:r>
      <w:r w:rsidR="00C273B8" w:rsidRPr="005E1802">
        <w:rPr>
          <w:rFonts w:ascii="Times New Roman" w:hAnsi="Times New Roman"/>
        </w:rPr>
        <w:t>taken into account</w:t>
      </w:r>
      <w:r w:rsidR="00962146" w:rsidRPr="005E1802">
        <w:rPr>
          <w:rFonts w:ascii="Times New Roman" w:hAnsi="Times New Roman"/>
        </w:rPr>
        <w:t xml:space="preserve"> </w:t>
      </w:r>
      <w:r w:rsidR="00561592" w:rsidRPr="005E1802">
        <w:rPr>
          <w:rFonts w:ascii="Times New Roman" w:hAnsi="Times New Roman"/>
        </w:rPr>
        <w:t xml:space="preserve">by the </w:t>
      </w:r>
      <w:r w:rsidR="00FE5F5D" w:rsidRPr="005E1802">
        <w:rPr>
          <w:rFonts w:ascii="Times New Roman" w:hAnsi="Times New Roman"/>
        </w:rPr>
        <w:t>T</w:t>
      </w:r>
      <w:r w:rsidR="00197463" w:rsidRPr="005E1802">
        <w:rPr>
          <w:rFonts w:ascii="Times New Roman" w:hAnsi="Times New Roman"/>
        </w:rPr>
        <w:t>ribunal</w:t>
      </w:r>
      <w:r w:rsidR="00561592" w:rsidRPr="005E1802">
        <w:rPr>
          <w:rFonts w:ascii="Times New Roman" w:hAnsi="Times New Roman"/>
        </w:rPr>
        <w:t xml:space="preserve"> </w:t>
      </w:r>
      <w:r w:rsidR="00962146" w:rsidRPr="005E1802">
        <w:rPr>
          <w:rFonts w:ascii="Times New Roman" w:hAnsi="Times New Roman"/>
        </w:rPr>
        <w:t xml:space="preserve">in </w:t>
      </w:r>
      <w:r w:rsidR="00510584" w:rsidRPr="005E1802">
        <w:rPr>
          <w:rFonts w:ascii="Times New Roman" w:hAnsi="Times New Roman"/>
        </w:rPr>
        <w:t>its findings in relation to</w:t>
      </w:r>
      <w:r w:rsidR="00962146" w:rsidRPr="005E1802">
        <w:rPr>
          <w:rFonts w:ascii="Times New Roman" w:hAnsi="Times New Roman"/>
        </w:rPr>
        <w:t xml:space="preserve"> th</w:t>
      </w:r>
      <w:r w:rsidR="00510584" w:rsidRPr="005E1802">
        <w:rPr>
          <w:rFonts w:ascii="Times New Roman" w:hAnsi="Times New Roman"/>
        </w:rPr>
        <w:t>at claim</w:t>
      </w:r>
      <w:r w:rsidR="00F40C94" w:rsidRPr="005E1802">
        <w:rPr>
          <w:rStyle w:val="FootnoteReference"/>
          <w:rFonts w:ascii="Times New Roman" w:hAnsi="Times New Roman"/>
          <w:sz w:val="24"/>
        </w:rPr>
        <w:footnoteReference w:id="10"/>
      </w:r>
      <w:r w:rsidR="00962146" w:rsidRPr="005E1802">
        <w:rPr>
          <w:rFonts w:ascii="Times New Roman" w:hAnsi="Times New Roman"/>
        </w:rPr>
        <w:t xml:space="preserve">, </w:t>
      </w:r>
      <w:r w:rsidR="00D67841" w:rsidRPr="005E1802">
        <w:rPr>
          <w:rFonts w:ascii="Times New Roman" w:hAnsi="Times New Roman"/>
        </w:rPr>
        <w:t xml:space="preserve">Mortimer J </w:t>
      </w:r>
      <w:r w:rsidR="000411C9" w:rsidRPr="005E1802">
        <w:rPr>
          <w:rFonts w:ascii="Times New Roman" w:hAnsi="Times New Roman"/>
        </w:rPr>
        <w:t>dismiss</w:t>
      </w:r>
      <w:r w:rsidR="00AC60ED" w:rsidRPr="005E1802">
        <w:rPr>
          <w:rFonts w:ascii="Times New Roman" w:hAnsi="Times New Roman"/>
        </w:rPr>
        <w:t>ed</w:t>
      </w:r>
      <w:r w:rsidR="000411C9" w:rsidRPr="005E1802">
        <w:rPr>
          <w:rFonts w:ascii="Times New Roman" w:hAnsi="Times New Roman"/>
        </w:rPr>
        <w:t xml:space="preserve"> the appeal. </w:t>
      </w:r>
    </w:p>
    <w:p w14:paraId="71840768" w14:textId="09CC7BDD" w:rsidR="005052CF" w:rsidRPr="005E1802" w:rsidRDefault="00C273B8"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523D04" w:rsidRPr="005E1802">
        <w:rPr>
          <w:rFonts w:ascii="Times New Roman" w:hAnsi="Times New Roman"/>
        </w:rPr>
        <w:t>Mortimer J</w:t>
      </w:r>
      <w:r w:rsidR="00B54556" w:rsidRPr="005E1802">
        <w:rPr>
          <w:rFonts w:ascii="Times New Roman" w:hAnsi="Times New Roman"/>
        </w:rPr>
        <w:t xml:space="preserve"> arrived at that result</w:t>
      </w:r>
      <w:r w:rsidR="00D23AF6" w:rsidRPr="005E1802">
        <w:rPr>
          <w:rFonts w:ascii="Times New Roman" w:hAnsi="Times New Roman"/>
        </w:rPr>
        <w:t xml:space="preserve"> </w:t>
      </w:r>
      <w:r w:rsidR="004A6E21" w:rsidRPr="005E1802">
        <w:rPr>
          <w:rFonts w:ascii="Times New Roman" w:hAnsi="Times New Roman"/>
        </w:rPr>
        <w:t>with</w:t>
      </w:r>
      <w:r w:rsidR="00EA72E9" w:rsidRPr="005E1802">
        <w:rPr>
          <w:rFonts w:ascii="Times New Roman" w:hAnsi="Times New Roman"/>
        </w:rPr>
        <w:t xml:space="preserve"> </w:t>
      </w:r>
      <w:r w:rsidR="00BA08B2" w:rsidRPr="005E1802">
        <w:rPr>
          <w:rFonts w:ascii="Times New Roman" w:hAnsi="Times New Roman"/>
        </w:rPr>
        <w:t xml:space="preserve">evident </w:t>
      </w:r>
      <w:r w:rsidR="00EA72E9" w:rsidRPr="005E1802">
        <w:rPr>
          <w:rFonts w:ascii="Times New Roman" w:hAnsi="Times New Roman"/>
        </w:rPr>
        <w:t>reluctance</w:t>
      </w:r>
      <w:r w:rsidR="00951EB5" w:rsidRPr="005E1802">
        <w:rPr>
          <w:rFonts w:ascii="Times New Roman" w:hAnsi="Times New Roman"/>
        </w:rPr>
        <w:t xml:space="preserve">. </w:t>
      </w:r>
      <w:r w:rsidR="008F1E8F" w:rsidRPr="005E1802">
        <w:rPr>
          <w:rFonts w:ascii="Times New Roman" w:hAnsi="Times New Roman"/>
        </w:rPr>
        <w:t>Echoing</w:t>
      </w:r>
      <w:r w:rsidR="009D5DC0" w:rsidRPr="005E1802">
        <w:rPr>
          <w:rFonts w:ascii="Times New Roman" w:hAnsi="Times New Roman"/>
        </w:rPr>
        <w:t xml:space="preserve"> </w:t>
      </w:r>
      <w:r w:rsidR="008F1E8F" w:rsidRPr="005E1802">
        <w:rPr>
          <w:rFonts w:ascii="Times New Roman" w:hAnsi="Times New Roman"/>
        </w:rPr>
        <w:t>c</w:t>
      </w:r>
      <w:r w:rsidR="00C12C60" w:rsidRPr="005E1802">
        <w:rPr>
          <w:rFonts w:ascii="Times New Roman" w:hAnsi="Times New Roman"/>
        </w:rPr>
        <w:t xml:space="preserve">oncerns </w:t>
      </w:r>
      <w:r w:rsidR="00AB55DD" w:rsidRPr="005E1802">
        <w:rPr>
          <w:rFonts w:ascii="Times New Roman" w:hAnsi="Times New Roman"/>
        </w:rPr>
        <w:t xml:space="preserve">she had </w:t>
      </w:r>
      <w:r w:rsidR="00EC6127" w:rsidRPr="005E1802">
        <w:rPr>
          <w:rFonts w:ascii="Times New Roman" w:hAnsi="Times New Roman"/>
        </w:rPr>
        <w:t xml:space="preserve">already </w:t>
      </w:r>
      <w:r w:rsidR="00433004" w:rsidRPr="005E1802">
        <w:rPr>
          <w:rFonts w:ascii="Times New Roman" w:hAnsi="Times New Roman"/>
        </w:rPr>
        <w:t>raised</w:t>
      </w:r>
      <w:r w:rsidR="00EC6127" w:rsidRPr="005E1802">
        <w:rPr>
          <w:rStyle w:val="FootnoteReference"/>
          <w:rFonts w:ascii="Times New Roman" w:hAnsi="Times New Roman"/>
          <w:sz w:val="24"/>
        </w:rPr>
        <w:footnoteReference w:id="11"/>
      </w:r>
      <w:r w:rsidR="00433004" w:rsidRPr="005E1802">
        <w:rPr>
          <w:rFonts w:ascii="Times New Roman" w:hAnsi="Times New Roman"/>
        </w:rPr>
        <w:t xml:space="preserve"> </w:t>
      </w:r>
      <w:r w:rsidR="00EC6127" w:rsidRPr="005E1802">
        <w:rPr>
          <w:rFonts w:ascii="Times New Roman" w:hAnsi="Times New Roman"/>
        </w:rPr>
        <w:t>and was later to r</w:t>
      </w:r>
      <w:r w:rsidR="0013557F" w:rsidRPr="005E1802">
        <w:rPr>
          <w:rFonts w:ascii="Times New Roman" w:hAnsi="Times New Roman"/>
        </w:rPr>
        <w:t>epeat</w:t>
      </w:r>
      <w:r w:rsidR="00EC6127" w:rsidRPr="005E1802">
        <w:rPr>
          <w:rStyle w:val="FootnoteReference"/>
          <w:rFonts w:ascii="Times New Roman" w:hAnsi="Times New Roman"/>
          <w:sz w:val="24"/>
        </w:rPr>
        <w:footnoteReference w:id="12"/>
      </w:r>
      <w:r w:rsidR="00EC6127" w:rsidRPr="005E1802">
        <w:rPr>
          <w:rFonts w:ascii="Times New Roman" w:hAnsi="Times New Roman"/>
        </w:rPr>
        <w:t xml:space="preserve"> </w:t>
      </w:r>
      <w:r w:rsidR="00AD1414" w:rsidRPr="005E1802">
        <w:rPr>
          <w:rFonts w:ascii="Times New Roman" w:hAnsi="Times New Roman"/>
        </w:rPr>
        <w:t xml:space="preserve">about </w:t>
      </w:r>
      <w:r w:rsidR="001E25D3" w:rsidRPr="005E1802">
        <w:rPr>
          <w:rFonts w:ascii="Times New Roman" w:hAnsi="Times New Roman"/>
        </w:rPr>
        <w:t xml:space="preserve">the need to find </w:t>
      </w:r>
      <w:r w:rsidR="00AD1414" w:rsidRPr="005E1802">
        <w:rPr>
          <w:rFonts w:ascii="Times New Roman" w:hAnsi="Times New Roman"/>
        </w:rPr>
        <w:t xml:space="preserve">materiality </w:t>
      </w:r>
      <w:r w:rsidR="00366353" w:rsidRPr="005E1802">
        <w:rPr>
          <w:rFonts w:ascii="Times New Roman" w:hAnsi="Times New Roman"/>
        </w:rPr>
        <w:t xml:space="preserve">at all in order </w:t>
      </w:r>
      <w:r w:rsidR="001E25D3" w:rsidRPr="005E1802">
        <w:rPr>
          <w:rFonts w:ascii="Times New Roman" w:hAnsi="Times New Roman"/>
        </w:rPr>
        <w:t>to establish</w:t>
      </w:r>
      <w:r w:rsidR="00AD1414" w:rsidRPr="005E1802">
        <w:rPr>
          <w:rFonts w:ascii="Times New Roman" w:hAnsi="Times New Roman"/>
        </w:rPr>
        <w:t xml:space="preserve"> jurisdictional error </w:t>
      </w:r>
      <w:r w:rsidR="00681827" w:rsidRPr="005E1802">
        <w:rPr>
          <w:rFonts w:ascii="Times New Roman" w:hAnsi="Times New Roman"/>
        </w:rPr>
        <w:t xml:space="preserve">where </w:t>
      </w:r>
      <w:r w:rsidR="00896AED" w:rsidRPr="005E1802">
        <w:rPr>
          <w:rFonts w:ascii="Times New Roman" w:hAnsi="Times New Roman"/>
        </w:rPr>
        <w:t xml:space="preserve">a </w:t>
      </w:r>
      <w:r w:rsidR="001E25D3" w:rsidRPr="005E1802">
        <w:rPr>
          <w:rFonts w:ascii="Times New Roman" w:hAnsi="Times New Roman"/>
        </w:rPr>
        <w:t xml:space="preserve">breach </w:t>
      </w:r>
      <w:r w:rsidR="002121D9" w:rsidRPr="005E1802">
        <w:rPr>
          <w:rFonts w:ascii="Times New Roman" w:hAnsi="Times New Roman"/>
        </w:rPr>
        <w:t xml:space="preserve">of </w:t>
      </w:r>
      <w:r w:rsidR="001E25D3" w:rsidRPr="005E1802">
        <w:rPr>
          <w:rFonts w:ascii="Times New Roman" w:hAnsi="Times New Roman"/>
        </w:rPr>
        <w:t>a condition of procedural fairness</w:t>
      </w:r>
      <w:r w:rsidR="00896AED" w:rsidRPr="005E1802">
        <w:rPr>
          <w:rFonts w:ascii="Times New Roman" w:hAnsi="Times New Roman"/>
        </w:rPr>
        <w:t xml:space="preserve"> has been found</w:t>
      </w:r>
      <w:r w:rsidR="00951EB5" w:rsidRPr="005E1802">
        <w:rPr>
          <w:rFonts w:ascii="Times New Roman" w:hAnsi="Times New Roman"/>
        </w:rPr>
        <w:t xml:space="preserve">, </w:t>
      </w:r>
      <w:r w:rsidR="006A7C0B" w:rsidRPr="005E1802">
        <w:rPr>
          <w:rFonts w:ascii="Times New Roman" w:hAnsi="Times New Roman"/>
        </w:rPr>
        <w:t>her Honour</w:t>
      </w:r>
      <w:r w:rsidR="005E23CA" w:rsidRPr="005E1802">
        <w:rPr>
          <w:rFonts w:ascii="Times New Roman" w:hAnsi="Times New Roman"/>
        </w:rPr>
        <w:t xml:space="preserve"> </w:t>
      </w:r>
      <w:r w:rsidR="00951EB5" w:rsidRPr="005E1802">
        <w:rPr>
          <w:rFonts w:ascii="Times New Roman" w:hAnsi="Times New Roman"/>
        </w:rPr>
        <w:t>describe</w:t>
      </w:r>
      <w:r w:rsidR="00654A95" w:rsidRPr="005E1802">
        <w:rPr>
          <w:rFonts w:ascii="Times New Roman" w:hAnsi="Times New Roman"/>
        </w:rPr>
        <w:t>d</w:t>
      </w:r>
      <w:r w:rsidR="00951EB5" w:rsidRPr="005E1802">
        <w:rPr>
          <w:rFonts w:ascii="Times New Roman" w:hAnsi="Times New Roman"/>
        </w:rPr>
        <w:t xml:space="preserve"> </w:t>
      </w:r>
      <w:r w:rsidR="00AD239C" w:rsidRPr="005E1802">
        <w:rPr>
          <w:rFonts w:ascii="Times New Roman" w:hAnsi="Times New Roman"/>
        </w:rPr>
        <w:t xml:space="preserve">the explanation of materiality in </w:t>
      </w:r>
      <w:r w:rsidR="00AD239C" w:rsidRPr="005E1802">
        <w:rPr>
          <w:rFonts w:ascii="Times New Roman" w:hAnsi="Times New Roman"/>
          <w:i/>
        </w:rPr>
        <w:t xml:space="preserve">SZMTA </w:t>
      </w:r>
      <w:r w:rsidR="002C1A81" w:rsidRPr="005E1802">
        <w:rPr>
          <w:rFonts w:ascii="Times New Roman" w:hAnsi="Times New Roman"/>
        </w:rPr>
        <w:t xml:space="preserve">as "difficult to understand and apply" and described </w:t>
      </w:r>
      <w:r w:rsidR="00E051C5" w:rsidRPr="005E1802">
        <w:rPr>
          <w:rFonts w:ascii="Times New Roman" w:hAnsi="Times New Roman"/>
        </w:rPr>
        <w:t xml:space="preserve">the </w:t>
      </w:r>
      <w:r w:rsidR="00E051C5" w:rsidRPr="005E1802">
        <w:rPr>
          <w:rFonts w:ascii="Times New Roman" w:hAnsi="Times New Roman"/>
        </w:rPr>
        <w:lastRenderedPageBreak/>
        <w:t xml:space="preserve">process of reasoning </w:t>
      </w:r>
      <w:r w:rsidR="00FB34F8" w:rsidRPr="005E1802">
        <w:rPr>
          <w:rFonts w:ascii="Times New Roman" w:hAnsi="Times New Roman"/>
        </w:rPr>
        <w:t xml:space="preserve">required to </w:t>
      </w:r>
      <w:r w:rsidR="00D3425C" w:rsidRPr="005E1802">
        <w:rPr>
          <w:rFonts w:ascii="Times New Roman" w:hAnsi="Times New Roman"/>
        </w:rPr>
        <w:t>find</w:t>
      </w:r>
      <w:r w:rsidR="00FB34F8" w:rsidRPr="005E1802">
        <w:rPr>
          <w:rFonts w:ascii="Times New Roman" w:hAnsi="Times New Roman"/>
        </w:rPr>
        <w:t xml:space="preserve"> materiality </w:t>
      </w:r>
      <w:r w:rsidR="00E051C5" w:rsidRPr="005E1802">
        <w:rPr>
          <w:rFonts w:ascii="Times New Roman" w:hAnsi="Times New Roman"/>
        </w:rPr>
        <w:t xml:space="preserve">as </w:t>
      </w:r>
      <w:r w:rsidR="00127190" w:rsidRPr="005E1802">
        <w:rPr>
          <w:rFonts w:ascii="Times New Roman" w:hAnsi="Times New Roman"/>
        </w:rPr>
        <w:t>"convoluted" and "confusing"</w:t>
      </w:r>
      <w:r w:rsidR="00BB2E90" w:rsidRPr="005E1802">
        <w:rPr>
          <w:rStyle w:val="FootnoteReference"/>
          <w:rFonts w:ascii="Times New Roman" w:hAnsi="Times New Roman"/>
          <w:sz w:val="24"/>
        </w:rPr>
        <w:footnoteReference w:id="13"/>
      </w:r>
      <w:r w:rsidR="00127190" w:rsidRPr="005E1802">
        <w:rPr>
          <w:rFonts w:ascii="Times New Roman" w:hAnsi="Times New Roman"/>
        </w:rPr>
        <w:t>.</w:t>
      </w:r>
      <w:r w:rsidR="00904C3A" w:rsidRPr="005E1802">
        <w:rPr>
          <w:rFonts w:ascii="Times New Roman" w:hAnsi="Times New Roman"/>
        </w:rPr>
        <w:t xml:space="preserve"> To </w:t>
      </w:r>
      <w:r w:rsidR="00602370" w:rsidRPr="005E1802">
        <w:rPr>
          <w:rFonts w:ascii="Times New Roman" w:hAnsi="Times New Roman"/>
        </w:rPr>
        <w:t xml:space="preserve">an </w:t>
      </w:r>
      <w:r w:rsidR="00904C3A" w:rsidRPr="005E1802">
        <w:rPr>
          <w:rFonts w:ascii="Times New Roman" w:hAnsi="Times New Roman"/>
        </w:rPr>
        <w:t>aspect of her Honou</w:t>
      </w:r>
      <w:r w:rsidR="00083FF6" w:rsidRPr="005E1802">
        <w:rPr>
          <w:rFonts w:ascii="Times New Roman" w:hAnsi="Times New Roman"/>
        </w:rPr>
        <w:t>r</w:t>
      </w:r>
      <w:r w:rsidR="00904C3A" w:rsidRPr="005E1802">
        <w:rPr>
          <w:rFonts w:ascii="Times New Roman" w:hAnsi="Times New Roman"/>
        </w:rPr>
        <w:t>'s c</w:t>
      </w:r>
      <w:r w:rsidR="00741D09" w:rsidRPr="005E1802">
        <w:rPr>
          <w:rFonts w:ascii="Times New Roman" w:hAnsi="Times New Roman"/>
        </w:rPr>
        <w:t>riti</w:t>
      </w:r>
      <w:r w:rsidR="005D6030" w:rsidRPr="005E1802">
        <w:rPr>
          <w:rFonts w:ascii="Times New Roman" w:hAnsi="Times New Roman"/>
        </w:rPr>
        <w:t>cism</w:t>
      </w:r>
      <w:r w:rsidR="00904C3A" w:rsidRPr="005E1802">
        <w:rPr>
          <w:rFonts w:ascii="Times New Roman" w:hAnsi="Times New Roman"/>
        </w:rPr>
        <w:t xml:space="preserve"> it will be necessary to </w:t>
      </w:r>
      <w:r w:rsidR="00083FF6" w:rsidRPr="005E1802">
        <w:rPr>
          <w:rFonts w:ascii="Times New Roman" w:hAnsi="Times New Roman"/>
        </w:rPr>
        <w:t>return.</w:t>
      </w:r>
    </w:p>
    <w:p w14:paraId="4908BC6C" w14:textId="2260A870" w:rsidR="005052CF" w:rsidRPr="005E1802" w:rsidRDefault="005052CF" w:rsidP="005E1802">
      <w:pPr>
        <w:pStyle w:val="HeadingL1"/>
        <w:spacing w:after="260" w:line="280" w:lineRule="exact"/>
        <w:ind w:right="0"/>
        <w:jc w:val="both"/>
        <w:rPr>
          <w:rFonts w:ascii="Times New Roman" w:hAnsi="Times New Roman"/>
        </w:rPr>
      </w:pPr>
      <w:r w:rsidRPr="005E1802">
        <w:rPr>
          <w:rFonts w:ascii="Times New Roman" w:hAnsi="Times New Roman"/>
        </w:rPr>
        <w:t>Appeal to this Court</w:t>
      </w:r>
    </w:p>
    <w:p w14:paraId="3F40B86E" w14:textId="4C184B1D" w:rsidR="009106EF" w:rsidRPr="005E1802" w:rsidRDefault="005052CF"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FD2260" w:rsidRPr="005E1802">
        <w:rPr>
          <w:rFonts w:ascii="Times New Roman" w:hAnsi="Times New Roman"/>
        </w:rPr>
        <w:t>I</w:t>
      </w:r>
      <w:r w:rsidR="00D8067F" w:rsidRPr="005E1802">
        <w:rPr>
          <w:rFonts w:ascii="Times New Roman" w:hAnsi="Times New Roman"/>
        </w:rPr>
        <w:t xml:space="preserve">n </w:t>
      </w:r>
      <w:r w:rsidR="00386307" w:rsidRPr="005E1802">
        <w:rPr>
          <w:rFonts w:ascii="Times New Roman" w:hAnsi="Times New Roman"/>
        </w:rPr>
        <w:t xml:space="preserve">his appeal by special leave to </w:t>
      </w:r>
      <w:r w:rsidR="00D8067F" w:rsidRPr="005E1802">
        <w:rPr>
          <w:rFonts w:ascii="Times New Roman" w:hAnsi="Times New Roman"/>
        </w:rPr>
        <w:t>this Court</w:t>
      </w:r>
      <w:r w:rsidR="00FD2260" w:rsidRPr="005E1802">
        <w:rPr>
          <w:rFonts w:ascii="Times New Roman" w:hAnsi="Times New Roman"/>
        </w:rPr>
        <w:t xml:space="preserve">, the appellant </w:t>
      </w:r>
      <w:r w:rsidR="00FD19FA" w:rsidRPr="005E1802">
        <w:rPr>
          <w:rFonts w:ascii="Times New Roman" w:hAnsi="Times New Roman"/>
        </w:rPr>
        <w:t xml:space="preserve">does not </w:t>
      </w:r>
      <w:r w:rsidR="004130C5" w:rsidRPr="005E1802">
        <w:rPr>
          <w:rFonts w:ascii="Times New Roman" w:hAnsi="Times New Roman"/>
        </w:rPr>
        <w:t xml:space="preserve">go so far as to </w:t>
      </w:r>
      <w:r w:rsidR="00FD19FA" w:rsidRPr="005E1802">
        <w:rPr>
          <w:rFonts w:ascii="Times New Roman" w:hAnsi="Times New Roman"/>
        </w:rPr>
        <w:t xml:space="preserve">challenge the need to find materiality </w:t>
      </w:r>
      <w:r w:rsidR="005F7E14" w:rsidRPr="005E1802">
        <w:rPr>
          <w:rFonts w:ascii="Times New Roman" w:hAnsi="Times New Roman"/>
        </w:rPr>
        <w:t xml:space="preserve">at all </w:t>
      </w:r>
      <w:r w:rsidR="00FD19FA" w:rsidRPr="005E1802">
        <w:rPr>
          <w:rFonts w:ascii="Times New Roman" w:hAnsi="Times New Roman"/>
        </w:rPr>
        <w:t xml:space="preserve">in order to </w:t>
      </w:r>
      <w:r w:rsidR="00B5123E" w:rsidRPr="005E1802">
        <w:rPr>
          <w:rFonts w:ascii="Times New Roman" w:hAnsi="Times New Roman"/>
        </w:rPr>
        <w:t>determine</w:t>
      </w:r>
      <w:r w:rsidR="00FD19FA" w:rsidRPr="005E1802">
        <w:rPr>
          <w:rFonts w:ascii="Times New Roman" w:hAnsi="Times New Roman"/>
        </w:rPr>
        <w:t xml:space="preserve"> </w:t>
      </w:r>
      <w:r w:rsidR="00841B04" w:rsidRPr="005E1802">
        <w:rPr>
          <w:rFonts w:ascii="Times New Roman" w:hAnsi="Times New Roman"/>
        </w:rPr>
        <w:t xml:space="preserve">that </w:t>
      </w:r>
      <w:r w:rsidR="00854F3F" w:rsidRPr="005E1802">
        <w:rPr>
          <w:rFonts w:ascii="Times New Roman" w:hAnsi="Times New Roman"/>
        </w:rPr>
        <w:t xml:space="preserve">a </w:t>
      </w:r>
      <w:r w:rsidR="00841B04" w:rsidRPr="005E1802">
        <w:rPr>
          <w:rFonts w:ascii="Times New Roman" w:hAnsi="Times New Roman"/>
        </w:rPr>
        <w:t>breach of a</w:t>
      </w:r>
      <w:r w:rsidR="00854F3F" w:rsidRPr="005E1802">
        <w:rPr>
          <w:rFonts w:ascii="Times New Roman" w:hAnsi="Times New Roman"/>
        </w:rPr>
        <w:t>n implied</w:t>
      </w:r>
      <w:r w:rsidR="00841B04" w:rsidRPr="005E1802">
        <w:rPr>
          <w:rFonts w:ascii="Times New Roman" w:hAnsi="Times New Roman"/>
        </w:rPr>
        <w:t xml:space="preserve"> condition of procedural fairness has resulted in </w:t>
      </w:r>
      <w:r w:rsidR="00FD19FA" w:rsidRPr="005E1802">
        <w:rPr>
          <w:rFonts w:ascii="Times New Roman" w:hAnsi="Times New Roman"/>
        </w:rPr>
        <w:t>jurisdictional error</w:t>
      </w:r>
      <w:r w:rsidR="009106EF" w:rsidRPr="005E1802">
        <w:rPr>
          <w:rFonts w:ascii="Times New Roman" w:hAnsi="Times New Roman"/>
        </w:rPr>
        <w:t xml:space="preserve">. </w:t>
      </w:r>
      <w:r w:rsidR="00C24663" w:rsidRPr="005E1802">
        <w:rPr>
          <w:rFonts w:ascii="Times New Roman" w:hAnsi="Times New Roman"/>
        </w:rPr>
        <w:t xml:space="preserve">He confines his attention to the content </w:t>
      </w:r>
      <w:r w:rsidR="005F7E14" w:rsidRPr="005E1802">
        <w:rPr>
          <w:rFonts w:ascii="Times New Roman" w:hAnsi="Times New Roman"/>
        </w:rPr>
        <w:t xml:space="preserve">of materiality </w:t>
      </w:r>
      <w:r w:rsidR="00C24663" w:rsidRPr="005E1802">
        <w:rPr>
          <w:rFonts w:ascii="Times New Roman" w:hAnsi="Times New Roman"/>
        </w:rPr>
        <w:t xml:space="preserve">and </w:t>
      </w:r>
      <w:r w:rsidR="005F7E14" w:rsidRPr="005E1802">
        <w:rPr>
          <w:rFonts w:ascii="Times New Roman" w:hAnsi="Times New Roman"/>
        </w:rPr>
        <w:t xml:space="preserve">its </w:t>
      </w:r>
      <w:r w:rsidR="00C24663" w:rsidRPr="005E1802">
        <w:rPr>
          <w:rFonts w:ascii="Times New Roman" w:hAnsi="Times New Roman"/>
        </w:rPr>
        <w:t>proof.</w:t>
      </w:r>
    </w:p>
    <w:p w14:paraId="6E4DFB32" w14:textId="532FE74C" w:rsidR="006C2253" w:rsidRPr="005E1802" w:rsidRDefault="009106EF"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042974" w:rsidRPr="005E1802">
        <w:rPr>
          <w:rFonts w:ascii="Times New Roman" w:hAnsi="Times New Roman"/>
        </w:rPr>
        <w:t>By his principal ground of appeal, t</w:t>
      </w:r>
      <w:r w:rsidR="00B45940" w:rsidRPr="005E1802">
        <w:rPr>
          <w:rFonts w:ascii="Times New Roman" w:hAnsi="Times New Roman"/>
        </w:rPr>
        <w:t xml:space="preserve">he appellant </w:t>
      </w:r>
      <w:r w:rsidR="00FD2260" w:rsidRPr="005E1802">
        <w:rPr>
          <w:rFonts w:ascii="Times New Roman" w:hAnsi="Times New Roman"/>
        </w:rPr>
        <w:t xml:space="preserve">disputes </w:t>
      </w:r>
      <w:r w:rsidR="006E66F2" w:rsidRPr="005E1802">
        <w:rPr>
          <w:rFonts w:ascii="Times New Roman" w:hAnsi="Times New Roman"/>
        </w:rPr>
        <w:t>th</w:t>
      </w:r>
      <w:r w:rsidR="006D46CF" w:rsidRPr="005E1802">
        <w:rPr>
          <w:rFonts w:ascii="Times New Roman" w:hAnsi="Times New Roman"/>
        </w:rPr>
        <w:t xml:space="preserve">at he </w:t>
      </w:r>
      <w:r w:rsidR="00DD0F64" w:rsidRPr="005E1802">
        <w:rPr>
          <w:rFonts w:ascii="Times New Roman" w:hAnsi="Times New Roman"/>
        </w:rPr>
        <w:t xml:space="preserve">needed </w:t>
      </w:r>
      <w:r w:rsidR="00F246DE" w:rsidRPr="005E1802">
        <w:rPr>
          <w:rFonts w:ascii="Times New Roman" w:hAnsi="Times New Roman"/>
        </w:rPr>
        <w:t xml:space="preserve">to </w:t>
      </w:r>
      <w:r w:rsidR="00DD0F64" w:rsidRPr="005E1802">
        <w:rPr>
          <w:rFonts w:ascii="Times New Roman" w:hAnsi="Times New Roman"/>
        </w:rPr>
        <w:t>prove</w:t>
      </w:r>
      <w:r w:rsidR="00316B03" w:rsidRPr="005E1802">
        <w:rPr>
          <w:rFonts w:ascii="Times New Roman" w:hAnsi="Times New Roman"/>
        </w:rPr>
        <w:t xml:space="preserve"> that the </w:t>
      </w:r>
      <w:r w:rsidR="00FE5F5D" w:rsidRPr="005E1802">
        <w:rPr>
          <w:rFonts w:ascii="Times New Roman" w:hAnsi="Times New Roman"/>
        </w:rPr>
        <w:t>T</w:t>
      </w:r>
      <w:r w:rsidR="001604EA" w:rsidRPr="005E1802">
        <w:rPr>
          <w:rFonts w:ascii="Times New Roman" w:hAnsi="Times New Roman"/>
        </w:rPr>
        <w:t>ribunal</w:t>
      </w:r>
      <w:r w:rsidR="00316B03" w:rsidRPr="005E1802">
        <w:rPr>
          <w:rFonts w:ascii="Times New Roman" w:hAnsi="Times New Roman"/>
        </w:rPr>
        <w:t xml:space="preserve"> in fact t</w:t>
      </w:r>
      <w:r w:rsidR="00CB06FB" w:rsidRPr="005E1802">
        <w:rPr>
          <w:rFonts w:ascii="Times New Roman" w:hAnsi="Times New Roman"/>
        </w:rPr>
        <w:t>ook</w:t>
      </w:r>
      <w:r w:rsidR="00316B03" w:rsidRPr="005E1802">
        <w:rPr>
          <w:rFonts w:ascii="Times New Roman" w:hAnsi="Times New Roman"/>
        </w:rPr>
        <w:t xml:space="preserve"> information covered by the notification into account in making the decision</w:t>
      </w:r>
      <w:r w:rsidR="00DC7DDB" w:rsidRPr="005E1802">
        <w:rPr>
          <w:rFonts w:ascii="Times New Roman" w:hAnsi="Times New Roman"/>
        </w:rPr>
        <w:t xml:space="preserve"> </w:t>
      </w:r>
      <w:r w:rsidR="00044299" w:rsidRPr="005E1802">
        <w:rPr>
          <w:rFonts w:ascii="Times New Roman" w:hAnsi="Times New Roman"/>
        </w:rPr>
        <w:t>in order to</w:t>
      </w:r>
      <w:r w:rsidR="00C37F54" w:rsidRPr="005E1802">
        <w:rPr>
          <w:rFonts w:ascii="Times New Roman" w:hAnsi="Times New Roman"/>
        </w:rPr>
        <w:t xml:space="preserve"> </w:t>
      </w:r>
      <w:r w:rsidR="00044299" w:rsidRPr="005E1802">
        <w:rPr>
          <w:rFonts w:ascii="Times New Roman" w:hAnsi="Times New Roman"/>
        </w:rPr>
        <w:t>establish</w:t>
      </w:r>
      <w:r w:rsidR="00EB2D5C" w:rsidRPr="005E1802">
        <w:rPr>
          <w:rFonts w:ascii="Times New Roman" w:hAnsi="Times New Roman"/>
        </w:rPr>
        <w:t xml:space="preserve"> </w:t>
      </w:r>
      <w:r w:rsidR="00B23DBC" w:rsidRPr="005E1802">
        <w:rPr>
          <w:rFonts w:ascii="Times New Roman" w:hAnsi="Times New Roman"/>
        </w:rPr>
        <w:t xml:space="preserve">that </w:t>
      </w:r>
      <w:r w:rsidR="00F246DE" w:rsidRPr="005E1802">
        <w:rPr>
          <w:rFonts w:ascii="Times New Roman" w:hAnsi="Times New Roman"/>
        </w:rPr>
        <w:t>the</w:t>
      </w:r>
      <w:r w:rsidR="00EB2D5C" w:rsidRPr="005E1802">
        <w:rPr>
          <w:rFonts w:ascii="Times New Roman" w:hAnsi="Times New Roman"/>
        </w:rPr>
        <w:t xml:space="preserve"> failure to disclose the notification</w:t>
      </w:r>
      <w:r w:rsidR="00F246DE" w:rsidRPr="005E1802">
        <w:rPr>
          <w:rFonts w:ascii="Times New Roman" w:hAnsi="Times New Roman"/>
        </w:rPr>
        <w:t xml:space="preserve"> was material</w:t>
      </w:r>
      <w:r w:rsidR="004130C5" w:rsidRPr="005E1802">
        <w:rPr>
          <w:rFonts w:ascii="Times New Roman" w:hAnsi="Times New Roman"/>
        </w:rPr>
        <w:t xml:space="preserve"> to the decision</w:t>
      </w:r>
      <w:r w:rsidR="00044299" w:rsidRPr="005E1802">
        <w:rPr>
          <w:rFonts w:ascii="Times New Roman" w:hAnsi="Times New Roman"/>
        </w:rPr>
        <w:t xml:space="preserve">. </w:t>
      </w:r>
      <w:r w:rsidR="00B45940" w:rsidRPr="005E1802">
        <w:rPr>
          <w:rFonts w:ascii="Times New Roman" w:hAnsi="Times New Roman"/>
        </w:rPr>
        <w:t>He</w:t>
      </w:r>
      <w:r w:rsidR="00314A28" w:rsidRPr="005E1802">
        <w:rPr>
          <w:rFonts w:ascii="Times New Roman" w:hAnsi="Times New Roman"/>
        </w:rPr>
        <w:t xml:space="preserve"> argues that</w:t>
      </w:r>
      <w:r w:rsidR="008B6E01" w:rsidRPr="005E1802">
        <w:rPr>
          <w:rFonts w:ascii="Times New Roman" w:hAnsi="Times New Roman"/>
        </w:rPr>
        <w:t xml:space="preserve"> the explanation of materiality in</w:t>
      </w:r>
      <w:r w:rsidR="00314A28" w:rsidRPr="005E1802">
        <w:rPr>
          <w:rFonts w:ascii="Times New Roman" w:hAnsi="Times New Roman"/>
        </w:rPr>
        <w:t xml:space="preserve"> </w:t>
      </w:r>
      <w:r w:rsidR="00314A28" w:rsidRPr="005E1802">
        <w:rPr>
          <w:rFonts w:ascii="Times New Roman" w:hAnsi="Times New Roman"/>
          <w:i/>
        </w:rPr>
        <w:t>SZMTA</w:t>
      </w:r>
      <w:r w:rsidR="002E3B40" w:rsidRPr="005E1802">
        <w:rPr>
          <w:rFonts w:ascii="Times New Roman" w:hAnsi="Times New Roman"/>
        </w:rPr>
        <w:t xml:space="preserve"> </w:t>
      </w:r>
      <w:r w:rsidR="000F334F" w:rsidRPr="005E1802">
        <w:rPr>
          <w:rFonts w:ascii="Times New Roman" w:hAnsi="Times New Roman"/>
        </w:rPr>
        <w:t>properly understood</w:t>
      </w:r>
      <w:r w:rsidR="00EB2D5C" w:rsidRPr="005E1802">
        <w:rPr>
          <w:rFonts w:ascii="Times New Roman" w:hAnsi="Times New Roman"/>
        </w:rPr>
        <w:t xml:space="preserve"> </w:t>
      </w:r>
      <w:r w:rsidR="002F1339" w:rsidRPr="005E1802">
        <w:rPr>
          <w:rFonts w:ascii="Times New Roman" w:hAnsi="Times New Roman"/>
        </w:rPr>
        <w:t>demand</w:t>
      </w:r>
      <w:r w:rsidR="00EB2D5C" w:rsidRPr="005E1802">
        <w:rPr>
          <w:rFonts w:ascii="Times New Roman" w:hAnsi="Times New Roman"/>
        </w:rPr>
        <w:t>ed</w:t>
      </w:r>
      <w:r w:rsidR="000F334F" w:rsidRPr="005E1802">
        <w:rPr>
          <w:rFonts w:ascii="Times New Roman" w:hAnsi="Times New Roman"/>
        </w:rPr>
        <w:t xml:space="preserve"> no more </w:t>
      </w:r>
      <w:r w:rsidR="00632F45" w:rsidRPr="005E1802">
        <w:rPr>
          <w:rFonts w:ascii="Times New Roman" w:hAnsi="Times New Roman"/>
        </w:rPr>
        <w:t>of him</w:t>
      </w:r>
      <w:r w:rsidR="0001010B" w:rsidRPr="005E1802">
        <w:rPr>
          <w:rFonts w:ascii="Times New Roman" w:hAnsi="Times New Roman"/>
        </w:rPr>
        <w:t xml:space="preserve"> </w:t>
      </w:r>
      <w:r w:rsidR="000F334F" w:rsidRPr="005E1802">
        <w:rPr>
          <w:rFonts w:ascii="Times New Roman" w:hAnsi="Times New Roman"/>
        </w:rPr>
        <w:t>than</w:t>
      </w:r>
      <w:r w:rsidR="000A66C7" w:rsidRPr="005E1802">
        <w:rPr>
          <w:rFonts w:ascii="Times New Roman" w:hAnsi="Times New Roman"/>
        </w:rPr>
        <w:t xml:space="preserve"> </w:t>
      </w:r>
      <w:r w:rsidR="00D847BC" w:rsidRPr="005E1802">
        <w:rPr>
          <w:rFonts w:ascii="Times New Roman" w:hAnsi="Times New Roman"/>
        </w:rPr>
        <w:t>that he</w:t>
      </w:r>
      <w:r w:rsidR="002F1339" w:rsidRPr="005E1802">
        <w:rPr>
          <w:rFonts w:ascii="Times New Roman" w:hAnsi="Times New Roman"/>
        </w:rPr>
        <w:t xml:space="preserve"> </w:t>
      </w:r>
      <w:r w:rsidR="008E0BBB" w:rsidRPr="005E1802">
        <w:rPr>
          <w:rFonts w:ascii="Times New Roman" w:hAnsi="Times New Roman"/>
        </w:rPr>
        <w:t xml:space="preserve">demonstrate </w:t>
      </w:r>
      <w:r w:rsidR="00DF6C77" w:rsidRPr="005E1802">
        <w:rPr>
          <w:rFonts w:ascii="Times New Roman" w:hAnsi="Times New Roman"/>
        </w:rPr>
        <w:t xml:space="preserve">by way of reasonable </w:t>
      </w:r>
      <w:r w:rsidR="00C37F54" w:rsidRPr="005E1802">
        <w:rPr>
          <w:rFonts w:ascii="Times New Roman" w:hAnsi="Times New Roman"/>
        </w:rPr>
        <w:t>conjecture</w:t>
      </w:r>
      <w:r w:rsidR="00FE46E3" w:rsidRPr="005E1802">
        <w:rPr>
          <w:rFonts w:ascii="Times New Roman" w:hAnsi="Times New Roman"/>
        </w:rPr>
        <w:t xml:space="preserve"> </w:t>
      </w:r>
      <w:r w:rsidR="00110093" w:rsidRPr="005E1802">
        <w:rPr>
          <w:rFonts w:ascii="Times New Roman" w:hAnsi="Times New Roman"/>
        </w:rPr>
        <w:t>that</w:t>
      </w:r>
      <w:r w:rsidR="00A10F1B" w:rsidRPr="005E1802">
        <w:rPr>
          <w:rFonts w:ascii="Times New Roman" w:hAnsi="Times New Roman"/>
        </w:rPr>
        <w:t xml:space="preserve"> </w:t>
      </w:r>
      <w:r w:rsidR="006658E9" w:rsidRPr="005E1802">
        <w:rPr>
          <w:rFonts w:ascii="Times New Roman" w:hAnsi="Times New Roman"/>
        </w:rPr>
        <w:t xml:space="preserve">the </w:t>
      </w:r>
      <w:r w:rsidR="00FE5F5D" w:rsidRPr="005E1802">
        <w:rPr>
          <w:rFonts w:ascii="Times New Roman" w:hAnsi="Times New Roman"/>
        </w:rPr>
        <w:t>T</w:t>
      </w:r>
      <w:r w:rsidR="00B53335" w:rsidRPr="005E1802">
        <w:rPr>
          <w:rFonts w:ascii="Times New Roman" w:hAnsi="Times New Roman"/>
        </w:rPr>
        <w:t>ribunal</w:t>
      </w:r>
      <w:r w:rsidR="006658E9" w:rsidRPr="005E1802">
        <w:rPr>
          <w:rFonts w:ascii="Times New Roman" w:hAnsi="Times New Roman"/>
        </w:rPr>
        <w:t xml:space="preserve"> could have taken information covered by the notification into account </w:t>
      </w:r>
      <w:r w:rsidR="004C4D84" w:rsidRPr="005E1802">
        <w:rPr>
          <w:rFonts w:ascii="Times New Roman" w:hAnsi="Times New Roman"/>
        </w:rPr>
        <w:t xml:space="preserve">adversely to him </w:t>
      </w:r>
      <w:r w:rsidR="006658E9" w:rsidRPr="005E1802">
        <w:rPr>
          <w:rFonts w:ascii="Times New Roman" w:hAnsi="Times New Roman"/>
        </w:rPr>
        <w:t>in making the decision</w:t>
      </w:r>
      <w:r w:rsidR="00654A05" w:rsidRPr="005E1802">
        <w:rPr>
          <w:rFonts w:ascii="Times New Roman" w:hAnsi="Times New Roman"/>
        </w:rPr>
        <w:t xml:space="preserve"> </w:t>
      </w:r>
      <w:r w:rsidR="000F08A0" w:rsidRPr="005E1802">
        <w:rPr>
          <w:rFonts w:ascii="Times New Roman" w:hAnsi="Times New Roman"/>
        </w:rPr>
        <w:t xml:space="preserve">and </w:t>
      </w:r>
      <w:r w:rsidR="00B54E5E" w:rsidRPr="005E1802">
        <w:rPr>
          <w:rFonts w:ascii="Times New Roman" w:hAnsi="Times New Roman"/>
        </w:rPr>
        <w:t>that</w:t>
      </w:r>
      <w:r w:rsidR="004B3D85" w:rsidRPr="005E1802">
        <w:rPr>
          <w:rFonts w:ascii="Times New Roman" w:hAnsi="Times New Roman"/>
        </w:rPr>
        <w:t xml:space="preserve">, if it </w:t>
      </w:r>
      <w:r w:rsidR="00B54E5E" w:rsidRPr="005E1802">
        <w:rPr>
          <w:rFonts w:ascii="Times New Roman" w:hAnsi="Times New Roman"/>
        </w:rPr>
        <w:t>did</w:t>
      </w:r>
      <w:r w:rsidR="00DA5E7F" w:rsidRPr="005E1802">
        <w:rPr>
          <w:rFonts w:ascii="Times New Roman" w:hAnsi="Times New Roman"/>
        </w:rPr>
        <w:t xml:space="preserve">, </w:t>
      </w:r>
      <w:r w:rsidR="00D84939" w:rsidRPr="005E1802">
        <w:rPr>
          <w:rFonts w:ascii="Times New Roman" w:hAnsi="Times New Roman"/>
        </w:rPr>
        <w:t xml:space="preserve">it could have been persuaded </w:t>
      </w:r>
      <w:r w:rsidR="00E55F26" w:rsidRPr="005E1802">
        <w:rPr>
          <w:rFonts w:ascii="Times New Roman" w:hAnsi="Times New Roman"/>
        </w:rPr>
        <w:t xml:space="preserve">by him to </w:t>
      </w:r>
      <w:r w:rsidR="00D84939" w:rsidRPr="005E1802">
        <w:rPr>
          <w:rFonts w:ascii="Times New Roman" w:hAnsi="Times New Roman"/>
        </w:rPr>
        <w:t xml:space="preserve">make a different decision </w:t>
      </w:r>
      <w:r w:rsidR="00A00D2D" w:rsidRPr="005E1802">
        <w:rPr>
          <w:rFonts w:ascii="Times New Roman" w:hAnsi="Times New Roman"/>
        </w:rPr>
        <w:t xml:space="preserve">if it </w:t>
      </w:r>
      <w:r w:rsidR="00D418F2" w:rsidRPr="005E1802">
        <w:rPr>
          <w:rFonts w:ascii="Times New Roman" w:hAnsi="Times New Roman"/>
        </w:rPr>
        <w:t>had disclose</w:t>
      </w:r>
      <w:r w:rsidR="00964414" w:rsidRPr="005E1802">
        <w:rPr>
          <w:rFonts w:ascii="Times New Roman" w:hAnsi="Times New Roman"/>
        </w:rPr>
        <w:t>d</w:t>
      </w:r>
      <w:r w:rsidR="00D418F2" w:rsidRPr="005E1802">
        <w:rPr>
          <w:rFonts w:ascii="Times New Roman" w:hAnsi="Times New Roman"/>
        </w:rPr>
        <w:t xml:space="preserve"> the notification</w:t>
      </w:r>
      <w:r w:rsidR="00A34C00" w:rsidRPr="005E1802">
        <w:rPr>
          <w:rFonts w:ascii="Times New Roman" w:hAnsi="Times New Roman"/>
        </w:rPr>
        <w:t xml:space="preserve"> to him</w:t>
      </w:r>
      <w:r w:rsidR="00E6392A" w:rsidRPr="005E1802">
        <w:rPr>
          <w:rFonts w:ascii="Times New Roman" w:hAnsi="Times New Roman"/>
        </w:rPr>
        <w:t xml:space="preserve">. </w:t>
      </w:r>
      <w:r w:rsidR="008734FF" w:rsidRPr="005E1802">
        <w:rPr>
          <w:rFonts w:ascii="Times New Roman" w:hAnsi="Times New Roman"/>
        </w:rPr>
        <w:t xml:space="preserve">He argues that </w:t>
      </w:r>
      <w:r w:rsidR="008845C3" w:rsidRPr="005E1802">
        <w:rPr>
          <w:rFonts w:ascii="Times New Roman" w:hAnsi="Times New Roman"/>
        </w:rPr>
        <w:t>demonstration</w:t>
      </w:r>
      <w:r w:rsidR="003C3B4B" w:rsidRPr="005E1802">
        <w:rPr>
          <w:rFonts w:ascii="Times New Roman" w:hAnsi="Times New Roman"/>
        </w:rPr>
        <w:t xml:space="preserve"> of </w:t>
      </w:r>
      <w:r w:rsidR="008845C3" w:rsidRPr="005E1802">
        <w:rPr>
          <w:rFonts w:ascii="Times New Roman" w:hAnsi="Times New Roman"/>
        </w:rPr>
        <w:t xml:space="preserve">the reasonableness of </w:t>
      </w:r>
      <w:r w:rsidR="003C3B4B" w:rsidRPr="005E1802">
        <w:rPr>
          <w:rFonts w:ascii="Times New Roman" w:hAnsi="Times New Roman"/>
        </w:rPr>
        <w:t>that conjecture cause</w:t>
      </w:r>
      <w:r w:rsidR="00F06D73" w:rsidRPr="005E1802">
        <w:rPr>
          <w:rFonts w:ascii="Times New Roman" w:hAnsi="Times New Roman"/>
        </w:rPr>
        <w:t>d</w:t>
      </w:r>
      <w:r w:rsidR="003C3B4B" w:rsidRPr="005E1802">
        <w:rPr>
          <w:rFonts w:ascii="Times New Roman" w:hAnsi="Times New Roman"/>
        </w:rPr>
        <w:t xml:space="preserve"> the </w:t>
      </w:r>
      <w:r w:rsidR="001B729E" w:rsidRPr="005E1802">
        <w:rPr>
          <w:rFonts w:ascii="Times New Roman" w:hAnsi="Times New Roman"/>
        </w:rPr>
        <w:t xml:space="preserve">onus </w:t>
      </w:r>
      <w:r w:rsidR="008837FF" w:rsidRPr="005E1802">
        <w:rPr>
          <w:rFonts w:ascii="Times New Roman" w:hAnsi="Times New Roman"/>
        </w:rPr>
        <w:t xml:space="preserve">to </w:t>
      </w:r>
      <w:r w:rsidR="00BB23E6" w:rsidRPr="005E1802">
        <w:rPr>
          <w:rFonts w:ascii="Times New Roman" w:hAnsi="Times New Roman"/>
        </w:rPr>
        <w:t>shift to the Minister</w:t>
      </w:r>
      <w:r w:rsidR="004236FD" w:rsidRPr="005E1802">
        <w:rPr>
          <w:rFonts w:ascii="Times New Roman" w:hAnsi="Times New Roman"/>
        </w:rPr>
        <w:t xml:space="preserve">, as the party to the application for judicial review seeking to uphold the </w:t>
      </w:r>
      <w:r w:rsidR="00431418" w:rsidRPr="005E1802">
        <w:rPr>
          <w:rFonts w:ascii="Times New Roman" w:hAnsi="Times New Roman"/>
        </w:rPr>
        <w:t xml:space="preserve">decision of the </w:t>
      </w:r>
      <w:r w:rsidR="00FE5F5D" w:rsidRPr="005E1802">
        <w:rPr>
          <w:rFonts w:ascii="Times New Roman" w:hAnsi="Times New Roman"/>
        </w:rPr>
        <w:t>T</w:t>
      </w:r>
      <w:r w:rsidR="00B53335" w:rsidRPr="005E1802">
        <w:rPr>
          <w:rFonts w:ascii="Times New Roman" w:hAnsi="Times New Roman"/>
        </w:rPr>
        <w:t>ribunal</w:t>
      </w:r>
      <w:r w:rsidR="00431418" w:rsidRPr="005E1802">
        <w:rPr>
          <w:rFonts w:ascii="Times New Roman" w:hAnsi="Times New Roman"/>
        </w:rPr>
        <w:t xml:space="preserve">, </w:t>
      </w:r>
      <w:r w:rsidR="0024773D" w:rsidRPr="005E1802">
        <w:rPr>
          <w:rFonts w:ascii="Times New Roman" w:hAnsi="Times New Roman"/>
        </w:rPr>
        <w:t xml:space="preserve">to prove that disclosure </w:t>
      </w:r>
      <w:r w:rsidR="00C9256A" w:rsidRPr="005E1802">
        <w:rPr>
          <w:rFonts w:ascii="Times New Roman" w:hAnsi="Times New Roman"/>
        </w:rPr>
        <w:t xml:space="preserve">of </w:t>
      </w:r>
      <w:r w:rsidR="0024773D" w:rsidRPr="005E1802">
        <w:rPr>
          <w:rFonts w:ascii="Times New Roman" w:hAnsi="Times New Roman"/>
        </w:rPr>
        <w:t xml:space="preserve">the notification </w:t>
      </w:r>
      <w:r w:rsidR="00AA3EAD" w:rsidRPr="005E1802">
        <w:rPr>
          <w:rFonts w:ascii="Times New Roman" w:hAnsi="Times New Roman"/>
        </w:rPr>
        <w:t>could</w:t>
      </w:r>
      <w:r w:rsidR="002F07D2" w:rsidRPr="005E1802">
        <w:rPr>
          <w:rFonts w:ascii="Times New Roman" w:hAnsi="Times New Roman"/>
        </w:rPr>
        <w:t xml:space="preserve"> not</w:t>
      </w:r>
      <w:r w:rsidR="000F08A0" w:rsidRPr="005E1802">
        <w:rPr>
          <w:rFonts w:ascii="Times New Roman" w:hAnsi="Times New Roman"/>
        </w:rPr>
        <w:t xml:space="preserve"> in fact</w:t>
      </w:r>
      <w:r w:rsidR="0024773D" w:rsidRPr="005E1802">
        <w:rPr>
          <w:rFonts w:ascii="Times New Roman" w:hAnsi="Times New Roman"/>
        </w:rPr>
        <w:t xml:space="preserve"> </w:t>
      </w:r>
      <w:r w:rsidR="002F07D2" w:rsidRPr="005E1802">
        <w:rPr>
          <w:rFonts w:ascii="Times New Roman" w:hAnsi="Times New Roman"/>
        </w:rPr>
        <w:t xml:space="preserve">have resulted in the </w:t>
      </w:r>
      <w:r w:rsidR="00FE5F5D" w:rsidRPr="005E1802">
        <w:rPr>
          <w:rFonts w:ascii="Times New Roman" w:hAnsi="Times New Roman"/>
        </w:rPr>
        <w:t>T</w:t>
      </w:r>
      <w:r w:rsidR="00B53335" w:rsidRPr="005E1802">
        <w:rPr>
          <w:rFonts w:ascii="Times New Roman" w:hAnsi="Times New Roman"/>
        </w:rPr>
        <w:t>ribunal</w:t>
      </w:r>
      <w:r w:rsidR="002F07D2" w:rsidRPr="005E1802">
        <w:rPr>
          <w:rFonts w:ascii="Times New Roman" w:hAnsi="Times New Roman"/>
        </w:rPr>
        <w:t xml:space="preserve"> having made a different decision</w:t>
      </w:r>
      <w:r w:rsidR="00110093" w:rsidRPr="005E1802">
        <w:rPr>
          <w:rFonts w:ascii="Times New Roman" w:hAnsi="Times New Roman"/>
        </w:rPr>
        <w:t>.</w:t>
      </w:r>
      <w:r w:rsidR="003C5E32" w:rsidRPr="005E1802">
        <w:rPr>
          <w:rFonts w:ascii="Times New Roman" w:hAnsi="Times New Roman"/>
        </w:rPr>
        <w:t xml:space="preserve"> </w:t>
      </w:r>
      <w:r w:rsidR="00CC7AC0" w:rsidRPr="005E1802">
        <w:rPr>
          <w:rFonts w:ascii="Times New Roman" w:hAnsi="Times New Roman"/>
        </w:rPr>
        <w:t>He</w:t>
      </w:r>
      <w:r w:rsidR="00F11078" w:rsidRPr="005E1802">
        <w:rPr>
          <w:rFonts w:ascii="Times New Roman" w:hAnsi="Times New Roman"/>
        </w:rPr>
        <w:t xml:space="preserve"> argues that</w:t>
      </w:r>
      <w:r w:rsidR="008B6E01" w:rsidRPr="005E1802">
        <w:rPr>
          <w:rFonts w:ascii="Times New Roman" w:hAnsi="Times New Roman"/>
        </w:rPr>
        <w:t xml:space="preserve"> </w:t>
      </w:r>
      <w:r w:rsidR="008B6E01" w:rsidRPr="005E1802">
        <w:rPr>
          <w:rFonts w:ascii="Times New Roman" w:hAnsi="Times New Roman"/>
          <w:i/>
        </w:rPr>
        <w:t xml:space="preserve">SZMTA </w:t>
      </w:r>
      <w:r w:rsidR="008B6E01" w:rsidRPr="005E1802">
        <w:rPr>
          <w:rFonts w:ascii="Times New Roman" w:hAnsi="Times New Roman"/>
        </w:rPr>
        <w:t>should be re-opened and overruled</w:t>
      </w:r>
      <w:r w:rsidR="00F11078" w:rsidRPr="005E1802">
        <w:rPr>
          <w:rFonts w:ascii="Times New Roman" w:hAnsi="Times New Roman"/>
        </w:rPr>
        <w:t xml:space="preserve"> if</w:t>
      </w:r>
      <w:r w:rsidR="0024773D" w:rsidRPr="005E1802">
        <w:rPr>
          <w:rFonts w:ascii="Times New Roman" w:hAnsi="Times New Roman"/>
        </w:rPr>
        <w:t xml:space="preserve"> that understandin</w:t>
      </w:r>
      <w:r w:rsidR="00E47DF2" w:rsidRPr="005E1802">
        <w:rPr>
          <w:rFonts w:ascii="Times New Roman" w:hAnsi="Times New Roman"/>
        </w:rPr>
        <w:t>g</w:t>
      </w:r>
      <w:r w:rsidR="00A174B3" w:rsidRPr="005E1802">
        <w:rPr>
          <w:rFonts w:ascii="Times New Roman" w:hAnsi="Times New Roman"/>
        </w:rPr>
        <w:t xml:space="preserve"> </w:t>
      </w:r>
      <w:r w:rsidR="00236153" w:rsidRPr="005E1802">
        <w:rPr>
          <w:rFonts w:ascii="Times New Roman" w:hAnsi="Times New Roman"/>
        </w:rPr>
        <w:t xml:space="preserve">of its </w:t>
      </w:r>
      <w:r w:rsidR="00756F1D" w:rsidRPr="005E1802">
        <w:rPr>
          <w:rFonts w:ascii="Times New Roman" w:hAnsi="Times New Roman"/>
        </w:rPr>
        <w:t xml:space="preserve">proper </w:t>
      </w:r>
      <w:r w:rsidR="00236153" w:rsidRPr="005E1802">
        <w:rPr>
          <w:rFonts w:ascii="Times New Roman" w:hAnsi="Times New Roman"/>
        </w:rPr>
        <w:t xml:space="preserve">application </w:t>
      </w:r>
      <w:r w:rsidR="00F11078" w:rsidRPr="005E1802">
        <w:rPr>
          <w:rFonts w:ascii="Times New Roman" w:hAnsi="Times New Roman"/>
        </w:rPr>
        <w:t>is incorrect</w:t>
      </w:r>
      <w:r w:rsidR="00686C5F" w:rsidRPr="005E1802">
        <w:rPr>
          <w:rFonts w:ascii="Times New Roman" w:hAnsi="Times New Roman"/>
        </w:rPr>
        <w:t>.</w:t>
      </w:r>
    </w:p>
    <w:p w14:paraId="5DC41735" w14:textId="1ACC692D" w:rsidR="00042974" w:rsidRPr="005E1802" w:rsidRDefault="00042974" w:rsidP="005E1802">
      <w:pPr>
        <w:pStyle w:val="FixListStyle"/>
        <w:spacing w:after="260" w:line="280" w:lineRule="exact"/>
        <w:ind w:right="0"/>
        <w:jc w:val="both"/>
        <w:rPr>
          <w:rFonts w:ascii="Times New Roman" w:hAnsi="Times New Roman"/>
        </w:rPr>
      </w:pPr>
      <w:r w:rsidRPr="005E1802">
        <w:rPr>
          <w:rFonts w:ascii="Times New Roman" w:hAnsi="Times New Roman"/>
        </w:rPr>
        <w:tab/>
        <w:t>By his principal ground of appeal, the appellant</w:t>
      </w:r>
      <w:r w:rsidR="00374980" w:rsidRPr="005E1802">
        <w:rPr>
          <w:rFonts w:ascii="Times New Roman" w:hAnsi="Times New Roman"/>
        </w:rPr>
        <w:t xml:space="preserve"> </w:t>
      </w:r>
      <w:r w:rsidR="00BE66F8" w:rsidRPr="005E1802">
        <w:rPr>
          <w:rFonts w:ascii="Times New Roman" w:hAnsi="Times New Roman"/>
        </w:rPr>
        <w:t>also</w:t>
      </w:r>
      <w:r w:rsidR="00DA4531" w:rsidRPr="005E1802">
        <w:rPr>
          <w:rFonts w:ascii="Times New Roman" w:hAnsi="Times New Roman"/>
        </w:rPr>
        <w:t xml:space="preserve"> </w:t>
      </w:r>
      <w:r w:rsidR="00F45721" w:rsidRPr="005E1802">
        <w:rPr>
          <w:rFonts w:ascii="Times New Roman" w:hAnsi="Times New Roman"/>
        </w:rPr>
        <w:t>contends</w:t>
      </w:r>
      <w:r w:rsidR="00374980" w:rsidRPr="005E1802">
        <w:rPr>
          <w:rFonts w:ascii="Times New Roman" w:hAnsi="Times New Roman"/>
        </w:rPr>
        <w:t xml:space="preserve"> that Mortimer</w:t>
      </w:r>
      <w:r w:rsidR="00F869C8" w:rsidRPr="005E1802">
        <w:rPr>
          <w:rFonts w:ascii="Times New Roman" w:hAnsi="Times New Roman"/>
        </w:rPr>
        <w:t> </w:t>
      </w:r>
      <w:r w:rsidR="00374980" w:rsidRPr="005E1802">
        <w:rPr>
          <w:rFonts w:ascii="Times New Roman" w:hAnsi="Times New Roman"/>
        </w:rPr>
        <w:t xml:space="preserve">J </w:t>
      </w:r>
      <w:r w:rsidR="00D20F92" w:rsidRPr="005E1802">
        <w:rPr>
          <w:rFonts w:ascii="Times New Roman" w:hAnsi="Times New Roman"/>
        </w:rPr>
        <w:t xml:space="preserve">independently erred </w:t>
      </w:r>
      <w:r w:rsidR="008138F1" w:rsidRPr="005E1802">
        <w:rPr>
          <w:rFonts w:ascii="Times New Roman" w:hAnsi="Times New Roman"/>
        </w:rPr>
        <w:t>by</w:t>
      </w:r>
      <w:r w:rsidR="003A2DEC" w:rsidRPr="005E1802">
        <w:rPr>
          <w:rFonts w:ascii="Times New Roman" w:hAnsi="Times New Roman"/>
        </w:rPr>
        <w:t xml:space="preserve"> erecting</w:t>
      </w:r>
      <w:r w:rsidR="002503DA" w:rsidRPr="005E1802">
        <w:rPr>
          <w:rFonts w:ascii="Times New Roman" w:hAnsi="Times New Roman"/>
        </w:rPr>
        <w:t xml:space="preserve"> and</w:t>
      </w:r>
      <w:r w:rsidR="008138F1" w:rsidRPr="005E1802">
        <w:rPr>
          <w:rFonts w:ascii="Times New Roman" w:hAnsi="Times New Roman"/>
        </w:rPr>
        <w:t xml:space="preserve"> </w:t>
      </w:r>
      <w:r w:rsidR="001F7F74" w:rsidRPr="005E1802">
        <w:rPr>
          <w:rFonts w:ascii="Times New Roman" w:hAnsi="Times New Roman"/>
        </w:rPr>
        <w:t>acting on</w:t>
      </w:r>
      <w:r w:rsidR="000E7721" w:rsidRPr="005E1802">
        <w:rPr>
          <w:rFonts w:ascii="Times New Roman" w:hAnsi="Times New Roman"/>
        </w:rPr>
        <w:t xml:space="preserve"> </w:t>
      </w:r>
      <w:r w:rsidR="00BE66F8" w:rsidRPr="005E1802">
        <w:rPr>
          <w:rFonts w:ascii="Times New Roman" w:hAnsi="Times New Roman"/>
        </w:rPr>
        <w:t>a</w:t>
      </w:r>
      <w:r w:rsidR="000E7721" w:rsidRPr="005E1802">
        <w:rPr>
          <w:rFonts w:ascii="Times New Roman" w:hAnsi="Times New Roman"/>
        </w:rPr>
        <w:t xml:space="preserve"> presumption</w:t>
      </w:r>
      <w:r w:rsidR="0092650C" w:rsidRPr="005E1802">
        <w:rPr>
          <w:rFonts w:ascii="Times New Roman" w:hAnsi="Times New Roman"/>
        </w:rPr>
        <w:t xml:space="preserve"> </w:t>
      </w:r>
      <w:r w:rsidR="00BE66F8" w:rsidRPr="005E1802">
        <w:rPr>
          <w:rFonts w:ascii="Times New Roman" w:hAnsi="Times New Roman"/>
        </w:rPr>
        <w:t xml:space="preserve">of fact </w:t>
      </w:r>
      <w:r w:rsidR="001F7F74" w:rsidRPr="005E1802">
        <w:rPr>
          <w:rFonts w:ascii="Times New Roman" w:hAnsi="Times New Roman"/>
        </w:rPr>
        <w:t xml:space="preserve">that </w:t>
      </w:r>
      <w:r w:rsidR="008E684E" w:rsidRPr="005E1802">
        <w:rPr>
          <w:rFonts w:ascii="Times New Roman" w:hAnsi="Times New Roman"/>
        </w:rPr>
        <w:t xml:space="preserve">the </w:t>
      </w:r>
      <w:r w:rsidR="00FE5F5D" w:rsidRPr="005E1802">
        <w:rPr>
          <w:rFonts w:ascii="Times New Roman" w:hAnsi="Times New Roman"/>
        </w:rPr>
        <w:t>T</w:t>
      </w:r>
      <w:r w:rsidR="003076D0" w:rsidRPr="005E1802">
        <w:rPr>
          <w:rFonts w:ascii="Times New Roman" w:hAnsi="Times New Roman"/>
        </w:rPr>
        <w:t>ribunal</w:t>
      </w:r>
      <w:r w:rsidR="008E684E" w:rsidRPr="005E1802">
        <w:rPr>
          <w:rFonts w:ascii="Times New Roman" w:hAnsi="Times New Roman"/>
        </w:rPr>
        <w:t xml:space="preserve"> did not take</w:t>
      </w:r>
      <w:r w:rsidR="008138F1" w:rsidRPr="005E1802">
        <w:rPr>
          <w:rFonts w:ascii="Times New Roman" w:hAnsi="Times New Roman"/>
        </w:rPr>
        <w:t xml:space="preserve"> information covered by the notification into account in making the decision</w:t>
      </w:r>
      <w:r w:rsidR="008E684E" w:rsidRPr="005E1802">
        <w:rPr>
          <w:rFonts w:ascii="Times New Roman" w:hAnsi="Times New Roman"/>
        </w:rPr>
        <w:t xml:space="preserve"> and casting</w:t>
      </w:r>
      <w:r w:rsidR="0030361B" w:rsidRPr="005E1802">
        <w:rPr>
          <w:rFonts w:ascii="Times New Roman" w:hAnsi="Times New Roman"/>
        </w:rPr>
        <w:t xml:space="preserve"> </w:t>
      </w:r>
      <w:r w:rsidR="008E684E" w:rsidRPr="005E1802">
        <w:rPr>
          <w:rFonts w:ascii="Times New Roman" w:hAnsi="Times New Roman"/>
        </w:rPr>
        <w:t>the onus on him to displace that presumption.</w:t>
      </w:r>
      <w:r w:rsidR="00A04393" w:rsidRPr="005E1802">
        <w:rPr>
          <w:rFonts w:ascii="Times New Roman" w:hAnsi="Times New Roman"/>
        </w:rPr>
        <w:t xml:space="preserve"> He argues that </w:t>
      </w:r>
      <w:r w:rsidR="00A04393" w:rsidRPr="005E1802">
        <w:rPr>
          <w:rFonts w:ascii="Times New Roman" w:hAnsi="Times New Roman"/>
          <w:i/>
        </w:rPr>
        <w:t xml:space="preserve">SZMTA </w:t>
      </w:r>
      <w:r w:rsidR="00A04393" w:rsidRPr="005E1802">
        <w:rPr>
          <w:rFonts w:ascii="Times New Roman" w:hAnsi="Times New Roman"/>
        </w:rPr>
        <w:t>should</w:t>
      </w:r>
      <w:r w:rsidR="0093349A" w:rsidRPr="005E1802">
        <w:rPr>
          <w:rFonts w:ascii="Times New Roman" w:hAnsi="Times New Roman"/>
        </w:rPr>
        <w:t xml:space="preserve"> </w:t>
      </w:r>
      <w:r w:rsidR="003629BD" w:rsidRPr="005E1802">
        <w:rPr>
          <w:rFonts w:ascii="Times New Roman" w:hAnsi="Times New Roman"/>
        </w:rPr>
        <w:t>likewise</w:t>
      </w:r>
      <w:r w:rsidR="00121044" w:rsidRPr="005E1802">
        <w:rPr>
          <w:rFonts w:ascii="Times New Roman" w:hAnsi="Times New Roman"/>
        </w:rPr>
        <w:t xml:space="preserve"> </w:t>
      </w:r>
      <w:r w:rsidR="00A04393" w:rsidRPr="005E1802">
        <w:rPr>
          <w:rFonts w:ascii="Times New Roman" w:hAnsi="Times New Roman"/>
        </w:rPr>
        <w:t xml:space="preserve">be re-opened and overruled </w:t>
      </w:r>
      <w:r w:rsidR="00BC42BE" w:rsidRPr="005E1802">
        <w:rPr>
          <w:rFonts w:ascii="Times New Roman" w:hAnsi="Times New Roman"/>
        </w:rPr>
        <w:t>i</w:t>
      </w:r>
      <w:r w:rsidR="00756F1D" w:rsidRPr="005E1802">
        <w:rPr>
          <w:rFonts w:ascii="Times New Roman" w:hAnsi="Times New Roman"/>
        </w:rPr>
        <w:t>f</w:t>
      </w:r>
      <w:r w:rsidR="00BC42BE" w:rsidRPr="005E1802">
        <w:rPr>
          <w:rFonts w:ascii="Times New Roman" w:hAnsi="Times New Roman"/>
        </w:rPr>
        <w:t xml:space="preserve"> and </w:t>
      </w:r>
      <w:r w:rsidR="00153EC3" w:rsidRPr="005E1802">
        <w:rPr>
          <w:rFonts w:ascii="Times New Roman" w:hAnsi="Times New Roman"/>
        </w:rPr>
        <w:t>to the extent that it</w:t>
      </w:r>
      <w:r w:rsidR="00AA216D" w:rsidRPr="005E1802">
        <w:rPr>
          <w:rFonts w:ascii="Times New Roman" w:hAnsi="Times New Roman"/>
        </w:rPr>
        <w:t xml:space="preserve"> </w:t>
      </w:r>
      <w:r w:rsidR="000D32D4" w:rsidRPr="005E1802">
        <w:rPr>
          <w:rFonts w:ascii="Times New Roman" w:hAnsi="Times New Roman"/>
        </w:rPr>
        <w:t>support</w:t>
      </w:r>
      <w:r w:rsidR="00AA216D" w:rsidRPr="005E1802">
        <w:rPr>
          <w:rFonts w:ascii="Times New Roman" w:hAnsi="Times New Roman"/>
        </w:rPr>
        <w:t>s</w:t>
      </w:r>
      <w:r w:rsidR="000D32D4" w:rsidRPr="005E1802">
        <w:rPr>
          <w:rFonts w:ascii="Times New Roman" w:hAnsi="Times New Roman"/>
        </w:rPr>
        <w:t xml:space="preserve"> erection of that presumption</w:t>
      </w:r>
      <w:r w:rsidR="009868A7" w:rsidRPr="005E1802">
        <w:rPr>
          <w:rFonts w:ascii="Times New Roman" w:hAnsi="Times New Roman"/>
        </w:rPr>
        <w:t>.</w:t>
      </w:r>
    </w:p>
    <w:p w14:paraId="1A2C4758" w14:textId="69076E06" w:rsidR="00EB4D9C" w:rsidRPr="005E1802" w:rsidRDefault="00EB4D9C"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8E684E" w:rsidRPr="005E1802">
        <w:rPr>
          <w:rFonts w:ascii="Times New Roman" w:hAnsi="Times New Roman"/>
        </w:rPr>
        <w:t xml:space="preserve">By an additional ground of appeal, </w:t>
      </w:r>
      <w:r w:rsidR="007E394B" w:rsidRPr="005E1802">
        <w:rPr>
          <w:rFonts w:ascii="Times New Roman" w:hAnsi="Times New Roman"/>
        </w:rPr>
        <w:t>the appellant contends that Mortimer J</w:t>
      </w:r>
      <w:r w:rsidR="00AA7335" w:rsidRPr="005E1802">
        <w:rPr>
          <w:rFonts w:ascii="Times New Roman" w:hAnsi="Times New Roman"/>
        </w:rPr>
        <w:t xml:space="preserve"> </w:t>
      </w:r>
      <w:r w:rsidR="00121044" w:rsidRPr="005E1802">
        <w:rPr>
          <w:rFonts w:ascii="Times New Roman" w:hAnsi="Times New Roman"/>
        </w:rPr>
        <w:t>was wrong to</w:t>
      </w:r>
      <w:r w:rsidR="00DF53E8" w:rsidRPr="005E1802">
        <w:rPr>
          <w:rFonts w:ascii="Times New Roman" w:hAnsi="Times New Roman"/>
        </w:rPr>
        <w:t xml:space="preserve"> confin</w:t>
      </w:r>
      <w:r w:rsidR="00121044" w:rsidRPr="005E1802">
        <w:rPr>
          <w:rFonts w:ascii="Times New Roman" w:hAnsi="Times New Roman"/>
        </w:rPr>
        <w:t>e</w:t>
      </w:r>
      <w:r w:rsidR="00DF53E8" w:rsidRPr="005E1802">
        <w:rPr>
          <w:rFonts w:ascii="Times New Roman" w:hAnsi="Times New Roman"/>
        </w:rPr>
        <w:t xml:space="preserve"> her consideration of </w:t>
      </w:r>
      <w:r w:rsidR="0088617F" w:rsidRPr="005E1802">
        <w:rPr>
          <w:rFonts w:ascii="Times New Roman" w:hAnsi="Times New Roman"/>
        </w:rPr>
        <w:t xml:space="preserve">the </w:t>
      </w:r>
      <w:r w:rsidR="00337D7B" w:rsidRPr="005E1802">
        <w:rPr>
          <w:rFonts w:ascii="Times New Roman" w:hAnsi="Times New Roman"/>
        </w:rPr>
        <w:t xml:space="preserve">materiality </w:t>
      </w:r>
      <w:r w:rsidR="0088617F" w:rsidRPr="005E1802">
        <w:rPr>
          <w:rFonts w:ascii="Times New Roman" w:hAnsi="Times New Roman"/>
        </w:rPr>
        <w:t xml:space="preserve">of the non-disclosure of the </w:t>
      </w:r>
      <w:r w:rsidR="00863172" w:rsidRPr="005E1802">
        <w:rPr>
          <w:rFonts w:ascii="Times New Roman" w:hAnsi="Times New Roman"/>
        </w:rPr>
        <w:t xml:space="preserve">notification </w:t>
      </w:r>
      <w:r w:rsidR="00337D7B" w:rsidRPr="005E1802">
        <w:rPr>
          <w:rFonts w:ascii="Times New Roman" w:hAnsi="Times New Roman"/>
        </w:rPr>
        <w:t>to</w:t>
      </w:r>
      <w:r w:rsidR="003162C4" w:rsidRPr="005E1802">
        <w:rPr>
          <w:rFonts w:ascii="Times New Roman" w:hAnsi="Times New Roman"/>
        </w:rPr>
        <w:t xml:space="preserve"> the potential </w:t>
      </w:r>
      <w:r w:rsidR="008D14B6" w:rsidRPr="005E1802">
        <w:rPr>
          <w:rFonts w:ascii="Times New Roman" w:hAnsi="Times New Roman"/>
        </w:rPr>
        <w:t xml:space="preserve">for </w:t>
      </w:r>
      <w:r w:rsidR="003162C4" w:rsidRPr="005E1802">
        <w:rPr>
          <w:rFonts w:ascii="Times New Roman" w:hAnsi="Times New Roman"/>
        </w:rPr>
        <w:t>the offence of dishonesty</w:t>
      </w:r>
      <w:r w:rsidR="00B948B8" w:rsidRPr="005E1802">
        <w:rPr>
          <w:rFonts w:ascii="Times New Roman" w:hAnsi="Times New Roman"/>
        </w:rPr>
        <w:t xml:space="preserve"> to have borne on the </w:t>
      </w:r>
      <w:r w:rsidR="00FE5F5D" w:rsidRPr="005E1802">
        <w:rPr>
          <w:rFonts w:ascii="Times New Roman" w:hAnsi="Times New Roman"/>
        </w:rPr>
        <w:t>T</w:t>
      </w:r>
      <w:r w:rsidR="00E6598F" w:rsidRPr="005E1802">
        <w:rPr>
          <w:rFonts w:ascii="Times New Roman" w:hAnsi="Times New Roman"/>
        </w:rPr>
        <w:t>ribunal</w:t>
      </w:r>
      <w:r w:rsidR="00B948B8" w:rsidRPr="005E1802">
        <w:rPr>
          <w:rFonts w:ascii="Times New Roman" w:hAnsi="Times New Roman"/>
        </w:rPr>
        <w:t xml:space="preserve">'s </w:t>
      </w:r>
      <w:r w:rsidR="00581CC5" w:rsidRPr="005E1802">
        <w:rPr>
          <w:rFonts w:ascii="Times New Roman" w:hAnsi="Times New Roman"/>
        </w:rPr>
        <w:t xml:space="preserve">findings in relation </w:t>
      </w:r>
      <w:r w:rsidR="005140E6" w:rsidRPr="005E1802">
        <w:rPr>
          <w:rFonts w:ascii="Times New Roman" w:hAnsi="Times New Roman"/>
        </w:rPr>
        <w:t xml:space="preserve">to </w:t>
      </w:r>
      <w:r w:rsidR="00B948B8" w:rsidRPr="005E1802">
        <w:rPr>
          <w:rFonts w:ascii="Times New Roman" w:hAnsi="Times New Roman"/>
        </w:rPr>
        <w:t>the appellant's claim to fear harm in connection with the dispute over land in Punjab</w:t>
      </w:r>
      <w:r w:rsidR="003162C4" w:rsidRPr="005E1802">
        <w:rPr>
          <w:rFonts w:ascii="Times New Roman" w:hAnsi="Times New Roman"/>
        </w:rPr>
        <w:t xml:space="preserve"> </w:t>
      </w:r>
      <w:r w:rsidR="00AA7335" w:rsidRPr="005E1802">
        <w:rPr>
          <w:rFonts w:ascii="Times New Roman" w:hAnsi="Times New Roman"/>
        </w:rPr>
        <w:t xml:space="preserve">to the exclusion of </w:t>
      </w:r>
      <w:r w:rsidR="005F663E" w:rsidRPr="005E1802">
        <w:rPr>
          <w:rFonts w:ascii="Times New Roman" w:hAnsi="Times New Roman"/>
        </w:rPr>
        <w:t xml:space="preserve">consideration of the potential for the other offences </w:t>
      </w:r>
      <w:r w:rsidR="00175B00" w:rsidRPr="005E1802">
        <w:rPr>
          <w:rFonts w:ascii="Times New Roman" w:hAnsi="Times New Roman"/>
        </w:rPr>
        <w:t>referred to</w:t>
      </w:r>
      <w:r w:rsidR="003162C4" w:rsidRPr="005E1802">
        <w:rPr>
          <w:rFonts w:ascii="Times New Roman" w:hAnsi="Times New Roman"/>
        </w:rPr>
        <w:t xml:space="preserve"> </w:t>
      </w:r>
      <w:r w:rsidR="001C376E" w:rsidRPr="005E1802">
        <w:rPr>
          <w:rFonts w:ascii="Times New Roman" w:hAnsi="Times New Roman"/>
        </w:rPr>
        <w:t xml:space="preserve">in the Court Outcomes Report covered </w:t>
      </w:r>
      <w:r w:rsidR="001C376E" w:rsidRPr="005E1802">
        <w:rPr>
          <w:rFonts w:ascii="Times New Roman" w:hAnsi="Times New Roman"/>
        </w:rPr>
        <w:lastRenderedPageBreak/>
        <w:t>by the notification</w:t>
      </w:r>
      <w:r w:rsidR="003162C4" w:rsidRPr="005E1802">
        <w:rPr>
          <w:rFonts w:ascii="Times New Roman" w:hAnsi="Times New Roman"/>
        </w:rPr>
        <w:t xml:space="preserve"> </w:t>
      </w:r>
      <w:r w:rsidR="00CC7AC0" w:rsidRPr="005E1802">
        <w:rPr>
          <w:rFonts w:ascii="Times New Roman" w:hAnsi="Times New Roman"/>
        </w:rPr>
        <w:t xml:space="preserve">to have </w:t>
      </w:r>
      <w:r w:rsidR="001C376E" w:rsidRPr="005E1802">
        <w:rPr>
          <w:rFonts w:ascii="Times New Roman" w:hAnsi="Times New Roman"/>
        </w:rPr>
        <w:t>borne on</w:t>
      </w:r>
      <w:r w:rsidR="00CC7AC0" w:rsidRPr="005E1802">
        <w:rPr>
          <w:rFonts w:ascii="Times New Roman" w:hAnsi="Times New Roman"/>
        </w:rPr>
        <w:t xml:space="preserve"> the</w:t>
      </w:r>
      <w:r w:rsidR="00061CEB" w:rsidRPr="005E1802">
        <w:rPr>
          <w:rFonts w:ascii="Times New Roman" w:hAnsi="Times New Roman"/>
        </w:rPr>
        <w:t xml:space="preserve"> </w:t>
      </w:r>
      <w:r w:rsidR="00FE5F5D" w:rsidRPr="005E1802">
        <w:rPr>
          <w:rFonts w:ascii="Times New Roman" w:hAnsi="Times New Roman"/>
        </w:rPr>
        <w:t>T</w:t>
      </w:r>
      <w:r w:rsidR="00225B20" w:rsidRPr="005E1802">
        <w:rPr>
          <w:rFonts w:ascii="Times New Roman" w:hAnsi="Times New Roman"/>
        </w:rPr>
        <w:t>ribunal</w:t>
      </w:r>
      <w:r w:rsidR="00061CEB" w:rsidRPr="005E1802">
        <w:rPr>
          <w:rFonts w:ascii="Times New Roman" w:hAnsi="Times New Roman"/>
        </w:rPr>
        <w:t>'s</w:t>
      </w:r>
      <w:r w:rsidR="00CC7AC0" w:rsidRPr="005E1802">
        <w:rPr>
          <w:rFonts w:ascii="Times New Roman" w:hAnsi="Times New Roman"/>
        </w:rPr>
        <w:t xml:space="preserve"> </w:t>
      </w:r>
      <w:r w:rsidR="005140E6" w:rsidRPr="005E1802">
        <w:rPr>
          <w:rFonts w:ascii="Times New Roman" w:hAnsi="Times New Roman"/>
        </w:rPr>
        <w:t>final</w:t>
      </w:r>
      <w:r w:rsidR="00581CC5" w:rsidRPr="005E1802">
        <w:rPr>
          <w:rFonts w:ascii="Times New Roman" w:hAnsi="Times New Roman"/>
        </w:rPr>
        <w:t xml:space="preserve"> </w:t>
      </w:r>
      <w:r w:rsidR="00CC7AC0" w:rsidRPr="005E1802">
        <w:rPr>
          <w:rFonts w:ascii="Times New Roman" w:hAnsi="Times New Roman"/>
        </w:rPr>
        <w:t>decision</w:t>
      </w:r>
      <w:r w:rsidR="00175B00" w:rsidRPr="005E1802">
        <w:rPr>
          <w:rFonts w:ascii="Times New Roman" w:hAnsi="Times New Roman"/>
        </w:rPr>
        <w:t xml:space="preserve">. </w:t>
      </w:r>
      <w:r w:rsidR="00497588" w:rsidRPr="005E1802">
        <w:rPr>
          <w:rFonts w:ascii="Times New Roman" w:hAnsi="Times New Roman"/>
        </w:rPr>
        <w:t>T</w:t>
      </w:r>
      <w:r w:rsidR="004B2BFB" w:rsidRPr="005E1802">
        <w:rPr>
          <w:rFonts w:ascii="Times New Roman" w:hAnsi="Times New Roman"/>
        </w:rPr>
        <w:t>h</w:t>
      </w:r>
      <w:r w:rsidR="001C376E" w:rsidRPr="005E1802">
        <w:rPr>
          <w:rFonts w:ascii="Times New Roman" w:hAnsi="Times New Roman"/>
        </w:rPr>
        <w:t xml:space="preserve">at </w:t>
      </w:r>
      <w:r w:rsidR="00453F14" w:rsidRPr="005E1802">
        <w:rPr>
          <w:rFonts w:ascii="Times New Roman" w:hAnsi="Times New Roman"/>
        </w:rPr>
        <w:t>additional</w:t>
      </w:r>
      <w:r w:rsidR="004B2BFB" w:rsidRPr="005E1802">
        <w:rPr>
          <w:rFonts w:ascii="Times New Roman" w:hAnsi="Times New Roman"/>
        </w:rPr>
        <w:t xml:space="preserve"> </w:t>
      </w:r>
      <w:r w:rsidR="00DA4531" w:rsidRPr="005E1802">
        <w:rPr>
          <w:rFonts w:ascii="Times New Roman" w:hAnsi="Times New Roman"/>
        </w:rPr>
        <w:t>ground of appeal</w:t>
      </w:r>
      <w:r w:rsidR="004B2BFB" w:rsidRPr="005E1802">
        <w:rPr>
          <w:rFonts w:ascii="Times New Roman" w:hAnsi="Times New Roman"/>
        </w:rPr>
        <w:t xml:space="preserve"> </w:t>
      </w:r>
      <w:r w:rsidR="00497588" w:rsidRPr="005E1802">
        <w:rPr>
          <w:rFonts w:ascii="Times New Roman" w:hAnsi="Times New Roman"/>
        </w:rPr>
        <w:t>raises no additional question of principle</w:t>
      </w:r>
      <w:r w:rsidR="004B2BFB" w:rsidRPr="005E1802">
        <w:rPr>
          <w:rFonts w:ascii="Times New Roman" w:hAnsi="Times New Roman"/>
        </w:rPr>
        <w:t>.</w:t>
      </w:r>
    </w:p>
    <w:p w14:paraId="2641DB46" w14:textId="3615998B" w:rsidR="00C75283" w:rsidRPr="005E1802" w:rsidRDefault="00C75283"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56621" w:rsidRPr="005E1802">
        <w:rPr>
          <w:rFonts w:ascii="Times New Roman" w:hAnsi="Times New Roman"/>
        </w:rPr>
        <w:t>T</w:t>
      </w:r>
      <w:r w:rsidRPr="005E1802">
        <w:rPr>
          <w:rFonts w:ascii="Times New Roman" w:hAnsi="Times New Roman"/>
        </w:rPr>
        <w:t xml:space="preserve">he </w:t>
      </w:r>
      <w:r w:rsidR="000624C4" w:rsidRPr="005E1802">
        <w:rPr>
          <w:rFonts w:ascii="Times New Roman" w:hAnsi="Times New Roman"/>
        </w:rPr>
        <w:t xml:space="preserve">two strands of the </w:t>
      </w:r>
      <w:r w:rsidR="0040246B" w:rsidRPr="005E1802">
        <w:rPr>
          <w:rFonts w:ascii="Times New Roman" w:hAnsi="Times New Roman"/>
        </w:rPr>
        <w:t xml:space="preserve">appellant's argument </w:t>
      </w:r>
      <w:r w:rsidR="000624C4" w:rsidRPr="005E1802">
        <w:rPr>
          <w:rFonts w:ascii="Times New Roman" w:hAnsi="Times New Roman"/>
        </w:rPr>
        <w:t>o</w:t>
      </w:r>
      <w:r w:rsidR="005140E6" w:rsidRPr="005E1802">
        <w:rPr>
          <w:rFonts w:ascii="Times New Roman" w:hAnsi="Times New Roman"/>
        </w:rPr>
        <w:t>n</w:t>
      </w:r>
      <w:r w:rsidR="000624C4" w:rsidRPr="005E1802">
        <w:rPr>
          <w:rFonts w:ascii="Times New Roman" w:hAnsi="Times New Roman"/>
        </w:rPr>
        <w:t xml:space="preserve"> his principal ground of appeal </w:t>
      </w:r>
      <w:r w:rsidR="008E1F7D" w:rsidRPr="005E1802">
        <w:rPr>
          <w:rFonts w:ascii="Times New Roman" w:hAnsi="Times New Roman"/>
        </w:rPr>
        <w:t>are</w:t>
      </w:r>
      <w:r w:rsidR="000F4C88" w:rsidRPr="005E1802">
        <w:rPr>
          <w:rFonts w:ascii="Times New Roman" w:hAnsi="Times New Roman"/>
        </w:rPr>
        <w:t xml:space="preserve"> best </w:t>
      </w:r>
      <w:r w:rsidR="00D56621" w:rsidRPr="005E1802">
        <w:rPr>
          <w:rFonts w:ascii="Times New Roman" w:hAnsi="Times New Roman"/>
        </w:rPr>
        <w:t xml:space="preserve">addressed </w:t>
      </w:r>
      <w:r w:rsidR="00871529" w:rsidRPr="005E1802">
        <w:rPr>
          <w:rFonts w:ascii="Times New Roman" w:hAnsi="Times New Roman"/>
        </w:rPr>
        <w:t xml:space="preserve">sequentially. </w:t>
      </w:r>
      <w:r w:rsidR="00386C1C" w:rsidRPr="005E1802">
        <w:rPr>
          <w:rFonts w:ascii="Times New Roman" w:hAnsi="Times New Roman"/>
        </w:rPr>
        <w:t xml:space="preserve">To address the first </w:t>
      </w:r>
      <w:r w:rsidR="00756F1D" w:rsidRPr="005E1802">
        <w:rPr>
          <w:rFonts w:ascii="Times New Roman" w:hAnsi="Times New Roman"/>
        </w:rPr>
        <w:t xml:space="preserve">strand </w:t>
      </w:r>
      <w:r w:rsidR="0054018F" w:rsidRPr="005E1802">
        <w:rPr>
          <w:rFonts w:ascii="Times New Roman" w:hAnsi="Times New Roman"/>
        </w:rPr>
        <w:t>necessitates</w:t>
      </w:r>
      <w:r w:rsidR="00386C1C" w:rsidRPr="005E1802">
        <w:rPr>
          <w:rFonts w:ascii="Times New Roman" w:hAnsi="Times New Roman"/>
        </w:rPr>
        <w:t xml:space="preserve"> </w:t>
      </w:r>
      <w:r w:rsidR="00CB3813" w:rsidRPr="005E1802">
        <w:rPr>
          <w:rFonts w:ascii="Times New Roman" w:hAnsi="Times New Roman"/>
        </w:rPr>
        <w:t>ex</w:t>
      </w:r>
      <w:r w:rsidR="00DC61DB" w:rsidRPr="005E1802">
        <w:rPr>
          <w:rFonts w:ascii="Times New Roman" w:hAnsi="Times New Roman"/>
        </w:rPr>
        <w:t>amin</w:t>
      </w:r>
      <w:r w:rsidR="00252257" w:rsidRPr="005E1802">
        <w:rPr>
          <w:rFonts w:ascii="Times New Roman" w:hAnsi="Times New Roman"/>
        </w:rPr>
        <w:t>ation of</w:t>
      </w:r>
      <w:r w:rsidR="00CB3813" w:rsidRPr="005E1802">
        <w:rPr>
          <w:rFonts w:ascii="Times New Roman" w:hAnsi="Times New Roman"/>
        </w:rPr>
        <w:t xml:space="preserve"> the co</w:t>
      </w:r>
      <w:r w:rsidR="009E0706" w:rsidRPr="005E1802">
        <w:rPr>
          <w:rFonts w:ascii="Times New Roman" w:hAnsi="Times New Roman"/>
        </w:rPr>
        <w:t>ntent</w:t>
      </w:r>
      <w:r w:rsidR="00CB3813" w:rsidRPr="005E1802">
        <w:rPr>
          <w:rFonts w:ascii="Times New Roman" w:hAnsi="Times New Roman"/>
        </w:rPr>
        <w:t xml:space="preserve"> </w:t>
      </w:r>
      <w:r w:rsidR="000F4C88" w:rsidRPr="005E1802">
        <w:rPr>
          <w:rFonts w:ascii="Times New Roman" w:hAnsi="Times New Roman"/>
        </w:rPr>
        <w:t xml:space="preserve">and proof </w:t>
      </w:r>
      <w:r w:rsidR="00CB3813" w:rsidRPr="005E1802">
        <w:rPr>
          <w:rFonts w:ascii="Times New Roman" w:hAnsi="Times New Roman"/>
        </w:rPr>
        <w:t xml:space="preserve">of materiality </w:t>
      </w:r>
      <w:r w:rsidR="000F4C88" w:rsidRPr="005E1802">
        <w:rPr>
          <w:rFonts w:ascii="Times New Roman" w:hAnsi="Times New Roman"/>
        </w:rPr>
        <w:t>at the level of principle</w:t>
      </w:r>
      <w:r w:rsidR="00801308" w:rsidRPr="005E1802">
        <w:rPr>
          <w:rFonts w:ascii="Times New Roman" w:hAnsi="Times New Roman"/>
        </w:rPr>
        <w:t xml:space="preserve">. To address the second </w:t>
      </w:r>
      <w:r w:rsidR="0054018F" w:rsidRPr="005E1802">
        <w:rPr>
          <w:rFonts w:ascii="Times New Roman" w:hAnsi="Times New Roman"/>
        </w:rPr>
        <w:t xml:space="preserve">necessitates </w:t>
      </w:r>
      <w:r w:rsidR="00E7305F" w:rsidRPr="005E1802">
        <w:rPr>
          <w:rFonts w:ascii="Times New Roman" w:hAnsi="Times New Roman"/>
        </w:rPr>
        <w:t xml:space="preserve">examination of </w:t>
      </w:r>
      <w:r w:rsidR="00CB58D6" w:rsidRPr="005E1802">
        <w:rPr>
          <w:rFonts w:ascii="Times New Roman" w:hAnsi="Times New Roman"/>
        </w:rPr>
        <w:t xml:space="preserve">contextual </w:t>
      </w:r>
      <w:r w:rsidR="00E7305F" w:rsidRPr="005E1802">
        <w:rPr>
          <w:rFonts w:ascii="Times New Roman" w:hAnsi="Times New Roman"/>
        </w:rPr>
        <w:t xml:space="preserve">considerations </w:t>
      </w:r>
      <w:r w:rsidR="00876DF0" w:rsidRPr="005E1802">
        <w:rPr>
          <w:rFonts w:ascii="Times New Roman" w:hAnsi="Times New Roman"/>
        </w:rPr>
        <w:t>bear</w:t>
      </w:r>
      <w:r w:rsidR="00CB58D6" w:rsidRPr="005E1802">
        <w:rPr>
          <w:rFonts w:ascii="Times New Roman" w:hAnsi="Times New Roman"/>
        </w:rPr>
        <w:t>ing</w:t>
      </w:r>
      <w:r w:rsidR="00876DF0" w:rsidRPr="005E1802">
        <w:rPr>
          <w:rFonts w:ascii="Times New Roman" w:hAnsi="Times New Roman"/>
        </w:rPr>
        <w:t xml:space="preserve"> on proof of</w:t>
      </w:r>
      <w:r w:rsidR="00E902D6" w:rsidRPr="005E1802">
        <w:rPr>
          <w:rFonts w:ascii="Times New Roman" w:hAnsi="Times New Roman"/>
        </w:rPr>
        <w:t xml:space="preserve"> </w:t>
      </w:r>
      <w:r w:rsidR="00683360" w:rsidRPr="005E1802">
        <w:rPr>
          <w:rFonts w:ascii="Times New Roman" w:hAnsi="Times New Roman"/>
        </w:rPr>
        <w:t xml:space="preserve">the </w:t>
      </w:r>
      <w:r w:rsidR="00BE4E36" w:rsidRPr="005E1802">
        <w:rPr>
          <w:rFonts w:ascii="Times New Roman" w:hAnsi="Times New Roman"/>
        </w:rPr>
        <w:t>materiality</w:t>
      </w:r>
      <w:r w:rsidR="00171C91" w:rsidRPr="005E1802">
        <w:rPr>
          <w:rFonts w:ascii="Times New Roman" w:hAnsi="Times New Roman"/>
        </w:rPr>
        <w:t xml:space="preserve"> </w:t>
      </w:r>
      <w:r w:rsidR="00683360" w:rsidRPr="005E1802">
        <w:rPr>
          <w:rFonts w:ascii="Times New Roman" w:hAnsi="Times New Roman"/>
        </w:rPr>
        <w:t xml:space="preserve">of </w:t>
      </w:r>
      <w:r w:rsidR="004C38A9" w:rsidRPr="005E1802">
        <w:rPr>
          <w:rFonts w:ascii="Times New Roman" w:hAnsi="Times New Roman"/>
        </w:rPr>
        <w:t>a failure to disclose a notification under s</w:t>
      </w:r>
      <w:r w:rsidR="00313C54" w:rsidRPr="005E1802">
        <w:rPr>
          <w:rFonts w:ascii="Times New Roman" w:hAnsi="Times New Roman"/>
        </w:rPr>
        <w:t> </w:t>
      </w:r>
      <w:r w:rsidR="004C38A9" w:rsidRPr="005E1802">
        <w:rPr>
          <w:rFonts w:ascii="Times New Roman" w:hAnsi="Times New Roman"/>
        </w:rPr>
        <w:t>438</w:t>
      </w:r>
      <w:r w:rsidR="00434176" w:rsidRPr="005E1802">
        <w:rPr>
          <w:rFonts w:ascii="Times New Roman" w:hAnsi="Times New Roman"/>
        </w:rPr>
        <w:t>(2)(a) of the Act</w:t>
      </w:r>
      <w:r w:rsidR="00DC61DB" w:rsidRPr="005E1802">
        <w:rPr>
          <w:rFonts w:ascii="Times New Roman" w:hAnsi="Times New Roman"/>
        </w:rPr>
        <w:t>.</w:t>
      </w:r>
    </w:p>
    <w:p w14:paraId="31CD8F89" w14:textId="58804BFF" w:rsidR="00360CB3" w:rsidRPr="005E1802" w:rsidRDefault="00360CB3" w:rsidP="005E1802">
      <w:pPr>
        <w:pStyle w:val="HeadingL1"/>
        <w:spacing w:after="260" w:line="280" w:lineRule="exact"/>
        <w:ind w:right="0"/>
        <w:jc w:val="both"/>
        <w:rPr>
          <w:rFonts w:ascii="Times New Roman" w:hAnsi="Times New Roman"/>
        </w:rPr>
      </w:pPr>
      <w:r w:rsidRPr="005E1802">
        <w:rPr>
          <w:rFonts w:ascii="Times New Roman" w:hAnsi="Times New Roman"/>
        </w:rPr>
        <w:t>Materiality and its proof</w:t>
      </w:r>
    </w:p>
    <w:p w14:paraId="2A39770F" w14:textId="38BA837D" w:rsidR="0050420D" w:rsidRPr="005E1802" w:rsidRDefault="00360CB3"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505208" w:rsidRPr="005E1802">
        <w:rPr>
          <w:rFonts w:ascii="Times New Roman" w:hAnsi="Times New Roman"/>
        </w:rPr>
        <w:t xml:space="preserve">To understand materiality, </w:t>
      </w:r>
      <w:r w:rsidR="00DE37E7" w:rsidRPr="005E1802">
        <w:rPr>
          <w:rFonts w:ascii="Times New Roman" w:hAnsi="Times New Roman"/>
        </w:rPr>
        <w:t>it is necessary first to understand</w:t>
      </w:r>
      <w:r w:rsidR="00D13A42" w:rsidRPr="005E1802">
        <w:rPr>
          <w:rFonts w:ascii="Times New Roman" w:hAnsi="Times New Roman"/>
        </w:rPr>
        <w:t xml:space="preserve"> jurisdictional error. </w:t>
      </w:r>
      <w:r w:rsidR="00632A61" w:rsidRPr="005E1802">
        <w:rPr>
          <w:rFonts w:ascii="Times New Roman" w:hAnsi="Times New Roman"/>
        </w:rPr>
        <w:t xml:space="preserve">Though the concept of jurisdictional error </w:t>
      </w:r>
      <w:r w:rsidR="00595791" w:rsidRPr="005E1802">
        <w:rPr>
          <w:rFonts w:ascii="Times New Roman" w:hAnsi="Times New Roman"/>
        </w:rPr>
        <w:t>is</w:t>
      </w:r>
      <w:r w:rsidR="00632A61" w:rsidRPr="005E1802">
        <w:rPr>
          <w:rFonts w:ascii="Times New Roman" w:hAnsi="Times New Roman"/>
        </w:rPr>
        <w:t xml:space="preserve"> root</w:t>
      </w:r>
      <w:r w:rsidR="00595791" w:rsidRPr="005E1802">
        <w:rPr>
          <w:rFonts w:ascii="Times New Roman" w:hAnsi="Times New Roman"/>
        </w:rPr>
        <w:t xml:space="preserve">ed in </w:t>
      </w:r>
      <w:r w:rsidR="00252B57" w:rsidRPr="005E1802">
        <w:rPr>
          <w:rFonts w:ascii="Times New Roman" w:hAnsi="Times New Roman"/>
        </w:rPr>
        <w:t xml:space="preserve">our </w:t>
      </w:r>
      <w:r w:rsidR="00595791" w:rsidRPr="005E1802">
        <w:rPr>
          <w:rFonts w:ascii="Times New Roman" w:hAnsi="Times New Roman"/>
        </w:rPr>
        <w:t>constitutional history</w:t>
      </w:r>
      <w:r w:rsidR="00632A61" w:rsidRPr="005E1802">
        <w:rPr>
          <w:rFonts w:ascii="Times New Roman" w:hAnsi="Times New Roman"/>
        </w:rPr>
        <w:t xml:space="preserve">, only in this century </w:t>
      </w:r>
      <w:r w:rsidR="00D63E2C" w:rsidRPr="005E1802">
        <w:rPr>
          <w:rFonts w:ascii="Times New Roman" w:hAnsi="Times New Roman"/>
        </w:rPr>
        <w:t>has</w:t>
      </w:r>
      <w:r w:rsidR="00D26C42" w:rsidRPr="005E1802">
        <w:rPr>
          <w:rFonts w:ascii="Times New Roman" w:hAnsi="Times New Roman"/>
        </w:rPr>
        <w:t xml:space="preserve"> </w:t>
      </w:r>
      <w:r w:rsidR="00911A44" w:rsidRPr="005E1802">
        <w:rPr>
          <w:rFonts w:ascii="Times New Roman" w:hAnsi="Times New Roman"/>
        </w:rPr>
        <w:t>jurisdictional error</w:t>
      </w:r>
      <w:r w:rsidR="002A7A7B" w:rsidRPr="005E1802">
        <w:rPr>
          <w:rFonts w:ascii="Times New Roman" w:hAnsi="Times New Roman"/>
        </w:rPr>
        <w:t xml:space="preserve"> come to</w:t>
      </w:r>
      <w:r w:rsidR="00D26C42" w:rsidRPr="005E1802">
        <w:rPr>
          <w:rFonts w:ascii="Times New Roman" w:hAnsi="Times New Roman"/>
        </w:rPr>
        <w:t xml:space="preserve"> </w:t>
      </w:r>
      <w:r w:rsidR="00632A61" w:rsidRPr="005E1802">
        <w:rPr>
          <w:rFonts w:ascii="Times New Roman" w:hAnsi="Times New Roman"/>
        </w:rPr>
        <w:t xml:space="preserve">be </w:t>
      </w:r>
      <w:r w:rsidR="002205D0" w:rsidRPr="005E1802">
        <w:rPr>
          <w:rFonts w:ascii="Times New Roman" w:hAnsi="Times New Roman"/>
        </w:rPr>
        <w:t>articulated</w:t>
      </w:r>
      <w:r w:rsidR="00632A61" w:rsidRPr="005E1802">
        <w:rPr>
          <w:rFonts w:ascii="Times New Roman" w:hAnsi="Times New Roman"/>
        </w:rPr>
        <w:t xml:space="preserve"> </w:t>
      </w:r>
      <w:r w:rsidR="005A6DC0" w:rsidRPr="005E1802">
        <w:rPr>
          <w:rFonts w:ascii="Times New Roman" w:hAnsi="Times New Roman"/>
        </w:rPr>
        <w:t>as an</w:t>
      </w:r>
      <w:r w:rsidR="00FE6569" w:rsidRPr="005E1802">
        <w:rPr>
          <w:rFonts w:ascii="Times New Roman" w:hAnsi="Times New Roman"/>
        </w:rPr>
        <w:t xml:space="preserve"> </w:t>
      </w:r>
      <w:r w:rsidR="00B41C0F" w:rsidRPr="005E1802">
        <w:rPr>
          <w:rFonts w:ascii="Times New Roman" w:hAnsi="Times New Roman"/>
        </w:rPr>
        <w:t>expla</w:t>
      </w:r>
      <w:r w:rsidR="005A6DC0" w:rsidRPr="005E1802">
        <w:rPr>
          <w:rFonts w:ascii="Times New Roman" w:hAnsi="Times New Roman"/>
        </w:rPr>
        <w:t>nation of</w:t>
      </w:r>
      <w:r w:rsidR="006C7023" w:rsidRPr="005E1802">
        <w:rPr>
          <w:rFonts w:ascii="Times New Roman" w:hAnsi="Times New Roman"/>
        </w:rPr>
        <w:t xml:space="preserve"> </w:t>
      </w:r>
      <w:r w:rsidR="00232FC6" w:rsidRPr="005E1802">
        <w:rPr>
          <w:rFonts w:ascii="Times New Roman" w:hAnsi="Times New Roman"/>
        </w:rPr>
        <w:t xml:space="preserve">the scope of </w:t>
      </w:r>
      <w:r w:rsidR="00B41C0F" w:rsidRPr="005E1802">
        <w:rPr>
          <w:rFonts w:ascii="Times New Roman" w:hAnsi="Times New Roman"/>
        </w:rPr>
        <w:t xml:space="preserve">the constitutionally entrenched </w:t>
      </w:r>
      <w:r w:rsidR="006E256C" w:rsidRPr="005E1802">
        <w:rPr>
          <w:rFonts w:ascii="Times New Roman" w:hAnsi="Times New Roman"/>
        </w:rPr>
        <w:t xml:space="preserve">original </w:t>
      </w:r>
      <w:r w:rsidR="00904173" w:rsidRPr="005E1802">
        <w:rPr>
          <w:rFonts w:ascii="Times New Roman" w:hAnsi="Times New Roman"/>
        </w:rPr>
        <w:t xml:space="preserve">jurisdiction of this Court to </w:t>
      </w:r>
      <w:r w:rsidR="00EE65DD" w:rsidRPr="005E1802">
        <w:rPr>
          <w:rFonts w:ascii="Times New Roman" w:hAnsi="Times New Roman"/>
        </w:rPr>
        <w:t xml:space="preserve">engage in judicial review </w:t>
      </w:r>
      <w:r w:rsidR="00ED7E12" w:rsidRPr="005E1802">
        <w:rPr>
          <w:rFonts w:ascii="Times New Roman" w:hAnsi="Times New Roman"/>
        </w:rPr>
        <w:t xml:space="preserve">of </w:t>
      </w:r>
      <w:r w:rsidR="006C7023" w:rsidRPr="005E1802">
        <w:rPr>
          <w:rFonts w:ascii="Times New Roman" w:hAnsi="Times New Roman"/>
        </w:rPr>
        <w:t xml:space="preserve">the actions of Commonwealth </w:t>
      </w:r>
      <w:r w:rsidR="00C8476E" w:rsidRPr="005E1802">
        <w:rPr>
          <w:rFonts w:ascii="Times New Roman" w:hAnsi="Times New Roman"/>
        </w:rPr>
        <w:t xml:space="preserve">judicial and </w:t>
      </w:r>
      <w:r w:rsidR="00A91CC2" w:rsidRPr="005E1802">
        <w:rPr>
          <w:rFonts w:ascii="Times New Roman" w:hAnsi="Times New Roman"/>
        </w:rPr>
        <w:t xml:space="preserve">executive </w:t>
      </w:r>
      <w:r w:rsidR="006C7023" w:rsidRPr="005E1802">
        <w:rPr>
          <w:rFonts w:ascii="Times New Roman" w:hAnsi="Times New Roman"/>
        </w:rPr>
        <w:t>officers</w:t>
      </w:r>
      <w:r w:rsidR="008A63BF" w:rsidRPr="005E1802">
        <w:rPr>
          <w:rStyle w:val="FootnoteReference"/>
          <w:rFonts w:ascii="Times New Roman" w:hAnsi="Times New Roman"/>
          <w:sz w:val="24"/>
        </w:rPr>
        <w:footnoteReference w:id="14"/>
      </w:r>
      <w:r w:rsidR="00A1121D" w:rsidRPr="005E1802">
        <w:rPr>
          <w:rFonts w:ascii="Times New Roman" w:hAnsi="Times New Roman"/>
        </w:rPr>
        <w:t xml:space="preserve">, </w:t>
      </w:r>
      <w:r w:rsidR="00327576" w:rsidRPr="005E1802">
        <w:rPr>
          <w:rFonts w:ascii="Times New Roman" w:hAnsi="Times New Roman"/>
        </w:rPr>
        <w:t xml:space="preserve">and </w:t>
      </w:r>
      <w:r w:rsidR="00CC64A8" w:rsidRPr="005E1802">
        <w:rPr>
          <w:rFonts w:ascii="Times New Roman" w:hAnsi="Times New Roman"/>
        </w:rPr>
        <w:t xml:space="preserve">hence </w:t>
      </w:r>
      <w:r w:rsidR="00327576" w:rsidRPr="005E1802">
        <w:rPr>
          <w:rFonts w:ascii="Times New Roman" w:hAnsi="Times New Roman"/>
        </w:rPr>
        <w:t xml:space="preserve">the scope of the </w:t>
      </w:r>
      <w:r w:rsidR="00D63E2C" w:rsidRPr="005E1802">
        <w:rPr>
          <w:rFonts w:ascii="Times New Roman" w:hAnsi="Times New Roman"/>
        </w:rPr>
        <w:t xml:space="preserve">statutory </w:t>
      </w:r>
      <w:r w:rsidR="008A63BF" w:rsidRPr="005E1802">
        <w:rPr>
          <w:rFonts w:ascii="Times New Roman" w:hAnsi="Times New Roman"/>
        </w:rPr>
        <w:t>jurisdiction</w:t>
      </w:r>
      <w:r w:rsidR="00782C75" w:rsidRPr="005E1802">
        <w:rPr>
          <w:rFonts w:ascii="Times New Roman" w:hAnsi="Times New Roman"/>
        </w:rPr>
        <w:t xml:space="preserve"> conferred </w:t>
      </w:r>
      <w:r w:rsidR="00B614F3" w:rsidRPr="005E1802">
        <w:rPr>
          <w:rFonts w:ascii="Times New Roman" w:hAnsi="Times New Roman"/>
        </w:rPr>
        <w:t xml:space="preserve">in </w:t>
      </w:r>
      <w:r w:rsidR="008169BF" w:rsidRPr="005E1802">
        <w:rPr>
          <w:rFonts w:ascii="Times New Roman" w:hAnsi="Times New Roman"/>
        </w:rPr>
        <w:t xml:space="preserve">identical terms </w:t>
      </w:r>
      <w:r w:rsidR="00782C75" w:rsidRPr="005E1802">
        <w:rPr>
          <w:rFonts w:ascii="Times New Roman" w:hAnsi="Times New Roman"/>
        </w:rPr>
        <w:t>on other courts created by the Commonwealth Parliament</w:t>
      </w:r>
      <w:r w:rsidR="008A63BF" w:rsidRPr="005E1802">
        <w:rPr>
          <w:rStyle w:val="FootnoteReference"/>
          <w:rFonts w:ascii="Times New Roman" w:hAnsi="Times New Roman"/>
          <w:sz w:val="24"/>
        </w:rPr>
        <w:footnoteReference w:id="15"/>
      </w:r>
      <w:r w:rsidR="00327576" w:rsidRPr="005E1802">
        <w:rPr>
          <w:rFonts w:ascii="Times New Roman" w:hAnsi="Times New Roman"/>
        </w:rPr>
        <w:t xml:space="preserve">, </w:t>
      </w:r>
      <w:r w:rsidR="00A1121D" w:rsidRPr="005E1802">
        <w:rPr>
          <w:rFonts w:ascii="Times New Roman" w:hAnsi="Times New Roman"/>
        </w:rPr>
        <w:t>a</w:t>
      </w:r>
      <w:r w:rsidR="002F4DEC" w:rsidRPr="005E1802">
        <w:rPr>
          <w:rFonts w:ascii="Times New Roman" w:hAnsi="Times New Roman"/>
        </w:rPr>
        <w:t>nd</w:t>
      </w:r>
      <w:r w:rsidR="00A1121D" w:rsidRPr="005E1802">
        <w:rPr>
          <w:rFonts w:ascii="Times New Roman" w:hAnsi="Times New Roman"/>
        </w:rPr>
        <w:t xml:space="preserve"> as an explanation of</w:t>
      </w:r>
      <w:r w:rsidR="00B614F3" w:rsidRPr="005E1802">
        <w:rPr>
          <w:rFonts w:ascii="Times New Roman" w:hAnsi="Times New Roman"/>
        </w:rPr>
        <w:t xml:space="preserve"> </w:t>
      </w:r>
      <w:r w:rsidR="00D217B5" w:rsidRPr="005E1802">
        <w:rPr>
          <w:rFonts w:ascii="Times New Roman" w:hAnsi="Times New Roman"/>
        </w:rPr>
        <w:t xml:space="preserve">the scope of </w:t>
      </w:r>
      <w:r w:rsidR="006C7023" w:rsidRPr="005E1802">
        <w:rPr>
          <w:rFonts w:ascii="Times New Roman" w:hAnsi="Times New Roman"/>
        </w:rPr>
        <w:t xml:space="preserve">the constitutionally entrenched </w:t>
      </w:r>
      <w:r w:rsidR="006E256C" w:rsidRPr="005E1802">
        <w:rPr>
          <w:rFonts w:ascii="Times New Roman" w:hAnsi="Times New Roman"/>
        </w:rPr>
        <w:t xml:space="preserve">supervisory </w:t>
      </w:r>
      <w:r w:rsidR="006C7023" w:rsidRPr="005E1802">
        <w:rPr>
          <w:rFonts w:ascii="Times New Roman" w:hAnsi="Times New Roman"/>
        </w:rPr>
        <w:t xml:space="preserve">jurisdiction of State Supreme Courts to engage in judicial review of the actions of State </w:t>
      </w:r>
      <w:r w:rsidR="00C8476E" w:rsidRPr="005E1802">
        <w:rPr>
          <w:rFonts w:ascii="Times New Roman" w:hAnsi="Times New Roman"/>
        </w:rPr>
        <w:t xml:space="preserve">judicial and </w:t>
      </w:r>
      <w:r w:rsidR="00A91CC2" w:rsidRPr="005E1802">
        <w:rPr>
          <w:rFonts w:ascii="Times New Roman" w:hAnsi="Times New Roman"/>
        </w:rPr>
        <w:t>executive</w:t>
      </w:r>
      <w:r w:rsidR="00C8476E" w:rsidRPr="005E1802">
        <w:rPr>
          <w:rFonts w:ascii="Times New Roman" w:hAnsi="Times New Roman"/>
        </w:rPr>
        <w:t xml:space="preserve"> </w:t>
      </w:r>
      <w:r w:rsidR="006C7023" w:rsidRPr="005E1802">
        <w:rPr>
          <w:rFonts w:ascii="Times New Roman" w:hAnsi="Times New Roman"/>
        </w:rPr>
        <w:t>officers</w:t>
      </w:r>
      <w:r w:rsidR="008A63BF" w:rsidRPr="005E1802">
        <w:rPr>
          <w:rStyle w:val="FootnoteReference"/>
          <w:rFonts w:ascii="Times New Roman" w:hAnsi="Times New Roman"/>
          <w:sz w:val="24"/>
        </w:rPr>
        <w:footnoteReference w:id="16"/>
      </w:r>
      <w:r w:rsidR="006C7023" w:rsidRPr="005E1802">
        <w:rPr>
          <w:rFonts w:ascii="Times New Roman" w:hAnsi="Times New Roman"/>
        </w:rPr>
        <w:t>.</w:t>
      </w:r>
    </w:p>
    <w:p w14:paraId="514D3830" w14:textId="2109C571" w:rsidR="00143CB2" w:rsidRPr="005E1802" w:rsidRDefault="00DC12D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7A2F73" w:rsidRPr="005E1802">
        <w:rPr>
          <w:rFonts w:ascii="Times New Roman" w:hAnsi="Times New Roman"/>
        </w:rPr>
        <w:t>Our</w:t>
      </w:r>
      <w:r w:rsidRPr="005E1802">
        <w:rPr>
          <w:rFonts w:ascii="Times New Roman" w:hAnsi="Times New Roman"/>
        </w:rPr>
        <w:t xml:space="preserve"> </w:t>
      </w:r>
      <w:r w:rsidR="006D31B2" w:rsidRPr="005E1802">
        <w:rPr>
          <w:rFonts w:ascii="Times New Roman" w:hAnsi="Times New Roman"/>
        </w:rPr>
        <w:t>contemporary</w:t>
      </w:r>
      <w:r w:rsidR="001E31C1" w:rsidRPr="005E1802">
        <w:rPr>
          <w:rFonts w:ascii="Times New Roman" w:hAnsi="Times New Roman"/>
        </w:rPr>
        <w:t xml:space="preserve"> understanding of jurisdictional error</w:t>
      </w:r>
      <w:r w:rsidR="0050420D" w:rsidRPr="005E1802">
        <w:rPr>
          <w:rFonts w:ascii="Times New Roman" w:hAnsi="Times New Roman"/>
        </w:rPr>
        <w:t xml:space="preserve"> </w:t>
      </w:r>
      <w:r w:rsidR="001E31C1" w:rsidRPr="005E1802">
        <w:rPr>
          <w:rFonts w:ascii="Times New Roman" w:hAnsi="Times New Roman"/>
        </w:rPr>
        <w:t>is</w:t>
      </w:r>
      <w:r w:rsidR="0050420D" w:rsidRPr="005E1802">
        <w:rPr>
          <w:rFonts w:ascii="Times New Roman" w:hAnsi="Times New Roman"/>
        </w:rPr>
        <w:t xml:space="preserve"> the product of acceptance o</w:t>
      </w:r>
      <w:r w:rsidR="00F46F7D" w:rsidRPr="005E1802">
        <w:rPr>
          <w:rFonts w:ascii="Times New Roman" w:hAnsi="Times New Roman"/>
        </w:rPr>
        <w:t>f</w:t>
      </w:r>
      <w:r w:rsidR="0050420D" w:rsidRPr="005E1802">
        <w:rPr>
          <w:rFonts w:ascii="Times New Roman" w:hAnsi="Times New Roman"/>
        </w:rPr>
        <w:t xml:space="preserve"> propositions</w:t>
      </w:r>
      <w:r w:rsidR="00F46F7D" w:rsidRPr="005E1802">
        <w:rPr>
          <w:rFonts w:ascii="Times New Roman" w:hAnsi="Times New Roman"/>
        </w:rPr>
        <w:t xml:space="preserve"> </w:t>
      </w:r>
      <w:r w:rsidR="0050420D" w:rsidRPr="005E1802">
        <w:rPr>
          <w:rFonts w:ascii="Times New Roman" w:hAnsi="Times New Roman"/>
        </w:rPr>
        <w:t>em</w:t>
      </w:r>
      <w:r w:rsidR="00F46F7D" w:rsidRPr="005E1802">
        <w:rPr>
          <w:rFonts w:ascii="Times New Roman" w:hAnsi="Times New Roman"/>
        </w:rPr>
        <w:t>braced</w:t>
      </w:r>
      <w:r w:rsidR="0050420D" w:rsidRPr="005E1802">
        <w:rPr>
          <w:rFonts w:ascii="Times New Roman" w:hAnsi="Times New Roman"/>
        </w:rPr>
        <w:t xml:space="preserve"> incrementally </w:t>
      </w:r>
      <w:r w:rsidR="00695C5F" w:rsidRPr="005E1802">
        <w:rPr>
          <w:rFonts w:ascii="Times New Roman" w:hAnsi="Times New Roman"/>
        </w:rPr>
        <w:t xml:space="preserve">in decisions </w:t>
      </w:r>
      <w:r w:rsidR="001C2EFB" w:rsidRPr="005E1802">
        <w:rPr>
          <w:rFonts w:ascii="Times New Roman" w:hAnsi="Times New Roman"/>
        </w:rPr>
        <w:t xml:space="preserve">of this Court </w:t>
      </w:r>
      <w:r w:rsidR="00E01B8A" w:rsidRPr="005E1802">
        <w:rPr>
          <w:rFonts w:ascii="Times New Roman" w:hAnsi="Times New Roman"/>
        </w:rPr>
        <w:t xml:space="preserve">beginning </w:t>
      </w:r>
      <w:r w:rsidR="0050420D" w:rsidRPr="005E1802">
        <w:rPr>
          <w:rFonts w:ascii="Times New Roman" w:hAnsi="Times New Roman"/>
        </w:rPr>
        <w:t xml:space="preserve">in the </w:t>
      </w:r>
      <w:r w:rsidR="006051B9" w:rsidRPr="005E1802">
        <w:rPr>
          <w:rFonts w:ascii="Times New Roman" w:hAnsi="Times New Roman"/>
        </w:rPr>
        <w:t>final</w:t>
      </w:r>
      <w:r w:rsidR="0050420D" w:rsidRPr="005E1802">
        <w:rPr>
          <w:rFonts w:ascii="Times New Roman" w:hAnsi="Times New Roman"/>
        </w:rPr>
        <w:t xml:space="preserve"> decade of the last century. </w:t>
      </w:r>
      <w:r w:rsidR="00323852" w:rsidRPr="005E1802">
        <w:rPr>
          <w:rFonts w:ascii="Times New Roman" w:hAnsi="Times New Roman"/>
        </w:rPr>
        <w:t>I</w:t>
      </w:r>
      <w:r w:rsidR="0023167C" w:rsidRPr="005E1802">
        <w:rPr>
          <w:rFonts w:ascii="Times New Roman" w:hAnsi="Times New Roman"/>
        </w:rPr>
        <w:t>n their application to an adm</w:t>
      </w:r>
      <w:r w:rsidR="00A91CC2" w:rsidRPr="005E1802">
        <w:rPr>
          <w:rFonts w:ascii="Times New Roman" w:hAnsi="Times New Roman"/>
        </w:rPr>
        <w:t>inistrative</w:t>
      </w:r>
      <w:r w:rsidR="0023167C" w:rsidRPr="005E1802">
        <w:rPr>
          <w:rFonts w:ascii="Times New Roman" w:hAnsi="Times New Roman"/>
        </w:rPr>
        <w:t xml:space="preserve"> decision</w:t>
      </w:r>
      <w:r w:rsidR="00C8476E" w:rsidRPr="005E1802">
        <w:rPr>
          <w:rFonts w:ascii="Times New Roman" w:hAnsi="Times New Roman"/>
        </w:rPr>
        <w:t xml:space="preserve"> made by an </w:t>
      </w:r>
      <w:r w:rsidR="00A91CC2" w:rsidRPr="005E1802">
        <w:rPr>
          <w:rFonts w:ascii="Times New Roman" w:hAnsi="Times New Roman"/>
        </w:rPr>
        <w:t xml:space="preserve">executive </w:t>
      </w:r>
      <w:r w:rsidR="00C8476E" w:rsidRPr="005E1802">
        <w:rPr>
          <w:rFonts w:ascii="Times New Roman" w:hAnsi="Times New Roman"/>
        </w:rPr>
        <w:t>officer</w:t>
      </w:r>
      <w:r w:rsidR="0023167C" w:rsidRPr="005E1802">
        <w:rPr>
          <w:rFonts w:ascii="Times New Roman" w:hAnsi="Times New Roman"/>
        </w:rPr>
        <w:t xml:space="preserve"> </w:t>
      </w:r>
      <w:r w:rsidR="003A5F69" w:rsidRPr="005E1802">
        <w:rPr>
          <w:rFonts w:ascii="Times New Roman" w:hAnsi="Times New Roman"/>
        </w:rPr>
        <w:t xml:space="preserve">whose decision-making authority is conferred by statute, those </w:t>
      </w:r>
      <w:r w:rsidR="0050420D" w:rsidRPr="005E1802">
        <w:rPr>
          <w:rFonts w:ascii="Times New Roman" w:hAnsi="Times New Roman"/>
        </w:rPr>
        <w:t xml:space="preserve">core propositions </w:t>
      </w:r>
      <w:r w:rsidR="00323852" w:rsidRPr="005E1802">
        <w:rPr>
          <w:rFonts w:ascii="Times New Roman" w:hAnsi="Times New Roman"/>
        </w:rPr>
        <w:t>can be expressed</w:t>
      </w:r>
      <w:r w:rsidR="0050420D" w:rsidRPr="005E1802">
        <w:rPr>
          <w:rFonts w:ascii="Times New Roman" w:hAnsi="Times New Roman"/>
        </w:rPr>
        <w:t xml:space="preserve"> </w:t>
      </w:r>
      <w:r w:rsidR="00DA2081" w:rsidRPr="005E1802">
        <w:rPr>
          <w:rFonts w:ascii="Times New Roman" w:hAnsi="Times New Roman"/>
        </w:rPr>
        <w:t xml:space="preserve">as follows. </w:t>
      </w:r>
    </w:p>
    <w:p w14:paraId="15C2D669" w14:textId="035FA171" w:rsidR="00C92D07" w:rsidRPr="005E1802" w:rsidRDefault="00143CB2"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A2081" w:rsidRPr="005E1802">
        <w:rPr>
          <w:rFonts w:ascii="Times New Roman" w:hAnsi="Times New Roman"/>
        </w:rPr>
        <w:t xml:space="preserve">The </w:t>
      </w:r>
      <w:r w:rsidR="00C347F2" w:rsidRPr="005E1802">
        <w:rPr>
          <w:rFonts w:ascii="Times New Roman" w:hAnsi="Times New Roman"/>
        </w:rPr>
        <w:t>constitutional</w:t>
      </w:r>
      <w:r w:rsidR="003A5F69" w:rsidRPr="005E1802">
        <w:rPr>
          <w:rFonts w:ascii="Times New Roman" w:hAnsi="Times New Roman"/>
        </w:rPr>
        <w:t xml:space="preserve">ly </w:t>
      </w:r>
      <w:r w:rsidR="00BB5198" w:rsidRPr="005E1802">
        <w:rPr>
          <w:rFonts w:ascii="Times New Roman" w:hAnsi="Times New Roman"/>
        </w:rPr>
        <w:t xml:space="preserve">entrenched jurisdiction </w:t>
      </w:r>
      <w:r w:rsidR="0050420D" w:rsidRPr="005E1802">
        <w:rPr>
          <w:rFonts w:ascii="Times New Roman" w:hAnsi="Times New Roman"/>
        </w:rPr>
        <w:t xml:space="preserve">of a court </w:t>
      </w:r>
      <w:r w:rsidR="003D4223" w:rsidRPr="005E1802">
        <w:rPr>
          <w:rFonts w:ascii="Times New Roman" w:hAnsi="Times New Roman"/>
        </w:rPr>
        <w:t>to engage in</w:t>
      </w:r>
      <w:r w:rsidR="0050420D" w:rsidRPr="005E1802">
        <w:rPr>
          <w:rFonts w:ascii="Times New Roman" w:hAnsi="Times New Roman"/>
        </w:rPr>
        <w:t xml:space="preserve"> judicial review </w:t>
      </w:r>
      <w:r w:rsidR="006A6077" w:rsidRPr="005E1802">
        <w:rPr>
          <w:rFonts w:ascii="Times New Roman" w:hAnsi="Times New Roman"/>
        </w:rPr>
        <w:t xml:space="preserve">of </w:t>
      </w:r>
      <w:r w:rsidR="004462C2" w:rsidRPr="005E1802">
        <w:rPr>
          <w:rFonts w:ascii="Times New Roman" w:hAnsi="Times New Roman"/>
        </w:rPr>
        <w:t>the</w:t>
      </w:r>
      <w:r w:rsidR="006A6077" w:rsidRPr="005E1802">
        <w:rPr>
          <w:rFonts w:ascii="Times New Roman" w:hAnsi="Times New Roman"/>
        </w:rPr>
        <w:t xml:space="preserve"> decision</w:t>
      </w:r>
      <w:r w:rsidR="00C25442" w:rsidRPr="005E1802">
        <w:rPr>
          <w:rFonts w:ascii="Times New Roman" w:hAnsi="Times New Roman"/>
        </w:rPr>
        <w:t>, where that jurisdiction is regularly invoked,</w:t>
      </w:r>
      <w:r w:rsidR="006A6077" w:rsidRPr="005E1802">
        <w:rPr>
          <w:rFonts w:ascii="Times New Roman" w:hAnsi="Times New Roman"/>
        </w:rPr>
        <w:t xml:space="preserve"> </w:t>
      </w:r>
      <w:r w:rsidR="0050420D" w:rsidRPr="005E1802">
        <w:rPr>
          <w:rFonts w:ascii="Times New Roman" w:hAnsi="Times New Roman"/>
        </w:rPr>
        <w:t xml:space="preserve">is no more and no less than to ensure that </w:t>
      </w:r>
      <w:r w:rsidR="00D321E4" w:rsidRPr="005E1802">
        <w:rPr>
          <w:rFonts w:ascii="Times New Roman" w:hAnsi="Times New Roman"/>
        </w:rPr>
        <w:t>the</w:t>
      </w:r>
      <w:r w:rsidR="0050420D" w:rsidRPr="005E1802">
        <w:rPr>
          <w:rFonts w:ascii="Times New Roman" w:hAnsi="Times New Roman"/>
        </w:rPr>
        <w:t xml:space="preserve"> decision-maker stays within the limits of the decision-making authority conferred by </w:t>
      </w:r>
      <w:r w:rsidR="00A63F97" w:rsidRPr="005E1802">
        <w:rPr>
          <w:rFonts w:ascii="Times New Roman" w:hAnsi="Times New Roman"/>
        </w:rPr>
        <w:t>th</w:t>
      </w:r>
      <w:r w:rsidR="00C102D8" w:rsidRPr="005E1802">
        <w:rPr>
          <w:rFonts w:ascii="Times New Roman" w:hAnsi="Times New Roman"/>
        </w:rPr>
        <w:t>e</w:t>
      </w:r>
      <w:r w:rsidR="00A63F97" w:rsidRPr="005E1802">
        <w:rPr>
          <w:rFonts w:ascii="Times New Roman" w:hAnsi="Times New Roman"/>
        </w:rPr>
        <w:t xml:space="preserve"> </w:t>
      </w:r>
      <w:r w:rsidR="0050420D" w:rsidRPr="005E1802">
        <w:rPr>
          <w:rFonts w:ascii="Times New Roman" w:hAnsi="Times New Roman"/>
        </w:rPr>
        <w:t>statute</w:t>
      </w:r>
      <w:r w:rsidR="00C25442" w:rsidRPr="005E1802">
        <w:rPr>
          <w:rFonts w:ascii="Times New Roman" w:hAnsi="Times New Roman"/>
        </w:rPr>
        <w:t xml:space="preserve"> </w:t>
      </w:r>
      <w:r w:rsidR="003F17BE" w:rsidRPr="005E1802">
        <w:rPr>
          <w:rFonts w:ascii="Times New Roman" w:hAnsi="Times New Roman"/>
        </w:rPr>
        <w:t>through</w:t>
      </w:r>
      <w:r w:rsidR="00C25442" w:rsidRPr="005E1802">
        <w:rPr>
          <w:rFonts w:ascii="Times New Roman" w:hAnsi="Times New Roman"/>
        </w:rPr>
        <w:t xml:space="preserve"> </w:t>
      </w:r>
      <w:r w:rsidR="008F1A88" w:rsidRPr="005E1802">
        <w:rPr>
          <w:rFonts w:ascii="Times New Roman" w:hAnsi="Times New Roman"/>
        </w:rPr>
        <w:t xml:space="preserve">declaration and </w:t>
      </w:r>
      <w:r w:rsidR="008F1A88" w:rsidRPr="005E1802">
        <w:rPr>
          <w:rFonts w:ascii="Times New Roman" w:hAnsi="Times New Roman"/>
        </w:rPr>
        <w:lastRenderedPageBreak/>
        <w:t xml:space="preserve">enforcement of </w:t>
      </w:r>
      <w:r w:rsidR="00C25442" w:rsidRPr="005E1802">
        <w:rPr>
          <w:rFonts w:ascii="Times New Roman" w:hAnsi="Times New Roman"/>
        </w:rPr>
        <w:t xml:space="preserve">the </w:t>
      </w:r>
      <w:r w:rsidR="00E0761D" w:rsidRPr="005E1802">
        <w:rPr>
          <w:rFonts w:ascii="Times New Roman" w:hAnsi="Times New Roman"/>
        </w:rPr>
        <w:t>law that sets those limits</w:t>
      </w:r>
      <w:r w:rsidR="00124737" w:rsidRPr="005E1802">
        <w:rPr>
          <w:rStyle w:val="FootnoteReference"/>
          <w:rFonts w:ascii="Times New Roman" w:hAnsi="Times New Roman"/>
          <w:sz w:val="24"/>
        </w:rPr>
        <w:footnoteReference w:id="17"/>
      </w:r>
      <w:r w:rsidR="00D600FF" w:rsidRPr="005E1802">
        <w:rPr>
          <w:rFonts w:ascii="Times New Roman" w:hAnsi="Times New Roman"/>
        </w:rPr>
        <w:t xml:space="preserve">. </w:t>
      </w:r>
      <w:r w:rsidR="00EB6363" w:rsidRPr="005E1802">
        <w:rPr>
          <w:rFonts w:ascii="Times New Roman" w:hAnsi="Times New Roman"/>
        </w:rPr>
        <w:t xml:space="preserve">To say that </w:t>
      </w:r>
      <w:r w:rsidR="004462C2" w:rsidRPr="005E1802">
        <w:rPr>
          <w:rFonts w:ascii="Times New Roman" w:hAnsi="Times New Roman"/>
        </w:rPr>
        <w:t>the</w:t>
      </w:r>
      <w:r w:rsidR="00EB6363" w:rsidRPr="005E1802">
        <w:rPr>
          <w:rFonts w:ascii="Times New Roman" w:hAnsi="Times New Roman"/>
        </w:rPr>
        <w:t xml:space="preserve"> decision is affected </w:t>
      </w:r>
      <w:r w:rsidR="003D3B3C" w:rsidRPr="005E1802">
        <w:rPr>
          <w:rFonts w:ascii="Times New Roman" w:hAnsi="Times New Roman"/>
        </w:rPr>
        <w:t xml:space="preserve">by jurisdictional error is to say no more and no less than that the </w:t>
      </w:r>
      <w:r w:rsidR="006157AA" w:rsidRPr="005E1802">
        <w:rPr>
          <w:rFonts w:ascii="Times New Roman" w:hAnsi="Times New Roman"/>
        </w:rPr>
        <w:t>decision</w:t>
      </w:r>
      <w:r w:rsidR="00492B8E" w:rsidRPr="005E1802">
        <w:rPr>
          <w:rFonts w:ascii="Times New Roman" w:hAnsi="Times New Roman"/>
        </w:rPr>
        <w:t>-maker</w:t>
      </w:r>
      <w:r w:rsidR="006157AA" w:rsidRPr="005E1802">
        <w:rPr>
          <w:rFonts w:ascii="Times New Roman" w:hAnsi="Times New Roman"/>
        </w:rPr>
        <w:t xml:space="preserve"> exceed</w:t>
      </w:r>
      <w:r w:rsidR="00D84501" w:rsidRPr="005E1802">
        <w:rPr>
          <w:rFonts w:ascii="Times New Roman" w:hAnsi="Times New Roman"/>
        </w:rPr>
        <w:t>ed</w:t>
      </w:r>
      <w:r w:rsidR="006157AA" w:rsidRPr="005E1802">
        <w:rPr>
          <w:rFonts w:ascii="Times New Roman" w:hAnsi="Times New Roman"/>
        </w:rPr>
        <w:t xml:space="preserve"> the limits of the decision-making authority </w:t>
      </w:r>
      <w:r w:rsidR="004D63CE" w:rsidRPr="005E1802">
        <w:rPr>
          <w:rFonts w:ascii="Times New Roman" w:hAnsi="Times New Roman"/>
        </w:rPr>
        <w:t>conferred by th</w:t>
      </w:r>
      <w:r w:rsidR="0038777E" w:rsidRPr="005E1802">
        <w:rPr>
          <w:rFonts w:ascii="Times New Roman" w:hAnsi="Times New Roman"/>
        </w:rPr>
        <w:t>e</w:t>
      </w:r>
      <w:r w:rsidR="004D63CE" w:rsidRPr="005E1802">
        <w:rPr>
          <w:rFonts w:ascii="Times New Roman" w:hAnsi="Times New Roman"/>
        </w:rPr>
        <w:t xml:space="preserve"> statute </w:t>
      </w:r>
      <w:r w:rsidR="00492B8E" w:rsidRPr="005E1802">
        <w:rPr>
          <w:rFonts w:ascii="Times New Roman" w:hAnsi="Times New Roman"/>
        </w:rPr>
        <w:t>in making the decision</w:t>
      </w:r>
      <w:r w:rsidR="00F243FE" w:rsidRPr="005E1802">
        <w:rPr>
          <w:rFonts w:ascii="Times New Roman" w:hAnsi="Times New Roman"/>
        </w:rPr>
        <w:t xml:space="preserve">. </w:t>
      </w:r>
      <w:r w:rsidR="00A34732" w:rsidRPr="005E1802">
        <w:rPr>
          <w:rFonts w:ascii="Times New Roman" w:hAnsi="Times New Roman"/>
        </w:rPr>
        <w:t>T</w:t>
      </w:r>
      <w:r w:rsidR="00F243FE" w:rsidRPr="005E1802">
        <w:rPr>
          <w:rFonts w:ascii="Times New Roman" w:hAnsi="Times New Roman"/>
        </w:rPr>
        <w:t xml:space="preserve">he decision </w:t>
      </w:r>
      <w:r w:rsidR="008C086D" w:rsidRPr="005E1802">
        <w:rPr>
          <w:rFonts w:ascii="Times New Roman" w:hAnsi="Times New Roman"/>
        </w:rPr>
        <w:t>for that reason</w:t>
      </w:r>
      <w:r w:rsidR="00FC630E" w:rsidRPr="005E1802">
        <w:rPr>
          <w:rFonts w:ascii="Times New Roman" w:hAnsi="Times New Roman"/>
        </w:rPr>
        <w:t xml:space="preserve"> </w:t>
      </w:r>
      <w:r w:rsidR="00474922" w:rsidRPr="005E1802">
        <w:rPr>
          <w:rFonts w:ascii="Times New Roman" w:hAnsi="Times New Roman"/>
        </w:rPr>
        <w:t>lacks</w:t>
      </w:r>
      <w:r w:rsidR="009F30F4" w:rsidRPr="005E1802">
        <w:rPr>
          <w:rFonts w:ascii="Times New Roman" w:hAnsi="Times New Roman"/>
        </w:rPr>
        <w:t xml:space="preserve"> </w:t>
      </w:r>
      <w:r w:rsidR="003B7AAA" w:rsidRPr="005E1802">
        <w:rPr>
          <w:rFonts w:ascii="Times New Roman" w:hAnsi="Times New Roman"/>
        </w:rPr>
        <w:t>statutory</w:t>
      </w:r>
      <w:r w:rsidR="009F30F4" w:rsidRPr="005E1802">
        <w:rPr>
          <w:rFonts w:ascii="Times New Roman" w:hAnsi="Times New Roman"/>
        </w:rPr>
        <w:t xml:space="preserve"> force</w:t>
      </w:r>
      <w:r w:rsidR="001B3E18" w:rsidRPr="005E1802">
        <w:rPr>
          <w:rFonts w:ascii="Times New Roman" w:hAnsi="Times New Roman"/>
        </w:rPr>
        <w:t xml:space="preserve">. </w:t>
      </w:r>
      <w:r w:rsidR="008F6ED5" w:rsidRPr="005E1802">
        <w:rPr>
          <w:rFonts w:ascii="Times New Roman" w:hAnsi="Times New Roman"/>
        </w:rPr>
        <w:t>Because the decision</w:t>
      </w:r>
      <w:r w:rsidR="00A313A7" w:rsidRPr="005E1802">
        <w:rPr>
          <w:rFonts w:ascii="Times New Roman" w:hAnsi="Times New Roman"/>
        </w:rPr>
        <w:t xml:space="preserve"> lacks statutory force, the decision is</w:t>
      </w:r>
      <w:r w:rsidR="001B3E18" w:rsidRPr="005E1802">
        <w:rPr>
          <w:rFonts w:ascii="Times New Roman" w:hAnsi="Times New Roman"/>
        </w:rPr>
        <w:t xml:space="preserve"> invalid</w:t>
      </w:r>
      <w:r w:rsidR="00A51C85" w:rsidRPr="005E1802">
        <w:rPr>
          <w:rFonts w:ascii="Times New Roman" w:hAnsi="Times New Roman"/>
        </w:rPr>
        <w:t xml:space="preserve"> </w:t>
      </w:r>
      <w:r w:rsidR="005D1B96" w:rsidRPr="005E1802">
        <w:rPr>
          <w:rFonts w:ascii="Times New Roman" w:hAnsi="Times New Roman"/>
        </w:rPr>
        <w:t xml:space="preserve">without need </w:t>
      </w:r>
      <w:r w:rsidR="00EC71BD" w:rsidRPr="005E1802">
        <w:rPr>
          <w:rFonts w:ascii="Times New Roman" w:hAnsi="Times New Roman"/>
        </w:rPr>
        <w:t xml:space="preserve">for </w:t>
      </w:r>
      <w:r w:rsidR="00AE3204" w:rsidRPr="005E1802">
        <w:rPr>
          <w:rFonts w:ascii="Times New Roman" w:hAnsi="Times New Roman"/>
        </w:rPr>
        <w:t>a</w:t>
      </w:r>
      <w:r w:rsidR="00587BEE" w:rsidRPr="005E1802">
        <w:rPr>
          <w:rFonts w:ascii="Times New Roman" w:hAnsi="Times New Roman"/>
        </w:rPr>
        <w:t>ny</w:t>
      </w:r>
      <w:r w:rsidR="00AE3204" w:rsidRPr="005E1802">
        <w:rPr>
          <w:rFonts w:ascii="Times New Roman" w:hAnsi="Times New Roman"/>
        </w:rPr>
        <w:t xml:space="preserve"> court </w:t>
      </w:r>
      <w:r w:rsidR="00EC71BD" w:rsidRPr="005E1802">
        <w:rPr>
          <w:rFonts w:ascii="Times New Roman" w:hAnsi="Times New Roman"/>
        </w:rPr>
        <w:t>to</w:t>
      </w:r>
      <w:r w:rsidR="005D1B96" w:rsidRPr="005E1802">
        <w:rPr>
          <w:rFonts w:ascii="Times New Roman" w:hAnsi="Times New Roman"/>
        </w:rPr>
        <w:t xml:space="preserve"> </w:t>
      </w:r>
      <w:r w:rsidR="00A51C85" w:rsidRPr="005E1802">
        <w:rPr>
          <w:rFonts w:ascii="Times New Roman" w:hAnsi="Times New Roman"/>
        </w:rPr>
        <w:t>have</w:t>
      </w:r>
      <w:r w:rsidR="00B76A10" w:rsidRPr="005E1802">
        <w:rPr>
          <w:rFonts w:ascii="Times New Roman" w:hAnsi="Times New Roman"/>
        </w:rPr>
        <w:t xml:space="preserve"> </w:t>
      </w:r>
      <w:r w:rsidR="00F77E7A" w:rsidRPr="005E1802">
        <w:rPr>
          <w:rFonts w:ascii="Times New Roman" w:hAnsi="Times New Roman"/>
        </w:rPr>
        <w:t>de</w:t>
      </w:r>
      <w:r w:rsidR="001B3E18" w:rsidRPr="005E1802">
        <w:rPr>
          <w:rFonts w:ascii="Times New Roman" w:hAnsi="Times New Roman"/>
        </w:rPr>
        <w:t xml:space="preserve">termined </w:t>
      </w:r>
      <w:r w:rsidR="00587BEE" w:rsidRPr="005E1802">
        <w:rPr>
          <w:rFonts w:ascii="Times New Roman" w:hAnsi="Times New Roman"/>
        </w:rPr>
        <w:t xml:space="preserve">that </w:t>
      </w:r>
      <w:r w:rsidR="00AE3204" w:rsidRPr="005E1802">
        <w:rPr>
          <w:rFonts w:ascii="Times New Roman" w:hAnsi="Times New Roman"/>
        </w:rPr>
        <w:t xml:space="preserve">the decision </w:t>
      </w:r>
      <w:r w:rsidR="00587BEE" w:rsidRPr="005E1802">
        <w:rPr>
          <w:rFonts w:ascii="Times New Roman" w:hAnsi="Times New Roman"/>
        </w:rPr>
        <w:t>is</w:t>
      </w:r>
      <w:r w:rsidR="00D90ED6" w:rsidRPr="005E1802">
        <w:rPr>
          <w:rFonts w:ascii="Times New Roman" w:hAnsi="Times New Roman"/>
        </w:rPr>
        <w:t xml:space="preserve"> invalid</w:t>
      </w:r>
      <w:r w:rsidR="00B7783F" w:rsidRPr="005E1802">
        <w:rPr>
          <w:rStyle w:val="FootnoteReference"/>
          <w:rFonts w:ascii="Times New Roman" w:hAnsi="Times New Roman"/>
          <w:sz w:val="24"/>
        </w:rPr>
        <w:footnoteReference w:id="18"/>
      </w:r>
      <w:r w:rsidR="007336BE" w:rsidRPr="005E1802">
        <w:rPr>
          <w:rFonts w:ascii="Times New Roman" w:hAnsi="Times New Roman"/>
        </w:rPr>
        <w:t>.</w:t>
      </w:r>
      <w:r w:rsidR="00C92D07" w:rsidRPr="005E1802">
        <w:rPr>
          <w:rFonts w:ascii="Times New Roman" w:hAnsi="Times New Roman"/>
        </w:rPr>
        <w:t xml:space="preserve"> </w:t>
      </w:r>
    </w:p>
    <w:p w14:paraId="3A31C3BC" w14:textId="7883600F" w:rsidR="0050420D" w:rsidRPr="005E1802" w:rsidRDefault="00C92D0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600FF" w:rsidRPr="005E1802">
        <w:rPr>
          <w:rFonts w:ascii="Times New Roman" w:hAnsi="Times New Roman"/>
        </w:rPr>
        <w:t>T</w:t>
      </w:r>
      <w:r w:rsidR="0050420D" w:rsidRPr="005E1802">
        <w:rPr>
          <w:rFonts w:ascii="Times New Roman" w:hAnsi="Times New Roman"/>
        </w:rPr>
        <w:t>he</w:t>
      </w:r>
      <w:r w:rsidR="00FC630E" w:rsidRPr="005E1802">
        <w:rPr>
          <w:rFonts w:ascii="Times New Roman" w:hAnsi="Times New Roman"/>
        </w:rPr>
        <w:t xml:space="preserve"> statutory</w:t>
      </w:r>
      <w:r w:rsidR="00B75DDB" w:rsidRPr="005E1802">
        <w:rPr>
          <w:rFonts w:ascii="Times New Roman" w:hAnsi="Times New Roman"/>
        </w:rPr>
        <w:t xml:space="preserve"> </w:t>
      </w:r>
      <w:r w:rsidR="0050420D" w:rsidRPr="005E1802">
        <w:rPr>
          <w:rFonts w:ascii="Times New Roman" w:hAnsi="Times New Roman"/>
        </w:rPr>
        <w:t xml:space="preserve">limits of </w:t>
      </w:r>
      <w:r w:rsidR="004D63CE" w:rsidRPr="005E1802">
        <w:rPr>
          <w:rFonts w:ascii="Times New Roman" w:hAnsi="Times New Roman"/>
        </w:rPr>
        <w:t xml:space="preserve">the </w:t>
      </w:r>
      <w:r w:rsidR="0050420D" w:rsidRPr="005E1802">
        <w:rPr>
          <w:rFonts w:ascii="Times New Roman" w:hAnsi="Times New Roman"/>
        </w:rPr>
        <w:t xml:space="preserve">decision-making authority </w:t>
      </w:r>
      <w:r w:rsidR="0038777E" w:rsidRPr="005E1802">
        <w:rPr>
          <w:rFonts w:ascii="Times New Roman" w:hAnsi="Times New Roman"/>
        </w:rPr>
        <w:t xml:space="preserve">conferred by </w:t>
      </w:r>
      <w:r w:rsidR="00F90F1F" w:rsidRPr="005E1802">
        <w:rPr>
          <w:rFonts w:ascii="Times New Roman" w:hAnsi="Times New Roman"/>
        </w:rPr>
        <w:t>a</w:t>
      </w:r>
      <w:r w:rsidR="0038777E" w:rsidRPr="005E1802">
        <w:rPr>
          <w:rFonts w:ascii="Times New Roman" w:hAnsi="Times New Roman"/>
        </w:rPr>
        <w:t xml:space="preserve"> statute </w:t>
      </w:r>
      <w:r w:rsidR="0017734B" w:rsidRPr="005E1802">
        <w:rPr>
          <w:rFonts w:ascii="Times New Roman" w:hAnsi="Times New Roman"/>
        </w:rPr>
        <w:t>are</w:t>
      </w:r>
      <w:r w:rsidR="008F50AB" w:rsidRPr="005E1802">
        <w:rPr>
          <w:rFonts w:ascii="Times New Roman" w:hAnsi="Times New Roman"/>
        </w:rPr>
        <w:t xml:space="preserve"> </w:t>
      </w:r>
      <w:r w:rsidR="0050420D" w:rsidRPr="005E1802">
        <w:rPr>
          <w:rFonts w:ascii="Times New Roman" w:hAnsi="Times New Roman"/>
        </w:rPr>
        <w:t>determined as an exercise</w:t>
      </w:r>
      <w:r w:rsidR="00283626" w:rsidRPr="005E1802">
        <w:rPr>
          <w:rFonts w:ascii="Times New Roman" w:hAnsi="Times New Roman"/>
        </w:rPr>
        <w:t xml:space="preserve"> in</w:t>
      </w:r>
      <w:r w:rsidR="0050420D" w:rsidRPr="005E1802">
        <w:rPr>
          <w:rFonts w:ascii="Times New Roman" w:hAnsi="Times New Roman"/>
        </w:rPr>
        <w:t xml:space="preserve"> statutory interpretation</w:t>
      </w:r>
      <w:r w:rsidR="00283626" w:rsidRPr="005E1802">
        <w:rPr>
          <w:rFonts w:ascii="Times New Roman" w:hAnsi="Times New Roman"/>
        </w:rPr>
        <w:t xml:space="preserve"> informed </w:t>
      </w:r>
      <w:r w:rsidR="00637160" w:rsidRPr="005E1802">
        <w:rPr>
          <w:rFonts w:ascii="Times New Roman" w:hAnsi="Times New Roman"/>
        </w:rPr>
        <w:t xml:space="preserve">by </w:t>
      </w:r>
      <w:r w:rsidR="0050420D" w:rsidRPr="005E1802">
        <w:rPr>
          <w:rFonts w:ascii="Times New Roman" w:hAnsi="Times New Roman"/>
        </w:rPr>
        <w:t>evolving common law pr</w:t>
      </w:r>
      <w:r w:rsidR="00ED7C04" w:rsidRPr="005E1802">
        <w:rPr>
          <w:rFonts w:ascii="Times New Roman" w:hAnsi="Times New Roman"/>
        </w:rPr>
        <w:t>inciples</w:t>
      </w:r>
      <w:r w:rsidR="003A4EE5" w:rsidRPr="005E1802">
        <w:rPr>
          <w:rFonts w:ascii="Times New Roman" w:hAnsi="Times New Roman"/>
        </w:rPr>
        <w:t xml:space="preserve"> of statutory interpretation</w:t>
      </w:r>
      <w:r w:rsidR="00A53B74" w:rsidRPr="005E1802">
        <w:rPr>
          <w:rStyle w:val="FootnoteReference"/>
          <w:rFonts w:ascii="Times New Roman" w:hAnsi="Times New Roman"/>
          <w:sz w:val="24"/>
        </w:rPr>
        <w:footnoteReference w:id="19"/>
      </w:r>
      <w:r w:rsidR="0050420D" w:rsidRPr="005E1802">
        <w:rPr>
          <w:rFonts w:ascii="Times New Roman" w:hAnsi="Times New Roman"/>
        </w:rPr>
        <w:t xml:space="preserve">. </w:t>
      </w:r>
      <w:r w:rsidR="00114653" w:rsidRPr="005E1802">
        <w:rPr>
          <w:rFonts w:ascii="Times New Roman" w:hAnsi="Times New Roman"/>
        </w:rPr>
        <w:t xml:space="preserve">Non-compliance with an express or implied </w:t>
      </w:r>
      <w:r w:rsidR="00B07F4A" w:rsidRPr="005E1802">
        <w:rPr>
          <w:rFonts w:ascii="Times New Roman" w:hAnsi="Times New Roman"/>
        </w:rPr>
        <w:t xml:space="preserve">statutory </w:t>
      </w:r>
      <w:r w:rsidR="00114653" w:rsidRPr="005E1802">
        <w:rPr>
          <w:rFonts w:ascii="Times New Roman" w:hAnsi="Times New Roman"/>
        </w:rPr>
        <w:t>condition of a conferral of statutory decision-making authority can</w:t>
      </w:r>
      <w:r w:rsidR="00410E22" w:rsidRPr="005E1802">
        <w:rPr>
          <w:rFonts w:ascii="Times New Roman" w:hAnsi="Times New Roman"/>
        </w:rPr>
        <w:t xml:space="preserve">, </w:t>
      </w:r>
      <w:r w:rsidR="00114653" w:rsidRPr="005E1802">
        <w:rPr>
          <w:rFonts w:ascii="Times New Roman" w:hAnsi="Times New Roman"/>
        </w:rPr>
        <w:t>but need not</w:t>
      </w:r>
      <w:r w:rsidR="00410E22" w:rsidRPr="005E1802">
        <w:rPr>
          <w:rFonts w:ascii="Times New Roman" w:hAnsi="Times New Roman"/>
        </w:rPr>
        <w:t xml:space="preserve">, </w:t>
      </w:r>
      <w:r w:rsidR="00114653" w:rsidRPr="005E1802">
        <w:rPr>
          <w:rFonts w:ascii="Times New Roman" w:hAnsi="Times New Roman"/>
        </w:rPr>
        <w:t xml:space="preserve">result in a decision that exceeds the limits of the decision-making authority conferred by statute. </w:t>
      </w:r>
      <w:r w:rsidR="00B7783F" w:rsidRPr="005E1802">
        <w:rPr>
          <w:rFonts w:ascii="Times New Roman" w:hAnsi="Times New Roman"/>
        </w:rPr>
        <w:t>W</w:t>
      </w:r>
      <w:r w:rsidR="0050420D" w:rsidRPr="005E1802">
        <w:rPr>
          <w:rFonts w:ascii="Times New Roman" w:hAnsi="Times New Roman"/>
        </w:rPr>
        <w:t>hether</w:t>
      </w:r>
      <w:r w:rsidR="00563F37" w:rsidRPr="005E1802">
        <w:rPr>
          <w:rFonts w:ascii="Times New Roman" w:hAnsi="Times New Roman"/>
        </w:rPr>
        <w:t xml:space="preserve">, </w:t>
      </w:r>
      <w:r w:rsidR="0050420D" w:rsidRPr="005E1802">
        <w:rPr>
          <w:rFonts w:ascii="Times New Roman" w:hAnsi="Times New Roman"/>
        </w:rPr>
        <w:t xml:space="preserve">and </w:t>
      </w:r>
      <w:r w:rsidR="00563F37" w:rsidRPr="005E1802">
        <w:rPr>
          <w:rFonts w:ascii="Times New Roman" w:hAnsi="Times New Roman"/>
        </w:rPr>
        <w:t xml:space="preserve">if so </w:t>
      </w:r>
      <w:r w:rsidR="0050420D" w:rsidRPr="005E1802">
        <w:rPr>
          <w:rFonts w:ascii="Times New Roman" w:hAnsi="Times New Roman"/>
        </w:rPr>
        <w:t>in what circumstances</w:t>
      </w:r>
      <w:r w:rsidR="00563F37" w:rsidRPr="005E1802">
        <w:rPr>
          <w:rFonts w:ascii="Times New Roman" w:hAnsi="Times New Roman"/>
        </w:rPr>
        <w:t xml:space="preserve">, </w:t>
      </w:r>
      <w:r w:rsidR="0050420D" w:rsidRPr="005E1802">
        <w:rPr>
          <w:rFonts w:ascii="Times New Roman" w:hAnsi="Times New Roman"/>
        </w:rPr>
        <w:t>non-compliance</w:t>
      </w:r>
      <w:r w:rsidR="00114653" w:rsidRPr="005E1802">
        <w:rPr>
          <w:rFonts w:ascii="Times New Roman" w:hAnsi="Times New Roman"/>
        </w:rPr>
        <w:t xml:space="preserve"> result</w:t>
      </w:r>
      <w:r w:rsidR="003156AA" w:rsidRPr="005E1802">
        <w:rPr>
          <w:rFonts w:ascii="Times New Roman" w:hAnsi="Times New Roman"/>
        </w:rPr>
        <w:t>s</w:t>
      </w:r>
      <w:r w:rsidR="0050420D" w:rsidRPr="005E1802">
        <w:rPr>
          <w:rFonts w:ascii="Times New Roman" w:hAnsi="Times New Roman"/>
        </w:rPr>
        <w:t xml:space="preserve"> </w:t>
      </w:r>
      <w:r w:rsidR="005714FF" w:rsidRPr="005E1802">
        <w:rPr>
          <w:rFonts w:ascii="Times New Roman" w:hAnsi="Times New Roman"/>
        </w:rPr>
        <w:t>in a decision that exceeds</w:t>
      </w:r>
      <w:r w:rsidR="003156AA" w:rsidRPr="005E1802">
        <w:rPr>
          <w:rFonts w:ascii="Times New Roman" w:hAnsi="Times New Roman"/>
        </w:rPr>
        <w:t xml:space="preserve"> the limits of the decision-making authority conferred by the statute </w:t>
      </w:r>
      <w:r w:rsidR="0050420D" w:rsidRPr="005E1802">
        <w:rPr>
          <w:rFonts w:ascii="Times New Roman" w:hAnsi="Times New Roman"/>
        </w:rPr>
        <w:t xml:space="preserve">is itself </w:t>
      </w:r>
      <w:r w:rsidR="00B7783F" w:rsidRPr="005E1802">
        <w:rPr>
          <w:rFonts w:ascii="Times New Roman" w:hAnsi="Times New Roman"/>
        </w:rPr>
        <w:t>a question</w:t>
      </w:r>
      <w:r w:rsidR="0050420D" w:rsidRPr="005E1802">
        <w:rPr>
          <w:rFonts w:ascii="Times New Roman" w:hAnsi="Times New Roman"/>
        </w:rPr>
        <w:t xml:space="preserve"> of statutory interpretation</w:t>
      </w:r>
      <w:r w:rsidR="00CE0454" w:rsidRPr="005E1802">
        <w:rPr>
          <w:rStyle w:val="FootnoteReference"/>
          <w:rFonts w:ascii="Times New Roman" w:hAnsi="Times New Roman"/>
          <w:sz w:val="24"/>
        </w:rPr>
        <w:footnoteReference w:id="20"/>
      </w:r>
      <w:r w:rsidR="0050420D" w:rsidRPr="005E1802">
        <w:rPr>
          <w:rFonts w:ascii="Times New Roman" w:hAnsi="Times New Roman"/>
        </w:rPr>
        <w:t>.</w:t>
      </w:r>
    </w:p>
    <w:p w14:paraId="13F724DC" w14:textId="004A4FF9" w:rsidR="00FC14E3" w:rsidRPr="005E1802" w:rsidRDefault="00397DAD"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9E3814" w:rsidRPr="005E1802">
        <w:rPr>
          <w:rFonts w:ascii="Times New Roman" w:hAnsi="Times New Roman"/>
        </w:rPr>
        <w:t>Having exp</w:t>
      </w:r>
      <w:r w:rsidR="00803B75" w:rsidRPr="005E1802">
        <w:rPr>
          <w:rFonts w:ascii="Times New Roman" w:hAnsi="Times New Roman"/>
        </w:rPr>
        <w:t xml:space="preserve">ounded </w:t>
      </w:r>
      <w:r w:rsidR="009E3814" w:rsidRPr="005E1802">
        <w:rPr>
          <w:rFonts w:ascii="Times New Roman" w:hAnsi="Times New Roman"/>
        </w:rPr>
        <w:t>th</w:t>
      </w:r>
      <w:r w:rsidR="00803B75" w:rsidRPr="005E1802">
        <w:rPr>
          <w:rFonts w:ascii="Times New Roman" w:hAnsi="Times New Roman"/>
        </w:rPr>
        <w:t>e</w:t>
      </w:r>
      <w:r w:rsidR="009E3814" w:rsidRPr="005E1802">
        <w:rPr>
          <w:rFonts w:ascii="Times New Roman" w:hAnsi="Times New Roman"/>
        </w:rPr>
        <w:t xml:space="preserve"> contemporary understanding </w:t>
      </w:r>
      <w:r w:rsidR="006C7C50" w:rsidRPr="005E1802">
        <w:rPr>
          <w:rFonts w:ascii="Times New Roman" w:hAnsi="Times New Roman"/>
        </w:rPr>
        <w:t xml:space="preserve">of </w:t>
      </w:r>
      <w:r w:rsidR="009E3814" w:rsidRPr="005E1802">
        <w:rPr>
          <w:rFonts w:ascii="Times New Roman" w:hAnsi="Times New Roman"/>
        </w:rPr>
        <w:t>jurisdictional error</w:t>
      </w:r>
      <w:r w:rsidR="00803B75" w:rsidRPr="005E1802">
        <w:rPr>
          <w:rFonts w:ascii="Times New Roman" w:hAnsi="Times New Roman"/>
        </w:rPr>
        <w:t xml:space="preserve"> in substantially those terms</w:t>
      </w:r>
      <w:r w:rsidR="00803B75" w:rsidRPr="005E1802">
        <w:rPr>
          <w:rStyle w:val="FootnoteReference"/>
          <w:rFonts w:ascii="Times New Roman" w:hAnsi="Times New Roman"/>
          <w:sz w:val="24"/>
        </w:rPr>
        <w:footnoteReference w:id="21"/>
      </w:r>
      <w:r w:rsidR="003B080D" w:rsidRPr="005E1802">
        <w:rPr>
          <w:rFonts w:ascii="Times New Roman" w:hAnsi="Times New Roman"/>
        </w:rPr>
        <w:t xml:space="preserve">, </w:t>
      </w:r>
      <w:r w:rsidR="002C0EA3" w:rsidRPr="005E1802">
        <w:rPr>
          <w:rFonts w:ascii="Times New Roman" w:hAnsi="Times New Roman"/>
        </w:rPr>
        <w:t xml:space="preserve">Kiefel CJ, </w:t>
      </w:r>
      <w:r w:rsidR="00C75544" w:rsidRPr="005E1802">
        <w:rPr>
          <w:rFonts w:ascii="Times New Roman" w:hAnsi="Times New Roman"/>
        </w:rPr>
        <w:t>Gageler</w:t>
      </w:r>
      <w:r w:rsidR="002C0EA3" w:rsidRPr="005E1802">
        <w:rPr>
          <w:rFonts w:ascii="Times New Roman" w:hAnsi="Times New Roman"/>
        </w:rPr>
        <w:t xml:space="preserve"> and </w:t>
      </w:r>
      <w:r w:rsidR="00C75544" w:rsidRPr="005E1802">
        <w:rPr>
          <w:rFonts w:ascii="Times New Roman" w:hAnsi="Times New Roman"/>
        </w:rPr>
        <w:t>Keane</w:t>
      </w:r>
      <w:r w:rsidR="002C0EA3" w:rsidRPr="005E1802">
        <w:rPr>
          <w:rFonts w:ascii="Times New Roman" w:hAnsi="Times New Roman"/>
        </w:rPr>
        <w:t xml:space="preserve"> JJ, who constituted the plurality in </w:t>
      </w:r>
      <w:r w:rsidR="002C0EA3" w:rsidRPr="005E1802">
        <w:rPr>
          <w:rFonts w:ascii="Times New Roman" w:hAnsi="Times New Roman"/>
          <w:i/>
        </w:rPr>
        <w:t>Hossain</w:t>
      </w:r>
      <w:r w:rsidR="007D281C" w:rsidRPr="005E1802">
        <w:rPr>
          <w:rFonts w:ascii="Times New Roman" w:hAnsi="Times New Roman"/>
        </w:rPr>
        <w:t xml:space="preserve">, </w:t>
      </w:r>
      <w:r w:rsidR="00F27795" w:rsidRPr="005E1802">
        <w:rPr>
          <w:rFonts w:ascii="Times New Roman" w:hAnsi="Times New Roman"/>
        </w:rPr>
        <w:t>proceeded</w:t>
      </w:r>
      <w:r w:rsidR="00C90494" w:rsidRPr="005E1802">
        <w:rPr>
          <w:rFonts w:ascii="Times New Roman" w:hAnsi="Times New Roman"/>
        </w:rPr>
        <w:t xml:space="preserve"> to </w:t>
      </w:r>
      <w:r w:rsidR="00C73F76" w:rsidRPr="005E1802">
        <w:rPr>
          <w:rFonts w:ascii="Times New Roman" w:hAnsi="Times New Roman"/>
        </w:rPr>
        <w:t>enunciate</w:t>
      </w:r>
      <w:r w:rsidR="00B10150" w:rsidRPr="005E1802">
        <w:rPr>
          <w:rFonts w:ascii="Times New Roman" w:hAnsi="Times New Roman"/>
        </w:rPr>
        <w:t xml:space="preserve"> </w:t>
      </w:r>
      <w:r w:rsidR="00C73F76" w:rsidRPr="005E1802">
        <w:rPr>
          <w:rFonts w:ascii="Times New Roman" w:hAnsi="Times New Roman"/>
        </w:rPr>
        <w:t>a</w:t>
      </w:r>
      <w:r w:rsidR="003D7948" w:rsidRPr="005E1802">
        <w:rPr>
          <w:rFonts w:ascii="Times New Roman" w:hAnsi="Times New Roman"/>
        </w:rPr>
        <w:t xml:space="preserve"> common law</w:t>
      </w:r>
      <w:r w:rsidR="00B10150" w:rsidRPr="005E1802">
        <w:rPr>
          <w:rFonts w:ascii="Times New Roman" w:hAnsi="Times New Roman"/>
        </w:rPr>
        <w:t xml:space="preserve"> principle of statutory </w:t>
      </w:r>
      <w:r w:rsidR="00CD3119" w:rsidRPr="005E1802">
        <w:rPr>
          <w:rFonts w:ascii="Times New Roman" w:hAnsi="Times New Roman"/>
        </w:rPr>
        <w:t>interpretation</w:t>
      </w:r>
      <w:r w:rsidR="00C90494" w:rsidRPr="005E1802">
        <w:rPr>
          <w:rFonts w:ascii="Times New Roman" w:hAnsi="Times New Roman"/>
        </w:rPr>
        <w:t xml:space="preserve">. </w:t>
      </w:r>
      <w:r w:rsidR="00DA0CA5" w:rsidRPr="005E1802">
        <w:rPr>
          <w:rFonts w:ascii="Times New Roman" w:hAnsi="Times New Roman"/>
        </w:rPr>
        <w:t>The principle enunciated</w:t>
      </w:r>
      <w:r w:rsidR="00B10150" w:rsidRPr="005E1802">
        <w:rPr>
          <w:rFonts w:ascii="Times New Roman" w:hAnsi="Times New Roman"/>
        </w:rPr>
        <w:t xml:space="preserve"> </w:t>
      </w:r>
      <w:r w:rsidR="003552A7" w:rsidRPr="005E1802">
        <w:rPr>
          <w:rFonts w:ascii="Times New Roman" w:hAnsi="Times New Roman"/>
        </w:rPr>
        <w:t xml:space="preserve">is </w:t>
      </w:r>
      <w:r w:rsidR="00CD3119" w:rsidRPr="005E1802">
        <w:rPr>
          <w:rFonts w:ascii="Times New Roman" w:hAnsi="Times New Roman"/>
        </w:rPr>
        <w:t xml:space="preserve">that a statute conferring decision-making </w:t>
      </w:r>
      <w:r w:rsidR="00382FD3" w:rsidRPr="005E1802">
        <w:rPr>
          <w:rFonts w:ascii="Times New Roman" w:hAnsi="Times New Roman"/>
        </w:rPr>
        <w:t xml:space="preserve">authority is not ordinarily to be </w:t>
      </w:r>
      <w:r w:rsidR="00380BC3" w:rsidRPr="005E1802">
        <w:rPr>
          <w:rFonts w:ascii="Times New Roman" w:hAnsi="Times New Roman"/>
        </w:rPr>
        <w:t>interpreted</w:t>
      </w:r>
      <w:r w:rsidR="00716068" w:rsidRPr="005E1802">
        <w:rPr>
          <w:rFonts w:ascii="Times New Roman" w:hAnsi="Times New Roman"/>
        </w:rPr>
        <w:t xml:space="preserve"> as denying legal force to every decision made in breach of a </w:t>
      </w:r>
      <w:r w:rsidR="00380BC3" w:rsidRPr="005E1802">
        <w:rPr>
          <w:rFonts w:ascii="Times New Roman" w:hAnsi="Times New Roman"/>
        </w:rPr>
        <w:t>condition which the statute expressly or impliedly requires</w:t>
      </w:r>
      <w:r w:rsidR="00E77534" w:rsidRPr="005E1802">
        <w:rPr>
          <w:rFonts w:ascii="Times New Roman" w:hAnsi="Times New Roman"/>
        </w:rPr>
        <w:t xml:space="preserve"> to be observed in the course of a decision-making process</w:t>
      </w:r>
      <w:r w:rsidR="003552A7" w:rsidRPr="005E1802">
        <w:rPr>
          <w:rFonts w:ascii="Times New Roman" w:hAnsi="Times New Roman"/>
        </w:rPr>
        <w:t>. The statute</w:t>
      </w:r>
      <w:r w:rsidR="001168D5" w:rsidRPr="005E1802">
        <w:rPr>
          <w:rFonts w:ascii="Times New Roman" w:hAnsi="Times New Roman"/>
        </w:rPr>
        <w:t xml:space="preserve"> is instead "ordinarily to be </w:t>
      </w:r>
      <w:r w:rsidR="00F50D81" w:rsidRPr="005E1802">
        <w:rPr>
          <w:rFonts w:ascii="Times New Roman" w:hAnsi="Times New Roman"/>
        </w:rPr>
        <w:t>interpreted</w:t>
      </w:r>
      <w:r w:rsidR="001168D5" w:rsidRPr="005E1802">
        <w:rPr>
          <w:rFonts w:ascii="Times New Roman" w:hAnsi="Times New Roman"/>
        </w:rPr>
        <w:t xml:space="preserve"> </w:t>
      </w:r>
      <w:r w:rsidR="00F50D81" w:rsidRPr="005E1802">
        <w:rPr>
          <w:rFonts w:ascii="Times New Roman" w:hAnsi="Times New Roman"/>
        </w:rPr>
        <w:t>as incorporating a threshold of materiality in the event of non-</w:t>
      </w:r>
      <w:r w:rsidR="00E92122" w:rsidRPr="005E1802">
        <w:rPr>
          <w:rFonts w:ascii="Times New Roman" w:hAnsi="Times New Roman"/>
        </w:rPr>
        <w:t>compliance"</w:t>
      </w:r>
      <w:r w:rsidR="00E92122" w:rsidRPr="005E1802">
        <w:rPr>
          <w:rStyle w:val="FootnoteReference"/>
          <w:rFonts w:ascii="Times New Roman" w:hAnsi="Times New Roman"/>
          <w:sz w:val="24"/>
        </w:rPr>
        <w:footnoteReference w:id="22"/>
      </w:r>
      <w:r w:rsidR="005D7FD1" w:rsidRPr="005E1802">
        <w:rPr>
          <w:rFonts w:ascii="Times New Roman" w:hAnsi="Times New Roman"/>
        </w:rPr>
        <w:t>.</w:t>
      </w:r>
      <w:r w:rsidR="00AF1822" w:rsidRPr="005E1802">
        <w:rPr>
          <w:rFonts w:ascii="Times New Roman" w:hAnsi="Times New Roman"/>
        </w:rPr>
        <w:t xml:space="preserve"> </w:t>
      </w:r>
    </w:p>
    <w:p w14:paraId="5D197C09" w14:textId="75B0280F" w:rsidR="000972B7" w:rsidRPr="005E1802" w:rsidRDefault="00FC14E3" w:rsidP="005E1802">
      <w:pPr>
        <w:pStyle w:val="FixListStyle"/>
        <w:spacing w:after="260" w:line="280" w:lineRule="exact"/>
        <w:ind w:right="0"/>
        <w:jc w:val="both"/>
        <w:rPr>
          <w:rFonts w:ascii="Times New Roman" w:hAnsi="Times New Roman"/>
        </w:rPr>
      </w:pPr>
      <w:r w:rsidRPr="005E1802">
        <w:rPr>
          <w:rFonts w:ascii="Times New Roman" w:hAnsi="Times New Roman"/>
        </w:rPr>
        <w:lastRenderedPageBreak/>
        <w:tab/>
      </w:r>
      <w:r w:rsidR="00FF79B6" w:rsidRPr="005E1802">
        <w:rPr>
          <w:rFonts w:ascii="Times New Roman" w:hAnsi="Times New Roman"/>
        </w:rPr>
        <w:t>T</w:t>
      </w:r>
      <w:r w:rsidR="00AF1822" w:rsidRPr="005E1802">
        <w:rPr>
          <w:rFonts w:ascii="Times New Roman" w:hAnsi="Times New Roman"/>
        </w:rPr>
        <w:t>he principle of statutory interpretation</w:t>
      </w:r>
      <w:r w:rsidRPr="005E1802">
        <w:rPr>
          <w:rFonts w:ascii="Times New Roman" w:hAnsi="Times New Roman"/>
        </w:rPr>
        <w:t xml:space="preserve"> </w:t>
      </w:r>
      <w:r w:rsidR="006C7C50" w:rsidRPr="005E1802">
        <w:rPr>
          <w:rFonts w:ascii="Times New Roman" w:hAnsi="Times New Roman"/>
        </w:rPr>
        <w:t xml:space="preserve">enunciated </w:t>
      </w:r>
      <w:r w:rsidRPr="005E1802">
        <w:rPr>
          <w:rFonts w:ascii="Times New Roman" w:hAnsi="Times New Roman"/>
        </w:rPr>
        <w:t xml:space="preserve">in </w:t>
      </w:r>
      <w:r w:rsidRPr="005E1802">
        <w:rPr>
          <w:rFonts w:ascii="Times New Roman" w:hAnsi="Times New Roman"/>
          <w:i/>
        </w:rPr>
        <w:t>Hossain</w:t>
      </w:r>
      <w:r w:rsidR="00620D01" w:rsidRPr="005E1802">
        <w:rPr>
          <w:rFonts w:ascii="Times New Roman" w:hAnsi="Times New Roman"/>
        </w:rPr>
        <w:t xml:space="preserve"> </w:t>
      </w:r>
      <w:r w:rsidR="00FF79B6" w:rsidRPr="005E1802">
        <w:rPr>
          <w:rFonts w:ascii="Times New Roman" w:hAnsi="Times New Roman"/>
        </w:rPr>
        <w:t>reflect</w:t>
      </w:r>
      <w:r w:rsidR="004D216E" w:rsidRPr="005E1802">
        <w:rPr>
          <w:rFonts w:ascii="Times New Roman" w:hAnsi="Times New Roman"/>
        </w:rPr>
        <w:t>s</w:t>
      </w:r>
      <w:r w:rsidR="00526803" w:rsidRPr="005E1802">
        <w:rPr>
          <w:rFonts w:ascii="Times New Roman" w:hAnsi="Times New Roman"/>
        </w:rPr>
        <w:t xml:space="preserve"> </w:t>
      </w:r>
      <w:r w:rsidR="000612E4" w:rsidRPr="005E1802">
        <w:rPr>
          <w:rFonts w:ascii="Times New Roman" w:hAnsi="Times New Roman"/>
        </w:rPr>
        <w:t xml:space="preserve">what was there described as </w:t>
      </w:r>
      <w:r w:rsidR="00526803" w:rsidRPr="005E1802">
        <w:rPr>
          <w:rFonts w:ascii="Times New Roman" w:hAnsi="Times New Roman"/>
        </w:rPr>
        <w:t xml:space="preserve">a </w:t>
      </w:r>
      <w:r w:rsidR="00B81377" w:rsidRPr="005E1802">
        <w:rPr>
          <w:rFonts w:ascii="Times New Roman" w:hAnsi="Times New Roman"/>
        </w:rPr>
        <w:t>"</w:t>
      </w:r>
      <w:r w:rsidR="00A17994" w:rsidRPr="005E1802">
        <w:rPr>
          <w:rFonts w:ascii="Times New Roman" w:hAnsi="Times New Roman"/>
        </w:rPr>
        <w:t>qualitative</w:t>
      </w:r>
      <w:r w:rsidR="00526803" w:rsidRPr="005E1802">
        <w:rPr>
          <w:rFonts w:ascii="Times New Roman" w:hAnsi="Times New Roman"/>
        </w:rPr>
        <w:t xml:space="preserve"> judgment</w:t>
      </w:r>
      <w:r w:rsidR="002C0217" w:rsidRPr="005E1802">
        <w:rPr>
          <w:rFonts w:ascii="Times New Roman" w:hAnsi="Times New Roman"/>
        </w:rPr>
        <w:t>[]</w:t>
      </w:r>
      <w:r w:rsidR="00526803" w:rsidRPr="005E1802">
        <w:rPr>
          <w:rFonts w:ascii="Times New Roman" w:hAnsi="Times New Roman"/>
        </w:rPr>
        <w:t xml:space="preserve"> </w:t>
      </w:r>
      <w:r w:rsidR="00B81377" w:rsidRPr="005E1802">
        <w:rPr>
          <w:rFonts w:ascii="Times New Roman" w:hAnsi="Times New Roman"/>
        </w:rPr>
        <w:t>about</w:t>
      </w:r>
      <w:r w:rsidR="009E7743" w:rsidRPr="005E1802">
        <w:rPr>
          <w:rFonts w:ascii="Times New Roman" w:hAnsi="Times New Roman"/>
        </w:rPr>
        <w:t xml:space="preserve"> </w:t>
      </w:r>
      <w:r w:rsidR="000115CE" w:rsidRPr="005E1802">
        <w:rPr>
          <w:rFonts w:ascii="Times New Roman" w:hAnsi="Times New Roman"/>
        </w:rPr>
        <w:t>the app</w:t>
      </w:r>
      <w:r w:rsidR="00ED4EFB" w:rsidRPr="005E1802">
        <w:rPr>
          <w:rFonts w:ascii="Times New Roman" w:hAnsi="Times New Roman"/>
        </w:rPr>
        <w:t xml:space="preserve">ropriate limits of an exercise of administrative power to which a legislature </w:t>
      </w:r>
      <w:r w:rsidR="00FE66B9" w:rsidRPr="005E1802">
        <w:rPr>
          <w:rFonts w:ascii="Times New Roman" w:hAnsi="Times New Roman"/>
        </w:rPr>
        <w:t xml:space="preserve">can be taken to adhere in defining the bounds of such authority </w:t>
      </w:r>
      <w:r w:rsidR="00336097" w:rsidRPr="005E1802">
        <w:rPr>
          <w:rFonts w:ascii="Times New Roman" w:hAnsi="Times New Roman"/>
        </w:rPr>
        <w:t>as it chooses to confer on a repository in the absence of affirmative indication</w:t>
      </w:r>
      <w:r w:rsidR="00C02763" w:rsidRPr="005E1802">
        <w:rPr>
          <w:rFonts w:ascii="Times New Roman" w:hAnsi="Times New Roman"/>
        </w:rPr>
        <w:t xml:space="preserve"> of a legislative intention to the contrary</w:t>
      </w:r>
      <w:r w:rsidR="00A17994" w:rsidRPr="005E1802">
        <w:rPr>
          <w:rFonts w:ascii="Times New Roman" w:hAnsi="Times New Roman"/>
        </w:rPr>
        <w:t>"</w:t>
      </w:r>
      <w:r w:rsidR="00405E0B" w:rsidRPr="005E1802">
        <w:rPr>
          <w:rStyle w:val="FootnoteReference"/>
          <w:rFonts w:ascii="Times New Roman" w:hAnsi="Times New Roman"/>
          <w:sz w:val="24"/>
        </w:rPr>
        <w:footnoteReference w:id="23"/>
      </w:r>
      <w:r w:rsidR="00A17994" w:rsidRPr="005E1802">
        <w:rPr>
          <w:rFonts w:ascii="Times New Roman" w:hAnsi="Times New Roman"/>
        </w:rPr>
        <w:t>.</w:t>
      </w:r>
      <w:r w:rsidR="001F3013" w:rsidRPr="005E1802">
        <w:rPr>
          <w:rFonts w:ascii="Times New Roman" w:hAnsi="Times New Roman"/>
        </w:rPr>
        <w:t xml:space="preserve"> The principl</w:t>
      </w:r>
      <w:r w:rsidR="007A7516" w:rsidRPr="005E1802">
        <w:rPr>
          <w:rFonts w:ascii="Times New Roman" w:hAnsi="Times New Roman"/>
        </w:rPr>
        <w:t>e</w:t>
      </w:r>
      <w:r w:rsidR="00CB3B43" w:rsidRPr="005E1802">
        <w:rPr>
          <w:rFonts w:ascii="Times New Roman" w:hAnsi="Times New Roman"/>
        </w:rPr>
        <w:t xml:space="preserve"> </w:t>
      </w:r>
      <w:r w:rsidR="001F3013" w:rsidRPr="005E1802">
        <w:rPr>
          <w:rFonts w:ascii="Times New Roman" w:hAnsi="Times New Roman"/>
        </w:rPr>
        <w:t>mi</w:t>
      </w:r>
      <w:r w:rsidR="007A7516" w:rsidRPr="005E1802">
        <w:rPr>
          <w:rFonts w:ascii="Times New Roman" w:hAnsi="Times New Roman"/>
        </w:rPr>
        <w:t>ght</w:t>
      </w:r>
      <w:r w:rsidR="001F3013" w:rsidRPr="005E1802">
        <w:rPr>
          <w:rFonts w:ascii="Times New Roman" w:hAnsi="Times New Roman"/>
        </w:rPr>
        <w:t xml:space="preserve"> equally be described as </w:t>
      </w:r>
      <w:r w:rsidR="004E1C68" w:rsidRPr="005E1802">
        <w:rPr>
          <w:rFonts w:ascii="Times New Roman" w:hAnsi="Times New Roman"/>
        </w:rPr>
        <w:t>"</w:t>
      </w:r>
      <w:r w:rsidR="004E1C68" w:rsidRPr="005E1802">
        <w:rPr>
          <w:rFonts w:ascii="Times New Roman" w:hAnsi="Times New Roman"/>
          <w:color w:val="000000"/>
          <w:shd w:val="clear" w:color="auto" w:fill="FFFFFF"/>
        </w:rPr>
        <w:t xml:space="preserve">a </w:t>
      </w:r>
      <w:r w:rsidR="00050457" w:rsidRPr="005E1802">
        <w:rPr>
          <w:rFonts w:ascii="Times New Roman" w:hAnsi="Times New Roman"/>
          <w:color w:val="000000"/>
          <w:shd w:val="clear" w:color="auto" w:fill="FFFFFF"/>
        </w:rPr>
        <w:t>common</w:t>
      </w:r>
      <w:r w:rsidR="00E338D7" w:rsidRPr="005E1802">
        <w:rPr>
          <w:rFonts w:ascii="Times New Roman" w:hAnsi="Times New Roman"/>
          <w:color w:val="000000"/>
          <w:shd w:val="clear" w:color="auto" w:fill="FFFFFF"/>
        </w:rPr>
        <w:t xml:space="preserve"> </w:t>
      </w:r>
      <w:r w:rsidR="00050457" w:rsidRPr="005E1802">
        <w:rPr>
          <w:rFonts w:ascii="Times New Roman" w:hAnsi="Times New Roman"/>
          <w:color w:val="000000"/>
          <w:shd w:val="clear" w:color="auto" w:fill="FFFFFF"/>
        </w:rPr>
        <w:t>sense</w:t>
      </w:r>
      <w:r w:rsidR="004E1C68" w:rsidRPr="005E1802">
        <w:rPr>
          <w:rFonts w:ascii="Times New Roman" w:hAnsi="Times New Roman"/>
          <w:color w:val="000000"/>
          <w:shd w:val="clear" w:color="auto" w:fill="FFFFFF"/>
        </w:rPr>
        <w:t xml:space="preserve"> guide to what a Parliament in a liberal democracy is likely to have intended</w:t>
      </w:r>
      <w:r w:rsidR="00050457" w:rsidRPr="005E1802">
        <w:rPr>
          <w:rFonts w:ascii="Times New Roman" w:hAnsi="Times New Roman"/>
          <w:color w:val="000000"/>
          <w:shd w:val="clear" w:color="auto" w:fill="FFFFFF"/>
        </w:rPr>
        <w:t>"</w:t>
      </w:r>
      <w:r w:rsidR="00101894" w:rsidRPr="005E1802">
        <w:rPr>
          <w:rStyle w:val="FootnoteReference"/>
          <w:rFonts w:ascii="Times New Roman" w:hAnsi="Times New Roman"/>
          <w:color w:val="000000"/>
          <w:sz w:val="24"/>
          <w:shd w:val="clear" w:color="auto" w:fill="FFFFFF"/>
        </w:rPr>
        <w:footnoteReference w:id="24"/>
      </w:r>
      <w:r w:rsidR="005A1138" w:rsidRPr="005E1802">
        <w:rPr>
          <w:rFonts w:ascii="Times New Roman" w:hAnsi="Times New Roman"/>
          <w:color w:val="000000"/>
          <w:shd w:val="clear" w:color="auto" w:fill="FFFFFF"/>
        </w:rPr>
        <w:t xml:space="preserve">. </w:t>
      </w:r>
      <w:r w:rsidR="00FE1D90" w:rsidRPr="005E1802">
        <w:rPr>
          <w:rFonts w:ascii="Times New Roman" w:hAnsi="Times New Roman"/>
          <w:color w:val="000000"/>
          <w:shd w:val="clear" w:color="auto" w:fill="FFFFFF"/>
        </w:rPr>
        <w:t>The principle</w:t>
      </w:r>
      <w:r w:rsidR="00D54EA8" w:rsidRPr="005E1802">
        <w:rPr>
          <w:rFonts w:ascii="Times New Roman" w:hAnsi="Times New Roman"/>
          <w:color w:val="000000"/>
          <w:shd w:val="clear" w:color="auto" w:fill="FFFFFF"/>
        </w:rPr>
        <w:t xml:space="preserve"> accommodates </w:t>
      </w:r>
      <w:r w:rsidR="00F83E43" w:rsidRPr="005E1802">
        <w:rPr>
          <w:rFonts w:ascii="Times New Roman" w:hAnsi="Times New Roman"/>
          <w:color w:val="000000"/>
          <w:shd w:val="clear" w:color="auto" w:fill="FFFFFF"/>
        </w:rPr>
        <w:t xml:space="preserve">determination of the limits </w:t>
      </w:r>
      <w:r w:rsidR="00F83E43" w:rsidRPr="005E1802">
        <w:rPr>
          <w:rFonts w:ascii="Times New Roman" w:hAnsi="Times New Roman"/>
        </w:rPr>
        <w:t>of</w:t>
      </w:r>
      <w:r w:rsidR="00B42F59" w:rsidRPr="005E1802">
        <w:rPr>
          <w:rFonts w:ascii="Times New Roman" w:hAnsi="Times New Roman"/>
        </w:rPr>
        <w:t xml:space="preserve"> decision-making authority conferred by statute</w:t>
      </w:r>
      <w:r w:rsidR="00B42F59" w:rsidRPr="005E1802">
        <w:rPr>
          <w:rFonts w:ascii="Times New Roman" w:hAnsi="Times New Roman"/>
          <w:color w:val="000000"/>
          <w:shd w:val="clear" w:color="auto" w:fill="FFFFFF"/>
        </w:rPr>
        <w:t xml:space="preserve"> </w:t>
      </w:r>
      <w:r w:rsidR="00D54EA8" w:rsidRPr="005E1802">
        <w:rPr>
          <w:rFonts w:ascii="Times New Roman" w:hAnsi="Times New Roman"/>
          <w:color w:val="000000"/>
          <w:shd w:val="clear" w:color="auto" w:fill="FFFFFF"/>
        </w:rPr>
        <w:t>to the reality that</w:t>
      </w:r>
      <w:r w:rsidR="00EC08A8" w:rsidRPr="005E1802">
        <w:rPr>
          <w:rFonts w:ascii="Times New Roman" w:hAnsi="Times New Roman"/>
          <w:color w:val="000000"/>
          <w:shd w:val="clear" w:color="auto" w:fill="FFFFFF"/>
        </w:rPr>
        <w:t xml:space="preserve"> "[d</w:t>
      </w:r>
      <w:r w:rsidR="00A573A1" w:rsidRPr="005E1802">
        <w:rPr>
          <w:rFonts w:ascii="Times New Roman" w:hAnsi="Times New Roman"/>
          <w:color w:val="000000"/>
          <w:shd w:val="clear" w:color="auto" w:fill="FFFFFF"/>
        </w:rPr>
        <w:t>]</w:t>
      </w:r>
      <w:r w:rsidR="00EC08A8" w:rsidRPr="005E1802">
        <w:rPr>
          <w:rFonts w:ascii="Times New Roman" w:hAnsi="Times New Roman"/>
          <w:color w:val="000000"/>
          <w:shd w:val="clear" w:color="auto" w:fill="FFFFFF"/>
        </w:rPr>
        <w:t>ecis</w:t>
      </w:r>
      <w:r w:rsidR="00A573A1" w:rsidRPr="005E1802">
        <w:rPr>
          <w:rFonts w:ascii="Times New Roman" w:hAnsi="Times New Roman"/>
          <w:color w:val="000000"/>
          <w:shd w:val="clear" w:color="auto" w:fill="FFFFFF"/>
        </w:rPr>
        <w:t>i</w:t>
      </w:r>
      <w:r w:rsidR="00EC08A8" w:rsidRPr="005E1802">
        <w:rPr>
          <w:rFonts w:ascii="Times New Roman" w:hAnsi="Times New Roman"/>
          <w:color w:val="000000"/>
          <w:shd w:val="clear" w:color="auto" w:fill="FFFFFF"/>
        </w:rPr>
        <w:t>on-making is a function of the real world"</w:t>
      </w:r>
      <w:r w:rsidR="00895D4B" w:rsidRPr="005E1802">
        <w:rPr>
          <w:rStyle w:val="FootnoteReference"/>
          <w:rFonts w:ascii="Times New Roman" w:hAnsi="Times New Roman"/>
          <w:color w:val="000000"/>
          <w:sz w:val="24"/>
          <w:shd w:val="clear" w:color="auto" w:fill="FFFFFF"/>
        </w:rPr>
        <w:footnoteReference w:id="25"/>
      </w:r>
      <w:r w:rsidR="00B01CB9" w:rsidRPr="005E1802">
        <w:rPr>
          <w:rFonts w:ascii="Times New Roman" w:hAnsi="Times New Roman"/>
          <w:color w:val="000000"/>
          <w:shd w:val="clear" w:color="auto" w:fill="FFFFFF"/>
        </w:rPr>
        <w:t xml:space="preserve"> by </w:t>
      </w:r>
      <w:r w:rsidR="00A523C3" w:rsidRPr="005E1802">
        <w:rPr>
          <w:rFonts w:ascii="Times New Roman" w:hAnsi="Times New Roman"/>
          <w:color w:val="000000"/>
          <w:shd w:val="clear" w:color="auto" w:fill="FFFFFF"/>
        </w:rPr>
        <w:t>distingui</w:t>
      </w:r>
      <w:r w:rsidR="00FD4E75" w:rsidRPr="005E1802">
        <w:rPr>
          <w:rFonts w:ascii="Times New Roman" w:hAnsi="Times New Roman"/>
          <w:color w:val="000000"/>
          <w:shd w:val="clear" w:color="auto" w:fill="FFFFFF"/>
        </w:rPr>
        <w:t xml:space="preserve">shing </w:t>
      </w:r>
      <w:r w:rsidR="00AB4B71" w:rsidRPr="005E1802">
        <w:rPr>
          <w:rFonts w:ascii="Times New Roman" w:hAnsi="Times New Roman"/>
          <w:color w:val="000000"/>
          <w:shd w:val="clear" w:color="auto" w:fill="FFFFFF"/>
        </w:rPr>
        <w:t xml:space="preserve">the </w:t>
      </w:r>
      <w:r w:rsidR="00D1041F" w:rsidRPr="005E1802">
        <w:rPr>
          <w:rFonts w:ascii="Times New Roman" w:hAnsi="Times New Roman"/>
        </w:rPr>
        <w:t xml:space="preserve">express </w:t>
      </w:r>
      <w:r w:rsidR="00876345" w:rsidRPr="005E1802">
        <w:rPr>
          <w:rFonts w:ascii="Times New Roman" w:hAnsi="Times New Roman"/>
        </w:rPr>
        <w:t>and</w:t>
      </w:r>
      <w:r w:rsidR="00D1041F" w:rsidRPr="005E1802">
        <w:rPr>
          <w:rFonts w:ascii="Times New Roman" w:hAnsi="Times New Roman"/>
        </w:rPr>
        <w:t xml:space="preserve"> implied </w:t>
      </w:r>
      <w:r w:rsidR="00876345" w:rsidRPr="005E1802">
        <w:rPr>
          <w:rFonts w:ascii="Times New Roman" w:hAnsi="Times New Roman"/>
        </w:rPr>
        <w:t xml:space="preserve">statutory </w:t>
      </w:r>
      <w:r w:rsidR="00D1041F" w:rsidRPr="005E1802">
        <w:rPr>
          <w:rFonts w:ascii="Times New Roman" w:hAnsi="Times New Roman"/>
        </w:rPr>
        <w:t>condition</w:t>
      </w:r>
      <w:r w:rsidR="00876345" w:rsidRPr="005E1802">
        <w:rPr>
          <w:rFonts w:ascii="Times New Roman" w:hAnsi="Times New Roman"/>
        </w:rPr>
        <w:t>s</w:t>
      </w:r>
      <w:r w:rsidR="00D1041F" w:rsidRPr="005E1802">
        <w:rPr>
          <w:rFonts w:ascii="Times New Roman" w:hAnsi="Times New Roman"/>
        </w:rPr>
        <w:t xml:space="preserve"> of </w:t>
      </w:r>
      <w:r w:rsidR="00A17227" w:rsidRPr="005E1802">
        <w:rPr>
          <w:rFonts w:ascii="Times New Roman" w:hAnsi="Times New Roman"/>
        </w:rPr>
        <w:t xml:space="preserve">the </w:t>
      </w:r>
      <w:r w:rsidR="00D1041F" w:rsidRPr="005E1802">
        <w:rPr>
          <w:rFonts w:ascii="Times New Roman" w:hAnsi="Times New Roman"/>
        </w:rPr>
        <w:t xml:space="preserve">conferral </w:t>
      </w:r>
      <w:r w:rsidR="00261273" w:rsidRPr="005E1802">
        <w:rPr>
          <w:rFonts w:ascii="Times New Roman" w:hAnsi="Times New Roman"/>
          <w:color w:val="000000"/>
          <w:shd w:val="clear" w:color="auto" w:fill="FFFFFF"/>
        </w:rPr>
        <w:t xml:space="preserve">from the statutory consequences of breach </w:t>
      </w:r>
      <w:r w:rsidR="0005766E" w:rsidRPr="005E1802">
        <w:rPr>
          <w:rFonts w:ascii="Times New Roman" w:hAnsi="Times New Roman"/>
          <w:color w:val="000000"/>
          <w:shd w:val="clear" w:color="auto" w:fill="FFFFFF"/>
        </w:rPr>
        <w:t xml:space="preserve">and by recognising that </w:t>
      </w:r>
      <w:r w:rsidR="00323191" w:rsidRPr="005E1802">
        <w:rPr>
          <w:rFonts w:ascii="Times New Roman" w:hAnsi="Times New Roman"/>
          <w:color w:val="000000"/>
          <w:shd w:val="clear" w:color="auto" w:fill="FFFFFF"/>
        </w:rPr>
        <w:t>the l</w:t>
      </w:r>
      <w:r w:rsidR="00A96192" w:rsidRPr="005E1802">
        <w:rPr>
          <w:rFonts w:ascii="Times New Roman" w:hAnsi="Times New Roman"/>
          <w:color w:val="000000"/>
          <w:shd w:val="clear" w:color="auto" w:fill="FFFFFF"/>
        </w:rPr>
        <w:t>e</w:t>
      </w:r>
      <w:r w:rsidR="00323191" w:rsidRPr="005E1802">
        <w:rPr>
          <w:rFonts w:ascii="Times New Roman" w:hAnsi="Times New Roman"/>
          <w:color w:val="000000"/>
          <w:shd w:val="clear" w:color="auto" w:fill="FFFFFF"/>
        </w:rPr>
        <w:t>gislature</w:t>
      </w:r>
      <w:r w:rsidR="0005766E" w:rsidRPr="005E1802">
        <w:rPr>
          <w:rFonts w:ascii="Times New Roman" w:hAnsi="Times New Roman"/>
          <w:color w:val="000000"/>
          <w:shd w:val="clear" w:color="auto" w:fill="FFFFFF"/>
        </w:rPr>
        <w:t xml:space="preserve"> is </w:t>
      </w:r>
      <w:r w:rsidR="00227381" w:rsidRPr="005E1802">
        <w:rPr>
          <w:rFonts w:ascii="Times New Roman" w:hAnsi="Times New Roman"/>
          <w:color w:val="000000"/>
          <w:shd w:val="clear" w:color="auto" w:fill="FFFFFF"/>
        </w:rPr>
        <w:t xml:space="preserve">not </w:t>
      </w:r>
      <w:r w:rsidR="0005766E" w:rsidRPr="005E1802">
        <w:rPr>
          <w:rFonts w:ascii="Times New Roman" w:hAnsi="Times New Roman"/>
          <w:color w:val="000000"/>
          <w:shd w:val="clear" w:color="auto" w:fill="FFFFFF"/>
        </w:rPr>
        <w:t>likely to have intended</w:t>
      </w:r>
      <w:r w:rsidR="00D21CC0" w:rsidRPr="005E1802">
        <w:rPr>
          <w:rFonts w:ascii="Times New Roman" w:hAnsi="Times New Roman"/>
        </w:rPr>
        <w:t xml:space="preserve"> </w:t>
      </w:r>
      <w:r w:rsidR="00A96192" w:rsidRPr="005E1802">
        <w:rPr>
          <w:rFonts w:ascii="Times New Roman" w:hAnsi="Times New Roman"/>
        </w:rPr>
        <w:t xml:space="preserve">that </w:t>
      </w:r>
      <w:r w:rsidR="00227381" w:rsidRPr="005E1802">
        <w:rPr>
          <w:rFonts w:ascii="Times New Roman" w:hAnsi="Times New Roman"/>
        </w:rPr>
        <w:t>a breach that occasions no "practical injustice"</w:t>
      </w:r>
      <w:r w:rsidR="00DE4B47" w:rsidRPr="005E1802">
        <w:rPr>
          <w:rStyle w:val="FootnoteReference"/>
          <w:rFonts w:ascii="Times New Roman" w:hAnsi="Times New Roman"/>
          <w:sz w:val="24"/>
        </w:rPr>
        <w:footnoteReference w:id="26"/>
      </w:r>
      <w:r w:rsidR="00227381" w:rsidRPr="005E1802">
        <w:rPr>
          <w:rFonts w:ascii="Times New Roman" w:hAnsi="Times New Roman"/>
        </w:rPr>
        <w:t xml:space="preserve"> will deprive a decision of statutory force. </w:t>
      </w:r>
      <w:r w:rsidR="00266D1A" w:rsidRPr="005E1802">
        <w:rPr>
          <w:rFonts w:ascii="Times New Roman" w:hAnsi="Times New Roman"/>
          <w:color w:val="000000"/>
          <w:shd w:val="clear" w:color="auto" w:fill="FFFFFF"/>
        </w:rPr>
        <w:t xml:space="preserve">Having been enunciated, </w:t>
      </w:r>
      <w:r w:rsidR="00AF5FA4" w:rsidRPr="005E1802">
        <w:rPr>
          <w:rFonts w:ascii="Times New Roman" w:hAnsi="Times New Roman"/>
          <w:color w:val="000000"/>
          <w:shd w:val="clear" w:color="auto" w:fill="FFFFFF"/>
        </w:rPr>
        <w:t xml:space="preserve">and subject always to being revisited, </w:t>
      </w:r>
      <w:r w:rsidR="005566A9" w:rsidRPr="005E1802">
        <w:rPr>
          <w:rFonts w:ascii="Times New Roman" w:hAnsi="Times New Roman"/>
          <w:color w:val="000000"/>
          <w:shd w:val="clear" w:color="auto" w:fill="FFFFFF"/>
        </w:rPr>
        <w:t>the principle</w:t>
      </w:r>
      <w:r w:rsidR="00266D1A" w:rsidRPr="005E1802">
        <w:rPr>
          <w:rFonts w:ascii="Times New Roman" w:hAnsi="Times New Roman"/>
          <w:color w:val="000000"/>
          <w:shd w:val="clear" w:color="auto" w:fill="FFFFFF"/>
        </w:rPr>
        <w:t xml:space="preserve"> </w:t>
      </w:r>
      <w:r w:rsidR="00D07166" w:rsidRPr="005E1802">
        <w:rPr>
          <w:rFonts w:ascii="Times New Roman" w:hAnsi="Times New Roman"/>
          <w:color w:val="000000"/>
          <w:shd w:val="clear" w:color="auto" w:fill="FFFFFF"/>
        </w:rPr>
        <w:t>can</w:t>
      </w:r>
      <w:r w:rsidR="00266D1A" w:rsidRPr="005E1802">
        <w:rPr>
          <w:rFonts w:ascii="Times New Roman" w:hAnsi="Times New Roman"/>
          <w:color w:val="000000"/>
          <w:shd w:val="clear" w:color="auto" w:fill="FFFFFF"/>
        </w:rPr>
        <w:t xml:space="preserve"> be treated as </w:t>
      </w:r>
      <w:r w:rsidR="00D81ED8" w:rsidRPr="005E1802">
        <w:rPr>
          <w:rFonts w:ascii="Times New Roman" w:hAnsi="Times New Roman"/>
          <w:color w:val="000000"/>
          <w:shd w:val="clear" w:color="auto" w:fill="FFFFFF"/>
        </w:rPr>
        <w:t>"a working hypothesis ... upon which statutory language will be interpreted"</w:t>
      </w:r>
      <w:r w:rsidR="00D81ED8" w:rsidRPr="005E1802">
        <w:rPr>
          <w:rStyle w:val="FootnoteReference"/>
          <w:rFonts w:ascii="Times New Roman" w:hAnsi="Times New Roman"/>
          <w:color w:val="000000"/>
          <w:sz w:val="24"/>
          <w:shd w:val="clear" w:color="auto" w:fill="FFFFFF"/>
        </w:rPr>
        <w:footnoteReference w:id="27"/>
      </w:r>
      <w:r w:rsidR="00D81ED8" w:rsidRPr="005E1802">
        <w:rPr>
          <w:rFonts w:ascii="Times New Roman" w:hAnsi="Times New Roman"/>
          <w:color w:val="000000"/>
          <w:shd w:val="clear" w:color="auto" w:fill="FFFFFF"/>
        </w:rPr>
        <w:t>.</w:t>
      </w:r>
    </w:p>
    <w:p w14:paraId="75FBBC5E" w14:textId="01FDBAFE" w:rsidR="00476317" w:rsidRPr="005E1802" w:rsidRDefault="0047631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3D5B0E" w:rsidRPr="005E1802">
        <w:rPr>
          <w:rFonts w:ascii="Times New Roman" w:hAnsi="Times New Roman"/>
        </w:rPr>
        <w:t>The qualification "ordinarily"</w:t>
      </w:r>
      <w:r w:rsidR="00A72734" w:rsidRPr="005E1802">
        <w:rPr>
          <w:rFonts w:ascii="Times New Roman" w:hAnsi="Times New Roman"/>
        </w:rPr>
        <w:t xml:space="preserve">, </w:t>
      </w:r>
      <w:r w:rsidR="00E1001E" w:rsidRPr="005E1802">
        <w:rPr>
          <w:rFonts w:ascii="Times New Roman" w:hAnsi="Times New Roman"/>
        </w:rPr>
        <w:t>and the focus on conditions required to be observed in the course of a decision-making process</w:t>
      </w:r>
      <w:r w:rsidR="00A72734" w:rsidRPr="005E1802">
        <w:rPr>
          <w:rFonts w:ascii="Times New Roman" w:hAnsi="Times New Roman"/>
        </w:rPr>
        <w:t>,</w:t>
      </w:r>
      <w:r w:rsidR="003D5B0E" w:rsidRPr="005E1802">
        <w:rPr>
          <w:rFonts w:ascii="Times New Roman" w:hAnsi="Times New Roman"/>
        </w:rPr>
        <w:t xml:space="preserve"> </w:t>
      </w:r>
      <w:r w:rsidR="00E1001E" w:rsidRPr="005E1802">
        <w:rPr>
          <w:rFonts w:ascii="Times New Roman" w:hAnsi="Times New Roman"/>
        </w:rPr>
        <w:t>are</w:t>
      </w:r>
      <w:r w:rsidR="003D5B0E" w:rsidRPr="005E1802">
        <w:rPr>
          <w:rFonts w:ascii="Times New Roman" w:hAnsi="Times New Roman"/>
        </w:rPr>
        <w:t xml:space="preserve"> important</w:t>
      </w:r>
      <w:r w:rsidR="00891D6C" w:rsidRPr="005E1802">
        <w:rPr>
          <w:rFonts w:ascii="Times New Roman" w:hAnsi="Times New Roman"/>
        </w:rPr>
        <w:t xml:space="preserve">. The </w:t>
      </w:r>
      <w:r w:rsidR="00063BED" w:rsidRPr="005E1802">
        <w:rPr>
          <w:rFonts w:ascii="Times New Roman" w:hAnsi="Times New Roman"/>
        </w:rPr>
        <w:t>threshold of materiality</w:t>
      </w:r>
      <w:r w:rsidR="00C525DE" w:rsidRPr="005E1802">
        <w:rPr>
          <w:rFonts w:ascii="Times New Roman" w:hAnsi="Times New Roman"/>
        </w:rPr>
        <w:t xml:space="preserve"> was not expressed to be </w:t>
      </w:r>
      <w:r w:rsidR="005E3516" w:rsidRPr="005E1802">
        <w:rPr>
          <w:rFonts w:ascii="Times New Roman" w:hAnsi="Times New Roman"/>
        </w:rPr>
        <w:t>a</w:t>
      </w:r>
      <w:r w:rsidR="000A6A1E" w:rsidRPr="005E1802">
        <w:rPr>
          <w:rFonts w:ascii="Times New Roman" w:hAnsi="Times New Roman"/>
        </w:rPr>
        <w:t>dditionally</w:t>
      </w:r>
      <w:r w:rsidR="005E3516" w:rsidRPr="005E1802">
        <w:rPr>
          <w:rFonts w:ascii="Times New Roman" w:hAnsi="Times New Roman"/>
        </w:rPr>
        <w:t xml:space="preserve"> </w:t>
      </w:r>
      <w:r w:rsidR="00C525DE" w:rsidRPr="005E1802">
        <w:rPr>
          <w:rFonts w:ascii="Times New Roman" w:hAnsi="Times New Roman"/>
        </w:rPr>
        <w:t xml:space="preserve">required to be met for </w:t>
      </w:r>
      <w:r w:rsidR="00616FEE" w:rsidRPr="005E1802">
        <w:rPr>
          <w:rFonts w:ascii="Times New Roman" w:hAnsi="Times New Roman"/>
        </w:rPr>
        <w:t>every</w:t>
      </w:r>
      <w:r w:rsidR="00144E81" w:rsidRPr="005E1802">
        <w:rPr>
          <w:rFonts w:ascii="Times New Roman" w:hAnsi="Times New Roman"/>
        </w:rPr>
        <w:t xml:space="preserve"> breach of </w:t>
      </w:r>
      <w:r w:rsidR="00616FEE" w:rsidRPr="005E1802">
        <w:rPr>
          <w:rFonts w:ascii="Times New Roman" w:hAnsi="Times New Roman"/>
        </w:rPr>
        <w:t>every</w:t>
      </w:r>
      <w:r w:rsidR="00B4676E" w:rsidRPr="005E1802">
        <w:rPr>
          <w:rFonts w:ascii="Times New Roman" w:hAnsi="Times New Roman"/>
        </w:rPr>
        <w:t xml:space="preserve"> </w:t>
      </w:r>
      <w:r w:rsidR="00144E81" w:rsidRPr="005E1802">
        <w:rPr>
          <w:rFonts w:ascii="Times New Roman" w:hAnsi="Times New Roman"/>
        </w:rPr>
        <w:t>condition of</w:t>
      </w:r>
      <w:r w:rsidR="00966ACC" w:rsidRPr="005E1802">
        <w:rPr>
          <w:rFonts w:ascii="Times New Roman" w:hAnsi="Times New Roman"/>
        </w:rPr>
        <w:t xml:space="preserve"> a conferral of statutory decision-making authority</w:t>
      </w:r>
      <w:r w:rsidR="00126D16" w:rsidRPr="005E1802">
        <w:rPr>
          <w:rFonts w:ascii="Times New Roman" w:hAnsi="Times New Roman"/>
        </w:rPr>
        <w:t xml:space="preserve"> to result in a decision-maker </w:t>
      </w:r>
      <w:r w:rsidR="00054EA7" w:rsidRPr="005E1802">
        <w:rPr>
          <w:rFonts w:ascii="Times New Roman" w:hAnsi="Times New Roman"/>
        </w:rPr>
        <w:t xml:space="preserve">having </w:t>
      </w:r>
      <w:r w:rsidR="00126D16" w:rsidRPr="005E1802">
        <w:rPr>
          <w:rFonts w:ascii="Times New Roman" w:hAnsi="Times New Roman"/>
        </w:rPr>
        <w:t>exceed</w:t>
      </w:r>
      <w:r w:rsidR="00054EA7" w:rsidRPr="005E1802">
        <w:rPr>
          <w:rFonts w:ascii="Times New Roman" w:hAnsi="Times New Roman"/>
        </w:rPr>
        <w:t>ed</w:t>
      </w:r>
      <w:r w:rsidR="00126D16" w:rsidRPr="005E1802">
        <w:rPr>
          <w:rFonts w:ascii="Times New Roman" w:hAnsi="Times New Roman"/>
        </w:rPr>
        <w:t xml:space="preserve"> the limits of the authority conferred by statute</w:t>
      </w:r>
      <w:r w:rsidR="00DA4E98" w:rsidRPr="005E1802">
        <w:rPr>
          <w:rFonts w:ascii="Times New Roman" w:hAnsi="Times New Roman"/>
        </w:rPr>
        <w:t xml:space="preserve"> in the absence of </w:t>
      </w:r>
      <w:r w:rsidR="00616FEE" w:rsidRPr="005E1802">
        <w:rPr>
          <w:rFonts w:ascii="Times New Roman" w:hAnsi="Times New Roman"/>
        </w:rPr>
        <w:t xml:space="preserve">an </w:t>
      </w:r>
      <w:r w:rsidR="00DA4E98" w:rsidRPr="005E1802">
        <w:rPr>
          <w:rFonts w:ascii="Times New Roman" w:hAnsi="Times New Roman"/>
        </w:rPr>
        <w:t>affirmative indication of a legislative intention to the contrary</w:t>
      </w:r>
      <w:r w:rsidR="00126D16" w:rsidRPr="005E1802">
        <w:rPr>
          <w:rFonts w:ascii="Times New Roman" w:hAnsi="Times New Roman"/>
        </w:rPr>
        <w:t>.</w:t>
      </w:r>
      <w:r w:rsidR="00DA4E98" w:rsidRPr="005E1802">
        <w:rPr>
          <w:rFonts w:ascii="Times New Roman" w:hAnsi="Times New Roman"/>
        </w:rPr>
        <w:t xml:space="preserve"> </w:t>
      </w:r>
      <w:r w:rsidR="00A62A73" w:rsidRPr="005E1802">
        <w:rPr>
          <w:rFonts w:ascii="Times New Roman" w:hAnsi="Times New Roman"/>
        </w:rPr>
        <w:t>T</w:t>
      </w:r>
      <w:r w:rsidR="00B13AEC" w:rsidRPr="005E1802">
        <w:rPr>
          <w:rFonts w:ascii="Times New Roman" w:hAnsi="Times New Roman"/>
        </w:rPr>
        <w:t xml:space="preserve">here are conditions </w:t>
      </w:r>
      <w:r w:rsidR="0074109C" w:rsidRPr="005E1802">
        <w:rPr>
          <w:rFonts w:ascii="Times New Roman" w:hAnsi="Times New Roman"/>
        </w:rPr>
        <w:t xml:space="preserve">routinely implied </w:t>
      </w:r>
      <w:r w:rsidR="00CB09AE" w:rsidRPr="005E1802">
        <w:rPr>
          <w:rFonts w:ascii="Times New Roman" w:hAnsi="Times New Roman"/>
        </w:rPr>
        <w:t xml:space="preserve">into conferrals of statutory decision-making authority </w:t>
      </w:r>
      <w:r w:rsidR="0074109C" w:rsidRPr="005E1802">
        <w:rPr>
          <w:rFonts w:ascii="Times New Roman" w:hAnsi="Times New Roman"/>
        </w:rPr>
        <w:t xml:space="preserve">by common law </w:t>
      </w:r>
      <w:r w:rsidR="00FA0215" w:rsidRPr="005E1802">
        <w:rPr>
          <w:rFonts w:ascii="Times New Roman" w:hAnsi="Times New Roman"/>
        </w:rPr>
        <w:t>principles of interpretation</w:t>
      </w:r>
      <w:r w:rsidR="00457F44" w:rsidRPr="005E1802">
        <w:rPr>
          <w:rFonts w:ascii="Times New Roman" w:hAnsi="Times New Roman"/>
        </w:rPr>
        <w:t xml:space="preserve"> which</w:t>
      </w:r>
      <w:r w:rsidR="009F0BB5" w:rsidRPr="005E1802">
        <w:rPr>
          <w:rFonts w:ascii="Times New Roman" w:hAnsi="Times New Roman"/>
        </w:rPr>
        <w:t xml:space="preserve">, </w:t>
      </w:r>
      <w:r w:rsidR="00F6040F" w:rsidRPr="005E1802">
        <w:rPr>
          <w:rFonts w:ascii="Times New Roman" w:hAnsi="Times New Roman"/>
        </w:rPr>
        <w:t>of their nature</w:t>
      </w:r>
      <w:r w:rsidR="009F0BB5" w:rsidRPr="005E1802">
        <w:rPr>
          <w:rFonts w:ascii="Times New Roman" w:hAnsi="Times New Roman"/>
        </w:rPr>
        <w:t xml:space="preserve">, </w:t>
      </w:r>
      <w:r w:rsidR="00F6040F" w:rsidRPr="005E1802">
        <w:rPr>
          <w:rFonts w:ascii="Times New Roman" w:hAnsi="Times New Roman"/>
        </w:rPr>
        <w:t>incorporate an element</w:t>
      </w:r>
      <w:r w:rsidR="00457F44" w:rsidRPr="005E1802">
        <w:rPr>
          <w:rFonts w:ascii="Times New Roman" w:hAnsi="Times New Roman"/>
        </w:rPr>
        <w:t xml:space="preserve"> </w:t>
      </w:r>
      <w:r w:rsidR="00575CE7" w:rsidRPr="005E1802">
        <w:rPr>
          <w:rFonts w:ascii="Times New Roman" w:hAnsi="Times New Roman"/>
        </w:rPr>
        <w:t>of material</w:t>
      </w:r>
      <w:r w:rsidR="00026DBD" w:rsidRPr="005E1802">
        <w:rPr>
          <w:rFonts w:ascii="Times New Roman" w:hAnsi="Times New Roman"/>
        </w:rPr>
        <w:t>ity,</w:t>
      </w:r>
      <w:r w:rsidR="00AA274E" w:rsidRPr="005E1802">
        <w:rPr>
          <w:rFonts w:ascii="Times New Roman" w:hAnsi="Times New Roman"/>
        </w:rPr>
        <w:t xml:space="preserve"> </w:t>
      </w:r>
      <w:r w:rsidR="00A0012C" w:rsidRPr="005E1802">
        <w:rPr>
          <w:rFonts w:ascii="Times New Roman" w:hAnsi="Times New Roman"/>
        </w:rPr>
        <w:t xml:space="preserve">non-compliance </w:t>
      </w:r>
      <w:r w:rsidR="00200ECB" w:rsidRPr="005E1802">
        <w:rPr>
          <w:rFonts w:ascii="Times New Roman" w:hAnsi="Times New Roman"/>
        </w:rPr>
        <w:t xml:space="preserve">with </w:t>
      </w:r>
      <w:r w:rsidR="00AA274E" w:rsidRPr="005E1802">
        <w:rPr>
          <w:rFonts w:ascii="Times New Roman" w:hAnsi="Times New Roman"/>
        </w:rPr>
        <w:t xml:space="preserve">which will </w:t>
      </w:r>
      <w:r w:rsidR="00E17002" w:rsidRPr="005E1802">
        <w:rPr>
          <w:rFonts w:ascii="Times New Roman" w:hAnsi="Times New Roman"/>
        </w:rPr>
        <w:t>result in a decision exceed</w:t>
      </w:r>
      <w:r w:rsidR="00C03590" w:rsidRPr="005E1802">
        <w:rPr>
          <w:rFonts w:ascii="Times New Roman" w:hAnsi="Times New Roman"/>
        </w:rPr>
        <w:t>ing</w:t>
      </w:r>
      <w:r w:rsidR="00E17002" w:rsidRPr="005E1802">
        <w:rPr>
          <w:rFonts w:ascii="Times New Roman" w:hAnsi="Times New Roman"/>
        </w:rPr>
        <w:t xml:space="preserve"> the limits of decision-making authority </w:t>
      </w:r>
      <w:r w:rsidR="00F06AD4" w:rsidRPr="005E1802">
        <w:rPr>
          <w:rFonts w:ascii="Times New Roman" w:hAnsi="Times New Roman"/>
        </w:rPr>
        <w:t xml:space="preserve">without </w:t>
      </w:r>
      <w:r w:rsidR="00F06AD4" w:rsidRPr="005E1802">
        <w:rPr>
          <w:rFonts w:ascii="Times New Roman" w:hAnsi="Times New Roman"/>
        </w:rPr>
        <w:lastRenderedPageBreak/>
        <w:t>any additional threshold needing to be met</w:t>
      </w:r>
      <w:r w:rsidR="00457F44" w:rsidRPr="005E1802">
        <w:rPr>
          <w:rFonts w:ascii="Times New Roman" w:hAnsi="Times New Roman"/>
        </w:rPr>
        <w:t xml:space="preserve">. </w:t>
      </w:r>
      <w:r w:rsidR="001E0AAD" w:rsidRPr="005E1802">
        <w:rPr>
          <w:rFonts w:ascii="Times New Roman" w:hAnsi="Times New Roman"/>
        </w:rPr>
        <w:t xml:space="preserve">The </w:t>
      </w:r>
      <w:r w:rsidR="00575CE7" w:rsidRPr="005E1802">
        <w:rPr>
          <w:rFonts w:ascii="Times New Roman" w:hAnsi="Times New Roman"/>
        </w:rPr>
        <w:t xml:space="preserve">standard </w:t>
      </w:r>
      <w:r w:rsidR="001E0AAD" w:rsidRPr="005E1802">
        <w:rPr>
          <w:rFonts w:ascii="Times New Roman" w:hAnsi="Times New Roman"/>
        </w:rPr>
        <w:t xml:space="preserve">condition that </w:t>
      </w:r>
      <w:r w:rsidR="00C03590" w:rsidRPr="005E1802">
        <w:rPr>
          <w:rFonts w:ascii="Times New Roman" w:hAnsi="Times New Roman"/>
        </w:rPr>
        <w:t>a</w:t>
      </w:r>
      <w:r w:rsidR="001E0AAD" w:rsidRPr="005E1802">
        <w:rPr>
          <w:rFonts w:ascii="Times New Roman" w:hAnsi="Times New Roman"/>
        </w:rPr>
        <w:t xml:space="preserve"> </w:t>
      </w:r>
      <w:r w:rsidR="00620C8E" w:rsidRPr="005E1802">
        <w:rPr>
          <w:rFonts w:ascii="Times New Roman" w:hAnsi="Times New Roman"/>
        </w:rPr>
        <w:t xml:space="preserve">decision-maker be free from </w:t>
      </w:r>
      <w:r w:rsidR="00C169B0" w:rsidRPr="005E1802">
        <w:rPr>
          <w:rFonts w:ascii="Times New Roman" w:hAnsi="Times New Roman"/>
        </w:rPr>
        <w:t xml:space="preserve">actual or apprehended bias is one </w:t>
      </w:r>
      <w:r w:rsidR="007E29C0" w:rsidRPr="005E1802">
        <w:rPr>
          <w:rFonts w:ascii="Times New Roman" w:hAnsi="Times New Roman"/>
        </w:rPr>
        <w:t>example</w:t>
      </w:r>
      <w:r w:rsidR="00182D78" w:rsidRPr="005E1802">
        <w:rPr>
          <w:rStyle w:val="FootnoteReference"/>
          <w:rFonts w:ascii="Times New Roman" w:hAnsi="Times New Roman"/>
          <w:sz w:val="24"/>
        </w:rPr>
        <w:footnoteReference w:id="28"/>
      </w:r>
      <w:r w:rsidR="007E29C0" w:rsidRPr="005E1802">
        <w:rPr>
          <w:rFonts w:ascii="Times New Roman" w:hAnsi="Times New Roman"/>
        </w:rPr>
        <w:t xml:space="preserve">. </w:t>
      </w:r>
      <w:r w:rsidR="00265B90" w:rsidRPr="005E1802">
        <w:rPr>
          <w:rFonts w:ascii="Times New Roman" w:hAnsi="Times New Roman"/>
        </w:rPr>
        <w:t xml:space="preserve">The </w:t>
      </w:r>
      <w:r w:rsidR="00575CE7" w:rsidRPr="005E1802">
        <w:rPr>
          <w:rFonts w:ascii="Times New Roman" w:hAnsi="Times New Roman"/>
        </w:rPr>
        <w:t>stand</w:t>
      </w:r>
      <w:r w:rsidR="0074109C" w:rsidRPr="005E1802">
        <w:rPr>
          <w:rFonts w:ascii="Times New Roman" w:hAnsi="Times New Roman"/>
        </w:rPr>
        <w:t xml:space="preserve">ard </w:t>
      </w:r>
      <w:r w:rsidR="00265B90" w:rsidRPr="005E1802">
        <w:rPr>
          <w:rFonts w:ascii="Times New Roman" w:hAnsi="Times New Roman"/>
        </w:rPr>
        <w:t xml:space="preserve">condition </w:t>
      </w:r>
      <w:r w:rsidR="00283A41" w:rsidRPr="005E1802">
        <w:rPr>
          <w:rFonts w:ascii="Times New Roman" w:hAnsi="Times New Roman"/>
        </w:rPr>
        <w:t xml:space="preserve">that </w:t>
      </w:r>
      <w:r w:rsidR="00A3056E" w:rsidRPr="005E1802">
        <w:rPr>
          <w:rFonts w:ascii="Times New Roman" w:hAnsi="Times New Roman"/>
        </w:rPr>
        <w:t>the ultimate</w:t>
      </w:r>
      <w:r w:rsidR="00283A41" w:rsidRPr="005E1802">
        <w:rPr>
          <w:rFonts w:ascii="Times New Roman" w:hAnsi="Times New Roman"/>
        </w:rPr>
        <w:t xml:space="preserve"> decision</w:t>
      </w:r>
      <w:r w:rsidR="00845268" w:rsidRPr="005E1802">
        <w:rPr>
          <w:rFonts w:ascii="Times New Roman" w:hAnsi="Times New Roman"/>
        </w:rPr>
        <w:t xml:space="preserve"> that is made</w:t>
      </w:r>
      <w:r w:rsidR="00283A41" w:rsidRPr="005E1802">
        <w:rPr>
          <w:rFonts w:ascii="Times New Roman" w:hAnsi="Times New Roman"/>
        </w:rPr>
        <w:t xml:space="preserve"> </w:t>
      </w:r>
      <w:r w:rsidR="00845268" w:rsidRPr="005E1802">
        <w:rPr>
          <w:rFonts w:ascii="Times New Roman" w:hAnsi="Times New Roman"/>
        </w:rPr>
        <w:t>lie</w:t>
      </w:r>
      <w:r w:rsidR="00283A41" w:rsidRPr="005E1802">
        <w:rPr>
          <w:rFonts w:ascii="Times New Roman" w:hAnsi="Times New Roman"/>
        </w:rPr>
        <w:t xml:space="preserve"> within the bounds of reasonableness</w:t>
      </w:r>
      <w:r w:rsidR="00902309" w:rsidRPr="005E1802">
        <w:rPr>
          <w:rFonts w:ascii="Times New Roman" w:hAnsi="Times New Roman"/>
        </w:rPr>
        <w:t xml:space="preserve"> is another</w:t>
      </w:r>
      <w:r w:rsidR="00283A41" w:rsidRPr="005E1802">
        <w:rPr>
          <w:rStyle w:val="FootnoteReference"/>
          <w:rFonts w:ascii="Times New Roman" w:hAnsi="Times New Roman"/>
          <w:sz w:val="24"/>
        </w:rPr>
        <w:footnoteReference w:id="29"/>
      </w:r>
      <w:r w:rsidR="00902309" w:rsidRPr="005E1802">
        <w:rPr>
          <w:rFonts w:ascii="Times New Roman" w:hAnsi="Times New Roman"/>
        </w:rPr>
        <w:t>.</w:t>
      </w:r>
    </w:p>
    <w:p w14:paraId="711837A4" w14:textId="2E9F7238" w:rsidR="00366B79" w:rsidRPr="005E1802" w:rsidRDefault="00366B79"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C02763" w:rsidRPr="005E1802">
        <w:rPr>
          <w:rFonts w:ascii="Times New Roman" w:hAnsi="Times New Roman"/>
        </w:rPr>
        <w:t>Beyond</w:t>
      </w:r>
      <w:r w:rsidR="000D6DF8" w:rsidRPr="005E1802">
        <w:rPr>
          <w:rFonts w:ascii="Times New Roman" w:hAnsi="Times New Roman"/>
        </w:rPr>
        <w:t xml:space="preserve"> </w:t>
      </w:r>
      <w:r w:rsidR="0024104F" w:rsidRPr="005E1802">
        <w:rPr>
          <w:rFonts w:ascii="Times New Roman" w:hAnsi="Times New Roman"/>
        </w:rPr>
        <w:t>observ</w:t>
      </w:r>
      <w:r w:rsidR="006B4A2A" w:rsidRPr="005E1802">
        <w:rPr>
          <w:rFonts w:ascii="Times New Roman" w:hAnsi="Times New Roman"/>
        </w:rPr>
        <w:t>ing</w:t>
      </w:r>
      <w:r w:rsidR="0024104F" w:rsidRPr="005E1802">
        <w:rPr>
          <w:rFonts w:ascii="Times New Roman" w:hAnsi="Times New Roman"/>
        </w:rPr>
        <w:t xml:space="preserve"> </w:t>
      </w:r>
      <w:r w:rsidR="0038113A" w:rsidRPr="005E1802">
        <w:rPr>
          <w:rFonts w:ascii="Times New Roman" w:hAnsi="Times New Roman"/>
        </w:rPr>
        <w:t xml:space="preserve">that the </w:t>
      </w:r>
      <w:r w:rsidR="00AD4343" w:rsidRPr="005E1802">
        <w:rPr>
          <w:rFonts w:ascii="Times New Roman" w:hAnsi="Times New Roman"/>
        </w:rPr>
        <w:t>th</w:t>
      </w:r>
      <w:r w:rsidR="0038113A" w:rsidRPr="005E1802">
        <w:rPr>
          <w:rFonts w:ascii="Times New Roman" w:hAnsi="Times New Roman"/>
        </w:rPr>
        <w:t>reshold of materialit</w:t>
      </w:r>
      <w:r w:rsidR="00D637AD" w:rsidRPr="005E1802">
        <w:rPr>
          <w:rFonts w:ascii="Times New Roman" w:hAnsi="Times New Roman"/>
        </w:rPr>
        <w:t xml:space="preserve">y </w:t>
      </w:r>
      <w:r w:rsidR="00273DC5" w:rsidRPr="005E1802">
        <w:rPr>
          <w:rFonts w:ascii="Times New Roman" w:hAnsi="Times New Roman"/>
        </w:rPr>
        <w:t>w</w:t>
      </w:r>
      <w:r w:rsidR="00013B4A" w:rsidRPr="005E1802">
        <w:rPr>
          <w:rFonts w:ascii="Times New Roman" w:hAnsi="Times New Roman"/>
        </w:rPr>
        <w:t>ill</w:t>
      </w:r>
      <w:r w:rsidR="00273DC5" w:rsidRPr="005E1802">
        <w:rPr>
          <w:rFonts w:ascii="Times New Roman" w:hAnsi="Times New Roman"/>
        </w:rPr>
        <w:t xml:space="preserve"> not ordinarily be met in the event of a failure</w:t>
      </w:r>
      <w:r w:rsidR="007651C8" w:rsidRPr="005E1802">
        <w:rPr>
          <w:rFonts w:ascii="Times New Roman" w:hAnsi="Times New Roman"/>
        </w:rPr>
        <w:t xml:space="preserve"> to comply with </w:t>
      </w:r>
      <w:r w:rsidR="00995094" w:rsidRPr="005E1802">
        <w:rPr>
          <w:rFonts w:ascii="Times New Roman" w:hAnsi="Times New Roman"/>
        </w:rPr>
        <w:t>a condition of a conferral of statutory decision-making authority</w:t>
      </w:r>
      <w:r w:rsidR="007651C8" w:rsidRPr="005E1802">
        <w:rPr>
          <w:rFonts w:ascii="Times New Roman" w:hAnsi="Times New Roman"/>
        </w:rPr>
        <w:t xml:space="preserve"> "if complying with the condition could have made no difference </w:t>
      </w:r>
      <w:r w:rsidR="00B340BC" w:rsidRPr="005E1802">
        <w:rPr>
          <w:rFonts w:ascii="Times New Roman" w:hAnsi="Times New Roman"/>
        </w:rPr>
        <w:t>to th</w:t>
      </w:r>
      <w:r w:rsidR="00E338D7" w:rsidRPr="005E1802">
        <w:rPr>
          <w:rFonts w:ascii="Times New Roman" w:hAnsi="Times New Roman"/>
        </w:rPr>
        <w:t>e</w:t>
      </w:r>
      <w:r w:rsidR="00B340BC" w:rsidRPr="005E1802">
        <w:rPr>
          <w:rFonts w:ascii="Times New Roman" w:hAnsi="Times New Roman"/>
        </w:rPr>
        <w:t xml:space="preserve"> decision that was made in the circumstances in which th</w:t>
      </w:r>
      <w:r w:rsidR="00E338D7" w:rsidRPr="005E1802">
        <w:rPr>
          <w:rFonts w:ascii="Times New Roman" w:hAnsi="Times New Roman"/>
        </w:rPr>
        <w:t>at</w:t>
      </w:r>
      <w:r w:rsidR="00B340BC" w:rsidRPr="005E1802">
        <w:rPr>
          <w:rFonts w:ascii="Times New Roman" w:hAnsi="Times New Roman"/>
        </w:rPr>
        <w:t xml:space="preserve"> </w:t>
      </w:r>
      <w:r w:rsidR="00AD4343" w:rsidRPr="005E1802">
        <w:rPr>
          <w:rFonts w:ascii="Times New Roman" w:hAnsi="Times New Roman"/>
        </w:rPr>
        <w:t>decision was made</w:t>
      </w:r>
      <w:r w:rsidR="00B6757C" w:rsidRPr="005E1802">
        <w:rPr>
          <w:rFonts w:ascii="Times New Roman" w:hAnsi="Times New Roman"/>
        </w:rPr>
        <w:t>"</w:t>
      </w:r>
      <w:r w:rsidR="00A26A99" w:rsidRPr="005E1802">
        <w:rPr>
          <w:rStyle w:val="FootnoteReference"/>
          <w:rFonts w:ascii="Times New Roman" w:hAnsi="Times New Roman"/>
          <w:sz w:val="24"/>
        </w:rPr>
        <w:footnoteReference w:id="30"/>
      </w:r>
      <w:r w:rsidR="00D874FE" w:rsidRPr="005E1802">
        <w:rPr>
          <w:rFonts w:ascii="Times New Roman" w:hAnsi="Times New Roman"/>
        </w:rPr>
        <w:t>,</w:t>
      </w:r>
      <w:r w:rsidR="00AD4343" w:rsidRPr="005E1802">
        <w:rPr>
          <w:rFonts w:ascii="Times New Roman" w:hAnsi="Times New Roman"/>
        </w:rPr>
        <w:t xml:space="preserve"> the </w:t>
      </w:r>
      <w:r w:rsidR="00E24C13" w:rsidRPr="005E1802">
        <w:rPr>
          <w:rFonts w:ascii="Times New Roman" w:hAnsi="Times New Roman"/>
        </w:rPr>
        <w:t>plurality</w:t>
      </w:r>
      <w:r w:rsidR="00AD4343" w:rsidRPr="005E1802">
        <w:rPr>
          <w:rFonts w:ascii="Times New Roman" w:hAnsi="Times New Roman"/>
        </w:rPr>
        <w:t xml:space="preserve"> in </w:t>
      </w:r>
      <w:r w:rsidR="00AD4343" w:rsidRPr="005E1802">
        <w:rPr>
          <w:rFonts w:ascii="Times New Roman" w:hAnsi="Times New Roman"/>
          <w:i/>
        </w:rPr>
        <w:t>Hossain</w:t>
      </w:r>
      <w:r w:rsidR="00AD4343" w:rsidRPr="005E1802">
        <w:rPr>
          <w:rFonts w:ascii="Times New Roman" w:hAnsi="Times New Roman"/>
        </w:rPr>
        <w:t xml:space="preserve"> </w:t>
      </w:r>
      <w:r w:rsidR="00E24C13" w:rsidRPr="005E1802">
        <w:rPr>
          <w:rFonts w:ascii="Times New Roman" w:hAnsi="Times New Roman"/>
        </w:rPr>
        <w:t xml:space="preserve">did not </w:t>
      </w:r>
      <w:r w:rsidR="004B32AD" w:rsidRPr="005E1802">
        <w:rPr>
          <w:rFonts w:ascii="Times New Roman" w:hAnsi="Times New Roman"/>
        </w:rPr>
        <w:t>e</w:t>
      </w:r>
      <w:r w:rsidR="00221180" w:rsidRPr="005E1802">
        <w:rPr>
          <w:rFonts w:ascii="Times New Roman" w:hAnsi="Times New Roman"/>
        </w:rPr>
        <w:t xml:space="preserve">laborate </w:t>
      </w:r>
      <w:r w:rsidR="00352B5F" w:rsidRPr="005E1802">
        <w:rPr>
          <w:rFonts w:ascii="Times New Roman" w:hAnsi="Times New Roman"/>
        </w:rPr>
        <w:t>on</w:t>
      </w:r>
      <w:r w:rsidR="00E24C13" w:rsidRPr="005E1802">
        <w:rPr>
          <w:rFonts w:ascii="Times New Roman" w:hAnsi="Times New Roman"/>
        </w:rPr>
        <w:t xml:space="preserve"> the </w:t>
      </w:r>
      <w:r w:rsidR="0031750E" w:rsidRPr="005E1802">
        <w:rPr>
          <w:rFonts w:ascii="Times New Roman" w:hAnsi="Times New Roman"/>
        </w:rPr>
        <w:t xml:space="preserve">content of </w:t>
      </w:r>
      <w:r w:rsidR="00AE734B" w:rsidRPr="005E1802">
        <w:rPr>
          <w:rFonts w:ascii="Times New Roman" w:hAnsi="Times New Roman"/>
        </w:rPr>
        <w:t>materiality</w:t>
      </w:r>
      <w:r w:rsidR="005318A7" w:rsidRPr="005E1802">
        <w:rPr>
          <w:rFonts w:ascii="Times New Roman" w:hAnsi="Times New Roman"/>
        </w:rPr>
        <w:t xml:space="preserve">. </w:t>
      </w:r>
      <w:r w:rsidR="0031750E" w:rsidRPr="005E1802">
        <w:rPr>
          <w:rFonts w:ascii="Times New Roman" w:hAnsi="Times New Roman"/>
        </w:rPr>
        <w:t>Nor</w:t>
      </w:r>
      <w:r w:rsidR="005318A7" w:rsidRPr="005E1802">
        <w:rPr>
          <w:rFonts w:ascii="Times New Roman" w:hAnsi="Times New Roman"/>
        </w:rPr>
        <w:t xml:space="preserve"> was </w:t>
      </w:r>
      <w:r w:rsidR="0031750E" w:rsidRPr="005E1802">
        <w:rPr>
          <w:rFonts w:ascii="Times New Roman" w:hAnsi="Times New Roman"/>
        </w:rPr>
        <w:t>there</w:t>
      </w:r>
      <w:r w:rsidR="005318A7" w:rsidRPr="005E1802">
        <w:rPr>
          <w:rFonts w:ascii="Times New Roman" w:hAnsi="Times New Roman"/>
        </w:rPr>
        <w:t xml:space="preserve"> occasion in </w:t>
      </w:r>
      <w:r w:rsidR="005318A7" w:rsidRPr="005E1802">
        <w:rPr>
          <w:rFonts w:ascii="Times New Roman" w:hAnsi="Times New Roman"/>
          <w:i/>
        </w:rPr>
        <w:t>Hossain</w:t>
      </w:r>
      <w:r w:rsidR="005318A7" w:rsidRPr="005E1802">
        <w:rPr>
          <w:rFonts w:ascii="Times New Roman" w:hAnsi="Times New Roman"/>
        </w:rPr>
        <w:t xml:space="preserve"> to</w:t>
      </w:r>
      <w:r w:rsidR="00190745" w:rsidRPr="005E1802">
        <w:rPr>
          <w:rFonts w:ascii="Times New Roman" w:hAnsi="Times New Roman"/>
        </w:rPr>
        <w:t xml:space="preserve"> </w:t>
      </w:r>
      <w:r w:rsidR="006F5F5D" w:rsidRPr="005E1802">
        <w:rPr>
          <w:rFonts w:ascii="Times New Roman" w:hAnsi="Times New Roman"/>
        </w:rPr>
        <w:t>examine</w:t>
      </w:r>
      <w:r w:rsidR="00AC2A67" w:rsidRPr="005E1802">
        <w:rPr>
          <w:rFonts w:ascii="Times New Roman" w:hAnsi="Times New Roman"/>
        </w:rPr>
        <w:t xml:space="preserve"> </w:t>
      </w:r>
      <w:r w:rsidR="00D25C24" w:rsidRPr="005E1802">
        <w:rPr>
          <w:rFonts w:ascii="Times New Roman" w:hAnsi="Times New Roman"/>
        </w:rPr>
        <w:t xml:space="preserve">the </w:t>
      </w:r>
      <w:r w:rsidR="00DE4539" w:rsidRPr="005E1802">
        <w:rPr>
          <w:rFonts w:ascii="Times New Roman" w:hAnsi="Times New Roman"/>
        </w:rPr>
        <w:t>onus of proof</w:t>
      </w:r>
      <w:r w:rsidR="00D25C24" w:rsidRPr="005E1802">
        <w:rPr>
          <w:rFonts w:ascii="Times New Roman" w:hAnsi="Times New Roman"/>
        </w:rPr>
        <w:t xml:space="preserve"> of materiality</w:t>
      </w:r>
      <w:r w:rsidR="00D874FE" w:rsidRPr="005E1802">
        <w:rPr>
          <w:rFonts w:ascii="Times New Roman" w:hAnsi="Times New Roman"/>
        </w:rPr>
        <w:t xml:space="preserve"> </w:t>
      </w:r>
      <w:r w:rsidR="00DD25B2" w:rsidRPr="005E1802">
        <w:rPr>
          <w:rFonts w:ascii="Times New Roman" w:hAnsi="Times New Roman"/>
        </w:rPr>
        <w:t>i</w:t>
      </w:r>
      <w:r w:rsidR="00D874FE" w:rsidRPr="005E1802">
        <w:rPr>
          <w:rFonts w:ascii="Times New Roman" w:hAnsi="Times New Roman"/>
        </w:rPr>
        <w:t>n an application for judicial review</w:t>
      </w:r>
      <w:r w:rsidR="00540471" w:rsidRPr="005E1802">
        <w:rPr>
          <w:rFonts w:ascii="Times New Roman" w:hAnsi="Times New Roman"/>
        </w:rPr>
        <w:t xml:space="preserve"> of an administrative decision.</w:t>
      </w:r>
    </w:p>
    <w:p w14:paraId="167A148B" w14:textId="3DEAC35F" w:rsidR="00C43AE6" w:rsidRPr="005E1802" w:rsidRDefault="00540471"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Occasion </w:t>
      </w:r>
      <w:r w:rsidR="00B10678" w:rsidRPr="005E1802">
        <w:rPr>
          <w:rFonts w:ascii="Times New Roman" w:hAnsi="Times New Roman"/>
        </w:rPr>
        <w:t xml:space="preserve">both to </w:t>
      </w:r>
      <w:r w:rsidR="0098340E" w:rsidRPr="005E1802">
        <w:rPr>
          <w:rFonts w:ascii="Times New Roman" w:hAnsi="Times New Roman"/>
        </w:rPr>
        <w:t>ex</w:t>
      </w:r>
      <w:r w:rsidR="00DA1BCC" w:rsidRPr="005E1802">
        <w:rPr>
          <w:rFonts w:ascii="Times New Roman" w:hAnsi="Times New Roman"/>
        </w:rPr>
        <w:t>amine</w:t>
      </w:r>
      <w:r w:rsidR="00B10678" w:rsidRPr="005E1802">
        <w:rPr>
          <w:rFonts w:ascii="Times New Roman" w:hAnsi="Times New Roman"/>
        </w:rPr>
        <w:t xml:space="preserve"> the content of materiality </w:t>
      </w:r>
      <w:r w:rsidR="00DA1BCC" w:rsidRPr="005E1802">
        <w:rPr>
          <w:rFonts w:ascii="Times New Roman" w:hAnsi="Times New Roman"/>
        </w:rPr>
        <w:t>and</w:t>
      </w:r>
      <w:r w:rsidRPr="005E1802">
        <w:rPr>
          <w:rFonts w:ascii="Times New Roman" w:hAnsi="Times New Roman"/>
        </w:rPr>
        <w:t xml:space="preserve"> </w:t>
      </w:r>
      <w:r w:rsidR="00A638C0" w:rsidRPr="005E1802">
        <w:rPr>
          <w:rFonts w:ascii="Times New Roman" w:hAnsi="Times New Roman"/>
        </w:rPr>
        <w:t xml:space="preserve">to consider </w:t>
      </w:r>
      <w:r w:rsidRPr="005E1802">
        <w:rPr>
          <w:rFonts w:ascii="Times New Roman" w:hAnsi="Times New Roman"/>
        </w:rPr>
        <w:t>the onus of</w:t>
      </w:r>
      <w:r w:rsidR="00352B5F" w:rsidRPr="005E1802">
        <w:rPr>
          <w:rFonts w:ascii="Times New Roman" w:hAnsi="Times New Roman"/>
        </w:rPr>
        <w:t xml:space="preserve"> its</w:t>
      </w:r>
      <w:r w:rsidRPr="005E1802">
        <w:rPr>
          <w:rFonts w:ascii="Times New Roman" w:hAnsi="Times New Roman"/>
        </w:rPr>
        <w:t xml:space="preserve"> proof in an application for judicial review</w:t>
      </w:r>
      <w:r w:rsidR="0098340E" w:rsidRPr="005E1802">
        <w:rPr>
          <w:rFonts w:ascii="Times New Roman" w:hAnsi="Times New Roman"/>
        </w:rPr>
        <w:t xml:space="preserve"> </w:t>
      </w:r>
      <w:r w:rsidR="00BD06FD" w:rsidRPr="005E1802">
        <w:rPr>
          <w:rFonts w:ascii="Times New Roman" w:hAnsi="Times New Roman"/>
        </w:rPr>
        <w:t xml:space="preserve">of an administrative decision </w:t>
      </w:r>
      <w:r w:rsidR="0098340E" w:rsidRPr="005E1802">
        <w:rPr>
          <w:rFonts w:ascii="Times New Roman" w:hAnsi="Times New Roman"/>
        </w:rPr>
        <w:t xml:space="preserve">arose in </w:t>
      </w:r>
      <w:r w:rsidR="009C72FB" w:rsidRPr="005E1802">
        <w:rPr>
          <w:rFonts w:ascii="Times New Roman" w:hAnsi="Times New Roman"/>
          <w:i/>
        </w:rPr>
        <w:t>SZMTA</w:t>
      </w:r>
      <w:r w:rsidR="009C72FB" w:rsidRPr="005E1802">
        <w:rPr>
          <w:rFonts w:ascii="Times New Roman" w:hAnsi="Times New Roman"/>
        </w:rPr>
        <w:t xml:space="preserve">. </w:t>
      </w:r>
      <w:r w:rsidR="00F14CB2" w:rsidRPr="005E1802">
        <w:rPr>
          <w:rFonts w:ascii="Times New Roman" w:hAnsi="Times New Roman"/>
        </w:rPr>
        <w:t>The</w:t>
      </w:r>
      <w:r w:rsidR="00E51DEA" w:rsidRPr="005E1802">
        <w:rPr>
          <w:rFonts w:ascii="Times New Roman" w:hAnsi="Times New Roman"/>
        </w:rPr>
        <w:t>re the</w:t>
      </w:r>
      <w:r w:rsidR="00F14CB2" w:rsidRPr="005E1802">
        <w:rPr>
          <w:rFonts w:ascii="Times New Roman" w:hAnsi="Times New Roman"/>
        </w:rPr>
        <w:t xml:space="preserve"> </w:t>
      </w:r>
      <w:r w:rsidR="00523337" w:rsidRPr="005E1802">
        <w:rPr>
          <w:rFonts w:ascii="Times New Roman" w:hAnsi="Times New Roman"/>
        </w:rPr>
        <w:t>majority</w:t>
      </w:r>
      <w:r w:rsidR="00F14CB2" w:rsidRPr="005E1802">
        <w:rPr>
          <w:rFonts w:ascii="Times New Roman" w:hAnsi="Times New Roman"/>
        </w:rPr>
        <w:t xml:space="preserve"> </w:t>
      </w:r>
      <w:r w:rsidR="00E51DEA" w:rsidRPr="005E1802">
        <w:rPr>
          <w:rFonts w:ascii="Times New Roman" w:hAnsi="Times New Roman"/>
        </w:rPr>
        <w:t xml:space="preserve">constituted by Bell, </w:t>
      </w:r>
      <w:r w:rsidR="00CF38B9" w:rsidRPr="005E1802">
        <w:rPr>
          <w:rFonts w:ascii="Times New Roman" w:hAnsi="Times New Roman"/>
        </w:rPr>
        <w:t xml:space="preserve">Gageler and Keane </w:t>
      </w:r>
      <w:r w:rsidR="00E51DEA" w:rsidRPr="005E1802">
        <w:rPr>
          <w:rFonts w:ascii="Times New Roman" w:hAnsi="Times New Roman"/>
        </w:rPr>
        <w:t xml:space="preserve">JJ </w:t>
      </w:r>
      <w:r w:rsidR="000C1A36" w:rsidRPr="005E1802">
        <w:rPr>
          <w:rFonts w:ascii="Times New Roman" w:hAnsi="Times New Roman"/>
        </w:rPr>
        <w:t>held that</w:t>
      </w:r>
      <w:r w:rsidR="004A3034" w:rsidRPr="005E1802">
        <w:rPr>
          <w:rFonts w:ascii="Times New Roman" w:hAnsi="Times New Roman"/>
        </w:rPr>
        <w:t xml:space="preserve"> "[</w:t>
      </w:r>
      <w:r w:rsidR="00317DCD" w:rsidRPr="005E1802">
        <w:rPr>
          <w:rFonts w:ascii="Times New Roman" w:hAnsi="Times New Roman"/>
        </w:rPr>
        <w:t>a]</w:t>
      </w:r>
      <w:r w:rsidR="004A3034" w:rsidRPr="005E1802">
        <w:rPr>
          <w:rFonts w:ascii="Times New Roman" w:hAnsi="Times New Roman"/>
        </w:rPr>
        <w:t xml:space="preserve"> breach is material to a decision only if compliance could realistically have resulted in a different decision</w:t>
      </w:r>
      <w:r w:rsidR="00317DCD" w:rsidRPr="005E1802">
        <w:rPr>
          <w:rFonts w:ascii="Times New Roman" w:hAnsi="Times New Roman"/>
        </w:rPr>
        <w:t>"</w:t>
      </w:r>
      <w:r w:rsidR="003D0751" w:rsidRPr="005E1802">
        <w:rPr>
          <w:rStyle w:val="FootnoteReference"/>
          <w:rFonts w:ascii="Times New Roman" w:hAnsi="Times New Roman"/>
          <w:sz w:val="24"/>
        </w:rPr>
        <w:footnoteReference w:id="31"/>
      </w:r>
      <w:r w:rsidR="003D0751" w:rsidRPr="005E1802">
        <w:rPr>
          <w:rFonts w:ascii="Times New Roman" w:hAnsi="Times New Roman"/>
        </w:rPr>
        <w:t xml:space="preserve"> and that </w:t>
      </w:r>
      <w:r w:rsidR="00486648" w:rsidRPr="005E1802">
        <w:rPr>
          <w:rFonts w:ascii="Times New Roman" w:hAnsi="Times New Roman"/>
        </w:rPr>
        <w:t>"the question of the materiality of the breach is an ordinary question of fact in respect of which the applicant [for judicial review</w:t>
      </w:r>
      <w:r w:rsidR="00255B4F" w:rsidRPr="005E1802">
        <w:rPr>
          <w:rFonts w:ascii="Times New Roman" w:hAnsi="Times New Roman"/>
        </w:rPr>
        <w:t xml:space="preserve">] </w:t>
      </w:r>
      <w:r w:rsidR="00486648" w:rsidRPr="005E1802">
        <w:rPr>
          <w:rFonts w:ascii="Times New Roman" w:hAnsi="Times New Roman"/>
        </w:rPr>
        <w:t>bears the onus of proof</w:t>
      </w:r>
      <w:r w:rsidR="00255B4F" w:rsidRPr="005E1802">
        <w:rPr>
          <w:rFonts w:ascii="Times New Roman" w:hAnsi="Times New Roman"/>
        </w:rPr>
        <w:t>"</w:t>
      </w:r>
      <w:r w:rsidR="003D0751" w:rsidRPr="005E1802">
        <w:rPr>
          <w:rStyle w:val="FootnoteReference"/>
          <w:rFonts w:ascii="Times New Roman" w:hAnsi="Times New Roman"/>
          <w:sz w:val="24"/>
        </w:rPr>
        <w:footnoteReference w:id="32"/>
      </w:r>
      <w:r w:rsidR="003D0751" w:rsidRPr="005E1802">
        <w:rPr>
          <w:rFonts w:ascii="Times New Roman" w:hAnsi="Times New Roman"/>
        </w:rPr>
        <w:t>.</w:t>
      </w:r>
      <w:r w:rsidR="009C4AD5" w:rsidRPr="005E1802">
        <w:rPr>
          <w:rFonts w:ascii="Times New Roman" w:hAnsi="Times New Roman"/>
        </w:rPr>
        <w:t xml:space="preserve"> </w:t>
      </w:r>
    </w:p>
    <w:p w14:paraId="4B6E3BB9" w14:textId="0E982E6E" w:rsidR="00540471" w:rsidRPr="005E1802" w:rsidRDefault="00C43AE6"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Those holdings </w:t>
      </w:r>
      <w:r w:rsidR="003F3318" w:rsidRPr="005E1802">
        <w:rPr>
          <w:rFonts w:ascii="Times New Roman" w:hAnsi="Times New Roman"/>
        </w:rPr>
        <w:t xml:space="preserve">of the </w:t>
      </w:r>
      <w:r w:rsidR="00523337" w:rsidRPr="005E1802">
        <w:rPr>
          <w:rFonts w:ascii="Times New Roman" w:hAnsi="Times New Roman"/>
        </w:rPr>
        <w:t>majority</w:t>
      </w:r>
      <w:r w:rsidR="003F3318" w:rsidRPr="005E1802">
        <w:rPr>
          <w:rFonts w:ascii="Times New Roman" w:hAnsi="Times New Roman"/>
        </w:rPr>
        <w:t xml:space="preserve"> </w:t>
      </w:r>
      <w:r w:rsidR="00D94751" w:rsidRPr="005E1802">
        <w:rPr>
          <w:rFonts w:ascii="Times New Roman" w:hAnsi="Times New Roman"/>
        </w:rPr>
        <w:t>were determinative of</w:t>
      </w:r>
      <w:r w:rsidR="00B508A1" w:rsidRPr="005E1802">
        <w:rPr>
          <w:rFonts w:ascii="Times New Roman" w:hAnsi="Times New Roman"/>
        </w:rPr>
        <w:t xml:space="preserve"> the outcome </w:t>
      </w:r>
      <w:r w:rsidR="008D129E" w:rsidRPr="005E1802">
        <w:rPr>
          <w:rFonts w:ascii="Times New Roman" w:hAnsi="Times New Roman"/>
        </w:rPr>
        <w:t>in</w:t>
      </w:r>
      <w:r w:rsidR="003F3318" w:rsidRPr="005E1802">
        <w:rPr>
          <w:rFonts w:ascii="Times New Roman" w:hAnsi="Times New Roman"/>
        </w:rPr>
        <w:t xml:space="preserve"> </w:t>
      </w:r>
      <w:r w:rsidR="003F3318" w:rsidRPr="005E1802">
        <w:rPr>
          <w:rFonts w:ascii="Times New Roman" w:hAnsi="Times New Roman"/>
          <w:i/>
        </w:rPr>
        <w:t>SZMTA</w:t>
      </w:r>
      <w:r w:rsidR="003F3318" w:rsidRPr="005E1802">
        <w:rPr>
          <w:rFonts w:ascii="Times New Roman" w:hAnsi="Times New Roman"/>
        </w:rPr>
        <w:t xml:space="preserve">. </w:t>
      </w:r>
      <w:r w:rsidR="00FA7DB3" w:rsidRPr="005E1802">
        <w:rPr>
          <w:rFonts w:ascii="Times New Roman" w:hAnsi="Times New Roman"/>
        </w:rPr>
        <w:t>In the judgment under appeal in that case, a judge of the Federal Court</w:t>
      </w:r>
      <w:r w:rsidR="00105D94" w:rsidRPr="005E1802">
        <w:rPr>
          <w:rFonts w:ascii="Times New Roman" w:hAnsi="Times New Roman"/>
        </w:rPr>
        <w:t xml:space="preserve"> </w:t>
      </w:r>
      <w:r w:rsidR="00C24178" w:rsidRPr="005E1802">
        <w:rPr>
          <w:rFonts w:ascii="Times New Roman" w:hAnsi="Times New Roman"/>
        </w:rPr>
        <w:t xml:space="preserve">had found </w:t>
      </w:r>
      <w:r w:rsidR="00105D94" w:rsidRPr="005E1802">
        <w:rPr>
          <w:rFonts w:ascii="Times New Roman" w:hAnsi="Times New Roman"/>
        </w:rPr>
        <w:t>jurisdictional error</w:t>
      </w:r>
      <w:r w:rsidR="008078CC" w:rsidRPr="005E1802">
        <w:rPr>
          <w:rFonts w:ascii="Times New Roman" w:hAnsi="Times New Roman"/>
        </w:rPr>
        <w:t xml:space="preserve"> in a decision </w:t>
      </w:r>
      <w:r w:rsidR="00105D94" w:rsidRPr="005E1802">
        <w:rPr>
          <w:rFonts w:ascii="Times New Roman" w:hAnsi="Times New Roman"/>
        </w:rPr>
        <w:t xml:space="preserve">of </w:t>
      </w:r>
      <w:r w:rsidR="00C01472" w:rsidRPr="005E1802">
        <w:rPr>
          <w:rFonts w:ascii="Times New Roman" w:hAnsi="Times New Roman"/>
        </w:rPr>
        <w:t xml:space="preserve">the </w:t>
      </w:r>
      <w:r w:rsidR="00FE5F5D" w:rsidRPr="005E1802">
        <w:rPr>
          <w:rFonts w:ascii="Times New Roman" w:hAnsi="Times New Roman"/>
        </w:rPr>
        <w:t>T</w:t>
      </w:r>
      <w:r w:rsidR="007D20FA" w:rsidRPr="005E1802">
        <w:rPr>
          <w:rFonts w:ascii="Times New Roman" w:hAnsi="Times New Roman"/>
        </w:rPr>
        <w:t>ribunal</w:t>
      </w:r>
      <w:r w:rsidR="00C01472" w:rsidRPr="005E1802">
        <w:rPr>
          <w:rFonts w:ascii="Times New Roman" w:hAnsi="Times New Roman"/>
        </w:rPr>
        <w:t xml:space="preserve"> </w:t>
      </w:r>
      <w:r w:rsidR="00B05E85" w:rsidRPr="005E1802">
        <w:rPr>
          <w:rFonts w:ascii="Times New Roman" w:hAnsi="Times New Roman"/>
        </w:rPr>
        <w:t>having regard</w:t>
      </w:r>
      <w:r w:rsidR="00153E19" w:rsidRPr="005E1802">
        <w:rPr>
          <w:rFonts w:ascii="Times New Roman" w:hAnsi="Times New Roman"/>
        </w:rPr>
        <w:t xml:space="preserve"> </w:t>
      </w:r>
      <w:r w:rsidR="00C01472" w:rsidRPr="005E1802">
        <w:rPr>
          <w:rFonts w:ascii="Times New Roman" w:hAnsi="Times New Roman"/>
        </w:rPr>
        <w:t>to the "prospect" th</w:t>
      </w:r>
      <w:r w:rsidR="00A03297" w:rsidRPr="005E1802">
        <w:rPr>
          <w:rFonts w:ascii="Times New Roman" w:hAnsi="Times New Roman"/>
        </w:rPr>
        <w:t>at the</w:t>
      </w:r>
      <w:r w:rsidR="00C01472" w:rsidRPr="005E1802">
        <w:rPr>
          <w:rFonts w:ascii="Times New Roman" w:hAnsi="Times New Roman"/>
        </w:rPr>
        <w:t xml:space="preserve"> </w:t>
      </w:r>
      <w:r w:rsidR="00FE5F5D" w:rsidRPr="005E1802">
        <w:rPr>
          <w:rFonts w:ascii="Times New Roman" w:hAnsi="Times New Roman"/>
        </w:rPr>
        <w:t>T</w:t>
      </w:r>
      <w:r w:rsidR="007D20FA" w:rsidRPr="005E1802">
        <w:rPr>
          <w:rFonts w:ascii="Times New Roman" w:hAnsi="Times New Roman"/>
        </w:rPr>
        <w:t>ribunal</w:t>
      </w:r>
      <w:r w:rsidR="00C52A26" w:rsidRPr="005E1802">
        <w:rPr>
          <w:rFonts w:ascii="Times New Roman" w:hAnsi="Times New Roman"/>
        </w:rPr>
        <w:t xml:space="preserve"> </w:t>
      </w:r>
      <w:r w:rsidR="00A03297" w:rsidRPr="005E1802">
        <w:rPr>
          <w:rFonts w:ascii="Times New Roman" w:hAnsi="Times New Roman"/>
        </w:rPr>
        <w:t>had not</w:t>
      </w:r>
      <w:r w:rsidR="00C52A26" w:rsidRPr="005E1802">
        <w:rPr>
          <w:rFonts w:ascii="Times New Roman" w:hAnsi="Times New Roman"/>
        </w:rPr>
        <w:t xml:space="preserve"> </w:t>
      </w:r>
      <w:r w:rsidR="00C35E60" w:rsidRPr="005E1802">
        <w:rPr>
          <w:rFonts w:ascii="Times New Roman" w:hAnsi="Times New Roman"/>
        </w:rPr>
        <w:t xml:space="preserve">taken </w:t>
      </w:r>
      <w:r w:rsidR="00AD01A6" w:rsidRPr="005E1802">
        <w:rPr>
          <w:rFonts w:ascii="Times New Roman" w:hAnsi="Times New Roman"/>
        </w:rPr>
        <w:t xml:space="preserve">certain documents and </w:t>
      </w:r>
      <w:r w:rsidR="00DB2168" w:rsidRPr="005E1802">
        <w:rPr>
          <w:rFonts w:ascii="Times New Roman" w:hAnsi="Times New Roman"/>
        </w:rPr>
        <w:t xml:space="preserve">information </w:t>
      </w:r>
      <w:r w:rsidR="00AD01A6" w:rsidRPr="005E1802">
        <w:rPr>
          <w:rFonts w:ascii="Times New Roman" w:hAnsi="Times New Roman"/>
        </w:rPr>
        <w:t>into account in making its decision under review</w:t>
      </w:r>
      <w:r w:rsidR="007D4A83" w:rsidRPr="005E1802">
        <w:rPr>
          <w:rFonts w:ascii="Times New Roman" w:hAnsi="Times New Roman"/>
        </w:rPr>
        <w:t>. Th</w:t>
      </w:r>
      <w:r w:rsidR="00AA59BB" w:rsidRPr="005E1802">
        <w:rPr>
          <w:rFonts w:ascii="Times New Roman" w:hAnsi="Times New Roman"/>
        </w:rPr>
        <w:t>e</w:t>
      </w:r>
      <w:r w:rsidR="005F5DB1" w:rsidRPr="005E1802">
        <w:rPr>
          <w:rFonts w:ascii="Times New Roman" w:hAnsi="Times New Roman"/>
        </w:rPr>
        <w:t xml:space="preserve"> </w:t>
      </w:r>
      <w:r w:rsidR="00C33E97" w:rsidRPr="005E1802">
        <w:rPr>
          <w:rFonts w:ascii="Times New Roman" w:hAnsi="Times New Roman"/>
        </w:rPr>
        <w:t xml:space="preserve">majority held the </w:t>
      </w:r>
      <w:r w:rsidR="005F5DB1" w:rsidRPr="005E1802">
        <w:rPr>
          <w:rFonts w:ascii="Times New Roman" w:hAnsi="Times New Roman"/>
        </w:rPr>
        <w:t>findin</w:t>
      </w:r>
      <w:r w:rsidR="00C33E97" w:rsidRPr="005E1802">
        <w:rPr>
          <w:rFonts w:ascii="Times New Roman" w:hAnsi="Times New Roman"/>
        </w:rPr>
        <w:t>g</w:t>
      </w:r>
      <w:r w:rsidR="005F5DB1" w:rsidRPr="005E1802">
        <w:rPr>
          <w:rFonts w:ascii="Times New Roman" w:hAnsi="Times New Roman"/>
        </w:rPr>
        <w:t xml:space="preserve"> </w:t>
      </w:r>
      <w:r w:rsidR="00984307" w:rsidRPr="005E1802">
        <w:rPr>
          <w:rFonts w:ascii="Times New Roman" w:hAnsi="Times New Roman"/>
        </w:rPr>
        <w:t xml:space="preserve">to have been erroneous in </w:t>
      </w:r>
      <w:r w:rsidR="00A76C81" w:rsidRPr="005E1802">
        <w:rPr>
          <w:rFonts w:ascii="Times New Roman" w:hAnsi="Times New Roman"/>
        </w:rPr>
        <w:t>precisely delineated</w:t>
      </w:r>
      <w:r w:rsidR="00984307" w:rsidRPr="005E1802">
        <w:rPr>
          <w:rFonts w:ascii="Times New Roman" w:hAnsi="Times New Roman"/>
        </w:rPr>
        <w:t xml:space="preserve"> respects. One was that </w:t>
      </w:r>
      <w:r w:rsidR="000F06A3" w:rsidRPr="005E1802">
        <w:rPr>
          <w:rFonts w:ascii="Times New Roman" w:hAnsi="Times New Roman"/>
        </w:rPr>
        <w:t xml:space="preserve">"his Honour failed to make a finding as to whether the </w:t>
      </w:r>
      <w:r w:rsidR="00F67AA6" w:rsidRPr="005E1802">
        <w:rPr>
          <w:rFonts w:ascii="Times New Roman" w:hAnsi="Times New Roman"/>
        </w:rPr>
        <w:t xml:space="preserve">Tribunal had </w:t>
      </w:r>
      <w:r w:rsidR="000F06A3" w:rsidRPr="005E1802">
        <w:rPr>
          <w:rFonts w:ascii="Times New Roman" w:hAnsi="Times New Roman"/>
        </w:rPr>
        <w:t>in fact failed to take such documents and information into account in reaching its decision". Another was that</w:t>
      </w:r>
      <w:r w:rsidR="00BD638F" w:rsidRPr="005E1802">
        <w:rPr>
          <w:rFonts w:ascii="Times New Roman" w:hAnsi="Times New Roman"/>
        </w:rPr>
        <w:t>,</w:t>
      </w:r>
      <w:r w:rsidR="000F06A3" w:rsidRPr="005E1802">
        <w:rPr>
          <w:rFonts w:ascii="Times New Roman" w:hAnsi="Times New Roman"/>
        </w:rPr>
        <w:t xml:space="preserve"> </w:t>
      </w:r>
      <w:r w:rsidR="00BD638F" w:rsidRPr="005E1802">
        <w:rPr>
          <w:rFonts w:ascii="Times New Roman" w:hAnsi="Times New Roman"/>
        </w:rPr>
        <w:t>"</w:t>
      </w:r>
      <w:r w:rsidR="000F06A3" w:rsidRPr="005E1802">
        <w:rPr>
          <w:rFonts w:ascii="Times New Roman" w:hAnsi="Times New Roman"/>
        </w:rPr>
        <w:t xml:space="preserve">in the event of finding that the </w:t>
      </w:r>
      <w:r w:rsidR="00EE0C6E" w:rsidRPr="005E1802">
        <w:rPr>
          <w:rFonts w:ascii="Times New Roman" w:hAnsi="Times New Roman"/>
        </w:rPr>
        <w:t xml:space="preserve">Tribunal </w:t>
      </w:r>
      <w:r w:rsidR="000F06A3" w:rsidRPr="005E1802">
        <w:rPr>
          <w:rFonts w:ascii="Times New Roman" w:hAnsi="Times New Roman"/>
        </w:rPr>
        <w:t xml:space="preserve">had failed to take such documents and information into account, his Honour erred in not going on to determine </w:t>
      </w:r>
      <w:r w:rsidR="000F06A3" w:rsidRPr="005E1802">
        <w:rPr>
          <w:rFonts w:ascii="Times New Roman" w:hAnsi="Times New Roman"/>
        </w:rPr>
        <w:lastRenderedPageBreak/>
        <w:t xml:space="preserve">whether the </w:t>
      </w:r>
      <w:r w:rsidR="00EE0C6E" w:rsidRPr="005E1802">
        <w:rPr>
          <w:rFonts w:ascii="Times New Roman" w:hAnsi="Times New Roman"/>
        </w:rPr>
        <w:t xml:space="preserve">Tribunal's </w:t>
      </w:r>
      <w:r w:rsidR="000F06A3" w:rsidRPr="005E1802">
        <w:rPr>
          <w:rFonts w:ascii="Times New Roman" w:hAnsi="Times New Roman"/>
        </w:rPr>
        <w:t xml:space="preserve">decision could have been different if the </w:t>
      </w:r>
      <w:r w:rsidR="00EE0C6E" w:rsidRPr="005E1802">
        <w:rPr>
          <w:rFonts w:ascii="Times New Roman" w:hAnsi="Times New Roman"/>
        </w:rPr>
        <w:t xml:space="preserve">Tribunal </w:t>
      </w:r>
      <w:r w:rsidR="000F06A3" w:rsidRPr="005E1802">
        <w:rPr>
          <w:rFonts w:ascii="Times New Roman" w:hAnsi="Times New Roman"/>
        </w:rPr>
        <w:t>had taken the documents and information into account</w:t>
      </w:r>
      <w:r w:rsidR="00FF26E8" w:rsidRPr="005E1802">
        <w:rPr>
          <w:rFonts w:ascii="Times New Roman" w:hAnsi="Times New Roman"/>
        </w:rPr>
        <w:t>"</w:t>
      </w:r>
      <w:r w:rsidR="00FF26E8" w:rsidRPr="005E1802">
        <w:rPr>
          <w:rStyle w:val="FootnoteReference"/>
          <w:rFonts w:ascii="Times New Roman" w:hAnsi="Times New Roman"/>
          <w:sz w:val="24"/>
        </w:rPr>
        <w:footnoteReference w:id="33"/>
      </w:r>
      <w:r w:rsidR="000F06A3" w:rsidRPr="005E1802">
        <w:rPr>
          <w:rFonts w:ascii="Times New Roman" w:hAnsi="Times New Roman"/>
        </w:rPr>
        <w:t>.</w:t>
      </w:r>
    </w:p>
    <w:p w14:paraId="01C5B274" w14:textId="5C084784" w:rsidR="000761B5" w:rsidRPr="005E1802" w:rsidRDefault="000761B5"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Subsequently, in </w:t>
      </w:r>
      <w:r w:rsidR="001050CF" w:rsidRPr="005E1802">
        <w:rPr>
          <w:rFonts w:ascii="Times New Roman" w:hAnsi="Times New Roman"/>
          <w:i/>
        </w:rPr>
        <w:t>CNY</w:t>
      </w:r>
      <w:r w:rsidR="00B3024D" w:rsidRPr="005E1802">
        <w:rPr>
          <w:rFonts w:ascii="Times New Roman" w:hAnsi="Times New Roman"/>
          <w:i/>
        </w:rPr>
        <w:t>17</w:t>
      </w:r>
      <w:r w:rsidR="001050CF" w:rsidRPr="005E1802">
        <w:rPr>
          <w:rFonts w:ascii="Times New Roman" w:hAnsi="Times New Roman"/>
          <w:i/>
        </w:rPr>
        <w:t xml:space="preserve"> v Minister for Immigration and Border Protection</w:t>
      </w:r>
      <w:r w:rsidR="00F97569" w:rsidRPr="005E1802">
        <w:rPr>
          <w:rStyle w:val="FootnoteReference"/>
          <w:rFonts w:ascii="Times New Roman" w:hAnsi="Times New Roman"/>
          <w:sz w:val="24"/>
        </w:rPr>
        <w:footnoteReference w:id="34"/>
      </w:r>
      <w:r w:rsidR="000B73AD" w:rsidRPr="005E1802">
        <w:rPr>
          <w:rFonts w:ascii="Times New Roman" w:hAnsi="Times New Roman"/>
        </w:rPr>
        <w:t xml:space="preserve">, Kiefel CJ and Gageler J referred to </w:t>
      </w:r>
      <w:r w:rsidR="00E03706" w:rsidRPr="005E1802">
        <w:rPr>
          <w:rFonts w:ascii="Times New Roman" w:hAnsi="Times New Roman"/>
        </w:rPr>
        <w:t xml:space="preserve">the </w:t>
      </w:r>
      <w:r w:rsidR="00A271FB" w:rsidRPr="005E1802">
        <w:rPr>
          <w:rFonts w:ascii="Times New Roman" w:hAnsi="Times New Roman"/>
        </w:rPr>
        <w:t xml:space="preserve">determination </w:t>
      </w:r>
      <w:r w:rsidR="009F0628" w:rsidRPr="005E1802">
        <w:rPr>
          <w:rFonts w:ascii="Times New Roman" w:hAnsi="Times New Roman"/>
        </w:rPr>
        <w:t xml:space="preserve">of </w:t>
      </w:r>
      <w:r w:rsidR="00BE6472" w:rsidRPr="005E1802">
        <w:rPr>
          <w:rFonts w:ascii="Times New Roman" w:hAnsi="Times New Roman"/>
        </w:rPr>
        <w:t xml:space="preserve">materiality </w:t>
      </w:r>
      <w:r w:rsidR="00E03706" w:rsidRPr="005E1802">
        <w:rPr>
          <w:rFonts w:ascii="Times New Roman" w:hAnsi="Times New Roman"/>
        </w:rPr>
        <w:t xml:space="preserve">by a court </w:t>
      </w:r>
      <w:r w:rsidR="00BE6472" w:rsidRPr="005E1802">
        <w:rPr>
          <w:rFonts w:ascii="Times New Roman" w:hAnsi="Times New Roman"/>
        </w:rPr>
        <w:t xml:space="preserve">as involving </w:t>
      </w:r>
      <w:r w:rsidR="005218C1" w:rsidRPr="005E1802">
        <w:rPr>
          <w:rFonts w:ascii="Times New Roman" w:hAnsi="Times New Roman"/>
        </w:rPr>
        <w:t xml:space="preserve">"a </w:t>
      </w:r>
      <w:r w:rsidR="00BE6472" w:rsidRPr="005E1802">
        <w:rPr>
          <w:rFonts w:ascii="Times New Roman" w:hAnsi="Times New Roman"/>
        </w:rPr>
        <w:t>question of counter-factual analysis to be determined by</w:t>
      </w:r>
      <w:r w:rsidR="005218C1" w:rsidRPr="005E1802">
        <w:rPr>
          <w:rFonts w:ascii="Times New Roman" w:hAnsi="Times New Roman"/>
        </w:rPr>
        <w:t xml:space="preserve"> </w:t>
      </w:r>
      <w:r w:rsidR="00E03706" w:rsidRPr="005E1802">
        <w:rPr>
          <w:rFonts w:ascii="Times New Roman" w:hAnsi="Times New Roman"/>
        </w:rPr>
        <w:t>the</w:t>
      </w:r>
      <w:r w:rsidR="00BE6472" w:rsidRPr="005E1802">
        <w:rPr>
          <w:rFonts w:ascii="Times New Roman" w:hAnsi="Times New Roman"/>
        </w:rPr>
        <w:t xml:space="preserve"> court as a matter of objective possibility as an aspect of determining whether an identified failure to comply with a statutory condition has resulted in a decision that has in fact been made being a decision that is wanting in statutory authorisation</w:t>
      </w:r>
      <w:r w:rsidR="00C933EA" w:rsidRPr="005E1802">
        <w:rPr>
          <w:rFonts w:ascii="Times New Roman" w:hAnsi="Times New Roman"/>
        </w:rPr>
        <w:t>"</w:t>
      </w:r>
      <w:r w:rsidR="00076BE4" w:rsidRPr="005E1802">
        <w:rPr>
          <w:rFonts w:ascii="Times New Roman" w:hAnsi="Times New Roman"/>
        </w:rPr>
        <w:t>.</w:t>
      </w:r>
      <w:r w:rsidR="000B73AD" w:rsidRPr="005E1802">
        <w:rPr>
          <w:rFonts w:ascii="Times New Roman" w:hAnsi="Times New Roman"/>
        </w:rPr>
        <w:t xml:space="preserve"> </w:t>
      </w:r>
      <w:r w:rsidR="00A71016" w:rsidRPr="005E1802">
        <w:rPr>
          <w:rFonts w:ascii="Times New Roman" w:hAnsi="Times New Roman"/>
        </w:rPr>
        <w:t xml:space="preserve">The same point was made in different language by the Full Court of the </w:t>
      </w:r>
      <w:r w:rsidR="00A04830" w:rsidRPr="005E1802">
        <w:rPr>
          <w:rFonts w:ascii="Times New Roman" w:hAnsi="Times New Roman"/>
        </w:rPr>
        <w:t xml:space="preserve">Federal Court in </w:t>
      </w:r>
      <w:r w:rsidR="00A04830" w:rsidRPr="005E1802">
        <w:rPr>
          <w:rFonts w:ascii="Times New Roman" w:hAnsi="Times New Roman"/>
          <w:i/>
        </w:rPr>
        <w:t>BDY18 v Minister for Immigration and Border Protection</w:t>
      </w:r>
      <w:r w:rsidR="00A04830" w:rsidRPr="005E1802">
        <w:rPr>
          <w:rStyle w:val="FootnoteReference"/>
          <w:rFonts w:ascii="Times New Roman" w:hAnsi="Times New Roman"/>
          <w:sz w:val="24"/>
        </w:rPr>
        <w:footnoteReference w:id="35"/>
      </w:r>
      <w:r w:rsidR="00396583" w:rsidRPr="005E1802">
        <w:rPr>
          <w:rFonts w:ascii="Times New Roman" w:hAnsi="Times New Roman"/>
        </w:rPr>
        <w:t xml:space="preserve">, where it said that </w:t>
      </w:r>
      <w:r w:rsidR="003B0B18" w:rsidRPr="005E1802">
        <w:rPr>
          <w:rFonts w:ascii="Times New Roman" w:hAnsi="Times New Roman"/>
        </w:rPr>
        <w:t>"[m</w:t>
      </w:r>
      <w:r w:rsidR="00C86535" w:rsidRPr="005E1802">
        <w:rPr>
          <w:rFonts w:ascii="Times New Roman" w:hAnsi="Times New Roman"/>
        </w:rPr>
        <w:t>]</w:t>
      </w:r>
      <w:r w:rsidR="003B0B18" w:rsidRPr="005E1802">
        <w:rPr>
          <w:rFonts w:ascii="Times New Roman" w:hAnsi="Times New Roman"/>
        </w:rPr>
        <w:t xml:space="preserve">ateriality is concerned with the significance of the failure to </w:t>
      </w:r>
      <w:r w:rsidR="00A33C56" w:rsidRPr="005E1802">
        <w:rPr>
          <w:rFonts w:ascii="Times New Roman" w:hAnsi="Times New Roman"/>
        </w:rPr>
        <w:t>conform to the statutory task entrusted</w:t>
      </w:r>
      <w:r w:rsidR="00000DC1" w:rsidRPr="005E1802">
        <w:rPr>
          <w:rFonts w:ascii="Times New Roman" w:hAnsi="Times New Roman"/>
        </w:rPr>
        <w:t xml:space="preserve"> to the decision-maker" and that "[t]he inquiry is backward </w:t>
      </w:r>
      <w:r w:rsidR="002B0E8A" w:rsidRPr="005E1802">
        <w:rPr>
          <w:rFonts w:ascii="Times New Roman" w:hAnsi="Times New Roman"/>
        </w:rPr>
        <w:t xml:space="preserve">looking and concerns what the decision-maker did </w:t>
      </w:r>
      <w:r w:rsidR="006C4DDA" w:rsidRPr="005E1802">
        <w:rPr>
          <w:rFonts w:ascii="Times New Roman" w:hAnsi="Times New Roman"/>
        </w:rPr>
        <w:t>in the particular case".</w:t>
      </w:r>
    </w:p>
    <w:p w14:paraId="5173172C" w14:textId="6D42C78E" w:rsidR="00001799" w:rsidRPr="005E1802" w:rsidRDefault="00236E5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C27837" w:rsidRPr="005E1802">
        <w:rPr>
          <w:rFonts w:ascii="Times New Roman" w:hAnsi="Times New Roman"/>
        </w:rPr>
        <w:t xml:space="preserve">The counterfactual </w:t>
      </w:r>
      <w:r w:rsidR="00CE265D" w:rsidRPr="005E1802">
        <w:rPr>
          <w:rFonts w:ascii="Times New Roman" w:hAnsi="Times New Roman"/>
        </w:rPr>
        <w:t xml:space="preserve">question of whether </w:t>
      </w:r>
      <w:r w:rsidR="00B015B2" w:rsidRPr="005E1802">
        <w:rPr>
          <w:rFonts w:ascii="Times New Roman" w:hAnsi="Times New Roman"/>
        </w:rPr>
        <w:t xml:space="preserve">the decision that was </w:t>
      </w:r>
      <w:r w:rsidR="001B3BA9" w:rsidRPr="005E1802">
        <w:rPr>
          <w:rFonts w:ascii="Times New Roman" w:hAnsi="Times New Roman"/>
        </w:rPr>
        <w:t xml:space="preserve">in fact </w:t>
      </w:r>
      <w:r w:rsidR="00B015B2" w:rsidRPr="005E1802">
        <w:rPr>
          <w:rFonts w:ascii="Times New Roman" w:hAnsi="Times New Roman"/>
        </w:rPr>
        <w:t xml:space="preserve">made </w:t>
      </w:r>
      <w:r w:rsidR="001B3BA9" w:rsidRPr="005E1802">
        <w:rPr>
          <w:rFonts w:ascii="Times New Roman" w:hAnsi="Times New Roman"/>
        </w:rPr>
        <w:t>could have</w:t>
      </w:r>
      <w:r w:rsidR="00B015B2" w:rsidRPr="005E1802">
        <w:rPr>
          <w:rFonts w:ascii="Times New Roman" w:hAnsi="Times New Roman"/>
        </w:rPr>
        <w:t xml:space="preserve"> been different had there been compliance </w:t>
      </w:r>
      <w:r w:rsidR="00DB74B2" w:rsidRPr="005E1802">
        <w:rPr>
          <w:rFonts w:ascii="Times New Roman" w:hAnsi="Times New Roman"/>
        </w:rPr>
        <w:t xml:space="preserve">with the condition that was </w:t>
      </w:r>
      <w:r w:rsidR="001B3BA9" w:rsidRPr="005E1802">
        <w:rPr>
          <w:rFonts w:ascii="Times New Roman" w:hAnsi="Times New Roman"/>
        </w:rPr>
        <w:t xml:space="preserve">in fact </w:t>
      </w:r>
      <w:r w:rsidR="00DB74B2" w:rsidRPr="005E1802">
        <w:rPr>
          <w:rFonts w:ascii="Times New Roman" w:hAnsi="Times New Roman"/>
        </w:rPr>
        <w:t xml:space="preserve">breached </w:t>
      </w:r>
      <w:r w:rsidR="00C27837" w:rsidRPr="005E1802">
        <w:rPr>
          <w:rFonts w:ascii="Times New Roman" w:hAnsi="Times New Roman"/>
        </w:rPr>
        <w:t>cannot be</w:t>
      </w:r>
      <w:r w:rsidR="000B03C0" w:rsidRPr="005E1802">
        <w:rPr>
          <w:rFonts w:ascii="Times New Roman" w:hAnsi="Times New Roman"/>
        </w:rPr>
        <w:t xml:space="preserve"> answered </w:t>
      </w:r>
      <w:r w:rsidR="0045155B" w:rsidRPr="005E1802">
        <w:rPr>
          <w:rFonts w:ascii="Times New Roman" w:hAnsi="Times New Roman"/>
        </w:rPr>
        <w:t xml:space="preserve">without </w:t>
      </w:r>
      <w:r w:rsidR="004D7D95" w:rsidRPr="005E1802">
        <w:rPr>
          <w:rFonts w:ascii="Times New Roman" w:hAnsi="Times New Roman"/>
        </w:rPr>
        <w:t xml:space="preserve">determining the basal factual question of how </w:t>
      </w:r>
      <w:r w:rsidR="0003536F" w:rsidRPr="005E1802">
        <w:rPr>
          <w:rFonts w:ascii="Times New Roman" w:hAnsi="Times New Roman"/>
        </w:rPr>
        <w:t>the decision that was in fact made was in fact made</w:t>
      </w:r>
      <w:r w:rsidR="005D6011" w:rsidRPr="005E1802">
        <w:rPr>
          <w:rFonts w:ascii="Times New Roman" w:hAnsi="Times New Roman"/>
        </w:rPr>
        <w:t xml:space="preserve">. </w:t>
      </w:r>
      <w:r w:rsidR="00C37B0B" w:rsidRPr="005E1802">
        <w:rPr>
          <w:rFonts w:ascii="Times New Roman" w:hAnsi="Times New Roman"/>
        </w:rPr>
        <w:t xml:space="preserve">Like </w:t>
      </w:r>
      <w:r w:rsidR="00937FEC" w:rsidRPr="005E1802">
        <w:rPr>
          <w:rFonts w:ascii="Times New Roman" w:hAnsi="Times New Roman"/>
        </w:rPr>
        <w:t xml:space="preserve">other </w:t>
      </w:r>
      <w:r w:rsidR="00656248" w:rsidRPr="005E1802">
        <w:rPr>
          <w:rFonts w:ascii="Times New Roman" w:hAnsi="Times New Roman"/>
        </w:rPr>
        <w:t>historical fact</w:t>
      </w:r>
      <w:r w:rsidR="00DA7AA8" w:rsidRPr="005E1802">
        <w:rPr>
          <w:rFonts w:ascii="Times New Roman" w:hAnsi="Times New Roman"/>
        </w:rPr>
        <w:t>s</w:t>
      </w:r>
      <w:r w:rsidR="00937FEC" w:rsidRPr="005E1802">
        <w:rPr>
          <w:rFonts w:ascii="Times New Roman" w:hAnsi="Times New Roman"/>
        </w:rPr>
        <w:t xml:space="preserve"> to be</w:t>
      </w:r>
      <w:r w:rsidR="001B2F8A" w:rsidRPr="005E1802">
        <w:rPr>
          <w:rFonts w:ascii="Times New Roman" w:hAnsi="Times New Roman"/>
        </w:rPr>
        <w:t xml:space="preserve"> </w:t>
      </w:r>
      <w:r w:rsidR="0069011E" w:rsidRPr="005E1802">
        <w:rPr>
          <w:rFonts w:ascii="Times New Roman" w:hAnsi="Times New Roman"/>
        </w:rPr>
        <w:t>determined</w:t>
      </w:r>
      <w:r w:rsidR="00722060" w:rsidRPr="005E1802">
        <w:rPr>
          <w:rFonts w:ascii="Times New Roman" w:hAnsi="Times New Roman"/>
        </w:rPr>
        <w:t xml:space="preserve"> </w:t>
      </w:r>
      <w:r w:rsidR="00781391" w:rsidRPr="005E1802">
        <w:rPr>
          <w:rFonts w:ascii="Times New Roman" w:hAnsi="Times New Roman"/>
        </w:rPr>
        <w:t>in</w:t>
      </w:r>
      <w:r w:rsidR="001B2F8A" w:rsidRPr="005E1802">
        <w:rPr>
          <w:rFonts w:ascii="Times New Roman" w:hAnsi="Times New Roman"/>
        </w:rPr>
        <w:t xml:space="preserve"> </w:t>
      </w:r>
      <w:r w:rsidR="000F2DE8" w:rsidRPr="005E1802">
        <w:rPr>
          <w:rFonts w:ascii="Times New Roman" w:hAnsi="Times New Roman"/>
        </w:rPr>
        <w:t xml:space="preserve">other </w:t>
      </w:r>
      <w:r w:rsidR="00781391" w:rsidRPr="005E1802">
        <w:rPr>
          <w:rFonts w:ascii="Times New Roman" w:hAnsi="Times New Roman"/>
        </w:rPr>
        <w:t>civil proceeding</w:t>
      </w:r>
      <w:r w:rsidR="00E97A88" w:rsidRPr="005E1802">
        <w:rPr>
          <w:rFonts w:ascii="Times New Roman" w:hAnsi="Times New Roman"/>
        </w:rPr>
        <w:t>s</w:t>
      </w:r>
      <w:r w:rsidR="00B269A7" w:rsidRPr="005E1802">
        <w:rPr>
          <w:rStyle w:val="FootnoteReference"/>
          <w:rFonts w:ascii="Times New Roman" w:hAnsi="Times New Roman"/>
          <w:sz w:val="24"/>
        </w:rPr>
        <w:footnoteReference w:id="36"/>
      </w:r>
      <w:r w:rsidR="00201B20" w:rsidRPr="005E1802">
        <w:rPr>
          <w:rFonts w:ascii="Times New Roman" w:hAnsi="Times New Roman"/>
        </w:rPr>
        <w:t>,</w:t>
      </w:r>
      <w:r w:rsidR="00E210D3" w:rsidRPr="005E1802">
        <w:rPr>
          <w:rFonts w:ascii="Times New Roman" w:hAnsi="Times New Roman"/>
        </w:rPr>
        <w:t xml:space="preserve"> </w:t>
      </w:r>
      <w:r w:rsidR="00DA7AA8" w:rsidRPr="005E1802">
        <w:rPr>
          <w:rFonts w:ascii="Times New Roman" w:hAnsi="Times New Roman"/>
        </w:rPr>
        <w:t xml:space="preserve">the facts as to </w:t>
      </w:r>
      <w:r w:rsidR="00223970" w:rsidRPr="005E1802">
        <w:rPr>
          <w:rFonts w:ascii="Times New Roman" w:hAnsi="Times New Roman"/>
        </w:rPr>
        <w:t>what</w:t>
      </w:r>
      <w:r w:rsidR="003972BF" w:rsidRPr="005E1802">
        <w:rPr>
          <w:rFonts w:ascii="Times New Roman" w:hAnsi="Times New Roman"/>
        </w:rPr>
        <w:t xml:space="preserve"> </w:t>
      </w:r>
      <w:r w:rsidR="00223970" w:rsidRPr="005E1802">
        <w:rPr>
          <w:rFonts w:ascii="Times New Roman" w:hAnsi="Times New Roman"/>
        </w:rPr>
        <w:t xml:space="preserve">occurred in </w:t>
      </w:r>
      <w:r w:rsidR="00CD1782" w:rsidRPr="005E1802">
        <w:rPr>
          <w:rFonts w:ascii="Times New Roman" w:hAnsi="Times New Roman"/>
        </w:rPr>
        <w:t xml:space="preserve">the </w:t>
      </w:r>
      <w:r w:rsidR="00223970" w:rsidRPr="005E1802">
        <w:rPr>
          <w:rFonts w:ascii="Times New Roman" w:hAnsi="Times New Roman"/>
        </w:rPr>
        <w:t xml:space="preserve">making </w:t>
      </w:r>
      <w:r w:rsidR="00CD1782" w:rsidRPr="005E1802">
        <w:rPr>
          <w:rFonts w:ascii="Times New Roman" w:hAnsi="Times New Roman"/>
        </w:rPr>
        <w:t xml:space="preserve">of </w:t>
      </w:r>
      <w:r w:rsidR="00223970" w:rsidRPr="005E1802">
        <w:rPr>
          <w:rFonts w:ascii="Times New Roman" w:hAnsi="Times New Roman"/>
        </w:rPr>
        <w:t>the decision</w:t>
      </w:r>
      <w:r w:rsidR="001F7EB0" w:rsidRPr="005E1802">
        <w:rPr>
          <w:rFonts w:ascii="Times New Roman" w:hAnsi="Times New Roman"/>
        </w:rPr>
        <w:t xml:space="preserve"> </w:t>
      </w:r>
      <w:r w:rsidR="006C5CDC" w:rsidRPr="005E1802">
        <w:rPr>
          <w:rFonts w:ascii="Times New Roman" w:hAnsi="Times New Roman"/>
        </w:rPr>
        <w:t xml:space="preserve">must be </w:t>
      </w:r>
      <w:r w:rsidR="00AE7E1C" w:rsidRPr="005E1802">
        <w:rPr>
          <w:rFonts w:ascii="Times New Roman" w:hAnsi="Times New Roman"/>
        </w:rPr>
        <w:t xml:space="preserve">determined </w:t>
      </w:r>
      <w:r w:rsidR="006C5CDC" w:rsidRPr="005E1802">
        <w:rPr>
          <w:rFonts w:ascii="Times New Roman" w:hAnsi="Times New Roman"/>
        </w:rPr>
        <w:t xml:space="preserve">in an application for judicial review </w:t>
      </w:r>
      <w:r w:rsidR="00252EE5" w:rsidRPr="005E1802">
        <w:rPr>
          <w:rFonts w:ascii="Times New Roman" w:hAnsi="Times New Roman"/>
        </w:rPr>
        <w:t>on the balance of probabilities by</w:t>
      </w:r>
      <w:r w:rsidR="001C662E" w:rsidRPr="005E1802">
        <w:rPr>
          <w:rFonts w:ascii="Times New Roman" w:hAnsi="Times New Roman"/>
        </w:rPr>
        <w:t xml:space="preserve"> </w:t>
      </w:r>
      <w:r w:rsidR="00252EE5" w:rsidRPr="005E1802">
        <w:rPr>
          <w:rFonts w:ascii="Times New Roman" w:hAnsi="Times New Roman"/>
        </w:rPr>
        <w:t xml:space="preserve">inferences </w:t>
      </w:r>
      <w:r w:rsidR="00BE6996" w:rsidRPr="005E1802">
        <w:rPr>
          <w:rFonts w:ascii="Times New Roman" w:hAnsi="Times New Roman"/>
        </w:rPr>
        <w:t xml:space="preserve">drawn from the totality of the evidence. </w:t>
      </w:r>
      <w:r w:rsidR="009B44B7" w:rsidRPr="005E1802">
        <w:rPr>
          <w:rFonts w:ascii="Times New Roman" w:hAnsi="Times New Roman"/>
        </w:rPr>
        <w:t>And l</w:t>
      </w:r>
      <w:r w:rsidR="001B08ED" w:rsidRPr="005E1802">
        <w:rPr>
          <w:rFonts w:ascii="Times New Roman" w:hAnsi="Times New Roman"/>
        </w:rPr>
        <w:t xml:space="preserve">ike </w:t>
      </w:r>
      <w:r w:rsidR="00E97A88" w:rsidRPr="005E1802">
        <w:rPr>
          <w:rFonts w:ascii="Times New Roman" w:hAnsi="Times New Roman"/>
        </w:rPr>
        <w:t xml:space="preserve">other </w:t>
      </w:r>
      <w:r w:rsidR="00274496" w:rsidRPr="005E1802">
        <w:rPr>
          <w:rFonts w:ascii="Times New Roman" w:hAnsi="Times New Roman"/>
        </w:rPr>
        <w:t xml:space="preserve">counterfactual </w:t>
      </w:r>
      <w:r w:rsidR="0008602D" w:rsidRPr="005E1802">
        <w:rPr>
          <w:rFonts w:ascii="Times New Roman" w:hAnsi="Times New Roman"/>
        </w:rPr>
        <w:t>question</w:t>
      </w:r>
      <w:r w:rsidR="00F5584F" w:rsidRPr="005E1802">
        <w:rPr>
          <w:rFonts w:ascii="Times New Roman" w:hAnsi="Times New Roman"/>
        </w:rPr>
        <w:t>s</w:t>
      </w:r>
      <w:r w:rsidR="005A40B0" w:rsidRPr="005E1802">
        <w:rPr>
          <w:rFonts w:ascii="Times New Roman" w:hAnsi="Times New Roman"/>
        </w:rPr>
        <w:t xml:space="preserve"> in civil proceeding</w:t>
      </w:r>
      <w:r w:rsidR="00F5584F" w:rsidRPr="005E1802">
        <w:rPr>
          <w:rFonts w:ascii="Times New Roman" w:hAnsi="Times New Roman"/>
        </w:rPr>
        <w:t>s</w:t>
      </w:r>
      <w:r w:rsidR="0008602D" w:rsidRPr="005E1802">
        <w:rPr>
          <w:rFonts w:ascii="Times New Roman" w:hAnsi="Times New Roman"/>
        </w:rPr>
        <w:t xml:space="preserve"> </w:t>
      </w:r>
      <w:r w:rsidR="005E221A" w:rsidRPr="005E1802">
        <w:rPr>
          <w:rFonts w:ascii="Times New Roman" w:hAnsi="Times New Roman"/>
        </w:rPr>
        <w:t xml:space="preserve">as to what could have occurred </w:t>
      </w:r>
      <w:r w:rsidR="00536ACA" w:rsidRPr="005E1802">
        <w:rPr>
          <w:rFonts w:ascii="Times New Roman" w:hAnsi="Times New Roman"/>
        </w:rPr>
        <w:t>–</w:t>
      </w:r>
      <w:r w:rsidR="00015C00" w:rsidRPr="005E1802">
        <w:rPr>
          <w:rFonts w:ascii="Times New Roman" w:hAnsi="Times New Roman"/>
        </w:rPr>
        <w:t xml:space="preserve"> </w:t>
      </w:r>
      <w:r w:rsidR="005E221A" w:rsidRPr="005E1802">
        <w:rPr>
          <w:rFonts w:ascii="Times New Roman" w:hAnsi="Times New Roman"/>
        </w:rPr>
        <w:t xml:space="preserve">as distinct from what would have occurred </w:t>
      </w:r>
      <w:r w:rsidR="00536ACA" w:rsidRPr="005E1802">
        <w:rPr>
          <w:rFonts w:ascii="Times New Roman" w:hAnsi="Times New Roman"/>
        </w:rPr>
        <w:t>–</w:t>
      </w:r>
      <w:r w:rsidR="00015C00" w:rsidRPr="005E1802">
        <w:rPr>
          <w:rFonts w:ascii="Times New Roman" w:hAnsi="Times New Roman"/>
        </w:rPr>
        <w:t xml:space="preserve"> </w:t>
      </w:r>
      <w:r w:rsidR="007D7EBF" w:rsidRPr="005E1802">
        <w:rPr>
          <w:rFonts w:ascii="Times New Roman" w:hAnsi="Times New Roman"/>
        </w:rPr>
        <w:t xml:space="preserve">had there been compliance with a legal obligation </w:t>
      </w:r>
      <w:r w:rsidR="00EB5C29" w:rsidRPr="005E1802">
        <w:rPr>
          <w:rFonts w:ascii="Times New Roman" w:hAnsi="Times New Roman"/>
        </w:rPr>
        <w:t>that was in fact breached</w:t>
      </w:r>
      <w:r w:rsidR="001B08ED" w:rsidRPr="005E1802">
        <w:rPr>
          <w:rStyle w:val="FootnoteReference"/>
          <w:rFonts w:ascii="Times New Roman" w:hAnsi="Times New Roman"/>
          <w:sz w:val="24"/>
        </w:rPr>
        <w:footnoteReference w:id="37"/>
      </w:r>
      <w:r w:rsidR="001B08ED" w:rsidRPr="005E1802">
        <w:rPr>
          <w:rFonts w:ascii="Times New Roman" w:hAnsi="Times New Roman"/>
        </w:rPr>
        <w:t xml:space="preserve">, </w:t>
      </w:r>
      <w:r w:rsidR="00280048" w:rsidRPr="005E1802">
        <w:rPr>
          <w:rFonts w:ascii="Times New Roman" w:hAnsi="Times New Roman"/>
        </w:rPr>
        <w:t xml:space="preserve">whether </w:t>
      </w:r>
      <w:r w:rsidR="00693621" w:rsidRPr="005E1802">
        <w:rPr>
          <w:rFonts w:ascii="Times New Roman" w:hAnsi="Times New Roman"/>
        </w:rPr>
        <w:t>the decision that was in fact made could have been different</w:t>
      </w:r>
      <w:r w:rsidR="00C655E7" w:rsidRPr="005E1802">
        <w:rPr>
          <w:rFonts w:ascii="Times New Roman" w:hAnsi="Times New Roman"/>
        </w:rPr>
        <w:t xml:space="preserve"> </w:t>
      </w:r>
      <w:r w:rsidR="00280048" w:rsidRPr="005E1802">
        <w:rPr>
          <w:rFonts w:ascii="Times New Roman" w:hAnsi="Times New Roman"/>
        </w:rPr>
        <w:t xml:space="preserve">had the condition been complied </w:t>
      </w:r>
      <w:r w:rsidR="00755883" w:rsidRPr="005E1802">
        <w:rPr>
          <w:rFonts w:ascii="Times New Roman" w:hAnsi="Times New Roman"/>
        </w:rPr>
        <w:t>with</w:t>
      </w:r>
      <w:r w:rsidR="00215AC1" w:rsidRPr="005E1802">
        <w:rPr>
          <w:rFonts w:ascii="Times New Roman" w:hAnsi="Times New Roman"/>
        </w:rPr>
        <w:t xml:space="preserve"> falls to be determined </w:t>
      </w:r>
      <w:r w:rsidR="00D96E11" w:rsidRPr="005E1802">
        <w:rPr>
          <w:rFonts w:ascii="Times New Roman" w:hAnsi="Times New Roman"/>
        </w:rPr>
        <w:t>as a matter</w:t>
      </w:r>
      <w:r w:rsidR="00215AC1" w:rsidRPr="005E1802">
        <w:rPr>
          <w:rFonts w:ascii="Times New Roman" w:hAnsi="Times New Roman"/>
        </w:rPr>
        <w:t xml:space="preserve"> of</w:t>
      </w:r>
      <w:r w:rsidR="004D2328" w:rsidRPr="005E1802">
        <w:rPr>
          <w:rFonts w:ascii="Times New Roman" w:hAnsi="Times New Roman"/>
        </w:rPr>
        <w:t xml:space="preserve"> </w:t>
      </w:r>
      <w:r w:rsidR="00496229" w:rsidRPr="005E1802">
        <w:rPr>
          <w:rFonts w:ascii="Times New Roman" w:hAnsi="Times New Roman"/>
        </w:rPr>
        <w:t xml:space="preserve">reasonable </w:t>
      </w:r>
      <w:r w:rsidR="00215AC1" w:rsidRPr="005E1802">
        <w:rPr>
          <w:rFonts w:ascii="Times New Roman" w:hAnsi="Times New Roman"/>
        </w:rPr>
        <w:t>conjecture</w:t>
      </w:r>
      <w:r w:rsidR="00635DC1" w:rsidRPr="005E1802">
        <w:rPr>
          <w:rFonts w:ascii="Times New Roman" w:hAnsi="Times New Roman"/>
        </w:rPr>
        <w:t xml:space="preserve"> with</w:t>
      </w:r>
      <w:r w:rsidR="003B3CBD" w:rsidRPr="005E1802">
        <w:rPr>
          <w:rFonts w:ascii="Times New Roman" w:hAnsi="Times New Roman"/>
        </w:rPr>
        <w:t>in the parameters set by</w:t>
      </w:r>
      <w:r w:rsidR="00635DC1" w:rsidRPr="005E1802">
        <w:rPr>
          <w:rFonts w:ascii="Times New Roman" w:hAnsi="Times New Roman"/>
        </w:rPr>
        <w:t xml:space="preserve"> the historical facts </w:t>
      </w:r>
      <w:r w:rsidR="003B3CBD" w:rsidRPr="005E1802">
        <w:rPr>
          <w:rFonts w:ascii="Times New Roman" w:hAnsi="Times New Roman"/>
        </w:rPr>
        <w:t>that have been</w:t>
      </w:r>
      <w:r w:rsidR="00295172" w:rsidRPr="005E1802">
        <w:rPr>
          <w:rFonts w:ascii="Times New Roman" w:hAnsi="Times New Roman"/>
        </w:rPr>
        <w:t xml:space="preserve"> </w:t>
      </w:r>
      <w:r w:rsidR="00635DC1" w:rsidRPr="005E1802">
        <w:rPr>
          <w:rFonts w:ascii="Times New Roman" w:hAnsi="Times New Roman"/>
        </w:rPr>
        <w:t>determined on the balance of probabilities</w:t>
      </w:r>
      <w:r w:rsidR="007D6059" w:rsidRPr="005E1802">
        <w:rPr>
          <w:rFonts w:ascii="Times New Roman" w:hAnsi="Times New Roman"/>
        </w:rPr>
        <w:t>.</w:t>
      </w:r>
    </w:p>
    <w:p w14:paraId="017986C9" w14:textId="570A2224" w:rsidR="008C1E23" w:rsidRPr="005E1802" w:rsidRDefault="008C1E23" w:rsidP="005E1802">
      <w:pPr>
        <w:pStyle w:val="FixListStyle"/>
        <w:spacing w:after="260" w:line="280" w:lineRule="exact"/>
        <w:ind w:right="0"/>
        <w:jc w:val="both"/>
        <w:rPr>
          <w:rFonts w:ascii="Times New Roman" w:hAnsi="Times New Roman"/>
        </w:rPr>
      </w:pPr>
      <w:r w:rsidRPr="005E1802">
        <w:rPr>
          <w:rFonts w:ascii="Times New Roman" w:hAnsi="Times New Roman"/>
        </w:rPr>
        <w:lastRenderedPageBreak/>
        <w:tab/>
      </w:r>
      <w:r w:rsidR="00B1548B" w:rsidRPr="005E1802">
        <w:rPr>
          <w:rFonts w:ascii="Times New Roman" w:hAnsi="Times New Roman"/>
        </w:rPr>
        <w:t xml:space="preserve">Bearing the </w:t>
      </w:r>
      <w:r w:rsidR="00101DCB" w:rsidRPr="005E1802">
        <w:rPr>
          <w:rFonts w:ascii="Times New Roman" w:hAnsi="Times New Roman"/>
        </w:rPr>
        <w:t xml:space="preserve">overall </w:t>
      </w:r>
      <w:r w:rsidR="00B1548B" w:rsidRPr="005E1802">
        <w:rPr>
          <w:rFonts w:ascii="Times New Roman" w:hAnsi="Times New Roman"/>
        </w:rPr>
        <w:t xml:space="preserve">onus </w:t>
      </w:r>
      <w:r w:rsidR="00EF6AC9" w:rsidRPr="005E1802">
        <w:rPr>
          <w:rFonts w:ascii="Times New Roman" w:hAnsi="Times New Roman"/>
        </w:rPr>
        <w:t xml:space="preserve">of proving </w:t>
      </w:r>
      <w:r w:rsidR="00A52B5D" w:rsidRPr="005E1802">
        <w:rPr>
          <w:rFonts w:ascii="Times New Roman" w:hAnsi="Times New Roman"/>
        </w:rPr>
        <w:t>jurisdictional error</w:t>
      </w:r>
      <w:r w:rsidR="00E36561" w:rsidRPr="005E1802">
        <w:rPr>
          <w:rStyle w:val="FootnoteReference"/>
          <w:rFonts w:ascii="Times New Roman" w:hAnsi="Times New Roman"/>
          <w:sz w:val="24"/>
        </w:rPr>
        <w:footnoteReference w:id="38"/>
      </w:r>
      <w:r w:rsidR="008E1489" w:rsidRPr="005E1802">
        <w:rPr>
          <w:rFonts w:ascii="Times New Roman" w:hAnsi="Times New Roman"/>
        </w:rPr>
        <w:t xml:space="preserve">, </w:t>
      </w:r>
      <w:r w:rsidR="003E0BE4" w:rsidRPr="005E1802">
        <w:rPr>
          <w:rFonts w:ascii="Times New Roman" w:hAnsi="Times New Roman"/>
        </w:rPr>
        <w:t>the</w:t>
      </w:r>
      <w:r w:rsidR="00E36561" w:rsidRPr="005E1802">
        <w:rPr>
          <w:rFonts w:ascii="Times New Roman" w:hAnsi="Times New Roman"/>
        </w:rPr>
        <w:t xml:space="preserve"> </w:t>
      </w:r>
      <w:r w:rsidR="003E0BE4" w:rsidRPr="005E1802">
        <w:rPr>
          <w:rFonts w:ascii="Times New Roman" w:hAnsi="Times New Roman"/>
        </w:rPr>
        <w:t xml:space="preserve">plaintiff in </w:t>
      </w:r>
      <w:r w:rsidR="00487035" w:rsidRPr="005E1802">
        <w:rPr>
          <w:rFonts w:ascii="Times New Roman" w:hAnsi="Times New Roman"/>
        </w:rPr>
        <w:t xml:space="preserve">an application </w:t>
      </w:r>
      <w:r w:rsidR="00E36561" w:rsidRPr="005E1802">
        <w:rPr>
          <w:rFonts w:ascii="Times New Roman" w:hAnsi="Times New Roman"/>
        </w:rPr>
        <w:t xml:space="preserve">for judicial review </w:t>
      </w:r>
      <w:r w:rsidR="00FC2CE0" w:rsidRPr="005E1802">
        <w:rPr>
          <w:rFonts w:ascii="Times New Roman" w:hAnsi="Times New Roman"/>
        </w:rPr>
        <w:t xml:space="preserve">must </w:t>
      </w:r>
      <w:r w:rsidR="00D967F3" w:rsidRPr="005E1802">
        <w:rPr>
          <w:rFonts w:ascii="Times New Roman" w:hAnsi="Times New Roman"/>
        </w:rPr>
        <w:t xml:space="preserve">bear the onus of proving </w:t>
      </w:r>
      <w:r w:rsidR="004D4D3A" w:rsidRPr="005E1802">
        <w:rPr>
          <w:rFonts w:ascii="Times New Roman" w:hAnsi="Times New Roman"/>
        </w:rPr>
        <w:t xml:space="preserve">on the balance of probabilities </w:t>
      </w:r>
      <w:r w:rsidR="00BC5EF4" w:rsidRPr="005E1802">
        <w:rPr>
          <w:rFonts w:ascii="Times New Roman" w:hAnsi="Times New Roman"/>
        </w:rPr>
        <w:t xml:space="preserve">all </w:t>
      </w:r>
      <w:r w:rsidR="00267536" w:rsidRPr="005E1802">
        <w:rPr>
          <w:rFonts w:ascii="Times New Roman" w:hAnsi="Times New Roman"/>
        </w:rPr>
        <w:t>th</w:t>
      </w:r>
      <w:r w:rsidR="00F74896" w:rsidRPr="005E1802">
        <w:rPr>
          <w:rFonts w:ascii="Times New Roman" w:hAnsi="Times New Roman"/>
        </w:rPr>
        <w:t>e</w:t>
      </w:r>
      <w:r w:rsidR="00D65526" w:rsidRPr="005E1802">
        <w:rPr>
          <w:rFonts w:ascii="Times New Roman" w:hAnsi="Times New Roman"/>
        </w:rPr>
        <w:t xml:space="preserve"> historical facts </w:t>
      </w:r>
      <w:r w:rsidR="00135F80" w:rsidRPr="005E1802">
        <w:rPr>
          <w:rFonts w:ascii="Times New Roman" w:hAnsi="Times New Roman"/>
        </w:rPr>
        <w:t xml:space="preserve">necessary to </w:t>
      </w:r>
      <w:r w:rsidR="00CA1839" w:rsidRPr="005E1802">
        <w:rPr>
          <w:rFonts w:ascii="Times New Roman" w:hAnsi="Times New Roman"/>
        </w:rPr>
        <w:t>sustain</w:t>
      </w:r>
      <w:r w:rsidR="00135F80" w:rsidRPr="005E1802">
        <w:rPr>
          <w:rFonts w:ascii="Times New Roman" w:hAnsi="Times New Roman"/>
        </w:rPr>
        <w:t xml:space="preserve"> the requisite</w:t>
      </w:r>
      <w:r w:rsidR="00A00340" w:rsidRPr="005E1802">
        <w:rPr>
          <w:rFonts w:ascii="Times New Roman" w:hAnsi="Times New Roman"/>
        </w:rPr>
        <w:t xml:space="preserve"> </w:t>
      </w:r>
      <w:r w:rsidR="00D66DCF" w:rsidRPr="005E1802">
        <w:rPr>
          <w:rFonts w:ascii="Times New Roman" w:hAnsi="Times New Roman"/>
        </w:rPr>
        <w:t xml:space="preserve">reasonable </w:t>
      </w:r>
      <w:r w:rsidR="009E2365" w:rsidRPr="005E1802">
        <w:rPr>
          <w:rFonts w:ascii="Times New Roman" w:hAnsi="Times New Roman"/>
        </w:rPr>
        <w:t>conjectur</w:t>
      </w:r>
      <w:r w:rsidR="005152E1" w:rsidRPr="005E1802">
        <w:rPr>
          <w:rFonts w:ascii="Times New Roman" w:hAnsi="Times New Roman"/>
        </w:rPr>
        <w:t xml:space="preserve">e. </w:t>
      </w:r>
      <w:r w:rsidR="00587278" w:rsidRPr="005E1802">
        <w:rPr>
          <w:rFonts w:ascii="Times New Roman" w:hAnsi="Times New Roman"/>
        </w:rPr>
        <w:t>T</w:t>
      </w:r>
      <w:r w:rsidR="007133BF" w:rsidRPr="005E1802">
        <w:rPr>
          <w:rFonts w:ascii="Times New Roman" w:hAnsi="Times New Roman"/>
        </w:rPr>
        <w:t xml:space="preserve">he </w:t>
      </w:r>
      <w:r w:rsidR="006049CF" w:rsidRPr="005E1802">
        <w:rPr>
          <w:rFonts w:ascii="Times New Roman" w:hAnsi="Times New Roman"/>
        </w:rPr>
        <w:t>burden</w:t>
      </w:r>
      <w:r w:rsidR="006904AF" w:rsidRPr="005E1802">
        <w:rPr>
          <w:rFonts w:ascii="Times New Roman" w:hAnsi="Times New Roman"/>
        </w:rPr>
        <w:t xml:space="preserve"> of the </w:t>
      </w:r>
      <w:r w:rsidR="007133BF" w:rsidRPr="005E1802">
        <w:rPr>
          <w:rFonts w:ascii="Times New Roman" w:hAnsi="Times New Roman"/>
        </w:rPr>
        <w:t>plaintiff</w:t>
      </w:r>
      <w:r w:rsidR="00587278" w:rsidRPr="005E1802">
        <w:rPr>
          <w:rFonts w:ascii="Times New Roman" w:hAnsi="Times New Roman"/>
        </w:rPr>
        <w:t xml:space="preserve"> </w:t>
      </w:r>
      <w:r w:rsidR="006904AF" w:rsidRPr="005E1802">
        <w:rPr>
          <w:rFonts w:ascii="Times New Roman" w:hAnsi="Times New Roman"/>
        </w:rPr>
        <w:t xml:space="preserve">is </w:t>
      </w:r>
      <w:r w:rsidR="00587278" w:rsidRPr="005E1802">
        <w:rPr>
          <w:rFonts w:ascii="Times New Roman" w:hAnsi="Times New Roman"/>
        </w:rPr>
        <w:t xml:space="preserve">not </w:t>
      </w:r>
      <w:r w:rsidR="006904AF" w:rsidRPr="005E1802">
        <w:rPr>
          <w:rFonts w:ascii="Times New Roman" w:hAnsi="Times New Roman"/>
        </w:rPr>
        <w:t xml:space="preserve">to </w:t>
      </w:r>
      <w:r w:rsidR="005C33B5" w:rsidRPr="005E1802">
        <w:rPr>
          <w:rFonts w:ascii="Times New Roman" w:hAnsi="Times New Roman"/>
        </w:rPr>
        <w:t>prove</w:t>
      </w:r>
      <w:r w:rsidR="00587278" w:rsidRPr="005E1802">
        <w:rPr>
          <w:rFonts w:ascii="Times New Roman" w:hAnsi="Times New Roman"/>
        </w:rPr>
        <w:t xml:space="preserve"> </w:t>
      </w:r>
      <w:r w:rsidR="007133BF" w:rsidRPr="005E1802">
        <w:rPr>
          <w:rFonts w:ascii="Times New Roman" w:hAnsi="Times New Roman"/>
        </w:rPr>
        <w:t xml:space="preserve">on the balance of probabilities </w:t>
      </w:r>
      <w:r w:rsidR="00BD6F30" w:rsidRPr="005E1802">
        <w:rPr>
          <w:rFonts w:ascii="Times New Roman" w:hAnsi="Times New Roman"/>
        </w:rPr>
        <w:t>that a different decision</w:t>
      </w:r>
      <w:r w:rsidR="00695CBE" w:rsidRPr="005E1802">
        <w:rPr>
          <w:rFonts w:ascii="Times New Roman" w:hAnsi="Times New Roman"/>
        </w:rPr>
        <w:t xml:space="preserve"> </w:t>
      </w:r>
      <w:r w:rsidR="00695CBE" w:rsidRPr="005E1802">
        <w:rPr>
          <w:rFonts w:ascii="Times New Roman" w:hAnsi="Times New Roman"/>
          <w:i/>
        </w:rPr>
        <w:t>would</w:t>
      </w:r>
      <w:r w:rsidR="00695CBE" w:rsidRPr="005E1802">
        <w:rPr>
          <w:rFonts w:ascii="Times New Roman" w:hAnsi="Times New Roman"/>
        </w:rPr>
        <w:t xml:space="preserve"> </w:t>
      </w:r>
      <w:r w:rsidR="00BD6F30" w:rsidRPr="005E1802">
        <w:rPr>
          <w:rFonts w:ascii="Times New Roman" w:hAnsi="Times New Roman"/>
        </w:rPr>
        <w:t xml:space="preserve">have been made </w:t>
      </w:r>
      <w:r w:rsidR="005C33B5" w:rsidRPr="005E1802">
        <w:rPr>
          <w:rFonts w:ascii="Times New Roman" w:hAnsi="Times New Roman"/>
        </w:rPr>
        <w:t>had there been compliance with the condition</w:t>
      </w:r>
      <w:r w:rsidR="005A320E" w:rsidRPr="005E1802">
        <w:rPr>
          <w:rFonts w:ascii="Times New Roman" w:hAnsi="Times New Roman"/>
        </w:rPr>
        <w:t xml:space="preserve"> that was breached</w:t>
      </w:r>
      <w:r w:rsidR="006904AF" w:rsidRPr="005E1802">
        <w:rPr>
          <w:rFonts w:ascii="Times New Roman" w:hAnsi="Times New Roman"/>
        </w:rPr>
        <w:t xml:space="preserve">. </w:t>
      </w:r>
      <w:r w:rsidR="000706BB" w:rsidRPr="005E1802">
        <w:rPr>
          <w:rFonts w:ascii="Times New Roman" w:hAnsi="Times New Roman"/>
        </w:rPr>
        <w:t>But t</w:t>
      </w:r>
      <w:r w:rsidR="005C33B5" w:rsidRPr="005E1802">
        <w:rPr>
          <w:rFonts w:ascii="Times New Roman" w:hAnsi="Times New Roman"/>
        </w:rPr>
        <w:t xml:space="preserve">he </w:t>
      </w:r>
      <w:r w:rsidR="006049CF" w:rsidRPr="005E1802">
        <w:rPr>
          <w:rFonts w:ascii="Times New Roman" w:hAnsi="Times New Roman"/>
        </w:rPr>
        <w:t xml:space="preserve">burden of the plaintiff is to prove on the balance of probabilities </w:t>
      </w:r>
      <w:r w:rsidR="009A71C0" w:rsidRPr="005E1802">
        <w:rPr>
          <w:rFonts w:ascii="Times New Roman" w:hAnsi="Times New Roman"/>
        </w:rPr>
        <w:t>the historical facts</w:t>
      </w:r>
      <w:r w:rsidR="00C317D7" w:rsidRPr="005E1802">
        <w:rPr>
          <w:rFonts w:ascii="Times New Roman" w:hAnsi="Times New Roman"/>
        </w:rPr>
        <w:t xml:space="preserve"> necessary </w:t>
      </w:r>
      <w:r w:rsidR="003A220C" w:rsidRPr="005E1802">
        <w:rPr>
          <w:rFonts w:ascii="Times New Roman" w:hAnsi="Times New Roman"/>
        </w:rPr>
        <w:t xml:space="preserve">to </w:t>
      </w:r>
      <w:r w:rsidR="006500F0" w:rsidRPr="005E1802">
        <w:rPr>
          <w:rFonts w:ascii="Times New Roman" w:hAnsi="Times New Roman"/>
        </w:rPr>
        <w:t xml:space="preserve">enable </w:t>
      </w:r>
      <w:r w:rsidR="0020497C" w:rsidRPr="005E1802">
        <w:rPr>
          <w:rFonts w:ascii="Times New Roman" w:hAnsi="Times New Roman"/>
        </w:rPr>
        <w:t>the</w:t>
      </w:r>
      <w:r w:rsidR="006500F0" w:rsidRPr="005E1802">
        <w:rPr>
          <w:rFonts w:ascii="Times New Roman" w:hAnsi="Times New Roman"/>
        </w:rPr>
        <w:t xml:space="preserve"> court to be </w:t>
      </w:r>
      <w:r w:rsidR="0020497C" w:rsidRPr="005E1802">
        <w:rPr>
          <w:rFonts w:ascii="Times New Roman" w:hAnsi="Times New Roman"/>
        </w:rPr>
        <w:t xml:space="preserve">satisfied </w:t>
      </w:r>
      <w:r w:rsidR="00BD6F30" w:rsidRPr="005E1802">
        <w:rPr>
          <w:rFonts w:ascii="Times New Roman" w:hAnsi="Times New Roman"/>
        </w:rPr>
        <w:t xml:space="preserve">of the </w:t>
      </w:r>
      <w:r w:rsidR="006537B6" w:rsidRPr="005E1802">
        <w:rPr>
          <w:rFonts w:ascii="Times New Roman" w:hAnsi="Times New Roman"/>
        </w:rPr>
        <w:t xml:space="preserve">realistic </w:t>
      </w:r>
      <w:r w:rsidR="00BD6F30" w:rsidRPr="005E1802">
        <w:rPr>
          <w:rFonts w:ascii="Times New Roman" w:hAnsi="Times New Roman"/>
        </w:rPr>
        <w:t>possibility</w:t>
      </w:r>
      <w:r w:rsidR="006537B6" w:rsidRPr="005E1802">
        <w:rPr>
          <w:rFonts w:ascii="Times New Roman" w:hAnsi="Times New Roman"/>
        </w:rPr>
        <w:t xml:space="preserve"> that a different decision</w:t>
      </w:r>
      <w:r w:rsidR="00036F0D" w:rsidRPr="005E1802">
        <w:rPr>
          <w:rFonts w:ascii="Times New Roman" w:hAnsi="Times New Roman"/>
        </w:rPr>
        <w:t xml:space="preserve"> </w:t>
      </w:r>
      <w:r w:rsidR="00036F0D" w:rsidRPr="005E1802">
        <w:rPr>
          <w:rFonts w:ascii="Times New Roman" w:hAnsi="Times New Roman"/>
          <w:i/>
        </w:rPr>
        <w:t>could</w:t>
      </w:r>
      <w:r w:rsidR="00036F0D" w:rsidRPr="005E1802">
        <w:rPr>
          <w:rFonts w:ascii="Times New Roman" w:hAnsi="Times New Roman"/>
        </w:rPr>
        <w:t xml:space="preserve"> have </w:t>
      </w:r>
      <w:r w:rsidR="006537B6" w:rsidRPr="005E1802">
        <w:rPr>
          <w:rFonts w:ascii="Times New Roman" w:hAnsi="Times New Roman"/>
        </w:rPr>
        <w:t>been made</w:t>
      </w:r>
      <w:r w:rsidR="00036F0D" w:rsidRPr="005E1802">
        <w:rPr>
          <w:rFonts w:ascii="Times New Roman" w:hAnsi="Times New Roman"/>
        </w:rPr>
        <w:t xml:space="preserve"> had there been compliance with th</w:t>
      </w:r>
      <w:r w:rsidR="005A320E" w:rsidRPr="005E1802">
        <w:rPr>
          <w:rFonts w:ascii="Times New Roman" w:hAnsi="Times New Roman"/>
        </w:rPr>
        <w:t>at</w:t>
      </w:r>
      <w:r w:rsidR="00036F0D" w:rsidRPr="005E1802">
        <w:rPr>
          <w:rFonts w:ascii="Times New Roman" w:hAnsi="Times New Roman"/>
        </w:rPr>
        <w:t xml:space="preserve"> condition</w:t>
      </w:r>
      <w:r w:rsidR="009C751F" w:rsidRPr="005E1802">
        <w:rPr>
          <w:rFonts w:ascii="Times New Roman" w:hAnsi="Times New Roman"/>
        </w:rPr>
        <w:t>.</w:t>
      </w:r>
      <w:r w:rsidR="00463368" w:rsidRPr="005E1802">
        <w:rPr>
          <w:rFonts w:ascii="Times New Roman" w:hAnsi="Times New Roman"/>
        </w:rPr>
        <w:t xml:space="preserve"> </w:t>
      </w:r>
    </w:p>
    <w:p w14:paraId="3ACC92EC" w14:textId="35EE8647" w:rsidR="00576595" w:rsidRPr="005E1802" w:rsidRDefault="00576595"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There is no reason to consider that </w:t>
      </w:r>
      <w:r w:rsidR="00D32013" w:rsidRPr="005E1802">
        <w:rPr>
          <w:rFonts w:ascii="Times New Roman" w:hAnsi="Times New Roman"/>
        </w:rPr>
        <w:t xml:space="preserve">the burden placed on the plaintiff </w:t>
      </w:r>
      <w:r w:rsidR="00721824" w:rsidRPr="005E1802">
        <w:rPr>
          <w:rFonts w:ascii="Times New Roman" w:hAnsi="Times New Roman"/>
        </w:rPr>
        <w:t>of</w:t>
      </w:r>
      <w:r w:rsidR="00D32013" w:rsidRPr="005E1802">
        <w:rPr>
          <w:rFonts w:ascii="Times New Roman" w:hAnsi="Times New Roman"/>
        </w:rPr>
        <w:t xml:space="preserve"> prov</w:t>
      </w:r>
      <w:r w:rsidR="00721824" w:rsidRPr="005E1802">
        <w:rPr>
          <w:rFonts w:ascii="Times New Roman" w:hAnsi="Times New Roman"/>
        </w:rPr>
        <w:t>ing</w:t>
      </w:r>
      <w:r w:rsidR="00D32013" w:rsidRPr="005E1802">
        <w:rPr>
          <w:rFonts w:ascii="Times New Roman" w:hAnsi="Times New Roman"/>
        </w:rPr>
        <w:t xml:space="preserve"> on the balance of probabilities the historical facts necessary to enable the court to be satisfied of the realistic possibility that a different decision could have been made had there been compliance with </w:t>
      </w:r>
      <w:r w:rsidR="00C86FA7" w:rsidRPr="005E1802">
        <w:rPr>
          <w:rFonts w:ascii="Times New Roman" w:hAnsi="Times New Roman"/>
        </w:rPr>
        <w:t xml:space="preserve">the condition that has been breached </w:t>
      </w:r>
      <w:r w:rsidR="005056B0" w:rsidRPr="005E1802">
        <w:rPr>
          <w:rFonts w:ascii="Times New Roman" w:hAnsi="Times New Roman"/>
        </w:rPr>
        <w:t xml:space="preserve">is </w:t>
      </w:r>
      <w:r w:rsidR="00F0538D" w:rsidRPr="005E1802">
        <w:rPr>
          <w:rFonts w:ascii="Times New Roman" w:hAnsi="Times New Roman"/>
        </w:rPr>
        <w:t xml:space="preserve">significantly more onerous than the </w:t>
      </w:r>
      <w:r w:rsidR="00F33A36" w:rsidRPr="005E1802">
        <w:rPr>
          <w:rFonts w:ascii="Times New Roman" w:hAnsi="Times New Roman"/>
        </w:rPr>
        <w:t xml:space="preserve">burden indisputably borne by the plaintiff </w:t>
      </w:r>
      <w:r w:rsidR="00721824" w:rsidRPr="005E1802">
        <w:rPr>
          <w:rFonts w:ascii="Times New Roman" w:hAnsi="Times New Roman"/>
        </w:rPr>
        <w:t>of</w:t>
      </w:r>
      <w:r w:rsidR="004D3A4D" w:rsidRPr="005E1802">
        <w:rPr>
          <w:rFonts w:ascii="Times New Roman" w:hAnsi="Times New Roman"/>
        </w:rPr>
        <w:t xml:space="preserve"> prov</w:t>
      </w:r>
      <w:r w:rsidR="00721824" w:rsidRPr="005E1802">
        <w:rPr>
          <w:rFonts w:ascii="Times New Roman" w:hAnsi="Times New Roman"/>
        </w:rPr>
        <w:t>ing</w:t>
      </w:r>
      <w:r w:rsidR="004D3A4D" w:rsidRPr="005E1802">
        <w:rPr>
          <w:rFonts w:ascii="Times New Roman" w:hAnsi="Times New Roman"/>
        </w:rPr>
        <w:t xml:space="preserve"> on the balance of probabilities the historical facts necessary to enable the court to be satisfied that the condition has </w:t>
      </w:r>
      <w:r w:rsidR="00C86FA7" w:rsidRPr="005E1802">
        <w:rPr>
          <w:rFonts w:ascii="Times New Roman" w:hAnsi="Times New Roman"/>
        </w:rPr>
        <w:t xml:space="preserve">in fact </w:t>
      </w:r>
      <w:r w:rsidR="004D3A4D" w:rsidRPr="005E1802">
        <w:rPr>
          <w:rFonts w:ascii="Times New Roman" w:hAnsi="Times New Roman"/>
        </w:rPr>
        <w:t xml:space="preserve">been </w:t>
      </w:r>
      <w:r w:rsidR="005056B0" w:rsidRPr="005E1802">
        <w:rPr>
          <w:rFonts w:ascii="Times New Roman" w:hAnsi="Times New Roman"/>
        </w:rPr>
        <w:t>breached</w:t>
      </w:r>
      <w:r w:rsidR="00D8177F" w:rsidRPr="005E1802">
        <w:rPr>
          <w:rFonts w:ascii="Times New Roman" w:hAnsi="Times New Roman"/>
        </w:rPr>
        <w:t xml:space="preserve">. </w:t>
      </w:r>
      <w:r w:rsidR="001D7693" w:rsidRPr="005E1802">
        <w:rPr>
          <w:rFonts w:ascii="Times New Roman" w:hAnsi="Times New Roman"/>
        </w:rPr>
        <w:t>And especi</w:t>
      </w:r>
      <w:r w:rsidR="00453A86" w:rsidRPr="005E1802">
        <w:rPr>
          <w:rFonts w:ascii="Times New Roman" w:hAnsi="Times New Roman"/>
        </w:rPr>
        <w:t xml:space="preserve">ally in a case such as the present, where the principle in </w:t>
      </w:r>
      <w:r w:rsidR="001D01DF" w:rsidRPr="005E1802">
        <w:rPr>
          <w:rFonts w:ascii="Times New Roman" w:hAnsi="Times New Roman"/>
          <w:i/>
        </w:rPr>
        <w:t>R v Australian Broadcasting Tribunal; Ex parte Hardiman</w:t>
      </w:r>
      <w:r w:rsidR="0070629E" w:rsidRPr="005E1802">
        <w:rPr>
          <w:rStyle w:val="FootnoteReference"/>
          <w:rFonts w:ascii="Times New Roman" w:hAnsi="Times New Roman"/>
          <w:sz w:val="24"/>
        </w:rPr>
        <w:footnoteReference w:id="39"/>
      </w:r>
      <w:r w:rsidR="001D01DF" w:rsidRPr="005E1802">
        <w:rPr>
          <w:rFonts w:ascii="Times New Roman" w:hAnsi="Times New Roman"/>
        </w:rPr>
        <w:t xml:space="preserve"> </w:t>
      </w:r>
      <w:r w:rsidR="00A414DE" w:rsidRPr="005E1802">
        <w:rPr>
          <w:rFonts w:ascii="Times New Roman" w:hAnsi="Times New Roman"/>
        </w:rPr>
        <w:t>prevents a decision-maker appearing as an active party in a proceeding for judicial review of one of its decisio</w:t>
      </w:r>
      <w:r w:rsidR="0070629E" w:rsidRPr="005E1802">
        <w:rPr>
          <w:rFonts w:ascii="Times New Roman" w:hAnsi="Times New Roman"/>
        </w:rPr>
        <w:t>n</w:t>
      </w:r>
      <w:r w:rsidR="00DC5C12" w:rsidRPr="005E1802">
        <w:rPr>
          <w:rFonts w:ascii="Times New Roman" w:hAnsi="Times New Roman"/>
        </w:rPr>
        <w:t>s</w:t>
      </w:r>
      <w:r w:rsidR="00A414DE" w:rsidRPr="005E1802">
        <w:rPr>
          <w:rFonts w:ascii="Times New Roman" w:hAnsi="Times New Roman"/>
        </w:rPr>
        <w:t xml:space="preserve">, there is no reason to consider that the burden </w:t>
      </w:r>
      <w:r w:rsidR="0093515A" w:rsidRPr="005E1802">
        <w:rPr>
          <w:rFonts w:ascii="Times New Roman" w:hAnsi="Times New Roman"/>
        </w:rPr>
        <w:t>w</w:t>
      </w:r>
      <w:r w:rsidR="00570779" w:rsidRPr="005E1802">
        <w:rPr>
          <w:rFonts w:ascii="Times New Roman" w:hAnsi="Times New Roman"/>
        </w:rPr>
        <w:t>ould</w:t>
      </w:r>
      <w:r w:rsidR="001F231C" w:rsidRPr="005E1802">
        <w:rPr>
          <w:rFonts w:ascii="Times New Roman" w:hAnsi="Times New Roman"/>
        </w:rPr>
        <w:t xml:space="preserve"> more </w:t>
      </w:r>
      <w:r w:rsidR="0093515A" w:rsidRPr="005E1802">
        <w:rPr>
          <w:rFonts w:ascii="Times New Roman" w:hAnsi="Times New Roman"/>
        </w:rPr>
        <w:t>fittingly</w:t>
      </w:r>
      <w:r w:rsidR="001F231C" w:rsidRPr="005E1802">
        <w:rPr>
          <w:rFonts w:ascii="Times New Roman" w:hAnsi="Times New Roman"/>
        </w:rPr>
        <w:t xml:space="preserve"> be </w:t>
      </w:r>
      <w:r w:rsidR="00A43D31" w:rsidRPr="005E1802">
        <w:rPr>
          <w:rFonts w:ascii="Times New Roman" w:hAnsi="Times New Roman"/>
        </w:rPr>
        <w:t xml:space="preserve">borne by the active defendant in </w:t>
      </w:r>
      <w:r w:rsidR="009F571E" w:rsidRPr="005E1802">
        <w:rPr>
          <w:rFonts w:ascii="Times New Roman" w:hAnsi="Times New Roman"/>
        </w:rPr>
        <w:t xml:space="preserve">a proceeding for </w:t>
      </w:r>
      <w:r w:rsidR="00A43D31" w:rsidRPr="005E1802">
        <w:rPr>
          <w:rFonts w:ascii="Times New Roman" w:hAnsi="Times New Roman"/>
        </w:rPr>
        <w:t xml:space="preserve">judicial review </w:t>
      </w:r>
      <w:r w:rsidR="009F571E" w:rsidRPr="005E1802">
        <w:rPr>
          <w:rFonts w:ascii="Times New Roman" w:hAnsi="Times New Roman"/>
        </w:rPr>
        <w:t xml:space="preserve">to prove </w:t>
      </w:r>
      <w:r w:rsidR="0072743C" w:rsidRPr="005E1802">
        <w:rPr>
          <w:rFonts w:ascii="Times New Roman" w:hAnsi="Times New Roman"/>
        </w:rPr>
        <w:t>the historical facts necessary to enable the court to be satisfied that a different decision could</w:t>
      </w:r>
      <w:r w:rsidR="00570779" w:rsidRPr="005E1802">
        <w:rPr>
          <w:rFonts w:ascii="Times New Roman" w:hAnsi="Times New Roman"/>
        </w:rPr>
        <w:t xml:space="preserve"> not</w:t>
      </w:r>
      <w:r w:rsidR="0072743C" w:rsidRPr="005E1802">
        <w:rPr>
          <w:rFonts w:ascii="Times New Roman" w:hAnsi="Times New Roman"/>
        </w:rPr>
        <w:t xml:space="preserve"> have been made</w:t>
      </w:r>
      <w:r w:rsidR="009F571E" w:rsidRPr="005E1802">
        <w:rPr>
          <w:rFonts w:ascii="Times New Roman" w:hAnsi="Times New Roman"/>
        </w:rPr>
        <w:t>.</w:t>
      </w:r>
    </w:p>
    <w:p w14:paraId="341404B0" w14:textId="3A5C4F8A" w:rsidR="00E072F6" w:rsidRPr="005E1802" w:rsidRDefault="0020497C"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EA2E25" w:rsidRPr="005E1802">
        <w:rPr>
          <w:rFonts w:ascii="Times New Roman" w:hAnsi="Times New Roman"/>
        </w:rPr>
        <w:t>I</w:t>
      </w:r>
      <w:r w:rsidR="00003274" w:rsidRPr="005E1802">
        <w:rPr>
          <w:rFonts w:ascii="Times New Roman" w:hAnsi="Times New Roman"/>
        </w:rPr>
        <w:t>n</w:t>
      </w:r>
      <w:r w:rsidR="00C77E21" w:rsidRPr="005E1802">
        <w:rPr>
          <w:rFonts w:ascii="Times New Roman" w:hAnsi="Times New Roman"/>
        </w:rPr>
        <w:t xml:space="preserve"> support </w:t>
      </w:r>
      <w:r w:rsidR="007F634B" w:rsidRPr="005E1802">
        <w:rPr>
          <w:rFonts w:ascii="Times New Roman" w:hAnsi="Times New Roman"/>
        </w:rPr>
        <w:t xml:space="preserve">of </w:t>
      </w:r>
      <w:r w:rsidR="00C77E21" w:rsidRPr="005E1802">
        <w:rPr>
          <w:rFonts w:ascii="Times New Roman" w:hAnsi="Times New Roman"/>
        </w:rPr>
        <w:t xml:space="preserve">his argument </w:t>
      </w:r>
      <w:r w:rsidR="008B238B" w:rsidRPr="005E1802">
        <w:rPr>
          <w:rFonts w:ascii="Times New Roman" w:hAnsi="Times New Roman"/>
        </w:rPr>
        <w:t>that the</w:t>
      </w:r>
      <w:r w:rsidR="00351E42" w:rsidRPr="005E1802">
        <w:rPr>
          <w:rFonts w:ascii="Times New Roman" w:hAnsi="Times New Roman"/>
        </w:rPr>
        <w:t xml:space="preserve"> onus should </w:t>
      </w:r>
      <w:r w:rsidR="00FE4DFD" w:rsidRPr="005E1802">
        <w:rPr>
          <w:rFonts w:ascii="Times New Roman" w:hAnsi="Times New Roman"/>
        </w:rPr>
        <w:t>shift to</w:t>
      </w:r>
      <w:r w:rsidR="00EA2E25" w:rsidRPr="005E1802">
        <w:rPr>
          <w:rFonts w:ascii="Times New Roman" w:hAnsi="Times New Roman"/>
        </w:rPr>
        <w:t xml:space="preserve"> the </w:t>
      </w:r>
      <w:r w:rsidR="009A2EA7" w:rsidRPr="005E1802">
        <w:rPr>
          <w:rFonts w:ascii="Times New Roman" w:hAnsi="Times New Roman"/>
        </w:rPr>
        <w:t xml:space="preserve">Minister </w:t>
      </w:r>
      <w:r w:rsidR="00EA2E25" w:rsidRPr="005E1802">
        <w:rPr>
          <w:rFonts w:ascii="Times New Roman" w:hAnsi="Times New Roman"/>
        </w:rPr>
        <w:t xml:space="preserve">to disprove materiality, the appellant relies </w:t>
      </w:r>
      <w:r w:rsidR="00003274" w:rsidRPr="005E1802">
        <w:rPr>
          <w:rFonts w:ascii="Times New Roman" w:hAnsi="Times New Roman"/>
        </w:rPr>
        <w:t>on</w:t>
      </w:r>
      <w:r w:rsidR="00C77E21" w:rsidRPr="005E1802">
        <w:rPr>
          <w:rFonts w:ascii="Times New Roman" w:hAnsi="Times New Roman"/>
        </w:rPr>
        <w:t xml:space="preserve"> </w:t>
      </w:r>
      <w:r w:rsidR="002B4359" w:rsidRPr="005E1802">
        <w:rPr>
          <w:rFonts w:ascii="Times New Roman" w:hAnsi="Times New Roman"/>
        </w:rPr>
        <w:t xml:space="preserve">several </w:t>
      </w:r>
      <w:r w:rsidR="00EF4CCF" w:rsidRPr="005E1802">
        <w:rPr>
          <w:rFonts w:ascii="Times New Roman" w:hAnsi="Times New Roman"/>
        </w:rPr>
        <w:t>decisions of this Court</w:t>
      </w:r>
      <w:r w:rsidR="002B4359" w:rsidRPr="005E1802">
        <w:rPr>
          <w:rFonts w:ascii="Times New Roman" w:hAnsi="Times New Roman"/>
        </w:rPr>
        <w:t xml:space="preserve"> before </w:t>
      </w:r>
      <w:r w:rsidR="002B4359" w:rsidRPr="005E1802">
        <w:rPr>
          <w:rFonts w:ascii="Times New Roman" w:hAnsi="Times New Roman"/>
          <w:i/>
        </w:rPr>
        <w:t xml:space="preserve">Hossain </w:t>
      </w:r>
      <w:r w:rsidR="00EF4CCF" w:rsidRPr="005E1802">
        <w:rPr>
          <w:rFonts w:ascii="Times New Roman" w:hAnsi="Times New Roman"/>
        </w:rPr>
        <w:t xml:space="preserve">and </w:t>
      </w:r>
      <w:r w:rsidR="00EF4CCF" w:rsidRPr="005E1802">
        <w:rPr>
          <w:rFonts w:ascii="Times New Roman" w:hAnsi="Times New Roman"/>
          <w:i/>
        </w:rPr>
        <w:t>SZMTA</w:t>
      </w:r>
      <w:r w:rsidR="00EF4CCF" w:rsidRPr="005E1802">
        <w:rPr>
          <w:rFonts w:ascii="Times New Roman" w:hAnsi="Times New Roman"/>
        </w:rPr>
        <w:t xml:space="preserve">. </w:t>
      </w:r>
      <w:r w:rsidR="009A297E" w:rsidRPr="005E1802">
        <w:rPr>
          <w:rFonts w:ascii="Times New Roman" w:hAnsi="Times New Roman"/>
        </w:rPr>
        <w:t>N</w:t>
      </w:r>
      <w:r w:rsidR="003E7ECB" w:rsidRPr="005E1802">
        <w:rPr>
          <w:rFonts w:ascii="Times New Roman" w:hAnsi="Times New Roman"/>
        </w:rPr>
        <w:t>either individually nor cumulatively</w:t>
      </w:r>
      <w:r w:rsidR="00C47E02" w:rsidRPr="005E1802">
        <w:rPr>
          <w:rFonts w:ascii="Times New Roman" w:hAnsi="Times New Roman"/>
        </w:rPr>
        <w:t xml:space="preserve"> </w:t>
      </w:r>
      <w:r w:rsidR="00555239" w:rsidRPr="005E1802">
        <w:rPr>
          <w:rFonts w:ascii="Times New Roman" w:hAnsi="Times New Roman"/>
        </w:rPr>
        <w:t>do</w:t>
      </w:r>
      <w:r w:rsidR="00C47E02" w:rsidRPr="005E1802">
        <w:rPr>
          <w:rFonts w:ascii="Times New Roman" w:hAnsi="Times New Roman"/>
        </w:rPr>
        <w:t xml:space="preserve"> those decisions </w:t>
      </w:r>
      <w:r w:rsidR="007C35EF" w:rsidRPr="005E1802">
        <w:rPr>
          <w:rFonts w:ascii="Times New Roman" w:hAnsi="Times New Roman"/>
        </w:rPr>
        <w:t>indicate that</w:t>
      </w:r>
      <w:r w:rsidR="00964FA7" w:rsidRPr="005E1802">
        <w:rPr>
          <w:rFonts w:ascii="Times New Roman" w:hAnsi="Times New Roman"/>
        </w:rPr>
        <w:t xml:space="preserve"> a different analysis</w:t>
      </w:r>
      <w:r w:rsidR="007C35EF" w:rsidRPr="005E1802">
        <w:rPr>
          <w:rFonts w:ascii="Times New Roman" w:hAnsi="Times New Roman"/>
        </w:rPr>
        <w:t xml:space="preserve"> is warranted</w:t>
      </w:r>
      <w:r w:rsidR="00964FA7" w:rsidRPr="005E1802">
        <w:rPr>
          <w:rFonts w:ascii="Times New Roman" w:hAnsi="Times New Roman"/>
        </w:rPr>
        <w:t>.</w:t>
      </w:r>
    </w:p>
    <w:p w14:paraId="1F424356" w14:textId="3419FD6C" w:rsidR="00A90152" w:rsidRPr="005E1802" w:rsidRDefault="00964FA7"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3227BD" w:rsidRPr="005E1802">
        <w:rPr>
          <w:rFonts w:ascii="Times New Roman" w:hAnsi="Times New Roman"/>
          <w:i/>
        </w:rPr>
        <w:t>Balenzuela v De Gail</w:t>
      </w:r>
      <w:r w:rsidR="00D42804" w:rsidRPr="005E1802">
        <w:rPr>
          <w:rStyle w:val="FootnoteReference"/>
          <w:rFonts w:ascii="Times New Roman" w:hAnsi="Times New Roman"/>
          <w:sz w:val="24"/>
        </w:rPr>
        <w:footnoteReference w:id="40"/>
      </w:r>
      <w:r w:rsidR="00DF2007" w:rsidRPr="005E1802">
        <w:rPr>
          <w:rFonts w:ascii="Times New Roman" w:hAnsi="Times New Roman"/>
        </w:rPr>
        <w:t xml:space="preserve">, </w:t>
      </w:r>
      <w:r w:rsidR="007C35EF" w:rsidRPr="005E1802">
        <w:rPr>
          <w:rFonts w:ascii="Times New Roman" w:hAnsi="Times New Roman"/>
        </w:rPr>
        <w:t xml:space="preserve">the earliest of the decisions on which the appellant relies, </w:t>
      </w:r>
      <w:r w:rsidR="00B562F3" w:rsidRPr="005E1802">
        <w:rPr>
          <w:rFonts w:ascii="Times New Roman" w:hAnsi="Times New Roman"/>
        </w:rPr>
        <w:t>concerned</w:t>
      </w:r>
      <w:r w:rsidR="00AE09F5" w:rsidRPr="005E1802">
        <w:rPr>
          <w:rFonts w:ascii="Times New Roman" w:hAnsi="Times New Roman"/>
        </w:rPr>
        <w:t xml:space="preserve"> </w:t>
      </w:r>
      <w:r w:rsidR="00CA5381" w:rsidRPr="005E1802">
        <w:rPr>
          <w:rFonts w:ascii="Times New Roman" w:hAnsi="Times New Roman"/>
        </w:rPr>
        <w:t>the grant of a new</w:t>
      </w:r>
      <w:r w:rsidR="0097215E" w:rsidRPr="005E1802">
        <w:rPr>
          <w:rFonts w:ascii="Times New Roman" w:hAnsi="Times New Roman"/>
        </w:rPr>
        <w:t xml:space="preserve"> </w:t>
      </w:r>
      <w:r w:rsidR="00CA5381" w:rsidRPr="005E1802">
        <w:rPr>
          <w:rFonts w:ascii="Times New Roman" w:hAnsi="Times New Roman"/>
        </w:rPr>
        <w:t>trial</w:t>
      </w:r>
      <w:r w:rsidR="0097215E" w:rsidRPr="005E1802">
        <w:rPr>
          <w:rFonts w:ascii="Times New Roman" w:hAnsi="Times New Roman"/>
        </w:rPr>
        <w:t xml:space="preserve"> </w:t>
      </w:r>
      <w:r w:rsidR="00086FEE" w:rsidRPr="005E1802">
        <w:rPr>
          <w:rFonts w:ascii="Times New Roman" w:hAnsi="Times New Roman"/>
        </w:rPr>
        <w:t xml:space="preserve">at common law </w:t>
      </w:r>
      <w:r w:rsidR="00162A08" w:rsidRPr="005E1802">
        <w:rPr>
          <w:rFonts w:ascii="Times New Roman" w:hAnsi="Times New Roman"/>
        </w:rPr>
        <w:t xml:space="preserve">where evidence </w:t>
      </w:r>
      <w:r w:rsidR="00086FEE" w:rsidRPr="005E1802">
        <w:rPr>
          <w:rFonts w:ascii="Times New Roman" w:hAnsi="Times New Roman"/>
        </w:rPr>
        <w:t>was found to have been wrongly rejected</w:t>
      </w:r>
      <w:r w:rsidR="005C299F" w:rsidRPr="005E1802">
        <w:rPr>
          <w:rFonts w:ascii="Times New Roman" w:hAnsi="Times New Roman"/>
        </w:rPr>
        <w:t xml:space="preserve"> in a </w:t>
      </w:r>
      <w:r w:rsidR="00D82B22" w:rsidRPr="005E1802">
        <w:rPr>
          <w:rFonts w:ascii="Times New Roman" w:hAnsi="Times New Roman"/>
        </w:rPr>
        <w:t>trial before a civil jury</w:t>
      </w:r>
      <w:r w:rsidR="00086FEE" w:rsidRPr="005E1802">
        <w:rPr>
          <w:rFonts w:ascii="Times New Roman" w:hAnsi="Times New Roman"/>
        </w:rPr>
        <w:t>.</w:t>
      </w:r>
      <w:r w:rsidR="00CA5381" w:rsidRPr="005E1802">
        <w:rPr>
          <w:rFonts w:ascii="Times New Roman" w:hAnsi="Times New Roman"/>
        </w:rPr>
        <w:t xml:space="preserve"> </w:t>
      </w:r>
      <w:r w:rsidR="00D82B22" w:rsidRPr="005E1802">
        <w:rPr>
          <w:rFonts w:ascii="Times New Roman" w:hAnsi="Times New Roman"/>
        </w:rPr>
        <w:t>Th</w:t>
      </w:r>
      <w:r w:rsidR="00FA070D" w:rsidRPr="005E1802">
        <w:rPr>
          <w:rFonts w:ascii="Times New Roman" w:hAnsi="Times New Roman"/>
        </w:rPr>
        <w:t>e</w:t>
      </w:r>
      <w:r w:rsidR="00D82B22" w:rsidRPr="005E1802">
        <w:rPr>
          <w:rFonts w:ascii="Times New Roman" w:hAnsi="Times New Roman"/>
        </w:rPr>
        <w:t xml:space="preserve"> principle</w:t>
      </w:r>
      <w:r w:rsidR="00FA070D" w:rsidRPr="005E1802">
        <w:rPr>
          <w:rFonts w:ascii="Times New Roman" w:hAnsi="Times New Roman"/>
        </w:rPr>
        <w:t>s</w:t>
      </w:r>
      <w:r w:rsidR="00D82B22" w:rsidRPr="005E1802">
        <w:rPr>
          <w:rFonts w:ascii="Times New Roman" w:hAnsi="Times New Roman"/>
        </w:rPr>
        <w:t xml:space="preserve"> </w:t>
      </w:r>
      <w:r w:rsidR="000328B8" w:rsidRPr="005E1802">
        <w:rPr>
          <w:rFonts w:ascii="Times New Roman" w:hAnsi="Times New Roman"/>
        </w:rPr>
        <w:t xml:space="preserve">governing the grant </w:t>
      </w:r>
      <w:r w:rsidR="003A7D10" w:rsidRPr="005E1802">
        <w:rPr>
          <w:rFonts w:ascii="Times New Roman" w:hAnsi="Times New Roman"/>
        </w:rPr>
        <w:t xml:space="preserve">by a court </w:t>
      </w:r>
      <w:r w:rsidR="000328B8" w:rsidRPr="005E1802">
        <w:rPr>
          <w:rFonts w:ascii="Times New Roman" w:hAnsi="Times New Roman"/>
        </w:rPr>
        <w:t xml:space="preserve">of a new trial at common law </w:t>
      </w:r>
      <w:r w:rsidR="00D82B22" w:rsidRPr="005E1802">
        <w:rPr>
          <w:rFonts w:ascii="Times New Roman" w:hAnsi="Times New Roman"/>
        </w:rPr>
        <w:t xml:space="preserve">can at best be applied by analogy </w:t>
      </w:r>
      <w:r w:rsidR="00E71179" w:rsidRPr="005E1802">
        <w:rPr>
          <w:rFonts w:ascii="Times New Roman" w:hAnsi="Times New Roman"/>
        </w:rPr>
        <w:lastRenderedPageBreak/>
        <w:t xml:space="preserve">to the discernment </w:t>
      </w:r>
      <w:r w:rsidR="003A7D10" w:rsidRPr="005E1802">
        <w:rPr>
          <w:rFonts w:ascii="Times New Roman" w:hAnsi="Times New Roman"/>
        </w:rPr>
        <w:t xml:space="preserve">by a court </w:t>
      </w:r>
      <w:r w:rsidR="00E71179" w:rsidRPr="005E1802">
        <w:rPr>
          <w:rFonts w:ascii="Times New Roman" w:hAnsi="Times New Roman"/>
        </w:rPr>
        <w:t>of jurisdictional error. Be</w:t>
      </w:r>
      <w:r w:rsidR="00415D30" w:rsidRPr="005E1802">
        <w:rPr>
          <w:rFonts w:ascii="Times New Roman" w:hAnsi="Times New Roman"/>
        </w:rPr>
        <w:t xml:space="preserve">cause </w:t>
      </w:r>
      <w:r w:rsidR="00482BA6" w:rsidRPr="005E1802">
        <w:rPr>
          <w:rFonts w:ascii="Times New Roman" w:hAnsi="Times New Roman"/>
        </w:rPr>
        <w:t>th</w:t>
      </w:r>
      <w:r w:rsidR="0056090B" w:rsidRPr="005E1802">
        <w:rPr>
          <w:rFonts w:ascii="Times New Roman" w:hAnsi="Times New Roman"/>
        </w:rPr>
        <w:t>ose</w:t>
      </w:r>
      <w:r w:rsidR="00482BA6" w:rsidRPr="005E1802">
        <w:rPr>
          <w:rFonts w:ascii="Times New Roman" w:hAnsi="Times New Roman"/>
        </w:rPr>
        <w:t xml:space="preserve"> principle</w:t>
      </w:r>
      <w:r w:rsidR="009D587A" w:rsidRPr="005E1802">
        <w:rPr>
          <w:rFonts w:ascii="Times New Roman" w:hAnsi="Times New Roman"/>
        </w:rPr>
        <w:t xml:space="preserve">s </w:t>
      </w:r>
      <w:r w:rsidR="00415D30" w:rsidRPr="005E1802">
        <w:rPr>
          <w:rFonts w:ascii="Times New Roman" w:hAnsi="Times New Roman"/>
        </w:rPr>
        <w:t>concern</w:t>
      </w:r>
      <w:r w:rsidR="00BB28F9" w:rsidRPr="005E1802">
        <w:rPr>
          <w:rFonts w:ascii="Times New Roman" w:hAnsi="Times New Roman"/>
        </w:rPr>
        <w:t xml:space="preserve"> </w:t>
      </w:r>
      <w:r w:rsidR="00092445" w:rsidRPr="005E1802">
        <w:rPr>
          <w:rFonts w:ascii="Times New Roman" w:hAnsi="Times New Roman"/>
        </w:rPr>
        <w:t xml:space="preserve">the </w:t>
      </w:r>
      <w:r w:rsidR="00074F62" w:rsidRPr="005E1802">
        <w:rPr>
          <w:rFonts w:ascii="Times New Roman" w:hAnsi="Times New Roman"/>
        </w:rPr>
        <w:t xml:space="preserve">legal </w:t>
      </w:r>
      <w:r w:rsidR="00092445" w:rsidRPr="005E1802">
        <w:rPr>
          <w:rFonts w:ascii="Times New Roman" w:hAnsi="Times New Roman"/>
        </w:rPr>
        <w:t xml:space="preserve">consequence </w:t>
      </w:r>
      <w:r w:rsidR="00725D8D" w:rsidRPr="005E1802">
        <w:rPr>
          <w:rFonts w:ascii="Times New Roman" w:hAnsi="Times New Roman"/>
        </w:rPr>
        <w:t xml:space="preserve">for </w:t>
      </w:r>
      <w:r w:rsidR="00BB28F9" w:rsidRPr="005E1802">
        <w:rPr>
          <w:rFonts w:ascii="Times New Roman" w:hAnsi="Times New Roman"/>
        </w:rPr>
        <w:t>an ultimate decision of</w:t>
      </w:r>
      <w:r w:rsidR="001E4E91" w:rsidRPr="005E1802">
        <w:rPr>
          <w:rFonts w:ascii="Times New Roman" w:hAnsi="Times New Roman"/>
        </w:rPr>
        <w:t xml:space="preserve"> </w:t>
      </w:r>
      <w:r w:rsidR="00BB28F9" w:rsidRPr="005E1802">
        <w:rPr>
          <w:rFonts w:ascii="Times New Roman" w:hAnsi="Times New Roman"/>
        </w:rPr>
        <w:t>a</w:t>
      </w:r>
      <w:r w:rsidR="00074F62" w:rsidRPr="005E1802">
        <w:rPr>
          <w:rFonts w:ascii="Times New Roman" w:hAnsi="Times New Roman"/>
        </w:rPr>
        <w:t xml:space="preserve"> legal</w:t>
      </w:r>
      <w:r w:rsidR="005E1177" w:rsidRPr="005E1802">
        <w:rPr>
          <w:rFonts w:ascii="Times New Roman" w:hAnsi="Times New Roman"/>
        </w:rPr>
        <w:t xml:space="preserve"> erro</w:t>
      </w:r>
      <w:r w:rsidR="0056090B" w:rsidRPr="005E1802">
        <w:rPr>
          <w:rFonts w:ascii="Times New Roman" w:hAnsi="Times New Roman"/>
        </w:rPr>
        <w:t>r</w:t>
      </w:r>
      <w:r w:rsidR="001140E8" w:rsidRPr="005E1802">
        <w:rPr>
          <w:rFonts w:ascii="Times New Roman" w:hAnsi="Times New Roman"/>
        </w:rPr>
        <w:t xml:space="preserve"> in the process that led to that decision</w:t>
      </w:r>
      <w:r w:rsidR="00A90152" w:rsidRPr="005E1802">
        <w:rPr>
          <w:rFonts w:ascii="Times New Roman" w:hAnsi="Times New Roman"/>
        </w:rPr>
        <w:t>, however, the analogy</w:t>
      </w:r>
      <w:r w:rsidR="009D587A" w:rsidRPr="005E1802">
        <w:rPr>
          <w:rFonts w:ascii="Times New Roman" w:hAnsi="Times New Roman"/>
        </w:rPr>
        <w:t xml:space="preserve"> </w:t>
      </w:r>
      <w:r w:rsidR="00345571" w:rsidRPr="005E1802">
        <w:rPr>
          <w:rFonts w:ascii="Times New Roman" w:hAnsi="Times New Roman"/>
        </w:rPr>
        <w:t>is</w:t>
      </w:r>
      <w:r w:rsidR="00A90152" w:rsidRPr="005E1802">
        <w:rPr>
          <w:rFonts w:ascii="Times New Roman" w:hAnsi="Times New Roman"/>
        </w:rPr>
        <w:t xml:space="preserve"> close.</w:t>
      </w:r>
    </w:p>
    <w:p w14:paraId="178CA34B" w14:textId="1AA216A8" w:rsidR="003D638F" w:rsidRPr="005E1802" w:rsidRDefault="00A90152"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6F7C91" w:rsidRPr="005E1802">
        <w:rPr>
          <w:rFonts w:ascii="Times New Roman" w:hAnsi="Times New Roman"/>
        </w:rPr>
        <w:t>I</w:t>
      </w:r>
      <w:r w:rsidR="00F40A13" w:rsidRPr="005E1802">
        <w:rPr>
          <w:rFonts w:ascii="Times New Roman" w:hAnsi="Times New Roman"/>
        </w:rPr>
        <w:t xml:space="preserve">n </w:t>
      </w:r>
      <w:r w:rsidR="00F40A13" w:rsidRPr="005E1802">
        <w:rPr>
          <w:rFonts w:ascii="Times New Roman" w:hAnsi="Times New Roman"/>
          <w:i/>
        </w:rPr>
        <w:t>Balenzuela</w:t>
      </w:r>
      <w:r w:rsidR="007F1196" w:rsidRPr="005E1802">
        <w:rPr>
          <w:rStyle w:val="FootnoteReference"/>
          <w:rFonts w:ascii="Times New Roman" w:hAnsi="Times New Roman"/>
          <w:sz w:val="24"/>
        </w:rPr>
        <w:footnoteReference w:id="41"/>
      </w:r>
      <w:r w:rsidR="006F7C91" w:rsidRPr="005E1802">
        <w:rPr>
          <w:rFonts w:ascii="Times New Roman" w:hAnsi="Times New Roman"/>
        </w:rPr>
        <w:t xml:space="preserve">, Dixon CJ </w:t>
      </w:r>
      <w:r w:rsidR="002C67AF" w:rsidRPr="005E1802">
        <w:rPr>
          <w:rFonts w:ascii="Times New Roman" w:hAnsi="Times New Roman"/>
        </w:rPr>
        <w:t xml:space="preserve">endorsed the </w:t>
      </w:r>
      <w:r w:rsidR="00F8073C" w:rsidRPr="005E1802">
        <w:rPr>
          <w:rFonts w:ascii="Times New Roman" w:hAnsi="Times New Roman"/>
        </w:rPr>
        <w:t xml:space="preserve">view </w:t>
      </w:r>
      <w:r w:rsidR="00C41FF0" w:rsidRPr="005E1802">
        <w:rPr>
          <w:rFonts w:ascii="Times New Roman" w:hAnsi="Times New Roman"/>
        </w:rPr>
        <w:t>expressed</w:t>
      </w:r>
      <w:r w:rsidR="00EF0E67" w:rsidRPr="005E1802">
        <w:rPr>
          <w:rFonts w:ascii="Times New Roman" w:hAnsi="Times New Roman"/>
        </w:rPr>
        <w:t xml:space="preserve"> by</w:t>
      </w:r>
      <w:r w:rsidR="00B61CE4" w:rsidRPr="005E1802">
        <w:rPr>
          <w:rFonts w:ascii="Times New Roman" w:hAnsi="Times New Roman"/>
        </w:rPr>
        <w:t xml:space="preserve"> </w:t>
      </w:r>
      <w:r w:rsidR="00680A3C" w:rsidRPr="005E1802">
        <w:rPr>
          <w:rFonts w:ascii="Times New Roman" w:hAnsi="Times New Roman"/>
        </w:rPr>
        <w:t>Higgins</w:t>
      </w:r>
      <w:r w:rsidR="008E37C0" w:rsidRPr="005E1802">
        <w:rPr>
          <w:rFonts w:ascii="Times New Roman" w:hAnsi="Times New Roman"/>
        </w:rPr>
        <w:t> </w:t>
      </w:r>
      <w:r w:rsidR="00680A3C" w:rsidRPr="005E1802">
        <w:rPr>
          <w:rFonts w:ascii="Times New Roman" w:hAnsi="Times New Roman"/>
        </w:rPr>
        <w:t xml:space="preserve">J in </w:t>
      </w:r>
      <w:r w:rsidR="00144173" w:rsidRPr="005E1802">
        <w:rPr>
          <w:rFonts w:ascii="Times New Roman" w:hAnsi="Times New Roman"/>
          <w:i/>
        </w:rPr>
        <w:t xml:space="preserve">Robinson &amp; </w:t>
      </w:r>
      <w:r w:rsidR="000A61E8" w:rsidRPr="005E1802">
        <w:rPr>
          <w:rFonts w:ascii="Times New Roman" w:hAnsi="Times New Roman"/>
          <w:i/>
        </w:rPr>
        <w:t xml:space="preserve">Vincent Ltd </w:t>
      </w:r>
      <w:r w:rsidR="008E37C0" w:rsidRPr="005E1802">
        <w:rPr>
          <w:rFonts w:ascii="Times New Roman" w:hAnsi="Times New Roman"/>
          <w:i/>
        </w:rPr>
        <w:t>v Rice</w:t>
      </w:r>
      <w:r w:rsidR="00EF0E67" w:rsidRPr="005E1802">
        <w:rPr>
          <w:rStyle w:val="FootnoteReference"/>
          <w:rFonts w:ascii="Times New Roman" w:hAnsi="Times New Roman"/>
          <w:sz w:val="24"/>
        </w:rPr>
        <w:footnoteReference w:id="42"/>
      </w:r>
      <w:r w:rsidR="00EF0E67" w:rsidRPr="005E1802">
        <w:rPr>
          <w:rFonts w:ascii="Times New Roman" w:hAnsi="Times New Roman"/>
        </w:rPr>
        <w:t xml:space="preserve"> that</w:t>
      </w:r>
      <w:r w:rsidR="00A23690" w:rsidRPr="005E1802">
        <w:rPr>
          <w:rFonts w:ascii="Times New Roman" w:hAnsi="Times New Roman"/>
        </w:rPr>
        <w:t xml:space="preserve"> </w:t>
      </w:r>
      <w:r w:rsidR="00781D78" w:rsidRPr="005E1802">
        <w:rPr>
          <w:rFonts w:ascii="Times New Roman" w:hAnsi="Times New Roman"/>
        </w:rPr>
        <w:t>at common law</w:t>
      </w:r>
      <w:r w:rsidR="00F6490A" w:rsidRPr="005E1802">
        <w:rPr>
          <w:rFonts w:ascii="Times New Roman" w:hAnsi="Times New Roman"/>
        </w:rPr>
        <w:t xml:space="preserve">, </w:t>
      </w:r>
      <w:r w:rsidR="00A23690" w:rsidRPr="005E1802">
        <w:rPr>
          <w:rFonts w:ascii="Times New Roman" w:hAnsi="Times New Roman"/>
        </w:rPr>
        <w:t xml:space="preserve">as under the judicature rule, a court would not grant a new trial </w:t>
      </w:r>
      <w:r w:rsidR="0028470D" w:rsidRPr="005E1802">
        <w:rPr>
          <w:rFonts w:ascii="Times New Roman" w:hAnsi="Times New Roman"/>
        </w:rPr>
        <w:t xml:space="preserve">on the ground of </w:t>
      </w:r>
      <w:r w:rsidR="00BF1141" w:rsidRPr="005E1802">
        <w:rPr>
          <w:rFonts w:ascii="Times New Roman" w:hAnsi="Times New Roman"/>
        </w:rPr>
        <w:t xml:space="preserve">improper rejection of evidence </w:t>
      </w:r>
      <w:r w:rsidR="00E8501F" w:rsidRPr="005E1802">
        <w:rPr>
          <w:rFonts w:ascii="Times New Roman" w:hAnsi="Times New Roman"/>
        </w:rPr>
        <w:t>unless</w:t>
      </w:r>
      <w:r w:rsidR="004A5160" w:rsidRPr="005E1802">
        <w:rPr>
          <w:rFonts w:ascii="Times New Roman" w:hAnsi="Times New Roman"/>
        </w:rPr>
        <w:t xml:space="preserve"> </w:t>
      </w:r>
      <w:r w:rsidR="00E8501F" w:rsidRPr="005E1802">
        <w:rPr>
          <w:rFonts w:ascii="Times New Roman" w:hAnsi="Times New Roman"/>
        </w:rPr>
        <w:t xml:space="preserve">satisfied that </w:t>
      </w:r>
      <w:r w:rsidR="009E1C32" w:rsidRPr="005E1802">
        <w:rPr>
          <w:rFonts w:ascii="Times New Roman" w:hAnsi="Times New Roman"/>
        </w:rPr>
        <w:t xml:space="preserve">"some substantial </w:t>
      </w:r>
      <w:r w:rsidR="0074220D" w:rsidRPr="005E1802">
        <w:rPr>
          <w:rFonts w:ascii="Times New Roman" w:hAnsi="Times New Roman"/>
        </w:rPr>
        <w:t xml:space="preserve">wrong or miscarriage </w:t>
      </w:r>
      <w:r w:rsidR="00EE6069" w:rsidRPr="005E1802">
        <w:rPr>
          <w:rFonts w:ascii="Times New Roman" w:hAnsi="Times New Roman"/>
        </w:rPr>
        <w:t>[had] been thereby occasioned</w:t>
      </w:r>
      <w:r w:rsidR="00FB23E3" w:rsidRPr="005E1802">
        <w:rPr>
          <w:rFonts w:ascii="Times New Roman" w:hAnsi="Times New Roman"/>
        </w:rPr>
        <w:t>".</w:t>
      </w:r>
      <w:r w:rsidR="00AF18E9" w:rsidRPr="005E1802">
        <w:rPr>
          <w:rFonts w:ascii="Times New Roman" w:hAnsi="Times New Roman"/>
        </w:rPr>
        <w:t xml:space="preserve"> </w:t>
      </w:r>
      <w:r w:rsidR="000309A7" w:rsidRPr="005E1802">
        <w:rPr>
          <w:rFonts w:ascii="Times New Roman" w:hAnsi="Times New Roman"/>
        </w:rPr>
        <w:t>Dixon CJ went on to hold that it</w:t>
      </w:r>
      <w:r w:rsidR="00CD7187" w:rsidRPr="005E1802">
        <w:rPr>
          <w:rFonts w:ascii="Times New Roman" w:hAnsi="Times New Roman"/>
        </w:rPr>
        <w:t xml:space="preserve"> was enough for a </w:t>
      </w:r>
      <w:r w:rsidR="004A5160" w:rsidRPr="005E1802">
        <w:rPr>
          <w:rFonts w:ascii="Times New Roman" w:hAnsi="Times New Roman"/>
        </w:rPr>
        <w:t>court to be satisfied</w:t>
      </w:r>
      <w:r w:rsidR="009803F7" w:rsidRPr="005E1802">
        <w:rPr>
          <w:rFonts w:ascii="Times New Roman" w:hAnsi="Times New Roman"/>
        </w:rPr>
        <w:t xml:space="preserve"> </w:t>
      </w:r>
      <w:r w:rsidR="004D4364" w:rsidRPr="005E1802">
        <w:rPr>
          <w:rFonts w:ascii="Times New Roman" w:hAnsi="Times New Roman"/>
        </w:rPr>
        <w:t>of a substantial wrong or miscarriage</w:t>
      </w:r>
      <w:r w:rsidR="00C91247" w:rsidRPr="005E1802">
        <w:rPr>
          <w:rFonts w:ascii="Times New Roman" w:hAnsi="Times New Roman"/>
        </w:rPr>
        <w:t xml:space="preserve"> </w:t>
      </w:r>
      <w:r w:rsidR="00FC0E04" w:rsidRPr="005E1802">
        <w:rPr>
          <w:rFonts w:ascii="Times New Roman" w:hAnsi="Times New Roman"/>
        </w:rPr>
        <w:t xml:space="preserve">that </w:t>
      </w:r>
      <w:r w:rsidR="001B3176" w:rsidRPr="005E1802">
        <w:rPr>
          <w:rFonts w:ascii="Times New Roman" w:hAnsi="Times New Roman"/>
        </w:rPr>
        <w:t>"evidence definite</w:t>
      </w:r>
      <w:r w:rsidR="00F62F72" w:rsidRPr="005E1802">
        <w:rPr>
          <w:rFonts w:ascii="Times New Roman" w:hAnsi="Times New Roman"/>
        </w:rPr>
        <w:t xml:space="preserve">ly material to the determination of the case" </w:t>
      </w:r>
      <w:r w:rsidR="002B6FBC" w:rsidRPr="005E1802">
        <w:rPr>
          <w:rFonts w:ascii="Times New Roman" w:hAnsi="Times New Roman"/>
        </w:rPr>
        <w:t>was wrongly excluded at the instance of the successful party</w:t>
      </w:r>
      <w:r w:rsidR="002B6FBC" w:rsidRPr="005E1802">
        <w:rPr>
          <w:rStyle w:val="FootnoteReference"/>
          <w:rFonts w:ascii="Times New Roman" w:hAnsi="Times New Roman"/>
          <w:sz w:val="24"/>
        </w:rPr>
        <w:footnoteReference w:id="43"/>
      </w:r>
      <w:r w:rsidR="002B6FBC" w:rsidRPr="005E1802">
        <w:rPr>
          <w:rFonts w:ascii="Times New Roman" w:hAnsi="Times New Roman"/>
        </w:rPr>
        <w:t xml:space="preserve">. </w:t>
      </w:r>
      <w:r w:rsidR="003275CC" w:rsidRPr="005E1802">
        <w:rPr>
          <w:rFonts w:ascii="Times New Roman" w:hAnsi="Times New Roman"/>
        </w:rPr>
        <w:t>In referring to</w:t>
      </w:r>
      <w:r w:rsidR="002B22CE" w:rsidRPr="005E1802">
        <w:rPr>
          <w:rFonts w:ascii="Times New Roman" w:hAnsi="Times New Roman"/>
        </w:rPr>
        <w:t xml:space="preserve"> evidence </w:t>
      </w:r>
      <w:r w:rsidR="003275CC" w:rsidRPr="005E1802">
        <w:rPr>
          <w:rFonts w:ascii="Times New Roman" w:hAnsi="Times New Roman"/>
        </w:rPr>
        <w:t>"</w:t>
      </w:r>
      <w:r w:rsidR="002B22CE" w:rsidRPr="005E1802">
        <w:rPr>
          <w:rFonts w:ascii="Times New Roman" w:hAnsi="Times New Roman"/>
        </w:rPr>
        <w:t>definitely material to the determination of the case</w:t>
      </w:r>
      <w:r w:rsidR="00E81B66" w:rsidRPr="005E1802">
        <w:rPr>
          <w:rFonts w:ascii="Times New Roman" w:hAnsi="Times New Roman"/>
        </w:rPr>
        <w:t>"</w:t>
      </w:r>
      <w:r w:rsidR="004F7FD2" w:rsidRPr="005E1802">
        <w:rPr>
          <w:rFonts w:ascii="Times New Roman" w:hAnsi="Times New Roman"/>
        </w:rPr>
        <w:t xml:space="preserve">, his Honour was referring to </w:t>
      </w:r>
      <w:r w:rsidR="00B37E52" w:rsidRPr="005E1802">
        <w:rPr>
          <w:rFonts w:ascii="Times New Roman" w:hAnsi="Times New Roman"/>
        </w:rPr>
        <w:t xml:space="preserve">evidentiary </w:t>
      </w:r>
      <w:r w:rsidR="00084F9A" w:rsidRPr="005E1802">
        <w:rPr>
          <w:rFonts w:ascii="Times New Roman" w:hAnsi="Times New Roman"/>
        </w:rPr>
        <w:t>material</w:t>
      </w:r>
      <w:r w:rsidR="004F7FD2" w:rsidRPr="005E1802">
        <w:rPr>
          <w:rFonts w:ascii="Times New Roman" w:hAnsi="Times New Roman"/>
        </w:rPr>
        <w:t xml:space="preserve"> within the category</w:t>
      </w:r>
      <w:r w:rsidR="000F0FD4" w:rsidRPr="005E1802">
        <w:rPr>
          <w:rFonts w:ascii="Times New Roman" w:hAnsi="Times New Roman"/>
        </w:rPr>
        <w:t xml:space="preserve"> of </w:t>
      </w:r>
      <w:r w:rsidR="000F0FD4" w:rsidRPr="005E1802">
        <w:rPr>
          <w:rFonts w:ascii="Times New Roman" w:hAnsi="Times New Roman"/>
          <w:color w:val="000000"/>
          <w:shd w:val="clear" w:color="auto" w:fill="FFFFFF"/>
        </w:rPr>
        <w:t>evidentiary materials</w:t>
      </w:r>
      <w:r w:rsidR="004F7FD2" w:rsidRPr="005E1802">
        <w:rPr>
          <w:rFonts w:ascii="Times New Roman" w:hAnsi="Times New Roman"/>
        </w:rPr>
        <w:t xml:space="preserve"> he had earlier </w:t>
      </w:r>
      <w:r w:rsidR="00B37E52" w:rsidRPr="005E1802">
        <w:rPr>
          <w:rFonts w:ascii="Times New Roman" w:hAnsi="Times New Roman"/>
        </w:rPr>
        <w:t>referred to</w:t>
      </w:r>
      <w:r w:rsidR="00084F9A" w:rsidRPr="005E1802">
        <w:rPr>
          <w:rFonts w:ascii="Times New Roman" w:hAnsi="Times New Roman"/>
        </w:rPr>
        <w:t xml:space="preserve"> as </w:t>
      </w:r>
      <w:r w:rsidR="00F57776" w:rsidRPr="005E1802">
        <w:rPr>
          <w:rFonts w:ascii="Times New Roman" w:hAnsi="Times New Roman"/>
        </w:rPr>
        <w:t>"</w:t>
      </w:r>
      <w:r w:rsidR="00143ABF" w:rsidRPr="005E1802">
        <w:rPr>
          <w:rFonts w:ascii="Times New Roman" w:hAnsi="Times New Roman"/>
          <w:color w:val="000000"/>
          <w:shd w:val="clear" w:color="auto" w:fill="FFFFFF"/>
        </w:rPr>
        <w:t>evidentiary materials</w:t>
      </w:r>
      <w:r w:rsidR="00143ABF" w:rsidRPr="005E1802">
        <w:rPr>
          <w:rFonts w:ascii="Times New Roman" w:hAnsi="Times New Roman"/>
        </w:rPr>
        <w:t xml:space="preserve"> </w:t>
      </w:r>
      <w:r w:rsidR="00F57776" w:rsidRPr="005E1802">
        <w:rPr>
          <w:rFonts w:ascii="Times New Roman" w:hAnsi="Times New Roman"/>
          <w:color w:val="000000"/>
          <w:shd w:val="clear" w:color="auto" w:fill="FFFFFF"/>
        </w:rPr>
        <w:t>by which it is not an unreasonable hypothesis to suppose the judgment of the jury might be affected, even if illogically"</w:t>
      </w:r>
      <w:r w:rsidR="000C2227" w:rsidRPr="005E1802">
        <w:rPr>
          <w:rStyle w:val="FootnoteReference"/>
          <w:rFonts w:ascii="Times New Roman" w:hAnsi="Times New Roman"/>
          <w:color w:val="000000"/>
          <w:sz w:val="24"/>
          <w:shd w:val="clear" w:color="auto" w:fill="FFFFFF"/>
        </w:rPr>
        <w:footnoteReference w:id="44"/>
      </w:r>
      <w:r w:rsidR="00F57776" w:rsidRPr="005E1802">
        <w:rPr>
          <w:rFonts w:ascii="Times New Roman" w:hAnsi="Times New Roman"/>
          <w:color w:val="000000"/>
          <w:shd w:val="clear" w:color="auto" w:fill="FFFFFF"/>
        </w:rPr>
        <w:t xml:space="preserve">. </w:t>
      </w:r>
      <w:r w:rsidR="00B22F69" w:rsidRPr="005E1802">
        <w:rPr>
          <w:rFonts w:ascii="Times New Roman" w:hAnsi="Times New Roman"/>
          <w:color w:val="000000"/>
          <w:shd w:val="clear" w:color="auto" w:fill="FFFFFF"/>
        </w:rPr>
        <w:t xml:space="preserve">The "basal fact" warranting the grant of a new trial in the case was that "material evidence was erroneously excluded from the consideration of the jury". </w:t>
      </w:r>
      <w:r w:rsidR="00DA1C4C" w:rsidRPr="005E1802">
        <w:rPr>
          <w:rFonts w:ascii="Times New Roman" w:hAnsi="Times New Roman"/>
          <w:color w:val="000000"/>
          <w:shd w:val="clear" w:color="auto" w:fill="FFFFFF"/>
        </w:rPr>
        <w:t>O</w:t>
      </w:r>
      <w:r w:rsidR="002F2980" w:rsidRPr="005E1802">
        <w:rPr>
          <w:rFonts w:ascii="Times New Roman" w:hAnsi="Times New Roman"/>
          <w:color w:val="000000"/>
          <w:shd w:val="clear" w:color="auto" w:fill="FFFFFF"/>
        </w:rPr>
        <w:t xml:space="preserve">utside </w:t>
      </w:r>
      <w:r w:rsidR="008B19AE" w:rsidRPr="005E1802">
        <w:rPr>
          <w:rFonts w:ascii="Times New Roman" w:hAnsi="Times New Roman"/>
          <w:color w:val="000000"/>
          <w:shd w:val="clear" w:color="auto" w:fill="FFFFFF"/>
        </w:rPr>
        <w:t xml:space="preserve">the province </w:t>
      </w:r>
      <w:r w:rsidR="00814840" w:rsidRPr="005E1802">
        <w:rPr>
          <w:rFonts w:ascii="Times New Roman" w:hAnsi="Times New Roman"/>
          <w:color w:val="000000"/>
          <w:shd w:val="clear" w:color="auto" w:fill="FFFFFF"/>
        </w:rPr>
        <w:t>of the court</w:t>
      </w:r>
      <w:r w:rsidR="00665A74" w:rsidRPr="005E1802">
        <w:rPr>
          <w:rFonts w:ascii="Times New Roman" w:hAnsi="Times New Roman"/>
          <w:color w:val="000000"/>
          <w:shd w:val="clear" w:color="auto" w:fill="FFFFFF"/>
        </w:rPr>
        <w:t xml:space="preserve"> </w:t>
      </w:r>
      <w:r w:rsidR="00482E44" w:rsidRPr="005E1802">
        <w:rPr>
          <w:rFonts w:ascii="Times New Roman" w:hAnsi="Times New Roman"/>
          <w:color w:val="000000"/>
          <w:shd w:val="clear" w:color="auto" w:fill="FFFFFF"/>
        </w:rPr>
        <w:t>in deci</w:t>
      </w:r>
      <w:r w:rsidR="00B966A8" w:rsidRPr="005E1802">
        <w:rPr>
          <w:rFonts w:ascii="Times New Roman" w:hAnsi="Times New Roman"/>
          <w:color w:val="000000"/>
          <w:shd w:val="clear" w:color="auto" w:fill="FFFFFF"/>
        </w:rPr>
        <w:t xml:space="preserve">ding that </w:t>
      </w:r>
      <w:r w:rsidR="00814840" w:rsidRPr="005E1802">
        <w:rPr>
          <w:rFonts w:ascii="Times New Roman" w:hAnsi="Times New Roman"/>
          <w:color w:val="000000"/>
          <w:shd w:val="clear" w:color="auto" w:fill="FFFFFF"/>
        </w:rPr>
        <w:t>a new trial</w:t>
      </w:r>
      <w:r w:rsidR="007B5B61" w:rsidRPr="005E1802">
        <w:rPr>
          <w:rFonts w:ascii="Times New Roman" w:hAnsi="Times New Roman"/>
          <w:color w:val="000000"/>
          <w:shd w:val="clear" w:color="auto" w:fill="FFFFFF"/>
        </w:rPr>
        <w:t xml:space="preserve"> </w:t>
      </w:r>
      <w:r w:rsidR="00B966A8" w:rsidRPr="005E1802">
        <w:rPr>
          <w:rFonts w:ascii="Times New Roman" w:hAnsi="Times New Roman"/>
          <w:color w:val="000000"/>
          <w:shd w:val="clear" w:color="auto" w:fill="FFFFFF"/>
        </w:rPr>
        <w:t xml:space="preserve">was warranted </w:t>
      </w:r>
      <w:r w:rsidR="007B5B61" w:rsidRPr="005E1802">
        <w:rPr>
          <w:rFonts w:ascii="Times New Roman" w:hAnsi="Times New Roman"/>
          <w:color w:val="000000"/>
          <w:shd w:val="clear" w:color="auto" w:fill="FFFFFF"/>
        </w:rPr>
        <w:t>was</w:t>
      </w:r>
      <w:r w:rsidR="00814840" w:rsidRPr="005E1802">
        <w:rPr>
          <w:rFonts w:ascii="Times New Roman" w:hAnsi="Times New Roman"/>
          <w:color w:val="000000"/>
          <w:shd w:val="clear" w:color="auto" w:fill="FFFFFF"/>
        </w:rPr>
        <w:t xml:space="preserve"> either </w:t>
      </w:r>
      <w:r w:rsidR="00D44DF5" w:rsidRPr="005E1802">
        <w:rPr>
          <w:rFonts w:ascii="Times New Roman" w:hAnsi="Times New Roman"/>
          <w:color w:val="000000"/>
          <w:shd w:val="clear" w:color="auto" w:fill="FFFFFF"/>
        </w:rPr>
        <w:t xml:space="preserve">"to inquire into the effect which the evidence if admitted would produce upon the [c]ourt if the [c]ourt were the </w:t>
      </w:r>
      <w:r w:rsidR="0056054C" w:rsidRPr="005E1802">
        <w:rPr>
          <w:rFonts w:ascii="Times New Roman" w:hAnsi="Times New Roman"/>
          <w:color w:val="000000"/>
          <w:shd w:val="clear" w:color="auto" w:fill="FFFFFF"/>
        </w:rPr>
        <w:t>t</w:t>
      </w:r>
      <w:r w:rsidR="00FE5F5D" w:rsidRPr="005E1802">
        <w:rPr>
          <w:rFonts w:ascii="Times New Roman" w:hAnsi="Times New Roman"/>
          <w:color w:val="000000"/>
          <w:shd w:val="clear" w:color="auto" w:fill="FFFFFF"/>
        </w:rPr>
        <w:t>ribunal</w:t>
      </w:r>
      <w:r w:rsidR="00D44DF5" w:rsidRPr="005E1802">
        <w:rPr>
          <w:rFonts w:ascii="Times New Roman" w:hAnsi="Times New Roman"/>
          <w:color w:val="000000"/>
          <w:shd w:val="clear" w:color="auto" w:fill="FFFFFF"/>
        </w:rPr>
        <w:t xml:space="preserve"> of fact"</w:t>
      </w:r>
      <w:r w:rsidR="0012791E" w:rsidRPr="005E1802">
        <w:rPr>
          <w:rFonts w:ascii="Times New Roman" w:hAnsi="Times New Roman"/>
          <w:color w:val="000000"/>
          <w:shd w:val="clear" w:color="auto" w:fill="FFFFFF"/>
        </w:rPr>
        <w:t xml:space="preserve"> or "to speculate on the effect which it would have produced on the jury"</w:t>
      </w:r>
      <w:r w:rsidR="000C2227" w:rsidRPr="005E1802">
        <w:rPr>
          <w:rStyle w:val="FootnoteReference"/>
          <w:rFonts w:ascii="Times New Roman" w:hAnsi="Times New Roman"/>
          <w:color w:val="000000"/>
          <w:sz w:val="24"/>
          <w:shd w:val="clear" w:color="auto" w:fill="FFFFFF"/>
        </w:rPr>
        <w:footnoteReference w:id="45"/>
      </w:r>
      <w:r w:rsidR="0012791E" w:rsidRPr="005E1802">
        <w:rPr>
          <w:rFonts w:ascii="Times New Roman" w:hAnsi="Times New Roman"/>
          <w:color w:val="000000"/>
          <w:shd w:val="clear" w:color="auto" w:fill="FFFFFF"/>
        </w:rPr>
        <w:t>.</w:t>
      </w:r>
      <w:r w:rsidR="005E390B" w:rsidRPr="005E1802">
        <w:rPr>
          <w:rFonts w:ascii="Times New Roman" w:hAnsi="Times New Roman"/>
          <w:color w:val="000000"/>
          <w:shd w:val="clear" w:color="auto" w:fill="FFFFFF"/>
        </w:rPr>
        <w:t xml:space="preserve"> </w:t>
      </w:r>
      <w:r w:rsidR="007B7C48" w:rsidRPr="005E1802">
        <w:rPr>
          <w:rFonts w:ascii="Times New Roman" w:hAnsi="Times New Roman"/>
          <w:color w:val="000000"/>
          <w:shd w:val="clear" w:color="auto" w:fill="FFFFFF"/>
        </w:rPr>
        <w:t xml:space="preserve">Taylor J </w:t>
      </w:r>
      <w:r w:rsidR="00E06BF8" w:rsidRPr="005E1802">
        <w:rPr>
          <w:rFonts w:ascii="Times New Roman" w:hAnsi="Times New Roman"/>
          <w:color w:val="000000"/>
          <w:shd w:val="clear" w:color="auto" w:fill="FFFFFF"/>
        </w:rPr>
        <w:t>referred similarly to "material evidence"</w:t>
      </w:r>
      <w:r w:rsidR="009F010F" w:rsidRPr="005E1802">
        <w:rPr>
          <w:rStyle w:val="FootnoteReference"/>
          <w:rFonts w:ascii="Times New Roman" w:hAnsi="Times New Roman"/>
          <w:color w:val="000000"/>
          <w:sz w:val="24"/>
          <w:shd w:val="clear" w:color="auto" w:fill="FFFFFF"/>
        </w:rPr>
        <w:footnoteReference w:id="46"/>
      </w:r>
      <w:r w:rsidR="009F010F" w:rsidRPr="005E1802">
        <w:rPr>
          <w:rFonts w:ascii="Times New Roman" w:hAnsi="Times New Roman"/>
          <w:color w:val="000000"/>
          <w:shd w:val="clear" w:color="auto" w:fill="FFFFFF"/>
        </w:rPr>
        <w:t xml:space="preserve">. </w:t>
      </w:r>
    </w:p>
    <w:p w14:paraId="3380B18D" w14:textId="143997B0" w:rsidR="005A4FBE" w:rsidRPr="005E1802" w:rsidRDefault="003D638F"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7B5B61" w:rsidRPr="005E1802">
        <w:rPr>
          <w:rFonts w:ascii="Times New Roman" w:hAnsi="Times New Roman"/>
          <w:color w:val="000000"/>
          <w:shd w:val="clear" w:color="auto" w:fill="FFFFFF"/>
        </w:rPr>
        <w:t>The Court in</w:t>
      </w:r>
      <w:r w:rsidR="009F010F" w:rsidRPr="005E1802">
        <w:rPr>
          <w:rFonts w:ascii="Times New Roman" w:hAnsi="Times New Roman"/>
          <w:color w:val="000000"/>
          <w:shd w:val="clear" w:color="auto" w:fill="FFFFFF"/>
        </w:rPr>
        <w:t xml:space="preserve"> </w:t>
      </w:r>
      <w:r w:rsidR="003A3C6B" w:rsidRPr="005E1802">
        <w:rPr>
          <w:rFonts w:ascii="Times New Roman" w:hAnsi="Times New Roman"/>
          <w:i/>
          <w:iCs/>
          <w:color w:val="000000"/>
          <w:shd w:val="clear" w:color="auto" w:fill="FFFFFF"/>
        </w:rPr>
        <w:t>Dairy Farmers Co-</w:t>
      </w:r>
      <w:r w:rsidR="0056054C" w:rsidRPr="005E1802">
        <w:rPr>
          <w:rFonts w:ascii="Times New Roman" w:hAnsi="Times New Roman"/>
          <w:i/>
          <w:iCs/>
          <w:color w:val="000000"/>
          <w:shd w:val="clear" w:color="auto" w:fill="FFFFFF"/>
        </w:rPr>
        <w:t>o</w:t>
      </w:r>
      <w:r w:rsidR="003A3C6B" w:rsidRPr="005E1802">
        <w:rPr>
          <w:rFonts w:ascii="Times New Roman" w:hAnsi="Times New Roman"/>
          <w:i/>
          <w:iCs/>
          <w:color w:val="000000"/>
          <w:shd w:val="clear" w:color="auto" w:fill="FFFFFF"/>
        </w:rPr>
        <w:t>perative Milk Co Ltd v</w:t>
      </w:r>
      <w:r w:rsidR="0072246F" w:rsidRPr="005E1802">
        <w:rPr>
          <w:rFonts w:ascii="Times New Roman" w:hAnsi="Times New Roman"/>
          <w:i/>
          <w:iCs/>
          <w:color w:val="000000"/>
          <w:shd w:val="clear" w:color="auto" w:fill="FFFFFF"/>
        </w:rPr>
        <w:t xml:space="preserve"> </w:t>
      </w:r>
      <w:r w:rsidR="003A3C6B" w:rsidRPr="005E1802">
        <w:rPr>
          <w:rFonts w:ascii="Times New Roman" w:hAnsi="Times New Roman"/>
          <w:i/>
          <w:iCs/>
          <w:color w:val="000000"/>
          <w:shd w:val="clear" w:color="auto" w:fill="FFFFFF"/>
        </w:rPr>
        <w:t>Acquilina</w:t>
      </w:r>
      <w:r w:rsidR="00CF46A9" w:rsidRPr="005E1802">
        <w:rPr>
          <w:rStyle w:val="FootnoteReference"/>
          <w:rFonts w:ascii="Times New Roman" w:hAnsi="Times New Roman"/>
          <w:iCs/>
          <w:color w:val="000000"/>
          <w:sz w:val="24"/>
          <w:shd w:val="clear" w:color="auto" w:fill="FFFFFF"/>
        </w:rPr>
        <w:footnoteReference w:id="47"/>
      </w:r>
      <w:r w:rsidR="002908FE" w:rsidRPr="005E1802">
        <w:rPr>
          <w:rFonts w:ascii="Times New Roman" w:hAnsi="Times New Roman"/>
          <w:iCs/>
          <w:color w:val="000000"/>
          <w:shd w:val="clear" w:color="auto" w:fill="FFFFFF"/>
        </w:rPr>
        <w:t xml:space="preserve"> </w:t>
      </w:r>
      <w:r w:rsidR="00B57B6D" w:rsidRPr="005E1802">
        <w:rPr>
          <w:rFonts w:ascii="Times New Roman" w:hAnsi="Times New Roman"/>
          <w:iCs/>
          <w:color w:val="000000"/>
          <w:shd w:val="clear" w:color="auto" w:fill="FFFFFF"/>
        </w:rPr>
        <w:t xml:space="preserve">was </w:t>
      </w:r>
      <w:r w:rsidR="0025768B" w:rsidRPr="005E1802">
        <w:rPr>
          <w:rFonts w:ascii="Times New Roman" w:hAnsi="Times New Roman"/>
          <w:iCs/>
          <w:color w:val="000000"/>
          <w:shd w:val="clear" w:color="auto" w:fill="FFFFFF"/>
        </w:rPr>
        <w:t xml:space="preserve">constituted by </w:t>
      </w:r>
      <w:r w:rsidR="00455A7D" w:rsidRPr="005E1802">
        <w:rPr>
          <w:rFonts w:ascii="Times New Roman" w:hAnsi="Times New Roman"/>
          <w:iCs/>
          <w:color w:val="000000"/>
          <w:shd w:val="clear" w:color="auto" w:fill="FFFFFF"/>
        </w:rPr>
        <w:t>Justices</w:t>
      </w:r>
      <w:r w:rsidR="0025768B" w:rsidRPr="005E1802">
        <w:rPr>
          <w:rFonts w:ascii="Times New Roman" w:hAnsi="Times New Roman"/>
          <w:iCs/>
          <w:color w:val="000000"/>
          <w:shd w:val="clear" w:color="auto" w:fill="FFFFFF"/>
        </w:rPr>
        <w:t xml:space="preserve"> who included </w:t>
      </w:r>
      <w:r w:rsidR="008A53FF" w:rsidRPr="005E1802">
        <w:rPr>
          <w:rFonts w:ascii="Times New Roman" w:hAnsi="Times New Roman"/>
          <w:iCs/>
          <w:color w:val="000000"/>
          <w:shd w:val="clear" w:color="auto" w:fill="FFFFFF"/>
        </w:rPr>
        <w:t>all</w:t>
      </w:r>
      <w:r w:rsidR="00B57B6D" w:rsidRPr="005E1802">
        <w:rPr>
          <w:rFonts w:ascii="Times New Roman" w:hAnsi="Times New Roman"/>
          <w:iCs/>
          <w:color w:val="000000"/>
          <w:shd w:val="clear" w:color="auto" w:fill="FFFFFF"/>
        </w:rPr>
        <w:t xml:space="preserve"> </w:t>
      </w:r>
      <w:r w:rsidR="002908FE" w:rsidRPr="005E1802">
        <w:rPr>
          <w:rFonts w:ascii="Times New Roman" w:hAnsi="Times New Roman"/>
          <w:iCs/>
          <w:color w:val="000000"/>
          <w:shd w:val="clear" w:color="auto" w:fill="FFFFFF"/>
        </w:rPr>
        <w:t>other</w:t>
      </w:r>
      <w:r w:rsidR="00773E5E" w:rsidRPr="005E1802">
        <w:rPr>
          <w:rFonts w:ascii="Times New Roman" w:hAnsi="Times New Roman"/>
          <w:iCs/>
          <w:color w:val="000000"/>
          <w:shd w:val="clear" w:color="auto" w:fill="FFFFFF"/>
        </w:rPr>
        <w:t xml:space="preserve"> </w:t>
      </w:r>
      <w:r w:rsidR="00455A7D" w:rsidRPr="005E1802">
        <w:rPr>
          <w:rFonts w:ascii="Times New Roman" w:hAnsi="Times New Roman"/>
          <w:iCs/>
          <w:color w:val="000000"/>
          <w:shd w:val="clear" w:color="auto" w:fill="FFFFFF"/>
        </w:rPr>
        <w:t xml:space="preserve">Justices who had constituted the </w:t>
      </w:r>
      <w:r w:rsidR="00773E5E" w:rsidRPr="005E1802">
        <w:rPr>
          <w:rFonts w:ascii="Times New Roman" w:hAnsi="Times New Roman"/>
          <w:iCs/>
          <w:color w:val="000000"/>
          <w:shd w:val="clear" w:color="auto" w:fill="FFFFFF"/>
        </w:rPr>
        <w:t xml:space="preserve">Court in </w:t>
      </w:r>
      <w:r w:rsidR="00773E5E" w:rsidRPr="005E1802">
        <w:rPr>
          <w:rFonts w:ascii="Times New Roman" w:hAnsi="Times New Roman"/>
          <w:i/>
        </w:rPr>
        <w:t>Balenzuela</w:t>
      </w:r>
      <w:r w:rsidR="00B57B6D" w:rsidRPr="005E1802">
        <w:rPr>
          <w:rFonts w:ascii="Times New Roman" w:hAnsi="Times New Roman"/>
        </w:rPr>
        <w:t xml:space="preserve">. </w:t>
      </w:r>
      <w:r w:rsidR="00C96A4D" w:rsidRPr="005E1802">
        <w:rPr>
          <w:rFonts w:ascii="Times New Roman" w:hAnsi="Times New Roman"/>
        </w:rPr>
        <w:t xml:space="preserve">The </w:t>
      </w:r>
      <w:r w:rsidR="00791DEE" w:rsidRPr="005E1802">
        <w:rPr>
          <w:rFonts w:ascii="Times New Roman" w:hAnsi="Times New Roman"/>
        </w:rPr>
        <w:t>unanimous reasons for judgment</w:t>
      </w:r>
      <w:r w:rsidR="00C96A4D" w:rsidRPr="005E1802">
        <w:rPr>
          <w:rFonts w:ascii="Times New Roman" w:hAnsi="Times New Roman"/>
        </w:rPr>
        <w:t xml:space="preserve"> of </w:t>
      </w:r>
      <w:r w:rsidR="005A5183" w:rsidRPr="005E1802">
        <w:rPr>
          <w:rFonts w:ascii="Times New Roman" w:hAnsi="Times New Roman"/>
        </w:rPr>
        <w:t>the Court</w:t>
      </w:r>
      <w:r w:rsidR="00CE67B1" w:rsidRPr="005E1802">
        <w:rPr>
          <w:rFonts w:ascii="Times New Roman" w:hAnsi="Times New Roman"/>
        </w:rPr>
        <w:t xml:space="preserve"> </w:t>
      </w:r>
      <w:r w:rsidR="00284E54" w:rsidRPr="005E1802">
        <w:rPr>
          <w:rFonts w:ascii="Times New Roman" w:hAnsi="Times New Roman"/>
        </w:rPr>
        <w:t xml:space="preserve">in </w:t>
      </w:r>
      <w:r w:rsidR="00284E54" w:rsidRPr="005E1802">
        <w:rPr>
          <w:rFonts w:ascii="Times New Roman" w:hAnsi="Times New Roman"/>
          <w:i/>
          <w:iCs/>
          <w:color w:val="000000"/>
          <w:shd w:val="clear" w:color="auto" w:fill="FFFFFF"/>
        </w:rPr>
        <w:t>Acquilina</w:t>
      </w:r>
      <w:r w:rsidR="00284E54" w:rsidRPr="005E1802">
        <w:rPr>
          <w:rFonts w:ascii="Times New Roman" w:hAnsi="Times New Roman"/>
        </w:rPr>
        <w:t xml:space="preserve"> </w:t>
      </w:r>
      <w:r w:rsidR="00E259F0" w:rsidRPr="005E1802">
        <w:rPr>
          <w:rFonts w:ascii="Times New Roman" w:hAnsi="Times New Roman"/>
        </w:rPr>
        <w:t xml:space="preserve">referred to the law laid down in </w:t>
      </w:r>
      <w:r w:rsidR="00E259F0" w:rsidRPr="005E1802">
        <w:rPr>
          <w:rFonts w:ascii="Times New Roman" w:hAnsi="Times New Roman"/>
          <w:i/>
        </w:rPr>
        <w:t xml:space="preserve">Balenzuela </w:t>
      </w:r>
      <w:r w:rsidR="00E259F0" w:rsidRPr="005E1802">
        <w:rPr>
          <w:rFonts w:ascii="Times New Roman" w:hAnsi="Times New Roman"/>
        </w:rPr>
        <w:t xml:space="preserve">as </w:t>
      </w:r>
      <w:r w:rsidR="00A56375" w:rsidRPr="005E1802">
        <w:rPr>
          <w:rFonts w:ascii="Times New Roman" w:hAnsi="Times New Roman"/>
          <w:color w:val="000000"/>
          <w:shd w:val="clear" w:color="auto" w:fill="FFFFFF"/>
        </w:rPr>
        <w:t xml:space="preserve">no different from that laid </w:t>
      </w:r>
      <w:r w:rsidR="00A56375" w:rsidRPr="005E1802">
        <w:rPr>
          <w:rFonts w:ascii="Times New Roman" w:hAnsi="Times New Roman"/>
          <w:color w:val="000000"/>
          <w:shd w:val="clear" w:color="auto" w:fill="FFFFFF"/>
        </w:rPr>
        <w:lastRenderedPageBreak/>
        <w:t xml:space="preserve">down more than one hundred years earlier in </w:t>
      </w:r>
      <w:r w:rsidR="00A56375" w:rsidRPr="005E1802">
        <w:rPr>
          <w:rFonts w:ascii="Times New Roman" w:hAnsi="Times New Roman"/>
          <w:i/>
          <w:color w:val="000000"/>
          <w:shd w:val="clear" w:color="auto" w:fill="FFFFFF"/>
        </w:rPr>
        <w:t>Crease v Barrett</w:t>
      </w:r>
      <w:r w:rsidR="00A56375" w:rsidRPr="005E1802">
        <w:rPr>
          <w:rStyle w:val="FootnoteReference"/>
          <w:rFonts w:ascii="Times New Roman" w:hAnsi="Times New Roman"/>
          <w:color w:val="000000"/>
          <w:sz w:val="24"/>
          <w:shd w:val="clear" w:color="auto" w:fill="FFFFFF"/>
        </w:rPr>
        <w:footnoteReference w:id="48"/>
      </w:r>
      <w:r w:rsidRPr="005E1802">
        <w:rPr>
          <w:rFonts w:ascii="Times New Roman" w:hAnsi="Times New Roman"/>
          <w:i/>
          <w:color w:val="000000"/>
          <w:shd w:val="clear" w:color="auto" w:fill="FFFFFF"/>
        </w:rPr>
        <w:t xml:space="preserve">. </w:t>
      </w:r>
      <w:r w:rsidRPr="005E1802">
        <w:rPr>
          <w:rFonts w:ascii="Times New Roman" w:hAnsi="Times New Roman"/>
          <w:color w:val="000000"/>
          <w:shd w:val="clear" w:color="auto" w:fill="FFFFFF"/>
        </w:rPr>
        <w:t xml:space="preserve">There </w:t>
      </w:r>
      <w:r w:rsidR="00A56375" w:rsidRPr="005E1802">
        <w:rPr>
          <w:rFonts w:ascii="Times New Roman" w:hAnsi="Times New Roman"/>
          <w:color w:val="000000"/>
          <w:shd w:val="clear" w:color="auto" w:fill="FFFFFF"/>
        </w:rPr>
        <w:t>it had been said that</w:t>
      </w:r>
      <w:r w:rsidR="00285634" w:rsidRPr="005E1802">
        <w:rPr>
          <w:rFonts w:ascii="Times New Roman" w:hAnsi="Times New Roman"/>
          <w:color w:val="000000"/>
          <w:shd w:val="clear" w:color="auto" w:fill="FFFFFF"/>
        </w:rPr>
        <w:t xml:space="preserve"> a court would </w:t>
      </w:r>
      <w:r w:rsidR="007B68B6" w:rsidRPr="005E1802">
        <w:rPr>
          <w:rFonts w:ascii="Times New Roman" w:hAnsi="Times New Roman"/>
          <w:color w:val="000000"/>
          <w:shd w:val="clear" w:color="auto" w:fill="FFFFFF"/>
        </w:rPr>
        <w:t xml:space="preserve">be justified in refusing to </w:t>
      </w:r>
      <w:r w:rsidR="00285634" w:rsidRPr="005E1802">
        <w:rPr>
          <w:rFonts w:ascii="Times New Roman" w:hAnsi="Times New Roman"/>
          <w:color w:val="000000"/>
          <w:shd w:val="clear" w:color="auto" w:fill="FFFFFF"/>
        </w:rPr>
        <w:t xml:space="preserve">grant a new trial </w:t>
      </w:r>
      <w:r w:rsidR="00C9798C" w:rsidRPr="005E1802">
        <w:rPr>
          <w:rFonts w:ascii="Times New Roman" w:hAnsi="Times New Roman"/>
          <w:color w:val="000000"/>
          <w:shd w:val="clear" w:color="auto" w:fill="FFFFFF"/>
        </w:rPr>
        <w:t xml:space="preserve">in a case </w:t>
      </w:r>
      <w:r w:rsidR="00285634" w:rsidRPr="005E1802">
        <w:rPr>
          <w:rFonts w:ascii="Times New Roman" w:hAnsi="Times New Roman"/>
          <w:color w:val="000000"/>
          <w:shd w:val="clear" w:color="auto" w:fill="FFFFFF"/>
        </w:rPr>
        <w:t xml:space="preserve">where evidence was </w:t>
      </w:r>
      <w:r w:rsidR="00C629CC" w:rsidRPr="005E1802">
        <w:rPr>
          <w:rFonts w:ascii="Times New Roman" w:hAnsi="Times New Roman"/>
          <w:color w:val="000000"/>
          <w:shd w:val="clear" w:color="auto" w:fill="FFFFFF"/>
        </w:rPr>
        <w:t xml:space="preserve">improperly </w:t>
      </w:r>
      <w:r w:rsidR="00285634" w:rsidRPr="005E1802">
        <w:rPr>
          <w:rFonts w:ascii="Times New Roman" w:hAnsi="Times New Roman"/>
          <w:color w:val="000000"/>
          <w:shd w:val="clear" w:color="auto" w:fill="FFFFFF"/>
        </w:rPr>
        <w:t xml:space="preserve">rejected </w:t>
      </w:r>
      <w:r w:rsidR="002E1842" w:rsidRPr="005E1802">
        <w:rPr>
          <w:rFonts w:ascii="Times New Roman" w:hAnsi="Times New Roman"/>
          <w:color w:val="000000"/>
          <w:shd w:val="clear" w:color="auto" w:fill="FFFFFF"/>
        </w:rPr>
        <w:t>"</w:t>
      </w:r>
      <w:r w:rsidR="002E1842" w:rsidRPr="005E1802">
        <w:rPr>
          <w:rFonts w:ascii="Times New Roman" w:hAnsi="Times New Roman"/>
        </w:rPr>
        <w:t>where, assuming the rejected evidence to have been received, a verdict i</w:t>
      </w:r>
      <w:r w:rsidR="00E8137B" w:rsidRPr="005E1802">
        <w:rPr>
          <w:rFonts w:ascii="Times New Roman" w:hAnsi="Times New Roman"/>
        </w:rPr>
        <w:t xml:space="preserve">n </w:t>
      </w:r>
      <w:r w:rsidR="002E1842" w:rsidRPr="005E1802">
        <w:rPr>
          <w:rFonts w:ascii="Times New Roman" w:hAnsi="Times New Roman"/>
        </w:rPr>
        <w:t>favour of the party for whom it was offered would have been clearly</w:t>
      </w:r>
      <w:r w:rsidR="00E8137B" w:rsidRPr="005E1802">
        <w:rPr>
          <w:rFonts w:ascii="Times New Roman" w:hAnsi="Times New Roman"/>
        </w:rPr>
        <w:t xml:space="preserve"> and manifestly against</w:t>
      </w:r>
      <w:r w:rsidR="002E1842" w:rsidRPr="005E1802">
        <w:rPr>
          <w:rFonts w:ascii="Times New Roman" w:hAnsi="Times New Roman"/>
        </w:rPr>
        <w:t xml:space="preserve"> the weight of evidenc</w:t>
      </w:r>
      <w:r w:rsidR="00E8137B" w:rsidRPr="005E1802">
        <w:rPr>
          <w:rFonts w:ascii="Times New Roman" w:hAnsi="Times New Roman"/>
        </w:rPr>
        <w:t>e".</w:t>
      </w:r>
      <w:r w:rsidR="00A56375" w:rsidRPr="005E1802">
        <w:rPr>
          <w:rFonts w:ascii="Times New Roman" w:hAnsi="Times New Roman"/>
          <w:color w:val="000000"/>
          <w:shd w:val="clear" w:color="auto" w:fill="FFFFFF"/>
        </w:rPr>
        <w:t xml:space="preserve"> </w:t>
      </w:r>
      <w:r w:rsidR="006136F7" w:rsidRPr="005E1802">
        <w:rPr>
          <w:rFonts w:ascii="Times New Roman" w:hAnsi="Times New Roman"/>
          <w:color w:val="000000"/>
          <w:shd w:val="clear" w:color="auto" w:fill="FFFFFF"/>
        </w:rPr>
        <w:t>The Court added</w:t>
      </w:r>
      <w:r w:rsidR="003D26CD" w:rsidRPr="005E1802">
        <w:rPr>
          <w:rFonts w:ascii="Times New Roman" w:hAnsi="Times New Roman"/>
          <w:color w:val="000000"/>
          <w:shd w:val="clear" w:color="auto" w:fill="FFFFFF"/>
        </w:rPr>
        <w:t xml:space="preserve"> in </w:t>
      </w:r>
      <w:r w:rsidR="003D26CD" w:rsidRPr="005E1802">
        <w:rPr>
          <w:rFonts w:ascii="Times New Roman" w:hAnsi="Times New Roman"/>
          <w:i/>
          <w:iCs/>
          <w:color w:val="000000"/>
          <w:shd w:val="clear" w:color="auto" w:fill="FFFFFF"/>
        </w:rPr>
        <w:t xml:space="preserve">Acquilina </w:t>
      </w:r>
      <w:r w:rsidR="003D26CD" w:rsidRPr="005E1802">
        <w:rPr>
          <w:rFonts w:ascii="Times New Roman" w:hAnsi="Times New Roman"/>
          <w:iCs/>
          <w:color w:val="000000"/>
          <w:shd w:val="clear" w:color="auto" w:fill="FFFFFF"/>
        </w:rPr>
        <w:t>that</w:t>
      </w:r>
      <w:r w:rsidR="008F7609" w:rsidRPr="005E1802">
        <w:rPr>
          <w:rFonts w:ascii="Times New Roman" w:hAnsi="Times New Roman"/>
          <w:iCs/>
          <w:color w:val="000000"/>
          <w:shd w:val="clear" w:color="auto" w:fill="FFFFFF"/>
        </w:rPr>
        <w:t xml:space="preserve"> </w:t>
      </w:r>
      <w:r w:rsidR="00E932F7" w:rsidRPr="005E1802">
        <w:rPr>
          <w:rFonts w:ascii="Times New Roman" w:hAnsi="Times New Roman"/>
          <w:iCs/>
          <w:color w:val="000000"/>
          <w:shd w:val="clear" w:color="auto" w:fill="FFFFFF"/>
        </w:rPr>
        <w:t>"</w:t>
      </w:r>
      <w:r w:rsidR="003D26CD" w:rsidRPr="005E1802">
        <w:rPr>
          <w:rFonts w:ascii="Times New Roman" w:hAnsi="Times New Roman"/>
          <w:iCs/>
          <w:color w:val="000000"/>
          <w:shd w:val="clear" w:color="auto" w:fill="FFFFFF"/>
        </w:rPr>
        <w:t>clear</w:t>
      </w:r>
      <w:r w:rsidR="00E932F7" w:rsidRPr="005E1802">
        <w:rPr>
          <w:rFonts w:ascii="Times New Roman" w:hAnsi="Times New Roman"/>
          <w:iCs/>
          <w:color w:val="000000"/>
          <w:shd w:val="clear" w:color="auto" w:fill="FFFFFF"/>
        </w:rPr>
        <w:t>"</w:t>
      </w:r>
      <w:r w:rsidR="003D26CD" w:rsidRPr="005E1802">
        <w:rPr>
          <w:rFonts w:ascii="Times New Roman" w:hAnsi="Times New Roman"/>
          <w:iCs/>
          <w:color w:val="000000"/>
          <w:shd w:val="clear" w:color="auto" w:fill="FFFFFF"/>
        </w:rPr>
        <w:t xml:space="preserve"> from </w:t>
      </w:r>
      <w:r w:rsidR="006136F7" w:rsidRPr="005E1802">
        <w:rPr>
          <w:rFonts w:ascii="Times New Roman" w:hAnsi="Times New Roman"/>
          <w:i/>
        </w:rPr>
        <w:t xml:space="preserve">Balenzuela </w:t>
      </w:r>
      <w:r w:rsidR="001A562B" w:rsidRPr="005E1802">
        <w:rPr>
          <w:rFonts w:ascii="Times New Roman" w:hAnsi="Times New Roman"/>
        </w:rPr>
        <w:t>was</w:t>
      </w:r>
      <w:r w:rsidR="00E932F7" w:rsidRPr="005E1802">
        <w:rPr>
          <w:rFonts w:ascii="Times New Roman" w:hAnsi="Times New Roman"/>
        </w:rPr>
        <w:t xml:space="preserve"> "</w:t>
      </w:r>
      <w:r w:rsidR="001A562B" w:rsidRPr="005E1802">
        <w:rPr>
          <w:rFonts w:ascii="Times New Roman" w:hAnsi="Times New Roman"/>
        </w:rPr>
        <w:t>that a new trial ought not to be ordered if the Court is satisfied that if the rejected evidence had been received it could not have affected the jury's verdict</w:t>
      </w:r>
      <w:r w:rsidR="00E932F7" w:rsidRPr="005E1802">
        <w:rPr>
          <w:rFonts w:ascii="Times New Roman" w:hAnsi="Times New Roman"/>
        </w:rPr>
        <w:t>"</w:t>
      </w:r>
      <w:r w:rsidR="00E932F7" w:rsidRPr="005E1802">
        <w:rPr>
          <w:rStyle w:val="FootnoteReference"/>
          <w:rFonts w:ascii="Times New Roman" w:hAnsi="Times New Roman"/>
          <w:sz w:val="24"/>
        </w:rPr>
        <w:footnoteReference w:id="49"/>
      </w:r>
      <w:r w:rsidR="001A562B" w:rsidRPr="005E1802">
        <w:rPr>
          <w:rFonts w:ascii="Times New Roman" w:hAnsi="Times New Roman"/>
        </w:rPr>
        <w:t>.</w:t>
      </w:r>
      <w:r w:rsidR="00DC0BC3" w:rsidRPr="005E1802">
        <w:rPr>
          <w:rFonts w:ascii="Times New Roman" w:hAnsi="Times New Roman"/>
        </w:rPr>
        <w:t xml:space="preserve"> After a detailed examination of the evidence </w:t>
      </w:r>
      <w:r w:rsidR="008F7609" w:rsidRPr="005E1802">
        <w:rPr>
          <w:rFonts w:ascii="Times New Roman" w:hAnsi="Times New Roman"/>
        </w:rPr>
        <w:t xml:space="preserve">that </w:t>
      </w:r>
      <w:r w:rsidR="00AC4643" w:rsidRPr="005E1802">
        <w:rPr>
          <w:rFonts w:ascii="Times New Roman" w:hAnsi="Times New Roman"/>
        </w:rPr>
        <w:t>had been</w:t>
      </w:r>
      <w:r w:rsidR="008F7609" w:rsidRPr="005E1802">
        <w:rPr>
          <w:rFonts w:ascii="Times New Roman" w:hAnsi="Times New Roman"/>
        </w:rPr>
        <w:t xml:space="preserve"> </w:t>
      </w:r>
      <w:r w:rsidR="00DC0BC3" w:rsidRPr="005E1802">
        <w:rPr>
          <w:rFonts w:ascii="Times New Roman" w:hAnsi="Times New Roman"/>
        </w:rPr>
        <w:t xml:space="preserve">led at the </w:t>
      </w:r>
      <w:r w:rsidR="008F7609" w:rsidRPr="005E1802">
        <w:rPr>
          <w:rFonts w:ascii="Times New Roman" w:hAnsi="Times New Roman"/>
        </w:rPr>
        <w:t>trial</w:t>
      </w:r>
      <w:r w:rsidR="000F52EC" w:rsidRPr="005E1802">
        <w:rPr>
          <w:rFonts w:ascii="Times New Roman" w:hAnsi="Times New Roman"/>
        </w:rPr>
        <w:t xml:space="preserve"> in that case</w:t>
      </w:r>
      <w:r w:rsidR="008F7609" w:rsidRPr="005E1802">
        <w:rPr>
          <w:rFonts w:ascii="Times New Roman" w:hAnsi="Times New Roman"/>
        </w:rPr>
        <w:t xml:space="preserve">, the Court </w:t>
      </w:r>
      <w:r w:rsidR="008F7609" w:rsidRPr="005E1802">
        <w:rPr>
          <w:rFonts w:ascii="Times New Roman" w:hAnsi="Times New Roman"/>
          <w:color w:val="000000"/>
          <w:shd w:val="clear" w:color="auto" w:fill="FFFFFF"/>
        </w:rPr>
        <w:t xml:space="preserve">in </w:t>
      </w:r>
      <w:r w:rsidR="008F7609" w:rsidRPr="005E1802">
        <w:rPr>
          <w:rFonts w:ascii="Times New Roman" w:hAnsi="Times New Roman"/>
          <w:i/>
          <w:iCs/>
          <w:color w:val="000000"/>
          <w:shd w:val="clear" w:color="auto" w:fill="FFFFFF"/>
        </w:rPr>
        <w:t xml:space="preserve">Acquilina </w:t>
      </w:r>
      <w:r w:rsidR="008F7609" w:rsidRPr="005E1802">
        <w:rPr>
          <w:rFonts w:ascii="Times New Roman" w:hAnsi="Times New Roman"/>
          <w:iCs/>
          <w:color w:val="000000"/>
          <w:shd w:val="clear" w:color="auto" w:fill="FFFFFF"/>
        </w:rPr>
        <w:t>was</w:t>
      </w:r>
      <w:r w:rsidR="008F7609" w:rsidRPr="005E1802">
        <w:rPr>
          <w:rFonts w:ascii="Times New Roman" w:hAnsi="Times New Roman"/>
        </w:rPr>
        <w:t xml:space="preserve"> satisfied that </w:t>
      </w:r>
      <w:r w:rsidR="0096470E" w:rsidRPr="005E1802">
        <w:rPr>
          <w:rFonts w:ascii="Times New Roman" w:hAnsi="Times New Roman"/>
        </w:rPr>
        <w:t>reception of</w:t>
      </w:r>
      <w:r w:rsidR="008F7609" w:rsidRPr="005E1802">
        <w:rPr>
          <w:rFonts w:ascii="Times New Roman" w:hAnsi="Times New Roman"/>
        </w:rPr>
        <w:t xml:space="preserve"> the </w:t>
      </w:r>
      <w:r w:rsidR="0096470E" w:rsidRPr="005E1802">
        <w:rPr>
          <w:rFonts w:ascii="Times New Roman" w:hAnsi="Times New Roman"/>
        </w:rPr>
        <w:t xml:space="preserve">wrongly </w:t>
      </w:r>
      <w:r w:rsidR="008F7609" w:rsidRPr="005E1802">
        <w:rPr>
          <w:rFonts w:ascii="Times New Roman" w:hAnsi="Times New Roman"/>
        </w:rPr>
        <w:t>rejected evidence could not have affected the jury's verdict</w:t>
      </w:r>
      <w:r w:rsidR="0096470E" w:rsidRPr="005E1802">
        <w:rPr>
          <w:rFonts w:ascii="Times New Roman" w:hAnsi="Times New Roman"/>
        </w:rPr>
        <w:t xml:space="preserve"> </w:t>
      </w:r>
      <w:r w:rsidR="00225516" w:rsidRPr="005E1802">
        <w:rPr>
          <w:rFonts w:ascii="Times New Roman" w:hAnsi="Times New Roman"/>
        </w:rPr>
        <w:t xml:space="preserve">and on that basis </w:t>
      </w:r>
      <w:r w:rsidR="00FF03AA" w:rsidRPr="005E1802">
        <w:rPr>
          <w:rFonts w:ascii="Times New Roman" w:hAnsi="Times New Roman"/>
        </w:rPr>
        <w:t xml:space="preserve">concluded that there was no </w:t>
      </w:r>
      <w:r w:rsidR="0013088D" w:rsidRPr="005E1802">
        <w:rPr>
          <w:rFonts w:ascii="Times New Roman" w:hAnsi="Times New Roman"/>
        </w:rPr>
        <w:t>justification</w:t>
      </w:r>
      <w:r w:rsidR="00FF03AA" w:rsidRPr="005E1802">
        <w:rPr>
          <w:rFonts w:ascii="Times New Roman" w:hAnsi="Times New Roman"/>
        </w:rPr>
        <w:t xml:space="preserve"> </w:t>
      </w:r>
      <w:r w:rsidR="0013088D" w:rsidRPr="005E1802">
        <w:rPr>
          <w:rFonts w:ascii="Times New Roman" w:hAnsi="Times New Roman"/>
        </w:rPr>
        <w:t>for a new trial to have been ordered.</w:t>
      </w:r>
    </w:p>
    <w:p w14:paraId="79C6ED7D" w14:textId="2F5158CB" w:rsidR="001E7366" w:rsidRPr="005E1802" w:rsidRDefault="00086FEE"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7E2A0B" w:rsidRPr="005E1802">
        <w:rPr>
          <w:rFonts w:ascii="Times New Roman" w:hAnsi="Times New Roman"/>
          <w:i/>
        </w:rPr>
        <w:t>Stead v State Government Insurance Commission</w:t>
      </w:r>
      <w:r w:rsidR="00482BA6" w:rsidRPr="005E1802">
        <w:rPr>
          <w:rStyle w:val="FootnoteReference"/>
          <w:rFonts w:ascii="Times New Roman" w:hAnsi="Times New Roman"/>
          <w:sz w:val="24"/>
        </w:rPr>
        <w:footnoteReference w:id="50"/>
      </w:r>
      <w:r w:rsidR="00482BA6" w:rsidRPr="005E1802">
        <w:rPr>
          <w:rFonts w:ascii="Times New Roman" w:hAnsi="Times New Roman"/>
        </w:rPr>
        <w:t>,</w:t>
      </w:r>
      <w:r w:rsidR="00482BA6" w:rsidRPr="005E1802">
        <w:rPr>
          <w:rFonts w:ascii="Times New Roman" w:hAnsi="Times New Roman"/>
          <w:i/>
        </w:rPr>
        <w:t xml:space="preserve"> </w:t>
      </w:r>
      <w:r w:rsidR="0013088D" w:rsidRPr="005E1802">
        <w:rPr>
          <w:rFonts w:ascii="Times New Roman" w:hAnsi="Times New Roman"/>
        </w:rPr>
        <w:t>the next of the decisions on which the appellant relies,</w:t>
      </w:r>
      <w:r w:rsidR="0013088D" w:rsidRPr="005E1802">
        <w:rPr>
          <w:rFonts w:ascii="Times New Roman" w:hAnsi="Times New Roman"/>
          <w:i/>
        </w:rPr>
        <w:t xml:space="preserve"> </w:t>
      </w:r>
      <w:r w:rsidR="005E612F" w:rsidRPr="005E1802">
        <w:rPr>
          <w:rFonts w:ascii="Times New Roman" w:hAnsi="Times New Roman"/>
        </w:rPr>
        <w:t>concerned the grant of a new trial</w:t>
      </w:r>
      <w:r w:rsidR="00AE7FCC" w:rsidRPr="005E1802">
        <w:rPr>
          <w:rFonts w:ascii="Times New Roman" w:hAnsi="Times New Roman"/>
        </w:rPr>
        <w:t xml:space="preserve"> by an appellate court</w:t>
      </w:r>
      <w:r w:rsidR="001259D4" w:rsidRPr="005E1802">
        <w:rPr>
          <w:rFonts w:ascii="Times New Roman" w:hAnsi="Times New Roman"/>
        </w:rPr>
        <w:t xml:space="preserve"> </w:t>
      </w:r>
      <w:r w:rsidR="00DE4293" w:rsidRPr="005E1802">
        <w:rPr>
          <w:rFonts w:ascii="Times New Roman" w:hAnsi="Times New Roman"/>
        </w:rPr>
        <w:t xml:space="preserve">on an appeal by way of rehearing </w:t>
      </w:r>
      <w:r w:rsidR="001259D4" w:rsidRPr="005E1802">
        <w:rPr>
          <w:rFonts w:ascii="Times New Roman" w:hAnsi="Times New Roman"/>
        </w:rPr>
        <w:t>where</w:t>
      </w:r>
      <w:r w:rsidR="006E770C" w:rsidRPr="005E1802">
        <w:rPr>
          <w:rFonts w:ascii="Times New Roman" w:hAnsi="Times New Roman"/>
        </w:rPr>
        <w:t xml:space="preserve"> procedural </w:t>
      </w:r>
      <w:r w:rsidR="00476D4F" w:rsidRPr="005E1802">
        <w:rPr>
          <w:rFonts w:ascii="Times New Roman" w:hAnsi="Times New Roman"/>
        </w:rPr>
        <w:t>un</w:t>
      </w:r>
      <w:r w:rsidR="006E770C" w:rsidRPr="005E1802">
        <w:rPr>
          <w:rFonts w:ascii="Times New Roman" w:hAnsi="Times New Roman"/>
        </w:rPr>
        <w:t>fairness</w:t>
      </w:r>
      <w:r w:rsidR="00155D11" w:rsidRPr="005E1802">
        <w:rPr>
          <w:rFonts w:ascii="Times New Roman" w:hAnsi="Times New Roman"/>
        </w:rPr>
        <w:t xml:space="preserve"> had occurred</w:t>
      </w:r>
      <w:r w:rsidR="006E770C" w:rsidRPr="005E1802">
        <w:rPr>
          <w:rFonts w:ascii="Times New Roman" w:hAnsi="Times New Roman"/>
        </w:rPr>
        <w:t xml:space="preserve"> in the conduct of a tr</w:t>
      </w:r>
      <w:r w:rsidR="00A92269" w:rsidRPr="005E1802">
        <w:rPr>
          <w:rFonts w:ascii="Times New Roman" w:hAnsi="Times New Roman"/>
        </w:rPr>
        <w:t>ial</w:t>
      </w:r>
      <w:r w:rsidR="006E770C" w:rsidRPr="005E1802">
        <w:rPr>
          <w:rFonts w:ascii="Times New Roman" w:hAnsi="Times New Roman"/>
        </w:rPr>
        <w:t xml:space="preserve"> before a judge alone. </w:t>
      </w:r>
      <w:r w:rsidR="00C06BC6" w:rsidRPr="005E1802">
        <w:rPr>
          <w:rFonts w:ascii="Times New Roman" w:hAnsi="Times New Roman"/>
        </w:rPr>
        <w:t xml:space="preserve">Because </w:t>
      </w:r>
      <w:r w:rsidR="001731B0" w:rsidRPr="005E1802">
        <w:rPr>
          <w:rFonts w:ascii="Times New Roman" w:hAnsi="Times New Roman"/>
        </w:rPr>
        <w:t xml:space="preserve">procedural </w:t>
      </w:r>
      <w:r w:rsidR="00155D11" w:rsidRPr="005E1802">
        <w:rPr>
          <w:rFonts w:ascii="Times New Roman" w:hAnsi="Times New Roman"/>
        </w:rPr>
        <w:t>un</w:t>
      </w:r>
      <w:r w:rsidR="001731B0" w:rsidRPr="005E1802">
        <w:rPr>
          <w:rFonts w:ascii="Times New Roman" w:hAnsi="Times New Roman"/>
        </w:rPr>
        <w:t>fairness</w:t>
      </w:r>
      <w:r w:rsidR="00C06BC6" w:rsidRPr="005E1802">
        <w:rPr>
          <w:rFonts w:ascii="Times New Roman" w:hAnsi="Times New Roman"/>
        </w:rPr>
        <w:t xml:space="preserve"> </w:t>
      </w:r>
      <w:r w:rsidR="001731B0" w:rsidRPr="005E1802">
        <w:rPr>
          <w:rFonts w:ascii="Times New Roman" w:hAnsi="Times New Roman"/>
        </w:rPr>
        <w:t xml:space="preserve">can result in jurisdictional error, the </w:t>
      </w:r>
      <w:r w:rsidR="00AB6853" w:rsidRPr="005E1802">
        <w:rPr>
          <w:rFonts w:ascii="Times New Roman" w:hAnsi="Times New Roman"/>
        </w:rPr>
        <w:t>analogical</w:t>
      </w:r>
      <w:r w:rsidR="001731B0" w:rsidRPr="005E1802">
        <w:rPr>
          <w:rFonts w:ascii="Times New Roman" w:hAnsi="Times New Roman"/>
        </w:rPr>
        <w:t xml:space="preserve"> force of the reasoni</w:t>
      </w:r>
      <w:r w:rsidR="00AB6853" w:rsidRPr="005E1802">
        <w:rPr>
          <w:rFonts w:ascii="Times New Roman" w:hAnsi="Times New Roman"/>
        </w:rPr>
        <w:t xml:space="preserve">ng in </w:t>
      </w:r>
      <w:r w:rsidR="00AB6853" w:rsidRPr="005E1802">
        <w:rPr>
          <w:rFonts w:ascii="Times New Roman" w:hAnsi="Times New Roman"/>
          <w:i/>
        </w:rPr>
        <w:t>Stead</w:t>
      </w:r>
      <w:r w:rsidR="00AB6853" w:rsidRPr="005E1802">
        <w:rPr>
          <w:rFonts w:ascii="Times New Roman" w:hAnsi="Times New Roman"/>
        </w:rPr>
        <w:t xml:space="preserve"> </w:t>
      </w:r>
      <w:r w:rsidR="00E32ABE" w:rsidRPr="005E1802">
        <w:rPr>
          <w:rFonts w:ascii="Times New Roman" w:hAnsi="Times New Roman"/>
        </w:rPr>
        <w:t>is</w:t>
      </w:r>
      <w:r w:rsidR="001E7366" w:rsidRPr="005E1802">
        <w:rPr>
          <w:rFonts w:ascii="Times New Roman" w:hAnsi="Times New Roman"/>
        </w:rPr>
        <w:t xml:space="preserve"> </w:t>
      </w:r>
      <w:r w:rsidR="00E70673" w:rsidRPr="005E1802">
        <w:rPr>
          <w:rFonts w:ascii="Times New Roman" w:hAnsi="Times New Roman"/>
        </w:rPr>
        <w:t>especially</w:t>
      </w:r>
      <w:r w:rsidR="001E7366" w:rsidRPr="005E1802">
        <w:rPr>
          <w:rFonts w:ascii="Times New Roman" w:hAnsi="Times New Roman"/>
        </w:rPr>
        <w:t xml:space="preserve"> strong</w:t>
      </w:r>
      <w:r w:rsidR="00E32ABE" w:rsidRPr="005E1802">
        <w:rPr>
          <w:rFonts w:ascii="Times New Roman" w:hAnsi="Times New Roman"/>
        </w:rPr>
        <w:t xml:space="preserve">, as was recognised in </w:t>
      </w:r>
      <w:r w:rsidR="00E32ABE" w:rsidRPr="005E1802">
        <w:rPr>
          <w:rFonts w:ascii="Times New Roman" w:hAnsi="Times New Roman"/>
          <w:i/>
        </w:rPr>
        <w:t>SZMTA</w:t>
      </w:r>
      <w:r w:rsidR="00E32ABE" w:rsidRPr="005E1802">
        <w:rPr>
          <w:rStyle w:val="FootnoteReference"/>
          <w:rFonts w:ascii="Times New Roman" w:hAnsi="Times New Roman"/>
          <w:sz w:val="24"/>
        </w:rPr>
        <w:footnoteReference w:id="51"/>
      </w:r>
      <w:r w:rsidR="00E32ABE" w:rsidRPr="005E1802">
        <w:rPr>
          <w:rFonts w:ascii="Times New Roman" w:hAnsi="Times New Roman"/>
        </w:rPr>
        <w:t>.</w:t>
      </w:r>
    </w:p>
    <w:p w14:paraId="0D48872A" w14:textId="007CECFE" w:rsidR="00672C2E" w:rsidRPr="005E1802" w:rsidRDefault="001E7366"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B563BC" w:rsidRPr="005E1802">
        <w:rPr>
          <w:rFonts w:ascii="Times New Roman" w:hAnsi="Times New Roman"/>
          <w:color w:val="000000"/>
          <w:shd w:val="clear" w:color="auto" w:fill="FFFFFF"/>
        </w:rPr>
        <w:t>The</w:t>
      </w:r>
      <w:r w:rsidR="00A558CE" w:rsidRPr="005E1802">
        <w:rPr>
          <w:rFonts w:ascii="Times New Roman" w:hAnsi="Times New Roman"/>
          <w:color w:val="000000"/>
          <w:shd w:val="clear" w:color="auto" w:fill="FFFFFF"/>
        </w:rPr>
        <w:t xml:space="preserve"> unanimous</w:t>
      </w:r>
      <w:r w:rsidR="00B563BC" w:rsidRPr="005E1802">
        <w:rPr>
          <w:rFonts w:ascii="Times New Roman" w:hAnsi="Times New Roman"/>
          <w:color w:val="000000"/>
          <w:shd w:val="clear" w:color="auto" w:fill="FFFFFF"/>
        </w:rPr>
        <w:t xml:space="preserve"> holding in </w:t>
      </w:r>
      <w:r w:rsidR="00E70673" w:rsidRPr="005E1802">
        <w:rPr>
          <w:rFonts w:ascii="Times New Roman" w:hAnsi="Times New Roman"/>
          <w:i/>
          <w:color w:val="000000"/>
          <w:shd w:val="clear" w:color="auto" w:fill="FFFFFF"/>
        </w:rPr>
        <w:t xml:space="preserve">Stead </w:t>
      </w:r>
      <w:r w:rsidR="00E70673" w:rsidRPr="005E1802">
        <w:rPr>
          <w:rFonts w:ascii="Times New Roman" w:hAnsi="Times New Roman"/>
          <w:color w:val="000000"/>
          <w:shd w:val="clear" w:color="auto" w:fill="FFFFFF"/>
        </w:rPr>
        <w:t xml:space="preserve">was captured in the statement </w:t>
      </w:r>
      <w:r w:rsidR="00733592" w:rsidRPr="005E1802">
        <w:rPr>
          <w:rFonts w:ascii="Times New Roman" w:hAnsi="Times New Roman"/>
          <w:color w:val="000000"/>
          <w:shd w:val="clear" w:color="auto" w:fill="FFFFFF"/>
        </w:rPr>
        <w:t xml:space="preserve">of the Court </w:t>
      </w:r>
      <w:r w:rsidR="00E70673" w:rsidRPr="005E1802">
        <w:rPr>
          <w:rFonts w:ascii="Times New Roman" w:hAnsi="Times New Roman"/>
          <w:color w:val="000000"/>
          <w:shd w:val="clear" w:color="auto" w:fill="FFFFFF"/>
        </w:rPr>
        <w:t>that</w:t>
      </w:r>
      <w:r w:rsidR="002F0C0F" w:rsidRPr="005E1802">
        <w:rPr>
          <w:rFonts w:ascii="Times New Roman" w:hAnsi="Times New Roman"/>
          <w:color w:val="000000"/>
          <w:shd w:val="clear" w:color="auto" w:fill="FFFFFF"/>
        </w:rPr>
        <w:t xml:space="preserve">, </w:t>
      </w:r>
      <w:r w:rsidR="00E70673" w:rsidRPr="005E1802">
        <w:rPr>
          <w:rFonts w:ascii="Times New Roman" w:hAnsi="Times New Roman"/>
          <w:color w:val="000000"/>
          <w:shd w:val="clear" w:color="auto" w:fill="FFFFFF"/>
        </w:rPr>
        <w:t xml:space="preserve">to </w:t>
      </w:r>
      <w:r w:rsidR="00B563BC" w:rsidRPr="005E1802">
        <w:rPr>
          <w:rFonts w:ascii="Times New Roman" w:hAnsi="Times New Roman"/>
          <w:color w:val="000000"/>
          <w:shd w:val="clear" w:color="auto" w:fill="FFFFFF"/>
        </w:rPr>
        <w:t xml:space="preserve">obtain an order </w:t>
      </w:r>
      <w:r w:rsidR="00A92269" w:rsidRPr="005E1802">
        <w:rPr>
          <w:rFonts w:ascii="Times New Roman" w:hAnsi="Times New Roman"/>
          <w:color w:val="000000"/>
          <w:shd w:val="clear" w:color="auto" w:fill="FFFFFF"/>
        </w:rPr>
        <w:t>for a new trial</w:t>
      </w:r>
      <w:r w:rsidR="002F0C0F" w:rsidRPr="005E1802">
        <w:rPr>
          <w:rFonts w:ascii="Times New Roman" w:hAnsi="Times New Roman"/>
          <w:color w:val="000000"/>
          <w:shd w:val="clear" w:color="auto" w:fill="FFFFFF"/>
        </w:rPr>
        <w:t xml:space="preserve">, "[a]ll that the appellant needed to show </w:t>
      </w:r>
      <w:r w:rsidR="007C14A5" w:rsidRPr="005E1802">
        <w:rPr>
          <w:rFonts w:ascii="Times New Roman" w:hAnsi="Times New Roman"/>
          <w:color w:val="000000"/>
          <w:shd w:val="clear" w:color="auto" w:fill="FFFFFF"/>
        </w:rPr>
        <w:t xml:space="preserve">was that the denial of natural justice deprived him of the </w:t>
      </w:r>
      <w:r w:rsidR="007C14A5" w:rsidRPr="005E1802">
        <w:rPr>
          <w:rFonts w:ascii="Times New Roman" w:hAnsi="Times New Roman"/>
          <w:i/>
          <w:color w:val="000000"/>
          <w:shd w:val="clear" w:color="auto" w:fill="FFFFFF"/>
        </w:rPr>
        <w:t>possibility</w:t>
      </w:r>
      <w:r w:rsidR="007C14A5" w:rsidRPr="005E1802">
        <w:rPr>
          <w:rFonts w:ascii="Times New Roman" w:hAnsi="Times New Roman"/>
          <w:color w:val="000000"/>
          <w:shd w:val="clear" w:color="auto" w:fill="FFFFFF"/>
        </w:rPr>
        <w:t xml:space="preserve"> of a successful outcome</w:t>
      </w:r>
      <w:r w:rsidR="002F0C0F" w:rsidRPr="005E1802">
        <w:rPr>
          <w:rFonts w:ascii="Times New Roman" w:hAnsi="Times New Roman"/>
          <w:color w:val="000000"/>
          <w:shd w:val="clear" w:color="auto" w:fill="FFFFFF"/>
        </w:rPr>
        <w:t>"</w:t>
      </w:r>
      <w:r w:rsidR="006E5FBF" w:rsidRPr="005E1802">
        <w:rPr>
          <w:rFonts w:ascii="Times New Roman" w:hAnsi="Times New Roman"/>
          <w:color w:val="000000"/>
          <w:shd w:val="clear" w:color="auto" w:fill="FFFFFF"/>
        </w:rPr>
        <w:t xml:space="preserve"> and that "[i]n</w:t>
      </w:r>
      <w:r w:rsidR="007C14A5" w:rsidRPr="005E1802">
        <w:rPr>
          <w:rFonts w:ascii="Times New Roman" w:hAnsi="Times New Roman"/>
          <w:color w:val="000000"/>
          <w:shd w:val="clear" w:color="auto" w:fill="FFFFFF"/>
        </w:rPr>
        <w:t xml:space="preserve"> order </w:t>
      </w:r>
      <w:r w:rsidR="007C14A5" w:rsidRPr="005E1802">
        <w:rPr>
          <w:rFonts w:ascii="Times New Roman" w:hAnsi="Times New Roman"/>
          <w:i/>
          <w:color w:val="000000"/>
          <w:shd w:val="clear" w:color="auto" w:fill="FFFFFF"/>
        </w:rPr>
        <w:t>to negate that possibility</w:t>
      </w:r>
      <w:r w:rsidR="007C14A5" w:rsidRPr="005E1802">
        <w:rPr>
          <w:rFonts w:ascii="Times New Roman" w:hAnsi="Times New Roman"/>
          <w:color w:val="000000"/>
          <w:shd w:val="clear" w:color="auto" w:fill="FFFFFF"/>
        </w:rPr>
        <w:t xml:space="preserve">, it was </w:t>
      </w:r>
      <w:r w:rsidR="000A19AB" w:rsidRPr="005E1802">
        <w:rPr>
          <w:rFonts w:ascii="Times New Roman" w:hAnsi="Times New Roman"/>
          <w:color w:val="000000"/>
          <w:shd w:val="clear" w:color="auto" w:fill="FFFFFF"/>
        </w:rPr>
        <w:t>...</w:t>
      </w:r>
      <w:r w:rsidR="007C14A5" w:rsidRPr="005E1802">
        <w:rPr>
          <w:rFonts w:ascii="Times New Roman" w:hAnsi="Times New Roman"/>
          <w:color w:val="000000"/>
          <w:shd w:val="clear" w:color="auto" w:fill="FFFFFF"/>
        </w:rPr>
        <w:t xml:space="preserve"> necessary for the </w:t>
      </w:r>
      <w:r w:rsidR="000A19AB" w:rsidRPr="005E1802">
        <w:rPr>
          <w:rFonts w:ascii="Times New Roman" w:hAnsi="Times New Roman"/>
          <w:color w:val="000000"/>
          <w:shd w:val="clear" w:color="auto" w:fill="FFFFFF"/>
        </w:rPr>
        <w:t>[</w:t>
      </w:r>
      <w:r w:rsidR="00B333ED" w:rsidRPr="005E1802">
        <w:rPr>
          <w:rFonts w:ascii="Times New Roman" w:hAnsi="Times New Roman"/>
          <w:color w:val="000000"/>
          <w:shd w:val="clear" w:color="auto" w:fill="FFFFFF"/>
        </w:rPr>
        <w:t xml:space="preserve">intermediate </w:t>
      </w:r>
      <w:r w:rsidR="000A19AB" w:rsidRPr="005E1802">
        <w:rPr>
          <w:rFonts w:ascii="Times New Roman" w:hAnsi="Times New Roman"/>
          <w:color w:val="000000"/>
          <w:shd w:val="clear" w:color="auto" w:fill="FFFFFF"/>
        </w:rPr>
        <w:t>a</w:t>
      </w:r>
      <w:r w:rsidR="00860C05" w:rsidRPr="005E1802">
        <w:rPr>
          <w:rFonts w:ascii="Times New Roman" w:hAnsi="Times New Roman"/>
          <w:color w:val="000000"/>
          <w:shd w:val="clear" w:color="auto" w:fill="FFFFFF"/>
        </w:rPr>
        <w:t>ppellate court]</w:t>
      </w:r>
      <w:r w:rsidR="007C14A5" w:rsidRPr="005E1802">
        <w:rPr>
          <w:rFonts w:ascii="Times New Roman" w:hAnsi="Times New Roman"/>
          <w:color w:val="000000"/>
          <w:shd w:val="clear" w:color="auto" w:fill="FFFFFF"/>
        </w:rPr>
        <w:t xml:space="preserve"> to find that a properly conducted trial could not possibly have produced a different result</w:t>
      </w:r>
      <w:r w:rsidR="00860C05" w:rsidRPr="005E1802">
        <w:rPr>
          <w:rFonts w:ascii="Times New Roman" w:hAnsi="Times New Roman"/>
          <w:color w:val="000000"/>
          <w:shd w:val="clear" w:color="auto" w:fill="FFFFFF"/>
        </w:rPr>
        <w:t>"</w:t>
      </w:r>
      <w:r w:rsidR="00502775" w:rsidRPr="005E1802">
        <w:rPr>
          <w:rStyle w:val="FootnoteReference"/>
          <w:rFonts w:ascii="Times New Roman" w:hAnsi="Times New Roman"/>
          <w:color w:val="000000"/>
          <w:sz w:val="24"/>
          <w:shd w:val="clear" w:color="auto" w:fill="FFFFFF"/>
        </w:rPr>
        <w:footnoteReference w:id="52"/>
      </w:r>
      <w:r w:rsidR="007C14A5" w:rsidRPr="005E1802">
        <w:rPr>
          <w:rFonts w:ascii="Times New Roman" w:hAnsi="Times New Roman"/>
          <w:color w:val="000000"/>
          <w:shd w:val="clear" w:color="auto" w:fill="FFFFFF"/>
        </w:rPr>
        <w:t>.</w:t>
      </w:r>
      <w:r w:rsidR="00502775" w:rsidRPr="005E1802">
        <w:rPr>
          <w:rFonts w:ascii="Times New Roman" w:hAnsi="Times New Roman"/>
          <w:color w:val="000000"/>
          <w:shd w:val="clear" w:color="auto" w:fill="FFFFFF"/>
        </w:rPr>
        <w:t xml:space="preserve"> </w:t>
      </w:r>
      <w:r w:rsidR="006B28D3" w:rsidRPr="005E1802">
        <w:rPr>
          <w:rFonts w:ascii="Times New Roman" w:hAnsi="Times New Roman"/>
          <w:color w:val="000000"/>
          <w:shd w:val="clear" w:color="auto" w:fill="FFFFFF"/>
        </w:rPr>
        <w:t>It may be said immediately that it would</w:t>
      </w:r>
      <w:r w:rsidR="00B403AC" w:rsidRPr="005E1802">
        <w:rPr>
          <w:rFonts w:ascii="Times New Roman" w:hAnsi="Times New Roman"/>
          <w:color w:val="000000"/>
          <w:shd w:val="clear" w:color="auto" w:fill="FFFFFF"/>
        </w:rPr>
        <w:t xml:space="preserve"> plainly be wrong to understand that statement </w:t>
      </w:r>
      <w:r w:rsidR="00A01877" w:rsidRPr="005E1802">
        <w:rPr>
          <w:rFonts w:ascii="Times New Roman" w:hAnsi="Times New Roman"/>
          <w:color w:val="000000"/>
          <w:shd w:val="clear" w:color="auto" w:fill="FFFFFF"/>
        </w:rPr>
        <w:t xml:space="preserve">as </w:t>
      </w:r>
      <w:r w:rsidR="00193032" w:rsidRPr="005E1802">
        <w:rPr>
          <w:rFonts w:ascii="Times New Roman" w:hAnsi="Times New Roman"/>
          <w:color w:val="000000"/>
          <w:shd w:val="clear" w:color="auto" w:fill="FFFFFF"/>
        </w:rPr>
        <w:t>conveying</w:t>
      </w:r>
      <w:r w:rsidR="008702B4" w:rsidRPr="005E1802">
        <w:rPr>
          <w:rFonts w:ascii="Times New Roman" w:hAnsi="Times New Roman"/>
          <w:color w:val="000000"/>
          <w:shd w:val="clear" w:color="auto" w:fill="FFFFFF"/>
        </w:rPr>
        <w:t xml:space="preserve"> that the appellant</w:t>
      </w:r>
      <w:r w:rsidR="00B85EC6" w:rsidRPr="005E1802">
        <w:rPr>
          <w:rFonts w:ascii="Times New Roman" w:hAnsi="Times New Roman"/>
          <w:color w:val="000000"/>
          <w:shd w:val="clear" w:color="auto" w:fill="FFFFFF"/>
        </w:rPr>
        <w:t xml:space="preserve"> did </w:t>
      </w:r>
      <w:r w:rsidR="00B85EC6" w:rsidRPr="005E1802">
        <w:rPr>
          <w:rFonts w:ascii="Times New Roman" w:hAnsi="Times New Roman"/>
          <w:i/>
          <w:color w:val="000000"/>
          <w:shd w:val="clear" w:color="auto" w:fill="FFFFFF"/>
        </w:rPr>
        <w:t>not</w:t>
      </w:r>
      <w:r w:rsidR="00B85EC6" w:rsidRPr="005E1802">
        <w:rPr>
          <w:rFonts w:ascii="Times New Roman" w:hAnsi="Times New Roman"/>
          <w:color w:val="000000"/>
          <w:shd w:val="clear" w:color="auto" w:fill="FFFFFF"/>
        </w:rPr>
        <w:t xml:space="preserve"> need to show that the</w:t>
      </w:r>
      <w:r w:rsidR="00065246" w:rsidRPr="005E1802">
        <w:rPr>
          <w:rFonts w:ascii="Times New Roman" w:hAnsi="Times New Roman"/>
          <w:color w:val="000000"/>
          <w:shd w:val="clear" w:color="auto" w:fill="FFFFFF"/>
        </w:rPr>
        <w:t xml:space="preserve"> denial of procedural fairness had </w:t>
      </w:r>
      <w:r w:rsidR="00D94EC7" w:rsidRPr="005E1802">
        <w:rPr>
          <w:rFonts w:ascii="Times New Roman" w:hAnsi="Times New Roman"/>
          <w:color w:val="000000"/>
          <w:shd w:val="clear" w:color="auto" w:fill="FFFFFF"/>
        </w:rPr>
        <w:t>depr</w:t>
      </w:r>
      <w:r w:rsidR="005B0148" w:rsidRPr="005E1802">
        <w:rPr>
          <w:rFonts w:ascii="Times New Roman" w:hAnsi="Times New Roman"/>
          <w:color w:val="000000"/>
          <w:shd w:val="clear" w:color="auto" w:fill="FFFFFF"/>
        </w:rPr>
        <w:t>i</w:t>
      </w:r>
      <w:r w:rsidR="00D94EC7" w:rsidRPr="005E1802">
        <w:rPr>
          <w:rFonts w:ascii="Times New Roman" w:hAnsi="Times New Roman"/>
          <w:color w:val="000000"/>
          <w:shd w:val="clear" w:color="auto" w:fill="FFFFFF"/>
        </w:rPr>
        <w:t>ved him of</w:t>
      </w:r>
      <w:r w:rsidR="00EC4E24" w:rsidRPr="005E1802">
        <w:rPr>
          <w:rFonts w:ascii="Times New Roman" w:hAnsi="Times New Roman"/>
          <w:color w:val="000000"/>
          <w:shd w:val="clear" w:color="auto" w:fill="FFFFFF"/>
        </w:rPr>
        <w:t xml:space="preserve"> the possibility of a successful outcome in </w:t>
      </w:r>
      <w:r w:rsidR="00DB369B" w:rsidRPr="005E1802">
        <w:rPr>
          <w:rFonts w:ascii="Times New Roman" w:hAnsi="Times New Roman"/>
          <w:color w:val="000000"/>
          <w:shd w:val="clear" w:color="auto" w:fill="FFFFFF"/>
        </w:rPr>
        <w:t>order</w:t>
      </w:r>
      <w:r w:rsidR="00EC4E24" w:rsidRPr="005E1802">
        <w:rPr>
          <w:rFonts w:ascii="Times New Roman" w:hAnsi="Times New Roman"/>
          <w:color w:val="000000"/>
          <w:shd w:val="clear" w:color="auto" w:fill="FFFFFF"/>
        </w:rPr>
        <w:t xml:space="preserve"> </w:t>
      </w:r>
      <w:r w:rsidR="00A46CF5" w:rsidRPr="005E1802">
        <w:rPr>
          <w:rFonts w:ascii="Times New Roman" w:hAnsi="Times New Roman"/>
          <w:color w:val="000000"/>
          <w:shd w:val="clear" w:color="auto" w:fill="FFFFFF"/>
        </w:rPr>
        <w:t>to obtain an</w:t>
      </w:r>
      <w:r w:rsidR="0098764F" w:rsidRPr="005E1802">
        <w:rPr>
          <w:rFonts w:ascii="Times New Roman" w:hAnsi="Times New Roman"/>
          <w:color w:val="000000"/>
          <w:shd w:val="clear" w:color="auto" w:fill="FFFFFF"/>
        </w:rPr>
        <w:t xml:space="preserve"> </w:t>
      </w:r>
      <w:r w:rsidR="00BA402A" w:rsidRPr="005E1802">
        <w:rPr>
          <w:rFonts w:ascii="Times New Roman" w:hAnsi="Times New Roman"/>
          <w:color w:val="000000"/>
          <w:shd w:val="clear" w:color="auto" w:fill="FFFFFF"/>
        </w:rPr>
        <w:t>order for a new trial</w:t>
      </w:r>
      <w:r w:rsidR="00BC7C1A" w:rsidRPr="005E1802">
        <w:rPr>
          <w:rFonts w:ascii="Times New Roman" w:hAnsi="Times New Roman"/>
          <w:color w:val="000000"/>
          <w:shd w:val="clear" w:color="auto" w:fill="FFFFFF"/>
        </w:rPr>
        <w:t>. T</w:t>
      </w:r>
      <w:r w:rsidR="00F95B4F" w:rsidRPr="005E1802">
        <w:rPr>
          <w:rFonts w:ascii="Times New Roman" w:hAnsi="Times New Roman"/>
          <w:color w:val="000000"/>
          <w:shd w:val="clear" w:color="auto" w:fill="FFFFFF"/>
        </w:rPr>
        <w:t>o</w:t>
      </w:r>
      <w:r w:rsidR="00BC7C1A" w:rsidRPr="005E1802">
        <w:rPr>
          <w:rFonts w:ascii="Times New Roman" w:hAnsi="Times New Roman"/>
          <w:color w:val="000000"/>
          <w:shd w:val="clear" w:color="auto" w:fill="FFFFFF"/>
        </w:rPr>
        <w:t xml:space="preserve"> say</w:t>
      </w:r>
      <w:r w:rsidR="00AE78B2" w:rsidRPr="005E1802">
        <w:rPr>
          <w:rFonts w:ascii="Times New Roman" w:hAnsi="Times New Roman"/>
          <w:color w:val="000000"/>
          <w:shd w:val="clear" w:color="auto" w:fill="FFFFFF"/>
        </w:rPr>
        <w:t xml:space="preserve"> that a demonstration </w:t>
      </w:r>
      <w:r w:rsidR="00230C80" w:rsidRPr="005E1802">
        <w:rPr>
          <w:rFonts w:ascii="Times New Roman" w:hAnsi="Times New Roman"/>
          <w:color w:val="000000"/>
          <w:shd w:val="clear" w:color="auto" w:fill="FFFFFF"/>
        </w:rPr>
        <w:t>th</w:t>
      </w:r>
      <w:r w:rsidR="00F95B4F" w:rsidRPr="005E1802">
        <w:rPr>
          <w:rFonts w:ascii="Times New Roman" w:hAnsi="Times New Roman"/>
          <w:color w:val="000000"/>
          <w:shd w:val="clear" w:color="auto" w:fill="FFFFFF"/>
        </w:rPr>
        <w:t>a</w:t>
      </w:r>
      <w:r w:rsidR="00230C80" w:rsidRPr="005E1802">
        <w:rPr>
          <w:rFonts w:ascii="Times New Roman" w:hAnsi="Times New Roman"/>
          <w:color w:val="000000"/>
          <w:shd w:val="clear" w:color="auto" w:fill="FFFFFF"/>
        </w:rPr>
        <w:t>t the appellant had been depr</w:t>
      </w:r>
      <w:r w:rsidR="0074448F" w:rsidRPr="005E1802">
        <w:rPr>
          <w:rFonts w:ascii="Times New Roman" w:hAnsi="Times New Roman"/>
          <w:color w:val="000000"/>
          <w:shd w:val="clear" w:color="auto" w:fill="FFFFFF"/>
        </w:rPr>
        <w:t>i</w:t>
      </w:r>
      <w:r w:rsidR="00230C80" w:rsidRPr="005E1802">
        <w:rPr>
          <w:rFonts w:ascii="Times New Roman" w:hAnsi="Times New Roman"/>
          <w:color w:val="000000"/>
          <w:shd w:val="clear" w:color="auto" w:fill="FFFFFF"/>
        </w:rPr>
        <w:t>ved of the opportunity of a suc</w:t>
      </w:r>
      <w:r w:rsidR="00F95B4F" w:rsidRPr="005E1802">
        <w:rPr>
          <w:rFonts w:ascii="Times New Roman" w:hAnsi="Times New Roman"/>
          <w:color w:val="000000"/>
          <w:shd w:val="clear" w:color="auto" w:fill="FFFFFF"/>
        </w:rPr>
        <w:t>c</w:t>
      </w:r>
      <w:r w:rsidR="00230C80" w:rsidRPr="005E1802">
        <w:rPr>
          <w:rFonts w:ascii="Times New Roman" w:hAnsi="Times New Roman"/>
          <w:color w:val="000000"/>
          <w:shd w:val="clear" w:color="auto" w:fill="FFFFFF"/>
        </w:rPr>
        <w:t xml:space="preserve">essful outcome </w:t>
      </w:r>
      <w:r w:rsidR="009B5E54" w:rsidRPr="005E1802">
        <w:rPr>
          <w:rFonts w:ascii="Times New Roman" w:hAnsi="Times New Roman"/>
          <w:color w:val="000000"/>
          <w:shd w:val="clear" w:color="auto" w:fill="FFFFFF"/>
        </w:rPr>
        <w:t>is</w:t>
      </w:r>
      <w:r w:rsidR="00230C80" w:rsidRPr="005E1802">
        <w:rPr>
          <w:rFonts w:ascii="Times New Roman" w:hAnsi="Times New Roman"/>
          <w:color w:val="000000"/>
          <w:shd w:val="clear" w:color="auto" w:fill="FFFFFF"/>
        </w:rPr>
        <w:t xml:space="preserve"> an aspect of pr</w:t>
      </w:r>
      <w:r w:rsidR="00F95B4F" w:rsidRPr="005E1802">
        <w:rPr>
          <w:rFonts w:ascii="Times New Roman" w:hAnsi="Times New Roman"/>
          <w:color w:val="000000"/>
          <w:shd w:val="clear" w:color="auto" w:fill="FFFFFF"/>
        </w:rPr>
        <w:t>oof</w:t>
      </w:r>
      <w:r w:rsidR="0054312B" w:rsidRPr="005E1802">
        <w:rPr>
          <w:rFonts w:ascii="Times New Roman" w:hAnsi="Times New Roman"/>
          <w:color w:val="000000"/>
          <w:shd w:val="clear" w:color="auto" w:fill="FFFFFF"/>
        </w:rPr>
        <w:t xml:space="preserve"> of procedural</w:t>
      </w:r>
      <w:r w:rsidR="002140C5" w:rsidRPr="005E1802">
        <w:rPr>
          <w:rFonts w:ascii="Times New Roman" w:hAnsi="Times New Roman"/>
          <w:color w:val="000000"/>
          <w:shd w:val="clear" w:color="auto" w:fill="FFFFFF"/>
        </w:rPr>
        <w:t xml:space="preserve"> unfairness </w:t>
      </w:r>
      <w:r w:rsidR="002140C5" w:rsidRPr="005E1802">
        <w:rPr>
          <w:rFonts w:ascii="Times New Roman" w:hAnsi="Times New Roman"/>
          <w:color w:val="000000"/>
          <w:shd w:val="clear" w:color="auto" w:fill="FFFFFF"/>
        </w:rPr>
        <w:lastRenderedPageBreak/>
        <w:t>i</w:t>
      </w:r>
      <w:r w:rsidR="00E345ED" w:rsidRPr="005E1802">
        <w:rPr>
          <w:rFonts w:ascii="Times New Roman" w:hAnsi="Times New Roman"/>
          <w:color w:val="000000"/>
          <w:shd w:val="clear" w:color="auto" w:fill="FFFFFF"/>
        </w:rPr>
        <w:t xml:space="preserve">s </w:t>
      </w:r>
      <w:r w:rsidR="00D2212B" w:rsidRPr="005E1802">
        <w:rPr>
          <w:rFonts w:ascii="Times New Roman" w:hAnsi="Times New Roman"/>
          <w:color w:val="000000"/>
          <w:shd w:val="clear" w:color="auto" w:fill="FFFFFF"/>
        </w:rPr>
        <w:t>ne</w:t>
      </w:r>
      <w:r w:rsidR="00F53142" w:rsidRPr="005E1802">
        <w:rPr>
          <w:rFonts w:ascii="Times New Roman" w:hAnsi="Times New Roman"/>
          <w:color w:val="000000"/>
          <w:shd w:val="clear" w:color="auto" w:fill="FFFFFF"/>
        </w:rPr>
        <w:t>cess</w:t>
      </w:r>
      <w:r w:rsidR="0074448F" w:rsidRPr="005E1802">
        <w:rPr>
          <w:rFonts w:ascii="Times New Roman" w:hAnsi="Times New Roman"/>
          <w:color w:val="000000"/>
          <w:shd w:val="clear" w:color="auto" w:fill="FFFFFF"/>
        </w:rPr>
        <w:t>arily</w:t>
      </w:r>
      <w:r w:rsidR="00F53142" w:rsidRPr="005E1802">
        <w:rPr>
          <w:rFonts w:ascii="Times New Roman" w:hAnsi="Times New Roman"/>
          <w:color w:val="000000"/>
          <w:shd w:val="clear" w:color="auto" w:fill="FFFFFF"/>
        </w:rPr>
        <w:t xml:space="preserve"> to accept that</w:t>
      </w:r>
      <w:r w:rsidR="00697424" w:rsidRPr="005E1802">
        <w:rPr>
          <w:rFonts w:ascii="Times New Roman" w:hAnsi="Times New Roman"/>
          <w:color w:val="000000"/>
          <w:shd w:val="clear" w:color="auto" w:fill="FFFFFF"/>
        </w:rPr>
        <w:t xml:space="preserve"> procedural unfairness is a matter</w:t>
      </w:r>
      <w:r w:rsidR="0087360C" w:rsidRPr="005E1802">
        <w:rPr>
          <w:rFonts w:ascii="Times New Roman" w:hAnsi="Times New Roman"/>
          <w:color w:val="000000"/>
          <w:shd w:val="clear" w:color="auto" w:fill="FFFFFF"/>
        </w:rPr>
        <w:t xml:space="preserve"> of practical injustice</w:t>
      </w:r>
      <w:r w:rsidR="004F712F" w:rsidRPr="005E1802">
        <w:rPr>
          <w:rFonts w:ascii="Times New Roman" w:hAnsi="Times New Roman"/>
          <w:color w:val="000000"/>
          <w:shd w:val="clear" w:color="auto" w:fill="FFFFFF"/>
        </w:rPr>
        <w:t>, so that</w:t>
      </w:r>
      <w:r w:rsidR="00F53142" w:rsidRPr="005E1802">
        <w:rPr>
          <w:rFonts w:ascii="Times New Roman" w:hAnsi="Times New Roman"/>
          <w:color w:val="000000"/>
          <w:shd w:val="clear" w:color="auto" w:fill="FFFFFF"/>
        </w:rPr>
        <w:t xml:space="preserve"> a </w:t>
      </w:r>
      <w:r w:rsidR="00ED4880" w:rsidRPr="005E1802">
        <w:rPr>
          <w:rFonts w:ascii="Times New Roman" w:hAnsi="Times New Roman"/>
          <w:color w:val="000000"/>
          <w:shd w:val="clear" w:color="auto" w:fill="FFFFFF"/>
        </w:rPr>
        <w:t>demonstration</w:t>
      </w:r>
      <w:r w:rsidR="00050D93" w:rsidRPr="005E1802">
        <w:rPr>
          <w:rFonts w:ascii="Times New Roman" w:hAnsi="Times New Roman"/>
          <w:color w:val="000000"/>
          <w:shd w:val="clear" w:color="auto" w:fill="FFFFFF"/>
        </w:rPr>
        <w:t xml:space="preserve"> of a ba</w:t>
      </w:r>
      <w:r w:rsidR="008A1DB8" w:rsidRPr="005E1802">
        <w:rPr>
          <w:rFonts w:ascii="Times New Roman" w:hAnsi="Times New Roman"/>
          <w:color w:val="000000"/>
          <w:shd w:val="clear" w:color="auto" w:fill="FFFFFF"/>
        </w:rPr>
        <w:t>r</w:t>
      </w:r>
      <w:r w:rsidR="00050D93" w:rsidRPr="005E1802">
        <w:rPr>
          <w:rFonts w:ascii="Times New Roman" w:hAnsi="Times New Roman"/>
          <w:color w:val="000000"/>
          <w:shd w:val="clear" w:color="auto" w:fill="FFFFFF"/>
        </w:rPr>
        <w:t>e</w:t>
      </w:r>
      <w:r w:rsidR="00511B9B" w:rsidRPr="005E1802">
        <w:rPr>
          <w:rFonts w:ascii="Times New Roman" w:hAnsi="Times New Roman"/>
          <w:color w:val="000000"/>
          <w:shd w:val="clear" w:color="auto" w:fill="FFFFFF"/>
        </w:rPr>
        <w:t xml:space="preserve"> </w:t>
      </w:r>
      <w:r w:rsidR="008C424C" w:rsidRPr="005E1802">
        <w:rPr>
          <w:rFonts w:ascii="Times New Roman" w:hAnsi="Times New Roman"/>
          <w:color w:val="000000"/>
          <w:shd w:val="clear" w:color="auto" w:fill="FFFFFF"/>
        </w:rPr>
        <w:t xml:space="preserve">or merely technical </w:t>
      </w:r>
      <w:r w:rsidR="00511B9B" w:rsidRPr="005E1802">
        <w:rPr>
          <w:rFonts w:ascii="Times New Roman" w:hAnsi="Times New Roman"/>
          <w:color w:val="000000"/>
          <w:shd w:val="clear" w:color="auto" w:fill="FFFFFF"/>
        </w:rPr>
        <w:t xml:space="preserve">denial of </w:t>
      </w:r>
      <w:r w:rsidR="00352145" w:rsidRPr="005E1802">
        <w:rPr>
          <w:rFonts w:ascii="Times New Roman" w:hAnsi="Times New Roman"/>
          <w:color w:val="000000"/>
          <w:shd w:val="clear" w:color="auto" w:fill="FFFFFF"/>
        </w:rPr>
        <w:t>procedural</w:t>
      </w:r>
      <w:r w:rsidR="00965424" w:rsidRPr="005E1802">
        <w:rPr>
          <w:rFonts w:ascii="Times New Roman" w:hAnsi="Times New Roman"/>
          <w:color w:val="000000"/>
          <w:shd w:val="clear" w:color="auto" w:fill="FFFFFF"/>
        </w:rPr>
        <w:t xml:space="preserve"> fairness </w:t>
      </w:r>
      <w:r w:rsidR="00D6344D" w:rsidRPr="005E1802">
        <w:rPr>
          <w:rFonts w:ascii="Times New Roman" w:hAnsi="Times New Roman"/>
          <w:color w:val="000000"/>
          <w:shd w:val="clear" w:color="auto" w:fill="FFFFFF"/>
        </w:rPr>
        <w:t>alone is not sufficient to establish an entitlement</w:t>
      </w:r>
      <w:r w:rsidR="008055AC" w:rsidRPr="005E1802">
        <w:rPr>
          <w:rFonts w:ascii="Times New Roman" w:hAnsi="Times New Roman"/>
          <w:color w:val="000000"/>
          <w:shd w:val="clear" w:color="auto" w:fill="FFFFFF"/>
        </w:rPr>
        <w:t xml:space="preserve"> to a new trial.</w:t>
      </w:r>
    </w:p>
    <w:p w14:paraId="652653D3" w14:textId="3A198A6F" w:rsidR="006B2C65" w:rsidRPr="005E1802" w:rsidRDefault="00672C2E"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174CF9" w:rsidRPr="005E1802">
        <w:rPr>
          <w:rFonts w:ascii="Times New Roman" w:hAnsi="Times New Roman"/>
          <w:color w:val="000000"/>
          <w:shd w:val="clear" w:color="auto" w:fill="FFFFFF"/>
        </w:rPr>
        <w:t>Fully t</w:t>
      </w:r>
      <w:r w:rsidR="009156B4" w:rsidRPr="005E1802">
        <w:rPr>
          <w:rFonts w:ascii="Times New Roman" w:hAnsi="Times New Roman"/>
          <w:color w:val="000000"/>
          <w:shd w:val="clear" w:color="auto" w:fill="FFFFFF"/>
        </w:rPr>
        <w:t xml:space="preserve">o appreciate </w:t>
      </w:r>
      <w:r w:rsidR="00174CF9" w:rsidRPr="005E1802">
        <w:rPr>
          <w:rFonts w:ascii="Times New Roman" w:hAnsi="Times New Roman"/>
          <w:color w:val="000000"/>
          <w:shd w:val="clear" w:color="auto" w:fill="FFFFFF"/>
        </w:rPr>
        <w:t xml:space="preserve">the content of </w:t>
      </w:r>
      <w:r w:rsidR="009156B4" w:rsidRPr="005E1802">
        <w:rPr>
          <w:rFonts w:ascii="Times New Roman" w:hAnsi="Times New Roman"/>
          <w:color w:val="000000"/>
          <w:shd w:val="clear" w:color="auto" w:fill="FFFFFF"/>
        </w:rPr>
        <w:t>th</w:t>
      </w:r>
      <w:r w:rsidR="006C7A99" w:rsidRPr="005E1802">
        <w:rPr>
          <w:rFonts w:ascii="Times New Roman" w:hAnsi="Times New Roman"/>
          <w:color w:val="000000"/>
          <w:shd w:val="clear" w:color="auto" w:fill="FFFFFF"/>
        </w:rPr>
        <w:t>at</w:t>
      </w:r>
      <w:r w:rsidR="009156B4" w:rsidRPr="005E1802">
        <w:rPr>
          <w:rFonts w:ascii="Times New Roman" w:hAnsi="Times New Roman"/>
          <w:color w:val="000000"/>
          <w:shd w:val="clear" w:color="auto" w:fill="FFFFFF"/>
        </w:rPr>
        <w:t xml:space="preserve"> statement</w:t>
      </w:r>
      <w:r w:rsidR="00382746" w:rsidRPr="005E1802">
        <w:rPr>
          <w:rFonts w:ascii="Times New Roman" w:hAnsi="Times New Roman"/>
          <w:color w:val="000000"/>
          <w:shd w:val="clear" w:color="auto" w:fill="FFFFFF"/>
        </w:rPr>
        <w:t xml:space="preserve"> about the need for an </w:t>
      </w:r>
      <w:r w:rsidR="00782B83" w:rsidRPr="005E1802">
        <w:rPr>
          <w:rFonts w:ascii="Times New Roman" w:hAnsi="Times New Roman"/>
          <w:color w:val="000000"/>
          <w:shd w:val="clear" w:color="auto" w:fill="FFFFFF"/>
        </w:rPr>
        <w:t>unnegated possibility</w:t>
      </w:r>
      <w:r w:rsidR="006C7A99" w:rsidRPr="005E1802">
        <w:rPr>
          <w:rFonts w:ascii="Times New Roman" w:hAnsi="Times New Roman"/>
          <w:color w:val="000000"/>
          <w:shd w:val="clear" w:color="auto" w:fill="FFFFFF"/>
        </w:rPr>
        <w:t xml:space="preserve">, it is necessary </w:t>
      </w:r>
      <w:r w:rsidR="0010470E" w:rsidRPr="005E1802">
        <w:rPr>
          <w:rFonts w:ascii="Times New Roman" w:hAnsi="Times New Roman"/>
          <w:color w:val="000000"/>
          <w:shd w:val="clear" w:color="auto" w:fill="FFFFFF"/>
        </w:rPr>
        <w:t xml:space="preserve">to </w:t>
      </w:r>
      <w:r w:rsidR="00174124" w:rsidRPr="005E1802">
        <w:rPr>
          <w:rFonts w:ascii="Times New Roman" w:hAnsi="Times New Roman"/>
          <w:color w:val="000000"/>
          <w:shd w:val="clear" w:color="auto" w:fill="FFFFFF"/>
        </w:rPr>
        <w:t>appreciate the</w:t>
      </w:r>
      <w:r w:rsidR="00011F11" w:rsidRPr="005E1802">
        <w:rPr>
          <w:rFonts w:ascii="Times New Roman" w:hAnsi="Times New Roman"/>
          <w:color w:val="000000"/>
          <w:shd w:val="clear" w:color="auto" w:fill="FFFFFF"/>
        </w:rPr>
        <w:t xml:space="preserve"> procedural</w:t>
      </w:r>
      <w:r w:rsidR="00174124" w:rsidRPr="005E1802">
        <w:rPr>
          <w:rFonts w:ascii="Times New Roman" w:hAnsi="Times New Roman"/>
          <w:color w:val="000000"/>
          <w:shd w:val="clear" w:color="auto" w:fill="FFFFFF"/>
        </w:rPr>
        <w:t xml:space="preserve"> </w:t>
      </w:r>
      <w:r w:rsidR="00B92855" w:rsidRPr="005E1802">
        <w:rPr>
          <w:rFonts w:ascii="Times New Roman" w:hAnsi="Times New Roman"/>
          <w:color w:val="000000"/>
          <w:shd w:val="clear" w:color="auto" w:fill="FFFFFF"/>
        </w:rPr>
        <w:t xml:space="preserve">and </w:t>
      </w:r>
      <w:r w:rsidR="00174124" w:rsidRPr="005E1802">
        <w:rPr>
          <w:rFonts w:ascii="Times New Roman" w:hAnsi="Times New Roman"/>
          <w:color w:val="000000"/>
          <w:shd w:val="clear" w:color="auto" w:fill="FFFFFF"/>
        </w:rPr>
        <w:t xml:space="preserve">factual context in which </w:t>
      </w:r>
      <w:r w:rsidR="007343F4" w:rsidRPr="005E1802">
        <w:rPr>
          <w:rFonts w:ascii="Times New Roman" w:hAnsi="Times New Roman"/>
          <w:color w:val="000000"/>
          <w:shd w:val="clear" w:color="auto" w:fill="FFFFFF"/>
        </w:rPr>
        <w:t>the statement</w:t>
      </w:r>
      <w:r w:rsidR="00174124" w:rsidRPr="005E1802">
        <w:rPr>
          <w:rFonts w:ascii="Times New Roman" w:hAnsi="Times New Roman"/>
          <w:color w:val="000000"/>
          <w:shd w:val="clear" w:color="auto" w:fill="FFFFFF"/>
        </w:rPr>
        <w:t xml:space="preserve"> was made. </w:t>
      </w:r>
      <w:r w:rsidR="00A1789A" w:rsidRPr="005E1802">
        <w:rPr>
          <w:rFonts w:ascii="Times New Roman" w:hAnsi="Times New Roman"/>
          <w:color w:val="000000"/>
          <w:shd w:val="clear" w:color="auto" w:fill="FFFFFF"/>
        </w:rPr>
        <w:t>N</w:t>
      </w:r>
      <w:r w:rsidR="00442D99" w:rsidRPr="005E1802">
        <w:rPr>
          <w:rFonts w:ascii="Times New Roman" w:hAnsi="Times New Roman"/>
          <w:color w:val="000000"/>
          <w:shd w:val="clear" w:color="auto" w:fill="FFFFFF"/>
        </w:rPr>
        <w:t xml:space="preserve">ecessary </w:t>
      </w:r>
      <w:r w:rsidR="00A1789A" w:rsidRPr="005E1802">
        <w:rPr>
          <w:rFonts w:ascii="Times New Roman" w:hAnsi="Times New Roman"/>
          <w:color w:val="000000"/>
          <w:shd w:val="clear" w:color="auto" w:fill="FFFFFF"/>
        </w:rPr>
        <w:t xml:space="preserve">to </w:t>
      </w:r>
      <w:r w:rsidR="00442D99" w:rsidRPr="005E1802">
        <w:rPr>
          <w:rFonts w:ascii="Times New Roman" w:hAnsi="Times New Roman"/>
          <w:color w:val="000000"/>
          <w:shd w:val="clear" w:color="auto" w:fill="FFFFFF"/>
        </w:rPr>
        <w:t>appreciate</w:t>
      </w:r>
      <w:r w:rsidR="0049005A" w:rsidRPr="005E1802">
        <w:rPr>
          <w:rFonts w:ascii="Times New Roman" w:hAnsi="Times New Roman"/>
          <w:color w:val="000000"/>
          <w:shd w:val="clear" w:color="auto" w:fill="FFFFFF"/>
        </w:rPr>
        <w:t xml:space="preserve"> </w:t>
      </w:r>
      <w:r w:rsidR="00A1789A" w:rsidRPr="005E1802">
        <w:rPr>
          <w:rFonts w:ascii="Times New Roman" w:hAnsi="Times New Roman"/>
          <w:color w:val="000000"/>
          <w:shd w:val="clear" w:color="auto" w:fill="FFFFFF"/>
        </w:rPr>
        <w:t>is that</w:t>
      </w:r>
      <w:r w:rsidR="005A50C7" w:rsidRPr="005E1802">
        <w:rPr>
          <w:rFonts w:ascii="Times New Roman" w:hAnsi="Times New Roman"/>
          <w:color w:val="000000"/>
          <w:shd w:val="clear" w:color="auto" w:fill="FFFFFF"/>
        </w:rPr>
        <w:t xml:space="preserve"> the context was a</w:t>
      </w:r>
      <w:r w:rsidR="00867B19" w:rsidRPr="005E1802">
        <w:rPr>
          <w:rFonts w:ascii="Times New Roman" w:hAnsi="Times New Roman"/>
          <w:color w:val="000000"/>
          <w:shd w:val="clear" w:color="auto" w:fill="FFFFFF"/>
        </w:rPr>
        <w:t xml:space="preserve"> contested</w:t>
      </w:r>
      <w:r w:rsidR="005A50C7" w:rsidRPr="005E1802">
        <w:rPr>
          <w:rFonts w:ascii="Times New Roman" w:hAnsi="Times New Roman"/>
          <w:color w:val="000000"/>
          <w:shd w:val="clear" w:color="auto" w:fill="FFFFFF"/>
        </w:rPr>
        <w:t xml:space="preserve"> appeal </w:t>
      </w:r>
      <w:r w:rsidR="00855618" w:rsidRPr="005E1802">
        <w:rPr>
          <w:rFonts w:ascii="Times New Roman" w:hAnsi="Times New Roman"/>
          <w:color w:val="000000"/>
          <w:shd w:val="clear" w:color="auto" w:fill="FFFFFF"/>
        </w:rPr>
        <w:t xml:space="preserve">before </w:t>
      </w:r>
      <w:r w:rsidR="005A50C7" w:rsidRPr="005E1802">
        <w:rPr>
          <w:rFonts w:ascii="Times New Roman" w:hAnsi="Times New Roman"/>
          <w:color w:val="000000"/>
          <w:shd w:val="clear" w:color="auto" w:fill="FFFFFF"/>
        </w:rPr>
        <w:t>an</w:t>
      </w:r>
      <w:r w:rsidR="00855618" w:rsidRPr="005E1802">
        <w:rPr>
          <w:rFonts w:ascii="Times New Roman" w:hAnsi="Times New Roman"/>
          <w:color w:val="000000"/>
          <w:shd w:val="clear" w:color="auto" w:fill="FFFFFF"/>
        </w:rPr>
        <w:t xml:space="preserve"> interm</w:t>
      </w:r>
      <w:r w:rsidR="003A272E" w:rsidRPr="005E1802">
        <w:rPr>
          <w:rFonts w:ascii="Times New Roman" w:hAnsi="Times New Roman"/>
          <w:color w:val="000000"/>
          <w:shd w:val="clear" w:color="auto" w:fill="FFFFFF"/>
        </w:rPr>
        <w:t>ediate appellate court</w:t>
      </w:r>
      <w:r w:rsidR="00DA754B" w:rsidRPr="005E1802">
        <w:rPr>
          <w:rFonts w:ascii="Times New Roman" w:hAnsi="Times New Roman"/>
          <w:color w:val="000000"/>
          <w:shd w:val="clear" w:color="auto" w:fill="FFFFFF"/>
        </w:rPr>
        <w:t>.</w:t>
      </w:r>
      <w:r w:rsidR="005A50C7" w:rsidRPr="005E1802">
        <w:rPr>
          <w:rFonts w:ascii="Times New Roman" w:hAnsi="Times New Roman"/>
          <w:color w:val="000000"/>
          <w:shd w:val="clear" w:color="auto" w:fill="FFFFFF"/>
        </w:rPr>
        <w:t xml:space="preserve"> </w:t>
      </w:r>
      <w:r w:rsidR="00DA754B" w:rsidRPr="005E1802">
        <w:rPr>
          <w:rFonts w:ascii="Times New Roman" w:hAnsi="Times New Roman"/>
          <w:color w:val="000000"/>
          <w:shd w:val="clear" w:color="auto" w:fill="FFFFFF"/>
        </w:rPr>
        <w:t>T</w:t>
      </w:r>
      <w:r w:rsidR="00442D99" w:rsidRPr="005E1802">
        <w:rPr>
          <w:rFonts w:ascii="Times New Roman" w:hAnsi="Times New Roman"/>
          <w:color w:val="000000"/>
          <w:shd w:val="clear" w:color="auto" w:fill="FFFFFF"/>
        </w:rPr>
        <w:t xml:space="preserve">he record </w:t>
      </w:r>
      <w:r w:rsidR="00DA754B" w:rsidRPr="005E1802">
        <w:rPr>
          <w:rFonts w:ascii="Times New Roman" w:hAnsi="Times New Roman"/>
          <w:color w:val="000000"/>
          <w:shd w:val="clear" w:color="auto" w:fill="FFFFFF"/>
        </w:rPr>
        <w:t xml:space="preserve">before </w:t>
      </w:r>
      <w:r w:rsidR="001167ED" w:rsidRPr="005E1802">
        <w:rPr>
          <w:rFonts w:ascii="Times New Roman" w:hAnsi="Times New Roman"/>
          <w:color w:val="000000"/>
          <w:shd w:val="clear" w:color="auto" w:fill="FFFFFF"/>
        </w:rPr>
        <w:t>the appellate court</w:t>
      </w:r>
      <w:r w:rsidR="00BC0B16" w:rsidRPr="005E1802">
        <w:rPr>
          <w:rFonts w:ascii="Times New Roman" w:hAnsi="Times New Roman"/>
          <w:color w:val="000000"/>
          <w:shd w:val="clear" w:color="auto" w:fill="FFFFFF"/>
        </w:rPr>
        <w:t xml:space="preserve"> </w:t>
      </w:r>
      <w:r w:rsidR="00304A12" w:rsidRPr="005E1802">
        <w:rPr>
          <w:rFonts w:ascii="Times New Roman" w:hAnsi="Times New Roman"/>
          <w:color w:val="000000"/>
          <w:shd w:val="clear" w:color="auto" w:fill="FFFFFF"/>
        </w:rPr>
        <w:t>showed</w:t>
      </w:r>
      <w:r w:rsidR="006B591B" w:rsidRPr="005E1802">
        <w:rPr>
          <w:rFonts w:ascii="Times New Roman" w:hAnsi="Times New Roman"/>
          <w:color w:val="000000"/>
          <w:shd w:val="clear" w:color="auto" w:fill="FFFFFF"/>
        </w:rPr>
        <w:t xml:space="preserve"> that</w:t>
      </w:r>
      <w:r w:rsidR="00C04039" w:rsidRPr="005E1802">
        <w:rPr>
          <w:rFonts w:ascii="Times New Roman" w:hAnsi="Times New Roman"/>
          <w:color w:val="000000"/>
          <w:shd w:val="clear" w:color="auto" w:fill="FFFFFF"/>
        </w:rPr>
        <w:t xml:space="preserve">, </w:t>
      </w:r>
      <w:r w:rsidR="00AB681E" w:rsidRPr="005E1802">
        <w:rPr>
          <w:rFonts w:ascii="Times New Roman" w:hAnsi="Times New Roman"/>
          <w:color w:val="000000"/>
          <w:shd w:val="clear" w:color="auto" w:fill="FFFFFF"/>
        </w:rPr>
        <w:t xml:space="preserve">in the trial of </w:t>
      </w:r>
      <w:r w:rsidR="00E3636D" w:rsidRPr="005E1802">
        <w:rPr>
          <w:rFonts w:ascii="Times New Roman" w:hAnsi="Times New Roman"/>
          <w:color w:val="000000"/>
          <w:shd w:val="clear" w:color="auto" w:fill="FFFFFF"/>
        </w:rPr>
        <w:t>an action for damages for personal injury arising out of a motor vehicle accident</w:t>
      </w:r>
      <w:r w:rsidR="00F47ED7" w:rsidRPr="005E1802">
        <w:rPr>
          <w:rFonts w:ascii="Times New Roman" w:hAnsi="Times New Roman"/>
          <w:color w:val="000000"/>
          <w:shd w:val="clear" w:color="auto" w:fill="FFFFFF"/>
        </w:rPr>
        <w:t>, counsel for the appellant</w:t>
      </w:r>
      <w:r w:rsidR="009468DA" w:rsidRPr="005E1802">
        <w:rPr>
          <w:rFonts w:ascii="Times New Roman" w:hAnsi="Times New Roman"/>
          <w:color w:val="000000"/>
          <w:shd w:val="clear" w:color="auto" w:fill="FFFFFF"/>
        </w:rPr>
        <w:t xml:space="preserve"> plaintiff</w:t>
      </w:r>
      <w:r w:rsidR="00E3636D" w:rsidRPr="005E1802">
        <w:rPr>
          <w:rFonts w:ascii="Times New Roman" w:hAnsi="Times New Roman"/>
          <w:color w:val="000000"/>
          <w:shd w:val="clear" w:color="auto" w:fill="FFFFFF"/>
        </w:rPr>
        <w:t xml:space="preserve"> </w:t>
      </w:r>
      <w:r w:rsidR="00E43B64" w:rsidRPr="005E1802">
        <w:rPr>
          <w:rFonts w:ascii="Times New Roman" w:hAnsi="Times New Roman"/>
          <w:color w:val="000000"/>
          <w:shd w:val="clear" w:color="auto" w:fill="FFFFFF"/>
        </w:rPr>
        <w:t>had</w:t>
      </w:r>
      <w:r w:rsidR="003B6629" w:rsidRPr="005E1802">
        <w:rPr>
          <w:rFonts w:ascii="Times New Roman" w:hAnsi="Times New Roman"/>
          <w:color w:val="000000"/>
          <w:shd w:val="clear" w:color="auto" w:fill="FFFFFF"/>
        </w:rPr>
        <w:t xml:space="preserve"> </w:t>
      </w:r>
      <w:r w:rsidR="00910CBA" w:rsidRPr="005E1802">
        <w:rPr>
          <w:rFonts w:ascii="Times New Roman" w:hAnsi="Times New Roman"/>
          <w:color w:val="000000"/>
          <w:shd w:val="clear" w:color="auto" w:fill="FFFFFF"/>
        </w:rPr>
        <w:t>in fact sought t</w:t>
      </w:r>
      <w:r w:rsidR="0014307D" w:rsidRPr="005E1802">
        <w:rPr>
          <w:rFonts w:ascii="Times New Roman" w:hAnsi="Times New Roman"/>
          <w:color w:val="000000"/>
          <w:shd w:val="clear" w:color="auto" w:fill="FFFFFF"/>
        </w:rPr>
        <w:t xml:space="preserve">o submit to the trial judge that evidence </w:t>
      </w:r>
      <w:r w:rsidR="00DD1E9F" w:rsidRPr="005E1802">
        <w:rPr>
          <w:rFonts w:ascii="Times New Roman" w:hAnsi="Times New Roman"/>
          <w:color w:val="000000"/>
          <w:shd w:val="clear" w:color="auto" w:fill="FFFFFF"/>
        </w:rPr>
        <w:t>given by</w:t>
      </w:r>
      <w:r w:rsidR="0014307D" w:rsidRPr="005E1802">
        <w:rPr>
          <w:rFonts w:ascii="Times New Roman" w:hAnsi="Times New Roman"/>
          <w:color w:val="000000"/>
          <w:shd w:val="clear" w:color="auto" w:fill="FFFFFF"/>
        </w:rPr>
        <w:t xml:space="preserve"> </w:t>
      </w:r>
      <w:r w:rsidR="00FC50C3" w:rsidRPr="005E1802">
        <w:rPr>
          <w:rFonts w:ascii="Times New Roman" w:hAnsi="Times New Roman"/>
          <w:color w:val="000000"/>
          <w:shd w:val="clear" w:color="auto" w:fill="FFFFFF"/>
        </w:rPr>
        <w:t xml:space="preserve">a doctor </w:t>
      </w:r>
      <w:r w:rsidR="002A1E0C" w:rsidRPr="005E1802">
        <w:rPr>
          <w:rFonts w:ascii="Times New Roman" w:hAnsi="Times New Roman"/>
          <w:color w:val="000000"/>
          <w:shd w:val="clear" w:color="auto" w:fill="FFFFFF"/>
        </w:rPr>
        <w:t>to the effect that there was no c</w:t>
      </w:r>
      <w:r w:rsidR="003947B0" w:rsidRPr="005E1802">
        <w:rPr>
          <w:rFonts w:ascii="Times New Roman" w:hAnsi="Times New Roman"/>
          <w:color w:val="000000"/>
          <w:shd w:val="clear" w:color="auto" w:fill="FFFFFF"/>
        </w:rPr>
        <w:t>ausal link</w:t>
      </w:r>
      <w:r w:rsidR="002A1E0C" w:rsidRPr="005E1802">
        <w:rPr>
          <w:rFonts w:ascii="Times New Roman" w:hAnsi="Times New Roman"/>
          <w:color w:val="000000"/>
          <w:shd w:val="clear" w:color="auto" w:fill="FFFFFF"/>
        </w:rPr>
        <w:t xml:space="preserve"> between </w:t>
      </w:r>
      <w:r w:rsidR="009C27BE" w:rsidRPr="005E1802">
        <w:rPr>
          <w:rFonts w:ascii="Times New Roman" w:hAnsi="Times New Roman"/>
          <w:color w:val="000000"/>
          <w:shd w:val="clear" w:color="auto" w:fill="FFFFFF"/>
        </w:rPr>
        <w:t>the</w:t>
      </w:r>
      <w:r w:rsidR="00D65BEE" w:rsidRPr="005E1802">
        <w:rPr>
          <w:rFonts w:ascii="Times New Roman" w:hAnsi="Times New Roman"/>
          <w:color w:val="000000"/>
          <w:shd w:val="clear" w:color="auto" w:fill="FFFFFF"/>
        </w:rPr>
        <w:t xml:space="preserve"> accident and the </w:t>
      </w:r>
      <w:r w:rsidR="00450DC8" w:rsidRPr="005E1802">
        <w:rPr>
          <w:rFonts w:ascii="Times New Roman" w:hAnsi="Times New Roman"/>
          <w:color w:val="000000"/>
          <w:shd w:val="clear" w:color="auto" w:fill="FFFFFF"/>
        </w:rPr>
        <w:t xml:space="preserve">appellant's </w:t>
      </w:r>
      <w:r w:rsidR="00D65BEE" w:rsidRPr="005E1802">
        <w:rPr>
          <w:rFonts w:ascii="Times New Roman" w:hAnsi="Times New Roman"/>
          <w:color w:val="000000"/>
          <w:shd w:val="clear" w:color="auto" w:fill="FFFFFF"/>
        </w:rPr>
        <w:t>condition should not be believed</w:t>
      </w:r>
      <w:r w:rsidR="00304A12" w:rsidRPr="005E1802">
        <w:rPr>
          <w:rFonts w:ascii="Times New Roman" w:hAnsi="Times New Roman"/>
          <w:color w:val="000000"/>
          <w:shd w:val="clear" w:color="auto" w:fill="FFFFFF"/>
        </w:rPr>
        <w:t xml:space="preserve">. The record showed </w:t>
      </w:r>
      <w:r w:rsidR="00D65BEE" w:rsidRPr="005E1802">
        <w:rPr>
          <w:rFonts w:ascii="Times New Roman" w:hAnsi="Times New Roman"/>
          <w:color w:val="000000"/>
          <w:shd w:val="clear" w:color="auto" w:fill="FFFFFF"/>
        </w:rPr>
        <w:t xml:space="preserve">that </w:t>
      </w:r>
      <w:r w:rsidR="00E3636D" w:rsidRPr="005E1802">
        <w:rPr>
          <w:rFonts w:ascii="Times New Roman" w:hAnsi="Times New Roman"/>
          <w:color w:val="000000"/>
          <w:shd w:val="clear" w:color="auto" w:fill="FFFFFF"/>
        </w:rPr>
        <w:t>counsel</w:t>
      </w:r>
      <w:r w:rsidR="00D65BEE" w:rsidRPr="005E1802">
        <w:rPr>
          <w:rFonts w:ascii="Times New Roman" w:hAnsi="Times New Roman"/>
          <w:color w:val="000000"/>
          <w:shd w:val="clear" w:color="auto" w:fill="FFFFFF"/>
        </w:rPr>
        <w:t xml:space="preserve"> had </w:t>
      </w:r>
      <w:r w:rsidR="00304A12" w:rsidRPr="005E1802">
        <w:rPr>
          <w:rFonts w:ascii="Times New Roman" w:hAnsi="Times New Roman"/>
          <w:color w:val="000000"/>
          <w:shd w:val="clear" w:color="auto" w:fill="FFFFFF"/>
        </w:rPr>
        <w:t xml:space="preserve">in fact </w:t>
      </w:r>
      <w:r w:rsidR="00D65BEE" w:rsidRPr="005E1802">
        <w:rPr>
          <w:rFonts w:ascii="Times New Roman" w:hAnsi="Times New Roman"/>
          <w:color w:val="000000"/>
          <w:shd w:val="clear" w:color="auto" w:fill="FFFFFF"/>
        </w:rPr>
        <w:t>been stopped by the trial judge from making that submission</w:t>
      </w:r>
      <w:r w:rsidR="00304A12" w:rsidRPr="005E1802">
        <w:rPr>
          <w:rFonts w:ascii="Times New Roman" w:hAnsi="Times New Roman"/>
          <w:color w:val="000000"/>
          <w:shd w:val="clear" w:color="auto" w:fill="FFFFFF"/>
        </w:rPr>
        <w:t xml:space="preserve">. </w:t>
      </w:r>
      <w:r w:rsidR="00824FD6" w:rsidRPr="005E1802">
        <w:rPr>
          <w:rFonts w:ascii="Times New Roman" w:hAnsi="Times New Roman"/>
          <w:color w:val="000000"/>
          <w:shd w:val="clear" w:color="auto" w:fill="FFFFFF"/>
        </w:rPr>
        <w:t>T</w:t>
      </w:r>
      <w:r w:rsidR="00304A12" w:rsidRPr="005E1802">
        <w:rPr>
          <w:rFonts w:ascii="Times New Roman" w:hAnsi="Times New Roman"/>
          <w:color w:val="000000"/>
          <w:shd w:val="clear" w:color="auto" w:fill="FFFFFF"/>
        </w:rPr>
        <w:t xml:space="preserve">he record </w:t>
      </w:r>
      <w:r w:rsidR="005A50C7" w:rsidRPr="005E1802">
        <w:rPr>
          <w:rFonts w:ascii="Times New Roman" w:hAnsi="Times New Roman"/>
          <w:color w:val="000000"/>
          <w:shd w:val="clear" w:color="auto" w:fill="FFFFFF"/>
        </w:rPr>
        <w:t xml:space="preserve">further </w:t>
      </w:r>
      <w:r w:rsidR="00304A12" w:rsidRPr="005E1802">
        <w:rPr>
          <w:rFonts w:ascii="Times New Roman" w:hAnsi="Times New Roman"/>
          <w:color w:val="000000"/>
          <w:shd w:val="clear" w:color="auto" w:fill="FFFFFF"/>
        </w:rPr>
        <w:t xml:space="preserve">showed </w:t>
      </w:r>
      <w:r w:rsidR="00B05236" w:rsidRPr="005E1802">
        <w:rPr>
          <w:rFonts w:ascii="Times New Roman" w:hAnsi="Times New Roman"/>
          <w:color w:val="000000"/>
          <w:shd w:val="clear" w:color="auto" w:fill="FFFFFF"/>
        </w:rPr>
        <w:t xml:space="preserve">that the </w:t>
      </w:r>
      <w:r w:rsidR="00E3636D" w:rsidRPr="005E1802">
        <w:rPr>
          <w:rFonts w:ascii="Times New Roman" w:hAnsi="Times New Roman"/>
          <w:color w:val="000000"/>
          <w:shd w:val="clear" w:color="auto" w:fill="FFFFFF"/>
        </w:rPr>
        <w:t>trial judge</w:t>
      </w:r>
      <w:r w:rsidR="00B30084" w:rsidRPr="005E1802">
        <w:rPr>
          <w:rFonts w:ascii="Times New Roman" w:hAnsi="Times New Roman"/>
          <w:color w:val="000000"/>
          <w:shd w:val="clear" w:color="auto" w:fill="FFFFFF"/>
        </w:rPr>
        <w:t xml:space="preserve"> </w:t>
      </w:r>
      <w:r w:rsidR="00BA7E53" w:rsidRPr="005E1802">
        <w:rPr>
          <w:rFonts w:ascii="Times New Roman" w:hAnsi="Times New Roman"/>
          <w:color w:val="000000"/>
          <w:shd w:val="clear" w:color="auto" w:fill="FFFFFF"/>
        </w:rPr>
        <w:t>had gone</w:t>
      </w:r>
      <w:r w:rsidR="0081647B" w:rsidRPr="005E1802">
        <w:rPr>
          <w:rFonts w:ascii="Times New Roman" w:hAnsi="Times New Roman"/>
          <w:color w:val="000000"/>
          <w:shd w:val="clear" w:color="auto" w:fill="FFFFFF"/>
        </w:rPr>
        <w:t xml:space="preserve"> on </w:t>
      </w:r>
      <w:r w:rsidR="00B30084" w:rsidRPr="005E1802">
        <w:rPr>
          <w:rFonts w:ascii="Times New Roman" w:hAnsi="Times New Roman"/>
          <w:color w:val="000000"/>
          <w:shd w:val="clear" w:color="auto" w:fill="FFFFFF"/>
        </w:rPr>
        <w:t xml:space="preserve">in a reserved judgment </w:t>
      </w:r>
      <w:r w:rsidR="001A1464" w:rsidRPr="005E1802">
        <w:rPr>
          <w:rFonts w:ascii="Times New Roman" w:hAnsi="Times New Roman"/>
          <w:color w:val="000000"/>
          <w:shd w:val="clear" w:color="auto" w:fill="FFFFFF"/>
        </w:rPr>
        <w:t>to accept the evidence of the doctor</w:t>
      </w:r>
      <w:r w:rsidR="00BA7E53" w:rsidRPr="005E1802">
        <w:rPr>
          <w:rFonts w:ascii="Times New Roman" w:hAnsi="Times New Roman"/>
          <w:color w:val="000000"/>
          <w:shd w:val="clear" w:color="auto" w:fill="FFFFFF"/>
        </w:rPr>
        <w:t xml:space="preserve"> </w:t>
      </w:r>
      <w:r w:rsidR="00F301BD" w:rsidRPr="005E1802">
        <w:rPr>
          <w:rFonts w:ascii="Times New Roman" w:hAnsi="Times New Roman"/>
          <w:color w:val="000000"/>
          <w:shd w:val="clear" w:color="auto" w:fill="FFFFFF"/>
        </w:rPr>
        <w:t xml:space="preserve">and </w:t>
      </w:r>
      <w:r w:rsidR="00BA7E53" w:rsidRPr="005E1802">
        <w:rPr>
          <w:rFonts w:ascii="Times New Roman" w:hAnsi="Times New Roman"/>
          <w:color w:val="000000"/>
          <w:shd w:val="clear" w:color="auto" w:fill="FFFFFF"/>
        </w:rPr>
        <w:t xml:space="preserve">to find </w:t>
      </w:r>
      <w:r w:rsidR="00D91E3D" w:rsidRPr="005E1802">
        <w:rPr>
          <w:rFonts w:ascii="Times New Roman" w:hAnsi="Times New Roman"/>
          <w:color w:val="000000"/>
          <w:shd w:val="clear" w:color="auto" w:fill="FFFFFF"/>
        </w:rPr>
        <w:t xml:space="preserve">that there was no causal link between </w:t>
      </w:r>
      <w:r w:rsidR="009C27BE" w:rsidRPr="005E1802">
        <w:rPr>
          <w:rFonts w:ascii="Times New Roman" w:hAnsi="Times New Roman"/>
          <w:color w:val="000000"/>
          <w:shd w:val="clear" w:color="auto" w:fill="FFFFFF"/>
        </w:rPr>
        <w:t>the</w:t>
      </w:r>
      <w:r w:rsidR="00D91E3D" w:rsidRPr="005E1802">
        <w:rPr>
          <w:rFonts w:ascii="Times New Roman" w:hAnsi="Times New Roman"/>
          <w:color w:val="000000"/>
          <w:shd w:val="clear" w:color="auto" w:fill="FFFFFF"/>
        </w:rPr>
        <w:t xml:space="preserve"> accident and the </w:t>
      </w:r>
      <w:r w:rsidR="00450DC8" w:rsidRPr="005E1802">
        <w:rPr>
          <w:rFonts w:ascii="Times New Roman" w:hAnsi="Times New Roman"/>
          <w:color w:val="000000"/>
          <w:shd w:val="clear" w:color="auto" w:fill="FFFFFF"/>
        </w:rPr>
        <w:t>appellant</w:t>
      </w:r>
      <w:r w:rsidR="00D91E3D" w:rsidRPr="005E1802">
        <w:rPr>
          <w:rFonts w:ascii="Times New Roman" w:hAnsi="Times New Roman"/>
          <w:color w:val="000000"/>
          <w:shd w:val="clear" w:color="auto" w:fill="FFFFFF"/>
        </w:rPr>
        <w:t xml:space="preserve">'s condition. </w:t>
      </w:r>
    </w:p>
    <w:p w14:paraId="64B4A582" w14:textId="71428EF5" w:rsidR="00BA28CC" w:rsidRPr="005E1802" w:rsidRDefault="006B2C65"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D91E3D" w:rsidRPr="005E1802">
        <w:rPr>
          <w:rFonts w:ascii="Times New Roman" w:hAnsi="Times New Roman"/>
          <w:color w:val="000000"/>
          <w:shd w:val="clear" w:color="auto" w:fill="FFFFFF"/>
        </w:rPr>
        <w:t xml:space="preserve">Plainly, what was being </w:t>
      </w:r>
      <w:r w:rsidR="006244E3" w:rsidRPr="005E1802">
        <w:rPr>
          <w:rFonts w:ascii="Times New Roman" w:hAnsi="Times New Roman"/>
          <w:color w:val="000000"/>
          <w:shd w:val="clear" w:color="auto" w:fill="FFFFFF"/>
        </w:rPr>
        <w:t xml:space="preserve">said in </w:t>
      </w:r>
      <w:r w:rsidR="006244E3" w:rsidRPr="005E1802">
        <w:rPr>
          <w:rFonts w:ascii="Times New Roman" w:hAnsi="Times New Roman"/>
          <w:i/>
          <w:color w:val="000000"/>
          <w:shd w:val="clear" w:color="auto" w:fill="FFFFFF"/>
        </w:rPr>
        <w:t xml:space="preserve">Stead </w:t>
      </w:r>
      <w:r w:rsidR="006244E3" w:rsidRPr="005E1802">
        <w:rPr>
          <w:rFonts w:ascii="Times New Roman" w:hAnsi="Times New Roman"/>
          <w:color w:val="000000"/>
          <w:shd w:val="clear" w:color="auto" w:fill="FFFFFF"/>
        </w:rPr>
        <w:t xml:space="preserve">was that </w:t>
      </w:r>
      <w:r w:rsidR="00390472" w:rsidRPr="005E1802">
        <w:rPr>
          <w:rFonts w:ascii="Times New Roman" w:hAnsi="Times New Roman"/>
          <w:color w:val="000000"/>
          <w:shd w:val="clear" w:color="auto" w:fill="FFFFFF"/>
        </w:rPr>
        <w:t>t</w:t>
      </w:r>
      <w:r w:rsidR="00B2280C" w:rsidRPr="005E1802">
        <w:rPr>
          <w:rFonts w:ascii="Times New Roman" w:hAnsi="Times New Roman"/>
          <w:color w:val="000000"/>
          <w:shd w:val="clear" w:color="auto" w:fill="FFFFFF"/>
        </w:rPr>
        <w:t>hose</w:t>
      </w:r>
      <w:r w:rsidRPr="005E1802">
        <w:rPr>
          <w:rFonts w:ascii="Times New Roman" w:hAnsi="Times New Roman"/>
          <w:color w:val="000000"/>
          <w:shd w:val="clear" w:color="auto" w:fill="FFFFFF"/>
        </w:rPr>
        <w:t xml:space="preserve"> </w:t>
      </w:r>
      <w:r w:rsidR="00390472" w:rsidRPr="005E1802">
        <w:rPr>
          <w:rFonts w:ascii="Times New Roman" w:hAnsi="Times New Roman"/>
          <w:color w:val="000000"/>
          <w:shd w:val="clear" w:color="auto" w:fill="FFFFFF"/>
        </w:rPr>
        <w:t>facts</w:t>
      </w:r>
      <w:r w:rsidR="00B6270F" w:rsidRPr="005E1802">
        <w:rPr>
          <w:rFonts w:ascii="Times New Roman" w:hAnsi="Times New Roman"/>
          <w:color w:val="000000"/>
          <w:shd w:val="clear" w:color="auto" w:fill="FFFFFF"/>
        </w:rPr>
        <w:t>,</w:t>
      </w:r>
      <w:r w:rsidR="00E634E3" w:rsidRPr="005E1802">
        <w:rPr>
          <w:rFonts w:ascii="Times New Roman" w:hAnsi="Times New Roman"/>
          <w:color w:val="000000"/>
          <w:shd w:val="clear" w:color="auto" w:fill="FFFFFF"/>
        </w:rPr>
        <w:t xml:space="preserve"> </w:t>
      </w:r>
      <w:r w:rsidR="008D726D" w:rsidRPr="005E1802">
        <w:rPr>
          <w:rFonts w:ascii="Times New Roman" w:hAnsi="Times New Roman"/>
          <w:color w:val="000000"/>
          <w:shd w:val="clear" w:color="auto" w:fill="FFFFFF"/>
        </w:rPr>
        <w:t>a</w:t>
      </w:r>
      <w:r w:rsidR="00E634E3" w:rsidRPr="005E1802">
        <w:rPr>
          <w:rFonts w:ascii="Times New Roman" w:hAnsi="Times New Roman"/>
          <w:color w:val="000000"/>
          <w:shd w:val="clear" w:color="auto" w:fill="FFFFFF"/>
        </w:rPr>
        <w:t xml:space="preserve">ppearing </w:t>
      </w:r>
      <w:r w:rsidR="0098061D" w:rsidRPr="005E1802">
        <w:rPr>
          <w:rFonts w:ascii="Times New Roman" w:hAnsi="Times New Roman"/>
          <w:color w:val="000000"/>
          <w:shd w:val="clear" w:color="auto" w:fill="FFFFFF"/>
        </w:rPr>
        <w:t>starkly on the face of</w:t>
      </w:r>
      <w:r w:rsidR="008D726D" w:rsidRPr="005E1802">
        <w:rPr>
          <w:rFonts w:ascii="Times New Roman" w:hAnsi="Times New Roman"/>
          <w:color w:val="000000"/>
          <w:shd w:val="clear" w:color="auto" w:fill="FFFFFF"/>
        </w:rPr>
        <w:t xml:space="preserve"> the appellate record</w:t>
      </w:r>
      <w:r w:rsidR="00B6270F" w:rsidRPr="005E1802">
        <w:rPr>
          <w:rFonts w:ascii="Times New Roman" w:hAnsi="Times New Roman"/>
          <w:color w:val="000000"/>
          <w:shd w:val="clear" w:color="auto" w:fill="FFFFFF"/>
        </w:rPr>
        <w:t xml:space="preserve">, </w:t>
      </w:r>
      <w:r w:rsidR="008B667B" w:rsidRPr="005E1802">
        <w:rPr>
          <w:rFonts w:ascii="Times New Roman" w:hAnsi="Times New Roman"/>
          <w:color w:val="000000"/>
          <w:shd w:val="clear" w:color="auto" w:fill="FFFFFF"/>
        </w:rPr>
        <w:t>should have been</w:t>
      </w:r>
      <w:r w:rsidR="00390472" w:rsidRPr="005E1802">
        <w:rPr>
          <w:rFonts w:ascii="Times New Roman" w:hAnsi="Times New Roman"/>
          <w:color w:val="000000"/>
          <w:shd w:val="clear" w:color="auto" w:fill="FFFFFF"/>
        </w:rPr>
        <w:t xml:space="preserve"> sufficient to </w:t>
      </w:r>
      <w:r w:rsidR="008B667B" w:rsidRPr="005E1802">
        <w:rPr>
          <w:rFonts w:ascii="Times New Roman" w:hAnsi="Times New Roman"/>
          <w:color w:val="000000"/>
          <w:shd w:val="clear" w:color="auto" w:fill="FFFFFF"/>
        </w:rPr>
        <w:t xml:space="preserve">satisfy </w:t>
      </w:r>
      <w:r w:rsidR="00AF76FF" w:rsidRPr="005E1802">
        <w:rPr>
          <w:rFonts w:ascii="Times New Roman" w:hAnsi="Times New Roman"/>
          <w:color w:val="000000"/>
          <w:shd w:val="clear" w:color="auto" w:fill="FFFFFF"/>
        </w:rPr>
        <w:t>the intermediate appellate court</w:t>
      </w:r>
      <w:r w:rsidR="00283ADE" w:rsidRPr="005E1802">
        <w:rPr>
          <w:rFonts w:ascii="Times New Roman" w:hAnsi="Times New Roman"/>
          <w:color w:val="000000"/>
          <w:shd w:val="clear" w:color="auto" w:fill="FFFFFF"/>
        </w:rPr>
        <w:t xml:space="preserve"> </w:t>
      </w:r>
      <w:r w:rsidR="00F301BD" w:rsidRPr="005E1802">
        <w:rPr>
          <w:rFonts w:ascii="Times New Roman" w:hAnsi="Times New Roman"/>
          <w:color w:val="000000"/>
          <w:shd w:val="clear" w:color="auto" w:fill="FFFFFF"/>
        </w:rPr>
        <w:t>that there was a</w:t>
      </w:r>
      <w:r w:rsidR="00634642" w:rsidRPr="005E1802">
        <w:rPr>
          <w:rFonts w:ascii="Times New Roman" w:hAnsi="Times New Roman"/>
          <w:color w:val="000000"/>
          <w:shd w:val="clear" w:color="auto" w:fill="FFFFFF"/>
        </w:rPr>
        <w:t xml:space="preserve"> </w:t>
      </w:r>
      <w:r w:rsidR="008D01AC" w:rsidRPr="005E1802">
        <w:rPr>
          <w:rFonts w:ascii="Times New Roman" w:hAnsi="Times New Roman"/>
          <w:color w:val="000000"/>
          <w:shd w:val="clear" w:color="auto" w:fill="FFFFFF"/>
        </w:rPr>
        <w:t xml:space="preserve">realistic </w:t>
      </w:r>
      <w:r w:rsidR="00F53BF2" w:rsidRPr="005E1802">
        <w:rPr>
          <w:rFonts w:ascii="Times New Roman" w:hAnsi="Times New Roman"/>
          <w:color w:val="000000"/>
          <w:shd w:val="clear" w:color="auto" w:fill="FFFFFF"/>
        </w:rPr>
        <w:t>possibility</w:t>
      </w:r>
      <w:r w:rsidR="00743A7F" w:rsidRPr="005E1802">
        <w:rPr>
          <w:rFonts w:ascii="Times New Roman" w:hAnsi="Times New Roman"/>
          <w:color w:val="000000"/>
          <w:shd w:val="clear" w:color="auto" w:fill="FFFFFF"/>
        </w:rPr>
        <w:t xml:space="preserve"> </w:t>
      </w:r>
      <w:r w:rsidR="00F301BD" w:rsidRPr="005E1802">
        <w:rPr>
          <w:rFonts w:ascii="Times New Roman" w:hAnsi="Times New Roman"/>
          <w:color w:val="000000"/>
          <w:shd w:val="clear" w:color="auto" w:fill="FFFFFF"/>
        </w:rPr>
        <w:t>that</w:t>
      </w:r>
      <w:r w:rsidR="008D01AC" w:rsidRPr="005E1802">
        <w:rPr>
          <w:rFonts w:ascii="Times New Roman" w:hAnsi="Times New Roman"/>
          <w:color w:val="000000"/>
          <w:shd w:val="clear" w:color="auto" w:fill="FFFFFF"/>
        </w:rPr>
        <w:t xml:space="preserve"> </w:t>
      </w:r>
      <w:r w:rsidR="00D61639" w:rsidRPr="005E1802">
        <w:rPr>
          <w:rFonts w:ascii="Times New Roman" w:hAnsi="Times New Roman"/>
          <w:color w:val="000000"/>
          <w:shd w:val="clear" w:color="auto" w:fill="FFFFFF"/>
        </w:rPr>
        <w:t xml:space="preserve">the </w:t>
      </w:r>
      <w:r w:rsidR="00F51FBC" w:rsidRPr="005E1802">
        <w:rPr>
          <w:rFonts w:ascii="Times New Roman" w:hAnsi="Times New Roman"/>
          <w:color w:val="000000"/>
          <w:shd w:val="clear" w:color="auto" w:fill="FFFFFF"/>
        </w:rPr>
        <w:t>trial judge</w:t>
      </w:r>
      <w:r w:rsidR="00500F80" w:rsidRPr="005E1802">
        <w:rPr>
          <w:rFonts w:ascii="Times New Roman" w:hAnsi="Times New Roman"/>
          <w:color w:val="000000"/>
          <w:shd w:val="clear" w:color="auto" w:fill="FFFFFF"/>
        </w:rPr>
        <w:t xml:space="preserve"> </w:t>
      </w:r>
      <w:r w:rsidR="00C36344" w:rsidRPr="005E1802">
        <w:rPr>
          <w:rFonts w:ascii="Times New Roman" w:hAnsi="Times New Roman"/>
          <w:color w:val="000000"/>
          <w:shd w:val="clear" w:color="auto" w:fill="FFFFFF"/>
        </w:rPr>
        <w:t>could have</w:t>
      </w:r>
      <w:r w:rsidR="004D7552" w:rsidRPr="005E1802">
        <w:rPr>
          <w:rFonts w:ascii="Times New Roman" w:hAnsi="Times New Roman"/>
          <w:color w:val="000000"/>
          <w:shd w:val="clear" w:color="auto" w:fill="FFFFFF"/>
        </w:rPr>
        <w:t xml:space="preserve"> found</w:t>
      </w:r>
      <w:r w:rsidR="008D01AC" w:rsidRPr="005E1802">
        <w:rPr>
          <w:rFonts w:ascii="Times New Roman" w:hAnsi="Times New Roman"/>
          <w:color w:val="000000"/>
          <w:shd w:val="clear" w:color="auto" w:fill="FFFFFF"/>
        </w:rPr>
        <w:t xml:space="preserve"> a causal link between </w:t>
      </w:r>
      <w:r w:rsidR="00C36344" w:rsidRPr="005E1802">
        <w:rPr>
          <w:rFonts w:ascii="Times New Roman" w:hAnsi="Times New Roman"/>
          <w:color w:val="000000"/>
          <w:shd w:val="clear" w:color="auto" w:fill="FFFFFF"/>
        </w:rPr>
        <w:t>the</w:t>
      </w:r>
      <w:r w:rsidR="008D01AC" w:rsidRPr="005E1802">
        <w:rPr>
          <w:rFonts w:ascii="Times New Roman" w:hAnsi="Times New Roman"/>
          <w:color w:val="000000"/>
          <w:shd w:val="clear" w:color="auto" w:fill="FFFFFF"/>
        </w:rPr>
        <w:t xml:space="preserve"> accident and the </w:t>
      </w:r>
      <w:r w:rsidR="000602BA" w:rsidRPr="005E1802">
        <w:rPr>
          <w:rFonts w:ascii="Times New Roman" w:hAnsi="Times New Roman"/>
          <w:color w:val="000000"/>
          <w:shd w:val="clear" w:color="auto" w:fill="FFFFFF"/>
        </w:rPr>
        <w:t xml:space="preserve">appellant's </w:t>
      </w:r>
      <w:r w:rsidR="008D01AC" w:rsidRPr="005E1802">
        <w:rPr>
          <w:rFonts w:ascii="Times New Roman" w:hAnsi="Times New Roman"/>
          <w:color w:val="000000"/>
          <w:shd w:val="clear" w:color="auto" w:fill="FFFFFF"/>
        </w:rPr>
        <w:t>condition had counsel been permitted to complete his submission</w:t>
      </w:r>
      <w:r w:rsidR="008870BD" w:rsidRPr="005E1802">
        <w:rPr>
          <w:rFonts w:ascii="Times New Roman" w:hAnsi="Times New Roman"/>
          <w:color w:val="000000"/>
          <w:shd w:val="clear" w:color="auto" w:fill="FFFFFF"/>
        </w:rPr>
        <w:t xml:space="preserve">. </w:t>
      </w:r>
      <w:r w:rsidR="00B77016" w:rsidRPr="005E1802">
        <w:rPr>
          <w:rFonts w:ascii="Times New Roman" w:hAnsi="Times New Roman"/>
          <w:color w:val="000000"/>
          <w:shd w:val="clear" w:color="auto" w:fill="FFFFFF"/>
        </w:rPr>
        <w:t xml:space="preserve">There was no need for the </w:t>
      </w:r>
      <w:r w:rsidR="00051C91" w:rsidRPr="005E1802">
        <w:rPr>
          <w:rFonts w:ascii="Times New Roman" w:hAnsi="Times New Roman"/>
          <w:color w:val="000000"/>
          <w:shd w:val="clear" w:color="auto" w:fill="FFFFFF"/>
        </w:rPr>
        <w:t>appellant</w:t>
      </w:r>
      <w:r w:rsidR="00B77016" w:rsidRPr="005E1802">
        <w:rPr>
          <w:rFonts w:ascii="Times New Roman" w:hAnsi="Times New Roman"/>
          <w:color w:val="000000"/>
          <w:shd w:val="clear" w:color="auto" w:fill="FFFFFF"/>
        </w:rPr>
        <w:t xml:space="preserve"> </w:t>
      </w:r>
      <w:r w:rsidR="006770CF" w:rsidRPr="005E1802">
        <w:rPr>
          <w:rFonts w:ascii="Times New Roman" w:hAnsi="Times New Roman"/>
          <w:color w:val="000000"/>
          <w:shd w:val="clear" w:color="auto" w:fill="FFFFFF"/>
        </w:rPr>
        <w:t xml:space="preserve">to </w:t>
      </w:r>
      <w:r w:rsidR="00051C91" w:rsidRPr="005E1802">
        <w:rPr>
          <w:rFonts w:ascii="Times New Roman" w:hAnsi="Times New Roman"/>
          <w:color w:val="000000"/>
          <w:shd w:val="clear" w:color="auto" w:fill="FFFFFF"/>
        </w:rPr>
        <w:t xml:space="preserve">lead evidence of what </w:t>
      </w:r>
      <w:r w:rsidR="00981D84" w:rsidRPr="005E1802">
        <w:rPr>
          <w:rFonts w:ascii="Times New Roman" w:hAnsi="Times New Roman"/>
          <w:color w:val="000000"/>
          <w:shd w:val="clear" w:color="auto" w:fill="FFFFFF"/>
        </w:rPr>
        <w:t>counsel would have s</w:t>
      </w:r>
      <w:r w:rsidR="004D730C" w:rsidRPr="005E1802">
        <w:rPr>
          <w:rFonts w:ascii="Times New Roman" w:hAnsi="Times New Roman"/>
          <w:color w:val="000000"/>
          <w:shd w:val="clear" w:color="auto" w:fill="FFFFFF"/>
        </w:rPr>
        <w:t>ubmitted</w:t>
      </w:r>
      <w:r w:rsidR="00C36344" w:rsidRPr="005E1802">
        <w:rPr>
          <w:rFonts w:ascii="Times New Roman" w:hAnsi="Times New Roman"/>
          <w:color w:val="000000"/>
          <w:shd w:val="clear" w:color="auto" w:fill="FFFFFF"/>
        </w:rPr>
        <w:t xml:space="preserve"> to the trial judge about why the evidence of the doctor</w:t>
      </w:r>
      <w:r w:rsidR="00981D84" w:rsidRPr="005E1802">
        <w:rPr>
          <w:rFonts w:ascii="Times New Roman" w:hAnsi="Times New Roman"/>
          <w:color w:val="000000"/>
          <w:shd w:val="clear" w:color="auto" w:fill="FFFFFF"/>
        </w:rPr>
        <w:t xml:space="preserve"> </w:t>
      </w:r>
      <w:r w:rsidR="00C36344" w:rsidRPr="005E1802">
        <w:rPr>
          <w:rFonts w:ascii="Times New Roman" w:hAnsi="Times New Roman"/>
          <w:color w:val="000000"/>
          <w:shd w:val="clear" w:color="auto" w:fill="FFFFFF"/>
        </w:rPr>
        <w:t xml:space="preserve">should not have been believed </w:t>
      </w:r>
      <w:r w:rsidR="00981D84" w:rsidRPr="005E1802">
        <w:rPr>
          <w:rFonts w:ascii="Times New Roman" w:hAnsi="Times New Roman"/>
          <w:color w:val="000000"/>
          <w:shd w:val="clear" w:color="auto" w:fill="FFFFFF"/>
        </w:rPr>
        <w:t xml:space="preserve">and there was no need for the appellant to </w:t>
      </w:r>
      <w:r w:rsidR="006770CF" w:rsidRPr="005E1802">
        <w:rPr>
          <w:rFonts w:ascii="Times New Roman" w:hAnsi="Times New Roman"/>
          <w:color w:val="000000"/>
          <w:shd w:val="clear" w:color="auto" w:fill="FFFFFF"/>
        </w:rPr>
        <w:t xml:space="preserve">prove </w:t>
      </w:r>
      <w:r w:rsidR="00981D84" w:rsidRPr="005E1802">
        <w:rPr>
          <w:rFonts w:ascii="Times New Roman" w:hAnsi="Times New Roman"/>
          <w:color w:val="000000"/>
          <w:shd w:val="clear" w:color="auto" w:fill="FFFFFF"/>
        </w:rPr>
        <w:t xml:space="preserve">on the balance of probabilities </w:t>
      </w:r>
      <w:r w:rsidR="0007414E" w:rsidRPr="005E1802">
        <w:rPr>
          <w:rFonts w:ascii="Times New Roman" w:hAnsi="Times New Roman"/>
          <w:color w:val="000000"/>
          <w:shd w:val="clear" w:color="auto" w:fill="FFFFFF"/>
        </w:rPr>
        <w:t xml:space="preserve">that the </w:t>
      </w:r>
      <w:r w:rsidR="00725937" w:rsidRPr="005E1802">
        <w:rPr>
          <w:rFonts w:ascii="Times New Roman" w:hAnsi="Times New Roman"/>
          <w:color w:val="000000"/>
          <w:shd w:val="clear" w:color="auto" w:fill="FFFFFF"/>
        </w:rPr>
        <w:t>trial judge</w:t>
      </w:r>
      <w:r w:rsidR="0007414E" w:rsidRPr="005E1802">
        <w:rPr>
          <w:rFonts w:ascii="Times New Roman" w:hAnsi="Times New Roman"/>
          <w:color w:val="000000"/>
          <w:shd w:val="clear" w:color="auto" w:fill="FFFFFF"/>
        </w:rPr>
        <w:t xml:space="preserve"> would have</w:t>
      </w:r>
      <w:r w:rsidR="00725937" w:rsidRPr="005E1802">
        <w:rPr>
          <w:rFonts w:ascii="Times New Roman" w:hAnsi="Times New Roman"/>
          <w:color w:val="000000"/>
          <w:shd w:val="clear" w:color="auto" w:fill="FFFFFF"/>
        </w:rPr>
        <w:t xml:space="preserve"> found the submission</w:t>
      </w:r>
      <w:r w:rsidR="00C155A3" w:rsidRPr="005E1802">
        <w:rPr>
          <w:rFonts w:ascii="Times New Roman" w:hAnsi="Times New Roman"/>
          <w:color w:val="000000"/>
          <w:shd w:val="clear" w:color="auto" w:fill="FFFFFF"/>
        </w:rPr>
        <w:t xml:space="preserve"> of counsel</w:t>
      </w:r>
      <w:r w:rsidR="00725937" w:rsidRPr="005E1802">
        <w:rPr>
          <w:rFonts w:ascii="Times New Roman" w:hAnsi="Times New Roman"/>
          <w:color w:val="000000"/>
          <w:shd w:val="clear" w:color="auto" w:fill="FFFFFF"/>
        </w:rPr>
        <w:t xml:space="preserve"> persuasive.</w:t>
      </w:r>
      <w:r w:rsidR="0007414E" w:rsidRPr="005E1802">
        <w:rPr>
          <w:rFonts w:ascii="Times New Roman" w:hAnsi="Times New Roman"/>
          <w:color w:val="000000"/>
          <w:shd w:val="clear" w:color="auto" w:fill="FFFFFF"/>
        </w:rPr>
        <w:t xml:space="preserve"> </w:t>
      </w:r>
    </w:p>
    <w:p w14:paraId="7CE08833" w14:textId="21732F76" w:rsidR="00964FA7" w:rsidRPr="005E1802" w:rsidRDefault="00BA28CC"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8870BD" w:rsidRPr="005E1802">
        <w:rPr>
          <w:rFonts w:ascii="Times New Roman" w:hAnsi="Times New Roman"/>
          <w:color w:val="000000"/>
          <w:shd w:val="clear" w:color="auto" w:fill="FFFFFF"/>
        </w:rPr>
        <w:t>B</w:t>
      </w:r>
      <w:r w:rsidR="009F5EE0" w:rsidRPr="005E1802">
        <w:rPr>
          <w:rFonts w:ascii="Times New Roman" w:hAnsi="Times New Roman"/>
          <w:color w:val="000000"/>
          <w:shd w:val="clear" w:color="auto" w:fill="FFFFFF"/>
        </w:rPr>
        <w:t xml:space="preserve">ut </w:t>
      </w:r>
      <w:r w:rsidR="008870BD" w:rsidRPr="005E1802">
        <w:rPr>
          <w:rFonts w:ascii="Times New Roman" w:hAnsi="Times New Roman"/>
          <w:color w:val="000000"/>
          <w:shd w:val="clear" w:color="auto" w:fill="FFFFFF"/>
        </w:rPr>
        <w:t xml:space="preserve">equally, what was being acknowledged </w:t>
      </w:r>
      <w:r w:rsidR="00F9464E" w:rsidRPr="005E1802">
        <w:rPr>
          <w:rFonts w:ascii="Times New Roman" w:hAnsi="Times New Roman"/>
          <w:color w:val="000000"/>
          <w:shd w:val="clear" w:color="auto" w:fill="FFFFFF"/>
        </w:rPr>
        <w:t xml:space="preserve">in </w:t>
      </w:r>
      <w:r w:rsidR="00F9464E" w:rsidRPr="005E1802">
        <w:rPr>
          <w:rFonts w:ascii="Times New Roman" w:hAnsi="Times New Roman"/>
          <w:i/>
          <w:color w:val="000000"/>
          <w:shd w:val="clear" w:color="auto" w:fill="FFFFFF"/>
        </w:rPr>
        <w:t xml:space="preserve">Stead </w:t>
      </w:r>
      <w:r w:rsidR="008870BD" w:rsidRPr="005E1802">
        <w:rPr>
          <w:rFonts w:ascii="Times New Roman" w:hAnsi="Times New Roman"/>
          <w:color w:val="000000"/>
          <w:shd w:val="clear" w:color="auto" w:fill="FFFFFF"/>
        </w:rPr>
        <w:t xml:space="preserve">was </w:t>
      </w:r>
      <w:r w:rsidR="009F5EE0" w:rsidRPr="005E1802">
        <w:rPr>
          <w:rFonts w:ascii="Times New Roman" w:hAnsi="Times New Roman"/>
          <w:color w:val="000000"/>
          <w:shd w:val="clear" w:color="auto" w:fill="FFFFFF"/>
        </w:rPr>
        <w:t xml:space="preserve">that there might </w:t>
      </w:r>
      <w:r w:rsidR="009446B0" w:rsidRPr="005E1802">
        <w:rPr>
          <w:rFonts w:ascii="Times New Roman" w:hAnsi="Times New Roman"/>
          <w:color w:val="000000"/>
          <w:shd w:val="clear" w:color="auto" w:fill="FFFFFF"/>
        </w:rPr>
        <w:t xml:space="preserve">have </w:t>
      </w:r>
      <w:r w:rsidR="00285132" w:rsidRPr="005E1802">
        <w:rPr>
          <w:rFonts w:ascii="Times New Roman" w:hAnsi="Times New Roman"/>
          <w:color w:val="000000"/>
          <w:shd w:val="clear" w:color="auto" w:fill="FFFFFF"/>
        </w:rPr>
        <w:t>be</w:t>
      </w:r>
      <w:r w:rsidR="009446B0" w:rsidRPr="005E1802">
        <w:rPr>
          <w:rFonts w:ascii="Times New Roman" w:hAnsi="Times New Roman"/>
          <w:color w:val="000000"/>
          <w:shd w:val="clear" w:color="auto" w:fill="FFFFFF"/>
        </w:rPr>
        <w:t>en</w:t>
      </w:r>
      <w:r w:rsidR="00285132" w:rsidRPr="005E1802">
        <w:rPr>
          <w:rFonts w:ascii="Times New Roman" w:hAnsi="Times New Roman"/>
          <w:color w:val="000000"/>
          <w:shd w:val="clear" w:color="auto" w:fill="FFFFFF"/>
        </w:rPr>
        <w:t xml:space="preserve"> other facts </w:t>
      </w:r>
      <w:r w:rsidR="009E78E9" w:rsidRPr="005E1802">
        <w:rPr>
          <w:rFonts w:ascii="Times New Roman" w:hAnsi="Times New Roman"/>
          <w:color w:val="000000"/>
          <w:shd w:val="clear" w:color="auto" w:fill="FFFFFF"/>
        </w:rPr>
        <w:t xml:space="preserve">disclosed by the appellate record </w:t>
      </w:r>
      <w:r w:rsidR="00C4431F" w:rsidRPr="005E1802">
        <w:rPr>
          <w:rFonts w:ascii="Times New Roman" w:hAnsi="Times New Roman"/>
          <w:color w:val="000000"/>
          <w:shd w:val="clear" w:color="auto" w:fill="FFFFFF"/>
        </w:rPr>
        <w:t xml:space="preserve">that undermined </w:t>
      </w:r>
      <w:r w:rsidR="004A7103" w:rsidRPr="005E1802">
        <w:rPr>
          <w:rFonts w:ascii="Times New Roman" w:hAnsi="Times New Roman"/>
          <w:color w:val="000000"/>
          <w:shd w:val="clear" w:color="auto" w:fill="FFFFFF"/>
        </w:rPr>
        <w:t xml:space="preserve">the realistic possibility of the trial judge having found a causal link between </w:t>
      </w:r>
      <w:r w:rsidR="009C27BE" w:rsidRPr="005E1802">
        <w:rPr>
          <w:rFonts w:ascii="Times New Roman" w:hAnsi="Times New Roman"/>
          <w:color w:val="000000"/>
          <w:shd w:val="clear" w:color="auto" w:fill="FFFFFF"/>
        </w:rPr>
        <w:t>the</w:t>
      </w:r>
      <w:r w:rsidR="004A7103" w:rsidRPr="005E1802">
        <w:rPr>
          <w:rFonts w:ascii="Times New Roman" w:hAnsi="Times New Roman"/>
          <w:color w:val="000000"/>
          <w:shd w:val="clear" w:color="auto" w:fill="FFFFFF"/>
        </w:rPr>
        <w:t xml:space="preserve"> accident and the </w:t>
      </w:r>
      <w:r w:rsidR="000602BA" w:rsidRPr="005E1802">
        <w:rPr>
          <w:rFonts w:ascii="Times New Roman" w:hAnsi="Times New Roman"/>
          <w:color w:val="000000"/>
          <w:shd w:val="clear" w:color="auto" w:fill="FFFFFF"/>
        </w:rPr>
        <w:t>appellant</w:t>
      </w:r>
      <w:r w:rsidR="004A7103" w:rsidRPr="005E1802">
        <w:rPr>
          <w:rFonts w:ascii="Times New Roman" w:hAnsi="Times New Roman"/>
          <w:color w:val="000000"/>
          <w:shd w:val="clear" w:color="auto" w:fill="FFFFFF"/>
        </w:rPr>
        <w:t>'s condition had counsel been permitted to complete his submission</w:t>
      </w:r>
      <w:r w:rsidR="00C4431F" w:rsidRPr="005E1802">
        <w:rPr>
          <w:rFonts w:ascii="Times New Roman" w:hAnsi="Times New Roman"/>
          <w:color w:val="000000"/>
          <w:shd w:val="clear" w:color="auto" w:fill="FFFFFF"/>
        </w:rPr>
        <w:t xml:space="preserve">. </w:t>
      </w:r>
      <w:r w:rsidR="00F95458" w:rsidRPr="005E1802">
        <w:rPr>
          <w:rFonts w:ascii="Times New Roman" w:hAnsi="Times New Roman"/>
          <w:color w:val="000000"/>
          <w:shd w:val="clear" w:color="auto" w:fill="FFFFFF"/>
        </w:rPr>
        <w:t xml:space="preserve">Within the forensic contest of the appeal, </w:t>
      </w:r>
      <w:r w:rsidR="00563D93" w:rsidRPr="005E1802">
        <w:rPr>
          <w:rFonts w:ascii="Times New Roman" w:hAnsi="Times New Roman"/>
          <w:color w:val="000000"/>
          <w:shd w:val="clear" w:color="auto" w:fill="FFFFFF"/>
        </w:rPr>
        <w:t>it was open to the respondent</w:t>
      </w:r>
      <w:r w:rsidR="009446B0" w:rsidRPr="005E1802">
        <w:rPr>
          <w:rFonts w:ascii="Times New Roman" w:hAnsi="Times New Roman"/>
          <w:color w:val="000000"/>
          <w:shd w:val="clear" w:color="auto" w:fill="FFFFFF"/>
        </w:rPr>
        <w:t xml:space="preserve"> in argument</w:t>
      </w:r>
      <w:r w:rsidR="00563D93" w:rsidRPr="005E1802">
        <w:rPr>
          <w:rFonts w:ascii="Times New Roman" w:hAnsi="Times New Roman"/>
          <w:color w:val="000000"/>
          <w:shd w:val="clear" w:color="auto" w:fill="FFFFFF"/>
        </w:rPr>
        <w:t xml:space="preserve"> to seek to identify those facts</w:t>
      </w:r>
      <w:r w:rsidR="00DE30A3" w:rsidRPr="005E1802">
        <w:rPr>
          <w:rFonts w:ascii="Times New Roman" w:hAnsi="Times New Roman"/>
          <w:color w:val="000000"/>
          <w:shd w:val="clear" w:color="auto" w:fill="FFFFFF"/>
        </w:rPr>
        <w:t xml:space="preserve"> and to persuade the appellat</w:t>
      </w:r>
      <w:r w:rsidR="00FF2B3B" w:rsidRPr="005E1802">
        <w:rPr>
          <w:rFonts w:ascii="Times New Roman" w:hAnsi="Times New Roman"/>
          <w:color w:val="000000"/>
          <w:shd w:val="clear" w:color="auto" w:fill="FFFFFF"/>
        </w:rPr>
        <w:t>e</w:t>
      </w:r>
      <w:r w:rsidR="00DE30A3" w:rsidRPr="005E1802">
        <w:rPr>
          <w:rFonts w:ascii="Times New Roman" w:hAnsi="Times New Roman"/>
          <w:color w:val="000000"/>
          <w:shd w:val="clear" w:color="auto" w:fill="FFFFFF"/>
        </w:rPr>
        <w:t xml:space="preserve"> court that the</w:t>
      </w:r>
      <w:r w:rsidR="00FF2B3B" w:rsidRPr="005E1802">
        <w:rPr>
          <w:rFonts w:ascii="Times New Roman" w:hAnsi="Times New Roman"/>
          <w:color w:val="000000"/>
          <w:shd w:val="clear" w:color="auto" w:fill="FFFFFF"/>
        </w:rPr>
        <w:t xml:space="preserve"> possibility</w:t>
      </w:r>
      <w:r w:rsidR="00C26DF9" w:rsidRPr="005E1802">
        <w:rPr>
          <w:rFonts w:ascii="Times New Roman" w:hAnsi="Times New Roman"/>
          <w:color w:val="000000"/>
          <w:shd w:val="clear" w:color="auto" w:fill="FFFFFF"/>
        </w:rPr>
        <w:t xml:space="preserve"> was not realistic</w:t>
      </w:r>
      <w:r w:rsidR="00563D93" w:rsidRPr="005E1802">
        <w:rPr>
          <w:rFonts w:ascii="Times New Roman" w:hAnsi="Times New Roman"/>
          <w:color w:val="000000"/>
          <w:shd w:val="clear" w:color="auto" w:fill="FFFFFF"/>
        </w:rPr>
        <w:t xml:space="preserve">. </w:t>
      </w:r>
      <w:r w:rsidR="002A5E6E" w:rsidRPr="005E1802">
        <w:rPr>
          <w:rFonts w:ascii="Times New Roman" w:hAnsi="Times New Roman"/>
          <w:color w:val="000000"/>
          <w:shd w:val="clear" w:color="auto" w:fill="FFFFFF"/>
        </w:rPr>
        <w:t>That might have been a tall order</w:t>
      </w:r>
      <w:r w:rsidR="001C4F3E" w:rsidRPr="005E1802">
        <w:rPr>
          <w:rFonts w:ascii="Times New Roman" w:hAnsi="Times New Roman"/>
          <w:color w:val="000000"/>
          <w:shd w:val="clear" w:color="auto" w:fill="FFFFFF"/>
        </w:rPr>
        <w:t xml:space="preserve"> given the </w:t>
      </w:r>
      <w:r w:rsidR="00D20620" w:rsidRPr="005E1802">
        <w:rPr>
          <w:rFonts w:ascii="Times New Roman" w:hAnsi="Times New Roman"/>
          <w:color w:val="000000"/>
          <w:shd w:val="clear" w:color="auto" w:fill="FFFFFF"/>
        </w:rPr>
        <w:t>centrality</w:t>
      </w:r>
      <w:r w:rsidR="001C4F3E" w:rsidRPr="005E1802">
        <w:rPr>
          <w:rFonts w:ascii="Times New Roman" w:hAnsi="Times New Roman"/>
          <w:color w:val="000000"/>
          <w:shd w:val="clear" w:color="auto" w:fill="FFFFFF"/>
        </w:rPr>
        <w:t xml:space="preserve"> of the issue on which counsel had not been permitted to complete his submission</w:t>
      </w:r>
      <w:r w:rsidR="0012394F" w:rsidRPr="005E1802">
        <w:rPr>
          <w:rFonts w:ascii="Times New Roman" w:hAnsi="Times New Roman"/>
          <w:color w:val="000000"/>
          <w:shd w:val="clear" w:color="auto" w:fill="FFFFFF"/>
        </w:rPr>
        <w:t>,</w:t>
      </w:r>
      <w:r w:rsidR="002A5E6E" w:rsidRPr="005E1802">
        <w:rPr>
          <w:rFonts w:ascii="Times New Roman" w:hAnsi="Times New Roman"/>
          <w:color w:val="000000"/>
          <w:shd w:val="clear" w:color="auto" w:fill="FFFFFF"/>
        </w:rPr>
        <w:t xml:space="preserve"> but not an </w:t>
      </w:r>
      <w:r w:rsidR="00BC364A" w:rsidRPr="005E1802">
        <w:rPr>
          <w:rFonts w:ascii="Times New Roman" w:hAnsi="Times New Roman"/>
          <w:color w:val="000000"/>
          <w:shd w:val="clear" w:color="auto" w:fill="FFFFFF"/>
        </w:rPr>
        <w:t xml:space="preserve">inherently </w:t>
      </w:r>
      <w:r w:rsidR="002A5E6E" w:rsidRPr="005E1802">
        <w:rPr>
          <w:rFonts w:ascii="Times New Roman" w:hAnsi="Times New Roman"/>
          <w:color w:val="000000"/>
          <w:shd w:val="clear" w:color="auto" w:fill="FFFFFF"/>
        </w:rPr>
        <w:t xml:space="preserve">impossible one. </w:t>
      </w:r>
      <w:r w:rsidR="001F5F0F" w:rsidRPr="005E1802">
        <w:rPr>
          <w:rFonts w:ascii="Times New Roman" w:hAnsi="Times New Roman"/>
          <w:color w:val="000000"/>
          <w:shd w:val="clear" w:color="auto" w:fill="FFFFFF"/>
        </w:rPr>
        <w:t>W</w:t>
      </w:r>
      <w:r w:rsidR="005764DF" w:rsidRPr="005E1802">
        <w:rPr>
          <w:rFonts w:ascii="Times New Roman" w:hAnsi="Times New Roman"/>
          <w:color w:val="000000"/>
          <w:shd w:val="clear" w:color="auto" w:fill="FFFFFF"/>
        </w:rPr>
        <w:t>hether</w:t>
      </w:r>
      <w:r w:rsidR="00B661B5" w:rsidRPr="005E1802">
        <w:rPr>
          <w:rFonts w:ascii="Times New Roman" w:hAnsi="Times New Roman"/>
          <w:color w:val="000000"/>
          <w:shd w:val="clear" w:color="auto" w:fill="FFFFFF"/>
        </w:rPr>
        <w:t xml:space="preserve"> </w:t>
      </w:r>
      <w:r w:rsidR="005764DF" w:rsidRPr="005E1802">
        <w:rPr>
          <w:rFonts w:ascii="Times New Roman" w:hAnsi="Times New Roman"/>
          <w:color w:val="000000"/>
          <w:shd w:val="clear" w:color="auto" w:fill="FFFFFF"/>
        </w:rPr>
        <w:t>the appe</w:t>
      </w:r>
      <w:r w:rsidR="00A32A45" w:rsidRPr="005E1802">
        <w:rPr>
          <w:rFonts w:ascii="Times New Roman" w:hAnsi="Times New Roman"/>
          <w:color w:val="000000"/>
          <w:shd w:val="clear" w:color="auto" w:fill="FFFFFF"/>
        </w:rPr>
        <w:t>llate</w:t>
      </w:r>
      <w:r w:rsidR="005764DF" w:rsidRPr="005E1802">
        <w:rPr>
          <w:rFonts w:ascii="Times New Roman" w:hAnsi="Times New Roman"/>
          <w:color w:val="000000"/>
          <w:shd w:val="clear" w:color="auto" w:fill="FFFFFF"/>
        </w:rPr>
        <w:t xml:space="preserve"> court was or was not </w:t>
      </w:r>
      <w:r w:rsidR="003E3153" w:rsidRPr="005E1802">
        <w:rPr>
          <w:rFonts w:ascii="Times New Roman" w:hAnsi="Times New Roman"/>
          <w:color w:val="000000"/>
          <w:shd w:val="clear" w:color="auto" w:fill="FFFFFF"/>
        </w:rPr>
        <w:t>satisfied</w:t>
      </w:r>
      <w:r w:rsidR="005764DF" w:rsidRPr="005E1802">
        <w:rPr>
          <w:rFonts w:ascii="Times New Roman" w:hAnsi="Times New Roman"/>
          <w:color w:val="000000"/>
          <w:shd w:val="clear" w:color="auto" w:fill="FFFFFF"/>
        </w:rPr>
        <w:t xml:space="preserve"> that </w:t>
      </w:r>
      <w:r w:rsidR="00352759" w:rsidRPr="005E1802">
        <w:rPr>
          <w:rFonts w:ascii="Times New Roman" w:hAnsi="Times New Roman"/>
          <w:color w:val="000000"/>
          <w:shd w:val="clear" w:color="auto" w:fill="FFFFFF"/>
        </w:rPr>
        <w:t xml:space="preserve">the appellant </w:t>
      </w:r>
      <w:r w:rsidR="001F5F0F" w:rsidRPr="005E1802">
        <w:rPr>
          <w:rFonts w:ascii="Times New Roman" w:hAnsi="Times New Roman"/>
          <w:color w:val="000000"/>
          <w:shd w:val="clear" w:color="auto" w:fill="FFFFFF"/>
        </w:rPr>
        <w:t>had be</w:t>
      </w:r>
      <w:r w:rsidR="00B64323" w:rsidRPr="005E1802">
        <w:rPr>
          <w:rFonts w:ascii="Times New Roman" w:hAnsi="Times New Roman"/>
          <w:color w:val="000000"/>
          <w:shd w:val="clear" w:color="auto" w:fill="FFFFFF"/>
        </w:rPr>
        <w:t>en deprived of</w:t>
      </w:r>
      <w:r w:rsidR="00942707" w:rsidRPr="005E1802">
        <w:rPr>
          <w:rFonts w:ascii="Times New Roman" w:hAnsi="Times New Roman"/>
          <w:color w:val="000000"/>
          <w:shd w:val="clear" w:color="auto" w:fill="FFFFFF"/>
        </w:rPr>
        <w:t xml:space="preserve"> </w:t>
      </w:r>
      <w:r w:rsidR="008A2B76" w:rsidRPr="005E1802">
        <w:rPr>
          <w:rFonts w:ascii="Times New Roman" w:hAnsi="Times New Roman"/>
          <w:color w:val="000000"/>
          <w:shd w:val="clear" w:color="auto" w:fill="FFFFFF"/>
        </w:rPr>
        <w:t xml:space="preserve">the realistic possibility of the trial judge having found a causal link </w:t>
      </w:r>
      <w:r w:rsidR="00947174" w:rsidRPr="005E1802">
        <w:rPr>
          <w:rFonts w:ascii="Times New Roman" w:hAnsi="Times New Roman"/>
          <w:color w:val="000000"/>
          <w:shd w:val="clear" w:color="auto" w:fill="FFFFFF"/>
        </w:rPr>
        <w:t>would then fall to be determined at the end of the whole of the argument</w:t>
      </w:r>
      <w:r w:rsidR="009B012E" w:rsidRPr="005E1802">
        <w:rPr>
          <w:rFonts w:ascii="Times New Roman" w:hAnsi="Times New Roman"/>
          <w:color w:val="000000"/>
          <w:shd w:val="clear" w:color="auto" w:fill="FFFFFF"/>
        </w:rPr>
        <w:t xml:space="preserve"> </w:t>
      </w:r>
      <w:r w:rsidR="00BE5608" w:rsidRPr="005E1802">
        <w:rPr>
          <w:rFonts w:ascii="Times New Roman" w:hAnsi="Times New Roman"/>
          <w:color w:val="000000"/>
          <w:shd w:val="clear" w:color="auto" w:fill="FFFFFF"/>
        </w:rPr>
        <w:t xml:space="preserve">on the appeal </w:t>
      </w:r>
      <w:r w:rsidR="009B012E" w:rsidRPr="005E1802">
        <w:rPr>
          <w:rFonts w:ascii="Times New Roman" w:hAnsi="Times New Roman"/>
          <w:color w:val="000000"/>
          <w:shd w:val="clear" w:color="auto" w:fill="FFFFFF"/>
        </w:rPr>
        <w:t xml:space="preserve">having regard to inferences </w:t>
      </w:r>
      <w:r w:rsidR="008A2B76" w:rsidRPr="005E1802">
        <w:rPr>
          <w:rFonts w:ascii="Times New Roman" w:hAnsi="Times New Roman"/>
          <w:color w:val="000000"/>
          <w:shd w:val="clear" w:color="auto" w:fill="FFFFFF"/>
        </w:rPr>
        <w:t xml:space="preserve">available </w:t>
      </w:r>
      <w:r w:rsidR="009B012E" w:rsidRPr="005E1802">
        <w:rPr>
          <w:rFonts w:ascii="Times New Roman" w:hAnsi="Times New Roman"/>
          <w:color w:val="000000"/>
          <w:shd w:val="clear" w:color="auto" w:fill="FFFFFF"/>
        </w:rPr>
        <w:t>to be drawn from the</w:t>
      </w:r>
      <w:r w:rsidR="008A2B76" w:rsidRPr="005E1802">
        <w:rPr>
          <w:rFonts w:ascii="Times New Roman" w:hAnsi="Times New Roman"/>
          <w:color w:val="000000"/>
          <w:shd w:val="clear" w:color="auto" w:fill="FFFFFF"/>
        </w:rPr>
        <w:t xml:space="preserve"> whole of the</w:t>
      </w:r>
      <w:r w:rsidR="009B012E" w:rsidRPr="005E1802">
        <w:rPr>
          <w:rFonts w:ascii="Times New Roman" w:hAnsi="Times New Roman"/>
          <w:color w:val="000000"/>
          <w:shd w:val="clear" w:color="auto" w:fill="FFFFFF"/>
        </w:rPr>
        <w:t xml:space="preserve"> appellate record</w:t>
      </w:r>
      <w:r w:rsidR="00931C5B" w:rsidRPr="005E1802">
        <w:rPr>
          <w:rFonts w:ascii="Times New Roman" w:hAnsi="Times New Roman"/>
          <w:color w:val="000000"/>
          <w:shd w:val="clear" w:color="auto" w:fill="FFFFFF"/>
        </w:rPr>
        <w:t>.</w:t>
      </w:r>
    </w:p>
    <w:p w14:paraId="4C2CF00F" w14:textId="31B49D51" w:rsidR="00D718FC" w:rsidRPr="005E1802" w:rsidRDefault="00537604" w:rsidP="005E1802">
      <w:pPr>
        <w:pStyle w:val="FixListStyle"/>
        <w:spacing w:after="260" w:line="280" w:lineRule="exact"/>
        <w:ind w:right="0"/>
        <w:jc w:val="both"/>
        <w:rPr>
          <w:rFonts w:ascii="Times New Roman" w:hAnsi="Times New Roman"/>
        </w:rPr>
      </w:pPr>
      <w:r w:rsidRPr="005E1802">
        <w:rPr>
          <w:rFonts w:ascii="Times New Roman" w:hAnsi="Times New Roman"/>
        </w:rPr>
        <w:lastRenderedPageBreak/>
        <w:tab/>
      </w:r>
      <w:r w:rsidR="00C83900" w:rsidRPr="005E1802">
        <w:rPr>
          <w:rFonts w:ascii="Times New Roman" w:hAnsi="Times New Roman"/>
        </w:rPr>
        <w:t xml:space="preserve">Once </w:t>
      </w:r>
      <w:r w:rsidR="00896ABB" w:rsidRPr="005E1802">
        <w:rPr>
          <w:rFonts w:ascii="Times New Roman" w:hAnsi="Times New Roman"/>
        </w:rPr>
        <w:t xml:space="preserve">it is </w:t>
      </w:r>
      <w:r w:rsidR="00C83900" w:rsidRPr="005E1802">
        <w:rPr>
          <w:rFonts w:ascii="Times New Roman" w:hAnsi="Times New Roman"/>
        </w:rPr>
        <w:t>ac</w:t>
      </w:r>
      <w:r w:rsidR="00C80EB7" w:rsidRPr="005E1802">
        <w:rPr>
          <w:rFonts w:ascii="Times New Roman" w:hAnsi="Times New Roman"/>
        </w:rPr>
        <w:t xml:space="preserve">knowledged that the inquiry </w:t>
      </w:r>
      <w:r w:rsidR="00841F02" w:rsidRPr="005E1802">
        <w:rPr>
          <w:rFonts w:ascii="Times New Roman" w:hAnsi="Times New Roman"/>
        </w:rPr>
        <w:t xml:space="preserve">postulated </w:t>
      </w:r>
      <w:r w:rsidR="0099243C" w:rsidRPr="005E1802">
        <w:rPr>
          <w:rFonts w:ascii="Times New Roman" w:hAnsi="Times New Roman"/>
        </w:rPr>
        <w:t>by</w:t>
      </w:r>
      <w:r w:rsidR="00841F02" w:rsidRPr="005E1802">
        <w:rPr>
          <w:rFonts w:ascii="Times New Roman" w:hAnsi="Times New Roman"/>
        </w:rPr>
        <w:t xml:space="preserve"> </w:t>
      </w:r>
      <w:r w:rsidR="00841F02" w:rsidRPr="005E1802">
        <w:rPr>
          <w:rFonts w:ascii="Times New Roman" w:hAnsi="Times New Roman"/>
          <w:i/>
        </w:rPr>
        <w:t>Stead</w:t>
      </w:r>
      <w:r w:rsidR="00841F02" w:rsidRPr="005E1802">
        <w:rPr>
          <w:rFonts w:ascii="Times New Roman" w:hAnsi="Times New Roman"/>
        </w:rPr>
        <w:t xml:space="preserve"> wa</w:t>
      </w:r>
      <w:r w:rsidR="0099243C" w:rsidRPr="005E1802">
        <w:rPr>
          <w:rFonts w:ascii="Times New Roman" w:hAnsi="Times New Roman"/>
        </w:rPr>
        <w:t xml:space="preserve">s </w:t>
      </w:r>
      <w:r w:rsidR="00EF24D1" w:rsidRPr="005E1802">
        <w:rPr>
          <w:rFonts w:ascii="Times New Roman" w:hAnsi="Times New Roman"/>
        </w:rPr>
        <w:t xml:space="preserve">as to </w:t>
      </w:r>
      <w:r w:rsidR="00A95CDB" w:rsidRPr="005E1802">
        <w:rPr>
          <w:rFonts w:ascii="Times New Roman" w:hAnsi="Times New Roman"/>
        </w:rPr>
        <w:t xml:space="preserve">whether or not the </w:t>
      </w:r>
      <w:r w:rsidR="00713E7B" w:rsidRPr="005E1802">
        <w:rPr>
          <w:rFonts w:ascii="Times New Roman" w:hAnsi="Times New Roman"/>
        </w:rPr>
        <w:t xml:space="preserve">appellate </w:t>
      </w:r>
      <w:r w:rsidR="00A12B62" w:rsidRPr="005E1802">
        <w:rPr>
          <w:rFonts w:ascii="Times New Roman" w:hAnsi="Times New Roman"/>
        </w:rPr>
        <w:t xml:space="preserve">court </w:t>
      </w:r>
      <w:r w:rsidR="00FE5E2C" w:rsidRPr="005E1802">
        <w:rPr>
          <w:rFonts w:ascii="Times New Roman" w:hAnsi="Times New Roman"/>
        </w:rPr>
        <w:t>was</w:t>
      </w:r>
      <w:r w:rsidR="00A12B62" w:rsidRPr="005E1802">
        <w:rPr>
          <w:rFonts w:ascii="Times New Roman" w:hAnsi="Times New Roman"/>
        </w:rPr>
        <w:t xml:space="preserve"> </w:t>
      </w:r>
      <w:r w:rsidR="00A13028" w:rsidRPr="005E1802">
        <w:rPr>
          <w:rFonts w:ascii="Times New Roman" w:hAnsi="Times New Roman"/>
        </w:rPr>
        <w:t xml:space="preserve">ultimately to be </w:t>
      </w:r>
      <w:r w:rsidR="00A12B62" w:rsidRPr="005E1802">
        <w:rPr>
          <w:rFonts w:ascii="Times New Roman" w:hAnsi="Times New Roman"/>
        </w:rPr>
        <w:t xml:space="preserve">satisfied that </w:t>
      </w:r>
      <w:r w:rsidR="00FE5E2C" w:rsidRPr="005E1802">
        <w:rPr>
          <w:rFonts w:ascii="Times New Roman" w:hAnsi="Times New Roman"/>
        </w:rPr>
        <w:t xml:space="preserve">the </w:t>
      </w:r>
      <w:r w:rsidR="00B304F5" w:rsidRPr="005E1802">
        <w:rPr>
          <w:rFonts w:ascii="Times New Roman" w:hAnsi="Times New Roman"/>
        </w:rPr>
        <w:t xml:space="preserve">outcome </w:t>
      </w:r>
      <w:r w:rsidR="00A12B62" w:rsidRPr="005E1802">
        <w:rPr>
          <w:rFonts w:ascii="Times New Roman" w:hAnsi="Times New Roman"/>
        </w:rPr>
        <w:t>of</w:t>
      </w:r>
      <w:r w:rsidR="00B304F5" w:rsidRPr="005E1802">
        <w:rPr>
          <w:rFonts w:ascii="Times New Roman" w:hAnsi="Times New Roman"/>
        </w:rPr>
        <w:t xml:space="preserve"> the trial could realistically have been different </w:t>
      </w:r>
      <w:r w:rsidR="00EF07BE" w:rsidRPr="005E1802">
        <w:rPr>
          <w:rFonts w:ascii="Times New Roman" w:hAnsi="Times New Roman"/>
        </w:rPr>
        <w:t xml:space="preserve">had </w:t>
      </w:r>
      <w:r w:rsidR="000F5F20" w:rsidRPr="005E1802">
        <w:rPr>
          <w:rFonts w:ascii="Times New Roman" w:hAnsi="Times New Roman"/>
        </w:rPr>
        <w:t xml:space="preserve">the procedural error that in fact occurred not occurred, </w:t>
      </w:r>
      <w:r w:rsidR="00F36E25" w:rsidRPr="005E1802">
        <w:rPr>
          <w:rFonts w:ascii="Times New Roman" w:hAnsi="Times New Roman"/>
        </w:rPr>
        <w:t>what</w:t>
      </w:r>
      <w:r w:rsidR="000F5F20" w:rsidRPr="005E1802">
        <w:rPr>
          <w:rFonts w:ascii="Times New Roman" w:hAnsi="Times New Roman"/>
        </w:rPr>
        <w:t xml:space="preserve"> </w:t>
      </w:r>
      <w:r w:rsidR="00C53CD3" w:rsidRPr="005E1802">
        <w:rPr>
          <w:rFonts w:ascii="Times New Roman" w:hAnsi="Times New Roman"/>
        </w:rPr>
        <w:t>becomes</w:t>
      </w:r>
      <w:r w:rsidR="000F5F20" w:rsidRPr="005E1802">
        <w:rPr>
          <w:rFonts w:ascii="Times New Roman" w:hAnsi="Times New Roman"/>
        </w:rPr>
        <w:t xml:space="preserve"> apparent </w:t>
      </w:r>
      <w:r w:rsidR="00F36E25" w:rsidRPr="005E1802">
        <w:rPr>
          <w:rFonts w:ascii="Times New Roman" w:hAnsi="Times New Roman"/>
        </w:rPr>
        <w:t xml:space="preserve">is </w:t>
      </w:r>
      <w:r w:rsidR="00FE5E2C" w:rsidRPr="005E1802">
        <w:rPr>
          <w:rFonts w:ascii="Times New Roman" w:hAnsi="Times New Roman"/>
        </w:rPr>
        <w:t>that the inquiry</w:t>
      </w:r>
      <w:r w:rsidR="002C3C92" w:rsidRPr="005E1802">
        <w:rPr>
          <w:rFonts w:ascii="Times New Roman" w:hAnsi="Times New Roman"/>
        </w:rPr>
        <w:t xml:space="preserve"> postulated by </w:t>
      </w:r>
      <w:r w:rsidR="002C3C92" w:rsidRPr="005E1802">
        <w:rPr>
          <w:rFonts w:ascii="Times New Roman" w:hAnsi="Times New Roman"/>
          <w:i/>
        </w:rPr>
        <w:t xml:space="preserve">Stead </w:t>
      </w:r>
      <w:r w:rsidR="008A39A6" w:rsidRPr="005E1802">
        <w:rPr>
          <w:rFonts w:ascii="Times New Roman" w:hAnsi="Times New Roman"/>
        </w:rPr>
        <w:t>wa</w:t>
      </w:r>
      <w:r w:rsidR="002C3C92" w:rsidRPr="005E1802">
        <w:rPr>
          <w:rFonts w:ascii="Times New Roman" w:hAnsi="Times New Roman"/>
        </w:rPr>
        <w:t xml:space="preserve">s not different in substance </w:t>
      </w:r>
      <w:r w:rsidR="007D5F3D" w:rsidRPr="005E1802">
        <w:rPr>
          <w:rFonts w:ascii="Times New Roman" w:hAnsi="Times New Roman"/>
        </w:rPr>
        <w:t xml:space="preserve">from </w:t>
      </w:r>
      <w:r w:rsidR="002C3C92" w:rsidRPr="005E1802">
        <w:rPr>
          <w:rFonts w:ascii="Times New Roman" w:hAnsi="Times New Roman"/>
        </w:rPr>
        <w:t xml:space="preserve">the inquiry postulated by </w:t>
      </w:r>
      <w:r w:rsidR="00DA0CA2" w:rsidRPr="005E1802">
        <w:rPr>
          <w:rFonts w:ascii="Times New Roman" w:hAnsi="Times New Roman"/>
          <w:i/>
        </w:rPr>
        <w:t>Balenzuela</w:t>
      </w:r>
      <w:r w:rsidR="00DA0CA2" w:rsidRPr="005E1802">
        <w:rPr>
          <w:rFonts w:ascii="Times New Roman" w:hAnsi="Times New Roman"/>
        </w:rPr>
        <w:t xml:space="preserve"> </w:t>
      </w:r>
      <w:r w:rsidR="002C3C92" w:rsidRPr="005E1802">
        <w:rPr>
          <w:rFonts w:ascii="Times New Roman" w:hAnsi="Times New Roman"/>
        </w:rPr>
        <w:t xml:space="preserve">as explained in </w:t>
      </w:r>
      <w:r w:rsidR="002C3C92" w:rsidRPr="005E1802">
        <w:rPr>
          <w:rFonts w:ascii="Times New Roman" w:hAnsi="Times New Roman"/>
          <w:i/>
          <w:iCs/>
          <w:color w:val="000000"/>
          <w:shd w:val="clear" w:color="auto" w:fill="FFFFFF"/>
        </w:rPr>
        <w:t>Acquilina</w:t>
      </w:r>
      <w:r w:rsidR="00DA0CA2" w:rsidRPr="005E1802">
        <w:rPr>
          <w:rFonts w:ascii="Times New Roman" w:hAnsi="Times New Roman"/>
          <w:iCs/>
          <w:color w:val="000000"/>
          <w:shd w:val="clear" w:color="auto" w:fill="FFFFFF"/>
        </w:rPr>
        <w:t xml:space="preserve">. </w:t>
      </w:r>
      <w:r w:rsidR="00F36E25" w:rsidRPr="005E1802">
        <w:rPr>
          <w:rFonts w:ascii="Times New Roman" w:hAnsi="Times New Roman"/>
          <w:iCs/>
          <w:color w:val="000000"/>
          <w:shd w:val="clear" w:color="auto" w:fill="FFFFFF"/>
        </w:rPr>
        <w:t>What</w:t>
      </w:r>
      <w:r w:rsidR="00896ABB" w:rsidRPr="005E1802">
        <w:rPr>
          <w:rFonts w:ascii="Times New Roman" w:hAnsi="Times New Roman"/>
          <w:iCs/>
          <w:color w:val="000000"/>
          <w:shd w:val="clear" w:color="auto" w:fill="FFFFFF"/>
        </w:rPr>
        <w:t xml:space="preserve"> also </w:t>
      </w:r>
      <w:r w:rsidR="00C53CD3" w:rsidRPr="005E1802">
        <w:rPr>
          <w:rFonts w:ascii="Times New Roman" w:hAnsi="Times New Roman"/>
          <w:iCs/>
          <w:color w:val="000000"/>
          <w:shd w:val="clear" w:color="auto" w:fill="FFFFFF"/>
        </w:rPr>
        <w:t xml:space="preserve">becomes </w:t>
      </w:r>
      <w:r w:rsidR="00896ABB" w:rsidRPr="005E1802">
        <w:rPr>
          <w:rFonts w:ascii="Times New Roman" w:hAnsi="Times New Roman"/>
          <w:iCs/>
          <w:color w:val="000000"/>
          <w:shd w:val="clear" w:color="auto" w:fill="FFFFFF"/>
        </w:rPr>
        <w:t xml:space="preserve">apparent </w:t>
      </w:r>
      <w:r w:rsidR="00F36E25" w:rsidRPr="005E1802">
        <w:rPr>
          <w:rFonts w:ascii="Times New Roman" w:hAnsi="Times New Roman"/>
          <w:iCs/>
          <w:color w:val="000000"/>
          <w:shd w:val="clear" w:color="auto" w:fill="FFFFFF"/>
        </w:rPr>
        <w:t xml:space="preserve">is </w:t>
      </w:r>
      <w:r w:rsidR="00EF55F5" w:rsidRPr="005E1802">
        <w:rPr>
          <w:rFonts w:ascii="Times New Roman" w:hAnsi="Times New Roman"/>
        </w:rPr>
        <w:t>that, alt</w:t>
      </w:r>
      <w:r w:rsidRPr="005E1802">
        <w:rPr>
          <w:rFonts w:ascii="Times New Roman" w:hAnsi="Times New Roman"/>
        </w:rPr>
        <w:t>hough</w:t>
      </w:r>
      <w:r w:rsidR="00EF55F5" w:rsidRPr="005E1802">
        <w:rPr>
          <w:rFonts w:ascii="Times New Roman" w:hAnsi="Times New Roman"/>
        </w:rPr>
        <w:t xml:space="preserve"> </w:t>
      </w:r>
      <w:r w:rsidR="00216644" w:rsidRPr="005E1802">
        <w:rPr>
          <w:rFonts w:ascii="Times New Roman" w:hAnsi="Times New Roman"/>
        </w:rPr>
        <w:t xml:space="preserve">directed to determining </w:t>
      </w:r>
      <w:r w:rsidR="009C2F2B" w:rsidRPr="005E1802">
        <w:rPr>
          <w:rFonts w:ascii="Times New Roman" w:hAnsi="Times New Roman"/>
        </w:rPr>
        <w:t xml:space="preserve">whether </w:t>
      </w:r>
      <w:r w:rsidR="008917C8" w:rsidRPr="005E1802">
        <w:rPr>
          <w:rFonts w:ascii="Times New Roman" w:hAnsi="Times New Roman"/>
        </w:rPr>
        <w:t xml:space="preserve">an </w:t>
      </w:r>
      <w:r w:rsidR="00216644" w:rsidRPr="005E1802">
        <w:rPr>
          <w:rFonts w:ascii="Times New Roman" w:hAnsi="Times New Roman"/>
        </w:rPr>
        <w:t>erro</w:t>
      </w:r>
      <w:r w:rsidR="008917C8" w:rsidRPr="005E1802">
        <w:rPr>
          <w:rFonts w:ascii="Times New Roman" w:hAnsi="Times New Roman"/>
        </w:rPr>
        <w:t>r</w:t>
      </w:r>
      <w:r w:rsidR="00216644" w:rsidRPr="005E1802">
        <w:rPr>
          <w:rFonts w:ascii="Times New Roman" w:hAnsi="Times New Roman"/>
        </w:rPr>
        <w:t xml:space="preserve"> in </w:t>
      </w:r>
      <w:r w:rsidR="00B37ED1" w:rsidRPr="005E1802">
        <w:rPr>
          <w:rFonts w:ascii="Times New Roman" w:hAnsi="Times New Roman"/>
        </w:rPr>
        <w:t>a</w:t>
      </w:r>
      <w:r w:rsidR="00216644" w:rsidRPr="005E1802">
        <w:rPr>
          <w:rFonts w:ascii="Times New Roman" w:hAnsi="Times New Roman"/>
        </w:rPr>
        <w:t xml:space="preserve"> decision-making process</w:t>
      </w:r>
      <w:r w:rsidR="001E2E03" w:rsidRPr="005E1802">
        <w:rPr>
          <w:rFonts w:ascii="Times New Roman" w:hAnsi="Times New Roman"/>
        </w:rPr>
        <w:t xml:space="preserve"> </w:t>
      </w:r>
      <w:r w:rsidR="00746D83" w:rsidRPr="005E1802">
        <w:rPr>
          <w:rFonts w:ascii="Times New Roman" w:hAnsi="Times New Roman"/>
        </w:rPr>
        <w:t>engaged in by</w:t>
      </w:r>
      <w:r w:rsidR="001E2E03" w:rsidRPr="005E1802">
        <w:rPr>
          <w:rFonts w:ascii="Times New Roman" w:hAnsi="Times New Roman"/>
        </w:rPr>
        <w:t xml:space="preserve"> </w:t>
      </w:r>
      <w:r w:rsidR="008917C8" w:rsidRPr="005E1802">
        <w:rPr>
          <w:rFonts w:ascii="Times New Roman" w:hAnsi="Times New Roman"/>
        </w:rPr>
        <w:t>a</w:t>
      </w:r>
      <w:r w:rsidR="001E2E03" w:rsidRPr="005E1802">
        <w:rPr>
          <w:rFonts w:ascii="Times New Roman" w:hAnsi="Times New Roman"/>
        </w:rPr>
        <w:t xml:space="preserve"> court</w:t>
      </w:r>
      <w:r w:rsidR="008917C8" w:rsidRPr="005E1802">
        <w:rPr>
          <w:rFonts w:ascii="Times New Roman" w:hAnsi="Times New Roman"/>
        </w:rPr>
        <w:t xml:space="preserve"> should result in an order for a new trial</w:t>
      </w:r>
      <w:r w:rsidR="00EF55F5" w:rsidRPr="005E1802">
        <w:rPr>
          <w:rFonts w:ascii="Times New Roman" w:hAnsi="Times New Roman"/>
        </w:rPr>
        <w:t xml:space="preserve">, the inquiries postulated </w:t>
      </w:r>
      <w:r w:rsidR="00A94EBF" w:rsidRPr="005E1802">
        <w:rPr>
          <w:rFonts w:ascii="Times New Roman" w:hAnsi="Times New Roman"/>
        </w:rPr>
        <w:t xml:space="preserve">by </w:t>
      </w:r>
      <w:r w:rsidR="00A94EBF" w:rsidRPr="005E1802">
        <w:rPr>
          <w:rFonts w:ascii="Times New Roman" w:hAnsi="Times New Roman"/>
          <w:i/>
        </w:rPr>
        <w:t>Balenzuela</w:t>
      </w:r>
      <w:r w:rsidR="00A94EBF" w:rsidRPr="005E1802">
        <w:rPr>
          <w:rFonts w:ascii="Times New Roman" w:hAnsi="Times New Roman"/>
        </w:rPr>
        <w:t xml:space="preserve"> and </w:t>
      </w:r>
      <w:r w:rsidR="00A94EBF" w:rsidRPr="005E1802">
        <w:rPr>
          <w:rFonts w:ascii="Times New Roman" w:hAnsi="Times New Roman"/>
          <w:i/>
        </w:rPr>
        <w:t xml:space="preserve">Stead </w:t>
      </w:r>
      <w:r w:rsidR="007D5F3D" w:rsidRPr="005E1802">
        <w:rPr>
          <w:rFonts w:ascii="Times New Roman" w:hAnsi="Times New Roman"/>
        </w:rPr>
        <w:t>are not different in substance</w:t>
      </w:r>
      <w:r w:rsidR="00203E60" w:rsidRPr="005E1802">
        <w:rPr>
          <w:rFonts w:ascii="Times New Roman" w:hAnsi="Times New Roman"/>
        </w:rPr>
        <w:t xml:space="preserve"> from</w:t>
      </w:r>
      <w:r w:rsidR="00E419EE" w:rsidRPr="005E1802">
        <w:rPr>
          <w:rFonts w:ascii="Times New Roman" w:hAnsi="Times New Roman"/>
        </w:rPr>
        <w:t xml:space="preserve"> </w:t>
      </w:r>
      <w:r w:rsidR="007D5F3D" w:rsidRPr="005E1802">
        <w:rPr>
          <w:rFonts w:ascii="Times New Roman" w:hAnsi="Times New Roman"/>
        </w:rPr>
        <w:t xml:space="preserve">the inquiry postulated by </w:t>
      </w:r>
      <w:r w:rsidR="00711000" w:rsidRPr="005E1802">
        <w:rPr>
          <w:rFonts w:ascii="Times New Roman" w:hAnsi="Times New Roman"/>
          <w:i/>
        </w:rPr>
        <w:t>SZMTA</w:t>
      </w:r>
      <w:r w:rsidR="00711000" w:rsidRPr="005E1802">
        <w:rPr>
          <w:rFonts w:ascii="Times New Roman" w:hAnsi="Times New Roman"/>
        </w:rPr>
        <w:t xml:space="preserve"> </w:t>
      </w:r>
      <w:r w:rsidR="00486E34" w:rsidRPr="005E1802">
        <w:rPr>
          <w:rFonts w:ascii="Times New Roman" w:hAnsi="Times New Roman"/>
        </w:rPr>
        <w:t>directed</w:t>
      </w:r>
      <w:r w:rsidR="00746D83" w:rsidRPr="005E1802">
        <w:rPr>
          <w:rFonts w:ascii="Times New Roman" w:hAnsi="Times New Roman"/>
        </w:rPr>
        <w:t xml:space="preserve"> to determining whether an error in </w:t>
      </w:r>
      <w:r w:rsidR="00486E34" w:rsidRPr="005E1802">
        <w:rPr>
          <w:rFonts w:ascii="Times New Roman" w:hAnsi="Times New Roman"/>
        </w:rPr>
        <w:t>a</w:t>
      </w:r>
      <w:r w:rsidR="00746D83" w:rsidRPr="005E1802">
        <w:rPr>
          <w:rFonts w:ascii="Times New Roman" w:hAnsi="Times New Roman"/>
        </w:rPr>
        <w:t xml:space="preserve"> decision-making process engaged in by an administrator has resulted in jurisdictional error</w:t>
      </w:r>
      <w:r w:rsidR="00711000" w:rsidRPr="005E1802">
        <w:rPr>
          <w:rFonts w:ascii="Times New Roman" w:hAnsi="Times New Roman"/>
        </w:rPr>
        <w:t xml:space="preserve">. </w:t>
      </w:r>
    </w:p>
    <w:p w14:paraId="6C40B528" w14:textId="7B3A204A" w:rsidR="008F55F1" w:rsidRPr="005E1802" w:rsidRDefault="008F55F1"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2C3E3F" w:rsidRPr="005E1802">
        <w:rPr>
          <w:rFonts w:ascii="Times New Roman" w:hAnsi="Times New Roman"/>
        </w:rPr>
        <w:t xml:space="preserve">Just as a court </w:t>
      </w:r>
      <w:r w:rsidR="003401B6" w:rsidRPr="005E1802">
        <w:rPr>
          <w:rFonts w:ascii="Times New Roman" w:hAnsi="Times New Roman"/>
        </w:rPr>
        <w:t>called upon to determine whether</w:t>
      </w:r>
      <w:r w:rsidR="006D19FA" w:rsidRPr="005E1802">
        <w:rPr>
          <w:rFonts w:ascii="Times New Roman" w:hAnsi="Times New Roman"/>
        </w:rPr>
        <w:t xml:space="preserve"> a new trial </w:t>
      </w:r>
      <w:r w:rsidR="0025069B" w:rsidRPr="005E1802">
        <w:rPr>
          <w:rFonts w:ascii="Times New Roman" w:hAnsi="Times New Roman"/>
        </w:rPr>
        <w:t xml:space="preserve">should be ordered </w:t>
      </w:r>
      <w:r w:rsidR="00DC7A29" w:rsidRPr="005E1802">
        <w:rPr>
          <w:rFonts w:ascii="Times New Roman" w:hAnsi="Times New Roman"/>
        </w:rPr>
        <w:t xml:space="preserve">must be </w:t>
      </w:r>
      <w:r w:rsidR="00DD6A77" w:rsidRPr="005E1802">
        <w:rPr>
          <w:rFonts w:ascii="Times New Roman" w:hAnsi="Times New Roman"/>
        </w:rPr>
        <w:t>careful</w:t>
      </w:r>
      <w:r w:rsidR="004F0202" w:rsidRPr="005E1802">
        <w:rPr>
          <w:rFonts w:ascii="Times New Roman" w:hAnsi="Times New Roman"/>
        </w:rPr>
        <w:t xml:space="preserve"> not</w:t>
      </w:r>
      <w:r w:rsidR="00DD6A77" w:rsidRPr="005E1802">
        <w:rPr>
          <w:rFonts w:ascii="Times New Roman" w:hAnsi="Times New Roman"/>
        </w:rPr>
        <w:t xml:space="preserve"> to assume the function of the primary </w:t>
      </w:r>
      <w:r w:rsidR="00665434" w:rsidRPr="005E1802">
        <w:rPr>
          <w:rFonts w:ascii="Times New Roman" w:hAnsi="Times New Roman"/>
        </w:rPr>
        <w:t xml:space="preserve">trier of fact (whether it be a judge or a jury), so </w:t>
      </w:r>
      <w:r w:rsidR="003401B6" w:rsidRPr="005E1802">
        <w:rPr>
          <w:rFonts w:ascii="Times New Roman" w:hAnsi="Times New Roman"/>
        </w:rPr>
        <w:t>a court called upon to determine whether</w:t>
      </w:r>
      <w:r w:rsidR="00EF2B36" w:rsidRPr="005E1802">
        <w:rPr>
          <w:rFonts w:ascii="Times New Roman" w:hAnsi="Times New Roman"/>
        </w:rPr>
        <w:t xml:space="preserve"> jurisdictional error </w:t>
      </w:r>
      <w:r w:rsidR="00737796" w:rsidRPr="005E1802">
        <w:rPr>
          <w:rFonts w:ascii="Times New Roman" w:hAnsi="Times New Roman"/>
        </w:rPr>
        <w:t xml:space="preserve">has occurred </w:t>
      </w:r>
      <w:r w:rsidR="00736B40" w:rsidRPr="005E1802">
        <w:rPr>
          <w:rFonts w:ascii="Times New Roman" w:hAnsi="Times New Roman"/>
        </w:rPr>
        <w:t>must be careful not to assume the function of the</w:t>
      </w:r>
      <w:r w:rsidR="00002CAE" w:rsidRPr="005E1802">
        <w:rPr>
          <w:rFonts w:ascii="Times New Roman" w:hAnsi="Times New Roman"/>
        </w:rPr>
        <w:t xml:space="preserve"> decision-maker</w:t>
      </w:r>
      <w:r w:rsidR="000A0C10" w:rsidRPr="005E1802">
        <w:rPr>
          <w:rFonts w:ascii="Times New Roman" w:hAnsi="Times New Roman"/>
        </w:rPr>
        <w:t xml:space="preserve">. </w:t>
      </w:r>
      <w:r w:rsidR="000D158C" w:rsidRPr="005E1802">
        <w:rPr>
          <w:rFonts w:ascii="Times New Roman" w:hAnsi="Times New Roman"/>
        </w:rPr>
        <w:t>Faced with a pro</w:t>
      </w:r>
      <w:r w:rsidR="00D814D5" w:rsidRPr="005E1802">
        <w:rPr>
          <w:rFonts w:ascii="Times New Roman" w:hAnsi="Times New Roman"/>
        </w:rPr>
        <w:t xml:space="preserve">cedural irregularity having been shown to have occurred in </w:t>
      </w:r>
      <w:r w:rsidR="002C7D6C" w:rsidRPr="005E1802">
        <w:rPr>
          <w:rFonts w:ascii="Times New Roman" w:hAnsi="Times New Roman"/>
        </w:rPr>
        <w:t>a</w:t>
      </w:r>
      <w:r w:rsidR="00D814D5" w:rsidRPr="005E1802">
        <w:rPr>
          <w:rFonts w:ascii="Times New Roman" w:hAnsi="Times New Roman"/>
        </w:rPr>
        <w:t xml:space="preserve"> decision-making process</w:t>
      </w:r>
      <w:r w:rsidR="00725558" w:rsidRPr="005E1802">
        <w:rPr>
          <w:rFonts w:ascii="Times New Roman" w:hAnsi="Times New Roman"/>
        </w:rPr>
        <w:t>, t</w:t>
      </w:r>
      <w:r w:rsidR="00F06E0D" w:rsidRPr="005E1802">
        <w:rPr>
          <w:rFonts w:ascii="Times New Roman" w:hAnsi="Times New Roman"/>
        </w:rPr>
        <w:t>he cou</w:t>
      </w:r>
      <w:r w:rsidR="000D158C" w:rsidRPr="005E1802">
        <w:rPr>
          <w:rFonts w:ascii="Times New Roman" w:hAnsi="Times New Roman"/>
        </w:rPr>
        <w:t xml:space="preserve">rt is nevertheless </w:t>
      </w:r>
      <w:r w:rsidR="00D41050" w:rsidRPr="005E1802">
        <w:rPr>
          <w:rFonts w:ascii="Times New Roman" w:hAnsi="Times New Roman"/>
        </w:rPr>
        <w:t xml:space="preserve">in each case </w:t>
      </w:r>
      <w:r w:rsidR="00725558" w:rsidRPr="005E1802">
        <w:rPr>
          <w:rFonts w:ascii="Times New Roman" w:hAnsi="Times New Roman"/>
        </w:rPr>
        <w:t>charged with the responsibility of determining</w:t>
      </w:r>
      <w:r w:rsidR="002C7D6C" w:rsidRPr="005E1802">
        <w:rPr>
          <w:rFonts w:ascii="Times New Roman" w:hAnsi="Times New Roman"/>
        </w:rPr>
        <w:t xml:space="preserve"> for itself </w:t>
      </w:r>
      <w:r w:rsidR="002C0AF8" w:rsidRPr="005E1802">
        <w:rPr>
          <w:rFonts w:ascii="Times New Roman" w:hAnsi="Times New Roman"/>
        </w:rPr>
        <w:t xml:space="preserve">whether the </w:t>
      </w:r>
      <w:r w:rsidR="00D66AEA" w:rsidRPr="005E1802">
        <w:rPr>
          <w:rFonts w:ascii="Times New Roman" w:hAnsi="Times New Roman"/>
        </w:rPr>
        <w:t xml:space="preserve">result </w:t>
      </w:r>
      <w:r w:rsidR="00FC12B4" w:rsidRPr="005E1802">
        <w:rPr>
          <w:rFonts w:ascii="Times New Roman" w:hAnsi="Times New Roman"/>
        </w:rPr>
        <w:t>in fact arrived at by the decision-maker in</w:t>
      </w:r>
      <w:r w:rsidR="00D66AEA" w:rsidRPr="005E1802">
        <w:rPr>
          <w:rFonts w:ascii="Times New Roman" w:hAnsi="Times New Roman"/>
        </w:rPr>
        <w:t xml:space="preserve"> the decision-making</w:t>
      </w:r>
      <w:r w:rsidR="00B917F0" w:rsidRPr="005E1802">
        <w:rPr>
          <w:rFonts w:ascii="Times New Roman" w:hAnsi="Times New Roman"/>
        </w:rPr>
        <w:t xml:space="preserve"> process</w:t>
      </w:r>
      <w:r w:rsidR="002C0AF8" w:rsidRPr="005E1802">
        <w:rPr>
          <w:rFonts w:ascii="Times New Roman" w:hAnsi="Times New Roman"/>
        </w:rPr>
        <w:t xml:space="preserve"> could</w:t>
      </w:r>
      <w:r w:rsidR="00B917F0" w:rsidRPr="005E1802">
        <w:rPr>
          <w:rFonts w:ascii="Times New Roman" w:hAnsi="Times New Roman"/>
        </w:rPr>
        <w:t xml:space="preserve"> realistically have been different </w:t>
      </w:r>
      <w:r w:rsidR="006F259B" w:rsidRPr="005E1802">
        <w:rPr>
          <w:rFonts w:ascii="Times New Roman" w:hAnsi="Times New Roman"/>
        </w:rPr>
        <w:t xml:space="preserve">had </w:t>
      </w:r>
      <w:r w:rsidR="00AC36B5" w:rsidRPr="005E1802">
        <w:rPr>
          <w:rFonts w:ascii="Times New Roman" w:hAnsi="Times New Roman"/>
        </w:rPr>
        <w:t xml:space="preserve">that </w:t>
      </w:r>
      <w:r w:rsidR="006F259B" w:rsidRPr="005E1802">
        <w:rPr>
          <w:rFonts w:ascii="Times New Roman" w:hAnsi="Times New Roman"/>
        </w:rPr>
        <w:t>procedural irregularity not occurred.</w:t>
      </w:r>
    </w:p>
    <w:p w14:paraId="61F4CE10" w14:textId="415274A0" w:rsidR="001232B5" w:rsidRPr="005E1802" w:rsidRDefault="00D718FC" w:rsidP="005E1802">
      <w:pPr>
        <w:pStyle w:val="FixListStyle"/>
        <w:spacing w:after="260" w:line="280" w:lineRule="exact"/>
        <w:ind w:right="0"/>
        <w:jc w:val="both"/>
        <w:rPr>
          <w:rFonts w:ascii="Times New Roman" w:hAnsi="Times New Roman"/>
        </w:rPr>
      </w:pPr>
      <w:r w:rsidRPr="005E1802">
        <w:rPr>
          <w:rFonts w:ascii="Times New Roman" w:hAnsi="Times New Roman"/>
        </w:rPr>
        <w:tab/>
        <w:t>T</w:t>
      </w:r>
      <w:r w:rsidR="00A8669F" w:rsidRPr="005E1802">
        <w:rPr>
          <w:rFonts w:ascii="Times New Roman" w:hAnsi="Times New Roman"/>
        </w:rPr>
        <w:t>o the extent that there</w:t>
      </w:r>
      <w:r w:rsidR="008D4211" w:rsidRPr="005E1802">
        <w:rPr>
          <w:rFonts w:ascii="Times New Roman" w:hAnsi="Times New Roman"/>
        </w:rPr>
        <w:t xml:space="preserve"> </w:t>
      </w:r>
      <w:r w:rsidR="00D30971" w:rsidRPr="005E1802">
        <w:rPr>
          <w:rFonts w:ascii="Times New Roman" w:hAnsi="Times New Roman"/>
        </w:rPr>
        <w:t>can be said to be</w:t>
      </w:r>
      <w:r w:rsidR="008D4211" w:rsidRPr="005E1802">
        <w:rPr>
          <w:rFonts w:ascii="Times New Roman" w:hAnsi="Times New Roman"/>
        </w:rPr>
        <w:t xml:space="preserve"> a</w:t>
      </w:r>
      <w:r w:rsidR="00865648" w:rsidRPr="005E1802">
        <w:rPr>
          <w:rFonts w:ascii="Times New Roman" w:hAnsi="Times New Roman"/>
        </w:rPr>
        <w:t xml:space="preserve"> difference </w:t>
      </w:r>
      <w:r w:rsidR="008B79CC" w:rsidRPr="005E1802">
        <w:rPr>
          <w:rFonts w:ascii="Times New Roman" w:hAnsi="Times New Roman"/>
        </w:rPr>
        <w:t>between</w:t>
      </w:r>
      <w:r w:rsidR="001E08E4" w:rsidRPr="005E1802">
        <w:rPr>
          <w:rFonts w:ascii="Times New Roman" w:hAnsi="Times New Roman"/>
        </w:rPr>
        <w:t xml:space="preserve"> the </w:t>
      </w:r>
      <w:r w:rsidR="0041230A" w:rsidRPr="005E1802">
        <w:rPr>
          <w:rFonts w:ascii="Times New Roman" w:hAnsi="Times New Roman"/>
        </w:rPr>
        <w:t>approach</w:t>
      </w:r>
      <w:r w:rsidR="00FC12B4" w:rsidRPr="005E1802">
        <w:rPr>
          <w:rFonts w:ascii="Times New Roman" w:hAnsi="Times New Roman"/>
        </w:rPr>
        <w:t xml:space="preserve"> that</w:t>
      </w:r>
      <w:r w:rsidR="009A0982" w:rsidRPr="005E1802">
        <w:rPr>
          <w:rFonts w:ascii="Times New Roman" w:hAnsi="Times New Roman"/>
        </w:rPr>
        <w:t xml:space="preserve"> </w:t>
      </w:r>
      <w:r w:rsidR="008B79CC" w:rsidRPr="005E1802">
        <w:rPr>
          <w:rFonts w:ascii="Times New Roman" w:hAnsi="Times New Roman"/>
          <w:i/>
        </w:rPr>
        <w:t xml:space="preserve">Balenzuela </w:t>
      </w:r>
      <w:r w:rsidR="008B79CC" w:rsidRPr="005E1802">
        <w:rPr>
          <w:rFonts w:ascii="Times New Roman" w:hAnsi="Times New Roman"/>
        </w:rPr>
        <w:t xml:space="preserve">and </w:t>
      </w:r>
      <w:r w:rsidR="008B79CC" w:rsidRPr="005E1802">
        <w:rPr>
          <w:rFonts w:ascii="Times New Roman" w:hAnsi="Times New Roman"/>
          <w:i/>
        </w:rPr>
        <w:t>Stead</w:t>
      </w:r>
      <w:r w:rsidR="001E08E4" w:rsidRPr="005E1802">
        <w:rPr>
          <w:rFonts w:ascii="Times New Roman" w:hAnsi="Times New Roman"/>
        </w:rPr>
        <w:t xml:space="preserve"> </w:t>
      </w:r>
      <w:r w:rsidR="00716DD7" w:rsidRPr="005E1802">
        <w:rPr>
          <w:rFonts w:ascii="Times New Roman" w:hAnsi="Times New Roman"/>
        </w:rPr>
        <w:t xml:space="preserve">indicate is to be taken to the grant of a new trial </w:t>
      </w:r>
      <w:r w:rsidR="002E08D9" w:rsidRPr="005E1802">
        <w:rPr>
          <w:rFonts w:ascii="Times New Roman" w:hAnsi="Times New Roman"/>
        </w:rPr>
        <w:t>and</w:t>
      </w:r>
      <w:r w:rsidR="00716DD7" w:rsidRPr="005E1802">
        <w:rPr>
          <w:rFonts w:ascii="Times New Roman" w:hAnsi="Times New Roman"/>
        </w:rPr>
        <w:t xml:space="preserve"> the approach</w:t>
      </w:r>
      <w:r w:rsidR="00FC12B4" w:rsidRPr="005E1802">
        <w:rPr>
          <w:rFonts w:ascii="Times New Roman" w:hAnsi="Times New Roman"/>
        </w:rPr>
        <w:t xml:space="preserve"> that</w:t>
      </w:r>
      <w:r w:rsidR="002E08D9" w:rsidRPr="005E1802">
        <w:rPr>
          <w:rFonts w:ascii="Times New Roman" w:hAnsi="Times New Roman"/>
        </w:rPr>
        <w:t xml:space="preserve"> </w:t>
      </w:r>
      <w:r w:rsidR="002E08D9" w:rsidRPr="005E1802">
        <w:rPr>
          <w:rFonts w:ascii="Times New Roman" w:hAnsi="Times New Roman"/>
          <w:i/>
        </w:rPr>
        <w:t>SZMTA</w:t>
      </w:r>
      <w:r w:rsidR="00716DD7" w:rsidRPr="005E1802">
        <w:rPr>
          <w:rFonts w:ascii="Times New Roman" w:hAnsi="Times New Roman"/>
        </w:rPr>
        <w:t xml:space="preserve"> indicates </w:t>
      </w:r>
      <w:r w:rsidR="00AA53F6" w:rsidRPr="005E1802">
        <w:rPr>
          <w:rFonts w:ascii="Times New Roman" w:hAnsi="Times New Roman"/>
        </w:rPr>
        <w:t>is to be taken to the determination of jurisdictional error</w:t>
      </w:r>
      <w:r w:rsidR="002E08D9" w:rsidRPr="005E1802">
        <w:rPr>
          <w:rFonts w:ascii="Times New Roman" w:hAnsi="Times New Roman"/>
        </w:rPr>
        <w:t xml:space="preserve">, </w:t>
      </w:r>
      <w:r w:rsidR="00D30971" w:rsidRPr="005E1802">
        <w:rPr>
          <w:rFonts w:ascii="Times New Roman" w:hAnsi="Times New Roman"/>
        </w:rPr>
        <w:t>the difference</w:t>
      </w:r>
      <w:r w:rsidR="00D7524A" w:rsidRPr="005E1802">
        <w:rPr>
          <w:rFonts w:ascii="Times New Roman" w:hAnsi="Times New Roman"/>
        </w:rPr>
        <w:t xml:space="preserve"> </w:t>
      </w:r>
      <w:r w:rsidR="00D30971" w:rsidRPr="005E1802">
        <w:rPr>
          <w:rFonts w:ascii="Times New Roman" w:hAnsi="Times New Roman"/>
        </w:rPr>
        <w:t xml:space="preserve">lies </w:t>
      </w:r>
      <w:r w:rsidR="00D7524A" w:rsidRPr="005E1802">
        <w:rPr>
          <w:rFonts w:ascii="Times New Roman" w:hAnsi="Times New Roman"/>
        </w:rPr>
        <w:t xml:space="preserve">not </w:t>
      </w:r>
      <w:r w:rsidR="00F75929" w:rsidRPr="005E1802">
        <w:rPr>
          <w:rFonts w:ascii="Times New Roman" w:hAnsi="Times New Roman"/>
        </w:rPr>
        <w:t>in</w:t>
      </w:r>
      <w:r w:rsidR="00D7524A" w:rsidRPr="005E1802">
        <w:rPr>
          <w:rFonts w:ascii="Times New Roman" w:hAnsi="Times New Roman"/>
        </w:rPr>
        <w:t xml:space="preserve"> the </w:t>
      </w:r>
      <w:r w:rsidR="007A1604" w:rsidRPr="005E1802">
        <w:rPr>
          <w:rFonts w:ascii="Times New Roman" w:hAnsi="Times New Roman"/>
        </w:rPr>
        <w:t xml:space="preserve">substance of the </w:t>
      </w:r>
      <w:r w:rsidR="00AA5367" w:rsidRPr="005E1802">
        <w:rPr>
          <w:rFonts w:ascii="Times New Roman" w:hAnsi="Times New Roman"/>
        </w:rPr>
        <w:t xml:space="preserve">counterfactual </w:t>
      </w:r>
      <w:r w:rsidR="007A1604" w:rsidRPr="005E1802">
        <w:rPr>
          <w:rFonts w:ascii="Times New Roman" w:hAnsi="Times New Roman"/>
        </w:rPr>
        <w:t>inquiry</w:t>
      </w:r>
      <w:r w:rsidR="00D7524A" w:rsidRPr="005E1802">
        <w:rPr>
          <w:rFonts w:ascii="Times New Roman" w:hAnsi="Times New Roman"/>
        </w:rPr>
        <w:t xml:space="preserve"> t</w:t>
      </w:r>
      <w:r w:rsidR="001866E1" w:rsidRPr="005E1802">
        <w:rPr>
          <w:rFonts w:ascii="Times New Roman" w:hAnsi="Times New Roman"/>
        </w:rPr>
        <w:t>hat must</w:t>
      </w:r>
      <w:r w:rsidR="00D7524A" w:rsidRPr="005E1802">
        <w:rPr>
          <w:rFonts w:ascii="Times New Roman" w:hAnsi="Times New Roman"/>
        </w:rPr>
        <w:t xml:space="preserve"> be undertaken but </w:t>
      </w:r>
      <w:r w:rsidR="00F75929" w:rsidRPr="005E1802">
        <w:rPr>
          <w:rFonts w:ascii="Times New Roman" w:hAnsi="Times New Roman"/>
        </w:rPr>
        <w:t>in</w:t>
      </w:r>
      <w:r w:rsidR="00D7524A" w:rsidRPr="005E1802">
        <w:rPr>
          <w:rFonts w:ascii="Times New Roman" w:hAnsi="Times New Roman"/>
        </w:rPr>
        <w:t xml:space="preserve"> the </w:t>
      </w:r>
      <w:r w:rsidR="00F95ADC" w:rsidRPr="005E1802">
        <w:rPr>
          <w:rFonts w:ascii="Times New Roman" w:hAnsi="Times New Roman"/>
        </w:rPr>
        <w:t xml:space="preserve">identification of the </w:t>
      </w:r>
      <w:r w:rsidR="002C6D9F" w:rsidRPr="005E1802">
        <w:rPr>
          <w:rFonts w:ascii="Times New Roman" w:hAnsi="Times New Roman"/>
        </w:rPr>
        <w:t>f</w:t>
      </w:r>
      <w:r w:rsidR="001E34B4" w:rsidRPr="005E1802">
        <w:rPr>
          <w:rFonts w:ascii="Times New Roman" w:hAnsi="Times New Roman"/>
        </w:rPr>
        <w:t>actual foundation</w:t>
      </w:r>
      <w:r w:rsidR="00B6277B" w:rsidRPr="005E1802">
        <w:rPr>
          <w:rFonts w:ascii="Times New Roman" w:hAnsi="Times New Roman"/>
        </w:rPr>
        <w:t xml:space="preserve"> </w:t>
      </w:r>
      <w:r w:rsidR="001E34B4" w:rsidRPr="005E1802">
        <w:rPr>
          <w:rFonts w:ascii="Times New Roman" w:hAnsi="Times New Roman"/>
        </w:rPr>
        <w:t>on the basis of</w:t>
      </w:r>
      <w:r w:rsidR="00B6277B" w:rsidRPr="005E1802">
        <w:rPr>
          <w:rFonts w:ascii="Times New Roman" w:hAnsi="Times New Roman"/>
        </w:rPr>
        <w:t xml:space="preserve"> </w:t>
      </w:r>
      <w:r w:rsidR="007A1604" w:rsidRPr="005E1802">
        <w:rPr>
          <w:rFonts w:ascii="Times New Roman" w:hAnsi="Times New Roman"/>
        </w:rPr>
        <w:t>which th</w:t>
      </w:r>
      <w:r w:rsidR="00B71F59" w:rsidRPr="005E1802">
        <w:rPr>
          <w:rFonts w:ascii="Times New Roman" w:hAnsi="Times New Roman"/>
        </w:rPr>
        <w:t>e</w:t>
      </w:r>
      <w:r w:rsidR="007A1604" w:rsidRPr="005E1802">
        <w:rPr>
          <w:rFonts w:ascii="Times New Roman" w:hAnsi="Times New Roman"/>
        </w:rPr>
        <w:t xml:space="preserve"> counterfactual </w:t>
      </w:r>
      <w:r w:rsidR="00C35054" w:rsidRPr="005E1802">
        <w:rPr>
          <w:rFonts w:ascii="Times New Roman" w:hAnsi="Times New Roman"/>
        </w:rPr>
        <w:t>conjecture of a realistic possibility</w:t>
      </w:r>
      <w:r w:rsidR="00B6277B" w:rsidRPr="005E1802">
        <w:rPr>
          <w:rFonts w:ascii="Times New Roman" w:hAnsi="Times New Roman"/>
        </w:rPr>
        <w:t xml:space="preserve"> </w:t>
      </w:r>
      <w:r w:rsidR="001866E1" w:rsidRPr="005E1802">
        <w:rPr>
          <w:rFonts w:ascii="Times New Roman" w:hAnsi="Times New Roman"/>
        </w:rPr>
        <w:t xml:space="preserve">falls to </w:t>
      </w:r>
      <w:r w:rsidR="000F5FB5" w:rsidRPr="005E1802">
        <w:rPr>
          <w:rFonts w:ascii="Times New Roman" w:hAnsi="Times New Roman"/>
        </w:rPr>
        <w:t>be assessed</w:t>
      </w:r>
      <w:r w:rsidR="00B6277B" w:rsidRPr="005E1802">
        <w:rPr>
          <w:rFonts w:ascii="Times New Roman" w:hAnsi="Times New Roman"/>
        </w:rPr>
        <w:t xml:space="preserve">. </w:t>
      </w:r>
      <w:r w:rsidR="00AB2B1E" w:rsidRPr="005E1802">
        <w:rPr>
          <w:rFonts w:ascii="Times New Roman" w:hAnsi="Times New Roman"/>
        </w:rPr>
        <w:t>In an application for a new trial</w:t>
      </w:r>
      <w:r w:rsidR="00B6522E" w:rsidRPr="005E1802">
        <w:rPr>
          <w:rFonts w:ascii="Times New Roman" w:hAnsi="Times New Roman"/>
        </w:rPr>
        <w:t xml:space="preserve">, </w:t>
      </w:r>
      <w:r w:rsidR="008A1539" w:rsidRPr="005E1802">
        <w:rPr>
          <w:rFonts w:ascii="Times New Roman" w:hAnsi="Times New Roman"/>
        </w:rPr>
        <w:t xml:space="preserve">the decision-making process in fact engaged in by </w:t>
      </w:r>
      <w:r w:rsidR="001232A3" w:rsidRPr="005E1802">
        <w:rPr>
          <w:rFonts w:ascii="Times New Roman" w:hAnsi="Times New Roman"/>
        </w:rPr>
        <w:t>a</w:t>
      </w:r>
      <w:r w:rsidR="008A1539" w:rsidRPr="005E1802">
        <w:rPr>
          <w:rFonts w:ascii="Times New Roman" w:hAnsi="Times New Roman"/>
        </w:rPr>
        <w:t xml:space="preserve"> court will </w:t>
      </w:r>
      <w:r w:rsidR="0015078D" w:rsidRPr="005E1802">
        <w:rPr>
          <w:rFonts w:ascii="Times New Roman" w:hAnsi="Times New Roman"/>
        </w:rPr>
        <w:t>almost invariably</w:t>
      </w:r>
      <w:r w:rsidR="00712E8F" w:rsidRPr="005E1802">
        <w:rPr>
          <w:rFonts w:ascii="Times New Roman" w:hAnsi="Times New Roman"/>
        </w:rPr>
        <w:t xml:space="preserve"> </w:t>
      </w:r>
      <w:r w:rsidR="00B6522E" w:rsidRPr="005E1802">
        <w:rPr>
          <w:rFonts w:ascii="Times New Roman" w:hAnsi="Times New Roman"/>
        </w:rPr>
        <w:t>appear on the face of</w:t>
      </w:r>
      <w:r w:rsidR="00712E8F" w:rsidRPr="005E1802">
        <w:rPr>
          <w:rFonts w:ascii="Times New Roman" w:hAnsi="Times New Roman"/>
        </w:rPr>
        <w:t xml:space="preserve"> the appellate record</w:t>
      </w:r>
      <w:r w:rsidR="00B6522E" w:rsidRPr="005E1802">
        <w:rPr>
          <w:rFonts w:ascii="Times New Roman" w:hAnsi="Times New Roman"/>
        </w:rPr>
        <w:t xml:space="preserve">. In an application for judicial review of </w:t>
      </w:r>
      <w:r w:rsidR="004A1F97" w:rsidRPr="005E1802">
        <w:rPr>
          <w:rFonts w:ascii="Times New Roman" w:hAnsi="Times New Roman"/>
        </w:rPr>
        <w:t xml:space="preserve">an administrative decision, the decision-making process in fact engaged in by </w:t>
      </w:r>
      <w:r w:rsidR="001232A3" w:rsidRPr="005E1802">
        <w:rPr>
          <w:rFonts w:ascii="Times New Roman" w:hAnsi="Times New Roman"/>
        </w:rPr>
        <w:t>the decision-mak</w:t>
      </w:r>
      <w:r w:rsidR="008C0B52" w:rsidRPr="005E1802">
        <w:rPr>
          <w:rFonts w:ascii="Times New Roman" w:hAnsi="Times New Roman"/>
        </w:rPr>
        <w:t>er will</w:t>
      </w:r>
      <w:r w:rsidR="00D22B8D" w:rsidRPr="005E1802">
        <w:rPr>
          <w:rFonts w:ascii="Times New Roman" w:hAnsi="Times New Roman"/>
        </w:rPr>
        <w:t xml:space="preserve"> inevitably</w:t>
      </w:r>
      <w:r w:rsidR="008C0B52" w:rsidRPr="005E1802">
        <w:rPr>
          <w:rFonts w:ascii="Times New Roman" w:hAnsi="Times New Roman"/>
        </w:rPr>
        <w:t xml:space="preserve"> need</w:t>
      </w:r>
      <w:r w:rsidR="005B1BC0" w:rsidRPr="005E1802">
        <w:rPr>
          <w:rFonts w:ascii="Times New Roman" w:hAnsi="Times New Roman"/>
        </w:rPr>
        <w:t xml:space="preserve"> to be proved by </w:t>
      </w:r>
      <w:r w:rsidR="00FD646C" w:rsidRPr="005E1802">
        <w:rPr>
          <w:rFonts w:ascii="Times New Roman" w:hAnsi="Times New Roman"/>
        </w:rPr>
        <w:t xml:space="preserve">inferences drawn from </w:t>
      </w:r>
      <w:r w:rsidR="005B1BC0" w:rsidRPr="005E1802">
        <w:rPr>
          <w:rFonts w:ascii="Times New Roman" w:hAnsi="Times New Roman"/>
        </w:rPr>
        <w:t xml:space="preserve">admissible evidence to the extent that it is </w:t>
      </w:r>
      <w:r w:rsidR="00203E60" w:rsidRPr="005E1802">
        <w:rPr>
          <w:rFonts w:ascii="Times New Roman" w:hAnsi="Times New Roman"/>
        </w:rPr>
        <w:t>in controversy</w:t>
      </w:r>
      <w:r w:rsidR="005B1BC0" w:rsidRPr="005E1802">
        <w:rPr>
          <w:rFonts w:ascii="Times New Roman" w:hAnsi="Times New Roman"/>
        </w:rPr>
        <w:t>.</w:t>
      </w:r>
      <w:r w:rsidR="001232A3" w:rsidRPr="005E1802">
        <w:rPr>
          <w:rFonts w:ascii="Times New Roman" w:hAnsi="Times New Roman"/>
        </w:rPr>
        <w:t xml:space="preserve"> </w:t>
      </w:r>
    </w:p>
    <w:p w14:paraId="7CD233E7" w14:textId="00E0A789" w:rsidR="00537604" w:rsidRPr="005E1802" w:rsidRDefault="001232B5"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770268" w:rsidRPr="005E1802">
        <w:rPr>
          <w:rFonts w:ascii="Times New Roman" w:hAnsi="Times New Roman"/>
        </w:rPr>
        <w:t xml:space="preserve">The </w:t>
      </w:r>
      <w:r w:rsidR="005E007E" w:rsidRPr="005E1802">
        <w:rPr>
          <w:rFonts w:ascii="Times New Roman" w:hAnsi="Times New Roman"/>
        </w:rPr>
        <w:t xml:space="preserve">substantial </w:t>
      </w:r>
      <w:r w:rsidR="00825942" w:rsidRPr="005E1802">
        <w:rPr>
          <w:rFonts w:ascii="Times New Roman" w:hAnsi="Times New Roman"/>
        </w:rPr>
        <w:t>correspondence between</w:t>
      </w:r>
      <w:r w:rsidR="00D112EC" w:rsidRPr="005E1802">
        <w:rPr>
          <w:rFonts w:ascii="Times New Roman" w:hAnsi="Times New Roman"/>
        </w:rPr>
        <w:t xml:space="preserve"> the</w:t>
      </w:r>
      <w:r w:rsidR="00825942" w:rsidRPr="005E1802">
        <w:rPr>
          <w:rFonts w:ascii="Times New Roman" w:hAnsi="Times New Roman"/>
        </w:rPr>
        <w:t xml:space="preserve"> </w:t>
      </w:r>
      <w:r w:rsidR="00825942" w:rsidRPr="005E1802">
        <w:rPr>
          <w:rFonts w:ascii="Times New Roman" w:hAnsi="Times New Roman"/>
          <w:i/>
        </w:rPr>
        <w:t xml:space="preserve">Balenzuela </w:t>
      </w:r>
      <w:r w:rsidR="00825942" w:rsidRPr="005E1802">
        <w:rPr>
          <w:rFonts w:ascii="Times New Roman" w:hAnsi="Times New Roman"/>
        </w:rPr>
        <w:t xml:space="preserve">and </w:t>
      </w:r>
      <w:r w:rsidR="00825942" w:rsidRPr="005E1802">
        <w:rPr>
          <w:rFonts w:ascii="Times New Roman" w:hAnsi="Times New Roman"/>
          <w:i/>
        </w:rPr>
        <w:t>Stead</w:t>
      </w:r>
      <w:r w:rsidR="00D112EC" w:rsidRPr="005E1802">
        <w:rPr>
          <w:rFonts w:ascii="Times New Roman" w:hAnsi="Times New Roman"/>
        </w:rPr>
        <w:t xml:space="preserve"> a</w:t>
      </w:r>
      <w:r w:rsidR="005E007E" w:rsidRPr="005E1802">
        <w:rPr>
          <w:rFonts w:ascii="Times New Roman" w:hAnsi="Times New Roman"/>
        </w:rPr>
        <w:t>pproach to the grant of a new trial</w:t>
      </w:r>
      <w:r w:rsidR="00825942" w:rsidRPr="005E1802">
        <w:rPr>
          <w:rFonts w:ascii="Times New Roman" w:hAnsi="Times New Roman"/>
        </w:rPr>
        <w:t xml:space="preserve"> and </w:t>
      </w:r>
      <w:r w:rsidR="00D112EC" w:rsidRPr="005E1802">
        <w:rPr>
          <w:rFonts w:ascii="Times New Roman" w:hAnsi="Times New Roman"/>
        </w:rPr>
        <w:t xml:space="preserve">the </w:t>
      </w:r>
      <w:r w:rsidR="00825942" w:rsidRPr="005E1802">
        <w:rPr>
          <w:rFonts w:ascii="Times New Roman" w:hAnsi="Times New Roman"/>
          <w:i/>
        </w:rPr>
        <w:t>SZMTA</w:t>
      </w:r>
      <w:r w:rsidR="00D112EC" w:rsidRPr="005E1802">
        <w:rPr>
          <w:rFonts w:ascii="Times New Roman" w:hAnsi="Times New Roman"/>
        </w:rPr>
        <w:t xml:space="preserve"> </w:t>
      </w:r>
      <w:r w:rsidR="00787DEA" w:rsidRPr="005E1802">
        <w:rPr>
          <w:rFonts w:ascii="Times New Roman" w:hAnsi="Times New Roman"/>
        </w:rPr>
        <w:t xml:space="preserve">approach </w:t>
      </w:r>
      <w:r w:rsidR="005E007E" w:rsidRPr="005E1802">
        <w:rPr>
          <w:rFonts w:ascii="Times New Roman" w:hAnsi="Times New Roman"/>
        </w:rPr>
        <w:t xml:space="preserve">to the determination of jurisdictional error </w:t>
      </w:r>
      <w:r w:rsidR="001D2D4D" w:rsidRPr="005E1802">
        <w:rPr>
          <w:rFonts w:ascii="Times New Roman" w:hAnsi="Times New Roman"/>
        </w:rPr>
        <w:t>was presaged</w:t>
      </w:r>
      <w:r w:rsidR="00D112EC" w:rsidRPr="005E1802">
        <w:rPr>
          <w:rFonts w:ascii="Times New Roman" w:hAnsi="Times New Roman"/>
        </w:rPr>
        <w:t xml:space="preserve"> </w:t>
      </w:r>
      <w:r w:rsidR="001D2D4D" w:rsidRPr="005E1802">
        <w:rPr>
          <w:rFonts w:ascii="Times New Roman" w:hAnsi="Times New Roman"/>
        </w:rPr>
        <w:t>in</w:t>
      </w:r>
      <w:r w:rsidR="00825942" w:rsidRPr="005E1802">
        <w:rPr>
          <w:rFonts w:ascii="Times New Roman" w:hAnsi="Times New Roman"/>
        </w:rPr>
        <w:t xml:space="preserve"> </w:t>
      </w:r>
      <w:r w:rsidR="00791206" w:rsidRPr="005E1802">
        <w:rPr>
          <w:rFonts w:ascii="Times New Roman" w:hAnsi="Times New Roman"/>
          <w:i/>
        </w:rPr>
        <w:t>N</w:t>
      </w:r>
      <w:r w:rsidR="009641A2" w:rsidRPr="005E1802">
        <w:rPr>
          <w:rFonts w:ascii="Times New Roman" w:hAnsi="Times New Roman"/>
          <w:i/>
        </w:rPr>
        <w:t>o</w:t>
      </w:r>
      <w:r w:rsidR="00791206" w:rsidRPr="005E1802">
        <w:rPr>
          <w:rFonts w:ascii="Times New Roman" w:hAnsi="Times New Roman"/>
          <w:i/>
        </w:rPr>
        <w:t>bar</w:t>
      </w:r>
      <w:r w:rsidR="00005561" w:rsidRPr="005E1802">
        <w:rPr>
          <w:rFonts w:ascii="Times New Roman" w:hAnsi="Times New Roman"/>
          <w:i/>
        </w:rPr>
        <w:t>a</w:t>
      </w:r>
      <w:r w:rsidR="00791206" w:rsidRPr="005E1802">
        <w:rPr>
          <w:rFonts w:ascii="Times New Roman" w:hAnsi="Times New Roman"/>
          <w:i/>
        </w:rPr>
        <w:t>ni v Mariconte</w:t>
      </w:r>
      <w:r w:rsidR="00070F2B" w:rsidRPr="005E1802">
        <w:rPr>
          <w:rStyle w:val="FootnoteReference"/>
          <w:rFonts w:ascii="Times New Roman" w:hAnsi="Times New Roman"/>
          <w:sz w:val="24"/>
        </w:rPr>
        <w:footnoteReference w:id="53"/>
      </w:r>
      <w:r w:rsidR="005774D0" w:rsidRPr="005E1802">
        <w:rPr>
          <w:rFonts w:ascii="Times New Roman" w:hAnsi="Times New Roman"/>
        </w:rPr>
        <w:t>,</w:t>
      </w:r>
      <w:r w:rsidR="00B655CC" w:rsidRPr="005E1802">
        <w:rPr>
          <w:rFonts w:ascii="Times New Roman" w:hAnsi="Times New Roman"/>
        </w:rPr>
        <w:t xml:space="preserve"> which was </w:t>
      </w:r>
      <w:r w:rsidR="00791206" w:rsidRPr="005E1802">
        <w:rPr>
          <w:rFonts w:ascii="Times New Roman" w:hAnsi="Times New Roman"/>
        </w:rPr>
        <w:t xml:space="preserve">decided </w:t>
      </w:r>
      <w:r w:rsidR="00203E60" w:rsidRPr="005E1802">
        <w:rPr>
          <w:rFonts w:ascii="Times New Roman" w:hAnsi="Times New Roman"/>
        </w:rPr>
        <w:t>on the same day as</w:t>
      </w:r>
      <w:r w:rsidR="00BA61B9" w:rsidRPr="005E1802">
        <w:rPr>
          <w:rFonts w:ascii="Times New Roman" w:hAnsi="Times New Roman"/>
        </w:rPr>
        <w:t xml:space="preserve"> </w:t>
      </w:r>
      <w:r w:rsidR="00BA61B9" w:rsidRPr="005E1802">
        <w:rPr>
          <w:rFonts w:ascii="Times New Roman" w:hAnsi="Times New Roman"/>
          <w:i/>
        </w:rPr>
        <w:t>Hossain</w:t>
      </w:r>
      <w:r w:rsidR="00F13EC7" w:rsidRPr="005E1802">
        <w:rPr>
          <w:rFonts w:ascii="Times New Roman" w:hAnsi="Times New Roman"/>
        </w:rPr>
        <w:t xml:space="preserve">. </w:t>
      </w:r>
      <w:r w:rsidR="00BA61B9" w:rsidRPr="005E1802">
        <w:rPr>
          <w:rFonts w:ascii="Times New Roman" w:hAnsi="Times New Roman"/>
          <w:i/>
        </w:rPr>
        <w:t xml:space="preserve">Balenzuela </w:t>
      </w:r>
      <w:r w:rsidR="00BA61B9" w:rsidRPr="005E1802">
        <w:rPr>
          <w:rFonts w:ascii="Times New Roman" w:hAnsi="Times New Roman"/>
        </w:rPr>
        <w:t xml:space="preserve">and </w:t>
      </w:r>
      <w:r w:rsidR="00BA61B9" w:rsidRPr="005E1802">
        <w:rPr>
          <w:rFonts w:ascii="Times New Roman" w:hAnsi="Times New Roman"/>
          <w:i/>
        </w:rPr>
        <w:t>Stead</w:t>
      </w:r>
      <w:r w:rsidR="00285F62" w:rsidRPr="005E1802">
        <w:rPr>
          <w:rFonts w:ascii="Times New Roman" w:hAnsi="Times New Roman"/>
          <w:i/>
        </w:rPr>
        <w:t xml:space="preserve"> </w:t>
      </w:r>
      <w:r w:rsidR="00EB1686" w:rsidRPr="005E1802">
        <w:rPr>
          <w:rFonts w:ascii="Times New Roman" w:hAnsi="Times New Roman"/>
        </w:rPr>
        <w:t>w</w:t>
      </w:r>
      <w:r w:rsidR="00CF2B48" w:rsidRPr="005E1802">
        <w:rPr>
          <w:rFonts w:ascii="Times New Roman" w:hAnsi="Times New Roman"/>
        </w:rPr>
        <w:t>ere</w:t>
      </w:r>
      <w:r w:rsidR="00EB1686" w:rsidRPr="005E1802">
        <w:rPr>
          <w:rFonts w:ascii="Times New Roman" w:hAnsi="Times New Roman"/>
        </w:rPr>
        <w:t xml:space="preserve"> </w:t>
      </w:r>
      <w:r w:rsidR="001C454F" w:rsidRPr="005E1802">
        <w:rPr>
          <w:rFonts w:ascii="Times New Roman" w:hAnsi="Times New Roman"/>
        </w:rPr>
        <w:t>there</w:t>
      </w:r>
      <w:r w:rsidR="00BC6410" w:rsidRPr="005E1802">
        <w:rPr>
          <w:rFonts w:ascii="Times New Roman" w:hAnsi="Times New Roman"/>
        </w:rPr>
        <w:t xml:space="preserve"> </w:t>
      </w:r>
      <w:r w:rsidR="000B6C72" w:rsidRPr="005E1802">
        <w:rPr>
          <w:rFonts w:ascii="Times New Roman" w:hAnsi="Times New Roman"/>
        </w:rPr>
        <w:t>stated to reflect a requirement that "</w:t>
      </w:r>
      <w:r w:rsidR="00285F62" w:rsidRPr="005E1802">
        <w:rPr>
          <w:rFonts w:ascii="Times New Roman" w:hAnsi="Times New Roman"/>
          <w:color w:val="000000"/>
          <w:sz w:val="27"/>
          <w:szCs w:val="27"/>
          <w:shd w:val="clear" w:color="auto" w:fill="FFFFFF"/>
        </w:rPr>
        <w:t xml:space="preserve">the error must usually be material in the sense that it must </w:t>
      </w:r>
      <w:r w:rsidR="00285F62" w:rsidRPr="005E1802">
        <w:rPr>
          <w:rFonts w:ascii="Times New Roman" w:hAnsi="Times New Roman"/>
          <w:color w:val="000000"/>
          <w:sz w:val="27"/>
          <w:szCs w:val="27"/>
          <w:shd w:val="clear" w:color="auto" w:fill="FFFFFF"/>
        </w:rPr>
        <w:lastRenderedPageBreak/>
        <w:t>deprive the party of the possibility of a successful outcome</w:t>
      </w:r>
      <w:r w:rsidR="0071783F" w:rsidRPr="005E1802">
        <w:rPr>
          <w:rFonts w:ascii="Times New Roman" w:hAnsi="Times New Roman"/>
          <w:color w:val="000000"/>
          <w:sz w:val="27"/>
          <w:szCs w:val="27"/>
          <w:shd w:val="clear" w:color="auto" w:fill="FFFFFF"/>
        </w:rPr>
        <w:t>"</w:t>
      </w:r>
      <w:r w:rsidR="00551744" w:rsidRPr="005E1802">
        <w:rPr>
          <w:rFonts w:ascii="Times New Roman" w:hAnsi="Times New Roman"/>
          <w:color w:val="000000"/>
          <w:sz w:val="27"/>
          <w:szCs w:val="27"/>
          <w:shd w:val="clear" w:color="auto" w:fill="FFFFFF"/>
        </w:rPr>
        <w:t xml:space="preserve">. </w:t>
      </w:r>
      <w:r w:rsidR="00CC39F0" w:rsidRPr="005E1802">
        <w:rPr>
          <w:rFonts w:ascii="Times New Roman" w:hAnsi="Times New Roman"/>
        </w:rPr>
        <w:t>B</w:t>
      </w:r>
      <w:r w:rsidR="000B6C72" w:rsidRPr="005E1802">
        <w:rPr>
          <w:rFonts w:ascii="Times New Roman" w:hAnsi="Times New Roman"/>
        </w:rPr>
        <w:t xml:space="preserve">y reference to the holding in </w:t>
      </w:r>
      <w:r w:rsidR="000B6C72" w:rsidRPr="005E1802">
        <w:rPr>
          <w:rFonts w:ascii="Times New Roman" w:hAnsi="Times New Roman"/>
          <w:i/>
        </w:rPr>
        <w:t>Hossain</w:t>
      </w:r>
      <w:r w:rsidR="00CC39F0" w:rsidRPr="005E1802">
        <w:rPr>
          <w:rFonts w:ascii="Times New Roman" w:hAnsi="Times New Roman"/>
          <w:color w:val="000000"/>
          <w:sz w:val="27"/>
          <w:szCs w:val="27"/>
          <w:shd w:val="clear" w:color="auto" w:fill="FFFFFF"/>
        </w:rPr>
        <w:t>, the same requirement</w:t>
      </w:r>
      <w:r w:rsidR="00CC39F0" w:rsidRPr="005E1802">
        <w:rPr>
          <w:rFonts w:ascii="Times New Roman" w:hAnsi="Times New Roman"/>
        </w:rPr>
        <w:t xml:space="preserve"> was said </w:t>
      </w:r>
      <w:r w:rsidR="000B6C72" w:rsidRPr="005E1802">
        <w:rPr>
          <w:rFonts w:ascii="Times New Roman" w:hAnsi="Times New Roman"/>
          <w:color w:val="000000"/>
          <w:sz w:val="27"/>
          <w:szCs w:val="27"/>
          <w:shd w:val="clear" w:color="auto" w:fill="FFFFFF"/>
        </w:rPr>
        <w:t xml:space="preserve">to be reflected also in the </w:t>
      </w:r>
      <w:r w:rsidR="00203E60" w:rsidRPr="005E1802">
        <w:rPr>
          <w:rFonts w:ascii="Times New Roman" w:hAnsi="Times New Roman"/>
          <w:color w:val="000000"/>
          <w:sz w:val="27"/>
          <w:szCs w:val="27"/>
          <w:shd w:val="clear" w:color="auto" w:fill="FFFFFF"/>
        </w:rPr>
        <w:t xml:space="preserve">ordinary </w:t>
      </w:r>
      <w:r w:rsidR="000B6C72" w:rsidRPr="005E1802">
        <w:rPr>
          <w:rFonts w:ascii="Times New Roman" w:hAnsi="Times New Roman"/>
          <w:color w:val="000000"/>
          <w:sz w:val="27"/>
          <w:szCs w:val="27"/>
          <w:shd w:val="clear" w:color="auto" w:fill="FFFFFF"/>
        </w:rPr>
        <w:t>requirement</w:t>
      </w:r>
      <w:r w:rsidR="00E275DB" w:rsidRPr="005E1802">
        <w:rPr>
          <w:rFonts w:ascii="Times New Roman" w:hAnsi="Times New Roman"/>
          <w:color w:val="000000"/>
          <w:sz w:val="27"/>
          <w:szCs w:val="27"/>
          <w:shd w:val="clear" w:color="auto" w:fill="FFFFFF"/>
        </w:rPr>
        <w:t xml:space="preserve"> </w:t>
      </w:r>
      <w:r w:rsidR="000B6C72" w:rsidRPr="005E1802">
        <w:rPr>
          <w:rFonts w:ascii="Times New Roman" w:hAnsi="Times New Roman"/>
          <w:color w:val="000000"/>
          <w:sz w:val="27"/>
          <w:szCs w:val="27"/>
          <w:shd w:val="clear" w:color="auto" w:fill="FFFFFF"/>
        </w:rPr>
        <w:t xml:space="preserve">for an error </w:t>
      </w:r>
      <w:r w:rsidR="00E275DB" w:rsidRPr="005E1802">
        <w:rPr>
          <w:rFonts w:ascii="Times New Roman" w:hAnsi="Times New Roman"/>
          <w:color w:val="000000"/>
          <w:sz w:val="27"/>
          <w:szCs w:val="27"/>
          <w:shd w:val="clear" w:color="auto" w:fill="FFFFFF"/>
        </w:rPr>
        <w:t>to</w:t>
      </w:r>
      <w:r w:rsidR="000B6C72" w:rsidRPr="005E1802">
        <w:rPr>
          <w:rFonts w:ascii="Times New Roman" w:hAnsi="Times New Roman"/>
          <w:color w:val="000000"/>
          <w:sz w:val="27"/>
          <w:szCs w:val="27"/>
          <w:shd w:val="clear" w:color="auto" w:fill="FFFFFF"/>
        </w:rPr>
        <w:t xml:space="preserve"> be considered jurisdictional</w:t>
      </w:r>
      <w:r w:rsidR="0071783F" w:rsidRPr="005E1802">
        <w:rPr>
          <w:rFonts w:ascii="Times New Roman" w:hAnsi="Times New Roman"/>
          <w:color w:val="000000"/>
          <w:sz w:val="27"/>
          <w:szCs w:val="27"/>
          <w:shd w:val="clear" w:color="auto" w:fill="FFFFFF"/>
        </w:rPr>
        <w:t>.</w:t>
      </w:r>
    </w:p>
    <w:p w14:paraId="32F125A9" w14:textId="679E3A09" w:rsidR="00CA7109" w:rsidRPr="005E1802" w:rsidRDefault="0053280C" w:rsidP="005E1802">
      <w:pPr>
        <w:pStyle w:val="FixListStyle"/>
        <w:spacing w:after="260" w:line="280" w:lineRule="exact"/>
        <w:ind w:right="0"/>
        <w:jc w:val="both"/>
        <w:rPr>
          <w:rFonts w:ascii="Times New Roman" w:hAnsi="Times New Roman"/>
        </w:rPr>
      </w:pPr>
      <w:r w:rsidRPr="005E1802">
        <w:rPr>
          <w:rFonts w:ascii="Times New Roman" w:hAnsi="Times New Roman"/>
          <w:color w:val="000000"/>
          <w:sz w:val="27"/>
          <w:szCs w:val="27"/>
          <w:shd w:val="clear" w:color="auto" w:fill="FFFFFF"/>
        </w:rPr>
        <w:tab/>
      </w:r>
      <w:r w:rsidR="0063756F" w:rsidRPr="005E1802">
        <w:rPr>
          <w:rFonts w:ascii="Times New Roman" w:hAnsi="Times New Roman"/>
          <w:color w:val="000000"/>
          <w:sz w:val="27"/>
          <w:szCs w:val="27"/>
          <w:shd w:val="clear" w:color="auto" w:fill="FFFFFF"/>
        </w:rPr>
        <w:t xml:space="preserve">Next </w:t>
      </w:r>
      <w:r w:rsidR="00D0348E" w:rsidRPr="005E1802">
        <w:rPr>
          <w:rFonts w:ascii="Times New Roman" w:hAnsi="Times New Roman"/>
          <w:color w:val="000000"/>
          <w:sz w:val="27"/>
          <w:szCs w:val="27"/>
          <w:shd w:val="clear" w:color="auto" w:fill="FFFFFF"/>
        </w:rPr>
        <w:t>chronologically</w:t>
      </w:r>
      <w:r w:rsidR="0063756F" w:rsidRPr="005E1802">
        <w:rPr>
          <w:rFonts w:ascii="Times New Roman" w:hAnsi="Times New Roman"/>
          <w:color w:val="000000"/>
          <w:sz w:val="27"/>
          <w:szCs w:val="27"/>
          <w:shd w:val="clear" w:color="auto" w:fill="FFFFFF"/>
        </w:rPr>
        <w:t xml:space="preserve"> </w:t>
      </w:r>
      <w:r w:rsidR="00D0348E" w:rsidRPr="005E1802">
        <w:rPr>
          <w:rFonts w:ascii="Times New Roman" w:hAnsi="Times New Roman"/>
          <w:color w:val="000000"/>
          <w:sz w:val="27"/>
          <w:szCs w:val="27"/>
          <w:shd w:val="clear" w:color="auto" w:fill="FFFFFF"/>
        </w:rPr>
        <w:t>in the</w:t>
      </w:r>
      <w:r w:rsidR="00D0348E" w:rsidRPr="005E1802">
        <w:rPr>
          <w:rFonts w:ascii="Times New Roman" w:hAnsi="Times New Roman"/>
        </w:rPr>
        <w:t xml:space="preserve"> decisions of this Court preceding </w:t>
      </w:r>
      <w:r w:rsidR="00D0348E" w:rsidRPr="005E1802">
        <w:rPr>
          <w:rFonts w:ascii="Times New Roman" w:hAnsi="Times New Roman"/>
          <w:i/>
        </w:rPr>
        <w:t xml:space="preserve">Hossain </w:t>
      </w:r>
      <w:r w:rsidR="00D0348E" w:rsidRPr="005E1802">
        <w:rPr>
          <w:rFonts w:ascii="Times New Roman" w:hAnsi="Times New Roman"/>
        </w:rPr>
        <w:t xml:space="preserve">and </w:t>
      </w:r>
      <w:r w:rsidR="00D0348E" w:rsidRPr="005E1802">
        <w:rPr>
          <w:rFonts w:ascii="Times New Roman" w:hAnsi="Times New Roman"/>
          <w:i/>
        </w:rPr>
        <w:t>SZMTA</w:t>
      </w:r>
      <w:r w:rsidR="00D0348E" w:rsidRPr="005E1802">
        <w:rPr>
          <w:rFonts w:ascii="Times New Roman" w:hAnsi="Times New Roman"/>
        </w:rPr>
        <w:t xml:space="preserve"> on which the appellant </w:t>
      </w:r>
      <w:r w:rsidR="00FE61CE" w:rsidRPr="005E1802">
        <w:rPr>
          <w:rFonts w:ascii="Times New Roman" w:hAnsi="Times New Roman"/>
        </w:rPr>
        <w:t>rel</w:t>
      </w:r>
      <w:r w:rsidR="00E811B2" w:rsidRPr="005E1802">
        <w:rPr>
          <w:rFonts w:ascii="Times New Roman" w:hAnsi="Times New Roman"/>
        </w:rPr>
        <w:t>ies</w:t>
      </w:r>
      <w:r w:rsidR="00FE61CE" w:rsidRPr="005E1802">
        <w:rPr>
          <w:rFonts w:ascii="Times New Roman" w:hAnsi="Times New Roman"/>
        </w:rPr>
        <w:t xml:space="preserve"> </w:t>
      </w:r>
      <w:r w:rsidR="00E811B2" w:rsidRPr="005E1802">
        <w:rPr>
          <w:rFonts w:ascii="Times New Roman" w:hAnsi="Times New Roman"/>
        </w:rPr>
        <w:t xml:space="preserve">is </w:t>
      </w:r>
      <w:r w:rsidR="009442D7" w:rsidRPr="005E1802">
        <w:rPr>
          <w:rFonts w:ascii="Times New Roman" w:hAnsi="Times New Roman"/>
          <w:i/>
          <w:color w:val="000000"/>
          <w:shd w:val="clear" w:color="auto" w:fill="FFFFFF"/>
        </w:rPr>
        <w:t>Kio</w:t>
      </w:r>
      <w:r w:rsidR="00657762" w:rsidRPr="005E1802">
        <w:rPr>
          <w:rFonts w:ascii="Times New Roman" w:hAnsi="Times New Roman"/>
          <w:i/>
          <w:color w:val="000000"/>
          <w:shd w:val="clear" w:color="auto" w:fill="FFFFFF"/>
        </w:rPr>
        <w:t>a</w:t>
      </w:r>
      <w:r w:rsidR="009442D7" w:rsidRPr="005E1802">
        <w:rPr>
          <w:rFonts w:ascii="Times New Roman" w:hAnsi="Times New Roman"/>
          <w:i/>
          <w:color w:val="000000"/>
          <w:shd w:val="clear" w:color="auto" w:fill="FFFFFF"/>
        </w:rPr>
        <w:t xml:space="preserve"> v West</w:t>
      </w:r>
      <w:r w:rsidR="00657762" w:rsidRPr="005E1802">
        <w:rPr>
          <w:rStyle w:val="FootnoteReference"/>
          <w:rFonts w:ascii="Times New Roman" w:hAnsi="Times New Roman"/>
          <w:color w:val="000000"/>
          <w:sz w:val="24"/>
          <w:shd w:val="clear" w:color="auto" w:fill="FFFFFF"/>
        </w:rPr>
        <w:footnoteReference w:id="54"/>
      </w:r>
      <w:r w:rsidR="00BA6DC5" w:rsidRPr="005E1802">
        <w:rPr>
          <w:rFonts w:ascii="Times New Roman" w:hAnsi="Times New Roman"/>
          <w:color w:val="000000"/>
          <w:shd w:val="clear" w:color="auto" w:fill="FFFFFF"/>
        </w:rPr>
        <w:t>.</w:t>
      </w:r>
      <w:r w:rsidR="005C7A55" w:rsidRPr="005E1802">
        <w:rPr>
          <w:rFonts w:ascii="Times New Roman" w:hAnsi="Times New Roman"/>
          <w:color w:val="000000"/>
          <w:shd w:val="clear" w:color="auto" w:fill="FFFFFF"/>
        </w:rPr>
        <w:t xml:space="preserve"> </w:t>
      </w:r>
      <w:r w:rsidR="00CC39F0" w:rsidRPr="005E1802">
        <w:rPr>
          <w:rFonts w:ascii="Times New Roman" w:hAnsi="Times New Roman"/>
          <w:color w:val="000000"/>
          <w:shd w:val="clear" w:color="auto" w:fill="FFFFFF"/>
        </w:rPr>
        <w:t>The appellant</w:t>
      </w:r>
      <w:r w:rsidR="005C7A55" w:rsidRPr="005E1802">
        <w:rPr>
          <w:rFonts w:ascii="Times New Roman" w:hAnsi="Times New Roman"/>
          <w:color w:val="000000"/>
          <w:shd w:val="clear" w:color="auto" w:fill="FFFFFF"/>
        </w:rPr>
        <w:t xml:space="preserve"> seeks to </w:t>
      </w:r>
      <w:r w:rsidR="007D11CB" w:rsidRPr="005E1802">
        <w:rPr>
          <w:rFonts w:ascii="Times New Roman" w:hAnsi="Times New Roman"/>
          <w:color w:val="000000"/>
          <w:shd w:val="clear" w:color="auto" w:fill="FFFFFF"/>
        </w:rPr>
        <w:t xml:space="preserve">support a more limited fact-finding </w:t>
      </w:r>
      <w:r w:rsidR="005B2685" w:rsidRPr="005E1802">
        <w:rPr>
          <w:rFonts w:ascii="Times New Roman" w:hAnsi="Times New Roman"/>
          <w:color w:val="000000"/>
          <w:shd w:val="clear" w:color="auto" w:fill="FFFFFF"/>
        </w:rPr>
        <w:t xml:space="preserve">role by a court by </w:t>
      </w:r>
      <w:r w:rsidR="00137362" w:rsidRPr="005E1802">
        <w:rPr>
          <w:rFonts w:ascii="Times New Roman" w:hAnsi="Times New Roman"/>
          <w:color w:val="000000"/>
          <w:shd w:val="clear" w:color="auto" w:fill="FFFFFF"/>
        </w:rPr>
        <w:t>par</w:t>
      </w:r>
      <w:r w:rsidR="009B4679" w:rsidRPr="005E1802">
        <w:rPr>
          <w:rFonts w:ascii="Times New Roman" w:hAnsi="Times New Roman"/>
          <w:color w:val="000000"/>
          <w:shd w:val="clear" w:color="auto" w:fill="FFFFFF"/>
        </w:rPr>
        <w:t>sing</w:t>
      </w:r>
      <w:r w:rsidR="005C7A55" w:rsidRPr="005E1802">
        <w:rPr>
          <w:rFonts w:ascii="Times New Roman" w:hAnsi="Times New Roman"/>
          <w:color w:val="000000"/>
          <w:shd w:val="clear" w:color="auto" w:fill="FFFFFF"/>
        </w:rPr>
        <w:t xml:space="preserve"> </w:t>
      </w:r>
      <w:r w:rsidR="009B4679" w:rsidRPr="005E1802">
        <w:rPr>
          <w:rFonts w:ascii="Times New Roman" w:hAnsi="Times New Roman"/>
          <w:color w:val="000000"/>
          <w:shd w:val="clear" w:color="auto" w:fill="FFFFFF"/>
        </w:rPr>
        <w:t xml:space="preserve">some of the </w:t>
      </w:r>
      <w:r w:rsidR="00331ECF" w:rsidRPr="005E1802">
        <w:rPr>
          <w:rFonts w:ascii="Times New Roman" w:hAnsi="Times New Roman"/>
          <w:color w:val="000000"/>
          <w:shd w:val="clear" w:color="auto" w:fill="FFFFFF"/>
        </w:rPr>
        <w:t>reasoning of</w:t>
      </w:r>
      <w:r w:rsidR="005C7A55" w:rsidRPr="005E1802">
        <w:rPr>
          <w:rFonts w:ascii="Times New Roman" w:hAnsi="Times New Roman"/>
          <w:color w:val="000000"/>
          <w:shd w:val="clear" w:color="auto" w:fill="FFFFFF"/>
        </w:rPr>
        <w:t xml:space="preserve"> some members of the Court </w:t>
      </w:r>
      <w:r w:rsidR="00331ECF" w:rsidRPr="005E1802">
        <w:rPr>
          <w:rFonts w:ascii="Times New Roman" w:hAnsi="Times New Roman"/>
          <w:color w:val="000000"/>
          <w:shd w:val="clear" w:color="auto" w:fill="FFFFFF"/>
        </w:rPr>
        <w:t>in relation to the facts.</w:t>
      </w:r>
      <w:r w:rsidR="009442D7" w:rsidRPr="005E1802">
        <w:rPr>
          <w:rFonts w:ascii="Times New Roman" w:hAnsi="Times New Roman"/>
          <w:color w:val="000000"/>
          <w:shd w:val="clear" w:color="auto" w:fill="FFFFFF"/>
        </w:rPr>
        <w:t xml:space="preserve"> </w:t>
      </w:r>
      <w:r w:rsidR="00657762" w:rsidRPr="005E1802">
        <w:rPr>
          <w:rFonts w:ascii="Times New Roman" w:hAnsi="Times New Roman"/>
          <w:i/>
          <w:color w:val="000000"/>
          <w:shd w:val="clear" w:color="auto" w:fill="FFFFFF"/>
        </w:rPr>
        <w:t xml:space="preserve">Kioa v West </w:t>
      </w:r>
      <w:r w:rsidR="00657762" w:rsidRPr="005E1802">
        <w:rPr>
          <w:rFonts w:ascii="Times New Roman" w:hAnsi="Times New Roman"/>
          <w:color w:val="000000"/>
          <w:shd w:val="clear" w:color="auto" w:fill="FFFFFF"/>
        </w:rPr>
        <w:t xml:space="preserve">was a landmark decision in the development of </w:t>
      </w:r>
      <w:r w:rsidR="00CE5AA0" w:rsidRPr="005E1802">
        <w:rPr>
          <w:rFonts w:ascii="Times New Roman" w:hAnsi="Times New Roman"/>
          <w:color w:val="000000"/>
          <w:shd w:val="clear" w:color="auto" w:fill="FFFFFF"/>
        </w:rPr>
        <w:t>our</w:t>
      </w:r>
      <w:r w:rsidR="00657762" w:rsidRPr="005E1802">
        <w:rPr>
          <w:rFonts w:ascii="Times New Roman" w:hAnsi="Times New Roman"/>
          <w:color w:val="000000"/>
          <w:shd w:val="clear" w:color="auto" w:fill="FFFFFF"/>
        </w:rPr>
        <w:t xml:space="preserve"> understanding </w:t>
      </w:r>
      <w:r w:rsidR="00E9468F" w:rsidRPr="005E1802">
        <w:rPr>
          <w:rFonts w:ascii="Times New Roman" w:hAnsi="Times New Roman"/>
          <w:color w:val="000000"/>
          <w:shd w:val="clear" w:color="auto" w:fill="FFFFFF"/>
        </w:rPr>
        <w:t xml:space="preserve">of the content </w:t>
      </w:r>
      <w:r w:rsidR="00CE5AA0" w:rsidRPr="005E1802">
        <w:rPr>
          <w:rFonts w:ascii="Times New Roman" w:hAnsi="Times New Roman"/>
          <w:color w:val="000000"/>
          <w:shd w:val="clear" w:color="auto" w:fill="FFFFFF"/>
        </w:rPr>
        <w:t xml:space="preserve">and provenance of obligations to afford procedural fairness in </w:t>
      </w:r>
      <w:r w:rsidR="00B72555" w:rsidRPr="005E1802">
        <w:rPr>
          <w:rFonts w:ascii="Times New Roman" w:hAnsi="Times New Roman"/>
          <w:color w:val="000000"/>
          <w:shd w:val="clear" w:color="auto" w:fill="FFFFFF"/>
        </w:rPr>
        <w:t xml:space="preserve">the context of statutory decision-making. Having arisen under the </w:t>
      </w:r>
      <w:r w:rsidR="00B72555" w:rsidRPr="005E1802">
        <w:rPr>
          <w:rFonts w:ascii="Times New Roman" w:hAnsi="Times New Roman"/>
          <w:i/>
          <w:color w:val="000000"/>
          <w:shd w:val="clear" w:color="auto" w:fill="FFFFFF"/>
        </w:rPr>
        <w:t xml:space="preserve">Administrative Decisions </w:t>
      </w:r>
      <w:r w:rsidR="002E1889" w:rsidRPr="005E1802">
        <w:rPr>
          <w:rFonts w:ascii="Times New Roman" w:hAnsi="Times New Roman"/>
          <w:i/>
          <w:color w:val="000000"/>
          <w:shd w:val="clear" w:color="auto" w:fill="FFFFFF"/>
        </w:rPr>
        <w:t>(Judicial Review) Act 1977</w:t>
      </w:r>
      <w:r w:rsidR="002E1889" w:rsidRPr="005E1802">
        <w:rPr>
          <w:rFonts w:ascii="Times New Roman" w:hAnsi="Times New Roman"/>
          <w:color w:val="000000"/>
          <w:shd w:val="clear" w:color="auto" w:fill="FFFFFF"/>
        </w:rPr>
        <w:t xml:space="preserve"> (Cth), however, </w:t>
      </w:r>
      <w:r w:rsidR="00751EFD" w:rsidRPr="005E1802">
        <w:rPr>
          <w:rFonts w:ascii="Times New Roman" w:hAnsi="Times New Roman"/>
          <w:i/>
          <w:color w:val="000000"/>
          <w:shd w:val="clear" w:color="auto" w:fill="FFFFFF"/>
        </w:rPr>
        <w:t>Kioa v West</w:t>
      </w:r>
      <w:r w:rsidR="002E1889" w:rsidRPr="005E1802">
        <w:rPr>
          <w:rFonts w:ascii="Times New Roman" w:hAnsi="Times New Roman"/>
          <w:color w:val="000000"/>
          <w:shd w:val="clear" w:color="auto" w:fill="FFFFFF"/>
        </w:rPr>
        <w:t xml:space="preserve"> </w:t>
      </w:r>
      <w:r w:rsidR="00CA7109" w:rsidRPr="005E1802">
        <w:rPr>
          <w:rFonts w:ascii="Times New Roman" w:hAnsi="Times New Roman"/>
          <w:color w:val="000000"/>
          <w:shd w:val="clear" w:color="auto" w:fill="FFFFFF"/>
        </w:rPr>
        <w:t>ha</w:t>
      </w:r>
      <w:r w:rsidR="00D80741" w:rsidRPr="005E1802">
        <w:rPr>
          <w:rFonts w:ascii="Times New Roman" w:hAnsi="Times New Roman"/>
          <w:color w:val="000000"/>
          <w:shd w:val="clear" w:color="auto" w:fill="FFFFFF"/>
        </w:rPr>
        <w:t>s</w:t>
      </w:r>
      <w:r w:rsidR="00CA7109" w:rsidRPr="005E1802">
        <w:rPr>
          <w:rFonts w:ascii="Times New Roman" w:hAnsi="Times New Roman"/>
          <w:color w:val="000000"/>
          <w:shd w:val="clear" w:color="auto" w:fill="FFFFFF"/>
        </w:rPr>
        <w:t xml:space="preserve"> nothing to say about jurisdictional error.</w:t>
      </w:r>
    </w:p>
    <w:p w14:paraId="6D84EF90" w14:textId="2343CD57" w:rsidR="0053280C" w:rsidRPr="005E1802" w:rsidRDefault="00CA7109" w:rsidP="005E1802">
      <w:pPr>
        <w:pStyle w:val="FixListStyle"/>
        <w:spacing w:after="260" w:line="280" w:lineRule="exact"/>
        <w:ind w:right="0"/>
        <w:jc w:val="both"/>
        <w:rPr>
          <w:rFonts w:ascii="Times New Roman" w:hAnsi="Times New Roman"/>
        </w:rPr>
      </w:pPr>
      <w:r w:rsidRPr="005E1802">
        <w:rPr>
          <w:rFonts w:ascii="Times New Roman" w:hAnsi="Times New Roman"/>
          <w:color w:val="000000"/>
          <w:sz w:val="27"/>
          <w:szCs w:val="27"/>
          <w:shd w:val="clear" w:color="auto" w:fill="FFFFFF"/>
        </w:rPr>
        <w:tab/>
      </w:r>
      <w:r w:rsidRPr="005E1802">
        <w:rPr>
          <w:rFonts w:ascii="Times New Roman" w:hAnsi="Times New Roman"/>
          <w:color w:val="000000"/>
          <w:shd w:val="clear" w:color="auto" w:fill="FFFFFF"/>
        </w:rPr>
        <w:t xml:space="preserve">Much more to the point is the </w:t>
      </w:r>
      <w:r w:rsidR="007D2733" w:rsidRPr="005E1802">
        <w:rPr>
          <w:rFonts w:ascii="Times New Roman" w:hAnsi="Times New Roman"/>
          <w:color w:val="000000"/>
          <w:shd w:val="clear" w:color="auto" w:fill="FFFFFF"/>
        </w:rPr>
        <w:t>appellant</w:t>
      </w:r>
      <w:r w:rsidRPr="005E1802">
        <w:rPr>
          <w:rFonts w:ascii="Times New Roman" w:hAnsi="Times New Roman"/>
          <w:color w:val="000000"/>
          <w:shd w:val="clear" w:color="auto" w:fill="FFFFFF"/>
        </w:rPr>
        <w:t xml:space="preserve">'s reliance on </w:t>
      </w:r>
      <w:r w:rsidR="00232C9D" w:rsidRPr="005E1802">
        <w:rPr>
          <w:rFonts w:ascii="Times New Roman" w:hAnsi="Times New Roman"/>
          <w:i/>
          <w:iCs/>
          <w:color w:val="000000"/>
          <w:shd w:val="clear" w:color="auto" w:fill="FFFFFF"/>
        </w:rPr>
        <w:t>Re</w:t>
      </w:r>
      <w:r w:rsidR="00CF43A4" w:rsidRPr="005E1802">
        <w:rPr>
          <w:rFonts w:ascii="Times New Roman" w:hAnsi="Times New Roman"/>
          <w:i/>
          <w:iCs/>
          <w:color w:val="000000"/>
          <w:shd w:val="clear" w:color="auto" w:fill="FFFFFF"/>
        </w:rPr>
        <w:t> </w:t>
      </w:r>
      <w:r w:rsidR="00232C9D" w:rsidRPr="005E1802">
        <w:rPr>
          <w:rFonts w:ascii="Times New Roman" w:hAnsi="Times New Roman"/>
          <w:i/>
          <w:iCs/>
          <w:color w:val="000000"/>
          <w:shd w:val="clear" w:color="auto" w:fill="FFFFFF"/>
        </w:rPr>
        <w:t xml:space="preserve">Refugee Review </w:t>
      </w:r>
      <w:r w:rsidR="00FE5F5D" w:rsidRPr="005E1802">
        <w:rPr>
          <w:rFonts w:ascii="Times New Roman" w:hAnsi="Times New Roman"/>
          <w:i/>
          <w:iCs/>
          <w:color w:val="000000"/>
          <w:shd w:val="clear" w:color="auto" w:fill="FFFFFF"/>
        </w:rPr>
        <w:t>Tribunal</w:t>
      </w:r>
      <w:r w:rsidR="00232C9D" w:rsidRPr="005E1802">
        <w:rPr>
          <w:rFonts w:ascii="Times New Roman" w:hAnsi="Times New Roman"/>
          <w:i/>
          <w:iCs/>
          <w:color w:val="000000"/>
          <w:shd w:val="clear" w:color="auto" w:fill="FFFFFF"/>
        </w:rPr>
        <w:t>; Ex parte Aala</w:t>
      </w:r>
      <w:r w:rsidR="004F0874" w:rsidRPr="005E1802">
        <w:rPr>
          <w:rStyle w:val="FootnoteReference"/>
          <w:rFonts w:ascii="Times New Roman" w:hAnsi="Times New Roman"/>
          <w:iCs/>
          <w:color w:val="000000"/>
          <w:sz w:val="24"/>
          <w:shd w:val="clear" w:color="auto" w:fill="FFFFFF"/>
        </w:rPr>
        <w:footnoteReference w:id="55"/>
      </w:r>
      <w:r w:rsidR="004F0874" w:rsidRPr="005E1802">
        <w:rPr>
          <w:rFonts w:ascii="Times New Roman" w:hAnsi="Times New Roman"/>
          <w:iCs/>
          <w:color w:val="000000"/>
          <w:shd w:val="clear" w:color="auto" w:fill="FFFFFF"/>
        </w:rPr>
        <w:t xml:space="preserve">. </w:t>
      </w:r>
      <w:r w:rsidR="004F0874" w:rsidRPr="005E1802">
        <w:rPr>
          <w:rFonts w:ascii="Times New Roman" w:hAnsi="Times New Roman"/>
          <w:i/>
          <w:color w:val="000000"/>
          <w:shd w:val="clear" w:color="auto" w:fill="FFFFFF"/>
        </w:rPr>
        <w:t>Aala</w:t>
      </w:r>
      <w:r w:rsidR="00751EFD" w:rsidRPr="005E1802">
        <w:rPr>
          <w:rFonts w:ascii="Times New Roman" w:hAnsi="Times New Roman"/>
          <w:color w:val="000000"/>
          <w:shd w:val="clear" w:color="auto" w:fill="FFFFFF"/>
        </w:rPr>
        <w:t xml:space="preserve"> </w:t>
      </w:r>
      <w:r w:rsidR="00203E60" w:rsidRPr="005E1802">
        <w:rPr>
          <w:rFonts w:ascii="Times New Roman" w:hAnsi="Times New Roman"/>
          <w:color w:val="000000"/>
          <w:shd w:val="clear" w:color="auto" w:fill="FFFFFF"/>
        </w:rPr>
        <w:t xml:space="preserve">was not only </w:t>
      </w:r>
      <w:r w:rsidR="00751EFD" w:rsidRPr="005E1802">
        <w:rPr>
          <w:rFonts w:ascii="Times New Roman" w:hAnsi="Times New Roman"/>
          <w:color w:val="000000"/>
          <w:shd w:val="clear" w:color="auto" w:fill="FFFFFF"/>
        </w:rPr>
        <w:t>a case about jurisdictional error</w:t>
      </w:r>
      <w:r w:rsidR="00020BD8" w:rsidRPr="005E1802">
        <w:rPr>
          <w:rFonts w:ascii="Times New Roman" w:hAnsi="Times New Roman"/>
          <w:color w:val="000000"/>
          <w:shd w:val="clear" w:color="auto" w:fill="FFFFFF"/>
        </w:rPr>
        <w:t xml:space="preserve">; </w:t>
      </w:r>
      <w:r w:rsidR="00FE6E3D" w:rsidRPr="005E1802">
        <w:rPr>
          <w:rFonts w:ascii="Times New Roman" w:hAnsi="Times New Roman"/>
          <w:color w:val="000000"/>
          <w:shd w:val="clear" w:color="auto" w:fill="FFFFFF"/>
        </w:rPr>
        <w:t xml:space="preserve">it was the case that </w:t>
      </w:r>
      <w:r w:rsidR="00D80741" w:rsidRPr="005E1802">
        <w:rPr>
          <w:rFonts w:ascii="Times New Roman" w:hAnsi="Times New Roman"/>
          <w:color w:val="000000"/>
          <w:shd w:val="clear" w:color="auto" w:fill="FFFFFF"/>
        </w:rPr>
        <w:t>established</w:t>
      </w:r>
      <w:r w:rsidR="00FE6E3D" w:rsidRPr="005E1802">
        <w:rPr>
          <w:rFonts w:ascii="Times New Roman" w:hAnsi="Times New Roman"/>
          <w:color w:val="000000"/>
          <w:shd w:val="clear" w:color="auto" w:fill="FFFFFF"/>
        </w:rPr>
        <w:t xml:space="preserve"> tha</w:t>
      </w:r>
      <w:r w:rsidR="003C7A81" w:rsidRPr="005E1802">
        <w:rPr>
          <w:rFonts w:ascii="Times New Roman" w:hAnsi="Times New Roman"/>
          <w:color w:val="000000"/>
          <w:shd w:val="clear" w:color="auto" w:fill="FFFFFF"/>
        </w:rPr>
        <w:t>t</w:t>
      </w:r>
      <w:r w:rsidR="000D4EB5" w:rsidRPr="005E1802">
        <w:rPr>
          <w:rFonts w:ascii="Times New Roman" w:hAnsi="Times New Roman"/>
          <w:color w:val="000000"/>
          <w:shd w:val="clear" w:color="auto" w:fill="FFFFFF"/>
        </w:rPr>
        <w:t xml:space="preserve"> </w:t>
      </w:r>
      <w:r w:rsidR="003C7A81" w:rsidRPr="005E1802">
        <w:rPr>
          <w:rFonts w:ascii="Times New Roman" w:hAnsi="Times New Roman"/>
          <w:color w:val="000000"/>
          <w:shd w:val="clear" w:color="auto" w:fill="FFFFFF"/>
        </w:rPr>
        <w:t>non-compliance</w:t>
      </w:r>
      <w:r w:rsidR="000D4EB5" w:rsidRPr="005E1802">
        <w:rPr>
          <w:rFonts w:ascii="Times New Roman" w:hAnsi="Times New Roman"/>
          <w:color w:val="000000"/>
          <w:shd w:val="clear" w:color="auto" w:fill="FFFFFF"/>
        </w:rPr>
        <w:t xml:space="preserve"> with </w:t>
      </w:r>
      <w:r w:rsidR="00F25E58" w:rsidRPr="005E1802">
        <w:rPr>
          <w:rFonts w:ascii="Times New Roman" w:hAnsi="Times New Roman"/>
          <w:color w:val="000000"/>
          <w:shd w:val="clear" w:color="auto" w:fill="FFFFFF"/>
        </w:rPr>
        <w:t xml:space="preserve">a </w:t>
      </w:r>
      <w:r w:rsidR="000D4EB5" w:rsidRPr="005E1802">
        <w:rPr>
          <w:rFonts w:ascii="Times New Roman" w:hAnsi="Times New Roman"/>
          <w:color w:val="000000"/>
          <w:shd w:val="clear" w:color="auto" w:fill="FFFFFF"/>
        </w:rPr>
        <w:t xml:space="preserve">statutory obligation to afford procedural </w:t>
      </w:r>
      <w:r w:rsidR="004A6BC7" w:rsidRPr="005E1802">
        <w:rPr>
          <w:rFonts w:ascii="Times New Roman" w:hAnsi="Times New Roman"/>
          <w:color w:val="000000"/>
          <w:shd w:val="clear" w:color="auto" w:fill="FFFFFF"/>
        </w:rPr>
        <w:t xml:space="preserve">fairness can </w:t>
      </w:r>
      <w:r w:rsidR="00E8555F" w:rsidRPr="005E1802">
        <w:rPr>
          <w:rFonts w:ascii="Times New Roman" w:hAnsi="Times New Roman"/>
          <w:color w:val="000000"/>
          <w:shd w:val="clear" w:color="auto" w:fill="FFFFFF"/>
        </w:rPr>
        <w:t>result in jurisdictional error</w:t>
      </w:r>
      <w:r w:rsidR="007A1D06" w:rsidRPr="005E1802">
        <w:rPr>
          <w:rFonts w:ascii="Times New Roman" w:hAnsi="Times New Roman"/>
          <w:color w:val="000000"/>
          <w:shd w:val="clear" w:color="auto" w:fill="FFFFFF"/>
        </w:rPr>
        <w:t xml:space="preserve"> </w:t>
      </w:r>
      <w:r w:rsidR="00EB0890" w:rsidRPr="005E1802">
        <w:rPr>
          <w:rFonts w:ascii="Times New Roman" w:hAnsi="Times New Roman"/>
          <w:color w:val="000000"/>
          <w:shd w:val="clear" w:color="auto" w:fill="FFFFFF"/>
        </w:rPr>
        <w:t>attract</w:t>
      </w:r>
      <w:r w:rsidR="00D93134" w:rsidRPr="005E1802">
        <w:rPr>
          <w:rFonts w:ascii="Times New Roman" w:hAnsi="Times New Roman"/>
          <w:color w:val="000000"/>
          <w:shd w:val="clear" w:color="auto" w:fill="FFFFFF"/>
        </w:rPr>
        <w:t>ing</w:t>
      </w:r>
      <w:r w:rsidR="00694DF9" w:rsidRPr="005E1802">
        <w:rPr>
          <w:rFonts w:ascii="Times New Roman" w:hAnsi="Times New Roman"/>
          <w:color w:val="000000"/>
          <w:shd w:val="clear" w:color="auto" w:fill="FFFFFF"/>
        </w:rPr>
        <w:t xml:space="preserve"> </w:t>
      </w:r>
      <w:r w:rsidR="00EB0890" w:rsidRPr="005E1802">
        <w:rPr>
          <w:rFonts w:ascii="Times New Roman" w:hAnsi="Times New Roman"/>
          <w:color w:val="000000"/>
          <w:shd w:val="clear" w:color="auto" w:fill="FFFFFF"/>
        </w:rPr>
        <w:t xml:space="preserve">relief in </w:t>
      </w:r>
      <w:r w:rsidR="00EB0890" w:rsidRPr="005E1802">
        <w:rPr>
          <w:rFonts w:ascii="Times New Roman" w:hAnsi="Times New Roman"/>
        </w:rPr>
        <w:t xml:space="preserve">the constitutionally entrenched original jurisdiction of this Court. </w:t>
      </w:r>
      <w:r w:rsidR="00872D57" w:rsidRPr="005E1802">
        <w:rPr>
          <w:rFonts w:ascii="Times New Roman" w:hAnsi="Times New Roman"/>
        </w:rPr>
        <w:t xml:space="preserve">One of the arguments </w:t>
      </w:r>
      <w:r w:rsidR="00ED30B8" w:rsidRPr="005E1802">
        <w:rPr>
          <w:rFonts w:ascii="Times New Roman" w:hAnsi="Times New Roman"/>
        </w:rPr>
        <w:t xml:space="preserve">put to the Court in </w:t>
      </w:r>
      <w:r w:rsidR="00ED30B8" w:rsidRPr="005E1802">
        <w:rPr>
          <w:rFonts w:ascii="Times New Roman" w:hAnsi="Times New Roman"/>
          <w:i/>
          <w:color w:val="000000"/>
          <w:shd w:val="clear" w:color="auto" w:fill="FFFFFF"/>
        </w:rPr>
        <w:t xml:space="preserve">Aala </w:t>
      </w:r>
      <w:r w:rsidR="0036761C" w:rsidRPr="005E1802">
        <w:rPr>
          <w:rFonts w:ascii="Times New Roman" w:hAnsi="Times New Roman"/>
          <w:color w:val="000000"/>
          <w:shd w:val="clear" w:color="auto" w:fill="FFFFFF"/>
        </w:rPr>
        <w:t xml:space="preserve">was </w:t>
      </w:r>
      <w:r w:rsidR="00F30DC9" w:rsidRPr="005E1802">
        <w:rPr>
          <w:rFonts w:ascii="Times New Roman" w:hAnsi="Times New Roman"/>
          <w:color w:val="000000"/>
          <w:shd w:val="clear" w:color="auto" w:fill="FFFFFF"/>
        </w:rPr>
        <w:t>cast in terms that</w:t>
      </w:r>
      <w:r w:rsidR="00694DF9" w:rsidRPr="005E1802">
        <w:rPr>
          <w:rFonts w:ascii="Times New Roman" w:hAnsi="Times New Roman"/>
          <w:color w:val="000000"/>
          <w:shd w:val="clear" w:color="auto" w:fill="FFFFFF"/>
        </w:rPr>
        <w:t xml:space="preserve">, </w:t>
      </w:r>
      <w:r w:rsidR="00F25E58" w:rsidRPr="005E1802">
        <w:rPr>
          <w:rFonts w:ascii="Times New Roman" w:hAnsi="Times New Roman"/>
          <w:color w:val="000000"/>
          <w:shd w:val="clear" w:color="auto" w:fill="FFFFFF"/>
        </w:rPr>
        <w:t>t</w:t>
      </w:r>
      <w:r w:rsidR="00F30DC9" w:rsidRPr="005E1802">
        <w:rPr>
          <w:rFonts w:ascii="Times New Roman" w:hAnsi="Times New Roman"/>
          <w:color w:val="000000"/>
          <w:shd w:val="clear" w:color="auto" w:fill="FFFFFF"/>
        </w:rPr>
        <w:t>o attract relief</w:t>
      </w:r>
      <w:r w:rsidR="00745C63" w:rsidRPr="005E1802">
        <w:rPr>
          <w:rFonts w:ascii="Times New Roman" w:hAnsi="Times New Roman"/>
          <w:color w:val="000000"/>
          <w:shd w:val="clear" w:color="auto" w:fill="FFFFFF"/>
        </w:rPr>
        <w:t xml:space="preserve">, the non-compliance </w:t>
      </w:r>
      <w:r w:rsidR="00AA4077" w:rsidRPr="005E1802">
        <w:rPr>
          <w:rFonts w:ascii="Times New Roman" w:hAnsi="Times New Roman"/>
          <w:color w:val="000000"/>
          <w:shd w:val="clear" w:color="auto" w:fill="FFFFFF"/>
        </w:rPr>
        <w:t>"</w:t>
      </w:r>
      <w:r w:rsidR="00BD6C93" w:rsidRPr="005E1802">
        <w:rPr>
          <w:rFonts w:ascii="Times New Roman" w:hAnsi="Times New Roman"/>
          <w:color w:val="000000"/>
          <w:shd w:val="clear" w:color="auto" w:fill="FFFFFF"/>
        </w:rPr>
        <w:t>must be sufficiently</w:t>
      </w:r>
      <w:r w:rsidR="00AA4077" w:rsidRPr="005E1802">
        <w:rPr>
          <w:rFonts w:ascii="Times New Roman" w:hAnsi="Times New Roman"/>
          <w:color w:val="000000"/>
          <w:shd w:val="clear" w:color="auto" w:fill="FFFFFF"/>
        </w:rPr>
        <w:t xml:space="preserve"> serious to allow the process to be characterised as beyond power</w:t>
      </w:r>
      <w:r w:rsidR="009A29F0" w:rsidRPr="005E1802">
        <w:rPr>
          <w:rFonts w:ascii="Times New Roman" w:hAnsi="Times New Roman"/>
          <w:color w:val="000000"/>
          <w:shd w:val="clear" w:color="auto" w:fill="FFFFFF"/>
        </w:rPr>
        <w:t>, as involving procedural ultra vires"</w:t>
      </w:r>
      <w:r w:rsidR="00E428AA" w:rsidRPr="005E1802">
        <w:rPr>
          <w:rStyle w:val="FootnoteReference"/>
          <w:rFonts w:ascii="Times New Roman" w:hAnsi="Times New Roman"/>
          <w:color w:val="000000"/>
          <w:sz w:val="24"/>
          <w:shd w:val="clear" w:color="auto" w:fill="FFFFFF"/>
        </w:rPr>
        <w:footnoteReference w:id="56"/>
      </w:r>
      <w:r w:rsidR="009A29F0" w:rsidRPr="005E1802">
        <w:rPr>
          <w:rFonts w:ascii="Times New Roman" w:hAnsi="Times New Roman"/>
          <w:color w:val="000000"/>
          <w:shd w:val="clear" w:color="auto" w:fill="FFFFFF"/>
        </w:rPr>
        <w:t xml:space="preserve">. </w:t>
      </w:r>
      <w:r w:rsidR="00745C63" w:rsidRPr="005E1802">
        <w:rPr>
          <w:rFonts w:ascii="Times New Roman" w:hAnsi="Times New Roman"/>
          <w:color w:val="000000"/>
          <w:shd w:val="clear" w:color="auto" w:fill="FFFFFF"/>
        </w:rPr>
        <w:t xml:space="preserve">The argument was </w:t>
      </w:r>
      <w:r w:rsidR="007A1D06" w:rsidRPr="005E1802">
        <w:rPr>
          <w:rFonts w:ascii="Times New Roman" w:hAnsi="Times New Roman"/>
          <w:color w:val="000000"/>
          <w:shd w:val="clear" w:color="auto" w:fill="FFFFFF"/>
        </w:rPr>
        <w:t xml:space="preserve">dealt with differently </w:t>
      </w:r>
      <w:r w:rsidR="00114B1F" w:rsidRPr="005E1802">
        <w:rPr>
          <w:rFonts w:ascii="Times New Roman" w:hAnsi="Times New Roman"/>
          <w:color w:val="000000"/>
          <w:shd w:val="clear" w:color="auto" w:fill="FFFFFF"/>
        </w:rPr>
        <w:t xml:space="preserve">in the reasoning of </w:t>
      </w:r>
      <w:r w:rsidR="00866F44" w:rsidRPr="005E1802">
        <w:rPr>
          <w:rFonts w:ascii="Times New Roman" w:hAnsi="Times New Roman"/>
          <w:color w:val="000000"/>
          <w:shd w:val="clear" w:color="auto" w:fill="FFFFFF"/>
        </w:rPr>
        <w:t xml:space="preserve">different members of the Court. </w:t>
      </w:r>
      <w:r w:rsidR="00114B1F" w:rsidRPr="005E1802">
        <w:rPr>
          <w:rFonts w:ascii="Times New Roman" w:hAnsi="Times New Roman"/>
          <w:color w:val="000000"/>
          <w:shd w:val="clear" w:color="auto" w:fill="FFFFFF"/>
        </w:rPr>
        <w:t>Notably</w:t>
      </w:r>
      <w:r w:rsidR="00652596" w:rsidRPr="005E1802">
        <w:rPr>
          <w:rFonts w:ascii="Times New Roman" w:hAnsi="Times New Roman"/>
          <w:color w:val="000000"/>
          <w:shd w:val="clear" w:color="auto" w:fill="FFFFFF"/>
        </w:rPr>
        <w:t xml:space="preserve">, </w:t>
      </w:r>
      <w:r w:rsidR="00114B1F" w:rsidRPr="005E1802">
        <w:rPr>
          <w:rFonts w:ascii="Times New Roman" w:hAnsi="Times New Roman"/>
          <w:color w:val="000000"/>
          <w:shd w:val="clear" w:color="auto" w:fill="FFFFFF"/>
        </w:rPr>
        <w:t xml:space="preserve">all </w:t>
      </w:r>
      <w:r w:rsidR="00652596" w:rsidRPr="005E1802">
        <w:rPr>
          <w:rFonts w:ascii="Times New Roman" w:hAnsi="Times New Roman"/>
          <w:color w:val="000000"/>
          <w:shd w:val="clear" w:color="auto" w:fill="FFFFFF"/>
        </w:rPr>
        <w:t xml:space="preserve">the </w:t>
      </w:r>
      <w:r w:rsidR="00114B1F" w:rsidRPr="005E1802">
        <w:rPr>
          <w:rFonts w:ascii="Times New Roman" w:hAnsi="Times New Roman"/>
          <w:color w:val="000000"/>
          <w:shd w:val="clear" w:color="auto" w:fill="FFFFFF"/>
        </w:rPr>
        <w:t xml:space="preserve">responses to </w:t>
      </w:r>
      <w:r w:rsidR="004F36F8" w:rsidRPr="005E1802">
        <w:rPr>
          <w:rFonts w:ascii="Times New Roman" w:hAnsi="Times New Roman"/>
          <w:color w:val="000000"/>
          <w:shd w:val="clear" w:color="auto" w:fill="FFFFFF"/>
        </w:rPr>
        <w:t>the argument</w:t>
      </w:r>
      <w:r w:rsidR="00114B1F" w:rsidRPr="005E1802">
        <w:rPr>
          <w:rFonts w:ascii="Times New Roman" w:hAnsi="Times New Roman"/>
          <w:color w:val="000000"/>
          <w:shd w:val="clear" w:color="auto" w:fill="FFFFFF"/>
        </w:rPr>
        <w:t xml:space="preserve"> </w:t>
      </w:r>
      <w:r w:rsidR="00B8568C" w:rsidRPr="005E1802">
        <w:rPr>
          <w:rFonts w:ascii="Times New Roman" w:hAnsi="Times New Roman"/>
          <w:color w:val="000000"/>
          <w:shd w:val="clear" w:color="auto" w:fill="FFFFFF"/>
        </w:rPr>
        <w:t>invo</w:t>
      </w:r>
      <w:r w:rsidR="006F520F" w:rsidRPr="005E1802">
        <w:rPr>
          <w:rFonts w:ascii="Times New Roman" w:hAnsi="Times New Roman"/>
          <w:color w:val="000000"/>
          <w:shd w:val="clear" w:color="auto" w:fill="FFFFFF"/>
        </w:rPr>
        <w:t>ked</w:t>
      </w:r>
      <w:r w:rsidR="00747CC0" w:rsidRPr="005E1802">
        <w:rPr>
          <w:rFonts w:ascii="Times New Roman" w:hAnsi="Times New Roman"/>
          <w:color w:val="000000"/>
          <w:shd w:val="clear" w:color="auto" w:fill="FFFFFF"/>
        </w:rPr>
        <w:t xml:space="preserve"> </w:t>
      </w:r>
      <w:r w:rsidR="00230D6C" w:rsidRPr="005E1802">
        <w:rPr>
          <w:rFonts w:ascii="Times New Roman" w:hAnsi="Times New Roman"/>
          <w:i/>
          <w:color w:val="000000"/>
          <w:shd w:val="clear" w:color="auto" w:fill="FFFFFF"/>
        </w:rPr>
        <w:t>Stead</w:t>
      </w:r>
      <w:r w:rsidR="00747CC0" w:rsidRPr="005E1802">
        <w:rPr>
          <w:rFonts w:ascii="Times New Roman" w:hAnsi="Times New Roman"/>
          <w:color w:val="000000"/>
          <w:shd w:val="clear" w:color="auto" w:fill="FFFFFF"/>
        </w:rPr>
        <w:t>.</w:t>
      </w:r>
    </w:p>
    <w:p w14:paraId="39753E2B" w14:textId="1A4D921C" w:rsidR="00747CC0" w:rsidRPr="005E1802" w:rsidRDefault="00747CC0"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C406BE" w:rsidRPr="005E1802">
        <w:rPr>
          <w:rFonts w:ascii="Times New Roman" w:hAnsi="Times New Roman"/>
        </w:rPr>
        <w:t>McHugh J</w:t>
      </w:r>
      <w:r w:rsidR="00E54725" w:rsidRPr="005E1802">
        <w:rPr>
          <w:rFonts w:ascii="Times New Roman" w:hAnsi="Times New Roman"/>
        </w:rPr>
        <w:t xml:space="preserve"> </w:t>
      </w:r>
      <w:r w:rsidR="008D7F11" w:rsidRPr="005E1802">
        <w:rPr>
          <w:rFonts w:ascii="Times New Roman" w:hAnsi="Times New Roman"/>
          <w:color w:val="000000"/>
          <w:shd w:val="clear" w:color="auto" w:fill="FFFFFF"/>
        </w:rPr>
        <w:t xml:space="preserve">foreshadowed </w:t>
      </w:r>
      <w:r w:rsidR="008D7F11" w:rsidRPr="005E1802">
        <w:rPr>
          <w:rFonts w:ascii="Times New Roman" w:hAnsi="Times New Roman"/>
          <w:i/>
        </w:rPr>
        <w:t xml:space="preserve">Hossain </w:t>
      </w:r>
      <w:r w:rsidR="008D7F11" w:rsidRPr="005E1802">
        <w:rPr>
          <w:rFonts w:ascii="Times New Roman" w:hAnsi="Times New Roman"/>
        </w:rPr>
        <w:t xml:space="preserve">and </w:t>
      </w:r>
      <w:r w:rsidR="008D7F11" w:rsidRPr="005E1802">
        <w:rPr>
          <w:rFonts w:ascii="Times New Roman" w:hAnsi="Times New Roman"/>
          <w:i/>
        </w:rPr>
        <w:t>SZMTA</w:t>
      </w:r>
      <w:r w:rsidR="008D7F11" w:rsidRPr="005E1802">
        <w:rPr>
          <w:rFonts w:ascii="Times New Roman" w:hAnsi="Times New Roman"/>
        </w:rPr>
        <w:t xml:space="preserve"> in </w:t>
      </w:r>
      <w:r w:rsidR="00E54725" w:rsidRPr="005E1802">
        <w:rPr>
          <w:rFonts w:ascii="Times New Roman" w:hAnsi="Times New Roman"/>
        </w:rPr>
        <w:t>emphasis</w:t>
      </w:r>
      <w:r w:rsidR="008D7F11" w:rsidRPr="005E1802">
        <w:rPr>
          <w:rFonts w:ascii="Times New Roman" w:hAnsi="Times New Roman"/>
        </w:rPr>
        <w:t>ing</w:t>
      </w:r>
      <w:r w:rsidR="00922D81" w:rsidRPr="005E1802">
        <w:rPr>
          <w:rFonts w:ascii="Times New Roman" w:hAnsi="Times New Roman"/>
        </w:rPr>
        <w:t xml:space="preserve"> </w:t>
      </w:r>
      <w:r w:rsidR="00590AAA" w:rsidRPr="005E1802">
        <w:rPr>
          <w:rFonts w:ascii="Times New Roman" w:hAnsi="Times New Roman"/>
        </w:rPr>
        <w:t xml:space="preserve">that </w:t>
      </w:r>
      <w:r w:rsidR="005102C1" w:rsidRPr="005E1802">
        <w:rPr>
          <w:rFonts w:ascii="Times New Roman" w:hAnsi="Times New Roman"/>
        </w:rPr>
        <w:t xml:space="preserve">not every denial of procedural fairness </w:t>
      </w:r>
      <w:r w:rsidR="00B725EF" w:rsidRPr="005E1802">
        <w:rPr>
          <w:rFonts w:ascii="Times New Roman" w:hAnsi="Times New Roman"/>
        </w:rPr>
        <w:t>occurring</w:t>
      </w:r>
      <w:r w:rsidR="0044507A" w:rsidRPr="005E1802">
        <w:rPr>
          <w:rFonts w:ascii="Times New Roman" w:hAnsi="Times New Roman"/>
        </w:rPr>
        <w:t xml:space="preserve"> in a decision-making process </w:t>
      </w:r>
      <w:r w:rsidR="00D43470" w:rsidRPr="005E1802">
        <w:rPr>
          <w:rFonts w:ascii="Times New Roman" w:hAnsi="Times New Roman"/>
        </w:rPr>
        <w:t>necessarily</w:t>
      </w:r>
      <w:r w:rsidR="0063154D" w:rsidRPr="005E1802">
        <w:rPr>
          <w:rFonts w:ascii="Times New Roman" w:hAnsi="Times New Roman"/>
        </w:rPr>
        <w:t xml:space="preserve"> </w:t>
      </w:r>
      <w:r w:rsidR="005102C1" w:rsidRPr="005E1802">
        <w:rPr>
          <w:rFonts w:ascii="Times New Roman" w:hAnsi="Times New Roman"/>
        </w:rPr>
        <w:t xml:space="preserve">affects </w:t>
      </w:r>
      <w:r w:rsidR="00C43EA9" w:rsidRPr="005E1802">
        <w:rPr>
          <w:rFonts w:ascii="Times New Roman" w:hAnsi="Times New Roman"/>
        </w:rPr>
        <w:t>the</w:t>
      </w:r>
      <w:r w:rsidR="005102C1" w:rsidRPr="005E1802">
        <w:rPr>
          <w:rFonts w:ascii="Times New Roman" w:hAnsi="Times New Roman"/>
        </w:rPr>
        <w:t xml:space="preserve"> decision </w:t>
      </w:r>
      <w:r w:rsidR="00C43EA9" w:rsidRPr="005E1802">
        <w:rPr>
          <w:rFonts w:ascii="Times New Roman" w:hAnsi="Times New Roman"/>
        </w:rPr>
        <w:t>that results from that pr</w:t>
      </w:r>
      <w:r w:rsidR="00F06BC2" w:rsidRPr="005E1802">
        <w:rPr>
          <w:rFonts w:ascii="Times New Roman" w:hAnsi="Times New Roman"/>
        </w:rPr>
        <w:t>ocess</w:t>
      </w:r>
      <w:r w:rsidR="00CC1E82" w:rsidRPr="005E1802">
        <w:rPr>
          <w:rStyle w:val="FootnoteReference"/>
          <w:rFonts w:ascii="Times New Roman" w:hAnsi="Times New Roman"/>
          <w:sz w:val="24"/>
        </w:rPr>
        <w:footnoteReference w:id="57"/>
      </w:r>
      <w:r w:rsidR="00FD3DCC" w:rsidRPr="005E1802">
        <w:rPr>
          <w:rFonts w:ascii="Times New Roman" w:hAnsi="Times New Roman"/>
        </w:rPr>
        <w:t xml:space="preserve">. </w:t>
      </w:r>
      <w:r w:rsidR="002511B0" w:rsidRPr="005E1802">
        <w:rPr>
          <w:rFonts w:ascii="Times New Roman" w:hAnsi="Times New Roman"/>
        </w:rPr>
        <w:t>Satisfied</w:t>
      </w:r>
      <w:r w:rsidR="00E4691C" w:rsidRPr="005E1802">
        <w:rPr>
          <w:rFonts w:ascii="Times New Roman" w:hAnsi="Times New Roman"/>
        </w:rPr>
        <w:t xml:space="preserve"> that th</w:t>
      </w:r>
      <w:r w:rsidR="00AD59E1" w:rsidRPr="005E1802">
        <w:rPr>
          <w:rFonts w:ascii="Times New Roman" w:hAnsi="Times New Roman"/>
        </w:rPr>
        <w:t xml:space="preserve">ere was "no realistic possibility" </w:t>
      </w:r>
      <w:r w:rsidR="00292BEA" w:rsidRPr="005E1802">
        <w:rPr>
          <w:rFonts w:ascii="Times New Roman" w:hAnsi="Times New Roman"/>
        </w:rPr>
        <w:t xml:space="preserve">that the decision-maker could have </w:t>
      </w:r>
      <w:r w:rsidR="00FE5F1D" w:rsidRPr="005E1802">
        <w:rPr>
          <w:rFonts w:ascii="Times New Roman" w:hAnsi="Times New Roman"/>
        </w:rPr>
        <w:t xml:space="preserve">been persuaded to </w:t>
      </w:r>
      <w:r w:rsidR="000A366D" w:rsidRPr="005E1802">
        <w:rPr>
          <w:rFonts w:ascii="Times New Roman" w:hAnsi="Times New Roman"/>
        </w:rPr>
        <w:t xml:space="preserve">take a different view of the prosecutor's credibility </w:t>
      </w:r>
      <w:r w:rsidR="003C0E56" w:rsidRPr="005E1802">
        <w:rPr>
          <w:rFonts w:ascii="Times New Roman" w:hAnsi="Times New Roman"/>
        </w:rPr>
        <w:t>had the</w:t>
      </w:r>
      <w:r w:rsidR="00CC1E82" w:rsidRPr="005E1802">
        <w:rPr>
          <w:rFonts w:ascii="Times New Roman" w:hAnsi="Times New Roman"/>
        </w:rPr>
        <w:t xml:space="preserve"> prosecutor been afforded procedural fairness, </w:t>
      </w:r>
      <w:r w:rsidR="00947283" w:rsidRPr="005E1802">
        <w:rPr>
          <w:rFonts w:ascii="Times New Roman" w:hAnsi="Times New Roman"/>
        </w:rPr>
        <w:t xml:space="preserve">his Honour would have dismissed </w:t>
      </w:r>
      <w:r w:rsidR="009E622E" w:rsidRPr="005E1802">
        <w:rPr>
          <w:rFonts w:ascii="Times New Roman" w:hAnsi="Times New Roman"/>
        </w:rPr>
        <w:t>the application for judicial review</w:t>
      </w:r>
      <w:r w:rsidR="0097642E" w:rsidRPr="005E1802">
        <w:rPr>
          <w:rFonts w:ascii="Times New Roman" w:hAnsi="Times New Roman"/>
        </w:rPr>
        <w:t xml:space="preserve"> on the basis that the denial of procedural fairness had not deprived the prosecutor of</w:t>
      </w:r>
      <w:r w:rsidR="0095026F" w:rsidRPr="005E1802">
        <w:rPr>
          <w:rFonts w:ascii="Times New Roman" w:hAnsi="Times New Roman"/>
        </w:rPr>
        <w:t xml:space="preserve"> the possibility of</w:t>
      </w:r>
      <w:r w:rsidR="0097642E" w:rsidRPr="005E1802">
        <w:rPr>
          <w:rFonts w:ascii="Times New Roman" w:hAnsi="Times New Roman"/>
        </w:rPr>
        <w:t xml:space="preserve"> a successful outcome</w:t>
      </w:r>
      <w:r w:rsidR="009E622E" w:rsidRPr="005E1802">
        <w:rPr>
          <w:rStyle w:val="FootnoteReference"/>
          <w:rFonts w:ascii="Times New Roman" w:hAnsi="Times New Roman"/>
          <w:sz w:val="24"/>
        </w:rPr>
        <w:footnoteReference w:id="58"/>
      </w:r>
      <w:r w:rsidR="009E622E" w:rsidRPr="005E1802">
        <w:rPr>
          <w:rFonts w:ascii="Times New Roman" w:hAnsi="Times New Roman"/>
        </w:rPr>
        <w:t>.</w:t>
      </w:r>
      <w:r w:rsidR="003C0E56" w:rsidRPr="005E1802">
        <w:rPr>
          <w:rFonts w:ascii="Times New Roman" w:hAnsi="Times New Roman"/>
        </w:rPr>
        <w:t xml:space="preserve"> </w:t>
      </w:r>
      <w:r w:rsidR="00B11A35" w:rsidRPr="005E1802">
        <w:rPr>
          <w:rFonts w:ascii="Times New Roman" w:hAnsi="Times New Roman"/>
        </w:rPr>
        <w:t>His</w:t>
      </w:r>
      <w:r w:rsidR="0095026F" w:rsidRPr="005E1802">
        <w:rPr>
          <w:rFonts w:ascii="Times New Roman" w:hAnsi="Times New Roman"/>
        </w:rPr>
        <w:t xml:space="preserve"> view of the facts</w:t>
      </w:r>
      <w:r w:rsidR="003D1E21" w:rsidRPr="005E1802">
        <w:rPr>
          <w:rFonts w:ascii="Times New Roman" w:hAnsi="Times New Roman"/>
        </w:rPr>
        <w:t xml:space="preserve">, </w:t>
      </w:r>
      <w:r w:rsidR="003D1E21" w:rsidRPr="005E1802">
        <w:rPr>
          <w:rFonts w:ascii="Times New Roman" w:hAnsi="Times New Roman"/>
        </w:rPr>
        <w:lastRenderedPageBreak/>
        <w:t>however, was a minority view.</w:t>
      </w:r>
      <w:r w:rsidR="0078202E" w:rsidRPr="005E1802">
        <w:rPr>
          <w:rFonts w:ascii="Times New Roman" w:hAnsi="Times New Roman"/>
        </w:rPr>
        <w:t xml:space="preserve"> </w:t>
      </w:r>
      <w:r w:rsidR="00E22505" w:rsidRPr="005E1802">
        <w:rPr>
          <w:rFonts w:ascii="Times New Roman" w:hAnsi="Times New Roman"/>
        </w:rPr>
        <w:t>S</w:t>
      </w:r>
      <w:r w:rsidR="009C08A9" w:rsidRPr="005E1802">
        <w:rPr>
          <w:rFonts w:ascii="Times New Roman" w:hAnsi="Times New Roman"/>
        </w:rPr>
        <w:t>eparately analysing</w:t>
      </w:r>
      <w:r w:rsidR="00E37CEC" w:rsidRPr="005E1802">
        <w:rPr>
          <w:rFonts w:ascii="Times New Roman" w:hAnsi="Times New Roman"/>
        </w:rPr>
        <w:t xml:space="preserve"> the facts</w:t>
      </w:r>
      <w:r w:rsidR="0078202E" w:rsidRPr="005E1802">
        <w:rPr>
          <w:rFonts w:ascii="Times New Roman" w:hAnsi="Times New Roman"/>
        </w:rPr>
        <w:t xml:space="preserve">, </w:t>
      </w:r>
      <w:r w:rsidR="00D244E9" w:rsidRPr="005E1802">
        <w:rPr>
          <w:rFonts w:ascii="Times New Roman" w:hAnsi="Times New Roman"/>
        </w:rPr>
        <w:t>Gleeson</w:t>
      </w:r>
      <w:r w:rsidR="00434202" w:rsidRPr="005E1802">
        <w:rPr>
          <w:rFonts w:ascii="Times New Roman" w:hAnsi="Times New Roman"/>
        </w:rPr>
        <w:t> </w:t>
      </w:r>
      <w:r w:rsidR="00D244E9" w:rsidRPr="005E1802">
        <w:rPr>
          <w:rFonts w:ascii="Times New Roman" w:hAnsi="Times New Roman"/>
        </w:rPr>
        <w:t>CJ</w:t>
      </w:r>
      <w:r w:rsidR="00883C74" w:rsidRPr="005E1802">
        <w:rPr>
          <w:rStyle w:val="FootnoteReference"/>
          <w:rFonts w:ascii="Times New Roman" w:hAnsi="Times New Roman"/>
          <w:sz w:val="24"/>
        </w:rPr>
        <w:footnoteReference w:id="59"/>
      </w:r>
      <w:r w:rsidR="00D244E9" w:rsidRPr="005E1802">
        <w:rPr>
          <w:rFonts w:ascii="Times New Roman" w:hAnsi="Times New Roman"/>
        </w:rPr>
        <w:t>, Kirby</w:t>
      </w:r>
      <w:r w:rsidR="00F869C8" w:rsidRPr="005E1802">
        <w:rPr>
          <w:rFonts w:ascii="Times New Roman" w:hAnsi="Times New Roman"/>
        </w:rPr>
        <w:t> </w:t>
      </w:r>
      <w:r w:rsidR="00883C74" w:rsidRPr="005E1802">
        <w:rPr>
          <w:rFonts w:ascii="Times New Roman" w:hAnsi="Times New Roman"/>
        </w:rPr>
        <w:t>J</w:t>
      </w:r>
      <w:r w:rsidR="00883C74" w:rsidRPr="005E1802">
        <w:rPr>
          <w:rStyle w:val="FootnoteReference"/>
          <w:rFonts w:ascii="Times New Roman" w:hAnsi="Times New Roman"/>
          <w:sz w:val="24"/>
        </w:rPr>
        <w:footnoteReference w:id="60"/>
      </w:r>
      <w:r w:rsidR="00883C74" w:rsidRPr="005E1802">
        <w:rPr>
          <w:rFonts w:ascii="Times New Roman" w:hAnsi="Times New Roman"/>
        </w:rPr>
        <w:t xml:space="preserve"> </w:t>
      </w:r>
      <w:r w:rsidR="00D244E9" w:rsidRPr="005E1802">
        <w:rPr>
          <w:rFonts w:ascii="Times New Roman" w:hAnsi="Times New Roman"/>
        </w:rPr>
        <w:t>and Callinan</w:t>
      </w:r>
      <w:r w:rsidR="00C60EB7" w:rsidRPr="005E1802">
        <w:rPr>
          <w:rFonts w:ascii="Times New Roman" w:hAnsi="Times New Roman"/>
        </w:rPr>
        <w:t> </w:t>
      </w:r>
      <w:r w:rsidR="00883C74" w:rsidRPr="005E1802">
        <w:rPr>
          <w:rFonts w:ascii="Times New Roman" w:hAnsi="Times New Roman"/>
        </w:rPr>
        <w:t>J</w:t>
      </w:r>
      <w:r w:rsidR="00883C74" w:rsidRPr="005E1802">
        <w:rPr>
          <w:rStyle w:val="FootnoteReference"/>
          <w:rFonts w:ascii="Times New Roman" w:hAnsi="Times New Roman"/>
          <w:sz w:val="24"/>
        </w:rPr>
        <w:footnoteReference w:id="61"/>
      </w:r>
      <w:r w:rsidR="00D244E9" w:rsidRPr="005E1802">
        <w:rPr>
          <w:rFonts w:ascii="Times New Roman" w:hAnsi="Times New Roman"/>
        </w:rPr>
        <w:t xml:space="preserve"> each</w:t>
      </w:r>
      <w:r w:rsidR="00922D81" w:rsidRPr="005E1802">
        <w:rPr>
          <w:rFonts w:ascii="Times New Roman" w:hAnsi="Times New Roman"/>
        </w:rPr>
        <w:t xml:space="preserve"> </w:t>
      </w:r>
      <w:r w:rsidR="00DB47B1" w:rsidRPr="005E1802">
        <w:rPr>
          <w:rFonts w:ascii="Times New Roman" w:hAnsi="Times New Roman"/>
        </w:rPr>
        <w:t>expressed themselves</w:t>
      </w:r>
      <w:r w:rsidR="003606D4" w:rsidRPr="005E1802">
        <w:rPr>
          <w:rFonts w:ascii="Times New Roman" w:hAnsi="Times New Roman"/>
        </w:rPr>
        <w:t xml:space="preserve"> to be </w:t>
      </w:r>
      <w:r w:rsidR="00FA7FCD" w:rsidRPr="005E1802">
        <w:rPr>
          <w:rFonts w:ascii="Times New Roman" w:hAnsi="Times New Roman"/>
        </w:rPr>
        <w:t>satisfied</w:t>
      </w:r>
      <w:r w:rsidR="005E6EA3" w:rsidRPr="005E1802">
        <w:rPr>
          <w:rFonts w:ascii="Times New Roman" w:hAnsi="Times New Roman"/>
        </w:rPr>
        <w:t xml:space="preserve"> that </w:t>
      </w:r>
      <w:r w:rsidR="00922D81" w:rsidRPr="005E1802">
        <w:rPr>
          <w:rFonts w:ascii="Times New Roman" w:hAnsi="Times New Roman"/>
        </w:rPr>
        <w:t xml:space="preserve">the decision-maker </w:t>
      </w:r>
      <w:r w:rsidR="00006E8E" w:rsidRPr="005E1802">
        <w:rPr>
          <w:rFonts w:ascii="Times New Roman" w:hAnsi="Times New Roman"/>
        </w:rPr>
        <w:t>could</w:t>
      </w:r>
      <w:r w:rsidR="00922D81" w:rsidRPr="005E1802">
        <w:rPr>
          <w:rFonts w:ascii="Times New Roman" w:hAnsi="Times New Roman"/>
        </w:rPr>
        <w:t xml:space="preserve"> have taken a different view of the prosecutor's cr</w:t>
      </w:r>
      <w:r w:rsidR="00795D63" w:rsidRPr="005E1802">
        <w:rPr>
          <w:rFonts w:ascii="Times New Roman" w:hAnsi="Times New Roman"/>
        </w:rPr>
        <w:t>edibility had the prosecutor</w:t>
      </w:r>
      <w:r w:rsidR="00922D81" w:rsidRPr="005E1802">
        <w:rPr>
          <w:rFonts w:ascii="Times New Roman" w:hAnsi="Times New Roman"/>
        </w:rPr>
        <w:t xml:space="preserve"> been afforded procedural fairness</w:t>
      </w:r>
      <w:r w:rsidR="00795D63" w:rsidRPr="005E1802">
        <w:rPr>
          <w:rFonts w:ascii="Times New Roman" w:hAnsi="Times New Roman"/>
        </w:rPr>
        <w:t xml:space="preserve"> and </w:t>
      </w:r>
      <w:r w:rsidR="00944531" w:rsidRPr="005E1802">
        <w:rPr>
          <w:rFonts w:ascii="Times New Roman" w:hAnsi="Times New Roman"/>
        </w:rPr>
        <w:t xml:space="preserve">that </w:t>
      </w:r>
      <w:r w:rsidR="00665F99" w:rsidRPr="005E1802">
        <w:rPr>
          <w:rFonts w:ascii="Times New Roman" w:hAnsi="Times New Roman"/>
        </w:rPr>
        <w:t>a</w:t>
      </w:r>
      <w:r w:rsidR="00C60EB7" w:rsidRPr="005E1802">
        <w:rPr>
          <w:rFonts w:ascii="Times New Roman" w:hAnsi="Times New Roman"/>
        </w:rPr>
        <w:t xml:space="preserve"> dec</w:t>
      </w:r>
      <w:r w:rsidR="00290FF2" w:rsidRPr="005E1802">
        <w:rPr>
          <w:rFonts w:ascii="Times New Roman" w:hAnsi="Times New Roman"/>
        </w:rPr>
        <w:t>ision favourable</w:t>
      </w:r>
      <w:r w:rsidR="00665F99" w:rsidRPr="005E1802">
        <w:rPr>
          <w:rFonts w:ascii="Times New Roman" w:hAnsi="Times New Roman"/>
        </w:rPr>
        <w:t xml:space="preserve"> </w:t>
      </w:r>
      <w:r w:rsidR="00290FF2" w:rsidRPr="005E1802">
        <w:rPr>
          <w:rFonts w:ascii="Times New Roman" w:hAnsi="Times New Roman"/>
        </w:rPr>
        <w:t>to the prosecut</w:t>
      </w:r>
      <w:r w:rsidR="00FD6609" w:rsidRPr="005E1802">
        <w:rPr>
          <w:rFonts w:ascii="Times New Roman" w:hAnsi="Times New Roman"/>
        </w:rPr>
        <w:t>or</w:t>
      </w:r>
      <w:r w:rsidR="00290FF2" w:rsidRPr="005E1802">
        <w:rPr>
          <w:rFonts w:ascii="Times New Roman" w:hAnsi="Times New Roman"/>
        </w:rPr>
        <w:t xml:space="preserve"> </w:t>
      </w:r>
      <w:r w:rsidR="00006E8E" w:rsidRPr="005E1802">
        <w:rPr>
          <w:rFonts w:ascii="Times New Roman" w:hAnsi="Times New Roman"/>
        </w:rPr>
        <w:t xml:space="preserve">could </w:t>
      </w:r>
      <w:r w:rsidR="00665F99" w:rsidRPr="005E1802">
        <w:rPr>
          <w:rFonts w:ascii="Times New Roman" w:hAnsi="Times New Roman"/>
        </w:rPr>
        <w:t xml:space="preserve">have been reached </w:t>
      </w:r>
      <w:r w:rsidR="0022744A" w:rsidRPr="005E1802">
        <w:rPr>
          <w:rFonts w:ascii="Times New Roman" w:hAnsi="Times New Roman"/>
        </w:rPr>
        <w:t xml:space="preserve">had the decision-maker </w:t>
      </w:r>
      <w:r w:rsidR="00B63429" w:rsidRPr="005E1802">
        <w:rPr>
          <w:rFonts w:ascii="Times New Roman" w:hAnsi="Times New Roman"/>
        </w:rPr>
        <w:t xml:space="preserve">accepted </w:t>
      </w:r>
      <w:r w:rsidR="0022744A" w:rsidRPr="005E1802">
        <w:rPr>
          <w:rFonts w:ascii="Times New Roman" w:hAnsi="Times New Roman"/>
        </w:rPr>
        <w:t>the prosecutor's credibility</w:t>
      </w:r>
      <w:r w:rsidR="00944531" w:rsidRPr="005E1802">
        <w:rPr>
          <w:rFonts w:ascii="Times New Roman" w:hAnsi="Times New Roman"/>
        </w:rPr>
        <w:t>.</w:t>
      </w:r>
    </w:p>
    <w:p w14:paraId="05FC74FD" w14:textId="133F6193" w:rsidR="00084476" w:rsidRPr="005E1802" w:rsidRDefault="00084476"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8E5D35" w:rsidRPr="005E1802">
        <w:rPr>
          <w:rFonts w:ascii="Times New Roman" w:hAnsi="Times New Roman"/>
        </w:rPr>
        <w:t>The reasoning of Gaudron and Gummow JJ, with w</w:t>
      </w:r>
      <w:r w:rsidR="00BF5088" w:rsidRPr="005E1802">
        <w:rPr>
          <w:rFonts w:ascii="Times New Roman" w:hAnsi="Times New Roman"/>
        </w:rPr>
        <w:t>hich Hayne</w:t>
      </w:r>
      <w:r w:rsidR="00227099" w:rsidRPr="005E1802">
        <w:rPr>
          <w:rFonts w:ascii="Times New Roman" w:hAnsi="Times New Roman"/>
        </w:rPr>
        <w:t> </w:t>
      </w:r>
      <w:r w:rsidR="00BF5088" w:rsidRPr="005E1802">
        <w:rPr>
          <w:rFonts w:ascii="Times New Roman" w:hAnsi="Times New Roman"/>
        </w:rPr>
        <w:t>J relevantly agreed</w:t>
      </w:r>
      <w:r w:rsidR="003606D4" w:rsidRPr="005E1802">
        <w:rPr>
          <w:rFonts w:ascii="Times New Roman" w:hAnsi="Times New Roman"/>
        </w:rPr>
        <w:t xml:space="preserve">, </w:t>
      </w:r>
      <w:r w:rsidR="006F63A2" w:rsidRPr="005E1802">
        <w:rPr>
          <w:rFonts w:ascii="Times New Roman" w:hAnsi="Times New Roman"/>
        </w:rPr>
        <w:t>was</w:t>
      </w:r>
      <w:r w:rsidR="00BF5088" w:rsidRPr="005E1802">
        <w:rPr>
          <w:rFonts w:ascii="Times New Roman" w:hAnsi="Times New Roman"/>
        </w:rPr>
        <w:t xml:space="preserve"> </w:t>
      </w:r>
      <w:r w:rsidR="006F63A2" w:rsidRPr="005E1802">
        <w:rPr>
          <w:rFonts w:ascii="Times New Roman" w:hAnsi="Times New Roman"/>
        </w:rPr>
        <w:t xml:space="preserve">more </w:t>
      </w:r>
      <w:r w:rsidR="00BF5088" w:rsidRPr="005E1802">
        <w:rPr>
          <w:rFonts w:ascii="Times New Roman" w:hAnsi="Times New Roman"/>
        </w:rPr>
        <w:t xml:space="preserve">complex. </w:t>
      </w:r>
      <w:r w:rsidR="00196162" w:rsidRPr="005E1802">
        <w:rPr>
          <w:rFonts w:ascii="Times New Roman" w:hAnsi="Times New Roman"/>
        </w:rPr>
        <w:t xml:space="preserve">The reasoning contains passages that can be read </w:t>
      </w:r>
      <w:r w:rsidR="00FD0DEE" w:rsidRPr="005E1802">
        <w:rPr>
          <w:rFonts w:ascii="Times New Roman" w:hAnsi="Times New Roman"/>
        </w:rPr>
        <w:t xml:space="preserve">as stating that </w:t>
      </w:r>
      <w:r w:rsidR="00CC0A92" w:rsidRPr="005E1802">
        <w:rPr>
          <w:rFonts w:ascii="Times New Roman" w:hAnsi="Times New Roman"/>
        </w:rPr>
        <w:t xml:space="preserve">even a "trivial" </w:t>
      </w:r>
      <w:r w:rsidR="00FD0DEE" w:rsidRPr="005E1802">
        <w:rPr>
          <w:rFonts w:ascii="Times New Roman" w:hAnsi="Times New Roman"/>
        </w:rPr>
        <w:t xml:space="preserve">denial of procedural fairness amounts without more to </w:t>
      </w:r>
      <w:r w:rsidR="002140AD" w:rsidRPr="005E1802">
        <w:rPr>
          <w:rFonts w:ascii="Times New Roman" w:hAnsi="Times New Roman"/>
        </w:rPr>
        <w:t xml:space="preserve">a </w:t>
      </w:r>
      <w:r w:rsidR="00FD0DEE" w:rsidRPr="005E1802">
        <w:rPr>
          <w:rFonts w:ascii="Times New Roman" w:hAnsi="Times New Roman"/>
        </w:rPr>
        <w:t xml:space="preserve">jurisdictional error </w:t>
      </w:r>
      <w:r w:rsidR="002140AD" w:rsidRPr="005E1802">
        <w:rPr>
          <w:rFonts w:ascii="Times New Roman" w:hAnsi="Times New Roman"/>
        </w:rPr>
        <w:t xml:space="preserve">and as </w:t>
      </w:r>
      <w:r w:rsidR="00412EB6" w:rsidRPr="005E1802">
        <w:rPr>
          <w:rFonts w:ascii="Times New Roman" w:hAnsi="Times New Roman"/>
        </w:rPr>
        <w:t>relegating</w:t>
      </w:r>
      <w:r w:rsidR="00595016" w:rsidRPr="005E1802">
        <w:rPr>
          <w:rFonts w:ascii="Times New Roman" w:hAnsi="Times New Roman"/>
        </w:rPr>
        <w:t xml:space="preserve"> </w:t>
      </w:r>
      <w:r w:rsidR="0000441D" w:rsidRPr="005E1802">
        <w:rPr>
          <w:rFonts w:ascii="Times New Roman" w:hAnsi="Times New Roman"/>
        </w:rPr>
        <w:t xml:space="preserve">any consideration of </w:t>
      </w:r>
      <w:r w:rsidR="005502EB" w:rsidRPr="005E1802">
        <w:rPr>
          <w:rFonts w:ascii="Times New Roman" w:hAnsi="Times New Roman"/>
        </w:rPr>
        <w:t xml:space="preserve">the </w:t>
      </w:r>
      <w:r w:rsidR="00F84A30" w:rsidRPr="005E1802">
        <w:rPr>
          <w:rFonts w:ascii="Times New Roman" w:hAnsi="Times New Roman"/>
        </w:rPr>
        <w:t xml:space="preserve">significance of </w:t>
      </w:r>
      <w:r w:rsidR="0000441D" w:rsidRPr="005E1802">
        <w:rPr>
          <w:rFonts w:ascii="Times New Roman" w:hAnsi="Times New Roman"/>
        </w:rPr>
        <w:t>the</w:t>
      </w:r>
      <w:r w:rsidR="00ED68B1" w:rsidRPr="005E1802">
        <w:rPr>
          <w:rFonts w:ascii="Times New Roman" w:hAnsi="Times New Roman"/>
        </w:rPr>
        <w:t xml:space="preserve"> </w:t>
      </w:r>
      <w:r w:rsidR="00412EB6" w:rsidRPr="005E1802">
        <w:rPr>
          <w:rFonts w:ascii="Times New Roman" w:hAnsi="Times New Roman"/>
        </w:rPr>
        <w:t>denial of procedural fairness</w:t>
      </w:r>
      <w:r w:rsidR="00F84A30" w:rsidRPr="005E1802">
        <w:rPr>
          <w:rFonts w:ascii="Times New Roman" w:hAnsi="Times New Roman"/>
        </w:rPr>
        <w:t xml:space="preserve"> to the decision that was made</w:t>
      </w:r>
      <w:r w:rsidR="00B27722" w:rsidRPr="005E1802">
        <w:rPr>
          <w:rFonts w:ascii="Times New Roman" w:hAnsi="Times New Roman"/>
        </w:rPr>
        <w:t xml:space="preserve"> </w:t>
      </w:r>
      <w:r w:rsidR="00E51F29" w:rsidRPr="005E1802">
        <w:rPr>
          <w:rFonts w:ascii="Times New Roman" w:hAnsi="Times New Roman"/>
        </w:rPr>
        <w:t>to be taken into account</w:t>
      </w:r>
      <w:r w:rsidR="00936A96" w:rsidRPr="005E1802">
        <w:rPr>
          <w:rFonts w:ascii="Times New Roman" w:hAnsi="Times New Roman"/>
        </w:rPr>
        <w:t xml:space="preserve"> by a court</w:t>
      </w:r>
      <w:r w:rsidR="00E51F29" w:rsidRPr="005E1802">
        <w:rPr>
          <w:rFonts w:ascii="Times New Roman" w:hAnsi="Times New Roman"/>
        </w:rPr>
        <w:t xml:space="preserve">, if at all, </w:t>
      </w:r>
      <w:r w:rsidR="00EE34CA" w:rsidRPr="005E1802">
        <w:rPr>
          <w:rFonts w:ascii="Times New Roman" w:hAnsi="Times New Roman"/>
        </w:rPr>
        <w:t xml:space="preserve">in exercising </w:t>
      </w:r>
      <w:r w:rsidR="00AD75AA" w:rsidRPr="005E1802">
        <w:rPr>
          <w:rFonts w:ascii="Times New Roman" w:hAnsi="Times New Roman"/>
        </w:rPr>
        <w:t>discretion to grant relief</w:t>
      </w:r>
      <w:r w:rsidR="00B11303" w:rsidRPr="005E1802">
        <w:rPr>
          <w:rFonts w:ascii="Times New Roman" w:hAnsi="Times New Roman"/>
        </w:rPr>
        <w:t xml:space="preserve"> once</w:t>
      </w:r>
      <w:r w:rsidR="00936A96" w:rsidRPr="005E1802">
        <w:rPr>
          <w:rFonts w:ascii="Times New Roman" w:hAnsi="Times New Roman"/>
        </w:rPr>
        <w:t xml:space="preserve"> jurisdictional error </w:t>
      </w:r>
      <w:r w:rsidR="001E3C30" w:rsidRPr="005E1802">
        <w:rPr>
          <w:rFonts w:ascii="Times New Roman" w:hAnsi="Times New Roman"/>
        </w:rPr>
        <w:t>has been found</w:t>
      </w:r>
      <w:r w:rsidR="00AD75AA" w:rsidRPr="005E1802">
        <w:rPr>
          <w:rStyle w:val="FootnoteReference"/>
          <w:rFonts w:ascii="Times New Roman" w:hAnsi="Times New Roman"/>
          <w:sz w:val="24"/>
        </w:rPr>
        <w:footnoteReference w:id="62"/>
      </w:r>
      <w:r w:rsidR="00AD75AA" w:rsidRPr="005E1802">
        <w:rPr>
          <w:rFonts w:ascii="Times New Roman" w:hAnsi="Times New Roman"/>
        </w:rPr>
        <w:t>.</w:t>
      </w:r>
      <w:r w:rsidR="00595016" w:rsidRPr="005E1802">
        <w:rPr>
          <w:rFonts w:ascii="Times New Roman" w:hAnsi="Times New Roman"/>
        </w:rPr>
        <w:t xml:space="preserve"> </w:t>
      </w:r>
      <w:r w:rsidR="00D86E9E" w:rsidRPr="005E1802">
        <w:rPr>
          <w:rFonts w:ascii="Times New Roman" w:hAnsi="Times New Roman"/>
        </w:rPr>
        <w:t>Tellingly, however, after u</w:t>
      </w:r>
      <w:r w:rsidR="004A6861" w:rsidRPr="005E1802">
        <w:rPr>
          <w:rFonts w:ascii="Times New Roman" w:hAnsi="Times New Roman"/>
        </w:rPr>
        <w:t xml:space="preserve">ndertaking their own </w:t>
      </w:r>
      <w:r w:rsidR="00B11303" w:rsidRPr="005E1802">
        <w:rPr>
          <w:rFonts w:ascii="Times New Roman" w:hAnsi="Times New Roman"/>
        </w:rPr>
        <w:t xml:space="preserve">factual </w:t>
      </w:r>
      <w:r w:rsidR="004A6861" w:rsidRPr="005E1802">
        <w:rPr>
          <w:rFonts w:ascii="Times New Roman" w:hAnsi="Times New Roman"/>
        </w:rPr>
        <w:t xml:space="preserve">analysis of the </w:t>
      </w:r>
      <w:r w:rsidR="002D25C5" w:rsidRPr="005E1802">
        <w:rPr>
          <w:rFonts w:ascii="Times New Roman" w:hAnsi="Times New Roman"/>
        </w:rPr>
        <w:t xml:space="preserve">decision-making process that had </w:t>
      </w:r>
      <w:r w:rsidR="000E00F0" w:rsidRPr="005E1802">
        <w:rPr>
          <w:rFonts w:ascii="Times New Roman" w:hAnsi="Times New Roman"/>
        </w:rPr>
        <w:t>occurred</w:t>
      </w:r>
      <w:r w:rsidR="004A6861" w:rsidRPr="005E1802">
        <w:rPr>
          <w:rFonts w:ascii="Times New Roman" w:hAnsi="Times New Roman"/>
        </w:rPr>
        <w:t xml:space="preserve">, </w:t>
      </w:r>
      <w:r w:rsidR="0023669E" w:rsidRPr="005E1802">
        <w:rPr>
          <w:rFonts w:ascii="Times New Roman" w:hAnsi="Times New Roman"/>
        </w:rPr>
        <w:t xml:space="preserve">their Honours borrowed from the language of </w:t>
      </w:r>
      <w:r w:rsidR="00956851" w:rsidRPr="005E1802">
        <w:rPr>
          <w:rFonts w:ascii="Times New Roman" w:hAnsi="Times New Roman"/>
          <w:i/>
        </w:rPr>
        <w:t>Stead</w:t>
      </w:r>
      <w:r w:rsidR="00342C3D" w:rsidRPr="005E1802">
        <w:rPr>
          <w:rFonts w:ascii="Times New Roman" w:hAnsi="Times New Roman"/>
          <w:i/>
        </w:rPr>
        <w:t xml:space="preserve"> </w:t>
      </w:r>
      <w:r w:rsidR="00342C3D" w:rsidRPr="005E1802">
        <w:rPr>
          <w:rFonts w:ascii="Times New Roman" w:hAnsi="Times New Roman"/>
        </w:rPr>
        <w:t>to conclu</w:t>
      </w:r>
      <w:r w:rsidR="00EC54C9" w:rsidRPr="005E1802">
        <w:rPr>
          <w:rFonts w:ascii="Times New Roman" w:hAnsi="Times New Roman"/>
        </w:rPr>
        <w:t>de</w:t>
      </w:r>
      <w:r w:rsidR="00342C3D" w:rsidRPr="005E1802">
        <w:rPr>
          <w:rFonts w:ascii="Times New Roman" w:hAnsi="Times New Roman"/>
        </w:rPr>
        <w:t xml:space="preserve"> that "the denial of natural justice deprived [the prosecutor] of the possibility of a successful outcome"</w:t>
      </w:r>
      <w:r w:rsidR="00342C3D" w:rsidRPr="005E1802">
        <w:rPr>
          <w:rStyle w:val="FootnoteReference"/>
          <w:rFonts w:ascii="Times New Roman" w:hAnsi="Times New Roman"/>
          <w:sz w:val="24"/>
        </w:rPr>
        <w:footnoteReference w:id="63"/>
      </w:r>
      <w:r w:rsidR="00342C3D" w:rsidRPr="005E1802">
        <w:rPr>
          <w:rFonts w:ascii="Times New Roman" w:hAnsi="Times New Roman"/>
        </w:rPr>
        <w:t>.</w:t>
      </w:r>
    </w:p>
    <w:p w14:paraId="57860132" w14:textId="603C1EC2" w:rsidR="008C13E0" w:rsidRPr="005E1802" w:rsidRDefault="008C13E0"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BF5EF6" w:rsidRPr="005E1802">
        <w:rPr>
          <w:rFonts w:ascii="Times New Roman" w:hAnsi="Times New Roman"/>
        </w:rPr>
        <w:t>D</w:t>
      </w:r>
      <w:r w:rsidR="00F86DFC" w:rsidRPr="005E1802">
        <w:rPr>
          <w:rFonts w:ascii="Times New Roman" w:hAnsi="Times New Roman"/>
        </w:rPr>
        <w:t>espite</w:t>
      </w:r>
      <w:r w:rsidR="00BF5EF6" w:rsidRPr="005E1802">
        <w:rPr>
          <w:rFonts w:ascii="Times New Roman" w:hAnsi="Times New Roman"/>
        </w:rPr>
        <w:t xml:space="preserve"> </w:t>
      </w:r>
      <w:r w:rsidR="00152E7F" w:rsidRPr="005E1802">
        <w:rPr>
          <w:rFonts w:ascii="Times New Roman" w:hAnsi="Times New Roman"/>
        </w:rPr>
        <w:t>differences in emphasis</w:t>
      </w:r>
      <w:r w:rsidR="000E00F0" w:rsidRPr="005E1802">
        <w:rPr>
          <w:rFonts w:ascii="Times New Roman" w:hAnsi="Times New Roman"/>
        </w:rPr>
        <w:t xml:space="preserve"> and expression</w:t>
      </w:r>
      <w:r w:rsidR="00152E7F" w:rsidRPr="005E1802">
        <w:rPr>
          <w:rFonts w:ascii="Times New Roman" w:hAnsi="Times New Roman"/>
        </w:rPr>
        <w:t xml:space="preserve">, </w:t>
      </w:r>
      <w:r w:rsidR="005D4AB3" w:rsidRPr="005E1802">
        <w:rPr>
          <w:rFonts w:ascii="Times New Roman" w:hAnsi="Times New Roman"/>
        </w:rPr>
        <w:t>the reasoning of al</w:t>
      </w:r>
      <w:r w:rsidR="00617EB7" w:rsidRPr="005E1802">
        <w:rPr>
          <w:rFonts w:ascii="Times New Roman" w:hAnsi="Times New Roman"/>
        </w:rPr>
        <w:t>l</w:t>
      </w:r>
      <w:r w:rsidR="005D4AB3" w:rsidRPr="005E1802">
        <w:rPr>
          <w:rFonts w:ascii="Times New Roman" w:hAnsi="Times New Roman"/>
        </w:rPr>
        <w:t xml:space="preserve"> members of th</w:t>
      </w:r>
      <w:r w:rsidR="00617EB7" w:rsidRPr="005E1802">
        <w:rPr>
          <w:rFonts w:ascii="Times New Roman" w:hAnsi="Times New Roman"/>
        </w:rPr>
        <w:t xml:space="preserve">e Court in </w:t>
      </w:r>
      <w:r w:rsidR="00617EB7" w:rsidRPr="005E1802">
        <w:rPr>
          <w:rFonts w:ascii="Times New Roman" w:hAnsi="Times New Roman"/>
          <w:i/>
          <w:color w:val="000000"/>
          <w:shd w:val="clear" w:color="auto" w:fill="FFFFFF"/>
        </w:rPr>
        <w:t>Aala</w:t>
      </w:r>
      <w:r w:rsidR="000920E5" w:rsidRPr="005E1802">
        <w:rPr>
          <w:rFonts w:ascii="Times New Roman" w:hAnsi="Times New Roman"/>
          <w:i/>
          <w:color w:val="000000"/>
          <w:shd w:val="clear" w:color="auto" w:fill="FFFFFF"/>
        </w:rPr>
        <w:t xml:space="preserve"> </w:t>
      </w:r>
      <w:r w:rsidR="000920E5" w:rsidRPr="005E1802">
        <w:rPr>
          <w:rFonts w:ascii="Times New Roman" w:hAnsi="Times New Roman"/>
          <w:color w:val="000000"/>
          <w:shd w:val="clear" w:color="auto" w:fill="FFFFFF"/>
        </w:rPr>
        <w:t>to the result in that case</w:t>
      </w:r>
      <w:r w:rsidR="00112F6E" w:rsidRPr="005E1802">
        <w:rPr>
          <w:rFonts w:ascii="Times New Roman" w:hAnsi="Times New Roman"/>
          <w:i/>
          <w:color w:val="000000"/>
          <w:shd w:val="clear" w:color="auto" w:fill="FFFFFF"/>
        </w:rPr>
        <w:t xml:space="preserve"> </w:t>
      </w:r>
      <w:r w:rsidR="00112F6E" w:rsidRPr="005E1802">
        <w:rPr>
          <w:rFonts w:ascii="Times New Roman" w:hAnsi="Times New Roman"/>
          <w:color w:val="000000"/>
          <w:shd w:val="clear" w:color="auto" w:fill="FFFFFF"/>
        </w:rPr>
        <w:t>was</w:t>
      </w:r>
      <w:r w:rsidR="00227CD3" w:rsidRPr="005E1802">
        <w:rPr>
          <w:rFonts w:ascii="Times New Roman" w:hAnsi="Times New Roman"/>
          <w:color w:val="000000"/>
          <w:shd w:val="clear" w:color="auto" w:fill="FFFFFF"/>
        </w:rPr>
        <w:t xml:space="preserve"> </w:t>
      </w:r>
      <w:r w:rsidR="00112F6E" w:rsidRPr="005E1802">
        <w:rPr>
          <w:rFonts w:ascii="Times New Roman" w:hAnsi="Times New Roman"/>
          <w:color w:val="000000"/>
          <w:shd w:val="clear" w:color="auto" w:fill="FFFFFF"/>
        </w:rPr>
        <w:t>ultimately</w:t>
      </w:r>
      <w:r w:rsidR="00B902E6" w:rsidRPr="005E1802">
        <w:rPr>
          <w:rFonts w:ascii="Times New Roman" w:hAnsi="Times New Roman"/>
          <w:color w:val="000000"/>
          <w:shd w:val="clear" w:color="auto" w:fill="FFFFFF"/>
        </w:rPr>
        <w:t xml:space="preserve"> </w:t>
      </w:r>
      <w:r w:rsidR="00227CD3" w:rsidRPr="005E1802">
        <w:rPr>
          <w:rFonts w:ascii="Times New Roman" w:hAnsi="Times New Roman"/>
          <w:color w:val="000000"/>
          <w:shd w:val="clear" w:color="auto" w:fill="FFFFFF"/>
        </w:rPr>
        <w:t>not in</w:t>
      </w:r>
      <w:r w:rsidR="00B902E6" w:rsidRPr="005E1802">
        <w:rPr>
          <w:rFonts w:ascii="Times New Roman" w:hAnsi="Times New Roman"/>
          <w:color w:val="000000"/>
          <w:shd w:val="clear" w:color="auto" w:fill="FFFFFF"/>
        </w:rPr>
        <w:t xml:space="preserve">consistent </w:t>
      </w:r>
      <w:r w:rsidR="00F217B1" w:rsidRPr="005E1802">
        <w:rPr>
          <w:rFonts w:ascii="Times New Roman" w:hAnsi="Times New Roman"/>
          <w:color w:val="000000"/>
          <w:shd w:val="clear" w:color="auto" w:fill="FFFFFF"/>
        </w:rPr>
        <w:t xml:space="preserve">with the prosecutor having borne the onus </w:t>
      </w:r>
      <w:r w:rsidR="00DE5858" w:rsidRPr="005E1802">
        <w:rPr>
          <w:rFonts w:ascii="Times New Roman" w:hAnsi="Times New Roman"/>
          <w:color w:val="000000"/>
          <w:shd w:val="clear" w:color="auto" w:fill="FFFFFF"/>
        </w:rPr>
        <w:t xml:space="preserve">of establishing that </w:t>
      </w:r>
      <w:r w:rsidR="00152E7F" w:rsidRPr="005E1802">
        <w:rPr>
          <w:rFonts w:ascii="Times New Roman" w:hAnsi="Times New Roman"/>
        </w:rPr>
        <w:t xml:space="preserve">compliance </w:t>
      </w:r>
      <w:r w:rsidR="00DE5858" w:rsidRPr="005E1802">
        <w:rPr>
          <w:rFonts w:ascii="Times New Roman" w:hAnsi="Times New Roman"/>
        </w:rPr>
        <w:t xml:space="preserve">with procedural fairness </w:t>
      </w:r>
      <w:r w:rsidR="00152E7F" w:rsidRPr="005E1802">
        <w:rPr>
          <w:rFonts w:ascii="Times New Roman" w:hAnsi="Times New Roman"/>
        </w:rPr>
        <w:t>could realistically have resulted in a different decision</w:t>
      </w:r>
      <w:r w:rsidR="00724C84" w:rsidRPr="005E1802">
        <w:rPr>
          <w:rFonts w:ascii="Times New Roman" w:hAnsi="Times New Roman"/>
          <w:color w:val="000000"/>
          <w:shd w:val="clear" w:color="auto" w:fill="FFFFFF"/>
        </w:rPr>
        <w:t>.</w:t>
      </w:r>
    </w:p>
    <w:p w14:paraId="2DF86846" w14:textId="6FA298EA" w:rsidR="00CF20B2" w:rsidRPr="005E1802" w:rsidRDefault="00724C84"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E61031" w:rsidRPr="005E1802">
        <w:rPr>
          <w:rFonts w:ascii="Times New Roman" w:hAnsi="Times New Roman"/>
          <w:color w:val="000000"/>
          <w:shd w:val="clear" w:color="auto" w:fill="FFFFFF"/>
        </w:rPr>
        <w:t>Fina</w:t>
      </w:r>
      <w:r w:rsidR="00D87A53" w:rsidRPr="005E1802">
        <w:rPr>
          <w:rFonts w:ascii="Times New Roman" w:hAnsi="Times New Roman"/>
          <w:color w:val="000000"/>
          <w:shd w:val="clear" w:color="auto" w:fill="FFFFFF"/>
        </w:rPr>
        <w:t>lly, the appellant places reliance on</w:t>
      </w:r>
      <w:r w:rsidR="00EA736D" w:rsidRPr="005E1802">
        <w:rPr>
          <w:rFonts w:ascii="Times New Roman" w:hAnsi="Times New Roman"/>
          <w:color w:val="000000"/>
          <w:shd w:val="clear" w:color="auto" w:fill="FFFFFF"/>
        </w:rPr>
        <w:t xml:space="preserve"> </w:t>
      </w:r>
      <w:r w:rsidR="00AA417E" w:rsidRPr="005E1802">
        <w:rPr>
          <w:rFonts w:ascii="Times New Roman" w:hAnsi="Times New Roman"/>
          <w:i/>
          <w:color w:val="000000"/>
          <w:shd w:val="clear" w:color="auto" w:fill="FFFFFF"/>
        </w:rPr>
        <w:t xml:space="preserve">Applicant VEAL of 2002 v Minister for </w:t>
      </w:r>
      <w:r w:rsidR="00583B90" w:rsidRPr="005E1802">
        <w:rPr>
          <w:rFonts w:ascii="Times New Roman" w:hAnsi="Times New Roman"/>
          <w:i/>
          <w:color w:val="000000"/>
          <w:shd w:val="clear" w:color="auto" w:fill="FFFFFF"/>
        </w:rPr>
        <w:t>Immigration and Multicultural and Indigenous Affairs</w:t>
      </w:r>
      <w:r w:rsidR="00583B90" w:rsidRPr="005E1802">
        <w:rPr>
          <w:rStyle w:val="FootnoteReference"/>
          <w:rFonts w:ascii="Times New Roman" w:hAnsi="Times New Roman"/>
          <w:color w:val="000000"/>
          <w:sz w:val="24"/>
          <w:shd w:val="clear" w:color="auto" w:fill="FFFFFF"/>
        </w:rPr>
        <w:footnoteReference w:id="64"/>
      </w:r>
      <w:r w:rsidR="00583B90" w:rsidRPr="005E1802">
        <w:rPr>
          <w:rFonts w:ascii="Times New Roman" w:hAnsi="Times New Roman"/>
          <w:color w:val="000000"/>
          <w:shd w:val="clear" w:color="auto" w:fill="FFFFFF"/>
        </w:rPr>
        <w:t xml:space="preserve"> and</w:t>
      </w:r>
      <w:r w:rsidR="003F2266" w:rsidRPr="005E1802">
        <w:rPr>
          <w:rFonts w:ascii="Times New Roman" w:hAnsi="Times New Roman"/>
          <w:color w:val="000000"/>
          <w:shd w:val="clear" w:color="auto" w:fill="FFFFFF"/>
        </w:rPr>
        <w:t xml:space="preserve"> on reasoning </w:t>
      </w:r>
      <w:r w:rsidR="00563CB5" w:rsidRPr="005E1802">
        <w:rPr>
          <w:rFonts w:ascii="Times New Roman" w:hAnsi="Times New Roman"/>
          <w:color w:val="000000"/>
          <w:shd w:val="clear" w:color="auto" w:fill="FFFFFF"/>
        </w:rPr>
        <w:t xml:space="preserve">of Gageler and Gordon JJ </w:t>
      </w:r>
      <w:r w:rsidR="003F2266" w:rsidRPr="005E1802">
        <w:rPr>
          <w:rFonts w:ascii="Times New Roman" w:hAnsi="Times New Roman"/>
          <w:color w:val="000000"/>
          <w:shd w:val="clear" w:color="auto" w:fill="FFFFFF"/>
        </w:rPr>
        <w:t>in</w:t>
      </w:r>
      <w:r w:rsidR="00583B90" w:rsidRPr="005E1802">
        <w:rPr>
          <w:rFonts w:ascii="Times New Roman" w:hAnsi="Times New Roman"/>
          <w:color w:val="000000"/>
          <w:shd w:val="clear" w:color="auto" w:fill="FFFFFF"/>
        </w:rPr>
        <w:t xml:space="preserve"> </w:t>
      </w:r>
      <w:r w:rsidR="001B4158" w:rsidRPr="005E1802">
        <w:rPr>
          <w:rFonts w:ascii="Times New Roman" w:hAnsi="Times New Roman"/>
          <w:i/>
          <w:color w:val="000000"/>
          <w:shd w:val="clear" w:color="auto" w:fill="FFFFFF"/>
        </w:rPr>
        <w:t>Minister for Immigration and Border Protection v W</w:t>
      </w:r>
      <w:r w:rsidR="008364E5" w:rsidRPr="005E1802">
        <w:rPr>
          <w:rFonts w:ascii="Times New Roman" w:hAnsi="Times New Roman"/>
          <w:i/>
          <w:color w:val="000000"/>
          <w:shd w:val="clear" w:color="auto" w:fill="FFFFFF"/>
        </w:rPr>
        <w:t>ZARH</w:t>
      </w:r>
      <w:r w:rsidR="008364E5" w:rsidRPr="005E1802">
        <w:rPr>
          <w:rStyle w:val="FootnoteReference"/>
          <w:rFonts w:ascii="Times New Roman" w:hAnsi="Times New Roman"/>
          <w:color w:val="000000"/>
          <w:sz w:val="24"/>
          <w:shd w:val="clear" w:color="auto" w:fill="FFFFFF"/>
        </w:rPr>
        <w:footnoteReference w:id="65"/>
      </w:r>
      <w:r w:rsidR="008364E5" w:rsidRPr="005E1802">
        <w:rPr>
          <w:rFonts w:ascii="Times New Roman" w:hAnsi="Times New Roman"/>
          <w:color w:val="000000"/>
          <w:shd w:val="clear" w:color="auto" w:fill="FFFFFF"/>
        </w:rPr>
        <w:t>.</w:t>
      </w:r>
      <w:r w:rsidR="005858BE" w:rsidRPr="005E1802">
        <w:rPr>
          <w:rFonts w:ascii="Times New Roman" w:hAnsi="Times New Roman"/>
          <w:color w:val="000000"/>
          <w:shd w:val="clear" w:color="auto" w:fill="FFFFFF"/>
        </w:rPr>
        <w:t xml:space="preserve"> </w:t>
      </w:r>
      <w:r w:rsidR="0072405D" w:rsidRPr="005E1802">
        <w:rPr>
          <w:rFonts w:ascii="Times New Roman" w:hAnsi="Times New Roman"/>
          <w:color w:val="000000"/>
          <w:shd w:val="clear" w:color="auto" w:fill="FFFFFF"/>
        </w:rPr>
        <w:t>Whilst</w:t>
      </w:r>
      <w:r w:rsidR="00674D28" w:rsidRPr="005E1802">
        <w:rPr>
          <w:rFonts w:ascii="Times New Roman" w:hAnsi="Times New Roman"/>
          <w:color w:val="000000"/>
          <w:shd w:val="clear" w:color="auto" w:fill="FFFFFF"/>
        </w:rPr>
        <w:t xml:space="preserve"> </w:t>
      </w:r>
      <w:r w:rsidR="0072405D" w:rsidRPr="005E1802">
        <w:rPr>
          <w:rFonts w:ascii="Times New Roman" w:hAnsi="Times New Roman"/>
          <w:color w:val="000000"/>
          <w:shd w:val="clear" w:color="auto" w:fill="FFFFFF"/>
        </w:rPr>
        <w:t xml:space="preserve">it may be accepted that </w:t>
      </w:r>
      <w:r w:rsidR="00674D28" w:rsidRPr="005E1802">
        <w:rPr>
          <w:rFonts w:ascii="Times New Roman" w:hAnsi="Times New Roman"/>
          <w:color w:val="000000"/>
          <w:shd w:val="clear" w:color="auto" w:fill="FFFFFF"/>
        </w:rPr>
        <w:t xml:space="preserve">the breach </w:t>
      </w:r>
      <w:r w:rsidR="00171111" w:rsidRPr="005E1802">
        <w:rPr>
          <w:rFonts w:ascii="Times New Roman" w:hAnsi="Times New Roman"/>
          <w:color w:val="000000"/>
          <w:shd w:val="clear" w:color="auto" w:fill="FFFFFF"/>
        </w:rPr>
        <w:t xml:space="preserve">of procedural fairness </w:t>
      </w:r>
      <w:r w:rsidR="0072405D" w:rsidRPr="005E1802">
        <w:rPr>
          <w:rFonts w:ascii="Times New Roman" w:hAnsi="Times New Roman"/>
          <w:color w:val="000000"/>
          <w:shd w:val="clear" w:color="auto" w:fill="FFFFFF"/>
        </w:rPr>
        <w:t xml:space="preserve">found to have occurred </w:t>
      </w:r>
      <w:r w:rsidR="00C9123E" w:rsidRPr="005E1802">
        <w:rPr>
          <w:rFonts w:ascii="Times New Roman" w:hAnsi="Times New Roman"/>
          <w:color w:val="000000"/>
          <w:shd w:val="clear" w:color="auto" w:fill="FFFFFF"/>
        </w:rPr>
        <w:t xml:space="preserve">in </w:t>
      </w:r>
      <w:r w:rsidR="00C9123E" w:rsidRPr="005E1802">
        <w:rPr>
          <w:rFonts w:ascii="Times New Roman" w:hAnsi="Times New Roman"/>
          <w:i/>
          <w:color w:val="000000"/>
          <w:shd w:val="clear" w:color="auto" w:fill="FFFFFF"/>
        </w:rPr>
        <w:t xml:space="preserve">VEAL </w:t>
      </w:r>
      <w:r w:rsidR="00C9123E" w:rsidRPr="005E1802">
        <w:rPr>
          <w:rFonts w:ascii="Times New Roman" w:hAnsi="Times New Roman"/>
          <w:color w:val="000000"/>
          <w:shd w:val="clear" w:color="auto" w:fill="FFFFFF"/>
        </w:rPr>
        <w:t>was not analysed in terms of materiality</w:t>
      </w:r>
      <w:r w:rsidR="001159D1" w:rsidRPr="005E1802">
        <w:rPr>
          <w:rFonts w:ascii="Times New Roman" w:hAnsi="Times New Roman"/>
          <w:color w:val="000000"/>
          <w:shd w:val="clear" w:color="auto" w:fill="FFFFFF"/>
        </w:rPr>
        <w:t xml:space="preserve">, having regard </w:t>
      </w:r>
      <w:r w:rsidR="001159D1" w:rsidRPr="005E1802">
        <w:rPr>
          <w:rFonts w:ascii="Times New Roman" w:hAnsi="Times New Roman"/>
          <w:color w:val="000000"/>
          <w:shd w:val="clear" w:color="auto" w:fill="FFFFFF"/>
        </w:rPr>
        <w:lastRenderedPageBreak/>
        <w:t xml:space="preserve">to the </w:t>
      </w:r>
      <w:r w:rsidR="00235FE6" w:rsidRPr="005E1802">
        <w:rPr>
          <w:rFonts w:ascii="Times New Roman" w:hAnsi="Times New Roman"/>
          <w:color w:val="000000"/>
          <w:shd w:val="clear" w:color="auto" w:fill="FFFFFF"/>
        </w:rPr>
        <w:t xml:space="preserve">centrality and </w:t>
      </w:r>
      <w:r w:rsidR="004F7CE9" w:rsidRPr="005E1802">
        <w:rPr>
          <w:rFonts w:ascii="Times New Roman" w:hAnsi="Times New Roman"/>
          <w:color w:val="000000"/>
          <w:shd w:val="clear" w:color="auto" w:fill="FFFFFF"/>
        </w:rPr>
        <w:t xml:space="preserve">prejudicial nature </w:t>
      </w:r>
      <w:r w:rsidR="00235FE6" w:rsidRPr="005E1802">
        <w:rPr>
          <w:rFonts w:ascii="Times New Roman" w:hAnsi="Times New Roman"/>
          <w:color w:val="000000"/>
          <w:shd w:val="clear" w:color="auto" w:fill="FFFFFF"/>
        </w:rPr>
        <w:t xml:space="preserve">of the </w:t>
      </w:r>
      <w:r w:rsidR="00176E9D" w:rsidRPr="005E1802">
        <w:rPr>
          <w:rFonts w:ascii="Times New Roman" w:hAnsi="Times New Roman"/>
          <w:color w:val="000000"/>
          <w:shd w:val="clear" w:color="auto" w:fill="FFFFFF"/>
        </w:rPr>
        <w:t xml:space="preserve">undisclosed information </w:t>
      </w:r>
      <w:r w:rsidR="008F6D1B" w:rsidRPr="005E1802">
        <w:rPr>
          <w:rFonts w:ascii="Times New Roman" w:hAnsi="Times New Roman"/>
          <w:color w:val="000000"/>
          <w:shd w:val="clear" w:color="auto" w:fill="FFFFFF"/>
        </w:rPr>
        <w:t xml:space="preserve">which </w:t>
      </w:r>
      <w:r w:rsidR="00176E9D" w:rsidRPr="005E1802">
        <w:rPr>
          <w:rFonts w:ascii="Times New Roman" w:hAnsi="Times New Roman"/>
          <w:color w:val="000000"/>
          <w:shd w:val="clear" w:color="auto" w:fill="FFFFFF"/>
        </w:rPr>
        <w:t>had in fact been taken into account</w:t>
      </w:r>
      <w:r w:rsidR="008F6D1B" w:rsidRPr="005E1802">
        <w:rPr>
          <w:rFonts w:ascii="Times New Roman" w:hAnsi="Times New Roman"/>
          <w:color w:val="000000"/>
          <w:shd w:val="clear" w:color="auto" w:fill="FFFFFF"/>
        </w:rPr>
        <w:t xml:space="preserve"> by the decision-maker</w:t>
      </w:r>
      <w:r w:rsidR="00963029" w:rsidRPr="005E1802">
        <w:rPr>
          <w:rFonts w:ascii="Times New Roman" w:hAnsi="Times New Roman"/>
          <w:color w:val="000000"/>
          <w:shd w:val="clear" w:color="auto" w:fill="FFFFFF"/>
        </w:rPr>
        <w:t xml:space="preserve"> despite being </w:t>
      </w:r>
      <w:r w:rsidR="00994E8A" w:rsidRPr="005E1802">
        <w:rPr>
          <w:rFonts w:ascii="Times New Roman" w:hAnsi="Times New Roman"/>
          <w:color w:val="000000"/>
          <w:shd w:val="clear" w:color="auto" w:fill="FFFFFF"/>
        </w:rPr>
        <w:t>said</w:t>
      </w:r>
      <w:r w:rsidR="00B65242" w:rsidRPr="005E1802">
        <w:rPr>
          <w:rFonts w:ascii="Times New Roman" w:hAnsi="Times New Roman"/>
          <w:color w:val="000000"/>
          <w:shd w:val="clear" w:color="auto" w:fill="FFFFFF"/>
        </w:rPr>
        <w:t xml:space="preserve"> to have been given "no weight"</w:t>
      </w:r>
      <w:r w:rsidR="00176E9D" w:rsidRPr="005E1802">
        <w:rPr>
          <w:rFonts w:ascii="Times New Roman" w:hAnsi="Times New Roman"/>
          <w:color w:val="000000"/>
          <w:shd w:val="clear" w:color="auto" w:fill="FFFFFF"/>
        </w:rPr>
        <w:t>,</w:t>
      </w:r>
      <w:r w:rsidR="007209B1" w:rsidRPr="005E1802">
        <w:rPr>
          <w:rFonts w:ascii="Times New Roman" w:hAnsi="Times New Roman"/>
          <w:color w:val="000000"/>
          <w:shd w:val="clear" w:color="auto" w:fill="FFFFFF"/>
        </w:rPr>
        <w:t xml:space="preserve"> </w:t>
      </w:r>
      <w:r w:rsidR="0073786E" w:rsidRPr="005E1802">
        <w:rPr>
          <w:rFonts w:ascii="Times New Roman" w:hAnsi="Times New Roman"/>
          <w:color w:val="000000"/>
          <w:shd w:val="clear" w:color="auto" w:fill="FFFFFF"/>
        </w:rPr>
        <w:t xml:space="preserve">it is not at all difficult </w:t>
      </w:r>
      <w:r w:rsidR="007209B1" w:rsidRPr="005E1802">
        <w:rPr>
          <w:rFonts w:ascii="Times New Roman" w:hAnsi="Times New Roman"/>
          <w:color w:val="000000"/>
          <w:shd w:val="clear" w:color="auto" w:fill="FFFFFF"/>
        </w:rPr>
        <w:t xml:space="preserve">to regard the outcome in that case as consistent with </w:t>
      </w:r>
      <w:r w:rsidR="001847D1" w:rsidRPr="005E1802">
        <w:rPr>
          <w:rFonts w:ascii="Times New Roman" w:hAnsi="Times New Roman"/>
          <w:color w:val="000000"/>
          <w:shd w:val="clear" w:color="auto" w:fill="FFFFFF"/>
        </w:rPr>
        <w:t xml:space="preserve">a requirement for a breach of procedural fairness to be material </w:t>
      </w:r>
      <w:r w:rsidR="000F78F4" w:rsidRPr="005E1802">
        <w:rPr>
          <w:rFonts w:ascii="Times New Roman" w:hAnsi="Times New Roman"/>
          <w:color w:val="000000"/>
          <w:shd w:val="clear" w:color="auto" w:fill="FFFFFF"/>
        </w:rPr>
        <w:t xml:space="preserve">in order to </w:t>
      </w:r>
      <w:r w:rsidR="00A80F95" w:rsidRPr="005E1802">
        <w:rPr>
          <w:rFonts w:ascii="Times New Roman" w:hAnsi="Times New Roman"/>
          <w:color w:val="000000"/>
          <w:shd w:val="clear" w:color="auto" w:fill="FFFFFF"/>
        </w:rPr>
        <w:t>result</w:t>
      </w:r>
      <w:r w:rsidR="000F78F4" w:rsidRPr="005E1802">
        <w:rPr>
          <w:rFonts w:ascii="Times New Roman" w:hAnsi="Times New Roman"/>
          <w:color w:val="000000"/>
          <w:shd w:val="clear" w:color="auto" w:fill="FFFFFF"/>
        </w:rPr>
        <w:t xml:space="preserve"> </w:t>
      </w:r>
      <w:r w:rsidR="00F90BC3" w:rsidRPr="005E1802">
        <w:rPr>
          <w:rFonts w:ascii="Times New Roman" w:hAnsi="Times New Roman"/>
          <w:color w:val="000000"/>
          <w:shd w:val="clear" w:color="auto" w:fill="FFFFFF"/>
        </w:rPr>
        <w:t>in</w:t>
      </w:r>
      <w:r w:rsidR="000F78F4" w:rsidRPr="005E1802">
        <w:rPr>
          <w:rFonts w:ascii="Times New Roman" w:hAnsi="Times New Roman"/>
          <w:color w:val="000000"/>
          <w:shd w:val="clear" w:color="auto" w:fill="FFFFFF"/>
        </w:rPr>
        <w:t xml:space="preserve"> jurisdictional error. </w:t>
      </w:r>
      <w:r w:rsidR="003D46C0" w:rsidRPr="005E1802">
        <w:rPr>
          <w:rFonts w:ascii="Times New Roman" w:hAnsi="Times New Roman"/>
          <w:color w:val="000000"/>
          <w:shd w:val="clear" w:color="auto" w:fill="FFFFFF"/>
        </w:rPr>
        <w:t xml:space="preserve">The </w:t>
      </w:r>
      <w:r w:rsidR="00DE61B7" w:rsidRPr="005E1802">
        <w:rPr>
          <w:rFonts w:ascii="Times New Roman" w:hAnsi="Times New Roman"/>
          <w:color w:val="000000"/>
          <w:shd w:val="clear" w:color="auto" w:fill="FFFFFF"/>
        </w:rPr>
        <w:t xml:space="preserve">reasoning </w:t>
      </w:r>
      <w:r w:rsidR="00973140" w:rsidRPr="005E1802">
        <w:rPr>
          <w:rFonts w:ascii="Times New Roman" w:hAnsi="Times New Roman"/>
          <w:color w:val="000000"/>
          <w:shd w:val="clear" w:color="auto" w:fill="FFFFFF"/>
        </w:rPr>
        <w:t xml:space="preserve">in </w:t>
      </w:r>
      <w:r w:rsidR="00973140" w:rsidRPr="005E1802">
        <w:rPr>
          <w:rFonts w:ascii="Times New Roman" w:hAnsi="Times New Roman"/>
          <w:i/>
          <w:color w:val="000000"/>
          <w:shd w:val="clear" w:color="auto" w:fill="FFFFFF"/>
        </w:rPr>
        <w:t>WZARH</w:t>
      </w:r>
      <w:r w:rsidR="00973140" w:rsidRPr="005E1802">
        <w:rPr>
          <w:rFonts w:ascii="Times New Roman" w:hAnsi="Times New Roman"/>
          <w:color w:val="000000"/>
          <w:shd w:val="clear" w:color="auto" w:fill="FFFFFF"/>
        </w:rPr>
        <w:t xml:space="preserve"> </w:t>
      </w:r>
      <w:r w:rsidR="00DE61B7" w:rsidRPr="005E1802">
        <w:rPr>
          <w:rFonts w:ascii="Times New Roman" w:hAnsi="Times New Roman"/>
          <w:color w:val="000000"/>
          <w:shd w:val="clear" w:color="auto" w:fill="FFFFFF"/>
        </w:rPr>
        <w:t>on which</w:t>
      </w:r>
      <w:r w:rsidR="00A77AAB" w:rsidRPr="005E1802">
        <w:rPr>
          <w:rFonts w:ascii="Times New Roman" w:hAnsi="Times New Roman"/>
          <w:color w:val="000000"/>
          <w:shd w:val="clear" w:color="auto" w:fill="FFFFFF"/>
        </w:rPr>
        <w:t xml:space="preserve"> the</w:t>
      </w:r>
      <w:r w:rsidR="00DE61B7" w:rsidRPr="005E1802">
        <w:rPr>
          <w:rFonts w:ascii="Times New Roman" w:hAnsi="Times New Roman"/>
          <w:color w:val="000000"/>
          <w:shd w:val="clear" w:color="auto" w:fill="FFFFFF"/>
        </w:rPr>
        <w:t xml:space="preserve"> appellant places reliance </w:t>
      </w:r>
      <w:r w:rsidR="007147B0" w:rsidRPr="005E1802">
        <w:rPr>
          <w:rFonts w:ascii="Times New Roman" w:hAnsi="Times New Roman"/>
          <w:color w:val="000000"/>
          <w:shd w:val="clear" w:color="auto" w:fill="FFFFFF"/>
        </w:rPr>
        <w:t>was</w:t>
      </w:r>
      <w:r w:rsidR="00EC7C62" w:rsidRPr="005E1802">
        <w:rPr>
          <w:rFonts w:ascii="Times New Roman" w:hAnsi="Times New Roman"/>
          <w:color w:val="000000"/>
          <w:shd w:val="clear" w:color="auto" w:fill="FFFFFF"/>
        </w:rPr>
        <w:t xml:space="preserve"> introduced </w:t>
      </w:r>
      <w:r w:rsidR="002A13B1" w:rsidRPr="005E1802">
        <w:rPr>
          <w:rFonts w:ascii="Times New Roman" w:hAnsi="Times New Roman"/>
          <w:color w:val="000000"/>
          <w:shd w:val="clear" w:color="auto" w:fill="FFFFFF"/>
        </w:rPr>
        <w:t xml:space="preserve">with citation to </w:t>
      </w:r>
      <w:r w:rsidR="002A13B1" w:rsidRPr="005E1802">
        <w:rPr>
          <w:rFonts w:ascii="Times New Roman" w:hAnsi="Times New Roman"/>
          <w:i/>
          <w:color w:val="000000"/>
          <w:shd w:val="clear" w:color="auto" w:fill="FFFFFF"/>
        </w:rPr>
        <w:t>Stead</w:t>
      </w:r>
      <w:r w:rsidR="00687D90" w:rsidRPr="005E1802">
        <w:rPr>
          <w:rFonts w:ascii="Times New Roman" w:hAnsi="Times New Roman"/>
          <w:color w:val="000000"/>
          <w:shd w:val="clear" w:color="auto" w:fill="FFFFFF"/>
        </w:rPr>
        <w:t xml:space="preserve"> by express recognition</w:t>
      </w:r>
      <w:r w:rsidR="006606F7" w:rsidRPr="005E1802">
        <w:rPr>
          <w:rFonts w:ascii="Times New Roman" w:hAnsi="Times New Roman"/>
          <w:color w:val="000000"/>
          <w:shd w:val="clear" w:color="auto" w:fill="FFFFFF"/>
        </w:rPr>
        <w:t xml:space="preserve"> </w:t>
      </w:r>
      <w:r w:rsidR="00B330DF" w:rsidRPr="005E1802">
        <w:rPr>
          <w:rFonts w:ascii="Times New Roman" w:hAnsi="Times New Roman"/>
          <w:color w:val="000000"/>
          <w:shd w:val="clear" w:color="auto" w:fill="FFFFFF"/>
        </w:rPr>
        <w:t>that</w:t>
      </w:r>
      <w:r w:rsidR="009E384E" w:rsidRPr="005E1802">
        <w:rPr>
          <w:rFonts w:ascii="Times New Roman" w:hAnsi="Times New Roman"/>
          <w:color w:val="000000"/>
          <w:shd w:val="clear" w:color="auto" w:fill="FFFFFF"/>
        </w:rPr>
        <w:t xml:space="preserve"> </w:t>
      </w:r>
      <w:r w:rsidR="004D6AF5" w:rsidRPr="005E1802">
        <w:rPr>
          <w:rFonts w:ascii="Times New Roman" w:hAnsi="Times New Roman"/>
          <w:color w:val="000000"/>
          <w:shd w:val="clear" w:color="auto" w:fill="FFFFFF"/>
        </w:rPr>
        <w:t xml:space="preserve">breach </w:t>
      </w:r>
      <w:r w:rsidR="006606F7" w:rsidRPr="005E1802">
        <w:rPr>
          <w:rFonts w:ascii="Times New Roman" w:hAnsi="Times New Roman"/>
          <w:color w:val="000000"/>
          <w:shd w:val="clear" w:color="auto" w:fill="FFFFFF"/>
        </w:rPr>
        <w:t xml:space="preserve">of </w:t>
      </w:r>
      <w:r w:rsidR="00921292" w:rsidRPr="005E1802">
        <w:rPr>
          <w:rFonts w:ascii="Times New Roman" w:hAnsi="Times New Roman"/>
          <w:color w:val="000000"/>
          <w:shd w:val="clear" w:color="auto" w:fill="FFFFFF"/>
        </w:rPr>
        <w:t>the</w:t>
      </w:r>
      <w:r w:rsidR="004D6AF5" w:rsidRPr="005E1802">
        <w:rPr>
          <w:rFonts w:ascii="Times New Roman" w:hAnsi="Times New Roman"/>
          <w:color w:val="000000"/>
          <w:shd w:val="clear" w:color="auto" w:fill="FFFFFF"/>
        </w:rPr>
        <w:t xml:space="preserve"> condition of</w:t>
      </w:r>
      <w:r w:rsidR="00921292" w:rsidRPr="005E1802">
        <w:rPr>
          <w:rFonts w:ascii="Times New Roman" w:hAnsi="Times New Roman"/>
          <w:color w:val="000000"/>
          <w:shd w:val="clear" w:color="auto" w:fill="FFFFFF"/>
        </w:rPr>
        <w:t xml:space="preserve"> procedural fairness implied into</w:t>
      </w:r>
      <w:r w:rsidR="004D6AF5" w:rsidRPr="005E1802">
        <w:rPr>
          <w:rFonts w:ascii="Times New Roman" w:hAnsi="Times New Roman"/>
          <w:color w:val="000000"/>
          <w:shd w:val="clear" w:color="auto" w:fill="FFFFFF"/>
        </w:rPr>
        <w:t xml:space="preserve"> the statutory power </w:t>
      </w:r>
      <w:r w:rsidR="00E4018E" w:rsidRPr="005E1802">
        <w:rPr>
          <w:rFonts w:ascii="Times New Roman" w:hAnsi="Times New Roman"/>
          <w:color w:val="000000"/>
          <w:shd w:val="clear" w:color="auto" w:fill="FFFFFF"/>
        </w:rPr>
        <w:t>in issue</w:t>
      </w:r>
      <w:r w:rsidR="00416118" w:rsidRPr="005E1802">
        <w:rPr>
          <w:rFonts w:ascii="Times New Roman" w:hAnsi="Times New Roman"/>
          <w:color w:val="000000"/>
          <w:shd w:val="clear" w:color="auto" w:fill="FFFFFF"/>
        </w:rPr>
        <w:t xml:space="preserve"> </w:t>
      </w:r>
      <w:r w:rsidR="00972072" w:rsidRPr="005E1802">
        <w:rPr>
          <w:rFonts w:ascii="Times New Roman" w:hAnsi="Times New Roman"/>
          <w:color w:val="000000"/>
          <w:shd w:val="clear" w:color="auto" w:fill="FFFFFF"/>
        </w:rPr>
        <w:t xml:space="preserve">in that case </w:t>
      </w:r>
      <w:r w:rsidR="008B55EF" w:rsidRPr="005E1802">
        <w:rPr>
          <w:rFonts w:ascii="Times New Roman" w:hAnsi="Times New Roman"/>
          <w:color w:val="000000"/>
          <w:shd w:val="clear" w:color="auto" w:fill="FFFFFF"/>
        </w:rPr>
        <w:t>w</w:t>
      </w:r>
      <w:r w:rsidR="002B4CBA" w:rsidRPr="005E1802">
        <w:rPr>
          <w:rFonts w:ascii="Times New Roman" w:hAnsi="Times New Roman"/>
          <w:color w:val="000000"/>
          <w:shd w:val="clear" w:color="auto" w:fill="FFFFFF"/>
        </w:rPr>
        <w:t xml:space="preserve">ould </w:t>
      </w:r>
      <w:r w:rsidR="00972072" w:rsidRPr="005E1802">
        <w:rPr>
          <w:rFonts w:ascii="Times New Roman" w:hAnsi="Times New Roman"/>
          <w:color w:val="000000"/>
          <w:shd w:val="clear" w:color="auto" w:fill="FFFFFF"/>
        </w:rPr>
        <w:t>have been</w:t>
      </w:r>
      <w:r w:rsidR="008B55EF" w:rsidRPr="005E1802">
        <w:rPr>
          <w:rFonts w:ascii="Times New Roman" w:hAnsi="Times New Roman"/>
          <w:color w:val="000000"/>
          <w:shd w:val="clear" w:color="auto" w:fill="FFFFFF"/>
        </w:rPr>
        <w:t xml:space="preserve"> "material" </w:t>
      </w:r>
      <w:r w:rsidR="002A13B1" w:rsidRPr="005E1802">
        <w:rPr>
          <w:rFonts w:ascii="Times New Roman" w:hAnsi="Times New Roman"/>
          <w:color w:val="000000"/>
          <w:shd w:val="clear" w:color="auto" w:fill="FFFFFF"/>
        </w:rPr>
        <w:t xml:space="preserve">only </w:t>
      </w:r>
      <w:r w:rsidR="000903C1" w:rsidRPr="005E1802">
        <w:rPr>
          <w:rFonts w:ascii="Times New Roman" w:hAnsi="Times New Roman"/>
          <w:color w:val="000000"/>
          <w:shd w:val="clear" w:color="auto" w:fill="FFFFFF"/>
        </w:rPr>
        <w:t xml:space="preserve">if </w:t>
      </w:r>
      <w:r w:rsidR="002A13B1" w:rsidRPr="005E1802">
        <w:rPr>
          <w:rFonts w:ascii="Times New Roman" w:hAnsi="Times New Roman"/>
          <w:color w:val="000000"/>
          <w:shd w:val="clear" w:color="auto" w:fill="FFFFFF"/>
        </w:rPr>
        <w:t xml:space="preserve">it </w:t>
      </w:r>
      <w:r w:rsidR="000903C1" w:rsidRPr="005E1802">
        <w:rPr>
          <w:rFonts w:ascii="Times New Roman" w:hAnsi="Times New Roman"/>
          <w:color w:val="000000"/>
          <w:shd w:val="clear" w:color="auto" w:fill="FFFFFF"/>
        </w:rPr>
        <w:t xml:space="preserve">deprived the applicant </w:t>
      </w:r>
      <w:r w:rsidR="00D31352" w:rsidRPr="005E1802">
        <w:rPr>
          <w:rFonts w:ascii="Times New Roman" w:hAnsi="Times New Roman"/>
          <w:color w:val="000000"/>
          <w:shd w:val="clear" w:color="auto" w:fill="FFFFFF"/>
        </w:rPr>
        <w:t xml:space="preserve">of </w:t>
      </w:r>
      <w:r w:rsidR="00416118" w:rsidRPr="005E1802">
        <w:rPr>
          <w:rFonts w:ascii="Times New Roman" w:hAnsi="Times New Roman"/>
          <w:color w:val="000000"/>
          <w:shd w:val="clear" w:color="auto" w:fill="FFFFFF"/>
        </w:rPr>
        <w:t>"</w:t>
      </w:r>
      <w:r w:rsidR="002A13B1" w:rsidRPr="005E1802">
        <w:rPr>
          <w:rFonts w:ascii="Times New Roman" w:hAnsi="Times New Roman"/>
          <w:color w:val="000000"/>
          <w:shd w:val="clear" w:color="auto" w:fill="FFFFFF"/>
        </w:rPr>
        <w:t>the possibility of a successful outcome</w:t>
      </w:r>
      <w:r w:rsidR="00416118" w:rsidRPr="005E1802">
        <w:rPr>
          <w:rFonts w:ascii="Times New Roman" w:hAnsi="Times New Roman"/>
          <w:color w:val="000000"/>
          <w:shd w:val="clear" w:color="auto" w:fill="FFFFFF"/>
        </w:rPr>
        <w:t>"</w:t>
      </w:r>
      <w:r w:rsidR="00416118" w:rsidRPr="005E1802">
        <w:rPr>
          <w:rStyle w:val="FootnoteReference"/>
          <w:rFonts w:ascii="Times New Roman" w:hAnsi="Times New Roman"/>
          <w:color w:val="000000"/>
          <w:sz w:val="24"/>
          <w:shd w:val="clear" w:color="auto" w:fill="FFFFFF"/>
        </w:rPr>
        <w:footnoteReference w:id="66"/>
      </w:r>
      <w:r w:rsidR="002A13B1" w:rsidRPr="005E1802">
        <w:rPr>
          <w:rFonts w:ascii="Times New Roman" w:hAnsi="Times New Roman"/>
          <w:color w:val="000000"/>
          <w:shd w:val="clear" w:color="auto" w:fill="FFFFFF"/>
        </w:rPr>
        <w:t xml:space="preserve">. </w:t>
      </w:r>
      <w:r w:rsidR="00135A5E" w:rsidRPr="005E1802">
        <w:rPr>
          <w:rFonts w:ascii="Times New Roman" w:hAnsi="Times New Roman"/>
          <w:color w:val="000000"/>
          <w:shd w:val="clear" w:color="auto" w:fill="FFFFFF"/>
        </w:rPr>
        <w:t>I</w:t>
      </w:r>
      <w:r w:rsidR="001A19B1" w:rsidRPr="005E1802">
        <w:rPr>
          <w:rFonts w:ascii="Times New Roman" w:hAnsi="Times New Roman"/>
          <w:color w:val="000000"/>
          <w:shd w:val="clear" w:color="auto" w:fill="FFFFFF"/>
        </w:rPr>
        <w:t>mplicit</w:t>
      </w:r>
      <w:r w:rsidR="00135A5E" w:rsidRPr="005E1802">
        <w:rPr>
          <w:rFonts w:ascii="Times New Roman" w:hAnsi="Times New Roman"/>
          <w:color w:val="000000"/>
          <w:shd w:val="clear" w:color="auto" w:fill="FFFFFF"/>
        </w:rPr>
        <w:t xml:space="preserve"> in the c</w:t>
      </w:r>
      <w:r w:rsidR="00E27AAE" w:rsidRPr="005E1802">
        <w:rPr>
          <w:rFonts w:ascii="Times New Roman" w:hAnsi="Times New Roman"/>
          <w:color w:val="000000"/>
          <w:shd w:val="clear" w:color="auto" w:fill="FFFFFF"/>
        </w:rPr>
        <w:t>haracterisation</w:t>
      </w:r>
      <w:r w:rsidR="00135A5E" w:rsidRPr="005E1802">
        <w:rPr>
          <w:rFonts w:ascii="Times New Roman" w:hAnsi="Times New Roman"/>
          <w:color w:val="000000"/>
          <w:shd w:val="clear" w:color="auto" w:fill="FFFFFF"/>
        </w:rPr>
        <w:t xml:space="preserve"> </w:t>
      </w:r>
      <w:r w:rsidR="00E27AAE" w:rsidRPr="005E1802">
        <w:rPr>
          <w:rFonts w:ascii="Times New Roman" w:hAnsi="Times New Roman"/>
          <w:color w:val="000000"/>
          <w:shd w:val="clear" w:color="auto" w:fill="FFFFFF"/>
        </w:rPr>
        <w:t>of</w:t>
      </w:r>
      <w:r w:rsidR="00EE3D33" w:rsidRPr="005E1802">
        <w:rPr>
          <w:rFonts w:ascii="Times New Roman" w:hAnsi="Times New Roman"/>
          <w:color w:val="000000"/>
          <w:shd w:val="clear" w:color="auto" w:fill="FFFFFF"/>
        </w:rPr>
        <w:t xml:space="preserve"> the case as one in which </w:t>
      </w:r>
      <w:r w:rsidR="00D34641" w:rsidRPr="005E1802">
        <w:rPr>
          <w:rFonts w:ascii="Times New Roman" w:hAnsi="Times New Roman"/>
          <w:color w:val="000000"/>
          <w:shd w:val="clear" w:color="auto" w:fill="FFFFFF"/>
        </w:rPr>
        <w:t xml:space="preserve">"practical injustice" lay in the denial </w:t>
      </w:r>
      <w:r w:rsidR="00F3123F" w:rsidRPr="005E1802">
        <w:rPr>
          <w:rFonts w:ascii="Times New Roman" w:hAnsi="Times New Roman"/>
          <w:color w:val="000000"/>
          <w:shd w:val="clear" w:color="auto" w:fill="FFFFFF"/>
        </w:rPr>
        <w:t>of</w:t>
      </w:r>
      <w:r w:rsidR="00D34641" w:rsidRPr="005E1802">
        <w:rPr>
          <w:rFonts w:ascii="Times New Roman" w:hAnsi="Times New Roman"/>
          <w:color w:val="000000"/>
          <w:shd w:val="clear" w:color="auto" w:fill="FFFFFF"/>
        </w:rPr>
        <w:t xml:space="preserve"> </w:t>
      </w:r>
      <w:r w:rsidR="00F3123F" w:rsidRPr="005E1802">
        <w:rPr>
          <w:rFonts w:ascii="Times New Roman" w:hAnsi="Times New Roman"/>
          <w:color w:val="000000"/>
          <w:shd w:val="clear" w:color="auto" w:fill="FFFFFF"/>
        </w:rPr>
        <w:t>"</w:t>
      </w:r>
      <w:r w:rsidR="00D34641" w:rsidRPr="005E1802">
        <w:rPr>
          <w:rFonts w:ascii="Times New Roman" w:hAnsi="Times New Roman"/>
          <w:color w:val="000000"/>
          <w:shd w:val="clear" w:color="auto" w:fill="FFFFFF"/>
        </w:rPr>
        <w:t>an opportunity which in fairness ought to have been given</w:t>
      </w:r>
      <w:r w:rsidR="003F2266" w:rsidRPr="005E1802">
        <w:rPr>
          <w:rFonts w:ascii="Times New Roman" w:hAnsi="Times New Roman"/>
          <w:color w:val="000000"/>
          <w:shd w:val="clear" w:color="auto" w:fill="FFFFFF"/>
        </w:rPr>
        <w:t>"</w:t>
      </w:r>
      <w:r w:rsidR="00C42E60" w:rsidRPr="005E1802">
        <w:rPr>
          <w:rStyle w:val="FootnoteReference"/>
          <w:rFonts w:ascii="Times New Roman" w:hAnsi="Times New Roman"/>
          <w:color w:val="000000"/>
          <w:sz w:val="24"/>
          <w:shd w:val="clear" w:color="auto" w:fill="FFFFFF"/>
        </w:rPr>
        <w:footnoteReference w:id="67"/>
      </w:r>
      <w:r w:rsidR="0056208F" w:rsidRPr="005E1802">
        <w:rPr>
          <w:rFonts w:ascii="Times New Roman" w:hAnsi="Times New Roman"/>
          <w:color w:val="000000"/>
          <w:shd w:val="clear" w:color="auto" w:fill="FFFFFF"/>
        </w:rPr>
        <w:t xml:space="preserve"> was that </w:t>
      </w:r>
      <w:r w:rsidR="001A19B1" w:rsidRPr="005E1802">
        <w:rPr>
          <w:rFonts w:ascii="Times New Roman" w:hAnsi="Times New Roman"/>
          <w:color w:val="000000"/>
          <w:shd w:val="clear" w:color="auto" w:fill="FFFFFF"/>
        </w:rPr>
        <w:t>the case was one in which th</w:t>
      </w:r>
      <w:r w:rsidR="00972072" w:rsidRPr="005E1802">
        <w:rPr>
          <w:rFonts w:ascii="Times New Roman" w:hAnsi="Times New Roman"/>
          <w:color w:val="000000"/>
          <w:shd w:val="clear" w:color="auto" w:fill="FFFFFF"/>
        </w:rPr>
        <w:t>at previously identified</w:t>
      </w:r>
      <w:r w:rsidR="001A19B1" w:rsidRPr="005E1802">
        <w:rPr>
          <w:rFonts w:ascii="Times New Roman" w:hAnsi="Times New Roman"/>
          <w:color w:val="000000"/>
          <w:shd w:val="clear" w:color="auto" w:fill="FFFFFF"/>
        </w:rPr>
        <w:t xml:space="preserve"> threshold of materiality was met</w:t>
      </w:r>
      <w:r w:rsidR="00C42E60" w:rsidRPr="005E1802">
        <w:rPr>
          <w:rStyle w:val="FootnoteReference"/>
          <w:rFonts w:ascii="Times New Roman" w:hAnsi="Times New Roman"/>
          <w:color w:val="000000"/>
          <w:sz w:val="24"/>
          <w:shd w:val="clear" w:color="auto" w:fill="FFFFFF"/>
        </w:rPr>
        <w:footnoteReference w:id="68"/>
      </w:r>
      <w:r w:rsidR="001A19B1" w:rsidRPr="005E1802">
        <w:rPr>
          <w:rFonts w:ascii="Times New Roman" w:hAnsi="Times New Roman"/>
          <w:color w:val="000000"/>
          <w:shd w:val="clear" w:color="auto" w:fill="FFFFFF"/>
        </w:rPr>
        <w:t>.</w:t>
      </w:r>
    </w:p>
    <w:p w14:paraId="42A7FE79" w14:textId="2E9F3086" w:rsidR="00E37C08" w:rsidRPr="005E1802" w:rsidRDefault="00E37C08" w:rsidP="005E1802">
      <w:pPr>
        <w:pStyle w:val="FixListStyle"/>
        <w:spacing w:after="260" w:line="280" w:lineRule="exact"/>
        <w:ind w:right="0"/>
        <w:jc w:val="both"/>
        <w:rPr>
          <w:rFonts w:ascii="Times New Roman" w:hAnsi="Times New Roman"/>
        </w:rPr>
      </w:pPr>
      <w:r w:rsidRPr="005E1802">
        <w:rPr>
          <w:rFonts w:ascii="Times New Roman" w:hAnsi="Times New Roman"/>
          <w:color w:val="000000"/>
          <w:shd w:val="clear" w:color="auto" w:fill="FFFFFF"/>
        </w:rPr>
        <w:tab/>
      </w:r>
      <w:r w:rsidR="0030022E" w:rsidRPr="005E1802">
        <w:rPr>
          <w:rFonts w:ascii="Times New Roman" w:hAnsi="Times New Roman"/>
          <w:color w:val="000000"/>
          <w:shd w:val="clear" w:color="auto" w:fill="FFFFFF"/>
        </w:rPr>
        <w:t>Accordingly,</w:t>
      </w:r>
      <w:r w:rsidR="00215F97" w:rsidRPr="005E1802">
        <w:rPr>
          <w:rFonts w:ascii="Times New Roman" w:hAnsi="Times New Roman"/>
          <w:color w:val="000000"/>
          <w:shd w:val="clear" w:color="auto" w:fill="FFFFFF"/>
        </w:rPr>
        <w:t xml:space="preserve"> t</w:t>
      </w:r>
      <w:r w:rsidR="00E2250C" w:rsidRPr="005E1802">
        <w:rPr>
          <w:rFonts w:ascii="Times New Roman" w:hAnsi="Times New Roman"/>
          <w:color w:val="000000"/>
          <w:shd w:val="clear" w:color="auto" w:fill="FFFFFF"/>
        </w:rPr>
        <w:t xml:space="preserve">he </w:t>
      </w:r>
      <w:r w:rsidR="00057AEF" w:rsidRPr="005E1802">
        <w:rPr>
          <w:rFonts w:ascii="Times New Roman" w:hAnsi="Times New Roman"/>
          <w:color w:val="000000"/>
          <w:shd w:val="clear" w:color="auto" w:fill="FFFFFF"/>
        </w:rPr>
        <w:t>decisions o</w:t>
      </w:r>
      <w:r w:rsidR="00E72BCA" w:rsidRPr="005E1802">
        <w:rPr>
          <w:rFonts w:ascii="Times New Roman" w:hAnsi="Times New Roman"/>
          <w:color w:val="000000"/>
          <w:shd w:val="clear" w:color="auto" w:fill="FFFFFF"/>
        </w:rPr>
        <w:t>n</w:t>
      </w:r>
      <w:r w:rsidR="00057AEF" w:rsidRPr="005E1802">
        <w:rPr>
          <w:rFonts w:ascii="Times New Roman" w:hAnsi="Times New Roman"/>
          <w:color w:val="000000"/>
          <w:shd w:val="clear" w:color="auto" w:fill="FFFFFF"/>
        </w:rPr>
        <w:t xml:space="preserve"> which </w:t>
      </w:r>
      <w:r w:rsidR="00480B56" w:rsidRPr="005E1802">
        <w:rPr>
          <w:rFonts w:ascii="Times New Roman" w:hAnsi="Times New Roman"/>
          <w:color w:val="000000"/>
          <w:shd w:val="clear" w:color="auto" w:fill="FFFFFF"/>
        </w:rPr>
        <w:t>the appellant relies</w:t>
      </w:r>
      <w:r w:rsidR="00E72BCA" w:rsidRPr="005E1802">
        <w:rPr>
          <w:rFonts w:ascii="Times New Roman" w:hAnsi="Times New Roman"/>
          <w:color w:val="000000"/>
          <w:shd w:val="clear" w:color="auto" w:fill="FFFFFF"/>
        </w:rPr>
        <w:t xml:space="preserve"> </w:t>
      </w:r>
      <w:r w:rsidR="00A846C7" w:rsidRPr="005E1802">
        <w:rPr>
          <w:rFonts w:ascii="Times New Roman" w:hAnsi="Times New Roman"/>
          <w:color w:val="000000"/>
          <w:shd w:val="clear" w:color="auto" w:fill="FFFFFF"/>
        </w:rPr>
        <w:t>provide no support for the</w:t>
      </w:r>
      <w:r w:rsidR="00E52232" w:rsidRPr="005E1802">
        <w:rPr>
          <w:rFonts w:ascii="Times New Roman" w:hAnsi="Times New Roman"/>
          <w:color w:val="000000"/>
          <w:shd w:val="clear" w:color="auto" w:fill="FFFFFF"/>
        </w:rPr>
        <w:t xml:space="preserve"> </w:t>
      </w:r>
      <w:r w:rsidR="00215F97" w:rsidRPr="005E1802">
        <w:rPr>
          <w:rFonts w:ascii="Times New Roman" w:hAnsi="Times New Roman"/>
          <w:color w:val="000000"/>
          <w:shd w:val="clear" w:color="auto" w:fill="FFFFFF"/>
        </w:rPr>
        <w:t>shift</w:t>
      </w:r>
      <w:r w:rsidR="009B6EDE" w:rsidRPr="005E1802">
        <w:rPr>
          <w:rFonts w:ascii="Times New Roman" w:hAnsi="Times New Roman"/>
          <w:color w:val="000000"/>
          <w:shd w:val="clear" w:color="auto" w:fill="FFFFFF"/>
        </w:rPr>
        <w:t xml:space="preserve"> in</w:t>
      </w:r>
      <w:r w:rsidR="00215F97" w:rsidRPr="005E1802">
        <w:rPr>
          <w:rFonts w:ascii="Times New Roman" w:hAnsi="Times New Roman"/>
          <w:color w:val="000000"/>
          <w:shd w:val="clear" w:color="auto" w:fill="FFFFFF"/>
        </w:rPr>
        <w:t xml:space="preserve"> onus for which </w:t>
      </w:r>
      <w:r w:rsidR="0030022E" w:rsidRPr="005E1802">
        <w:rPr>
          <w:rFonts w:ascii="Times New Roman" w:hAnsi="Times New Roman"/>
          <w:color w:val="000000"/>
          <w:shd w:val="clear" w:color="auto" w:fill="FFFFFF"/>
        </w:rPr>
        <w:t>he</w:t>
      </w:r>
      <w:r w:rsidR="00215F97" w:rsidRPr="005E1802">
        <w:rPr>
          <w:rFonts w:ascii="Times New Roman" w:hAnsi="Times New Roman"/>
          <w:color w:val="000000"/>
          <w:shd w:val="clear" w:color="auto" w:fill="FFFFFF"/>
        </w:rPr>
        <w:t xml:space="preserve"> contends</w:t>
      </w:r>
      <w:r w:rsidR="00D17A66" w:rsidRPr="005E1802">
        <w:rPr>
          <w:rFonts w:ascii="Times New Roman" w:hAnsi="Times New Roman"/>
          <w:color w:val="000000"/>
          <w:shd w:val="clear" w:color="auto" w:fill="FFFFFF"/>
        </w:rPr>
        <w:t xml:space="preserve">. </w:t>
      </w:r>
      <w:r w:rsidR="008C5F83" w:rsidRPr="005E1802">
        <w:rPr>
          <w:rFonts w:ascii="Times New Roman" w:hAnsi="Times New Roman"/>
          <w:color w:val="000000"/>
          <w:shd w:val="clear" w:color="auto" w:fill="FFFFFF"/>
        </w:rPr>
        <w:t>W</w:t>
      </w:r>
      <w:r w:rsidR="00446040" w:rsidRPr="005E1802">
        <w:rPr>
          <w:rFonts w:ascii="Times New Roman" w:hAnsi="Times New Roman"/>
          <w:color w:val="000000"/>
          <w:shd w:val="clear" w:color="auto" w:fill="FFFFFF"/>
        </w:rPr>
        <w:t xml:space="preserve">here materiality of </w:t>
      </w:r>
      <w:r w:rsidR="00446040" w:rsidRPr="005E1802">
        <w:rPr>
          <w:rFonts w:ascii="Times New Roman" w:hAnsi="Times New Roman"/>
        </w:rPr>
        <w:t xml:space="preserve">a breach of an express or implied condition of </w:t>
      </w:r>
      <w:r w:rsidR="001B7249" w:rsidRPr="005E1802">
        <w:rPr>
          <w:rFonts w:ascii="Times New Roman" w:hAnsi="Times New Roman"/>
        </w:rPr>
        <w:t>a</w:t>
      </w:r>
      <w:r w:rsidR="00446040" w:rsidRPr="005E1802">
        <w:rPr>
          <w:rFonts w:ascii="Times New Roman" w:hAnsi="Times New Roman"/>
        </w:rPr>
        <w:t xml:space="preserve"> conferral of statutory decision-making authority</w:t>
      </w:r>
      <w:r w:rsidR="009716E8" w:rsidRPr="005E1802">
        <w:rPr>
          <w:rFonts w:ascii="Times New Roman" w:hAnsi="Times New Roman"/>
          <w:color w:val="000000"/>
          <w:shd w:val="clear" w:color="auto" w:fill="FFFFFF"/>
        </w:rPr>
        <w:t xml:space="preserve"> is </w:t>
      </w:r>
      <w:r w:rsidR="00446040" w:rsidRPr="005E1802">
        <w:rPr>
          <w:rFonts w:ascii="Times New Roman" w:hAnsi="Times New Roman"/>
          <w:color w:val="000000"/>
          <w:shd w:val="clear" w:color="auto" w:fill="FFFFFF"/>
        </w:rPr>
        <w:t xml:space="preserve">in issue </w:t>
      </w:r>
      <w:r w:rsidR="00AA0036" w:rsidRPr="005E1802">
        <w:rPr>
          <w:rFonts w:ascii="Times New Roman" w:hAnsi="Times New Roman"/>
        </w:rPr>
        <w:t xml:space="preserve">in an application for judicial review of </w:t>
      </w:r>
      <w:r w:rsidR="00446040" w:rsidRPr="005E1802">
        <w:rPr>
          <w:rFonts w:ascii="Times New Roman" w:hAnsi="Times New Roman"/>
        </w:rPr>
        <w:t>a</w:t>
      </w:r>
      <w:r w:rsidR="00AA0036" w:rsidRPr="005E1802">
        <w:rPr>
          <w:rFonts w:ascii="Times New Roman" w:hAnsi="Times New Roman"/>
        </w:rPr>
        <w:t xml:space="preserve"> decision on the ground of jurisdictional error</w:t>
      </w:r>
      <w:r w:rsidR="00446040" w:rsidRPr="005E1802">
        <w:rPr>
          <w:rFonts w:ascii="Times New Roman" w:hAnsi="Times New Roman"/>
        </w:rPr>
        <w:t xml:space="preserve">, </w:t>
      </w:r>
      <w:r w:rsidR="009716E8" w:rsidRPr="005E1802">
        <w:rPr>
          <w:rFonts w:ascii="Times New Roman" w:hAnsi="Times New Roman"/>
        </w:rPr>
        <w:t xml:space="preserve">the onus of proving </w:t>
      </w:r>
      <w:r w:rsidR="00650F84" w:rsidRPr="005E1802">
        <w:rPr>
          <w:rFonts w:ascii="Times New Roman" w:hAnsi="Times New Roman"/>
        </w:rPr>
        <w:t xml:space="preserve">by admissible evidence on the balance of probabilities </w:t>
      </w:r>
      <w:r w:rsidR="009716E8" w:rsidRPr="005E1802">
        <w:rPr>
          <w:rFonts w:ascii="Times New Roman" w:hAnsi="Times New Roman"/>
        </w:rPr>
        <w:t>historical facts necessary to</w:t>
      </w:r>
      <w:r w:rsidR="005271D9" w:rsidRPr="005E1802">
        <w:rPr>
          <w:rFonts w:ascii="Times New Roman" w:hAnsi="Times New Roman"/>
        </w:rPr>
        <w:t xml:space="preserve"> </w:t>
      </w:r>
      <w:r w:rsidR="00F51467" w:rsidRPr="005E1802">
        <w:rPr>
          <w:rFonts w:ascii="Times New Roman" w:hAnsi="Times New Roman"/>
        </w:rPr>
        <w:t xml:space="preserve">satisfy the court </w:t>
      </w:r>
      <w:r w:rsidR="009C3854" w:rsidRPr="005E1802">
        <w:rPr>
          <w:rFonts w:ascii="Times New Roman" w:hAnsi="Times New Roman"/>
        </w:rPr>
        <w:t>that</w:t>
      </w:r>
      <w:r w:rsidR="00B808C0" w:rsidRPr="005E1802">
        <w:rPr>
          <w:rFonts w:ascii="Times New Roman" w:hAnsi="Times New Roman"/>
        </w:rPr>
        <w:t xml:space="preserve"> the decision </w:t>
      </w:r>
      <w:r w:rsidR="009C3854" w:rsidRPr="005E1802">
        <w:rPr>
          <w:rFonts w:ascii="Times New Roman" w:hAnsi="Times New Roman"/>
        </w:rPr>
        <w:t xml:space="preserve">could </w:t>
      </w:r>
      <w:r w:rsidR="00D07C9D" w:rsidRPr="005E1802">
        <w:rPr>
          <w:rFonts w:ascii="Times New Roman" w:hAnsi="Times New Roman"/>
        </w:rPr>
        <w:t xml:space="preserve">realistically </w:t>
      </w:r>
      <w:r w:rsidR="009C3854" w:rsidRPr="005E1802">
        <w:rPr>
          <w:rFonts w:ascii="Times New Roman" w:hAnsi="Times New Roman"/>
        </w:rPr>
        <w:t>have</w:t>
      </w:r>
      <w:r w:rsidR="00B808C0" w:rsidRPr="005E1802">
        <w:rPr>
          <w:rFonts w:ascii="Times New Roman" w:hAnsi="Times New Roman"/>
        </w:rPr>
        <w:t xml:space="preserve"> been different had the breach</w:t>
      </w:r>
      <w:r w:rsidR="007E398D" w:rsidRPr="005E1802">
        <w:rPr>
          <w:rFonts w:ascii="Times New Roman" w:hAnsi="Times New Roman"/>
        </w:rPr>
        <w:t xml:space="preserve"> </w:t>
      </w:r>
      <w:r w:rsidR="00B808C0" w:rsidRPr="005E1802">
        <w:rPr>
          <w:rFonts w:ascii="Times New Roman" w:hAnsi="Times New Roman"/>
        </w:rPr>
        <w:t>not occurred</w:t>
      </w:r>
      <w:r w:rsidR="00470B2E" w:rsidRPr="005E1802">
        <w:rPr>
          <w:rFonts w:ascii="Times New Roman" w:hAnsi="Times New Roman"/>
        </w:rPr>
        <w:t xml:space="preserve"> </w:t>
      </w:r>
      <w:r w:rsidR="00972C5C" w:rsidRPr="005E1802">
        <w:rPr>
          <w:rFonts w:ascii="Times New Roman" w:hAnsi="Times New Roman"/>
        </w:rPr>
        <w:t>lies</w:t>
      </w:r>
      <w:r w:rsidR="00502CB7" w:rsidRPr="005E1802">
        <w:rPr>
          <w:rFonts w:ascii="Times New Roman" w:hAnsi="Times New Roman"/>
        </w:rPr>
        <w:t xml:space="preserve"> unwaveringly on the plaintiff</w:t>
      </w:r>
      <w:r w:rsidR="00816384" w:rsidRPr="005E1802">
        <w:rPr>
          <w:rFonts w:ascii="Times New Roman" w:hAnsi="Times New Roman"/>
        </w:rPr>
        <w:t>.</w:t>
      </w:r>
    </w:p>
    <w:p w14:paraId="57A958A5" w14:textId="660D15CB" w:rsidR="00471E52" w:rsidRPr="005E1802" w:rsidRDefault="00291EF3" w:rsidP="005E1802">
      <w:pPr>
        <w:pStyle w:val="HeadingL1"/>
        <w:spacing w:after="260" w:line="280" w:lineRule="exact"/>
        <w:ind w:right="0"/>
        <w:jc w:val="both"/>
        <w:rPr>
          <w:rFonts w:ascii="Times New Roman" w:hAnsi="Times New Roman"/>
        </w:rPr>
      </w:pPr>
      <w:r w:rsidRPr="005E1802">
        <w:rPr>
          <w:rFonts w:ascii="Times New Roman" w:hAnsi="Times New Roman"/>
        </w:rPr>
        <w:t xml:space="preserve">Proof of materiality </w:t>
      </w:r>
      <w:r w:rsidR="00434176" w:rsidRPr="005E1802">
        <w:rPr>
          <w:rFonts w:ascii="Times New Roman" w:hAnsi="Times New Roman"/>
        </w:rPr>
        <w:t>of a failure to disclose a notification under s</w:t>
      </w:r>
      <w:r w:rsidR="00227099" w:rsidRPr="005E1802">
        <w:rPr>
          <w:rFonts w:ascii="Times New Roman" w:hAnsi="Times New Roman"/>
        </w:rPr>
        <w:t> </w:t>
      </w:r>
      <w:r w:rsidR="00434176" w:rsidRPr="005E1802">
        <w:rPr>
          <w:rFonts w:ascii="Times New Roman" w:hAnsi="Times New Roman"/>
        </w:rPr>
        <w:t>438(2)(a) of the Act</w:t>
      </w:r>
    </w:p>
    <w:p w14:paraId="3DD0EC9E" w14:textId="5FF20EE4" w:rsidR="00BE0843" w:rsidRPr="005E1802" w:rsidRDefault="00471E52"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434176" w:rsidRPr="005E1802">
        <w:rPr>
          <w:rFonts w:ascii="Times New Roman" w:hAnsi="Times New Roman"/>
        </w:rPr>
        <w:t xml:space="preserve">Necessary next is to </w:t>
      </w:r>
      <w:r w:rsidR="00784CE7" w:rsidRPr="005E1802">
        <w:rPr>
          <w:rFonts w:ascii="Times New Roman" w:hAnsi="Times New Roman"/>
        </w:rPr>
        <w:t xml:space="preserve">consider </w:t>
      </w:r>
      <w:r w:rsidR="008457A0" w:rsidRPr="005E1802">
        <w:rPr>
          <w:rFonts w:ascii="Times New Roman" w:hAnsi="Times New Roman"/>
        </w:rPr>
        <w:t xml:space="preserve">the </w:t>
      </w:r>
      <w:r w:rsidR="00A85BD2" w:rsidRPr="005E1802">
        <w:rPr>
          <w:rFonts w:ascii="Times New Roman" w:hAnsi="Times New Roman"/>
        </w:rPr>
        <w:t>more specific</w:t>
      </w:r>
      <w:r w:rsidR="008457A0" w:rsidRPr="005E1802">
        <w:rPr>
          <w:rFonts w:ascii="Times New Roman" w:hAnsi="Times New Roman"/>
        </w:rPr>
        <w:t xml:space="preserve"> question of</w:t>
      </w:r>
      <w:r w:rsidR="00A85BD2" w:rsidRPr="005E1802">
        <w:rPr>
          <w:rFonts w:ascii="Times New Roman" w:hAnsi="Times New Roman"/>
        </w:rPr>
        <w:t xml:space="preserve"> </w:t>
      </w:r>
      <w:r w:rsidR="00784CE7" w:rsidRPr="005E1802">
        <w:rPr>
          <w:rFonts w:ascii="Times New Roman" w:hAnsi="Times New Roman"/>
        </w:rPr>
        <w:t>what</w:t>
      </w:r>
      <w:r w:rsidR="00A85BD2" w:rsidRPr="005E1802">
        <w:rPr>
          <w:rFonts w:ascii="Times New Roman" w:hAnsi="Times New Roman"/>
        </w:rPr>
        <w:t xml:space="preserve"> </w:t>
      </w:r>
      <w:r w:rsidR="00471210" w:rsidRPr="005E1802">
        <w:rPr>
          <w:rFonts w:ascii="Times New Roman" w:hAnsi="Times New Roman"/>
        </w:rPr>
        <w:t xml:space="preserve">historical facts </w:t>
      </w:r>
      <w:r w:rsidR="00146C77" w:rsidRPr="005E1802">
        <w:rPr>
          <w:rFonts w:ascii="Times New Roman" w:hAnsi="Times New Roman"/>
        </w:rPr>
        <w:t xml:space="preserve">a plaintiff in an application for judicial review </w:t>
      </w:r>
      <w:r w:rsidR="00FA1723" w:rsidRPr="005E1802">
        <w:rPr>
          <w:rFonts w:ascii="Times New Roman" w:hAnsi="Times New Roman"/>
        </w:rPr>
        <w:t xml:space="preserve">must prove </w:t>
      </w:r>
      <w:r w:rsidR="007A0080" w:rsidRPr="005E1802">
        <w:rPr>
          <w:rFonts w:ascii="Times New Roman" w:hAnsi="Times New Roman"/>
        </w:rPr>
        <w:t xml:space="preserve">in order </w:t>
      </w:r>
      <w:r w:rsidR="00FA1723" w:rsidRPr="005E1802">
        <w:rPr>
          <w:rFonts w:ascii="Times New Roman" w:hAnsi="Times New Roman"/>
        </w:rPr>
        <w:t xml:space="preserve">to </w:t>
      </w:r>
      <w:r w:rsidR="00806BC2" w:rsidRPr="005E1802">
        <w:rPr>
          <w:rFonts w:ascii="Times New Roman" w:hAnsi="Times New Roman"/>
        </w:rPr>
        <w:t>establish the materiality</w:t>
      </w:r>
      <w:r w:rsidR="00C75E5E" w:rsidRPr="005E1802">
        <w:rPr>
          <w:rFonts w:ascii="Times New Roman" w:hAnsi="Times New Roman"/>
        </w:rPr>
        <w:t xml:space="preserve"> </w:t>
      </w:r>
      <w:r w:rsidR="007A0080" w:rsidRPr="005E1802">
        <w:rPr>
          <w:rFonts w:ascii="Times New Roman" w:hAnsi="Times New Roman"/>
        </w:rPr>
        <w:t xml:space="preserve">of a </w:t>
      </w:r>
      <w:r w:rsidR="00361778" w:rsidRPr="005E1802">
        <w:rPr>
          <w:rFonts w:ascii="Times New Roman" w:hAnsi="Times New Roman"/>
        </w:rPr>
        <w:t xml:space="preserve">breach </w:t>
      </w:r>
      <w:r w:rsidR="007A0080" w:rsidRPr="005E1802">
        <w:rPr>
          <w:rFonts w:ascii="Times New Roman" w:hAnsi="Times New Roman"/>
        </w:rPr>
        <w:t xml:space="preserve">of </w:t>
      </w:r>
      <w:r w:rsidR="005B271E" w:rsidRPr="005E1802">
        <w:rPr>
          <w:rFonts w:ascii="Times New Roman" w:hAnsi="Times New Roman"/>
        </w:rPr>
        <w:t>procedural fairness</w:t>
      </w:r>
      <w:r w:rsidR="00361778" w:rsidRPr="005E1802">
        <w:rPr>
          <w:rFonts w:ascii="Times New Roman" w:hAnsi="Times New Roman"/>
        </w:rPr>
        <w:t xml:space="preserve"> constituted by failure </w:t>
      </w:r>
      <w:r w:rsidR="00C75E5E" w:rsidRPr="005E1802">
        <w:rPr>
          <w:rFonts w:ascii="Times New Roman" w:hAnsi="Times New Roman"/>
        </w:rPr>
        <w:t xml:space="preserve">on the part of the </w:t>
      </w:r>
      <w:r w:rsidR="00FE5F5D" w:rsidRPr="005E1802">
        <w:rPr>
          <w:rFonts w:ascii="Times New Roman" w:hAnsi="Times New Roman"/>
        </w:rPr>
        <w:t>T</w:t>
      </w:r>
      <w:r w:rsidR="00FA2626" w:rsidRPr="005E1802">
        <w:rPr>
          <w:rFonts w:ascii="Times New Roman" w:hAnsi="Times New Roman"/>
        </w:rPr>
        <w:t>ribunal</w:t>
      </w:r>
      <w:r w:rsidR="008A32F7" w:rsidRPr="005E1802">
        <w:rPr>
          <w:rFonts w:ascii="Times New Roman" w:hAnsi="Times New Roman"/>
        </w:rPr>
        <w:t>,</w:t>
      </w:r>
      <w:r w:rsidR="00C75E5E" w:rsidRPr="005E1802">
        <w:rPr>
          <w:rFonts w:ascii="Times New Roman" w:hAnsi="Times New Roman"/>
        </w:rPr>
        <w:t xml:space="preserve"> </w:t>
      </w:r>
      <w:r w:rsidR="00061941" w:rsidRPr="005E1802">
        <w:rPr>
          <w:rFonts w:ascii="Times New Roman" w:hAnsi="Times New Roman"/>
        </w:rPr>
        <w:t>in the conduct of a review under Pt 7</w:t>
      </w:r>
      <w:r w:rsidR="008A32F7" w:rsidRPr="005E1802">
        <w:rPr>
          <w:rFonts w:ascii="Times New Roman" w:hAnsi="Times New Roman"/>
        </w:rPr>
        <w:t>,</w:t>
      </w:r>
      <w:r w:rsidR="00061941" w:rsidRPr="005E1802">
        <w:rPr>
          <w:rFonts w:ascii="Times New Roman" w:hAnsi="Times New Roman"/>
        </w:rPr>
        <w:t xml:space="preserve"> </w:t>
      </w:r>
      <w:r w:rsidR="00361778" w:rsidRPr="005E1802">
        <w:rPr>
          <w:rFonts w:ascii="Times New Roman" w:hAnsi="Times New Roman"/>
        </w:rPr>
        <w:t xml:space="preserve">to disclose the existence of a notification by the Secretary under s 438(2)(a) that s 438(1)(b) applied to information contained in documents given to the </w:t>
      </w:r>
      <w:r w:rsidR="00FE5F5D" w:rsidRPr="005E1802">
        <w:rPr>
          <w:rFonts w:ascii="Times New Roman" w:hAnsi="Times New Roman"/>
        </w:rPr>
        <w:t>T</w:t>
      </w:r>
      <w:r w:rsidR="00E04811" w:rsidRPr="005E1802">
        <w:rPr>
          <w:rFonts w:ascii="Times New Roman" w:hAnsi="Times New Roman"/>
        </w:rPr>
        <w:t>ribunal</w:t>
      </w:r>
      <w:r w:rsidR="00361778" w:rsidRPr="005E1802">
        <w:rPr>
          <w:rFonts w:ascii="Times New Roman" w:hAnsi="Times New Roman"/>
        </w:rPr>
        <w:t xml:space="preserve"> by the Secretary </w:t>
      </w:r>
      <w:r w:rsidR="00471E28" w:rsidRPr="005E1802">
        <w:rPr>
          <w:rFonts w:ascii="Times New Roman" w:hAnsi="Times New Roman"/>
        </w:rPr>
        <w:t>pursuant to the procedural obligation imposed on the Secretary by</w:t>
      </w:r>
      <w:r w:rsidR="00361778" w:rsidRPr="005E1802">
        <w:rPr>
          <w:rFonts w:ascii="Times New Roman" w:hAnsi="Times New Roman"/>
        </w:rPr>
        <w:t xml:space="preserve"> s 418(3)</w:t>
      </w:r>
      <w:r w:rsidR="00BE0843" w:rsidRPr="005E1802">
        <w:rPr>
          <w:rFonts w:ascii="Times New Roman" w:hAnsi="Times New Roman"/>
        </w:rPr>
        <w:t>.</w:t>
      </w:r>
    </w:p>
    <w:p w14:paraId="0B4C60C3" w14:textId="4C0CA412" w:rsidR="000805BF" w:rsidRPr="005E1802" w:rsidRDefault="00967FD3" w:rsidP="005E1802">
      <w:pPr>
        <w:pStyle w:val="FixListStyle"/>
        <w:spacing w:after="260" w:line="280" w:lineRule="exact"/>
        <w:ind w:right="0"/>
        <w:jc w:val="both"/>
        <w:rPr>
          <w:rFonts w:ascii="Times New Roman" w:hAnsi="Times New Roman"/>
        </w:rPr>
      </w:pPr>
      <w:r w:rsidRPr="005E1802">
        <w:rPr>
          <w:rFonts w:ascii="Times New Roman" w:hAnsi="Times New Roman"/>
        </w:rPr>
        <w:lastRenderedPageBreak/>
        <w:tab/>
      </w:r>
      <w:r w:rsidR="008F204B" w:rsidRPr="005E1802">
        <w:rPr>
          <w:rFonts w:ascii="Times New Roman" w:hAnsi="Times New Roman"/>
        </w:rPr>
        <w:t>The</w:t>
      </w:r>
      <w:r w:rsidR="00FE0262" w:rsidRPr="005E1802">
        <w:rPr>
          <w:rFonts w:ascii="Times New Roman" w:hAnsi="Times New Roman"/>
        </w:rPr>
        <w:t xml:space="preserve"> </w:t>
      </w:r>
      <w:r w:rsidR="00D064A5" w:rsidRPr="005E1802">
        <w:rPr>
          <w:rFonts w:ascii="Times New Roman" w:hAnsi="Times New Roman"/>
        </w:rPr>
        <w:t>automatic</w:t>
      </w:r>
      <w:r w:rsidR="00C11DBE" w:rsidRPr="005E1802">
        <w:rPr>
          <w:rFonts w:ascii="Times New Roman" w:hAnsi="Times New Roman"/>
        </w:rPr>
        <w:t xml:space="preserve"> </w:t>
      </w:r>
      <w:r w:rsidR="000805BF" w:rsidRPr="005E1802">
        <w:rPr>
          <w:rFonts w:ascii="Times New Roman" w:hAnsi="Times New Roman"/>
        </w:rPr>
        <w:t xml:space="preserve">statutory </w:t>
      </w:r>
      <w:r w:rsidR="008F204B" w:rsidRPr="005E1802">
        <w:rPr>
          <w:rFonts w:ascii="Times New Roman" w:hAnsi="Times New Roman"/>
        </w:rPr>
        <w:t>consequence</w:t>
      </w:r>
      <w:r w:rsidR="001B309B" w:rsidRPr="005E1802">
        <w:rPr>
          <w:rFonts w:ascii="Times New Roman" w:hAnsi="Times New Roman"/>
        </w:rPr>
        <w:t>s</w:t>
      </w:r>
      <w:r w:rsidR="008F204B" w:rsidRPr="005E1802">
        <w:rPr>
          <w:rFonts w:ascii="Times New Roman" w:hAnsi="Times New Roman"/>
        </w:rPr>
        <w:t xml:space="preserve"> </w:t>
      </w:r>
      <w:r w:rsidR="003E0C01" w:rsidRPr="005E1802">
        <w:rPr>
          <w:rFonts w:ascii="Times New Roman" w:hAnsi="Times New Roman"/>
        </w:rPr>
        <w:t xml:space="preserve">of </w:t>
      </w:r>
      <w:r w:rsidR="00633D39" w:rsidRPr="005E1802">
        <w:rPr>
          <w:rFonts w:ascii="Times New Roman" w:hAnsi="Times New Roman"/>
        </w:rPr>
        <w:t>a notification under s</w:t>
      </w:r>
      <w:r w:rsidR="00227099" w:rsidRPr="005E1802">
        <w:rPr>
          <w:rFonts w:ascii="Times New Roman" w:hAnsi="Times New Roman"/>
        </w:rPr>
        <w:t> </w:t>
      </w:r>
      <w:r w:rsidR="00633D39" w:rsidRPr="005E1802">
        <w:rPr>
          <w:rFonts w:ascii="Times New Roman" w:hAnsi="Times New Roman"/>
        </w:rPr>
        <w:t>438(2)(a)</w:t>
      </w:r>
      <w:r w:rsidR="00C11DBE" w:rsidRPr="005E1802">
        <w:rPr>
          <w:rFonts w:ascii="Times New Roman" w:hAnsi="Times New Roman"/>
        </w:rPr>
        <w:t xml:space="preserve">, spelt out in </w:t>
      </w:r>
      <w:r w:rsidR="00C11DBE" w:rsidRPr="005E1802">
        <w:rPr>
          <w:rFonts w:ascii="Times New Roman" w:hAnsi="Times New Roman"/>
          <w:i/>
        </w:rPr>
        <w:t>SZMTA</w:t>
      </w:r>
      <w:r w:rsidR="002365D4" w:rsidRPr="005E1802">
        <w:rPr>
          <w:rStyle w:val="FootnoteReference"/>
          <w:rFonts w:ascii="Times New Roman" w:hAnsi="Times New Roman"/>
          <w:sz w:val="24"/>
        </w:rPr>
        <w:footnoteReference w:id="69"/>
      </w:r>
      <w:r w:rsidR="00C11DBE" w:rsidRPr="005E1802">
        <w:rPr>
          <w:rFonts w:ascii="Times New Roman" w:hAnsi="Times New Roman"/>
        </w:rPr>
        <w:t xml:space="preserve">, </w:t>
      </w:r>
      <w:r w:rsidR="001B309B" w:rsidRPr="005E1802">
        <w:rPr>
          <w:rFonts w:ascii="Times New Roman" w:hAnsi="Times New Roman"/>
        </w:rPr>
        <w:t>are</w:t>
      </w:r>
      <w:r w:rsidR="00C11DBE" w:rsidRPr="005E1802">
        <w:rPr>
          <w:rFonts w:ascii="Times New Roman" w:hAnsi="Times New Roman"/>
        </w:rPr>
        <w:t xml:space="preserve"> that</w:t>
      </w:r>
      <w:r w:rsidR="00A16712" w:rsidRPr="005E1802">
        <w:rPr>
          <w:rFonts w:ascii="Times New Roman" w:hAnsi="Times New Roman"/>
        </w:rPr>
        <w:t xml:space="preserve"> </w:t>
      </w:r>
      <w:r w:rsidR="00AD7E57" w:rsidRPr="005E1802">
        <w:rPr>
          <w:rFonts w:ascii="Times New Roman" w:hAnsi="Times New Roman"/>
        </w:rPr>
        <w:t xml:space="preserve">the </w:t>
      </w:r>
      <w:r w:rsidR="00FE5F5D" w:rsidRPr="005E1802">
        <w:rPr>
          <w:rFonts w:ascii="Times New Roman" w:hAnsi="Times New Roman"/>
        </w:rPr>
        <w:t>T</w:t>
      </w:r>
      <w:r w:rsidR="00AB3838" w:rsidRPr="005E1802">
        <w:rPr>
          <w:rFonts w:ascii="Times New Roman" w:hAnsi="Times New Roman"/>
        </w:rPr>
        <w:t>ribunal</w:t>
      </w:r>
      <w:r w:rsidR="00AD7E57" w:rsidRPr="005E1802">
        <w:rPr>
          <w:rFonts w:ascii="Times New Roman" w:hAnsi="Times New Roman"/>
        </w:rPr>
        <w:t xml:space="preserve"> has no power</w:t>
      </w:r>
      <w:r w:rsidR="00B44985" w:rsidRPr="005E1802">
        <w:rPr>
          <w:rFonts w:ascii="Times New Roman" w:hAnsi="Times New Roman"/>
        </w:rPr>
        <w:t xml:space="preserve"> to </w:t>
      </w:r>
      <w:r w:rsidR="009A63E2" w:rsidRPr="005E1802">
        <w:rPr>
          <w:rFonts w:ascii="Times New Roman" w:hAnsi="Times New Roman"/>
        </w:rPr>
        <w:t xml:space="preserve">take information </w:t>
      </w:r>
      <w:r w:rsidR="00392243" w:rsidRPr="005E1802">
        <w:rPr>
          <w:rFonts w:ascii="Times New Roman" w:hAnsi="Times New Roman"/>
        </w:rPr>
        <w:t xml:space="preserve">covered by the notification </w:t>
      </w:r>
      <w:r w:rsidR="009A63E2" w:rsidRPr="005E1802">
        <w:rPr>
          <w:rFonts w:ascii="Times New Roman" w:hAnsi="Times New Roman"/>
        </w:rPr>
        <w:t xml:space="preserve">into account in making its decision </w:t>
      </w:r>
      <w:r w:rsidR="00C749C9" w:rsidRPr="005E1802">
        <w:rPr>
          <w:rFonts w:ascii="Times New Roman" w:hAnsi="Times New Roman"/>
        </w:rPr>
        <w:t xml:space="preserve">unless it affirmatively exercises the discretion conferred by s 438(3)(a) and has </w:t>
      </w:r>
      <w:r w:rsidR="00E30439" w:rsidRPr="005E1802">
        <w:rPr>
          <w:rFonts w:ascii="Times New Roman" w:hAnsi="Times New Roman"/>
        </w:rPr>
        <w:t>no power to disclose that information to</w:t>
      </w:r>
      <w:r w:rsidR="00392243" w:rsidRPr="005E1802">
        <w:rPr>
          <w:rFonts w:ascii="Times New Roman" w:hAnsi="Times New Roman"/>
        </w:rPr>
        <w:t xml:space="preserve"> the app</w:t>
      </w:r>
      <w:r w:rsidR="00844980" w:rsidRPr="005E1802">
        <w:rPr>
          <w:rFonts w:ascii="Times New Roman" w:hAnsi="Times New Roman"/>
        </w:rPr>
        <w:t>licant for review</w:t>
      </w:r>
      <w:r w:rsidR="00AD7E57" w:rsidRPr="005E1802">
        <w:rPr>
          <w:rFonts w:ascii="Times New Roman" w:hAnsi="Times New Roman"/>
        </w:rPr>
        <w:t xml:space="preserve"> </w:t>
      </w:r>
      <w:r w:rsidR="006048FC" w:rsidRPr="005E1802">
        <w:rPr>
          <w:rFonts w:ascii="Times New Roman" w:hAnsi="Times New Roman"/>
        </w:rPr>
        <w:t xml:space="preserve">unless </w:t>
      </w:r>
      <w:r w:rsidR="00E30439" w:rsidRPr="005E1802">
        <w:rPr>
          <w:rFonts w:ascii="Times New Roman" w:hAnsi="Times New Roman"/>
        </w:rPr>
        <w:t>it</w:t>
      </w:r>
      <w:r w:rsidR="006048FC" w:rsidRPr="005E1802">
        <w:rPr>
          <w:rFonts w:ascii="Times New Roman" w:hAnsi="Times New Roman"/>
        </w:rPr>
        <w:t xml:space="preserve"> affirmatively exercises </w:t>
      </w:r>
      <w:r w:rsidR="00CC36FC" w:rsidRPr="005E1802">
        <w:rPr>
          <w:rFonts w:ascii="Times New Roman" w:hAnsi="Times New Roman"/>
        </w:rPr>
        <w:t>the</w:t>
      </w:r>
      <w:r w:rsidR="006048FC" w:rsidRPr="005E1802">
        <w:rPr>
          <w:rFonts w:ascii="Times New Roman" w:hAnsi="Times New Roman"/>
        </w:rPr>
        <w:t xml:space="preserve"> discretion conferred by s 438(3)(</w:t>
      </w:r>
      <w:r w:rsidR="009A63E2" w:rsidRPr="005E1802">
        <w:rPr>
          <w:rFonts w:ascii="Times New Roman" w:hAnsi="Times New Roman"/>
        </w:rPr>
        <w:t>b</w:t>
      </w:r>
      <w:r w:rsidR="006048FC" w:rsidRPr="005E1802">
        <w:rPr>
          <w:rFonts w:ascii="Times New Roman" w:hAnsi="Times New Roman"/>
        </w:rPr>
        <w:t>)</w:t>
      </w:r>
      <w:r w:rsidR="009A63E2" w:rsidRPr="005E1802">
        <w:rPr>
          <w:rFonts w:ascii="Times New Roman" w:hAnsi="Times New Roman"/>
        </w:rPr>
        <w:t>.</w:t>
      </w:r>
      <w:r w:rsidR="00993D8A" w:rsidRPr="005E1802">
        <w:rPr>
          <w:rFonts w:ascii="Times New Roman" w:hAnsi="Times New Roman"/>
        </w:rPr>
        <w:t xml:space="preserve"> Also spelt out in </w:t>
      </w:r>
      <w:r w:rsidR="00993D8A" w:rsidRPr="005E1802">
        <w:rPr>
          <w:rFonts w:ascii="Times New Roman" w:hAnsi="Times New Roman"/>
          <w:i/>
        </w:rPr>
        <w:t>SZMTA</w:t>
      </w:r>
      <w:r w:rsidR="00F46553" w:rsidRPr="005E1802">
        <w:rPr>
          <w:rStyle w:val="FootnoteReference"/>
          <w:rFonts w:ascii="Times New Roman" w:hAnsi="Times New Roman"/>
          <w:sz w:val="24"/>
        </w:rPr>
        <w:footnoteReference w:id="70"/>
      </w:r>
      <w:r w:rsidR="005E0A8B" w:rsidRPr="005E1802">
        <w:rPr>
          <w:rFonts w:ascii="Times New Roman" w:hAnsi="Times New Roman"/>
        </w:rPr>
        <w:t xml:space="preserve"> is</w:t>
      </w:r>
      <w:r w:rsidR="00993D8A" w:rsidRPr="005E1802">
        <w:rPr>
          <w:rFonts w:ascii="Times New Roman" w:hAnsi="Times New Roman"/>
        </w:rPr>
        <w:t xml:space="preserve"> </w:t>
      </w:r>
      <w:r w:rsidR="0099486B" w:rsidRPr="005E1802">
        <w:rPr>
          <w:rFonts w:ascii="Times New Roman" w:hAnsi="Times New Roman"/>
        </w:rPr>
        <w:t xml:space="preserve">that </w:t>
      </w:r>
      <w:r w:rsidR="005A55AE" w:rsidRPr="005E1802">
        <w:rPr>
          <w:rFonts w:ascii="Times New Roman" w:hAnsi="Times New Roman"/>
        </w:rPr>
        <w:t xml:space="preserve">the </w:t>
      </w:r>
      <w:r w:rsidR="00FE5F5D" w:rsidRPr="005E1802">
        <w:rPr>
          <w:rFonts w:ascii="Times New Roman" w:hAnsi="Times New Roman"/>
        </w:rPr>
        <w:t>T</w:t>
      </w:r>
      <w:r w:rsidR="009358E9" w:rsidRPr="005E1802">
        <w:rPr>
          <w:rFonts w:ascii="Times New Roman" w:hAnsi="Times New Roman"/>
        </w:rPr>
        <w:t>ribunal</w:t>
      </w:r>
      <w:r w:rsidR="005A55AE" w:rsidRPr="005E1802">
        <w:rPr>
          <w:rFonts w:ascii="Times New Roman" w:hAnsi="Times New Roman"/>
        </w:rPr>
        <w:t xml:space="preserve"> </w:t>
      </w:r>
      <w:r w:rsidR="00ED1814" w:rsidRPr="005E1802">
        <w:rPr>
          <w:rFonts w:ascii="Times New Roman" w:hAnsi="Times New Roman"/>
        </w:rPr>
        <w:t>is obliged to exercise th</w:t>
      </w:r>
      <w:r w:rsidR="007835B3" w:rsidRPr="005E1802">
        <w:rPr>
          <w:rFonts w:ascii="Times New Roman" w:hAnsi="Times New Roman"/>
        </w:rPr>
        <w:t>ose</w:t>
      </w:r>
      <w:r w:rsidR="00ED1814" w:rsidRPr="005E1802">
        <w:rPr>
          <w:rFonts w:ascii="Times New Roman" w:hAnsi="Times New Roman"/>
        </w:rPr>
        <w:t xml:space="preserve"> </w:t>
      </w:r>
      <w:r w:rsidR="005A55AE" w:rsidRPr="005E1802">
        <w:rPr>
          <w:rFonts w:ascii="Times New Roman" w:hAnsi="Times New Roman"/>
        </w:rPr>
        <w:t>discretion</w:t>
      </w:r>
      <w:r w:rsidR="007835B3" w:rsidRPr="005E1802">
        <w:rPr>
          <w:rFonts w:ascii="Times New Roman" w:hAnsi="Times New Roman"/>
        </w:rPr>
        <w:t>s</w:t>
      </w:r>
      <w:r w:rsidR="005A55AE" w:rsidRPr="005E1802">
        <w:rPr>
          <w:rFonts w:ascii="Times New Roman" w:hAnsi="Times New Roman"/>
        </w:rPr>
        <w:t xml:space="preserve"> </w:t>
      </w:r>
      <w:r w:rsidR="00ED1814" w:rsidRPr="005E1802">
        <w:rPr>
          <w:rFonts w:ascii="Times New Roman" w:hAnsi="Times New Roman"/>
        </w:rPr>
        <w:t xml:space="preserve">within the bounds of reasonableness </w:t>
      </w:r>
      <w:r w:rsidR="000D6555" w:rsidRPr="005E1802">
        <w:rPr>
          <w:rFonts w:ascii="Times New Roman" w:hAnsi="Times New Roman"/>
        </w:rPr>
        <w:t>and</w:t>
      </w:r>
      <w:r w:rsidR="00254A01" w:rsidRPr="005E1802">
        <w:rPr>
          <w:rFonts w:ascii="Times New Roman" w:hAnsi="Times New Roman"/>
        </w:rPr>
        <w:t xml:space="preserve"> </w:t>
      </w:r>
      <w:r w:rsidR="00DE1247" w:rsidRPr="005E1802">
        <w:rPr>
          <w:rFonts w:ascii="Times New Roman" w:hAnsi="Times New Roman"/>
        </w:rPr>
        <w:t>is obliged to</w:t>
      </w:r>
      <w:r w:rsidR="00254A01" w:rsidRPr="005E1802">
        <w:rPr>
          <w:rFonts w:ascii="Times New Roman" w:hAnsi="Times New Roman"/>
        </w:rPr>
        <w:t xml:space="preserve"> perform its </w:t>
      </w:r>
      <w:r w:rsidR="00383B7A" w:rsidRPr="005E1802">
        <w:rPr>
          <w:rFonts w:ascii="Times New Roman" w:hAnsi="Times New Roman"/>
        </w:rPr>
        <w:t xml:space="preserve">procedural </w:t>
      </w:r>
      <w:r w:rsidR="000D6555" w:rsidRPr="005E1802">
        <w:rPr>
          <w:rFonts w:ascii="Times New Roman" w:hAnsi="Times New Roman"/>
        </w:rPr>
        <w:t xml:space="preserve">obligations </w:t>
      </w:r>
      <w:r w:rsidR="00383B7A" w:rsidRPr="005E1802">
        <w:rPr>
          <w:rFonts w:ascii="Times New Roman" w:hAnsi="Times New Roman"/>
        </w:rPr>
        <w:t>under</w:t>
      </w:r>
      <w:r w:rsidR="000D6555" w:rsidRPr="005E1802">
        <w:rPr>
          <w:rFonts w:ascii="Times New Roman" w:hAnsi="Times New Roman"/>
        </w:rPr>
        <w:t xml:space="preserve"> s</w:t>
      </w:r>
      <w:r w:rsidR="00415ACA" w:rsidRPr="005E1802">
        <w:rPr>
          <w:rFonts w:ascii="Times New Roman" w:hAnsi="Times New Roman"/>
        </w:rPr>
        <w:t>s</w:t>
      </w:r>
      <w:r w:rsidR="00434202" w:rsidRPr="005E1802">
        <w:rPr>
          <w:rFonts w:ascii="Times New Roman" w:hAnsi="Times New Roman"/>
        </w:rPr>
        <w:t> </w:t>
      </w:r>
      <w:r w:rsidR="000D6555" w:rsidRPr="005E1802">
        <w:rPr>
          <w:rFonts w:ascii="Times New Roman" w:hAnsi="Times New Roman"/>
        </w:rPr>
        <w:t>424AA</w:t>
      </w:r>
      <w:r w:rsidR="00696C25" w:rsidRPr="005E1802">
        <w:rPr>
          <w:rFonts w:ascii="Times New Roman" w:hAnsi="Times New Roman"/>
        </w:rPr>
        <w:t xml:space="preserve">, 424A and 425 </w:t>
      </w:r>
      <w:r w:rsidR="00254A01" w:rsidRPr="005E1802">
        <w:rPr>
          <w:rFonts w:ascii="Times New Roman" w:hAnsi="Times New Roman"/>
        </w:rPr>
        <w:t xml:space="preserve">to the </w:t>
      </w:r>
      <w:r w:rsidR="00950F48" w:rsidRPr="005E1802">
        <w:rPr>
          <w:rFonts w:ascii="Times New Roman" w:hAnsi="Times New Roman"/>
        </w:rPr>
        <w:t>maximum extent permitted by the reasonable exercise of th</w:t>
      </w:r>
      <w:r w:rsidR="00365A2A" w:rsidRPr="005E1802">
        <w:rPr>
          <w:rFonts w:ascii="Times New Roman" w:hAnsi="Times New Roman"/>
        </w:rPr>
        <w:t>e</w:t>
      </w:r>
      <w:r w:rsidR="00950F48" w:rsidRPr="005E1802">
        <w:rPr>
          <w:rFonts w:ascii="Times New Roman" w:hAnsi="Times New Roman"/>
        </w:rPr>
        <w:t xml:space="preserve"> discretion</w:t>
      </w:r>
      <w:r w:rsidR="00365A2A" w:rsidRPr="005E1802">
        <w:rPr>
          <w:rFonts w:ascii="Times New Roman" w:hAnsi="Times New Roman"/>
        </w:rPr>
        <w:t xml:space="preserve"> conferred by s 438(3)(b)</w:t>
      </w:r>
      <w:r w:rsidR="00950F48" w:rsidRPr="005E1802">
        <w:rPr>
          <w:rFonts w:ascii="Times New Roman" w:hAnsi="Times New Roman"/>
        </w:rPr>
        <w:t>.</w:t>
      </w:r>
      <w:r w:rsidR="00B0669E" w:rsidRPr="005E1802">
        <w:rPr>
          <w:rFonts w:ascii="Times New Roman" w:hAnsi="Times New Roman"/>
        </w:rPr>
        <w:t xml:space="preserve"> </w:t>
      </w:r>
      <w:r w:rsidR="002930C6" w:rsidRPr="005E1802">
        <w:rPr>
          <w:rFonts w:ascii="Times New Roman" w:hAnsi="Times New Roman"/>
        </w:rPr>
        <w:t xml:space="preserve">It </w:t>
      </w:r>
      <w:r w:rsidR="00E16B0D" w:rsidRPr="005E1802">
        <w:rPr>
          <w:rFonts w:ascii="Times New Roman" w:hAnsi="Times New Roman"/>
        </w:rPr>
        <w:t>is</w:t>
      </w:r>
      <w:r w:rsidR="002930C6" w:rsidRPr="005E1802">
        <w:rPr>
          <w:rFonts w:ascii="Times New Roman" w:hAnsi="Times New Roman"/>
        </w:rPr>
        <w:t xml:space="preserve"> precisely</w:t>
      </w:r>
      <w:r w:rsidR="00F612CA" w:rsidRPr="005E1802">
        <w:rPr>
          <w:rFonts w:ascii="Times New Roman" w:hAnsi="Times New Roman"/>
        </w:rPr>
        <w:t xml:space="preserve"> because</w:t>
      </w:r>
      <w:r w:rsidR="002930C6" w:rsidRPr="005E1802">
        <w:rPr>
          <w:rFonts w:ascii="Times New Roman" w:hAnsi="Times New Roman"/>
        </w:rPr>
        <w:t xml:space="preserve"> </w:t>
      </w:r>
      <w:r w:rsidR="0025571D" w:rsidRPr="005E1802">
        <w:rPr>
          <w:rFonts w:ascii="Times New Roman" w:hAnsi="Times New Roman"/>
        </w:rPr>
        <w:t>a</w:t>
      </w:r>
      <w:r w:rsidR="00C277FE" w:rsidRPr="005E1802">
        <w:rPr>
          <w:rFonts w:ascii="Times New Roman" w:hAnsi="Times New Roman"/>
        </w:rPr>
        <w:t xml:space="preserve"> </w:t>
      </w:r>
      <w:r w:rsidR="002930C6" w:rsidRPr="005E1802">
        <w:rPr>
          <w:rFonts w:ascii="Times New Roman" w:hAnsi="Times New Roman"/>
        </w:rPr>
        <w:t>notification</w:t>
      </w:r>
      <w:r w:rsidR="00C277FE" w:rsidRPr="005E1802">
        <w:rPr>
          <w:rFonts w:ascii="Times New Roman" w:hAnsi="Times New Roman"/>
        </w:rPr>
        <w:t xml:space="preserve"> </w:t>
      </w:r>
      <w:r w:rsidR="00E16B0D" w:rsidRPr="005E1802">
        <w:rPr>
          <w:rFonts w:ascii="Times New Roman" w:hAnsi="Times New Roman"/>
        </w:rPr>
        <w:t>has</w:t>
      </w:r>
      <w:r w:rsidR="00C277FE" w:rsidRPr="005E1802">
        <w:rPr>
          <w:rFonts w:ascii="Times New Roman" w:hAnsi="Times New Roman"/>
        </w:rPr>
        <w:t xml:space="preserve"> </w:t>
      </w:r>
      <w:r w:rsidR="009E773D" w:rsidRPr="005E1802">
        <w:rPr>
          <w:rFonts w:ascii="Times New Roman" w:hAnsi="Times New Roman"/>
        </w:rPr>
        <w:t xml:space="preserve">those </w:t>
      </w:r>
      <w:r w:rsidR="000B10D1" w:rsidRPr="005E1802">
        <w:rPr>
          <w:rFonts w:ascii="Times New Roman" w:hAnsi="Times New Roman"/>
        </w:rPr>
        <w:t xml:space="preserve">statutory </w:t>
      </w:r>
      <w:r w:rsidR="009E773D" w:rsidRPr="005E1802">
        <w:rPr>
          <w:rFonts w:ascii="Times New Roman" w:hAnsi="Times New Roman"/>
        </w:rPr>
        <w:t xml:space="preserve">consequences </w:t>
      </w:r>
      <w:r w:rsidR="000B10D1" w:rsidRPr="005E1802">
        <w:rPr>
          <w:rFonts w:ascii="Times New Roman" w:hAnsi="Times New Roman"/>
        </w:rPr>
        <w:t xml:space="preserve">that the implied </w:t>
      </w:r>
      <w:r w:rsidR="00F53743" w:rsidRPr="005E1802">
        <w:rPr>
          <w:rFonts w:ascii="Times New Roman" w:hAnsi="Times New Roman"/>
        </w:rPr>
        <w:t xml:space="preserve">condition of procedural fairness </w:t>
      </w:r>
      <w:r w:rsidR="00B43FF7" w:rsidRPr="005E1802">
        <w:rPr>
          <w:rFonts w:ascii="Times New Roman" w:hAnsi="Times New Roman"/>
        </w:rPr>
        <w:t>requiring</w:t>
      </w:r>
      <w:r w:rsidR="00536FA6" w:rsidRPr="005E1802">
        <w:rPr>
          <w:rFonts w:ascii="Times New Roman" w:hAnsi="Times New Roman"/>
        </w:rPr>
        <w:t xml:space="preserve"> the </w:t>
      </w:r>
      <w:r w:rsidR="00FE5F5D" w:rsidRPr="005E1802">
        <w:rPr>
          <w:rFonts w:ascii="Times New Roman" w:hAnsi="Times New Roman"/>
        </w:rPr>
        <w:t>T</w:t>
      </w:r>
      <w:r w:rsidR="00EF6E70" w:rsidRPr="005E1802">
        <w:rPr>
          <w:rFonts w:ascii="Times New Roman" w:hAnsi="Times New Roman"/>
        </w:rPr>
        <w:t>ribunal</w:t>
      </w:r>
      <w:r w:rsidR="00536FA6" w:rsidRPr="005E1802">
        <w:rPr>
          <w:rFonts w:ascii="Times New Roman" w:hAnsi="Times New Roman"/>
        </w:rPr>
        <w:t xml:space="preserve"> </w:t>
      </w:r>
      <w:r w:rsidR="00F53743" w:rsidRPr="005E1802">
        <w:rPr>
          <w:rFonts w:ascii="Times New Roman" w:hAnsi="Times New Roman"/>
        </w:rPr>
        <w:t xml:space="preserve">to give </w:t>
      </w:r>
      <w:r w:rsidR="00536FA6" w:rsidRPr="005E1802">
        <w:rPr>
          <w:rFonts w:ascii="Times New Roman" w:hAnsi="Times New Roman"/>
        </w:rPr>
        <w:t xml:space="preserve">the applicant for review </w:t>
      </w:r>
      <w:r w:rsidR="00F53743" w:rsidRPr="005E1802">
        <w:rPr>
          <w:rFonts w:ascii="Times New Roman" w:hAnsi="Times New Roman"/>
        </w:rPr>
        <w:t>notice of</w:t>
      </w:r>
      <w:r w:rsidR="00536FA6" w:rsidRPr="005E1802">
        <w:rPr>
          <w:rFonts w:ascii="Times New Roman" w:hAnsi="Times New Roman"/>
        </w:rPr>
        <w:t xml:space="preserve"> the notification was held in </w:t>
      </w:r>
      <w:r w:rsidR="00536FA6" w:rsidRPr="005E1802">
        <w:rPr>
          <w:rFonts w:ascii="Times New Roman" w:hAnsi="Times New Roman"/>
          <w:i/>
        </w:rPr>
        <w:t>SZMTA</w:t>
      </w:r>
      <w:r w:rsidR="00536FA6" w:rsidRPr="005E1802">
        <w:rPr>
          <w:rFonts w:ascii="Times New Roman" w:hAnsi="Times New Roman"/>
        </w:rPr>
        <w:t xml:space="preserve"> to arise</w:t>
      </w:r>
      <w:r w:rsidR="0055029D" w:rsidRPr="005E1802">
        <w:rPr>
          <w:rStyle w:val="FootnoteReference"/>
          <w:rFonts w:ascii="Times New Roman" w:hAnsi="Times New Roman"/>
          <w:sz w:val="24"/>
        </w:rPr>
        <w:footnoteReference w:id="71"/>
      </w:r>
      <w:r w:rsidR="00536FA6" w:rsidRPr="005E1802">
        <w:rPr>
          <w:rFonts w:ascii="Times New Roman" w:hAnsi="Times New Roman"/>
        </w:rPr>
        <w:t xml:space="preserve">. Armed with </w:t>
      </w:r>
      <w:r w:rsidR="00170AB2" w:rsidRPr="005E1802">
        <w:rPr>
          <w:rFonts w:ascii="Times New Roman" w:hAnsi="Times New Roman"/>
        </w:rPr>
        <w:t>notice of the notification,</w:t>
      </w:r>
      <w:r w:rsidR="00C900B1" w:rsidRPr="005E1802">
        <w:rPr>
          <w:rFonts w:ascii="Times New Roman" w:hAnsi="Times New Roman"/>
        </w:rPr>
        <w:t xml:space="preserve"> </w:t>
      </w:r>
      <w:r w:rsidR="002A37AE" w:rsidRPr="005E1802">
        <w:rPr>
          <w:rFonts w:ascii="Times New Roman" w:hAnsi="Times New Roman"/>
        </w:rPr>
        <w:t xml:space="preserve">the applicant for review </w:t>
      </w:r>
      <w:r w:rsidR="003804BF" w:rsidRPr="005E1802">
        <w:rPr>
          <w:rFonts w:ascii="Times New Roman" w:hAnsi="Times New Roman"/>
        </w:rPr>
        <w:t xml:space="preserve">becomes equipped </w:t>
      </w:r>
      <w:r w:rsidR="00DF718E" w:rsidRPr="005E1802">
        <w:rPr>
          <w:rFonts w:ascii="Times New Roman" w:hAnsi="Times New Roman"/>
        </w:rPr>
        <w:t>to</w:t>
      </w:r>
      <w:r w:rsidR="00367FC9" w:rsidRPr="005E1802">
        <w:rPr>
          <w:rFonts w:ascii="Times New Roman" w:hAnsi="Times New Roman"/>
        </w:rPr>
        <w:t xml:space="preserve"> exercise </w:t>
      </w:r>
      <w:r w:rsidR="00F84270" w:rsidRPr="005E1802">
        <w:rPr>
          <w:rFonts w:ascii="Times New Roman" w:hAnsi="Times New Roman"/>
        </w:rPr>
        <w:t xml:space="preserve">the </w:t>
      </w:r>
      <w:r w:rsidR="003804BF" w:rsidRPr="005E1802">
        <w:rPr>
          <w:rFonts w:ascii="Times New Roman" w:hAnsi="Times New Roman"/>
        </w:rPr>
        <w:t xml:space="preserve">general </w:t>
      </w:r>
      <w:r w:rsidR="00F84270" w:rsidRPr="005E1802">
        <w:rPr>
          <w:rFonts w:ascii="Times New Roman" w:hAnsi="Times New Roman"/>
        </w:rPr>
        <w:t xml:space="preserve">entitlement </w:t>
      </w:r>
      <w:r w:rsidR="003804BF" w:rsidRPr="005E1802">
        <w:rPr>
          <w:rFonts w:ascii="Times New Roman" w:hAnsi="Times New Roman"/>
        </w:rPr>
        <w:t xml:space="preserve">that </w:t>
      </w:r>
      <w:r w:rsidR="00DF718E" w:rsidRPr="005E1802">
        <w:rPr>
          <w:rFonts w:ascii="Times New Roman" w:hAnsi="Times New Roman"/>
        </w:rPr>
        <w:t>he or she has</w:t>
      </w:r>
      <w:r w:rsidR="00334502" w:rsidRPr="005E1802">
        <w:rPr>
          <w:rFonts w:ascii="Times New Roman" w:hAnsi="Times New Roman"/>
        </w:rPr>
        <w:t xml:space="preserve"> </w:t>
      </w:r>
      <w:r w:rsidR="003804BF" w:rsidRPr="005E1802">
        <w:rPr>
          <w:rFonts w:ascii="Times New Roman" w:hAnsi="Times New Roman"/>
        </w:rPr>
        <w:t xml:space="preserve">under </w:t>
      </w:r>
      <w:r w:rsidR="00334502" w:rsidRPr="005E1802">
        <w:rPr>
          <w:rFonts w:ascii="Times New Roman" w:hAnsi="Times New Roman"/>
        </w:rPr>
        <w:t xml:space="preserve">s 423 </w:t>
      </w:r>
      <w:r w:rsidR="000E53EE" w:rsidRPr="005E1802">
        <w:rPr>
          <w:rFonts w:ascii="Times New Roman" w:hAnsi="Times New Roman"/>
        </w:rPr>
        <w:t xml:space="preserve">specifically </w:t>
      </w:r>
      <w:r w:rsidR="007F1410" w:rsidRPr="005E1802">
        <w:rPr>
          <w:rFonts w:ascii="Times New Roman" w:hAnsi="Times New Roman"/>
        </w:rPr>
        <w:t xml:space="preserve">to present legal and factual argument to the </w:t>
      </w:r>
      <w:r w:rsidR="00FE5F5D" w:rsidRPr="005E1802">
        <w:rPr>
          <w:rFonts w:ascii="Times New Roman" w:hAnsi="Times New Roman"/>
        </w:rPr>
        <w:t>T</w:t>
      </w:r>
      <w:r w:rsidR="00EF6E70" w:rsidRPr="005E1802">
        <w:rPr>
          <w:rFonts w:ascii="Times New Roman" w:hAnsi="Times New Roman"/>
        </w:rPr>
        <w:t>ribunal</w:t>
      </w:r>
      <w:r w:rsidR="007F1410" w:rsidRPr="005E1802">
        <w:rPr>
          <w:rFonts w:ascii="Times New Roman" w:hAnsi="Times New Roman"/>
        </w:rPr>
        <w:t xml:space="preserve"> </w:t>
      </w:r>
      <w:r w:rsidR="00D52D5B" w:rsidRPr="005E1802">
        <w:rPr>
          <w:rFonts w:ascii="Times New Roman" w:hAnsi="Times New Roman"/>
        </w:rPr>
        <w:t>for a favourable exercise</w:t>
      </w:r>
      <w:r w:rsidR="00724814" w:rsidRPr="005E1802">
        <w:rPr>
          <w:rFonts w:ascii="Times New Roman" w:hAnsi="Times New Roman"/>
        </w:rPr>
        <w:t xml:space="preserve"> of</w:t>
      </w:r>
      <w:r w:rsidR="00D52D5B" w:rsidRPr="005E1802">
        <w:rPr>
          <w:rFonts w:ascii="Times New Roman" w:hAnsi="Times New Roman"/>
        </w:rPr>
        <w:t xml:space="preserve"> th</w:t>
      </w:r>
      <w:r w:rsidR="00893B36" w:rsidRPr="005E1802">
        <w:rPr>
          <w:rFonts w:ascii="Times New Roman" w:hAnsi="Times New Roman"/>
        </w:rPr>
        <w:t>e</w:t>
      </w:r>
      <w:r w:rsidR="00D52D5B" w:rsidRPr="005E1802">
        <w:rPr>
          <w:rFonts w:ascii="Times New Roman" w:hAnsi="Times New Roman"/>
        </w:rPr>
        <w:t xml:space="preserve"> discretions</w:t>
      </w:r>
      <w:r w:rsidR="00893B36" w:rsidRPr="005E1802">
        <w:rPr>
          <w:rFonts w:ascii="Times New Roman" w:hAnsi="Times New Roman"/>
        </w:rPr>
        <w:t xml:space="preserve"> conferred by s 438(3)(a) and (b)</w:t>
      </w:r>
      <w:r w:rsidR="0055029D" w:rsidRPr="005E1802">
        <w:rPr>
          <w:rStyle w:val="FootnoteReference"/>
          <w:rFonts w:ascii="Times New Roman" w:hAnsi="Times New Roman"/>
          <w:sz w:val="24"/>
        </w:rPr>
        <w:footnoteReference w:id="72"/>
      </w:r>
      <w:r w:rsidR="00D52D5B" w:rsidRPr="005E1802">
        <w:rPr>
          <w:rFonts w:ascii="Times New Roman" w:hAnsi="Times New Roman"/>
        </w:rPr>
        <w:t>.</w:t>
      </w:r>
      <w:r w:rsidR="007F1410" w:rsidRPr="005E1802">
        <w:rPr>
          <w:rFonts w:ascii="Times New Roman" w:hAnsi="Times New Roman"/>
        </w:rPr>
        <w:t xml:space="preserve"> </w:t>
      </w:r>
      <w:r w:rsidR="00170AB2" w:rsidRPr="005E1802">
        <w:rPr>
          <w:rFonts w:ascii="Times New Roman" w:hAnsi="Times New Roman"/>
        </w:rPr>
        <w:t xml:space="preserve"> </w:t>
      </w:r>
    </w:p>
    <w:p w14:paraId="723CFA46" w14:textId="2BD6463B" w:rsidR="00E41B65" w:rsidRPr="005E1802" w:rsidRDefault="00581D1A"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47FD6" w:rsidRPr="005E1802">
        <w:rPr>
          <w:rFonts w:ascii="Times New Roman" w:hAnsi="Times New Roman"/>
        </w:rPr>
        <w:t xml:space="preserve">The materiality of </w:t>
      </w:r>
      <w:r w:rsidR="003D6478" w:rsidRPr="005E1802">
        <w:rPr>
          <w:rFonts w:ascii="Times New Roman" w:hAnsi="Times New Roman"/>
        </w:rPr>
        <w:t>a</w:t>
      </w:r>
      <w:r w:rsidR="00D47FD6" w:rsidRPr="005E1802">
        <w:rPr>
          <w:rFonts w:ascii="Times New Roman" w:hAnsi="Times New Roman"/>
        </w:rPr>
        <w:t xml:space="preserve"> </w:t>
      </w:r>
      <w:r w:rsidR="003D6478" w:rsidRPr="005E1802">
        <w:rPr>
          <w:rFonts w:ascii="Times New Roman" w:hAnsi="Times New Roman"/>
        </w:rPr>
        <w:t>failure to disclose a notification under s</w:t>
      </w:r>
      <w:r w:rsidR="00415ACA" w:rsidRPr="005E1802">
        <w:rPr>
          <w:rFonts w:ascii="Times New Roman" w:hAnsi="Times New Roman"/>
        </w:rPr>
        <w:t> </w:t>
      </w:r>
      <w:r w:rsidR="003D6478" w:rsidRPr="005E1802">
        <w:rPr>
          <w:rFonts w:ascii="Times New Roman" w:hAnsi="Times New Roman"/>
        </w:rPr>
        <w:t xml:space="preserve">438(2)(a) must </w:t>
      </w:r>
      <w:r w:rsidR="00C42D3B" w:rsidRPr="005E1802">
        <w:rPr>
          <w:rFonts w:ascii="Times New Roman" w:hAnsi="Times New Roman"/>
        </w:rPr>
        <w:t>in that context</w:t>
      </w:r>
      <w:r w:rsidR="003D6478" w:rsidRPr="005E1802">
        <w:rPr>
          <w:rFonts w:ascii="Times New Roman" w:hAnsi="Times New Roman"/>
        </w:rPr>
        <w:t xml:space="preserve"> </w:t>
      </w:r>
      <w:r w:rsidR="00783DA6" w:rsidRPr="005E1802">
        <w:rPr>
          <w:rFonts w:ascii="Times New Roman" w:hAnsi="Times New Roman"/>
        </w:rPr>
        <w:t xml:space="preserve">turn </w:t>
      </w:r>
      <w:r w:rsidR="003D6478" w:rsidRPr="005E1802">
        <w:rPr>
          <w:rFonts w:ascii="Times New Roman" w:hAnsi="Times New Roman"/>
        </w:rPr>
        <w:t xml:space="preserve">on the </w:t>
      </w:r>
      <w:r w:rsidR="00F549AC" w:rsidRPr="005E1802">
        <w:rPr>
          <w:rFonts w:ascii="Times New Roman" w:hAnsi="Times New Roman"/>
        </w:rPr>
        <w:t>potential for</w:t>
      </w:r>
      <w:r w:rsidR="003D6478" w:rsidRPr="005E1802">
        <w:rPr>
          <w:rFonts w:ascii="Times New Roman" w:hAnsi="Times New Roman"/>
        </w:rPr>
        <w:t xml:space="preserve"> </w:t>
      </w:r>
      <w:r w:rsidR="00B105D6" w:rsidRPr="005E1802">
        <w:rPr>
          <w:rFonts w:ascii="Times New Roman" w:hAnsi="Times New Roman"/>
        </w:rPr>
        <w:t xml:space="preserve">information covered by the notification </w:t>
      </w:r>
      <w:r w:rsidR="00F549AC" w:rsidRPr="005E1802">
        <w:rPr>
          <w:rFonts w:ascii="Times New Roman" w:hAnsi="Times New Roman"/>
        </w:rPr>
        <w:t xml:space="preserve">to have borne on the </w:t>
      </w:r>
      <w:r w:rsidR="00750263" w:rsidRPr="005E1802">
        <w:rPr>
          <w:rFonts w:ascii="Times New Roman" w:hAnsi="Times New Roman"/>
        </w:rPr>
        <w:t xml:space="preserve">decision which the </w:t>
      </w:r>
      <w:r w:rsidR="00FE5F5D" w:rsidRPr="005E1802">
        <w:rPr>
          <w:rFonts w:ascii="Times New Roman" w:hAnsi="Times New Roman"/>
        </w:rPr>
        <w:t>T</w:t>
      </w:r>
      <w:r w:rsidR="00724814" w:rsidRPr="005E1802">
        <w:rPr>
          <w:rFonts w:ascii="Times New Roman" w:hAnsi="Times New Roman"/>
        </w:rPr>
        <w:t xml:space="preserve">ribunal </w:t>
      </w:r>
      <w:r w:rsidR="00750263" w:rsidRPr="005E1802">
        <w:rPr>
          <w:rFonts w:ascii="Times New Roman" w:hAnsi="Times New Roman"/>
        </w:rPr>
        <w:t xml:space="preserve">in fact made on the review </w:t>
      </w:r>
      <w:r w:rsidR="00B105D6" w:rsidRPr="005E1802">
        <w:rPr>
          <w:rFonts w:ascii="Times New Roman" w:hAnsi="Times New Roman"/>
        </w:rPr>
        <w:t xml:space="preserve">and on how the </w:t>
      </w:r>
      <w:r w:rsidR="00FE5F5D" w:rsidRPr="005E1802">
        <w:rPr>
          <w:rFonts w:ascii="Times New Roman" w:hAnsi="Times New Roman"/>
        </w:rPr>
        <w:t>T</w:t>
      </w:r>
      <w:r w:rsidR="001A63B9" w:rsidRPr="005E1802">
        <w:rPr>
          <w:rFonts w:ascii="Times New Roman" w:hAnsi="Times New Roman"/>
        </w:rPr>
        <w:t>ribunal</w:t>
      </w:r>
      <w:r w:rsidR="00897A0E" w:rsidRPr="005E1802">
        <w:rPr>
          <w:rFonts w:ascii="Times New Roman" w:hAnsi="Times New Roman"/>
        </w:rPr>
        <w:t xml:space="preserve"> </w:t>
      </w:r>
      <w:r w:rsidR="00FB0354" w:rsidRPr="005E1802">
        <w:rPr>
          <w:rFonts w:ascii="Times New Roman" w:hAnsi="Times New Roman"/>
        </w:rPr>
        <w:t xml:space="preserve">in fact </w:t>
      </w:r>
      <w:r w:rsidR="00897A0E" w:rsidRPr="005E1802">
        <w:rPr>
          <w:rFonts w:ascii="Times New Roman" w:hAnsi="Times New Roman"/>
        </w:rPr>
        <w:t xml:space="preserve">dealt with that </w:t>
      </w:r>
      <w:r w:rsidR="00FB0354" w:rsidRPr="005E1802">
        <w:rPr>
          <w:rFonts w:ascii="Times New Roman" w:hAnsi="Times New Roman"/>
        </w:rPr>
        <w:t>information</w:t>
      </w:r>
      <w:r w:rsidR="00B105D6" w:rsidRPr="005E1802">
        <w:rPr>
          <w:rFonts w:ascii="Times New Roman" w:hAnsi="Times New Roman"/>
        </w:rPr>
        <w:t xml:space="preserve"> in making </w:t>
      </w:r>
      <w:r w:rsidR="00631E25" w:rsidRPr="005E1802">
        <w:rPr>
          <w:rFonts w:ascii="Times New Roman" w:hAnsi="Times New Roman"/>
        </w:rPr>
        <w:t>that</w:t>
      </w:r>
      <w:r w:rsidR="00B105D6" w:rsidRPr="005E1802">
        <w:rPr>
          <w:rFonts w:ascii="Times New Roman" w:hAnsi="Times New Roman"/>
        </w:rPr>
        <w:t xml:space="preserve"> decision</w:t>
      </w:r>
      <w:r w:rsidR="00FB0354" w:rsidRPr="005E1802">
        <w:rPr>
          <w:rFonts w:ascii="Times New Roman" w:hAnsi="Times New Roman"/>
        </w:rPr>
        <w:t xml:space="preserve">. </w:t>
      </w:r>
      <w:r w:rsidR="0051782F" w:rsidRPr="005E1802">
        <w:rPr>
          <w:rFonts w:ascii="Times New Roman" w:hAnsi="Times New Roman"/>
        </w:rPr>
        <w:t>T</w:t>
      </w:r>
      <w:r w:rsidR="007910BF" w:rsidRPr="005E1802">
        <w:rPr>
          <w:rFonts w:ascii="Times New Roman" w:hAnsi="Times New Roman"/>
        </w:rPr>
        <w:t>he potential</w:t>
      </w:r>
      <w:r w:rsidR="0052376A" w:rsidRPr="005E1802">
        <w:rPr>
          <w:rFonts w:ascii="Times New Roman" w:hAnsi="Times New Roman"/>
        </w:rPr>
        <w:t xml:space="preserve"> </w:t>
      </w:r>
      <w:r w:rsidR="007910BF" w:rsidRPr="005E1802">
        <w:rPr>
          <w:rFonts w:ascii="Times New Roman" w:hAnsi="Times New Roman"/>
        </w:rPr>
        <w:t xml:space="preserve">for </w:t>
      </w:r>
      <w:r w:rsidR="00783DA6" w:rsidRPr="005E1802">
        <w:rPr>
          <w:rFonts w:ascii="Times New Roman" w:hAnsi="Times New Roman"/>
        </w:rPr>
        <w:t xml:space="preserve">information </w:t>
      </w:r>
      <w:r w:rsidR="00D14367" w:rsidRPr="005E1802">
        <w:rPr>
          <w:rFonts w:ascii="Times New Roman" w:hAnsi="Times New Roman"/>
        </w:rPr>
        <w:t xml:space="preserve">covered by the notification </w:t>
      </w:r>
      <w:r w:rsidR="007910BF" w:rsidRPr="005E1802">
        <w:rPr>
          <w:rFonts w:ascii="Times New Roman" w:hAnsi="Times New Roman"/>
        </w:rPr>
        <w:t>to have</w:t>
      </w:r>
      <w:r w:rsidR="00541811" w:rsidRPr="005E1802">
        <w:rPr>
          <w:rFonts w:ascii="Times New Roman" w:hAnsi="Times New Roman"/>
        </w:rPr>
        <w:t xml:space="preserve"> had </w:t>
      </w:r>
      <w:r w:rsidR="0027281C" w:rsidRPr="005E1802">
        <w:rPr>
          <w:rFonts w:ascii="Times New Roman" w:hAnsi="Times New Roman"/>
        </w:rPr>
        <w:t>some</w:t>
      </w:r>
      <w:r w:rsidR="00541811" w:rsidRPr="005E1802">
        <w:rPr>
          <w:rFonts w:ascii="Times New Roman" w:hAnsi="Times New Roman"/>
        </w:rPr>
        <w:t xml:space="preserve"> subconscious impact on the </w:t>
      </w:r>
      <w:r w:rsidR="001A63B9" w:rsidRPr="005E1802">
        <w:rPr>
          <w:rFonts w:ascii="Times New Roman" w:hAnsi="Times New Roman"/>
        </w:rPr>
        <w:t xml:space="preserve">Tribunal </w:t>
      </w:r>
      <w:r w:rsidR="0099486B" w:rsidRPr="005E1802">
        <w:rPr>
          <w:rFonts w:ascii="Times New Roman" w:hAnsi="Times New Roman"/>
        </w:rPr>
        <w:t>in making the decision</w:t>
      </w:r>
      <w:r w:rsidR="005970A7" w:rsidRPr="005E1802">
        <w:rPr>
          <w:rFonts w:ascii="Times New Roman" w:hAnsi="Times New Roman"/>
        </w:rPr>
        <w:t xml:space="preserve"> can for a moment be deferred.</w:t>
      </w:r>
      <w:r w:rsidR="00A019D1" w:rsidRPr="005E1802">
        <w:rPr>
          <w:rFonts w:ascii="Times New Roman" w:hAnsi="Times New Roman"/>
        </w:rPr>
        <w:t xml:space="preserve"> </w:t>
      </w:r>
      <w:r w:rsidR="00D408BA" w:rsidRPr="005E1802">
        <w:rPr>
          <w:rFonts w:ascii="Times New Roman" w:hAnsi="Times New Roman"/>
        </w:rPr>
        <w:t>As to the potential for information covered by the notification to have impact</w:t>
      </w:r>
      <w:r w:rsidR="0017198A" w:rsidRPr="005E1802">
        <w:rPr>
          <w:rFonts w:ascii="Times New Roman" w:hAnsi="Times New Roman"/>
        </w:rPr>
        <w:t>ed</w:t>
      </w:r>
      <w:r w:rsidR="00D408BA" w:rsidRPr="005E1802">
        <w:rPr>
          <w:rFonts w:ascii="Times New Roman" w:hAnsi="Times New Roman"/>
        </w:rPr>
        <w:t xml:space="preserve"> on the </w:t>
      </w:r>
      <w:r w:rsidR="00FE5F5D" w:rsidRPr="005E1802">
        <w:rPr>
          <w:rFonts w:ascii="Times New Roman" w:hAnsi="Times New Roman"/>
        </w:rPr>
        <w:t>T</w:t>
      </w:r>
      <w:r w:rsidR="001A63B9" w:rsidRPr="005E1802">
        <w:rPr>
          <w:rFonts w:ascii="Times New Roman" w:hAnsi="Times New Roman"/>
        </w:rPr>
        <w:t>ribunal</w:t>
      </w:r>
      <w:r w:rsidR="002E6078" w:rsidRPr="005E1802">
        <w:rPr>
          <w:rFonts w:ascii="Times New Roman" w:hAnsi="Times New Roman"/>
        </w:rPr>
        <w:t>'s conscious deliberation</w:t>
      </w:r>
      <w:r w:rsidR="00D408BA" w:rsidRPr="005E1802">
        <w:rPr>
          <w:rFonts w:ascii="Times New Roman" w:hAnsi="Times New Roman"/>
        </w:rPr>
        <w:t xml:space="preserve"> </w:t>
      </w:r>
      <w:r w:rsidR="00875598" w:rsidRPr="005E1802">
        <w:rPr>
          <w:rFonts w:ascii="Times New Roman" w:hAnsi="Times New Roman"/>
        </w:rPr>
        <w:t xml:space="preserve">if taken into account </w:t>
      </w:r>
      <w:r w:rsidR="00D408BA" w:rsidRPr="005E1802">
        <w:rPr>
          <w:rFonts w:ascii="Times New Roman" w:hAnsi="Times New Roman"/>
        </w:rPr>
        <w:t>in making the decision, t</w:t>
      </w:r>
      <w:r w:rsidR="00A019D1" w:rsidRPr="005E1802">
        <w:rPr>
          <w:rFonts w:ascii="Times New Roman" w:hAnsi="Times New Roman"/>
        </w:rPr>
        <w:t xml:space="preserve">wo </w:t>
      </w:r>
      <w:r w:rsidR="00773DAD" w:rsidRPr="005E1802">
        <w:rPr>
          <w:rFonts w:ascii="Times New Roman" w:hAnsi="Times New Roman"/>
        </w:rPr>
        <w:t>categories of case</w:t>
      </w:r>
      <w:r w:rsidR="007F60A4" w:rsidRPr="005E1802">
        <w:rPr>
          <w:rFonts w:ascii="Times New Roman" w:hAnsi="Times New Roman"/>
        </w:rPr>
        <w:t xml:space="preserve"> </w:t>
      </w:r>
      <w:r w:rsidR="00613295" w:rsidRPr="005E1802">
        <w:rPr>
          <w:rFonts w:ascii="Times New Roman" w:hAnsi="Times New Roman"/>
        </w:rPr>
        <w:t xml:space="preserve">have </w:t>
      </w:r>
      <w:r w:rsidR="003D01B7" w:rsidRPr="005E1802">
        <w:rPr>
          <w:rFonts w:ascii="Times New Roman" w:hAnsi="Times New Roman"/>
        </w:rPr>
        <w:t xml:space="preserve">been shown </w:t>
      </w:r>
      <w:r w:rsidR="000E15A1" w:rsidRPr="005E1802">
        <w:rPr>
          <w:rFonts w:ascii="Times New Roman" w:hAnsi="Times New Roman"/>
        </w:rPr>
        <w:t>to have arise</w:t>
      </w:r>
      <w:r w:rsidR="004A1EB7" w:rsidRPr="005E1802">
        <w:rPr>
          <w:rFonts w:ascii="Times New Roman" w:hAnsi="Times New Roman"/>
        </w:rPr>
        <w:t>n</w:t>
      </w:r>
      <w:r w:rsidR="000E15A1" w:rsidRPr="005E1802">
        <w:rPr>
          <w:rFonts w:ascii="Times New Roman" w:hAnsi="Times New Roman"/>
        </w:rPr>
        <w:t>.</w:t>
      </w:r>
    </w:p>
    <w:p w14:paraId="38BC443E" w14:textId="7166242D" w:rsidR="00DB33C6" w:rsidRPr="005E1802" w:rsidRDefault="00E41B65"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631825" w:rsidRPr="005E1802">
        <w:rPr>
          <w:rFonts w:ascii="Times New Roman" w:hAnsi="Times New Roman"/>
        </w:rPr>
        <w:t>T</w:t>
      </w:r>
      <w:r w:rsidR="0060399D" w:rsidRPr="005E1802">
        <w:rPr>
          <w:rFonts w:ascii="Times New Roman" w:hAnsi="Times New Roman"/>
        </w:rPr>
        <w:t>he first</w:t>
      </w:r>
      <w:r w:rsidR="00DB33C6" w:rsidRPr="005E1802">
        <w:rPr>
          <w:rFonts w:ascii="Times New Roman" w:hAnsi="Times New Roman"/>
        </w:rPr>
        <w:t xml:space="preserve"> category of case</w:t>
      </w:r>
      <w:r w:rsidR="00E5792E" w:rsidRPr="005E1802">
        <w:rPr>
          <w:rFonts w:ascii="Times New Roman" w:hAnsi="Times New Roman"/>
        </w:rPr>
        <w:t xml:space="preserve">, illustrated by </w:t>
      </w:r>
      <w:r w:rsidR="00E5792E" w:rsidRPr="005E1802">
        <w:rPr>
          <w:rFonts w:ascii="Times New Roman" w:hAnsi="Times New Roman"/>
          <w:i/>
        </w:rPr>
        <w:t>SZMTA</w:t>
      </w:r>
      <w:r w:rsidR="00D70B45" w:rsidRPr="005E1802">
        <w:rPr>
          <w:rFonts w:ascii="Times New Roman" w:hAnsi="Times New Roman"/>
        </w:rPr>
        <w:t>, is where</w:t>
      </w:r>
      <w:r w:rsidR="00631825" w:rsidRPr="005E1802">
        <w:rPr>
          <w:rFonts w:ascii="Times New Roman" w:hAnsi="Times New Roman"/>
        </w:rPr>
        <w:t xml:space="preserve"> information </w:t>
      </w:r>
      <w:r w:rsidR="00487852" w:rsidRPr="005E1802">
        <w:rPr>
          <w:rFonts w:ascii="Times New Roman" w:hAnsi="Times New Roman"/>
        </w:rPr>
        <w:t>covered by the</w:t>
      </w:r>
      <w:r w:rsidR="00231900" w:rsidRPr="005E1802">
        <w:rPr>
          <w:rFonts w:ascii="Times New Roman" w:hAnsi="Times New Roman"/>
        </w:rPr>
        <w:t xml:space="preserve"> undisclosed</w:t>
      </w:r>
      <w:r w:rsidR="00487852" w:rsidRPr="005E1802">
        <w:rPr>
          <w:rFonts w:ascii="Times New Roman" w:hAnsi="Times New Roman"/>
        </w:rPr>
        <w:t xml:space="preserve"> notification </w:t>
      </w:r>
      <w:r w:rsidRPr="005E1802">
        <w:rPr>
          <w:rFonts w:ascii="Times New Roman" w:hAnsi="Times New Roman"/>
        </w:rPr>
        <w:t>might</w:t>
      </w:r>
      <w:r w:rsidR="0096380B" w:rsidRPr="005E1802">
        <w:rPr>
          <w:rFonts w:ascii="Times New Roman" w:hAnsi="Times New Roman"/>
        </w:rPr>
        <w:t xml:space="preserve"> </w:t>
      </w:r>
      <w:r w:rsidRPr="005E1802">
        <w:rPr>
          <w:rFonts w:ascii="Times New Roman" w:hAnsi="Times New Roman"/>
        </w:rPr>
        <w:t>have</w:t>
      </w:r>
      <w:r w:rsidR="007F6872" w:rsidRPr="005E1802">
        <w:rPr>
          <w:rFonts w:ascii="Times New Roman" w:hAnsi="Times New Roman"/>
        </w:rPr>
        <w:t xml:space="preserve"> </w:t>
      </w:r>
      <w:r w:rsidR="001230FB" w:rsidRPr="005E1802">
        <w:rPr>
          <w:rFonts w:ascii="Times New Roman" w:hAnsi="Times New Roman"/>
        </w:rPr>
        <w:t xml:space="preserve">the potential to </w:t>
      </w:r>
      <w:r w:rsidR="0005143F" w:rsidRPr="005E1802">
        <w:rPr>
          <w:rFonts w:ascii="Times New Roman" w:hAnsi="Times New Roman"/>
        </w:rPr>
        <w:t>have borne</w:t>
      </w:r>
      <w:r w:rsidR="001230FB" w:rsidRPr="005E1802">
        <w:rPr>
          <w:rFonts w:ascii="Times New Roman" w:hAnsi="Times New Roman"/>
        </w:rPr>
        <w:t xml:space="preserve"> on the decision in</w:t>
      </w:r>
      <w:r w:rsidR="00432EB8" w:rsidRPr="005E1802">
        <w:rPr>
          <w:rFonts w:ascii="Times New Roman" w:hAnsi="Times New Roman"/>
        </w:rPr>
        <w:t xml:space="preserve"> </w:t>
      </w:r>
      <w:r w:rsidR="00620859" w:rsidRPr="005E1802">
        <w:rPr>
          <w:rFonts w:ascii="Times New Roman" w:hAnsi="Times New Roman"/>
        </w:rPr>
        <w:t xml:space="preserve">a manner </w:t>
      </w:r>
      <w:r w:rsidR="0096380B" w:rsidRPr="005E1802">
        <w:rPr>
          <w:rFonts w:ascii="Times New Roman" w:hAnsi="Times New Roman"/>
        </w:rPr>
        <w:t>helpful to</w:t>
      </w:r>
      <w:r w:rsidR="00631825" w:rsidRPr="005E1802">
        <w:rPr>
          <w:rFonts w:ascii="Times New Roman" w:hAnsi="Times New Roman"/>
        </w:rPr>
        <w:t xml:space="preserve"> the </w:t>
      </w:r>
      <w:r w:rsidR="00F97FE4" w:rsidRPr="005E1802">
        <w:rPr>
          <w:rFonts w:ascii="Times New Roman" w:hAnsi="Times New Roman"/>
        </w:rPr>
        <w:t>applicant</w:t>
      </w:r>
      <w:r w:rsidR="00D8651B" w:rsidRPr="005E1802">
        <w:rPr>
          <w:rFonts w:ascii="Times New Roman" w:hAnsi="Times New Roman"/>
        </w:rPr>
        <w:t xml:space="preserve">. </w:t>
      </w:r>
      <w:r w:rsidR="009769BE" w:rsidRPr="005E1802">
        <w:rPr>
          <w:rFonts w:ascii="Times New Roman" w:hAnsi="Times New Roman"/>
        </w:rPr>
        <w:t xml:space="preserve">Logically, </w:t>
      </w:r>
      <w:r w:rsidR="008318BD" w:rsidRPr="005E1802">
        <w:rPr>
          <w:rFonts w:ascii="Times New Roman" w:hAnsi="Times New Roman"/>
        </w:rPr>
        <w:t>disclos</w:t>
      </w:r>
      <w:r w:rsidR="0005143F" w:rsidRPr="005E1802">
        <w:rPr>
          <w:rFonts w:ascii="Times New Roman" w:hAnsi="Times New Roman"/>
        </w:rPr>
        <w:t>ure of</w:t>
      </w:r>
      <w:r w:rsidR="008318BD" w:rsidRPr="005E1802">
        <w:rPr>
          <w:rFonts w:ascii="Times New Roman" w:hAnsi="Times New Roman"/>
        </w:rPr>
        <w:t xml:space="preserve"> the </w:t>
      </w:r>
      <w:r w:rsidR="007F6872" w:rsidRPr="005E1802">
        <w:rPr>
          <w:rFonts w:ascii="Times New Roman" w:hAnsi="Times New Roman"/>
        </w:rPr>
        <w:t>notification</w:t>
      </w:r>
      <w:r w:rsidR="009A088A" w:rsidRPr="005E1802">
        <w:rPr>
          <w:rFonts w:ascii="Times New Roman" w:hAnsi="Times New Roman"/>
        </w:rPr>
        <w:t xml:space="preserve"> </w:t>
      </w:r>
      <w:r w:rsidR="00D8651B" w:rsidRPr="005E1802">
        <w:rPr>
          <w:rFonts w:ascii="Times New Roman" w:hAnsi="Times New Roman"/>
        </w:rPr>
        <w:t>in</w:t>
      </w:r>
      <w:r w:rsidR="00CB6DFF" w:rsidRPr="005E1802">
        <w:rPr>
          <w:rFonts w:ascii="Times New Roman" w:hAnsi="Times New Roman"/>
        </w:rPr>
        <w:t xml:space="preserve"> </w:t>
      </w:r>
      <w:r w:rsidR="00D60BEF" w:rsidRPr="005E1802">
        <w:rPr>
          <w:rFonts w:ascii="Times New Roman" w:hAnsi="Times New Roman"/>
        </w:rPr>
        <w:t xml:space="preserve">a case in </w:t>
      </w:r>
      <w:r w:rsidR="00CB6DFF" w:rsidRPr="005E1802">
        <w:rPr>
          <w:rFonts w:ascii="Times New Roman" w:hAnsi="Times New Roman"/>
        </w:rPr>
        <w:t xml:space="preserve">that </w:t>
      </w:r>
      <w:r w:rsidR="00D60BEF" w:rsidRPr="005E1802">
        <w:rPr>
          <w:rFonts w:ascii="Times New Roman" w:hAnsi="Times New Roman"/>
        </w:rPr>
        <w:t xml:space="preserve">first </w:t>
      </w:r>
      <w:r w:rsidR="00CB6DFF" w:rsidRPr="005E1802">
        <w:rPr>
          <w:rFonts w:ascii="Times New Roman" w:hAnsi="Times New Roman"/>
        </w:rPr>
        <w:t xml:space="preserve">category </w:t>
      </w:r>
      <w:r w:rsidR="00404636" w:rsidRPr="005E1802">
        <w:rPr>
          <w:rFonts w:ascii="Times New Roman" w:hAnsi="Times New Roman"/>
        </w:rPr>
        <w:t>c</w:t>
      </w:r>
      <w:r w:rsidR="008939FB" w:rsidRPr="005E1802">
        <w:rPr>
          <w:rFonts w:ascii="Times New Roman" w:hAnsi="Times New Roman"/>
        </w:rPr>
        <w:t xml:space="preserve">ould not </w:t>
      </w:r>
      <w:r w:rsidR="00260B98" w:rsidRPr="005E1802">
        <w:rPr>
          <w:rFonts w:ascii="Times New Roman" w:hAnsi="Times New Roman"/>
        </w:rPr>
        <w:t>have</w:t>
      </w:r>
      <w:r w:rsidR="005E4E64" w:rsidRPr="005E1802">
        <w:rPr>
          <w:rFonts w:ascii="Times New Roman" w:hAnsi="Times New Roman"/>
        </w:rPr>
        <w:t xml:space="preserve"> </w:t>
      </w:r>
      <w:r w:rsidR="00B0265B" w:rsidRPr="005E1802">
        <w:rPr>
          <w:rFonts w:ascii="Times New Roman" w:hAnsi="Times New Roman"/>
        </w:rPr>
        <w:t xml:space="preserve">resulted in </w:t>
      </w:r>
      <w:r w:rsidR="00E930BF" w:rsidRPr="005E1802">
        <w:rPr>
          <w:rFonts w:ascii="Times New Roman" w:hAnsi="Times New Roman"/>
        </w:rPr>
        <w:t xml:space="preserve">the </w:t>
      </w:r>
      <w:r w:rsidR="00FE5F5D" w:rsidRPr="005E1802">
        <w:rPr>
          <w:rFonts w:ascii="Times New Roman" w:hAnsi="Times New Roman"/>
        </w:rPr>
        <w:t>T</w:t>
      </w:r>
      <w:r w:rsidR="000B5A76" w:rsidRPr="005E1802">
        <w:rPr>
          <w:rFonts w:ascii="Times New Roman" w:hAnsi="Times New Roman"/>
        </w:rPr>
        <w:t>ribunal</w:t>
      </w:r>
      <w:r w:rsidR="00E930BF" w:rsidRPr="005E1802">
        <w:rPr>
          <w:rFonts w:ascii="Times New Roman" w:hAnsi="Times New Roman"/>
        </w:rPr>
        <w:t xml:space="preserve"> making </w:t>
      </w:r>
      <w:r w:rsidR="00B0265B" w:rsidRPr="005E1802">
        <w:rPr>
          <w:rFonts w:ascii="Times New Roman" w:hAnsi="Times New Roman"/>
        </w:rPr>
        <w:t xml:space="preserve">a different decision </w:t>
      </w:r>
      <w:r w:rsidR="001F4658" w:rsidRPr="005E1802">
        <w:rPr>
          <w:rFonts w:ascii="Times New Roman" w:hAnsi="Times New Roman"/>
        </w:rPr>
        <w:t>if</w:t>
      </w:r>
      <w:r w:rsidR="005319B6" w:rsidRPr="005E1802">
        <w:rPr>
          <w:rFonts w:ascii="Times New Roman" w:hAnsi="Times New Roman"/>
        </w:rPr>
        <w:t xml:space="preserve"> the </w:t>
      </w:r>
      <w:r w:rsidR="00FE5F5D" w:rsidRPr="005E1802">
        <w:rPr>
          <w:rFonts w:ascii="Times New Roman" w:hAnsi="Times New Roman"/>
        </w:rPr>
        <w:t>T</w:t>
      </w:r>
      <w:r w:rsidR="000B5A76" w:rsidRPr="005E1802">
        <w:rPr>
          <w:rFonts w:ascii="Times New Roman" w:hAnsi="Times New Roman"/>
        </w:rPr>
        <w:t xml:space="preserve">ribunal </w:t>
      </w:r>
      <w:r w:rsidR="009772CA" w:rsidRPr="005E1802">
        <w:rPr>
          <w:rFonts w:ascii="Times New Roman" w:hAnsi="Times New Roman"/>
        </w:rPr>
        <w:t xml:space="preserve">did in fact take the information </w:t>
      </w:r>
      <w:r w:rsidR="005319B6" w:rsidRPr="005E1802">
        <w:rPr>
          <w:rFonts w:ascii="Times New Roman" w:hAnsi="Times New Roman"/>
        </w:rPr>
        <w:t xml:space="preserve">into account in making </w:t>
      </w:r>
      <w:r w:rsidR="00011E1B" w:rsidRPr="005E1802">
        <w:rPr>
          <w:rFonts w:ascii="Times New Roman" w:hAnsi="Times New Roman"/>
        </w:rPr>
        <w:t xml:space="preserve">the </w:t>
      </w:r>
      <w:r w:rsidR="005319B6" w:rsidRPr="005E1802">
        <w:rPr>
          <w:rFonts w:ascii="Times New Roman" w:hAnsi="Times New Roman"/>
        </w:rPr>
        <w:t>decision</w:t>
      </w:r>
      <w:r w:rsidR="00A815AB" w:rsidRPr="005E1802">
        <w:rPr>
          <w:rFonts w:ascii="Times New Roman" w:hAnsi="Times New Roman"/>
        </w:rPr>
        <w:t xml:space="preserve"> that it did</w:t>
      </w:r>
      <w:r w:rsidR="009772CA" w:rsidRPr="005E1802">
        <w:rPr>
          <w:rFonts w:ascii="Times New Roman" w:hAnsi="Times New Roman"/>
        </w:rPr>
        <w:t xml:space="preserve">. </w:t>
      </w:r>
      <w:r w:rsidR="00D60BEF" w:rsidRPr="005E1802">
        <w:rPr>
          <w:rFonts w:ascii="Times New Roman" w:hAnsi="Times New Roman"/>
        </w:rPr>
        <w:t xml:space="preserve">Hence, </w:t>
      </w:r>
      <w:r w:rsidR="002C286E" w:rsidRPr="005E1802">
        <w:rPr>
          <w:rFonts w:ascii="Times New Roman" w:hAnsi="Times New Roman"/>
        </w:rPr>
        <w:t>it</w:t>
      </w:r>
      <w:r w:rsidR="00624B5E" w:rsidRPr="005E1802">
        <w:rPr>
          <w:rFonts w:ascii="Times New Roman" w:hAnsi="Times New Roman"/>
        </w:rPr>
        <w:t xml:space="preserve"> was </w:t>
      </w:r>
      <w:r w:rsidR="00FF185B" w:rsidRPr="005E1802">
        <w:rPr>
          <w:rFonts w:ascii="Times New Roman" w:hAnsi="Times New Roman"/>
        </w:rPr>
        <w:t xml:space="preserve">emphasised </w:t>
      </w:r>
      <w:r w:rsidR="003E0C01" w:rsidRPr="005E1802">
        <w:rPr>
          <w:rFonts w:ascii="Times New Roman" w:hAnsi="Times New Roman"/>
        </w:rPr>
        <w:t xml:space="preserve">in </w:t>
      </w:r>
      <w:r w:rsidR="00FF185B" w:rsidRPr="005E1802">
        <w:rPr>
          <w:rFonts w:ascii="Times New Roman" w:hAnsi="Times New Roman"/>
          <w:i/>
        </w:rPr>
        <w:t>SZMTA</w:t>
      </w:r>
      <w:r w:rsidR="002C286E" w:rsidRPr="005E1802">
        <w:rPr>
          <w:rFonts w:ascii="Times New Roman" w:hAnsi="Times New Roman"/>
        </w:rPr>
        <w:t xml:space="preserve"> </w:t>
      </w:r>
      <w:r w:rsidR="002C286E" w:rsidRPr="005E1802">
        <w:rPr>
          <w:rFonts w:ascii="Times New Roman" w:hAnsi="Times New Roman"/>
        </w:rPr>
        <w:lastRenderedPageBreak/>
        <w:t>that</w:t>
      </w:r>
      <w:r w:rsidR="00624B5E" w:rsidRPr="005E1802">
        <w:rPr>
          <w:rFonts w:ascii="Times New Roman" w:hAnsi="Times New Roman"/>
        </w:rPr>
        <w:t xml:space="preserve"> </w:t>
      </w:r>
      <w:r w:rsidR="00D60BEF" w:rsidRPr="005E1802">
        <w:rPr>
          <w:rFonts w:ascii="Times New Roman" w:hAnsi="Times New Roman"/>
        </w:rPr>
        <w:t xml:space="preserve">a necessary but not sufficient step in establishing </w:t>
      </w:r>
      <w:r w:rsidR="002C31D1" w:rsidRPr="005E1802">
        <w:rPr>
          <w:rFonts w:ascii="Times New Roman" w:hAnsi="Times New Roman"/>
        </w:rPr>
        <w:t>the materiality of non-disclosure</w:t>
      </w:r>
      <w:r w:rsidR="00D60BEF" w:rsidRPr="005E1802">
        <w:rPr>
          <w:rFonts w:ascii="Times New Roman" w:hAnsi="Times New Roman"/>
        </w:rPr>
        <w:t xml:space="preserve"> i</w:t>
      </w:r>
      <w:r w:rsidR="001D398B" w:rsidRPr="005E1802">
        <w:rPr>
          <w:rFonts w:ascii="Times New Roman" w:hAnsi="Times New Roman"/>
        </w:rPr>
        <w:t>n that case was</w:t>
      </w:r>
      <w:r w:rsidR="00D60BEF" w:rsidRPr="005E1802">
        <w:rPr>
          <w:rFonts w:ascii="Times New Roman" w:hAnsi="Times New Roman"/>
        </w:rPr>
        <w:t xml:space="preserve"> </w:t>
      </w:r>
      <w:r w:rsidR="00EF3E44" w:rsidRPr="005E1802">
        <w:rPr>
          <w:rFonts w:ascii="Times New Roman" w:hAnsi="Times New Roman"/>
        </w:rPr>
        <w:t>proof</w:t>
      </w:r>
      <w:r w:rsidR="00D60BEF" w:rsidRPr="005E1802">
        <w:rPr>
          <w:rFonts w:ascii="Times New Roman" w:hAnsi="Times New Roman"/>
        </w:rPr>
        <w:t xml:space="preserve"> on the balance of probabilities that the </w:t>
      </w:r>
      <w:r w:rsidR="00FE5F5D" w:rsidRPr="005E1802">
        <w:rPr>
          <w:rFonts w:ascii="Times New Roman" w:hAnsi="Times New Roman"/>
        </w:rPr>
        <w:t>T</w:t>
      </w:r>
      <w:r w:rsidR="0059783B" w:rsidRPr="005E1802">
        <w:rPr>
          <w:rFonts w:ascii="Times New Roman" w:hAnsi="Times New Roman"/>
        </w:rPr>
        <w:t>ribunal</w:t>
      </w:r>
      <w:r w:rsidR="00D60BEF" w:rsidRPr="005E1802">
        <w:rPr>
          <w:rFonts w:ascii="Times New Roman" w:hAnsi="Times New Roman"/>
        </w:rPr>
        <w:t xml:space="preserve"> did </w:t>
      </w:r>
      <w:r w:rsidR="00EF3E44" w:rsidRPr="005E1802">
        <w:rPr>
          <w:rFonts w:ascii="Times New Roman" w:hAnsi="Times New Roman"/>
        </w:rPr>
        <w:t xml:space="preserve">not </w:t>
      </w:r>
      <w:r w:rsidR="00D60BEF" w:rsidRPr="005E1802">
        <w:rPr>
          <w:rFonts w:ascii="Times New Roman" w:hAnsi="Times New Roman"/>
        </w:rPr>
        <w:t xml:space="preserve">take the potentially </w:t>
      </w:r>
      <w:r w:rsidR="009E4E6C" w:rsidRPr="005E1802">
        <w:rPr>
          <w:rFonts w:ascii="Times New Roman" w:hAnsi="Times New Roman"/>
        </w:rPr>
        <w:t>supportive</w:t>
      </w:r>
      <w:r w:rsidR="00D60BEF" w:rsidRPr="005E1802">
        <w:rPr>
          <w:rFonts w:ascii="Times New Roman" w:hAnsi="Times New Roman"/>
        </w:rPr>
        <w:t xml:space="preserve"> information into account in making its decision.</w:t>
      </w:r>
      <w:r w:rsidR="00194DA4" w:rsidRPr="005E1802">
        <w:rPr>
          <w:rFonts w:ascii="Times New Roman" w:hAnsi="Times New Roman"/>
        </w:rPr>
        <w:t xml:space="preserve"> </w:t>
      </w:r>
    </w:p>
    <w:p w14:paraId="277435B1" w14:textId="26E5CB43" w:rsidR="002E3ABB" w:rsidRPr="005E1802" w:rsidRDefault="00DB33C6"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The second category of case, illustrated by the </w:t>
      </w:r>
      <w:r w:rsidR="006B681F" w:rsidRPr="005E1802">
        <w:rPr>
          <w:rFonts w:ascii="Times New Roman" w:hAnsi="Times New Roman"/>
        </w:rPr>
        <w:t>circumstances giving rise to this appeal,</w:t>
      </w:r>
      <w:r w:rsidRPr="005E1802">
        <w:rPr>
          <w:rFonts w:ascii="Times New Roman" w:hAnsi="Times New Roman"/>
        </w:rPr>
        <w:t xml:space="preserve"> as well as by </w:t>
      </w:r>
      <w:r w:rsidRPr="005E1802">
        <w:rPr>
          <w:rFonts w:ascii="Times New Roman" w:hAnsi="Times New Roman"/>
          <w:i/>
        </w:rPr>
        <w:t>MZAOL</w:t>
      </w:r>
      <w:r w:rsidRPr="005E1802">
        <w:rPr>
          <w:rFonts w:ascii="Times New Roman" w:hAnsi="Times New Roman"/>
        </w:rPr>
        <w:t xml:space="preserve"> and </w:t>
      </w:r>
      <w:r w:rsidRPr="005E1802">
        <w:rPr>
          <w:rFonts w:ascii="Times New Roman" w:hAnsi="Times New Roman"/>
          <w:i/>
        </w:rPr>
        <w:t>CQZ15</w:t>
      </w:r>
      <w:r w:rsidRPr="005E1802">
        <w:rPr>
          <w:rFonts w:ascii="Times New Roman" w:hAnsi="Times New Roman"/>
        </w:rPr>
        <w:t xml:space="preserve">, is where information covered by the </w:t>
      </w:r>
      <w:r w:rsidR="00231900" w:rsidRPr="005E1802">
        <w:rPr>
          <w:rFonts w:ascii="Times New Roman" w:hAnsi="Times New Roman"/>
        </w:rPr>
        <w:t xml:space="preserve">undisclosed </w:t>
      </w:r>
      <w:r w:rsidRPr="005E1802">
        <w:rPr>
          <w:rFonts w:ascii="Times New Roman" w:hAnsi="Times New Roman"/>
        </w:rPr>
        <w:t xml:space="preserve">notification might have the potential to </w:t>
      </w:r>
      <w:r w:rsidR="00231900" w:rsidRPr="005E1802">
        <w:rPr>
          <w:rFonts w:ascii="Times New Roman" w:hAnsi="Times New Roman"/>
        </w:rPr>
        <w:t>have borne</w:t>
      </w:r>
      <w:r w:rsidRPr="005E1802">
        <w:rPr>
          <w:rFonts w:ascii="Times New Roman" w:hAnsi="Times New Roman"/>
        </w:rPr>
        <w:t xml:space="preserve"> on the decision in a manner </w:t>
      </w:r>
      <w:r w:rsidR="005148AD" w:rsidRPr="005E1802">
        <w:rPr>
          <w:rFonts w:ascii="Times New Roman" w:hAnsi="Times New Roman"/>
        </w:rPr>
        <w:t>adverse to the interests of the applicant</w:t>
      </w:r>
      <w:r w:rsidR="002E3ABB" w:rsidRPr="005E1802">
        <w:rPr>
          <w:rFonts w:ascii="Times New Roman" w:hAnsi="Times New Roman"/>
        </w:rPr>
        <w:t>.</w:t>
      </w:r>
      <w:r w:rsidR="005148AD" w:rsidRPr="005E1802">
        <w:rPr>
          <w:rFonts w:ascii="Times New Roman" w:hAnsi="Times New Roman"/>
        </w:rPr>
        <w:t xml:space="preserve"> </w:t>
      </w:r>
      <w:r w:rsidR="00621CDA" w:rsidRPr="005E1802">
        <w:rPr>
          <w:rFonts w:ascii="Times New Roman" w:hAnsi="Times New Roman"/>
        </w:rPr>
        <w:t xml:space="preserve">Logically, </w:t>
      </w:r>
      <w:r w:rsidR="00D60BEF" w:rsidRPr="005E1802">
        <w:rPr>
          <w:rFonts w:ascii="Times New Roman" w:hAnsi="Times New Roman"/>
        </w:rPr>
        <w:t xml:space="preserve">disclosure of the notification in a case in that second category </w:t>
      </w:r>
      <w:r w:rsidR="00EB242D" w:rsidRPr="005E1802">
        <w:rPr>
          <w:rFonts w:ascii="Times New Roman" w:hAnsi="Times New Roman"/>
        </w:rPr>
        <w:t>c</w:t>
      </w:r>
      <w:r w:rsidR="00621CDA" w:rsidRPr="005E1802">
        <w:rPr>
          <w:rFonts w:ascii="Times New Roman" w:hAnsi="Times New Roman"/>
        </w:rPr>
        <w:t xml:space="preserve">ould not </w:t>
      </w:r>
      <w:r w:rsidR="002E3ABB" w:rsidRPr="005E1802">
        <w:rPr>
          <w:rFonts w:ascii="Times New Roman" w:hAnsi="Times New Roman"/>
        </w:rPr>
        <w:t>hav</w:t>
      </w:r>
      <w:r w:rsidR="00260B98" w:rsidRPr="005E1802">
        <w:rPr>
          <w:rFonts w:ascii="Times New Roman" w:hAnsi="Times New Roman"/>
        </w:rPr>
        <w:t xml:space="preserve">e </w:t>
      </w:r>
      <w:r w:rsidR="002E3ABB" w:rsidRPr="005E1802">
        <w:rPr>
          <w:rFonts w:ascii="Times New Roman" w:hAnsi="Times New Roman"/>
        </w:rPr>
        <w:t xml:space="preserve">resulted in </w:t>
      </w:r>
      <w:r w:rsidR="001848F7" w:rsidRPr="005E1802">
        <w:rPr>
          <w:rFonts w:ascii="Times New Roman" w:hAnsi="Times New Roman"/>
        </w:rPr>
        <w:t xml:space="preserve">the </w:t>
      </w:r>
      <w:r w:rsidR="00FE5F5D" w:rsidRPr="005E1802">
        <w:rPr>
          <w:rFonts w:ascii="Times New Roman" w:hAnsi="Times New Roman"/>
        </w:rPr>
        <w:t>T</w:t>
      </w:r>
      <w:r w:rsidR="008C60FC" w:rsidRPr="005E1802">
        <w:rPr>
          <w:rFonts w:ascii="Times New Roman" w:hAnsi="Times New Roman"/>
        </w:rPr>
        <w:t>ribunal</w:t>
      </w:r>
      <w:r w:rsidR="001848F7" w:rsidRPr="005E1802">
        <w:rPr>
          <w:rFonts w:ascii="Times New Roman" w:hAnsi="Times New Roman"/>
        </w:rPr>
        <w:t xml:space="preserve"> making </w:t>
      </w:r>
      <w:r w:rsidR="002E3ABB" w:rsidRPr="005E1802">
        <w:rPr>
          <w:rFonts w:ascii="Times New Roman" w:hAnsi="Times New Roman"/>
        </w:rPr>
        <w:t xml:space="preserve">a different decision if the </w:t>
      </w:r>
      <w:r w:rsidR="00FE5F5D" w:rsidRPr="005E1802">
        <w:rPr>
          <w:rFonts w:ascii="Times New Roman" w:hAnsi="Times New Roman"/>
        </w:rPr>
        <w:t>T</w:t>
      </w:r>
      <w:r w:rsidR="008C60FC" w:rsidRPr="005E1802">
        <w:rPr>
          <w:rFonts w:ascii="Times New Roman" w:hAnsi="Times New Roman"/>
        </w:rPr>
        <w:t>ribunal</w:t>
      </w:r>
      <w:r w:rsidR="002E3ABB" w:rsidRPr="005E1802">
        <w:rPr>
          <w:rFonts w:ascii="Times New Roman" w:hAnsi="Times New Roman"/>
        </w:rPr>
        <w:t xml:space="preserve"> did </w:t>
      </w:r>
      <w:r w:rsidR="00BA3CDB" w:rsidRPr="005E1802">
        <w:rPr>
          <w:rFonts w:ascii="Times New Roman" w:hAnsi="Times New Roman"/>
        </w:rPr>
        <w:t xml:space="preserve">not </w:t>
      </w:r>
      <w:r w:rsidR="002E3ABB" w:rsidRPr="005E1802">
        <w:rPr>
          <w:rFonts w:ascii="Times New Roman" w:hAnsi="Times New Roman"/>
        </w:rPr>
        <w:t xml:space="preserve">in fact take the information into account in making </w:t>
      </w:r>
      <w:r w:rsidR="00B4789E" w:rsidRPr="005E1802">
        <w:rPr>
          <w:rFonts w:ascii="Times New Roman" w:hAnsi="Times New Roman"/>
        </w:rPr>
        <w:t>the</w:t>
      </w:r>
      <w:r w:rsidR="002E3ABB" w:rsidRPr="005E1802">
        <w:rPr>
          <w:rFonts w:ascii="Times New Roman" w:hAnsi="Times New Roman"/>
        </w:rPr>
        <w:t xml:space="preserve"> decision</w:t>
      </w:r>
      <w:r w:rsidR="001848F7" w:rsidRPr="005E1802">
        <w:rPr>
          <w:rFonts w:ascii="Times New Roman" w:hAnsi="Times New Roman"/>
        </w:rPr>
        <w:t xml:space="preserve"> that it did</w:t>
      </w:r>
      <w:r w:rsidR="002E3ABB" w:rsidRPr="005E1802">
        <w:rPr>
          <w:rFonts w:ascii="Times New Roman" w:hAnsi="Times New Roman"/>
        </w:rPr>
        <w:t>.</w:t>
      </w:r>
      <w:r w:rsidR="00E34317" w:rsidRPr="005E1802">
        <w:rPr>
          <w:rFonts w:ascii="Times New Roman" w:hAnsi="Times New Roman"/>
        </w:rPr>
        <w:t xml:space="preserve"> Hence, </w:t>
      </w:r>
      <w:r w:rsidR="003B1775" w:rsidRPr="005E1802">
        <w:rPr>
          <w:rFonts w:ascii="Times New Roman" w:hAnsi="Times New Roman"/>
        </w:rPr>
        <w:t>as</w:t>
      </w:r>
      <w:r w:rsidR="001D398B" w:rsidRPr="005E1802">
        <w:rPr>
          <w:rFonts w:ascii="Times New Roman" w:hAnsi="Times New Roman"/>
        </w:rPr>
        <w:t xml:space="preserve"> was</w:t>
      </w:r>
      <w:r w:rsidR="00671F39" w:rsidRPr="005E1802">
        <w:rPr>
          <w:rFonts w:ascii="Times New Roman" w:hAnsi="Times New Roman"/>
        </w:rPr>
        <w:t xml:space="preserve"> recognised by Mortimer</w:t>
      </w:r>
      <w:r w:rsidR="00434202" w:rsidRPr="005E1802">
        <w:rPr>
          <w:rFonts w:ascii="Times New Roman" w:hAnsi="Times New Roman"/>
        </w:rPr>
        <w:t> </w:t>
      </w:r>
      <w:r w:rsidR="00671F39" w:rsidRPr="005E1802">
        <w:rPr>
          <w:rFonts w:ascii="Times New Roman" w:hAnsi="Times New Roman"/>
        </w:rPr>
        <w:t>J and</w:t>
      </w:r>
      <w:r w:rsidR="001D398B" w:rsidRPr="005E1802">
        <w:rPr>
          <w:rFonts w:ascii="Times New Roman" w:hAnsi="Times New Roman"/>
        </w:rPr>
        <w:t xml:space="preserve"> </w:t>
      </w:r>
      <w:r w:rsidR="00A122D3" w:rsidRPr="005E1802">
        <w:rPr>
          <w:rFonts w:ascii="Times New Roman" w:hAnsi="Times New Roman"/>
        </w:rPr>
        <w:t xml:space="preserve">emphasised </w:t>
      </w:r>
      <w:r w:rsidR="00E5151F" w:rsidRPr="005E1802">
        <w:rPr>
          <w:rFonts w:ascii="Times New Roman" w:hAnsi="Times New Roman"/>
        </w:rPr>
        <w:t xml:space="preserve">by the Full Courts </w:t>
      </w:r>
      <w:r w:rsidR="00A122D3" w:rsidRPr="005E1802">
        <w:rPr>
          <w:rFonts w:ascii="Times New Roman" w:hAnsi="Times New Roman"/>
        </w:rPr>
        <w:t>in</w:t>
      </w:r>
      <w:r w:rsidR="00BE76A6" w:rsidRPr="005E1802">
        <w:rPr>
          <w:rFonts w:ascii="Times New Roman" w:hAnsi="Times New Roman"/>
        </w:rPr>
        <w:t xml:space="preserve"> both</w:t>
      </w:r>
      <w:r w:rsidR="00A122D3" w:rsidRPr="005E1802">
        <w:rPr>
          <w:rFonts w:ascii="Times New Roman" w:hAnsi="Times New Roman"/>
        </w:rPr>
        <w:t xml:space="preserve"> </w:t>
      </w:r>
      <w:r w:rsidR="00A122D3" w:rsidRPr="005E1802">
        <w:rPr>
          <w:rFonts w:ascii="Times New Roman" w:hAnsi="Times New Roman"/>
          <w:i/>
        </w:rPr>
        <w:t>MZAOL</w:t>
      </w:r>
      <w:r w:rsidR="00A122D3" w:rsidRPr="005E1802">
        <w:rPr>
          <w:rFonts w:ascii="Times New Roman" w:hAnsi="Times New Roman"/>
        </w:rPr>
        <w:t xml:space="preserve"> and </w:t>
      </w:r>
      <w:r w:rsidR="00A122D3" w:rsidRPr="005E1802">
        <w:rPr>
          <w:rFonts w:ascii="Times New Roman" w:hAnsi="Times New Roman"/>
          <w:i/>
        </w:rPr>
        <w:t>CQZ15</w:t>
      </w:r>
      <w:r w:rsidR="003B1775" w:rsidRPr="005E1802">
        <w:rPr>
          <w:rFonts w:ascii="Times New Roman" w:hAnsi="Times New Roman"/>
        </w:rPr>
        <w:t>,</w:t>
      </w:r>
      <w:r w:rsidR="00FF185B" w:rsidRPr="005E1802">
        <w:rPr>
          <w:rFonts w:ascii="Times New Roman" w:hAnsi="Times New Roman"/>
        </w:rPr>
        <w:t xml:space="preserve"> </w:t>
      </w:r>
      <w:r w:rsidR="004A2DDF" w:rsidRPr="005E1802">
        <w:rPr>
          <w:rFonts w:ascii="Times New Roman" w:hAnsi="Times New Roman"/>
        </w:rPr>
        <w:t>a necessary</w:t>
      </w:r>
      <w:r w:rsidR="00EF3E44" w:rsidRPr="005E1802">
        <w:rPr>
          <w:rFonts w:ascii="Times New Roman" w:hAnsi="Times New Roman"/>
        </w:rPr>
        <w:t xml:space="preserve"> </w:t>
      </w:r>
      <w:r w:rsidR="004A2DDF" w:rsidRPr="005E1802">
        <w:rPr>
          <w:rFonts w:ascii="Times New Roman" w:hAnsi="Times New Roman"/>
        </w:rPr>
        <w:t>but not sufficient step in establishing</w:t>
      </w:r>
      <w:r w:rsidR="002C31D1" w:rsidRPr="005E1802">
        <w:rPr>
          <w:rFonts w:ascii="Times New Roman" w:hAnsi="Times New Roman"/>
        </w:rPr>
        <w:t xml:space="preserve"> non-disclosure </w:t>
      </w:r>
      <w:r w:rsidR="00D93969" w:rsidRPr="005E1802">
        <w:rPr>
          <w:rFonts w:ascii="Times New Roman" w:hAnsi="Times New Roman"/>
        </w:rPr>
        <w:t xml:space="preserve">to have been material </w:t>
      </w:r>
      <w:r w:rsidR="002A22A4" w:rsidRPr="005E1802">
        <w:rPr>
          <w:rFonts w:ascii="Times New Roman" w:hAnsi="Times New Roman"/>
        </w:rPr>
        <w:t xml:space="preserve">in a case in that category </w:t>
      </w:r>
      <w:r w:rsidR="009848DB" w:rsidRPr="005E1802">
        <w:rPr>
          <w:rFonts w:ascii="Times New Roman" w:hAnsi="Times New Roman"/>
        </w:rPr>
        <w:t>is</w:t>
      </w:r>
      <w:r w:rsidR="00161190" w:rsidRPr="005E1802">
        <w:rPr>
          <w:rFonts w:ascii="Times New Roman" w:hAnsi="Times New Roman"/>
        </w:rPr>
        <w:t xml:space="preserve"> </w:t>
      </w:r>
      <w:r w:rsidR="00EF3E44" w:rsidRPr="005E1802">
        <w:rPr>
          <w:rFonts w:ascii="Times New Roman" w:hAnsi="Times New Roman"/>
        </w:rPr>
        <w:t>proof</w:t>
      </w:r>
      <w:r w:rsidR="00161190" w:rsidRPr="005E1802">
        <w:rPr>
          <w:rFonts w:ascii="Times New Roman" w:hAnsi="Times New Roman"/>
        </w:rPr>
        <w:t xml:space="preserve"> on the balance of </w:t>
      </w:r>
      <w:r w:rsidR="00B70050" w:rsidRPr="005E1802">
        <w:rPr>
          <w:rFonts w:ascii="Times New Roman" w:hAnsi="Times New Roman"/>
        </w:rPr>
        <w:t xml:space="preserve">probabilities that the </w:t>
      </w:r>
      <w:r w:rsidR="00FE5F5D" w:rsidRPr="005E1802">
        <w:rPr>
          <w:rFonts w:ascii="Times New Roman" w:hAnsi="Times New Roman"/>
        </w:rPr>
        <w:t>T</w:t>
      </w:r>
      <w:r w:rsidR="00092606" w:rsidRPr="005E1802">
        <w:rPr>
          <w:rFonts w:ascii="Times New Roman" w:hAnsi="Times New Roman"/>
        </w:rPr>
        <w:t>ribunal</w:t>
      </w:r>
      <w:r w:rsidR="00B70050" w:rsidRPr="005E1802">
        <w:rPr>
          <w:rFonts w:ascii="Times New Roman" w:hAnsi="Times New Roman"/>
        </w:rPr>
        <w:t xml:space="preserve"> </w:t>
      </w:r>
      <w:r w:rsidR="00A67400" w:rsidRPr="005E1802">
        <w:rPr>
          <w:rFonts w:ascii="Times New Roman" w:hAnsi="Times New Roman"/>
        </w:rPr>
        <w:t xml:space="preserve">did </w:t>
      </w:r>
      <w:r w:rsidR="00B70050" w:rsidRPr="005E1802">
        <w:rPr>
          <w:rFonts w:ascii="Times New Roman" w:hAnsi="Times New Roman"/>
        </w:rPr>
        <w:t xml:space="preserve">take the </w:t>
      </w:r>
      <w:r w:rsidR="00A67400" w:rsidRPr="005E1802">
        <w:rPr>
          <w:rFonts w:ascii="Times New Roman" w:hAnsi="Times New Roman"/>
        </w:rPr>
        <w:t xml:space="preserve">potentially adverse </w:t>
      </w:r>
      <w:r w:rsidR="00B70050" w:rsidRPr="005E1802">
        <w:rPr>
          <w:rFonts w:ascii="Times New Roman" w:hAnsi="Times New Roman"/>
        </w:rPr>
        <w:t>information into account in making its decision.</w:t>
      </w:r>
    </w:p>
    <w:p w14:paraId="503F4030" w14:textId="1985DFFC" w:rsidR="00FC7B2D" w:rsidRPr="005E1802" w:rsidRDefault="000805BF"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782402" w:rsidRPr="005E1802">
        <w:rPr>
          <w:rFonts w:ascii="Times New Roman" w:hAnsi="Times New Roman"/>
        </w:rPr>
        <w:t xml:space="preserve">There is no reason </w:t>
      </w:r>
      <w:r w:rsidR="00C62CF1" w:rsidRPr="005E1802">
        <w:rPr>
          <w:rFonts w:ascii="Times New Roman" w:hAnsi="Times New Roman"/>
        </w:rPr>
        <w:t xml:space="preserve">to think </w:t>
      </w:r>
      <w:r w:rsidR="003318FF" w:rsidRPr="005E1802">
        <w:rPr>
          <w:rFonts w:ascii="Times New Roman" w:hAnsi="Times New Roman"/>
        </w:rPr>
        <w:t xml:space="preserve">that </w:t>
      </w:r>
      <w:r w:rsidR="00C63B19" w:rsidRPr="005E1802">
        <w:rPr>
          <w:rFonts w:ascii="Times New Roman" w:hAnsi="Times New Roman"/>
        </w:rPr>
        <w:t xml:space="preserve">the </w:t>
      </w:r>
      <w:r w:rsidR="003D7ECC" w:rsidRPr="005E1802">
        <w:rPr>
          <w:rFonts w:ascii="Times New Roman" w:hAnsi="Times New Roman"/>
        </w:rPr>
        <w:t xml:space="preserve">ease or </w:t>
      </w:r>
      <w:r w:rsidR="00C63B19" w:rsidRPr="005E1802">
        <w:rPr>
          <w:rFonts w:ascii="Times New Roman" w:hAnsi="Times New Roman"/>
        </w:rPr>
        <w:t xml:space="preserve">difficulty of discharging the burden of </w:t>
      </w:r>
      <w:r w:rsidR="005029AD" w:rsidRPr="005E1802">
        <w:rPr>
          <w:rFonts w:ascii="Times New Roman" w:hAnsi="Times New Roman"/>
        </w:rPr>
        <w:t>proof</w:t>
      </w:r>
      <w:r w:rsidR="009F7377" w:rsidRPr="005E1802">
        <w:rPr>
          <w:rFonts w:ascii="Times New Roman" w:hAnsi="Times New Roman"/>
        </w:rPr>
        <w:t xml:space="preserve"> </w:t>
      </w:r>
      <w:r w:rsidR="003C547E" w:rsidRPr="005E1802">
        <w:rPr>
          <w:rFonts w:ascii="Times New Roman" w:hAnsi="Times New Roman"/>
        </w:rPr>
        <w:t>should in practice</w:t>
      </w:r>
      <w:r w:rsidR="005029AD" w:rsidRPr="005E1802">
        <w:rPr>
          <w:rFonts w:ascii="Times New Roman" w:hAnsi="Times New Roman"/>
        </w:rPr>
        <w:t xml:space="preserve"> be the same for a plaintiff in each category of case. </w:t>
      </w:r>
      <w:r w:rsidR="00560066" w:rsidRPr="005E1802">
        <w:rPr>
          <w:rFonts w:ascii="Times New Roman" w:hAnsi="Times New Roman"/>
        </w:rPr>
        <w:t xml:space="preserve">To the contrary, the statutory consequences of giving a notification for the procedure to be adopted by the </w:t>
      </w:r>
      <w:r w:rsidR="00FE5F5D" w:rsidRPr="005E1802">
        <w:rPr>
          <w:rFonts w:ascii="Times New Roman" w:hAnsi="Times New Roman"/>
        </w:rPr>
        <w:t>T</w:t>
      </w:r>
      <w:r w:rsidR="00826B74" w:rsidRPr="005E1802">
        <w:rPr>
          <w:rFonts w:ascii="Times New Roman" w:hAnsi="Times New Roman"/>
        </w:rPr>
        <w:t>ribunal</w:t>
      </w:r>
      <w:r w:rsidR="00560066" w:rsidRPr="005E1802">
        <w:rPr>
          <w:rFonts w:ascii="Times New Roman" w:hAnsi="Times New Roman"/>
        </w:rPr>
        <w:t xml:space="preserve"> provide reason to think </w:t>
      </w:r>
      <w:r w:rsidR="00453449" w:rsidRPr="005E1802">
        <w:rPr>
          <w:rFonts w:ascii="Times New Roman" w:hAnsi="Times New Roman"/>
        </w:rPr>
        <w:t>that in practice</w:t>
      </w:r>
      <w:r w:rsidR="009F7377" w:rsidRPr="005E1802">
        <w:rPr>
          <w:rFonts w:ascii="Times New Roman" w:hAnsi="Times New Roman"/>
        </w:rPr>
        <w:t xml:space="preserve"> </w:t>
      </w:r>
      <w:r w:rsidR="009E5AE2" w:rsidRPr="005E1802">
        <w:rPr>
          <w:rFonts w:ascii="Times New Roman" w:hAnsi="Times New Roman"/>
        </w:rPr>
        <w:t xml:space="preserve">an inference that the </w:t>
      </w:r>
      <w:r w:rsidR="00FE5F5D" w:rsidRPr="005E1802">
        <w:rPr>
          <w:rFonts w:ascii="Times New Roman" w:hAnsi="Times New Roman"/>
        </w:rPr>
        <w:t>T</w:t>
      </w:r>
      <w:r w:rsidR="00826B74" w:rsidRPr="005E1802">
        <w:rPr>
          <w:rFonts w:ascii="Times New Roman" w:hAnsi="Times New Roman"/>
        </w:rPr>
        <w:t>ribunal</w:t>
      </w:r>
      <w:r w:rsidR="009E5AE2" w:rsidRPr="005E1802">
        <w:rPr>
          <w:rFonts w:ascii="Times New Roman" w:hAnsi="Times New Roman"/>
        </w:rPr>
        <w:t xml:space="preserve"> did not take potentially </w:t>
      </w:r>
      <w:r w:rsidR="00B72ED1" w:rsidRPr="005E1802">
        <w:rPr>
          <w:rFonts w:ascii="Times New Roman" w:hAnsi="Times New Roman"/>
        </w:rPr>
        <w:t xml:space="preserve">helpful </w:t>
      </w:r>
      <w:r w:rsidR="009E5AE2" w:rsidRPr="005E1802">
        <w:rPr>
          <w:rFonts w:ascii="Times New Roman" w:hAnsi="Times New Roman"/>
        </w:rPr>
        <w:t xml:space="preserve">information into account in making </w:t>
      </w:r>
      <w:r w:rsidR="00977756" w:rsidRPr="005E1802">
        <w:rPr>
          <w:rFonts w:ascii="Times New Roman" w:hAnsi="Times New Roman"/>
        </w:rPr>
        <w:t>its</w:t>
      </w:r>
      <w:r w:rsidR="009E5AE2" w:rsidRPr="005E1802">
        <w:rPr>
          <w:rFonts w:ascii="Times New Roman" w:hAnsi="Times New Roman"/>
        </w:rPr>
        <w:t xml:space="preserve"> decision </w:t>
      </w:r>
      <w:r w:rsidR="00CE7452" w:rsidRPr="005E1802">
        <w:rPr>
          <w:rFonts w:ascii="Times New Roman" w:hAnsi="Times New Roman"/>
        </w:rPr>
        <w:t xml:space="preserve">will more readily be drawn on the balance of probabilities than </w:t>
      </w:r>
      <w:r w:rsidR="00453449" w:rsidRPr="005E1802">
        <w:rPr>
          <w:rFonts w:ascii="Times New Roman" w:hAnsi="Times New Roman"/>
        </w:rPr>
        <w:t xml:space="preserve">will </w:t>
      </w:r>
      <w:r w:rsidR="00FF79B8" w:rsidRPr="005E1802">
        <w:rPr>
          <w:rFonts w:ascii="Times New Roman" w:hAnsi="Times New Roman"/>
        </w:rPr>
        <w:t xml:space="preserve">an inference </w:t>
      </w:r>
      <w:r w:rsidR="008D0E23" w:rsidRPr="005E1802">
        <w:rPr>
          <w:rFonts w:ascii="Times New Roman" w:hAnsi="Times New Roman"/>
        </w:rPr>
        <w:t xml:space="preserve">that the </w:t>
      </w:r>
      <w:r w:rsidR="00FE5F5D" w:rsidRPr="005E1802">
        <w:rPr>
          <w:rFonts w:ascii="Times New Roman" w:hAnsi="Times New Roman"/>
        </w:rPr>
        <w:t>T</w:t>
      </w:r>
      <w:r w:rsidR="00826B74" w:rsidRPr="005E1802">
        <w:rPr>
          <w:rFonts w:ascii="Times New Roman" w:hAnsi="Times New Roman"/>
        </w:rPr>
        <w:t>ribunal</w:t>
      </w:r>
      <w:r w:rsidR="008D0E23" w:rsidRPr="005E1802">
        <w:rPr>
          <w:rFonts w:ascii="Times New Roman" w:hAnsi="Times New Roman"/>
        </w:rPr>
        <w:t xml:space="preserve"> did take potentially adverse information into account in making its decision</w:t>
      </w:r>
      <w:r w:rsidR="00CE7452" w:rsidRPr="005E1802">
        <w:rPr>
          <w:rFonts w:ascii="Times New Roman" w:hAnsi="Times New Roman"/>
        </w:rPr>
        <w:t xml:space="preserve">. </w:t>
      </w:r>
      <w:r w:rsidR="005B064C" w:rsidRPr="005E1802">
        <w:rPr>
          <w:rFonts w:ascii="Times New Roman" w:hAnsi="Times New Roman"/>
        </w:rPr>
        <w:t xml:space="preserve">That is because, as the majority observed in </w:t>
      </w:r>
      <w:r w:rsidR="005B064C" w:rsidRPr="005E1802">
        <w:rPr>
          <w:rFonts w:ascii="Times New Roman" w:hAnsi="Times New Roman"/>
          <w:i/>
        </w:rPr>
        <w:t>SZMTA</w:t>
      </w:r>
      <w:r w:rsidR="008E66A3" w:rsidRPr="005E1802">
        <w:rPr>
          <w:rStyle w:val="FootnoteReference"/>
          <w:rFonts w:ascii="Times New Roman" w:hAnsi="Times New Roman"/>
          <w:sz w:val="24"/>
        </w:rPr>
        <w:footnoteReference w:id="73"/>
      </w:r>
      <w:r w:rsidR="005B064C" w:rsidRPr="005E1802">
        <w:rPr>
          <w:rFonts w:ascii="Times New Roman" w:hAnsi="Times New Roman"/>
        </w:rPr>
        <w:t xml:space="preserve">, </w:t>
      </w:r>
      <w:r w:rsidR="008E66A3" w:rsidRPr="005E1802">
        <w:rPr>
          <w:rFonts w:ascii="Times New Roman" w:hAnsi="Times New Roman"/>
        </w:rPr>
        <w:t xml:space="preserve">"[t]he drawing of inferences can be assisted by reference to what can be expected to occur in the course of the regular administration of the Act". </w:t>
      </w:r>
      <w:r w:rsidR="00D40B94" w:rsidRPr="005E1802">
        <w:rPr>
          <w:rFonts w:ascii="Times New Roman" w:hAnsi="Times New Roman"/>
        </w:rPr>
        <w:t>The majority continued:</w:t>
      </w:r>
    </w:p>
    <w:p w14:paraId="44B6A58D" w14:textId="77777777" w:rsidR="005E1802" w:rsidRDefault="00D36C4A" w:rsidP="005E1802">
      <w:pPr>
        <w:pStyle w:val="leftright"/>
        <w:spacing w:before="0" w:after="260" w:line="280" w:lineRule="exact"/>
        <w:ind w:right="0"/>
        <w:jc w:val="both"/>
        <w:rPr>
          <w:rFonts w:ascii="Times New Roman" w:hAnsi="Times New Roman"/>
        </w:rPr>
      </w:pPr>
      <w:r w:rsidRPr="005E1802">
        <w:rPr>
          <w:rFonts w:ascii="Times New Roman" w:hAnsi="Times New Roman"/>
        </w:rPr>
        <w:t>"</w:t>
      </w:r>
      <w:r w:rsidR="00D15036" w:rsidRPr="005E1802">
        <w:rPr>
          <w:rFonts w:ascii="Times New Roman" w:hAnsi="Times New Roman"/>
        </w:rPr>
        <w:t>[</w:t>
      </w:r>
      <w:r w:rsidRPr="005E1802">
        <w:rPr>
          <w:rFonts w:ascii="Times New Roman" w:hAnsi="Times New Roman"/>
        </w:rPr>
        <w:t>T</w:t>
      </w:r>
      <w:r w:rsidR="00D15036" w:rsidRPr="005E1802">
        <w:rPr>
          <w:rFonts w:ascii="Times New Roman" w:hAnsi="Times New Roman"/>
        </w:rPr>
        <w:t>]</w:t>
      </w:r>
      <w:r w:rsidRPr="005E1802">
        <w:rPr>
          <w:rFonts w:ascii="Times New Roman" w:hAnsi="Times New Roman"/>
        </w:rPr>
        <w:t xml:space="preserve">he </w:t>
      </w:r>
      <w:r w:rsidR="00FE5F5D" w:rsidRPr="005E1802">
        <w:rPr>
          <w:rFonts w:ascii="Times New Roman" w:hAnsi="Times New Roman"/>
        </w:rPr>
        <w:t>Tribunal</w:t>
      </w:r>
      <w:r w:rsidRPr="005E1802">
        <w:rPr>
          <w:rFonts w:ascii="Times New Roman" w:hAnsi="Times New Roman"/>
        </w:rPr>
        <w:t xml:space="preserve"> can be expected in the ordinary course to treat a notification by the Secretary that the section applies as a sufficient basis for accepting that the section does in fact apply to a document or information to which the notification refers. Treating the section as applicable to a document or information, the </w:t>
      </w:r>
      <w:r w:rsidR="00FE5F5D" w:rsidRPr="005E1802">
        <w:rPr>
          <w:rFonts w:ascii="Times New Roman" w:hAnsi="Times New Roman"/>
        </w:rPr>
        <w:t>Tribunal</w:t>
      </w:r>
      <w:r w:rsidRPr="005E1802">
        <w:rPr>
          <w:rFonts w:ascii="Times New Roman" w:hAnsi="Times New Roman"/>
        </w:rPr>
        <w:t xml:space="preserve"> can then be expected in the ordinary course to leave that document or information out of account in reaching its decision in the absence of the </w:t>
      </w:r>
      <w:r w:rsidR="00FE5F5D" w:rsidRPr="005E1802">
        <w:rPr>
          <w:rFonts w:ascii="Times New Roman" w:hAnsi="Times New Roman"/>
        </w:rPr>
        <w:t>Tribunal</w:t>
      </w:r>
      <w:r w:rsidRPr="005E1802">
        <w:rPr>
          <w:rFonts w:ascii="Times New Roman" w:hAnsi="Times New Roman"/>
        </w:rPr>
        <w:t xml:space="preserve"> giving active consideration to an exercise of discretion under s 438(3). Absent some contrary indication in the statement of the </w:t>
      </w:r>
      <w:r w:rsidR="00FE5F5D" w:rsidRPr="005E1802">
        <w:rPr>
          <w:rFonts w:ascii="Times New Roman" w:hAnsi="Times New Roman"/>
        </w:rPr>
        <w:t>Tribunal</w:t>
      </w:r>
      <w:r w:rsidR="00E543A1" w:rsidRPr="005E1802">
        <w:rPr>
          <w:rFonts w:ascii="Times New Roman" w:hAnsi="Times New Roman"/>
        </w:rPr>
        <w:t>'</w:t>
      </w:r>
      <w:r w:rsidRPr="005E1802">
        <w:rPr>
          <w:rFonts w:ascii="Times New Roman" w:hAnsi="Times New Roman"/>
        </w:rPr>
        <w:t xml:space="preserve">s reasons for decision or elsewhere in the evidence, a court on judicial review of a decision of the </w:t>
      </w:r>
      <w:r w:rsidR="00FE5F5D" w:rsidRPr="005E1802">
        <w:rPr>
          <w:rFonts w:ascii="Times New Roman" w:hAnsi="Times New Roman"/>
        </w:rPr>
        <w:t>Tribunal</w:t>
      </w:r>
      <w:r w:rsidRPr="005E1802">
        <w:rPr>
          <w:rFonts w:ascii="Times New Roman" w:hAnsi="Times New Roman"/>
        </w:rPr>
        <w:t xml:space="preserve"> can therefore be justified in </w:t>
      </w:r>
      <w:r w:rsidRPr="005E1802">
        <w:rPr>
          <w:rFonts w:ascii="Times New Roman" w:hAnsi="Times New Roman"/>
        </w:rPr>
        <w:lastRenderedPageBreak/>
        <w:t xml:space="preserve">inferring that the </w:t>
      </w:r>
      <w:r w:rsidR="00FE5F5D" w:rsidRPr="005E1802">
        <w:rPr>
          <w:rFonts w:ascii="Times New Roman" w:hAnsi="Times New Roman"/>
        </w:rPr>
        <w:t>Tribunal</w:t>
      </w:r>
      <w:r w:rsidRPr="005E1802">
        <w:rPr>
          <w:rFonts w:ascii="Times New Roman" w:hAnsi="Times New Roman"/>
        </w:rPr>
        <w:t xml:space="preserve"> paid no regard to the notified document or</w:t>
      </w:r>
      <w:r w:rsidR="006C7722" w:rsidRPr="005E1802">
        <w:rPr>
          <w:rFonts w:ascii="Times New Roman" w:hAnsi="Times New Roman"/>
        </w:rPr>
        <w:t xml:space="preserve"> </w:t>
      </w:r>
      <w:r w:rsidRPr="005E1802">
        <w:rPr>
          <w:rFonts w:ascii="Times New Roman" w:hAnsi="Times New Roman"/>
        </w:rPr>
        <w:t>information in reaching its decision</w:t>
      </w:r>
      <w:r w:rsidR="006C7722" w:rsidRPr="005E1802">
        <w:rPr>
          <w:rFonts w:ascii="Times New Roman" w:hAnsi="Times New Roman"/>
        </w:rPr>
        <w:t>."</w:t>
      </w:r>
    </w:p>
    <w:p w14:paraId="06BD0C85" w14:textId="7C393B93" w:rsidR="007617BF" w:rsidRPr="005E1802" w:rsidRDefault="00394939"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That observation of the majority was singled out for </w:t>
      </w:r>
      <w:r w:rsidR="00FC7B2D" w:rsidRPr="005E1802">
        <w:rPr>
          <w:rFonts w:ascii="Times New Roman" w:hAnsi="Times New Roman"/>
        </w:rPr>
        <w:t xml:space="preserve">criticism </w:t>
      </w:r>
      <w:r w:rsidR="00C62CF1" w:rsidRPr="005E1802">
        <w:rPr>
          <w:rFonts w:ascii="Times New Roman" w:hAnsi="Times New Roman"/>
        </w:rPr>
        <w:t>by Mortimer</w:t>
      </w:r>
      <w:r w:rsidR="00434202" w:rsidRPr="005E1802">
        <w:rPr>
          <w:rFonts w:ascii="Times New Roman" w:hAnsi="Times New Roman"/>
        </w:rPr>
        <w:t> </w:t>
      </w:r>
      <w:r w:rsidR="00C62CF1" w:rsidRPr="005E1802">
        <w:rPr>
          <w:rFonts w:ascii="Times New Roman" w:hAnsi="Times New Roman"/>
        </w:rPr>
        <w:t>J</w:t>
      </w:r>
      <w:r w:rsidR="003A0439" w:rsidRPr="005E1802">
        <w:rPr>
          <w:rFonts w:ascii="Times New Roman" w:hAnsi="Times New Roman"/>
        </w:rPr>
        <w:t xml:space="preserve"> </w:t>
      </w:r>
      <w:r w:rsidR="00FC7B2D" w:rsidRPr="005E1802">
        <w:rPr>
          <w:rFonts w:ascii="Times New Roman" w:hAnsi="Times New Roman"/>
        </w:rPr>
        <w:t xml:space="preserve">in the judgment under appeal as </w:t>
      </w:r>
      <w:r w:rsidR="00D4776E" w:rsidRPr="005E1802">
        <w:rPr>
          <w:rFonts w:ascii="Times New Roman" w:hAnsi="Times New Roman"/>
        </w:rPr>
        <w:t xml:space="preserve">appearing to </w:t>
      </w:r>
      <w:r w:rsidR="005C78C3" w:rsidRPr="005E1802">
        <w:rPr>
          <w:rFonts w:ascii="Times New Roman" w:hAnsi="Times New Roman"/>
        </w:rPr>
        <w:t>requir</w:t>
      </w:r>
      <w:r w:rsidR="00D4776E" w:rsidRPr="005E1802">
        <w:rPr>
          <w:rFonts w:ascii="Times New Roman" w:hAnsi="Times New Roman"/>
        </w:rPr>
        <w:t>e</w:t>
      </w:r>
      <w:r w:rsidR="005C78C3" w:rsidRPr="005E1802">
        <w:rPr>
          <w:rFonts w:ascii="Times New Roman" w:hAnsi="Times New Roman"/>
        </w:rPr>
        <w:t xml:space="preserve"> a court on judicial review of a decision of the </w:t>
      </w:r>
      <w:r w:rsidR="00FE5F5D" w:rsidRPr="005E1802">
        <w:rPr>
          <w:rFonts w:ascii="Times New Roman" w:hAnsi="Times New Roman"/>
        </w:rPr>
        <w:t>T</w:t>
      </w:r>
      <w:r w:rsidR="007B24C1" w:rsidRPr="005E1802">
        <w:rPr>
          <w:rFonts w:ascii="Times New Roman" w:hAnsi="Times New Roman"/>
        </w:rPr>
        <w:t>ribunal</w:t>
      </w:r>
      <w:r w:rsidR="005C78C3" w:rsidRPr="005E1802">
        <w:rPr>
          <w:rFonts w:ascii="Times New Roman" w:hAnsi="Times New Roman"/>
        </w:rPr>
        <w:t xml:space="preserve"> to apply</w:t>
      </w:r>
      <w:r w:rsidR="00FC7B2D" w:rsidRPr="005E1802">
        <w:rPr>
          <w:rFonts w:ascii="Times New Roman" w:hAnsi="Times New Roman"/>
        </w:rPr>
        <w:t xml:space="preserve"> a </w:t>
      </w:r>
      <w:r w:rsidR="00D4776E" w:rsidRPr="005E1802">
        <w:rPr>
          <w:rFonts w:ascii="Times New Roman" w:hAnsi="Times New Roman"/>
        </w:rPr>
        <w:t>"</w:t>
      </w:r>
      <w:r w:rsidR="00FC7B2D" w:rsidRPr="005E1802">
        <w:rPr>
          <w:rFonts w:ascii="Times New Roman" w:hAnsi="Times New Roman"/>
        </w:rPr>
        <w:t>presumptio</w:t>
      </w:r>
      <w:r w:rsidR="00D4776E" w:rsidRPr="005E1802">
        <w:rPr>
          <w:rFonts w:ascii="Times New Roman" w:hAnsi="Times New Roman"/>
        </w:rPr>
        <w:t>n"</w:t>
      </w:r>
      <w:r w:rsidR="00DB4926" w:rsidRPr="005E1802">
        <w:rPr>
          <w:rFonts w:ascii="Times New Roman" w:hAnsi="Times New Roman"/>
        </w:rPr>
        <w:t xml:space="preserve"> that the </w:t>
      </w:r>
      <w:r w:rsidR="00FE5F5D" w:rsidRPr="005E1802">
        <w:rPr>
          <w:rFonts w:ascii="Times New Roman" w:hAnsi="Times New Roman"/>
        </w:rPr>
        <w:t>T</w:t>
      </w:r>
      <w:r w:rsidR="007B24C1" w:rsidRPr="005E1802">
        <w:rPr>
          <w:rFonts w:ascii="Times New Roman" w:hAnsi="Times New Roman"/>
        </w:rPr>
        <w:t>ribunal</w:t>
      </w:r>
      <w:r w:rsidR="00DB4926" w:rsidRPr="005E1802">
        <w:rPr>
          <w:rFonts w:ascii="Times New Roman" w:hAnsi="Times New Roman"/>
        </w:rPr>
        <w:t xml:space="preserve"> did not take </w:t>
      </w:r>
      <w:r w:rsidR="00C23E41" w:rsidRPr="005E1802">
        <w:rPr>
          <w:rFonts w:ascii="Times New Roman" w:hAnsi="Times New Roman"/>
        </w:rPr>
        <w:t xml:space="preserve">information covered by </w:t>
      </w:r>
      <w:r w:rsidR="00D4776E" w:rsidRPr="005E1802">
        <w:rPr>
          <w:rFonts w:ascii="Times New Roman" w:hAnsi="Times New Roman"/>
        </w:rPr>
        <w:t>a notification into account in making the decision</w:t>
      </w:r>
      <w:r w:rsidR="00D14C4D" w:rsidRPr="005E1802">
        <w:rPr>
          <w:rStyle w:val="FootnoteReference"/>
          <w:rFonts w:ascii="Times New Roman" w:hAnsi="Times New Roman"/>
          <w:sz w:val="24"/>
        </w:rPr>
        <w:footnoteReference w:id="74"/>
      </w:r>
      <w:r w:rsidR="00D4776E" w:rsidRPr="005E1802">
        <w:rPr>
          <w:rFonts w:ascii="Times New Roman" w:hAnsi="Times New Roman"/>
        </w:rPr>
        <w:t xml:space="preserve">. </w:t>
      </w:r>
      <w:r w:rsidR="00FC7B2D" w:rsidRPr="005E1802">
        <w:rPr>
          <w:rFonts w:ascii="Times New Roman" w:hAnsi="Times New Roman"/>
        </w:rPr>
        <w:t xml:space="preserve">The observation was not so stated and should not be so interpreted. The observation is no different in </w:t>
      </w:r>
      <w:r w:rsidR="003A0439" w:rsidRPr="005E1802">
        <w:rPr>
          <w:rFonts w:ascii="Times New Roman" w:hAnsi="Times New Roman"/>
        </w:rPr>
        <w:t xml:space="preserve">its </w:t>
      </w:r>
      <w:r w:rsidR="007F20EF" w:rsidRPr="005E1802">
        <w:rPr>
          <w:rFonts w:ascii="Times New Roman" w:hAnsi="Times New Roman"/>
        </w:rPr>
        <w:t>significance</w:t>
      </w:r>
      <w:r w:rsidR="00FC7B2D" w:rsidRPr="005E1802">
        <w:rPr>
          <w:rFonts w:ascii="Times New Roman" w:hAnsi="Times New Roman"/>
        </w:rPr>
        <w:t xml:space="preserve"> or </w:t>
      </w:r>
      <w:r w:rsidR="00FB700A" w:rsidRPr="005E1802">
        <w:rPr>
          <w:rFonts w:ascii="Times New Roman" w:hAnsi="Times New Roman"/>
        </w:rPr>
        <w:t xml:space="preserve">its </w:t>
      </w:r>
      <w:r w:rsidR="001E046B" w:rsidRPr="005E1802">
        <w:rPr>
          <w:rFonts w:ascii="Times New Roman" w:hAnsi="Times New Roman"/>
        </w:rPr>
        <w:t>generality</w:t>
      </w:r>
      <w:r w:rsidR="00FC7B2D" w:rsidRPr="005E1802">
        <w:rPr>
          <w:rFonts w:ascii="Times New Roman" w:hAnsi="Times New Roman"/>
        </w:rPr>
        <w:t xml:space="preserve"> from th</w:t>
      </w:r>
      <w:r w:rsidR="007F20EF" w:rsidRPr="005E1802">
        <w:rPr>
          <w:rFonts w:ascii="Times New Roman" w:hAnsi="Times New Roman"/>
        </w:rPr>
        <w:t xml:space="preserve">e </w:t>
      </w:r>
      <w:r w:rsidR="00201510" w:rsidRPr="005E1802">
        <w:rPr>
          <w:rFonts w:ascii="Times New Roman" w:hAnsi="Times New Roman"/>
        </w:rPr>
        <w:t xml:space="preserve">routinely cited and </w:t>
      </w:r>
      <w:r w:rsidR="00143533" w:rsidRPr="005E1802">
        <w:rPr>
          <w:rFonts w:ascii="Times New Roman" w:hAnsi="Times New Roman"/>
        </w:rPr>
        <w:t>routinely illustrated</w:t>
      </w:r>
      <w:r w:rsidR="00FC7B2D" w:rsidRPr="005E1802">
        <w:rPr>
          <w:rFonts w:ascii="Times New Roman" w:hAnsi="Times New Roman"/>
        </w:rPr>
        <w:t xml:space="preserve"> </w:t>
      </w:r>
      <w:r w:rsidR="00201510" w:rsidRPr="005E1802">
        <w:rPr>
          <w:rFonts w:ascii="Times New Roman" w:hAnsi="Times New Roman"/>
        </w:rPr>
        <w:t xml:space="preserve">observation </w:t>
      </w:r>
      <w:r w:rsidR="00710C5D" w:rsidRPr="005E1802">
        <w:rPr>
          <w:rFonts w:ascii="Times New Roman" w:hAnsi="Times New Roman"/>
        </w:rPr>
        <w:t>in</w:t>
      </w:r>
      <w:r w:rsidR="00170A51" w:rsidRPr="005E1802">
        <w:rPr>
          <w:rFonts w:ascii="Times New Roman" w:hAnsi="Times New Roman"/>
        </w:rPr>
        <w:t xml:space="preserve"> </w:t>
      </w:r>
      <w:r w:rsidR="00170A51" w:rsidRPr="005E1802">
        <w:rPr>
          <w:rFonts w:ascii="Times New Roman" w:hAnsi="Times New Roman"/>
          <w:i/>
          <w:iCs/>
        </w:rPr>
        <w:t>Minister for Immigration and Multicultural Affairs v Yusuf</w:t>
      </w:r>
      <w:r w:rsidR="008C5AF4" w:rsidRPr="005E1802">
        <w:rPr>
          <w:rStyle w:val="FootnoteReference"/>
          <w:rFonts w:ascii="Times New Roman" w:hAnsi="Times New Roman"/>
          <w:sz w:val="24"/>
        </w:rPr>
        <w:footnoteReference w:id="75"/>
      </w:r>
      <w:r w:rsidR="008C5AF4" w:rsidRPr="005E1802">
        <w:rPr>
          <w:rFonts w:ascii="Times New Roman" w:hAnsi="Times New Roman"/>
        </w:rPr>
        <w:t xml:space="preserve"> to the effect that </w:t>
      </w:r>
      <w:r w:rsidR="002E47B7" w:rsidRPr="005E1802">
        <w:rPr>
          <w:rFonts w:ascii="Times New Roman" w:hAnsi="Times New Roman"/>
        </w:rPr>
        <w:t>the</w:t>
      </w:r>
      <w:r w:rsidR="001D573C" w:rsidRPr="005E1802">
        <w:rPr>
          <w:rFonts w:ascii="Times New Roman" w:hAnsi="Times New Roman"/>
        </w:rPr>
        <w:t xml:space="preserve"> obligation imposed on the </w:t>
      </w:r>
      <w:r w:rsidR="00FE5F5D" w:rsidRPr="005E1802">
        <w:rPr>
          <w:rFonts w:ascii="Times New Roman" w:hAnsi="Times New Roman"/>
        </w:rPr>
        <w:t>T</w:t>
      </w:r>
      <w:r w:rsidR="00DF1164" w:rsidRPr="005E1802">
        <w:rPr>
          <w:rFonts w:ascii="Times New Roman" w:hAnsi="Times New Roman"/>
        </w:rPr>
        <w:t>ribunal</w:t>
      </w:r>
      <w:r w:rsidR="00C67771" w:rsidRPr="005E1802">
        <w:rPr>
          <w:rFonts w:ascii="Times New Roman" w:hAnsi="Times New Roman"/>
        </w:rPr>
        <w:t xml:space="preserve"> </w:t>
      </w:r>
      <w:r w:rsidR="00D66AF8" w:rsidRPr="005E1802">
        <w:rPr>
          <w:rFonts w:ascii="Times New Roman" w:hAnsi="Times New Roman"/>
        </w:rPr>
        <w:t>by s</w:t>
      </w:r>
      <w:r w:rsidR="00236D72">
        <w:rPr>
          <w:rFonts w:ascii="Times New Roman" w:hAnsi="Times New Roman"/>
        </w:rPr>
        <w:t> </w:t>
      </w:r>
      <w:r w:rsidR="00D66AF8" w:rsidRPr="005E1802">
        <w:rPr>
          <w:rFonts w:ascii="Times New Roman" w:hAnsi="Times New Roman"/>
        </w:rPr>
        <w:t xml:space="preserve">430(1)(c) to set out its findings on material questions of fact </w:t>
      </w:r>
      <w:r w:rsidR="00C67771" w:rsidRPr="005E1802">
        <w:rPr>
          <w:rFonts w:ascii="Times New Roman" w:hAnsi="Times New Roman"/>
        </w:rPr>
        <w:t xml:space="preserve">entitles a court to infer that a matter not mentioned </w:t>
      </w:r>
      <w:r w:rsidR="004E38F1" w:rsidRPr="005E1802">
        <w:rPr>
          <w:rFonts w:ascii="Times New Roman" w:hAnsi="Times New Roman"/>
        </w:rPr>
        <w:t xml:space="preserve">by the </w:t>
      </w:r>
      <w:r w:rsidR="00FE5F5D" w:rsidRPr="005E1802">
        <w:rPr>
          <w:rFonts w:ascii="Times New Roman" w:hAnsi="Times New Roman"/>
        </w:rPr>
        <w:t>T</w:t>
      </w:r>
      <w:r w:rsidR="00DF1164" w:rsidRPr="005E1802">
        <w:rPr>
          <w:rFonts w:ascii="Times New Roman" w:hAnsi="Times New Roman"/>
        </w:rPr>
        <w:t>ribunal</w:t>
      </w:r>
      <w:r w:rsidR="004E38F1" w:rsidRPr="005E1802">
        <w:rPr>
          <w:rFonts w:ascii="Times New Roman" w:hAnsi="Times New Roman"/>
        </w:rPr>
        <w:t xml:space="preserve"> in</w:t>
      </w:r>
      <w:r w:rsidR="00C67771" w:rsidRPr="005E1802">
        <w:rPr>
          <w:rFonts w:ascii="Times New Roman" w:hAnsi="Times New Roman"/>
        </w:rPr>
        <w:t xml:space="preserve"> </w:t>
      </w:r>
      <w:r w:rsidR="00804D05" w:rsidRPr="005E1802">
        <w:rPr>
          <w:rFonts w:ascii="Times New Roman" w:hAnsi="Times New Roman"/>
        </w:rPr>
        <w:t>the</w:t>
      </w:r>
      <w:r w:rsidR="00B0587A" w:rsidRPr="005E1802">
        <w:rPr>
          <w:rFonts w:ascii="Times New Roman" w:hAnsi="Times New Roman"/>
        </w:rPr>
        <w:t xml:space="preserve"> </w:t>
      </w:r>
      <w:r w:rsidR="00C67771" w:rsidRPr="005E1802">
        <w:rPr>
          <w:rFonts w:ascii="Times New Roman" w:hAnsi="Times New Roman"/>
        </w:rPr>
        <w:t xml:space="preserve">statement </w:t>
      </w:r>
      <w:r w:rsidR="00B0587A" w:rsidRPr="005E1802">
        <w:rPr>
          <w:rFonts w:ascii="Times New Roman" w:hAnsi="Times New Roman"/>
        </w:rPr>
        <w:t xml:space="preserve">of the reasons </w:t>
      </w:r>
      <w:r w:rsidR="00B31EE6" w:rsidRPr="005E1802">
        <w:rPr>
          <w:rFonts w:ascii="Times New Roman" w:hAnsi="Times New Roman"/>
        </w:rPr>
        <w:t xml:space="preserve">that it </w:t>
      </w:r>
      <w:r w:rsidR="00D16729" w:rsidRPr="005E1802">
        <w:rPr>
          <w:rFonts w:ascii="Times New Roman" w:hAnsi="Times New Roman"/>
        </w:rPr>
        <w:t xml:space="preserve">in fact </w:t>
      </w:r>
      <w:r w:rsidR="00B31EE6" w:rsidRPr="005E1802">
        <w:rPr>
          <w:rFonts w:ascii="Times New Roman" w:hAnsi="Times New Roman"/>
        </w:rPr>
        <w:t xml:space="preserve">gives </w:t>
      </w:r>
      <w:r w:rsidR="00B0587A" w:rsidRPr="005E1802">
        <w:rPr>
          <w:rFonts w:ascii="Times New Roman" w:hAnsi="Times New Roman"/>
        </w:rPr>
        <w:t xml:space="preserve">for its decision </w:t>
      </w:r>
      <w:r w:rsidR="00C67771" w:rsidRPr="005E1802">
        <w:rPr>
          <w:rFonts w:ascii="Times New Roman" w:hAnsi="Times New Roman"/>
        </w:rPr>
        <w:t xml:space="preserve">was not considered by it to be material. </w:t>
      </w:r>
    </w:p>
    <w:p w14:paraId="3D16A71E" w14:textId="18B87DBF" w:rsidR="007617BF" w:rsidRPr="005E1802" w:rsidRDefault="007617BF"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B4570B" w:rsidRPr="005E1802">
        <w:rPr>
          <w:rFonts w:ascii="Times New Roman" w:hAnsi="Times New Roman"/>
        </w:rPr>
        <w:t>The</w:t>
      </w:r>
      <w:r w:rsidRPr="005E1802">
        <w:rPr>
          <w:rFonts w:ascii="Times New Roman" w:hAnsi="Times New Roman"/>
        </w:rPr>
        <w:t xml:space="preserve"> plaintif</w:t>
      </w:r>
      <w:r w:rsidR="00EB13DC" w:rsidRPr="005E1802">
        <w:rPr>
          <w:rFonts w:ascii="Times New Roman" w:hAnsi="Times New Roman"/>
        </w:rPr>
        <w:t>f</w:t>
      </w:r>
      <w:r w:rsidRPr="005E1802">
        <w:rPr>
          <w:rFonts w:ascii="Times New Roman" w:hAnsi="Times New Roman"/>
        </w:rPr>
        <w:t xml:space="preserve"> </w:t>
      </w:r>
      <w:r w:rsidR="00B4570B" w:rsidRPr="005E1802">
        <w:rPr>
          <w:rFonts w:ascii="Times New Roman" w:hAnsi="Times New Roman"/>
        </w:rPr>
        <w:t>on</w:t>
      </w:r>
      <w:r w:rsidR="00C4445A" w:rsidRPr="005E1802">
        <w:rPr>
          <w:rFonts w:ascii="Times New Roman" w:hAnsi="Times New Roman"/>
        </w:rPr>
        <w:t xml:space="preserve"> an application for judicial review of a decision of the </w:t>
      </w:r>
      <w:r w:rsidR="00FE5F5D" w:rsidRPr="005E1802">
        <w:rPr>
          <w:rFonts w:ascii="Times New Roman" w:hAnsi="Times New Roman"/>
        </w:rPr>
        <w:t>T</w:t>
      </w:r>
      <w:r w:rsidR="00053FAE" w:rsidRPr="005E1802">
        <w:rPr>
          <w:rFonts w:ascii="Times New Roman" w:hAnsi="Times New Roman"/>
        </w:rPr>
        <w:t>ribunal</w:t>
      </w:r>
      <w:r w:rsidR="00C4445A" w:rsidRPr="005E1802">
        <w:rPr>
          <w:rFonts w:ascii="Times New Roman" w:hAnsi="Times New Roman"/>
        </w:rPr>
        <w:t xml:space="preserve"> </w:t>
      </w:r>
      <w:r w:rsidR="00EB053C" w:rsidRPr="005E1802">
        <w:rPr>
          <w:rFonts w:ascii="Times New Roman" w:hAnsi="Times New Roman"/>
        </w:rPr>
        <w:t xml:space="preserve">faces </w:t>
      </w:r>
      <w:r w:rsidR="00A07B34" w:rsidRPr="005E1802">
        <w:rPr>
          <w:rFonts w:ascii="Times New Roman" w:hAnsi="Times New Roman"/>
        </w:rPr>
        <w:t xml:space="preserve">no presumptive </w:t>
      </w:r>
      <w:r w:rsidR="00B4570B" w:rsidRPr="005E1802">
        <w:rPr>
          <w:rFonts w:ascii="Times New Roman" w:hAnsi="Times New Roman"/>
        </w:rPr>
        <w:t xml:space="preserve">impediment to the discharge of </w:t>
      </w:r>
      <w:r w:rsidR="009A6FF0" w:rsidRPr="005E1802">
        <w:rPr>
          <w:rFonts w:ascii="Times New Roman" w:hAnsi="Times New Roman"/>
        </w:rPr>
        <w:t>his or her burden of proof</w:t>
      </w:r>
      <w:r w:rsidR="00C4445A" w:rsidRPr="005E1802">
        <w:rPr>
          <w:rFonts w:ascii="Times New Roman" w:hAnsi="Times New Roman"/>
        </w:rPr>
        <w:t xml:space="preserve">. </w:t>
      </w:r>
      <w:r w:rsidR="000F54CE" w:rsidRPr="005E1802">
        <w:rPr>
          <w:rFonts w:ascii="Times New Roman" w:hAnsi="Times New Roman"/>
        </w:rPr>
        <w:t xml:space="preserve">Whether or not </w:t>
      </w:r>
      <w:r w:rsidR="00C21067" w:rsidRPr="005E1802">
        <w:rPr>
          <w:rFonts w:ascii="Times New Roman" w:hAnsi="Times New Roman"/>
        </w:rPr>
        <w:t xml:space="preserve">the plaintiff </w:t>
      </w:r>
      <w:r w:rsidR="000F54CE" w:rsidRPr="005E1802">
        <w:rPr>
          <w:rFonts w:ascii="Times New Roman" w:hAnsi="Times New Roman"/>
        </w:rPr>
        <w:t xml:space="preserve">has discharged </w:t>
      </w:r>
      <w:r w:rsidR="009A6FF0" w:rsidRPr="005E1802">
        <w:rPr>
          <w:rFonts w:ascii="Times New Roman" w:hAnsi="Times New Roman"/>
        </w:rPr>
        <w:t>the</w:t>
      </w:r>
      <w:r w:rsidR="000F54CE" w:rsidRPr="005E1802">
        <w:rPr>
          <w:rFonts w:ascii="Times New Roman" w:hAnsi="Times New Roman"/>
        </w:rPr>
        <w:t xml:space="preserve"> burden of proving on the balance of probabilities that particular information covered by a particular notification was or was not taken into account by the </w:t>
      </w:r>
      <w:r w:rsidR="00FE5F5D" w:rsidRPr="005E1802">
        <w:rPr>
          <w:rFonts w:ascii="Times New Roman" w:hAnsi="Times New Roman"/>
        </w:rPr>
        <w:t>T</w:t>
      </w:r>
      <w:r w:rsidR="00053FAE" w:rsidRPr="005E1802">
        <w:rPr>
          <w:rFonts w:ascii="Times New Roman" w:hAnsi="Times New Roman"/>
        </w:rPr>
        <w:t>ribunal</w:t>
      </w:r>
      <w:r w:rsidR="000F54CE" w:rsidRPr="005E1802">
        <w:rPr>
          <w:rFonts w:ascii="Times New Roman" w:hAnsi="Times New Roman"/>
        </w:rPr>
        <w:t xml:space="preserve"> in making the decision under review fall</w:t>
      </w:r>
      <w:r w:rsidR="00804D05" w:rsidRPr="005E1802">
        <w:rPr>
          <w:rFonts w:ascii="Times New Roman" w:hAnsi="Times New Roman"/>
        </w:rPr>
        <w:t>s</w:t>
      </w:r>
      <w:r w:rsidR="000F54CE" w:rsidRPr="005E1802">
        <w:rPr>
          <w:rFonts w:ascii="Times New Roman" w:hAnsi="Times New Roman"/>
        </w:rPr>
        <w:t xml:space="preserve"> to be determined </w:t>
      </w:r>
      <w:r w:rsidRPr="005E1802">
        <w:rPr>
          <w:rFonts w:ascii="Times New Roman" w:hAnsi="Times New Roman"/>
        </w:rPr>
        <w:t xml:space="preserve">at the end of the day by </w:t>
      </w:r>
      <w:r w:rsidR="00A07B34" w:rsidRPr="005E1802">
        <w:rPr>
          <w:rFonts w:ascii="Times New Roman" w:hAnsi="Times New Roman"/>
        </w:rPr>
        <w:t>reference to</w:t>
      </w:r>
      <w:r w:rsidRPr="005E1802">
        <w:rPr>
          <w:rFonts w:ascii="Times New Roman" w:hAnsi="Times New Roman"/>
        </w:rPr>
        <w:t xml:space="preserve"> inferences appropriate to be drawn from the totality of the evidence</w:t>
      </w:r>
      <w:r w:rsidR="009A6FF0" w:rsidRPr="005E1802">
        <w:rPr>
          <w:rFonts w:ascii="Times New Roman" w:hAnsi="Times New Roman"/>
        </w:rPr>
        <w:t xml:space="preserve"> adduced on the application</w:t>
      </w:r>
      <w:r w:rsidRPr="005E1802">
        <w:rPr>
          <w:rFonts w:ascii="Times New Roman" w:hAnsi="Times New Roman"/>
        </w:rPr>
        <w:t>.</w:t>
      </w:r>
    </w:p>
    <w:p w14:paraId="44B0AC30" w14:textId="4625D256" w:rsidR="004A5E6A" w:rsidRPr="005E1802" w:rsidRDefault="003A7326"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Before </w:t>
      </w:r>
      <w:r w:rsidR="00556C56" w:rsidRPr="005E1802">
        <w:rPr>
          <w:rFonts w:ascii="Times New Roman" w:hAnsi="Times New Roman"/>
        </w:rPr>
        <w:t xml:space="preserve">turning to examine </w:t>
      </w:r>
      <w:r w:rsidR="00C21067" w:rsidRPr="005E1802">
        <w:rPr>
          <w:rFonts w:ascii="Times New Roman" w:hAnsi="Times New Roman"/>
        </w:rPr>
        <w:t xml:space="preserve">whether the appellant discharged his burden of proving on the balance of probabilities that </w:t>
      </w:r>
      <w:r w:rsidR="00BA2B93" w:rsidRPr="005E1802">
        <w:rPr>
          <w:rFonts w:ascii="Times New Roman" w:hAnsi="Times New Roman"/>
        </w:rPr>
        <w:t xml:space="preserve">the </w:t>
      </w:r>
      <w:r w:rsidR="00FE5F5D" w:rsidRPr="005E1802">
        <w:rPr>
          <w:rFonts w:ascii="Times New Roman" w:hAnsi="Times New Roman"/>
        </w:rPr>
        <w:t>T</w:t>
      </w:r>
      <w:r w:rsidR="00D4433D" w:rsidRPr="005E1802">
        <w:rPr>
          <w:rFonts w:ascii="Times New Roman" w:hAnsi="Times New Roman"/>
        </w:rPr>
        <w:t>ribunal</w:t>
      </w:r>
      <w:r w:rsidR="00BA2B93" w:rsidRPr="005E1802">
        <w:rPr>
          <w:rFonts w:ascii="Times New Roman" w:hAnsi="Times New Roman"/>
        </w:rPr>
        <w:t xml:space="preserve"> took </w:t>
      </w:r>
      <w:r w:rsidR="003D280E" w:rsidRPr="005E1802">
        <w:rPr>
          <w:rFonts w:ascii="Times New Roman" w:hAnsi="Times New Roman"/>
        </w:rPr>
        <w:t xml:space="preserve">potentially adverse </w:t>
      </w:r>
      <w:r w:rsidR="00AF3F3C" w:rsidRPr="005E1802">
        <w:rPr>
          <w:rFonts w:ascii="Times New Roman" w:hAnsi="Times New Roman"/>
        </w:rPr>
        <w:t xml:space="preserve">information </w:t>
      </w:r>
      <w:r w:rsidR="00C21067" w:rsidRPr="005E1802">
        <w:rPr>
          <w:rFonts w:ascii="Times New Roman" w:hAnsi="Times New Roman"/>
        </w:rPr>
        <w:t xml:space="preserve">covered by </w:t>
      </w:r>
      <w:r w:rsidR="00513CED" w:rsidRPr="005E1802">
        <w:rPr>
          <w:rFonts w:ascii="Times New Roman" w:hAnsi="Times New Roman"/>
        </w:rPr>
        <w:t>the</w:t>
      </w:r>
      <w:r w:rsidR="00C21067" w:rsidRPr="005E1802">
        <w:rPr>
          <w:rFonts w:ascii="Times New Roman" w:hAnsi="Times New Roman"/>
        </w:rPr>
        <w:t xml:space="preserve"> notification into account </w:t>
      </w:r>
      <w:r w:rsidR="007E08A4" w:rsidRPr="005E1802">
        <w:rPr>
          <w:rFonts w:ascii="Times New Roman" w:hAnsi="Times New Roman"/>
        </w:rPr>
        <w:t xml:space="preserve">in making </w:t>
      </w:r>
      <w:r w:rsidR="006B5C3D" w:rsidRPr="005E1802">
        <w:rPr>
          <w:rFonts w:ascii="Times New Roman" w:hAnsi="Times New Roman"/>
        </w:rPr>
        <w:t>its final</w:t>
      </w:r>
      <w:r w:rsidR="007E08A4" w:rsidRPr="005E1802">
        <w:rPr>
          <w:rFonts w:ascii="Times New Roman" w:hAnsi="Times New Roman"/>
        </w:rPr>
        <w:t xml:space="preserve"> decision in the present </w:t>
      </w:r>
      <w:r w:rsidR="00BA2B93" w:rsidRPr="005E1802">
        <w:rPr>
          <w:rFonts w:ascii="Times New Roman" w:hAnsi="Times New Roman"/>
        </w:rPr>
        <w:t xml:space="preserve">case, </w:t>
      </w:r>
      <w:r w:rsidR="00C64E58" w:rsidRPr="005E1802">
        <w:rPr>
          <w:rFonts w:ascii="Times New Roman" w:hAnsi="Times New Roman"/>
        </w:rPr>
        <w:t xml:space="preserve">it is </w:t>
      </w:r>
      <w:r w:rsidR="003D280E" w:rsidRPr="005E1802">
        <w:rPr>
          <w:rFonts w:ascii="Times New Roman" w:hAnsi="Times New Roman"/>
        </w:rPr>
        <w:t>appropriate</w:t>
      </w:r>
      <w:r w:rsidR="00C64E58" w:rsidRPr="005E1802">
        <w:rPr>
          <w:rFonts w:ascii="Times New Roman" w:hAnsi="Times New Roman"/>
        </w:rPr>
        <w:t xml:space="preserve"> to return to the </w:t>
      </w:r>
      <w:r w:rsidR="008A4BE1" w:rsidRPr="005E1802">
        <w:rPr>
          <w:rFonts w:ascii="Times New Roman" w:hAnsi="Times New Roman"/>
        </w:rPr>
        <w:t>topic of the</w:t>
      </w:r>
      <w:r w:rsidRPr="005E1802">
        <w:rPr>
          <w:rFonts w:ascii="Times New Roman" w:hAnsi="Times New Roman"/>
        </w:rPr>
        <w:t xml:space="preserve"> potential for information covered by </w:t>
      </w:r>
      <w:r w:rsidR="0089611B" w:rsidRPr="005E1802">
        <w:rPr>
          <w:rFonts w:ascii="Times New Roman" w:hAnsi="Times New Roman"/>
        </w:rPr>
        <w:t>a</w:t>
      </w:r>
      <w:r w:rsidRPr="005E1802">
        <w:rPr>
          <w:rFonts w:ascii="Times New Roman" w:hAnsi="Times New Roman"/>
        </w:rPr>
        <w:t xml:space="preserve"> notification to have had a subconscious impact on the </w:t>
      </w:r>
      <w:r w:rsidR="00FE5F5D" w:rsidRPr="005E1802">
        <w:rPr>
          <w:rFonts w:ascii="Times New Roman" w:hAnsi="Times New Roman"/>
        </w:rPr>
        <w:t>T</w:t>
      </w:r>
      <w:r w:rsidR="00D4433D" w:rsidRPr="005E1802">
        <w:rPr>
          <w:rFonts w:ascii="Times New Roman" w:hAnsi="Times New Roman"/>
        </w:rPr>
        <w:t>ribunal</w:t>
      </w:r>
      <w:r w:rsidR="00355CE1" w:rsidRPr="005E1802">
        <w:rPr>
          <w:rFonts w:ascii="Times New Roman" w:hAnsi="Times New Roman"/>
        </w:rPr>
        <w:t xml:space="preserve"> even if</w:t>
      </w:r>
      <w:r w:rsidR="00D97D6E" w:rsidRPr="005E1802">
        <w:rPr>
          <w:rFonts w:ascii="Times New Roman" w:hAnsi="Times New Roman"/>
        </w:rPr>
        <w:t xml:space="preserve"> the </w:t>
      </w:r>
      <w:r w:rsidR="00FE5F5D" w:rsidRPr="005E1802">
        <w:rPr>
          <w:rFonts w:ascii="Times New Roman" w:hAnsi="Times New Roman"/>
        </w:rPr>
        <w:t>T</w:t>
      </w:r>
      <w:r w:rsidR="00D4433D" w:rsidRPr="005E1802">
        <w:rPr>
          <w:rFonts w:ascii="Times New Roman" w:hAnsi="Times New Roman"/>
        </w:rPr>
        <w:t xml:space="preserve">ribunal </w:t>
      </w:r>
      <w:r w:rsidR="00D97D6E" w:rsidRPr="005E1802">
        <w:rPr>
          <w:rFonts w:ascii="Times New Roman" w:hAnsi="Times New Roman"/>
        </w:rPr>
        <w:t xml:space="preserve">did not consciously take </w:t>
      </w:r>
      <w:r w:rsidR="00072069" w:rsidRPr="005E1802">
        <w:rPr>
          <w:rFonts w:ascii="Times New Roman" w:hAnsi="Times New Roman"/>
        </w:rPr>
        <w:t>that information</w:t>
      </w:r>
      <w:r w:rsidR="00355CE1" w:rsidRPr="005E1802">
        <w:rPr>
          <w:rFonts w:ascii="Times New Roman" w:hAnsi="Times New Roman"/>
        </w:rPr>
        <w:t xml:space="preserve"> into account</w:t>
      </w:r>
      <w:r w:rsidR="00D97D6E" w:rsidRPr="005E1802">
        <w:rPr>
          <w:rFonts w:ascii="Times New Roman" w:hAnsi="Times New Roman"/>
        </w:rPr>
        <w:t xml:space="preserve">. </w:t>
      </w:r>
      <w:r w:rsidR="00DE07BA" w:rsidRPr="005E1802">
        <w:rPr>
          <w:rFonts w:ascii="Times New Roman" w:hAnsi="Times New Roman"/>
        </w:rPr>
        <w:t xml:space="preserve">The potential arises </w:t>
      </w:r>
      <w:r w:rsidR="0089611B" w:rsidRPr="005E1802">
        <w:rPr>
          <w:rFonts w:ascii="Times New Roman" w:hAnsi="Times New Roman"/>
        </w:rPr>
        <w:t>from</w:t>
      </w:r>
      <w:r w:rsidR="00DE07BA" w:rsidRPr="005E1802">
        <w:rPr>
          <w:rFonts w:ascii="Times New Roman" w:hAnsi="Times New Roman"/>
        </w:rPr>
        <w:t xml:space="preserve"> the </w:t>
      </w:r>
      <w:r w:rsidR="001136F2" w:rsidRPr="005E1802">
        <w:rPr>
          <w:rFonts w:ascii="Times New Roman" w:hAnsi="Times New Roman"/>
        </w:rPr>
        <w:t xml:space="preserve">availability of an </w:t>
      </w:r>
      <w:r w:rsidR="00DE07BA" w:rsidRPr="005E1802">
        <w:rPr>
          <w:rFonts w:ascii="Times New Roman" w:hAnsi="Times New Roman"/>
        </w:rPr>
        <w:t>inference</w:t>
      </w:r>
      <w:r w:rsidR="00B857D1" w:rsidRPr="005E1802">
        <w:rPr>
          <w:rFonts w:ascii="Times New Roman" w:hAnsi="Times New Roman"/>
        </w:rPr>
        <w:t xml:space="preserve">, which the appellant </w:t>
      </w:r>
      <w:r w:rsidR="0089611B" w:rsidRPr="005E1802">
        <w:rPr>
          <w:rFonts w:ascii="Times New Roman" w:hAnsi="Times New Roman"/>
        </w:rPr>
        <w:t xml:space="preserve">seeks to </w:t>
      </w:r>
      <w:r w:rsidR="00FB22B8" w:rsidRPr="005E1802">
        <w:rPr>
          <w:rFonts w:ascii="Times New Roman" w:hAnsi="Times New Roman"/>
        </w:rPr>
        <w:t>call in aid</w:t>
      </w:r>
      <w:r w:rsidR="008E21F2" w:rsidRPr="005E1802">
        <w:rPr>
          <w:rFonts w:ascii="Times New Roman" w:hAnsi="Times New Roman"/>
        </w:rPr>
        <w:t xml:space="preserve">, that the </w:t>
      </w:r>
      <w:r w:rsidR="00FE5F5D" w:rsidRPr="005E1802">
        <w:rPr>
          <w:rFonts w:ascii="Times New Roman" w:hAnsi="Times New Roman"/>
        </w:rPr>
        <w:t>T</w:t>
      </w:r>
      <w:r w:rsidR="0056407F" w:rsidRPr="005E1802">
        <w:rPr>
          <w:rFonts w:ascii="Times New Roman" w:hAnsi="Times New Roman"/>
        </w:rPr>
        <w:t>ribunal</w:t>
      </w:r>
      <w:r w:rsidR="008E21F2" w:rsidRPr="005E1802">
        <w:rPr>
          <w:rFonts w:ascii="Times New Roman" w:hAnsi="Times New Roman"/>
        </w:rPr>
        <w:t xml:space="preserve"> can be expected</w:t>
      </w:r>
      <w:r w:rsidR="0012610A" w:rsidRPr="005E1802">
        <w:rPr>
          <w:rFonts w:ascii="Times New Roman" w:hAnsi="Times New Roman"/>
        </w:rPr>
        <w:t xml:space="preserve"> in the conduct of a review</w:t>
      </w:r>
      <w:r w:rsidR="008E21F2" w:rsidRPr="005E1802">
        <w:rPr>
          <w:rFonts w:ascii="Times New Roman" w:hAnsi="Times New Roman"/>
        </w:rPr>
        <w:t xml:space="preserve"> </w:t>
      </w:r>
      <w:r w:rsidR="00FF1960" w:rsidRPr="005E1802">
        <w:rPr>
          <w:rFonts w:ascii="Times New Roman" w:hAnsi="Times New Roman"/>
        </w:rPr>
        <w:t xml:space="preserve">at least </w:t>
      </w:r>
      <w:r w:rsidR="008F671B" w:rsidRPr="005E1802">
        <w:rPr>
          <w:rFonts w:ascii="Times New Roman" w:hAnsi="Times New Roman"/>
        </w:rPr>
        <w:t xml:space="preserve">to </w:t>
      </w:r>
      <w:r w:rsidR="00FF1960" w:rsidRPr="005E1802">
        <w:rPr>
          <w:rFonts w:ascii="Times New Roman" w:hAnsi="Times New Roman"/>
        </w:rPr>
        <w:t xml:space="preserve">look at information </w:t>
      </w:r>
      <w:r w:rsidR="008F671B" w:rsidRPr="005E1802">
        <w:rPr>
          <w:rFonts w:ascii="Times New Roman" w:hAnsi="Times New Roman"/>
        </w:rPr>
        <w:t xml:space="preserve">covered by </w:t>
      </w:r>
      <w:r w:rsidR="00805C55" w:rsidRPr="005E1802">
        <w:rPr>
          <w:rFonts w:ascii="Times New Roman" w:hAnsi="Times New Roman"/>
        </w:rPr>
        <w:t>a</w:t>
      </w:r>
      <w:r w:rsidR="008F671B" w:rsidRPr="005E1802">
        <w:rPr>
          <w:rFonts w:ascii="Times New Roman" w:hAnsi="Times New Roman"/>
        </w:rPr>
        <w:t xml:space="preserve"> notification for the purpose of </w:t>
      </w:r>
      <w:r w:rsidR="00270B38" w:rsidRPr="005E1802">
        <w:rPr>
          <w:rFonts w:ascii="Times New Roman" w:hAnsi="Times New Roman"/>
        </w:rPr>
        <w:t>considering exercise</w:t>
      </w:r>
      <w:r w:rsidR="004A5E6A" w:rsidRPr="005E1802">
        <w:rPr>
          <w:rFonts w:ascii="Times New Roman" w:hAnsi="Times New Roman"/>
        </w:rPr>
        <w:t xml:space="preserve"> of</w:t>
      </w:r>
      <w:r w:rsidR="00270B38" w:rsidRPr="005E1802">
        <w:rPr>
          <w:rFonts w:ascii="Times New Roman" w:hAnsi="Times New Roman"/>
        </w:rPr>
        <w:t xml:space="preserve"> the discretions conferred by s 438(3)(a) and</w:t>
      </w:r>
      <w:r w:rsidR="0056407F" w:rsidRPr="005E1802">
        <w:rPr>
          <w:rFonts w:ascii="Times New Roman" w:hAnsi="Times New Roman"/>
        </w:rPr>
        <w:t> </w:t>
      </w:r>
      <w:r w:rsidR="00270B38" w:rsidRPr="005E1802">
        <w:rPr>
          <w:rFonts w:ascii="Times New Roman" w:hAnsi="Times New Roman"/>
        </w:rPr>
        <w:t>(b).</w:t>
      </w:r>
    </w:p>
    <w:p w14:paraId="7B703C58" w14:textId="40476970" w:rsidR="00210156" w:rsidRPr="005E1802" w:rsidRDefault="004A5E6A"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97D6E" w:rsidRPr="005E1802">
        <w:rPr>
          <w:rFonts w:ascii="Times New Roman" w:hAnsi="Times New Roman"/>
        </w:rPr>
        <w:t xml:space="preserve">Quite apart </w:t>
      </w:r>
      <w:r w:rsidR="00810CBB" w:rsidRPr="005E1802">
        <w:rPr>
          <w:rFonts w:ascii="Times New Roman" w:hAnsi="Times New Roman"/>
        </w:rPr>
        <w:t>from practical difficulties inher</w:t>
      </w:r>
      <w:r w:rsidR="00804FC5" w:rsidRPr="005E1802">
        <w:rPr>
          <w:rFonts w:ascii="Times New Roman" w:hAnsi="Times New Roman"/>
        </w:rPr>
        <w:t>ing</w:t>
      </w:r>
      <w:r w:rsidR="00810CBB" w:rsidRPr="005E1802">
        <w:rPr>
          <w:rFonts w:ascii="Times New Roman" w:hAnsi="Times New Roman"/>
        </w:rPr>
        <w:t xml:space="preserve"> in </w:t>
      </w:r>
      <w:r w:rsidR="00157235" w:rsidRPr="005E1802">
        <w:rPr>
          <w:rFonts w:ascii="Times New Roman" w:hAnsi="Times New Roman"/>
        </w:rPr>
        <w:t>pro</w:t>
      </w:r>
      <w:r w:rsidR="001C6EA3" w:rsidRPr="005E1802">
        <w:rPr>
          <w:rFonts w:ascii="Times New Roman" w:hAnsi="Times New Roman"/>
        </w:rPr>
        <w:t xml:space="preserve">of of </w:t>
      </w:r>
      <w:r w:rsidR="001171B3" w:rsidRPr="005E1802">
        <w:rPr>
          <w:rFonts w:ascii="Times New Roman" w:hAnsi="Times New Roman"/>
        </w:rPr>
        <w:t>a subconscious impact</w:t>
      </w:r>
      <w:r w:rsidR="00926129" w:rsidRPr="005E1802">
        <w:rPr>
          <w:rFonts w:ascii="Times New Roman" w:hAnsi="Times New Roman"/>
        </w:rPr>
        <w:t xml:space="preserve">, there </w:t>
      </w:r>
      <w:r w:rsidR="007D02C8" w:rsidRPr="005E1802">
        <w:rPr>
          <w:rFonts w:ascii="Times New Roman" w:hAnsi="Times New Roman"/>
        </w:rPr>
        <w:t>is a</w:t>
      </w:r>
      <w:r w:rsidR="00D4295B" w:rsidRPr="005E1802">
        <w:rPr>
          <w:rFonts w:ascii="Times New Roman" w:hAnsi="Times New Roman"/>
        </w:rPr>
        <w:t xml:space="preserve"> conceptual</w:t>
      </w:r>
      <w:r w:rsidR="00926129" w:rsidRPr="005E1802">
        <w:rPr>
          <w:rFonts w:ascii="Times New Roman" w:hAnsi="Times New Roman"/>
        </w:rPr>
        <w:t xml:space="preserve"> difficulty </w:t>
      </w:r>
      <w:r w:rsidR="003C787F" w:rsidRPr="005E1802">
        <w:rPr>
          <w:rFonts w:ascii="Times New Roman" w:hAnsi="Times New Roman"/>
        </w:rPr>
        <w:t xml:space="preserve">in </w:t>
      </w:r>
      <w:r w:rsidR="00805C55" w:rsidRPr="005E1802">
        <w:rPr>
          <w:rFonts w:ascii="Times New Roman" w:hAnsi="Times New Roman"/>
        </w:rPr>
        <w:t>fathoming</w:t>
      </w:r>
      <w:r w:rsidR="00D86FD6" w:rsidRPr="005E1802">
        <w:rPr>
          <w:rFonts w:ascii="Times New Roman" w:hAnsi="Times New Roman"/>
        </w:rPr>
        <w:t xml:space="preserve"> how</w:t>
      </w:r>
      <w:r w:rsidR="003C787F" w:rsidRPr="005E1802">
        <w:rPr>
          <w:rFonts w:ascii="Times New Roman" w:hAnsi="Times New Roman"/>
        </w:rPr>
        <w:t xml:space="preserve"> </w:t>
      </w:r>
      <w:r w:rsidR="000C784E" w:rsidRPr="005E1802">
        <w:rPr>
          <w:rFonts w:ascii="Times New Roman" w:hAnsi="Times New Roman"/>
        </w:rPr>
        <w:t xml:space="preserve">the potential for information covered by </w:t>
      </w:r>
      <w:r w:rsidR="00967A27" w:rsidRPr="005E1802">
        <w:rPr>
          <w:rFonts w:ascii="Times New Roman" w:hAnsi="Times New Roman"/>
        </w:rPr>
        <w:t>a</w:t>
      </w:r>
      <w:r w:rsidR="000C784E" w:rsidRPr="005E1802">
        <w:rPr>
          <w:rFonts w:ascii="Times New Roman" w:hAnsi="Times New Roman"/>
        </w:rPr>
        <w:t xml:space="preserve"> notification to have had </w:t>
      </w:r>
      <w:r w:rsidR="00967A27" w:rsidRPr="005E1802">
        <w:rPr>
          <w:rFonts w:ascii="Times New Roman" w:hAnsi="Times New Roman"/>
        </w:rPr>
        <w:t>an</w:t>
      </w:r>
      <w:r w:rsidR="000C784E" w:rsidRPr="005E1802">
        <w:rPr>
          <w:rFonts w:ascii="Times New Roman" w:hAnsi="Times New Roman"/>
        </w:rPr>
        <w:t xml:space="preserve"> impact on the</w:t>
      </w:r>
      <w:r w:rsidR="008306E0" w:rsidRPr="005E1802">
        <w:rPr>
          <w:rFonts w:ascii="Times New Roman" w:hAnsi="Times New Roman"/>
        </w:rPr>
        <w:t xml:space="preserve"> subconscious </w:t>
      </w:r>
      <w:r w:rsidR="008306E0" w:rsidRPr="005E1802">
        <w:rPr>
          <w:rFonts w:ascii="Times New Roman" w:hAnsi="Times New Roman"/>
        </w:rPr>
        <w:lastRenderedPageBreak/>
        <w:t xml:space="preserve">of </w:t>
      </w:r>
      <w:r w:rsidR="00B823F4" w:rsidRPr="005E1802">
        <w:rPr>
          <w:rFonts w:ascii="Times New Roman" w:hAnsi="Times New Roman"/>
        </w:rPr>
        <w:t xml:space="preserve">a member who constitutes </w:t>
      </w:r>
      <w:r w:rsidR="008306E0" w:rsidRPr="005E1802">
        <w:rPr>
          <w:rFonts w:ascii="Times New Roman" w:hAnsi="Times New Roman"/>
        </w:rPr>
        <w:t xml:space="preserve">the </w:t>
      </w:r>
      <w:r w:rsidR="00FE5F5D" w:rsidRPr="005E1802">
        <w:rPr>
          <w:rFonts w:ascii="Times New Roman" w:hAnsi="Times New Roman"/>
        </w:rPr>
        <w:t>T</w:t>
      </w:r>
      <w:r w:rsidR="009E66CD" w:rsidRPr="005E1802">
        <w:rPr>
          <w:rFonts w:ascii="Times New Roman" w:hAnsi="Times New Roman"/>
        </w:rPr>
        <w:t>ribunal</w:t>
      </w:r>
      <w:r w:rsidR="00D86FD6" w:rsidRPr="005E1802">
        <w:rPr>
          <w:rFonts w:ascii="Times New Roman" w:hAnsi="Times New Roman"/>
        </w:rPr>
        <w:t xml:space="preserve"> can properly </w:t>
      </w:r>
      <w:r w:rsidR="0045514F" w:rsidRPr="005E1802">
        <w:rPr>
          <w:rFonts w:ascii="Times New Roman" w:hAnsi="Times New Roman"/>
        </w:rPr>
        <w:t xml:space="preserve">bear on the </w:t>
      </w:r>
      <w:r w:rsidR="00800905" w:rsidRPr="005E1802">
        <w:rPr>
          <w:rFonts w:ascii="Times New Roman" w:hAnsi="Times New Roman"/>
        </w:rPr>
        <w:t xml:space="preserve">legal consequence </w:t>
      </w:r>
      <w:r w:rsidR="00A17C3C" w:rsidRPr="005E1802">
        <w:rPr>
          <w:rFonts w:ascii="Times New Roman" w:hAnsi="Times New Roman"/>
        </w:rPr>
        <w:t>of</w:t>
      </w:r>
      <w:r w:rsidR="00630C83" w:rsidRPr="005E1802">
        <w:rPr>
          <w:rFonts w:ascii="Times New Roman" w:hAnsi="Times New Roman"/>
        </w:rPr>
        <w:t xml:space="preserve"> </w:t>
      </w:r>
      <w:r w:rsidR="002C6239" w:rsidRPr="005E1802">
        <w:rPr>
          <w:rFonts w:ascii="Times New Roman" w:hAnsi="Times New Roman"/>
        </w:rPr>
        <w:t>a</w:t>
      </w:r>
      <w:r w:rsidR="00A17C3C" w:rsidRPr="005E1802">
        <w:rPr>
          <w:rFonts w:ascii="Times New Roman" w:hAnsi="Times New Roman"/>
        </w:rPr>
        <w:t xml:space="preserve"> failure to </w:t>
      </w:r>
      <w:r w:rsidR="0045514F" w:rsidRPr="005E1802">
        <w:rPr>
          <w:rFonts w:ascii="Times New Roman" w:hAnsi="Times New Roman"/>
        </w:rPr>
        <w:t xml:space="preserve">discharge </w:t>
      </w:r>
      <w:r w:rsidR="008E4335" w:rsidRPr="005E1802">
        <w:rPr>
          <w:rFonts w:ascii="Times New Roman" w:hAnsi="Times New Roman"/>
        </w:rPr>
        <w:t>the procedural</w:t>
      </w:r>
      <w:r w:rsidR="0045514F" w:rsidRPr="005E1802">
        <w:rPr>
          <w:rFonts w:ascii="Times New Roman" w:hAnsi="Times New Roman"/>
        </w:rPr>
        <w:t xml:space="preserve"> obligation</w:t>
      </w:r>
      <w:r w:rsidR="008E4335" w:rsidRPr="005E1802">
        <w:rPr>
          <w:rFonts w:ascii="Times New Roman" w:hAnsi="Times New Roman"/>
        </w:rPr>
        <w:t xml:space="preserve"> that it breache</w:t>
      </w:r>
      <w:r w:rsidR="00122875" w:rsidRPr="005E1802">
        <w:rPr>
          <w:rFonts w:ascii="Times New Roman" w:hAnsi="Times New Roman"/>
        </w:rPr>
        <w:t>s through non-disclosure of a notification</w:t>
      </w:r>
      <w:r w:rsidR="0045514F" w:rsidRPr="005E1802">
        <w:rPr>
          <w:rFonts w:ascii="Times New Roman" w:hAnsi="Times New Roman"/>
        </w:rPr>
        <w:t xml:space="preserve">. </w:t>
      </w:r>
      <w:r w:rsidR="00210156" w:rsidRPr="005E1802">
        <w:rPr>
          <w:rFonts w:ascii="Times New Roman" w:hAnsi="Times New Roman"/>
        </w:rPr>
        <w:t>As was not</w:t>
      </w:r>
      <w:r w:rsidR="007B1BFC" w:rsidRPr="005E1802">
        <w:rPr>
          <w:rFonts w:ascii="Times New Roman" w:hAnsi="Times New Roman"/>
        </w:rPr>
        <w:t>ed</w:t>
      </w:r>
      <w:r w:rsidR="00210156" w:rsidRPr="005E1802">
        <w:rPr>
          <w:rFonts w:ascii="Times New Roman" w:hAnsi="Times New Roman"/>
        </w:rPr>
        <w:t xml:space="preserve"> </w:t>
      </w:r>
      <w:r w:rsidR="00E06DEA" w:rsidRPr="005E1802">
        <w:rPr>
          <w:rFonts w:ascii="Times New Roman" w:hAnsi="Times New Roman"/>
        </w:rPr>
        <w:t xml:space="preserve">in </w:t>
      </w:r>
      <w:r w:rsidR="005D2EDA" w:rsidRPr="005E1802">
        <w:rPr>
          <w:rFonts w:ascii="Times New Roman" w:hAnsi="Times New Roman"/>
          <w:i/>
          <w:iCs/>
        </w:rPr>
        <w:t>Minister for Immigration and Border Protection v SZSS</w:t>
      </w:r>
      <w:r w:rsidR="001266F8" w:rsidRPr="005E1802">
        <w:rPr>
          <w:rFonts w:ascii="Times New Roman" w:hAnsi="Times New Roman"/>
          <w:i/>
          <w:iCs/>
        </w:rPr>
        <w:t>J</w:t>
      </w:r>
      <w:r w:rsidR="007B1BFC" w:rsidRPr="005E1802">
        <w:rPr>
          <w:rStyle w:val="FootnoteReference"/>
          <w:rFonts w:ascii="Times New Roman" w:hAnsi="Times New Roman"/>
          <w:sz w:val="24"/>
        </w:rPr>
        <w:footnoteReference w:id="76"/>
      </w:r>
      <w:r w:rsidR="007B187D" w:rsidRPr="005E1802">
        <w:rPr>
          <w:rFonts w:ascii="Times New Roman" w:hAnsi="Times New Roman"/>
        </w:rPr>
        <w:t xml:space="preserve">, </w:t>
      </w:r>
      <w:r w:rsidR="00314A65" w:rsidRPr="005E1802">
        <w:rPr>
          <w:rFonts w:ascii="Times New Roman" w:hAnsi="Times New Roman"/>
        </w:rPr>
        <w:t>whilst "compliance with an implied condition of procedural fairness requires the repository of a statutory power to adopt a procedure that is reasonable in the circumstances to afford an opportunity to be heard to a person who has an interest apt to be affected by exercise of that power</w:t>
      </w:r>
      <w:r w:rsidR="007B187D" w:rsidRPr="005E1802">
        <w:rPr>
          <w:rFonts w:ascii="Times New Roman" w:hAnsi="Times New Roman"/>
        </w:rPr>
        <w:t>"</w:t>
      </w:r>
      <w:r w:rsidR="00314A65" w:rsidRPr="005E1802">
        <w:rPr>
          <w:rFonts w:ascii="Times New Roman" w:hAnsi="Times New Roman"/>
        </w:rPr>
        <w:t xml:space="preserve">, </w:t>
      </w:r>
      <w:r w:rsidR="00F90BC3" w:rsidRPr="005E1802">
        <w:rPr>
          <w:rFonts w:ascii="Times New Roman" w:hAnsi="Times New Roman"/>
        </w:rPr>
        <w:t>"</w:t>
      </w:r>
      <w:r w:rsidR="007B187D" w:rsidRPr="005E1802">
        <w:rPr>
          <w:rFonts w:ascii="Times New Roman" w:hAnsi="Times New Roman"/>
        </w:rPr>
        <w:t>[o]rdinarily, there is no requirement that the person be notified of information which is in the possession of, or accessible to, the repository but which the repository has chosen not to take into account at all in the conduct of the inquiry</w:t>
      </w:r>
      <w:r w:rsidR="00314A65" w:rsidRPr="005E1802">
        <w:rPr>
          <w:rFonts w:ascii="Times New Roman" w:hAnsi="Times New Roman"/>
        </w:rPr>
        <w:t>"</w:t>
      </w:r>
      <w:r w:rsidR="007B187D" w:rsidRPr="005E1802">
        <w:rPr>
          <w:rFonts w:ascii="Times New Roman" w:hAnsi="Times New Roman"/>
        </w:rPr>
        <w:t>.</w:t>
      </w:r>
      <w:r w:rsidR="0045514F" w:rsidRPr="005E1802">
        <w:rPr>
          <w:rFonts w:ascii="Times New Roman" w:hAnsi="Times New Roman"/>
        </w:rPr>
        <w:t xml:space="preserve"> </w:t>
      </w:r>
      <w:r w:rsidR="001D1365" w:rsidRPr="005E1802">
        <w:rPr>
          <w:rFonts w:ascii="Times New Roman" w:hAnsi="Times New Roman"/>
        </w:rPr>
        <w:t xml:space="preserve">There is an oddity in </w:t>
      </w:r>
      <w:r w:rsidR="00900074" w:rsidRPr="005E1802">
        <w:rPr>
          <w:rFonts w:ascii="Times New Roman" w:hAnsi="Times New Roman"/>
        </w:rPr>
        <w:t xml:space="preserve">conceiving of the </w:t>
      </w:r>
      <w:r w:rsidR="005A445A" w:rsidRPr="005E1802">
        <w:rPr>
          <w:rFonts w:ascii="Times New Roman" w:hAnsi="Times New Roman"/>
        </w:rPr>
        <w:t xml:space="preserve">opportunity to </w:t>
      </w:r>
      <w:r w:rsidR="004B36BB" w:rsidRPr="005E1802">
        <w:rPr>
          <w:rFonts w:ascii="Times New Roman" w:hAnsi="Times New Roman"/>
        </w:rPr>
        <w:t xml:space="preserve">be heard </w:t>
      </w:r>
      <w:r w:rsidR="005A445A" w:rsidRPr="005E1802">
        <w:rPr>
          <w:rFonts w:ascii="Times New Roman" w:hAnsi="Times New Roman"/>
        </w:rPr>
        <w:t>of which the appellant was deprived by n</w:t>
      </w:r>
      <w:r w:rsidR="009122A6" w:rsidRPr="005E1802">
        <w:rPr>
          <w:rFonts w:ascii="Times New Roman" w:hAnsi="Times New Roman"/>
        </w:rPr>
        <w:t xml:space="preserve">on-disclosure of the notification as </w:t>
      </w:r>
      <w:r w:rsidR="008F40F4" w:rsidRPr="005E1802">
        <w:rPr>
          <w:rFonts w:ascii="Times New Roman" w:hAnsi="Times New Roman"/>
        </w:rPr>
        <w:t>a lost opportunity</w:t>
      </w:r>
      <w:r w:rsidR="009122A6" w:rsidRPr="005E1802">
        <w:rPr>
          <w:rFonts w:ascii="Times New Roman" w:hAnsi="Times New Roman"/>
        </w:rPr>
        <w:t xml:space="preserve"> to present legal and factual argument to the </w:t>
      </w:r>
      <w:r w:rsidR="00FE5F5D" w:rsidRPr="005E1802">
        <w:rPr>
          <w:rFonts w:ascii="Times New Roman" w:hAnsi="Times New Roman"/>
        </w:rPr>
        <w:t>T</w:t>
      </w:r>
      <w:r w:rsidR="0012399E" w:rsidRPr="005E1802">
        <w:rPr>
          <w:rFonts w:ascii="Times New Roman" w:hAnsi="Times New Roman"/>
        </w:rPr>
        <w:t>ribunal</w:t>
      </w:r>
      <w:r w:rsidR="009122A6" w:rsidRPr="005E1802">
        <w:rPr>
          <w:rFonts w:ascii="Times New Roman" w:hAnsi="Times New Roman"/>
        </w:rPr>
        <w:t xml:space="preserve"> </w:t>
      </w:r>
      <w:r w:rsidR="00623B98" w:rsidRPr="005E1802">
        <w:rPr>
          <w:rFonts w:ascii="Times New Roman" w:hAnsi="Times New Roman"/>
        </w:rPr>
        <w:t xml:space="preserve">directed to the </w:t>
      </w:r>
      <w:r w:rsidR="00FE5F5D" w:rsidRPr="005E1802">
        <w:rPr>
          <w:rFonts w:ascii="Times New Roman" w:hAnsi="Times New Roman"/>
        </w:rPr>
        <w:t>T</w:t>
      </w:r>
      <w:r w:rsidR="0012399E" w:rsidRPr="005E1802">
        <w:rPr>
          <w:rFonts w:ascii="Times New Roman" w:hAnsi="Times New Roman"/>
        </w:rPr>
        <w:t>ribunal</w:t>
      </w:r>
      <w:r w:rsidR="00623B98" w:rsidRPr="005E1802">
        <w:rPr>
          <w:rFonts w:ascii="Times New Roman" w:hAnsi="Times New Roman"/>
        </w:rPr>
        <w:t xml:space="preserve">'s subconscious. </w:t>
      </w:r>
      <w:r w:rsidR="00123787" w:rsidRPr="005E1802">
        <w:rPr>
          <w:rFonts w:ascii="Times New Roman" w:hAnsi="Times New Roman"/>
        </w:rPr>
        <w:t xml:space="preserve">There </w:t>
      </w:r>
      <w:r w:rsidR="00900074" w:rsidRPr="005E1802">
        <w:rPr>
          <w:rFonts w:ascii="Times New Roman" w:hAnsi="Times New Roman"/>
        </w:rPr>
        <w:t>is a</w:t>
      </w:r>
      <w:r w:rsidR="00123787" w:rsidRPr="005E1802">
        <w:rPr>
          <w:rFonts w:ascii="Times New Roman" w:hAnsi="Times New Roman"/>
        </w:rPr>
        <w:t xml:space="preserve"> similar</w:t>
      </w:r>
      <w:r w:rsidR="00900074" w:rsidRPr="005E1802">
        <w:rPr>
          <w:rFonts w:ascii="Times New Roman" w:hAnsi="Times New Roman"/>
        </w:rPr>
        <w:t xml:space="preserve"> oddity in thinking that</w:t>
      </w:r>
      <w:r w:rsidR="00AF2B4F" w:rsidRPr="005E1802">
        <w:rPr>
          <w:rFonts w:ascii="Times New Roman" w:hAnsi="Times New Roman"/>
        </w:rPr>
        <w:t xml:space="preserve"> the </w:t>
      </w:r>
      <w:r w:rsidR="00FE5F5D" w:rsidRPr="005E1802">
        <w:rPr>
          <w:rFonts w:ascii="Times New Roman" w:hAnsi="Times New Roman"/>
        </w:rPr>
        <w:t>T</w:t>
      </w:r>
      <w:r w:rsidR="0012399E" w:rsidRPr="005E1802">
        <w:rPr>
          <w:rFonts w:ascii="Times New Roman" w:hAnsi="Times New Roman"/>
        </w:rPr>
        <w:t>ribunal</w:t>
      </w:r>
      <w:r w:rsidR="00AF2B4F" w:rsidRPr="005E1802">
        <w:rPr>
          <w:rFonts w:ascii="Times New Roman" w:hAnsi="Times New Roman"/>
        </w:rPr>
        <w:t xml:space="preserve"> </w:t>
      </w:r>
      <w:r w:rsidR="00900074" w:rsidRPr="005E1802">
        <w:rPr>
          <w:rFonts w:ascii="Times New Roman" w:hAnsi="Times New Roman"/>
        </w:rPr>
        <w:t xml:space="preserve">was required </w:t>
      </w:r>
      <w:r w:rsidR="00AF2B4F" w:rsidRPr="005E1802">
        <w:rPr>
          <w:rFonts w:ascii="Times New Roman" w:hAnsi="Times New Roman"/>
        </w:rPr>
        <w:t xml:space="preserve">to examine its own </w:t>
      </w:r>
      <w:r w:rsidR="00075777" w:rsidRPr="005E1802">
        <w:rPr>
          <w:rFonts w:ascii="Times New Roman" w:hAnsi="Times New Roman"/>
        </w:rPr>
        <w:t>sub</w:t>
      </w:r>
      <w:r w:rsidR="00AF2B4F" w:rsidRPr="005E1802">
        <w:rPr>
          <w:rFonts w:ascii="Times New Roman" w:hAnsi="Times New Roman"/>
        </w:rPr>
        <w:t xml:space="preserve">conscious </w:t>
      </w:r>
      <w:r w:rsidR="008038F2" w:rsidRPr="005E1802">
        <w:rPr>
          <w:rFonts w:ascii="Times New Roman" w:hAnsi="Times New Roman"/>
        </w:rPr>
        <w:t xml:space="preserve">in considering </w:t>
      </w:r>
      <w:r w:rsidR="00A81F3D" w:rsidRPr="005E1802">
        <w:rPr>
          <w:rFonts w:ascii="Times New Roman" w:hAnsi="Times New Roman"/>
        </w:rPr>
        <w:t xml:space="preserve">the </w:t>
      </w:r>
      <w:r w:rsidR="008038F2" w:rsidRPr="005E1802">
        <w:rPr>
          <w:rFonts w:ascii="Times New Roman" w:hAnsi="Times New Roman"/>
        </w:rPr>
        <w:t xml:space="preserve">exercise </w:t>
      </w:r>
      <w:r w:rsidR="00494E68" w:rsidRPr="005E1802">
        <w:rPr>
          <w:rFonts w:ascii="Times New Roman" w:hAnsi="Times New Roman"/>
        </w:rPr>
        <w:t xml:space="preserve">of </w:t>
      </w:r>
      <w:r w:rsidR="008038F2" w:rsidRPr="005E1802">
        <w:rPr>
          <w:rFonts w:ascii="Times New Roman" w:hAnsi="Times New Roman"/>
        </w:rPr>
        <w:t>the discretions conferred by s 438(3)(a) and</w:t>
      </w:r>
      <w:r w:rsidR="00F83A07" w:rsidRPr="005E1802">
        <w:rPr>
          <w:rFonts w:ascii="Times New Roman" w:hAnsi="Times New Roman"/>
        </w:rPr>
        <w:t> </w:t>
      </w:r>
      <w:r w:rsidR="008038F2" w:rsidRPr="005E1802">
        <w:rPr>
          <w:rFonts w:ascii="Times New Roman" w:hAnsi="Times New Roman"/>
        </w:rPr>
        <w:t>(b).</w:t>
      </w:r>
    </w:p>
    <w:p w14:paraId="56C81505" w14:textId="28F82AEB" w:rsidR="004D3408" w:rsidRPr="005E1802" w:rsidRDefault="00A81F3D"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482C8C" w:rsidRPr="005E1802">
        <w:rPr>
          <w:rFonts w:ascii="Times New Roman" w:hAnsi="Times New Roman"/>
        </w:rPr>
        <w:t>B</w:t>
      </w:r>
      <w:r w:rsidRPr="005E1802">
        <w:rPr>
          <w:rFonts w:ascii="Times New Roman" w:hAnsi="Times New Roman"/>
        </w:rPr>
        <w:t>e</w:t>
      </w:r>
      <w:r w:rsidR="00EA3BF9" w:rsidRPr="005E1802">
        <w:rPr>
          <w:rFonts w:ascii="Times New Roman" w:hAnsi="Times New Roman"/>
        </w:rPr>
        <w:t>st</w:t>
      </w:r>
      <w:r w:rsidRPr="005E1802">
        <w:rPr>
          <w:rFonts w:ascii="Times New Roman" w:hAnsi="Times New Roman"/>
        </w:rPr>
        <w:t xml:space="preserve"> is </w:t>
      </w:r>
      <w:r w:rsidR="008709B9" w:rsidRPr="005E1802">
        <w:rPr>
          <w:rFonts w:ascii="Times New Roman" w:hAnsi="Times New Roman"/>
        </w:rPr>
        <w:t xml:space="preserve">to </w:t>
      </w:r>
      <w:r w:rsidR="004B36BB" w:rsidRPr="005E1802">
        <w:rPr>
          <w:rFonts w:ascii="Times New Roman" w:hAnsi="Times New Roman"/>
        </w:rPr>
        <w:t>conceive of</w:t>
      </w:r>
      <w:r w:rsidR="008709B9" w:rsidRPr="005E1802">
        <w:rPr>
          <w:rFonts w:ascii="Times New Roman" w:hAnsi="Times New Roman"/>
        </w:rPr>
        <w:t xml:space="preserve"> the potential for information covered by a notification to have had a subconscious impact on the </w:t>
      </w:r>
      <w:r w:rsidR="00FE5F5D" w:rsidRPr="005E1802">
        <w:rPr>
          <w:rFonts w:ascii="Times New Roman" w:hAnsi="Times New Roman"/>
        </w:rPr>
        <w:t>T</w:t>
      </w:r>
      <w:r w:rsidR="0012399E" w:rsidRPr="005E1802">
        <w:rPr>
          <w:rFonts w:ascii="Times New Roman" w:hAnsi="Times New Roman"/>
        </w:rPr>
        <w:t>ribunal</w:t>
      </w:r>
      <w:r w:rsidR="003F0378" w:rsidRPr="005E1802">
        <w:rPr>
          <w:rFonts w:ascii="Times New Roman" w:hAnsi="Times New Roman"/>
        </w:rPr>
        <w:t xml:space="preserve"> </w:t>
      </w:r>
      <w:r w:rsidR="00F33A02" w:rsidRPr="005E1802">
        <w:rPr>
          <w:rFonts w:ascii="Times New Roman" w:hAnsi="Times New Roman"/>
        </w:rPr>
        <w:t xml:space="preserve">not </w:t>
      </w:r>
      <w:r w:rsidR="008709B9" w:rsidRPr="005E1802">
        <w:rPr>
          <w:rFonts w:ascii="Times New Roman" w:hAnsi="Times New Roman"/>
        </w:rPr>
        <w:t xml:space="preserve">as bearing </w:t>
      </w:r>
      <w:r w:rsidR="00F205A8" w:rsidRPr="005E1802">
        <w:rPr>
          <w:rFonts w:ascii="Times New Roman" w:hAnsi="Times New Roman"/>
        </w:rPr>
        <w:t xml:space="preserve">on the </w:t>
      </w:r>
      <w:r w:rsidR="00BD5647" w:rsidRPr="005E1802">
        <w:rPr>
          <w:rFonts w:ascii="Times New Roman" w:hAnsi="Times New Roman"/>
        </w:rPr>
        <w:t xml:space="preserve">statutory </w:t>
      </w:r>
      <w:r w:rsidR="00032B1D" w:rsidRPr="005E1802">
        <w:rPr>
          <w:rFonts w:ascii="Times New Roman" w:hAnsi="Times New Roman"/>
        </w:rPr>
        <w:t xml:space="preserve">consequence </w:t>
      </w:r>
      <w:r w:rsidR="00BD5647" w:rsidRPr="005E1802">
        <w:rPr>
          <w:rFonts w:ascii="Times New Roman" w:hAnsi="Times New Roman"/>
        </w:rPr>
        <w:t>of non-compliance with</w:t>
      </w:r>
      <w:r w:rsidR="00F205A8" w:rsidRPr="005E1802">
        <w:rPr>
          <w:rFonts w:ascii="Times New Roman" w:hAnsi="Times New Roman"/>
        </w:rPr>
        <w:t xml:space="preserve"> the </w:t>
      </w:r>
      <w:r w:rsidR="00FE5F5D" w:rsidRPr="005E1802">
        <w:rPr>
          <w:rFonts w:ascii="Times New Roman" w:hAnsi="Times New Roman"/>
        </w:rPr>
        <w:t>T</w:t>
      </w:r>
      <w:r w:rsidR="0012399E" w:rsidRPr="005E1802">
        <w:rPr>
          <w:rFonts w:ascii="Times New Roman" w:hAnsi="Times New Roman"/>
        </w:rPr>
        <w:t>ribunal</w:t>
      </w:r>
      <w:r w:rsidR="00AC653C" w:rsidRPr="005E1802">
        <w:rPr>
          <w:rFonts w:ascii="Times New Roman" w:hAnsi="Times New Roman"/>
        </w:rPr>
        <w:t xml:space="preserve">'s procedural fairness </w:t>
      </w:r>
      <w:r w:rsidR="001E0F41" w:rsidRPr="005E1802">
        <w:rPr>
          <w:rFonts w:ascii="Times New Roman" w:hAnsi="Times New Roman"/>
        </w:rPr>
        <w:t xml:space="preserve">obligation </w:t>
      </w:r>
      <w:r w:rsidR="00AC653C" w:rsidRPr="005E1802">
        <w:rPr>
          <w:rFonts w:ascii="Times New Roman" w:hAnsi="Times New Roman"/>
        </w:rPr>
        <w:t xml:space="preserve">to </w:t>
      </w:r>
      <w:r w:rsidR="007801CA" w:rsidRPr="005E1802">
        <w:rPr>
          <w:rFonts w:ascii="Times New Roman" w:hAnsi="Times New Roman"/>
        </w:rPr>
        <w:t xml:space="preserve">give notice of the </w:t>
      </w:r>
      <w:r w:rsidR="001E0F41" w:rsidRPr="005E1802">
        <w:rPr>
          <w:rFonts w:ascii="Times New Roman" w:hAnsi="Times New Roman"/>
        </w:rPr>
        <w:t xml:space="preserve">notification </w:t>
      </w:r>
      <w:r w:rsidR="007801CA" w:rsidRPr="005E1802">
        <w:rPr>
          <w:rFonts w:ascii="Times New Roman" w:hAnsi="Times New Roman"/>
        </w:rPr>
        <w:t xml:space="preserve">but </w:t>
      </w:r>
      <w:r w:rsidR="00F33A02" w:rsidRPr="005E1802">
        <w:rPr>
          <w:rFonts w:ascii="Times New Roman" w:hAnsi="Times New Roman"/>
        </w:rPr>
        <w:t xml:space="preserve">rather </w:t>
      </w:r>
      <w:r w:rsidR="00CB335D" w:rsidRPr="005E1802">
        <w:rPr>
          <w:rFonts w:ascii="Times New Roman" w:hAnsi="Times New Roman"/>
        </w:rPr>
        <w:t>as</w:t>
      </w:r>
      <w:r w:rsidR="00171A06" w:rsidRPr="005E1802">
        <w:rPr>
          <w:rFonts w:ascii="Times New Roman" w:hAnsi="Times New Roman"/>
        </w:rPr>
        <w:t xml:space="preserve"> </w:t>
      </w:r>
      <w:r w:rsidR="00BB0D61" w:rsidRPr="005E1802">
        <w:rPr>
          <w:rFonts w:ascii="Times New Roman" w:hAnsi="Times New Roman"/>
        </w:rPr>
        <w:t xml:space="preserve">having the potential to </w:t>
      </w:r>
      <w:r w:rsidR="00171A06" w:rsidRPr="005E1802">
        <w:rPr>
          <w:rFonts w:ascii="Times New Roman" w:hAnsi="Times New Roman"/>
        </w:rPr>
        <w:t xml:space="preserve">bear </w:t>
      </w:r>
      <w:r w:rsidR="007801CA" w:rsidRPr="005E1802">
        <w:rPr>
          <w:rFonts w:ascii="Times New Roman" w:hAnsi="Times New Roman"/>
        </w:rPr>
        <w:t>on the discharge</w:t>
      </w:r>
      <w:r w:rsidR="006305B2" w:rsidRPr="005E1802">
        <w:rPr>
          <w:rFonts w:ascii="Times New Roman" w:hAnsi="Times New Roman"/>
        </w:rPr>
        <w:t xml:space="preserve"> of</w:t>
      </w:r>
      <w:r w:rsidR="007801CA" w:rsidRPr="005E1802">
        <w:rPr>
          <w:rFonts w:ascii="Times New Roman" w:hAnsi="Times New Roman"/>
        </w:rPr>
        <w:t xml:space="preserve"> the </w:t>
      </w:r>
      <w:r w:rsidR="0012399E" w:rsidRPr="005E1802">
        <w:rPr>
          <w:rFonts w:ascii="Times New Roman" w:hAnsi="Times New Roman"/>
        </w:rPr>
        <w:t>Tribunal</w:t>
      </w:r>
      <w:r w:rsidR="007801CA" w:rsidRPr="005E1802">
        <w:rPr>
          <w:rFonts w:ascii="Times New Roman" w:hAnsi="Times New Roman"/>
        </w:rPr>
        <w:t>'s distinct obligation of procedural fairness</w:t>
      </w:r>
      <w:r w:rsidR="004D3D7B" w:rsidRPr="005E1802">
        <w:rPr>
          <w:rFonts w:ascii="Times New Roman" w:hAnsi="Times New Roman"/>
        </w:rPr>
        <w:t xml:space="preserve"> to ensure that </w:t>
      </w:r>
      <w:r w:rsidR="00453099" w:rsidRPr="005E1802">
        <w:rPr>
          <w:rFonts w:ascii="Times New Roman" w:hAnsi="Times New Roman"/>
        </w:rPr>
        <w:t xml:space="preserve">what occurs in the conduct of the review </w:t>
      </w:r>
      <w:r w:rsidR="003C7323" w:rsidRPr="005E1802">
        <w:rPr>
          <w:rFonts w:ascii="Times New Roman" w:hAnsi="Times New Roman"/>
        </w:rPr>
        <w:t>"is never such that a fair-minded lay observer properly informed as to the nature of the procedure for which [</w:t>
      </w:r>
      <w:r w:rsidR="00D572EB" w:rsidRPr="005E1802">
        <w:rPr>
          <w:rFonts w:ascii="Times New Roman" w:hAnsi="Times New Roman"/>
        </w:rPr>
        <w:t xml:space="preserve">Pt 7] </w:t>
      </w:r>
      <w:r w:rsidR="003C7323" w:rsidRPr="005E1802">
        <w:rPr>
          <w:rFonts w:ascii="Times New Roman" w:hAnsi="Times New Roman"/>
        </w:rPr>
        <w:t xml:space="preserve">provides might reasonably apprehend that the </w:t>
      </w:r>
      <w:r w:rsidR="00D572EB" w:rsidRPr="005E1802">
        <w:rPr>
          <w:rFonts w:ascii="Times New Roman" w:hAnsi="Times New Roman"/>
        </w:rPr>
        <w:t>[</w:t>
      </w:r>
      <w:r w:rsidR="00FE5F5D" w:rsidRPr="005E1802">
        <w:rPr>
          <w:rFonts w:ascii="Times New Roman" w:hAnsi="Times New Roman"/>
        </w:rPr>
        <w:t>T</w:t>
      </w:r>
      <w:r w:rsidR="009F1965" w:rsidRPr="005E1802">
        <w:rPr>
          <w:rFonts w:ascii="Times New Roman" w:hAnsi="Times New Roman"/>
        </w:rPr>
        <w:t>ribunal</w:t>
      </w:r>
      <w:r w:rsidR="00D572EB" w:rsidRPr="005E1802">
        <w:rPr>
          <w:rFonts w:ascii="Times New Roman" w:hAnsi="Times New Roman"/>
        </w:rPr>
        <w:t>]</w:t>
      </w:r>
      <w:r w:rsidR="003C7323" w:rsidRPr="005E1802">
        <w:rPr>
          <w:rFonts w:ascii="Times New Roman" w:hAnsi="Times New Roman"/>
        </w:rPr>
        <w:t xml:space="preserve"> might not bring an impartial and unprejudiced mind to the resolution of the factual and legal questions that arise for its decision in the conduct of a review</w:t>
      </w:r>
      <w:r w:rsidR="00D572EB" w:rsidRPr="005E1802">
        <w:rPr>
          <w:rFonts w:ascii="Times New Roman" w:hAnsi="Times New Roman"/>
        </w:rPr>
        <w:t>"</w:t>
      </w:r>
      <w:r w:rsidR="00171A06" w:rsidRPr="005E1802">
        <w:rPr>
          <w:rStyle w:val="FootnoteReference"/>
          <w:rFonts w:ascii="Times New Roman" w:hAnsi="Times New Roman"/>
          <w:sz w:val="24"/>
        </w:rPr>
        <w:footnoteReference w:id="77"/>
      </w:r>
      <w:r w:rsidR="003C7323" w:rsidRPr="005E1802">
        <w:rPr>
          <w:rFonts w:ascii="Times New Roman" w:hAnsi="Times New Roman"/>
        </w:rPr>
        <w:t>.</w:t>
      </w:r>
      <w:r w:rsidR="00746BDA" w:rsidRPr="005E1802">
        <w:rPr>
          <w:rFonts w:ascii="Times New Roman" w:hAnsi="Times New Roman"/>
        </w:rPr>
        <w:t xml:space="preserve"> </w:t>
      </w:r>
    </w:p>
    <w:p w14:paraId="7378D5B0" w14:textId="64E01CAF" w:rsidR="00A81F3D" w:rsidRPr="005E1802" w:rsidRDefault="004D3408"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9C6ADC" w:rsidRPr="005E1802">
        <w:rPr>
          <w:rFonts w:ascii="Times New Roman" w:hAnsi="Times New Roman"/>
        </w:rPr>
        <w:t xml:space="preserve">In the case of </w:t>
      </w:r>
      <w:r w:rsidR="001A59B4" w:rsidRPr="005E1802">
        <w:rPr>
          <w:rFonts w:ascii="Times New Roman" w:hAnsi="Times New Roman"/>
        </w:rPr>
        <w:t xml:space="preserve">potentially adverse </w:t>
      </w:r>
      <w:r w:rsidR="009C6ADC" w:rsidRPr="005E1802">
        <w:rPr>
          <w:rFonts w:ascii="Times New Roman" w:hAnsi="Times New Roman"/>
        </w:rPr>
        <w:t xml:space="preserve">information </w:t>
      </w:r>
      <w:r w:rsidR="00974AD0" w:rsidRPr="005E1802">
        <w:rPr>
          <w:rFonts w:ascii="Times New Roman" w:hAnsi="Times New Roman"/>
        </w:rPr>
        <w:t xml:space="preserve">covered by a notification </w:t>
      </w:r>
      <w:r w:rsidR="001A59B4" w:rsidRPr="005E1802">
        <w:rPr>
          <w:rFonts w:ascii="Times New Roman" w:hAnsi="Times New Roman"/>
        </w:rPr>
        <w:t xml:space="preserve">that has </w:t>
      </w:r>
      <w:r w:rsidR="00974AD0" w:rsidRPr="005E1802">
        <w:rPr>
          <w:rFonts w:ascii="Times New Roman" w:hAnsi="Times New Roman"/>
        </w:rPr>
        <w:t xml:space="preserve">not </w:t>
      </w:r>
      <w:r w:rsidR="001A59B4" w:rsidRPr="005E1802">
        <w:rPr>
          <w:rFonts w:ascii="Times New Roman" w:hAnsi="Times New Roman"/>
        </w:rPr>
        <w:t xml:space="preserve">been </w:t>
      </w:r>
      <w:r w:rsidR="00975E94" w:rsidRPr="005E1802">
        <w:rPr>
          <w:rFonts w:ascii="Times New Roman" w:hAnsi="Times New Roman"/>
        </w:rPr>
        <w:t>proven to have been</w:t>
      </w:r>
      <w:r w:rsidR="000C130F" w:rsidRPr="005E1802">
        <w:rPr>
          <w:rFonts w:ascii="Times New Roman" w:hAnsi="Times New Roman"/>
        </w:rPr>
        <w:t xml:space="preserve"> taken into account by the </w:t>
      </w:r>
      <w:r w:rsidR="00FE5F5D" w:rsidRPr="005E1802">
        <w:rPr>
          <w:rFonts w:ascii="Times New Roman" w:hAnsi="Times New Roman"/>
        </w:rPr>
        <w:t>T</w:t>
      </w:r>
      <w:r w:rsidR="002855D0" w:rsidRPr="005E1802">
        <w:rPr>
          <w:rFonts w:ascii="Times New Roman" w:hAnsi="Times New Roman"/>
        </w:rPr>
        <w:t>ribunal</w:t>
      </w:r>
      <w:r w:rsidR="000C130F" w:rsidRPr="005E1802">
        <w:rPr>
          <w:rFonts w:ascii="Times New Roman" w:hAnsi="Times New Roman"/>
        </w:rPr>
        <w:t xml:space="preserve"> in making its decision, </w:t>
      </w:r>
      <w:r w:rsidR="008F40F4" w:rsidRPr="005E1802">
        <w:rPr>
          <w:rFonts w:ascii="Times New Roman" w:hAnsi="Times New Roman"/>
        </w:rPr>
        <w:t>a</w:t>
      </w:r>
      <w:r w:rsidR="00746BDA" w:rsidRPr="005E1802">
        <w:rPr>
          <w:rFonts w:ascii="Times New Roman" w:hAnsi="Times New Roman"/>
        </w:rPr>
        <w:t xml:space="preserve"> question </w:t>
      </w:r>
      <w:r w:rsidR="00EF74DA" w:rsidRPr="005E1802">
        <w:rPr>
          <w:rFonts w:ascii="Times New Roman" w:hAnsi="Times New Roman"/>
        </w:rPr>
        <w:t xml:space="preserve">for </w:t>
      </w:r>
      <w:r w:rsidR="009C5B3A" w:rsidRPr="005E1802">
        <w:rPr>
          <w:rFonts w:ascii="Times New Roman" w:hAnsi="Times New Roman"/>
        </w:rPr>
        <w:t>a court on judicial review</w:t>
      </w:r>
      <w:r w:rsidR="007A6554" w:rsidRPr="005E1802">
        <w:rPr>
          <w:rFonts w:ascii="Times New Roman" w:hAnsi="Times New Roman"/>
        </w:rPr>
        <w:t xml:space="preserve"> in an appropriate case can</w:t>
      </w:r>
      <w:r w:rsidR="00746BDA" w:rsidRPr="005E1802">
        <w:rPr>
          <w:rFonts w:ascii="Times New Roman" w:hAnsi="Times New Roman"/>
        </w:rPr>
        <w:t xml:space="preserve"> </w:t>
      </w:r>
      <w:r w:rsidR="00CA2475" w:rsidRPr="005E1802">
        <w:rPr>
          <w:rFonts w:ascii="Times New Roman" w:hAnsi="Times New Roman"/>
        </w:rPr>
        <w:t>still remain</w:t>
      </w:r>
      <w:r w:rsidR="00746BDA" w:rsidRPr="005E1802">
        <w:rPr>
          <w:rFonts w:ascii="Times New Roman" w:hAnsi="Times New Roman"/>
        </w:rPr>
        <w:t xml:space="preserve"> whether </w:t>
      </w:r>
      <w:r w:rsidR="00EF74DA" w:rsidRPr="005E1802">
        <w:rPr>
          <w:rFonts w:ascii="Times New Roman" w:hAnsi="Times New Roman"/>
        </w:rPr>
        <w:t xml:space="preserve">the </w:t>
      </w:r>
      <w:r w:rsidR="009C5B3A" w:rsidRPr="005E1802">
        <w:rPr>
          <w:rFonts w:ascii="Times New Roman" w:hAnsi="Times New Roman"/>
        </w:rPr>
        <w:t xml:space="preserve">information </w:t>
      </w:r>
      <w:r w:rsidR="00EF74DA" w:rsidRPr="005E1802">
        <w:rPr>
          <w:rFonts w:ascii="Times New Roman" w:hAnsi="Times New Roman"/>
        </w:rPr>
        <w:t xml:space="preserve">was so "highly prejudicial" to the </w:t>
      </w:r>
      <w:r w:rsidR="005C4016" w:rsidRPr="005E1802">
        <w:rPr>
          <w:rFonts w:ascii="Times New Roman" w:hAnsi="Times New Roman"/>
        </w:rPr>
        <w:t xml:space="preserve">applicant for review </w:t>
      </w:r>
      <w:r w:rsidR="00EF74DA" w:rsidRPr="005E1802">
        <w:rPr>
          <w:rFonts w:ascii="Times New Roman" w:hAnsi="Times New Roman"/>
        </w:rPr>
        <w:t>that "the fair-minded lay observer, acting reasonably, would not dismiss the possibility that the [</w:t>
      </w:r>
      <w:r w:rsidR="00FE5F5D" w:rsidRPr="005E1802">
        <w:rPr>
          <w:rFonts w:ascii="Times New Roman" w:hAnsi="Times New Roman"/>
        </w:rPr>
        <w:t>T</w:t>
      </w:r>
      <w:r w:rsidR="002855D0" w:rsidRPr="005E1802">
        <w:rPr>
          <w:rFonts w:ascii="Times New Roman" w:hAnsi="Times New Roman"/>
        </w:rPr>
        <w:t>ribunal</w:t>
      </w:r>
      <w:r w:rsidR="00EF74DA" w:rsidRPr="005E1802">
        <w:rPr>
          <w:rFonts w:ascii="Times New Roman" w:hAnsi="Times New Roman"/>
        </w:rPr>
        <w:t xml:space="preserve">] may have been affected by [the information] </w:t>
      </w:r>
      <w:r w:rsidR="00EF74DA" w:rsidRPr="005E1802">
        <w:rPr>
          <w:rFonts w:ascii="Times New Roman" w:hAnsi="Times New Roman"/>
          <w:i/>
          <w:iCs/>
        </w:rPr>
        <w:lastRenderedPageBreak/>
        <w:t>albeit</w:t>
      </w:r>
      <w:r w:rsidR="00EF74DA" w:rsidRPr="005E1802">
        <w:rPr>
          <w:rFonts w:ascii="Times New Roman" w:hAnsi="Times New Roman"/>
        </w:rPr>
        <w:t xml:space="preserve"> subconsciously"</w:t>
      </w:r>
      <w:r w:rsidR="008F594B" w:rsidRPr="005E1802">
        <w:rPr>
          <w:rStyle w:val="FootnoteReference"/>
          <w:rFonts w:ascii="Times New Roman" w:hAnsi="Times New Roman"/>
          <w:sz w:val="24"/>
        </w:rPr>
        <w:footnoteReference w:id="78"/>
      </w:r>
      <w:r w:rsidR="008F594B" w:rsidRPr="005E1802">
        <w:rPr>
          <w:rFonts w:ascii="Times New Roman" w:hAnsi="Times New Roman"/>
        </w:rPr>
        <w:t>.</w:t>
      </w:r>
      <w:r w:rsidR="005C4016" w:rsidRPr="005E1802">
        <w:rPr>
          <w:rFonts w:ascii="Times New Roman" w:hAnsi="Times New Roman"/>
        </w:rPr>
        <w:t xml:space="preserve"> </w:t>
      </w:r>
      <w:r w:rsidRPr="005E1802">
        <w:rPr>
          <w:rFonts w:ascii="Times New Roman" w:hAnsi="Times New Roman"/>
        </w:rPr>
        <w:t>So much was illustrated by</w:t>
      </w:r>
      <w:r w:rsidR="005C4016" w:rsidRPr="005E1802">
        <w:rPr>
          <w:rFonts w:ascii="Times New Roman" w:hAnsi="Times New Roman"/>
        </w:rPr>
        <w:t xml:space="preserve"> the </w:t>
      </w:r>
      <w:r w:rsidR="00D3705A" w:rsidRPr="005E1802">
        <w:rPr>
          <w:rFonts w:ascii="Times New Roman" w:hAnsi="Times New Roman"/>
        </w:rPr>
        <w:t>approach</w:t>
      </w:r>
      <w:r w:rsidR="005C4016" w:rsidRPr="005E1802">
        <w:rPr>
          <w:rFonts w:ascii="Times New Roman" w:hAnsi="Times New Roman"/>
        </w:rPr>
        <w:t xml:space="preserve"> taken</w:t>
      </w:r>
      <w:r w:rsidR="00310D24" w:rsidRPr="005E1802">
        <w:rPr>
          <w:rFonts w:ascii="Times New Roman" w:hAnsi="Times New Roman"/>
        </w:rPr>
        <w:t xml:space="preserve"> </w:t>
      </w:r>
      <w:r w:rsidR="005C4016" w:rsidRPr="005E1802">
        <w:rPr>
          <w:rFonts w:ascii="Times New Roman" w:hAnsi="Times New Roman"/>
        </w:rPr>
        <w:t xml:space="preserve">in </w:t>
      </w:r>
      <w:r w:rsidR="005C4016" w:rsidRPr="005E1802">
        <w:rPr>
          <w:rFonts w:ascii="Times New Roman" w:hAnsi="Times New Roman"/>
          <w:i/>
        </w:rPr>
        <w:t>CQZ15</w:t>
      </w:r>
      <w:r w:rsidR="00D3705A" w:rsidRPr="005E1802">
        <w:rPr>
          <w:rFonts w:ascii="Times New Roman" w:hAnsi="Times New Roman"/>
        </w:rPr>
        <w:t xml:space="preserve">. </w:t>
      </w:r>
      <w:r w:rsidR="002A1054" w:rsidRPr="005E1802">
        <w:rPr>
          <w:rFonts w:ascii="Times New Roman" w:hAnsi="Times New Roman"/>
        </w:rPr>
        <w:t>The Full Court there</w:t>
      </w:r>
      <w:r w:rsidR="005C4016" w:rsidRPr="005E1802">
        <w:rPr>
          <w:rFonts w:ascii="Times New Roman" w:hAnsi="Times New Roman"/>
        </w:rPr>
        <w:t xml:space="preserve"> </w:t>
      </w:r>
      <w:r w:rsidR="00935660" w:rsidRPr="005E1802">
        <w:rPr>
          <w:rFonts w:ascii="Times New Roman" w:hAnsi="Times New Roman"/>
        </w:rPr>
        <w:t xml:space="preserve">found that </w:t>
      </w:r>
      <w:r w:rsidR="00461701" w:rsidRPr="005E1802">
        <w:rPr>
          <w:rFonts w:ascii="Times New Roman" w:hAnsi="Times New Roman"/>
        </w:rPr>
        <w:t xml:space="preserve">a </w:t>
      </w:r>
      <w:r w:rsidR="00BA6BE9" w:rsidRPr="005E1802">
        <w:rPr>
          <w:rFonts w:ascii="Times New Roman" w:hAnsi="Times New Roman"/>
        </w:rPr>
        <w:t>breach</w:t>
      </w:r>
      <w:r w:rsidR="004A000B" w:rsidRPr="005E1802">
        <w:rPr>
          <w:rFonts w:ascii="Times New Roman" w:hAnsi="Times New Roman"/>
        </w:rPr>
        <w:t xml:space="preserve"> by the </w:t>
      </w:r>
      <w:r w:rsidR="00FE5F5D" w:rsidRPr="005E1802">
        <w:rPr>
          <w:rFonts w:ascii="Times New Roman" w:hAnsi="Times New Roman"/>
        </w:rPr>
        <w:t>T</w:t>
      </w:r>
      <w:r w:rsidR="0077693A" w:rsidRPr="005E1802">
        <w:rPr>
          <w:rFonts w:ascii="Times New Roman" w:hAnsi="Times New Roman"/>
        </w:rPr>
        <w:t>ribunal</w:t>
      </w:r>
      <w:r w:rsidR="00BA6BE9" w:rsidRPr="005E1802">
        <w:rPr>
          <w:rFonts w:ascii="Times New Roman" w:hAnsi="Times New Roman"/>
        </w:rPr>
        <w:t xml:space="preserve"> of</w:t>
      </w:r>
      <w:r w:rsidR="004A000B" w:rsidRPr="005E1802">
        <w:rPr>
          <w:rFonts w:ascii="Times New Roman" w:hAnsi="Times New Roman"/>
        </w:rPr>
        <w:t xml:space="preserve"> its </w:t>
      </w:r>
      <w:r w:rsidR="00752EDA" w:rsidRPr="005E1802">
        <w:rPr>
          <w:rFonts w:ascii="Times New Roman" w:hAnsi="Times New Roman"/>
        </w:rPr>
        <w:t xml:space="preserve">procedural fairness obligation to give notice of a notification </w:t>
      </w:r>
      <w:r w:rsidR="00574996" w:rsidRPr="005E1802">
        <w:rPr>
          <w:rFonts w:ascii="Times New Roman" w:hAnsi="Times New Roman"/>
        </w:rPr>
        <w:t xml:space="preserve">did not result in jurisdictional error </w:t>
      </w:r>
      <w:r w:rsidR="00E13EDB" w:rsidRPr="005E1802">
        <w:rPr>
          <w:rFonts w:ascii="Times New Roman" w:hAnsi="Times New Roman"/>
        </w:rPr>
        <w:t xml:space="preserve">because </w:t>
      </w:r>
      <w:r w:rsidR="00B43A34" w:rsidRPr="005E1802">
        <w:rPr>
          <w:rFonts w:ascii="Times New Roman" w:hAnsi="Times New Roman"/>
        </w:rPr>
        <w:t xml:space="preserve">the </w:t>
      </w:r>
      <w:r w:rsidR="00FE5F5D" w:rsidRPr="005E1802">
        <w:rPr>
          <w:rFonts w:ascii="Times New Roman" w:hAnsi="Times New Roman"/>
        </w:rPr>
        <w:t>T</w:t>
      </w:r>
      <w:r w:rsidR="0077693A" w:rsidRPr="005E1802">
        <w:rPr>
          <w:rFonts w:ascii="Times New Roman" w:hAnsi="Times New Roman"/>
        </w:rPr>
        <w:t>ribunal</w:t>
      </w:r>
      <w:r w:rsidR="00B43A34" w:rsidRPr="005E1802">
        <w:rPr>
          <w:rFonts w:ascii="Times New Roman" w:hAnsi="Times New Roman"/>
        </w:rPr>
        <w:t xml:space="preserve"> did not in fact take </w:t>
      </w:r>
      <w:r w:rsidR="00410480" w:rsidRPr="005E1802">
        <w:rPr>
          <w:rFonts w:ascii="Times New Roman" w:hAnsi="Times New Roman"/>
        </w:rPr>
        <w:t xml:space="preserve">the highly </w:t>
      </w:r>
      <w:r w:rsidR="00EF7814" w:rsidRPr="005E1802">
        <w:rPr>
          <w:rFonts w:ascii="Times New Roman" w:hAnsi="Times New Roman"/>
        </w:rPr>
        <w:t>prejudicial information covered by the notification</w:t>
      </w:r>
      <w:r w:rsidR="00B43A34" w:rsidRPr="005E1802">
        <w:rPr>
          <w:rFonts w:ascii="Times New Roman" w:hAnsi="Times New Roman"/>
        </w:rPr>
        <w:t xml:space="preserve"> </w:t>
      </w:r>
      <w:r w:rsidR="00EF7814" w:rsidRPr="005E1802">
        <w:rPr>
          <w:rFonts w:ascii="Times New Roman" w:hAnsi="Times New Roman"/>
        </w:rPr>
        <w:t xml:space="preserve">into account </w:t>
      </w:r>
      <w:r w:rsidR="00091DEF" w:rsidRPr="005E1802">
        <w:rPr>
          <w:rFonts w:ascii="Times New Roman" w:hAnsi="Times New Roman"/>
        </w:rPr>
        <w:t>in making the decision</w:t>
      </w:r>
      <w:r w:rsidR="002A1054" w:rsidRPr="005E1802">
        <w:rPr>
          <w:rFonts w:ascii="Times New Roman" w:hAnsi="Times New Roman"/>
        </w:rPr>
        <w:t>. T</w:t>
      </w:r>
      <w:r w:rsidR="00461701" w:rsidRPr="005E1802">
        <w:rPr>
          <w:rFonts w:ascii="Times New Roman" w:hAnsi="Times New Roman"/>
        </w:rPr>
        <w:t>he Full Court</w:t>
      </w:r>
      <w:r w:rsidR="006A366C" w:rsidRPr="005E1802">
        <w:rPr>
          <w:rFonts w:ascii="Times New Roman" w:hAnsi="Times New Roman"/>
        </w:rPr>
        <w:t xml:space="preserve"> </w:t>
      </w:r>
      <w:r w:rsidR="002A1054" w:rsidRPr="005E1802">
        <w:rPr>
          <w:rFonts w:ascii="Times New Roman" w:hAnsi="Times New Roman"/>
        </w:rPr>
        <w:t xml:space="preserve">nevertheless </w:t>
      </w:r>
      <w:r w:rsidR="006A366C" w:rsidRPr="005E1802">
        <w:rPr>
          <w:rFonts w:ascii="Times New Roman" w:hAnsi="Times New Roman"/>
        </w:rPr>
        <w:t>went on</w:t>
      </w:r>
      <w:r w:rsidR="00310D24" w:rsidRPr="005E1802">
        <w:rPr>
          <w:rFonts w:ascii="Times New Roman" w:hAnsi="Times New Roman"/>
        </w:rPr>
        <w:t xml:space="preserve"> </w:t>
      </w:r>
      <w:r w:rsidR="006A366C" w:rsidRPr="005E1802">
        <w:rPr>
          <w:rFonts w:ascii="Times New Roman" w:hAnsi="Times New Roman"/>
        </w:rPr>
        <w:t xml:space="preserve">to find that </w:t>
      </w:r>
      <w:r w:rsidR="001C6498" w:rsidRPr="005E1802">
        <w:rPr>
          <w:rFonts w:ascii="Times New Roman" w:hAnsi="Times New Roman"/>
        </w:rPr>
        <w:t xml:space="preserve">the decision </w:t>
      </w:r>
      <w:r w:rsidR="00574996" w:rsidRPr="005E1802">
        <w:rPr>
          <w:rFonts w:ascii="Times New Roman" w:hAnsi="Times New Roman"/>
        </w:rPr>
        <w:t xml:space="preserve">was affected by </w:t>
      </w:r>
      <w:r w:rsidR="003A4A19" w:rsidRPr="005E1802">
        <w:rPr>
          <w:rFonts w:ascii="Times New Roman" w:hAnsi="Times New Roman"/>
        </w:rPr>
        <w:t xml:space="preserve">jurisdictional error on the basis that </w:t>
      </w:r>
      <w:r w:rsidR="003C2D87" w:rsidRPr="005E1802">
        <w:rPr>
          <w:rFonts w:ascii="Times New Roman" w:hAnsi="Times New Roman"/>
        </w:rPr>
        <w:t>"</w:t>
      </w:r>
      <w:r w:rsidR="009E76F8" w:rsidRPr="005E1802">
        <w:rPr>
          <w:rFonts w:ascii="Times New Roman" w:hAnsi="Times New Roman"/>
        </w:rPr>
        <w:t xml:space="preserve">[t]he </w:t>
      </w:r>
      <w:r w:rsidR="006D0474" w:rsidRPr="005E1802">
        <w:rPr>
          <w:rFonts w:ascii="Times New Roman" w:hAnsi="Times New Roman"/>
        </w:rPr>
        <w:t xml:space="preserve">fair-minded lay </w:t>
      </w:r>
      <w:r w:rsidR="00456B8D" w:rsidRPr="005E1802">
        <w:rPr>
          <w:rFonts w:ascii="Times New Roman" w:hAnsi="Times New Roman"/>
        </w:rPr>
        <w:t>observer might entertain the possibility</w:t>
      </w:r>
      <w:r w:rsidR="002A5DCE" w:rsidRPr="005E1802">
        <w:rPr>
          <w:rFonts w:ascii="Times New Roman" w:hAnsi="Times New Roman"/>
        </w:rPr>
        <w:t xml:space="preserve"> that, having read </w:t>
      </w:r>
      <w:r w:rsidR="00080DC5" w:rsidRPr="005E1802">
        <w:rPr>
          <w:rFonts w:ascii="Times New Roman" w:hAnsi="Times New Roman"/>
        </w:rPr>
        <w:t xml:space="preserve">the information for the purpose of considering </w:t>
      </w:r>
      <w:r w:rsidR="006B0140" w:rsidRPr="005E1802">
        <w:rPr>
          <w:rFonts w:ascii="Times New Roman" w:hAnsi="Times New Roman"/>
        </w:rPr>
        <w:t>the discretion in s 438</w:t>
      </w:r>
      <w:r w:rsidR="00C1305B" w:rsidRPr="005E1802">
        <w:rPr>
          <w:rFonts w:ascii="Times New Roman" w:hAnsi="Times New Roman"/>
        </w:rPr>
        <w:t xml:space="preserve">(3), the </w:t>
      </w:r>
      <w:r w:rsidR="00FE5F5D" w:rsidRPr="005E1802">
        <w:rPr>
          <w:rFonts w:ascii="Times New Roman" w:hAnsi="Times New Roman"/>
        </w:rPr>
        <w:t>T</w:t>
      </w:r>
      <w:r w:rsidR="00965441" w:rsidRPr="005E1802">
        <w:rPr>
          <w:rFonts w:ascii="Times New Roman" w:hAnsi="Times New Roman"/>
        </w:rPr>
        <w:t>ribunal</w:t>
      </w:r>
      <w:r w:rsidR="00D67E56" w:rsidRPr="005E1802">
        <w:rPr>
          <w:rFonts w:ascii="Times New Roman" w:hAnsi="Times New Roman"/>
        </w:rPr>
        <w:t xml:space="preserve"> might have been subconsciously </w:t>
      </w:r>
      <w:r w:rsidR="00AF62A5" w:rsidRPr="005E1802">
        <w:rPr>
          <w:rFonts w:ascii="Times New Roman" w:hAnsi="Times New Roman"/>
        </w:rPr>
        <w:t xml:space="preserve">influenced by the prejudicial </w:t>
      </w:r>
      <w:r w:rsidR="00E80055" w:rsidRPr="005E1802">
        <w:rPr>
          <w:rFonts w:ascii="Times New Roman" w:hAnsi="Times New Roman"/>
        </w:rPr>
        <w:t xml:space="preserve">information ... in making </w:t>
      </w:r>
      <w:r w:rsidR="00DE75B9" w:rsidRPr="005E1802">
        <w:rPr>
          <w:rFonts w:ascii="Times New Roman" w:hAnsi="Times New Roman"/>
        </w:rPr>
        <w:t>its decision</w:t>
      </w:r>
      <w:r w:rsidR="00A60A06" w:rsidRPr="005E1802">
        <w:rPr>
          <w:rFonts w:ascii="Times New Roman" w:hAnsi="Times New Roman"/>
        </w:rPr>
        <w:t>"</w:t>
      </w:r>
      <w:r w:rsidR="0090632B" w:rsidRPr="005E1802">
        <w:rPr>
          <w:rStyle w:val="FootnoteReference"/>
          <w:rFonts w:ascii="Times New Roman" w:hAnsi="Times New Roman"/>
          <w:sz w:val="24"/>
        </w:rPr>
        <w:footnoteReference w:id="79"/>
      </w:r>
      <w:r w:rsidR="0090632B" w:rsidRPr="005E1802">
        <w:rPr>
          <w:rFonts w:ascii="Times New Roman" w:hAnsi="Times New Roman"/>
        </w:rPr>
        <w:t>.</w:t>
      </w:r>
      <w:r w:rsidR="009C6B43" w:rsidRPr="005E1802">
        <w:rPr>
          <w:rFonts w:ascii="Times New Roman" w:hAnsi="Times New Roman"/>
        </w:rPr>
        <w:t xml:space="preserve"> The structure of th</w:t>
      </w:r>
      <w:r w:rsidR="00842C15" w:rsidRPr="005E1802">
        <w:rPr>
          <w:rFonts w:ascii="Times New Roman" w:hAnsi="Times New Roman"/>
        </w:rPr>
        <w:t>at</w:t>
      </w:r>
      <w:r w:rsidR="009C6B43" w:rsidRPr="005E1802">
        <w:rPr>
          <w:rFonts w:ascii="Times New Roman" w:hAnsi="Times New Roman"/>
        </w:rPr>
        <w:t xml:space="preserve"> analysis undertaken by the Full Court </w:t>
      </w:r>
      <w:r w:rsidR="00301B93" w:rsidRPr="005E1802">
        <w:rPr>
          <w:rFonts w:ascii="Times New Roman" w:hAnsi="Times New Roman"/>
        </w:rPr>
        <w:t>was sound</w:t>
      </w:r>
      <w:r w:rsidR="00361DB8" w:rsidRPr="005E1802">
        <w:rPr>
          <w:rFonts w:ascii="Times New Roman" w:hAnsi="Times New Roman"/>
        </w:rPr>
        <w:t xml:space="preserve"> in principle</w:t>
      </w:r>
      <w:r w:rsidR="00301B93" w:rsidRPr="005E1802">
        <w:rPr>
          <w:rFonts w:ascii="Times New Roman" w:hAnsi="Times New Roman"/>
        </w:rPr>
        <w:t>.</w:t>
      </w:r>
      <w:r w:rsidR="002451B8" w:rsidRPr="005E1802">
        <w:rPr>
          <w:rFonts w:ascii="Times New Roman" w:hAnsi="Times New Roman"/>
        </w:rPr>
        <w:t xml:space="preserve"> </w:t>
      </w:r>
    </w:p>
    <w:p w14:paraId="05AFBC68" w14:textId="185B5611" w:rsidR="007D30F6" w:rsidRPr="005E1802" w:rsidRDefault="00C754FA" w:rsidP="005E1802">
      <w:pPr>
        <w:pStyle w:val="HeadingL1"/>
        <w:spacing w:after="260" w:line="280" w:lineRule="exact"/>
        <w:ind w:right="0"/>
        <w:jc w:val="both"/>
        <w:rPr>
          <w:rFonts w:ascii="Times New Roman" w:hAnsi="Times New Roman"/>
        </w:rPr>
      </w:pPr>
      <w:r w:rsidRPr="005E1802">
        <w:rPr>
          <w:rFonts w:ascii="Times New Roman" w:hAnsi="Times New Roman"/>
        </w:rPr>
        <w:t>Failure</w:t>
      </w:r>
      <w:r w:rsidR="002A0F2B" w:rsidRPr="005E1802">
        <w:rPr>
          <w:rFonts w:ascii="Times New Roman" w:hAnsi="Times New Roman"/>
        </w:rPr>
        <w:t xml:space="preserve"> of proof of materiality</w:t>
      </w:r>
    </w:p>
    <w:p w14:paraId="546C19A3" w14:textId="696E9F86" w:rsidR="00CD66AA" w:rsidRPr="005E1802" w:rsidRDefault="002A0F2B"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3049E5" w:rsidRPr="005E1802">
        <w:rPr>
          <w:rFonts w:ascii="Times New Roman" w:hAnsi="Times New Roman"/>
        </w:rPr>
        <w:t xml:space="preserve">Turning </w:t>
      </w:r>
      <w:r w:rsidR="00E51925" w:rsidRPr="005E1802">
        <w:rPr>
          <w:rFonts w:ascii="Times New Roman" w:hAnsi="Times New Roman"/>
        </w:rPr>
        <w:t xml:space="preserve">to the circumstances of the present case, </w:t>
      </w:r>
      <w:r w:rsidR="00BC362F" w:rsidRPr="005E1802">
        <w:rPr>
          <w:rFonts w:ascii="Times New Roman" w:hAnsi="Times New Roman"/>
        </w:rPr>
        <w:t xml:space="preserve">there </w:t>
      </w:r>
      <w:r w:rsidR="00E36666" w:rsidRPr="005E1802">
        <w:rPr>
          <w:rFonts w:ascii="Times New Roman" w:hAnsi="Times New Roman"/>
        </w:rPr>
        <w:t xml:space="preserve">would be no difficulty in accepting </w:t>
      </w:r>
      <w:r w:rsidR="00D44474" w:rsidRPr="005E1802">
        <w:rPr>
          <w:rFonts w:ascii="Times New Roman" w:hAnsi="Times New Roman"/>
        </w:rPr>
        <w:t xml:space="preserve">as </w:t>
      </w:r>
      <w:r w:rsidR="00017EF0" w:rsidRPr="005E1802">
        <w:rPr>
          <w:rFonts w:ascii="Times New Roman" w:hAnsi="Times New Roman"/>
        </w:rPr>
        <w:t>a realistic possibility that the</w:t>
      </w:r>
      <w:r w:rsidR="006B5C3D" w:rsidRPr="005E1802">
        <w:rPr>
          <w:rFonts w:ascii="Times New Roman" w:hAnsi="Times New Roman"/>
        </w:rPr>
        <w:t xml:space="preserve"> final </w:t>
      </w:r>
      <w:r w:rsidR="00017EF0" w:rsidRPr="005E1802">
        <w:rPr>
          <w:rFonts w:ascii="Times New Roman" w:hAnsi="Times New Roman"/>
        </w:rPr>
        <w:t xml:space="preserve">decision </w:t>
      </w:r>
      <w:r w:rsidR="006B5C3D" w:rsidRPr="005E1802">
        <w:rPr>
          <w:rFonts w:ascii="Times New Roman" w:hAnsi="Times New Roman"/>
        </w:rPr>
        <w:t xml:space="preserve">of the </w:t>
      </w:r>
      <w:r w:rsidR="00FE5F5D" w:rsidRPr="005E1802">
        <w:rPr>
          <w:rFonts w:ascii="Times New Roman" w:hAnsi="Times New Roman"/>
        </w:rPr>
        <w:t>T</w:t>
      </w:r>
      <w:r w:rsidR="009E50B6" w:rsidRPr="005E1802">
        <w:rPr>
          <w:rFonts w:ascii="Times New Roman" w:hAnsi="Times New Roman"/>
        </w:rPr>
        <w:t>ribunal</w:t>
      </w:r>
      <w:r w:rsidR="00127DCC" w:rsidRPr="005E1802">
        <w:rPr>
          <w:rFonts w:ascii="Times New Roman" w:hAnsi="Times New Roman"/>
        </w:rPr>
        <w:t xml:space="preserve"> </w:t>
      </w:r>
      <w:r w:rsidR="00017EF0" w:rsidRPr="005E1802">
        <w:rPr>
          <w:rFonts w:ascii="Times New Roman" w:hAnsi="Times New Roman"/>
        </w:rPr>
        <w:t>could have been different</w:t>
      </w:r>
      <w:r w:rsidR="006A714C" w:rsidRPr="005E1802">
        <w:rPr>
          <w:rFonts w:ascii="Times New Roman" w:hAnsi="Times New Roman"/>
        </w:rPr>
        <w:t xml:space="preserve"> had the </w:t>
      </w:r>
      <w:r w:rsidR="00FE5F5D" w:rsidRPr="005E1802">
        <w:rPr>
          <w:rFonts w:ascii="Times New Roman" w:hAnsi="Times New Roman"/>
        </w:rPr>
        <w:t>T</w:t>
      </w:r>
      <w:r w:rsidR="009E50B6" w:rsidRPr="005E1802">
        <w:rPr>
          <w:rFonts w:ascii="Times New Roman" w:hAnsi="Times New Roman"/>
        </w:rPr>
        <w:t>ribunal</w:t>
      </w:r>
      <w:r w:rsidR="006A714C" w:rsidRPr="005E1802">
        <w:rPr>
          <w:rFonts w:ascii="Times New Roman" w:hAnsi="Times New Roman"/>
        </w:rPr>
        <w:t xml:space="preserve"> in fact taken </w:t>
      </w:r>
      <w:r w:rsidR="005426B1" w:rsidRPr="005E1802">
        <w:rPr>
          <w:rFonts w:ascii="Times New Roman" w:hAnsi="Times New Roman"/>
        </w:rPr>
        <w:t xml:space="preserve">the offence of dishonesty referred to in the Court Outcomes Report covered by the </w:t>
      </w:r>
      <w:r w:rsidR="0022387E" w:rsidRPr="005E1802">
        <w:rPr>
          <w:rFonts w:ascii="Times New Roman" w:hAnsi="Times New Roman"/>
        </w:rPr>
        <w:t xml:space="preserve">undisclosed </w:t>
      </w:r>
      <w:r w:rsidR="005426B1" w:rsidRPr="005E1802">
        <w:rPr>
          <w:rFonts w:ascii="Times New Roman" w:hAnsi="Times New Roman"/>
        </w:rPr>
        <w:t xml:space="preserve">notification </w:t>
      </w:r>
      <w:r w:rsidR="00733F64" w:rsidRPr="005E1802">
        <w:rPr>
          <w:rFonts w:ascii="Times New Roman" w:hAnsi="Times New Roman"/>
        </w:rPr>
        <w:t xml:space="preserve">into account </w:t>
      </w:r>
      <w:r w:rsidR="00627884" w:rsidRPr="005E1802">
        <w:rPr>
          <w:rFonts w:ascii="Times New Roman" w:hAnsi="Times New Roman"/>
        </w:rPr>
        <w:t xml:space="preserve">in </w:t>
      </w:r>
      <w:r w:rsidR="00BC362F" w:rsidRPr="005E1802">
        <w:rPr>
          <w:rFonts w:ascii="Times New Roman" w:hAnsi="Times New Roman"/>
        </w:rPr>
        <w:t xml:space="preserve">assessing the appellant's credit to </w:t>
      </w:r>
      <w:r w:rsidR="00627884" w:rsidRPr="005E1802">
        <w:rPr>
          <w:rFonts w:ascii="Times New Roman" w:hAnsi="Times New Roman"/>
        </w:rPr>
        <w:t>reject</w:t>
      </w:r>
      <w:r w:rsidR="005426B1" w:rsidRPr="005E1802">
        <w:rPr>
          <w:rFonts w:ascii="Times New Roman" w:hAnsi="Times New Roman"/>
        </w:rPr>
        <w:t xml:space="preserve"> the appellant's claim to fear harm in connection with the dispute over land in Punjab</w:t>
      </w:r>
      <w:r w:rsidR="00627884" w:rsidRPr="005E1802">
        <w:rPr>
          <w:rFonts w:ascii="Times New Roman" w:hAnsi="Times New Roman"/>
        </w:rPr>
        <w:t xml:space="preserve">. </w:t>
      </w:r>
    </w:p>
    <w:p w14:paraId="41FD061F" w14:textId="24484F25" w:rsidR="007D30F6" w:rsidRPr="005E1802" w:rsidRDefault="00CD66AA"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6A04C9" w:rsidRPr="005E1802">
        <w:rPr>
          <w:rFonts w:ascii="Times New Roman" w:hAnsi="Times New Roman"/>
        </w:rPr>
        <w:t xml:space="preserve">The </w:t>
      </w:r>
      <w:r w:rsidR="00734712" w:rsidRPr="005E1802">
        <w:rPr>
          <w:rFonts w:ascii="Times New Roman" w:hAnsi="Times New Roman"/>
        </w:rPr>
        <w:t xml:space="preserve">determinative question </w:t>
      </w:r>
      <w:r w:rsidR="006E7540" w:rsidRPr="005E1802">
        <w:rPr>
          <w:rFonts w:ascii="Times New Roman" w:hAnsi="Times New Roman"/>
        </w:rPr>
        <w:t xml:space="preserve">is whether </w:t>
      </w:r>
      <w:r w:rsidR="00733F64" w:rsidRPr="005E1802">
        <w:rPr>
          <w:rFonts w:ascii="Times New Roman" w:hAnsi="Times New Roman"/>
        </w:rPr>
        <w:t xml:space="preserve">the </w:t>
      </w:r>
      <w:r w:rsidR="00FE5F5D" w:rsidRPr="005E1802">
        <w:rPr>
          <w:rFonts w:ascii="Times New Roman" w:hAnsi="Times New Roman"/>
        </w:rPr>
        <w:t>T</w:t>
      </w:r>
      <w:r w:rsidR="009E50B6" w:rsidRPr="005E1802">
        <w:rPr>
          <w:rFonts w:ascii="Times New Roman" w:hAnsi="Times New Roman"/>
        </w:rPr>
        <w:t>ribunal</w:t>
      </w:r>
      <w:r w:rsidR="00733F64" w:rsidRPr="005E1802">
        <w:rPr>
          <w:rFonts w:ascii="Times New Roman" w:hAnsi="Times New Roman"/>
        </w:rPr>
        <w:t xml:space="preserve"> in fact </w:t>
      </w:r>
      <w:r w:rsidR="00845F00" w:rsidRPr="005E1802">
        <w:rPr>
          <w:rFonts w:ascii="Times New Roman" w:hAnsi="Times New Roman"/>
        </w:rPr>
        <w:t xml:space="preserve">so </w:t>
      </w:r>
      <w:r w:rsidR="00733F64" w:rsidRPr="005E1802">
        <w:rPr>
          <w:rFonts w:ascii="Times New Roman" w:hAnsi="Times New Roman"/>
        </w:rPr>
        <w:t>took the offence into account</w:t>
      </w:r>
      <w:r w:rsidR="006E7540" w:rsidRPr="005E1802">
        <w:rPr>
          <w:rFonts w:ascii="Times New Roman" w:hAnsi="Times New Roman"/>
        </w:rPr>
        <w:t>.</w:t>
      </w:r>
      <w:r w:rsidR="001F3E06" w:rsidRPr="005E1802">
        <w:rPr>
          <w:rFonts w:ascii="Times New Roman" w:hAnsi="Times New Roman"/>
        </w:rPr>
        <w:t xml:space="preserve"> The</w:t>
      </w:r>
      <w:r w:rsidRPr="005E1802">
        <w:rPr>
          <w:rFonts w:ascii="Times New Roman" w:hAnsi="Times New Roman"/>
        </w:rPr>
        <w:t xml:space="preserve"> answer is that the</w:t>
      </w:r>
      <w:r w:rsidR="001F3E06" w:rsidRPr="005E1802">
        <w:rPr>
          <w:rFonts w:ascii="Times New Roman" w:hAnsi="Times New Roman"/>
        </w:rPr>
        <w:t xml:space="preserve">re is simply no basis in the evidence to find on the balance of probabilities that </w:t>
      </w:r>
      <w:r w:rsidR="00E21B47" w:rsidRPr="005E1802">
        <w:rPr>
          <w:rFonts w:ascii="Times New Roman" w:hAnsi="Times New Roman"/>
        </w:rPr>
        <w:t>it did.</w:t>
      </w:r>
    </w:p>
    <w:p w14:paraId="77AFF292" w14:textId="53933397" w:rsidR="00537C89" w:rsidRPr="005E1802" w:rsidRDefault="006E7540"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8E702B" w:rsidRPr="005E1802">
        <w:rPr>
          <w:rFonts w:ascii="Times New Roman" w:hAnsi="Times New Roman"/>
        </w:rPr>
        <w:t>T</w:t>
      </w:r>
      <w:r w:rsidR="00DA0842" w:rsidRPr="005E1802">
        <w:rPr>
          <w:rFonts w:ascii="Times New Roman" w:hAnsi="Times New Roman"/>
        </w:rPr>
        <w:t>h</w:t>
      </w:r>
      <w:r w:rsidR="009855B4" w:rsidRPr="005E1802">
        <w:rPr>
          <w:rFonts w:ascii="Times New Roman" w:hAnsi="Times New Roman"/>
        </w:rPr>
        <w:t xml:space="preserve">e fact that the </w:t>
      </w:r>
      <w:r w:rsidR="00FE5F5D" w:rsidRPr="005E1802">
        <w:rPr>
          <w:rFonts w:ascii="Times New Roman" w:hAnsi="Times New Roman"/>
        </w:rPr>
        <w:t>T</w:t>
      </w:r>
      <w:r w:rsidR="007521C6" w:rsidRPr="005E1802">
        <w:rPr>
          <w:rFonts w:ascii="Times New Roman" w:hAnsi="Times New Roman"/>
        </w:rPr>
        <w:t>ribunal</w:t>
      </w:r>
      <w:r w:rsidR="009855B4" w:rsidRPr="005E1802">
        <w:rPr>
          <w:rFonts w:ascii="Times New Roman" w:hAnsi="Times New Roman"/>
        </w:rPr>
        <w:t xml:space="preserve"> </w:t>
      </w:r>
      <w:r w:rsidR="00537C89" w:rsidRPr="005E1802">
        <w:rPr>
          <w:rFonts w:ascii="Times New Roman" w:hAnsi="Times New Roman"/>
        </w:rPr>
        <w:t xml:space="preserve">breached </w:t>
      </w:r>
      <w:r w:rsidR="002836F9" w:rsidRPr="005E1802">
        <w:rPr>
          <w:rFonts w:ascii="Times New Roman" w:hAnsi="Times New Roman"/>
        </w:rPr>
        <w:t>one procedural obligation by failing</w:t>
      </w:r>
      <w:r w:rsidR="003F1B55" w:rsidRPr="005E1802">
        <w:rPr>
          <w:rFonts w:ascii="Times New Roman" w:hAnsi="Times New Roman"/>
        </w:rPr>
        <w:t xml:space="preserve"> to disclose to the appellant the existence of the notification </w:t>
      </w:r>
      <w:r w:rsidR="002836F9" w:rsidRPr="005E1802">
        <w:rPr>
          <w:rFonts w:ascii="Times New Roman" w:hAnsi="Times New Roman"/>
        </w:rPr>
        <w:t xml:space="preserve">provides no foundation in the circumstances of the case for </w:t>
      </w:r>
      <w:r w:rsidR="00494083" w:rsidRPr="005E1802">
        <w:rPr>
          <w:rFonts w:ascii="Times New Roman" w:hAnsi="Times New Roman"/>
        </w:rPr>
        <w:t xml:space="preserve">inferring that it </w:t>
      </w:r>
      <w:r w:rsidR="003F1B55" w:rsidRPr="005E1802">
        <w:rPr>
          <w:rFonts w:ascii="Times New Roman" w:hAnsi="Times New Roman"/>
        </w:rPr>
        <w:t xml:space="preserve">had </w:t>
      </w:r>
      <w:r w:rsidR="00494083" w:rsidRPr="005E1802">
        <w:rPr>
          <w:rFonts w:ascii="Times New Roman" w:hAnsi="Times New Roman"/>
        </w:rPr>
        <w:t xml:space="preserve">breached others. </w:t>
      </w:r>
      <w:r w:rsidR="00CD66AA" w:rsidRPr="005E1802">
        <w:rPr>
          <w:rFonts w:ascii="Times New Roman" w:hAnsi="Times New Roman"/>
        </w:rPr>
        <w:t>N</w:t>
      </w:r>
      <w:r w:rsidR="00BD790B" w:rsidRPr="005E1802">
        <w:rPr>
          <w:rFonts w:ascii="Times New Roman" w:hAnsi="Times New Roman"/>
        </w:rPr>
        <w:t>othing i</w:t>
      </w:r>
      <w:r w:rsidR="00E5766A" w:rsidRPr="005E1802">
        <w:rPr>
          <w:rFonts w:ascii="Times New Roman" w:hAnsi="Times New Roman"/>
        </w:rPr>
        <w:t>n</w:t>
      </w:r>
      <w:r w:rsidR="00BD790B" w:rsidRPr="005E1802">
        <w:rPr>
          <w:rFonts w:ascii="Times New Roman" w:hAnsi="Times New Roman"/>
        </w:rPr>
        <w:t xml:space="preserve"> </w:t>
      </w:r>
      <w:r w:rsidR="00131E45" w:rsidRPr="005E1802">
        <w:rPr>
          <w:rFonts w:ascii="Times New Roman" w:hAnsi="Times New Roman"/>
        </w:rPr>
        <w:t>its</w:t>
      </w:r>
      <w:r w:rsidR="00BD790B" w:rsidRPr="005E1802">
        <w:rPr>
          <w:rFonts w:ascii="Times New Roman" w:hAnsi="Times New Roman"/>
        </w:rPr>
        <w:t xml:space="preserve"> statement of</w:t>
      </w:r>
      <w:r w:rsidR="00131E45" w:rsidRPr="005E1802">
        <w:rPr>
          <w:rFonts w:ascii="Times New Roman" w:hAnsi="Times New Roman"/>
        </w:rPr>
        <w:t xml:space="preserve"> </w:t>
      </w:r>
      <w:r w:rsidR="00BD790B" w:rsidRPr="005E1802">
        <w:rPr>
          <w:rFonts w:ascii="Times New Roman" w:hAnsi="Times New Roman"/>
        </w:rPr>
        <w:t>reasons</w:t>
      </w:r>
      <w:r w:rsidR="00131E45" w:rsidRPr="005E1802">
        <w:rPr>
          <w:rFonts w:ascii="Times New Roman" w:hAnsi="Times New Roman"/>
        </w:rPr>
        <w:t xml:space="preserve"> for the final decision</w:t>
      </w:r>
      <w:r w:rsidR="00CD66AA" w:rsidRPr="005E1802">
        <w:rPr>
          <w:rFonts w:ascii="Times New Roman" w:hAnsi="Times New Roman"/>
        </w:rPr>
        <w:t xml:space="preserve">, </w:t>
      </w:r>
      <w:r w:rsidR="00E5766A" w:rsidRPr="005E1802">
        <w:rPr>
          <w:rFonts w:ascii="Times New Roman" w:hAnsi="Times New Roman"/>
        </w:rPr>
        <w:t>or elsewhere in the evidence</w:t>
      </w:r>
      <w:r w:rsidR="00CD66AA" w:rsidRPr="005E1802">
        <w:rPr>
          <w:rFonts w:ascii="Times New Roman" w:hAnsi="Times New Roman"/>
        </w:rPr>
        <w:t xml:space="preserve">, </w:t>
      </w:r>
      <w:r w:rsidR="00AD47B4" w:rsidRPr="005E1802">
        <w:rPr>
          <w:rFonts w:ascii="Times New Roman" w:hAnsi="Times New Roman"/>
        </w:rPr>
        <w:t>contains any hint</w:t>
      </w:r>
      <w:r w:rsidR="00E5766A" w:rsidRPr="005E1802">
        <w:rPr>
          <w:rFonts w:ascii="Times New Roman" w:hAnsi="Times New Roman"/>
        </w:rPr>
        <w:t xml:space="preserve"> that </w:t>
      </w:r>
      <w:r w:rsidR="00D318BE" w:rsidRPr="005E1802">
        <w:rPr>
          <w:rFonts w:ascii="Times New Roman" w:hAnsi="Times New Roman"/>
        </w:rPr>
        <w:t xml:space="preserve">the </w:t>
      </w:r>
      <w:r w:rsidR="00FE5F5D" w:rsidRPr="005E1802">
        <w:rPr>
          <w:rFonts w:ascii="Times New Roman" w:hAnsi="Times New Roman"/>
        </w:rPr>
        <w:t>T</w:t>
      </w:r>
      <w:r w:rsidR="007521C6" w:rsidRPr="005E1802">
        <w:rPr>
          <w:rFonts w:ascii="Times New Roman" w:hAnsi="Times New Roman"/>
        </w:rPr>
        <w:t>ribunal</w:t>
      </w:r>
      <w:r w:rsidR="002E7F00" w:rsidRPr="005E1802">
        <w:rPr>
          <w:rFonts w:ascii="Times New Roman" w:hAnsi="Times New Roman"/>
        </w:rPr>
        <w:t xml:space="preserve"> </w:t>
      </w:r>
      <w:r w:rsidR="009B5D99" w:rsidRPr="005E1802">
        <w:rPr>
          <w:rFonts w:ascii="Times New Roman" w:hAnsi="Times New Roman"/>
        </w:rPr>
        <w:t>failed to heed</w:t>
      </w:r>
      <w:r w:rsidR="00CD66AA" w:rsidRPr="005E1802">
        <w:rPr>
          <w:rFonts w:ascii="Times New Roman" w:hAnsi="Times New Roman"/>
        </w:rPr>
        <w:t xml:space="preserve"> </w:t>
      </w:r>
      <w:r w:rsidR="00131E45" w:rsidRPr="005E1802">
        <w:rPr>
          <w:rFonts w:ascii="Times New Roman" w:hAnsi="Times New Roman"/>
        </w:rPr>
        <w:t xml:space="preserve">the automatic </w:t>
      </w:r>
      <w:r w:rsidR="00CD66AA" w:rsidRPr="005E1802">
        <w:rPr>
          <w:rFonts w:ascii="Times New Roman" w:hAnsi="Times New Roman"/>
        </w:rPr>
        <w:t>statutory consequences</w:t>
      </w:r>
      <w:r w:rsidR="00C050CC" w:rsidRPr="005E1802">
        <w:rPr>
          <w:rFonts w:ascii="Times New Roman" w:hAnsi="Times New Roman"/>
        </w:rPr>
        <w:t xml:space="preserve"> </w:t>
      </w:r>
      <w:r w:rsidR="00342A6C" w:rsidRPr="005E1802">
        <w:rPr>
          <w:rFonts w:ascii="Times New Roman" w:hAnsi="Times New Roman"/>
        </w:rPr>
        <w:t>of the notification</w:t>
      </w:r>
      <w:r w:rsidR="004D622F" w:rsidRPr="005E1802">
        <w:rPr>
          <w:rFonts w:ascii="Times New Roman" w:hAnsi="Times New Roman"/>
        </w:rPr>
        <w:t xml:space="preserve"> or</w:t>
      </w:r>
      <w:r w:rsidR="00342A6C" w:rsidRPr="005E1802">
        <w:rPr>
          <w:rFonts w:ascii="Times New Roman" w:hAnsi="Times New Roman"/>
        </w:rPr>
        <w:t xml:space="preserve"> </w:t>
      </w:r>
      <w:r w:rsidR="00CD66AA" w:rsidRPr="005E1802">
        <w:rPr>
          <w:rFonts w:ascii="Times New Roman" w:hAnsi="Times New Roman"/>
        </w:rPr>
        <w:t xml:space="preserve">that </w:t>
      </w:r>
      <w:r w:rsidR="00183F1A" w:rsidRPr="005E1802">
        <w:rPr>
          <w:rFonts w:ascii="Times New Roman" w:hAnsi="Times New Roman"/>
        </w:rPr>
        <w:t xml:space="preserve">the </w:t>
      </w:r>
      <w:r w:rsidR="00FE5F5D" w:rsidRPr="005E1802">
        <w:rPr>
          <w:rFonts w:ascii="Times New Roman" w:hAnsi="Times New Roman"/>
        </w:rPr>
        <w:t>T</w:t>
      </w:r>
      <w:r w:rsidR="007521C6" w:rsidRPr="005E1802">
        <w:rPr>
          <w:rFonts w:ascii="Times New Roman" w:hAnsi="Times New Roman"/>
        </w:rPr>
        <w:t>ribunal</w:t>
      </w:r>
      <w:r w:rsidR="00CD66AA" w:rsidRPr="005E1802">
        <w:rPr>
          <w:rFonts w:ascii="Times New Roman" w:hAnsi="Times New Roman"/>
        </w:rPr>
        <w:t xml:space="preserve"> </w:t>
      </w:r>
      <w:r w:rsidR="004D622F" w:rsidRPr="005E1802">
        <w:rPr>
          <w:rFonts w:ascii="Times New Roman" w:hAnsi="Times New Roman"/>
        </w:rPr>
        <w:t xml:space="preserve">made a choice </w:t>
      </w:r>
      <w:r w:rsidR="00E5766A" w:rsidRPr="005E1802">
        <w:rPr>
          <w:rFonts w:ascii="Times New Roman" w:hAnsi="Times New Roman"/>
        </w:rPr>
        <w:t xml:space="preserve">affirmatively </w:t>
      </w:r>
      <w:r w:rsidR="004D622F" w:rsidRPr="005E1802">
        <w:rPr>
          <w:rFonts w:ascii="Times New Roman" w:hAnsi="Times New Roman"/>
        </w:rPr>
        <w:t xml:space="preserve">to </w:t>
      </w:r>
      <w:r w:rsidR="00E5766A" w:rsidRPr="005E1802">
        <w:rPr>
          <w:rFonts w:ascii="Times New Roman" w:hAnsi="Times New Roman"/>
        </w:rPr>
        <w:t>exercise the discretion conferred by s</w:t>
      </w:r>
      <w:r w:rsidR="00BE4433" w:rsidRPr="005E1802">
        <w:rPr>
          <w:rFonts w:ascii="Times New Roman" w:hAnsi="Times New Roman"/>
        </w:rPr>
        <w:t> </w:t>
      </w:r>
      <w:r w:rsidR="00D318BE" w:rsidRPr="005E1802">
        <w:rPr>
          <w:rFonts w:ascii="Times New Roman" w:hAnsi="Times New Roman"/>
        </w:rPr>
        <w:t>438(3)(a)</w:t>
      </w:r>
      <w:r w:rsidR="00845205" w:rsidRPr="005E1802">
        <w:rPr>
          <w:rFonts w:ascii="Times New Roman" w:hAnsi="Times New Roman"/>
        </w:rPr>
        <w:t xml:space="preserve"> to take the offence of dishonesty into account</w:t>
      </w:r>
      <w:r w:rsidR="0034678F" w:rsidRPr="005E1802">
        <w:rPr>
          <w:rFonts w:ascii="Times New Roman" w:hAnsi="Times New Roman"/>
        </w:rPr>
        <w:t xml:space="preserve"> but not the discretion conferred by s</w:t>
      </w:r>
      <w:r w:rsidR="00845205" w:rsidRPr="005E1802">
        <w:rPr>
          <w:rFonts w:ascii="Times New Roman" w:hAnsi="Times New Roman"/>
        </w:rPr>
        <w:t> </w:t>
      </w:r>
      <w:r w:rsidR="0034678F" w:rsidRPr="005E1802">
        <w:rPr>
          <w:rFonts w:ascii="Times New Roman" w:hAnsi="Times New Roman"/>
        </w:rPr>
        <w:t>438(3)(b)</w:t>
      </w:r>
      <w:r w:rsidR="008E702B" w:rsidRPr="005E1802">
        <w:rPr>
          <w:rFonts w:ascii="Times New Roman" w:hAnsi="Times New Roman"/>
        </w:rPr>
        <w:t xml:space="preserve"> </w:t>
      </w:r>
      <w:r w:rsidR="002554D7" w:rsidRPr="005E1802">
        <w:rPr>
          <w:rFonts w:ascii="Times New Roman" w:hAnsi="Times New Roman"/>
        </w:rPr>
        <w:t>to draw</w:t>
      </w:r>
      <w:r w:rsidR="008E702B" w:rsidRPr="005E1802">
        <w:rPr>
          <w:rFonts w:ascii="Times New Roman" w:hAnsi="Times New Roman"/>
        </w:rPr>
        <w:t xml:space="preserve"> th</w:t>
      </w:r>
      <w:r w:rsidR="005176F8" w:rsidRPr="005E1802">
        <w:rPr>
          <w:rFonts w:ascii="Times New Roman" w:hAnsi="Times New Roman"/>
        </w:rPr>
        <w:t>e</w:t>
      </w:r>
      <w:r w:rsidR="008E702B" w:rsidRPr="005E1802">
        <w:rPr>
          <w:rFonts w:ascii="Times New Roman" w:hAnsi="Times New Roman"/>
        </w:rPr>
        <w:t xml:space="preserve"> information</w:t>
      </w:r>
      <w:r w:rsidR="004E5ED9" w:rsidRPr="005E1802">
        <w:rPr>
          <w:rFonts w:ascii="Times New Roman" w:hAnsi="Times New Roman"/>
        </w:rPr>
        <w:t xml:space="preserve"> that it had about that offence to the attention of the appellant</w:t>
      </w:r>
      <w:r w:rsidR="004D622F" w:rsidRPr="005E1802">
        <w:rPr>
          <w:rFonts w:ascii="Times New Roman" w:hAnsi="Times New Roman"/>
        </w:rPr>
        <w:t xml:space="preserve">. </w:t>
      </w:r>
      <w:r w:rsidR="00A6622C" w:rsidRPr="005E1802">
        <w:rPr>
          <w:rFonts w:ascii="Times New Roman" w:hAnsi="Times New Roman"/>
        </w:rPr>
        <w:t xml:space="preserve">The </w:t>
      </w:r>
      <w:r w:rsidR="00721296" w:rsidRPr="005E1802">
        <w:rPr>
          <w:rFonts w:ascii="Times New Roman" w:hAnsi="Times New Roman"/>
        </w:rPr>
        <w:t xml:space="preserve">general </w:t>
      </w:r>
      <w:r w:rsidR="00F1202E" w:rsidRPr="005E1802">
        <w:rPr>
          <w:rFonts w:ascii="Times New Roman" w:hAnsi="Times New Roman"/>
        </w:rPr>
        <w:t xml:space="preserve">reference </w:t>
      </w:r>
      <w:r w:rsidR="00F1202E" w:rsidRPr="005E1802">
        <w:rPr>
          <w:rFonts w:ascii="Times New Roman" w:hAnsi="Times New Roman"/>
        </w:rPr>
        <w:lastRenderedPageBreak/>
        <w:t xml:space="preserve">in </w:t>
      </w:r>
      <w:r w:rsidR="00C149DA" w:rsidRPr="005E1802">
        <w:rPr>
          <w:rFonts w:ascii="Times New Roman" w:hAnsi="Times New Roman"/>
        </w:rPr>
        <w:t>the</w:t>
      </w:r>
      <w:r w:rsidR="00A6622C" w:rsidRPr="005E1802">
        <w:rPr>
          <w:rFonts w:ascii="Times New Roman" w:hAnsi="Times New Roman"/>
        </w:rPr>
        <w:t xml:space="preserve"> statement of reasons for </w:t>
      </w:r>
      <w:r w:rsidR="00883A18" w:rsidRPr="005E1802">
        <w:rPr>
          <w:rFonts w:ascii="Times New Roman" w:hAnsi="Times New Roman"/>
        </w:rPr>
        <w:t>the</w:t>
      </w:r>
      <w:r w:rsidR="00A6622C" w:rsidRPr="005E1802">
        <w:rPr>
          <w:rFonts w:ascii="Times New Roman" w:hAnsi="Times New Roman"/>
        </w:rPr>
        <w:t xml:space="preserve"> </w:t>
      </w:r>
      <w:r w:rsidR="00FE5F5D" w:rsidRPr="005E1802">
        <w:rPr>
          <w:rFonts w:ascii="Times New Roman" w:hAnsi="Times New Roman"/>
        </w:rPr>
        <w:t>T</w:t>
      </w:r>
      <w:r w:rsidR="007521C6" w:rsidRPr="005E1802">
        <w:rPr>
          <w:rFonts w:ascii="Times New Roman" w:hAnsi="Times New Roman"/>
        </w:rPr>
        <w:t>ribunal</w:t>
      </w:r>
      <w:r w:rsidR="00C149DA" w:rsidRPr="005E1802">
        <w:rPr>
          <w:rFonts w:ascii="Times New Roman" w:hAnsi="Times New Roman"/>
        </w:rPr>
        <w:t xml:space="preserve">'s </w:t>
      </w:r>
      <w:r w:rsidR="00A6622C" w:rsidRPr="005E1802">
        <w:rPr>
          <w:rFonts w:ascii="Times New Roman" w:hAnsi="Times New Roman"/>
        </w:rPr>
        <w:t xml:space="preserve">initial decision </w:t>
      </w:r>
      <w:r w:rsidR="00721296" w:rsidRPr="005E1802">
        <w:rPr>
          <w:rFonts w:ascii="Times New Roman" w:hAnsi="Times New Roman"/>
        </w:rPr>
        <w:t>to it having</w:t>
      </w:r>
      <w:r w:rsidR="00A6622C" w:rsidRPr="005E1802">
        <w:rPr>
          <w:rFonts w:ascii="Times New Roman" w:hAnsi="Times New Roman"/>
        </w:rPr>
        <w:t xml:space="preserve"> considered all the material before it </w:t>
      </w:r>
      <w:r w:rsidR="002F63F7" w:rsidRPr="005E1802">
        <w:rPr>
          <w:rFonts w:ascii="Times New Roman" w:hAnsi="Times New Roman"/>
        </w:rPr>
        <w:t xml:space="preserve">cannot sensibly be read as </w:t>
      </w:r>
      <w:r w:rsidR="00B67AE7" w:rsidRPr="005E1802">
        <w:rPr>
          <w:rFonts w:ascii="Times New Roman" w:hAnsi="Times New Roman"/>
        </w:rPr>
        <w:t xml:space="preserve">indicating </w:t>
      </w:r>
      <w:r w:rsidR="00845F00" w:rsidRPr="005E1802">
        <w:rPr>
          <w:rFonts w:ascii="Times New Roman" w:hAnsi="Times New Roman"/>
        </w:rPr>
        <w:t>otherwise</w:t>
      </w:r>
      <w:r w:rsidR="00537C89" w:rsidRPr="005E1802">
        <w:rPr>
          <w:rFonts w:ascii="Times New Roman" w:hAnsi="Times New Roman"/>
        </w:rPr>
        <w:t>.</w:t>
      </w:r>
    </w:p>
    <w:p w14:paraId="69947DFD" w14:textId="35007428" w:rsidR="0038347E" w:rsidRPr="005E1802" w:rsidRDefault="006629E5" w:rsidP="005E1802">
      <w:pPr>
        <w:pStyle w:val="FixListStyle"/>
        <w:spacing w:after="260" w:line="280" w:lineRule="exact"/>
        <w:ind w:right="0"/>
        <w:jc w:val="both"/>
        <w:rPr>
          <w:rFonts w:ascii="Times New Roman" w:hAnsi="Times New Roman"/>
        </w:rPr>
      </w:pPr>
      <w:r w:rsidRPr="005E1802">
        <w:rPr>
          <w:rFonts w:ascii="Times New Roman" w:hAnsi="Times New Roman"/>
        </w:rPr>
        <w:tab/>
        <w:t xml:space="preserve">And </w:t>
      </w:r>
      <w:r w:rsidR="0075540A" w:rsidRPr="005E1802">
        <w:rPr>
          <w:rFonts w:ascii="Times New Roman" w:hAnsi="Times New Roman"/>
        </w:rPr>
        <w:t>nothing in the</w:t>
      </w:r>
      <w:r w:rsidR="00376942" w:rsidRPr="005E1802">
        <w:rPr>
          <w:rFonts w:ascii="Times New Roman" w:hAnsi="Times New Roman"/>
        </w:rPr>
        <w:t xml:space="preserve"> </w:t>
      </w:r>
      <w:r w:rsidR="00FE5F5D" w:rsidRPr="005E1802">
        <w:rPr>
          <w:rFonts w:ascii="Times New Roman" w:hAnsi="Times New Roman"/>
        </w:rPr>
        <w:t>T</w:t>
      </w:r>
      <w:r w:rsidR="007521C6" w:rsidRPr="005E1802">
        <w:rPr>
          <w:rFonts w:ascii="Times New Roman" w:hAnsi="Times New Roman"/>
        </w:rPr>
        <w:t>ribunal</w:t>
      </w:r>
      <w:r w:rsidR="00955503" w:rsidRPr="005E1802">
        <w:rPr>
          <w:rFonts w:ascii="Times New Roman" w:hAnsi="Times New Roman"/>
        </w:rPr>
        <w:t xml:space="preserve">'s </w:t>
      </w:r>
      <w:r w:rsidR="00376942" w:rsidRPr="005E1802">
        <w:rPr>
          <w:rFonts w:ascii="Times New Roman" w:hAnsi="Times New Roman"/>
        </w:rPr>
        <w:t xml:space="preserve">findings in relation to the appellant's claim to fear harm in connection with the dispute over land in Punjab </w:t>
      </w:r>
      <w:r w:rsidR="00AF07CE" w:rsidRPr="005E1802">
        <w:rPr>
          <w:rFonts w:ascii="Times New Roman" w:hAnsi="Times New Roman"/>
        </w:rPr>
        <w:t xml:space="preserve">set out in </w:t>
      </w:r>
      <w:r w:rsidR="00955503" w:rsidRPr="005E1802">
        <w:rPr>
          <w:rFonts w:ascii="Times New Roman" w:hAnsi="Times New Roman"/>
        </w:rPr>
        <w:t>the</w:t>
      </w:r>
      <w:r w:rsidR="00B80F0F" w:rsidRPr="005E1802">
        <w:rPr>
          <w:rFonts w:ascii="Times New Roman" w:hAnsi="Times New Roman"/>
        </w:rPr>
        <w:t xml:space="preserve"> statement of reasons </w:t>
      </w:r>
      <w:r w:rsidR="00C149DA" w:rsidRPr="005E1802">
        <w:rPr>
          <w:rFonts w:ascii="Times New Roman" w:hAnsi="Times New Roman"/>
        </w:rPr>
        <w:t xml:space="preserve">for its final decision </w:t>
      </w:r>
      <w:r w:rsidR="00D366A2" w:rsidRPr="005E1802">
        <w:rPr>
          <w:rFonts w:ascii="Times New Roman" w:hAnsi="Times New Roman"/>
        </w:rPr>
        <w:t>suggest</w:t>
      </w:r>
      <w:r w:rsidR="007E08B2" w:rsidRPr="005E1802">
        <w:rPr>
          <w:rFonts w:ascii="Times New Roman" w:hAnsi="Times New Roman"/>
        </w:rPr>
        <w:t>s</w:t>
      </w:r>
      <w:r w:rsidR="00D366A2" w:rsidRPr="005E1802">
        <w:rPr>
          <w:rFonts w:ascii="Times New Roman" w:hAnsi="Times New Roman"/>
        </w:rPr>
        <w:t xml:space="preserve"> that it took</w:t>
      </w:r>
      <w:r w:rsidR="003A1F3B" w:rsidRPr="005E1802">
        <w:rPr>
          <w:rFonts w:ascii="Times New Roman" w:hAnsi="Times New Roman"/>
        </w:rPr>
        <w:t xml:space="preserve"> </w:t>
      </w:r>
      <w:r w:rsidR="00D366A2" w:rsidRPr="005E1802">
        <w:rPr>
          <w:rFonts w:ascii="Times New Roman" w:hAnsi="Times New Roman"/>
        </w:rPr>
        <w:t xml:space="preserve">an adverse view of his </w:t>
      </w:r>
      <w:r w:rsidR="00BE401D" w:rsidRPr="005E1802">
        <w:rPr>
          <w:rFonts w:ascii="Times New Roman" w:hAnsi="Times New Roman"/>
        </w:rPr>
        <w:t xml:space="preserve">credit </w:t>
      </w:r>
      <w:r w:rsidR="003A1F3B" w:rsidRPr="005E1802">
        <w:rPr>
          <w:rFonts w:ascii="Times New Roman" w:hAnsi="Times New Roman"/>
        </w:rPr>
        <w:t xml:space="preserve">that </w:t>
      </w:r>
      <w:r w:rsidR="00453FA7" w:rsidRPr="005E1802">
        <w:rPr>
          <w:rFonts w:ascii="Times New Roman" w:hAnsi="Times New Roman"/>
        </w:rPr>
        <w:t>was incapable of</w:t>
      </w:r>
      <w:r w:rsidR="00292D0E" w:rsidRPr="005E1802">
        <w:rPr>
          <w:rFonts w:ascii="Times New Roman" w:hAnsi="Times New Roman"/>
        </w:rPr>
        <w:t xml:space="preserve"> explanation</w:t>
      </w:r>
      <w:r w:rsidR="009A3C60" w:rsidRPr="005E1802">
        <w:rPr>
          <w:rFonts w:ascii="Times New Roman" w:hAnsi="Times New Roman"/>
        </w:rPr>
        <w:t xml:space="preserve"> </w:t>
      </w:r>
      <w:r w:rsidR="00292D0E" w:rsidRPr="005E1802">
        <w:rPr>
          <w:rFonts w:ascii="Times New Roman" w:hAnsi="Times New Roman"/>
        </w:rPr>
        <w:t>other than</w:t>
      </w:r>
      <w:r w:rsidR="009A3C60" w:rsidRPr="005E1802">
        <w:rPr>
          <w:rFonts w:ascii="Times New Roman" w:hAnsi="Times New Roman"/>
        </w:rPr>
        <w:t xml:space="preserve"> by reference to </w:t>
      </w:r>
      <w:r w:rsidR="00654E55" w:rsidRPr="005E1802">
        <w:rPr>
          <w:rFonts w:ascii="Times New Roman" w:hAnsi="Times New Roman"/>
        </w:rPr>
        <w:t xml:space="preserve">the </w:t>
      </w:r>
      <w:r w:rsidR="00FE5F5D" w:rsidRPr="005E1802">
        <w:rPr>
          <w:rFonts w:ascii="Times New Roman" w:hAnsi="Times New Roman"/>
        </w:rPr>
        <w:t>T</w:t>
      </w:r>
      <w:r w:rsidR="007521C6" w:rsidRPr="005E1802">
        <w:rPr>
          <w:rFonts w:ascii="Times New Roman" w:hAnsi="Times New Roman"/>
        </w:rPr>
        <w:t>ribunal</w:t>
      </w:r>
      <w:r w:rsidR="00654E55" w:rsidRPr="005E1802">
        <w:rPr>
          <w:rFonts w:ascii="Times New Roman" w:hAnsi="Times New Roman"/>
        </w:rPr>
        <w:t xml:space="preserve"> having treated </w:t>
      </w:r>
      <w:r w:rsidR="00900FCA" w:rsidRPr="005E1802">
        <w:rPr>
          <w:rFonts w:ascii="Times New Roman" w:hAnsi="Times New Roman"/>
        </w:rPr>
        <w:t xml:space="preserve">him </w:t>
      </w:r>
      <w:r w:rsidR="00A6082B" w:rsidRPr="005E1802">
        <w:rPr>
          <w:rFonts w:ascii="Times New Roman" w:hAnsi="Times New Roman"/>
        </w:rPr>
        <w:t>with distrust</w:t>
      </w:r>
      <w:r w:rsidR="00900FCA" w:rsidRPr="005E1802">
        <w:rPr>
          <w:rFonts w:ascii="Times New Roman" w:hAnsi="Times New Roman"/>
        </w:rPr>
        <w:t xml:space="preserve"> </w:t>
      </w:r>
      <w:r w:rsidR="007C4848" w:rsidRPr="005E1802">
        <w:rPr>
          <w:rFonts w:ascii="Times New Roman" w:hAnsi="Times New Roman"/>
        </w:rPr>
        <w:t>because he had been</w:t>
      </w:r>
      <w:r w:rsidR="009A3C60" w:rsidRPr="005E1802">
        <w:rPr>
          <w:rFonts w:ascii="Times New Roman" w:hAnsi="Times New Roman"/>
        </w:rPr>
        <w:t xml:space="preserve"> convicted of the offence of dishonesty. </w:t>
      </w:r>
      <w:r w:rsidR="003C076C" w:rsidRPr="005E1802">
        <w:rPr>
          <w:rFonts w:ascii="Times New Roman" w:hAnsi="Times New Roman"/>
        </w:rPr>
        <w:t xml:space="preserve">On a fair reading of the statement of reasons, the </w:t>
      </w:r>
      <w:r w:rsidR="00FE5F5D" w:rsidRPr="005E1802">
        <w:rPr>
          <w:rFonts w:ascii="Times New Roman" w:hAnsi="Times New Roman"/>
        </w:rPr>
        <w:t>T</w:t>
      </w:r>
      <w:r w:rsidR="007521C6" w:rsidRPr="005E1802">
        <w:rPr>
          <w:rFonts w:ascii="Times New Roman" w:hAnsi="Times New Roman"/>
        </w:rPr>
        <w:t>ribunal</w:t>
      </w:r>
      <w:r w:rsidR="003C076C" w:rsidRPr="005E1802">
        <w:rPr>
          <w:rFonts w:ascii="Times New Roman" w:hAnsi="Times New Roman"/>
        </w:rPr>
        <w:t xml:space="preserve"> did not disbelieve the </w:t>
      </w:r>
      <w:r w:rsidR="00CA5548" w:rsidRPr="005E1802">
        <w:rPr>
          <w:rFonts w:ascii="Times New Roman" w:hAnsi="Times New Roman"/>
        </w:rPr>
        <w:t xml:space="preserve">appellant's account of the </w:t>
      </w:r>
      <w:r w:rsidR="00B73308" w:rsidRPr="005E1802">
        <w:rPr>
          <w:rFonts w:ascii="Times New Roman" w:hAnsi="Times New Roman"/>
        </w:rPr>
        <w:t xml:space="preserve">historical </w:t>
      </w:r>
      <w:r w:rsidR="008605E8" w:rsidRPr="005E1802">
        <w:rPr>
          <w:rFonts w:ascii="Times New Roman" w:hAnsi="Times New Roman"/>
        </w:rPr>
        <w:t xml:space="preserve">circumstances of the </w:t>
      </w:r>
      <w:r w:rsidR="00CA5548" w:rsidRPr="005E1802">
        <w:rPr>
          <w:rFonts w:ascii="Times New Roman" w:hAnsi="Times New Roman"/>
        </w:rPr>
        <w:t>dispute</w:t>
      </w:r>
      <w:r w:rsidR="006A7BD3" w:rsidRPr="005E1802">
        <w:rPr>
          <w:rFonts w:ascii="Times New Roman" w:hAnsi="Times New Roman"/>
        </w:rPr>
        <w:t xml:space="preserve">. </w:t>
      </w:r>
      <w:r w:rsidR="008D51BD" w:rsidRPr="005E1802">
        <w:rPr>
          <w:rFonts w:ascii="Times New Roman" w:hAnsi="Times New Roman"/>
        </w:rPr>
        <w:t xml:space="preserve">The </w:t>
      </w:r>
      <w:r w:rsidR="00FE5F5D" w:rsidRPr="005E1802">
        <w:rPr>
          <w:rFonts w:ascii="Times New Roman" w:hAnsi="Times New Roman"/>
        </w:rPr>
        <w:t>T</w:t>
      </w:r>
      <w:r w:rsidR="007521C6" w:rsidRPr="005E1802">
        <w:rPr>
          <w:rFonts w:ascii="Times New Roman" w:hAnsi="Times New Roman"/>
        </w:rPr>
        <w:t>ribunal</w:t>
      </w:r>
      <w:r w:rsidR="008D51BD" w:rsidRPr="005E1802">
        <w:rPr>
          <w:rFonts w:ascii="Times New Roman" w:hAnsi="Times New Roman"/>
        </w:rPr>
        <w:t xml:space="preserve">'s scepticism was directed to </w:t>
      </w:r>
      <w:r w:rsidR="00A52939" w:rsidRPr="005E1802">
        <w:rPr>
          <w:rFonts w:ascii="Times New Roman" w:hAnsi="Times New Roman"/>
        </w:rPr>
        <w:t xml:space="preserve">the appellant's </w:t>
      </w:r>
      <w:r w:rsidR="008605E8" w:rsidRPr="005E1802">
        <w:rPr>
          <w:rFonts w:ascii="Times New Roman" w:hAnsi="Times New Roman"/>
        </w:rPr>
        <w:t>account of the ongoing consequences of the dispute</w:t>
      </w:r>
      <w:r w:rsidR="00BA1C19" w:rsidRPr="005E1802">
        <w:rPr>
          <w:rFonts w:ascii="Times New Roman" w:hAnsi="Times New Roman"/>
        </w:rPr>
        <w:t>.</w:t>
      </w:r>
      <w:r w:rsidR="00B0392D" w:rsidRPr="005E1802">
        <w:rPr>
          <w:rFonts w:ascii="Times New Roman" w:hAnsi="Times New Roman"/>
        </w:rPr>
        <w:t xml:space="preserve"> </w:t>
      </w:r>
      <w:r w:rsidR="00BA1C19" w:rsidRPr="005E1802">
        <w:rPr>
          <w:rFonts w:ascii="Times New Roman" w:hAnsi="Times New Roman"/>
        </w:rPr>
        <w:t xml:space="preserve">What </w:t>
      </w:r>
      <w:r w:rsidR="00FA0773" w:rsidRPr="005E1802">
        <w:rPr>
          <w:rFonts w:ascii="Times New Roman" w:hAnsi="Times New Roman"/>
        </w:rPr>
        <w:t xml:space="preserve">the </w:t>
      </w:r>
      <w:r w:rsidR="00FE5F5D" w:rsidRPr="005E1802">
        <w:rPr>
          <w:rFonts w:ascii="Times New Roman" w:hAnsi="Times New Roman"/>
        </w:rPr>
        <w:t>T</w:t>
      </w:r>
      <w:r w:rsidR="007521C6" w:rsidRPr="005E1802">
        <w:rPr>
          <w:rFonts w:ascii="Times New Roman" w:hAnsi="Times New Roman"/>
        </w:rPr>
        <w:t>ribunal</w:t>
      </w:r>
      <w:r w:rsidR="00BA1C19" w:rsidRPr="005E1802">
        <w:rPr>
          <w:rFonts w:ascii="Times New Roman" w:hAnsi="Times New Roman"/>
        </w:rPr>
        <w:t xml:space="preserve"> found in substance was that those ongoing consequences</w:t>
      </w:r>
      <w:r w:rsidR="007B2D5D" w:rsidRPr="005E1802">
        <w:rPr>
          <w:rFonts w:ascii="Times New Roman" w:hAnsi="Times New Roman"/>
        </w:rPr>
        <w:t xml:space="preserve"> did not provide an objective basis for </w:t>
      </w:r>
      <w:r w:rsidR="005C0351" w:rsidRPr="005E1802">
        <w:rPr>
          <w:rFonts w:ascii="Times New Roman" w:hAnsi="Times New Roman"/>
        </w:rPr>
        <w:t xml:space="preserve">the appellant to entertain </w:t>
      </w:r>
      <w:r w:rsidR="007B2D5D" w:rsidRPr="005E1802">
        <w:rPr>
          <w:rFonts w:ascii="Times New Roman" w:hAnsi="Times New Roman"/>
        </w:rPr>
        <w:t xml:space="preserve">a reasonable fear. </w:t>
      </w:r>
    </w:p>
    <w:p w14:paraId="6E0A78C9" w14:textId="340311F2" w:rsidR="006E7540" w:rsidRPr="005E1802" w:rsidRDefault="0038347E"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BE4433" w:rsidRPr="005E1802">
        <w:rPr>
          <w:rFonts w:ascii="Times New Roman" w:hAnsi="Times New Roman"/>
        </w:rPr>
        <w:t>Notwithstanding</w:t>
      </w:r>
      <w:r w:rsidR="00B40C4A" w:rsidRPr="005E1802">
        <w:rPr>
          <w:rFonts w:ascii="Times New Roman" w:hAnsi="Times New Roman"/>
        </w:rPr>
        <w:t xml:space="preserve"> any weight </w:t>
      </w:r>
      <w:r w:rsidR="00195A8E" w:rsidRPr="005E1802">
        <w:rPr>
          <w:rFonts w:ascii="Times New Roman" w:hAnsi="Times New Roman"/>
        </w:rPr>
        <w:t>Mortimer J</w:t>
      </w:r>
      <w:r w:rsidR="0001021E" w:rsidRPr="005E1802">
        <w:rPr>
          <w:rFonts w:ascii="Times New Roman" w:hAnsi="Times New Roman"/>
        </w:rPr>
        <w:t xml:space="preserve"> </w:t>
      </w:r>
      <w:r w:rsidR="00B40C4A" w:rsidRPr="005E1802">
        <w:rPr>
          <w:rFonts w:ascii="Times New Roman" w:hAnsi="Times New Roman"/>
        </w:rPr>
        <w:t xml:space="preserve">may have accorded to </w:t>
      </w:r>
      <w:r w:rsidR="00D15036" w:rsidRPr="005E1802">
        <w:rPr>
          <w:rFonts w:ascii="Times New Roman" w:hAnsi="Times New Roman"/>
        </w:rPr>
        <w:t>what she wrongly characterised as a</w:t>
      </w:r>
      <w:r w:rsidR="00B40C4A" w:rsidRPr="005E1802">
        <w:rPr>
          <w:rFonts w:ascii="Times New Roman" w:hAnsi="Times New Roman"/>
        </w:rPr>
        <w:t xml:space="preserve"> "presumption" </w:t>
      </w:r>
      <w:r w:rsidR="00307FA7" w:rsidRPr="005E1802">
        <w:rPr>
          <w:rFonts w:ascii="Times New Roman" w:hAnsi="Times New Roman"/>
        </w:rPr>
        <w:t xml:space="preserve">emerging from the observation of the majority in </w:t>
      </w:r>
      <w:r w:rsidR="00307FA7" w:rsidRPr="005E1802">
        <w:rPr>
          <w:rFonts w:ascii="Times New Roman" w:hAnsi="Times New Roman"/>
          <w:i/>
        </w:rPr>
        <w:t>SZMTA</w:t>
      </w:r>
      <w:r w:rsidR="00307FA7" w:rsidRPr="005E1802">
        <w:rPr>
          <w:rFonts w:ascii="Times New Roman" w:hAnsi="Times New Roman"/>
        </w:rPr>
        <w:t xml:space="preserve"> in the passage of which she was critical,</w:t>
      </w:r>
      <w:r w:rsidR="00347A49" w:rsidRPr="005E1802">
        <w:rPr>
          <w:rFonts w:ascii="Times New Roman" w:hAnsi="Times New Roman"/>
        </w:rPr>
        <w:t xml:space="preserve"> </w:t>
      </w:r>
      <w:r w:rsidR="00255CE3" w:rsidRPr="005E1802">
        <w:rPr>
          <w:rFonts w:ascii="Times New Roman" w:hAnsi="Times New Roman"/>
        </w:rPr>
        <w:t>her Honour</w:t>
      </w:r>
      <w:r w:rsidR="00164D13" w:rsidRPr="005E1802">
        <w:rPr>
          <w:rFonts w:ascii="Times New Roman" w:hAnsi="Times New Roman"/>
        </w:rPr>
        <w:t xml:space="preserve"> </w:t>
      </w:r>
      <w:r w:rsidR="008A15CF" w:rsidRPr="005E1802">
        <w:rPr>
          <w:rFonts w:ascii="Times New Roman" w:hAnsi="Times New Roman"/>
        </w:rPr>
        <w:t xml:space="preserve">was undoubtedly </w:t>
      </w:r>
      <w:r w:rsidR="00164D13" w:rsidRPr="005E1802">
        <w:rPr>
          <w:rFonts w:ascii="Times New Roman" w:hAnsi="Times New Roman"/>
        </w:rPr>
        <w:t>correct</w:t>
      </w:r>
      <w:r w:rsidR="008A15CF" w:rsidRPr="005E1802">
        <w:rPr>
          <w:rFonts w:ascii="Times New Roman" w:hAnsi="Times New Roman"/>
        </w:rPr>
        <w:t xml:space="preserve"> in finding</w:t>
      </w:r>
      <w:r w:rsidR="00675BC8" w:rsidRPr="005E1802">
        <w:rPr>
          <w:rFonts w:ascii="Times New Roman" w:hAnsi="Times New Roman"/>
        </w:rPr>
        <w:t xml:space="preserve"> that</w:t>
      </w:r>
      <w:r w:rsidR="00164D13" w:rsidRPr="005E1802">
        <w:rPr>
          <w:rFonts w:ascii="Times New Roman" w:hAnsi="Times New Roman"/>
        </w:rPr>
        <w:t xml:space="preserve"> </w:t>
      </w:r>
      <w:r w:rsidR="00D64BA5" w:rsidRPr="005E1802">
        <w:rPr>
          <w:rFonts w:ascii="Times New Roman" w:hAnsi="Times New Roman"/>
        </w:rPr>
        <w:t xml:space="preserve">the </w:t>
      </w:r>
      <w:r w:rsidR="00FE5F5D" w:rsidRPr="005E1802">
        <w:rPr>
          <w:rFonts w:ascii="Times New Roman" w:hAnsi="Times New Roman"/>
        </w:rPr>
        <w:t>T</w:t>
      </w:r>
      <w:r w:rsidR="007521C6" w:rsidRPr="005E1802">
        <w:rPr>
          <w:rFonts w:ascii="Times New Roman" w:hAnsi="Times New Roman"/>
        </w:rPr>
        <w:t>ribunal</w:t>
      </w:r>
      <w:r w:rsidR="00307FA7" w:rsidRPr="005E1802">
        <w:rPr>
          <w:rFonts w:ascii="Times New Roman" w:hAnsi="Times New Roman"/>
        </w:rPr>
        <w:t xml:space="preserve">'s </w:t>
      </w:r>
      <w:r w:rsidR="00D64BA5" w:rsidRPr="005E1802">
        <w:rPr>
          <w:rFonts w:ascii="Times New Roman" w:hAnsi="Times New Roman"/>
        </w:rPr>
        <w:t>statement of reasons "[did] not disclose</w:t>
      </w:r>
      <w:r w:rsidR="00562619" w:rsidRPr="005E1802">
        <w:rPr>
          <w:rFonts w:ascii="Times New Roman" w:hAnsi="Times New Roman"/>
        </w:rPr>
        <w:t xml:space="preserve"> any real assessment of the </w:t>
      </w:r>
      <w:r w:rsidR="00A908FA" w:rsidRPr="005E1802">
        <w:rPr>
          <w:rFonts w:ascii="Times New Roman" w:hAnsi="Times New Roman"/>
        </w:rPr>
        <w:t>appellant's</w:t>
      </w:r>
      <w:r w:rsidR="00562619" w:rsidRPr="005E1802">
        <w:rPr>
          <w:rFonts w:ascii="Times New Roman" w:hAnsi="Times New Roman"/>
        </w:rPr>
        <w:t xml:space="preserve"> honesty</w:t>
      </w:r>
      <w:r w:rsidR="00A908FA" w:rsidRPr="005E1802">
        <w:rPr>
          <w:rFonts w:ascii="Times New Roman" w:hAnsi="Times New Roman"/>
        </w:rPr>
        <w:t xml:space="preserve"> at all,</w:t>
      </w:r>
      <w:r w:rsidR="00562619" w:rsidRPr="005E1802">
        <w:rPr>
          <w:rFonts w:ascii="Times New Roman" w:hAnsi="Times New Roman"/>
        </w:rPr>
        <w:t xml:space="preserve"> let alone an assessment</w:t>
      </w:r>
      <w:r w:rsidR="00A908FA" w:rsidRPr="005E1802">
        <w:rPr>
          <w:rFonts w:ascii="Times New Roman" w:hAnsi="Times New Roman"/>
        </w:rPr>
        <w:t xml:space="preserve"> of a kind that might suggest its reasoning was affected</w:t>
      </w:r>
      <w:r w:rsidR="00585298" w:rsidRPr="005E1802">
        <w:rPr>
          <w:rFonts w:ascii="Times New Roman" w:hAnsi="Times New Roman"/>
        </w:rPr>
        <w:t xml:space="preserve"> by the presence of the '</w:t>
      </w:r>
      <w:r w:rsidR="0070215C" w:rsidRPr="005E1802">
        <w:rPr>
          <w:rFonts w:ascii="Times New Roman" w:hAnsi="Times New Roman"/>
        </w:rPr>
        <w:t>S</w:t>
      </w:r>
      <w:r w:rsidR="00585298" w:rsidRPr="005E1802">
        <w:rPr>
          <w:rFonts w:ascii="Times New Roman" w:hAnsi="Times New Roman"/>
        </w:rPr>
        <w:t>tate false name'</w:t>
      </w:r>
      <w:r w:rsidR="00562619" w:rsidRPr="005E1802">
        <w:rPr>
          <w:rFonts w:ascii="Times New Roman" w:hAnsi="Times New Roman"/>
        </w:rPr>
        <w:t xml:space="preserve"> </w:t>
      </w:r>
      <w:r w:rsidR="00585298" w:rsidRPr="005E1802">
        <w:rPr>
          <w:rFonts w:ascii="Times New Roman" w:hAnsi="Times New Roman"/>
        </w:rPr>
        <w:t xml:space="preserve">conviction in the ... notification </w:t>
      </w:r>
      <w:r w:rsidR="00D00A94" w:rsidRPr="005E1802">
        <w:rPr>
          <w:rFonts w:ascii="Times New Roman" w:hAnsi="Times New Roman"/>
        </w:rPr>
        <w:t>information"</w:t>
      </w:r>
      <w:r w:rsidR="000E7DA3" w:rsidRPr="005E1802">
        <w:rPr>
          <w:rStyle w:val="FootnoteReference"/>
          <w:rFonts w:ascii="Times New Roman" w:hAnsi="Times New Roman"/>
          <w:sz w:val="24"/>
        </w:rPr>
        <w:footnoteReference w:id="80"/>
      </w:r>
      <w:r w:rsidR="000E7DA3" w:rsidRPr="005E1802">
        <w:rPr>
          <w:rFonts w:ascii="Times New Roman" w:hAnsi="Times New Roman"/>
        </w:rPr>
        <w:t>.</w:t>
      </w:r>
      <w:r w:rsidR="00ED503A" w:rsidRPr="005E1802">
        <w:rPr>
          <w:rFonts w:ascii="Times New Roman" w:hAnsi="Times New Roman"/>
        </w:rPr>
        <w:t xml:space="preserve"> Her </w:t>
      </w:r>
      <w:r w:rsidR="0078512A" w:rsidRPr="005E1802">
        <w:rPr>
          <w:rFonts w:ascii="Times New Roman" w:hAnsi="Times New Roman"/>
        </w:rPr>
        <w:t xml:space="preserve">Honour's </w:t>
      </w:r>
      <w:r w:rsidR="00ED503A" w:rsidRPr="005E1802">
        <w:rPr>
          <w:rFonts w:ascii="Times New Roman" w:hAnsi="Times New Roman"/>
        </w:rPr>
        <w:t xml:space="preserve">conclusion that the appellant </w:t>
      </w:r>
      <w:r w:rsidR="0078512A" w:rsidRPr="005E1802">
        <w:rPr>
          <w:rFonts w:ascii="Times New Roman" w:hAnsi="Times New Roman"/>
        </w:rPr>
        <w:t>had failed to</w:t>
      </w:r>
      <w:r w:rsidR="00ED503A" w:rsidRPr="005E1802">
        <w:rPr>
          <w:rFonts w:ascii="Times New Roman" w:hAnsi="Times New Roman"/>
        </w:rPr>
        <w:t xml:space="preserve"> discharge the onus of proving </w:t>
      </w:r>
      <w:r w:rsidR="0078512A" w:rsidRPr="005E1802">
        <w:rPr>
          <w:rFonts w:ascii="Times New Roman" w:hAnsi="Times New Roman"/>
        </w:rPr>
        <w:t xml:space="preserve">that the </w:t>
      </w:r>
      <w:r w:rsidR="00FE5F5D" w:rsidRPr="005E1802">
        <w:rPr>
          <w:rFonts w:ascii="Times New Roman" w:hAnsi="Times New Roman"/>
        </w:rPr>
        <w:t>T</w:t>
      </w:r>
      <w:r w:rsidR="00484326" w:rsidRPr="005E1802">
        <w:rPr>
          <w:rFonts w:ascii="Times New Roman" w:hAnsi="Times New Roman"/>
        </w:rPr>
        <w:t>ribunal</w:t>
      </w:r>
      <w:r w:rsidR="0078512A" w:rsidRPr="005E1802">
        <w:rPr>
          <w:rFonts w:ascii="Times New Roman" w:hAnsi="Times New Roman"/>
        </w:rPr>
        <w:t xml:space="preserve"> in fact took the offence of dishonesty into account </w:t>
      </w:r>
      <w:r w:rsidR="00346522" w:rsidRPr="005E1802">
        <w:rPr>
          <w:rFonts w:ascii="Times New Roman" w:hAnsi="Times New Roman"/>
        </w:rPr>
        <w:t xml:space="preserve">in making the final decision </w:t>
      </w:r>
      <w:r w:rsidR="00824C97" w:rsidRPr="005E1802">
        <w:rPr>
          <w:rFonts w:ascii="Times New Roman" w:hAnsi="Times New Roman"/>
        </w:rPr>
        <w:t xml:space="preserve">was </w:t>
      </w:r>
      <w:r w:rsidR="009B521A" w:rsidRPr="005E1802">
        <w:rPr>
          <w:rFonts w:ascii="Times New Roman" w:hAnsi="Times New Roman"/>
        </w:rPr>
        <w:t>not affected by appealable error</w:t>
      </w:r>
      <w:r w:rsidR="00ED503A" w:rsidRPr="005E1802">
        <w:rPr>
          <w:rFonts w:ascii="Times New Roman" w:hAnsi="Times New Roman"/>
        </w:rPr>
        <w:t>.</w:t>
      </w:r>
    </w:p>
    <w:p w14:paraId="3C6FA99F" w14:textId="67576147" w:rsidR="00CF0152" w:rsidRPr="005E1802" w:rsidRDefault="00CF0152" w:rsidP="005E1802">
      <w:pPr>
        <w:pStyle w:val="HeadingL1"/>
        <w:spacing w:after="260" w:line="280" w:lineRule="exact"/>
        <w:ind w:right="0"/>
        <w:jc w:val="both"/>
        <w:rPr>
          <w:rFonts w:ascii="Times New Roman" w:hAnsi="Times New Roman"/>
        </w:rPr>
      </w:pPr>
      <w:r w:rsidRPr="005E1802">
        <w:rPr>
          <w:rFonts w:ascii="Times New Roman" w:hAnsi="Times New Roman"/>
        </w:rPr>
        <w:t xml:space="preserve">No error in </w:t>
      </w:r>
      <w:r w:rsidR="00EC0FD7" w:rsidRPr="005E1802">
        <w:rPr>
          <w:rFonts w:ascii="Times New Roman" w:hAnsi="Times New Roman"/>
        </w:rPr>
        <w:t>not</w:t>
      </w:r>
      <w:r w:rsidR="005532F4" w:rsidRPr="005E1802">
        <w:rPr>
          <w:rFonts w:ascii="Times New Roman" w:hAnsi="Times New Roman"/>
        </w:rPr>
        <w:t xml:space="preserve"> considering</w:t>
      </w:r>
      <w:r w:rsidRPr="005E1802">
        <w:rPr>
          <w:rFonts w:ascii="Times New Roman" w:hAnsi="Times New Roman"/>
        </w:rPr>
        <w:t xml:space="preserve"> </w:t>
      </w:r>
      <w:r w:rsidR="005532F4" w:rsidRPr="005E1802">
        <w:rPr>
          <w:rFonts w:ascii="Times New Roman" w:hAnsi="Times New Roman"/>
        </w:rPr>
        <w:t xml:space="preserve">other </w:t>
      </w:r>
      <w:r w:rsidRPr="005E1802">
        <w:rPr>
          <w:rFonts w:ascii="Times New Roman" w:hAnsi="Times New Roman"/>
        </w:rPr>
        <w:t>offence</w:t>
      </w:r>
      <w:r w:rsidR="00EC0FD7" w:rsidRPr="005E1802">
        <w:rPr>
          <w:rFonts w:ascii="Times New Roman" w:hAnsi="Times New Roman"/>
        </w:rPr>
        <w:t>s</w:t>
      </w:r>
      <w:r w:rsidR="005532F4" w:rsidRPr="005E1802">
        <w:rPr>
          <w:rFonts w:ascii="Times New Roman" w:hAnsi="Times New Roman"/>
        </w:rPr>
        <w:t xml:space="preserve"> </w:t>
      </w:r>
    </w:p>
    <w:p w14:paraId="105C1D43" w14:textId="5D169721" w:rsidR="00CF0152" w:rsidRPr="005E1802" w:rsidRDefault="003049E5"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59550F" w:rsidRPr="005E1802">
        <w:rPr>
          <w:rFonts w:ascii="Times New Roman" w:hAnsi="Times New Roman"/>
        </w:rPr>
        <w:t>Left to last is</w:t>
      </w:r>
      <w:r w:rsidR="00021813" w:rsidRPr="005E1802">
        <w:rPr>
          <w:rFonts w:ascii="Times New Roman" w:hAnsi="Times New Roman"/>
        </w:rPr>
        <w:t xml:space="preserve"> the appellant's </w:t>
      </w:r>
      <w:r w:rsidR="00A536F0" w:rsidRPr="005E1802">
        <w:rPr>
          <w:rFonts w:ascii="Times New Roman" w:hAnsi="Times New Roman"/>
        </w:rPr>
        <w:t>argument</w:t>
      </w:r>
      <w:r w:rsidR="00021813" w:rsidRPr="005E1802">
        <w:rPr>
          <w:rFonts w:ascii="Times New Roman" w:hAnsi="Times New Roman"/>
        </w:rPr>
        <w:t xml:space="preserve"> that Mortimer J </w:t>
      </w:r>
      <w:r w:rsidR="00E81B83" w:rsidRPr="005E1802">
        <w:rPr>
          <w:rFonts w:ascii="Times New Roman" w:hAnsi="Times New Roman"/>
        </w:rPr>
        <w:t xml:space="preserve">was </w:t>
      </w:r>
      <w:r w:rsidR="00021813" w:rsidRPr="005E1802">
        <w:rPr>
          <w:rFonts w:ascii="Times New Roman" w:hAnsi="Times New Roman"/>
        </w:rPr>
        <w:t>wrong</w:t>
      </w:r>
      <w:r w:rsidR="00E81B83" w:rsidRPr="005E1802">
        <w:rPr>
          <w:rFonts w:ascii="Times New Roman" w:hAnsi="Times New Roman"/>
        </w:rPr>
        <w:t xml:space="preserve"> to</w:t>
      </w:r>
      <w:r w:rsidR="00021813" w:rsidRPr="005E1802">
        <w:rPr>
          <w:rFonts w:ascii="Times New Roman" w:hAnsi="Times New Roman"/>
        </w:rPr>
        <w:t xml:space="preserve"> confine her consideration of materiality to the offence of dishonesty to the exclusion of consideration of the other offences referred to in the Court Outcomes Report.</w:t>
      </w:r>
    </w:p>
    <w:p w14:paraId="01F74C03" w14:textId="19D8A918" w:rsidR="00717004" w:rsidRPr="005E1802" w:rsidRDefault="00717004"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D00A94" w:rsidRPr="005E1802">
        <w:rPr>
          <w:rFonts w:ascii="Times New Roman" w:hAnsi="Times New Roman"/>
        </w:rPr>
        <w:t xml:space="preserve">The Minister points out that the </w:t>
      </w:r>
      <w:r w:rsidR="00DA24DD" w:rsidRPr="005E1802">
        <w:rPr>
          <w:rFonts w:ascii="Times New Roman" w:hAnsi="Times New Roman"/>
        </w:rPr>
        <w:t xml:space="preserve">argument </w:t>
      </w:r>
      <w:r w:rsidR="00540D64" w:rsidRPr="005E1802">
        <w:rPr>
          <w:rFonts w:ascii="Times New Roman" w:hAnsi="Times New Roman"/>
        </w:rPr>
        <w:t>contradicts</w:t>
      </w:r>
      <w:r w:rsidR="00DA24DD" w:rsidRPr="005E1802">
        <w:rPr>
          <w:rFonts w:ascii="Times New Roman" w:hAnsi="Times New Roman"/>
        </w:rPr>
        <w:t xml:space="preserve"> th</w:t>
      </w:r>
      <w:r w:rsidR="000754DD" w:rsidRPr="005E1802">
        <w:rPr>
          <w:rFonts w:ascii="Times New Roman" w:hAnsi="Times New Roman"/>
        </w:rPr>
        <w:t xml:space="preserve">e </w:t>
      </w:r>
      <w:r w:rsidR="00DA24DD" w:rsidRPr="005E1802">
        <w:rPr>
          <w:rFonts w:ascii="Times New Roman" w:hAnsi="Times New Roman"/>
        </w:rPr>
        <w:t>appellant</w:t>
      </w:r>
      <w:r w:rsidR="000754DD" w:rsidRPr="005E1802">
        <w:rPr>
          <w:rFonts w:ascii="Times New Roman" w:hAnsi="Times New Roman"/>
        </w:rPr>
        <w:t>'s</w:t>
      </w:r>
      <w:r w:rsidR="00DA24DD" w:rsidRPr="005E1802">
        <w:rPr>
          <w:rFonts w:ascii="Times New Roman" w:hAnsi="Times New Roman"/>
        </w:rPr>
        <w:t xml:space="preserve"> </w:t>
      </w:r>
      <w:r w:rsidR="00346522" w:rsidRPr="005E1802">
        <w:rPr>
          <w:rFonts w:ascii="Times New Roman" w:hAnsi="Times New Roman"/>
        </w:rPr>
        <w:t>position</w:t>
      </w:r>
      <w:r w:rsidR="0078387A" w:rsidRPr="005E1802">
        <w:rPr>
          <w:rFonts w:ascii="Times New Roman" w:hAnsi="Times New Roman"/>
        </w:rPr>
        <w:t xml:space="preserve"> before Mortimer J that the offence of dishonesty was the only </w:t>
      </w:r>
      <w:r w:rsidR="009B5AEC" w:rsidRPr="005E1802">
        <w:rPr>
          <w:rFonts w:ascii="Times New Roman" w:hAnsi="Times New Roman"/>
        </w:rPr>
        <w:t>offence rationally capable of affecting the final decision</w:t>
      </w:r>
      <w:r w:rsidR="000754DD" w:rsidRPr="005E1802">
        <w:rPr>
          <w:rFonts w:ascii="Times New Roman" w:hAnsi="Times New Roman"/>
        </w:rPr>
        <w:t>. T</w:t>
      </w:r>
      <w:r w:rsidR="009B5AEC" w:rsidRPr="005E1802">
        <w:rPr>
          <w:rFonts w:ascii="Times New Roman" w:hAnsi="Times New Roman"/>
        </w:rPr>
        <w:t xml:space="preserve">hat would be a compelling </w:t>
      </w:r>
      <w:r w:rsidR="00BB5D90" w:rsidRPr="005E1802">
        <w:rPr>
          <w:rFonts w:ascii="Times New Roman" w:hAnsi="Times New Roman"/>
        </w:rPr>
        <w:t xml:space="preserve">reason to revoke special leave to appeal on the additional </w:t>
      </w:r>
      <w:r w:rsidR="009B3439" w:rsidRPr="005E1802">
        <w:rPr>
          <w:rFonts w:ascii="Times New Roman" w:hAnsi="Times New Roman"/>
        </w:rPr>
        <w:t xml:space="preserve">ground. </w:t>
      </w:r>
      <w:r w:rsidR="0059550F" w:rsidRPr="005E1802">
        <w:rPr>
          <w:rFonts w:ascii="Times New Roman" w:hAnsi="Times New Roman"/>
        </w:rPr>
        <w:t>T</w:t>
      </w:r>
      <w:r w:rsidR="009B3439" w:rsidRPr="005E1802">
        <w:rPr>
          <w:rFonts w:ascii="Times New Roman" w:hAnsi="Times New Roman"/>
        </w:rPr>
        <w:t>he Minister</w:t>
      </w:r>
      <w:r w:rsidR="0059550F" w:rsidRPr="005E1802">
        <w:rPr>
          <w:rFonts w:ascii="Times New Roman" w:hAnsi="Times New Roman"/>
        </w:rPr>
        <w:t xml:space="preserve">, however, </w:t>
      </w:r>
      <w:r w:rsidR="009B3439" w:rsidRPr="005E1802">
        <w:rPr>
          <w:rFonts w:ascii="Times New Roman" w:hAnsi="Times New Roman"/>
        </w:rPr>
        <w:t>does not s</w:t>
      </w:r>
      <w:r w:rsidR="000500CD" w:rsidRPr="005E1802">
        <w:rPr>
          <w:rFonts w:ascii="Times New Roman" w:hAnsi="Times New Roman"/>
        </w:rPr>
        <w:t>eek</w:t>
      </w:r>
      <w:r w:rsidR="002E3A56" w:rsidRPr="005E1802">
        <w:rPr>
          <w:rFonts w:ascii="Times New Roman" w:hAnsi="Times New Roman"/>
        </w:rPr>
        <w:t xml:space="preserve"> that</w:t>
      </w:r>
      <w:r w:rsidR="000500CD" w:rsidRPr="005E1802">
        <w:rPr>
          <w:rFonts w:ascii="Times New Roman" w:hAnsi="Times New Roman"/>
        </w:rPr>
        <w:t xml:space="preserve"> </w:t>
      </w:r>
      <w:r w:rsidR="004704D0" w:rsidRPr="005E1802">
        <w:rPr>
          <w:rFonts w:ascii="Times New Roman" w:hAnsi="Times New Roman"/>
        </w:rPr>
        <w:t>revocation</w:t>
      </w:r>
      <w:r w:rsidR="000E0E8B" w:rsidRPr="005E1802">
        <w:rPr>
          <w:rFonts w:ascii="Times New Roman" w:hAnsi="Times New Roman"/>
        </w:rPr>
        <w:t>.</w:t>
      </w:r>
      <w:r w:rsidR="004704D0" w:rsidRPr="005E1802">
        <w:rPr>
          <w:rFonts w:ascii="Times New Roman" w:hAnsi="Times New Roman"/>
        </w:rPr>
        <w:t xml:space="preserve"> </w:t>
      </w:r>
      <w:r w:rsidR="002E3A56" w:rsidRPr="005E1802">
        <w:rPr>
          <w:rFonts w:ascii="Times New Roman" w:hAnsi="Times New Roman"/>
        </w:rPr>
        <w:t>The additional ground of appeal stands</w:t>
      </w:r>
      <w:r w:rsidR="000E7195" w:rsidRPr="005E1802">
        <w:rPr>
          <w:rFonts w:ascii="Times New Roman" w:hAnsi="Times New Roman"/>
        </w:rPr>
        <w:t xml:space="preserve">. </w:t>
      </w:r>
      <w:r w:rsidR="004704D0" w:rsidRPr="005E1802">
        <w:rPr>
          <w:rFonts w:ascii="Times New Roman" w:hAnsi="Times New Roman"/>
        </w:rPr>
        <w:t>T</w:t>
      </w:r>
      <w:r w:rsidR="000754DD" w:rsidRPr="005E1802">
        <w:rPr>
          <w:rFonts w:ascii="Times New Roman" w:hAnsi="Times New Roman"/>
        </w:rPr>
        <w:t>he</w:t>
      </w:r>
      <w:r w:rsidR="00542267" w:rsidRPr="005E1802">
        <w:rPr>
          <w:rFonts w:ascii="Times New Roman" w:hAnsi="Times New Roman"/>
        </w:rPr>
        <w:t xml:space="preserve"> </w:t>
      </w:r>
      <w:r w:rsidR="000E0E8B" w:rsidRPr="005E1802">
        <w:rPr>
          <w:rFonts w:ascii="Times New Roman" w:hAnsi="Times New Roman"/>
        </w:rPr>
        <w:t xml:space="preserve">merits of </w:t>
      </w:r>
      <w:r w:rsidR="00AD5753" w:rsidRPr="005E1802">
        <w:rPr>
          <w:rFonts w:ascii="Times New Roman" w:hAnsi="Times New Roman"/>
        </w:rPr>
        <w:t xml:space="preserve">the appellant's </w:t>
      </w:r>
      <w:r w:rsidR="00542267" w:rsidRPr="005E1802">
        <w:rPr>
          <w:rFonts w:ascii="Times New Roman" w:hAnsi="Times New Roman"/>
        </w:rPr>
        <w:t xml:space="preserve">argument </w:t>
      </w:r>
      <w:r w:rsidR="000E7195" w:rsidRPr="005E1802">
        <w:rPr>
          <w:rFonts w:ascii="Times New Roman" w:hAnsi="Times New Roman"/>
        </w:rPr>
        <w:t xml:space="preserve">on it </w:t>
      </w:r>
      <w:r w:rsidR="00E15633" w:rsidRPr="005E1802">
        <w:rPr>
          <w:rFonts w:ascii="Times New Roman" w:hAnsi="Times New Roman"/>
        </w:rPr>
        <w:t>must</w:t>
      </w:r>
      <w:r w:rsidR="004835F1" w:rsidRPr="005E1802">
        <w:rPr>
          <w:rFonts w:ascii="Times New Roman" w:hAnsi="Times New Roman"/>
        </w:rPr>
        <w:t xml:space="preserve"> </w:t>
      </w:r>
      <w:r w:rsidR="00542267" w:rsidRPr="005E1802">
        <w:rPr>
          <w:rFonts w:ascii="Times New Roman" w:hAnsi="Times New Roman"/>
        </w:rPr>
        <w:t>therefore</w:t>
      </w:r>
      <w:r w:rsidR="004835F1" w:rsidRPr="005E1802">
        <w:rPr>
          <w:rFonts w:ascii="Times New Roman" w:hAnsi="Times New Roman"/>
        </w:rPr>
        <w:t xml:space="preserve"> be</w:t>
      </w:r>
      <w:r w:rsidR="00542267" w:rsidRPr="005E1802">
        <w:rPr>
          <w:rFonts w:ascii="Times New Roman" w:hAnsi="Times New Roman"/>
        </w:rPr>
        <w:t xml:space="preserve"> </w:t>
      </w:r>
      <w:r w:rsidR="00326BDD" w:rsidRPr="005E1802">
        <w:rPr>
          <w:rFonts w:ascii="Times New Roman" w:hAnsi="Times New Roman"/>
        </w:rPr>
        <w:t>addressed</w:t>
      </w:r>
      <w:r w:rsidR="00EC3AFC" w:rsidRPr="005E1802">
        <w:rPr>
          <w:rFonts w:ascii="Times New Roman" w:hAnsi="Times New Roman"/>
        </w:rPr>
        <w:t>.</w:t>
      </w:r>
      <w:r w:rsidR="00326BDD" w:rsidRPr="005E1802">
        <w:rPr>
          <w:rFonts w:ascii="Times New Roman" w:hAnsi="Times New Roman"/>
        </w:rPr>
        <w:t xml:space="preserve"> </w:t>
      </w:r>
    </w:p>
    <w:p w14:paraId="2C43EAE8" w14:textId="6EB2A481" w:rsidR="00326BDD" w:rsidRPr="005E1802" w:rsidRDefault="00326BDD" w:rsidP="005E1802">
      <w:pPr>
        <w:pStyle w:val="FixListStyle"/>
        <w:spacing w:after="260" w:line="280" w:lineRule="exact"/>
        <w:ind w:right="0"/>
        <w:jc w:val="both"/>
        <w:rPr>
          <w:rFonts w:ascii="Times New Roman" w:hAnsi="Times New Roman"/>
        </w:rPr>
      </w:pPr>
      <w:r w:rsidRPr="005E1802">
        <w:rPr>
          <w:rFonts w:ascii="Times New Roman" w:hAnsi="Times New Roman"/>
        </w:rPr>
        <w:lastRenderedPageBreak/>
        <w:tab/>
        <w:t>The short and complete answer</w:t>
      </w:r>
      <w:r w:rsidR="006C7C67" w:rsidRPr="005E1802">
        <w:rPr>
          <w:rFonts w:ascii="Times New Roman" w:hAnsi="Times New Roman"/>
        </w:rPr>
        <w:t xml:space="preserve"> to the argument is an </w:t>
      </w:r>
      <w:r w:rsidR="00C87B71" w:rsidRPr="005E1802">
        <w:rPr>
          <w:rFonts w:ascii="Times New Roman" w:hAnsi="Times New Roman"/>
        </w:rPr>
        <w:t>extrapolati</w:t>
      </w:r>
      <w:r w:rsidR="006C7C67" w:rsidRPr="005E1802">
        <w:rPr>
          <w:rFonts w:ascii="Times New Roman" w:hAnsi="Times New Roman"/>
        </w:rPr>
        <w:t>on</w:t>
      </w:r>
      <w:r w:rsidR="00C87B71" w:rsidRPr="005E1802">
        <w:rPr>
          <w:rFonts w:ascii="Times New Roman" w:hAnsi="Times New Roman"/>
        </w:rPr>
        <w:t xml:space="preserve"> from what has </w:t>
      </w:r>
      <w:r w:rsidR="00C754FA" w:rsidRPr="005E1802">
        <w:rPr>
          <w:rFonts w:ascii="Times New Roman" w:hAnsi="Times New Roman"/>
        </w:rPr>
        <w:t xml:space="preserve">already been said about the failure of </w:t>
      </w:r>
      <w:r w:rsidR="000C78B2" w:rsidRPr="005E1802">
        <w:rPr>
          <w:rFonts w:ascii="Times New Roman" w:hAnsi="Times New Roman"/>
        </w:rPr>
        <w:t xml:space="preserve">the appellant to prove that the </w:t>
      </w:r>
      <w:r w:rsidR="00FE5F5D" w:rsidRPr="005E1802">
        <w:rPr>
          <w:rFonts w:ascii="Times New Roman" w:hAnsi="Times New Roman"/>
        </w:rPr>
        <w:t>T</w:t>
      </w:r>
      <w:r w:rsidR="00484326" w:rsidRPr="005E1802">
        <w:rPr>
          <w:rFonts w:ascii="Times New Roman" w:hAnsi="Times New Roman"/>
        </w:rPr>
        <w:t>ribunal</w:t>
      </w:r>
      <w:r w:rsidR="000C78B2" w:rsidRPr="005E1802">
        <w:rPr>
          <w:rFonts w:ascii="Times New Roman" w:hAnsi="Times New Roman"/>
        </w:rPr>
        <w:t xml:space="preserve"> in fact took the offence of dishonesty into account. T</w:t>
      </w:r>
      <w:r w:rsidR="0016383C" w:rsidRPr="005E1802">
        <w:rPr>
          <w:rFonts w:ascii="Times New Roman" w:hAnsi="Times New Roman"/>
        </w:rPr>
        <w:t xml:space="preserve">here is simply no basis in the evidence to find on </w:t>
      </w:r>
      <w:r w:rsidR="00E352BD" w:rsidRPr="005E1802">
        <w:rPr>
          <w:rFonts w:ascii="Times New Roman" w:hAnsi="Times New Roman"/>
        </w:rPr>
        <w:t>the</w:t>
      </w:r>
      <w:r w:rsidR="00C754FA" w:rsidRPr="005E1802">
        <w:rPr>
          <w:rFonts w:ascii="Times New Roman" w:hAnsi="Times New Roman"/>
        </w:rPr>
        <w:t xml:space="preserve"> </w:t>
      </w:r>
      <w:r w:rsidR="0016383C" w:rsidRPr="005E1802">
        <w:rPr>
          <w:rFonts w:ascii="Times New Roman" w:hAnsi="Times New Roman"/>
        </w:rPr>
        <w:t>balance</w:t>
      </w:r>
      <w:r w:rsidR="007A5480" w:rsidRPr="005E1802">
        <w:rPr>
          <w:rFonts w:ascii="Times New Roman" w:hAnsi="Times New Roman"/>
        </w:rPr>
        <w:t xml:space="preserve"> of probabilities that the </w:t>
      </w:r>
      <w:r w:rsidR="00FE5F5D" w:rsidRPr="005E1802">
        <w:rPr>
          <w:rFonts w:ascii="Times New Roman" w:hAnsi="Times New Roman"/>
        </w:rPr>
        <w:t>T</w:t>
      </w:r>
      <w:r w:rsidR="00484326" w:rsidRPr="005E1802">
        <w:rPr>
          <w:rFonts w:ascii="Times New Roman" w:hAnsi="Times New Roman"/>
        </w:rPr>
        <w:t>ribunal</w:t>
      </w:r>
      <w:r w:rsidR="007A5480" w:rsidRPr="005E1802">
        <w:rPr>
          <w:rFonts w:ascii="Times New Roman" w:hAnsi="Times New Roman"/>
        </w:rPr>
        <w:t xml:space="preserve"> took any part of the information covered by the notification into account in making the decision.</w:t>
      </w:r>
    </w:p>
    <w:p w14:paraId="7C3BE332" w14:textId="5D22402C" w:rsidR="00B05AD2" w:rsidRPr="005E1802" w:rsidRDefault="00B05AD2" w:rsidP="005E1802">
      <w:pPr>
        <w:pStyle w:val="FixListStyle"/>
        <w:spacing w:after="260" w:line="280" w:lineRule="exact"/>
        <w:ind w:right="0"/>
        <w:jc w:val="both"/>
        <w:rPr>
          <w:rFonts w:ascii="Times New Roman" w:hAnsi="Times New Roman"/>
        </w:rPr>
      </w:pPr>
      <w:r w:rsidRPr="005E1802">
        <w:rPr>
          <w:rFonts w:ascii="Times New Roman" w:hAnsi="Times New Roman"/>
        </w:rPr>
        <w:tab/>
      </w:r>
      <w:r w:rsidR="008C6C28" w:rsidRPr="005E1802">
        <w:rPr>
          <w:rFonts w:ascii="Times New Roman" w:hAnsi="Times New Roman"/>
        </w:rPr>
        <w:t xml:space="preserve">The </w:t>
      </w:r>
      <w:r w:rsidR="00E713DF" w:rsidRPr="005E1802">
        <w:rPr>
          <w:rFonts w:ascii="Times New Roman" w:hAnsi="Times New Roman"/>
        </w:rPr>
        <w:t>appellant has not sought to argue</w:t>
      </w:r>
      <w:r w:rsidR="0065066B" w:rsidRPr="005E1802">
        <w:rPr>
          <w:rFonts w:ascii="Times New Roman" w:hAnsi="Times New Roman"/>
        </w:rPr>
        <w:t xml:space="preserve"> </w:t>
      </w:r>
      <w:r w:rsidR="00CB5037" w:rsidRPr="005E1802">
        <w:rPr>
          <w:rFonts w:ascii="Times New Roman" w:hAnsi="Times New Roman"/>
        </w:rPr>
        <w:t xml:space="preserve">that </w:t>
      </w:r>
      <w:r w:rsidR="00472654" w:rsidRPr="005E1802">
        <w:rPr>
          <w:rFonts w:ascii="Times New Roman" w:hAnsi="Times New Roman"/>
        </w:rPr>
        <w:t xml:space="preserve">the information about the </w:t>
      </w:r>
      <w:r w:rsidR="00370713" w:rsidRPr="005E1802">
        <w:rPr>
          <w:rFonts w:ascii="Times New Roman" w:hAnsi="Times New Roman"/>
        </w:rPr>
        <w:t xml:space="preserve">offences </w:t>
      </w:r>
      <w:r w:rsidR="00472654" w:rsidRPr="005E1802">
        <w:rPr>
          <w:rFonts w:ascii="Times New Roman" w:hAnsi="Times New Roman"/>
        </w:rPr>
        <w:t xml:space="preserve">was </w:t>
      </w:r>
      <w:r w:rsidR="00370713" w:rsidRPr="005E1802">
        <w:rPr>
          <w:rFonts w:ascii="Times New Roman" w:hAnsi="Times New Roman"/>
        </w:rPr>
        <w:t xml:space="preserve">cumulatively </w:t>
      </w:r>
      <w:r w:rsidR="00472654" w:rsidRPr="005E1802">
        <w:rPr>
          <w:rFonts w:ascii="Times New Roman" w:hAnsi="Times New Roman"/>
        </w:rPr>
        <w:t>so highly prejudicial</w:t>
      </w:r>
      <w:r w:rsidR="00056CD5" w:rsidRPr="005E1802">
        <w:rPr>
          <w:rFonts w:ascii="Times New Roman" w:hAnsi="Times New Roman"/>
        </w:rPr>
        <w:t xml:space="preserve"> </w:t>
      </w:r>
      <w:r w:rsidR="001165A4" w:rsidRPr="005E1802">
        <w:rPr>
          <w:rFonts w:ascii="Times New Roman" w:hAnsi="Times New Roman"/>
        </w:rPr>
        <w:t xml:space="preserve">to the appellant </w:t>
      </w:r>
      <w:r w:rsidR="00056CD5" w:rsidRPr="005E1802">
        <w:rPr>
          <w:rFonts w:ascii="Times New Roman" w:hAnsi="Times New Roman"/>
        </w:rPr>
        <w:t xml:space="preserve">as to lead </w:t>
      </w:r>
      <w:r w:rsidR="001165A4" w:rsidRPr="005E1802">
        <w:rPr>
          <w:rFonts w:ascii="Times New Roman" w:hAnsi="Times New Roman"/>
        </w:rPr>
        <w:t xml:space="preserve">to the conclusion that </w:t>
      </w:r>
      <w:r w:rsidR="00056CD5" w:rsidRPr="005E1802">
        <w:rPr>
          <w:rFonts w:ascii="Times New Roman" w:hAnsi="Times New Roman"/>
        </w:rPr>
        <w:t>a</w:t>
      </w:r>
      <w:r w:rsidR="007A135D" w:rsidRPr="005E1802">
        <w:rPr>
          <w:rFonts w:ascii="Times New Roman" w:hAnsi="Times New Roman"/>
        </w:rPr>
        <w:t xml:space="preserve"> fair-minded lay observer might reasonably apprehend that the </w:t>
      </w:r>
      <w:r w:rsidR="00FE5F5D" w:rsidRPr="005E1802">
        <w:rPr>
          <w:rFonts w:ascii="Times New Roman" w:hAnsi="Times New Roman"/>
        </w:rPr>
        <w:t>T</w:t>
      </w:r>
      <w:r w:rsidR="00484326" w:rsidRPr="005E1802">
        <w:rPr>
          <w:rFonts w:ascii="Times New Roman" w:hAnsi="Times New Roman"/>
        </w:rPr>
        <w:t>ribunal</w:t>
      </w:r>
      <w:r w:rsidR="007A135D" w:rsidRPr="005E1802">
        <w:rPr>
          <w:rFonts w:ascii="Times New Roman" w:hAnsi="Times New Roman"/>
        </w:rPr>
        <w:t xml:space="preserve"> might not have brought an impartial and unprejudiced mind to </w:t>
      </w:r>
      <w:r w:rsidR="00765C1A" w:rsidRPr="005E1802">
        <w:rPr>
          <w:rFonts w:ascii="Times New Roman" w:hAnsi="Times New Roman"/>
        </w:rPr>
        <w:t xml:space="preserve">the conduct of the review. </w:t>
      </w:r>
      <w:r w:rsidR="00723E03" w:rsidRPr="005E1802">
        <w:rPr>
          <w:rFonts w:ascii="Times New Roman" w:hAnsi="Times New Roman"/>
        </w:rPr>
        <w:t>The nature of the offences</w:t>
      </w:r>
      <w:r w:rsidR="00707820" w:rsidRPr="005E1802">
        <w:rPr>
          <w:rFonts w:ascii="Times New Roman" w:hAnsi="Times New Roman"/>
        </w:rPr>
        <w:t>, in any event,</w:t>
      </w:r>
      <w:r w:rsidR="00723E03" w:rsidRPr="005E1802">
        <w:rPr>
          <w:rFonts w:ascii="Times New Roman" w:hAnsi="Times New Roman"/>
        </w:rPr>
        <w:t xml:space="preserve"> </w:t>
      </w:r>
      <w:r w:rsidR="00BB0A94" w:rsidRPr="005E1802">
        <w:rPr>
          <w:rFonts w:ascii="Times New Roman" w:hAnsi="Times New Roman"/>
        </w:rPr>
        <w:t>provide</w:t>
      </w:r>
      <w:r w:rsidR="00F90BC3" w:rsidRPr="005E1802">
        <w:rPr>
          <w:rFonts w:ascii="Times New Roman" w:hAnsi="Times New Roman"/>
        </w:rPr>
        <w:t>s no</w:t>
      </w:r>
      <w:r w:rsidR="00633B28" w:rsidRPr="005E1802">
        <w:rPr>
          <w:rFonts w:ascii="Times New Roman" w:hAnsi="Times New Roman"/>
        </w:rPr>
        <w:t xml:space="preserve"> </w:t>
      </w:r>
      <w:r w:rsidR="00BB0A94" w:rsidRPr="005E1802">
        <w:rPr>
          <w:rFonts w:ascii="Times New Roman" w:hAnsi="Times New Roman"/>
        </w:rPr>
        <w:t>foundation for such an argument. The offences are not so serious</w:t>
      </w:r>
      <w:r w:rsidR="00723E03" w:rsidRPr="005E1802">
        <w:rPr>
          <w:rFonts w:ascii="Times New Roman" w:hAnsi="Times New Roman"/>
        </w:rPr>
        <w:t xml:space="preserve"> </w:t>
      </w:r>
      <w:r w:rsidR="00121E63" w:rsidRPr="005E1802">
        <w:rPr>
          <w:rFonts w:ascii="Times New Roman" w:hAnsi="Times New Roman"/>
        </w:rPr>
        <w:t>that</w:t>
      </w:r>
      <w:r w:rsidR="00FD424D" w:rsidRPr="005E1802">
        <w:rPr>
          <w:rFonts w:ascii="Times New Roman" w:hAnsi="Times New Roman"/>
        </w:rPr>
        <w:t xml:space="preserve"> their accumulation</w:t>
      </w:r>
      <w:r w:rsidR="00723E03" w:rsidRPr="005E1802">
        <w:rPr>
          <w:rFonts w:ascii="Times New Roman" w:hAnsi="Times New Roman"/>
        </w:rPr>
        <w:t xml:space="preserve"> might </w:t>
      </w:r>
      <w:r w:rsidR="00633B28" w:rsidRPr="005E1802">
        <w:rPr>
          <w:rFonts w:ascii="Times New Roman" w:hAnsi="Times New Roman"/>
        </w:rPr>
        <w:t xml:space="preserve">reasonably be argued to </w:t>
      </w:r>
      <w:r w:rsidR="00723E03" w:rsidRPr="005E1802">
        <w:rPr>
          <w:rFonts w:ascii="Times New Roman" w:hAnsi="Times New Roman"/>
        </w:rPr>
        <w:t xml:space="preserve">be </w:t>
      </w:r>
      <w:r w:rsidR="00F778E3" w:rsidRPr="005E1802">
        <w:rPr>
          <w:rFonts w:ascii="Times New Roman" w:hAnsi="Times New Roman"/>
        </w:rPr>
        <w:t xml:space="preserve">capable of </w:t>
      </w:r>
      <w:r w:rsidR="00AC49F5" w:rsidRPr="005E1802">
        <w:rPr>
          <w:rFonts w:ascii="Times New Roman" w:hAnsi="Times New Roman"/>
        </w:rPr>
        <w:t xml:space="preserve">leading </w:t>
      </w:r>
      <w:r w:rsidR="00CA5670" w:rsidRPr="005E1802">
        <w:rPr>
          <w:rFonts w:ascii="Times New Roman" w:hAnsi="Times New Roman"/>
        </w:rPr>
        <w:t xml:space="preserve">a fair-minded lay observer </w:t>
      </w:r>
      <w:r w:rsidR="00723E03" w:rsidRPr="005E1802">
        <w:rPr>
          <w:rFonts w:ascii="Times New Roman" w:hAnsi="Times New Roman"/>
        </w:rPr>
        <w:t>to</w:t>
      </w:r>
      <w:r w:rsidR="00A269CB" w:rsidRPr="005E1802">
        <w:rPr>
          <w:rFonts w:ascii="Times New Roman" w:hAnsi="Times New Roman"/>
        </w:rPr>
        <w:t xml:space="preserve"> think</w:t>
      </w:r>
      <w:r w:rsidR="00D81CF9" w:rsidRPr="005E1802">
        <w:rPr>
          <w:rFonts w:ascii="Times New Roman" w:hAnsi="Times New Roman"/>
        </w:rPr>
        <w:t xml:space="preserve"> that the </w:t>
      </w:r>
      <w:r w:rsidR="00FE5F5D" w:rsidRPr="005E1802">
        <w:rPr>
          <w:rFonts w:ascii="Times New Roman" w:hAnsi="Times New Roman"/>
        </w:rPr>
        <w:t>T</w:t>
      </w:r>
      <w:r w:rsidR="00484326" w:rsidRPr="005E1802">
        <w:rPr>
          <w:rFonts w:ascii="Times New Roman" w:hAnsi="Times New Roman"/>
        </w:rPr>
        <w:t>ribunal</w:t>
      </w:r>
      <w:r w:rsidR="000A361F" w:rsidRPr="005E1802">
        <w:rPr>
          <w:rFonts w:ascii="Times New Roman" w:hAnsi="Times New Roman"/>
        </w:rPr>
        <w:t xml:space="preserve"> might</w:t>
      </w:r>
      <w:r w:rsidR="00E15D4F" w:rsidRPr="005E1802">
        <w:rPr>
          <w:rFonts w:ascii="Times New Roman" w:hAnsi="Times New Roman"/>
        </w:rPr>
        <w:t xml:space="preserve"> </w:t>
      </w:r>
      <w:r w:rsidR="00F30C77" w:rsidRPr="005E1802">
        <w:rPr>
          <w:rFonts w:ascii="Times New Roman" w:hAnsi="Times New Roman"/>
        </w:rPr>
        <w:t xml:space="preserve">not bring </w:t>
      </w:r>
      <w:r w:rsidR="003A3F77" w:rsidRPr="005E1802">
        <w:rPr>
          <w:rFonts w:ascii="Times New Roman" w:hAnsi="Times New Roman"/>
        </w:rPr>
        <w:t>an</w:t>
      </w:r>
      <w:r w:rsidR="009B4CA7" w:rsidRPr="005E1802">
        <w:rPr>
          <w:rFonts w:ascii="Times New Roman" w:hAnsi="Times New Roman"/>
        </w:rPr>
        <w:t xml:space="preserve"> impartial </w:t>
      </w:r>
      <w:r w:rsidR="00633B28" w:rsidRPr="005E1802">
        <w:rPr>
          <w:rFonts w:ascii="Times New Roman" w:hAnsi="Times New Roman"/>
        </w:rPr>
        <w:t xml:space="preserve">and unprejudiced </w:t>
      </w:r>
      <w:r w:rsidR="009B4CA7" w:rsidRPr="005E1802">
        <w:rPr>
          <w:rFonts w:ascii="Times New Roman" w:hAnsi="Times New Roman"/>
        </w:rPr>
        <w:t>mind to</w:t>
      </w:r>
      <w:r w:rsidR="00723E03" w:rsidRPr="005E1802">
        <w:rPr>
          <w:rFonts w:ascii="Times New Roman" w:hAnsi="Times New Roman"/>
        </w:rPr>
        <w:t xml:space="preserve"> </w:t>
      </w:r>
      <w:r w:rsidR="00CA5670" w:rsidRPr="005E1802">
        <w:rPr>
          <w:rFonts w:ascii="Times New Roman" w:hAnsi="Times New Roman"/>
        </w:rPr>
        <w:t>bear</w:t>
      </w:r>
      <w:r w:rsidR="00477416" w:rsidRPr="005E1802">
        <w:rPr>
          <w:rFonts w:ascii="Times New Roman" w:hAnsi="Times New Roman"/>
        </w:rPr>
        <w:t xml:space="preserve"> </w:t>
      </w:r>
      <w:r w:rsidR="00723E03" w:rsidRPr="005E1802">
        <w:rPr>
          <w:rFonts w:ascii="Times New Roman" w:hAnsi="Times New Roman"/>
        </w:rPr>
        <w:t xml:space="preserve">on </w:t>
      </w:r>
      <w:r w:rsidR="00633B28" w:rsidRPr="005E1802">
        <w:rPr>
          <w:rFonts w:ascii="Times New Roman" w:hAnsi="Times New Roman"/>
        </w:rPr>
        <w:t xml:space="preserve">its determination of </w:t>
      </w:r>
      <w:r w:rsidR="00723E03" w:rsidRPr="005E1802">
        <w:rPr>
          <w:rFonts w:ascii="Times New Roman" w:hAnsi="Times New Roman"/>
        </w:rPr>
        <w:t xml:space="preserve">the </w:t>
      </w:r>
      <w:r w:rsidR="00477416" w:rsidRPr="005E1802">
        <w:rPr>
          <w:rFonts w:ascii="Times New Roman" w:hAnsi="Times New Roman"/>
        </w:rPr>
        <w:t>merits of any</w:t>
      </w:r>
      <w:r w:rsidR="00723E03" w:rsidRPr="005E1802">
        <w:rPr>
          <w:rFonts w:ascii="Times New Roman" w:hAnsi="Times New Roman"/>
        </w:rPr>
        <w:t xml:space="preserve"> claim in issue in the review</w:t>
      </w:r>
      <w:r w:rsidR="00707820" w:rsidRPr="005E1802">
        <w:rPr>
          <w:rFonts w:ascii="Times New Roman" w:hAnsi="Times New Roman"/>
        </w:rPr>
        <w:t xml:space="preserve">. </w:t>
      </w:r>
    </w:p>
    <w:p w14:paraId="42804BE6" w14:textId="2019C929" w:rsidR="002A0F2B" w:rsidRPr="005E1802" w:rsidRDefault="00EA0EC4" w:rsidP="005E1802">
      <w:pPr>
        <w:pStyle w:val="HeadingL1"/>
        <w:spacing w:after="260" w:line="280" w:lineRule="exact"/>
        <w:ind w:right="0"/>
        <w:jc w:val="both"/>
        <w:rPr>
          <w:rFonts w:ascii="Times New Roman" w:hAnsi="Times New Roman"/>
        </w:rPr>
      </w:pPr>
      <w:r w:rsidRPr="005E1802">
        <w:rPr>
          <w:rFonts w:ascii="Times New Roman" w:hAnsi="Times New Roman"/>
        </w:rPr>
        <w:t>Disposition</w:t>
      </w:r>
    </w:p>
    <w:p w14:paraId="434F9B83" w14:textId="77777777" w:rsidR="007B5A1E" w:rsidRDefault="00CD1E42" w:rsidP="005E1802">
      <w:pPr>
        <w:pStyle w:val="FixListStyle"/>
        <w:spacing w:after="260" w:line="280" w:lineRule="exact"/>
        <w:ind w:right="0"/>
        <w:jc w:val="both"/>
        <w:rPr>
          <w:rFonts w:ascii="Times New Roman" w:hAnsi="Times New Roman"/>
        </w:rPr>
      </w:pPr>
      <w:r w:rsidRPr="005E1802">
        <w:rPr>
          <w:rFonts w:ascii="Times New Roman" w:hAnsi="Times New Roman"/>
        </w:rPr>
        <w:tab/>
        <w:t>The appeal must be dismissed with costs</w:t>
      </w:r>
      <w:r w:rsidR="0021716F" w:rsidRPr="005E1802">
        <w:rPr>
          <w:rFonts w:ascii="Times New Roman" w:hAnsi="Times New Roman"/>
        </w:rPr>
        <w:t>.</w:t>
      </w:r>
    </w:p>
    <w:p w14:paraId="09AC562E" w14:textId="77777777" w:rsidR="007B5A1E" w:rsidRDefault="007B5A1E" w:rsidP="005E1802">
      <w:pPr>
        <w:pStyle w:val="FixListStyle"/>
        <w:spacing w:after="260" w:line="280" w:lineRule="exact"/>
        <w:ind w:right="0"/>
        <w:jc w:val="both"/>
        <w:rPr>
          <w:rFonts w:ascii="Times New Roman" w:hAnsi="Times New Roman"/>
        </w:rPr>
        <w:sectPr w:rsidR="007B5A1E" w:rsidSect="00577BD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866CC1E" w14:textId="77777777" w:rsidR="007B5A1E" w:rsidRPr="00D71897" w:rsidRDefault="007B5A1E" w:rsidP="007B5A1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71897">
        <w:rPr>
          <w:rFonts w:ascii="Times New Roman" w:hAnsi="Times New Roman"/>
        </w:rPr>
        <w:lastRenderedPageBreak/>
        <w:t>GORDON AND STEWARD JJ.   This appeal concerns judicial review of administrative action for jurisdictional error. The Court has recently divided about the content of the applicable principles</w:t>
      </w:r>
      <w:r w:rsidRPr="00D71897">
        <w:rPr>
          <w:rStyle w:val="FootnoteReference"/>
          <w:rFonts w:ascii="Times New Roman" w:hAnsi="Times New Roman"/>
          <w:sz w:val="24"/>
        </w:rPr>
        <w:footnoteReference w:id="81"/>
      </w:r>
      <w:r w:rsidRPr="00D71897">
        <w:rPr>
          <w:rFonts w:ascii="Times New Roman" w:hAnsi="Times New Roman"/>
        </w:rPr>
        <w:t xml:space="preserve">. Identifying those principles demands attention to the significance of the fact that the Court is concerned with the exercise of public power by the State against an individual and the consequences for the administration of justice. </w:t>
      </w:r>
    </w:p>
    <w:p w14:paraId="7AB1819F"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applicable principles should now be restated. Non</w:t>
      </w:r>
      <w:r w:rsidRPr="00D71897">
        <w:rPr>
          <w:rFonts w:ascii="Times New Roman" w:hAnsi="Times New Roman"/>
        </w:rPr>
        <w:noBreakHyphen/>
        <w:t>compliance with an express or implied condition of an exercise of power will result in a decision exceeding the limits of the decision</w:t>
      </w:r>
      <w:r w:rsidRPr="00D71897">
        <w:rPr>
          <w:rFonts w:ascii="Times New Roman" w:hAnsi="Times New Roman"/>
        </w:rPr>
        <w:noBreakHyphen/>
        <w:t xml:space="preserve">making authority conferred by statute </w:t>
      </w:r>
      <w:r w:rsidRPr="00D71897">
        <w:rPr>
          <w:rFonts w:ascii="Times New Roman" w:hAnsi="Times New Roman"/>
          <w:i/>
        </w:rPr>
        <w:t xml:space="preserve">unless </w:t>
      </w:r>
      <w:r w:rsidRPr="00D71897">
        <w:rPr>
          <w:rFonts w:ascii="Times New Roman" w:hAnsi="Times New Roman"/>
        </w:rPr>
        <w:t xml:space="preserve">compliance with the condition </w:t>
      </w:r>
      <w:r w:rsidRPr="00D71897">
        <w:rPr>
          <w:rFonts w:ascii="Times New Roman" w:hAnsi="Times New Roman"/>
          <w:i/>
        </w:rPr>
        <w:t xml:space="preserve">could not </w:t>
      </w:r>
      <w:r w:rsidRPr="00D71897">
        <w:rPr>
          <w:rFonts w:ascii="Times New Roman" w:hAnsi="Times New Roman"/>
        </w:rPr>
        <w:t xml:space="preserve">have made a difference to the decision that was made in the circumstances in which the decision was made. </w:t>
      </w:r>
    </w:p>
    <w:p w14:paraId="06C6B217"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There are evidently two steps. First, it is necessary for an applicant for judicial review to identify an error and establish that the identified error </w:t>
      </w:r>
      <w:r w:rsidRPr="00D71897">
        <w:rPr>
          <w:rFonts w:ascii="Times New Roman" w:hAnsi="Times New Roman"/>
          <w:i/>
        </w:rPr>
        <w:t>could</w:t>
      </w:r>
      <w:r w:rsidRPr="00D71897">
        <w:rPr>
          <w:rFonts w:ascii="Times New Roman" w:hAnsi="Times New Roman"/>
        </w:rPr>
        <w:t xml:space="preserve"> realistically have resulted in a different decision. This sets a low bar. It would be a mistake to describe this as an evidentiary onus. The task of demonstrating that a decision could realistically have been different had an error not occurred is better understood as directed at the quality or severity of the error and what, as a matter of logic and common sense, might have resulted. It necessarily calls for an assertion as to how a decision might have been different and an explanation as to why that is so. But because the bar is low, a court should hesitate to reject a sensible and reasonable postulation about what the result could have been. Naturally, speculation and conjecture will not be sufficient. More is needed. But it is not necessarily a task which is determined by leading evidence and by demonstrating what is possible on the balance of probabilities. That is because the subject matter of the inquiry is hypothetical; it is not a matter of </w:t>
      </w:r>
      <w:r w:rsidRPr="00D71897">
        <w:rPr>
          <w:rFonts w:ascii="Times New Roman" w:hAnsi="Times New Roman"/>
          <w:i/>
        </w:rPr>
        <w:t>proving</w:t>
      </w:r>
      <w:r w:rsidRPr="00D71897">
        <w:rPr>
          <w:rFonts w:ascii="Times New Roman" w:hAnsi="Times New Roman"/>
        </w:rPr>
        <w:t xml:space="preserve"> what could have happened. Rather, the task is one of persuasion, based upon the nature of the breach and the claims that have been made, as well as logic and common sense. Put in different terms, precisely what must be shown will depend upon the nature of the alleged error. In some cases, however, an error will be jurisdictional regardless of the effect the error may have had on the conclusion of the decision-maker. </w:t>
      </w:r>
    </w:p>
    <w:p w14:paraId="0FAAE39E"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If the applicant cannot establish such an error, the judicial review application fails. If, however, the applicant does establish such an error, the issue of materiality is then raised. It then is necessary for the respondent to establish that that error was immaterial – that compliance with the condition could not have made a difference to the decision that was made –</w:t>
      </w:r>
      <w:r w:rsidRPr="00D71897">
        <w:rPr>
          <w:rStyle w:val="Strong"/>
          <w:rFonts w:ascii="Times New Roman" w:hAnsi="Times New Roman"/>
          <w:iCs/>
        </w:rPr>
        <w:t xml:space="preserve"> </w:t>
      </w:r>
      <w:r w:rsidRPr="00D71897">
        <w:rPr>
          <w:rFonts w:ascii="Times New Roman" w:hAnsi="Times New Roman"/>
        </w:rPr>
        <w:t xml:space="preserve">in order to establish that </w:t>
      </w:r>
      <w:r w:rsidRPr="00D71897">
        <w:rPr>
          <w:rFonts w:ascii="Times New Roman" w:hAnsi="Times New Roman"/>
        </w:rPr>
        <w:lastRenderedPageBreak/>
        <w:t>non</w:t>
      </w:r>
      <w:r w:rsidRPr="00D71897">
        <w:rPr>
          <w:rFonts w:ascii="Times New Roman" w:hAnsi="Times New Roman"/>
        </w:rPr>
        <w:noBreakHyphen/>
        <w:t xml:space="preserve">compliance with the condition did not lead to jurisdictional error. It is convenient to refer to this second aspect of the rule as an issue about "materiality". </w:t>
      </w:r>
    </w:p>
    <w:p w14:paraId="29EACDE9"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two steps are different. The two steps are directed at different ends. The</w:t>
      </w:r>
      <w:r>
        <w:rPr>
          <w:rFonts w:ascii="Times New Roman" w:hAnsi="Times New Roman"/>
        </w:rPr>
        <w:t> </w:t>
      </w:r>
      <w:r w:rsidRPr="00D71897">
        <w:rPr>
          <w:rFonts w:ascii="Times New Roman" w:hAnsi="Times New Roman"/>
        </w:rPr>
        <w:t>first step is for the applicant to establish a connection or relationship between the identified default and the course of decision</w:t>
      </w:r>
      <w:r w:rsidRPr="00D71897">
        <w:rPr>
          <w:rFonts w:ascii="Times New Roman" w:hAnsi="Times New Roman"/>
        </w:rPr>
        <w:noBreakHyphen/>
        <w:t>making actually followed. It does not require the applicant to predict or conjecture about what the decision</w:t>
      </w:r>
      <w:r w:rsidRPr="00D71897">
        <w:rPr>
          <w:rFonts w:ascii="Times New Roman" w:hAnsi="Times New Roman"/>
        </w:rPr>
        <w:noBreakHyphen/>
        <w:t>maker could or might have done if there had been no error. (And, as has been observed, there will be cases where the error made is of such a kind that the error will be jurisdictional regardless of its effect on the outcome of the particular case.) The</w:t>
      </w:r>
      <w:r>
        <w:rPr>
          <w:rFonts w:ascii="Times New Roman" w:hAnsi="Times New Roman"/>
        </w:rPr>
        <w:t> </w:t>
      </w:r>
      <w:r w:rsidRPr="00D71897">
        <w:rPr>
          <w:rFonts w:ascii="Times New Roman" w:hAnsi="Times New Roman"/>
        </w:rPr>
        <w:t xml:space="preserve">second step, if it is reached, requires the </w:t>
      </w:r>
      <w:r w:rsidRPr="00D71897">
        <w:rPr>
          <w:rFonts w:ascii="Times New Roman" w:hAnsi="Times New Roman"/>
          <w:i/>
        </w:rPr>
        <w:t>decision</w:t>
      </w:r>
      <w:r w:rsidRPr="00D71897">
        <w:rPr>
          <w:rFonts w:ascii="Times New Roman" w:hAnsi="Times New Roman"/>
          <w:i/>
        </w:rPr>
        <w:noBreakHyphen/>
        <w:t>maker</w:t>
      </w:r>
      <w:r w:rsidRPr="00D71897">
        <w:rPr>
          <w:rFonts w:ascii="Times New Roman" w:hAnsi="Times New Roman"/>
        </w:rPr>
        <w:t xml:space="preserve"> to show that the error could not have made a difference. </w:t>
      </w:r>
    </w:p>
    <w:p w14:paraId="2FEA2F40"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restated principles differ from the approach adopted by the majority in this Court in </w:t>
      </w:r>
      <w:r w:rsidRPr="00D71897">
        <w:rPr>
          <w:rFonts w:ascii="Times New Roman" w:hAnsi="Times New Roman"/>
          <w:i/>
        </w:rPr>
        <w:t>Minister for Immigration and Border Protection v</w:t>
      </w:r>
      <w:r w:rsidRPr="00D71897">
        <w:rPr>
          <w:rFonts w:ascii="Times New Roman" w:hAnsi="Times New Roman"/>
        </w:rPr>
        <w:t xml:space="preserve"> </w:t>
      </w:r>
      <w:r w:rsidRPr="00D71897">
        <w:rPr>
          <w:rFonts w:ascii="Times New Roman" w:hAnsi="Times New Roman"/>
          <w:i/>
        </w:rPr>
        <w:t>SZMTA</w:t>
      </w:r>
      <w:r w:rsidRPr="00D71897">
        <w:rPr>
          <w:rStyle w:val="FootnoteReference"/>
          <w:rFonts w:ascii="Times New Roman" w:hAnsi="Times New Roman"/>
          <w:sz w:val="24"/>
        </w:rPr>
        <w:footnoteReference w:id="82"/>
      </w:r>
      <w:r w:rsidRPr="00D71897">
        <w:rPr>
          <w:rFonts w:ascii="Times New Roman" w:hAnsi="Times New Roman"/>
        </w:rPr>
        <w:t>. There</w:t>
      </w:r>
      <w:r>
        <w:rPr>
          <w:rFonts w:ascii="Times New Roman" w:hAnsi="Times New Roman"/>
        </w:rPr>
        <w:t> </w:t>
      </w:r>
      <w:r w:rsidRPr="00D71897">
        <w:rPr>
          <w:rFonts w:ascii="Times New Roman" w:hAnsi="Times New Roman"/>
        </w:rPr>
        <w:t>the</w:t>
      </w:r>
      <w:r>
        <w:rPr>
          <w:rFonts w:ascii="Times New Roman" w:hAnsi="Times New Roman"/>
        </w:rPr>
        <w:t> </w:t>
      </w:r>
      <w:r w:rsidRPr="00D71897">
        <w:rPr>
          <w:rFonts w:ascii="Times New Roman" w:hAnsi="Times New Roman"/>
        </w:rPr>
        <w:t>majority said that the applicant bore the onus of showing that the error was material. But the question of onus was not the subject of submissions and was not decisive of the result</w:t>
      </w:r>
      <w:r w:rsidRPr="00D71897">
        <w:rPr>
          <w:rStyle w:val="FootnoteReference"/>
          <w:rFonts w:ascii="Times New Roman" w:hAnsi="Times New Roman"/>
          <w:sz w:val="24"/>
        </w:rPr>
        <w:footnoteReference w:id="83"/>
      </w:r>
      <w:r w:rsidRPr="00D71897">
        <w:rPr>
          <w:rFonts w:ascii="Times New Roman" w:hAnsi="Times New Roman"/>
        </w:rPr>
        <w:t>. This is the first case in which the Court has considered the issue of onus with the benefit of argument. As these reasons will show, the</w:t>
      </w:r>
      <w:r>
        <w:rPr>
          <w:rFonts w:ascii="Times New Roman" w:hAnsi="Times New Roman"/>
        </w:rPr>
        <w:t> </w:t>
      </w:r>
      <w:r w:rsidRPr="00D71897">
        <w:rPr>
          <w:rFonts w:ascii="Times New Roman" w:hAnsi="Times New Roman"/>
        </w:rPr>
        <w:t>restated approach is both principled and practical.</w:t>
      </w:r>
    </w:p>
    <w:p w14:paraId="4623684A" w14:textId="77777777" w:rsidR="007B5A1E" w:rsidRPr="00D71897" w:rsidRDefault="007B5A1E" w:rsidP="00D71897">
      <w:pPr>
        <w:pStyle w:val="HeadingL1"/>
        <w:spacing w:after="260" w:line="280" w:lineRule="exact"/>
        <w:ind w:right="0"/>
        <w:jc w:val="both"/>
        <w:rPr>
          <w:rFonts w:ascii="Times New Roman" w:hAnsi="Times New Roman"/>
        </w:rPr>
      </w:pPr>
      <w:r w:rsidRPr="00D71897">
        <w:rPr>
          <w:rFonts w:ascii="Times New Roman" w:hAnsi="Times New Roman"/>
        </w:rPr>
        <w:t>Public power</w:t>
      </w:r>
    </w:p>
    <w:p w14:paraId="5764C80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We are concerned with the application of public power to individuals. That</w:t>
      </w:r>
      <w:r>
        <w:rPr>
          <w:rFonts w:ascii="Times New Roman" w:hAnsi="Times New Roman"/>
        </w:rPr>
        <w:t> </w:t>
      </w:r>
      <w:r w:rsidRPr="00D71897">
        <w:rPr>
          <w:rFonts w:ascii="Times New Roman" w:hAnsi="Times New Roman"/>
        </w:rPr>
        <w:t>always requires justification. The justification here is statute. It must now be accepted that breach of a condition regulating the exercise of a statutory power does not always mean that the exercise of power is invalid and of no effect</w:t>
      </w:r>
      <w:r w:rsidRPr="00D71897">
        <w:rPr>
          <w:rStyle w:val="FootnoteReference"/>
          <w:rFonts w:ascii="Times New Roman" w:hAnsi="Times New Roman"/>
          <w:sz w:val="24"/>
        </w:rPr>
        <w:footnoteReference w:id="84"/>
      </w:r>
      <w:r w:rsidRPr="00D71897">
        <w:rPr>
          <w:rFonts w:ascii="Times New Roman" w:hAnsi="Times New Roman"/>
        </w:rPr>
        <w:t xml:space="preserve">. </w:t>
      </w:r>
    </w:p>
    <w:p w14:paraId="5059C87F"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Fundamental principle requires the conclusion that, subject to contrary legislative intention, where an applicant shows a decision</w:t>
      </w:r>
      <w:r w:rsidRPr="00D71897">
        <w:rPr>
          <w:rFonts w:ascii="Times New Roman" w:hAnsi="Times New Roman"/>
        </w:rPr>
        <w:noBreakHyphen/>
        <w:t xml:space="preserve">maker to have failed to comply with a statutory condition, and where that failure </w:t>
      </w:r>
      <w:r w:rsidRPr="00D71897">
        <w:rPr>
          <w:rFonts w:ascii="Times New Roman" w:hAnsi="Times New Roman"/>
          <w:i/>
        </w:rPr>
        <w:t>could</w:t>
      </w:r>
      <w:r w:rsidRPr="00D71897">
        <w:rPr>
          <w:rFonts w:ascii="Times New Roman" w:hAnsi="Times New Roman"/>
        </w:rPr>
        <w:t xml:space="preserve"> realistically have affected the outcome, it is for the respondent (the Executive) to establish that</w:t>
      </w:r>
      <w:r w:rsidRPr="00D71897" w:rsidDel="0032016B">
        <w:rPr>
          <w:rFonts w:ascii="Times New Roman" w:hAnsi="Times New Roman"/>
        </w:rPr>
        <w:t xml:space="preserve"> </w:t>
      </w:r>
      <w:r w:rsidRPr="00D71897">
        <w:rPr>
          <w:rFonts w:ascii="Times New Roman" w:hAnsi="Times New Roman"/>
        </w:rPr>
        <w:t xml:space="preserve">compliance with the condition could not have made a difference to the outcome. </w:t>
      </w:r>
      <w:r w:rsidRPr="00D71897">
        <w:rPr>
          <w:rFonts w:ascii="Times New Roman" w:hAnsi="Times New Roman"/>
        </w:rPr>
        <w:lastRenderedPageBreak/>
        <w:t>It</w:t>
      </w:r>
      <w:r>
        <w:rPr>
          <w:rFonts w:ascii="Times New Roman" w:hAnsi="Times New Roman"/>
        </w:rPr>
        <w:t> </w:t>
      </w:r>
      <w:r w:rsidRPr="00D71897">
        <w:rPr>
          <w:rFonts w:ascii="Times New Roman" w:hAnsi="Times New Roman"/>
        </w:rPr>
        <w:t xml:space="preserve">is not for the individual affected by the wrongful exercise of power to establish that it could have made a difference to the outcome. </w:t>
      </w:r>
    </w:p>
    <w:p w14:paraId="1F6D8CD3"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w:t>
      </w:r>
      <w:r w:rsidRPr="00D71897">
        <w:rPr>
          <w:rFonts w:ascii="Times New Roman" w:hAnsi="Times New Roman"/>
          <w:i/>
        </w:rPr>
        <w:t>Constitution</w:t>
      </w:r>
      <w:r w:rsidRPr="00D71897">
        <w:rPr>
          <w:rFonts w:ascii="Times New Roman" w:hAnsi="Times New Roman"/>
        </w:rPr>
        <w:t xml:space="preserve"> "is framed upon the assumption of the rule of law"</w:t>
      </w:r>
      <w:r w:rsidRPr="00D71897">
        <w:rPr>
          <w:rStyle w:val="FootnoteReference"/>
          <w:rFonts w:ascii="Times New Roman" w:hAnsi="Times New Roman"/>
          <w:sz w:val="24"/>
        </w:rPr>
        <w:footnoteReference w:id="85"/>
      </w:r>
      <w:r w:rsidRPr="00D71897">
        <w:rPr>
          <w:rFonts w:ascii="Times New Roman" w:hAnsi="Times New Roman"/>
        </w:rPr>
        <w:t>. The</w:t>
      </w:r>
      <w:r>
        <w:rPr>
          <w:rFonts w:ascii="Times New Roman" w:hAnsi="Times New Roman"/>
        </w:rPr>
        <w:t> </w:t>
      </w:r>
      <w:r w:rsidRPr="00D71897">
        <w:rPr>
          <w:rFonts w:ascii="Times New Roman" w:hAnsi="Times New Roman"/>
        </w:rPr>
        <w:t>precise meaning of the rule of law may be, and often is, contested. But what is in issue in this appeal takes the content of the rule of law at its narrowest. That</w:t>
      </w:r>
      <w:r>
        <w:rPr>
          <w:rFonts w:ascii="Times New Roman" w:hAnsi="Times New Roman"/>
        </w:rPr>
        <w:t> </w:t>
      </w:r>
      <w:r w:rsidRPr="00D71897">
        <w:rPr>
          <w:rFonts w:ascii="Times New Roman" w:hAnsi="Times New Roman"/>
        </w:rPr>
        <w:t>one "cardinal principle" of the rule of law, the irreducible minimum about which there is not and cannot be any debate, is "that Government should be under law, that the law should apply to and be observed by Government and its agencies, those given power in the community, just as it applies to the ordinary citizen"</w:t>
      </w:r>
      <w:r w:rsidRPr="00D71897">
        <w:rPr>
          <w:rStyle w:val="FootnoteReference"/>
          <w:rFonts w:ascii="Times New Roman" w:hAnsi="Times New Roman"/>
          <w:sz w:val="24"/>
        </w:rPr>
        <w:footnoteReference w:id="86"/>
      </w:r>
      <w:r w:rsidRPr="00D71897">
        <w:rPr>
          <w:rFonts w:ascii="Times New Roman" w:hAnsi="Times New Roman"/>
        </w:rPr>
        <w:t>. As</w:t>
      </w:r>
      <w:r>
        <w:rPr>
          <w:rFonts w:ascii="Times New Roman" w:hAnsi="Times New Roman"/>
        </w:rPr>
        <w:t> </w:t>
      </w:r>
      <w:r w:rsidRPr="00D71897">
        <w:rPr>
          <w:rFonts w:ascii="Times New Roman" w:hAnsi="Times New Roman"/>
        </w:rPr>
        <w:t>Sir John Laws has written, the "agreed beginning" for debates about the rule of law is "that State power must be exercised in accordance with promulgated, non</w:t>
      </w:r>
      <w:r w:rsidRPr="00D71897">
        <w:rPr>
          <w:rFonts w:ascii="Times New Roman" w:hAnsi="Times New Roman"/>
        </w:rPr>
        <w:noBreakHyphen/>
        <w:t>retrospective law made according to established procedures"</w:t>
      </w:r>
      <w:r w:rsidRPr="00D71897">
        <w:rPr>
          <w:rStyle w:val="FootnoteReference"/>
          <w:rFonts w:ascii="Times New Roman" w:hAnsi="Times New Roman"/>
          <w:sz w:val="24"/>
        </w:rPr>
        <w:footnoteReference w:id="87"/>
      </w:r>
      <w:r w:rsidRPr="00D71897">
        <w:rPr>
          <w:rFonts w:ascii="Times New Roman" w:hAnsi="Times New Roman"/>
        </w:rPr>
        <w:t>.</w:t>
      </w:r>
    </w:p>
    <w:p w14:paraId="48C0489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Section 75(v) of the </w:t>
      </w:r>
      <w:r w:rsidRPr="00D71897">
        <w:rPr>
          <w:rFonts w:ascii="Times New Roman" w:hAnsi="Times New Roman"/>
          <w:i/>
        </w:rPr>
        <w:t>Constitution</w:t>
      </w:r>
      <w:r w:rsidRPr="00D71897">
        <w:rPr>
          <w:rFonts w:ascii="Times New Roman" w:hAnsi="Times New Roman"/>
        </w:rPr>
        <w:t xml:space="preserve"> – which confers jurisdiction on the High Court in all matters in which a writ of mandamus, or prohibition, or an injunction, is sought against an officer of the Commonwealth – "secures [that] basic element of the rule of law"</w:t>
      </w:r>
      <w:r w:rsidRPr="00D71897">
        <w:rPr>
          <w:rStyle w:val="FootnoteReference"/>
          <w:rFonts w:ascii="Times New Roman" w:hAnsi="Times New Roman"/>
          <w:sz w:val="24"/>
        </w:rPr>
        <w:footnoteReference w:id="88"/>
      </w:r>
      <w:r w:rsidRPr="00D71897">
        <w:rPr>
          <w:rFonts w:ascii="Times New Roman" w:hAnsi="Times New Roman"/>
        </w:rPr>
        <w:t>. The individual who is subject to the exercise of public power is "provided with a mechanism to challenge the lawfulness of the exercise of official power"</w:t>
      </w:r>
      <w:r w:rsidRPr="00D71897">
        <w:rPr>
          <w:rStyle w:val="FootnoteReference"/>
          <w:rFonts w:ascii="Times New Roman" w:hAnsi="Times New Roman"/>
          <w:sz w:val="24"/>
        </w:rPr>
        <w:footnoteReference w:id="89"/>
      </w:r>
      <w:r w:rsidRPr="00D71897">
        <w:rPr>
          <w:rFonts w:ascii="Times New Roman" w:hAnsi="Times New Roman"/>
        </w:rPr>
        <w:t xml:space="preserve">. </w:t>
      </w:r>
    </w:p>
    <w:p w14:paraId="13AD2C03"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In Australia, the separation of the judicial power of the Commonwealth from executive and legislative powers by Ch III of the </w:t>
      </w:r>
      <w:r w:rsidRPr="00D71897">
        <w:rPr>
          <w:rFonts w:ascii="Times New Roman" w:hAnsi="Times New Roman"/>
          <w:i/>
        </w:rPr>
        <w:t>Constitution</w:t>
      </w:r>
      <w:r w:rsidRPr="00D71897">
        <w:rPr>
          <w:rFonts w:ascii="Times New Roman" w:hAnsi="Times New Roman"/>
        </w:rPr>
        <w:t xml:space="preserve"> recognises the "deeply rooted notions of the relationship of the individual to the state going to the character of the national polity created and sustained by the </w:t>
      </w:r>
      <w:r w:rsidRPr="00D71897">
        <w:rPr>
          <w:rFonts w:ascii="Times New Roman" w:hAnsi="Times New Roman"/>
          <w:i/>
        </w:rPr>
        <w:t>Constitution</w:t>
      </w:r>
      <w:r w:rsidRPr="00D71897">
        <w:rPr>
          <w:rFonts w:ascii="Times New Roman" w:hAnsi="Times New Roman"/>
        </w:rPr>
        <w:t>"</w:t>
      </w:r>
      <w:r w:rsidRPr="00D71897">
        <w:rPr>
          <w:rStyle w:val="FootnoteReference"/>
          <w:rFonts w:ascii="Times New Roman" w:hAnsi="Times New Roman"/>
          <w:sz w:val="24"/>
        </w:rPr>
        <w:footnoteReference w:id="90"/>
      </w:r>
      <w:r w:rsidRPr="00D71897">
        <w:rPr>
          <w:rFonts w:ascii="Times New Roman" w:hAnsi="Times New Roman"/>
        </w:rPr>
        <w:t xml:space="preserve">. </w:t>
      </w:r>
      <w:r w:rsidRPr="00D71897">
        <w:rPr>
          <w:rFonts w:ascii="Times New Roman" w:hAnsi="Times New Roman"/>
        </w:rPr>
        <w:lastRenderedPageBreak/>
        <w:t xml:space="preserve">Chapter III of the </w:t>
      </w:r>
      <w:r w:rsidRPr="00D71897">
        <w:rPr>
          <w:rFonts w:ascii="Times New Roman" w:hAnsi="Times New Roman"/>
          <w:i/>
        </w:rPr>
        <w:t xml:space="preserve">Constitution </w:t>
      </w:r>
      <w:r w:rsidRPr="00D71897">
        <w:rPr>
          <w:rFonts w:ascii="Times New Roman" w:hAnsi="Times New Roman"/>
        </w:rPr>
        <w:t>"reflects and protects"</w:t>
      </w:r>
      <w:r w:rsidRPr="00D71897">
        <w:rPr>
          <w:rStyle w:val="FootnoteReference"/>
          <w:rFonts w:ascii="Times New Roman" w:hAnsi="Times New Roman"/>
          <w:sz w:val="24"/>
        </w:rPr>
        <w:footnoteReference w:id="91"/>
      </w:r>
      <w:r w:rsidRPr="00D71897">
        <w:rPr>
          <w:rFonts w:ascii="Times New Roman" w:hAnsi="Times New Roman"/>
        </w:rPr>
        <w:t xml:space="preserve"> that relationship, recognising that Ch III is the "only general guarantee of due process" in a controversy between the Executive and the individual</w:t>
      </w:r>
      <w:r w:rsidRPr="00D71897">
        <w:rPr>
          <w:rStyle w:val="FootnoteReference"/>
          <w:rFonts w:ascii="Times New Roman" w:hAnsi="Times New Roman"/>
          <w:sz w:val="24"/>
        </w:rPr>
        <w:footnoteReference w:id="92"/>
      </w:r>
      <w:r w:rsidRPr="00D71897">
        <w:rPr>
          <w:rFonts w:ascii="Times New Roman" w:hAnsi="Times New Roman"/>
        </w:rPr>
        <w:t>. Where, as here, the law is concerned with the exercise of executive power, "judicial review is a principal engine of the rule of law"</w:t>
      </w:r>
      <w:r w:rsidRPr="00D71897">
        <w:rPr>
          <w:rStyle w:val="FootnoteReference"/>
          <w:rFonts w:ascii="Times New Roman" w:hAnsi="Times New Roman"/>
          <w:sz w:val="24"/>
        </w:rPr>
        <w:footnoteReference w:id="93"/>
      </w:r>
      <w:r w:rsidRPr="00D71897">
        <w:rPr>
          <w:rFonts w:ascii="Times New Roman" w:hAnsi="Times New Roman"/>
        </w:rPr>
        <w:t xml:space="preserve">. </w:t>
      </w:r>
    </w:p>
    <w:p w14:paraId="757E252F"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As Brennan J said in </w:t>
      </w:r>
      <w:r w:rsidRPr="00D71897">
        <w:rPr>
          <w:rFonts w:ascii="Times New Roman" w:hAnsi="Times New Roman"/>
          <w:i/>
        </w:rPr>
        <w:t>Church of Scientology v Woodward</w:t>
      </w:r>
      <w:r w:rsidRPr="00D71897">
        <w:rPr>
          <w:rStyle w:val="FootnoteReference"/>
          <w:rFonts w:ascii="Times New Roman" w:hAnsi="Times New Roman"/>
          <w:sz w:val="24"/>
        </w:rPr>
        <w:footnoteReference w:id="94"/>
      </w:r>
      <w:r w:rsidRPr="00D71897">
        <w:rPr>
          <w:rFonts w:ascii="Times New Roman" w:hAnsi="Times New Roman"/>
        </w:rPr>
        <w:t>:</w:t>
      </w:r>
    </w:p>
    <w:p w14:paraId="036581D3" w14:textId="77777777" w:rsidR="007B5A1E" w:rsidRDefault="007B5A1E" w:rsidP="00D71897">
      <w:pPr>
        <w:pStyle w:val="leftright"/>
        <w:spacing w:before="0" w:after="260" w:line="280" w:lineRule="exact"/>
        <w:ind w:right="0"/>
        <w:jc w:val="both"/>
        <w:rPr>
          <w:rFonts w:ascii="Times New Roman" w:hAnsi="Times New Roman"/>
        </w:rPr>
      </w:pPr>
      <w:r w:rsidRPr="00D71897">
        <w:rPr>
          <w:rFonts w:ascii="Times New Roman" w:hAnsi="Times New Roman"/>
        </w:rPr>
        <w:t xml:space="preserve">"Judicial review is neither more nor less than the enforcement of the rule of law over executive action; it is the means by which executive action is prevented from exceeding the powers and functions assigned to the executive by law </w:t>
      </w:r>
      <w:r w:rsidRPr="00D71897">
        <w:rPr>
          <w:rFonts w:ascii="Times New Roman" w:hAnsi="Times New Roman"/>
          <w:i/>
        </w:rPr>
        <w:t>and the interests of the individual are protected accordingly</w:t>
      </w:r>
      <w:r w:rsidRPr="00D71897">
        <w:rPr>
          <w:rFonts w:ascii="Times New Roman" w:hAnsi="Times New Roman"/>
        </w:rPr>
        <w:t>". (emphasis added)</w:t>
      </w:r>
    </w:p>
    <w:p w14:paraId="683237F8"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Judicial review ensures that the Executive does not exceed its powers</w:t>
      </w:r>
      <w:r w:rsidRPr="00D71897">
        <w:rPr>
          <w:rStyle w:val="FootnoteReference"/>
          <w:rFonts w:ascii="Times New Roman" w:hAnsi="Times New Roman"/>
          <w:sz w:val="24"/>
        </w:rPr>
        <w:footnoteReference w:id="95"/>
      </w:r>
      <w:r w:rsidRPr="00D71897">
        <w:rPr>
          <w:rFonts w:ascii="Times New Roman" w:hAnsi="Times New Roman"/>
        </w:rPr>
        <w:t>. It</w:t>
      </w:r>
      <w:r>
        <w:rPr>
          <w:rFonts w:ascii="Times New Roman" w:hAnsi="Times New Roman"/>
        </w:rPr>
        <w:t> </w:t>
      </w:r>
      <w:r w:rsidRPr="00D71897">
        <w:rPr>
          <w:rFonts w:ascii="Times New Roman" w:hAnsi="Times New Roman"/>
        </w:rPr>
        <w:t>ensures that decision-makers "obey the law and neither exceed nor neglect any jurisdiction which the law confers on them"</w:t>
      </w:r>
      <w:r w:rsidRPr="00D71897">
        <w:rPr>
          <w:rStyle w:val="FootnoteReference"/>
          <w:rFonts w:ascii="Times New Roman" w:hAnsi="Times New Roman"/>
          <w:sz w:val="24"/>
        </w:rPr>
        <w:footnoteReference w:id="96"/>
      </w:r>
      <w:r w:rsidRPr="00D71897">
        <w:rPr>
          <w:rFonts w:ascii="Times New Roman" w:hAnsi="Times New Roman"/>
        </w:rPr>
        <w:t xml:space="preserve">. In particular, it ensures that </w:t>
      </w:r>
      <w:r w:rsidRPr="00D71897">
        <w:rPr>
          <w:rFonts w:ascii="Times New Roman" w:hAnsi="Times New Roman"/>
        </w:rPr>
        <w:lastRenderedPageBreak/>
        <w:t>decision-makers stay within the limits (express or implied) of the decision</w:t>
      </w:r>
      <w:r w:rsidRPr="00D71897">
        <w:rPr>
          <w:rFonts w:ascii="Times New Roman" w:hAnsi="Times New Roman"/>
        </w:rPr>
        <w:noBreakHyphen/>
        <w:t>making power conferred by statute. Judicial review recognises the importance of the Executive acting within lawful authority: that public power is not to be exercised against an individual in a way that is contrary to law. It recognises that the executive power of the Commonwealth is "exercised at a functional level by Ministers and by other officers of the Executive Government" and that in the exercise of those powers, they can and do err</w:t>
      </w:r>
      <w:r w:rsidRPr="00D71897">
        <w:rPr>
          <w:rStyle w:val="FootnoteReference"/>
          <w:rFonts w:ascii="Times New Roman" w:hAnsi="Times New Roman"/>
          <w:sz w:val="24"/>
        </w:rPr>
        <w:footnoteReference w:id="97"/>
      </w:r>
      <w:r w:rsidRPr="00D71897">
        <w:rPr>
          <w:rFonts w:ascii="Times New Roman" w:hAnsi="Times New Roman"/>
        </w:rPr>
        <w:t xml:space="preserve">. </w:t>
      </w:r>
    </w:p>
    <w:p w14:paraId="699A0766"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eastAsia="Calibri" w:hAnsi="Times New Roman"/>
        </w:rPr>
      </w:pPr>
      <w:r w:rsidRPr="00D71897">
        <w:rPr>
          <w:rFonts w:ascii="Times New Roman" w:hAnsi="Times New Roman"/>
        </w:rPr>
        <w:tab/>
        <w:t>In addition, and of no less significance, it recognises that the Executive cannot itself authorise a breach of the law. Not only does the rule of law require that the Executive act within legal authority, but as this Court has repeatedly stated</w:t>
      </w:r>
      <w:r w:rsidRPr="00D71897">
        <w:rPr>
          <w:rStyle w:val="FootnoteReference"/>
          <w:rFonts w:ascii="Times New Roman" w:hAnsi="Times New Roman"/>
          <w:sz w:val="24"/>
        </w:rPr>
        <w:footnoteReference w:id="98"/>
      </w:r>
      <w:r w:rsidRPr="00D71897">
        <w:rPr>
          <w:rFonts w:ascii="Times New Roman" w:hAnsi="Times New Roman"/>
        </w:rPr>
        <w:t>, in various ways and in various contexts, "[i]</w:t>
      </w:r>
      <w:r w:rsidRPr="00D71897">
        <w:rPr>
          <w:rFonts w:ascii="Times New Roman" w:eastAsia="Calibri" w:hAnsi="Times New Roman"/>
        </w:rPr>
        <w:t>t is fundamental to our legal system that the executive has no power to authorize a breach of the law"</w:t>
      </w:r>
      <w:r w:rsidRPr="00D71897">
        <w:rPr>
          <w:rStyle w:val="FootnoteReference"/>
          <w:rFonts w:ascii="Times New Roman" w:eastAsia="Calibri" w:hAnsi="Times New Roman"/>
          <w:sz w:val="24"/>
        </w:rPr>
        <w:footnoteReference w:id="99"/>
      </w:r>
      <w:r w:rsidRPr="00D71897">
        <w:rPr>
          <w:rFonts w:ascii="Times New Roman" w:eastAsia="Calibri" w:hAnsi="Times New Roman"/>
        </w:rPr>
        <w:t>.</w:t>
      </w:r>
    </w:p>
    <w:p w14:paraId="551AB9E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In cases of the kind under consideration in this appeal, public power has been exercised in a way that disadvantages an applicant – an individual. Once the individual shows a departure from the lawful exercise of power and that the departure might realistically have affected the outcome of a decision, the</w:t>
      </w:r>
      <w:r>
        <w:rPr>
          <w:rFonts w:ascii="Times New Roman" w:hAnsi="Times New Roman"/>
        </w:rPr>
        <w:t> </w:t>
      </w:r>
      <w:r w:rsidRPr="00D71897">
        <w:rPr>
          <w:rFonts w:ascii="Times New Roman" w:hAnsi="Times New Roman"/>
        </w:rPr>
        <w:t>individual cannot be expected or required to show that they would have obtained a favourable exercise of statutory power but for the departure. It is for the decision</w:t>
      </w:r>
      <w:r w:rsidRPr="00D71897">
        <w:rPr>
          <w:rFonts w:ascii="Times New Roman" w:hAnsi="Times New Roman"/>
        </w:rPr>
        <w:noBreakHyphen/>
        <w:t xml:space="preserve">maker to show that the individual would not have done so. </w:t>
      </w:r>
    </w:p>
    <w:p w14:paraId="7D59E72B"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relationship between members of the public and the Executive, and the idea that underpins it, was described by Boughey and Weeks as "government</w:t>
      </w:r>
      <w:r>
        <w:rPr>
          <w:rFonts w:ascii="Times New Roman" w:hAnsi="Times New Roman"/>
        </w:rPr>
        <w:t> </w:t>
      </w:r>
      <w:r w:rsidRPr="00D71897">
        <w:rPr>
          <w:rFonts w:ascii="Times New Roman" w:hAnsi="Times New Roman"/>
        </w:rPr>
        <w:t>accountability": "one of the key 'values' or 'ideals' that administrative law is designed to uphold"</w:t>
      </w:r>
      <w:r w:rsidRPr="00D71897">
        <w:rPr>
          <w:rStyle w:val="FootnoteReference"/>
          <w:rFonts w:ascii="Times New Roman" w:hAnsi="Times New Roman"/>
          <w:sz w:val="24"/>
        </w:rPr>
        <w:footnoteReference w:id="100"/>
      </w:r>
      <w:r w:rsidRPr="00D71897">
        <w:rPr>
          <w:rFonts w:ascii="Times New Roman" w:hAnsi="Times New Roman"/>
        </w:rPr>
        <w:t>. It is said to encapsulate</w:t>
      </w:r>
      <w:r w:rsidRPr="00D71897">
        <w:rPr>
          <w:rStyle w:val="FootnoteReference"/>
          <w:rFonts w:ascii="Times New Roman" w:hAnsi="Times New Roman"/>
          <w:sz w:val="24"/>
        </w:rPr>
        <w:footnoteReference w:id="101"/>
      </w:r>
      <w:r w:rsidRPr="00D71897">
        <w:rPr>
          <w:rFonts w:ascii="Times New Roman" w:hAnsi="Times New Roman"/>
        </w:rPr>
        <w:t>:</w:t>
      </w:r>
    </w:p>
    <w:p w14:paraId="7D06552D" w14:textId="77777777" w:rsidR="007B5A1E" w:rsidRDefault="007B5A1E" w:rsidP="00D71897">
      <w:pPr>
        <w:pStyle w:val="leftright"/>
        <w:spacing w:before="0" w:after="260" w:line="280" w:lineRule="exact"/>
        <w:ind w:right="0"/>
        <w:jc w:val="both"/>
        <w:rPr>
          <w:rFonts w:ascii="Times New Roman" w:hAnsi="Times New Roman"/>
        </w:rPr>
      </w:pPr>
      <w:r w:rsidRPr="00D71897">
        <w:rPr>
          <w:rFonts w:ascii="Times New Roman" w:hAnsi="Times New Roman"/>
        </w:rPr>
        <w:lastRenderedPageBreak/>
        <w:t>"</w:t>
      </w:r>
      <w:r w:rsidRPr="00D71897" w:rsidDel="00014DBB">
        <w:rPr>
          <w:rFonts w:ascii="Times New Roman" w:hAnsi="Times New Roman"/>
        </w:rPr>
        <w:t>t</w:t>
      </w:r>
      <w:r w:rsidRPr="00D71897">
        <w:rPr>
          <w:rFonts w:ascii="Times New Roman" w:hAnsi="Times New Roman"/>
        </w:rPr>
        <w:t>he basic idea that the executive branch and its delegates must be answerable, and as a general principle justify their actions, to the public, the</w:t>
      </w:r>
      <w:r>
        <w:rPr>
          <w:rFonts w:ascii="Times New Roman" w:hAnsi="Times New Roman"/>
        </w:rPr>
        <w:t> </w:t>
      </w:r>
      <w:r w:rsidRPr="00D71897">
        <w:rPr>
          <w:rFonts w:ascii="Times New Roman" w:hAnsi="Times New Roman"/>
        </w:rPr>
        <w:t>Parliament, the courts or any administrative agency (ombudsmen, tribunals, anti</w:t>
      </w:r>
      <w:r w:rsidRPr="00D71897">
        <w:rPr>
          <w:rFonts w:ascii="Times New Roman" w:hAnsi="Times New Roman"/>
        </w:rPr>
        <w:noBreakHyphen/>
        <w:t>corruption agencies etc)."</w:t>
      </w:r>
    </w:p>
    <w:p w14:paraId="76FEA996"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Judicial review of administrative action derives its legitimacy and constitutional importance from the rule of law. Rule of law values provide principled support for the view that if an individual establishes error in an administrative decision, it should be for the Executive to establish that, even</w:t>
      </w:r>
      <w:r>
        <w:rPr>
          <w:rFonts w:ascii="Times New Roman" w:hAnsi="Times New Roman"/>
        </w:rPr>
        <w:t> </w:t>
      </w:r>
      <w:r w:rsidRPr="00D71897">
        <w:rPr>
          <w:rFonts w:ascii="Times New Roman" w:hAnsi="Times New Roman"/>
        </w:rPr>
        <w:t xml:space="preserve">without the error, the same outcome would have been reached. Once it is accepted that the rule of law requires that the </w:t>
      </w:r>
      <w:r w:rsidRPr="00D71897" w:rsidDel="009E7E3A">
        <w:rPr>
          <w:rFonts w:ascii="Times New Roman" w:hAnsi="Times New Roman"/>
        </w:rPr>
        <w:t xml:space="preserve">Executive </w:t>
      </w:r>
      <w:r w:rsidRPr="00D71897">
        <w:rPr>
          <w:rFonts w:ascii="Times New Roman" w:hAnsi="Times New Roman"/>
        </w:rPr>
        <w:t xml:space="preserve">must act within legal authority and that the purpose of judicial review is to provide individuals with a mechanism to challenge the lawfulness of the exercise of official power, it is conceptually difficult to understand why the individual would need to show anything more than that public power was exercised in a manner that exceeded a condition of the exercise of that power and that it is realistically possible that the error could have affected the result. To require an individual to show that executive power – public power – could have been exercised differently if preconditions on the exercise of that power had been met is to fail to understand the constitutional relationships between Parliament, the </w:t>
      </w:r>
      <w:r w:rsidRPr="00D71897" w:rsidDel="001A257D">
        <w:rPr>
          <w:rFonts w:ascii="Times New Roman" w:hAnsi="Times New Roman"/>
        </w:rPr>
        <w:t>E</w:t>
      </w:r>
      <w:r w:rsidRPr="00D71897">
        <w:rPr>
          <w:rFonts w:ascii="Times New Roman" w:hAnsi="Times New Roman"/>
        </w:rPr>
        <w:t>xecutive and courts and the role of judicial power in seeking to ensure that executive power which exceeds the authority conferred on the Executive is controlled. The idea that breaches of statutory conditions by decision</w:t>
      </w:r>
      <w:r w:rsidRPr="00D71897">
        <w:rPr>
          <w:rFonts w:ascii="Times New Roman" w:hAnsi="Times New Roman"/>
        </w:rPr>
        <w:noBreakHyphen/>
        <w:t xml:space="preserve">makers should not lightly be seen to have no legal consequences for the decision may sometimes be described as "legality", but it is an idea more fundamental than the principle of statutory construction identified in </w:t>
      </w:r>
      <w:r w:rsidRPr="00D71897">
        <w:rPr>
          <w:rFonts w:ascii="Times New Roman" w:hAnsi="Times New Roman"/>
          <w:i/>
        </w:rPr>
        <w:t>Potter v Minahan</w:t>
      </w:r>
      <w:r w:rsidRPr="00D71897">
        <w:rPr>
          <w:rStyle w:val="FootnoteReference"/>
          <w:rFonts w:ascii="Times New Roman" w:hAnsi="Times New Roman"/>
          <w:sz w:val="24"/>
        </w:rPr>
        <w:footnoteReference w:id="102"/>
      </w:r>
      <w:r w:rsidRPr="00D71897">
        <w:rPr>
          <w:rFonts w:ascii="Times New Roman" w:hAnsi="Times New Roman"/>
        </w:rPr>
        <w:t>. As Professor</w:t>
      </w:r>
      <w:r w:rsidRPr="00D71897" w:rsidDel="0034380A">
        <w:rPr>
          <w:rFonts w:ascii="Times New Roman" w:hAnsi="Times New Roman"/>
        </w:rPr>
        <w:t xml:space="preserve"> </w:t>
      </w:r>
      <w:r w:rsidRPr="00D71897">
        <w:rPr>
          <w:rFonts w:ascii="Times New Roman" w:hAnsi="Times New Roman"/>
        </w:rPr>
        <w:t>Daly has rightly remarked, "[w]hereas one might be content to accept that the applicant bears the burden of proof generally in judicial review cases, one might nonetheless consider that putting the onus of proving materiality on the applicant does not adequately ensure that administrative decision-makers will comply with the law"</w:t>
      </w:r>
      <w:r w:rsidRPr="00D71897">
        <w:rPr>
          <w:rStyle w:val="FootnoteReference"/>
          <w:rFonts w:ascii="Times New Roman" w:hAnsi="Times New Roman"/>
          <w:sz w:val="24"/>
        </w:rPr>
        <w:footnoteReference w:id="103"/>
      </w:r>
      <w:r w:rsidRPr="00D71897">
        <w:rPr>
          <w:rFonts w:ascii="Times New Roman" w:hAnsi="Times New Roman"/>
        </w:rPr>
        <w:t xml:space="preserve">. </w:t>
      </w:r>
    </w:p>
    <w:p w14:paraId="22BCE4A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This Court has recognised that not every error of law will invalidate an exercise of statutory executive power</w:t>
      </w:r>
      <w:r w:rsidRPr="00D71897">
        <w:rPr>
          <w:rStyle w:val="FootnoteReference"/>
          <w:rFonts w:ascii="Times New Roman" w:hAnsi="Times New Roman"/>
          <w:sz w:val="24"/>
        </w:rPr>
        <w:footnoteReference w:id="104"/>
      </w:r>
      <w:r w:rsidRPr="00D71897">
        <w:rPr>
          <w:rFonts w:ascii="Times New Roman" w:hAnsi="Times New Roman"/>
        </w:rPr>
        <w:t xml:space="preserve">. But there may be cases where an error is </w:t>
      </w:r>
      <w:r w:rsidRPr="00D71897">
        <w:rPr>
          <w:rFonts w:ascii="Times New Roman" w:hAnsi="Times New Roman"/>
        </w:rPr>
        <w:lastRenderedPageBreak/>
        <w:t>jurisdictional regardless of the effect the error may have had on the conclusion of the decision-maker and despite not depriving a party of the realistic possibility of a different result</w:t>
      </w:r>
      <w:r w:rsidRPr="00D71897">
        <w:rPr>
          <w:rStyle w:val="FootnoteReference"/>
          <w:rFonts w:ascii="Times New Roman" w:hAnsi="Times New Roman"/>
          <w:sz w:val="24"/>
        </w:rPr>
        <w:footnoteReference w:id="105"/>
      </w:r>
      <w:r w:rsidRPr="00D71897">
        <w:rPr>
          <w:rFonts w:ascii="Times New Roman" w:hAnsi="Times New Roman"/>
        </w:rPr>
        <w:t>. The cases may include</w:t>
      </w:r>
      <w:r w:rsidRPr="00D71897">
        <w:rPr>
          <w:rStyle w:val="FootnoteReference"/>
          <w:rFonts w:ascii="Times New Roman" w:hAnsi="Times New Roman"/>
          <w:sz w:val="24"/>
        </w:rPr>
        <w:footnoteReference w:id="106"/>
      </w:r>
      <w:r w:rsidRPr="00D71897">
        <w:rPr>
          <w:rFonts w:ascii="Times New Roman" w:hAnsi="Times New Roman"/>
        </w:rPr>
        <w:t xml:space="preserve"> where a decision</w:t>
      </w:r>
      <w:r w:rsidRPr="00D71897">
        <w:rPr>
          <w:rFonts w:ascii="Times New Roman" w:hAnsi="Times New Roman"/>
        </w:rPr>
        <w:noBreakHyphen/>
        <w:t>maker is required to make a decision by reference to a single specified criterion and, in error, the</w:t>
      </w:r>
      <w:r>
        <w:rPr>
          <w:rFonts w:ascii="Times New Roman" w:hAnsi="Times New Roman"/>
        </w:rPr>
        <w:t> </w:t>
      </w:r>
      <w:r w:rsidRPr="00D71897">
        <w:rPr>
          <w:rFonts w:ascii="Times New Roman" w:hAnsi="Times New Roman"/>
        </w:rPr>
        <w:t>decision</w:t>
      </w:r>
      <w:r w:rsidRPr="00D71897">
        <w:rPr>
          <w:rFonts w:ascii="Times New Roman" w:hAnsi="Times New Roman"/>
        </w:rPr>
        <w:noBreakHyphen/>
        <w:t xml:space="preserve">maker addresses a different and wrong criterion and where lack of respect for the dignity of the individual results in a denial of procedural fairness. That is not an exhaustive list. </w:t>
      </w:r>
    </w:p>
    <w:p w14:paraId="439C38E0"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nature of the error has to be worked out in each case concerning a specific decision under a particular statute. In most cases, an error will only be jurisdictional (that is, will only exceed the jurisdiction conferred on the decision</w:t>
      </w:r>
      <w:r>
        <w:rPr>
          <w:rFonts w:ascii="Times New Roman" w:hAnsi="Times New Roman"/>
        </w:rPr>
        <w:noBreakHyphen/>
      </w:r>
      <w:r w:rsidRPr="00D71897">
        <w:rPr>
          <w:rFonts w:ascii="Times New Roman" w:hAnsi="Times New Roman"/>
        </w:rPr>
        <w:t>maker by statute) if the error was "material" to the decision, in the sense that there has been an error relevant to the actual course of the decision</w:t>
      </w:r>
      <w:r w:rsidRPr="00D71897">
        <w:rPr>
          <w:rFonts w:ascii="Times New Roman" w:hAnsi="Times New Roman"/>
        </w:rPr>
        <w:noBreakHyphen/>
        <w:t>making and the decision</w:t>
      </w:r>
      <w:r w:rsidRPr="00D71897">
        <w:rPr>
          <w:rFonts w:ascii="Times New Roman" w:hAnsi="Times New Roman"/>
        </w:rPr>
        <w:noBreakHyphen/>
        <w:t>maker has not shown that the error could not have made a difference to the outcome actually reached. Recognising a criterion of materiality before an error is treated as jurisdictional is a mechanism for drawing a line between those cases where a supervising court has jurisdiction to remedy an error made by an administrative decision-maker and those cases where it does not</w:t>
      </w:r>
      <w:r w:rsidRPr="00D71897">
        <w:rPr>
          <w:rStyle w:val="FootnoteReference"/>
          <w:rFonts w:ascii="Times New Roman" w:hAnsi="Times New Roman"/>
          <w:sz w:val="24"/>
        </w:rPr>
        <w:footnoteReference w:id="107"/>
      </w:r>
      <w:r w:rsidRPr="00D71897">
        <w:rPr>
          <w:rFonts w:ascii="Times New Roman" w:hAnsi="Times New Roman"/>
        </w:rPr>
        <w:t>. In</w:t>
      </w:r>
      <w:r>
        <w:rPr>
          <w:rFonts w:ascii="Times New Roman" w:hAnsi="Times New Roman"/>
        </w:rPr>
        <w:t> </w:t>
      </w:r>
      <w:r w:rsidRPr="00D71897">
        <w:rPr>
          <w:rFonts w:ascii="Times New Roman" w:hAnsi="Times New Roman"/>
        </w:rPr>
        <w:t>the United Kingdom, this has been explained by reference to the demands placed on the administrative state: "a certain level of error is acceptable in a legal system which has so many demands upon its limited resources"</w:t>
      </w:r>
      <w:r w:rsidRPr="00D71897">
        <w:rPr>
          <w:rStyle w:val="FootnoteReference"/>
          <w:rFonts w:ascii="Times New Roman" w:hAnsi="Times New Roman"/>
          <w:sz w:val="24"/>
        </w:rPr>
        <w:footnoteReference w:id="108"/>
      </w:r>
      <w:r w:rsidRPr="00D71897">
        <w:rPr>
          <w:rFonts w:ascii="Times New Roman" w:hAnsi="Times New Roman"/>
        </w:rPr>
        <w:t>. In the literature, it has been described as a "control mechanism" for determining which errors of law are amenable to judicial intervention</w:t>
      </w:r>
      <w:r w:rsidRPr="00D71897">
        <w:rPr>
          <w:rStyle w:val="FootnoteReference"/>
          <w:rFonts w:ascii="Times New Roman" w:hAnsi="Times New Roman"/>
          <w:sz w:val="24"/>
        </w:rPr>
        <w:footnoteReference w:id="109"/>
      </w:r>
      <w:r w:rsidRPr="00D71897">
        <w:rPr>
          <w:rFonts w:ascii="Times New Roman" w:hAnsi="Times New Roman"/>
        </w:rPr>
        <w:t>.</w:t>
      </w:r>
    </w:p>
    <w:p w14:paraId="5B3EC649"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But acceptance that the law will permit an immaterial error of law to stand against an individual who has been subject to an exercise of State power </w:t>
      </w:r>
      <w:r w:rsidRPr="00D71897">
        <w:rPr>
          <w:rFonts w:ascii="Times New Roman" w:hAnsi="Times New Roman"/>
        </w:rPr>
        <w:sym w:font="Symbol" w:char="F02D"/>
      </w:r>
      <w:r w:rsidRPr="00D71897">
        <w:rPr>
          <w:rFonts w:ascii="Times New Roman" w:hAnsi="Times New Roman"/>
        </w:rPr>
        <w:t xml:space="preserve"> indeed, acceptance that a supervising court may have limited power to remedy an immaterial (non</w:t>
      </w:r>
      <w:r w:rsidRPr="00D71897">
        <w:rPr>
          <w:rFonts w:ascii="Times New Roman" w:hAnsi="Times New Roman"/>
        </w:rPr>
        <w:noBreakHyphen/>
        <w:t xml:space="preserve">jurisdictional) error of law </w:t>
      </w:r>
      <w:r w:rsidRPr="00D71897">
        <w:rPr>
          <w:rFonts w:ascii="Times New Roman" w:hAnsi="Times New Roman"/>
        </w:rPr>
        <w:sym w:font="Symbol" w:char="F02D"/>
      </w:r>
      <w:r w:rsidRPr="00D71897">
        <w:rPr>
          <w:rFonts w:ascii="Times New Roman" w:hAnsi="Times New Roman"/>
        </w:rPr>
        <w:t xml:space="preserve"> must necessarily be of significance </w:t>
      </w:r>
      <w:r w:rsidRPr="00D71897">
        <w:rPr>
          <w:rFonts w:ascii="Times New Roman" w:hAnsi="Times New Roman"/>
        </w:rPr>
        <w:lastRenderedPageBreak/>
        <w:t xml:space="preserve">when considering who </w:t>
      </w:r>
      <w:r w:rsidRPr="00D71897">
        <w:rPr>
          <w:rFonts w:ascii="Times New Roman" w:hAnsi="Times New Roman"/>
          <w:i/>
        </w:rPr>
        <w:t>ought</w:t>
      </w:r>
      <w:r w:rsidRPr="00D71897">
        <w:rPr>
          <w:rFonts w:ascii="Times New Roman" w:hAnsi="Times New Roman"/>
        </w:rPr>
        <w:t xml:space="preserve">, as a matter of </w:t>
      </w:r>
      <w:r w:rsidRPr="00D71897">
        <w:rPr>
          <w:rFonts w:ascii="Times New Roman" w:hAnsi="Times New Roman"/>
          <w:i/>
        </w:rPr>
        <w:t>principle</w:t>
      </w:r>
      <w:r w:rsidRPr="00D71897">
        <w:rPr>
          <w:rFonts w:ascii="Times New Roman" w:hAnsi="Times New Roman"/>
        </w:rPr>
        <w:t>, to bear the onus of establishing immateriality.</w:t>
      </w:r>
    </w:p>
    <w:p w14:paraId="1249C15A"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Fundamental principles </w:t>
      </w:r>
      <w:r w:rsidRPr="00D71897">
        <w:rPr>
          <w:rFonts w:ascii="Times New Roman" w:hAnsi="Times New Roman"/>
        </w:rPr>
        <w:sym w:font="Symbol" w:char="F02D"/>
      </w:r>
      <w:r w:rsidRPr="00D71897">
        <w:rPr>
          <w:rFonts w:ascii="Times New Roman" w:hAnsi="Times New Roman"/>
        </w:rPr>
        <w:t xml:space="preserve"> namely, the rule of law; the constitutional relationship between the Executive and the judicial branch; the relationship between individuals and the State; and, in particular, the role of the judicial branch in the protection of the individual against incursions of executive power </w:t>
      </w:r>
      <w:r w:rsidRPr="00D71897">
        <w:rPr>
          <w:rFonts w:ascii="Times New Roman" w:hAnsi="Times New Roman"/>
        </w:rPr>
        <w:sym w:font="Symbol" w:char="F02D"/>
      </w:r>
      <w:r w:rsidRPr="00D71897">
        <w:rPr>
          <w:rFonts w:ascii="Times New Roman" w:hAnsi="Times New Roman"/>
        </w:rPr>
        <w:t xml:space="preserve"> together</w:t>
      </w:r>
      <w:r>
        <w:rPr>
          <w:rFonts w:ascii="Times New Roman" w:hAnsi="Times New Roman"/>
        </w:rPr>
        <w:t> </w:t>
      </w:r>
      <w:r w:rsidRPr="00D71897">
        <w:rPr>
          <w:rFonts w:ascii="Times New Roman" w:hAnsi="Times New Roman"/>
        </w:rPr>
        <w:t>weigh decisively in favour of a conclusion that it is the respondent (the</w:t>
      </w:r>
      <w:r>
        <w:rPr>
          <w:rFonts w:ascii="Times New Roman" w:hAnsi="Times New Roman"/>
        </w:rPr>
        <w:t> </w:t>
      </w:r>
      <w:r w:rsidRPr="00D71897">
        <w:rPr>
          <w:rFonts w:ascii="Times New Roman" w:hAnsi="Times New Roman"/>
        </w:rPr>
        <w:t>Executive) in an application for judicial review who should and must bear the onus of establishing immateriality of error.</w:t>
      </w:r>
    </w:p>
    <w:p w14:paraId="328B6393"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rule that, if an applicant has demonstrated error and the loss of a possibility of a successful outcome, it is for the respondent to establish immateriality of error is entirely coherent with the way in which the law operates, including in other areas in which the power of the State is applied to the individual. The application of a rule that it is for the respondent to establish immateriality of error in the exercise of public power in cases of the kind under consideration in this appeal is not unique. It takes its place in the broader application of the stated rule in accordance with the rule of law and is one which is practically sensible. The contrary approach is at odds with the way the law operates elsewhere. </w:t>
      </w:r>
    </w:p>
    <w:p w14:paraId="2877DBFD"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These considerations make it all the more important to apply the ordinary rule for the allocation of burden of proof in connection with the application of statutes. That rule was stated in </w:t>
      </w:r>
      <w:r w:rsidRPr="00D71897">
        <w:rPr>
          <w:rFonts w:ascii="Times New Roman" w:hAnsi="Times New Roman"/>
          <w:i/>
        </w:rPr>
        <w:t>Vines v Djordjevitch</w:t>
      </w:r>
      <w:r w:rsidRPr="00D71897">
        <w:rPr>
          <w:rStyle w:val="FootnoteReference"/>
          <w:rFonts w:ascii="Times New Roman" w:hAnsi="Times New Roman"/>
          <w:sz w:val="24"/>
        </w:rPr>
        <w:footnoteReference w:id="110"/>
      </w:r>
      <w:r w:rsidRPr="00D71897">
        <w:rPr>
          <w:rFonts w:ascii="Times New Roman" w:hAnsi="Times New Roman"/>
        </w:rPr>
        <w:t xml:space="preserve"> as follows: "in whatever form the enactment is cast, if it expresses an exculpation, justification, excuse, </w:t>
      </w:r>
      <w:r w:rsidRPr="00D71897">
        <w:rPr>
          <w:rFonts w:ascii="Times New Roman" w:hAnsi="Times New Roman"/>
          <w:i/>
        </w:rPr>
        <w:t xml:space="preserve">ground of defeasance </w:t>
      </w:r>
      <w:r w:rsidRPr="00D71897">
        <w:rPr>
          <w:rFonts w:ascii="Times New Roman" w:hAnsi="Times New Roman"/>
        </w:rPr>
        <w:t>or</w:t>
      </w:r>
      <w:r w:rsidRPr="00D71897">
        <w:rPr>
          <w:rFonts w:ascii="Times New Roman" w:hAnsi="Times New Roman"/>
          <w:i/>
        </w:rPr>
        <w:t xml:space="preserve"> exclusion</w:t>
      </w:r>
      <w:r w:rsidRPr="00D71897">
        <w:rPr>
          <w:rFonts w:ascii="Times New Roman" w:hAnsi="Times New Roman"/>
        </w:rPr>
        <w:t xml:space="preserve"> which assumes the existence of the general or primary grounds from which the liability or right arises but denies the right or liability in a particular case by reason of additional or special facts, then it is evident that such an enactment supplies considerations of substance for placing the burden of proof on the party seeking to rely upon the additional or special matter" (emphasis added). Here, the applicant identifies departure from a condition of the exercise of public power. The restated rule acknowledges that the decision is invalid and of no effect only if the departure was "material". The requirement of materiality "assumes the existence of the general or primary grounds from which the [applicant's] ... right arises but denies the right ... in [the] particular case by reason of additional or special facts"</w:t>
      </w:r>
      <w:r w:rsidRPr="00D71897">
        <w:rPr>
          <w:rStyle w:val="FootnoteReference"/>
          <w:rFonts w:ascii="Times New Roman" w:hAnsi="Times New Roman"/>
          <w:sz w:val="24"/>
        </w:rPr>
        <w:footnoteReference w:id="111"/>
      </w:r>
      <w:r w:rsidRPr="00D71897">
        <w:rPr>
          <w:rFonts w:ascii="Times New Roman" w:hAnsi="Times New Roman"/>
        </w:rPr>
        <w:t xml:space="preserve">. </w:t>
      </w:r>
    </w:p>
    <w:p w14:paraId="193F4DBB" w14:textId="77777777" w:rsidR="007B5A1E" w:rsidRPr="00D71897" w:rsidRDefault="007B5A1E" w:rsidP="00D71897">
      <w:pPr>
        <w:pStyle w:val="HeadingL1"/>
        <w:spacing w:after="260" w:line="280" w:lineRule="exact"/>
        <w:ind w:right="0"/>
        <w:jc w:val="both"/>
        <w:rPr>
          <w:rFonts w:ascii="Times New Roman" w:hAnsi="Times New Roman"/>
        </w:rPr>
      </w:pPr>
      <w:r w:rsidRPr="00D71897">
        <w:rPr>
          <w:rFonts w:ascii="Times New Roman" w:hAnsi="Times New Roman"/>
        </w:rPr>
        <w:lastRenderedPageBreak/>
        <w:t>Onus in public law</w:t>
      </w:r>
    </w:p>
    <w:p w14:paraId="2C95CA17"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Although we consider that the rule to be applied should be restated, it is essential, as was noted in </w:t>
      </w:r>
      <w:r w:rsidRPr="00D71897">
        <w:rPr>
          <w:rFonts w:ascii="Times New Roman" w:hAnsi="Times New Roman"/>
          <w:i/>
        </w:rPr>
        <w:t>SZMTA</w:t>
      </w:r>
      <w:r w:rsidRPr="00D71897">
        <w:rPr>
          <w:rFonts w:ascii="Times New Roman" w:hAnsi="Times New Roman"/>
        </w:rPr>
        <w:t xml:space="preserve">, to take account of past decisions of this Court </w:t>
      </w:r>
      <w:r w:rsidRPr="00D71897">
        <w:rPr>
          <w:rFonts w:ascii="Times New Roman" w:hAnsi="Times New Roman"/>
        </w:rPr>
        <w:sym w:font="Symbol" w:char="F02D"/>
      </w:r>
      <w:r w:rsidRPr="00D71897">
        <w:rPr>
          <w:rFonts w:ascii="Times New Roman" w:hAnsi="Times New Roman"/>
        </w:rPr>
        <w:t xml:space="preserve"> including, in particular, </w:t>
      </w:r>
      <w:r w:rsidRPr="00D71897">
        <w:rPr>
          <w:rFonts w:ascii="Times New Roman" w:hAnsi="Times New Roman"/>
          <w:i/>
        </w:rPr>
        <w:t>Stead v State Government Insurance Commission</w:t>
      </w:r>
      <w:r w:rsidRPr="00D71897">
        <w:rPr>
          <w:rStyle w:val="FootnoteReference"/>
          <w:rFonts w:ascii="Times New Roman" w:hAnsi="Times New Roman"/>
          <w:sz w:val="24"/>
        </w:rPr>
        <w:footnoteReference w:id="112"/>
      </w:r>
      <w:r w:rsidRPr="00D71897">
        <w:rPr>
          <w:rFonts w:ascii="Times New Roman" w:hAnsi="Times New Roman"/>
        </w:rPr>
        <w:t xml:space="preserve">, </w:t>
      </w:r>
      <w:r w:rsidRPr="00D71897">
        <w:rPr>
          <w:rFonts w:ascii="Times New Roman" w:hAnsi="Times New Roman"/>
          <w:i/>
        </w:rPr>
        <w:t>Applicant VEAL of 2002 v Minister for Immigration and Multicultural and Indigenous Affairs</w:t>
      </w:r>
      <w:r w:rsidRPr="00D71897">
        <w:rPr>
          <w:rStyle w:val="FootnoteReference"/>
          <w:rFonts w:ascii="Times New Roman" w:hAnsi="Times New Roman"/>
          <w:sz w:val="24"/>
        </w:rPr>
        <w:footnoteReference w:id="113"/>
      </w:r>
      <w:r w:rsidRPr="00D71897">
        <w:rPr>
          <w:rFonts w:ascii="Times New Roman" w:hAnsi="Times New Roman"/>
          <w:i/>
        </w:rPr>
        <w:t xml:space="preserve"> </w:t>
      </w:r>
      <w:r w:rsidRPr="00D71897">
        <w:rPr>
          <w:rFonts w:ascii="Times New Roman" w:hAnsi="Times New Roman"/>
        </w:rPr>
        <w:t xml:space="preserve">and </w:t>
      </w:r>
      <w:r w:rsidRPr="00D71897">
        <w:rPr>
          <w:rFonts w:ascii="Times New Roman" w:hAnsi="Times New Roman"/>
          <w:i/>
        </w:rPr>
        <w:t>Minister for Immigration and Border Protection v WZARH</w:t>
      </w:r>
      <w:r w:rsidRPr="00D71897">
        <w:rPr>
          <w:rStyle w:val="FootnoteReference"/>
          <w:rFonts w:ascii="Times New Roman" w:hAnsi="Times New Roman"/>
          <w:sz w:val="24"/>
        </w:rPr>
        <w:footnoteReference w:id="114"/>
      </w:r>
      <w:r w:rsidRPr="00D71897">
        <w:rPr>
          <w:rFonts w:ascii="Times New Roman" w:hAnsi="Times New Roman"/>
        </w:rPr>
        <w:t>. Those cases, and the many decisions that have followed them</w:t>
      </w:r>
      <w:r w:rsidRPr="00D71897">
        <w:rPr>
          <w:rStyle w:val="FootnoteReference"/>
          <w:rFonts w:ascii="Times New Roman" w:hAnsi="Times New Roman"/>
          <w:sz w:val="24"/>
        </w:rPr>
        <w:footnoteReference w:id="115"/>
      </w:r>
      <w:r w:rsidRPr="00D71897">
        <w:rPr>
          <w:rFonts w:ascii="Times New Roman" w:hAnsi="Times New Roman"/>
        </w:rPr>
        <w:t>, recognise that although the exercise of public power against the individual arises in different contexts, the balance of the relationship between the individual and the State is best protected by the State having to show why a departure from the legal constraints on the exercise of public power was immaterial to the outcome that was reached. The decisions recognise that, although the onus of proof in judicial review may fall generally upon an applicant, courts "expect public authority defendants to explain themselves"</w:t>
      </w:r>
      <w:r w:rsidRPr="00D71897">
        <w:rPr>
          <w:rStyle w:val="FootnoteReference"/>
          <w:rFonts w:ascii="Times New Roman" w:hAnsi="Times New Roman"/>
          <w:sz w:val="24"/>
        </w:rPr>
        <w:footnoteReference w:id="116"/>
      </w:r>
      <w:r w:rsidRPr="00D71897">
        <w:rPr>
          <w:rFonts w:ascii="Times New Roman" w:hAnsi="Times New Roman"/>
        </w:rPr>
        <w:t>. As Edelman J demonstrates</w:t>
      </w:r>
      <w:r w:rsidRPr="00D71897">
        <w:rPr>
          <w:rStyle w:val="FootnoteReference"/>
          <w:rFonts w:ascii="Times New Roman" w:hAnsi="Times New Roman"/>
          <w:sz w:val="24"/>
        </w:rPr>
        <w:footnoteReference w:id="117"/>
      </w:r>
      <w:r w:rsidRPr="00D71897">
        <w:rPr>
          <w:rFonts w:ascii="Times New Roman" w:hAnsi="Times New Roman"/>
        </w:rPr>
        <w:t xml:space="preserve">, </w:t>
      </w:r>
      <w:r w:rsidRPr="00D71897">
        <w:rPr>
          <w:rFonts w:ascii="Times New Roman" w:hAnsi="Times New Roman"/>
          <w:i/>
        </w:rPr>
        <w:t>Stead</w:t>
      </w:r>
      <w:r w:rsidRPr="00D71897">
        <w:rPr>
          <w:rStyle w:val="FootnoteReference"/>
          <w:rFonts w:ascii="Times New Roman" w:hAnsi="Times New Roman"/>
          <w:sz w:val="24"/>
        </w:rPr>
        <w:footnoteReference w:id="118"/>
      </w:r>
      <w:r w:rsidRPr="00D71897">
        <w:rPr>
          <w:rFonts w:ascii="Times New Roman" w:hAnsi="Times New Roman"/>
        </w:rPr>
        <w:t xml:space="preserve"> and </w:t>
      </w:r>
      <w:r w:rsidRPr="00D71897">
        <w:rPr>
          <w:rFonts w:ascii="Times New Roman" w:hAnsi="Times New Roman"/>
          <w:i/>
        </w:rPr>
        <w:t>Balenzuela v De</w:t>
      </w:r>
      <w:r>
        <w:rPr>
          <w:rFonts w:ascii="Times New Roman" w:hAnsi="Times New Roman"/>
          <w:i/>
        </w:rPr>
        <w:t> </w:t>
      </w:r>
      <w:r w:rsidRPr="00D71897">
        <w:rPr>
          <w:rFonts w:ascii="Times New Roman" w:hAnsi="Times New Roman"/>
          <w:i/>
        </w:rPr>
        <w:t>Gail</w:t>
      </w:r>
      <w:r w:rsidRPr="00D71897">
        <w:rPr>
          <w:rStyle w:val="FootnoteReference"/>
          <w:rFonts w:ascii="Times New Roman" w:hAnsi="Times New Roman"/>
          <w:sz w:val="24"/>
        </w:rPr>
        <w:footnoteReference w:id="119"/>
      </w:r>
      <w:r w:rsidRPr="00D71897">
        <w:rPr>
          <w:rFonts w:ascii="Times New Roman" w:hAnsi="Times New Roman"/>
          <w:i/>
        </w:rPr>
        <w:t xml:space="preserve"> </w:t>
      </w:r>
      <w:r w:rsidRPr="00D71897">
        <w:rPr>
          <w:rFonts w:ascii="Times New Roman" w:hAnsi="Times New Roman"/>
        </w:rPr>
        <w:t xml:space="preserve">do not support the rule stated by the plurality in this case. </w:t>
      </w:r>
    </w:p>
    <w:p w14:paraId="09768EF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lastRenderedPageBreak/>
        <w:tab/>
        <w:t xml:space="preserve">In </w:t>
      </w:r>
      <w:r w:rsidRPr="00D71897">
        <w:rPr>
          <w:rFonts w:ascii="Times New Roman" w:hAnsi="Times New Roman"/>
          <w:i/>
        </w:rPr>
        <w:t>Stead</w:t>
      </w:r>
      <w:r w:rsidRPr="00D71897">
        <w:rPr>
          <w:rStyle w:val="FootnoteReference"/>
          <w:rFonts w:ascii="Times New Roman" w:hAnsi="Times New Roman"/>
          <w:sz w:val="24"/>
        </w:rPr>
        <w:footnoteReference w:id="120"/>
      </w:r>
      <w:r w:rsidRPr="00D71897">
        <w:rPr>
          <w:rFonts w:ascii="Times New Roman" w:hAnsi="Times New Roman"/>
        </w:rPr>
        <w:t xml:space="preserve">, in an appeal by way of rehearing, having noted the difficulty for a court of appeal asked to conclude that compliance with the requirements of natural justice could have made no difference to the outcome in the particular case, the Court said that "[a]ll that the appellant needed to show was that the denial of natural justice deprived [the appellant] of the possibility of a successful outcome" and it was for the respondent to demonstrate "that a properly conducted trial could </w:t>
      </w:r>
      <w:r w:rsidRPr="00D71897">
        <w:rPr>
          <w:rFonts w:ascii="Times New Roman" w:hAnsi="Times New Roman"/>
          <w:i/>
        </w:rPr>
        <w:t>not possibly</w:t>
      </w:r>
      <w:r w:rsidRPr="00D71897">
        <w:rPr>
          <w:rFonts w:ascii="Times New Roman" w:hAnsi="Times New Roman"/>
        </w:rPr>
        <w:t xml:space="preserve"> have produced a different result" (emphasis added). </w:t>
      </w:r>
    </w:p>
    <w:p w14:paraId="2456DBC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decisions in </w:t>
      </w:r>
      <w:r w:rsidRPr="00D71897">
        <w:rPr>
          <w:rFonts w:ascii="Times New Roman" w:hAnsi="Times New Roman"/>
          <w:i/>
        </w:rPr>
        <w:t xml:space="preserve">VEAL </w:t>
      </w:r>
      <w:r w:rsidRPr="00D71897">
        <w:rPr>
          <w:rFonts w:ascii="Times New Roman" w:hAnsi="Times New Roman"/>
        </w:rPr>
        <w:t xml:space="preserve">and </w:t>
      </w:r>
      <w:r w:rsidRPr="00D71897">
        <w:rPr>
          <w:rFonts w:ascii="Times New Roman" w:hAnsi="Times New Roman"/>
          <w:i/>
        </w:rPr>
        <w:t xml:space="preserve">WZARH </w:t>
      </w:r>
      <w:r w:rsidRPr="00D71897">
        <w:rPr>
          <w:rFonts w:ascii="Times New Roman" w:hAnsi="Times New Roman"/>
        </w:rPr>
        <w:t xml:space="preserve">are not inconsistent with the restated rule. In </w:t>
      </w:r>
      <w:r w:rsidRPr="00D71897">
        <w:rPr>
          <w:rFonts w:ascii="Times New Roman" w:hAnsi="Times New Roman"/>
          <w:i/>
        </w:rPr>
        <w:t>VEAL</w:t>
      </w:r>
      <w:r w:rsidRPr="00D71897">
        <w:rPr>
          <w:rFonts w:ascii="Times New Roman" w:hAnsi="Times New Roman"/>
        </w:rPr>
        <w:t>, this Court found, on the particular facts, that a denial of procedural fairness occasioned by a failure to disclose adverse information constituted a jurisdictional error which warranted setting aside the decision below, notwithstanding that the reasons of the Tribunal had contained an affirmative statement that it had given the adverse information in question "no weight"</w:t>
      </w:r>
      <w:r w:rsidRPr="00D71897">
        <w:rPr>
          <w:rStyle w:val="FootnoteReference"/>
          <w:rFonts w:ascii="Times New Roman" w:hAnsi="Times New Roman"/>
          <w:sz w:val="24"/>
        </w:rPr>
        <w:footnoteReference w:id="121"/>
      </w:r>
      <w:r w:rsidRPr="00D71897">
        <w:rPr>
          <w:rFonts w:ascii="Times New Roman" w:hAnsi="Times New Roman"/>
        </w:rPr>
        <w:t>. In </w:t>
      </w:r>
      <w:r w:rsidRPr="00D71897">
        <w:rPr>
          <w:rFonts w:ascii="Times New Roman" w:hAnsi="Times New Roman"/>
          <w:i/>
        </w:rPr>
        <w:t>WZARH</w:t>
      </w:r>
      <w:r w:rsidRPr="00D71897">
        <w:rPr>
          <w:rFonts w:ascii="Times New Roman" w:hAnsi="Times New Roman"/>
        </w:rPr>
        <w:t>, where a procedure adopted by an administrator was shown to have failed to afford a fair opportunity to be heard, not only was the rule stated in similar terms but the practical significance of the rule was recognised as follows</w:t>
      </w:r>
      <w:r w:rsidRPr="00D71897">
        <w:rPr>
          <w:rStyle w:val="FootnoteReference"/>
          <w:rFonts w:ascii="Times New Roman" w:hAnsi="Times New Roman"/>
          <w:sz w:val="24"/>
        </w:rPr>
        <w:footnoteReference w:id="122"/>
      </w:r>
      <w:r w:rsidRPr="00D71897">
        <w:rPr>
          <w:rFonts w:ascii="Times New Roman" w:hAnsi="Times New Roman"/>
        </w:rPr>
        <w:t xml:space="preserve">: </w:t>
      </w:r>
    </w:p>
    <w:p w14:paraId="3339BFBA" w14:textId="77777777" w:rsidR="007B5A1E" w:rsidRDefault="007B5A1E" w:rsidP="00D71897">
      <w:pPr>
        <w:pStyle w:val="leftright"/>
        <w:spacing w:before="0" w:after="260" w:line="280" w:lineRule="exact"/>
        <w:ind w:right="0"/>
        <w:jc w:val="both"/>
        <w:rPr>
          <w:rFonts w:ascii="Times New Roman" w:hAnsi="Times New Roman"/>
        </w:rPr>
      </w:pPr>
      <w:r w:rsidRPr="00D71897">
        <w:rPr>
          <w:rFonts w:ascii="Times New Roman" w:hAnsi="Times New Roman"/>
        </w:rPr>
        <w:t xml:space="preserve">"[A] denial of procedural fairness is established by nothing more than that failure, and the granting of curial relief is justified unless it </w:t>
      </w:r>
      <w:r w:rsidRPr="00D71897">
        <w:rPr>
          <w:rFonts w:ascii="Times New Roman" w:hAnsi="Times New Roman"/>
          <w:i/>
        </w:rPr>
        <w:t xml:space="preserve">can be shown </w:t>
      </w:r>
      <w:r w:rsidRPr="00D71897">
        <w:rPr>
          <w:rFonts w:ascii="Times New Roman" w:hAnsi="Times New Roman"/>
        </w:rPr>
        <w:t>that the failure did not deprive the person of the possibility of a successful outcome. The practical injustice in such a case lies in the denial of an opportunity which in fairness ought to have been given". (emphasis added)</w:t>
      </w:r>
    </w:p>
    <w:p w14:paraId="497D0E06"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restated rule is consistent with approaches taken in other areas of public law, including: </w:t>
      </w:r>
    </w:p>
    <w:p w14:paraId="5D8FD2A5"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(1)</w:t>
      </w:r>
      <w:r w:rsidRPr="00D71897">
        <w:rPr>
          <w:rFonts w:ascii="Times New Roman" w:hAnsi="Times New Roman"/>
        </w:rPr>
        <w:tab/>
        <w:t>where there is unreasonable delay in the making of an administrative decision, it is for the respondent to establish a satisfactory justification for the delay</w:t>
      </w:r>
      <w:r w:rsidRPr="00D71897">
        <w:rPr>
          <w:rStyle w:val="FootnoteReference"/>
          <w:rFonts w:ascii="Times New Roman" w:hAnsi="Times New Roman"/>
          <w:sz w:val="24"/>
        </w:rPr>
        <w:footnoteReference w:id="123"/>
      </w:r>
      <w:r w:rsidRPr="00D71897">
        <w:rPr>
          <w:rFonts w:ascii="Times New Roman" w:hAnsi="Times New Roman"/>
        </w:rPr>
        <w:t xml:space="preserve">; </w:t>
      </w:r>
    </w:p>
    <w:p w14:paraId="7190F54E"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lastRenderedPageBreak/>
        <w:t>(2)</w:t>
      </w:r>
      <w:r w:rsidRPr="00D71897">
        <w:rPr>
          <w:rFonts w:ascii="Times New Roman" w:hAnsi="Times New Roman"/>
        </w:rPr>
        <w:tab/>
        <w:t>in an application for habeas corpus, provided that the detainee has established probable cause or a case fit to be considered, the person directing detention must prove the lawfulness of the detention</w:t>
      </w:r>
      <w:r w:rsidRPr="00D71897">
        <w:rPr>
          <w:rStyle w:val="FootnoteReference"/>
          <w:rFonts w:ascii="Times New Roman" w:hAnsi="Times New Roman"/>
          <w:sz w:val="24"/>
        </w:rPr>
        <w:footnoteReference w:id="124"/>
      </w:r>
      <w:r w:rsidRPr="00D71897">
        <w:rPr>
          <w:rFonts w:ascii="Times New Roman" w:hAnsi="Times New Roman"/>
        </w:rPr>
        <w:t>; and</w:t>
      </w:r>
    </w:p>
    <w:p w14:paraId="611FAAB8"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(3)</w:t>
      </w:r>
      <w:r w:rsidRPr="00D71897">
        <w:rPr>
          <w:rFonts w:ascii="Times New Roman" w:hAnsi="Times New Roman"/>
        </w:rPr>
        <w:tab/>
        <w:t>where material is unlawfully seized by a public official in purported execution of a warrant, the onus is on the respondent to establish a basis for a court to refuse discretionary remedies</w:t>
      </w:r>
      <w:r w:rsidRPr="00D71897">
        <w:rPr>
          <w:rStyle w:val="FootnoteReference"/>
          <w:rFonts w:ascii="Times New Roman" w:hAnsi="Times New Roman"/>
          <w:sz w:val="24"/>
        </w:rPr>
        <w:footnoteReference w:id="125"/>
      </w:r>
      <w:r w:rsidRPr="00D71897">
        <w:rPr>
          <w:rFonts w:ascii="Times New Roman" w:hAnsi="Times New Roman"/>
        </w:rPr>
        <w:t xml:space="preserve">. </w:t>
      </w:r>
    </w:p>
    <w:p w14:paraId="16E53893"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proposition also sits comfortably with the operation of the "proviso" to</w:t>
      </w:r>
      <w:r>
        <w:rPr>
          <w:rFonts w:ascii="Times New Roman" w:hAnsi="Times New Roman"/>
        </w:rPr>
        <w:t> </w:t>
      </w:r>
      <w:r w:rsidRPr="00D71897">
        <w:rPr>
          <w:rFonts w:ascii="Times New Roman" w:hAnsi="Times New Roman"/>
        </w:rPr>
        <w:t>the common form criminal appeal provisions</w:t>
      </w:r>
      <w:r w:rsidRPr="00D71897">
        <w:rPr>
          <w:rStyle w:val="FootnoteReference"/>
          <w:rFonts w:ascii="Times New Roman" w:hAnsi="Times New Roman"/>
          <w:sz w:val="24"/>
        </w:rPr>
        <w:footnoteReference w:id="126"/>
      </w:r>
      <w:r w:rsidRPr="00D71897">
        <w:rPr>
          <w:rFonts w:ascii="Times New Roman" w:hAnsi="Times New Roman"/>
        </w:rPr>
        <w:t>. That is, in short, once an appellant has made out an error or irregularity under the second or third appeal criterion – namely, a wrong decision on a question of law or a miscarriage of justice – the</w:t>
      </w:r>
      <w:r>
        <w:rPr>
          <w:rFonts w:ascii="Times New Roman" w:hAnsi="Times New Roman"/>
        </w:rPr>
        <w:t> </w:t>
      </w:r>
      <w:r w:rsidRPr="00D71897">
        <w:rPr>
          <w:rFonts w:ascii="Times New Roman" w:hAnsi="Times New Roman"/>
        </w:rPr>
        <w:t>onus shifts to the Crown to satisfy the court that there has been no substantial miscarriage of justice</w:t>
      </w:r>
      <w:r w:rsidRPr="00D71897">
        <w:rPr>
          <w:rStyle w:val="FootnoteReference"/>
          <w:rFonts w:ascii="Times New Roman" w:hAnsi="Times New Roman"/>
          <w:sz w:val="24"/>
        </w:rPr>
        <w:footnoteReference w:id="127"/>
      </w:r>
      <w:r w:rsidRPr="00D71897">
        <w:rPr>
          <w:rFonts w:ascii="Times New Roman" w:hAnsi="Times New Roman"/>
        </w:rPr>
        <w:t xml:space="preserve">. </w:t>
      </w:r>
    </w:p>
    <w:p w14:paraId="72B8302C" w14:textId="77777777" w:rsidR="007B5A1E" w:rsidRPr="00D71897" w:rsidRDefault="007B5A1E" w:rsidP="00D71897">
      <w:pPr>
        <w:pStyle w:val="HeadingL1"/>
        <w:spacing w:after="260" w:line="280" w:lineRule="exact"/>
        <w:ind w:right="0"/>
        <w:jc w:val="both"/>
        <w:rPr>
          <w:rFonts w:ascii="Times New Roman" w:hAnsi="Times New Roman"/>
        </w:rPr>
      </w:pPr>
      <w:r w:rsidRPr="00D71897">
        <w:rPr>
          <w:rFonts w:ascii="Times New Roman" w:hAnsi="Times New Roman"/>
        </w:rPr>
        <w:t>Other areas</w:t>
      </w:r>
    </w:p>
    <w:p w14:paraId="1F1D00D9"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Other areas of law are replete with examples of the onus being placed on, or shifted to, one party once a prima facie case has been made out by another party. This can be seen in cases concerning, among others: </w:t>
      </w:r>
    </w:p>
    <w:p w14:paraId="36B637DC"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lastRenderedPageBreak/>
        <w:t>(1)</w:t>
      </w:r>
      <w:r w:rsidRPr="00D71897">
        <w:rPr>
          <w:rFonts w:ascii="Times New Roman" w:hAnsi="Times New Roman"/>
        </w:rPr>
        <w:tab/>
        <w:t>negligence, where a defendant who seeks to argue that a plaintiff's injury was caused by a condition which pre-existed a negligent act bears the onus of proof</w:t>
      </w:r>
      <w:r w:rsidRPr="00D71897">
        <w:rPr>
          <w:rStyle w:val="FootnoteReference"/>
          <w:rFonts w:ascii="Times New Roman" w:hAnsi="Times New Roman"/>
          <w:sz w:val="24"/>
        </w:rPr>
        <w:footnoteReference w:id="128"/>
      </w:r>
      <w:r w:rsidRPr="00D71897">
        <w:rPr>
          <w:rFonts w:ascii="Times New Roman" w:hAnsi="Times New Roman"/>
        </w:rPr>
        <w:t xml:space="preserve">; </w:t>
      </w:r>
    </w:p>
    <w:p w14:paraId="0789C127"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(2)</w:t>
      </w:r>
      <w:r w:rsidRPr="00D71897">
        <w:rPr>
          <w:rFonts w:ascii="Times New Roman" w:hAnsi="Times New Roman"/>
        </w:rPr>
        <w:tab/>
        <w:t>unlawful imprisonment, where, if imprisonment is found to have occurred, the defendant has to justify the lawfulness of the imprisonment</w:t>
      </w:r>
      <w:r w:rsidRPr="00D71897">
        <w:rPr>
          <w:rStyle w:val="FootnoteReference"/>
          <w:rFonts w:ascii="Times New Roman" w:hAnsi="Times New Roman"/>
          <w:sz w:val="24"/>
        </w:rPr>
        <w:footnoteReference w:id="129"/>
      </w:r>
      <w:r w:rsidRPr="00D71897">
        <w:rPr>
          <w:rFonts w:ascii="Times New Roman" w:hAnsi="Times New Roman"/>
        </w:rPr>
        <w:t xml:space="preserve">; </w:t>
      </w:r>
    </w:p>
    <w:p w14:paraId="4AC39A8F"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(3)</w:t>
      </w:r>
      <w:r w:rsidRPr="00D71897">
        <w:rPr>
          <w:rFonts w:ascii="Times New Roman" w:hAnsi="Times New Roman"/>
        </w:rPr>
        <w:tab/>
        <w:t>fraudulent misrepresentation, where, if a false statement is made with the intention of inducing a person to enter a contract and that person enters that contract, the defendant bears the onus of disproving inducement</w:t>
      </w:r>
      <w:r w:rsidRPr="00D71897">
        <w:rPr>
          <w:rStyle w:val="FootnoteReference"/>
          <w:rFonts w:ascii="Times New Roman" w:hAnsi="Times New Roman"/>
          <w:sz w:val="24"/>
        </w:rPr>
        <w:footnoteReference w:id="130"/>
      </w:r>
      <w:r w:rsidRPr="00D71897">
        <w:rPr>
          <w:rFonts w:ascii="Times New Roman" w:hAnsi="Times New Roman"/>
        </w:rPr>
        <w:t xml:space="preserve">; </w:t>
      </w:r>
    </w:p>
    <w:p w14:paraId="4D0D2BED" w14:textId="77777777" w:rsidR="007B5A1E" w:rsidRPr="00D71897" w:rsidRDefault="007B5A1E" w:rsidP="00D71897">
      <w:pPr>
        <w:pStyle w:val="NormalBody"/>
        <w:spacing w:after="260" w:line="280" w:lineRule="exact"/>
        <w:ind w:left="720" w:right="0" w:hanging="720"/>
        <w:jc w:val="both"/>
        <w:rPr>
          <w:rFonts w:ascii="Times New Roman" w:hAnsi="Times New Roman"/>
        </w:rPr>
      </w:pPr>
      <w:bookmarkStart w:id="1" w:name="_Hlk66864412"/>
      <w:r w:rsidRPr="00D71897">
        <w:rPr>
          <w:rFonts w:ascii="Times New Roman" w:hAnsi="Times New Roman"/>
        </w:rPr>
        <w:t>(4)</w:t>
      </w:r>
      <w:r w:rsidRPr="00D71897">
        <w:rPr>
          <w:rFonts w:ascii="Times New Roman" w:hAnsi="Times New Roman"/>
        </w:rPr>
        <w:tab/>
        <w:t xml:space="preserve">bailment, </w:t>
      </w:r>
      <w:bookmarkEnd w:id="1"/>
      <w:r w:rsidRPr="00D71897">
        <w:rPr>
          <w:rFonts w:ascii="Times New Roman" w:hAnsi="Times New Roman"/>
        </w:rPr>
        <w:t>where, once a bailor establishes that goods bailed pursuant to a contract of bailment were lost or damaged, a bailee must disprove negligence</w:t>
      </w:r>
      <w:r w:rsidRPr="00D71897">
        <w:rPr>
          <w:rStyle w:val="FootnoteReference"/>
          <w:rFonts w:ascii="Times New Roman" w:hAnsi="Times New Roman"/>
          <w:sz w:val="24"/>
        </w:rPr>
        <w:footnoteReference w:id="131"/>
      </w:r>
      <w:r w:rsidRPr="00D71897">
        <w:rPr>
          <w:rFonts w:ascii="Times New Roman" w:hAnsi="Times New Roman"/>
        </w:rPr>
        <w:t xml:space="preserve">; </w:t>
      </w:r>
    </w:p>
    <w:p w14:paraId="0D5B03FC"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(5)</w:t>
      </w:r>
      <w:r w:rsidRPr="00D71897">
        <w:rPr>
          <w:rFonts w:ascii="Times New Roman" w:hAnsi="Times New Roman"/>
        </w:rPr>
        <w:tab/>
        <w:t>the admissibility of improperly or illegally obtained evidence, where, if a party seeking to exclude evidence establishes that the evidence was improperly or illegally obtained, the party seeking its admission must persuade the court that</w:t>
      </w:r>
      <w:r w:rsidRPr="00D71897" w:rsidDel="001B39BD">
        <w:rPr>
          <w:rFonts w:ascii="Times New Roman" w:hAnsi="Times New Roman"/>
        </w:rPr>
        <w:t xml:space="preserve"> </w:t>
      </w:r>
      <w:r w:rsidRPr="00D71897">
        <w:rPr>
          <w:rFonts w:ascii="Times New Roman" w:hAnsi="Times New Roman"/>
        </w:rPr>
        <w:t>the desirability of admission outweighs any undesirability</w:t>
      </w:r>
      <w:r w:rsidRPr="00D71897">
        <w:rPr>
          <w:rStyle w:val="FootnoteReference"/>
          <w:rFonts w:ascii="Times New Roman" w:hAnsi="Times New Roman"/>
          <w:sz w:val="24"/>
        </w:rPr>
        <w:footnoteReference w:id="132"/>
      </w:r>
      <w:r w:rsidRPr="00D71897">
        <w:rPr>
          <w:rFonts w:ascii="Times New Roman" w:hAnsi="Times New Roman"/>
        </w:rPr>
        <w:t>; and</w:t>
      </w:r>
    </w:p>
    <w:p w14:paraId="77B488B3"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(6)</w:t>
      </w:r>
      <w:r w:rsidRPr="00D71897">
        <w:rPr>
          <w:rFonts w:ascii="Times New Roman" w:hAnsi="Times New Roman"/>
        </w:rPr>
        <w:tab/>
        <w:t xml:space="preserve">nuisance, where the onus lies on a defendant relying on the defence of statutory authority to establish that the nuisance was authorised by statute </w:t>
      </w:r>
      <w:r w:rsidRPr="00D71897">
        <w:rPr>
          <w:rFonts w:ascii="Times New Roman" w:hAnsi="Times New Roman"/>
        </w:rPr>
        <w:lastRenderedPageBreak/>
        <w:t>and was an inevitable consequence of the performance of a statutory activity or duty or the exercise of a statutory power</w:t>
      </w:r>
      <w:r w:rsidRPr="00D71897">
        <w:rPr>
          <w:rStyle w:val="FootnoteReference"/>
          <w:rFonts w:ascii="Times New Roman" w:hAnsi="Times New Roman"/>
          <w:sz w:val="24"/>
        </w:rPr>
        <w:footnoteReference w:id="133"/>
      </w:r>
      <w:r w:rsidRPr="00D71897">
        <w:rPr>
          <w:rFonts w:ascii="Times New Roman" w:hAnsi="Times New Roman"/>
        </w:rPr>
        <w:t>.</w:t>
      </w:r>
    </w:p>
    <w:p w14:paraId="63ED3708"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None of this is exhaustive. It reflects what was said in </w:t>
      </w:r>
      <w:r w:rsidRPr="00D71897">
        <w:rPr>
          <w:rFonts w:ascii="Times New Roman" w:hAnsi="Times New Roman"/>
          <w:i/>
        </w:rPr>
        <w:t>Djordjevitch</w:t>
      </w:r>
      <w:r w:rsidRPr="00D71897">
        <w:rPr>
          <w:rStyle w:val="FootnoteReference"/>
          <w:rFonts w:ascii="Times New Roman" w:hAnsi="Times New Roman"/>
          <w:sz w:val="24"/>
        </w:rPr>
        <w:footnoteReference w:id="134"/>
      </w:r>
      <w:r w:rsidRPr="00D71897">
        <w:rPr>
          <w:rFonts w:ascii="Times New Roman" w:hAnsi="Times New Roman"/>
        </w:rPr>
        <w:t>, as</w:t>
      </w:r>
      <w:r>
        <w:rPr>
          <w:rFonts w:ascii="Times New Roman" w:hAnsi="Times New Roman"/>
        </w:rPr>
        <w:t> </w:t>
      </w:r>
      <w:r w:rsidRPr="00D71897">
        <w:rPr>
          <w:rFonts w:ascii="Times New Roman" w:hAnsi="Times New Roman"/>
        </w:rPr>
        <w:t xml:space="preserve">explained above: namely, that the ordinary rule is for the burden of proof to be allocated to the party seeking to rely on an "additional or special matter" in support of a ground of defeasance or exclusion to deny a right to another party in a particular case. </w:t>
      </w:r>
    </w:p>
    <w:p w14:paraId="1E651F6D" w14:textId="77777777" w:rsidR="007B5A1E" w:rsidRPr="00D71897" w:rsidRDefault="007B5A1E" w:rsidP="00D71897">
      <w:pPr>
        <w:pStyle w:val="HeadingL1"/>
        <w:spacing w:after="260" w:line="280" w:lineRule="exact"/>
        <w:ind w:right="0"/>
        <w:jc w:val="both"/>
        <w:rPr>
          <w:rFonts w:ascii="Times New Roman" w:hAnsi="Times New Roman"/>
        </w:rPr>
      </w:pPr>
      <w:r w:rsidRPr="00D71897">
        <w:rPr>
          <w:rFonts w:ascii="Times New Roman" w:hAnsi="Times New Roman"/>
        </w:rPr>
        <w:t>Practical considerations</w:t>
      </w:r>
    </w:p>
    <w:p w14:paraId="28735331"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Requiring a decision</w:t>
      </w:r>
      <w:r w:rsidRPr="00D71897">
        <w:rPr>
          <w:rFonts w:ascii="Times New Roman" w:hAnsi="Times New Roman"/>
        </w:rPr>
        <w:noBreakHyphen/>
        <w:t>maker to establish that compliance with a statutory condition of an exercise of power could not have made a difference to the decision that was made in the circumstances in which the decision was made also is practical and works practicably. The reverse is not and does not. There are three independent, but related, practical considerations.</w:t>
      </w:r>
    </w:p>
    <w:p w14:paraId="6B4B5A49"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First, predicting how the outcome of a decision-making process might have differed if an error had not occurred is not an easy task even for those legally trained. That difficulty was recognised in </w:t>
      </w:r>
      <w:r w:rsidRPr="00D71897">
        <w:rPr>
          <w:rFonts w:ascii="Times New Roman" w:hAnsi="Times New Roman"/>
          <w:i/>
        </w:rPr>
        <w:t>Stead</w:t>
      </w:r>
      <w:r w:rsidRPr="00D71897">
        <w:rPr>
          <w:rFonts w:ascii="Times New Roman" w:hAnsi="Times New Roman"/>
        </w:rPr>
        <w:t xml:space="preserve"> when this Court said that "[i]t is no easy task for a court of appeal to satisfy itself that what appears on its face to have been a denial of natural justice could have had no bearing on the outcome of the trial of an issue of fact. And this difficulty is magnified when the issue concerns the acceptance or rejection of the testimony of a witness at the trial"</w:t>
      </w:r>
      <w:r w:rsidRPr="00D71897">
        <w:rPr>
          <w:rStyle w:val="FootnoteReference"/>
          <w:rFonts w:ascii="Times New Roman" w:hAnsi="Times New Roman"/>
          <w:sz w:val="24"/>
        </w:rPr>
        <w:footnoteReference w:id="135"/>
      </w:r>
      <w:r w:rsidRPr="00D71897">
        <w:rPr>
          <w:rFonts w:ascii="Times New Roman" w:hAnsi="Times New Roman"/>
        </w:rPr>
        <w:t>. In </w:t>
      </w:r>
      <w:r w:rsidRPr="00D71897">
        <w:rPr>
          <w:rFonts w:ascii="Times New Roman" w:hAnsi="Times New Roman"/>
          <w:i/>
        </w:rPr>
        <w:t>SZQGA v Minister for Immigration and Citizenship</w:t>
      </w:r>
      <w:r w:rsidRPr="00D71897">
        <w:rPr>
          <w:rStyle w:val="FootnoteReference"/>
          <w:rFonts w:ascii="Times New Roman" w:hAnsi="Times New Roman"/>
          <w:sz w:val="24"/>
        </w:rPr>
        <w:footnoteReference w:id="136"/>
      </w:r>
      <w:r w:rsidRPr="00D71897">
        <w:rPr>
          <w:rFonts w:ascii="Times New Roman" w:hAnsi="Times New Roman"/>
        </w:rPr>
        <w:t>, Barker J explained that predicting how the outcome of a decision-making process might have differed if an error had not occurred is fraught. His Honour put the point in these terms</w:t>
      </w:r>
      <w:r w:rsidRPr="00D71897">
        <w:rPr>
          <w:rStyle w:val="FootnoteReference"/>
          <w:rFonts w:ascii="Times New Roman" w:hAnsi="Times New Roman"/>
          <w:sz w:val="24"/>
        </w:rPr>
        <w:footnoteReference w:id="137"/>
      </w:r>
      <w:r w:rsidRPr="00D71897">
        <w:rPr>
          <w:rFonts w:ascii="Times New Roman" w:hAnsi="Times New Roman"/>
        </w:rPr>
        <w:t>:</w:t>
      </w:r>
    </w:p>
    <w:p w14:paraId="44D39A68" w14:textId="77777777" w:rsidR="007B5A1E" w:rsidRDefault="007B5A1E" w:rsidP="00D71897">
      <w:pPr>
        <w:pStyle w:val="leftright"/>
        <w:spacing w:before="0" w:after="260" w:line="280" w:lineRule="exact"/>
        <w:ind w:right="0"/>
        <w:jc w:val="both"/>
        <w:rPr>
          <w:rFonts w:ascii="Times New Roman" w:hAnsi="Times New Roman"/>
        </w:rPr>
      </w:pPr>
      <w:r w:rsidRPr="00D71897">
        <w:rPr>
          <w:rFonts w:ascii="Times New Roman" w:hAnsi="Times New Roman"/>
        </w:rPr>
        <w:t>"It will often be extremely difficult to say what decision might have been made by an administrative decision</w:t>
      </w:r>
      <w:r w:rsidRPr="00D71897">
        <w:rPr>
          <w:rFonts w:ascii="Times New Roman" w:hAnsi="Times New Roman"/>
        </w:rPr>
        <w:noBreakHyphen/>
        <w:t>maker if there had been no denial of procedural fairness in a given case – and it is not for the review court to speculate. To try to reconstruct a decision</w:t>
      </w:r>
      <w:r w:rsidRPr="00D71897">
        <w:rPr>
          <w:rFonts w:ascii="Times New Roman" w:hAnsi="Times New Roman"/>
        </w:rPr>
        <w:noBreakHyphen/>
        <w:t xml:space="preserve">making process or to rework the apparent basis upon which a decision has been made, in order to state with </w:t>
      </w:r>
      <w:r w:rsidRPr="00D71897">
        <w:rPr>
          <w:rFonts w:ascii="Times New Roman" w:hAnsi="Times New Roman"/>
        </w:rPr>
        <w:lastRenderedPageBreak/>
        <w:t xml:space="preserve">any confidence what the result might have been or would have been but for denial of procedural fairness, is likely to be a speculative and unproductive task and certainly one likely to lead to injustice, because the judicial reviewer is not equipped and is not charged with responsibility to make the sort of administrative decision that the primary decision-maker has been set up to determine." </w:t>
      </w:r>
    </w:p>
    <w:p w14:paraId="04D7533D"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observations apply with greater force if the task must be undertaken by the applicant (and especially in respect of unrepresented applicants). As was explained in </w:t>
      </w:r>
      <w:r w:rsidRPr="00D71897">
        <w:rPr>
          <w:rFonts w:ascii="Times New Roman" w:hAnsi="Times New Roman"/>
          <w:i/>
        </w:rPr>
        <w:t>ABT17 v Minister for Immigration and Border Protection</w:t>
      </w:r>
      <w:r w:rsidRPr="00D71897">
        <w:rPr>
          <w:rStyle w:val="FootnoteReference"/>
          <w:rFonts w:ascii="Times New Roman" w:hAnsi="Times New Roman"/>
          <w:sz w:val="24"/>
        </w:rPr>
        <w:footnoteReference w:id="138"/>
      </w:r>
      <w:r w:rsidRPr="00D71897">
        <w:rPr>
          <w:rFonts w:ascii="Times New Roman" w:hAnsi="Times New Roman"/>
        </w:rPr>
        <w:t xml:space="preserve">: </w:t>
      </w:r>
    </w:p>
    <w:p w14:paraId="53A0FB43" w14:textId="77777777" w:rsidR="007B5A1E" w:rsidRDefault="007B5A1E" w:rsidP="00D71897">
      <w:pPr>
        <w:pStyle w:val="LRIndentafterHC"/>
        <w:spacing w:before="0" w:after="260" w:line="280" w:lineRule="exact"/>
        <w:ind w:right="0"/>
        <w:jc w:val="both"/>
        <w:rPr>
          <w:rFonts w:ascii="Times New Roman" w:hAnsi="Times New Roman"/>
        </w:rPr>
      </w:pPr>
      <w:r w:rsidRPr="00D71897">
        <w:rPr>
          <w:rFonts w:ascii="Times New Roman" w:hAnsi="Times New Roman"/>
        </w:rPr>
        <w:t>"To require an individual to show that executive power –</w:t>
      </w:r>
      <w:r>
        <w:rPr>
          <w:rFonts w:ascii="Times New Roman" w:hAnsi="Times New Roman"/>
        </w:rPr>
        <w:t xml:space="preserve"> </w:t>
      </w:r>
      <w:r w:rsidRPr="00D71897">
        <w:rPr>
          <w:rFonts w:ascii="Times New Roman" w:hAnsi="Times New Roman"/>
        </w:rPr>
        <w:t>public</w:t>
      </w:r>
      <w:r>
        <w:rPr>
          <w:rFonts w:ascii="Times New Roman" w:hAnsi="Times New Roman"/>
        </w:rPr>
        <w:t> </w:t>
      </w:r>
      <w:r w:rsidRPr="00D71897">
        <w:rPr>
          <w:rFonts w:ascii="Times New Roman" w:hAnsi="Times New Roman"/>
        </w:rPr>
        <w:t>power – would have been exercised differently if preconditions on the exercise of that power had been met is to fail to understand [the</w:t>
      </w:r>
      <w:r>
        <w:rPr>
          <w:rFonts w:ascii="Times New Roman" w:hAnsi="Times New Roman"/>
        </w:rPr>
        <w:t> </w:t>
      </w:r>
      <w:r w:rsidRPr="00D71897">
        <w:rPr>
          <w:rFonts w:ascii="Times New Roman" w:hAnsi="Times New Roman"/>
        </w:rPr>
        <w:t>constitutional relationships between Parliament, the Executive and courts] and the role of judicial power. It places the onus on an individual to show why public power should be re</w:t>
      </w:r>
      <w:r w:rsidRPr="00D71897">
        <w:rPr>
          <w:rFonts w:ascii="Times New Roman" w:hAnsi="Times New Roman"/>
        </w:rPr>
        <w:noBreakHyphen/>
        <w:t xml:space="preserve">exercised, rather than protecting that individual from exercises of public power which are contrary to the law. </w:t>
      </w:r>
      <w:r w:rsidRPr="00D71897">
        <w:rPr>
          <w:rFonts w:ascii="Times New Roman" w:hAnsi="Times New Roman"/>
          <w:i/>
        </w:rPr>
        <w:t>And, it must be observed, at least in some cases it places the onus on an individual to show why public power should be re-exercised, without the necessary facts, or the ability to obtain the necessary facts</w:t>
      </w:r>
      <w:r w:rsidRPr="00D71897">
        <w:rPr>
          <w:rFonts w:ascii="Times New Roman" w:hAnsi="Times New Roman"/>
        </w:rPr>
        <w:t>." (emphasis</w:t>
      </w:r>
      <w:r>
        <w:rPr>
          <w:rFonts w:ascii="Times New Roman" w:hAnsi="Times New Roman"/>
        </w:rPr>
        <w:t> </w:t>
      </w:r>
      <w:r w:rsidRPr="00D71897">
        <w:rPr>
          <w:rFonts w:ascii="Times New Roman" w:hAnsi="Times New Roman"/>
        </w:rPr>
        <w:t>added)</w:t>
      </w:r>
    </w:p>
    <w:p w14:paraId="61D42AB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That leads to the second, related, consideration. The decision</w:t>
      </w:r>
      <w:r w:rsidRPr="00D71897">
        <w:rPr>
          <w:rFonts w:ascii="Times New Roman" w:hAnsi="Times New Roman"/>
        </w:rPr>
        <w:noBreakHyphen/>
        <w:t>maker, the</w:t>
      </w:r>
      <w:r>
        <w:rPr>
          <w:rFonts w:ascii="Times New Roman" w:hAnsi="Times New Roman"/>
        </w:rPr>
        <w:t> </w:t>
      </w:r>
      <w:r w:rsidRPr="00D71897">
        <w:rPr>
          <w:rFonts w:ascii="Times New Roman" w:hAnsi="Times New Roman"/>
        </w:rPr>
        <w:t>person whose decision is in issue, is "free to assist"</w:t>
      </w:r>
      <w:r w:rsidRPr="00D71897">
        <w:rPr>
          <w:rStyle w:val="FootnoteReference"/>
          <w:rFonts w:ascii="Times New Roman" w:hAnsi="Times New Roman"/>
          <w:sz w:val="24"/>
        </w:rPr>
        <w:footnoteReference w:id="139"/>
      </w:r>
      <w:r w:rsidRPr="00D71897">
        <w:rPr>
          <w:rFonts w:ascii="Times New Roman" w:hAnsi="Times New Roman"/>
        </w:rPr>
        <w:t xml:space="preserve"> in discharging the onus of establishing why the absence of the identified error, their error, would not have led to a different result. The respondent in a judicial review application enjoys distinct advantages as the decision</w:t>
      </w:r>
      <w:r w:rsidRPr="00D71897">
        <w:rPr>
          <w:rFonts w:ascii="Times New Roman" w:hAnsi="Times New Roman"/>
        </w:rPr>
        <w:noBreakHyphen/>
        <w:t>maker responsible for the decision</w:t>
      </w:r>
      <w:r w:rsidRPr="00D71897">
        <w:rPr>
          <w:rFonts w:ascii="Times New Roman" w:hAnsi="Times New Roman"/>
        </w:rPr>
        <w:noBreakHyphen/>
        <w:t>making process which has led to the impugned decision. The respondent will have access to the departmental files and records relevant to the impugned decision. Indeed, in</w:t>
      </w:r>
      <w:r>
        <w:rPr>
          <w:rFonts w:ascii="Times New Roman" w:hAnsi="Times New Roman"/>
        </w:rPr>
        <w:t> </w:t>
      </w:r>
      <w:r w:rsidRPr="00D71897">
        <w:rPr>
          <w:rFonts w:ascii="Times New Roman" w:hAnsi="Times New Roman"/>
        </w:rPr>
        <w:t xml:space="preserve">a case of the kind here in issue, where a tribunal has committed an error by failing to disclose the existence of a notification under s 438 of the </w:t>
      </w:r>
      <w:r w:rsidRPr="00D71897">
        <w:rPr>
          <w:rFonts w:ascii="Times New Roman" w:hAnsi="Times New Roman"/>
          <w:i/>
        </w:rPr>
        <w:t>Migration Act</w:t>
      </w:r>
      <w:r>
        <w:rPr>
          <w:rFonts w:ascii="Times New Roman" w:hAnsi="Times New Roman"/>
          <w:i/>
        </w:rPr>
        <w:t> </w:t>
      </w:r>
      <w:r w:rsidRPr="00D71897">
        <w:rPr>
          <w:rFonts w:ascii="Times New Roman" w:hAnsi="Times New Roman"/>
          <w:i/>
        </w:rPr>
        <w:t xml:space="preserve">1958 </w:t>
      </w:r>
      <w:r w:rsidRPr="00D71897">
        <w:rPr>
          <w:rFonts w:ascii="Times New Roman" w:hAnsi="Times New Roman"/>
        </w:rPr>
        <w:t xml:space="preserve">(Cth) to an applicant, the Minister </w:t>
      </w:r>
      <w:r w:rsidRPr="00D71897" w:rsidDel="001F062E">
        <w:rPr>
          <w:rFonts w:ascii="Times New Roman" w:hAnsi="Times New Roman"/>
        </w:rPr>
        <w:t xml:space="preserve">is </w:t>
      </w:r>
      <w:r w:rsidRPr="00D71897">
        <w:rPr>
          <w:rFonts w:ascii="Times New Roman" w:hAnsi="Times New Roman"/>
        </w:rPr>
        <w:t>usually the only party to the dispute capable of adducing evidence that the error has occurred</w:t>
      </w:r>
      <w:r w:rsidRPr="00D71897">
        <w:rPr>
          <w:rStyle w:val="FootnoteReference"/>
          <w:rFonts w:ascii="Times New Roman" w:hAnsi="Times New Roman"/>
          <w:sz w:val="24"/>
        </w:rPr>
        <w:footnoteReference w:id="140"/>
      </w:r>
      <w:r w:rsidRPr="00D71897">
        <w:rPr>
          <w:rFonts w:ascii="Times New Roman" w:hAnsi="Times New Roman"/>
        </w:rPr>
        <w:t xml:space="preserve">. This observation should not be taken to suggest that a tribunal on judicial review of one of its </w:t>
      </w:r>
      <w:r w:rsidRPr="00D71897">
        <w:rPr>
          <w:rFonts w:ascii="Times New Roman" w:hAnsi="Times New Roman"/>
        </w:rPr>
        <w:lastRenderedPageBreak/>
        <w:t>decisions should become a "protagonist" in the judicial review proceeding</w:t>
      </w:r>
      <w:r w:rsidRPr="00D71897">
        <w:rPr>
          <w:rStyle w:val="FootnoteReference"/>
          <w:rFonts w:ascii="Times New Roman" w:hAnsi="Times New Roman"/>
          <w:sz w:val="24"/>
        </w:rPr>
        <w:footnoteReference w:id="141"/>
      </w:r>
      <w:r w:rsidRPr="00D71897">
        <w:rPr>
          <w:rFonts w:ascii="Times New Roman" w:hAnsi="Times New Roman"/>
        </w:rPr>
        <w:t>. Rather, it</w:t>
      </w:r>
      <w:r>
        <w:rPr>
          <w:rFonts w:ascii="Times New Roman" w:hAnsi="Times New Roman"/>
        </w:rPr>
        <w:t> </w:t>
      </w:r>
      <w:r w:rsidRPr="00D71897">
        <w:rPr>
          <w:rFonts w:ascii="Times New Roman" w:hAnsi="Times New Roman"/>
        </w:rPr>
        <w:t>recognises that, in law and effect, where an administrative tribunal has made a decision in substitution of the decision of the primary administrative decision</w:t>
      </w:r>
      <w:r>
        <w:rPr>
          <w:rFonts w:ascii="Times New Roman" w:hAnsi="Times New Roman"/>
        </w:rPr>
        <w:noBreakHyphen/>
      </w:r>
      <w:r w:rsidRPr="00D71897">
        <w:rPr>
          <w:rFonts w:ascii="Times New Roman" w:hAnsi="Times New Roman"/>
        </w:rPr>
        <w:t>maker, that decision "becomes the decision of the Executive Government"</w:t>
      </w:r>
      <w:r w:rsidRPr="00D71897">
        <w:rPr>
          <w:rStyle w:val="FootnoteReference"/>
          <w:rFonts w:ascii="Times New Roman" w:hAnsi="Times New Roman"/>
          <w:sz w:val="24"/>
        </w:rPr>
        <w:footnoteReference w:id="142"/>
      </w:r>
      <w:r w:rsidRPr="00D71897">
        <w:rPr>
          <w:rFonts w:ascii="Times New Roman" w:hAnsi="Times New Roman"/>
        </w:rPr>
        <w:t>. The tribunal stands in the shoes of the decision-maker whose decision is under review</w:t>
      </w:r>
      <w:r w:rsidRPr="00D71897">
        <w:rPr>
          <w:rStyle w:val="FootnoteReference"/>
          <w:rFonts w:ascii="Times New Roman" w:hAnsi="Times New Roman"/>
          <w:sz w:val="24"/>
        </w:rPr>
        <w:footnoteReference w:id="143"/>
      </w:r>
      <w:r w:rsidRPr="00D71897">
        <w:rPr>
          <w:rFonts w:ascii="Times New Roman" w:hAnsi="Times New Roman"/>
        </w:rPr>
        <w:t xml:space="preserve">. </w:t>
      </w:r>
    </w:p>
    <w:p w14:paraId="237734C7"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advantages enjoyed by public authorities and officers have been explained in other contexts when addressing the fact that the onus of proof is on the decision-maker. In </w:t>
      </w:r>
      <w:r w:rsidRPr="00D71897">
        <w:rPr>
          <w:rFonts w:ascii="Times New Roman" w:hAnsi="Times New Roman"/>
          <w:i/>
        </w:rPr>
        <w:t>R v Southwark London Borough Council; Ex parte Ryder</w:t>
      </w:r>
      <w:r w:rsidRPr="00D71897">
        <w:rPr>
          <w:rStyle w:val="FootnoteReference"/>
          <w:rFonts w:ascii="Times New Roman" w:hAnsi="Times New Roman"/>
          <w:sz w:val="24"/>
        </w:rPr>
        <w:footnoteReference w:id="144"/>
      </w:r>
      <w:r w:rsidRPr="00D71897">
        <w:rPr>
          <w:rFonts w:ascii="Times New Roman" w:hAnsi="Times New Roman"/>
        </w:rPr>
        <w:t>, Dyson J emphasised that the decision-maker whose decision was impugned in that case said that she took a point into account that "[p]rima facie ... was irrelevant", and "[i]n the absence of details as to how and why [the decision-maker] took it into account",</w:t>
      </w:r>
      <w:r w:rsidRPr="00D71897">
        <w:rPr>
          <w:rFonts w:ascii="Times New Roman" w:hAnsi="Times New Roman"/>
          <w:i/>
        </w:rPr>
        <w:t xml:space="preserve"> </w:t>
      </w:r>
      <w:r w:rsidRPr="00D71897">
        <w:rPr>
          <w:rFonts w:ascii="Times New Roman" w:hAnsi="Times New Roman"/>
        </w:rPr>
        <w:t>his Lordship was "driven to conclude that [the decision-maker] may well have relied upon it in a material sense". Although Dyson J did not expressly refer to matters of practicality in his Lordship's decision, it is self</w:t>
      </w:r>
      <w:r w:rsidRPr="00D71897">
        <w:rPr>
          <w:rFonts w:ascii="Times New Roman" w:hAnsi="Times New Roman"/>
        </w:rPr>
        <w:noBreakHyphen/>
        <w:t xml:space="preserve">evident that if details about how and why a decision-maker took a particular matter into account were not set out in the reasons for a decision, then they would be solely within the knowledge of the decision-maker or, perhaps, in records held by the government. </w:t>
      </w:r>
    </w:p>
    <w:p w14:paraId="2F3073A9" w14:textId="680ACF30"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same basic proposition explains why the onus is on the decision</w:t>
      </w:r>
      <w:r w:rsidRPr="00D71897">
        <w:rPr>
          <w:rFonts w:ascii="Times New Roman" w:hAnsi="Times New Roman"/>
        </w:rPr>
        <w:noBreakHyphen/>
        <w:t>maker to demonstrate why a delay in making a decision is not an unreasonable delay. In</w:t>
      </w:r>
      <w:r>
        <w:rPr>
          <w:rFonts w:ascii="Times New Roman" w:hAnsi="Times New Roman"/>
        </w:rPr>
        <w:t> </w:t>
      </w:r>
      <w:r w:rsidRPr="00D71897">
        <w:rPr>
          <w:rFonts w:ascii="Times New Roman" w:hAnsi="Times New Roman"/>
        </w:rPr>
        <w:t>decisions on unreasonable delay as a ground of judicial review, considerable</w:t>
      </w:r>
      <w:r>
        <w:rPr>
          <w:rFonts w:ascii="Times New Roman" w:hAnsi="Times New Roman"/>
        </w:rPr>
        <w:t> </w:t>
      </w:r>
      <w:r w:rsidRPr="00D71897">
        <w:rPr>
          <w:rFonts w:ascii="Times New Roman" w:hAnsi="Times New Roman"/>
        </w:rPr>
        <w:t xml:space="preserve">weight is attached to the evidence offered by the public authority justifying the delay. In such cases, ordinarily the only evidence which could be adduced by an applicant relevant to materiality would be the </w:t>
      </w:r>
      <w:r w:rsidRPr="00D71897">
        <w:rPr>
          <w:rFonts w:ascii="Times New Roman" w:hAnsi="Times New Roman"/>
          <w:i/>
        </w:rPr>
        <w:t>fact</w:t>
      </w:r>
      <w:r w:rsidRPr="00D71897">
        <w:rPr>
          <w:rFonts w:ascii="Times New Roman" w:hAnsi="Times New Roman"/>
        </w:rPr>
        <w:t xml:space="preserve"> of the delay or length of time since lodging the relevant application. Determination of the matter would then depend on an inference or evaluative conclusion being drawn by a court on application for judicial review that the length of time was unreasonable. In</w:t>
      </w:r>
      <w:r>
        <w:rPr>
          <w:rFonts w:ascii="Times New Roman" w:hAnsi="Times New Roman"/>
        </w:rPr>
        <w:t> </w:t>
      </w:r>
      <w:r w:rsidRPr="00D71897">
        <w:rPr>
          <w:rFonts w:ascii="Times New Roman" w:hAnsi="Times New Roman"/>
        </w:rPr>
        <w:t xml:space="preserve">contrast, as is evident from the Privy Council's treatment of this issue in </w:t>
      </w:r>
      <w:r w:rsidRPr="00D71897">
        <w:rPr>
          <w:rFonts w:ascii="Times New Roman" w:hAnsi="Times New Roman"/>
          <w:i/>
        </w:rPr>
        <w:t xml:space="preserve">Oliveira </w:t>
      </w:r>
      <w:r w:rsidRPr="00D71897">
        <w:rPr>
          <w:rFonts w:ascii="Times New Roman" w:hAnsi="Times New Roman"/>
          <w:i/>
          <w:szCs w:val="18"/>
        </w:rPr>
        <w:t>v The Attorney General (Antigua and Barbuda)</w:t>
      </w:r>
      <w:r w:rsidRPr="00D71897">
        <w:rPr>
          <w:rStyle w:val="FootnoteReference"/>
          <w:rFonts w:ascii="Times New Roman" w:hAnsi="Times New Roman"/>
          <w:sz w:val="24"/>
          <w:szCs w:val="18"/>
        </w:rPr>
        <w:footnoteReference w:id="145"/>
      </w:r>
      <w:r w:rsidRPr="00D71897">
        <w:rPr>
          <w:rFonts w:ascii="Times New Roman" w:hAnsi="Times New Roman"/>
        </w:rPr>
        <w:t xml:space="preserve">, a public authority is in a </w:t>
      </w:r>
      <w:r w:rsidRPr="00D71897">
        <w:rPr>
          <w:rFonts w:ascii="Times New Roman" w:hAnsi="Times New Roman"/>
        </w:rPr>
        <w:lastRenderedPageBreak/>
        <w:t>position to adduce a range of relevant evidence, including documentary evidence that might (for instance) identify a backlog or unavoidable procedural delays. In</w:t>
      </w:r>
      <w:r w:rsidR="00C12C36">
        <w:rPr>
          <w:rFonts w:ascii="Times New Roman" w:hAnsi="Times New Roman"/>
        </w:rPr>
        <w:t> </w:t>
      </w:r>
      <w:r w:rsidRPr="00D71897">
        <w:rPr>
          <w:rFonts w:ascii="Times New Roman" w:hAnsi="Times New Roman"/>
        </w:rPr>
        <w:t>short, it is the decision</w:t>
      </w:r>
      <w:r w:rsidRPr="00D71897">
        <w:rPr>
          <w:rFonts w:ascii="Times New Roman" w:hAnsi="Times New Roman"/>
        </w:rPr>
        <w:noBreakHyphen/>
        <w:t>maker (not the individual in respect of whom the decision is made) who is capable of explaining the reason for a lengthy period of inactivity</w:t>
      </w:r>
      <w:r w:rsidRPr="00D71897">
        <w:rPr>
          <w:rStyle w:val="FootnoteReference"/>
          <w:rFonts w:ascii="Times New Roman" w:hAnsi="Times New Roman"/>
          <w:sz w:val="24"/>
        </w:rPr>
        <w:footnoteReference w:id="146"/>
      </w:r>
      <w:r w:rsidRPr="00D71897">
        <w:rPr>
          <w:rFonts w:ascii="Times New Roman" w:hAnsi="Times New Roman"/>
        </w:rPr>
        <w:t xml:space="preserve">. </w:t>
      </w:r>
    </w:p>
    <w:p w14:paraId="70D1EB2A"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Likewise, in respect of applications for habeas corpus, Allsop CJ has recently explained that the Minister and Department ultimately responsible for the conduct of prisons and detention centres should "be in a position to justify the lawful nature of a person's detention, at any time. If</w:t>
      </w:r>
      <w:r w:rsidRPr="00D71897">
        <w:rPr>
          <w:rFonts w:ascii="Times New Roman" w:hAnsi="Times New Roman"/>
          <w:i/>
        </w:rPr>
        <w:t xml:space="preserve"> </w:t>
      </w:r>
      <w:r w:rsidRPr="00D71897">
        <w:rPr>
          <w:rFonts w:ascii="Times New Roman" w:hAnsi="Times New Roman"/>
        </w:rPr>
        <w:t>that depends upon proof of someone's state of mind and the reasonable foundation for it that proof should be readily available whether from the officers who are responsible for the detention, or otherwise by reference to clear records"</w:t>
      </w:r>
      <w:r w:rsidRPr="00D71897">
        <w:rPr>
          <w:rStyle w:val="FootnoteReference"/>
          <w:rFonts w:ascii="Times New Roman" w:hAnsi="Times New Roman"/>
          <w:sz w:val="24"/>
        </w:rPr>
        <w:footnoteReference w:id="147"/>
      </w:r>
      <w:r w:rsidRPr="00D71897">
        <w:rPr>
          <w:rFonts w:ascii="Times New Roman" w:hAnsi="Times New Roman"/>
        </w:rPr>
        <w:t>.</w:t>
      </w:r>
    </w:p>
    <w:p w14:paraId="4037A31E"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In relation to the tort of unlawful imprisonment, courts have rejected the argument that the Commonwealth should not bear the "impracticality and inconvenience" of having to prove the existence and subsistence of the required state of mind on the part of the detaining officer or officers</w:t>
      </w:r>
      <w:r w:rsidRPr="00D71897">
        <w:rPr>
          <w:rStyle w:val="FootnoteReference"/>
          <w:rFonts w:ascii="Times New Roman" w:hAnsi="Times New Roman"/>
          <w:sz w:val="24"/>
        </w:rPr>
        <w:footnoteReference w:id="148"/>
      </w:r>
      <w:r w:rsidRPr="00D71897">
        <w:rPr>
          <w:rFonts w:ascii="Times New Roman" w:hAnsi="Times New Roman"/>
        </w:rPr>
        <w:t xml:space="preserve">. In </w:t>
      </w:r>
      <w:r w:rsidRPr="00D71897">
        <w:rPr>
          <w:rFonts w:ascii="Times New Roman" w:hAnsi="Times New Roman"/>
          <w:i/>
        </w:rPr>
        <w:t>Guo v The</w:t>
      </w:r>
      <w:r>
        <w:rPr>
          <w:rFonts w:ascii="Times New Roman" w:hAnsi="Times New Roman"/>
          <w:i/>
        </w:rPr>
        <w:t> </w:t>
      </w:r>
      <w:r w:rsidRPr="00D71897">
        <w:rPr>
          <w:rFonts w:ascii="Times New Roman" w:hAnsi="Times New Roman"/>
          <w:i/>
        </w:rPr>
        <w:t>Commonwealth</w:t>
      </w:r>
      <w:r w:rsidRPr="00D71897">
        <w:rPr>
          <w:rStyle w:val="FootnoteReference"/>
          <w:rFonts w:ascii="Times New Roman" w:hAnsi="Times New Roman"/>
          <w:sz w:val="24"/>
        </w:rPr>
        <w:footnoteReference w:id="149"/>
      </w:r>
      <w:r w:rsidRPr="00D71897">
        <w:rPr>
          <w:rFonts w:ascii="Times New Roman" w:hAnsi="Times New Roman"/>
        </w:rPr>
        <w:t xml:space="preserve">, Jagot J said "proof sufficient to establish the lawfulness of immigration detention involves matters of fact and of inference from fact. The Commonwealth is free to assist itself in discharging the onus of proof by the implementation of whatever systems, processes and safeguards it sees fit and by the calling of such evidence in any particular case as it sees fit." </w:t>
      </w:r>
    </w:p>
    <w:p w14:paraId="31798F4A"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Finally, there is a difficulty which is both legal and practical: the risk that a review court will ask itself the wrong question by erroneously considering for itself questions of fact which were determined by a primary decision-maker. This risk was adverted to by Dixon CJ in </w:t>
      </w:r>
      <w:r w:rsidRPr="00D71897">
        <w:rPr>
          <w:rFonts w:ascii="Times New Roman" w:hAnsi="Times New Roman"/>
          <w:i/>
        </w:rPr>
        <w:t>Balenzuela</w:t>
      </w:r>
      <w:r w:rsidRPr="00D71897">
        <w:rPr>
          <w:rStyle w:val="FootnoteReference"/>
          <w:rFonts w:ascii="Times New Roman" w:hAnsi="Times New Roman"/>
          <w:sz w:val="24"/>
        </w:rPr>
        <w:footnoteReference w:id="150"/>
      </w:r>
      <w:r w:rsidRPr="00D71897">
        <w:rPr>
          <w:rFonts w:ascii="Times New Roman" w:hAnsi="Times New Roman"/>
        </w:rPr>
        <w:t>:</w:t>
      </w:r>
    </w:p>
    <w:p w14:paraId="1F7AD81C" w14:textId="77777777" w:rsidR="007B5A1E" w:rsidRDefault="007B5A1E" w:rsidP="00D71897">
      <w:pPr>
        <w:pStyle w:val="leftright"/>
        <w:spacing w:before="0" w:after="260" w:line="280" w:lineRule="exact"/>
        <w:ind w:right="0"/>
        <w:jc w:val="both"/>
        <w:rPr>
          <w:rFonts w:ascii="Times New Roman" w:hAnsi="Times New Roman"/>
        </w:rPr>
      </w:pPr>
      <w:r w:rsidRPr="00D71897">
        <w:rPr>
          <w:rFonts w:ascii="Times New Roman" w:hAnsi="Times New Roman"/>
        </w:rPr>
        <w:t>"Care must be taken lest in exercising an authority to decide whether an error of law occurring at the trial is likely to have influenced the result, what</w:t>
      </w:r>
      <w:r>
        <w:rPr>
          <w:rFonts w:ascii="Times New Roman" w:hAnsi="Times New Roman"/>
        </w:rPr>
        <w:t> </w:t>
      </w:r>
      <w:r w:rsidRPr="00D71897">
        <w:rPr>
          <w:rFonts w:ascii="Times New Roman" w:hAnsi="Times New Roman"/>
        </w:rPr>
        <w:t xml:space="preserve">is really done is to examine the evidence as if the court were forming </w:t>
      </w:r>
      <w:r w:rsidRPr="00D71897">
        <w:rPr>
          <w:rFonts w:ascii="Times New Roman" w:hAnsi="Times New Roman"/>
        </w:rPr>
        <w:lastRenderedPageBreak/>
        <w:t>a conclusion of fact for itself. The basal distinction between the court's duty and the function of the jury cannot be confused in this way."</w:t>
      </w:r>
    </w:p>
    <w:p w14:paraId="46C175ED"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All the judges of this Court in </w:t>
      </w:r>
      <w:r w:rsidRPr="00D71897">
        <w:rPr>
          <w:rFonts w:ascii="Times New Roman" w:hAnsi="Times New Roman"/>
          <w:i/>
        </w:rPr>
        <w:t>SZMTA</w:t>
      </w:r>
      <w:r w:rsidRPr="00D71897">
        <w:rPr>
          <w:rFonts w:ascii="Times New Roman" w:hAnsi="Times New Roman"/>
        </w:rPr>
        <w:t xml:space="preserve"> were alive to the same possibility. Bell, Gageler and Keane JJ said that in the case of an invalid notification purportedly made under s 438 of the </w:t>
      </w:r>
      <w:r w:rsidRPr="00D71897">
        <w:rPr>
          <w:rFonts w:ascii="Times New Roman" w:hAnsi="Times New Roman"/>
          <w:i/>
        </w:rPr>
        <w:t>Migration Act</w:t>
      </w:r>
      <w:r w:rsidRPr="00D71897">
        <w:rPr>
          <w:rFonts w:ascii="Times New Roman" w:hAnsi="Times New Roman"/>
        </w:rPr>
        <w:t>, "where the court on judicial review of a decision of the Tribunal can infer that the Tribunal left the notified document or notified information out of account in reaching its decision, the</w:t>
      </w:r>
      <w:r>
        <w:rPr>
          <w:rFonts w:ascii="Times New Roman" w:hAnsi="Times New Roman"/>
        </w:rPr>
        <w:t> </w:t>
      </w:r>
      <w:r w:rsidRPr="00D71897">
        <w:rPr>
          <w:rFonts w:ascii="Times New Roman" w:hAnsi="Times New Roman"/>
        </w:rPr>
        <w:t>question that still remains is whether there is a realistic possibility that the Tribunal's decision could have been different if it had taken the document or information into account"</w:t>
      </w:r>
      <w:r w:rsidRPr="00D71897">
        <w:rPr>
          <w:rStyle w:val="FootnoteReference"/>
          <w:rFonts w:ascii="Times New Roman" w:hAnsi="Times New Roman"/>
          <w:sz w:val="24"/>
        </w:rPr>
        <w:footnoteReference w:id="151"/>
      </w:r>
      <w:r w:rsidRPr="00D71897">
        <w:rPr>
          <w:rFonts w:ascii="Times New Roman" w:hAnsi="Times New Roman"/>
        </w:rPr>
        <w:t>. But their Honours immediately cautioned that "[t]he</w:t>
      </w:r>
      <w:r>
        <w:rPr>
          <w:rFonts w:ascii="Times New Roman" w:hAnsi="Times New Roman"/>
        </w:rPr>
        <w:t> </w:t>
      </w:r>
      <w:r w:rsidRPr="00D71897">
        <w:rPr>
          <w:rFonts w:ascii="Times New Roman" w:hAnsi="Times New Roman"/>
        </w:rPr>
        <w:t>court must be careful not to intrude into the fact-finding function of the Tribunal"</w:t>
      </w:r>
      <w:r w:rsidRPr="00D71897">
        <w:rPr>
          <w:rStyle w:val="FootnoteReference"/>
          <w:rFonts w:ascii="Times New Roman" w:hAnsi="Times New Roman"/>
          <w:sz w:val="24"/>
        </w:rPr>
        <w:footnoteReference w:id="152"/>
      </w:r>
      <w:r w:rsidRPr="00D71897">
        <w:rPr>
          <w:rFonts w:ascii="Times New Roman" w:hAnsi="Times New Roman"/>
        </w:rPr>
        <w:t>. Similarly, the minority said that: "to shift the onus of proof would fundamentally change the nature of judicial review. Instead of a court concluding that an act or omission constitutes an error going to jurisdiction ... [judicial review] would become a form of merits review where jurisdictional error is found only if the breach is material to the applicant for review because it has denied that applicant the possibility of a successful outcome"</w:t>
      </w:r>
      <w:r w:rsidRPr="00D71897">
        <w:rPr>
          <w:rStyle w:val="FootnoteReference"/>
          <w:rFonts w:ascii="Times New Roman" w:hAnsi="Times New Roman"/>
          <w:sz w:val="24"/>
        </w:rPr>
        <w:footnoteReference w:id="153"/>
      </w:r>
      <w:r w:rsidRPr="00D71897">
        <w:rPr>
          <w:rFonts w:ascii="Times New Roman" w:hAnsi="Times New Roman"/>
        </w:rPr>
        <w:t xml:space="preserve">. The risk that a review court will erroneously consider for itself questions of fact determined by the primary decision-maker highlights the potential practical injustice that could flow from requiring applicants to do anything more than establish a relevant error (that is, one which could realistically have resulted in a different decision). </w:t>
      </w:r>
    </w:p>
    <w:p w14:paraId="06D5D11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practical difficulties are real: for those legally trained and those not legally trained. But one side or the other must bear the onus and the issue is which. In some cases, the respondent will enjoy practical advantages which mean that the respondent is best placed to answer the question of what would have occurred but for the error. In many other cases, the respondent may not enjoy any such advantage. We accept that there may be cases where all either party may have is the decision-maker's reasons and the material before the decision-maker. But there needs to be a stated rule which is principled and practical. The question that arises is: why should the </w:t>
      </w:r>
      <w:r w:rsidRPr="00D71897" w:rsidDel="000B648C">
        <w:rPr>
          <w:rFonts w:ascii="Times New Roman" w:hAnsi="Times New Roman"/>
        </w:rPr>
        <w:t xml:space="preserve">task of establishing that an error would have affected the outcome fall to the </w:t>
      </w:r>
      <w:r w:rsidRPr="00D71897">
        <w:rPr>
          <w:rFonts w:ascii="Times New Roman" w:hAnsi="Times New Roman"/>
        </w:rPr>
        <w:t xml:space="preserve">applicant </w:t>
      </w:r>
      <w:r w:rsidRPr="00D71897" w:rsidDel="000B648C">
        <w:rPr>
          <w:rFonts w:ascii="Times New Roman" w:hAnsi="Times New Roman"/>
        </w:rPr>
        <w:t xml:space="preserve">once they </w:t>
      </w:r>
      <w:r w:rsidRPr="00D71897">
        <w:rPr>
          <w:rFonts w:ascii="Times New Roman" w:hAnsi="Times New Roman"/>
        </w:rPr>
        <w:t xml:space="preserve">have established that a breach of the law has occurred and that the error </w:t>
      </w:r>
      <w:r w:rsidRPr="00D71897">
        <w:rPr>
          <w:rFonts w:ascii="Times New Roman" w:hAnsi="Times New Roman"/>
          <w:i/>
        </w:rPr>
        <w:t>could</w:t>
      </w:r>
      <w:r w:rsidRPr="00D71897">
        <w:rPr>
          <w:rFonts w:ascii="Times New Roman" w:hAnsi="Times New Roman"/>
        </w:rPr>
        <w:t xml:space="preserve"> realistically have denied them the possibility of a successful outcome? The answer is, it should not. Once error is identified by an applicant, the onus of proving that the error is immaterial to the decision that </w:t>
      </w:r>
      <w:r w:rsidRPr="00D71897">
        <w:rPr>
          <w:rFonts w:ascii="Times New Roman" w:hAnsi="Times New Roman"/>
        </w:rPr>
        <w:lastRenderedPageBreak/>
        <w:t>was reached is on those who seek to affirm the decision's validity – namely, the</w:t>
      </w:r>
      <w:r>
        <w:rPr>
          <w:rFonts w:ascii="Times New Roman" w:hAnsi="Times New Roman"/>
        </w:rPr>
        <w:t> </w:t>
      </w:r>
      <w:r w:rsidRPr="00D71897">
        <w:rPr>
          <w:rFonts w:ascii="Times New Roman" w:hAnsi="Times New Roman"/>
        </w:rPr>
        <w:t xml:space="preserve">Executive. </w:t>
      </w:r>
    </w:p>
    <w:p w14:paraId="53C2A6C9" w14:textId="77777777" w:rsidR="007B5A1E" w:rsidRPr="00D71897" w:rsidRDefault="007B5A1E" w:rsidP="00D71897">
      <w:pPr>
        <w:pStyle w:val="HeadingL1"/>
        <w:spacing w:after="260" w:line="280" w:lineRule="exact"/>
        <w:ind w:right="0"/>
        <w:jc w:val="both"/>
        <w:rPr>
          <w:rFonts w:ascii="Times New Roman" w:hAnsi="Times New Roman"/>
        </w:rPr>
      </w:pPr>
      <w:r w:rsidRPr="00D71897">
        <w:rPr>
          <w:rFonts w:ascii="Times New Roman" w:hAnsi="Times New Roman"/>
        </w:rPr>
        <w:t>MZAPC</w:t>
      </w:r>
    </w:p>
    <w:p w14:paraId="6D854189"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appellant is an Indian citizen who validly applied for a protection visa on 22 January 2014</w:t>
      </w:r>
      <w:r w:rsidRPr="00D71897">
        <w:rPr>
          <w:rStyle w:val="FootnoteReference"/>
          <w:rFonts w:ascii="Times New Roman" w:hAnsi="Times New Roman"/>
          <w:sz w:val="24"/>
        </w:rPr>
        <w:footnoteReference w:id="154"/>
      </w:r>
      <w:r w:rsidRPr="00D71897">
        <w:rPr>
          <w:rFonts w:ascii="Times New Roman" w:hAnsi="Times New Roman"/>
        </w:rPr>
        <w:t xml:space="preserve">. A delegate of the first respondent, the Minister for Immigration and Border Protection, refused the application on 4 June 2014. </w:t>
      </w:r>
    </w:p>
    <w:p w14:paraId="2C3020C7"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appellant applied to the Refugee Review Tribunal, now the Administrative Appeals Tribunal ("the Tribunal"), for review of that decision. The appellant made two central claims in support of his protection visa application. The first arose out of a land dispute with relatives; the second was that he became stateless when his family disowned him for changing his religion, cutting his hair and adopting an Australian lifestyle. </w:t>
      </w:r>
    </w:p>
    <w:p w14:paraId="4D663D7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On 5 June 2014, a delegate of the Minister issued a notification to the Tribunal under s 438 of the </w:t>
      </w:r>
      <w:r w:rsidRPr="00D71897">
        <w:rPr>
          <w:rFonts w:ascii="Times New Roman" w:hAnsi="Times New Roman"/>
          <w:i/>
        </w:rPr>
        <w:t xml:space="preserve">Migration Act </w:t>
      </w:r>
      <w:r w:rsidRPr="00D71897">
        <w:rPr>
          <w:rFonts w:ascii="Times New Roman" w:hAnsi="Times New Roman"/>
        </w:rPr>
        <w:t>in respect of the appellant's protection visa application. The information to which the notification applied was contained in the following documents:</w:t>
      </w:r>
    </w:p>
    <w:p w14:paraId="66501F5F"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(1)</w:t>
      </w:r>
      <w:r w:rsidRPr="00D71897">
        <w:rPr>
          <w:rFonts w:ascii="Times New Roman" w:hAnsi="Times New Roman"/>
        </w:rPr>
        <w:tab/>
        <w:t>an "Immigration Status Service Report" dated 31 March 2012, which stated, among other things, that an officer of Victoria Police had advised the then Department of Immigration and Citizenship ("the Department") that the appellant "has over 28 pages of offences and is currently on a suspen[d]ed sentence until Sept 2012";</w:t>
      </w:r>
    </w:p>
    <w:p w14:paraId="2AD05B00"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(2)</w:t>
      </w:r>
      <w:r w:rsidRPr="00D71897">
        <w:rPr>
          <w:rFonts w:ascii="Times New Roman" w:hAnsi="Times New Roman"/>
        </w:rPr>
        <w:tab/>
        <w:t>a screenshot of a "Client Detail" page for the appellant, which set out information such as the appellant's name, date of birth and address;</w:t>
      </w:r>
    </w:p>
    <w:p w14:paraId="163FE086"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(3)</w:t>
      </w:r>
      <w:r w:rsidRPr="00D71897">
        <w:rPr>
          <w:rFonts w:ascii="Times New Roman" w:hAnsi="Times New Roman"/>
        </w:rPr>
        <w:tab/>
        <w:t>a facsimile cover sheet for a ten-page facsimile message from Victoria Police to the Department dated 31 March 2012; and</w:t>
      </w:r>
    </w:p>
    <w:p w14:paraId="2B954022" w14:textId="77777777" w:rsidR="007B5A1E" w:rsidRPr="00D71897" w:rsidRDefault="007B5A1E" w:rsidP="00D71897">
      <w:pPr>
        <w:pStyle w:val="NormalBody"/>
        <w:spacing w:after="260" w:line="280" w:lineRule="exact"/>
        <w:ind w:left="720" w:right="0" w:hanging="720"/>
        <w:jc w:val="both"/>
        <w:rPr>
          <w:rFonts w:ascii="Times New Roman" w:hAnsi="Times New Roman"/>
        </w:rPr>
      </w:pPr>
      <w:r w:rsidRPr="00D71897">
        <w:rPr>
          <w:rFonts w:ascii="Times New Roman" w:hAnsi="Times New Roman"/>
        </w:rPr>
        <w:t>(4)</w:t>
      </w:r>
      <w:r w:rsidRPr="00D71897">
        <w:rPr>
          <w:rFonts w:ascii="Times New Roman" w:hAnsi="Times New Roman"/>
        </w:rPr>
        <w:tab/>
        <w:t>the remaining nine pages of the facsimile message, which was a Victoria Police court outcomes report in relation to the appellant, which showed that he had been convicted of a number of driving</w:t>
      </w:r>
      <w:r w:rsidRPr="00D71897">
        <w:rPr>
          <w:rFonts w:ascii="Times New Roman" w:hAnsi="Times New Roman"/>
        </w:rPr>
        <w:noBreakHyphen/>
        <w:t>related offences on 30 September 2011.</w:t>
      </w:r>
    </w:p>
    <w:p w14:paraId="17CA2ED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lastRenderedPageBreak/>
        <w:tab/>
        <w:t>The court outcomes report revealed that on 30 September 2011 the appellant received a three</w:t>
      </w:r>
      <w:r w:rsidRPr="00D71897">
        <w:rPr>
          <w:rFonts w:ascii="Times New Roman" w:hAnsi="Times New Roman"/>
        </w:rPr>
        <w:noBreakHyphen/>
        <w:t>month suspended term of imprisonment for one count of drink driving and one count of driving while disqualified. On the same day, he</w:t>
      </w:r>
      <w:r>
        <w:rPr>
          <w:rFonts w:ascii="Times New Roman" w:hAnsi="Times New Roman"/>
        </w:rPr>
        <w:t> </w:t>
      </w:r>
      <w:r w:rsidRPr="00D71897">
        <w:rPr>
          <w:rFonts w:ascii="Times New Roman" w:hAnsi="Times New Roman"/>
        </w:rPr>
        <w:t>received non</w:t>
      </w:r>
      <w:r w:rsidRPr="00D71897">
        <w:rPr>
          <w:rFonts w:ascii="Times New Roman" w:hAnsi="Times New Roman"/>
        </w:rPr>
        <w:noBreakHyphen/>
        <w:t>custodial punishments for the following additional convictions: seven counts of driving while disqualified; two counts of drink driving; three</w:t>
      </w:r>
      <w:r>
        <w:rPr>
          <w:rFonts w:ascii="Times New Roman" w:hAnsi="Times New Roman"/>
        </w:rPr>
        <w:t> </w:t>
      </w:r>
      <w:r w:rsidRPr="00D71897">
        <w:rPr>
          <w:rFonts w:ascii="Times New Roman" w:hAnsi="Times New Roman"/>
        </w:rPr>
        <w:t xml:space="preserve">counts of using an unregistered vehicle; two counts of using a vehicle not in a safe and roadworthy condition; one count of "state false name"; one count of removing a defective vehicle label; and one count of failing to wear a seatbelt in a moving vehicle. </w:t>
      </w:r>
    </w:p>
    <w:p w14:paraId="4272F94B"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appellant was not told that the s 438 notification had been issued or that the court outcomes report was provided to the Tribunal. On 4 November 2014, the</w:t>
      </w:r>
      <w:r>
        <w:rPr>
          <w:rFonts w:ascii="Times New Roman" w:hAnsi="Times New Roman"/>
        </w:rPr>
        <w:t> </w:t>
      </w:r>
      <w:r w:rsidRPr="00D71897">
        <w:rPr>
          <w:rFonts w:ascii="Times New Roman" w:hAnsi="Times New Roman"/>
        </w:rPr>
        <w:t xml:space="preserve">Tribunal affirmed the decision of the delegate not to grant the appellant a protection visa. </w:t>
      </w:r>
    </w:p>
    <w:p w14:paraId="4FD2854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In relation to the land dispute claim, although the Tribunal had "some</w:t>
      </w:r>
      <w:r>
        <w:rPr>
          <w:rFonts w:ascii="Times New Roman" w:hAnsi="Times New Roman"/>
        </w:rPr>
        <w:t> </w:t>
      </w:r>
      <w:r w:rsidRPr="00D71897">
        <w:rPr>
          <w:rFonts w:ascii="Times New Roman" w:hAnsi="Times New Roman"/>
        </w:rPr>
        <w:t xml:space="preserve">concerns about the [appellant's] credibility", it accepted there had been a dispute between the appellant's father and uncle over land in Punjab and that the appellant had been taken to a house in Amritsar by his cousin, drugged and held there until his father paid the amount of A$3,500 in exchange for the appellant's release. </w:t>
      </w:r>
    </w:p>
    <w:p w14:paraId="5A4F656E"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However, the Tribunal did not accept the appellant's claim that he had been subject to continuing threats from his relatives in relation to the land dispute, saying:</w:t>
      </w:r>
    </w:p>
    <w:p w14:paraId="32F32419" w14:textId="77777777" w:rsidR="007B5A1E" w:rsidRDefault="007B5A1E" w:rsidP="00D71897">
      <w:pPr>
        <w:pStyle w:val="LRIndentafterHC"/>
        <w:spacing w:before="0" w:after="260" w:line="280" w:lineRule="exact"/>
        <w:ind w:right="0"/>
        <w:jc w:val="both"/>
        <w:rPr>
          <w:rFonts w:ascii="Times New Roman" w:hAnsi="Times New Roman"/>
        </w:rPr>
      </w:pPr>
      <w:r w:rsidRPr="00D71897">
        <w:rPr>
          <w:rFonts w:ascii="Times New Roman" w:hAnsi="Times New Roman"/>
        </w:rPr>
        <w:t>"</w:t>
      </w:r>
      <w:r w:rsidRPr="00D71897">
        <w:rPr>
          <w:rFonts w:ascii="Times New Roman" w:hAnsi="Times New Roman"/>
          <w:i/>
        </w:rPr>
        <w:t xml:space="preserve">I do not accept that </w:t>
      </w:r>
      <w:r w:rsidRPr="00D71897">
        <w:rPr>
          <w:rFonts w:ascii="Times New Roman" w:hAnsi="Times New Roman"/>
        </w:rPr>
        <w:t>the [appellant] has been subject to continuing threats in relation to the land dispute because he is the eldest son of his father. The</w:t>
      </w:r>
      <w:r w:rsidRPr="00D71897" w:rsidDel="0036739D">
        <w:rPr>
          <w:rFonts w:ascii="Times New Roman" w:hAnsi="Times New Roman"/>
        </w:rPr>
        <w:t xml:space="preserve"> </w:t>
      </w:r>
      <w:r w:rsidRPr="00D71897">
        <w:rPr>
          <w:rFonts w:ascii="Times New Roman" w:hAnsi="Times New Roman"/>
        </w:rPr>
        <w:t>[appellant] was able to reside in Delhi, India for 2-3 years after the Amritsar incident without facing any further harm from his uncles and his relatives. The Amritsar incident was 12-13 years ago and resolved when the father made payment to his uncle. Furthermore, on the</w:t>
      </w:r>
      <w:r w:rsidRPr="00D71897" w:rsidDel="0036739D">
        <w:rPr>
          <w:rFonts w:ascii="Times New Roman" w:hAnsi="Times New Roman"/>
        </w:rPr>
        <w:t xml:space="preserve"> </w:t>
      </w:r>
      <w:r w:rsidRPr="00D71897">
        <w:rPr>
          <w:rFonts w:ascii="Times New Roman" w:hAnsi="Times New Roman"/>
        </w:rPr>
        <w:t>[appellant's] oral</w:t>
      </w:r>
      <w:r>
        <w:rPr>
          <w:rFonts w:ascii="Times New Roman" w:hAnsi="Times New Roman"/>
        </w:rPr>
        <w:t> </w:t>
      </w:r>
      <w:r w:rsidRPr="00D71897">
        <w:rPr>
          <w:rFonts w:ascii="Times New Roman" w:hAnsi="Times New Roman"/>
        </w:rPr>
        <w:t xml:space="preserve">evidence at hearing, in recent times his father has been pressured but not actually harmed or threatened by the relatives despite his father refusing to sign over the land through an affidavit. </w:t>
      </w:r>
      <w:r w:rsidRPr="00D71897">
        <w:rPr>
          <w:rFonts w:ascii="Times New Roman" w:hAnsi="Times New Roman"/>
          <w:i/>
        </w:rPr>
        <w:t>I do not accept that</w:t>
      </w:r>
      <w:r w:rsidRPr="00D71897">
        <w:rPr>
          <w:rFonts w:ascii="Times New Roman" w:hAnsi="Times New Roman"/>
        </w:rPr>
        <w:t xml:space="preserve"> if the relatives wanted to harm the [appellant] over the land that they would not be threatening or harming his father in circumstances where the dispute originates in relation to the father and the father has the ability to sign a document giving them the land. </w:t>
      </w:r>
      <w:r w:rsidRPr="00D71897">
        <w:rPr>
          <w:rFonts w:ascii="Times New Roman" w:hAnsi="Times New Roman"/>
          <w:i/>
        </w:rPr>
        <w:t>I</w:t>
      </w:r>
      <w:r w:rsidRPr="00D71897">
        <w:rPr>
          <w:rFonts w:ascii="Times New Roman" w:hAnsi="Times New Roman"/>
        </w:rPr>
        <w:t xml:space="preserve"> </w:t>
      </w:r>
      <w:r w:rsidRPr="00D71897">
        <w:rPr>
          <w:rFonts w:ascii="Times New Roman" w:hAnsi="Times New Roman"/>
          <w:i/>
        </w:rPr>
        <w:t>do not accept as credible or plausible</w:t>
      </w:r>
      <w:r w:rsidRPr="00D71897">
        <w:rPr>
          <w:rFonts w:ascii="Times New Roman" w:hAnsi="Times New Roman"/>
        </w:rPr>
        <w:t xml:space="preserve"> </w:t>
      </w:r>
      <w:r w:rsidRPr="00D71897">
        <w:rPr>
          <w:rFonts w:ascii="Times New Roman" w:hAnsi="Times New Roman"/>
          <w:i/>
        </w:rPr>
        <w:t>that</w:t>
      </w:r>
      <w:r w:rsidRPr="00D71897">
        <w:rPr>
          <w:rFonts w:ascii="Times New Roman" w:hAnsi="Times New Roman"/>
        </w:rPr>
        <w:t xml:space="preserve"> simply because his father was in Delhi and not Amritsar that this would completely deter the relatives from undertaking threatening or violent action against his father to obtain legal ownership of the land. The</w:t>
      </w:r>
      <w:r>
        <w:rPr>
          <w:rFonts w:ascii="Times New Roman" w:hAnsi="Times New Roman"/>
        </w:rPr>
        <w:t> </w:t>
      </w:r>
      <w:r w:rsidRPr="00D71897">
        <w:rPr>
          <w:rFonts w:ascii="Times New Roman" w:hAnsi="Times New Roman"/>
        </w:rPr>
        <w:t xml:space="preserve">[appellant] stated at the hearing that his mother's brother was a policeman, which I accept. However, </w:t>
      </w:r>
      <w:r w:rsidRPr="00D71897">
        <w:rPr>
          <w:rFonts w:ascii="Times New Roman" w:hAnsi="Times New Roman"/>
          <w:i/>
        </w:rPr>
        <w:t>I</w:t>
      </w:r>
      <w:r w:rsidRPr="00D71897">
        <w:rPr>
          <w:rFonts w:ascii="Times New Roman" w:hAnsi="Times New Roman"/>
        </w:rPr>
        <w:t xml:space="preserve"> </w:t>
      </w:r>
      <w:r w:rsidRPr="00D71897">
        <w:rPr>
          <w:rFonts w:ascii="Times New Roman" w:hAnsi="Times New Roman"/>
          <w:i/>
        </w:rPr>
        <w:t>do not accept as credible or plausible</w:t>
      </w:r>
      <w:r w:rsidRPr="00D71897">
        <w:rPr>
          <w:rFonts w:ascii="Times New Roman" w:hAnsi="Times New Roman"/>
        </w:rPr>
        <w:t xml:space="preserve"> </w:t>
      </w:r>
      <w:r w:rsidRPr="00D71897">
        <w:rPr>
          <w:rFonts w:ascii="Times New Roman" w:hAnsi="Times New Roman"/>
          <w:i/>
        </w:rPr>
        <w:t>that</w:t>
      </w:r>
      <w:r w:rsidRPr="00D71897">
        <w:rPr>
          <w:rFonts w:ascii="Times New Roman" w:hAnsi="Times New Roman"/>
        </w:rPr>
        <w:t xml:space="preserve"> the relatives would not threaten or harm his father (but would </w:t>
      </w:r>
      <w:r w:rsidRPr="00D71897">
        <w:rPr>
          <w:rFonts w:ascii="Times New Roman" w:hAnsi="Times New Roman"/>
        </w:rPr>
        <w:lastRenderedPageBreak/>
        <w:t xml:space="preserve">threaten or harm the [appellant]) because his mother's brother was a policeman. </w:t>
      </w:r>
      <w:r w:rsidRPr="00D71897">
        <w:rPr>
          <w:rFonts w:ascii="Times New Roman" w:hAnsi="Times New Roman"/>
          <w:i/>
        </w:rPr>
        <w:t>In all the circumstances, I do not accept that the relatives have a continuing adverse interest in the [appellant]</w:t>
      </w:r>
      <w:r w:rsidRPr="00D71897">
        <w:rPr>
          <w:rFonts w:ascii="Times New Roman" w:hAnsi="Times New Roman"/>
        </w:rPr>
        <w:t>." (emphasis added)</w:t>
      </w:r>
    </w:p>
    <w:p w14:paraId="34BCA594"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In relation to the claim that he had been disowned by </w:t>
      </w:r>
      <w:r>
        <w:rPr>
          <w:rFonts w:ascii="Times New Roman" w:hAnsi="Times New Roman"/>
        </w:rPr>
        <w:t xml:space="preserve">his </w:t>
      </w:r>
      <w:r w:rsidRPr="00D71897">
        <w:rPr>
          <w:rFonts w:ascii="Times New Roman" w:hAnsi="Times New Roman"/>
        </w:rPr>
        <w:t>family, the Tribunal accepted that the appellant's family had disowned him but did not consider that being "disowned" constituted significant harm for an adult, 29</w:t>
      </w:r>
      <w:r>
        <w:rPr>
          <w:rFonts w:ascii="Times New Roman" w:hAnsi="Times New Roman"/>
        </w:rPr>
        <w:noBreakHyphen/>
      </w:r>
      <w:r w:rsidRPr="00D71897">
        <w:rPr>
          <w:rFonts w:ascii="Times New Roman" w:hAnsi="Times New Roman"/>
        </w:rPr>
        <w:t>year</w:t>
      </w:r>
      <w:r>
        <w:rPr>
          <w:rFonts w:ascii="Times New Roman" w:hAnsi="Times New Roman"/>
        </w:rPr>
        <w:noBreakHyphen/>
      </w:r>
      <w:r w:rsidRPr="00D71897">
        <w:rPr>
          <w:rFonts w:ascii="Times New Roman" w:hAnsi="Times New Roman"/>
        </w:rPr>
        <w:t>old man. The</w:t>
      </w:r>
      <w:r>
        <w:rPr>
          <w:rFonts w:ascii="Times New Roman" w:hAnsi="Times New Roman"/>
        </w:rPr>
        <w:t> </w:t>
      </w:r>
      <w:r w:rsidRPr="00D71897">
        <w:rPr>
          <w:rFonts w:ascii="Times New Roman" w:hAnsi="Times New Roman"/>
        </w:rPr>
        <w:t>Tribunal also noted that the appellant did not claim to have been threatened for adopting an Australian lifestyle, and that the Tribunal had not identified any "recent reports of Sikhs in India being harmed because they have cut their hair, adopted Western lifestyles or drank alcohol". The Tribunal made no reference in its reasons to any of the matters contained in the information and documents the subject of the s 438 notification.</w:t>
      </w:r>
    </w:p>
    <w:p w14:paraId="4428F815"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appellant sought judicial review of the Tribunal's decision in the Federal Circuit Court of Australia. On 17 May 2016, the Federal Circuit Court (Judge Hartnett) dismissed the appellant's application. The appellant was unrepresented and his application essentially sought to challenge the merits of the Tribunal's decision, rather than asserting any jurisdictional error. The primary judge considered whether any jurisdictional error arose on the face of the Tribunal's reasons, but dismissed the application. </w:t>
      </w:r>
    </w:p>
    <w:p w14:paraId="72C204E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appellant appealed to the Federal Court of Australia. While the matter was pending in the Federal Court, two significant developments occurred: first, the</w:t>
      </w:r>
      <w:r>
        <w:rPr>
          <w:rFonts w:ascii="Times New Roman" w:hAnsi="Times New Roman"/>
        </w:rPr>
        <w:t> </w:t>
      </w:r>
      <w:r w:rsidRPr="00D71897">
        <w:rPr>
          <w:rFonts w:ascii="Times New Roman" w:hAnsi="Times New Roman"/>
        </w:rPr>
        <w:t xml:space="preserve">Minister filed an affidavit which disclosed for the first time the existence of the s 438 notification; and second, the matter was held in abeyance pending the decision of this Court in </w:t>
      </w:r>
      <w:r w:rsidRPr="00D71897">
        <w:rPr>
          <w:rFonts w:ascii="Times New Roman" w:hAnsi="Times New Roman"/>
          <w:i/>
        </w:rPr>
        <w:t>SZMTA</w:t>
      </w:r>
      <w:r w:rsidRPr="00D71897">
        <w:rPr>
          <w:rFonts w:ascii="Times New Roman" w:hAnsi="Times New Roman"/>
        </w:rPr>
        <w:t xml:space="preserve">. </w:t>
      </w:r>
    </w:p>
    <w:p w14:paraId="18424857"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On 4 December 2019, the Federal Court (Mortimer J) dismissed the appellant's appeal. Mortimer J observed that the Minister had conceded, in light of the decision in </w:t>
      </w:r>
      <w:r w:rsidRPr="00D71897">
        <w:rPr>
          <w:rFonts w:ascii="Times New Roman" w:hAnsi="Times New Roman"/>
          <w:i/>
        </w:rPr>
        <w:t>SZMTA</w:t>
      </w:r>
      <w:r w:rsidRPr="00D71897">
        <w:rPr>
          <w:rFonts w:ascii="Times New Roman" w:hAnsi="Times New Roman"/>
        </w:rPr>
        <w:t>, that the failure by the Tribunal to disclose the existence of the notification given by the Secretary of the Department ("the Secretary") under</w:t>
      </w:r>
      <w:r>
        <w:rPr>
          <w:rFonts w:ascii="Times New Roman" w:hAnsi="Times New Roman"/>
        </w:rPr>
        <w:t> </w:t>
      </w:r>
      <w:r w:rsidRPr="00D71897">
        <w:rPr>
          <w:rFonts w:ascii="Times New Roman" w:hAnsi="Times New Roman"/>
        </w:rPr>
        <w:t>s 438(2) to the appellant "constituted a denial of procedural fairness"</w:t>
      </w:r>
      <w:r w:rsidRPr="00D71897">
        <w:rPr>
          <w:rStyle w:val="FootnoteReference"/>
          <w:rFonts w:ascii="Times New Roman" w:hAnsi="Times New Roman"/>
          <w:sz w:val="24"/>
        </w:rPr>
        <w:footnoteReference w:id="155"/>
      </w:r>
      <w:r w:rsidRPr="00D71897">
        <w:rPr>
          <w:rFonts w:ascii="Times New Roman" w:hAnsi="Times New Roman"/>
        </w:rPr>
        <w:t xml:space="preserve">. However, her Honour concluded that the appellant had failed to show, as her Honour considered was required by </w:t>
      </w:r>
      <w:r w:rsidRPr="00D71897">
        <w:rPr>
          <w:rFonts w:ascii="Times New Roman" w:hAnsi="Times New Roman"/>
          <w:i/>
        </w:rPr>
        <w:t>SZMTA</w:t>
      </w:r>
      <w:r w:rsidRPr="00D71897">
        <w:rPr>
          <w:rFonts w:ascii="Times New Roman" w:hAnsi="Times New Roman"/>
        </w:rPr>
        <w:t>, that there was a realistic possibility that he could have succeeded in the Tribunal if he had been told of the s 438 notification and the documents that had been sent to the Tribunal</w:t>
      </w:r>
      <w:r w:rsidRPr="00D71897">
        <w:rPr>
          <w:rStyle w:val="FootnoteReference"/>
          <w:rFonts w:ascii="Times New Roman" w:hAnsi="Times New Roman"/>
          <w:sz w:val="24"/>
        </w:rPr>
        <w:footnoteReference w:id="156"/>
      </w:r>
      <w:r w:rsidRPr="00D71897">
        <w:rPr>
          <w:rFonts w:ascii="Times New Roman" w:hAnsi="Times New Roman"/>
        </w:rPr>
        <w:t>. This</w:t>
      </w:r>
      <w:r>
        <w:rPr>
          <w:rFonts w:ascii="Times New Roman" w:hAnsi="Times New Roman"/>
        </w:rPr>
        <w:t> </w:t>
      </w:r>
      <w:r w:rsidRPr="00D71897">
        <w:rPr>
          <w:rFonts w:ascii="Times New Roman" w:hAnsi="Times New Roman"/>
        </w:rPr>
        <w:t xml:space="preserve">conclusion was said to follow from her Honour's finding that "the Tribunal's </w:t>
      </w:r>
      <w:r w:rsidRPr="00D71897">
        <w:rPr>
          <w:rFonts w:ascii="Times New Roman" w:hAnsi="Times New Roman"/>
        </w:rPr>
        <w:lastRenderedPageBreak/>
        <w:t>reasoning was not in fact affected by the potentially adverse information in the first place"</w:t>
      </w:r>
      <w:r w:rsidRPr="00D71897">
        <w:rPr>
          <w:rStyle w:val="FootnoteReference"/>
          <w:rFonts w:ascii="Times New Roman" w:hAnsi="Times New Roman"/>
          <w:sz w:val="24"/>
        </w:rPr>
        <w:footnoteReference w:id="157"/>
      </w:r>
      <w:r w:rsidRPr="00D71897">
        <w:rPr>
          <w:rFonts w:ascii="Times New Roman" w:hAnsi="Times New Roman"/>
        </w:rPr>
        <w:t>.</w:t>
      </w:r>
    </w:p>
    <w:p w14:paraId="41DDFD5C" w14:textId="77777777" w:rsidR="007B5A1E" w:rsidRPr="00D71897" w:rsidRDefault="007B5A1E" w:rsidP="00D71897">
      <w:pPr>
        <w:pStyle w:val="HeadingL2"/>
        <w:spacing w:after="260" w:line="280" w:lineRule="exact"/>
        <w:ind w:right="0"/>
        <w:jc w:val="both"/>
        <w:rPr>
          <w:rFonts w:ascii="Times New Roman" w:hAnsi="Times New Roman"/>
        </w:rPr>
      </w:pPr>
      <w:r w:rsidRPr="00D71897">
        <w:rPr>
          <w:rFonts w:ascii="Times New Roman" w:hAnsi="Times New Roman"/>
        </w:rPr>
        <w:t>Issues on appeal</w:t>
      </w:r>
    </w:p>
    <w:p w14:paraId="7C4D7E65"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There were two issues on appeal in this Court. The first was the issue of principle discussed above: namely, who does, and who ought to, bear the onus of establishing materiality or immateriality in an application for judicial review of administrative action</w:t>
      </w:r>
      <w:r w:rsidRPr="00D71897">
        <w:rPr>
          <w:rStyle w:val="FootnoteReference"/>
          <w:rFonts w:ascii="Times New Roman" w:hAnsi="Times New Roman"/>
          <w:sz w:val="24"/>
        </w:rPr>
        <w:footnoteReference w:id="158"/>
      </w:r>
      <w:r w:rsidRPr="00D71897">
        <w:rPr>
          <w:rFonts w:ascii="Times New Roman" w:hAnsi="Times New Roman"/>
        </w:rPr>
        <w:t>. The second issue on appeal concerned how the applicable principles were</w:t>
      </w:r>
      <w:r w:rsidRPr="00D71897" w:rsidDel="00F0166E">
        <w:rPr>
          <w:rFonts w:ascii="Times New Roman" w:hAnsi="Times New Roman"/>
        </w:rPr>
        <w:t xml:space="preserve"> </w:t>
      </w:r>
      <w:r w:rsidRPr="00D71897">
        <w:rPr>
          <w:rFonts w:ascii="Times New Roman" w:hAnsi="Times New Roman"/>
        </w:rPr>
        <w:t xml:space="preserve">to be applied where, as here, an applicant for a protection visa is denied procedural fairness by reason of the Tribunal's failure to disclose that a notification has been issued under s 438 of the </w:t>
      </w:r>
      <w:r w:rsidRPr="00D71897">
        <w:rPr>
          <w:rFonts w:ascii="Times New Roman" w:hAnsi="Times New Roman"/>
          <w:i/>
        </w:rPr>
        <w:t>Migration Act</w:t>
      </w:r>
      <w:r w:rsidRPr="00D71897">
        <w:rPr>
          <w:rFonts w:ascii="Times New Roman" w:hAnsi="Times New Roman"/>
        </w:rPr>
        <w:t xml:space="preserve">. </w:t>
      </w:r>
    </w:p>
    <w:p w14:paraId="43F6EFF0" w14:textId="77777777" w:rsidR="007B5A1E" w:rsidRPr="00D71897" w:rsidRDefault="007B5A1E" w:rsidP="00D71897">
      <w:pPr>
        <w:pStyle w:val="HeadingL2"/>
        <w:spacing w:after="260" w:line="280" w:lineRule="exact"/>
        <w:ind w:right="0"/>
        <w:jc w:val="both"/>
        <w:rPr>
          <w:rFonts w:ascii="Times New Roman" w:hAnsi="Times New Roman"/>
        </w:rPr>
      </w:pPr>
      <w:r w:rsidRPr="00D71897">
        <w:rPr>
          <w:rFonts w:ascii="Times New Roman" w:hAnsi="Times New Roman"/>
        </w:rPr>
        <w:t>The restated principle applied</w:t>
      </w:r>
    </w:p>
    <w:p w14:paraId="735F9EC7"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Applying the restated rule, the root of the analysis is one of statutory construction</w:t>
      </w:r>
      <w:r w:rsidRPr="00D71897">
        <w:rPr>
          <w:rStyle w:val="FootnoteReference"/>
          <w:rFonts w:ascii="Times New Roman" w:hAnsi="Times New Roman"/>
          <w:sz w:val="24"/>
        </w:rPr>
        <w:footnoteReference w:id="159"/>
      </w:r>
      <w:r w:rsidRPr="00D71897">
        <w:rPr>
          <w:rFonts w:ascii="Times New Roman" w:hAnsi="Times New Roman"/>
        </w:rPr>
        <w:t xml:space="preserve">. In the present appeal, the applicable statutory framework is a review under Pt 7 of the </w:t>
      </w:r>
      <w:r w:rsidRPr="00D71897">
        <w:rPr>
          <w:rFonts w:ascii="Times New Roman" w:hAnsi="Times New Roman"/>
          <w:i/>
        </w:rPr>
        <w:t>Migration Act</w:t>
      </w:r>
      <w:r w:rsidRPr="00D71897">
        <w:rPr>
          <w:rFonts w:ascii="Times New Roman" w:hAnsi="Times New Roman"/>
        </w:rPr>
        <w:t xml:space="preserve"> of the delegate's refusal to grant the appellant a protection visa in circumstances where the Tribunal has received a notification under s 438 of the Act in respect of information that is potentially adverse to the appellant and where the Tribunal has failed to disclose to the appellant the existence of the notification. </w:t>
      </w:r>
    </w:p>
    <w:p w14:paraId="365B3B45"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As has been observed, the Minister accepted that the failure by the Tribunal to disclose the existence of the Secretary's notification under s 438(2) to the appellant constituted a denial of procedural fairness. </w:t>
      </w:r>
    </w:p>
    <w:p w14:paraId="64FD8D06"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question which then arises is whether that breach of procedural fairness constitutes jurisdictional error. In this case, the Tribunal's failure to provide procedural fairness could realistically have deprived the appellant of the possibility of a successful outcome. To establish as much,</w:t>
      </w:r>
      <w:r w:rsidRPr="00D71897" w:rsidDel="004A037D">
        <w:rPr>
          <w:rFonts w:ascii="Times New Roman" w:hAnsi="Times New Roman"/>
        </w:rPr>
        <w:t xml:space="preserve"> </w:t>
      </w:r>
      <w:r w:rsidRPr="00D71897">
        <w:rPr>
          <w:rFonts w:ascii="Times New Roman" w:hAnsi="Times New Roman"/>
        </w:rPr>
        <w:t>the appellant was not required to demonstrate that the Tribunal in fact exercised its discretion under s 438(3)(a). It</w:t>
      </w:r>
      <w:r>
        <w:rPr>
          <w:rFonts w:ascii="Times New Roman" w:hAnsi="Times New Roman"/>
        </w:rPr>
        <w:t> </w:t>
      </w:r>
      <w:r w:rsidRPr="00D71897">
        <w:rPr>
          <w:rFonts w:ascii="Times New Roman" w:hAnsi="Times New Roman"/>
        </w:rPr>
        <w:t xml:space="preserve">is enough that the Tribunal </w:t>
      </w:r>
      <w:r w:rsidRPr="00D71897">
        <w:rPr>
          <w:rFonts w:ascii="Times New Roman" w:hAnsi="Times New Roman"/>
          <w:i/>
        </w:rPr>
        <w:t>could</w:t>
      </w:r>
      <w:r w:rsidRPr="00D71897">
        <w:rPr>
          <w:rFonts w:ascii="Times New Roman" w:hAnsi="Times New Roman"/>
        </w:rPr>
        <w:t xml:space="preserve"> realistically have exercised the s 438(3)(a) discretion and that the s 438 information </w:t>
      </w:r>
      <w:r w:rsidRPr="00D71897">
        <w:rPr>
          <w:rFonts w:ascii="Times New Roman" w:hAnsi="Times New Roman"/>
          <w:i/>
        </w:rPr>
        <w:t>could</w:t>
      </w:r>
      <w:r w:rsidRPr="00D71897">
        <w:rPr>
          <w:rFonts w:ascii="Times New Roman" w:hAnsi="Times New Roman"/>
        </w:rPr>
        <w:t xml:space="preserve"> realistically have contributed to the Tribunal's ultimate decision. The question then is whether the Minister </w:t>
      </w:r>
      <w:r w:rsidRPr="00D71897">
        <w:rPr>
          <w:rFonts w:ascii="Times New Roman" w:hAnsi="Times New Roman"/>
        </w:rPr>
        <w:lastRenderedPageBreak/>
        <w:t xml:space="preserve">demonstrated that affording procedural fairness to the appellant, by disclosing the fact that the s 438 notification had been made to the Tribunal, would not have resulted in a different outcome. </w:t>
      </w:r>
    </w:p>
    <w:p w14:paraId="6E17F98A"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appellant rightly accepted that if the Minister established that the s 438 information was not taken into account by the Tribunal, then the Minister would have established that the error – the breach of procedural fairness – was immaterial and did not constitute jurisdictional error. The issue is to be decided by the ordinary processes of fact finding, which start with the relevant statutory framework – here, Pt 7 of the </w:t>
      </w:r>
      <w:r w:rsidRPr="00D71897">
        <w:rPr>
          <w:rFonts w:ascii="Times New Roman" w:hAnsi="Times New Roman"/>
          <w:i/>
        </w:rPr>
        <w:t>Migration Act</w:t>
      </w:r>
      <w:r w:rsidRPr="00D71897">
        <w:rPr>
          <w:rFonts w:ascii="Times New Roman" w:hAnsi="Times New Roman"/>
        </w:rPr>
        <w:t xml:space="preserve"> and the proper construction of s 438 – and, against that legislative framework, then look to the record and the evidence adduced on the application, and inferences to be drawn from that material. As the</w:t>
      </w:r>
      <w:r w:rsidRPr="00D71897" w:rsidDel="00C122AF">
        <w:rPr>
          <w:rFonts w:ascii="Times New Roman" w:hAnsi="Times New Roman"/>
        </w:rPr>
        <w:t xml:space="preserve"> </w:t>
      </w:r>
      <w:r w:rsidRPr="00D71897">
        <w:rPr>
          <w:rFonts w:ascii="Times New Roman" w:hAnsi="Times New Roman"/>
        </w:rPr>
        <w:t>Minister accepted, the issue is not to be decided by applying an irrebuttable presumption about what the Tribunal did or did not do. Nor is it to be decided by applying some rebuttable presumption about what the Tribunal did or did not do. In this case, the</w:t>
      </w:r>
      <w:r>
        <w:rPr>
          <w:rFonts w:ascii="Times New Roman" w:hAnsi="Times New Roman"/>
        </w:rPr>
        <w:t> </w:t>
      </w:r>
      <w:r w:rsidRPr="00D71897">
        <w:rPr>
          <w:rFonts w:ascii="Times New Roman" w:hAnsi="Times New Roman"/>
        </w:rPr>
        <w:t>Minister demonstrated that compliance with the statutory requirements would not have led to a different outcome. It is necessary to explain how and why and to begin by considering the relevant statutory framework.</w:t>
      </w:r>
    </w:p>
    <w:p w14:paraId="28CD2596"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 appellant applied to the Tribunal under Pt 7 of the </w:t>
      </w:r>
      <w:r w:rsidRPr="00D71897">
        <w:rPr>
          <w:rFonts w:ascii="Times New Roman" w:hAnsi="Times New Roman"/>
          <w:i/>
        </w:rPr>
        <w:t xml:space="preserve">Migration Act </w:t>
      </w:r>
      <w:r w:rsidRPr="00D71897">
        <w:rPr>
          <w:rFonts w:ascii="Times New Roman" w:hAnsi="Times New Roman"/>
        </w:rPr>
        <w:t>for review of the dismissal of his application for a protection visa</w:t>
      </w:r>
      <w:r w:rsidRPr="00D71897">
        <w:rPr>
          <w:rStyle w:val="FootnoteReference"/>
          <w:rFonts w:ascii="Times New Roman" w:hAnsi="Times New Roman"/>
          <w:sz w:val="24"/>
        </w:rPr>
        <w:footnoteReference w:id="160"/>
      </w:r>
      <w:r w:rsidRPr="00D71897">
        <w:rPr>
          <w:rFonts w:ascii="Times New Roman" w:hAnsi="Times New Roman"/>
        </w:rPr>
        <w:t>. If a valid application is made, then, subject to a presently irrelevant exception, the Tribunal must review the decision</w:t>
      </w:r>
      <w:r w:rsidRPr="00D71897">
        <w:rPr>
          <w:rStyle w:val="FootnoteReference"/>
          <w:rFonts w:ascii="Times New Roman" w:hAnsi="Times New Roman"/>
          <w:sz w:val="24"/>
        </w:rPr>
        <w:footnoteReference w:id="161"/>
      </w:r>
      <w:r w:rsidRPr="00D71897">
        <w:rPr>
          <w:rFonts w:ascii="Times New Roman" w:hAnsi="Times New Roman"/>
        </w:rPr>
        <w:t xml:space="preserve"> within 90 days of the Secretary giving the Registrar of the Tribunal ("the Registrar") the documents that s 418(2) requires</w:t>
      </w:r>
      <w:r w:rsidRPr="00D71897">
        <w:rPr>
          <w:rStyle w:val="FootnoteReference"/>
          <w:rFonts w:ascii="Times New Roman" w:hAnsi="Times New Roman"/>
          <w:sz w:val="24"/>
        </w:rPr>
        <w:footnoteReference w:id="162"/>
      </w:r>
      <w:r w:rsidRPr="00D71897">
        <w:rPr>
          <w:rFonts w:ascii="Times New Roman" w:hAnsi="Times New Roman"/>
        </w:rPr>
        <w:t xml:space="preserve">. The Tribunal may, for the purposes of the review, exercise all the powers and discretions conferred by the </w:t>
      </w:r>
      <w:r w:rsidRPr="00D71897">
        <w:rPr>
          <w:rFonts w:ascii="Times New Roman" w:hAnsi="Times New Roman"/>
          <w:i/>
        </w:rPr>
        <w:t>Migration Act</w:t>
      </w:r>
      <w:r w:rsidRPr="00D71897">
        <w:rPr>
          <w:rFonts w:ascii="Times New Roman" w:hAnsi="Times New Roman"/>
        </w:rPr>
        <w:t xml:space="preserve"> on the decision</w:t>
      </w:r>
      <w:r w:rsidRPr="00D71897">
        <w:rPr>
          <w:rFonts w:ascii="Times New Roman" w:hAnsi="Times New Roman"/>
        </w:rPr>
        <w:noBreakHyphen/>
        <w:t>maker and may, among other things, affirm the decision, vary the decision, or set aside the decision and substitute a new decision</w:t>
      </w:r>
      <w:r w:rsidRPr="00D71897">
        <w:rPr>
          <w:rStyle w:val="FootnoteReference"/>
          <w:rFonts w:ascii="Times New Roman" w:hAnsi="Times New Roman"/>
          <w:sz w:val="24"/>
        </w:rPr>
        <w:footnoteReference w:id="163"/>
      </w:r>
      <w:r w:rsidRPr="00D71897">
        <w:rPr>
          <w:rFonts w:ascii="Times New Roman" w:hAnsi="Times New Roman"/>
        </w:rPr>
        <w:t>. Such a decision is a decision of the Minister</w:t>
      </w:r>
      <w:r w:rsidRPr="00D71897">
        <w:rPr>
          <w:rStyle w:val="FootnoteReference"/>
          <w:rFonts w:ascii="Times New Roman" w:hAnsi="Times New Roman"/>
          <w:sz w:val="24"/>
        </w:rPr>
        <w:footnoteReference w:id="164"/>
      </w:r>
      <w:r w:rsidRPr="00D71897">
        <w:rPr>
          <w:rFonts w:ascii="Times New Roman" w:hAnsi="Times New Roman"/>
        </w:rPr>
        <w:t>.</w:t>
      </w:r>
    </w:p>
    <w:p w14:paraId="6127A81C"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b/>
        </w:rPr>
        <w:tab/>
      </w:r>
      <w:r w:rsidRPr="00D71897">
        <w:rPr>
          <w:rFonts w:ascii="Times New Roman" w:hAnsi="Times New Roman"/>
        </w:rPr>
        <w:t>Significantly, if an application for review is made to the Tribunal, the</w:t>
      </w:r>
      <w:r>
        <w:rPr>
          <w:rFonts w:ascii="Times New Roman" w:hAnsi="Times New Roman"/>
        </w:rPr>
        <w:t> </w:t>
      </w:r>
      <w:r w:rsidRPr="00D71897">
        <w:rPr>
          <w:rFonts w:ascii="Times New Roman" w:hAnsi="Times New Roman"/>
        </w:rPr>
        <w:t>Registrar must, as soon as practicable, give the Secretary written notice of the application and, within ten working days of such notice, the Secretary must give to the Registrar a statement about the decision that sets out the findings of fact made by the decision</w:t>
      </w:r>
      <w:r w:rsidRPr="00D71897">
        <w:rPr>
          <w:rFonts w:ascii="Times New Roman" w:hAnsi="Times New Roman"/>
        </w:rPr>
        <w:noBreakHyphen/>
        <w:t xml:space="preserve">maker, refers to the evidence on which those findings were </w:t>
      </w:r>
      <w:r w:rsidRPr="00D71897">
        <w:rPr>
          <w:rFonts w:ascii="Times New Roman" w:hAnsi="Times New Roman"/>
        </w:rPr>
        <w:lastRenderedPageBreak/>
        <w:t>based and gives the reasons for the decision</w:t>
      </w:r>
      <w:r w:rsidRPr="00D71897">
        <w:rPr>
          <w:rStyle w:val="FootnoteReference"/>
          <w:rFonts w:ascii="Times New Roman" w:hAnsi="Times New Roman"/>
          <w:sz w:val="24"/>
        </w:rPr>
        <w:footnoteReference w:id="165"/>
      </w:r>
      <w:r w:rsidRPr="00D71897">
        <w:rPr>
          <w:rFonts w:ascii="Times New Roman" w:hAnsi="Times New Roman"/>
        </w:rPr>
        <w:t xml:space="preserve">. In addition, the Secretary must give to the Registrar "each other document, or part of a document, that is in the Secretary's possession or control and is </w:t>
      </w:r>
      <w:r w:rsidRPr="00D71897">
        <w:rPr>
          <w:rFonts w:ascii="Times New Roman" w:hAnsi="Times New Roman"/>
          <w:i/>
        </w:rPr>
        <w:t>considered by the Secretary to be relevant to the review of the decision</w:t>
      </w:r>
      <w:r w:rsidRPr="00D71897">
        <w:rPr>
          <w:rFonts w:ascii="Times New Roman" w:hAnsi="Times New Roman"/>
        </w:rPr>
        <w:t>"</w:t>
      </w:r>
      <w:r w:rsidRPr="00D71897">
        <w:rPr>
          <w:rStyle w:val="FootnoteReference"/>
          <w:rFonts w:ascii="Times New Roman" w:hAnsi="Times New Roman"/>
          <w:sz w:val="24"/>
        </w:rPr>
        <w:footnoteReference w:id="166"/>
      </w:r>
      <w:r w:rsidRPr="00D71897">
        <w:rPr>
          <w:rFonts w:ascii="Times New Roman" w:hAnsi="Times New Roman"/>
        </w:rPr>
        <w:t xml:space="preserve"> (emphasis added). The exercise of the Tribunal's powers is addressed in Div 3 of Pt 7. In exercising its powers, the Tribunal is to pursue the stated objective of "providing a mechanism of review that is fair, just, economical, informal and quick"</w:t>
      </w:r>
      <w:r w:rsidRPr="00D71897">
        <w:rPr>
          <w:rStyle w:val="FootnoteReference"/>
          <w:rFonts w:ascii="Times New Roman" w:hAnsi="Times New Roman"/>
          <w:sz w:val="24"/>
        </w:rPr>
        <w:footnoteReference w:id="167"/>
      </w:r>
      <w:r w:rsidRPr="00D71897">
        <w:rPr>
          <w:rFonts w:ascii="Times New Roman" w:hAnsi="Times New Roman"/>
        </w:rPr>
        <w:t>. The Tribunal is not bound by technicalities, legal forms or rules of evidence and must act according to substantial justice and the merits of the case</w:t>
      </w:r>
      <w:r w:rsidRPr="00D71897">
        <w:rPr>
          <w:rStyle w:val="FootnoteReference"/>
          <w:rFonts w:ascii="Times New Roman" w:hAnsi="Times New Roman"/>
          <w:sz w:val="24"/>
        </w:rPr>
        <w:footnoteReference w:id="168"/>
      </w:r>
      <w:r w:rsidRPr="00D71897">
        <w:rPr>
          <w:rFonts w:ascii="Times New Roman" w:hAnsi="Times New Roman"/>
        </w:rPr>
        <w:t xml:space="preserve">. </w:t>
      </w:r>
    </w:p>
    <w:p w14:paraId="496911FD" w14:textId="5C9EF365"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conduct of the review is addressed in Div 4 of Pt 7. The natural justice hearing rule is exhaustively</w:t>
      </w:r>
      <w:r w:rsidRPr="00D71897">
        <w:rPr>
          <w:rStyle w:val="FootnoteReference"/>
          <w:rFonts w:ascii="Times New Roman" w:hAnsi="Times New Roman"/>
          <w:sz w:val="24"/>
        </w:rPr>
        <w:footnoteReference w:id="169"/>
      </w:r>
      <w:r w:rsidRPr="00D71897">
        <w:rPr>
          <w:rFonts w:ascii="Times New Roman" w:hAnsi="Times New Roman"/>
        </w:rPr>
        <w:t xml:space="preserve"> addressed in s 422B, which provides that, in</w:t>
      </w:r>
      <w:r w:rsidR="000A2282">
        <w:rPr>
          <w:rFonts w:ascii="Times New Roman" w:hAnsi="Times New Roman"/>
        </w:rPr>
        <w:t> </w:t>
      </w:r>
      <w:r w:rsidRPr="00D71897">
        <w:rPr>
          <w:rFonts w:ascii="Times New Roman" w:hAnsi="Times New Roman"/>
        </w:rPr>
        <w:t>applying Div 4, the Tribunal must act in a way that is fair and just</w:t>
      </w:r>
      <w:r w:rsidRPr="00D71897">
        <w:rPr>
          <w:rStyle w:val="FootnoteReference"/>
          <w:rFonts w:ascii="Times New Roman" w:hAnsi="Times New Roman"/>
          <w:sz w:val="24"/>
        </w:rPr>
        <w:footnoteReference w:id="170"/>
      </w:r>
      <w:r w:rsidRPr="00D71897">
        <w:rPr>
          <w:rFonts w:ascii="Times New Roman" w:hAnsi="Times New Roman"/>
        </w:rPr>
        <w:t>. Both an applicant for review, and the Secretary, may give the Registrar prescribed documents</w:t>
      </w:r>
      <w:r w:rsidRPr="00D71897">
        <w:rPr>
          <w:rStyle w:val="FootnoteReference"/>
          <w:rFonts w:ascii="Times New Roman" w:hAnsi="Times New Roman"/>
          <w:sz w:val="24"/>
        </w:rPr>
        <w:footnoteReference w:id="171"/>
      </w:r>
      <w:r w:rsidRPr="00D71897">
        <w:rPr>
          <w:rFonts w:ascii="Times New Roman" w:hAnsi="Times New Roman"/>
        </w:rPr>
        <w:t>. An applicant may give a statutory declaration in relation to any matter of fact that the applicant wishes the Tribunal to consider and written arguments relating to the issues arising in relation to the decision under review</w:t>
      </w:r>
      <w:r w:rsidRPr="00D71897">
        <w:rPr>
          <w:rStyle w:val="FootnoteReference"/>
          <w:rFonts w:ascii="Times New Roman" w:hAnsi="Times New Roman"/>
          <w:sz w:val="24"/>
        </w:rPr>
        <w:footnoteReference w:id="172"/>
      </w:r>
      <w:r w:rsidRPr="00D71897">
        <w:rPr>
          <w:rFonts w:ascii="Times New Roman" w:hAnsi="Times New Roman"/>
        </w:rPr>
        <w:t>. The Tribunal may "get any information that it considers relevant" and, if it does so, it must have regard to that information in making the decision on review</w:t>
      </w:r>
      <w:r w:rsidRPr="00D71897">
        <w:rPr>
          <w:rStyle w:val="FootnoteReference"/>
          <w:rFonts w:ascii="Times New Roman" w:hAnsi="Times New Roman"/>
          <w:sz w:val="24"/>
        </w:rPr>
        <w:footnoteReference w:id="173"/>
      </w:r>
      <w:r w:rsidRPr="00D71897">
        <w:rPr>
          <w:rFonts w:ascii="Times New Roman" w:hAnsi="Times New Roman"/>
        </w:rPr>
        <w:t>. In addition, subject to some limited exceptions, the Tribunal must invite the applicant to appear before the Tribunal to give evidence and present arguments relating to the issues arising in relation to the decision under review</w:t>
      </w:r>
      <w:r w:rsidRPr="00D71897">
        <w:rPr>
          <w:rStyle w:val="FootnoteReference"/>
          <w:rFonts w:ascii="Times New Roman" w:hAnsi="Times New Roman"/>
          <w:sz w:val="24"/>
        </w:rPr>
        <w:footnoteReference w:id="174"/>
      </w:r>
      <w:r w:rsidRPr="00D71897">
        <w:rPr>
          <w:rFonts w:ascii="Times New Roman" w:hAnsi="Times New Roman"/>
        </w:rPr>
        <w:t xml:space="preserve">. </w:t>
      </w:r>
    </w:p>
    <w:p w14:paraId="5EE3EC40"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In the present matter, against the background of the Secretary's general obligation under s 418(3) to provide the Tribunal with relevant documents, </w:t>
      </w:r>
      <w:r w:rsidRPr="00D71897">
        <w:rPr>
          <w:rFonts w:ascii="Times New Roman" w:hAnsi="Times New Roman"/>
        </w:rPr>
        <w:lastRenderedPageBreak/>
        <w:t>the</w:t>
      </w:r>
      <w:r>
        <w:rPr>
          <w:rFonts w:ascii="Times New Roman" w:hAnsi="Times New Roman"/>
        </w:rPr>
        <w:t> </w:t>
      </w:r>
      <w:r w:rsidRPr="00D71897">
        <w:rPr>
          <w:rFonts w:ascii="Times New Roman" w:hAnsi="Times New Roman"/>
        </w:rPr>
        <w:t xml:space="preserve">Secretary also provided to the Registrar documents and information under s 438 of the </w:t>
      </w:r>
      <w:r w:rsidRPr="00D71897">
        <w:rPr>
          <w:rFonts w:ascii="Times New Roman" w:hAnsi="Times New Roman"/>
          <w:i/>
        </w:rPr>
        <w:t>Migration Act</w:t>
      </w:r>
      <w:r w:rsidRPr="00D71897">
        <w:rPr>
          <w:rStyle w:val="FootnoteReference"/>
          <w:rFonts w:ascii="Times New Roman" w:hAnsi="Times New Roman"/>
          <w:sz w:val="24"/>
        </w:rPr>
        <w:footnoteReference w:id="175"/>
      </w:r>
      <w:r w:rsidRPr="00D71897">
        <w:rPr>
          <w:rFonts w:ascii="Times New Roman" w:hAnsi="Times New Roman"/>
        </w:rPr>
        <w:t xml:space="preserve">. Section 438(2) requires that, in giving the documents and information, the Secretary must notify the Tribunal that s 438 applies in relation to the specific document or information and </w:t>
      </w:r>
      <w:r w:rsidRPr="00D71897">
        <w:rPr>
          <w:rFonts w:ascii="Times New Roman" w:hAnsi="Times New Roman"/>
          <w:i/>
        </w:rPr>
        <w:t xml:space="preserve">may </w:t>
      </w:r>
      <w:r w:rsidRPr="00D71897">
        <w:rPr>
          <w:rFonts w:ascii="Times New Roman" w:hAnsi="Times New Roman"/>
        </w:rPr>
        <w:t xml:space="preserve">give the Tribunal any written advice that the Secretary thinks relevant about the significance of the document or information. The nature and contents of the documents and the information provided in this appeal have been described. </w:t>
      </w:r>
    </w:p>
    <w:p w14:paraId="68EB4F2E"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Section 438(3) is important. It provides that if the Tribunal is given a document or information and is notified under s 438(2) that the section applies to it, the Tribunal </w:t>
      </w:r>
      <w:r w:rsidRPr="00D71897">
        <w:rPr>
          <w:rFonts w:ascii="Times New Roman" w:hAnsi="Times New Roman"/>
          <w:i/>
        </w:rPr>
        <w:t>may</w:t>
      </w:r>
      <w:r w:rsidRPr="00D71897">
        <w:rPr>
          <w:rFonts w:ascii="Times New Roman" w:hAnsi="Times New Roman"/>
        </w:rPr>
        <w:t xml:space="preserve">, for the purpose of the exercise of its powers, have regard to any matter contained in the document or to the information and </w:t>
      </w:r>
      <w:r w:rsidRPr="00D71897">
        <w:rPr>
          <w:rFonts w:ascii="Times New Roman" w:hAnsi="Times New Roman"/>
          <w:i/>
        </w:rPr>
        <w:t>may</w:t>
      </w:r>
      <w:r w:rsidRPr="00D71897">
        <w:rPr>
          <w:rFonts w:ascii="Times New Roman" w:hAnsi="Times New Roman"/>
        </w:rPr>
        <w:t xml:space="preserve">, if the Tribunal thinks it appropriate to do so, disclose any matter contained in the document or the information to the applicant. </w:t>
      </w:r>
    </w:p>
    <w:p w14:paraId="26498230"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r>
      <w:r w:rsidRPr="00D71897">
        <w:rPr>
          <w:rFonts w:ascii="Times New Roman" w:hAnsi="Times New Roman"/>
          <w:i/>
        </w:rPr>
        <w:t xml:space="preserve">SZMTA </w:t>
      </w:r>
      <w:r w:rsidRPr="00D71897">
        <w:rPr>
          <w:rFonts w:ascii="Times New Roman" w:hAnsi="Times New Roman"/>
        </w:rPr>
        <w:t>established that when the Secretary notified the Tribunal in writing under s 438(2)(a) that s 438(1)(b) applied to certain information given to the Department, the Tribunal incurred an obligation of procedural fairness to disclose the fact of that notification</w:t>
      </w:r>
      <w:r w:rsidRPr="00D71897">
        <w:rPr>
          <w:rStyle w:val="FootnoteReference"/>
          <w:rFonts w:ascii="Times New Roman" w:hAnsi="Times New Roman"/>
          <w:sz w:val="24"/>
        </w:rPr>
        <w:footnoteReference w:id="176"/>
      </w:r>
      <w:r w:rsidRPr="00D71897">
        <w:rPr>
          <w:rFonts w:ascii="Times New Roman" w:hAnsi="Times New Roman"/>
        </w:rPr>
        <w:t xml:space="preserve">. But, as we have seen, the fact that such notice was not given did not necessarily give rise to jurisdictional error. The question was whether that error was immaterial to the outcome. That is a question of fact and one in respect of which the Minister discharged the onus of demonstrating that the error was immaterial. </w:t>
      </w:r>
    </w:p>
    <w:p w14:paraId="6D14232F"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documents and information provided by the Secretary under s 438 were adverse to the appellant and included reference to the appellant's conviction for giving a false name. It was common ground before Mortimer J that the nature of the "state false name" offence could contribute to a decision</w:t>
      </w:r>
      <w:r w:rsidRPr="00D71897">
        <w:rPr>
          <w:rFonts w:ascii="Times New Roman" w:hAnsi="Times New Roman"/>
        </w:rPr>
        <w:noBreakHyphen/>
        <w:t>maker forming an adverse view of the appellant's honesty.</w:t>
      </w:r>
    </w:p>
    <w:p w14:paraId="3896A14F"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Where the Tribunal makes its decision on review, the Tribunal must make a written statement that, among other things, sets out the decision of the Tribunal; sets out the reasons for the decision; sets out the findings on any material questions of fact; and refers to the evidence or other material on which the findings of fact were based</w:t>
      </w:r>
      <w:r w:rsidRPr="00D71897">
        <w:rPr>
          <w:rStyle w:val="FootnoteReference"/>
          <w:rFonts w:ascii="Times New Roman" w:hAnsi="Times New Roman"/>
          <w:sz w:val="24"/>
        </w:rPr>
        <w:footnoteReference w:id="177"/>
      </w:r>
      <w:r w:rsidRPr="00D71897">
        <w:rPr>
          <w:rFonts w:ascii="Times New Roman" w:hAnsi="Times New Roman"/>
        </w:rPr>
        <w:t xml:space="preserve">. </w:t>
      </w:r>
    </w:p>
    <w:p w14:paraId="05B7287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lastRenderedPageBreak/>
        <w:tab/>
        <w:t>The Tribunal's reasons for decision do not refer to the Tribunal, "for the purpose of the exercise of its powers, hav[ing] regard to any matter contained in the document[s], or to the information"</w:t>
      </w:r>
      <w:r w:rsidRPr="00D71897">
        <w:rPr>
          <w:rStyle w:val="FootnoteReference"/>
          <w:rFonts w:ascii="Times New Roman" w:hAnsi="Times New Roman"/>
          <w:sz w:val="24"/>
        </w:rPr>
        <w:footnoteReference w:id="178"/>
      </w:r>
      <w:r w:rsidRPr="00D71897">
        <w:rPr>
          <w:rFonts w:ascii="Times New Roman" w:hAnsi="Times New Roman"/>
        </w:rPr>
        <w:t>. There is no reference, express or implied, to the documents or the information. As Mortimer J observed in the decision below, there is nothing to indicate "that the Tribunal even turned its mind to the exercise of the powers under s 438(3)"</w:t>
      </w:r>
      <w:r w:rsidRPr="00D71897">
        <w:rPr>
          <w:rStyle w:val="FootnoteReference"/>
          <w:rFonts w:ascii="Times New Roman" w:hAnsi="Times New Roman"/>
          <w:sz w:val="24"/>
        </w:rPr>
        <w:footnoteReference w:id="179"/>
      </w:r>
      <w:r w:rsidRPr="00D71897">
        <w:rPr>
          <w:rFonts w:ascii="Times New Roman" w:hAnsi="Times New Roman"/>
        </w:rPr>
        <w:t xml:space="preserve">. </w:t>
      </w:r>
    </w:p>
    <w:p w14:paraId="5E976199"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Moreover, as Mortimer J stated, the Tribunal's reasons do not disclose any real assessment of the appellant's honesty at all</w:t>
      </w:r>
      <w:r w:rsidRPr="00D71897">
        <w:rPr>
          <w:rStyle w:val="FootnoteReference"/>
          <w:rFonts w:ascii="Times New Roman" w:hAnsi="Times New Roman"/>
          <w:sz w:val="24"/>
        </w:rPr>
        <w:footnoteReference w:id="180"/>
      </w:r>
      <w:r w:rsidRPr="00D71897">
        <w:rPr>
          <w:rFonts w:ascii="Times New Roman" w:hAnsi="Times New Roman"/>
        </w:rPr>
        <w:t>. In</w:t>
      </w:r>
      <w:r w:rsidRPr="00D71897" w:rsidDel="00A925E5">
        <w:rPr>
          <w:rFonts w:ascii="Times New Roman" w:hAnsi="Times New Roman"/>
        </w:rPr>
        <w:t xml:space="preserve"> </w:t>
      </w:r>
      <w:r w:rsidRPr="00D71897">
        <w:rPr>
          <w:rFonts w:ascii="Times New Roman" w:hAnsi="Times New Roman"/>
        </w:rPr>
        <w:t>conducting its review, the</w:t>
      </w:r>
      <w:r>
        <w:rPr>
          <w:rFonts w:ascii="Times New Roman" w:hAnsi="Times New Roman"/>
        </w:rPr>
        <w:t> </w:t>
      </w:r>
      <w:r w:rsidRPr="00D71897">
        <w:rPr>
          <w:rFonts w:ascii="Times New Roman" w:hAnsi="Times New Roman"/>
        </w:rPr>
        <w:t xml:space="preserve">Tribunal accepted many aspects of the appellant's claims. Critically, it accepted that there was a dispute between the appellant's father and uncle over land in Punjab and that when the appellant visited Amritsar in 2003 or 2004, he was taken to a house by his cousin, drugged and held there until his father arrived and paid an amount for his release. The Tribunal also accepted that after this event and until he came to Australia, the appellant stopped going to Punjab. What the Tribunal </w:t>
      </w:r>
      <w:bookmarkStart w:id="3" w:name="_Hlk66726093"/>
      <w:r w:rsidRPr="00D71897">
        <w:rPr>
          <w:rFonts w:ascii="Times New Roman" w:hAnsi="Times New Roman"/>
        </w:rPr>
        <w:t xml:space="preserve">did not accept was that the appellant had been subject to </w:t>
      </w:r>
      <w:r w:rsidRPr="00D71897">
        <w:rPr>
          <w:rFonts w:ascii="Times New Roman" w:hAnsi="Times New Roman"/>
          <w:i/>
        </w:rPr>
        <w:t>continuing</w:t>
      </w:r>
      <w:r w:rsidRPr="00D71897">
        <w:rPr>
          <w:rFonts w:ascii="Times New Roman" w:hAnsi="Times New Roman"/>
        </w:rPr>
        <w:t xml:space="preserve"> threats in relation to the land dispute or that his relatives had a </w:t>
      </w:r>
      <w:r w:rsidRPr="00D71897">
        <w:rPr>
          <w:rFonts w:ascii="Times New Roman" w:hAnsi="Times New Roman"/>
          <w:i/>
        </w:rPr>
        <w:t xml:space="preserve">continuing </w:t>
      </w:r>
      <w:r w:rsidRPr="00D71897">
        <w:rPr>
          <w:rFonts w:ascii="Times New Roman" w:hAnsi="Times New Roman"/>
        </w:rPr>
        <w:t xml:space="preserve">adverse interest in him. </w:t>
      </w:r>
      <w:bookmarkEnd w:id="3"/>
      <w:r w:rsidRPr="00D71897">
        <w:rPr>
          <w:rFonts w:ascii="Times New Roman" w:hAnsi="Times New Roman"/>
        </w:rPr>
        <w:t>As</w:t>
      </w:r>
      <w:r>
        <w:rPr>
          <w:rFonts w:ascii="Times New Roman" w:hAnsi="Times New Roman"/>
        </w:rPr>
        <w:t> </w:t>
      </w:r>
      <w:r w:rsidRPr="00D71897">
        <w:rPr>
          <w:rFonts w:ascii="Times New Roman" w:hAnsi="Times New Roman"/>
        </w:rPr>
        <w:t>the Minister submitted, the Tribunal provided three independent reasons for that finding: the appellant was able to reside in Delhi for two or three years after the kidnapping without facing any further harm from his relatives; by the time of the Tribunal's decision, some 12 or 13 years had passed since he was kidnapped; and the appellant's evidence to the Tribunal had been that, in more recent times, his father had been pressured but not actually harmed or threatened by the relatives even though he had refused to sign over the land.</w:t>
      </w:r>
    </w:p>
    <w:p w14:paraId="70880FA8"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As the Minister submitted, the Tribunal reasoned that where the land dispute had originated with the appellant's father and it was the appellant's father who had the ability to sign over the land, then if the relatives had actually wanted to harm the appellant, they would also have threatened or harmed the appellant's father. In reaching that finding, the Tribunal rejected as not "credible or plausible" the appellant's two alternative explanations for the absence of any threats of harm made against the father. The Tribunal accepted the facts relied upon by the appellant – that the father had moved to Delhi and his maternal uncle was a policeman – but found that the alternative explanations were not credible because they were not plausible. That is, the Tribunal did not accept that because the father was in Delhi rather than Punjab, this would deter the relatives from threatening or taking violent action against the father to obtain the land and, secondly, that the </w:t>
      </w:r>
      <w:r w:rsidRPr="00D71897">
        <w:rPr>
          <w:rFonts w:ascii="Times New Roman" w:hAnsi="Times New Roman"/>
        </w:rPr>
        <w:lastRenderedPageBreak/>
        <w:t xml:space="preserve">relatives would refrain from threatening the father (but would threaten or harm the appellant) because the appellant's maternal uncle was a policeman. </w:t>
      </w:r>
    </w:p>
    <w:p w14:paraId="2ECDA182"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 xml:space="preserve">Therefore, the Tribunal's rejection of the appellant's claim that he had been subject to </w:t>
      </w:r>
      <w:r w:rsidRPr="00D71897">
        <w:rPr>
          <w:rFonts w:ascii="Times New Roman" w:hAnsi="Times New Roman"/>
          <w:i/>
        </w:rPr>
        <w:t>continuing</w:t>
      </w:r>
      <w:r w:rsidRPr="00D71897">
        <w:rPr>
          <w:rFonts w:ascii="Times New Roman" w:hAnsi="Times New Roman"/>
        </w:rPr>
        <w:t xml:space="preserve"> threats in relation to the land dispute or that his relatives had a </w:t>
      </w:r>
      <w:r w:rsidRPr="00D71897">
        <w:rPr>
          <w:rFonts w:ascii="Times New Roman" w:hAnsi="Times New Roman"/>
          <w:i/>
        </w:rPr>
        <w:t xml:space="preserve">continuing </w:t>
      </w:r>
      <w:r w:rsidRPr="00D71897">
        <w:rPr>
          <w:rFonts w:ascii="Times New Roman" w:hAnsi="Times New Roman"/>
        </w:rPr>
        <w:t>adverse interest in him did not result from the Tribunal making any adverse finding regarding the appellant's honesty. As Mortimer J stated, "[t]his was a review where the Tribunal largely accepted the appellant's narrative, and his claimed circumstances, but rejected the visa application because it was not satisfied the appellant's fears were well-founded"</w:t>
      </w:r>
      <w:r w:rsidRPr="00D71897">
        <w:rPr>
          <w:rStyle w:val="FootnoteReference"/>
          <w:rFonts w:ascii="Times New Roman" w:hAnsi="Times New Roman"/>
          <w:sz w:val="24"/>
        </w:rPr>
        <w:footnoteReference w:id="181"/>
      </w:r>
      <w:r w:rsidRPr="00D71897">
        <w:rPr>
          <w:rFonts w:ascii="Times New Roman" w:hAnsi="Times New Roman"/>
        </w:rPr>
        <w:t>. It therefore is unnecessary to decide whether Mortimer J erred in holding that only "dishonesty offences" were</w:t>
      </w:r>
      <w:r>
        <w:rPr>
          <w:rFonts w:ascii="Times New Roman" w:hAnsi="Times New Roman"/>
        </w:rPr>
        <w:t> </w:t>
      </w:r>
      <w:r w:rsidRPr="00D71897">
        <w:rPr>
          <w:rFonts w:ascii="Times New Roman" w:hAnsi="Times New Roman"/>
        </w:rPr>
        <w:t xml:space="preserve">capable of impacting upon the credibility of the appellant before the Tribunal. </w:t>
      </w:r>
    </w:p>
    <w:p w14:paraId="21B9CD46" w14:textId="77777777" w:rsidR="007B5A1E" w:rsidRPr="00D71897" w:rsidRDefault="007B5A1E" w:rsidP="007B5A1E">
      <w:pPr>
        <w:pStyle w:val="FixListStyle"/>
        <w:numPr>
          <w:ilvl w:val="0"/>
          <w:numId w:val="18"/>
        </w:numPr>
        <w:spacing w:after="260" w:line="280" w:lineRule="exact"/>
        <w:ind w:left="0" w:right="0" w:hanging="720"/>
        <w:jc w:val="both"/>
        <w:rPr>
          <w:rFonts w:ascii="Times New Roman" w:hAnsi="Times New Roman"/>
        </w:rPr>
      </w:pPr>
      <w:r w:rsidRPr="00D71897">
        <w:rPr>
          <w:rFonts w:ascii="Times New Roman" w:hAnsi="Times New Roman"/>
        </w:rPr>
        <w:tab/>
        <w:t>The Minister thus established that the denial of procedural fairness was immaterial: compliance with the condition would not have made a difference to the decision that was made.</w:t>
      </w:r>
    </w:p>
    <w:p w14:paraId="7004B01F" w14:textId="77777777" w:rsidR="007B5A1E" w:rsidRPr="00D71897" w:rsidRDefault="007B5A1E" w:rsidP="00D71897">
      <w:pPr>
        <w:pStyle w:val="HeadingL1"/>
        <w:spacing w:after="260" w:line="280" w:lineRule="exact"/>
        <w:ind w:right="0"/>
        <w:jc w:val="both"/>
        <w:rPr>
          <w:rFonts w:ascii="Times New Roman" w:hAnsi="Times New Roman"/>
        </w:rPr>
      </w:pPr>
      <w:r w:rsidRPr="00D71897">
        <w:rPr>
          <w:rFonts w:ascii="Times New Roman" w:hAnsi="Times New Roman"/>
        </w:rPr>
        <w:t>Conclusion and orders</w:t>
      </w:r>
    </w:p>
    <w:p w14:paraId="21F64109" w14:textId="7F03B6CD" w:rsidR="007B5A1E" w:rsidRPr="007B5A1E" w:rsidRDefault="007B5A1E" w:rsidP="00A93606">
      <w:pPr>
        <w:pStyle w:val="FixListStyle"/>
        <w:numPr>
          <w:ilvl w:val="0"/>
          <w:numId w:val="18"/>
        </w:numPr>
        <w:spacing w:after="260" w:line="280" w:lineRule="exact"/>
        <w:ind w:left="0" w:right="0" w:hanging="720"/>
        <w:jc w:val="both"/>
        <w:rPr>
          <w:rFonts w:ascii="Times New Roman" w:hAnsi="Times New Roman"/>
        </w:rPr>
      </w:pPr>
      <w:r w:rsidRPr="007B5A1E">
        <w:rPr>
          <w:rFonts w:ascii="Times New Roman" w:hAnsi="Times New Roman"/>
        </w:rPr>
        <w:tab/>
        <w:t>The appeal is dismissed with costs.</w:t>
      </w:r>
    </w:p>
    <w:p w14:paraId="01B458C3" w14:textId="77777777" w:rsidR="007B5A1E" w:rsidRDefault="007B5A1E" w:rsidP="005E1802">
      <w:pPr>
        <w:pStyle w:val="FixListStyle"/>
        <w:spacing w:after="260" w:line="280" w:lineRule="exact"/>
        <w:ind w:right="0"/>
        <w:jc w:val="both"/>
        <w:rPr>
          <w:rFonts w:ascii="Times New Roman" w:hAnsi="Times New Roman"/>
        </w:rPr>
        <w:sectPr w:rsidR="007B5A1E" w:rsidSect="007B5A1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492AF0C" w14:textId="77777777" w:rsidR="007B5A1E" w:rsidRPr="00BB73AE" w:rsidRDefault="007B5A1E" w:rsidP="00BB73AE">
      <w:pPr>
        <w:pStyle w:val="NormalBody"/>
        <w:tabs>
          <w:tab w:val="clear" w:pos="720"/>
          <w:tab w:val="left" w:pos="0"/>
        </w:tabs>
        <w:spacing w:after="260" w:line="280" w:lineRule="exact"/>
        <w:ind w:right="0"/>
        <w:jc w:val="both"/>
        <w:rPr>
          <w:rFonts w:ascii="Times New Roman" w:hAnsi="Times New Roman"/>
        </w:rPr>
      </w:pPr>
      <w:r w:rsidRPr="00BB73AE">
        <w:rPr>
          <w:rFonts w:ascii="Times New Roman" w:hAnsi="Times New Roman"/>
        </w:rPr>
        <w:lastRenderedPageBreak/>
        <w:t xml:space="preserve">EDELMAN J.   </w:t>
      </w:r>
    </w:p>
    <w:p w14:paraId="6A524ABB" w14:textId="77777777" w:rsidR="007B5A1E" w:rsidRPr="00BB73AE" w:rsidRDefault="007B5A1E" w:rsidP="00BB73AE">
      <w:pPr>
        <w:pStyle w:val="HeadingL1"/>
        <w:spacing w:after="260" w:line="280" w:lineRule="exact"/>
        <w:ind w:right="0"/>
        <w:jc w:val="both"/>
        <w:rPr>
          <w:rFonts w:ascii="Times New Roman" w:hAnsi="Times New Roman"/>
        </w:rPr>
      </w:pPr>
      <w:r w:rsidRPr="00BB73AE">
        <w:rPr>
          <w:rFonts w:ascii="Times New Roman" w:hAnsi="Times New Roman"/>
        </w:rPr>
        <w:t>Introduction</w:t>
      </w:r>
    </w:p>
    <w:p w14:paraId="7209CCEF"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I have had the considerable benefit of reading both the joint reasons of Kiefel CJ, Gageler, Keane and Gleeson JJ and the joint reasons of Gordon and Steward JJ. The central issue of distinction between those reasons, and the principal point of law in issue on this appeal, concerns the party who bears the onus of proof in relation to the materiality of non</w:t>
      </w:r>
      <w:r w:rsidRPr="00BB73AE">
        <w:rPr>
          <w:rFonts w:ascii="Times New Roman" w:hAnsi="Times New Roman"/>
        </w:rPr>
        <w:noBreakHyphen/>
        <w:t>compliance with a statutory condition. Kiefel CJ, Gageler, Keane and Gleeson JJ conclude that the onus of proof is borne by the party seeking to prove that the non-compliance was material and therefore was jurisdictional. Gordon and Steward JJ conclude that the onus of proof is borne by the party asserting immateriality and denying that the non</w:t>
      </w:r>
      <w:r w:rsidRPr="00BB73AE">
        <w:rPr>
          <w:rFonts w:ascii="Times New Roman" w:hAnsi="Times New Roman"/>
        </w:rPr>
        <w:noBreakHyphen/>
        <w:t>compliance was jurisdictional.</w:t>
      </w:r>
    </w:p>
    <w:p w14:paraId="7D07E754"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For reasons of history, authority, principle, and coherence, I consider that the better approach to the onus of proof in this case, concerning a denial of procedural fairness in a review under Pt 7 of the </w:t>
      </w:r>
      <w:r w:rsidRPr="00BB73AE">
        <w:rPr>
          <w:rFonts w:ascii="Times New Roman" w:hAnsi="Times New Roman"/>
          <w:i/>
          <w:iCs/>
        </w:rPr>
        <w:t>Migration Act 1958</w:t>
      </w:r>
      <w:r w:rsidRPr="00BB73AE">
        <w:rPr>
          <w:rFonts w:ascii="Times New Roman" w:hAnsi="Times New Roman"/>
          <w:iCs/>
        </w:rPr>
        <w:t> (Cth),</w:t>
      </w:r>
      <w:r w:rsidRPr="00BB73AE">
        <w:rPr>
          <w:rFonts w:ascii="Times New Roman" w:hAnsi="Times New Roman"/>
          <w:i/>
          <w:iCs/>
        </w:rPr>
        <w:t xml:space="preserve"> </w:t>
      </w:r>
      <w:r w:rsidRPr="00BB73AE">
        <w:rPr>
          <w:rFonts w:ascii="Times New Roman" w:hAnsi="Times New Roman"/>
        </w:rPr>
        <w:t>is that of Gordon and Steward JJ. Given the strength with which the opposing views have been expressed, it is necessary to explain why the same reasons of history, authority, principle, and coherence that require the usual implication of a requirement of materiality before a court will conclude that non-compliance with a statutory condition will lead to invalidity also usually require that the onus of proof is upon the party asserting immateriality.</w:t>
      </w:r>
    </w:p>
    <w:p w14:paraId="3342811F"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Ultimately, however, my different conclusion from that of Kiefel CJ, Gageler, Keane and Gleeson JJ on the onus of proof might have little practical effect for three reasons. First, any conclusion on onus of proof is not capable of universal generalisation. Just as the source of a statutory condition upon a duty, power, or function is derived expressly or impliedly from the statute, so too is the requirement of materiality and the onus of proof for materiality derived expressly or impliedly from the statute. As the courts of the United States have long recognised, the location of the onus will depend upon the terms and context of the statute. In criminal cases in the United States, like Australia, it has been held that the onus lies upon the government to prove immateriality because the result will "deprive an individual of his liberty"</w:t>
      </w:r>
      <w:r w:rsidRPr="00BB73AE">
        <w:rPr>
          <w:rStyle w:val="FootnoteReference"/>
          <w:rFonts w:ascii="Times New Roman" w:hAnsi="Times New Roman"/>
          <w:sz w:val="24"/>
        </w:rPr>
        <w:footnoteReference w:id="182"/>
      </w:r>
      <w:r w:rsidRPr="00BB73AE">
        <w:rPr>
          <w:rFonts w:ascii="Times New Roman" w:hAnsi="Times New Roman"/>
        </w:rPr>
        <w:t xml:space="preserve">. In civil cases in the United States, unlike Australia, the general approach is that the person "who </w:t>
      </w:r>
      <w:r w:rsidRPr="00BB73AE">
        <w:rPr>
          <w:rStyle w:val="headertext"/>
          <w:rFonts w:ascii="Times New Roman" w:hAnsi="Times New Roman"/>
        </w:rPr>
        <w:t>seeks to have a judgment set aside because of an erroneous ruling carries the burden of showing that prejudice resulted"</w:t>
      </w:r>
      <w:r w:rsidRPr="00BB73AE">
        <w:rPr>
          <w:rStyle w:val="FootnoteReference"/>
          <w:rFonts w:ascii="Times New Roman" w:hAnsi="Times New Roman"/>
          <w:sz w:val="24"/>
        </w:rPr>
        <w:footnoteReference w:id="183"/>
      </w:r>
      <w:r w:rsidRPr="00BB73AE">
        <w:rPr>
          <w:rStyle w:val="headertext"/>
          <w:rFonts w:ascii="Times New Roman" w:hAnsi="Times New Roman"/>
        </w:rPr>
        <w:t>. But there are no "hard</w:t>
      </w:r>
      <w:r w:rsidRPr="00BB73AE">
        <w:rPr>
          <w:rStyle w:val="headertext"/>
          <w:rFonts w:ascii="Times New Roman" w:hAnsi="Times New Roman"/>
        </w:rPr>
        <w:noBreakHyphen/>
        <w:t>and</w:t>
      </w:r>
      <w:r w:rsidRPr="00BB73AE">
        <w:rPr>
          <w:rStyle w:val="headertext"/>
          <w:rFonts w:ascii="Times New Roman" w:hAnsi="Times New Roman"/>
        </w:rPr>
        <w:noBreakHyphen/>
        <w:t xml:space="preserve">fast standards governing the </w:t>
      </w:r>
      <w:r w:rsidRPr="00BB73AE">
        <w:rPr>
          <w:rStyle w:val="headertext"/>
          <w:rFonts w:ascii="Times New Roman" w:hAnsi="Times New Roman"/>
        </w:rPr>
        <w:lastRenderedPageBreak/>
        <w:t>allocation of the burden of proof in every situation"</w:t>
      </w:r>
      <w:r w:rsidRPr="00BB73AE">
        <w:rPr>
          <w:rStyle w:val="FootnoteReference"/>
          <w:rFonts w:ascii="Times New Roman" w:hAnsi="Times New Roman"/>
          <w:sz w:val="24"/>
        </w:rPr>
        <w:footnoteReference w:id="184"/>
      </w:r>
      <w:r w:rsidRPr="00BB73AE">
        <w:rPr>
          <w:rStyle w:val="headertext"/>
          <w:rFonts w:ascii="Times New Roman" w:hAnsi="Times New Roman"/>
        </w:rPr>
        <w:t>. The different general rule on onus of proof in civil and administrative cases in the United States might not apply depending "</w:t>
      </w:r>
      <w:r w:rsidRPr="00BB73AE">
        <w:rPr>
          <w:rFonts w:ascii="Times New Roman" w:hAnsi="Times New Roman"/>
        </w:rPr>
        <w:t>on the statutory setting or specific sort of mistake made"</w:t>
      </w:r>
      <w:r w:rsidRPr="00BB73AE">
        <w:rPr>
          <w:rStyle w:val="FootnoteReference"/>
          <w:rFonts w:ascii="Times New Roman" w:hAnsi="Times New Roman"/>
          <w:sz w:val="24"/>
        </w:rPr>
        <w:footnoteReference w:id="185"/>
      </w:r>
      <w:r w:rsidRPr="00BB73AE">
        <w:rPr>
          <w:rFonts w:ascii="Times New Roman" w:hAnsi="Times New Roman"/>
        </w:rPr>
        <w:t>.</w:t>
      </w:r>
    </w:p>
    <w:p w14:paraId="196042A1"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Secondly, irrespective of the location of the onus, as was observed more than a half century ago in the United States, the court still has the duty "to determine whether the error affected the judgment"</w:t>
      </w:r>
      <w:r w:rsidRPr="00BB73AE">
        <w:rPr>
          <w:rStyle w:val="FootnoteReference"/>
          <w:rFonts w:ascii="Times New Roman" w:hAnsi="Times New Roman"/>
          <w:sz w:val="24"/>
        </w:rPr>
        <w:footnoteReference w:id="186"/>
      </w:r>
      <w:r w:rsidRPr="00BB73AE">
        <w:rPr>
          <w:rFonts w:ascii="Times New Roman" w:hAnsi="Times New Roman"/>
        </w:rPr>
        <w:t>. A similar point was made in this Court by Dixon CJ</w:t>
      </w:r>
      <w:r w:rsidRPr="00BB73AE">
        <w:rPr>
          <w:rStyle w:val="FootnoteReference"/>
          <w:rFonts w:ascii="Times New Roman" w:hAnsi="Times New Roman"/>
          <w:sz w:val="24"/>
        </w:rPr>
        <w:footnoteReference w:id="187"/>
      </w:r>
      <w:r w:rsidRPr="00BB73AE">
        <w:rPr>
          <w:rFonts w:ascii="Times New Roman" w:hAnsi="Times New Roman"/>
        </w:rPr>
        <w:t>. In this context, the question of onus may not usually be one that has any real consequence and might make little difference to the outcome of any case. It makes no difference to the result in this case. And in many other cases the low bar to establishing materiality means that, on the approach of Kiefel CJ, Gageler, Keane and Gleeson JJ, it will be sufficient to point to any role that non</w:t>
      </w:r>
      <w:r w:rsidRPr="00BB73AE">
        <w:rPr>
          <w:rFonts w:ascii="Times New Roman" w:hAnsi="Times New Roman"/>
        </w:rPr>
        <w:noBreakHyphen/>
        <w:t>compliance with a statutory condition played in the decision</w:t>
      </w:r>
      <w:r w:rsidRPr="00BB73AE">
        <w:rPr>
          <w:rFonts w:ascii="Times New Roman" w:hAnsi="Times New Roman"/>
        </w:rPr>
        <w:noBreakHyphen/>
        <w:t>making process to ground the conclusion that the result reached by the decision-maker was not inevitable.</w:t>
      </w:r>
    </w:p>
    <w:p w14:paraId="1CE8CF17"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Thirdly, even in cases where the location of the onus of proof might make a difference, such as a rare case where evidence is necessary to establish the effect that non-compliance would have had upon the decision</w:t>
      </w:r>
      <w:r w:rsidRPr="00BB73AE">
        <w:rPr>
          <w:rFonts w:ascii="Times New Roman" w:hAnsi="Times New Roman"/>
        </w:rPr>
        <w:noBreakHyphen/>
        <w:t>making process, a review court will usually apply the general principle that the extent of an onus will depend upon the capacity of a party to adduce evidence</w:t>
      </w:r>
      <w:r w:rsidRPr="00BB73AE">
        <w:rPr>
          <w:rStyle w:val="FootnoteReference"/>
          <w:rFonts w:ascii="Times New Roman" w:hAnsi="Times New Roman"/>
          <w:sz w:val="24"/>
        </w:rPr>
        <w:footnoteReference w:id="188"/>
      </w:r>
      <w:r w:rsidRPr="00BB73AE">
        <w:rPr>
          <w:rFonts w:ascii="Times New Roman" w:hAnsi="Times New Roman"/>
        </w:rPr>
        <w:t>. "[S]light evidence may be enough"</w:t>
      </w:r>
      <w:r w:rsidRPr="00BB73AE">
        <w:rPr>
          <w:rStyle w:val="FootnoteReference"/>
          <w:rFonts w:ascii="Times New Roman" w:hAnsi="Times New Roman"/>
          <w:sz w:val="24"/>
        </w:rPr>
        <w:footnoteReference w:id="189"/>
      </w:r>
      <w:r w:rsidRPr="00BB73AE">
        <w:rPr>
          <w:rFonts w:ascii="Times New Roman" w:hAnsi="Times New Roman"/>
        </w:rPr>
        <w:t>.</w:t>
      </w:r>
    </w:p>
    <w:p w14:paraId="2A5D6C77" w14:textId="77777777" w:rsidR="007B5A1E" w:rsidRPr="00BB73AE" w:rsidRDefault="007B5A1E" w:rsidP="00BB73AE">
      <w:pPr>
        <w:pStyle w:val="HeadingL1"/>
        <w:spacing w:after="260" w:line="280" w:lineRule="exact"/>
        <w:ind w:right="0"/>
        <w:jc w:val="both"/>
        <w:rPr>
          <w:rFonts w:ascii="Times New Roman" w:hAnsi="Times New Roman"/>
        </w:rPr>
      </w:pPr>
      <w:r w:rsidRPr="00BB73AE">
        <w:rPr>
          <w:rFonts w:ascii="Times New Roman" w:hAnsi="Times New Roman"/>
        </w:rPr>
        <w:t>The distinction between a threshold for a ground of review and "materiality"</w:t>
      </w:r>
    </w:p>
    <w:p w14:paraId="5D16D32A"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As Gordon and Steward JJ explain</w:t>
      </w:r>
      <w:r w:rsidRPr="00BB73AE">
        <w:rPr>
          <w:rStyle w:val="FootnoteReference"/>
          <w:rFonts w:ascii="Times New Roman" w:hAnsi="Times New Roman"/>
          <w:sz w:val="24"/>
        </w:rPr>
        <w:footnoteReference w:id="190"/>
      </w:r>
      <w:r w:rsidRPr="00BB73AE">
        <w:rPr>
          <w:rFonts w:ascii="Times New Roman" w:hAnsi="Times New Roman"/>
        </w:rPr>
        <w:t>, there are evidently two steps that must be taken before a conclusion of jurisdictional error is reached. This section of these reasons is concerned with the first step. Before any issue of materiality can arise an applicant must establish that there has been non</w:t>
      </w:r>
      <w:r w:rsidRPr="00BB73AE">
        <w:rPr>
          <w:rFonts w:ascii="Times New Roman" w:hAnsi="Times New Roman"/>
        </w:rPr>
        <w:noBreakHyphen/>
        <w:t xml:space="preserve">compliance with a statutory condition or, put more loosely, that there has been an error capable of </w:t>
      </w:r>
      <w:r w:rsidRPr="00BB73AE">
        <w:rPr>
          <w:rFonts w:ascii="Times New Roman" w:hAnsi="Times New Roman"/>
        </w:rPr>
        <w:lastRenderedPageBreak/>
        <w:t>being a jurisdictional error. There will often be a threshold requirement of injustice before it is concluded that there has been non</w:t>
      </w:r>
      <w:r w:rsidRPr="00BB73AE">
        <w:rPr>
          <w:rFonts w:ascii="Times New Roman" w:hAnsi="Times New Roman"/>
        </w:rPr>
        <w:noBreakHyphen/>
        <w:t>compliance with a statutory condition. For instance, a statutory condition that requires a decision</w:t>
      </w:r>
      <w:r w:rsidRPr="00BB73AE">
        <w:rPr>
          <w:rFonts w:ascii="Times New Roman" w:hAnsi="Times New Roman"/>
        </w:rPr>
        <w:noBreakHyphen/>
        <w:t>maker to have regard to mandatory relevant considerations usually involves a threshold which material must cross before it reaches the standard of relevance. To take one definition of relevant material, it must be material that "if it were accepted, could rationally affect (directly or indirectly) the assessment of the probability of the existence of a fact in issue in the proceeding"</w:t>
      </w:r>
      <w:r w:rsidRPr="00BB73AE">
        <w:rPr>
          <w:rStyle w:val="FootnoteReference"/>
          <w:rFonts w:ascii="Times New Roman" w:hAnsi="Times New Roman"/>
          <w:sz w:val="24"/>
        </w:rPr>
        <w:footnoteReference w:id="191"/>
      </w:r>
      <w:r w:rsidRPr="00BB73AE">
        <w:rPr>
          <w:rFonts w:ascii="Times New Roman" w:hAnsi="Times New Roman"/>
        </w:rPr>
        <w:t>. Once relevance is established, a decision</w:t>
      </w:r>
      <w:r w:rsidRPr="00BB73AE">
        <w:rPr>
          <w:rFonts w:ascii="Times New Roman" w:hAnsi="Times New Roman"/>
        </w:rPr>
        <w:noBreakHyphen/>
        <w:t>maker's failure to consider such material will meet the threshold of injustice so as to be capable of being a jurisdictional error.</w:t>
      </w:r>
    </w:p>
    <w:p w14:paraId="4FAFEC77"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statutory condition of procedural fairness is another example of a condition that contains a threshold requirement before there will be failure to comply. Any procedural irregularity must reach a threshold of sufficient injustice before procedural unfairness will be found to exist. For instance, a person "does not have to be given an opportunity to comment on every adverse piece of information, irrespective of its credibility, relevance or significance"</w:t>
      </w:r>
      <w:r w:rsidRPr="00BB73AE">
        <w:rPr>
          <w:rStyle w:val="FootnoteReference"/>
          <w:rFonts w:ascii="Times New Roman" w:hAnsi="Times New Roman"/>
          <w:sz w:val="24"/>
        </w:rPr>
        <w:footnoteReference w:id="192"/>
      </w:r>
      <w:r w:rsidRPr="00BB73AE">
        <w:rPr>
          <w:rFonts w:ascii="Times New Roman" w:hAnsi="Times New Roman"/>
        </w:rPr>
        <w:t xml:space="preserve">. The threshold of injustice that is necessary for an obligation of procedural fairness can be understood as a need to establish that an irregularity is </w:t>
      </w:r>
      <w:r w:rsidRPr="00BB73AE">
        <w:rPr>
          <w:rFonts w:ascii="Times New Roman" w:hAnsi="Times New Roman"/>
          <w:i/>
          <w:iCs/>
        </w:rPr>
        <w:t xml:space="preserve">capable </w:t>
      </w:r>
      <w:r w:rsidRPr="00BB73AE">
        <w:rPr>
          <w:rFonts w:ascii="Times New Roman" w:hAnsi="Times New Roman"/>
        </w:rPr>
        <w:t>of causing "practical injustice"</w:t>
      </w:r>
      <w:r w:rsidRPr="00BB73AE">
        <w:rPr>
          <w:rStyle w:val="FootnoteReference"/>
          <w:rFonts w:ascii="Times New Roman" w:hAnsi="Times New Roman"/>
          <w:sz w:val="24"/>
        </w:rPr>
        <w:footnoteReference w:id="193"/>
      </w:r>
      <w:r w:rsidRPr="00BB73AE">
        <w:rPr>
          <w:rFonts w:ascii="Times New Roman" w:hAnsi="Times New Roman"/>
        </w:rPr>
        <w:t>. Without the possibility of practical injustice, a procedural irregularity will not involve procedural unfairness.</w:t>
      </w:r>
    </w:p>
    <w:p w14:paraId="2B0F74E3"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An applicant bears the onus of proving procedural unfairness and therefore must bear the onus of proving that an irregularity constitutes procedural unfairness. It will usually be sufficient to point to the seriousness of the irregularity to establish that it is capable of producing practical injustice. This is, emphatically, not an inquiry into whether the actual result might have been different. It is an inquiry into whether the irregularity reached the threshold of "error". The same principle applies to irregularities in civil trials: the capacity to cause practical injustice is established once it is concluded that evidence that was admitted was inadmissible, and the party against whom it was tendered has "a prima-facie right to a new trial", with a separate, and different, question being whether that right can be "displaced" </w:t>
      </w:r>
      <w:r w:rsidRPr="00BB73AE">
        <w:rPr>
          <w:rFonts w:ascii="Times New Roman" w:hAnsi="Times New Roman"/>
        </w:rPr>
        <w:lastRenderedPageBreak/>
        <w:t>if "the evidence erroneously admitted cannot reasonably be supposed to have affected the result"</w:t>
      </w:r>
      <w:r w:rsidRPr="00BB73AE">
        <w:rPr>
          <w:rStyle w:val="FootnoteReference"/>
          <w:rFonts w:ascii="Times New Roman" w:hAnsi="Times New Roman"/>
          <w:sz w:val="24"/>
        </w:rPr>
        <w:footnoteReference w:id="194"/>
      </w:r>
      <w:r w:rsidRPr="00BB73AE">
        <w:rPr>
          <w:rFonts w:ascii="Times New Roman" w:hAnsi="Times New Roman"/>
        </w:rPr>
        <w:t>.</w:t>
      </w:r>
    </w:p>
    <w:p w14:paraId="0B03F24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same principle also applies to errors of law or miscarriages of justice in criminal trials. Again, the capacity for practical injustice is inherent in the rules which establish when an irregularity is an error of law. But, once the threshold is reached, the appellant has a prima facie right to have the appeal allowed; a separate question is whether the error could not have affected the result</w:t>
      </w:r>
      <w:r w:rsidRPr="00BB73AE">
        <w:rPr>
          <w:rStyle w:val="FootnoteReference"/>
          <w:rFonts w:ascii="Times New Roman" w:hAnsi="Times New Roman"/>
          <w:sz w:val="24"/>
        </w:rPr>
        <w:footnoteReference w:id="195"/>
      </w:r>
      <w:r w:rsidRPr="00BB73AE">
        <w:rPr>
          <w:rFonts w:ascii="Times New Roman" w:hAnsi="Times New Roman"/>
        </w:rPr>
        <w:t>. Again, a miscarriage of justice, not falling within the category of an "error of law", still requires the capacity for practical injustice: a "departure from [a] trial according to law"</w:t>
      </w:r>
      <w:r w:rsidRPr="00BB73AE">
        <w:rPr>
          <w:rStyle w:val="FootnoteReference"/>
          <w:rFonts w:ascii="Times New Roman" w:hAnsi="Times New Roman"/>
          <w:sz w:val="24"/>
        </w:rPr>
        <w:footnoteReference w:id="196"/>
      </w:r>
      <w:r w:rsidRPr="00BB73AE">
        <w:rPr>
          <w:rFonts w:ascii="Times New Roman" w:hAnsi="Times New Roman"/>
        </w:rPr>
        <w:t xml:space="preserve">. Expressed in different terms, but amounting to the same thing, this can be shown by demonstration that something "has gone wrong and which was </w:t>
      </w:r>
      <w:r w:rsidRPr="00BB73AE">
        <w:rPr>
          <w:rFonts w:ascii="Times New Roman" w:hAnsi="Times New Roman"/>
          <w:i/>
          <w:iCs/>
        </w:rPr>
        <w:t xml:space="preserve">capable </w:t>
      </w:r>
      <w:r w:rsidRPr="00BB73AE">
        <w:rPr>
          <w:rFonts w:ascii="Times New Roman" w:hAnsi="Times New Roman"/>
        </w:rPr>
        <w:t xml:space="preserve">of affecting the result of the trial", which, again, is separate from a question of whether "that potentially adverse effect on the result may </w:t>
      </w:r>
      <w:r w:rsidRPr="00BB73AE">
        <w:rPr>
          <w:rFonts w:ascii="Times New Roman" w:hAnsi="Times New Roman"/>
          <w:i/>
          <w:iCs/>
        </w:rPr>
        <w:t>actually</w:t>
      </w:r>
      <w:r w:rsidRPr="00BB73AE">
        <w:rPr>
          <w:rFonts w:ascii="Times New Roman" w:hAnsi="Times New Roman"/>
        </w:rPr>
        <w:t>, that is, in reality, have occurred"</w:t>
      </w:r>
      <w:r w:rsidRPr="00BB73AE">
        <w:rPr>
          <w:rStyle w:val="FootnoteReference"/>
          <w:rFonts w:ascii="Times New Roman" w:hAnsi="Times New Roman"/>
          <w:sz w:val="24"/>
        </w:rPr>
        <w:footnoteReference w:id="197"/>
      </w:r>
      <w:r w:rsidRPr="00BB73AE">
        <w:rPr>
          <w:rFonts w:ascii="Times New Roman" w:hAnsi="Times New Roman"/>
        </w:rPr>
        <w:t xml:space="preserve">. As Gleeson CJ explained during oral argument in </w:t>
      </w:r>
      <w:r w:rsidRPr="00BB73AE">
        <w:rPr>
          <w:rFonts w:ascii="Times New Roman" w:hAnsi="Times New Roman"/>
          <w:i/>
        </w:rPr>
        <w:t>Weiss v The Queen</w:t>
      </w:r>
      <w:r w:rsidRPr="00BB73AE">
        <w:rPr>
          <w:rStyle w:val="FootnoteReference"/>
          <w:rFonts w:ascii="Times New Roman" w:hAnsi="Times New Roman"/>
          <w:sz w:val="24"/>
        </w:rPr>
        <w:footnoteReference w:id="198"/>
      </w:r>
      <w:r w:rsidRPr="00BB73AE">
        <w:rPr>
          <w:rFonts w:ascii="Times New Roman" w:hAnsi="Times New Roman"/>
          <w:iCs/>
        </w:rPr>
        <w:t>,</w:t>
      </w:r>
      <w:r w:rsidRPr="00BB73AE">
        <w:rPr>
          <w:rFonts w:ascii="Times New Roman" w:hAnsi="Times New Roman"/>
          <w:i/>
          <w:iCs/>
        </w:rPr>
        <w:t xml:space="preserve"> </w:t>
      </w:r>
      <w:r w:rsidRPr="00BB73AE">
        <w:rPr>
          <w:rFonts w:ascii="Times New Roman" w:hAnsi="Times New Roman"/>
        </w:rPr>
        <w:t>the erroneous admission of evidence of a fact is a miscarriage of justice, with a separate question being whether the miscarriage is shown not to be substantial, or material, such as where the accused later gives evidence admitting the same fact.</w:t>
      </w:r>
    </w:p>
    <w:p w14:paraId="317217AF"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There is room to doubt whether the irregularities identified in </w:t>
      </w:r>
      <w:r w:rsidRPr="00BB73AE">
        <w:rPr>
          <w:rFonts w:ascii="Times New Roman" w:hAnsi="Times New Roman"/>
          <w:i/>
          <w:iCs/>
        </w:rPr>
        <w:t>Minister for Immigration and Border Protection v SZMTA</w:t>
      </w:r>
      <w:r w:rsidRPr="00BB73AE">
        <w:rPr>
          <w:rStyle w:val="FootnoteReference"/>
          <w:rFonts w:ascii="Times New Roman" w:hAnsi="Times New Roman"/>
          <w:sz w:val="24"/>
        </w:rPr>
        <w:footnoteReference w:id="199"/>
      </w:r>
      <w:r w:rsidRPr="00BB73AE">
        <w:rPr>
          <w:rFonts w:ascii="Times New Roman" w:hAnsi="Times New Roman"/>
        </w:rPr>
        <w:t xml:space="preserve"> were really circumstances where there was a capacity to cause practical injustice so that procedural unfairness existed. In two of the appeals considered by this Court in </w:t>
      </w:r>
      <w:r w:rsidRPr="00BB73AE">
        <w:rPr>
          <w:rFonts w:ascii="Times New Roman" w:hAnsi="Times New Roman"/>
          <w:i/>
          <w:iCs/>
        </w:rPr>
        <w:t>SZMTA</w:t>
      </w:r>
      <w:r w:rsidRPr="00BB73AE">
        <w:rPr>
          <w:rFonts w:ascii="Times New Roman" w:hAnsi="Times New Roman"/>
        </w:rPr>
        <w:t xml:space="preserve"> it was assumed by the Minister</w:t>
      </w:r>
      <w:r w:rsidRPr="00BB73AE">
        <w:rPr>
          <w:rStyle w:val="FootnoteReference"/>
          <w:rFonts w:ascii="Times New Roman" w:hAnsi="Times New Roman"/>
          <w:sz w:val="24"/>
        </w:rPr>
        <w:footnoteReference w:id="200"/>
      </w:r>
      <w:r w:rsidRPr="00BB73AE">
        <w:rPr>
          <w:rFonts w:ascii="Times New Roman" w:hAnsi="Times New Roman"/>
        </w:rPr>
        <w:t xml:space="preserve"> that it was procedurally unfair for the Tribunal not to disclose to the applicant the mere fact that the Tribunal had been notified by the Secretary that s 438 of the </w:t>
      </w:r>
      <w:r w:rsidRPr="00BB73AE">
        <w:rPr>
          <w:rFonts w:ascii="Times New Roman" w:hAnsi="Times New Roman"/>
          <w:i/>
          <w:iCs/>
        </w:rPr>
        <w:t xml:space="preserve">Migration Act </w:t>
      </w:r>
      <w:r w:rsidRPr="00BB73AE">
        <w:rPr>
          <w:rFonts w:ascii="Times New Roman" w:hAnsi="Times New Roman"/>
        </w:rPr>
        <w:t xml:space="preserve">applied to certain information or documents which the Secretary had given the Tribunal. The notification that was not disclosed to the applicants contained no relevant information concerning their claims. </w:t>
      </w:r>
      <w:r w:rsidRPr="00BB73AE">
        <w:rPr>
          <w:rFonts w:ascii="Times New Roman" w:hAnsi="Times New Roman"/>
        </w:rPr>
        <w:lastRenderedPageBreak/>
        <w:t>The "procedural context" was undoubtedly altered</w:t>
      </w:r>
      <w:r w:rsidRPr="00BB73AE">
        <w:rPr>
          <w:rStyle w:val="FootnoteReference"/>
          <w:rFonts w:ascii="Times New Roman" w:hAnsi="Times New Roman"/>
          <w:sz w:val="24"/>
        </w:rPr>
        <w:footnoteReference w:id="201"/>
      </w:r>
      <w:r w:rsidRPr="00BB73AE">
        <w:rPr>
          <w:rFonts w:ascii="Times New Roman" w:hAnsi="Times New Roman"/>
        </w:rPr>
        <w:t xml:space="preserve"> but it might be questioned whether that procedural irregularity was capable of producing practical unfairness. Equally, there might be room to doubt whether the failure to notify in this case was really a circumstance that was capable of producing practical injustice. But, since it was common ground that the failure to notify in this case was a denial of procedural fairness, this point need not be further considered.</w:t>
      </w:r>
    </w:p>
    <w:p w14:paraId="01036D8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Once an applicant establishes that an administrative action has involved non-compliance with a statutory condition there is a further issue to consider before that non-compliance will lead to invalidity. This further issue is materiality. The concept of materiality – or harmless error, as it is sometimes described in the United States – is not concerned with whether there has been non</w:t>
      </w:r>
      <w:r w:rsidRPr="00BB73AE">
        <w:rPr>
          <w:rFonts w:ascii="Times New Roman" w:hAnsi="Times New Roman"/>
        </w:rPr>
        <w:noBreakHyphen/>
        <w:t>compliance with an express or implied statutory condition. Instead, it is concerned with whether Parliament intended that non</w:t>
      </w:r>
      <w:r w:rsidRPr="00BB73AE">
        <w:rPr>
          <w:rFonts w:ascii="Times New Roman" w:hAnsi="Times New Roman"/>
        </w:rPr>
        <w:noBreakHyphen/>
        <w:t>compliance will have the effect that a decision is beyond power and thus invalid. Where the statutory condition is not fundamental then the usual focus is upon whether the non-compliance might possibly have affected the decision</w:t>
      </w:r>
      <w:r w:rsidRPr="00BB73AE">
        <w:rPr>
          <w:rStyle w:val="FootnoteReference"/>
          <w:rFonts w:ascii="Times New Roman" w:hAnsi="Times New Roman"/>
          <w:sz w:val="24"/>
        </w:rPr>
        <w:footnoteReference w:id="202"/>
      </w:r>
      <w:r w:rsidRPr="00BB73AE">
        <w:rPr>
          <w:rFonts w:ascii="Times New Roman" w:hAnsi="Times New Roman"/>
        </w:rPr>
        <w:t>. For instance, if a mandatory consideration is not intended to be a fundamental condition then non-compliance in a trivial way will not invalidate a decision. As Mason J said, a mandatory consideration "might be so insignificant that the failure to take it into account could not have materially affected the decision"</w:t>
      </w:r>
      <w:r w:rsidRPr="00BB73AE">
        <w:rPr>
          <w:rStyle w:val="FootnoteReference"/>
          <w:rFonts w:ascii="Times New Roman" w:hAnsi="Times New Roman"/>
          <w:sz w:val="24"/>
        </w:rPr>
        <w:footnoteReference w:id="203"/>
      </w:r>
      <w:r w:rsidRPr="00BB73AE">
        <w:rPr>
          <w:rFonts w:ascii="Times New Roman" w:hAnsi="Times New Roman"/>
        </w:rPr>
        <w:t>.</w:t>
      </w:r>
    </w:p>
    <w:p w14:paraId="7B8D2BBA"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concept of materiality has applied for more than a century in relation to whether a new civil or criminal trial should be ordered after a miscarriage of justice. In those areas, and subject to statutory provision to the contrary, it has long been settled that the usual position is that the onus is upon the party asserting that the miscarriage of justice was immaterial so that no new trial should be granted. Once the reason for the implication of materiality is appreciated, it can be seen that the same approach should be taken to administrative decisions.</w:t>
      </w:r>
    </w:p>
    <w:p w14:paraId="71D38969" w14:textId="77777777" w:rsidR="007B5A1E" w:rsidRPr="00BB73AE" w:rsidRDefault="007B5A1E" w:rsidP="00BB73AE">
      <w:pPr>
        <w:pStyle w:val="HeadingL1"/>
        <w:spacing w:after="260" w:line="280" w:lineRule="exact"/>
        <w:ind w:right="0"/>
        <w:jc w:val="both"/>
        <w:rPr>
          <w:rFonts w:ascii="Times New Roman" w:hAnsi="Times New Roman"/>
        </w:rPr>
      </w:pPr>
      <w:r w:rsidRPr="00BB73AE">
        <w:rPr>
          <w:rFonts w:ascii="Times New Roman" w:hAnsi="Times New Roman"/>
        </w:rPr>
        <w:t>The implication of materiality as a requirement for invalidity</w:t>
      </w:r>
    </w:p>
    <w:p w14:paraId="5B4B7CDA" w14:textId="77777777" w:rsidR="007B5A1E" w:rsidRPr="00BB73AE" w:rsidRDefault="007B5A1E" w:rsidP="00BB73AE">
      <w:pPr>
        <w:pStyle w:val="HeadingL2"/>
        <w:spacing w:after="260" w:line="280" w:lineRule="exact"/>
        <w:ind w:right="0"/>
        <w:jc w:val="both"/>
        <w:rPr>
          <w:rFonts w:ascii="Times New Roman" w:hAnsi="Times New Roman"/>
        </w:rPr>
      </w:pPr>
      <w:r w:rsidRPr="00BB73AE">
        <w:rPr>
          <w:rFonts w:ascii="Times New Roman" w:hAnsi="Times New Roman"/>
        </w:rPr>
        <w:t>Implication of statutory conditions upon power generally</w:t>
      </w:r>
    </w:p>
    <w:p w14:paraId="7A018CD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More than a century ago, Isaacs J explained that an implication "is included in what is expressed" and, on a proper interpretation, is to be understood to have </w:t>
      </w:r>
      <w:r w:rsidRPr="00BB73AE">
        <w:rPr>
          <w:rFonts w:ascii="Times New Roman" w:hAnsi="Times New Roman"/>
        </w:rPr>
        <w:lastRenderedPageBreak/>
        <w:t>been "meant by what is actually said, though not so stated in express terms"</w:t>
      </w:r>
      <w:r w:rsidRPr="00BB73AE">
        <w:rPr>
          <w:rStyle w:val="FootnoteReference"/>
          <w:rFonts w:ascii="Times New Roman" w:hAnsi="Times New Roman"/>
          <w:sz w:val="24"/>
        </w:rPr>
        <w:footnoteReference w:id="204"/>
      </w:r>
      <w:r w:rsidRPr="00BB73AE">
        <w:rPr>
          <w:rFonts w:ascii="Times New Roman" w:hAnsi="Times New Roman"/>
        </w:rPr>
        <w:t>. In this sense, like the "same rules which common sense teaches every one to use", statutory meaning also includes many assumptions because "[h]owever minutely we may define, somewhere we needs must trust at last to common sense and good faith"</w:t>
      </w:r>
      <w:r w:rsidRPr="00BB73AE">
        <w:rPr>
          <w:rStyle w:val="FootnoteReference"/>
          <w:rFonts w:ascii="Times New Roman" w:hAnsi="Times New Roman"/>
          <w:sz w:val="24"/>
        </w:rPr>
        <w:footnoteReference w:id="205"/>
      </w:r>
      <w:r w:rsidRPr="00BB73AE">
        <w:rPr>
          <w:rFonts w:ascii="Times New Roman" w:hAnsi="Times New Roman"/>
        </w:rPr>
        <w:t>. This use of statutory assumptions does not differ from our ordinary use of language. As Professor Pinker has observed</w:t>
      </w:r>
      <w:r w:rsidRPr="00BB73AE">
        <w:rPr>
          <w:rStyle w:val="FootnoteReference"/>
          <w:rFonts w:ascii="Times New Roman" w:hAnsi="Times New Roman"/>
          <w:sz w:val="24"/>
        </w:rPr>
        <w:footnoteReference w:id="206"/>
      </w:r>
      <w:r w:rsidRPr="00BB73AE">
        <w:rPr>
          <w:rFonts w:ascii="Times New Roman" w:hAnsi="Times New Roman"/>
        </w:rPr>
        <w:t>, "language itself could not function if it did not sit atop a vast infrastructure of tacit knowledge about the world and about the intentions of other people". For instance, "[w]hen the shampoo bottle says 'Lather, rinse, repeat', we don't spend the rest of our lives in the shower; we infer that it means 'repeat once'".</w:t>
      </w:r>
    </w:p>
    <w:p w14:paraId="2884DF2F"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Coke was referring to such assumptions when he wrote that the "surest construction of a Statute is by the rule and reason of the Common Law"</w:t>
      </w:r>
      <w:r w:rsidRPr="00BB73AE">
        <w:rPr>
          <w:rStyle w:val="FootnoteReference"/>
          <w:rFonts w:ascii="Times New Roman" w:hAnsi="Times New Roman"/>
          <w:sz w:val="24"/>
        </w:rPr>
        <w:footnoteReference w:id="207"/>
      </w:r>
      <w:r w:rsidRPr="00BB73AE">
        <w:rPr>
          <w:rFonts w:ascii="Times New Roman" w:hAnsi="Times New Roman"/>
        </w:rPr>
        <w:t>, that "it is a good exposition of a Statute, when the reason of the Common Law is pursued"</w:t>
      </w:r>
      <w:r w:rsidRPr="00BB73AE">
        <w:rPr>
          <w:rStyle w:val="FootnoteReference"/>
          <w:rFonts w:ascii="Times New Roman" w:hAnsi="Times New Roman"/>
          <w:sz w:val="24"/>
        </w:rPr>
        <w:footnoteReference w:id="208"/>
      </w:r>
      <w:r w:rsidRPr="00BB73AE">
        <w:rPr>
          <w:rFonts w:ascii="Times New Roman" w:hAnsi="Times New Roman"/>
        </w:rPr>
        <w:t xml:space="preserve"> and that "in construction of Statutes, the reason of the Common Law give[s] great light, and the Judges, as much as may be, follow the rule thereof"</w:t>
      </w:r>
      <w:r w:rsidRPr="00BB73AE">
        <w:rPr>
          <w:rStyle w:val="FootnoteReference"/>
          <w:rFonts w:ascii="Times New Roman" w:hAnsi="Times New Roman"/>
          <w:sz w:val="24"/>
        </w:rPr>
        <w:footnoteReference w:id="209"/>
      </w:r>
      <w:r w:rsidRPr="00BB73AE">
        <w:rPr>
          <w:rFonts w:ascii="Times New Roman" w:hAnsi="Times New Roman"/>
        </w:rPr>
        <w:t>.</w:t>
      </w:r>
    </w:p>
    <w:p w14:paraId="0C72E837"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"reason" of the common law as a statutory assumption was the foundation for the celebrated decision of Byles J in </w:t>
      </w:r>
      <w:r w:rsidRPr="00BB73AE">
        <w:rPr>
          <w:rFonts w:ascii="Times New Roman" w:hAnsi="Times New Roman"/>
          <w:i/>
          <w:iCs/>
        </w:rPr>
        <w:t>Cooper v Wandsworth Board of Works</w:t>
      </w:r>
      <w:r w:rsidRPr="00BB73AE">
        <w:rPr>
          <w:rStyle w:val="FootnoteReference"/>
          <w:rFonts w:ascii="Times New Roman" w:hAnsi="Times New Roman"/>
          <w:sz w:val="24"/>
        </w:rPr>
        <w:footnoteReference w:id="210"/>
      </w:r>
      <w:r w:rsidRPr="00BB73AE">
        <w:rPr>
          <w:rFonts w:ascii="Times New Roman" w:hAnsi="Times New Roman"/>
        </w:rPr>
        <w:t xml:space="preserve">, when he said of the rules of procedural fairness that "although there are no positive words in a statute requiring that the party shall be heard, yet the justice of the common law will supply the omission of the legislature". As decisions in this Court have explained, that passage described how the common law, as part of the "matrix of legislation", is an assumption upon which legislative </w:t>
      </w:r>
      <w:r w:rsidRPr="00BB73AE">
        <w:rPr>
          <w:rFonts w:ascii="Times New Roman" w:hAnsi="Times New Roman"/>
        </w:rPr>
        <w:lastRenderedPageBreak/>
        <w:t>intention is based</w:t>
      </w:r>
      <w:r w:rsidRPr="00BB73AE">
        <w:rPr>
          <w:rStyle w:val="FootnoteReference"/>
          <w:rFonts w:ascii="Times New Roman" w:hAnsi="Times New Roman"/>
          <w:sz w:val="24"/>
        </w:rPr>
        <w:footnoteReference w:id="211"/>
      </w:r>
      <w:r w:rsidRPr="00BB73AE">
        <w:rPr>
          <w:rFonts w:ascii="Times New Roman" w:hAnsi="Times New Roman"/>
        </w:rPr>
        <w:t>. Hence, conditions upon statutory powers have long been recognised as a matter of statutory implication. Examples include conditions that require a decision</w:t>
      </w:r>
      <w:r w:rsidRPr="00BB73AE">
        <w:rPr>
          <w:rFonts w:ascii="Times New Roman" w:hAnsi="Times New Roman"/>
        </w:rPr>
        <w:noBreakHyphen/>
        <w:t>maker: to afford procedural fairness</w:t>
      </w:r>
      <w:r w:rsidRPr="00BB73AE">
        <w:rPr>
          <w:rStyle w:val="FootnoteReference"/>
          <w:rFonts w:ascii="Times New Roman" w:hAnsi="Times New Roman"/>
          <w:sz w:val="24"/>
        </w:rPr>
        <w:footnoteReference w:id="212"/>
      </w:r>
      <w:r w:rsidRPr="00BB73AE">
        <w:rPr>
          <w:rFonts w:ascii="Times New Roman" w:hAnsi="Times New Roman"/>
        </w:rPr>
        <w:t>; to take into account relevant considerations</w:t>
      </w:r>
      <w:r w:rsidRPr="00BB73AE">
        <w:rPr>
          <w:rStyle w:val="FootnoteReference"/>
          <w:rFonts w:ascii="Times New Roman" w:hAnsi="Times New Roman"/>
          <w:sz w:val="24"/>
        </w:rPr>
        <w:footnoteReference w:id="213"/>
      </w:r>
      <w:r w:rsidRPr="00BB73AE">
        <w:rPr>
          <w:rFonts w:ascii="Times New Roman" w:hAnsi="Times New Roman"/>
        </w:rPr>
        <w:t>; and not to exercise powers, including making decisions, unreasonably</w:t>
      </w:r>
      <w:r w:rsidRPr="00BB73AE">
        <w:rPr>
          <w:rStyle w:val="FootnoteReference"/>
          <w:rFonts w:ascii="Times New Roman" w:hAnsi="Times New Roman"/>
          <w:iCs/>
          <w:sz w:val="24"/>
        </w:rPr>
        <w:footnoteReference w:id="214"/>
      </w:r>
      <w:r w:rsidRPr="00BB73AE">
        <w:rPr>
          <w:rFonts w:ascii="Times New Roman" w:hAnsi="Times New Roman"/>
        </w:rPr>
        <w:t>.</w:t>
      </w:r>
    </w:p>
    <w:p w14:paraId="2F434D2A"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understanding of statutory conditions upon power as underlying assumptions was more than a century old when it was expressed in 1961 by its most famous proponent, Dr Wade, in terms which described statutory interpretation as being at the "heart" of determining conditions upon statutory power</w:t>
      </w:r>
      <w:r w:rsidRPr="00BB73AE">
        <w:rPr>
          <w:rStyle w:val="FootnoteReference"/>
          <w:rFonts w:ascii="Times New Roman" w:hAnsi="Times New Roman"/>
          <w:sz w:val="24"/>
        </w:rPr>
        <w:footnoteReference w:id="215"/>
      </w:r>
      <w:r w:rsidRPr="00BB73AE">
        <w:rPr>
          <w:rFonts w:ascii="Times New Roman" w:hAnsi="Times New Roman"/>
        </w:rPr>
        <w:t xml:space="preserve">. In </w:t>
      </w:r>
      <w:r w:rsidRPr="00BB73AE">
        <w:rPr>
          <w:rFonts w:ascii="Times New Roman" w:hAnsi="Times New Roman"/>
          <w:i/>
        </w:rPr>
        <w:t>Walton v Gardiner</w:t>
      </w:r>
      <w:r w:rsidRPr="00BB73AE">
        <w:rPr>
          <w:rStyle w:val="FootnoteReference"/>
          <w:rFonts w:ascii="Times New Roman" w:hAnsi="Times New Roman"/>
          <w:sz w:val="24"/>
        </w:rPr>
        <w:footnoteReference w:id="216"/>
      </w:r>
      <w:r w:rsidRPr="00BB73AE">
        <w:rPr>
          <w:rFonts w:ascii="Times New Roman" w:hAnsi="Times New Roman"/>
          <w:iCs/>
        </w:rPr>
        <w:t>, Brennan J acknowledged that</w:t>
      </w:r>
      <w:r w:rsidRPr="00BB73AE">
        <w:rPr>
          <w:rFonts w:ascii="Times New Roman" w:hAnsi="Times New Roman"/>
          <w:i/>
        </w:rPr>
        <w:t xml:space="preserve"> </w:t>
      </w:r>
      <w:r w:rsidRPr="00BB73AE">
        <w:rPr>
          <w:rFonts w:ascii="Times New Roman" w:hAnsi="Times New Roman"/>
        </w:rPr>
        <w:t>he had adopted or applied Wade's approach in a line of decisions from 1982 onwards</w:t>
      </w:r>
      <w:r w:rsidRPr="00BB73AE">
        <w:rPr>
          <w:rStyle w:val="FootnoteReference"/>
          <w:rFonts w:ascii="Times New Roman" w:hAnsi="Times New Roman"/>
          <w:sz w:val="24"/>
        </w:rPr>
        <w:footnoteReference w:id="217"/>
      </w:r>
      <w:r w:rsidRPr="00BB73AE">
        <w:rPr>
          <w:rFonts w:ascii="Times New Roman" w:hAnsi="Times New Roman"/>
        </w:rPr>
        <w:t>. Wade's view was also adopted</w:t>
      </w:r>
      <w:r w:rsidRPr="00BB73AE">
        <w:rPr>
          <w:rFonts w:ascii="Times New Roman" w:hAnsi="Times New Roman"/>
          <w:i/>
        </w:rPr>
        <w:t xml:space="preserve"> </w:t>
      </w:r>
      <w:r w:rsidRPr="00BB73AE">
        <w:rPr>
          <w:rFonts w:ascii="Times New Roman" w:hAnsi="Times New Roman"/>
        </w:rPr>
        <w:t xml:space="preserve">by Hayne, Kiefel and Bell JJ in 2013 in </w:t>
      </w:r>
      <w:r w:rsidRPr="00BB73AE">
        <w:rPr>
          <w:rFonts w:ascii="Times New Roman" w:hAnsi="Times New Roman"/>
          <w:i/>
        </w:rPr>
        <w:t>Minister for Immigration and Citizenship v Li</w:t>
      </w:r>
      <w:r w:rsidRPr="00BB73AE">
        <w:rPr>
          <w:rStyle w:val="FootnoteReference"/>
          <w:rFonts w:ascii="Times New Roman" w:hAnsi="Times New Roman"/>
          <w:sz w:val="24"/>
        </w:rPr>
        <w:footnoteReference w:id="218"/>
      </w:r>
      <w:r w:rsidRPr="00BB73AE">
        <w:rPr>
          <w:rFonts w:ascii="Times New Roman" w:hAnsi="Times New Roman"/>
        </w:rPr>
        <w:t>.</w:t>
      </w:r>
    </w:p>
    <w:p w14:paraId="43F40D2A" w14:textId="77777777" w:rsidR="007B5A1E" w:rsidRPr="00BB73AE" w:rsidRDefault="007B5A1E" w:rsidP="00BB73AE">
      <w:pPr>
        <w:pStyle w:val="HeadingL2"/>
        <w:spacing w:after="260" w:line="280" w:lineRule="exact"/>
        <w:ind w:right="0"/>
        <w:jc w:val="both"/>
        <w:rPr>
          <w:rFonts w:ascii="Times New Roman" w:hAnsi="Times New Roman"/>
        </w:rPr>
      </w:pPr>
      <w:r w:rsidRPr="00BB73AE">
        <w:rPr>
          <w:rFonts w:ascii="Times New Roman" w:hAnsi="Times New Roman"/>
        </w:rPr>
        <w:lastRenderedPageBreak/>
        <w:t>Implication that non-compliance with a statutory condition will invalidate an administrative decision</w:t>
      </w:r>
    </w:p>
    <w:p w14:paraId="04A9D3FC"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An exercise of public power has long been held to be invalid if that exercise is beyond a statutory condition expressly or impliedly conferred upon the repository. As de Smith observed, the prerogative writ of certiorari had been used since the fourteenth century to keep inferior courts or tribunals "within their spheres of jurisdiction"</w:t>
      </w:r>
      <w:r w:rsidRPr="00BB73AE">
        <w:rPr>
          <w:rStyle w:val="FootnoteReference"/>
          <w:rFonts w:ascii="Times New Roman" w:hAnsi="Times New Roman"/>
          <w:sz w:val="24"/>
        </w:rPr>
        <w:footnoteReference w:id="219"/>
      </w:r>
      <w:r w:rsidRPr="00BB73AE">
        <w:rPr>
          <w:rFonts w:ascii="Times New Roman" w:hAnsi="Times New Roman"/>
        </w:rPr>
        <w:t>. In 1886, in the United States, Hawes cited many authorities for the proposition that if a court "acts without authority its judgments and orders are regarded as nullities"</w:t>
      </w:r>
      <w:r w:rsidRPr="00BB73AE">
        <w:rPr>
          <w:rStyle w:val="FootnoteReference"/>
          <w:rFonts w:ascii="Times New Roman" w:hAnsi="Times New Roman"/>
          <w:sz w:val="24"/>
        </w:rPr>
        <w:footnoteReference w:id="220"/>
      </w:r>
      <w:r w:rsidRPr="00BB73AE">
        <w:rPr>
          <w:rFonts w:ascii="Times New Roman" w:hAnsi="Times New Roman"/>
        </w:rPr>
        <w:t>.</w:t>
      </w:r>
    </w:p>
    <w:p w14:paraId="02362838"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i/>
          <w:iCs/>
          <w:lang w:eastAsia="en-US"/>
        </w:rPr>
      </w:pPr>
      <w:r w:rsidRPr="00BB73AE">
        <w:rPr>
          <w:rFonts w:ascii="Times New Roman" w:hAnsi="Times New Roman"/>
        </w:rPr>
        <w:tab/>
        <w:t>Just as the conditions upon statutory power are to be discerned as a matter of legislative intention, so too is legislative intention the basis for discerning whether non</w:t>
      </w:r>
      <w:r w:rsidRPr="00BB73AE">
        <w:rPr>
          <w:rFonts w:ascii="Times New Roman" w:hAnsi="Times New Roman"/>
        </w:rPr>
        <w:noBreakHyphen/>
        <w:t>compliance with a condition upon statutory power will deprive a decision</w:t>
      </w:r>
      <w:r w:rsidRPr="00BB73AE">
        <w:rPr>
          <w:rFonts w:ascii="Times New Roman" w:hAnsi="Times New Roman"/>
        </w:rPr>
        <w:noBreakHyphen/>
        <w:t>maker of authority. These legal principles concerning the setting aside of decisions for non</w:t>
      </w:r>
      <w:r w:rsidRPr="00BB73AE">
        <w:rPr>
          <w:rFonts w:ascii="Times New Roman" w:hAnsi="Times New Roman"/>
        </w:rPr>
        <w:noBreakHyphen/>
        <w:t xml:space="preserve">compliance with a statutory condition did not change at Federation in 1901 by the inclusion of s 75(v) in the </w:t>
      </w:r>
      <w:r w:rsidRPr="00BB73AE">
        <w:rPr>
          <w:rFonts w:ascii="Times New Roman" w:hAnsi="Times New Roman"/>
          <w:i/>
        </w:rPr>
        <w:t>Constitution</w:t>
      </w:r>
      <w:r w:rsidRPr="00BB73AE">
        <w:rPr>
          <w:rFonts w:ascii="Times New Roman" w:hAnsi="Times New Roman"/>
        </w:rPr>
        <w:t>, a provision that conferred authority on this Court to act according to "the known principles of law"</w:t>
      </w:r>
      <w:r w:rsidRPr="00BB73AE">
        <w:rPr>
          <w:rStyle w:val="FootnoteReference"/>
          <w:rFonts w:ascii="Times New Roman" w:hAnsi="Times New Roman"/>
          <w:sz w:val="24"/>
        </w:rPr>
        <w:footnoteReference w:id="221"/>
      </w:r>
      <w:r w:rsidRPr="00BB73AE">
        <w:rPr>
          <w:rFonts w:ascii="Times New Roman" w:hAnsi="Times New Roman"/>
        </w:rPr>
        <w:t>. These known principles of law continued to be refined.</w:t>
      </w:r>
    </w:p>
    <w:p w14:paraId="72B18C43"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i/>
          <w:iCs/>
          <w:lang w:eastAsia="en-US"/>
        </w:rPr>
      </w:pPr>
      <w:r w:rsidRPr="00BB73AE">
        <w:rPr>
          <w:rFonts w:ascii="Times New Roman" w:hAnsi="Times New Roman"/>
        </w:rPr>
        <w:tab/>
        <w:t xml:space="preserve">For centuries, judges spoke of discerning the validity of action purportedly authorised by statute by considering "the meaning and intention of the Legislature" and focusing upon a distinction between circumstances that were "of the essence </w:t>
      </w:r>
      <w:r w:rsidRPr="00BB73AE">
        <w:rPr>
          <w:rFonts w:ascii="Times New Roman" w:hAnsi="Times New Roman"/>
        </w:rPr>
        <w:lastRenderedPageBreak/>
        <w:t>of a thing required to be done" and those that were "merely directory"</w:t>
      </w:r>
      <w:r w:rsidRPr="00BB73AE">
        <w:rPr>
          <w:rStyle w:val="FootnoteReference"/>
          <w:rFonts w:ascii="Times New Roman" w:hAnsi="Times New Roman"/>
          <w:sz w:val="24"/>
        </w:rPr>
        <w:footnoteReference w:id="222"/>
      </w:r>
      <w:r w:rsidRPr="00BB73AE">
        <w:rPr>
          <w:rFonts w:ascii="Times New Roman" w:hAnsi="Times New Roman"/>
        </w:rPr>
        <w:t>. In the former category, non-compliance would lead to invalidity. In the latter category, non-compliance would lead to invalidity only if there had not been "substantial compliance with the requirement"</w:t>
      </w:r>
      <w:r w:rsidRPr="00BB73AE">
        <w:rPr>
          <w:rStyle w:val="FootnoteReference"/>
          <w:rFonts w:ascii="Times New Roman" w:hAnsi="Times New Roman"/>
          <w:sz w:val="24"/>
        </w:rPr>
        <w:footnoteReference w:id="223"/>
      </w:r>
      <w:r w:rsidRPr="00BB73AE">
        <w:rPr>
          <w:rFonts w:ascii="Times New Roman" w:hAnsi="Times New Roman"/>
        </w:rPr>
        <w:t>.</w:t>
      </w:r>
    </w:p>
    <w:p w14:paraId="205ECEB8"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i/>
          <w:iCs/>
          <w:lang w:eastAsia="en-US"/>
        </w:rPr>
      </w:pPr>
      <w:r w:rsidRPr="00BB73AE">
        <w:rPr>
          <w:rFonts w:ascii="Times New Roman" w:hAnsi="Times New Roman"/>
          <w:i/>
          <w:iCs/>
          <w:lang w:eastAsia="en-US"/>
        </w:rPr>
        <w:tab/>
      </w:r>
      <w:r w:rsidRPr="00BB73AE">
        <w:rPr>
          <w:rFonts w:ascii="Times New Roman" w:hAnsi="Times New Roman"/>
        </w:rPr>
        <w:t>The language of "mandatory" and "directory" provisions, at least as an exclusive test, was disfavoured by the Court of Appeal of the Supreme Court of New South Wales in</w:t>
      </w:r>
      <w:r w:rsidRPr="00BB73AE">
        <w:rPr>
          <w:rFonts w:ascii="Times New Roman" w:hAnsi="Times New Roman"/>
          <w:i/>
          <w:iCs/>
          <w:lang w:eastAsia="en-US"/>
        </w:rPr>
        <w:t xml:space="preserve"> Tasker v Fullwood</w:t>
      </w:r>
      <w:r w:rsidRPr="00BB73AE">
        <w:rPr>
          <w:rStyle w:val="FootnoteReference"/>
          <w:rFonts w:ascii="Times New Roman" w:hAnsi="Times New Roman"/>
          <w:sz w:val="24"/>
          <w:lang w:eastAsia="en-US"/>
        </w:rPr>
        <w:footnoteReference w:id="224"/>
      </w:r>
      <w:r w:rsidRPr="00BB73AE">
        <w:rPr>
          <w:rFonts w:ascii="Times New Roman" w:hAnsi="Times New Roman"/>
          <w:lang w:eastAsia="en-US"/>
        </w:rPr>
        <w:t>.</w:t>
      </w:r>
      <w:r w:rsidRPr="00BB73AE">
        <w:rPr>
          <w:rFonts w:ascii="Times New Roman" w:hAnsi="Times New Roman"/>
          <w:i/>
          <w:iCs/>
          <w:lang w:eastAsia="en-US"/>
        </w:rPr>
        <w:t xml:space="preserve"> </w:t>
      </w:r>
      <w:r w:rsidRPr="00BB73AE">
        <w:rPr>
          <w:rFonts w:ascii="Times New Roman" w:hAnsi="Times New Roman"/>
          <w:lang w:eastAsia="en-US"/>
        </w:rPr>
        <w:t>But it was nevertheless emphasised that the question was one of statutory interpretation: "to determine whether the legislature intended that a failure to comply with the stipulated requirement would invalidate the act done"</w:t>
      </w:r>
      <w:r w:rsidRPr="00BB73AE">
        <w:rPr>
          <w:rStyle w:val="FootnoteReference"/>
          <w:rFonts w:ascii="Times New Roman" w:hAnsi="Times New Roman"/>
          <w:sz w:val="24"/>
          <w:lang w:eastAsia="en-US"/>
        </w:rPr>
        <w:footnoteReference w:id="225"/>
      </w:r>
      <w:r w:rsidRPr="00BB73AE">
        <w:rPr>
          <w:rFonts w:ascii="Times New Roman" w:hAnsi="Times New Roman"/>
          <w:lang w:eastAsia="en-US"/>
        </w:rPr>
        <w:t xml:space="preserve">. When the approach in </w:t>
      </w:r>
      <w:r w:rsidRPr="00BB73AE">
        <w:rPr>
          <w:rFonts w:ascii="Times New Roman" w:hAnsi="Times New Roman"/>
          <w:i/>
          <w:iCs/>
          <w:lang w:eastAsia="en-US"/>
        </w:rPr>
        <w:t xml:space="preserve">Tasker v Fullwood </w:t>
      </w:r>
      <w:r w:rsidRPr="00BB73AE">
        <w:rPr>
          <w:rFonts w:ascii="Times New Roman" w:hAnsi="Times New Roman"/>
          <w:lang w:eastAsia="en-US"/>
        </w:rPr>
        <w:t>was adopted by this Court</w:t>
      </w:r>
      <w:r w:rsidRPr="00BB73AE">
        <w:rPr>
          <w:rStyle w:val="FootnoteReference"/>
          <w:rFonts w:ascii="Times New Roman" w:hAnsi="Times New Roman"/>
          <w:sz w:val="24"/>
        </w:rPr>
        <w:footnoteReference w:id="226"/>
      </w:r>
      <w:r w:rsidRPr="00BB73AE">
        <w:rPr>
          <w:rFonts w:ascii="Times New Roman" w:hAnsi="Times New Roman"/>
          <w:lang w:eastAsia="en-US"/>
        </w:rPr>
        <w:t>, McHugh, Gummow, Kirby and Hayne JJ reiterated the focus upon legislative intention, saying that the test should be "whether it was a purpose of the legislation that an act done in breach of the provision should be invalid"</w:t>
      </w:r>
      <w:r w:rsidRPr="00BB73AE">
        <w:rPr>
          <w:rStyle w:val="FootnoteReference"/>
          <w:rFonts w:ascii="Times New Roman" w:hAnsi="Times New Roman"/>
          <w:sz w:val="24"/>
          <w:lang w:eastAsia="en-US"/>
        </w:rPr>
        <w:footnoteReference w:id="227"/>
      </w:r>
      <w:r w:rsidRPr="00BB73AE">
        <w:rPr>
          <w:rFonts w:ascii="Times New Roman" w:hAnsi="Times New Roman"/>
          <w:lang w:eastAsia="en-US"/>
        </w:rPr>
        <w:t>.</w:t>
      </w:r>
    </w:p>
    <w:p w14:paraId="702D344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i/>
          <w:iCs/>
          <w:lang w:eastAsia="en-US"/>
        </w:rPr>
      </w:pPr>
      <w:r w:rsidRPr="00BB73AE">
        <w:rPr>
          <w:rFonts w:ascii="Times New Roman" w:hAnsi="Times New Roman"/>
          <w:lang w:eastAsia="en-US"/>
        </w:rPr>
        <w:tab/>
        <w:t>Some of the circumstances that will be considered in assessing whether non-compliance with a statutory condition will lead to invalidity are: any public inconvenience that might be expected to arise from invalidity</w:t>
      </w:r>
      <w:r w:rsidRPr="00BB73AE">
        <w:rPr>
          <w:rStyle w:val="FootnoteReference"/>
          <w:rFonts w:ascii="Times New Roman" w:hAnsi="Times New Roman"/>
          <w:sz w:val="24"/>
          <w:lang w:eastAsia="en-US"/>
        </w:rPr>
        <w:footnoteReference w:id="228"/>
      </w:r>
      <w:r w:rsidRPr="00BB73AE">
        <w:rPr>
          <w:rFonts w:ascii="Times New Roman" w:hAnsi="Times New Roman"/>
          <w:lang w:eastAsia="en-US"/>
        </w:rPr>
        <w:t>; the imperative language of the provision</w:t>
      </w:r>
      <w:r w:rsidRPr="00BB73AE">
        <w:rPr>
          <w:rStyle w:val="FootnoteReference"/>
          <w:rFonts w:ascii="Times New Roman" w:hAnsi="Times New Roman"/>
          <w:sz w:val="24"/>
          <w:lang w:eastAsia="en-US"/>
        </w:rPr>
        <w:footnoteReference w:id="229"/>
      </w:r>
      <w:r w:rsidRPr="00BB73AE">
        <w:rPr>
          <w:rFonts w:ascii="Times New Roman" w:hAnsi="Times New Roman"/>
          <w:lang w:eastAsia="en-US"/>
        </w:rPr>
        <w:t xml:space="preserve">; and whether the statutory condition regulates the exercise of functions rather than "impos[ing] essential preliminaries to the exercise </w:t>
      </w:r>
      <w:r w:rsidRPr="00BB73AE">
        <w:rPr>
          <w:rFonts w:ascii="Times New Roman" w:hAnsi="Times New Roman"/>
          <w:lang w:eastAsia="en-US"/>
        </w:rPr>
        <w:lastRenderedPageBreak/>
        <w:t>of ... functions"</w:t>
      </w:r>
      <w:r w:rsidRPr="00BB73AE">
        <w:rPr>
          <w:rStyle w:val="FootnoteReference"/>
          <w:rFonts w:ascii="Times New Roman" w:hAnsi="Times New Roman"/>
          <w:sz w:val="24"/>
          <w:lang w:eastAsia="en-US"/>
        </w:rPr>
        <w:footnoteReference w:id="230"/>
      </w:r>
      <w:r w:rsidRPr="00BB73AE">
        <w:rPr>
          <w:rFonts w:ascii="Times New Roman" w:hAnsi="Times New Roman"/>
          <w:lang w:eastAsia="en-US"/>
        </w:rPr>
        <w:t xml:space="preserve">. In </w:t>
      </w:r>
      <w:r w:rsidRPr="00BB73AE">
        <w:rPr>
          <w:rFonts w:ascii="Times New Roman" w:hAnsi="Times New Roman"/>
          <w:i/>
          <w:iCs/>
        </w:rPr>
        <w:t>Minister for Immigration and Citizenship v SZIZO</w:t>
      </w:r>
      <w:r w:rsidRPr="00BB73AE">
        <w:rPr>
          <w:rStyle w:val="FootnoteReference"/>
          <w:rFonts w:ascii="Times New Roman" w:hAnsi="Times New Roman"/>
          <w:sz w:val="24"/>
        </w:rPr>
        <w:footnoteReference w:id="231"/>
      </w:r>
      <w:r w:rsidRPr="00BB73AE">
        <w:rPr>
          <w:rFonts w:ascii="Times New Roman" w:hAnsi="Times New Roman"/>
        </w:rPr>
        <w:t>, this Court considered that the absurdity of the outcome was a strong reason militating against treating as a source of invalidity the departure from any procedural steps leading up to the hearing.</w:t>
      </w:r>
      <w:r w:rsidRPr="00BB73AE">
        <w:rPr>
          <w:rFonts w:ascii="Times New Roman" w:hAnsi="Times New Roman"/>
          <w:i/>
          <w:iCs/>
          <w:lang w:eastAsia="en-US"/>
        </w:rPr>
        <w:t xml:space="preserve"> </w:t>
      </w:r>
      <w:r w:rsidRPr="00BB73AE">
        <w:rPr>
          <w:rFonts w:ascii="Times New Roman" w:hAnsi="Times New Roman"/>
          <w:lang w:eastAsia="en-US"/>
        </w:rPr>
        <w:t>Related to this, and subject to any contrary intention, there will also be a usual implication that an act is not invalid if the non-compliance is immaterial. The basis for this usual implication, and the meaning of immateriality, lies in the long history of such an approach being taken to refusing to grant new civil or criminal trials following miscarriages of justice or legal error.</w:t>
      </w:r>
    </w:p>
    <w:p w14:paraId="113C1E14" w14:textId="77777777" w:rsidR="007B5A1E" w:rsidRPr="00BB73AE" w:rsidRDefault="007B5A1E" w:rsidP="00BB73AE">
      <w:pPr>
        <w:pStyle w:val="HeadingL2"/>
        <w:spacing w:after="260" w:line="280" w:lineRule="exact"/>
        <w:ind w:right="0"/>
        <w:jc w:val="both"/>
        <w:rPr>
          <w:rFonts w:ascii="Times New Roman" w:hAnsi="Times New Roman"/>
        </w:rPr>
      </w:pPr>
      <w:r w:rsidRPr="00BB73AE">
        <w:rPr>
          <w:rFonts w:ascii="Times New Roman" w:hAnsi="Times New Roman"/>
        </w:rPr>
        <w:t>Materiality as a condition for a new civil or criminal trial</w:t>
      </w:r>
    </w:p>
    <w:p w14:paraId="4A5AB06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i/>
          <w:iCs/>
          <w:lang w:eastAsia="en-US"/>
        </w:rPr>
        <w:tab/>
      </w:r>
      <w:r w:rsidRPr="00BB73AE">
        <w:rPr>
          <w:rFonts w:ascii="Times New Roman" w:hAnsi="Times New Roman"/>
          <w:lang w:eastAsia="en-US"/>
        </w:rPr>
        <w:t>There is a long history to the requirement of materiality of a legal error before a new civil or criminal trial will be ordered</w:t>
      </w:r>
      <w:r w:rsidRPr="00BB73AE">
        <w:rPr>
          <w:rStyle w:val="FootnoteReference"/>
          <w:rFonts w:ascii="Times New Roman" w:hAnsi="Times New Roman"/>
          <w:sz w:val="24"/>
          <w:lang w:eastAsia="en-US"/>
        </w:rPr>
        <w:footnoteReference w:id="232"/>
      </w:r>
      <w:r w:rsidRPr="00BB73AE">
        <w:rPr>
          <w:rFonts w:ascii="Times New Roman" w:hAnsi="Times New Roman"/>
          <w:lang w:eastAsia="en-US"/>
        </w:rPr>
        <w:t>. The original rule, which existed in both civil and criminal cases in the Court of King's Bench</w:t>
      </w:r>
      <w:r w:rsidRPr="00BB73AE">
        <w:rPr>
          <w:rStyle w:val="FootnoteReference"/>
          <w:rFonts w:ascii="Times New Roman" w:hAnsi="Times New Roman"/>
          <w:sz w:val="24"/>
          <w:lang w:eastAsia="en-US"/>
        </w:rPr>
        <w:footnoteReference w:id="233"/>
      </w:r>
      <w:r w:rsidRPr="00BB73AE">
        <w:rPr>
          <w:rFonts w:ascii="Times New Roman" w:hAnsi="Times New Roman"/>
          <w:lang w:eastAsia="en-US"/>
        </w:rPr>
        <w:t>, as well as at Common Pleas</w:t>
      </w:r>
      <w:r w:rsidRPr="00BB73AE">
        <w:rPr>
          <w:rStyle w:val="FootnoteReference"/>
          <w:rFonts w:ascii="Times New Roman" w:hAnsi="Times New Roman"/>
          <w:sz w:val="24"/>
          <w:lang w:eastAsia="en-US"/>
        </w:rPr>
        <w:footnoteReference w:id="234"/>
      </w:r>
      <w:r w:rsidRPr="00BB73AE">
        <w:rPr>
          <w:rFonts w:ascii="Times New Roman" w:hAnsi="Times New Roman"/>
          <w:lang w:eastAsia="en-US"/>
        </w:rPr>
        <w:t>, and in Chancery when issues had been decided by a common law jury</w:t>
      </w:r>
      <w:r w:rsidRPr="00BB73AE">
        <w:rPr>
          <w:rStyle w:val="FootnoteReference"/>
          <w:rFonts w:ascii="Times New Roman" w:hAnsi="Times New Roman"/>
          <w:sz w:val="24"/>
          <w:lang w:eastAsia="en-US"/>
        </w:rPr>
        <w:footnoteReference w:id="235"/>
      </w:r>
      <w:r w:rsidRPr="00BB73AE">
        <w:rPr>
          <w:rFonts w:ascii="Times New Roman" w:hAnsi="Times New Roman"/>
          <w:lang w:eastAsia="en-US"/>
        </w:rPr>
        <w:t xml:space="preserve">, was that an erroneous ruling in relation to evidence would lead to a new trial unless no injustice resulted from the error. One instance where no injustice might arise was described by the Lord Chief Justice in </w:t>
      </w:r>
      <w:r w:rsidRPr="00BB73AE">
        <w:rPr>
          <w:rFonts w:ascii="Times New Roman" w:hAnsi="Times New Roman"/>
          <w:i/>
          <w:iCs/>
          <w:lang w:eastAsia="en-US"/>
        </w:rPr>
        <w:t>R v Teal</w:t>
      </w:r>
      <w:r w:rsidRPr="00BB73AE">
        <w:rPr>
          <w:rStyle w:val="FootnoteReference"/>
          <w:rFonts w:ascii="Times New Roman" w:hAnsi="Times New Roman"/>
          <w:sz w:val="24"/>
          <w:lang w:eastAsia="en-US"/>
        </w:rPr>
        <w:footnoteReference w:id="236"/>
      </w:r>
      <w:r w:rsidRPr="00BB73AE">
        <w:rPr>
          <w:rFonts w:ascii="Times New Roman" w:hAnsi="Times New Roman"/>
          <w:i/>
          <w:iCs/>
          <w:lang w:eastAsia="en-US"/>
        </w:rPr>
        <w:t xml:space="preserve"> </w:t>
      </w:r>
      <w:r w:rsidRPr="00BB73AE">
        <w:rPr>
          <w:rFonts w:ascii="Times New Roman" w:hAnsi="Times New Roman"/>
          <w:lang w:eastAsia="en-US"/>
        </w:rPr>
        <w:t>as where the error "could have made no difference, at least it ought not to have made any difference in the verdict".</w:t>
      </w:r>
    </w:p>
    <w:p w14:paraId="142ED9D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lang w:eastAsia="en-US"/>
        </w:rPr>
        <w:tab/>
        <w:t xml:space="preserve">That original rule was displaced for a period of time by the "Exchequer rule", which was ushered in by the decision of the Court of Exchequer in </w:t>
      </w:r>
      <w:r w:rsidRPr="00BB73AE">
        <w:rPr>
          <w:rFonts w:ascii="Times New Roman" w:hAnsi="Times New Roman"/>
          <w:i/>
          <w:iCs/>
          <w:lang w:eastAsia="en-US"/>
        </w:rPr>
        <w:t xml:space="preserve">Crease v </w:t>
      </w:r>
      <w:r w:rsidRPr="00BB73AE">
        <w:rPr>
          <w:rFonts w:ascii="Times New Roman" w:hAnsi="Times New Roman"/>
          <w:i/>
          <w:iCs/>
          <w:lang w:eastAsia="en-US"/>
        </w:rPr>
        <w:lastRenderedPageBreak/>
        <w:t>Barrett</w:t>
      </w:r>
      <w:r w:rsidRPr="00BB73AE">
        <w:rPr>
          <w:rStyle w:val="FootnoteReference"/>
          <w:rFonts w:ascii="Times New Roman" w:hAnsi="Times New Roman"/>
          <w:sz w:val="24"/>
          <w:lang w:eastAsia="en-US"/>
        </w:rPr>
        <w:footnoteReference w:id="237"/>
      </w:r>
      <w:r w:rsidRPr="00BB73AE">
        <w:rPr>
          <w:rFonts w:ascii="Times New Roman" w:hAnsi="Times New Roman"/>
          <w:lang w:eastAsia="en-US"/>
        </w:rPr>
        <w:t>.</w:t>
      </w:r>
      <w:r w:rsidRPr="00BB73AE">
        <w:rPr>
          <w:rFonts w:ascii="Times New Roman" w:hAnsi="Times New Roman"/>
          <w:i/>
          <w:iCs/>
          <w:lang w:eastAsia="en-US"/>
        </w:rPr>
        <w:t xml:space="preserve"> </w:t>
      </w:r>
      <w:r w:rsidRPr="00BB73AE">
        <w:rPr>
          <w:rFonts w:ascii="Times New Roman" w:hAnsi="Times New Roman"/>
          <w:lang w:eastAsia="en-US"/>
        </w:rPr>
        <w:t>The Exchequer rule was that the admission of inadmissible evidence meant that the "losing party has a right to a new trial"</w:t>
      </w:r>
      <w:r w:rsidRPr="00BB73AE">
        <w:rPr>
          <w:rStyle w:val="FootnoteReference"/>
          <w:rFonts w:ascii="Times New Roman" w:hAnsi="Times New Roman"/>
          <w:sz w:val="24"/>
          <w:lang w:eastAsia="en-US"/>
        </w:rPr>
        <w:footnoteReference w:id="238"/>
      </w:r>
      <w:r w:rsidRPr="00BB73AE">
        <w:rPr>
          <w:rFonts w:ascii="Times New Roman" w:hAnsi="Times New Roman"/>
          <w:lang w:eastAsia="en-US"/>
        </w:rPr>
        <w:t>. But the Exchequer rule had little to commend it. Professor Wigmore described it as the "Exchequer heresy" and lauded the judges who did not comply with it as "refusing to bow the knee to the Baal-worship of the rules of Evidence"</w:t>
      </w:r>
      <w:r w:rsidRPr="00BB73AE">
        <w:rPr>
          <w:rStyle w:val="FootnoteReference"/>
          <w:rFonts w:ascii="Times New Roman" w:hAnsi="Times New Roman"/>
          <w:sz w:val="24"/>
          <w:lang w:eastAsia="en-US"/>
        </w:rPr>
        <w:footnoteReference w:id="239"/>
      </w:r>
      <w:r w:rsidRPr="00BB73AE">
        <w:rPr>
          <w:rFonts w:ascii="Times New Roman" w:hAnsi="Times New Roman"/>
          <w:lang w:eastAsia="en-US"/>
        </w:rPr>
        <w:t>.</w:t>
      </w:r>
    </w:p>
    <w:p w14:paraId="64677580"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lang w:eastAsia="en-US"/>
        </w:rPr>
        <w:tab/>
        <w:t xml:space="preserve">The Exchequer rule was abolished in civil matters by a judicature rule enacted by the </w:t>
      </w:r>
      <w:r w:rsidRPr="00BB73AE">
        <w:rPr>
          <w:rFonts w:ascii="Times New Roman" w:hAnsi="Times New Roman"/>
          <w:i/>
          <w:iCs/>
          <w:lang w:eastAsia="en-US"/>
        </w:rPr>
        <w:t>Supreme Court of Judicature Act 1873</w:t>
      </w:r>
      <w:r w:rsidRPr="00BB73AE">
        <w:rPr>
          <w:rStyle w:val="FootnoteReference"/>
          <w:rFonts w:ascii="Times New Roman" w:hAnsi="Times New Roman"/>
          <w:iCs/>
          <w:sz w:val="24"/>
          <w:lang w:eastAsia="en-US"/>
        </w:rPr>
        <w:footnoteReference w:id="240"/>
      </w:r>
      <w:r w:rsidRPr="00BB73AE">
        <w:rPr>
          <w:rFonts w:ascii="Times New Roman" w:hAnsi="Times New Roman"/>
          <w:lang w:eastAsia="en-US"/>
        </w:rPr>
        <w:t>: r 48 provided that a new trial shall not be granted for misdirection or improper admission of evidence unless the court considered that a "substantial wrong or miscarriage" had occurred. In a decision later approved in this Court</w:t>
      </w:r>
      <w:r w:rsidRPr="00BB73AE">
        <w:rPr>
          <w:rStyle w:val="FootnoteReference"/>
          <w:rFonts w:ascii="Times New Roman" w:hAnsi="Times New Roman"/>
          <w:sz w:val="24"/>
          <w:lang w:eastAsia="en-US"/>
        </w:rPr>
        <w:footnoteReference w:id="241"/>
      </w:r>
      <w:r w:rsidRPr="00BB73AE">
        <w:rPr>
          <w:rFonts w:ascii="Times New Roman" w:hAnsi="Times New Roman"/>
          <w:lang w:eastAsia="en-US"/>
        </w:rPr>
        <w:t xml:space="preserve">, Cussen J said in </w:t>
      </w:r>
      <w:r w:rsidRPr="00BB73AE">
        <w:rPr>
          <w:rFonts w:ascii="Times New Roman" w:hAnsi="Times New Roman"/>
          <w:i/>
          <w:iCs/>
          <w:lang w:eastAsia="en-US"/>
        </w:rPr>
        <w:t>Holford v The Melbourne Tramway and Omnibus Co Ltd</w:t>
      </w:r>
      <w:r w:rsidRPr="00BB73AE">
        <w:rPr>
          <w:rStyle w:val="FootnoteReference"/>
          <w:rFonts w:ascii="Times New Roman" w:hAnsi="Times New Roman"/>
          <w:sz w:val="24"/>
          <w:lang w:eastAsia="en-US"/>
        </w:rPr>
        <w:footnoteReference w:id="242"/>
      </w:r>
      <w:r w:rsidRPr="00BB73AE">
        <w:rPr>
          <w:rFonts w:ascii="Times New Roman" w:hAnsi="Times New Roman"/>
          <w:lang w:eastAsia="en-US"/>
        </w:rPr>
        <w:t xml:space="preserve"> that a substantial wrong or miscarriage in relation to jury misdirection existed where "the result of the case is such as to show that [the jury] may have been influenced in their verdict by the misdirection".</w:t>
      </w:r>
    </w:p>
    <w:p w14:paraId="7013A762"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lang w:eastAsia="en-US"/>
        </w:rPr>
        <w:tab/>
        <w:t xml:space="preserve">The Exchequer rule was abolished in criminal matters by the proviso to s 4(1) of the </w:t>
      </w:r>
      <w:r w:rsidRPr="00BB73AE">
        <w:rPr>
          <w:rFonts w:ascii="Times New Roman" w:hAnsi="Times New Roman"/>
          <w:i/>
          <w:iCs/>
          <w:lang w:eastAsia="en-US"/>
        </w:rPr>
        <w:t>Criminal Appeal Act 1907</w:t>
      </w:r>
      <w:r w:rsidRPr="00BB73AE">
        <w:rPr>
          <w:rStyle w:val="FootnoteReference"/>
          <w:rFonts w:ascii="Times New Roman" w:hAnsi="Times New Roman"/>
          <w:sz w:val="24"/>
          <w:lang w:eastAsia="en-US"/>
        </w:rPr>
        <w:footnoteReference w:id="243"/>
      </w:r>
      <w:r w:rsidRPr="00BB73AE">
        <w:rPr>
          <w:rFonts w:ascii="Times New Roman" w:hAnsi="Times New Roman"/>
          <w:iCs/>
          <w:lang w:eastAsia="en-US"/>
        </w:rPr>
        <w:t>,</w:t>
      </w:r>
      <w:r w:rsidRPr="00BB73AE">
        <w:rPr>
          <w:rFonts w:ascii="Times New Roman" w:hAnsi="Times New Roman"/>
          <w:i/>
          <w:iCs/>
          <w:lang w:eastAsia="en-US"/>
        </w:rPr>
        <w:t xml:space="preserve"> </w:t>
      </w:r>
      <w:r w:rsidRPr="00BB73AE">
        <w:rPr>
          <w:rFonts w:ascii="Times New Roman" w:hAnsi="Times New Roman"/>
          <w:lang w:eastAsia="en-US"/>
        </w:rPr>
        <w:t>which permitted the newly created Court of Criminal Appeal to dismiss an appeal despite an error of law or miscarriage of justice if "they consider that no substantial miscarriage of justice has actually occurred"</w:t>
      </w:r>
      <w:r w:rsidRPr="00BB73AE">
        <w:rPr>
          <w:rFonts w:ascii="Times New Roman" w:hAnsi="Times New Roman"/>
          <w:i/>
          <w:iCs/>
          <w:lang w:eastAsia="en-US"/>
        </w:rPr>
        <w:t xml:space="preserve">. </w:t>
      </w:r>
      <w:r w:rsidRPr="00BB73AE">
        <w:rPr>
          <w:rFonts w:ascii="Times New Roman" w:hAnsi="Times New Roman"/>
          <w:lang w:eastAsia="en-US"/>
        </w:rPr>
        <w:t xml:space="preserve">In New South Wales in 1912, the </w:t>
      </w:r>
      <w:r w:rsidRPr="00BB73AE">
        <w:rPr>
          <w:rFonts w:ascii="Times New Roman" w:hAnsi="Times New Roman"/>
          <w:i/>
          <w:iCs/>
          <w:lang w:eastAsia="en-US"/>
        </w:rPr>
        <w:t>Criminal Appeal Act 1912</w:t>
      </w:r>
      <w:r w:rsidRPr="00BB73AE">
        <w:rPr>
          <w:rFonts w:ascii="Times New Roman" w:hAnsi="Times New Roman"/>
          <w:iCs/>
          <w:lang w:eastAsia="en-US"/>
        </w:rPr>
        <w:t> </w:t>
      </w:r>
      <w:r w:rsidRPr="00BB73AE">
        <w:rPr>
          <w:rFonts w:ascii="Times New Roman" w:hAnsi="Times New Roman"/>
          <w:lang w:eastAsia="en-US"/>
        </w:rPr>
        <w:t>(NSW) permitted a new trial to be ordered if the Court of Criminal Appeal considered that a miscarriage of justice had occurred</w:t>
      </w:r>
      <w:r w:rsidRPr="00BB73AE">
        <w:rPr>
          <w:rStyle w:val="FootnoteReference"/>
          <w:rFonts w:ascii="Times New Roman" w:hAnsi="Times New Roman"/>
          <w:sz w:val="24"/>
          <w:lang w:eastAsia="en-US"/>
        </w:rPr>
        <w:footnoteReference w:id="244"/>
      </w:r>
      <w:r w:rsidRPr="00BB73AE">
        <w:rPr>
          <w:rFonts w:ascii="Times New Roman" w:hAnsi="Times New Roman"/>
          <w:lang w:eastAsia="en-US"/>
        </w:rPr>
        <w:t xml:space="preserve"> but nevertheless also contained a proviso </w:t>
      </w:r>
      <w:r w:rsidRPr="00BB73AE">
        <w:rPr>
          <w:rFonts w:ascii="Times New Roman" w:hAnsi="Times New Roman"/>
          <w:lang w:eastAsia="en-US"/>
        </w:rPr>
        <w:lastRenderedPageBreak/>
        <w:t>that permitted the appeal to be dismissed if the court considered that "no substantial miscarriage of justice has actually occurred"</w:t>
      </w:r>
      <w:r w:rsidRPr="00BB73AE">
        <w:rPr>
          <w:rStyle w:val="FootnoteReference"/>
          <w:rFonts w:ascii="Times New Roman" w:hAnsi="Times New Roman"/>
          <w:sz w:val="24"/>
          <w:lang w:eastAsia="en-US"/>
        </w:rPr>
        <w:footnoteReference w:id="245"/>
      </w:r>
      <w:r w:rsidRPr="00BB73AE">
        <w:rPr>
          <w:rFonts w:ascii="Times New Roman" w:hAnsi="Times New Roman"/>
          <w:lang w:eastAsia="en-US"/>
        </w:rPr>
        <w:t>.</w:t>
      </w:r>
    </w:p>
    <w:p w14:paraId="3D094C6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lang w:eastAsia="en-US"/>
        </w:rPr>
        <w:tab/>
        <w:t>It is therefore now long established that the general test for the refusal of a new civil trial under legislation or rules of court despite an error of law is that "the court might refrain from granting a new trial if it was affirmatively satisfied that the actual verdict returned could not have been affected"</w:t>
      </w:r>
      <w:r w:rsidRPr="00BB73AE">
        <w:rPr>
          <w:rStyle w:val="FootnoteReference"/>
          <w:rFonts w:ascii="Times New Roman" w:hAnsi="Times New Roman"/>
          <w:sz w:val="24"/>
        </w:rPr>
        <w:footnoteReference w:id="246"/>
      </w:r>
      <w:r w:rsidRPr="00BB73AE">
        <w:rPr>
          <w:rFonts w:ascii="Times New Roman" w:hAnsi="Times New Roman"/>
          <w:iCs/>
          <w:lang w:eastAsia="en-US"/>
        </w:rPr>
        <w:t>.</w:t>
      </w:r>
      <w:r w:rsidRPr="00BB73AE">
        <w:rPr>
          <w:rFonts w:ascii="Times New Roman" w:hAnsi="Times New Roman"/>
          <w:lang w:eastAsia="en-US"/>
        </w:rPr>
        <w:t xml:space="preserve"> And as to new criminal trials, in </w:t>
      </w:r>
      <w:r w:rsidRPr="00BB73AE">
        <w:rPr>
          <w:rFonts w:ascii="Times New Roman" w:hAnsi="Times New Roman"/>
          <w:i/>
          <w:iCs/>
          <w:lang w:eastAsia="en-US"/>
        </w:rPr>
        <w:t>Weiss</w:t>
      </w:r>
      <w:r w:rsidRPr="00BB73AE">
        <w:rPr>
          <w:rStyle w:val="FootnoteReference"/>
          <w:rFonts w:ascii="Times New Roman" w:hAnsi="Times New Roman"/>
          <w:sz w:val="24"/>
          <w:lang w:eastAsia="en-US"/>
        </w:rPr>
        <w:footnoteReference w:id="247"/>
      </w:r>
      <w:r w:rsidRPr="00BB73AE">
        <w:rPr>
          <w:rFonts w:ascii="Times New Roman" w:hAnsi="Times New Roman"/>
          <w:lang w:eastAsia="en-US"/>
        </w:rPr>
        <w:t xml:space="preserve"> this Court explained that the common form proviso was enacted against the shared history of the grant of new civil and criminal trials following legal error. Like the condition for a new civil trial, it will usually be sufficient to engage the proviso if the error was immaterial in the sense that the appellant was not deprived of the possibility of acquittal</w:t>
      </w:r>
      <w:r w:rsidRPr="00BB73AE">
        <w:rPr>
          <w:rStyle w:val="FootnoteReference"/>
          <w:rFonts w:ascii="Times New Roman" w:hAnsi="Times New Roman"/>
          <w:sz w:val="24"/>
          <w:lang w:eastAsia="en-US"/>
        </w:rPr>
        <w:footnoteReference w:id="248"/>
      </w:r>
      <w:r w:rsidRPr="00BB73AE">
        <w:rPr>
          <w:rFonts w:ascii="Times New Roman" w:hAnsi="Times New Roman"/>
          <w:lang w:eastAsia="en-US"/>
        </w:rPr>
        <w:t xml:space="preserve"> because conviction by the jury was "inevitable"</w:t>
      </w:r>
      <w:r w:rsidRPr="00BB73AE">
        <w:rPr>
          <w:rStyle w:val="FootnoteReference"/>
          <w:rFonts w:ascii="Times New Roman" w:hAnsi="Times New Roman"/>
          <w:sz w:val="24"/>
          <w:lang w:eastAsia="en-US"/>
        </w:rPr>
        <w:footnoteReference w:id="249"/>
      </w:r>
      <w:r w:rsidRPr="00BB73AE">
        <w:rPr>
          <w:rFonts w:ascii="Times New Roman" w:hAnsi="Times New Roman"/>
          <w:lang w:eastAsia="en-US"/>
        </w:rPr>
        <w:t xml:space="preserve">. And also like the conditions for a new civil trial, "some errors will establish a substantial miscarriage of justice even if the appellate court considers </w:t>
      </w:r>
      <w:r w:rsidRPr="00BB73AE">
        <w:rPr>
          <w:rFonts w:ascii="Times New Roman" w:hAnsi="Times New Roman"/>
          <w:lang w:eastAsia="en-US"/>
        </w:rPr>
        <w:lastRenderedPageBreak/>
        <w:t>that conviction was inevitable"</w:t>
      </w:r>
      <w:r w:rsidRPr="00BB73AE">
        <w:rPr>
          <w:rStyle w:val="FootnoteReference"/>
          <w:rFonts w:ascii="Times New Roman" w:hAnsi="Times New Roman"/>
          <w:sz w:val="24"/>
          <w:lang w:eastAsia="en-US"/>
        </w:rPr>
        <w:footnoteReference w:id="250"/>
      </w:r>
      <w:r w:rsidRPr="00BB73AE">
        <w:rPr>
          <w:rFonts w:ascii="Times New Roman" w:hAnsi="Times New Roman"/>
          <w:lang w:eastAsia="en-US"/>
        </w:rPr>
        <w:t xml:space="preserve">. This Court in </w:t>
      </w:r>
      <w:r w:rsidRPr="00BB73AE">
        <w:rPr>
          <w:rFonts w:ascii="Times New Roman" w:hAnsi="Times New Roman"/>
          <w:i/>
          <w:iCs/>
          <w:lang w:eastAsia="en-US"/>
        </w:rPr>
        <w:t xml:space="preserve">Weiss </w:t>
      </w:r>
      <w:r w:rsidRPr="00BB73AE">
        <w:rPr>
          <w:rFonts w:ascii="Times New Roman" w:hAnsi="Times New Roman"/>
          <w:lang w:eastAsia="en-US"/>
        </w:rPr>
        <w:t>said that a "significant denial of procedural fairness at trial" was an example of such a fundamental error</w:t>
      </w:r>
      <w:r w:rsidRPr="00BB73AE">
        <w:rPr>
          <w:rStyle w:val="FootnoteReference"/>
          <w:rFonts w:ascii="Times New Roman" w:hAnsi="Times New Roman"/>
          <w:sz w:val="24"/>
          <w:lang w:eastAsia="en-US"/>
        </w:rPr>
        <w:footnoteReference w:id="251"/>
      </w:r>
      <w:r w:rsidRPr="00BB73AE">
        <w:rPr>
          <w:rFonts w:ascii="Times New Roman" w:hAnsi="Times New Roman"/>
          <w:lang w:eastAsia="en-US"/>
        </w:rPr>
        <w:t>.</w:t>
      </w:r>
    </w:p>
    <w:p w14:paraId="28C57B6A" w14:textId="77777777" w:rsidR="007B5A1E" w:rsidRPr="00BB73AE" w:rsidRDefault="007B5A1E" w:rsidP="00BB73AE">
      <w:pPr>
        <w:pStyle w:val="HeadingL2"/>
        <w:spacing w:after="260" w:line="280" w:lineRule="exact"/>
        <w:ind w:right="0"/>
        <w:jc w:val="both"/>
        <w:rPr>
          <w:rFonts w:ascii="Times New Roman" w:hAnsi="Times New Roman"/>
          <w:lang w:eastAsia="en-US"/>
        </w:rPr>
      </w:pPr>
      <w:r w:rsidRPr="00BB73AE">
        <w:rPr>
          <w:rFonts w:ascii="Times New Roman" w:hAnsi="Times New Roman"/>
          <w:lang w:eastAsia="en-US"/>
        </w:rPr>
        <w:t>Materiality as a condition for a new administrative hearing</w:t>
      </w:r>
    </w:p>
    <w:p w14:paraId="3B1C637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rPr>
        <w:tab/>
        <w:t>Just as long</w:t>
      </w:r>
      <w:r w:rsidRPr="00BB73AE">
        <w:rPr>
          <w:rFonts w:ascii="Times New Roman" w:hAnsi="Times New Roman"/>
        </w:rPr>
        <w:noBreakHyphen/>
        <w:t>standing assumptions form the basis for an implication of statutory conditions upon power, so too do the long</w:t>
      </w:r>
      <w:r w:rsidRPr="00BB73AE">
        <w:rPr>
          <w:rFonts w:ascii="Times New Roman" w:hAnsi="Times New Roman"/>
        </w:rPr>
        <w:noBreakHyphen/>
        <w:t>standing assumptions about materiality form the basis for an implication that non</w:t>
      </w:r>
      <w:r w:rsidRPr="00BB73AE">
        <w:rPr>
          <w:rFonts w:ascii="Times New Roman" w:hAnsi="Times New Roman"/>
        </w:rPr>
        <w:noBreakHyphen/>
        <w:t>compliance with those conditions will not lead to invalidity unless the non-compliance is material. In </w:t>
      </w:r>
      <w:r w:rsidRPr="00BB73AE">
        <w:rPr>
          <w:rFonts w:ascii="Times New Roman" w:hAnsi="Times New Roman"/>
          <w:i/>
          <w:iCs/>
        </w:rPr>
        <w:t>Nobarani v Mariconte</w:t>
      </w:r>
      <w:r w:rsidRPr="00BB73AE">
        <w:rPr>
          <w:rStyle w:val="FootnoteReference"/>
          <w:rFonts w:ascii="Times New Roman" w:hAnsi="Times New Roman"/>
          <w:sz w:val="24"/>
        </w:rPr>
        <w:footnoteReference w:id="252"/>
      </w:r>
      <w:r w:rsidRPr="00BB73AE">
        <w:rPr>
          <w:rFonts w:ascii="Times New Roman" w:hAnsi="Times New Roman"/>
        </w:rPr>
        <w:t>, this Court recognised the equivalence of (i) the requirement of a "substantial wrong or miscarriage" before a new trial will be ordered and (ii) the materiality requirement in judicial review before non</w:t>
      </w:r>
      <w:r w:rsidRPr="00BB73AE">
        <w:rPr>
          <w:rFonts w:ascii="Times New Roman" w:hAnsi="Times New Roman"/>
        </w:rPr>
        <w:noBreakHyphen/>
        <w:t>compliance with a statutory condition will lead to invalidity of the decision. In both cases, the question is whether a new trial or hearing should not be granted despite the miscarriage or error of law.</w:t>
      </w:r>
    </w:p>
    <w:p w14:paraId="4B21349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rPr>
        <w:tab/>
        <w:t xml:space="preserve">In the same manner as the rules that have developed in relation to new civil or criminal trials, and </w:t>
      </w:r>
      <w:r w:rsidRPr="00BB73AE">
        <w:rPr>
          <w:rFonts w:ascii="Times New Roman" w:hAnsi="Times New Roman"/>
          <w:lang w:eastAsia="en-US"/>
        </w:rPr>
        <w:t>subject to any express statutory provision to the contrary, some errors or failures to comply with statutory conditions will always involve a material breach irrespective of whether the result might have been inevitable. One type of statutory condition that will always involve material non</w:t>
      </w:r>
      <w:r w:rsidRPr="00BB73AE">
        <w:rPr>
          <w:rFonts w:ascii="Times New Roman" w:hAnsi="Times New Roman"/>
          <w:lang w:eastAsia="en-US"/>
        </w:rPr>
        <w:noBreakHyphen/>
        <w:t>compliance is a duty to make the ultimate decision within the bounds of legal reasonableness</w:t>
      </w:r>
      <w:r w:rsidRPr="00BB73AE">
        <w:rPr>
          <w:rStyle w:val="FootnoteReference"/>
          <w:rFonts w:ascii="Times New Roman" w:hAnsi="Times New Roman"/>
          <w:sz w:val="24"/>
          <w:lang w:eastAsia="en-US"/>
        </w:rPr>
        <w:footnoteReference w:id="253"/>
      </w:r>
      <w:r w:rsidRPr="00BB73AE">
        <w:rPr>
          <w:rFonts w:ascii="Times New Roman" w:hAnsi="Times New Roman"/>
          <w:lang w:eastAsia="en-US"/>
        </w:rPr>
        <w:t>. A decision that is legally unreasonable will, by definition, involve an error that is not trivial or harmless.</w:t>
      </w:r>
    </w:p>
    <w:p w14:paraId="53EB1C3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lang w:eastAsia="en-US"/>
        </w:rPr>
      </w:pPr>
      <w:r w:rsidRPr="00BB73AE">
        <w:rPr>
          <w:rFonts w:ascii="Times New Roman" w:hAnsi="Times New Roman"/>
          <w:lang w:eastAsia="en-US"/>
        </w:rPr>
        <w:tab/>
        <w:t xml:space="preserve">A different type of statutory condition that will always involve material non-compliance is where the non-compliance is fundamental to the hearing process. For instance, just as it was said of new criminal trials in </w:t>
      </w:r>
      <w:r w:rsidRPr="00BB73AE">
        <w:rPr>
          <w:rFonts w:ascii="Times New Roman" w:hAnsi="Times New Roman"/>
          <w:i/>
          <w:iCs/>
          <w:lang w:eastAsia="en-US"/>
        </w:rPr>
        <w:t>Weiss</w:t>
      </w:r>
      <w:r w:rsidRPr="00BB73AE">
        <w:rPr>
          <w:rFonts w:ascii="Times New Roman" w:hAnsi="Times New Roman"/>
          <w:lang w:eastAsia="en-US"/>
        </w:rPr>
        <w:t xml:space="preserve">, it could be no answer to an extreme denial of procedural fairness in an administrative hearing to say that if the applicant had been given the opportunity to put their case then the </w:t>
      </w:r>
      <w:r w:rsidRPr="00BB73AE">
        <w:rPr>
          <w:rFonts w:ascii="Times New Roman" w:hAnsi="Times New Roman"/>
          <w:lang w:eastAsia="en-US"/>
        </w:rPr>
        <w:lastRenderedPageBreak/>
        <w:t>case would inevitably have failed</w:t>
      </w:r>
      <w:r w:rsidRPr="00BB73AE">
        <w:rPr>
          <w:rStyle w:val="FootnoteReference"/>
          <w:rFonts w:ascii="Times New Roman" w:hAnsi="Times New Roman"/>
          <w:sz w:val="24"/>
          <w:lang w:eastAsia="en-US"/>
        </w:rPr>
        <w:footnoteReference w:id="254"/>
      </w:r>
      <w:r w:rsidRPr="00BB73AE">
        <w:rPr>
          <w:rFonts w:ascii="Times New Roman" w:hAnsi="Times New Roman"/>
          <w:lang w:eastAsia="en-US"/>
        </w:rPr>
        <w:t>. Nor could it be an answer to a hearing tainted by actual or apprehended bias to say that the case would inevitably have failed before an impartial decision</w:t>
      </w:r>
      <w:r w:rsidRPr="00BB73AE">
        <w:rPr>
          <w:rFonts w:ascii="Times New Roman" w:hAnsi="Times New Roman"/>
          <w:lang w:eastAsia="en-US"/>
        </w:rPr>
        <w:noBreakHyphen/>
        <w:t xml:space="preserve">maker. </w:t>
      </w:r>
      <w:r w:rsidRPr="00BB73AE">
        <w:rPr>
          <w:rFonts w:ascii="Times New Roman" w:hAnsi="Times New Roman"/>
        </w:rPr>
        <w:t>In the language of the United States decisions, bias is a ground that is so fundamental that it will "defy harmless</w:t>
      </w:r>
      <w:r w:rsidRPr="00BB73AE">
        <w:rPr>
          <w:rFonts w:ascii="Times New Roman" w:hAnsi="Times New Roman"/>
        </w:rPr>
        <w:noBreakHyphen/>
        <w:t>error review"</w:t>
      </w:r>
      <w:r w:rsidRPr="00BB73AE">
        <w:rPr>
          <w:rStyle w:val="FootnoteReference"/>
          <w:rFonts w:ascii="Times New Roman" w:hAnsi="Times New Roman"/>
          <w:sz w:val="24"/>
        </w:rPr>
        <w:footnoteReference w:id="255"/>
      </w:r>
      <w:r w:rsidRPr="00BB73AE">
        <w:rPr>
          <w:rFonts w:ascii="Times New Roman" w:hAnsi="Times New Roman"/>
        </w:rPr>
        <w:t>.</w:t>
      </w:r>
    </w:p>
    <w:p w14:paraId="7DA6F70B" w14:textId="77777777" w:rsidR="007B5A1E" w:rsidRPr="00BB73AE" w:rsidRDefault="007B5A1E" w:rsidP="00BB73AE">
      <w:pPr>
        <w:pStyle w:val="HeadingL1"/>
        <w:spacing w:after="260" w:line="280" w:lineRule="exact"/>
        <w:ind w:right="0"/>
        <w:jc w:val="both"/>
        <w:rPr>
          <w:rFonts w:ascii="Times New Roman" w:hAnsi="Times New Roman"/>
        </w:rPr>
      </w:pPr>
      <w:r w:rsidRPr="00BB73AE">
        <w:rPr>
          <w:rFonts w:ascii="Times New Roman" w:hAnsi="Times New Roman"/>
        </w:rPr>
        <w:t>The implication of the onus concerning materiality</w:t>
      </w:r>
    </w:p>
    <w:p w14:paraId="09606B9E" w14:textId="77777777" w:rsidR="007B5A1E" w:rsidRPr="00BB73AE" w:rsidRDefault="007B5A1E" w:rsidP="00BB73AE">
      <w:pPr>
        <w:pStyle w:val="HeadingL2"/>
        <w:spacing w:after="260" w:line="280" w:lineRule="exact"/>
        <w:ind w:right="0"/>
        <w:jc w:val="both"/>
        <w:rPr>
          <w:rFonts w:ascii="Times New Roman" w:hAnsi="Times New Roman"/>
        </w:rPr>
      </w:pPr>
      <w:r w:rsidRPr="00BB73AE">
        <w:rPr>
          <w:rFonts w:ascii="Times New Roman" w:hAnsi="Times New Roman"/>
        </w:rPr>
        <w:t>The onus where a new civil or criminal trial is sought</w:t>
      </w:r>
    </w:p>
    <w:p w14:paraId="530D415F"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As a matter of principle, the role of legislative intention should not be limited to discerning the existence of statutory conditions and the requirement for non-compliance with statutory conditions to be material. It should also extend to discerning the party who bears the onus of proving materiality or immateriality. The consequence of the onus of proof being a matter of expression or implication of legislative intention is that the onus of proof of materiality or immateriality must depend on the statutory context. As explained in the introduction to these reasons, this is the position that has been reached in the United States.</w:t>
      </w:r>
    </w:p>
    <w:p w14:paraId="3E91C37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Many statutes will contain little or no indication to guide a court as to which party bears the onus of proof. The legislative intention in these circumstances can only be based upon assumptions derived from the historical matrix of common law and statute. Like the history of the materiality requirement which established materiality as a usual assumption, the Australian history of the onus of proof has established that the onus is generally borne by the party opposing a new trial or a new hearing. That is, the onus is generally to prove immateriality, not to prove materiality.</w:t>
      </w:r>
    </w:p>
    <w:p w14:paraId="7904598F"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common law need not have taken this path. Indeed, the judicature rule, in its literal terms which provided that "[</w:t>
      </w:r>
      <w:r w:rsidRPr="00BB73AE">
        <w:rPr>
          <w:rFonts w:ascii="Times New Roman" w:hAnsi="Times New Roman"/>
          <w:lang w:eastAsia="en-US"/>
        </w:rPr>
        <w:t xml:space="preserve">a] new trial shall not be granted ... </w:t>
      </w:r>
      <w:r w:rsidRPr="00BB73AE">
        <w:rPr>
          <w:rFonts w:ascii="Times New Roman" w:hAnsi="Times New Roman"/>
          <w:i/>
          <w:iCs/>
          <w:lang w:eastAsia="en-US"/>
        </w:rPr>
        <w:t>unless</w:t>
      </w:r>
      <w:r w:rsidRPr="00BB73AE">
        <w:rPr>
          <w:rFonts w:ascii="Times New Roman" w:hAnsi="Times New Roman"/>
          <w:lang w:eastAsia="en-US"/>
        </w:rPr>
        <w:t>"</w:t>
      </w:r>
      <w:r w:rsidRPr="00BB73AE">
        <w:rPr>
          <w:rStyle w:val="FootnoteReference"/>
          <w:rFonts w:ascii="Times New Roman" w:hAnsi="Times New Roman"/>
          <w:sz w:val="24"/>
          <w:lang w:eastAsia="en-US"/>
        </w:rPr>
        <w:footnoteReference w:id="256"/>
      </w:r>
      <w:r w:rsidRPr="00BB73AE">
        <w:rPr>
          <w:rFonts w:ascii="Times New Roman" w:hAnsi="Times New Roman"/>
          <w:lang w:eastAsia="en-US"/>
        </w:rPr>
        <w:t xml:space="preserve">, could have comfortably been understood as placing the onus upon the party seeking a new trial. But </w:t>
      </w:r>
      <w:r w:rsidRPr="00BB73AE">
        <w:rPr>
          <w:rFonts w:ascii="Times New Roman" w:hAnsi="Times New Roman"/>
        </w:rPr>
        <w:t xml:space="preserve">the onus of proof was not generally understood in this way. An early case involving the recognition that the onus is to prove immateriality and not for an applicant to prove materiality, described by Wigmore </w:t>
      </w:r>
      <w:r w:rsidRPr="00BB73AE">
        <w:rPr>
          <w:rFonts w:ascii="Times New Roman" w:hAnsi="Times New Roman"/>
        </w:rPr>
        <w:lastRenderedPageBreak/>
        <w:t>as a "model example"</w:t>
      </w:r>
      <w:r w:rsidRPr="00BB73AE">
        <w:rPr>
          <w:rStyle w:val="FootnoteReference"/>
          <w:rFonts w:ascii="Times New Roman" w:hAnsi="Times New Roman"/>
          <w:sz w:val="24"/>
        </w:rPr>
        <w:footnoteReference w:id="257"/>
      </w:r>
      <w:r w:rsidRPr="00BB73AE">
        <w:rPr>
          <w:rFonts w:ascii="Times New Roman" w:hAnsi="Times New Roman"/>
        </w:rPr>
        <w:t xml:space="preserve">, was the decision of Porter J in </w:t>
      </w:r>
      <w:r w:rsidRPr="00BB73AE">
        <w:rPr>
          <w:rFonts w:ascii="Times New Roman" w:hAnsi="Times New Roman"/>
          <w:i/>
          <w:iCs/>
        </w:rPr>
        <w:t>People v Fernandez</w:t>
      </w:r>
      <w:r w:rsidRPr="00BB73AE">
        <w:rPr>
          <w:rStyle w:val="FootnoteReference"/>
          <w:rFonts w:ascii="Times New Roman" w:hAnsi="Times New Roman"/>
          <w:sz w:val="24"/>
        </w:rPr>
        <w:footnoteReference w:id="258"/>
      </w:r>
      <w:r w:rsidRPr="00BB73AE">
        <w:rPr>
          <w:rFonts w:ascii="Times New Roman" w:hAnsi="Times New Roman"/>
          <w:iCs/>
        </w:rPr>
        <w:t>,</w:t>
      </w:r>
      <w:r w:rsidRPr="00BB73AE">
        <w:rPr>
          <w:rFonts w:ascii="Times New Roman" w:hAnsi="Times New Roman"/>
          <w:i/>
          <w:iCs/>
        </w:rPr>
        <w:t xml:space="preserve"> </w:t>
      </w:r>
      <w:r w:rsidRPr="00BB73AE">
        <w:rPr>
          <w:rFonts w:ascii="Times New Roman" w:hAnsi="Times New Roman"/>
        </w:rPr>
        <w:t>where he said:</w:t>
      </w:r>
    </w:p>
    <w:p w14:paraId="36ECBF08" w14:textId="77777777" w:rsidR="007B5A1E" w:rsidRDefault="007B5A1E" w:rsidP="00BB73AE">
      <w:pPr>
        <w:pStyle w:val="LeftrightafterHC"/>
        <w:spacing w:before="0" w:after="260" w:line="280" w:lineRule="exact"/>
        <w:ind w:right="0"/>
        <w:jc w:val="both"/>
        <w:rPr>
          <w:rFonts w:ascii="Times New Roman" w:hAnsi="Times New Roman"/>
        </w:rPr>
      </w:pPr>
      <w:r w:rsidRPr="00BB73AE">
        <w:rPr>
          <w:rFonts w:ascii="Times New Roman" w:hAnsi="Times New Roman"/>
        </w:rPr>
        <w:t>"there is no distinction between civil and criminal cases. The reception of illegal evidence is presumptively injurious to the party objecting to its admission; but where the presumption is repelled, and it clearly appears, on examination of the whole record, beyond the possibility of rational doubt, that the result would have been the same if the objectionable proof had been rejected, the error furnishes no ground for reversal."</w:t>
      </w:r>
    </w:p>
    <w:p w14:paraId="336967F4"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In Australia it is established beyond doubt in relation to the common form proviso in criminal law that the onus of proof lies upon the State to establish that no substantial miscarriage of justice has occurred</w:t>
      </w:r>
      <w:r w:rsidRPr="00BB73AE">
        <w:rPr>
          <w:rStyle w:val="FootnoteReference"/>
          <w:rFonts w:ascii="Times New Roman" w:hAnsi="Times New Roman"/>
          <w:sz w:val="24"/>
        </w:rPr>
        <w:footnoteReference w:id="259"/>
      </w:r>
      <w:r w:rsidRPr="00BB73AE">
        <w:rPr>
          <w:rFonts w:ascii="Times New Roman" w:hAnsi="Times New Roman"/>
        </w:rPr>
        <w:t xml:space="preserve">. As McHugh J said in </w:t>
      </w:r>
      <w:r w:rsidRPr="00BB73AE">
        <w:rPr>
          <w:rFonts w:ascii="Times New Roman" w:hAnsi="Times New Roman"/>
          <w:i/>
          <w:iCs/>
        </w:rPr>
        <w:t>TKWJ v The Queen</w:t>
      </w:r>
      <w:r w:rsidRPr="00BB73AE">
        <w:rPr>
          <w:rStyle w:val="FootnoteReference"/>
          <w:rFonts w:ascii="Times New Roman" w:hAnsi="Times New Roman"/>
          <w:sz w:val="24"/>
        </w:rPr>
        <w:footnoteReference w:id="260"/>
      </w:r>
      <w:r w:rsidRPr="00BB73AE">
        <w:rPr>
          <w:rFonts w:ascii="Times New Roman" w:hAnsi="Times New Roman"/>
        </w:rPr>
        <w:t>:</w:t>
      </w:r>
    </w:p>
    <w:p w14:paraId="6DC5D182" w14:textId="77777777" w:rsidR="007B5A1E" w:rsidRDefault="007B5A1E" w:rsidP="00BB73AE">
      <w:pPr>
        <w:pStyle w:val="LeftrightafterHC"/>
        <w:spacing w:before="0" w:after="260" w:line="280" w:lineRule="exact"/>
        <w:ind w:right="0"/>
        <w:jc w:val="both"/>
        <w:rPr>
          <w:rFonts w:ascii="Times New Roman" w:hAnsi="Times New Roman"/>
          <w:shd w:val="clear" w:color="auto" w:fill="FFFFFF"/>
        </w:rPr>
      </w:pPr>
      <w:r w:rsidRPr="00BB73AE">
        <w:rPr>
          <w:rFonts w:ascii="Times New Roman" w:hAnsi="Times New Roman"/>
          <w:shd w:val="clear" w:color="auto" w:fill="FFFFFF"/>
        </w:rPr>
        <w:t>"Cases on the proviso operate on the hypothesis that there has been a legal error that prima facie requires the conviction to be set aside. The issue then becomes whether the Crown has shown that no substantial miscarriage of justice occurred because the error could not have affected the result of the trial."</w:t>
      </w:r>
    </w:p>
    <w:p w14:paraId="5903483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For a period of time, however, the opposite view prevailed in relation to civil trials. </w:t>
      </w:r>
      <w:r w:rsidRPr="00BB73AE">
        <w:rPr>
          <w:rFonts w:ascii="Times New Roman" w:hAnsi="Times New Roman"/>
          <w:lang w:eastAsia="en-US"/>
        </w:rPr>
        <w:t xml:space="preserve">In </w:t>
      </w:r>
      <w:r w:rsidRPr="00BB73AE">
        <w:rPr>
          <w:rFonts w:ascii="Times New Roman" w:hAnsi="Times New Roman"/>
          <w:i/>
          <w:iCs/>
          <w:lang w:eastAsia="en-US"/>
        </w:rPr>
        <w:t>Holford</w:t>
      </w:r>
      <w:r w:rsidRPr="00BB73AE">
        <w:rPr>
          <w:rStyle w:val="FootnoteReference"/>
          <w:rFonts w:ascii="Times New Roman" w:hAnsi="Times New Roman"/>
          <w:sz w:val="24"/>
          <w:lang w:eastAsia="en-US"/>
        </w:rPr>
        <w:footnoteReference w:id="261"/>
      </w:r>
      <w:r w:rsidRPr="00BB73AE">
        <w:rPr>
          <w:rFonts w:ascii="Times New Roman" w:hAnsi="Times New Roman"/>
          <w:lang w:eastAsia="en-US"/>
        </w:rPr>
        <w:t>, Cussen J said that it was sufficient for the party seeking a new trial to demonstrate that the jury may have been influenced by the misdirection and then continued:</w:t>
      </w:r>
    </w:p>
    <w:p w14:paraId="6DF60D51" w14:textId="77777777" w:rsidR="007B5A1E" w:rsidRDefault="007B5A1E" w:rsidP="00BB73AE">
      <w:pPr>
        <w:pStyle w:val="LeftrightafterHC"/>
        <w:spacing w:before="0" w:after="260" w:line="280" w:lineRule="exact"/>
        <w:ind w:right="0"/>
        <w:jc w:val="both"/>
        <w:rPr>
          <w:rFonts w:ascii="Times New Roman" w:hAnsi="Times New Roman"/>
          <w:shd w:val="clear" w:color="auto" w:fill="FFFFFF"/>
        </w:rPr>
      </w:pPr>
      <w:r w:rsidRPr="00BB73AE">
        <w:rPr>
          <w:rFonts w:ascii="Times New Roman" w:hAnsi="Times New Roman"/>
          <w:shd w:val="clear" w:color="auto" w:fill="FFFFFF"/>
        </w:rPr>
        <w:t xml:space="preserve">"The plaintiffs' counsel contended that the </w:t>
      </w:r>
      <w:r w:rsidRPr="00BB73AE">
        <w:rPr>
          <w:rFonts w:ascii="Times New Roman" w:hAnsi="Times New Roman"/>
          <w:i/>
          <w:shd w:val="clear" w:color="auto" w:fill="FFFFFF"/>
        </w:rPr>
        <w:t>onus</w:t>
      </w:r>
      <w:r w:rsidRPr="00BB73AE">
        <w:rPr>
          <w:rFonts w:ascii="Times New Roman" w:hAnsi="Times New Roman"/>
          <w:shd w:val="clear" w:color="auto" w:fill="FFFFFF"/>
        </w:rPr>
        <w:t xml:space="preserve"> of showing the miscarriage is on the party asking for the new trial. I think this is clearly right, but I think that </w:t>
      </w:r>
      <w:r w:rsidRPr="00BB73AE">
        <w:rPr>
          <w:rFonts w:ascii="Times New Roman" w:hAnsi="Times New Roman"/>
          <w:i/>
          <w:shd w:val="clear" w:color="auto" w:fill="FFFFFF"/>
        </w:rPr>
        <w:t>onus</w:t>
      </w:r>
      <w:r w:rsidRPr="00BB73AE">
        <w:rPr>
          <w:rFonts w:ascii="Times New Roman" w:hAnsi="Times New Roman"/>
          <w:shd w:val="clear" w:color="auto" w:fill="FFFFFF"/>
        </w:rPr>
        <w:t xml:space="preserve"> is satisfied when the facts appear to be as above set out, and that unless the party opposing the grant of the order for a new trial can point to some further fact, the conclusion that there was a miscarriage must be drawn."</w:t>
      </w:r>
    </w:p>
    <w:p w14:paraId="1369C421"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lastRenderedPageBreak/>
        <w:tab/>
        <w:t xml:space="preserve">This approach to the onus of proof, whilst conforming with the literal terms of the judicature rule, did not last, at least in jurisdictions such as New South Wales which were governed by the common law rule rather than the judicature rule. As Dixon CJ observed in </w:t>
      </w:r>
      <w:r w:rsidRPr="00BB73AE">
        <w:rPr>
          <w:rFonts w:ascii="Times New Roman" w:hAnsi="Times New Roman"/>
          <w:i/>
          <w:iCs/>
        </w:rPr>
        <w:t>Balenzuela v De Gail</w:t>
      </w:r>
      <w:r w:rsidRPr="00BB73AE">
        <w:rPr>
          <w:rStyle w:val="FootnoteReference"/>
          <w:rFonts w:ascii="Times New Roman" w:hAnsi="Times New Roman"/>
          <w:sz w:val="24"/>
        </w:rPr>
        <w:footnoteReference w:id="262"/>
      </w:r>
      <w:r w:rsidRPr="00BB73AE">
        <w:rPr>
          <w:rFonts w:ascii="Times New Roman" w:hAnsi="Times New Roman"/>
          <w:iCs/>
        </w:rPr>
        <w:t>,</w:t>
      </w:r>
      <w:r w:rsidRPr="00BB73AE">
        <w:rPr>
          <w:rFonts w:ascii="Times New Roman" w:hAnsi="Times New Roman"/>
        </w:rPr>
        <w:t xml:space="preserve"> historically there had been cases, like </w:t>
      </w:r>
      <w:r w:rsidRPr="00BB73AE">
        <w:rPr>
          <w:rFonts w:ascii="Times New Roman" w:hAnsi="Times New Roman"/>
          <w:i/>
          <w:iCs/>
        </w:rPr>
        <w:t>Holford</w:t>
      </w:r>
      <w:r w:rsidRPr="00BB73AE">
        <w:rPr>
          <w:rFonts w:ascii="Times New Roman" w:hAnsi="Times New Roman"/>
        </w:rPr>
        <w:t>, that placed the onus upon the party seeking a new trial to establish that the error might possibly have affected the result. But there were many cases where the burden was upon the party resisting the new trial. The "accepted practice in New South Wales" was the latter</w:t>
      </w:r>
      <w:r w:rsidRPr="00BB73AE">
        <w:rPr>
          <w:rStyle w:val="FootnoteReference"/>
          <w:rFonts w:ascii="Times New Roman" w:hAnsi="Times New Roman"/>
          <w:sz w:val="24"/>
        </w:rPr>
        <w:footnoteReference w:id="263"/>
      </w:r>
      <w:r w:rsidRPr="00BB73AE">
        <w:rPr>
          <w:rFonts w:ascii="Times New Roman" w:hAnsi="Times New Roman"/>
        </w:rPr>
        <w:t>. In the passage from which Dixon CJ quoted, this accepted practice was described in terms that plainly placed the onus upon the party resisting the new trial</w:t>
      </w:r>
      <w:r w:rsidRPr="00BB73AE">
        <w:rPr>
          <w:rStyle w:val="FootnoteReference"/>
          <w:rFonts w:ascii="Times New Roman" w:hAnsi="Times New Roman"/>
          <w:sz w:val="24"/>
        </w:rPr>
        <w:footnoteReference w:id="264"/>
      </w:r>
      <w:r w:rsidRPr="00BB73AE">
        <w:rPr>
          <w:rFonts w:ascii="Times New Roman" w:hAnsi="Times New Roman"/>
        </w:rPr>
        <w:t>:</w:t>
      </w:r>
    </w:p>
    <w:p w14:paraId="5B95E873" w14:textId="77777777" w:rsidR="007B5A1E" w:rsidRDefault="007B5A1E" w:rsidP="00BB73AE">
      <w:pPr>
        <w:pStyle w:val="leftright"/>
        <w:spacing w:before="0" w:after="260" w:line="280" w:lineRule="exact"/>
        <w:ind w:right="0"/>
        <w:jc w:val="both"/>
        <w:rPr>
          <w:rFonts w:ascii="Times New Roman" w:hAnsi="Times New Roman"/>
        </w:rPr>
      </w:pPr>
      <w:r w:rsidRPr="00BB73AE">
        <w:rPr>
          <w:rFonts w:ascii="Times New Roman" w:hAnsi="Times New Roman"/>
          <w:shd w:val="clear" w:color="auto" w:fill="FFFFFF"/>
        </w:rPr>
        <w:t>"[T]he court would as a rule grant a new trial where evidence had been improperly admitted: but that in its discretion the court might refrain from granting a new trial if it was affirmatively satisfied that the actual verdict returned could not have been affected by the inadmissible evidence."</w:t>
      </w:r>
    </w:p>
    <w:p w14:paraId="2103620A"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accepted practice in New South Wales had previously been applied by Dixon J, who spoke of how "the prima-facie right to a new trial is displaced" by an error that "cannot reasonably be supposed to have affected the result"</w:t>
      </w:r>
      <w:r w:rsidRPr="00BB73AE">
        <w:rPr>
          <w:rStyle w:val="FootnoteReference"/>
          <w:rFonts w:ascii="Times New Roman" w:hAnsi="Times New Roman"/>
          <w:sz w:val="24"/>
        </w:rPr>
        <w:footnoteReference w:id="265"/>
      </w:r>
      <w:r w:rsidRPr="00BB73AE">
        <w:rPr>
          <w:rFonts w:ascii="Times New Roman" w:hAnsi="Times New Roman"/>
        </w:rPr>
        <w:t>. In </w:t>
      </w:r>
      <w:r w:rsidRPr="00BB73AE">
        <w:rPr>
          <w:rFonts w:ascii="Times New Roman" w:hAnsi="Times New Roman"/>
          <w:i/>
          <w:iCs/>
        </w:rPr>
        <w:t>Balenzuela</w:t>
      </w:r>
      <w:r w:rsidRPr="00BB73AE">
        <w:rPr>
          <w:rFonts w:ascii="Times New Roman" w:hAnsi="Times New Roman"/>
        </w:rPr>
        <w:t>, whilst Dixon CJ doubted whether the question of onus of proof was really of any importance, he reiterated that the "true view" was that</w:t>
      </w:r>
      <w:r w:rsidRPr="00BB73AE">
        <w:rPr>
          <w:rStyle w:val="FootnoteReference"/>
          <w:rFonts w:ascii="Times New Roman" w:hAnsi="Times New Roman"/>
          <w:sz w:val="24"/>
        </w:rPr>
        <w:footnoteReference w:id="266"/>
      </w:r>
      <w:r w:rsidRPr="00BB73AE">
        <w:rPr>
          <w:rFonts w:ascii="Times New Roman" w:hAnsi="Times New Roman"/>
        </w:rPr>
        <w:t>:</w:t>
      </w:r>
    </w:p>
    <w:p w14:paraId="19D4E071" w14:textId="77777777" w:rsidR="007B5A1E" w:rsidRDefault="007B5A1E" w:rsidP="00BB73AE">
      <w:pPr>
        <w:pStyle w:val="LeftrightafterHC"/>
        <w:spacing w:before="0" w:after="260" w:line="280" w:lineRule="exact"/>
        <w:ind w:right="0"/>
        <w:jc w:val="both"/>
        <w:rPr>
          <w:rFonts w:ascii="Times New Roman" w:hAnsi="Times New Roman"/>
        </w:rPr>
      </w:pPr>
      <w:r w:rsidRPr="00BB73AE">
        <w:rPr>
          <w:rFonts w:ascii="Times New Roman" w:hAnsi="Times New Roman"/>
        </w:rPr>
        <w:t>"at common law it was necessary to grant a new trial unless the court felt some reasonable assurance that the error of law at the trial whether in a misdirection or wrongful admission or rejection of evidence or otherwise was of such a nature that it could not reasonably be supposed to have influenced the result".</w:t>
      </w:r>
    </w:p>
    <w:p w14:paraId="16B31B7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It is plain beyond argument that in the passage above Dixon CJ was approving the accepted practice in New South Wales as the common law rule that the onus of proof lay upon a party asserting that there should be no new trial because the error could not reasonably be supposed to have influenced the result. Indeed, his Honour also observed that "the burden is the other way" in the language </w:t>
      </w:r>
      <w:r w:rsidRPr="00BB73AE">
        <w:rPr>
          <w:rFonts w:ascii="Times New Roman" w:hAnsi="Times New Roman"/>
        </w:rPr>
        <w:lastRenderedPageBreak/>
        <w:t>of the judicature rule, which suggested "an intention that the court should not grant a new trial ... unless it was persuaded that a substantial wrong or miscarriage had been occasioned by the error"</w:t>
      </w:r>
      <w:r w:rsidRPr="00BB73AE">
        <w:rPr>
          <w:rStyle w:val="FootnoteReference"/>
          <w:rFonts w:ascii="Times New Roman" w:hAnsi="Times New Roman"/>
          <w:sz w:val="24"/>
        </w:rPr>
        <w:footnoteReference w:id="267"/>
      </w:r>
      <w:r w:rsidRPr="00BB73AE">
        <w:rPr>
          <w:rFonts w:ascii="Times New Roman" w:hAnsi="Times New Roman"/>
        </w:rPr>
        <w:t xml:space="preserve">. The Chief Justice concluded his discussion of this point by saying that the location of the onus may form one distinction between the common law and the judicature rule. He endorsed the view in </w:t>
      </w:r>
      <w:r w:rsidRPr="00BB73AE">
        <w:rPr>
          <w:rFonts w:ascii="Times New Roman" w:hAnsi="Times New Roman"/>
          <w:i/>
          <w:iCs/>
        </w:rPr>
        <w:t>Best on Evidence</w:t>
      </w:r>
      <w:r w:rsidRPr="00BB73AE">
        <w:rPr>
          <w:rStyle w:val="FootnoteReference"/>
          <w:rFonts w:ascii="Times New Roman" w:hAnsi="Times New Roman"/>
          <w:iCs/>
          <w:sz w:val="24"/>
        </w:rPr>
        <w:footnoteReference w:id="268"/>
      </w:r>
      <w:r w:rsidRPr="00BB73AE">
        <w:rPr>
          <w:rFonts w:ascii="Times New Roman" w:hAnsi="Times New Roman"/>
        </w:rPr>
        <w:t xml:space="preserve"> that the distinction between the common law and the judicature rule was that "[f]ormerly, where evidence had been improperly admitted or rejected, a new trial was granted, unless it was clear that the result would not have been affected; but this rule is reversed by the [judicature rule]".    </w:t>
      </w:r>
    </w:p>
    <w:p w14:paraId="7031FBA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In </w:t>
      </w:r>
      <w:r w:rsidRPr="00BB73AE">
        <w:rPr>
          <w:rFonts w:ascii="Times New Roman" w:hAnsi="Times New Roman"/>
          <w:i/>
          <w:iCs/>
        </w:rPr>
        <w:t>Balenzuela</w:t>
      </w:r>
      <w:r w:rsidRPr="00BB73AE">
        <w:rPr>
          <w:rFonts w:ascii="Times New Roman" w:hAnsi="Times New Roman"/>
        </w:rPr>
        <w:t>, Dixon CJ separately considered whether there was "[a]nother distinction" (ie a different distinction) between the judicature rule and the common law, being that "a rather more substantial wrong or miscarriage has been required under the judicature rule than had been required at common law"</w:t>
      </w:r>
      <w:r w:rsidRPr="00BB73AE">
        <w:rPr>
          <w:rStyle w:val="FootnoteReference"/>
          <w:rFonts w:ascii="Times New Roman" w:hAnsi="Times New Roman"/>
          <w:sz w:val="24"/>
        </w:rPr>
        <w:footnoteReference w:id="269"/>
      </w:r>
      <w:r w:rsidRPr="00BB73AE">
        <w:rPr>
          <w:rFonts w:ascii="Times New Roman" w:hAnsi="Times New Roman"/>
        </w:rPr>
        <w:t xml:space="preserve">. Unlike the distinction on the point of onus, Dixon CJ thought that this other alleged distinction was "doubtful" and considered that what Higgins J had said in </w:t>
      </w:r>
      <w:r w:rsidRPr="00BB73AE">
        <w:rPr>
          <w:rFonts w:ascii="Times New Roman" w:hAnsi="Times New Roman"/>
          <w:i/>
          <w:iCs/>
        </w:rPr>
        <w:t>Robinson &amp; Vincent Ltd v Rice</w:t>
      </w:r>
      <w:r w:rsidRPr="00BB73AE">
        <w:rPr>
          <w:rStyle w:val="FootnoteReference"/>
          <w:rFonts w:ascii="Times New Roman" w:hAnsi="Times New Roman"/>
          <w:sz w:val="24"/>
        </w:rPr>
        <w:footnoteReference w:id="270"/>
      </w:r>
      <w:r w:rsidRPr="00BB73AE">
        <w:rPr>
          <w:rFonts w:ascii="Times New Roman" w:hAnsi="Times New Roman"/>
          <w:i/>
          <w:iCs/>
        </w:rPr>
        <w:t xml:space="preserve"> </w:t>
      </w:r>
      <w:r w:rsidRPr="00BB73AE">
        <w:rPr>
          <w:rFonts w:ascii="Times New Roman" w:hAnsi="Times New Roman"/>
        </w:rPr>
        <w:t xml:space="preserve">was "justified in substance", namely that the position under the judicature rule was the same as that at common law before the </w:t>
      </w:r>
      <w:r w:rsidRPr="00BB73AE">
        <w:rPr>
          <w:rFonts w:ascii="Times New Roman" w:hAnsi="Times New Roman"/>
          <w:i/>
          <w:iCs/>
        </w:rPr>
        <w:t>Common Law Procedure Act 1852</w:t>
      </w:r>
      <w:r w:rsidRPr="00BB73AE">
        <w:rPr>
          <w:rStyle w:val="FootnoteReference"/>
          <w:rFonts w:ascii="Times New Roman" w:hAnsi="Times New Roman"/>
          <w:iCs/>
          <w:sz w:val="24"/>
        </w:rPr>
        <w:footnoteReference w:id="271"/>
      </w:r>
      <w:r w:rsidRPr="00BB73AE">
        <w:rPr>
          <w:rFonts w:ascii="Times New Roman" w:hAnsi="Times New Roman"/>
          <w:iCs/>
        </w:rPr>
        <w:t xml:space="preserve"> </w:t>
      </w:r>
      <w:r w:rsidRPr="00BB73AE">
        <w:rPr>
          <w:rFonts w:ascii="Times New Roman" w:hAnsi="Times New Roman"/>
        </w:rPr>
        <w:t xml:space="preserve">as applied subsequently in England and New South Wales. The Chief Justice was here making a different point about the extent of a substantial miscarriage that was required. He was not contradicting what he had said immediately beforehand about the onus of proof being borne by the party alleging immateriality. </w:t>
      </w:r>
    </w:p>
    <w:p w14:paraId="488FF17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Nor did Dixon CJ directly contradict himself in relation to the distinction that he recognised between the common law and the judicature rule in the next paragraph when he said that a new trial should be ordered because the "basal fact is that material evidence was erroneously excluded from the consideration of the jury"</w:t>
      </w:r>
      <w:r w:rsidRPr="00BB73AE">
        <w:rPr>
          <w:rStyle w:val="FootnoteReference"/>
          <w:rFonts w:ascii="Times New Roman" w:hAnsi="Times New Roman"/>
          <w:sz w:val="24"/>
        </w:rPr>
        <w:footnoteReference w:id="272"/>
      </w:r>
      <w:r w:rsidRPr="00BB73AE">
        <w:rPr>
          <w:rFonts w:ascii="Times New Roman" w:hAnsi="Times New Roman"/>
        </w:rPr>
        <w:t>. His concern with "material evidence" was a concern with whether an error had been established at all, not with the materiality of the error. And as Dixon CJ said earlier in his reasons</w:t>
      </w:r>
      <w:r w:rsidRPr="00BB73AE">
        <w:rPr>
          <w:rStyle w:val="FootnoteReference"/>
          <w:rFonts w:ascii="Times New Roman" w:hAnsi="Times New Roman"/>
          <w:sz w:val="24"/>
        </w:rPr>
        <w:footnoteReference w:id="273"/>
      </w:r>
      <w:r w:rsidRPr="00BB73AE">
        <w:rPr>
          <w:rFonts w:ascii="Times New Roman" w:hAnsi="Times New Roman"/>
        </w:rPr>
        <w:t>:</w:t>
      </w:r>
    </w:p>
    <w:p w14:paraId="552F13E8" w14:textId="77777777" w:rsidR="007B5A1E" w:rsidRDefault="007B5A1E" w:rsidP="00BB73AE">
      <w:pPr>
        <w:pStyle w:val="LeftrightafterHC"/>
        <w:spacing w:before="0" w:after="260" w:line="280" w:lineRule="exact"/>
        <w:ind w:right="0"/>
        <w:jc w:val="both"/>
        <w:rPr>
          <w:rFonts w:ascii="Times New Roman" w:hAnsi="Times New Roman"/>
        </w:rPr>
      </w:pPr>
      <w:r w:rsidRPr="00BB73AE">
        <w:rPr>
          <w:rFonts w:ascii="Times New Roman" w:hAnsi="Times New Roman"/>
        </w:rPr>
        <w:lastRenderedPageBreak/>
        <w:t>"When material evidence has been erroneously rejected at the instance of the party who succeeds, then to deny nevertheless to the unsuccessful party the remedy of a new trial the Court must have some sure ground for saying that the reception of the evidence would not have affected the result or that it ought not to have done so."</w:t>
      </w:r>
    </w:p>
    <w:p w14:paraId="0A1B9588"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i/>
          <w:iCs/>
        </w:rPr>
        <w:tab/>
      </w:r>
      <w:r w:rsidRPr="00BB73AE">
        <w:rPr>
          <w:rFonts w:ascii="Times New Roman" w:hAnsi="Times New Roman"/>
        </w:rPr>
        <w:t xml:space="preserve">The other Justices in </w:t>
      </w:r>
      <w:r w:rsidRPr="00BB73AE">
        <w:rPr>
          <w:rFonts w:ascii="Times New Roman" w:hAnsi="Times New Roman"/>
          <w:i/>
          <w:iCs/>
        </w:rPr>
        <w:t xml:space="preserve">Balenzuela </w:t>
      </w:r>
      <w:r w:rsidRPr="00BB73AE">
        <w:rPr>
          <w:rFonts w:ascii="Times New Roman" w:hAnsi="Times New Roman"/>
        </w:rPr>
        <w:t xml:space="preserve">all took the same approach as Dixon CJ, stating the rule in terms which effectively described it as one of an entitlement to a new trial </w:t>
      </w:r>
      <w:r w:rsidRPr="00BB73AE">
        <w:rPr>
          <w:rFonts w:ascii="Times New Roman" w:hAnsi="Times New Roman"/>
          <w:i/>
          <w:iCs/>
        </w:rPr>
        <w:t xml:space="preserve">unless </w:t>
      </w:r>
      <w:r w:rsidRPr="00BB73AE">
        <w:rPr>
          <w:rFonts w:ascii="Times New Roman" w:hAnsi="Times New Roman"/>
        </w:rPr>
        <w:t>the court was satisfied that the error could not have affected the verdict of the jury. In particular, Kitto J said that a new trial had to be granted unless the jury could not have been led by the rejected evidence to find for the plaintiff</w:t>
      </w:r>
      <w:r w:rsidRPr="00BB73AE">
        <w:rPr>
          <w:rStyle w:val="FootnoteReference"/>
          <w:rFonts w:ascii="Times New Roman" w:hAnsi="Times New Roman"/>
          <w:sz w:val="24"/>
        </w:rPr>
        <w:footnoteReference w:id="274"/>
      </w:r>
      <w:r w:rsidRPr="00BB73AE">
        <w:rPr>
          <w:rFonts w:ascii="Times New Roman" w:hAnsi="Times New Roman"/>
        </w:rPr>
        <w:t>. Windeyer J, who agreed with Dixon CJ, added that although questions of onus would not often be decisive, the position in New South Wales differed from the judicature rule – where the onus might be on the appellant – because in New South Wales an error of law "prima facie furnishes a ground for a new trial"</w:t>
      </w:r>
      <w:r w:rsidRPr="00BB73AE">
        <w:rPr>
          <w:rStyle w:val="FootnoteReference"/>
          <w:rFonts w:ascii="Times New Roman" w:hAnsi="Times New Roman"/>
          <w:sz w:val="24"/>
        </w:rPr>
        <w:footnoteReference w:id="275"/>
      </w:r>
      <w:r w:rsidRPr="00BB73AE">
        <w:rPr>
          <w:rFonts w:ascii="Times New Roman" w:hAnsi="Times New Roman"/>
        </w:rPr>
        <w:t>.</w:t>
      </w:r>
    </w:p>
    <w:p w14:paraId="5F444B9C"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general rule for the onus in civil cases was thus settled in </w:t>
      </w:r>
      <w:r w:rsidRPr="00BB73AE">
        <w:rPr>
          <w:rFonts w:ascii="Times New Roman" w:hAnsi="Times New Roman"/>
          <w:i/>
          <w:iCs/>
        </w:rPr>
        <w:t xml:space="preserve">Balenzuela </w:t>
      </w:r>
      <w:r w:rsidRPr="00BB73AE">
        <w:rPr>
          <w:rFonts w:ascii="Times New Roman" w:hAnsi="Times New Roman"/>
        </w:rPr>
        <w:t xml:space="preserve">and not doubted subsequently. It was borne by the appellant who successfully opposed a new trial in </w:t>
      </w:r>
      <w:r w:rsidRPr="00BB73AE">
        <w:rPr>
          <w:rFonts w:ascii="Times New Roman" w:hAnsi="Times New Roman"/>
          <w:i/>
          <w:iCs/>
        </w:rPr>
        <w:t>McLellan v Bowyer</w:t>
      </w:r>
      <w:r w:rsidRPr="00BB73AE">
        <w:rPr>
          <w:rStyle w:val="FootnoteReference"/>
          <w:rFonts w:ascii="Times New Roman" w:hAnsi="Times New Roman"/>
          <w:sz w:val="24"/>
        </w:rPr>
        <w:footnoteReference w:id="276"/>
      </w:r>
      <w:r w:rsidRPr="00BB73AE">
        <w:rPr>
          <w:rFonts w:ascii="Times New Roman" w:hAnsi="Times New Roman"/>
        </w:rPr>
        <w:t xml:space="preserve">. It was again borne by the appellant who successfully opposed a new trial in </w:t>
      </w:r>
      <w:r w:rsidRPr="00BB73AE">
        <w:rPr>
          <w:rFonts w:ascii="Times New Roman" w:hAnsi="Times New Roman"/>
          <w:i/>
          <w:iCs/>
        </w:rPr>
        <w:t>Mann v Dumergue</w:t>
      </w:r>
      <w:r w:rsidRPr="00BB73AE">
        <w:rPr>
          <w:rStyle w:val="FootnoteReference"/>
          <w:rFonts w:ascii="Times New Roman" w:hAnsi="Times New Roman"/>
          <w:sz w:val="24"/>
        </w:rPr>
        <w:footnoteReference w:id="277"/>
      </w:r>
      <w:r w:rsidRPr="00BB73AE">
        <w:rPr>
          <w:rFonts w:ascii="Times New Roman" w:hAnsi="Times New Roman"/>
          <w:iCs/>
        </w:rPr>
        <w:t>,</w:t>
      </w:r>
      <w:r w:rsidRPr="00BB73AE">
        <w:rPr>
          <w:rFonts w:ascii="Times New Roman" w:hAnsi="Times New Roman"/>
          <w:i/>
          <w:iCs/>
        </w:rPr>
        <w:t xml:space="preserve"> </w:t>
      </w:r>
      <w:r w:rsidRPr="00BB73AE">
        <w:rPr>
          <w:rFonts w:ascii="Times New Roman" w:hAnsi="Times New Roman"/>
        </w:rPr>
        <w:t xml:space="preserve">where this Court accepted that a new trial must be granted unless the Court was prepared "to go so far" as to conclude that the wrongly rejected evidence could not have affected the verdict. </w:t>
      </w:r>
      <w:r w:rsidRPr="00BB73AE">
        <w:rPr>
          <w:rFonts w:ascii="Times New Roman" w:hAnsi="Times New Roman"/>
          <w:i/>
          <w:iCs/>
        </w:rPr>
        <w:t>Balenzuela</w:t>
      </w:r>
      <w:r w:rsidRPr="00BB73AE">
        <w:rPr>
          <w:rFonts w:ascii="Times New Roman" w:hAnsi="Times New Roman"/>
        </w:rPr>
        <w:t xml:space="preserve">, </w:t>
      </w:r>
      <w:r w:rsidRPr="00BB73AE">
        <w:rPr>
          <w:rFonts w:ascii="Times New Roman" w:hAnsi="Times New Roman"/>
          <w:i/>
          <w:iCs/>
        </w:rPr>
        <w:t>McLellan</w:t>
      </w:r>
      <w:r w:rsidRPr="00BB73AE">
        <w:rPr>
          <w:rFonts w:ascii="Times New Roman" w:hAnsi="Times New Roman"/>
        </w:rPr>
        <w:t>,</w:t>
      </w:r>
      <w:r w:rsidRPr="00BB73AE">
        <w:rPr>
          <w:rFonts w:ascii="Times New Roman" w:hAnsi="Times New Roman"/>
          <w:i/>
          <w:iCs/>
        </w:rPr>
        <w:t xml:space="preserve"> </w:t>
      </w:r>
      <w:r w:rsidRPr="00BB73AE">
        <w:rPr>
          <w:rFonts w:ascii="Times New Roman" w:hAnsi="Times New Roman"/>
        </w:rPr>
        <w:t xml:space="preserve">and </w:t>
      </w:r>
      <w:r w:rsidRPr="00BB73AE">
        <w:rPr>
          <w:rFonts w:ascii="Times New Roman" w:hAnsi="Times New Roman"/>
          <w:i/>
          <w:iCs/>
        </w:rPr>
        <w:t>Mann</w:t>
      </w:r>
      <w:r w:rsidRPr="00BB73AE">
        <w:rPr>
          <w:rFonts w:ascii="Times New Roman" w:hAnsi="Times New Roman"/>
        </w:rPr>
        <w:t xml:space="preserve"> were all cited by this Court in </w:t>
      </w:r>
      <w:r w:rsidRPr="00BB73AE">
        <w:rPr>
          <w:rFonts w:ascii="Times New Roman" w:hAnsi="Times New Roman"/>
          <w:i/>
        </w:rPr>
        <w:t>Dairy Farmers Co-operative Milk Co Ltd v Acquilina</w:t>
      </w:r>
      <w:r w:rsidRPr="00BB73AE">
        <w:rPr>
          <w:rStyle w:val="FootnoteReference"/>
          <w:rFonts w:ascii="Times New Roman" w:hAnsi="Times New Roman"/>
          <w:sz w:val="24"/>
        </w:rPr>
        <w:footnoteReference w:id="278"/>
      </w:r>
      <w:r w:rsidRPr="00BB73AE">
        <w:rPr>
          <w:rFonts w:ascii="Times New Roman" w:hAnsi="Times New Roman"/>
        </w:rPr>
        <w:t xml:space="preserve">, where the Court added that the position was the same as that laid down in </w:t>
      </w:r>
      <w:r w:rsidRPr="00BB73AE">
        <w:rPr>
          <w:rFonts w:ascii="Times New Roman" w:hAnsi="Times New Roman"/>
          <w:i/>
          <w:iCs/>
        </w:rPr>
        <w:t>Crease v Barrett</w:t>
      </w:r>
      <w:r w:rsidRPr="00BB73AE">
        <w:rPr>
          <w:rStyle w:val="FootnoteReference"/>
          <w:rFonts w:ascii="Times New Roman" w:hAnsi="Times New Roman"/>
          <w:sz w:val="24"/>
        </w:rPr>
        <w:footnoteReference w:id="279"/>
      </w:r>
      <w:r w:rsidRPr="00BB73AE">
        <w:rPr>
          <w:rFonts w:ascii="Times New Roman" w:hAnsi="Times New Roman"/>
        </w:rPr>
        <w:t xml:space="preserve">. The Court could not have meant, by its reference to </w:t>
      </w:r>
      <w:r w:rsidRPr="00BB73AE">
        <w:rPr>
          <w:rFonts w:ascii="Times New Roman" w:hAnsi="Times New Roman"/>
          <w:i/>
          <w:iCs/>
        </w:rPr>
        <w:t>Crease v Barrett</w:t>
      </w:r>
      <w:r w:rsidRPr="00BB73AE">
        <w:rPr>
          <w:rFonts w:ascii="Times New Roman" w:hAnsi="Times New Roman"/>
        </w:rPr>
        <w:t>,</w:t>
      </w:r>
      <w:r w:rsidRPr="00BB73AE">
        <w:rPr>
          <w:rFonts w:ascii="Times New Roman" w:hAnsi="Times New Roman"/>
          <w:i/>
          <w:iCs/>
        </w:rPr>
        <w:t xml:space="preserve"> </w:t>
      </w:r>
      <w:r w:rsidRPr="00BB73AE">
        <w:rPr>
          <w:rFonts w:ascii="Times New Roman" w:hAnsi="Times New Roman"/>
        </w:rPr>
        <w:t xml:space="preserve">to resurrect the heretical Exchequer rule and to abolish the doctrine of trivial error. Its focus must instead have been upon the remarks of the Court in that case that however strong the Court's opinion may have been on the "propriety of the present verdict" it could </w:t>
      </w:r>
      <w:r w:rsidRPr="00BB73AE">
        <w:rPr>
          <w:rFonts w:ascii="Times New Roman" w:hAnsi="Times New Roman"/>
        </w:rPr>
        <w:lastRenderedPageBreak/>
        <w:t>not say – that is, the Court was not satisfied that it had been shown – that the wrongful exclusion of evidence "would have had no effect with the jury"</w:t>
      </w:r>
      <w:r w:rsidRPr="00BB73AE">
        <w:rPr>
          <w:rStyle w:val="FootnoteReference"/>
          <w:rFonts w:ascii="Times New Roman" w:hAnsi="Times New Roman"/>
          <w:sz w:val="24"/>
        </w:rPr>
        <w:footnoteReference w:id="280"/>
      </w:r>
      <w:r w:rsidRPr="00BB73AE">
        <w:rPr>
          <w:rFonts w:ascii="Times New Roman" w:hAnsi="Times New Roman"/>
        </w:rPr>
        <w:t>.</w:t>
      </w:r>
    </w:p>
    <w:p w14:paraId="5A158B4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It was against this background that this Court decided </w:t>
      </w:r>
      <w:r w:rsidRPr="00BB73AE">
        <w:rPr>
          <w:rFonts w:ascii="Times New Roman" w:hAnsi="Times New Roman"/>
          <w:i/>
          <w:iCs/>
        </w:rPr>
        <w:t>Stead v State Government Insurance Commission</w:t>
      </w:r>
      <w:r w:rsidRPr="00BB73AE">
        <w:rPr>
          <w:rStyle w:val="FootnoteReference"/>
          <w:rFonts w:ascii="Times New Roman" w:hAnsi="Times New Roman"/>
          <w:sz w:val="24"/>
        </w:rPr>
        <w:footnoteReference w:id="281"/>
      </w:r>
      <w:r w:rsidRPr="00BB73AE">
        <w:rPr>
          <w:rFonts w:ascii="Times New Roman" w:hAnsi="Times New Roman"/>
          <w:i/>
          <w:iCs/>
        </w:rPr>
        <w:t xml:space="preserve">. </w:t>
      </w:r>
      <w:r w:rsidRPr="00BB73AE">
        <w:rPr>
          <w:rFonts w:ascii="Times New Roman" w:hAnsi="Times New Roman"/>
        </w:rPr>
        <w:t>In the course of ordering a new trial following a denial of procedural fairness, the Court said</w:t>
      </w:r>
      <w:r w:rsidRPr="00BB73AE">
        <w:rPr>
          <w:rStyle w:val="FootnoteReference"/>
          <w:rFonts w:ascii="Times New Roman" w:hAnsi="Times New Roman"/>
          <w:sz w:val="24"/>
        </w:rPr>
        <w:footnoteReference w:id="282"/>
      </w:r>
      <w:r w:rsidRPr="00BB73AE">
        <w:rPr>
          <w:rFonts w:ascii="Times New Roman" w:hAnsi="Times New Roman"/>
        </w:rPr>
        <w:t>:</w:t>
      </w:r>
    </w:p>
    <w:p w14:paraId="078CA99D" w14:textId="77777777" w:rsidR="007B5A1E" w:rsidRDefault="007B5A1E" w:rsidP="00BB73AE">
      <w:pPr>
        <w:pStyle w:val="LeftrightafterHC"/>
        <w:spacing w:before="0" w:after="260" w:line="280" w:lineRule="exact"/>
        <w:ind w:right="0"/>
        <w:jc w:val="both"/>
        <w:rPr>
          <w:rFonts w:ascii="Times New Roman" w:hAnsi="Times New Roman"/>
        </w:rPr>
      </w:pPr>
      <w:r w:rsidRPr="00BB73AE">
        <w:rPr>
          <w:rFonts w:ascii="Times New Roman" w:hAnsi="Times New Roman"/>
        </w:rPr>
        <w:t>"All that the appellant needed to show was that the denial of natural justice deprived him of the possibility of a successful outcome. In order to negate that possibility, it was, as we have said, necessary for the Full Court to find that a properly conducted trial could not possibly have produced a different result."</w:t>
      </w:r>
    </w:p>
    <w:p w14:paraId="3A53B3D1" w14:textId="77777777" w:rsidR="007B5A1E" w:rsidRPr="00BB73AE" w:rsidRDefault="007B5A1E" w:rsidP="00BB73AE">
      <w:pPr>
        <w:pStyle w:val="NormalBody"/>
        <w:spacing w:after="260" w:line="280" w:lineRule="exact"/>
        <w:ind w:right="0"/>
        <w:jc w:val="both"/>
        <w:rPr>
          <w:rFonts w:ascii="Times New Roman" w:hAnsi="Times New Roman"/>
        </w:rPr>
      </w:pPr>
      <w:r w:rsidRPr="00BB73AE">
        <w:rPr>
          <w:rFonts w:ascii="Times New Roman" w:hAnsi="Times New Roman"/>
        </w:rPr>
        <w:t>It is not entirely clear what the Court meant by the suggestion that the appellant needed to show that the denial of natural justice had "deprived him of the possibility of a successful outcome". The most likely meaning is that by showing the possibility of a different outcome, the appellant could establish that what might otherwise be a mere procedural irregularity would amount to a failure of a statutory condition. If the failure in that case to allow the appellant the opportunity to make submissions had concerned a matter that was entirely trivial then the failure might not have reached the threshold of procedural unfairness. But since the submissions might have affected the outcome, the denial of that opportunity established procedural unfairness. The onus then was borne by the respondent to show immateriality, namely that "a properly conducted trial could not possibly have produced a different result".</w:t>
      </w:r>
    </w:p>
    <w:p w14:paraId="38263337"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very next paragraph of the decision confirms this meaning. Referring to the passages of the decision of Dixon CJ in </w:t>
      </w:r>
      <w:r w:rsidRPr="00BB73AE">
        <w:rPr>
          <w:rFonts w:ascii="Times New Roman" w:hAnsi="Times New Roman"/>
          <w:i/>
          <w:iCs/>
        </w:rPr>
        <w:t>Balenzuela</w:t>
      </w:r>
      <w:r w:rsidRPr="00BB73AE">
        <w:rPr>
          <w:rStyle w:val="FootnoteReference"/>
          <w:rFonts w:ascii="Times New Roman" w:hAnsi="Times New Roman"/>
          <w:sz w:val="24"/>
        </w:rPr>
        <w:footnoteReference w:id="283"/>
      </w:r>
      <w:r w:rsidRPr="00BB73AE">
        <w:rPr>
          <w:rFonts w:ascii="Times New Roman" w:hAnsi="Times New Roman"/>
        </w:rPr>
        <w:t xml:space="preserve"> discussed above in these reasons, their Honours said that a new trial was ordered in that case because "material evidence was wrongly rejected" (ie an error was established) but that it "would have been otherwise </w:t>
      </w:r>
      <w:r w:rsidRPr="00BB73AE">
        <w:rPr>
          <w:rFonts w:ascii="Times New Roman" w:hAnsi="Times New Roman"/>
          <w:i/>
        </w:rPr>
        <w:t>had</w:t>
      </w:r>
      <w:r w:rsidRPr="00BB73AE">
        <w:rPr>
          <w:rFonts w:ascii="Times New Roman" w:hAnsi="Times New Roman"/>
        </w:rPr>
        <w:t xml:space="preserve"> </w:t>
      </w:r>
      <w:r w:rsidRPr="00BB73AE">
        <w:rPr>
          <w:rFonts w:ascii="Times New Roman" w:hAnsi="Times New Roman"/>
          <w:i/>
          <w:iCs/>
        </w:rPr>
        <w:t xml:space="preserve">the respondent been able to demonstrate </w:t>
      </w:r>
      <w:r w:rsidRPr="00BB73AE">
        <w:rPr>
          <w:rFonts w:ascii="Times New Roman" w:hAnsi="Times New Roman"/>
        </w:rPr>
        <w:t>that the rejected evidence could have made no difference to the result"</w:t>
      </w:r>
      <w:r w:rsidRPr="00BB73AE">
        <w:rPr>
          <w:rStyle w:val="FootnoteReference"/>
          <w:rFonts w:ascii="Times New Roman" w:hAnsi="Times New Roman"/>
          <w:sz w:val="24"/>
        </w:rPr>
        <w:footnoteReference w:id="284"/>
      </w:r>
      <w:r w:rsidRPr="00BB73AE">
        <w:rPr>
          <w:rFonts w:ascii="Times New Roman" w:hAnsi="Times New Roman"/>
        </w:rPr>
        <w:t>.</w:t>
      </w:r>
    </w:p>
    <w:p w14:paraId="2C879A1A" w14:textId="77777777" w:rsidR="007B5A1E" w:rsidRPr="00BB73AE" w:rsidRDefault="007B5A1E" w:rsidP="00BB73AE">
      <w:pPr>
        <w:pStyle w:val="HeadingL2"/>
        <w:spacing w:after="260" w:line="280" w:lineRule="exact"/>
        <w:ind w:right="0"/>
        <w:jc w:val="both"/>
        <w:rPr>
          <w:rFonts w:ascii="Times New Roman" w:hAnsi="Times New Roman"/>
        </w:rPr>
      </w:pPr>
      <w:r w:rsidRPr="00BB73AE">
        <w:rPr>
          <w:rFonts w:ascii="Times New Roman" w:hAnsi="Times New Roman"/>
        </w:rPr>
        <w:lastRenderedPageBreak/>
        <w:t>The onus in relation to materiality in judicial review</w:t>
      </w:r>
    </w:p>
    <w:p w14:paraId="692F981B"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Although the decision in </w:t>
      </w:r>
      <w:r w:rsidRPr="00BB73AE">
        <w:rPr>
          <w:rFonts w:ascii="Times New Roman" w:hAnsi="Times New Roman"/>
          <w:i/>
          <w:iCs/>
        </w:rPr>
        <w:t xml:space="preserve">Stead </w:t>
      </w:r>
      <w:r w:rsidRPr="00BB73AE">
        <w:rPr>
          <w:rFonts w:ascii="Times New Roman" w:hAnsi="Times New Roman"/>
        </w:rPr>
        <w:t>concerned an application for a new civil trial, it has been relied upon in hundreds of applications where an applicant for judicial review sought a new hearing on the basis of a decision</w:t>
      </w:r>
      <w:r w:rsidRPr="00BB73AE">
        <w:rPr>
          <w:rFonts w:ascii="Times New Roman" w:hAnsi="Times New Roman"/>
        </w:rPr>
        <w:noBreakHyphen/>
        <w:t xml:space="preserve">maker's failure to comply with an express or implied statutory condition. The approach taken in </w:t>
      </w:r>
      <w:r w:rsidRPr="00BB73AE">
        <w:rPr>
          <w:rFonts w:ascii="Times New Roman" w:hAnsi="Times New Roman"/>
          <w:i/>
          <w:iCs/>
        </w:rPr>
        <w:t xml:space="preserve">Stead </w:t>
      </w:r>
      <w:r w:rsidRPr="00BB73AE">
        <w:rPr>
          <w:rFonts w:ascii="Times New Roman" w:hAnsi="Times New Roman"/>
        </w:rPr>
        <w:t xml:space="preserve">was expressly adopted by all members of this Court in </w:t>
      </w:r>
      <w:r w:rsidRPr="00BB73AE">
        <w:rPr>
          <w:rFonts w:ascii="Times New Roman" w:hAnsi="Times New Roman"/>
          <w:i/>
          <w:iCs/>
        </w:rPr>
        <w:t>Re Refugee Review Tribunal</w:t>
      </w:r>
      <w:r w:rsidRPr="00BB73AE">
        <w:rPr>
          <w:rFonts w:ascii="Times New Roman" w:hAnsi="Times New Roman"/>
          <w:i/>
        </w:rPr>
        <w:t>; Ex</w:t>
      </w:r>
      <w:r w:rsidRPr="00BB73AE">
        <w:rPr>
          <w:rFonts w:ascii="Times New Roman" w:hAnsi="Times New Roman"/>
          <w:i/>
          <w:iCs/>
        </w:rPr>
        <w:t xml:space="preserve"> parte Aala</w:t>
      </w:r>
      <w:r w:rsidRPr="00BB73AE">
        <w:rPr>
          <w:rStyle w:val="FootnoteReference"/>
          <w:rFonts w:ascii="Times New Roman" w:hAnsi="Times New Roman"/>
          <w:sz w:val="24"/>
        </w:rPr>
        <w:footnoteReference w:id="285"/>
      </w:r>
      <w:r w:rsidRPr="00BB73AE">
        <w:rPr>
          <w:rFonts w:ascii="Times New Roman" w:hAnsi="Times New Roman"/>
        </w:rPr>
        <w:t xml:space="preserve">. In that case, the issues for decision were clearly separated into two distinct questions. First, had there been a denial of procedural fairness? Secondly, was the breach material? All members of the Court concluded that there had been a denial of procedural fairness. And, although McHugh J concluded that the breach was not material, all members of the Court understood </w:t>
      </w:r>
      <w:r w:rsidRPr="00BB73AE">
        <w:rPr>
          <w:rFonts w:ascii="Times New Roman" w:hAnsi="Times New Roman"/>
          <w:i/>
          <w:iCs/>
        </w:rPr>
        <w:t xml:space="preserve">Stead </w:t>
      </w:r>
      <w:r w:rsidRPr="00BB73AE">
        <w:rPr>
          <w:rFonts w:ascii="Times New Roman" w:hAnsi="Times New Roman"/>
        </w:rPr>
        <w:t>to have imposed the onus of proof upon the party asserting that the non</w:t>
      </w:r>
      <w:r w:rsidRPr="00BB73AE">
        <w:rPr>
          <w:rFonts w:ascii="Times New Roman" w:hAnsi="Times New Roman"/>
        </w:rPr>
        <w:noBreakHyphen/>
        <w:t>compliance was immaterial. Hence, the various judgments expressed the approach to materiality in terms of: whether it could "be concluded" that the breach made no difference to the result</w:t>
      </w:r>
      <w:r w:rsidRPr="00BB73AE">
        <w:rPr>
          <w:rStyle w:val="FootnoteReference"/>
          <w:rFonts w:ascii="Times New Roman" w:hAnsi="Times New Roman"/>
          <w:sz w:val="24"/>
        </w:rPr>
        <w:footnoteReference w:id="286"/>
      </w:r>
      <w:r w:rsidRPr="00BB73AE">
        <w:rPr>
          <w:rFonts w:ascii="Times New Roman" w:hAnsi="Times New Roman"/>
        </w:rPr>
        <w:t xml:space="preserve"> (Gleeson CJ); whether the court had "satisf[ied] itself" that the breach made no difference to the result</w:t>
      </w:r>
      <w:r w:rsidRPr="00BB73AE">
        <w:rPr>
          <w:rStyle w:val="FootnoteReference"/>
          <w:rFonts w:ascii="Times New Roman" w:hAnsi="Times New Roman"/>
          <w:sz w:val="24"/>
        </w:rPr>
        <w:footnoteReference w:id="287"/>
      </w:r>
      <w:r w:rsidRPr="00BB73AE">
        <w:rPr>
          <w:rFonts w:ascii="Times New Roman" w:hAnsi="Times New Roman"/>
        </w:rPr>
        <w:t xml:space="preserve"> (McHugh J); whether the "victim of the breach", who is "ordinarily entitled to relief", is to be denied that relief because the court had been "convince[d]" that the breach made no difference</w:t>
      </w:r>
      <w:r w:rsidRPr="00BB73AE">
        <w:rPr>
          <w:rStyle w:val="FootnoteReference"/>
          <w:rFonts w:ascii="Times New Roman" w:hAnsi="Times New Roman"/>
          <w:sz w:val="24"/>
        </w:rPr>
        <w:footnoteReference w:id="288"/>
      </w:r>
      <w:r w:rsidRPr="00BB73AE">
        <w:rPr>
          <w:rFonts w:ascii="Times New Roman" w:hAnsi="Times New Roman"/>
        </w:rPr>
        <w:t xml:space="preserve"> (Kirby J); or whether the court can positively "say that a different result would not have been reached"</w:t>
      </w:r>
      <w:r w:rsidRPr="00BB73AE">
        <w:rPr>
          <w:rStyle w:val="FootnoteReference"/>
          <w:rFonts w:ascii="Times New Roman" w:hAnsi="Times New Roman"/>
          <w:sz w:val="24"/>
        </w:rPr>
        <w:footnoteReference w:id="289"/>
      </w:r>
      <w:r w:rsidRPr="00BB73AE">
        <w:rPr>
          <w:rFonts w:ascii="Times New Roman" w:hAnsi="Times New Roman"/>
        </w:rPr>
        <w:t xml:space="preserve"> (Callinan J). Although Gaudron and Gummow JJ, with whom Hayne J agreed on this point</w:t>
      </w:r>
      <w:r w:rsidRPr="00BB73AE">
        <w:rPr>
          <w:rStyle w:val="FootnoteReference"/>
          <w:rFonts w:ascii="Times New Roman" w:hAnsi="Times New Roman"/>
          <w:sz w:val="24"/>
        </w:rPr>
        <w:footnoteReference w:id="290"/>
      </w:r>
      <w:r w:rsidRPr="00BB73AE">
        <w:rPr>
          <w:rFonts w:ascii="Times New Roman" w:hAnsi="Times New Roman"/>
        </w:rPr>
        <w:t>, did not expressly decide whether the condition on the statutory power requiring procedural fairness was one which denied jurisdictional error for a trivial breach or whether the triviality of breach led to refusal of relief as a matter of discretion</w:t>
      </w:r>
      <w:r w:rsidRPr="00BB73AE">
        <w:rPr>
          <w:rStyle w:val="FootnoteReference"/>
          <w:rFonts w:ascii="Times New Roman" w:hAnsi="Times New Roman"/>
          <w:sz w:val="24"/>
        </w:rPr>
        <w:footnoteReference w:id="291"/>
      </w:r>
      <w:r w:rsidRPr="00BB73AE">
        <w:rPr>
          <w:rFonts w:ascii="Times New Roman" w:hAnsi="Times New Roman"/>
        </w:rPr>
        <w:t>, the onus of proof in either case would have been the same. The onus of proof for the exercise of a discretion to refuse relief is upon the party so asserting</w:t>
      </w:r>
      <w:r w:rsidRPr="00BB73AE">
        <w:rPr>
          <w:rStyle w:val="FootnoteReference"/>
          <w:rFonts w:ascii="Times New Roman" w:hAnsi="Times New Roman"/>
          <w:sz w:val="24"/>
        </w:rPr>
        <w:footnoteReference w:id="292"/>
      </w:r>
      <w:r w:rsidRPr="00BB73AE">
        <w:rPr>
          <w:rFonts w:ascii="Times New Roman" w:hAnsi="Times New Roman"/>
        </w:rPr>
        <w:t>.</w:t>
      </w:r>
    </w:p>
    <w:p w14:paraId="61EB3AA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lastRenderedPageBreak/>
        <w:tab/>
        <w:t xml:space="preserve">Against all of these authorities stands a single sentence in a joint judgment of three members of this Court in </w:t>
      </w:r>
      <w:r w:rsidRPr="00BB73AE">
        <w:rPr>
          <w:rFonts w:ascii="Times New Roman" w:hAnsi="Times New Roman"/>
          <w:i/>
        </w:rPr>
        <w:t>SZMTA</w:t>
      </w:r>
      <w:r w:rsidRPr="00BB73AE">
        <w:rPr>
          <w:rStyle w:val="FootnoteReference"/>
          <w:rFonts w:ascii="Times New Roman" w:hAnsi="Times New Roman"/>
          <w:sz w:val="24"/>
        </w:rPr>
        <w:footnoteReference w:id="293"/>
      </w:r>
      <w:r w:rsidRPr="00BB73AE">
        <w:rPr>
          <w:rFonts w:ascii="Times New Roman" w:hAnsi="Times New Roman"/>
        </w:rPr>
        <w:t>, making a point which was not necessary for the decision and was not argued, meaning that the point cannot be authority</w:t>
      </w:r>
      <w:r w:rsidRPr="00BB73AE">
        <w:rPr>
          <w:rStyle w:val="FootnoteReference"/>
          <w:rFonts w:ascii="Times New Roman" w:hAnsi="Times New Roman"/>
          <w:sz w:val="24"/>
        </w:rPr>
        <w:footnoteReference w:id="294"/>
      </w:r>
      <w:r w:rsidRPr="00BB73AE">
        <w:rPr>
          <w:rFonts w:ascii="Times New Roman" w:hAnsi="Times New Roman"/>
        </w:rPr>
        <w:t xml:space="preserve">: "There is also no dispute between the parties that it is the applicant for judicial review of the decision of the Tribunal who bears the onus of proving that a jurisdictional error has occurred". That common assumption in </w:t>
      </w:r>
      <w:r w:rsidRPr="00BB73AE">
        <w:rPr>
          <w:rFonts w:ascii="Times New Roman" w:hAnsi="Times New Roman"/>
          <w:i/>
          <w:iCs/>
        </w:rPr>
        <w:t xml:space="preserve">SZMTA </w:t>
      </w:r>
      <w:r w:rsidRPr="00BB73AE">
        <w:rPr>
          <w:rFonts w:ascii="Times New Roman" w:hAnsi="Times New Roman"/>
        </w:rPr>
        <w:t>was incorrect.</w:t>
      </w:r>
    </w:p>
    <w:p w14:paraId="1835A8EE" w14:textId="77777777" w:rsidR="007B5A1E" w:rsidRPr="00BB73AE" w:rsidRDefault="007B5A1E" w:rsidP="00BB73AE">
      <w:pPr>
        <w:pStyle w:val="HeadingL1"/>
        <w:spacing w:after="260" w:line="280" w:lineRule="exact"/>
        <w:ind w:right="0"/>
        <w:jc w:val="both"/>
        <w:rPr>
          <w:rFonts w:ascii="Times New Roman" w:hAnsi="Times New Roman"/>
        </w:rPr>
      </w:pPr>
      <w:r w:rsidRPr="00BB73AE">
        <w:rPr>
          <w:rFonts w:ascii="Times New Roman" w:hAnsi="Times New Roman"/>
        </w:rPr>
        <w:t>The circumstances of this case</w:t>
      </w:r>
    </w:p>
    <w:p w14:paraId="5D9E75E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Part 7 of the </w:t>
      </w:r>
      <w:r w:rsidRPr="00BB73AE">
        <w:rPr>
          <w:rFonts w:ascii="Times New Roman" w:hAnsi="Times New Roman"/>
          <w:i/>
          <w:iCs/>
        </w:rPr>
        <w:t xml:space="preserve">Migration Act </w:t>
      </w:r>
      <w:r w:rsidRPr="00BB73AE">
        <w:rPr>
          <w:rFonts w:ascii="Times New Roman" w:hAnsi="Times New Roman"/>
        </w:rPr>
        <w:t xml:space="preserve">was enacted within the common law context described above. In 2002, s 422B was inserted into the </w:t>
      </w:r>
      <w:r w:rsidRPr="00BB73AE">
        <w:rPr>
          <w:rFonts w:ascii="Times New Roman" w:hAnsi="Times New Roman"/>
          <w:i/>
          <w:iCs/>
        </w:rPr>
        <w:t>Migration Act</w:t>
      </w:r>
      <w:r w:rsidRPr="00BB73AE">
        <w:rPr>
          <w:rStyle w:val="FootnoteReference"/>
          <w:rFonts w:ascii="Times New Roman" w:hAnsi="Times New Roman"/>
          <w:sz w:val="24"/>
        </w:rPr>
        <w:footnoteReference w:id="295"/>
      </w:r>
      <w:r w:rsidRPr="00BB73AE">
        <w:rPr>
          <w:rFonts w:ascii="Times New Roman" w:hAnsi="Times New Roman"/>
        </w:rPr>
        <w:t xml:space="preserve"> to provide that provisions including Div 4 of Pt 7, concerning the conduct of the review</w:t>
      </w:r>
      <w:r w:rsidRPr="00BB73AE" w:rsidDel="00AD76C9">
        <w:rPr>
          <w:rFonts w:ascii="Times New Roman" w:hAnsi="Times New Roman"/>
        </w:rPr>
        <w:t>,</w:t>
      </w:r>
      <w:r w:rsidRPr="00BB73AE">
        <w:rPr>
          <w:rFonts w:ascii="Times New Roman" w:hAnsi="Times New Roman"/>
        </w:rPr>
        <w:t xml:space="preserve"> "are taken to be an exhaustive statement of the requirements of the natural justice hearing rule in relation to the matters they deal with". The provisions imply, by the long</w:t>
      </w:r>
      <w:r w:rsidRPr="00BB73AE">
        <w:rPr>
          <w:rFonts w:ascii="Times New Roman" w:hAnsi="Times New Roman"/>
        </w:rPr>
        <w:noBreakHyphen/>
        <w:t>standing assumptions sometimes loosely described as "a common law principle of interpretation"</w:t>
      </w:r>
      <w:r w:rsidRPr="00BB73AE">
        <w:rPr>
          <w:rStyle w:val="FootnoteReference"/>
          <w:rFonts w:ascii="Times New Roman" w:hAnsi="Times New Roman"/>
          <w:sz w:val="24"/>
        </w:rPr>
        <w:footnoteReference w:id="296"/>
      </w:r>
      <w:r w:rsidRPr="00BB73AE">
        <w:rPr>
          <w:rFonts w:ascii="Times New Roman" w:hAnsi="Times New Roman"/>
        </w:rPr>
        <w:t>, rules of procedural fairness, materiality, and onus of proof. No submission was made by the Minister to suggest that anything in the history or context of Pt 7 supported the onus of proof of materiality being borne instead by the applicant.</w:t>
      </w:r>
    </w:p>
    <w:p w14:paraId="231DBE51"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Strictly, the appellant is correct in relation to the first ground of appeal: Mortimer J, understandably following the approach of three Justices of this Court in </w:t>
      </w:r>
      <w:r w:rsidRPr="00BB73AE">
        <w:rPr>
          <w:rFonts w:ascii="Times New Roman" w:hAnsi="Times New Roman"/>
          <w:i/>
          <w:iCs/>
        </w:rPr>
        <w:t>SZMTA</w:t>
      </w:r>
      <w:r w:rsidRPr="00BB73AE">
        <w:rPr>
          <w:rFonts w:ascii="Times New Roman" w:hAnsi="Times New Roman"/>
        </w:rPr>
        <w:t>, was wrong to impose an onus of proof of materiality on the appellant. But, as the Minister submitted, the decision of Mortimer J should be upheld on the basis that her findings of fact were correct.</w:t>
      </w:r>
    </w:p>
    <w:p w14:paraId="471AE10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Minister conceded before Mortimer J, as he did before this Court, that the failure to disclose the s 438 notification was a breach of the implied statutory condition of procedural fairness. But the Minister supported the conclusion of Mortimer J that the only manner in which any failure to afford procedural fairness could realistically have resulted in a different decision would be if disclosure of </w:t>
      </w:r>
      <w:r w:rsidRPr="00BB73AE">
        <w:rPr>
          <w:rFonts w:ascii="Times New Roman" w:hAnsi="Times New Roman"/>
        </w:rPr>
        <w:lastRenderedPageBreak/>
        <w:t>the notification might have led to the appellant making submissions about the documents or information, relevantly the Court Outcomes Report, that were the subject of that notification</w:t>
      </w:r>
      <w:r w:rsidRPr="00BB73AE">
        <w:rPr>
          <w:rStyle w:val="FootnoteReference"/>
          <w:rFonts w:ascii="Times New Roman" w:hAnsi="Times New Roman"/>
          <w:sz w:val="24"/>
        </w:rPr>
        <w:footnoteReference w:id="297"/>
      </w:r>
      <w:r w:rsidRPr="00BB73AE">
        <w:rPr>
          <w:rFonts w:ascii="Times New Roman" w:hAnsi="Times New Roman"/>
        </w:rPr>
        <w:t>. Whether those submissions would have made any difference depended upon whether the Tribunal had taken the Court Outcomes Report into account at all.</w:t>
      </w:r>
    </w:p>
    <w:p w14:paraId="6D377479"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This is not a question which could realistically be affected by the location of the substantive onus of proof. Once the issue was raised by the Minister, the question was simply whether the Court Outcomes Report had any effect on the Tribunal's decision. If it did, then the decision might have been different. If it did not, then the decision would not have been different.</w:t>
      </w:r>
    </w:p>
    <w:p w14:paraId="037C493C"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An assessment of whether the Court Outcomes Report had any effect on the Tribunal's decision is not affected by the application of any presumption. As Mortimer J correctly observed, the materiality issue would be convoluted and confusing, and a true obstacle to the appellant, if it were to be presumed that the absence of any mention of the appellant's criminal record meant that it had no effect on the Tribunal's decision</w:t>
      </w:r>
      <w:r w:rsidRPr="00BB73AE">
        <w:rPr>
          <w:rStyle w:val="FootnoteReference"/>
          <w:rFonts w:ascii="Times New Roman" w:hAnsi="Times New Roman"/>
          <w:sz w:val="24"/>
        </w:rPr>
        <w:footnoteReference w:id="298"/>
      </w:r>
      <w:r w:rsidRPr="00BB73AE">
        <w:rPr>
          <w:rFonts w:ascii="Times New Roman" w:hAnsi="Times New Roman"/>
        </w:rPr>
        <w:t>. Such a presumption, if recognised, is a standardised inference. It would permit inference from common experience that the failure by the Tribunal to refer to a matter meant that the matter had not been considered to have any effect at all on the decision</w:t>
      </w:r>
      <w:r w:rsidRPr="00BB73AE">
        <w:rPr>
          <w:rStyle w:val="FootnoteReference"/>
          <w:rFonts w:ascii="Times New Roman" w:hAnsi="Times New Roman"/>
          <w:sz w:val="24"/>
        </w:rPr>
        <w:footnoteReference w:id="299"/>
      </w:r>
      <w:r w:rsidRPr="00BB73AE">
        <w:rPr>
          <w:rFonts w:ascii="Times New Roman" w:hAnsi="Times New Roman"/>
        </w:rPr>
        <w:t>. No such common experience exists. Further, the obligation upon the Tribunal to set out reasons for decision and to make findings on any material question of fact</w:t>
      </w:r>
      <w:r w:rsidRPr="00BB73AE">
        <w:rPr>
          <w:rStyle w:val="FootnoteReference"/>
          <w:rFonts w:ascii="Times New Roman" w:hAnsi="Times New Roman"/>
          <w:sz w:val="24"/>
        </w:rPr>
        <w:footnoteReference w:id="300"/>
      </w:r>
      <w:r w:rsidRPr="00BB73AE">
        <w:rPr>
          <w:rFonts w:ascii="Times New Roman" w:hAnsi="Times New Roman"/>
        </w:rPr>
        <w:t xml:space="preserve"> did not require the Tribunal to express in its reasons every matter that had any effect on its reasoning in a review, particularly for a review that, as was then provided, was required to be "fair, just, economical, informal and quick"</w:t>
      </w:r>
      <w:r w:rsidRPr="00BB73AE">
        <w:rPr>
          <w:rStyle w:val="FootnoteReference"/>
          <w:rFonts w:ascii="Times New Roman" w:hAnsi="Times New Roman"/>
          <w:sz w:val="24"/>
        </w:rPr>
        <w:footnoteReference w:id="301"/>
      </w:r>
      <w:r w:rsidRPr="00BB73AE">
        <w:rPr>
          <w:rFonts w:ascii="Times New Roman" w:hAnsi="Times New Roman"/>
        </w:rPr>
        <w:t>.</w:t>
      </w:r>
    </w:p>
    <w:p w14:paraId="52123F43"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Nevertheless, the failure by the Tribunal to refer to a matter in its reasons is a circumstance from which an inference might be drawn that the matter had no effect on the Tribunal's reasons. In other words, the failure "</w:t>
      </w:r>
      <w:r w:rsidRPr="00BB73AE">
        <w:rPr>
          <w:rFonts w:ascii="Times New Roman" w:hAnsi="Times New Roman"/>
          <w:i/>
          <w:iCs/>
        </w:rPr>
        <w:t xml:space="preserve">may </w:t>
      </w:r>
      <w:r w:rsidRPr="00BB73AE">
        <w:rPr>
          <w:rFonts w:ascii="Times New Roman" w:hAnsi="Times New Roman"/>
        </w:rPr>
        <w:t xml:space="preserve">indicate that the </w:t>
      </w:r>
      <w:r w:rsidRPr="00BB73AE">
        <w:rPr>
          <w:rFonts w:ascii="Times New Roman" w:hAnsi="Times New Roman"/>
        </w:rPr>
        <w:lastRenderedPageBreak/>
        <w:t>Tribunal did not consider the matter to be material"</w:t>
      </w:r>
      <w:r w:rsidRPr="00BB73AE">
        <w:rPr>
          <w:rStyle w:val="FootnoteReference"/>
          <w:rFonts w:ascii="Times New Roman" w:hAnsi="Times New Roman"/>
          <w:sz w:val="24"/>
        </w:rPr>
        <w:footnoteReference w:id="302"/>
      </w:r>
      <w:r w:rsidRPr="00BB73AE">
        <w:rPr>
          <w:rFonts w:ascii="Times New Roman" w:hAnsi="Times New Roman"/>
        </w:rPr>
        <w:t xml:space="preserve"> and it would entitle, but would not require, the inference to be drawn</w:t>
      </w:r>
      <w:r w:rsidRPr="00BB73AE">
        <w:rPr>
          <w:rStyle w:val="FootnoteReference"/>
          <w:rFonts w:ascii="Times New Roman" w:hAnsi="Times New Roman"/>
          <w:sz w:val="24"/>
        </w:rPr>
        <w:footnoteReference w:id="303"/>
      </w:r>
      <w:r w:rsidRPr="00BB73AE">
        <w:rPr>
          <w:rFonts w:ascii="Times New Roman" w:hAnsi="Times New Roman"/>
        </w:rPr>
        <w:t>. In short, however, any inference must be based upon all of the circumstances.</w:t>
      </w:r>
    </w:p>
    <w:p w14:paraId="2111DD96"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In addition to the absence of any express reference by the Tribunal to the Court Outcomes Report, there are four other circumstances that support the inference that the Court Outcomes Report had no effect on the Tribunal's reasons. First, before the Tribunal could take the Court Outcomes Report into account it would have been required positively to exercise its discretion under s 438(3)(a) of the </w:t>
      </w:r>
      <w:r w:rsidRPr="00BB73AE">
        <w:rPr>
          <w:rFonts w:ascii="Times New Roman" w:hAnsi="Times New Roman"/>
          <w:i/>
          <w:iCs/>
        </w:rPr>
        <w:t xml:space="preserve">Migration Act </w:t>
      </w:r>
      <w:r w:rsidRPr="00BB73AE">
        <w:rPr>
          <w:rFonts w:ascii="Times New Roman" w:hAnsi="Times New Roman"/>
        </w:rPr>
        <w:t>to have regard to matters contained in a document that is the subject of a notification under s 438. The Tribunal made no mention of the exercise of that discretion. Secondly, the information in the Court Outcomes Report was of marginal relevance to the issues before the Tribunal. To the extent that the Court Outcomes Report had potential to impact upon the appellant's credibility, the "state false name" offence of dishonesty was, as Mortimer J said, "buried" in the Court Outcomes Report along with the appellant's other driving and alcohol</w:t>
      </w:r>
      <w:r w:rsidRPr="00BB73AE">
        <w:rPr>
          <w:rFonts w:ascii="Times New Roman" w:hAnsi="Times New Roman"/>
        </w:rPr>
        <w:noBreakHyphen/>
        <w:t>related offences</w:t>
      </w:r>
      <w:r w:rsidRPr="00BB73AE">
        <w:rPr>
          <w:rStyle w:val="FootnoteReference"/>
          <w:rFonts w:ascii="Times New Roman" w:hAnsi="Times New Roman"/>
          <w:sz w:val="24"/>
        </w:rPr>
        <w:footnoteReference w:id="304"/>
      </w:r>
      <w:r w:rsidRPr="00BB73AE">
        <w:rPr>
          <w:rFonts w:ascii="Times New Roman" w:hAnsi="Times New Roman"/>
        </w:rPr>
        <w:t>. Thirdly, the Tribunal did not reach any positive conclusion that the appellant lied in relation to any issue. As Mortimer J said, although the Tribunal rejected some of the appellant's evidence as not being "credible or plausible", this was a finding of objective unlikelihood of the evidence independently of any suggestion that the appellant was a person who should not be believed</w:t>
      </w:r>
      <w:r w:rsidRPr="00BB73AE">
        <w:rPr>
          <w:rStyle w:val="FootnoteReference"/>
          <w:rFonts w:ascii="Times New Roman" w:hAnsi="Times New Roman"/>
          <w:sz w:val="24"/>
        </w:rPr>
        <w:footnoteReference w:id="305"/>
      </w:r>
      <w:r w:rsidRPr="00BB73AE">
        <w:rPr>
          <w:rFonts w:ascii="Times New Roman" w:hAnsi="Times New Roman"/>
        </w:rPr>
        <w:t>. Fourthly, the Tribunal accepted significant parts of the appellant's evidence. The Tribunal accepted that there had been a dispute between the appellant's father and the appellant's uncle. The Tribunal accepted the appellant's evidence about being taken to a house by his cousin and drugged and held there until a ransom was paid for his release. The Tribunal accepted that the appellant's family had disowned him and accepted the evidence of the appellant that this was because he had cut his hair and had "adopted the Australian lifestyle and started drinking alcohol".</w:t>
      </w:r>
    </w:p>
    <w:p w14:paraId="456E7AB7"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appellant also relied upon the opening remarks made by the Tribunal in the initial, but later revoked, decision in September 2014 that the Tribunal had "considered all the material before it relating to [the appellant's] application". </w:t>
      </w:r>
      <w:r w:rsidRPr="00BB73AE">
        <w:rPr>
          <w:rFonts w:ascii="Times New Roman" w:hAnsi="Times New Roman"/>
        </w:rPr>
        <w:lastRenderedPageBreak/>
        <w:t>This statement should not be taken to suggest a treatment by the Tribunal of the Court Outcomes Report as material that it had considered. Rather, the statement by the Tribunal that it had considered all the material before it demonstrated its consideration of whether it should decline to offer an interview to the appellant and should instead "decide the review in the [appellant's] favour on the basis of the material before it"</w:t>
      </w:r>
      <w:r w:rsidRPr="00BB73AE">
        <w:rPr>
          <w:rStyle w:val="FootnoteReference"/>
          <w:rFonts w:ascii="Times New Roman" w:hAnsi="Times New Roman"/>
          <w:sz w:val="24"/>
        </w:rPr>
        <w:footnoteReference w:id="306"/>
      </w:r>
      <w:r w:rsidRPr="00BB73AE">
        <w:rPr>
          <w:rFonts w:ascii="Times New Roman" w:hAnsi="Times New Roman"/>
        </w:rPr>
        <w:t>. Indeed, this initial decision, like the decision given after the appellant had been properly afforded the opportunity of an interview, contained no reference to the Court Outcomes Report. The Tribunal described the evidence before it as "extremely limited and vague".</w:t>
      </w:r>
    </w:p>
    <w:p w14:paraId="3A66934D"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appellant relied upon the decision of this Court in </w:t>
      </w:r>
      <w:r w:rsidRPr="00BB73AE">
        <w:rPr>
          <w:rFonts w:ascii="Times New Roman" w:hAnsi="Times New Roman"/>
          <w:i/>
          <w:iCs/>
        </w:rPr>
        <w:t>Kioa v West</w:t>
      </w:r>
      <w:r w:rsidRPr="00BB73AE">
        <w:rPr>
          <w:rStyle w:val="FootnoteReference"/>
          <w:rFonts w:ascii="Times New Roman" w:hAnsi="Times New Roman"/>
          <w:sz w:val="24"/>
        </w:rPr>
        <w:footnoteReference w:id="307"/>
      </w:r>
      <w:r w:rsidRPr="00BB73AE">
        <w:rPr>
          <w:rFonts w:ascii="Times New Roman" w:hAnsi="Times New Roman"/>
          <w:i/>
          <w:iCs/>
        </w:rPr>
        <w:t xml:space="preserve"> </w:t>
      </w:r>
      <w:r w:rsidRPr="00BB73AE">
        <w:rPr>
          <w:rFonts w:ascii="Times New Roman" w:hAnsi="Times New Roman"/>
        </w:rPr>
        <w:t>for the submission that even if relevant material had not been considered by the decision</w:t>
      </w:r>
      <w:r w:rsidRPr="00BB73AE">
        <w:rPr>
          <w:rFonts w:ascii="Times New Roman" w:hAnsi="Times New Roman"/>
        </w:rPr>
        <w:noBreakHyphen/>
        <w:t>maker, it was enough that the material was before the decision</w:t>
      </w:r>
      <w:r w:rsidRPr="00BB73AE">
        <w:rPr>
          <w:rFonts w:ascii="Times New Roman" w:hAnsi="Times New Roman"/>
        </w:rPr>
        <w:noBreakHyphen/>
        <w:t>maker for an obligation of procedural fairness to arise, entitling the appellant to make submissions about it</w:t>
      </w:r>
      <w:r w:rsidRPr="00BB73AE">
        <w:rPr>
          <w:rFonts w:ascii="Times New Roman" w:hAnsi="Times New Roman"/>
          <w:i/>
          <w:iCs/>
        </w:rPr>
        <w:t xml:space="preserve">. </w:t>
      </w:r>
      <w:r w:rsidRPr="00BB73AE">
        <w:rPr>
          <w:rFonts w:ascii="Times New Roman" w:hAnsi="Times New Roman"/>
        </w:rPr>
        <w:t xml:space="preserve">An issue in </w:t>
      </w:r>
      <w:r w:rsidRPr="00BB73AE">
        <w:rPr>
          <w:rFonts w:ascii="Times New Roman" w:hAnsi="Times New Roman"/>
          <w:i/>
          <w:iCs/>
        </w:rPr>
        <w:t>Kioa v West</w:t>
      </w:r>
      <w:r w:rsidRPr="00BB73AE">
        <w:rPr>
          <w:rFonts w:ascii="Times New Roman" w:hAnsi="Times New Roman"/>
        </w:rPr>
        <w:t xml:space="preserve"> concerned s 5(1)(a) of the </w:t>
      </w:r>
      <w:r w:rsidRPr="00BB73AE">
        <w:rPr>
          <w:rFonts w:ascii="Times New Roman" w:hAnsi="Times New Roman"/>
          <w:i/>
          <w:iCs/>
        </w:rPr>
        <w:t>Administrative Decisions (Judicial Review) Act 1977</w:t>
      </w:r>
      <w:r w:rsidRPr="00BB73AE">
        <w:rPr>
          <w:rFonts w:ascii="Times New Roman" w:hAnsi="Times New Roman"/>
          <w:iCs/>
        </w:rPr>
        <w:t> </w:t>
      </w:r>
      <w:r w:rsidRPr="00BB73AE">
        <w:rPr>
          <w:rFonts w:ascii="Times New Roman" w:hAnsi="Times New Roman"/>
        </w:rPr>
        <w:t>(Cth) and whether Mr Kioa had been denied procedural fairness by not being given the opportunity to make submissions in relation to an adverse statement in material that had not affected the reasoning of the delegate. The language of s 5(1)(a) imports the usual principle of natural justice and hence the usual rules of procedural fairness. As Mason J said, the Act was not intended "to work a radical substantive change in the grounds on which administrative decisions are susceptible to challenge at common law"</w:t>
      </w:r>
      <w:r w:rsidRPr="00BB73AE">
        <w:rPr>
          <w:rStyle w:val="FootnoteReference"/>
          <w:rFonts w:ascii="Times New Roman" w:hAnsi="Times New Roman"/>
          <w:sz w:val="24"/>
        </w:rPr>
        <w:footnoteReference w:id="308"/>
      </w:r>
      <w:r w:rsidRPr="00BB73AE">
        <w:rPr>
          <w:rFonts w:ascii="Times New Roman" w:hAnsi="Times New Roman"/>
        </w:rPr>
        <w:t>. Brennan J also observed that "there is no reason to construe in a novel manner provisions which state in familiar terms the well-known grounds of judicial review"</w:t>
      </w:r>
      <w:r w:rsidRPr="00BB73AE">
        <w:rPr>
          <w:rStyle w:val="FootnoteReference"/>
          <w:rFonts w:ascii="Times New Roman" w:hAnsi="Times New Roman"/>
          <w:sz w:val="24"/>
        </w:rPr>
        <w:footnoteReference w:id="309"/>
      </w:r>
      <w:r w:rsidRPr="00BB73AE">
        <w:rPr>
          <w:rFonts w:ascii="Times New Roman" w:hAnsi="Times New Roman"/>
        </w:rPr>
        <w:t>.</w:t>
      </w:r>
    </w:p>
    <w:p w14:paraId="0C2DBC21"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 xml:space="preserve">The reasoning in </w:t>
      </w:r>
      <w:r w:rsidRPr="00BB73AE">
        <w:rPr>
          <w:rFonts w:ascii="Times New Roman" w:hAnsi="Times New Roman"/>
          <w:i/>
          <w:iCs/>
        </w:rPr>
        <w:t xml:space="preserve">Kioa v West </w:t>
      </w:r>
      <w:r w:rsidRPr="00BB73AE">
        <w:rPr>
          <w:rFonts w:ascii="Times New Roman" w:hAnsi="Times New Roman"/>
        </w:rPr>
        <w:t xml:space="preserve">is, however, inapt to the circumstances of this appeal. No issue of materiality was raised in </w:t>
      </w:r>
      <w:r w:rsidRPr="00BB73AE">
        <w:rPr>
          <w:rFonts w:ascii="Times New Roman" w:hAnsi="Times New Roman"/>
          <w:i/>
          <w:iCs/>
        </w:rPr>
        <w:t>Kioa v West</w:t>
      </w:r>
      <w:r w:rsidRPr="00BB73AE">
        <w:rPr>
          <w:rFonts w:ascii="Times New Roman" w:hAnsi="Times New Roman"/>
        </w:rPr>
        <w:t xml:space="preserve"> by the Minister. The case was argued on the premise that if the rules of procedural fairness applied and were breached then the decision should be set aside</w:t>
      </w:r>
      <w:r w:rsidRPr="00BB73AE">
        <w:rPr>
          <w:rStyle w:val="FootnoteReference"/>
          <w:rFonts w:ascii="Times New Roman" w:hAnsi="Times New Roman"/>
          <w:sz w:val="24"/>
        </w:rPr>
        <w:footnoteReference w:id="310"/>
      </w:r>
      <w:r w:rsidRPr="00BB73AE">
        <w:rPr>
          <w:rFonts w:ascii="Times New Roman" w:hAnsi="Times New Roman"/>
        </w:rPr>
        <w:t>. It was not submitted that the result would inevitably have been the same if Mr Kioa had been given the opportunity to make submissions about the paragraph containing the adverse statement. In any event, such an argument would not likely have succeeded. The adverse statement was "extremely prejudicial"</w:t>
      </w:r>
      <w:r w:rsidRPr="00BB73AE">
        <w:rPr>
          <w:rStyle w:val="FootnoteReference"/>
          <w:rFonts w:ascii="Times New Roman" w:hAnsi="Times New Roman"/>
          <w:sz w:val="24"/>
        </w:rPr>
        <w:footnoteReference w:id="311"/>
      </w:r>
      <w:r w:rsidRPr="00BB73AE">
        <w:rPr>
          <w:rFonts w:ascii="Times New Roman" w:hAnsi="Times New Roman"/>
        </w:rPr>
        <w:t xml:space="preserve"> and created "a real risk of </w:t>
      </w:r>
      <w:r w:rsidRPr="00BB73AE">
        <w:rPr>
          <w:rFonts w:ascii="Times New Roman" w:hAnsi="Times New Roman"/>
        </w:rPr>
        <w:lastRenderedPageBreak/>
        <w:t>prejudice, albeit subconscious" such that it was "unfair to deny a person whose interests are likely to be affected by the decision an opportunity to deal with the information"</w:t>
      </w:r>
      <w:r w:rsidRPr="00BB73AE">
        <w:rPr>
          <w:rStyle w:val="FootnoteReference"/>
          <w:rFonts w:ascii="Times New Roman" w:hAnsi="Times New Roman"/>
          <w:sz w:val="24"/>
        </w:rPr>
        <w:footnoteReference w:id="312"/>
      </w:r>
      <w:r w:rsidRPr="00BB73AE">
        <w:rPr>
          <w:rFonts w:ascii="Times New Roman" w:hAnsi="Times New Roman"/>
        </w:rPr>
        <w:t xml:space="preserve">. For the same reasons, information, albeit of a more prejudicial nature, was held by a majority of this Court to give rise to an apprehension of bias in </w:t>
      </w:r>
      <w:r w:rsidRPr="00BB73AE">
        <w:rPr>
          <w:rFonts w:ascii="Times New Roman" w:hAnsi="Times New Roman"/>
          <w:i/>
          <w:iCs/>
        </w:rPr>
        <w:t>CNY17 v Minister for Immigration and Border Protection</w:t>
      </w:r>
      <w:r w:rsidRPr="00BB73AE">
        <w:rPr>
          <w:rStyle w:val="FootnoteReference"/>
          <w:rFonts w:ascii="Times New Roman" w:hAnsi="Times New Roman"/>
          <w:sz w:val="24"/>
        </w:rPr>
        <w:footnoteReference w:id="313"/>
      </w:r>
      <w:r w:rsidRPr="00BB73AE">
        <w:rPr>
          <w:rFonts w:ascii="Times New Roman" w:hAnsi="Times New Roman"/>
        </w:rPr>
        <w:t>.</w:t>
      </w:r>
    </w:p>
    <w:p w14:paraId="5196F895"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appellant's second ground of appeal – that Mortimer J had erred in concluding that only dishonesty offences were capable of adversely impacting upon the credibility of the appellant before the Tribunal – can be dealt with briefly. Her Honour's conclusion that there was nothing in the Tribunal's reasons for decision that suggested that its reasoning was affected by the presence of the "state false name" dishonesty offence reflected the appellant's own "appropriately restrained" approach, which asserted that this was the only information the subject of the s 438 notification that might have made a difference</w:t>
      </w:r>
      <w:r w:rsidRPr="00BB73AE">
        <w:rPr>
          <w:rStyle w:val="FootnoteReference"/>
          <w:rFonts w:ascii="Times New Roman" w:hAnsi="Times New Roman"/>
          <w:sz w:val="24"/>
        </w:rPr>
        <w:footnoteReference w:id="314"/>
      </w:r>
      <w:r w:rsidRPr="00BB73AE">
        <w:rPr>
          <w:rFonts w:ascii="Times New Roman" w:hAnsi="Times New Roman"/>
        </w:rPr>
        <w:t>. But even if the appellant's case had been put more broadly, and had relied upon all of the information in the Court Outcomes Report as matters to which submissions by the appellant might have made a difference, that submission would have failed due to Mortimer J's correct conclusion that the Tribunal did not consider any of the Court Outcomes Report.</w:t>
      </w:r>
    </w:p>
    <w:p w14:paraId="27CB479E" w14:textId="77777777" w:rsidR="007B5A1E" w:rsidRPr="00BB73AE" w:rsidRDefault="007B5A1E" w:rsidP="00BB73AE">
      <w:pPr>
        <w:pStyle w:val="HeadingL1"/>
        <w:spacing w:after="260" w:line="280" w:lineRule="exact"/>
        <w:ind w:right="0"/>
        <w:jc w:val="both"/>
        <w:rPr>
          <w:rFonts w:ascii="Times New Roman" w:hAnsi="Times New Roman"/>
        </w:rPr>
      </w:pPr>
      <w:r w:rsidRPr="00BB73AE">
        <w:rPr>
          <w:rFonts w:ascii="Times New Roman" w:hAnsi="Times New Roman"/>
        </w:rPr>
        <w:t>Conclusion</w:t>
      </w:r>
    </w:p>
    <w:p w14:paraId="3C8749EC" w14:textId="77777777" w:rsidR="007B5A1E" w:rsidRPr="00BB73AE" w:rsidRDefault="007B5A1E" w:rsidP="007B5A1E">
      <w:pPr>
        <w:pStyle w:val="FixListStyle"/>
        <w:numPr>
          <w:ilvl w:val="0"/>
          <w:numId w:val="18"/>
        </w:numPr>
        <w:spacing w:after="260" w:line="280" w:lineRule="exact"/>
        <w:ind w:left="0" w:right="0" w:hanging="720"/>
        <w:jc w:val="both"/>
        <w:rPr>
          <w:rFonts w:ascii="Times New Roman" w:hAnsi="Times New Roman"/>
        </w:rPr>
      </w:pPr>
      <w:r w:rsidRPr="00BB73AE">
        <w:rPr>
          <w:rFonts w:ascii="Times New Roman" w:hAnsi="Times New Roman"/>
        </w:rPr>
        <w:tab/>
        <w:t>The appeal must be dismissed with costs.</w:t>
      </w:r>
    </w:p>
    <w:p w14:paraId="675D6A19" w14:textId="77777777" w:rsidR="007B5A1E" w:rsidRDefault="007B5A1E" w:rsidP="007B5A1E">
      <w:pPr>
        <w:pStyle w:val="FixListStyle"/>
        <w:numPr>
          <w:ilvl w:val="0"/>
          <w:numId w:val="0"/>
        </w:numPr>
        <w:spacing w:after="260" w:line="280" w:lineRule="exact"/>
        <w:ind w:right="0"/>
        <w:jc w:val="both"/>
        <w:rPr>
          <w:rFonts w:ascii="Times New Roman" w:hAnsi="Times New Roman"/>
        </w:rPr>
        <w:sectPr w:rsidR="007B5A1E" w:rsidSect="007B5A1E">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1872AE8C" w14:textId="49B607FE" w:rsidR="00CD1E42" w:rsidRPr="005E1802" w:rsidRDefault="00CD1E42" w:rsidP="007B5A1E">
      <w:pPr>
        <w:pStyle w:val="FixListStyle"/>
        <w:numPr>
          <w:ilvl w:val="0"/>
          <w:numId w:val="0"/>
        </w:numPr>
        <w:spacing w:after="260" w:line="280" w:lineRule="exact"/>
        <w:ind w:right="0"/>
        <w:jc w:val="both"/>
        <w:rPr>
          <w:rFonts w:ascii="Times New Roman" w:hAnsi="Times New Roman"/>
        </w:rPr>
      </w:pPr>
    </w:p>
    <w:sectPr w:rsidR="00CD1E42" w:rsidRPr="005E1802" w:rsidSect="007B5A1E">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32C3" w14:textId="77777777" w:rsidR="005E4678" w:rsidRDefault="005E4678">
      <w:pPr>
        <w:spacing w:line="240" w:lineRule="auto"/>
      </w:pPr>
      <w:r>
        <w:separator/>
      </w:r>
    </w:p>
  </w:endnote>
  <w:endnote w:type="continuationSeparator" w:id="0">
    <w:p w14:paraId="7895FEC7" w14:textId="77777777" w:rsidR="005E4678" w:rsidRDefault="005E4678">
      <w:pPr>
        <w:spacing w:line="240" w:lineRule="auto"/>
      </w:pPr>
      <w:r>
        <w:continuationSeparator/>
      </w:r>
    </w:p>
  </w:endnote>
  <w:endnote w:type="continuationNotice" w:id="1">
    <w:p w14:paraId="3E3653B7" w14:textId="77777777" w:rsidR="005E4678" w:rsidRDefault="005E46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F013" w14:textId="77777777" w:rsidR="00577BDD" w:rsidRDefault="00577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9553" w14:textId="77777777" w:rsidR="00577BDD" w:rsidRDefault="00577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4D13" w14:textId="77777777" w:rsidR="00577BDD" w:rsidRDefault="00577B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D9E0" w14:textId="77777777" w:rsidR="00577BDD" w:rsidRDefault="00577B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7E17" w14:textId="77777777" w:rsidR="00577BDD" w:rsidRDefault="00577B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168F" w14:textId="77777777" w:rsidR="00577BDD" w:rsidRDefault="00577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F0F7" w14:textId="77777777" w:rsidR="00BB73AE" w:rsidRDefault="005E46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B97A" w14:textId="77777777" w:rsidR="00BB73AE" w:rsidRDefault="005E46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3650" w14:textId="77777777" w:rsidR="00BB73AE" w:rsidRDefault="005E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A2CB" w14:textId="77777777" w:rsidR="005E4678" w:rsidRPr="005E1802" w:rsidRDefault="005E4678" w:rsidP="005E1802">
      <w:pPr>
        <w:pStyle w:val="Footer"/>
        <w:spacing w:before="120" w:after="20"/>
        <w:ind w:right="0"/>
        <w:rPr>
          <w:rFonts w:ascii="Times New Roman" w:hAnsi="Times New Roman"/>
        </w:rPr>
      </w:pPr>
      <w:r>
        <w:continuationSeparator/>
      </w:r>
    </w:p>
  </w:footnote>
  <w:footnote w:type="continuationSeparator" w:id="0">
    <w:p w14:paraId="261FED6E" w14:textId="77777777" w:rsidR="005E4678" w:rsidRPr="005E1802" w:rsidRDefault="005E4678" w:rsidP="005E1802">
      <w:pPr>
        <w:pStyle w:val="Footer"/>
        <w:spacing w:before="120" w:after="20"/>
        <w:ind w:right="0"/>
        <w:rPr>
          <w:rFonts w:ascii="Times New Roman" w:hAnsi="Times New Roman"/>
        </w:rPr>
      </w:pPr>
      <w:r w:rsidRPr="005E1802">
        <w:rPr>
          <w:rFonts w:ascii="Times New Roman" w:hAnsi="Times New Roman"/>
        </w:rPr>
        <w:continuationSeparator/>
      </w:r>
    </w:p>
  </w:footnote>
  <w:footnote w:type="continuationNotice" w:id="1">
    <w:p w14:paraId="1E73BA16" w14:textId="77777777" w:rsidR="005E4678" w:rsidRPr="007B5A1E" w:rsidRDefault="005E4678">
      <w:pPr>
        <w:jc w:val="right"/>
        <w:rPr>
          <w:rFonts w:ascii="Times New Roman" w:hAnsi="Times New Roman"/>
          <w:sz w:val="24"/>
        </w:rPr>
      </w:pPr>
    </w:p>
  </w:footnote>
  <w:footnote w:id="2">
    <w:p w14:paraId="1482666E" w14:textId="3CB76775"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(2018) 264 CLR 123.</w:t>
      </w:r>
    </w:p>
  </w:footnote>
  <w:footnote w:id="3">
    <w:p w14:paraId="1CE43C9E" w14:textId="06229459"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w:t>
      </w:r>
    </w:p>
  </w:footnote>
  <w:footnote w:id="4">
    <w:p w14:paraId="4BAF37F0" w14:textId="45A59455"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MZAPC v Minister for Immigration and Border Protection</w:t>
      </w:r>
      <w:r w:rsidRPr="005E1802">
        <w:rPr>
          <w:rFonts w:ascii="Times New Roman" w:hAnsi="Times New Roman"/>
          <w:sz w:val="24"/>
        </w:rPr>
        <w:t xml:space="preserve"> [2019] FCA 2024.</w:t>
      </w:r>
    </w:p>
  </w:footnote>
  <w:footnote w:id="5">
    <w:p w14:paraId="0C26A06A" w14:textId="639A1872"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cf </w:t>
      </w:r>
      <w:r w:rsidRPr="005E1802">
        <w:rPr>
          <w:rFonts w:ascii="Times New Roman" w:hAnsi="Times New Roman"/>
          <w:i/>
          <w:sz w:val="24"/>
        </w:rPr>
        <w:t>Minister for Immigration and Multicultural Affairs v Bhardwaj</w:t>
      </w:r>
      <w:r w:rsidRPr="005E1802">
        <w:rPr>
          <w:rFonts w:ascii="Times New Roman" w:hAnsi="Times New Roman"/>
          <w:sz w:val="24"/>
        </w:rPr>
        <w:t xml:space="preserve"> (2002) 209 CLR 597.</w:t>
      </w:r>
    </w:p>
  </w:footnote>
  <w:footnote w:id="6">
    <w:p w14:paraId="14AFE973" w14:textId="7B2939C0"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FCA 2024 at [39].</w:t>
      </w:r>
    </w:p>
  </w:footnote>
  <w:footnote w:id="7">
    <w:p w14:paraId="6B9C7243" w14:textId="77996EF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FCA 2024 at [50].</w:t>
      </w:r>
    </w:p>
  </w:footnote>
  <w:footnote w:id="8">
    <w:p w14:paraId="2C6A2AF6" w14:textId="4FB10B81"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FCAFC 68.</w:t>
      </w:r>
    </w:p>
  </w:footnote>
  <w:footnote w:id="9">
    <w:p w14:paraId="2FB8BEB0" w14:textId="4C1B55A2"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[2021] FCAFC 24.</w:t>
      </w:r>
    </w:p>
  </w:footnote>
  <w:footnote w:id="10">
    <w:p w14:paraId="2151A7F3" w14:textId="5442C914"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FCA 2024 at [52]-[58].</w:t>
      </w:r>
    </w:p>
  </w:footnote>
  <w:footnote w:id="11">
    <w:p w14:paraId="258538A7" w14:textId="1E159C92"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DPI17 v Minister for Home Affair</w:t>
      </w:r>
      <w:r w:rsidRPr="005E1802">
        <w:rPr>
          <w:rFonts w:ascii="Times New Roman" w:hAnsi="Times New Roman"/>
          <w:sz w:val="24"/>
        </w:rPr>
        <w:t>s (2019) 269 FCR 134 at 160-163 [96]-[107].</w:t>
      </w:r>
    </w:p>
  </w:footnote>
  <w:footnote w:id="12">
    <w:p w14:paraId="440EDCB3" w14:textId="30333B4F"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PQSM v Minister for Home Affairs</w:t>
      </w:r>
      <w:r w:rsidRPr="005E1802">
        <w:rPr>
          <w:rFonts w:ascii="Times New Roman" w:hAnsi="Times New Roman"/>
          <w:sz w:val="24"/>
        </w:rPr>
        <w:t xml:space="preserve"> (2020) 382 ALR 195 at 196-2</w:t>
      </w:r>
      <w:r w:rsidR="00C6265A" w:rsidRPr="005E1802">
        <w:rPr>
          <w:rFonts w:ascii="Times New Roman" w:hAnsi="Times New Roman"/>
          <w:sz w:val="24"/>
        </w:rPr>
        <w:t>03</w:t>
      </w:r>
      <w:r w:rsidRPr="005E1802">
        <w:rPr>
          <w:rFonts w:ascii="Times New Roman" w:hAnsi="Times New Roman"/>
          <w:sz w:val="24"/>
        </w:rPr>
        <w:t xml:space="preserve"> [1]-[</w:t>
      </w:r>
      <w:r w:rsidR="00C6265A" w:rsidRPr="005E1802">
        <w:rPr>
          <w:rFonts w:ascii="Times New Roman" w:hAnsi="Times New Roman"/>
          <w:sz w:val="24"/>
        </w:rPr>
        <w:t>28</w:t>
      </w:r>
      <w:r w:rsidRPr="005E1802">
        <w:rPr>
          <w:rFonts w:ascii="Times New Roman" w:hAnsi="Times New Roman"/>
          <w:sz w:val="24"/>
        </w:rPr>
        <w:t>].</w:t>
      </w:r>
    </w:p>
  </w:footnote>
  <w:footnote w:id="13">
    <w:p w14:paraId="03002A2C" w14:textId="0AA5FAF5"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FCA 2024 at [40], [48].</w:t>
      </w:r>
    </w:p>
  </w:footnote>
  <w:footnote w:id="14">
    <w:p w14:paraId="288E9968" w14:textId="615552DA"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Plaintiff S157/2002 v The Commonwealth</w:t>
      </w:r>
      <w:r w:rsidRPr="005E1802">
        <w:rPr>
          <w:rFonts w:ascii="Times New Roman" w:hAnsi="Times New Roman"/>
          <w:sz w:val="24"/>
        </w:rPr>
        <w:t xml:space="preserve"> (2003) 211 CLR 476.</w:t>
      </w:r>
    </w:p>
  </w:footnote>
  <w:footnote w:id="15">
    <w:p w14:paraId="6923F359" w14:textId="7368E360"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Relevantly, s </w:t>
      </w:r>
      <w:r w:rsidR="00AA216D" w:rsidRPr="005E1802">
        <w:rPr>
          <w:rFonts w:ascii="Times New Roman" w:hAnsi="Times New Roman"/>
          <w:sz w:val="24"/>
        </w:rPr>
        <w:t>476 of the Act.</w:t>
      </w:r>
    </w:p>
  </w:footnote>
  <w:footnote w:id="16">
    <w:p w14:paraId="68402B98" w14:textId="18DDEC9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Kirk v Industrial Court</w:t>
      </w:r>
      <w:r w:rsidRPr="005E1802">
        <w:rPr>
          <w:rFonts w:ascii="Times New Roman" w:hAnsi="Times New Roman"/>
          <w:sz w:val="24"/>
        </w:rPr>
        <w:t xml:space="preserve"> </w:t>
      </w:r>
      <w:r w:rsidRPr="005E1802">
        <w:rPr>
          <w:rFonts w:ascii="Times New Roman" w:hAnsi="Times New Roman"/>
          <w:i/>
          <w:sz w:val="24"/>
        </w:rPr>
        <w:t>(NSW)</w:t>
      </w:r>
      <w:r w:rsidRPr="005E1802">
        <w:rPr>
          <w:rFonts w:ascii="Times New Roman" w:hAnsi="Times New Roman"/>
          <w:sz w:val="24"/>
        </w:rPr>
        <w:t xml:space="preserve"> (2010) 239 CLR 531.</w:t>
      </w:r>
    </w:p>
  </w:footnote>
  <w:footnote w:id="17">
    <w:p w14:paraId="693A5A90" w14:textId="4BB8D254"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Graham v Minister for Immigration and Border Protection</w:t>
      </w:r>
      <w:r w:rsidRPr="005E1802">
        <w:rPr>
          <w:rFonts w:ascii="Times New Roman" w:hAnsi="Times New Roman"/>
          <w:sz w:val="24"/>
        </w:rPr>
        <w:t xml:space="preserve"> (2017) 263 CLR 1 at 24 [39]. See earlier </w:t>
      </w:r>
      <w:r w:rsidRPr="005E1802">
        <w:rPr>
          <w:rFonts w:ascii="Times New Roman" w:hAnsi="Times New Roman"/>
          <w:i/>
          <w:sz w:val="24"/>
        </w:rPr>
        <w:t>Attorney-General (NSW)</w:t>
      </w:r>
      <w:r w:rsidRPr="005E1802">
        <w:rPr>
          <w:rFonts w:ascii="Times New Roman" w:hAnsi="Times New Roman"/>
          <w:sz w:val="24"/>
        </w:rPr>
        <w:t xml:space="preserve"> </w:t>
      </w:r>
      <w:r w:rsidRPr="005E1802">
        <w:rPr>
          <w:rFonts w:ascii="Times New Roman" w:hAnsi="Times New Roman"/>
          <w:i/>
          <w:sz w:val="24"/>
        </w:rPr>
        <w:t>v Quin</w:t>
      </w:r>
      <w:r w:rsidRPr="005E1802">
        <w:rPr>
          <w:rFonts w:ascii="Times New Roman" w:hAnsi="Times New Roman"/>
          <w:sz w:val="24"/>
        </w:rPr>
        <w:t xml:space="preserve"> (1990) 170 CLR 1 at 35.</w:t>
      </w:r>
    </w:p>
  </w:footnote>
  <w:footnote w:id="18">
    <w:p w14:paraId="60232052" w14:textId="3F89BAC5"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Minister for Immigration and Multicultural Affairs v Bhardwaj</w:t>
      </w:r>
      <w:r w:rsidRPr="005E1802">
        <w:rPr>
          <w:rFonts w:ascii="Times New Roman" w:hAnsi="Times New Roman"/>
          <w:sz w:val="24"/>
        </w:rPr>
        <w:t xml:space="preserve"> (2002) 209 CLR 597.</w:t>
      </w:r>
    </w:p>
  </w:footnote>
  <w:footnote w:id="19">
    <w:p w14:paraId="22548CF1" w14:textId="2682EEE3"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Plaintiff S10/2011 v Minister for Immigration and Citizenship</w:t>
      </w:r>
      <w:r w:rsidRPr="005E1802">
        <w:rPr>
          <w:rFonts w:ascii="Times New Roman" w:hAnsi="Times New Roman"/>
          <w:sz w:val="24"/>
        </w:rPr>
        <w:t xml:space="preserve"> (2012) 246 CLR 636 at 666 [97]. See earlier </w:t>
      </w:r>
      <w:r w:rsidRPr="005E1802">
        <w:rPr>
          <w:rFonts w:ascii="Times New Roman" w:hAnsi="Times New Roman"/>
          <w:i/>
          <w:sz w:val="24"/>
        </w:rPr>
        <w:t>Attorney-General</w:t>
      </w:r>
      <w:r w:rsidRPr="005E1802">
        <w:rPr>
          <w:rFonts w:ascii="Times New Roman" w:hAnsi="Times New Roman"/>
          <w:sz w:val="24"/>
        </w:rPr>
        <w:t xml:space="preserve"> </w:t>
      </w:r>
      <w:r w:rsidRPr="005E1802">
        <w:rPr>
          <w:rFonts w:ascii="Times New Roman" w:hAnsi="Times New Roman"/>
          <w:i/>
          <w:sz w:val="24"/>
        </w:rPr>
        <w:t>(NSW)</w:t>
      </w:r>
      <w:r w:rsidRPr="005E1802">
        <w:rPr>
          <w:rFonts w:ascii="Times New Roman" w:hAnsi="Times New Roman"/>
          <w:sz w:val="24"/>
        </w:rPr>
        <w:t xml:space="preserve"> </w:t>
      </w:r>
      <w:r w:rsidRPr="005E1802">
        <w:rPr>
          <w:rFonts w:ascii="Times New Roman" w:hAnsi="Times New Roman"/>
          <w:i/>
          <w:sz w:val="24"/>
        </w:rPr>
        <w:t>v Quin</w:t>
      </w:r>
      <w:r w:rsidRPr="005E1802">
        <w:rPr>
          <w:rFonts w:ascii="Times New Roman" w:hAnsi="Times New Roman"/>
          <w:sz w:val="24"/>
        </w:rPr>
        <w:t xml:space="preserve"> (1990) 170 CLR 1 at 36.</w:t>
      </w:r>
    </w:p>
  </w:footnote>
  <w:footnote w:id="20">
    <w:p w14:paraId="29FE20B6" w14:textId="4EE0E9A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Project Blue Sky</w:t>
      </w:r>
      <w:r w:rsidR="00E338D7" w:rsidRPr="005E1802">
        <w:rPr>
          <w:rFonts w:ascii="Times New Roman" w:hAnsi="Times New Roman"/>
          <w:i/>
          <w:sz w:val="24"/>
        </w:rPr>
        <w:t xml:space="preserve"> Inc</w:t>
      </w:r>
      <w:r w:rsidRPr="005E1802">
        <w:rPr>
          <w:rFonts w:ascii="Times New Roman" w:hAnsi="Times New Roman"/>
          <w:i/>
          <w:sz w:val="24"/>
        </w:rPr>
        <w:t xml:space="preserve"> v Australian Broadcasting Authority</w:t>
      </w:r>
      <w:r w:rsidRPr="005E1802">
        <w:rPr>
          <w:rFonts w:ascii="Times New Roman" w:hAnsi="Times New Roman"/>
          <w:sz w:val="24"/>
        </w:rPr>
        <w:t xml:space="preserve"> (1998) 194 CLR 355; </w:t>
      </w:r>
      <w:r w:rsidRPr="005E1802">
        <w:rPr>
          <w:rFonts w:ascii="Times New Roman" w:hAnsi="Times New Roman"/>
          <w:i/>
          <w:sz w:val="24"/>
        </w:rPr>
        <w:t>Probuild Constructions</w:t>
      </w:r>
      <w:r w:rsidRPr="005E1802">
        <w:rPr>
          <w:rFonts w:ascii="Times New Roman" w:hAnsi="Times New Roman"/>
          <w:sz w:val="24"/>
        </w:rPr>
        <w:t xml:space="preserve"> </w:t>
      </w:r>
      <w:r w:rsidRPr="005E1802">
        <w:rPr>
          <w:rFonts w:ascii="Times New Roman" w:hAnsi="Times New Roman"/>
          <w:i/>
          <w:sz w:val="24"/>
        </w:rPr>
        <w:t>(Aust) Pty Ltd v Shade Systems Pty Ltd</w:t>
      </w:r>
      <w:r w:rsidRPr="005E1802">
        <w:rPr>
          <w:rFonts w:ascii="Times New Roman" w:hAnsi="Times New Roman"/>
          <w:sz w:val="24"/>
        </w:rPr>
        <w:t xml:space="preserve"> (2018) 264 CLR 1.</w:t>
      </w:r>
    </w:p>
  </w:footnote>
  <w:footnote w:id="21">
    <w:p w14:paraId="0E81A2AE" w14:textId="1E9DA4F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(2018) 264 CLR 123 at 130-134 [17]-[27].</w:t>
      </w:r>
    </w:p>
  </w:footnote>
  <w:footnote w:id="22">
    <w:p w14:paraId="35CA4FB3" w14:textId="7D3C4548"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(2018) 264 CLR 123 at 134-135 [29]-[30].</w:t>
      </w:r>
    </w:p>
  </w:footnote>
  <w:footnote w:id="23">
    <w:p w14:paraId="7100C0E6" w14:textId="0CD0303F"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(2018) 264 CLR 123 at 134 [28].</w:t>
      </w:r>
    </w:p>
  </w:footnote>
  <w:footnote w:id="24">
    <w:p w14:paraId="01BA0558" w14:textId="3DB50DD1"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iCs/>
          <w:color w:val="000000"/>
          <w:sz w:val="24"/>
          <w:shd w:val="clear" w:color="auto" w:fill="FFFFFF"/>
        </w:rPr>
        <w:t xml:space="preserve">Electrolux Home Products Pty Ltd v Australian Workers' Union </w:t>
      </w:r>
      <w:r w:rsidRPr="005E1802">
        <w:rPr>
          <w:rFonts w:ascii="Times New Roman" w:hAnsi="Times New Roman"/>
          <w:color w:val="000000"/>
          <w:sz w:val="24"/>
          <w:shd w:val="clear" w:color="auto" w:fill="FFFFFF"/>
        </w:rPr>
        <w:t>(2004) 221 CLR 309 at 329 [21].</w:t>
      </w:r>
    </w:p>
  </w:footnote>
  <w:footnote w:id="25">
    <w:p w14:paraId="55ADA00C" w14:textId="1C994F70"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00E338D7" w:rsidRPr="005E1802">
        <w:rPr>
          <w:rFonts w:ascii="Times New Roman" w:hAnsi="Times New Roman"/>
          <w:i/>
          <w:sz w:val="24"/>
        </w:rPr>
        <w:t>Hossain</w:t>
      </w:r>
      <w:r w:rsidR="00A52293" w:rsidRPr="005E1802">
        <w:rPr>
          <w:rFonts w:ascii="Times New Roman" w:hAnsi="Times New Roman"/>
          <w:i/>
          <w:sz w:val="24"/>
        </w:rPr>
        <w:t xml:space="preserve"> v Minister for Immigration and Border Protection</w:t>
      </w:r>
      <w:r w:rsidR="00DA3B29" w:rsidRPr="005E1802">
        <w:rPr>
          <w:rFonts w:ascii="Times New Roman" w:hAnsi="Times New Roman"/>
          <w:i/>
          <w:sz w:val="24"/>
        </w:rPr>
        <w:t xml:space="preserve"> </w:t>
      </w:r>
      <w:r w:rsidRPr="005E1802">
        <w:rPr>
          <w:rFonts w:ascii="Times New Roman" w:hAnsi="Times New Roman"/>
          <w:sz w:val="24"/>
        </w:rPr>
        <w:t xml:space="preserve">(2018) 264 CLR 123 at 134 [28], quoting </w:t>
      </w:r>
      <w:r w:rsidRPr="005E1802">
        <w:rPr>
          <w:rFonts w:ascii="Times New Roman" w:hAnsi="Times New Roman"/>
          <w:i/>
          <w:iCs/>
          <w:color w:val="000000"/>
          <w:sz w:val="24"/>
          <w:shd w:val="clear" w:color="auto" w:fill="FFFFFF"/>
        </w:rPr>
        <w:t>Enichem Anic Srl v Anti-Dumping Authority</w:t>
      </w:r>
      <w:r w:rsidRPr="005E1802">
        <w:rPr>
          <w:rFonts w:ascii="Times New Roman" w:hAnsi="Times New Roman"/>
          <w:color w:val="000000"/>
          <w:sz w:val="24"/>
          <w:shd w:val="clear" w:color="auto" w:fill="FFFFFF"/>
        </w:rPr>
        <w:t xml:space="preserve"> (1992) 39 FCR 458 at 469.</w:t>
      </w:r>
    </w:p>
  </w:footnote>
  <w:footnote w:id="26">
    <w:p w14:paraId="08A0517F" w14:textId="37100AD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 xml:space="preserve">Re Minister for Immigration </w:t>
      </w:r>
      <w:r w:rsidR="00A52293" w:rsidRPr="005E1802">
        <w:rPr>
          <w:rFonts w:ascii="Times New Roman" w:hAnsi="Times New Roman"/>
          <w:i/>
          <w:sz w:val="24"/>
        </w:rPr>
        <w:t xml:space="preserve">and </w:t>
      </w:r>
      <w:r w:rsidRPr="005E1802">
        <w:rPr>
          <w:rFonts w:ascii="Times New Roman" w:hAnsi="Times New Roman"/>
          <w:i/>
          <w:sz w:val="24"/>
        </w:rPr>
        <w:t>Multicultural and Indigenous Affairs; Ex parte Lam</w:t>
      </w:r>
      <w:r w:rsidRPr="005E1802">
        <w:rPr>
          <w:rFonts w:ascii="Times New Roman" w:hAnsi="Times New Roman"/>
          <w:sz w:val="24"/>
        </w:rPr>
        <w:t xml:space="preserve"> (2003) 214 CLR 1 at 14 [37].</w:t>
      </w:r>
      <w:r w:rsidR="00767FBC" w:rsidRPr="005E1802">
        <w:rPr>
          <w:rFonts w:ascii="Times New Roman" w:hAnsi="Times New Roman"/>
          <w:sz w:val="24"/>
        </w:rPr>
        <w:t xml:space="preserve"> See </w:t>
      </w:r>
      <w:r w:rsidR="00002E13" w:rsidRPr="005E1802">
        <w:rPr>
          <w:rFonts w:ascii="Times New Roman" w:hAnsi="Times New Roman"/>
          <w:i/>
          <w:sz w:val="24"/>
        </w:rPr>
        <w:t xml:space="preserve">Minister for Immigration </w:t>
      </w:r>
      <w:r w:rsidR="00FE432F" w:rsidRPr="005E1802">
        <w:rPr>
          <w:rFonts w:ascii="Times New Roman" w:hAnsi="Times New Roman"/>
          <w:i/>
          <w:sz w:val="24"/>
        </w:rPr>
        <w:t xml:space="preserve">and Citizenship </w:t>
      </w:r>
      <w:r w:rsidR="00002E13" w:rsidRPr="005E1802">
        <w:rPr>
          <w:rFonts w:ascii="Times New Roman" w:hAnsi="Times New Roman"/>
          <w:i/>
          <w:sz w:val="24"/>
        </w:rPr>
        <w:t>v SZIZO</w:t>
      </w:r>
      <w:r w:rsidR="00486AF3" w:rsidRPr="005E1802">
        <w:rPr>
          <w:rFonts w:ascii="Times New Roman" w:hAnsi="Times New Roman"/>
          <w:sz w:val="24"/>
        </w:rPr>
        <w:t xml:space="preserve"> (2009) 238 CLR 627 at 640 [35].</w:t>
      </w:r>
    </w:p>
  </w:footnote>
  <w:footnote w:id="27">
    <w:p w14:paraId="5449B898" w14:textId="7777777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iCs/>
          <w:color w:val="000000"/>
          <w:sz w:val="24"/>
          <w:shd w:val="clear" w:color="auto" w:fill="FFFFFF"/>
        </w:rPr>
        <w:t xml:space="preserve">Electrolux Home Products Pty Ltd v Australian Workers' Union </w:t>
      </w:r>
      <w:r w:rsidRPr="005E1802">
        <w:rPr>
          <w:rFonts w:ascii="Times New Roman" w:hAnsi="Times New Roman"/>
          <w:color w:val="000000"/>
          <w:sz w:val="24"/>
          <w:shd w:val="clear" w:color="auto" w:fill="FFFFFF"/>
        </w:rPr>
        <w:t>(2004) 221 CLR 309 at 329 [21].</w:t>
      </w:r>
    </w:p>
  </w:footnote>
  <w:footnote w:id="28">
    <w:p w14:paraId="7B570F87" w14:textId="57301DB4"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See </w:t>
      </w:r>
      <w:r w:rsidRPr="005E1802">
        <w:rPr>
          <w:rFonts w:ascii="Times New Roman" w:hAnsi="Times New Roman"/>
          <w:i/>
          <w:sz w:val="24"/>
        </w:rPr>
        <w:t>CNY17 v Minister for Immigration and Border Protection</w:t>
      </w:r>
      <w:r w:rsidRPr="005E1802">
        <w:rPr>
          <w:rFonts w:ascii="Times New Roman" w:hAnsi="Times New Roman"/>
          <w:sz w:val="24"/>
        </w:rPr>
        <w:t xml:space="preserve"> (2019) 94 ALJR 140 at 151 [47]</w:t>
      </w:r>
      <w:r w:rsidR="00E338D7" w:rsidRPr="005E1802">
        <w:rPr>
          <w:rFonts w:ascii="Times New Roman" w:hAnsi="Times New Roman"/>
          <w:sz w:val="24"/>
        </w:rPr>
        <w:t>, 155 [70]</w:t>
      </w:r>
      <w:r w:rsidR="00F60BD7" w:rsidRPr="005E1802">
        <w:rPr>
          <w:rFonts w:ascii="Times New Roman" w:hAnsi="Times New Roman"/>
          <w:sz w:val="24"/>
        </w:rPr>
        <w:t>, 164 [129]</w:t>
      </w:r>
      <w:r w:rsidR="00E338D7" w:rsidRPr="005E1802">
        <w:rPr>
          <w:rFonts w:ascii="Times New Roman" w:hAnsi="Times New Roman"/>
          <w:sz w:val="24"/>
        </w:rPr>
        <w:t>;</w:t>
      </w:r>
      <w:r w:rsidRPr="005E1802">
        <w:rPr>
          <w:rFonts w:ascii="Times New Roman" w:hAnsi="Times New Roman"/>
          <w:sz w:val="24"/>
        </w:rPr>
        <w:t xml:space="preserve"> 375 ALR 47 at 59</w:t>
      </w:r>
      <w:r w:rsidR="00F60BD7" w:rsidRPr="005E1802">
        <w:rPr>
          <w:rFonts w:ascii="Times New Roman" w:hAnsi="Times New Roman"/>
          <w:sz w:val="24"/>
        </w:rPr>
        <w:t xml:space="preserve">, </w:t>
      </w:r>
      <w:r w:rsidR="00FE432F" w:rsidRPr="005E1802">
        <w:rPr>
          <w:rFonts w:ascii="Times New Roman" w:hAnsi="Times New Roman"/>
          <w:sz w:val="24"/>
        </w:rPr>
        <w:t>6</w:t>
      </w:r>
      <w:r w:rsidR="00F60BD7" w:rsidRPr="005E1802">
        <w:rPr>
          <w:rFonts w:ascii="Times New Roman" w:hAnsi="Times New Roman"/>
          <w:sz w:val="24"/>
        </w:rPr>
        <w:t xml:space="preserve">4, 76. </w:t>
      </w:r>
    </w:p>
  </w:footnote>
  <w:footnote w:id="29">
    <w:p w14:paraId="2EA2F9A4" w14:textId="71CE2C44"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Tsvetnenko v United States of America</w:t>
      </w:r>
      <w:r w:rsidRPr="005E1802">
        <w:rPr>
          <w:rFonts w:ascii="Times New Roman" w:hAnsi="Times New Roman"/>
          <w:sz w:val="24"/>
        </w:rPr>
        <w:t xml:space="preserve"> (2019) 269 FCR 225 at 245-246 [96]-[101].</w:t>
      </w:r>
    </w:p>
  </w:footnote>
  <w:footnote w:id="30">
    <w:p w14:paraId="22393DBA" w14:textId="70B989AB"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(2018) 264 CLR 123 at 134-135 [30].</w:t>
      </w:r>
    </w:p>
  </w:footnote>
  <w:footnote w:id="31">
    <w:p w14:paraId="169A20A0" w14:textId="18E35EE2"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445 [45].</w:t>
      </w:r>
    </w:p>
  </w:footnote>
  <w:footnote w:id="32">
    <w:p w14:paraId="5786D63B" w14:textId="5EE3FC4E"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445 [46].</w:t>
      </w:r>
    </w:p>
  </w:footnote>
  <w:footnote w:id="33">
    <w:p w14:paraId="21CEC10D" w14:textId="33D386AD"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451 [69].</w:t>
      </w:r>
    </w:p>
  </w:footnote>
  <w:footnote w:id="34">
    <w:p w14:paraId="6B5FA97C" w14:textId="6080C14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94 ALJR 140 at 151 [47]; 375 ALR 47 at 59.</w:t>
      </w:r>
      <w:r w:rsidRPr="005E1802" w:rsidDel="00640DAC">
        <w:rPr>
          <w:rFonts w:ascii="Times New Roman" w:hAnsi="Times New Roman"/>
          <w:sz w:val="24"/>
        </w:rPr>
        <w:t xml:space="preserve"> </w:t>
      </w:r>
    </w:p>
  </w:footnote>
  <w:footnote w:id="35">
    <w:p w14:paraId="07479F25" w14:textId="3D9E8A18"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(2020) 273 FCR 170 at 187 [87]-[88].</w:t>
      </w:r>
    </w:p>
  </w:footnote>
  <w:footnote w:id="36">
    <w:p w14:paraId="06028ECA" w14:textId="7AFDCA0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Sellars v Adelaide Petroleum NL</w:t>
      </w:r>
      <w:r w:rsidRPr="005E1802">
        <w:rPr>
          <w:rFonts w:ascii="Times New Roman" w:hAnsi="Times New Roman"/>
          <w:sz w:val="24"/>
        </w:rPr>
        <w:t xml:space="preserve"> (1994) 179 CLR 332 at 350, referring to </w:t>
      </w:r>
      <w:r w:rsidRPr="005E1802">
        <w:rPr>
          <w:rFonts w:ascii="Times New Roman" w:hAnsi="Times New Roman"/>
          <w:i/>
          <w:sz w:val="24"/>
        </w:rPr>
        <w:t>Malec v J</w:t>
      </w:r>
      <w:r w:rsidR="00536ACA" w:rsidRPr="005E1802">
        <w:rPr>
          <w:rFonts w:ascii="Times New Roman" w:hAnsi="Times New Roman"/>
          <w:i/>
          <w:sz w:val="24"/>
        </w:rPr>
        <w:t xml:space="preserve"> </w:t>
      </w:r>
      <w:r w:rsidRPr="005E1802">
        <w:rPr>
          <w:rFonts w:ascii="Times New Roman" w:hAnsi="Times New Roman"/>
          <w:i/>
          <w:sz w:val="24"/>
        </w:rPr>
        <w:t>C Hutton Pty Ltd</w:t>
      </w:r>
      <w:r w:rsidRPr="005E1802">
        <w:rPr>
          <w:rFonts w:ascii="Times New Roman" w:hAnsi="Times New Roman"/>
          <w:sz w:val="24"/>
        </w:rPr>
        <w:t xml:space="preserve"> (1990) 169 CLR 638 at 639-640, 642-643.</w:t>
      </w:r>
    </w:p>
  </w:footnote>
  <w:footnote w:id="37">
    <w:p w14:paraId="19BC4408" w14:textId="753C3E5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Malec v J</w:t>
      </w:r>
      <w:r w:rsidR="00536ACA" w:rsidRPr="005E1802">
        <w:rPr>
          <w:rFonts w:ascii="Times New Roman" w:hAnsi="Times New Roman"/>
          <w:i/>
          <w:sz w:val="24"/>
        </w:rPr>
        <w:t xml:space="preserve"> </w:t>
      </w:r>
      <w:r w:rsidRPr="005E1802">
        <w:rPr>
          <w:rFonts w:ascii="Times New Roman" w:hAnsi="Times New Roman"/>
          <w:i/>
          <w:sz w:val="24"/>
        </w:rPr>
        <w:t>C Hutton Pty Ltd</w:t>
      </w:r>
      <w:r w:rsidRPr="005E1802">
        <w:rPr>
          <w:rFonts w:ascii="Times New Roman" w:hAnsi="Times New Roman"/>
          <w:sz w:val="24"/>
        </w:rPr>
        <w:t xml:space="preserve"> (1990) 169 CLR 638 at 639-640, 642-643. See also </w:t>
      </w:r>
      <w:r w:rsidRPr="005E1802">
        <w:rPr>
          <w:rFonts w:ascii="Times New Roman" w:hAnsi="Times New Roman"/>
          <w:i/>
          <w:sz w:val="24"/>
        </w:rPr>
        <w:t>Minister for Immigration and Ethnic Affairs v Guo</w:t>
      </w:r>
      <w:r w:rsidRPr="005E1802">
        <w:rPr>
          <w:rFonts w:ascii="Times New Roman" w:hAnsi="Times New Roman"/>
          <w:sz w:val="24"/>
        </w:rPr>
        <w:t xml:space="preserve"> (1997) 191 CLR 559 at 575.</w:t>
      </w:r>
    </w:p>
  </w:footnote>
  <w:footnote w:id="38">
    <w:p w14:paraId="636AA690" w14:textId="6BF073C1"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Minister for Immigration and Citizenship v SZGUR</w:t>
      </w:r>
      <w:r w:rsidRPr="005E1802">
        <w:rPr>
          <w:rFonts w:ascii="Times New Roman" w:hAnsi="Times New Roman"/>
          <w:sz w:val="24"/>
        </w:rPr>
        <w:t xml:space="preserve"> (2011) 241 CLR 594 at 616 [67], 623 [91]-[92</w:t>
      </w:r>
      <w:r w:rsidR="005F7F25" w:rsidRPr="005E1802">
        <w:rPr>
          <w:rFonts w:ascii="Times New Roman" w:hAnsi="Times New Roman"/>
          <w:sz w:val="24"/>
        </w:rPr>
        <w:t>]</w:t>
      </w:r>
      <w:r w:rsidR="00A21396" w:rsidRPr="005E1802">
        <w:rPr>
          <w:rFonts w:ascii="Times New Roman" w:hAnsi="Times New Roman"/>
          <w:sz w:val="24"/>
        </w:rPr>
        <w:t xml:space="preserve">; </w:t>
      </w:r>
      <w:r w:rsidR="00EE2DE0" w:rsidRPr="005E1802">
        <w:rPr>
          <w:rFonts w:ascii="Times New Roman" w:hAnsi="Times New Roman"/>
          <w:i/>
          <w:sz w:val="24"/>
        </w:rPr>
        <w:t xml:space="preserve">Plaintiff M64/2015 v </w:t>
      </w:r>
      <w:r w:rsidR="001B1AE9" w:rsidRPr="005E1802">
        <w:rPr>
          <w:rFonts w:ascii="Times New Roman" w:hAnsi="Times New Roman"/>
          <w:i/>
          <w:sz w:val="24"/>
        </w:rPr>
        <w:t>Minister for Immigration and Border Protection</w:t>
      </w:r>
      <w:r w:rsidR="001B1AE9" w:rsidRPr="005E1802">
        <w:rPr>
          <w:rFonts w:ascii="Times New Roman" w:hAnsi="Times New Roman"/>
          <w:sz w:val="24"/>
        </w:rPr>
        <w:t xml:space="preserve"> (2015) 258 CLR 173 at </w:t>
      </w:r>
      <w:r w:rsidR="000849A5" w:rsidRPr="005E1802">
        <w:rPr>
          <w:rFonts w:ascii="Times New Roman" w:hAnsi="Times New Roman"/>
          <w:sz w:val="24"/>
        </w:rPr>
        <w:t>185 [24]</w:t>
      </w:r>
      <w:r w:rsidR="006F0839" w:rsidRPr="005E1802">
        <w:rPr>
          <w:rFonts w:ascii="Times New Roman" w:hAnsi="Times New Roman"/>
          <w:sz w:val="24"/>
        </w:rPr>
        <w:t xml:space="preserve">; </w:t>
      </w:r>
      <w:r w:rsidR="006F0839" w:rsidRPr="005E1802">
        <w:rPr>
          <w:rFonts w:ascii="Times New Roman" w:hAnsi="Times New Roman"/>
          <w:i/>
          <w:sz w:val="24"/>
        </w:rPr>
        <w:t>BVD17 v Minister for Immigration and Border Protection</w:t>
      </w:r>
      <w:r w:rsidR="006F0839" w:rsidRPr="005E1802">
        <w:rPr>
          <w:rFonts w:ascii="Times New Roman" w:hAnsi="Times New Roman"/>
          <w:sz w:val="24"/>
        </w:rPr>
        <w:t xml:space="preserve"> </w:t>
      </w:r>
      <w:r w:rsidR="001A3D02" w:rsidRPr="005E1802">
        <w:rPr>
          <w:rFonts w:ascii="Times New Roman" w:hAnsi="Times New Roman"/>
          <w:sz w:val="24"/>
        </w:rPr>
        <w:t>(2019) 93 ALJR 1091 at 1100 [38]</w:t>
      </w:r>
      <w:r w:rsidR="005F7F25" w:rsidRPr="005E1802">
        <w:rPr>
          <w:rFonts w:ascii="Times New Roman" w:hAnsi="Times New Roman"/>
          <w:sz w:val="24"/>
        </w:rPr>
        <w:t>; 373 ALR 196 at 205.</w:t>
      </w:r>
    </w:p>
  </w:footnote>
  <w:footnote w:id="39">
    <w:p w14:paraId="49E98E7E" w14:textId="2E351C50" w:rsidR="0070629E" w:rsidRPr="005E1802" w:rsidRDefault="0070629E"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w:t>
      </w:r>
      <w:r w:rsidR="000E2ED1" w:rsidRPr="005E1802">
        <w:rPr>
          <w:rFonts w:ascii="Times New Roman" w:hAnsi="Times New Roman"/>
          <w:sz w:val="24"/>
        </w:rPr>
        <w:t>1980) 144 CLR 13 at 35-36.</w:t>
      </w:r>
    </w:p>
  </w:footnote>
  <w:footnote w:id="40">
    <w:p w14:paraId="0E4BA3EF" w14:textId="0224BD9C"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(1959) 101 CLR 226.</w:t>
      </w:r>
    </w:p>
  </w:footnote>
  <w:footnote w:id="41">
    <w:p w14:paraId="7CE161B1" w14:textId="11663BB8" w:rsidR="007F1196" w:rsidRPr="005E1802" w:rsidRDefault="007F1196"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007B3A89" w:rsidRPr="005E1802">
        <w:rPr>
          <w:rFonts w:ascii="Times New Roman" w:hAnsi="Times New Roman"/>
          <w:sz w:val="24"/>
        </w:rPr>
        <w:tab/>
        <w:t>(</w:t>
      </w:r>
      <w:r w:rsidR="006C31D9" w:rsidRPr="005E1802">
        <w:rPr>
          <w:rFonts w:ascii="Times New Roman" w:hAnsi="Times New Roman"/>
          <w:sz w:val="24"/>
        </w:rPr>
        <w:t>1959)</w:t>
      </w:r>
      <w:r w:rsidR="00EC6F60" w:rsidRPr="005E1802">
        <w:rPr>
          <w:rFonts w:ascii="Times New Roman" w:hAnsi="Times New Roman"/>
          <w:sz w:val="24"/>
        </w:rPr>
        <w:t xml:space="preserve"> </w:t>
      </w:r>
      <w:r w:rsidR="00515F04" w:rsidRPr="005E1802">
        <w:rPr>
          <w:rFonts w:ascii="Times New Roman" w:hAnsi="Times New Roman"/>
          <w:sz w:val="24"/>
        </w:rPr>
        <w:t>101 CLR 226 at 235</w:t>
      </w:r>
      <w:r w:rsidR="00E22256" w:rsidRPr="005E1802">
        <w:rPr>
          <w:rFonts w:ascii="Times New Roman" w:hAnsi="Times New Roman"/>
          <w:sz w:val="24"/>
        </w:rPr>
        <w:t>.</w:t>
      </w:r>
    </w:p>
  </w:footnote>
  <w:footnote w:id="42">
    <w:p w14:paraId="54639895" w14:textId="1AFAD797" w:rsidR="00EF0E67" w:rsidRPr="005E1802" w:rsidRDefault="00EF0E67"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00E22256" w:rsidRPr="005E1802">
        <w:rPr>
          <w:rFonts w:ascii="Times New Roman" w:hAnsi="Times New Roman"/>
          <w:sz w:val="24"/>
        </w:rPr>
        <w:tab/>
      </w:r>
      <w:r w:rsidR="00EC6F60" w:rsidRPr="005E1802">
        <w:rPr>
          <w:rFonts w:ascii="Times New Roman" w:hAnsi="Times New Roman"/>
          <w:sz w:val="24"/>
        </w:rPr>
        <w:t xml:space="preserve">(1926) </w:t>
      </w:r>
      <w:r w:rsidR="006F483C" w:rsidRPr="005E1802">
        <w:rPr>
          <w:rFonts w:ascii="Times New Roman" w:hAnsi="Times New Roman"/>
          <w:sz w:val="24"/>
        </w:rPr>
        <w:t>38 CLR 1 at 10.</w:t>
      </w:r>
    </w:p>
  </w:footnote>
  <w:footnote w:id="43">
    <w:p w14:paraId="0A7F1388" w14:textId="3AAA9BD8"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(1959) 101 CLR 226 at 237.</w:t>
      </w:r>
    </w:p>
  </w:footnote>
  <w:footnote w:id="44">
    <w:p w14:paraId="7C4D9A70" w14:textId="784C9C78"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(1959) 101 CLR 226 at 236.</w:t>
      </w:r>
    </w:p>
  </w:footnote>
  <w:footnote w:id="45">
    <w:p w14:paraId="49A9F353" w14:textId="4683A26D"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(1959) 101 CLR 226 at 236</w:t>
      </w:r>
      <w:r w:rsidR="00815C71" w:rsidRPr="005E1802">
        <w:rPr>
          <w:rFonts w:ascii="Times New Roman" w:hAnsi="Times New Roman"/>
          <w:sz w:val="24"/>
        </w:rPr>
        <w:t>-237.</w:t>
      </w:r>
    </w:p>
  </w:footnote>
  <w:footnote w:id="46">
    <w:p w14:paraId="1F574FA3" w14:textId="49EC22EF"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(1959) 101 CLR 226 at 238.</w:t>
      </w:r>
    </w:p>
  </w:footnote>
  <w:footnote w:id="47">
    <w:p w14:paraId="0AFDF3BE" w14:textId="2885624A"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(1963) 109 CLR 458</w:t>
      </w:r>
      <w:r w:rsidR="00815C71" w:rsidRPr="005E1802">
        <w:rPr>
          <w:rFonts w:ascii="Times New Roman" w:hAnsi="Times New Roman"/>
          <w:sz w:val="24"/>
        </w:rPr>
        <w:t>.</w:t>
      </w:r>
    </w:p>
  </w:footnote>
  <w:footnote w:id="48">
    <w:p w14:paraId="5737B870" w14:textId="347D824B"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bookmarkStart w:id="0" w:name="_Hlk67055363"/>
      <w:r w:rsidRPr="005E1802">
        <w:rPr>
          <w:rFonts w:ascii="Times New Roman" w:hAnsi="Times New Roman"/>
          <w:sz w:val="24"/>
        </w:rPr>
        <w:t>(</w:t>
      </w:r>
      <w:r w:rsidRPr="005E1802">
        <w:rPr>
          <w:rFonts w:ascii="Times New Roman" w:hAnsi="Times New Roman"/>
          <w:color w:val="000000"/>
          <w:sz w:val="24"/>
          <w:szCs w:val="27"/>
          <w:shd w:val="clear" w:color="auto" w:fill="FFFFFF"/>
        </w:rPr>
        <w:t>1835) 1 C</w:t>
      </w:r>
      <w:r w:rsidR="002A6FCD" w:rsidRPr="005E1802">
        <w:rPr>
          <w:rFonts w:ascii="Times New Roman" w:hAnsi="Times New Roman"/>
          <w:color w:val="000000"/>
          <w:sz w:val="24"/>
          <w:szCs w:val="27"/>
          <w:shd w:val="clear" w:color="auto" w:fill="FFFFFF"/>
        </w:rPr>
        <w:t xml:space="preserve"> </w:t>
      </w:r>
      <w:r w:rsidRPr="005E1802">
        <w:rPr>
          <w:rFonts w:ascii="Times New Roman" w:hAnsi="Times New Roman"/>
          <w:color w:val="000000"/>
          <w:sz w:val="24"/>
          <w:szCs w:val="27"/>
          <w:shd w:val="clear" w:color="auto" w:fill="FFFFFF"/>
        </w:rPr>
        <w:t>M &amp; R 919 at 933 </w:t>
      </w:r>
      <w:r w:rsidRPr="005E1802">
        <w:rPr>
          <w:rFonts w:ascii="Times New Roman" w:hAnsi="Times New Roman"/>
          <w:sz w:val="24"/>
        </w:rPr>
        <w:t>[149 ER 1353 at 1359].</w:t>
      </w:r>
      <w:bookmarkEnd w:id="0"/>
    </w:p>
  </w:footnote>
  <w:footnote w:id="49">
    <w:p w14:paraId="2A2DC485" w14:textId="6CFE4DB9"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(1963) 109 CLR 458 at 463.</w:t>
      </w:r>
    </w:p>
  </w:footnote>
  <w:footnote w:id="50">
    <w:p w14:paraId="0BA06557" w14:textId="18E7A134"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(1986) 161 CLR 141.</w:t>
      </w:r>
    </w:p>
  </w:footnote>
  <w:footnote w:id="51">
    <w:p w14:paraId="25C56B18" w14:textId="3D8B0E68"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(2019) 264 CLR 421 at 445-446 [49]. cf </w:t>
      </w:r>
      <w:r w:rsidRPr="005E1802">
        <w:rPr>
          <w:rFonts w:ascii="Times New Roman" w:hAnsi="Times New Roman"/>
          <w:i/>
          <w:sz w:val="24"/>
        </w:rPr>
        <w:t>Chaina v Alvaro Homes Pty Ltd</w:t>
      </w:r>
      <w:r w:rsidRPr="005E1802">
        <w:rPr>
          <w:rFonts w:ascii="Times New Roman" w:hAnsi="Times New Roman"/>
          <w:sz w:val="24"/>
        </w:rPr>
        <w:t xml:space="preserve"> [2008] NSWCA 353 at [26].</w:t>
      </w:r>
    </w:p>
  </w:footnote>
  <w:footnote w:id="52">
    <w:p w14:paraId="1032A9E7" w14:textId="0863DCC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(1986) 161 CLR 141 at 147 (emphasis added).</w:t>
      </w:r>
    </w:p>
  </w:footnote>
  <w:footnote w:id="53">
    <w:p w14:paraId="403809BB" w14:textId="1AB48A1E"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(2018) 265 CLR 236 at </w:t>
      </w:r>
      <w:r w:rsidR="0010470E" w:rsidRPr="005E1802">
        <w:rPr>
          <w:rFonts w:ascii="Times New Roman" w:hAnsi="Times New Roman"/>
          <w:sz w:val="24"/>
        </w:rPr>
        <w:t>247</w:t>
      </w:r>
      <w:r w:rsidRPr="005E1802">
        <w:rPr>
          <w:rFonts w:ascii="Times New Roman" w:hAnsi="Times New Roman"/>
          <w:sz w:val="24"/>
        </w:rPr>
        <w:t xml:space="preserve"> [38].</w:t>
      </w:r>
    </w:p>
  </w:footnote>
  <w:footnote w:id="54">
    <w:p w14:paraId="2F3E47A4" w14:textId="1D1C62F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(1985) 159 CLR 550.</w:t>
      </w:r>
    </w:p>
  </w:footnote>
  <w:footnote w:id="55">
    <w:p w14:paraId="24D433EF" w14:textId="3A68A025"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w:t>
      </w:r>
    </w:p>
  </w:footnote>
  <w:footnote w:id="56">
    <w:p w14:paraId="638B96F4" w14:textId="5A6DC1AE"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 at 87.</w:t>
      </w:r>
    </w:p>
  </w:footnote>
  <w:footnote w:id="57">
    <w:p w14:paraId="1E7D5F9A" w14:textId="7319DCF3"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 at 122 [104].</w:t>
      </w:r>
    </w:p>
  </w:footnote>
  <w:footnote w:id="58">
    <w:p w14:paraId="4E6B2517" w14:textId="0302ECBF"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(2000) 204 CLR 82 at </w:t>
      </w:r>
      <w:r w:rsidR="000F377A" w:rsidRPr="005E1802">
        <w:rPr>
          <w:rFonts w:ascii="Times New Roman" w:hAnsi="Times New Roman"/>
          <w:sz w:val="24"/>
        </w:rPr>
        <w:t>127-</w:t>
      </w:r>
      <w:r w:rsidRPr="005E1802">
        <w:rPr>
          <w:rFonts w:ascii="Times New Roman" w:hAnsi="Times New Roman"/>
          <w:sz w:val="24"/>
        </w:rPr>
        <w:t>128 [121]-[122].</w:t>
      </w:r>
    </w:p>
  </w:footnote>
  <w:footnote w:id="59">
    <w:p w14:paraId="2206A67E" w14:textId="1B236EAD"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 at 88</w:t>
      </w:r>
      <w:r w:rsidR="000F377A" w:rsidRPr="005E1802">
        <w:rPr>
          <w:rFonts w:ascii="Times New Roman" w:hAnsi="Times New Roman"/>
          <w:sz w:val="24"/>
        </w:rPr>
        <w:t xml:space="preserve">-89 </w:t>
      </w:r>
      <w:r w:rsidRPr="005E1802">
        <w:rPr>
          <w:rFonts w:ascii="Times New Roman" w:hAnsi="Times New Roman"/>
          <w:sz w:val="24"/>
        </w:rPr>
        <w:t>[3]-[4].</w:t>
      </w:r>
    </w:p>
  </w:footnote>
  <w:footnote w:id="60">
    <w:p w14:paraId="78276BBD" w14:textId="72AD781C"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 at 130-132 [130]-[134].</w:t>
      </w:r>
    </w:p>
  </w:footnote>
  <w:footnote w:id="61">
    <w:p w14:paraId="1AA5FF83" w14:textId="45C8A205"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 at 153-155 [211].</w:t>
      </w:r>
    </w:p>
  </w:footnote>
  <w:footnote w:id="62">
    <w:p w14:paraId="019B2403" w14:textId="4FFDF550"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(2000) 204 CLR 82 at 101 [41], 106-110 [51]-[62].</w:t>
      </w:r>
    </w:p>
  </w:footnote>
  <w:footnote w:id="63">
    <w:p w14:paraId="1901621A" w14:textId="3959AB27"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000F377A" w:rsidRPr="005E1802">
        <w:rPr>
          <w:rFonts w:ascii="Times New Roman" w:hAnsi="Times New Roman"/>
          <w:sz w:val="24"/>
        </w:rPr>
        <w:t>(2000) 204 CLR 82 at 116-117 [80].</w:t>
      </w:r>
    </w:p>
  </w:footnote>
  <w:footnote w:id="64">
    <w:p w14:paraId="1F98AE18" w14:textId="7FF6B513"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(2005) 225 CLR 88. </w:t>
      </w:r>
    </w:p>
  </w:footnote>
  <w:footnote w:id="65">
    <w:p w14:paraId="00F2C3AC" w14:textId="2B7E2628" w:rsidR="00DC724A" w:rsidRPr="005E1802" w:rsidRDefault="00DC724A" w:rsidP="005E1802">
      <w:pPr>
        <w:pStyle w:val="FootnoteText"/>
        <w:tabs>
          <w:tab w:val="clear" w:pos="72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(2015) 256 CLR 326.</w:t>
      </w:r>
    </w:p>
  </w:footnote>
  <w:footnote w:id="66">
    <w:p w14:paraId="2BBB5EE8" w14:textId="13B5AEF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(2015) 256 CLR 326 at 341 [55]-[56].</w:t>
      </w:r>
    </w:p>
  </w:footnote>
  <w:footnote w:id="67">
    <w:p w14:paraId="3288BA90" w14:textId="2AF0D7E9"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(2015) 256 CLR 326 at 343 [60]</w:t>
      </w:r>
      <w:r w:rsidR="00515692" w:rsidRPr="005E1802">
        <w:rPr>
          <w:rFonts w:ascii="Times New Roman" w:hAnsi="Times New Roman"/>
          <w:sz w:val="24"/>
        </w:rPr>
        <w:t>.</w:t>
      </w:r>
    </w:p>
  </w:footnote>
  <w:footnote w:id="68">
    <w:p w14:paraId="60B58487" w14:textId="7497C5EE"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(2015) 256 CLR 326 at 343-3</w:t>
      </w:r>
      <w:r w:rsidR="000F377A" w:rsidRPr="005E1802">
        <w:rPr>
          <w:rFonts w:ascii="Times New Roman" w:hAnsi="Times New Roman"/>
          <w:sz w:val="24"/>
        </w:rPr>
        <w:t>45</w:t>
      </w:r>
      <w:r w:rsidR="00515692" w:rsidRPr="005E1802">
        <w:rPr>
          <w:rFonts w:ascii="Times New Roman" w:hAnsi="Times New Roman"/>
          <w:sz w:val="24"/>
        </w:rPr>
        <w:t xml:space="preserve"> </w:t>
      </w:r>
      <w:r w:rsidRPr="005E1802">
        <w:rPr>
          <w:rFonts w:ascii="Times New Roman" w:hAnsi="Times New Roman"/>
          <w:sz w:val="24"/>
        </w:rPr>
        <w:t>[62]-[69].</w:t>
      </w:r>
    </w:p>
  </w:footnote>
  <w:footnote w:id="69">
    <w:p w14:paraId="1143C695" w14:textId="64C49DA4"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439 [23]-[24].</w:t>
      </w:r>
    </w:p>
  </w:footnote>
  <w:footnote w:id="70">
    <w:p w14:paraId="65D21A4F" w14:textId="60C7A440"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439 [24].</w:t>
      </w:r>
    </w:p>
  </w:footnote>
  <w:footnote w:id="71">
    <w:p w14:paraId="323987D4" w14:textId="3698229B"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440-441 [29]-[30].</w:t>
      </w:r>
    </w:p>
  </w:footnote>
  <w:footnote w:id="72">
    <w:p w14:paraId="5CFD17A5" w14:textId="088AD8A6"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441 [30]-[31].</w:t>
      </w:r>
    </w:p>
  </w:footnote>
  <w:footnote w:id="73">
    <w:p w14:paraId="5AB21A88" w14:textId="60B7E9C3"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264 CLR 421 at 445 [47].</w:t>
      </w:r>
    </w:p>
  </w:footnote>
  <w:footnote w:id="74">
    <w:p w14:paraId="395F7E15" w14:textId="0295AC80"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000E1FA4" w:rsidRPr="005E1802">
        <w:rPr>
          <w:rFonts w:ascii="Times New Roman" w:hAnsi="Times New Roman"/>
          <w:sz w:val="24"/>
        </w:rPr>
        <w:t>[2019] FCA 2024 at</w:t>
      </w:r>
      <w:r w:rsidR="001266F8" w:rsidRPr="005E1802">
        <w:rPr>
          <w:rFonts w:ascii="Times New Roman" w:hAnsi="Times New Roman"/>
          <w:sz w:val="24"/>
        </w:rPr>
        <w:t xml:space="preserve"> </w:t>
      </w:r>
      <w:r w:rsidR="000E1FA4" w:rsidRPr="005E1802">
        <w:rPr>
          <w:rFonts w:ascii="Times New Roman" w:hAnsi="Times New Roman"/>
          <w:sz w:val="24"/>
        </w:rPr>
        <w:t>[43].</w:t>
      </w:r>
      <w:r w:rsidRPr="005E1802">
        <w:rPr>
          <w:rFonts w:ascii="Times New Roman" w:hAnsi="Times New Roman"/>
          <w:sz w:val="24"/>
        </w:rPr>
        <w:t xml:space="preserve"> </w:t>
      </w:r>
    </w:p>
  </w:footnote>
  <w:footnote w:id="75">
    <w:p w14:paraId="2C66C898" w14:textId="6C7D4E0A"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 xml:space="preserve">(2001) 206 CLR 323 at </w:t>
      </w:r>
      <w:r w:rsidR="000E1FA4" w:rsidRPr="005E1802">
        <w:rPr>
          <w:rFonts w:ascii="Times New Roman" w:hAnsi="Times New Roman"/>
          <w:sz w:val="24"/>
        </w:rPr>
        <w:t>346</w:t>
      </w:r>
      <w:r w:rsidRPr="005E1802">
        <w:rPr>
          <w:rFonts w:ascii="Times New Roman" w:hAnsi="Times New Roman"/>
          <w:sz w:val="24"/>
        </w:rPr>
        <w:t xml:space="preserve"> [69].</w:t>
      </w:r>
    </w:p>
  </w:footnote>
  <w:footnote w:id="76">
    <w:p w14:paraId="264F8262" w14:textId="430767DE"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Cs/>
          <w:sz w:val="24"/>
        </w:rPr>
        <w:t>(2016)</w:t>
      </w:r>
      <w:r w:rsidR="000E1FA4" w:rsidRPr="005E1802">
        <w:rPr>
          <w:rFonts w:ascii="Times New Roman" w:hAnsi="Times New Roman"/>
          <w:sz w:val="24"/>
        </w:rPr>
        <w:t xml:space="preserve"> 25</w:t>
      </w:r>
      <w:r w:rsidR="001266F8" w:rsidRPr="005E1802">
        <w:rPr>
          <w:rFonts w:ascii="Times New Roman" w:hAnsi="Times New Roman"/>
          <w:sz w:val="24"/>
        </w:rPr>
        <w:t>9</w:t>
      </w:r>
      <w:r w:rsidR="000E1FA4" w:rsidRPr="005E1802">
        <w:rPr>
          <w:rFonts w:ascii="Times New Roman" w:hAnsi="Times New Roman"/>
          <w:sz w:val="24"/>
        </w:rPr>
        <w:t xml:space="preserve"> CLR 180 at 206-207</w:t>
      </w:r>
      <w:r w:rsidRPr="005E1802">
        <w:rPr>
          <w:rFonts w:ascii="Times New Roman" w:hAnsi="Times New Roman"/>
          <w:sz w:val="24"/>
        </w:rPr>
        <w:t xml:space="preserve"> [82]-[83].</w:t>
      </w:r>
    </w:p>
  </w:footnote>
  <w:footnote w:id="77">
    <w:p w14:paraId="2CB1BBDD" w14:textId="7FA4CF1B"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CNY17 v Minister for Immigration and Border Protection</w:t>
      </w:r>
      <w:r w:rsidRPr="005E1802">
        <w:rPr>
          <w:rFonts w:ascii="Times New Roman" w:hAnsi="Times New Roman"/>
          <w:sz w:val="24"/>
        </w:rPr>
        <w:t xml:space="preserve"> (2019)</w:t>
      </w:r>
      <w:r w:rsidR="000E1FA4" w:rsidRPr="005E1802">
        <w:rPr>
          <w:rFonts w:ascii="Times New Roman" w:hAnsi="Times New Roman"/>
          <w:sz w:val="24"/>
        </w:rPr>
        <w:t xml:space="preserve"> 94 ALJR 140 at 146-147 [17]; </w:t>
      </w:r>
      <w:r w:rsidRPr="005E1802">
        <w:rPr>
          <w:rFonts w:ascii="Times New Roman" w:hAnsi="Times New Roman"/>
          <w:sz w:val="24"/>
        </w:rPr>
        <w:t xml:space="preserve">375 ALR 47 at </w:t>
      </w:r>
      <w:r w:rsidR="000E1FA4" w:rsidRPr="005E1802">
        <w:rPr>
          <w:rFonts w:ascii="Times New Roman" w:hAnsi="Times New Roman"/>
          <w:sz w:val="24"/>
        </w:rPr>
        <w:t>52</w:t>
      </w:r>
      <w:r w:rsidRPr="005E1802">
        <w:rPr>
          <w:rFonts w:ascii="Times New Roman" w:hAnsi="Times New Roman"/>
          <w:sz w:val="24"/>
        </w:rPr>
        <w:t>.</w:t>
      </w:r>
    </w:p>
  </w:footnote>
  <w:footnote w:id="78">
    <w:p w14:paraId="3F59A0C8" w14:textId="73F1E502"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r>
      <w:r w:rsidRPr="005E1802">
        <w:rPr>
          <w:rFonts w:ascii="Times New Roman" w:hAnsi="Times New Roman"/>
          <w:i/>
          <w:sz w:val="24"/>
        </w:rPr>
        <w:t>CNY17 v Minister for Immigration and Border Protection</w:t>
      </w:r>
      <w:r w:rsidRPr="005E1802">
        <w:rPr>
          <w:rFonts w:ascii="Times New Roman" w:hAnsi="Times New Roman"/>
          <w:sz w:val="24"/>
        </w:rPr>
        <w:t xml:space="preserve"> (2019)</w:t>
      </w:r>
      <w:r w:rsidR="000E1FA4" w:rsidRPr="005E1802">
        <w:rPr>
          <w:rFonts w:ascii="Times New Roman" w:hAnsi="Times New Roman"/>
          <w:sz w:val="24"/>
        </w:rPr>
        <w:t xml:space="preserve"> 94 ALJR 140 at 148-149 [29];</w:t>
      </w:r>
      <w:r w:rsidRPr="005E1802">
        <w:rPr>
          <w:rFonts w:ascii="Times New Roman" w:hAnsi="Times New Roman"/>
          <w:sz w:val="24"/>
        </w:rPr>
        <w:t xml:space="preserve"> 375 ALR 47 at </w:t>
      </w:r>
      <w:r w:rsidR="000E1FA4" w:rsidRPr="005E1802">
        <w:rPr>
          <w:rFonts w:ascii="Times New Roman" w:hAnsi="Times New Roman"/>
          <w:sz w:val="24"/>
        </w:rPr>
        <w:t>55</w:t>
      </w:r>
      <w:r w:rsidR="009D33B2" w:rsidRPr="005E1802">
        <w:rPr>
          <w:rFonts w:ascii="Times New Roman" w:hAnsi="Times New Roman"/>
          <w:sz w:val="24"/>
        </w:rPr>
        <w:t>,</w:t>
      </w:r>
      <w:r w:rsidRPr="005E1802">
        <w:rPr>
          <w:rFonts w:ascii="Times New Roman" w:hAnsi="Times New Roman"/>
          <w:sz w:val="24"/>
        </w:rPr>
        <w:t xml:space="preserve"> quoting </w:t>
      </w:r>
      <w:r w:rsidRPr="005E1802">
        <w:rPr>
          <w:rFonts w:ascii="Times New Roman" w:hAnsi="Times New Roman"/>
          <w:i/>
          <w:iCs/>
          <w:sz w:val="24"/>
        </w:rPr>
        <w:t>Minister for Immigration and Border Protection v AMA16</w:t>
      </w:r>
      <w:r w:rsidRPr="005E1802">
        <w:rPr>
          <w:rFonts w:ascii="Times New Roman" w:hAnsi="Times New Roman"/>
          <w:sz w:val="24"/>
        </w:rPr>
        <w:t xml:space="preserve"> (2017) 254 FCR 534 at 552 [75].</w:t>
      </w:r>
    </w:p>
  </w:footnote>
  <w:footnote w:id="79">
    <w:p w14:paraId="1CB80AC9" w14:textId="40894BA3"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[2021] FCAFC 24 at</w:t>
      </w:r>
      <w:r w:rsidR="000E1FA4" w:rsidRPr="005E1802">
        <w:rPr>
          <w:rFonts w:ascii="Times New Roman" w:hAnsi="Times New Roman"/>
          <w:sz w:val="24"/>
        </w:rPr>
        <w:t xml:space="preserve"> </w:t>
      </w:r>
      <w:r w:rsidRPr="005E1802">
        <w:rPr>
          <w:rFonts w:ascii="Times New Roman" w:hAnsi="Times New Roman"/>
          <w:sz w:val="24"/>
        </w:rPr>
        <w:t>[116].</w:t>
      </w:r>
    </w:p>
  </w:footnote>
  <w:footnote w:id="80">
    <w:p w14:paraId="77D505CB" w14:textId="0BC872B1" w:rsidR="00DC724A" w:rsidRPr="005E1802" w:rsidRDefault="00DC724A" w:rsidP="005E1802">
      <w:pPr>
        <w:pStyle w:val="FootnoteText"/>
        <w:spacing w:line="280" w:lineRule="exact"/>
        <w:ind w:right="0"/>
        <w:jc w:val="both"/>
        <w:rPr>
          <w:rFonts w:ascii="Times New Roman" w:hAnsi="Times New Roman"/>
          <w:sz w:val="24"/>
        </w:rPr>
      </w:pPr>
      <w:r w:rsidRPr="005E1802">
        <w:rPr>
          <w:rStyle w:val="FootnoteReference"/>
          <w:rFonts w:ascii="Times New Roman" w:hAnsi="Times New Roman"/>
          <w:sz w:val="22"/>
          <w:vertAlign w:val="baseline"/>
        </w:rPr>
        <w:footnoteRef/>
      </w:r>
      <w:r w:rsidRPr="005E1802">
        <w:rPr>
          <w:rFonts w:ascii="Times New Roman" w:hAnsi="Times New Roman"/>
          <w:sz w:val="24"/>
        </w:rPr>
        <w:t xml:space="preserve"> </w:t>
      </w:r>
      <w:r w:rsidRPr="005E1802">
        <w:rPr>
          <w:rFonts w:ascii="Times New Roman" w:hAnsi="Times New Roman"/>
          <w:sz w:val="24"/>
        </w:rPr>
        <w:tab/>
        <w:t>[2019] FCA 2024 at [57].</w:t>
      </w:r>
    </w:p>
  </w:footnote>
  <w:footnote w:id="81">
    <w:p w14:paraId="47DA910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Hossain v Minister for Immigration and Border Protection </w:t>
      </w:r>
      <w:r w:rsidRPr="00D71897">
        <w:rPr>
          <w:rFonts w:ascii="Times New Roman" w:hAnsi="Times New Roman"/>
          <w:sz w:val="24"/>
        </w:rPr>
        <w:t xml:space="preserve">(2018) 264 CLR 123; </w:t>
      </w:r>
      <w:r w:rsidRPr="00D71897">
        <w:rPr>
          <w:rFonts w:ascii="Times New Roman" w:hAnsi="Times New Roman"/>
          <w:i/>
          <w:sz w:val="24"/>
        </w:rPr>
        <w:t xml:space="preserve">Minister for Immigration and Border Protection v SZMTA </w:t>
      </w:r>
      <w:r w:rsidRPr="00D71897">
        <w:rPr>
          <w:rFonts w:ascii="Times New Roman" w:hAnsi="Times New Roman"/>
          <w:sz w:val="24"/>
        </w:rPr>
        <w:t xml:space="preserve">(2019) 264 CLR 421; </w:t>
      </w:r>
      <w:r w:rsidRPr="00D71897">
        <w:rPr>
          <w:rFonts w:ascii="Times New Roman" w:hAnsi="Times New Roman"/>
          <w:i/>
          <w:sz w:val="24"/>
        </w:rPr>
        <w:t>ABT17 v Minister for Immigration and Border Protection</w:t>
      </w:r>
      <w:r w:rsidRPr="00D71897">
        <w:rPr>
          <w:rFonts w:ascii="Times New Roman" w:hAnsi="Times New Roman"/>
          <w:sz w:val="24"/>
        </w:rPr>
        <w:t xml:space="preserve"> (2020) 94 ALJR 928; 383</w:t>
      </w:r>
      <w:r>
        <w:rPr>
          <w:rFonts w:ascii="Times New Roman" w:hAnsi="Times New Roman"/>
          <w:sz w:val="24"/>
        </w:rPr>
        <w:t> </w:t>
      </w:r>
      <w:r w:rsidRPr="00D71897">
        <w:rPr>
          <w:rFonts w:ascii="Times New Roman" w:hAnsi="Times New Roman"/>
          <w:sz w:val="24"/>
        </w:rPr>
        <w:t>ALR 407.</w:t>
      </w:r>
    </w:p>
  </w:footnote>
  <w:footnote w:id="82">
    <w:p w14:paraId="26FAADE9"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(2019) 264 CLR 421.</w:t>
      </w:r>
    </w:p>
  </w:footnote>
  <w:footnote w:id="83">
    <w:p w14:paraId="79EE7A7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SZMTA </w:t>
      </w:r>
      <w:r w:rsidRPr="00D71897">
        <w:rPr>
          <w:rFonts w:ascii="Times New Roman" w:hAnsi="Times New Roman"/>
          <w:sz w:val="24"/>
        </w:rPr>
        <w:t xml:space="preserve">(2019) 264 CLR 421 at 444 [41]; cf </w:t>
      </w:r>
      <w:r w:rsidRPr="00D71897">
        <w:rPr>
          <w:rFonts w:ascii="Times New Roman" w:hAnsi="Times New Roman"/>
          <w:i/>
          <w:sz w:val="24"/>
        </w:rPr>
        <w:t xml:space="preserve">John v Federal Commissioner of Taxation </w:t>
      </w:r>
      <w:r w:rsidRPr="00D71897">
        <w:rPr>
          <w:rFonts w:ascii="Times New Roman" w:hAnsi="Times New Roman"/>
          <w:sz w:val="24"/>
        </w:rPr>
        <w:t>(1989) 166 CLR 417 at 438-440.</w:t>
      </w:r>
    </w:p>
  </w:footnote>
  <w:footnote w:id="84">
    <w:p w14:paraId="4CDE0C1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Project Blue Sky Inc v Australian Broadcasting Authority </w:t>
      </w:r>
      <w:r w:rsidRPr="00D71897">
        <w:rPr>
          <w:rFonts w:ascii="Times New Roman" w:hAnsi="Times New Roman"/>
          <w:sz w:val="24"/>
        </w:rPr>
        <w:t xml:space="preserve">(1998) 194 CLR 355 at 388-391 [91]-[93]; </w:t>
      </w:r>
      <w:r w:rsidRPr="00D71897">
        <w:rPr>
          <w:rFonts w:ascii="Times New Roman" w:hAnsi="Times New Roman"/>
          <w:i/>
          <w:sz w:val="24"/>
        </w:rPr>
        <w:t>Hossain</w:t>
      </w:r>
      <w:r w:rsidRPr="00D71897">
        <w:rPr>
          <w:rFonts w:ascii="Times New Roman" w:hAnsi="Times New Roman"/>
          <w:sz w:val="24"/>
        </w:rPr>
        <w:t xml:space="preserve"> (2018) 264 CLR 123 at 134-135 [29]-[30], 136 [39], 145 [65]; </w:t>
      </w:r>
      <w:r w:rsidRPr="00D71897">
        <w:rPr>
          <w:rFonts w:ascii="Times New Roman" w:hAnsi="Times New Roman"/>
          <w:i/>
          <w:sz w:val="24"/>
        </w:rPr>
        <w:t xml:space="preserve">SZMTA </w:t>
      </w:r>
      <w:r w:rsidRPr="00D71897">
        <w:rPr>
          <w:rFonts w:ascii="Times New Roman" w:hAnsi="Times New Roman"/>
          <w:sz w:val="24"/>
        </w:rPr>
        <w:t>(2019) 264 CLR 421 at 433 [2]</w:t>
      </w:r>
      <w:r w:rsidRPr="00D71897">
        <w:rPr>
          <w:rFonts w:ascii="Times New Roman" w:hAnsi="Times New Roman"/>
          <w:sz w:val="24"/>
        </w:rPr>
        <w:noBreakHyphen/>
        <w:t xml:space="preserve">[3], 458 [90]; </w:t>
      </w:r>
      <w:r w:rsidRPr="00D71897">
        <w:rPr>
          <w:rFonts w:ascii="Times New Roman" w:hAnsi="Times New Roman"/>
          <w:i/>
          <w:sz w:val="24"/>
        </w:rPr>
        <w:t>ABT17</w:t>
      </w:r>
      <w:r w:rsidRPr="00D71897">
        <w:rPr>
          <w:rFonts w:ascii="Times New Roman" w:hAnsi="Times New Roman"/>
          <w:sz w:val="24"/>
        </w:rPr>
        <w:t xml:space="preserve"> (2020) 94</w:t>
      </w:r>
      <w:r>
        <w:rPr>
          <w:rFonts w:ascii="Times New Roman" w:hAnsi="Times New Roman"/>
          <w:sz w:val="24"/>
        </w:rPr>
        <w:t> </w:t>
      </w:r>
      <w:r w:rsidRPr="00D71897">
        <w:rPr>
          <w:rFonts w:ascii="Times New Roman" w:hAnsi="Times New Roman"/>
          <w:sz w:val="24"/>
        </w:rPr>
        <w:t>ALJR 928 at 948 [72], 954-955 [110]; 383 ALR 407 at 429-430, 438-439.</w:t>
      </w:r>
    </w:p>
  </w:footnote>
  <w:footnote w:id="85">
    <w:p w14:paraId="7D83945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Plaintiff S157/2002 v The Commonwealth</w:t>
      </w:r>
      <w:r w:rsidRPr="00D71897">
        <w:rPr>
          <w:rFonts w:ascii="Times New Roman" w:hAnsi="Times New Roman"/>
          <w:sz w:val="24"/>
        </w:rPr>
        <w:t xml:space="preserve"> (2003) 211 CLR 476 at 492 [31]. See also </w:t>
      </w:r>
      <w:r w:rsidRPr="00D71897">
        <w:rPr>
          <w:rFonts w:ascii="Times New Roman" w:hAnsi="Times New Roman"/>
          <w:i/>
          <w:sz w:val="24"/>
        </w:rPr>
        <w:t>Australian Communist Party v The Commonwealth</w:t>
      </w:r>
      <w:r w:rsidRPr="00D71897">
        <w:rPr>
          <w:rFonts w:ascii="Times New Roman" w:hAnsi="Times New Roman"/>
          <w:sz w:val="24"/>
        </w:rPr>
        <w:t xml:space="preserve"> (1951) 83 CLR 1 at 193; </w:t>
      </w:r>
      <w:r w:rsidRPr="00D71897">
        <w:rPr>
          <w:rFonts w:ascii="Times New Roman" w:hAnsi="Times New Roman"/>
          <w:i/>
          <w:sz w:val="24"/>
        </w:rPr>
        <w:t>Graham v Minister for Immigration and Border Protection</w:t>
      </w:r>
      <w:r w:rsidRPr="00D71897">
        <w:rPr>
          <w:rFonts w:ascii="Times New Roman" w:hAnsi="Times New Roman"/>
          <w:sz w:val="24"/>
        </w:rPr>
        <w:t xml:space="preserve"> (2017) 263 CLR 1 at 24 [40], 25-26 [44].</w:t>
      </w:r>
    </w:p>
  </w:footnote>
  <w:footnote w:id="86">
    <w:p w14:paraId="3BDFC03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Stephen, "The Rule of Law" (2003) 22(2) </w:t>
      </w:r>
      <w:r w:rsidRPr="00D71897">
        <w:rPr>
          <w:rFonts w:ascii="Times New Roman" w:hAnsi="Times New Roman"/>
          <w:i/>
          <w:sz w:val="24"/>
        </w:rPr>
        <w:t>Dialogue</w:t>
      </w:r>
      <w:r w:rsidRPr="00D71897">
        <w:rPr>
          <w:rFonts w:ascii="Times New Roman" w:hAnsi="Times New Roman"/>
          <w:sz w:val="24"/>
        </w:rPr>
        <w:t xml:space="preserve"> 8 at 8. See also Laws, </w:t>
      </w:r>
      <w:r w:rsidRPr="00D71897">
        <w:rPr>
          <w:rFonts w:ascii="Times New Roman" w:hAnsi="Times New Roman"/>
          <w:i/>
          <w:sz w:val="24"/>
        </w:rPr>
        <w:t>The</w:t>
      </w:r>
      <w:r>
        <w:rPr>
          <w:rFonts w:ascii="Times New Roman" w:hAnsi="Times New Roman"/>
          <w:i/>
          <w:sz w:val="24"/>
        </w:rPr>
        <w:t> </w:t>
      </w:r>
      <w:r w:rsidRPr="00D71897">
        <w:rPr>
          <w:rFonts w:ascii="Times New Roman" w:hAnsi="Times New Roman"/>
          <w:i/>
          <w:sz w:val="24"/>
        </w:rPr>
        <w:t>Constitutional Balance</w:t>
      </w:r>
      <w:r w:rsidRPr="00D71897">
        <w:rPr>
          <w:rFonts w:ascii="Times New Roman" w:hAnsi="Times New Roman"/>
          <w:sz w:val="24"/>
        </w:rPr>
        <w:t xml:space="preserve"> (2021) at 13, 15.</w:t>
      </w:r>
    </w:p>
  </w:footnote>
  <w:footnote w:id="87">
    <w:p w14:paraId="11DD4DA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Laws, </w:t>
      </w:r>
      <w:r w:rsidRPr="00D71897">
        <w:rPr>
          <w:rFonts w:ascii="Times New Roman" w:hAnsi="Times New Roman"/>
          <w:i/>
          <w:sz w:val="24"/>
        </w:rPr>
        <w:t>The Constitutional Balance</w:t>
      </w:r>
      <w:r w:rsidRPr="00D71897">
        <w:rPr>
          <w:rFonts w:ascii="Times New Roman" w:hAnsi="Times New Roman"/>
          <w:sz w:val="24"/>
        </w:rPr>
        <w:t xml:space="preserve"> (2021) at 15.</w:t>
      </w:r>
    </w:p>
  </w:footnote>
  <w:footnote w:id="88">
    <w:p w14:paraId="71F8D36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Plaintiff S157</w:t>
      </w:r>
      <w:r w:rsidRPr="00D71897">
        <w:rPr>
          <w:rFonts w:ascii="Times New Roman" w:hAnsi="Times New Roman"/>
          <w:sz w:val="24"/>
        </w:rPr>
        <w:t xml:space="preserve"> (2003) 211 CLR 476 at 482-483 [5].</w:t>
      </w:r>
    </w:p>
  </w:footnote>
  <w:footnote w:id="89">
    <w:p w14:paraId="71D44C5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French, "Administrative Law in Australia: Themes and Values Revisited"</w:t>
      </w:r>
      <w:r>
        <w:rPr>
          <w:rFonts w:ascii="Times New Roman" w:hAnsi="Times New Roman"/>
          <w:sz w:val="24"/>
        </w:rPr>
        <w:t>,</w:t>
      </w:r>
      <w:r w:rsidRPr="00D71897">
        <w:rPr>
          <w:rFonts w:ascii="Times New Roman" w:hAnsi="Times New Roman"/>
          <w:sz w:val="24"/>
        </w:rPr>
        <w:t xml:space="preserve"> in</w:t>
      </w:r>
      <w:r>
        <w:rPr>
          <w:rFonts w:ascii="Times New Roman" w:hAnsi="Times New Roman"/>
          <w:sz w:val="24"/>
        </w:rPr>
        <w:t> </w:t>
      </w:r>
      <w:r w:rsidRPr="00D71897">
        <w:rPr>
          <w:rFonts w:ascii="Times New Roman" w:hAnsi="Times New Roman"/>
          <w:sz w:val="24"/>
        </w:rPr>
        <w:t>Groves</w:t>
      </w:r>
      <w:r>
        <w:rPr>
          <w:rFonts w:ascii="Times New Roman" w:hAnsi="Times New Roman"/>
          <w:sz w:val="24"/>
        </w:rPr>
        <w:t> </w:t>
      </w:r>
      <w:r w:rsidRPr="00D71897">
        <w:rPr>
          <w:rFonts w:ascii="Times New Roman" w:hAnsi="Times New Roman"/>
          <w:sz w:val="24"/>
        </w:rPr>
        <w:t xml:space="preserve">(ed), </w:t>
      </w:r>
      <w:r w:rsidRPr="00D71897">
        <w:rPr>
          <w:rFonts w:ascii="Times New Roman" w:hAnsi="Times New Roman"/>
          <w:i/>
          <w:sz w:val="24"/>
        </w:rPr>
        <w:t>Modern Administrative Law in Australia: Concepts and Context</w:t>
      </w:r>
      <w:r w:rsidRPr="00D71897">
        <w:rPr>
          <w:rFonts w:ascii="Times New Roman" w:hAnsi="Times New Roman"/>
          <w:sz w:val="24"/>
        </w:rPr>
        <w:t xml:space="preserve"> (2014) 24 at 29. See also </w:t>
      </w:r>
      <w:r w:rsidRPr="00D71897">
        <w:rPr>
          <w:rFonts w:ascii="Times New Roman" w:hAnsi="Times New Roman"/>
          <w:i/>
          <w:sz w:val="24"/>
        </w:rPr>
        <w:t>Plaintiff S157</w:t>
      </w:r>
      <w:r w:rsidRPr="00D71897">
        <w:rPr>
          <w:rFonts w:ascii="Times New Roman" w:hAnsi="Times New Roman"/>
          <w:sz w:val="24"/>
        </w:rPr>
        <w:t xml:space="preserve"> (2003) 211 CLR 476 at 482-483 [5].</w:t>
      </w:r>
    </w:p>
  </w:footnote>
  <w:footnote w:id="90">
    <w:p w14:paraId="7882CCD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Magaming v The Queen </w:t>
      </w:r>
      <w:r w:rsidRPr="00D71897">
        <w:rPr>
          <w:rFonts w:ascii="Times New Roman" w:hAnsi="Times New Roman"/>
          <w:sz w:val="24"/>
        </w:rPr>
        <w:t>(2013) 252 CLR 381 at 400 [63].</w:t>
      </w:r>
    </w:p>
  </w:footnote>
  <w:footnote w:id="91">
    <w:p w14:paraId="4CFA8AA9"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Magaming </w:t>
      </w:r>
      <w:r w:rsidRPr="00D71897">
        <w:rPr>
          <w:rFonts w:ascii="Times New Roman" w:hAnsi="Times New Roman"/>
          <w:sz w:val="24"/>
        </w:rPr>
        <w:t>(2013) 252 CLR 381 at 401 [67].</w:t>
      </w:r>
    </w:p>
  </w:footnote>
  <w:footnote w:id="92">
    <w:p w14:paraId="42A654C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Magaming </w:t>
      </w:r>
      <w:r w:rsidRPr="00D71897">
        <w:rPr>
          <w:rFonts w:ascii="Times New Roman" w:hAnsi="Times New Roman"/>
          <w:sz w:val="24"/>
        </w:rPr>
        <w:t xml:space="preserve">(2013) 252 CLR 381 at 400 [64], quoting </w:t>
      </w:r>
      <w:r w:rsidRPr="00D71897">
        <w:rPr>
          <w:rFonts w:ascii="Times New Roman" w:hAnsi="Times New Roman"/>
          <w:i/>
          <w:sz w:val="24"/>
        </w:rPr>
        <w:t xml:space="preserve">Re Tracey; Ex parte Ryan </w:t>
      </w:r>
      <w:r w:rsidRPr="00D71897">
        <w:rPr>
          <w:rFonts w:ascii="Times New Roman" w:hAnsi="Times New Roman"/>
          <w:sz w:val="24"/>
        </w:rPr>
        <w:t xml:space="preserve">(1989) 166 CLR 518 at 580. See also </w:t>
      </w:r>
      <w:r w:rsidRPr="00D71897">
        <w:rPr>
          <w:rFonts w:ascii="Times New Roman" w:hAnsi="Times New Roman"/>
          <w:i/>
          <w:sz w:val="24"/>
        </w:rPr>
        <w:t>Plaintiff S157</w:t>
      </w:r>
      <w:r w:rsidRPr="00D71897">
        <w:rPr>
          <w:rFonts w:ascii="Times New Roman" w:hAnsi="Times New Roman"/>
          <w:sz w:val="24"/>
        </w:rPr>
        <w:t xml:space="preserve"> (2003) 211 CLR 476 at 513</w:t>
      </w:r>
      <w:r>
        <w:rPr>
          <w:rFonts w:ascii="Times New Roman" w:hAnsi="Times New Roman"/>
          <w:sz w:val="24"/>
        </w:rPr>
        <w:noBreakHyphen/>
      </w:r>
      <w:r w:rsidRPr="00D71897">
        <w:rPr>
          <w:rFonts w:ascii="Times New Roman" w:hAnsi="Times New Roman"/>
          <w:sz w:val="24"/>
        </w:rPr>
        <w:t xml:space="preserve">514 [104]; </w:t>
      </w:r>
      <w:r w:rsidRPr="00D71897">
        <w:rPr>
          <w:rFonts w:ascii="Times New Roman" w:hAnsi="Times New Roman"/>
          <w:i/>
          <w:sz w:val="24"/>
        </w:rPr>
        <w:t xml:space="preserve">R (Lord Carlile of Berriew) v Secretary of State for the Home Department </w:t>
      </w:r>
      <w:r w:rsidRPr="00D71897">
        <w:rPr>
          <w:rFonts w:ascii="Times New Roman" w:hAnsi="Times New Roman"/>
          <w:sz w:val="24"/>
        </w:rPr>
        <w:t xml:space="preserve">[2015] AC 945 at 981-982 [56]; </w:t>
      </w:r>
      <w:r w:rsidRPr="00D71897">
        <w:rPr>
          <w:rFonts w:ascii="Times New Roman" w:hAnsi="Times New Roman"/>
          <w:i/>
          <w:sz w:val="24"/>
        </w:rPr>
        <w:t xml:space="preserve">In re McGuinness </w:t>
      </w:r>
      <w:r w:rsidRPr="00D71897">
        <w:rPr>
          <w:rFonts w:ascii="Times New Roman" w:hAnsi="Times New Roman"/>
          <w:sz w:val="24"/>
        </w:rPr>
        <w:t>[202</w:t>
      </w:r>
      <w:r>
        <w:rPr>
          <w:rFonts w:ascii="Times New Roman" w:hAnsi="Times New Roman"/>
          <w:sz w:val="24"/>
        </w:rPr>
        <w:t>1</w:t>
      </w:r>
      <w:r w:rsidRPr="00D71897">
        <w:rPr>
          <w:rFonts w:ascii="Times New Roman" w:hAnsi="Times New Roman"/>
          <w:sz w:val="24"/>
        </w:rPr>
        <w:t xml:space="preserve">] </w:t>
      </w:r>
      <w:r>
        <w:rPr>
          <w:rFonts w:ascii="Times New Roman" w:hAnsi="Times New Roman"/>
          <w:sz w:val="24"/>
        </w:rPr>
        <w:t>AC 392 at 415</w:t>
      </w:r>
      <w:r w:rsidRPr="00D71897">
        <w:rPr>
          <w:rFonts w:ascii="Times New Roman" w:hAnsi="Times New Roman"/>
          <w:sz w:val="24"/>
        </w:rPr>
        <w:t xml:space="preserve"> [64].</w:t>
      </w:r>
    </w:p>
  </w:footnote>
  <w:footnote w:id="93">
    <w:p w14:paraId="020F38E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R (Cart) v Upper Tribunal</w:t>
      </w:r>
      <w:r w:rsidRPr="00D71897">
        <w:rPr>
          <w:rFonts w:ascii="Times New Roman" w:hAnsi="Times New Roman"/>
          <w:sz w:val="24"/>
        </w:rPr>
        <w:t xml:space="preserve"> </w:t>
      </w:r>
      <w:r w:rsidRPr="00D71897">
        <w:rPr>
          <w:rFonts w:ascii="Times New Roman" w:hAnsi="Times New Roman"/>
          <w:i/>
          <w:sz w:val="24"/>
        </w:rPr>
        <w:t xml:space="preserve">(Public Law Project intervening) </w:t>
      </w:r>
      <w:r w:rsidRPr="00D71897">
        <w:rPr>
          <w:rFonts w:ascii="Times New Roman" w:hAnsi="Times New Roman"/>
          <w:sz w:val="24"/>
        </w:rPr>
        <w:t xml:space="preserve">[2011] QB 120 at 137 [34]. See also </w:t>
      </w:r>
      <w:r w:rsidRPr="00D71897">
        <w:rPr>
          <w:rFonts w:ascii="Times New Roman" w:hAnsi="Times New Roman"/>
          <w:i/>
          <w:sz w:val="24"/>
        </w:rPr>
        <w:t xml:space="preserve">R (Cart) v Upper Tribunal (Public Law Project intervening) </w:t>
      </w:r>
      <w:r w:rsidRPr="00D71897">
        <w:rPr>
          <w:rFonts w:ascii="Times New Roman" w:hAnsi="Times New Roman"/>
          <w:sz w:val="24"/>
        </w:rPr>
        <w:t>[2012] 1</w:t>
      </w:r>
      <w:r>
        <w:rPr>
          <w:rFonts w:ascii="Times New Roman" w:hAnsi="Times New Roman"/>
          <w:sz w:val="24"/>
        </w:rPr>
        <w:t> </w:t>
      </w:r>
      <w:r w:rsidRPr="00D71897">
        <w:rPr>
          <w:rFonts w:ascii="Times New Roman" w:hAnsi="Times New Roman"/>
          <w:sz w:val="24"/>
        </w:rPr>
        <w:t xml:space="preserve">AC 663 at 680 [30]; </w:t>
      </w:r>
      <w:r w:rsidRPr="00D71897">
        <w:rPr>
          <w:rFonts w:ascii="Times New Roman" w:hAnsi="Times New Roman"/>
          <w:i/>
          <w:sz w:val="24"/>
        </w:rPr>
        <w:t xml:space="preserve">R (Privacy International) v Investigatory Powers Tribunal </w:t>
      </w:r>
      <w:r w:rsidRPr="00D71897">
        <w:rPr>
          <w:rFonts w:ascii="Times New Roman" w:hAnsi="Times New Roman"/>
          <w:sz w:val="24"/>
        </w:rPr>
        <w:t xml:space="preserve">[2020] AC 491 at 543 [116], 571 [190]; Gageler, "The Constitutional Dimension", in Groves (ed), </w:t>
      </w:r>
      <w:r w:rsidRPr="00D71897">
        <w:rPr>
          <w:rFonts w:ascii="Times New Roman" w:hAnsi="Times New Roman"/>
          <w:i/>
          <w:sz w:val="24"/>
        </w:rPr>
        <w:t>Modern Administrative Law in Australia: Concepts and Context</w:t>
      </w:r>
      <w:r w:rsidRPr="00D71897">
        <w:rPr>
          <w:rFonts w:ascii="Times New Roman" w:hAnsi="Times New Roman"/>
          <w:sz w:val="24"/>
        </w:rPr>
        <w:t xml:space="preserve"> (2014) 165 at 175.</w:t>
      </w:r>
    </w:p>
  </w:footnote>
  <w:footnote w:id="94">
    <w:p w14:paraId="1D06AAE5" w14:textId="6D9FEDA4" w:rsidR="007B5A1E" w:rsidRPr="00D71897" w:rsidRDefault="007B5A1E" w:rsidP="00D71897">
      <w:pPr>
        <w:pStyle w:val="FootnoteText"/>
        <w:spacing w:line="280" w:lineRule="exact"/>
        <w:ind w:right="0"/>
        <w:jc w:val="both"/>
        <w:rPr>
          <w:rFonts w:ascii="Times New Roman" w:hAnsi="Times New Roman"/>
          <w:sz w:val="24"/>
          <w:highlight w:val="yellow"/>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(1982) 154 CLR 25 at 70. See also </w:t>
      </w:r>
      <w:r w:rsidRPr="00D71897">
        <w:rPr>
          <w:rFonts w:ascii="Times New Roman" w:hAnsi="Times New Roman"/>
          <w:i/>
          <w:sz w:val="24"/>
        </w:rPr>
        <w:t>Re Minister for Immigration and Multicultural Affairs; Ex parte Abebe [No 1]</w:t>
      </w:r>
      <w:r w:rsidRPr="00D71897">
        <w:rPr>
          <w:rFonts w:ascii="Times New Roman" w:hAnsi="Times New Roman"/>
          <w:sz w:val="24"/>
        </w:rPr>
        <w:t xml:space="preserve"> (199</w:t>
      </w:r>
      <w:r w:rsidR="008B557D">
        <w:rPr>
          <w:rFonts w:ascii="Times New Roman" w:hAnsi="Times New Roman"/>
          <w:sz w:val="24"/>
        </w:rPr>
        <w:t>7</w:t>
      </w:r>
      <w:r w:rsidRPr="00D71897">
        <w:rPr>
          <w:rFonts w:ascii="Times New Roman" w:hAnsi="Times New Roman"/>
          <w:sz w:val="24"/>
        </w:rPr>
        <w:t xml:space="preserve">) 72 ALJR 574 at 577 [18]; 151 ALR 711 at 715; </w:t>
      </w:r>
      <w:r w:rsidRPr="00D71897">
        <w:rPr>
          <w:rFonts w:ascii="Times New Roman" w:hAnsi="Times New Roman"/>
          <w:i/>
          <w:sz w:val="24"/>
        </w:rPr>
        <w:t>Plaintiff S157</w:t>
      </w:r>
      <w:r w:rsidRPr="00D71897">
        <w:rPr>
          <w:rFonts w:ascii="Times New Roman" w:hAnsi="Times New Roman"/>
          <w:sz w:val="24"/>
        </w:rPr>
        <w:t xml:space="preserve"> (2003) 211 CLR 476 at 492 [31], 513-514 [104]; </w:t>
      </w:r>
      <w:r w:rsidRPr="00D71897">
        <w:rPr>
          <w:rFonts w:ascii="Times New Roman" w:hAnsi="Times New Roman"/>
          <w:i/>
          <w:sz w:val="24"/>
        </w:rPr>
        <w:t>Combet v The</w:t>
      </w:r>
      <w:r>
        <w:rPr>
          <w:rFonts w:ascii="Times New Roman" w:hAnsi="Times New Roman"/>
          <w:i/>
          <w:sz w:val="24"/>
        </w:rPr>
        <w:t> </w:t>
      </w:r>
      <w:r w:rsidRPr="00D71897">
        <w:rPr>
          <w:rFonts w:ascii="Times New Roman" w:hAnsi="Times New Roman"/>
          <w:i/>
          <w:sz w:val="24"/>
        </w:rPr>
        <w:t>Commonwealth</w:t>
      </w:r>
      <w:r w:rsidRPr="00D71897">
        <w:rPr>
          <w:rFonts w:ascii="Times New Roman" w:hAnsi="Times New Roman"/>
          <w:sz w:val="24"/>
        </w:rPr>
        <w:t xml:space="preserve"> (2005) 224 CLR 494 at 579 [167]; </w:t>
      </w:r>
      <w:r w:rsidRPr="00D71897">
        <w:rPr>
          <w:rFonts w:ascii="Times New Roman" w:hAnsi="Times New Roman"/>
          <w:i/>
          <w:sz w:val="24"/>
        </w:rPr>
        <w:t xml:space="preserve">Argos Pty Ltd v Corbell </w:t>
      </w:r>
      <w:r w:rsidRPr="00D71897">
        <w:rPr>
          <w:rFonts w:ascii="Times New Roman" w:hAnsi="Times New Roman"/>
          <w:sz w:val="24"/>
        </w:rPr>
        <w:t xml:space="preserve">(2014) 254 CLR 394 at 411 [48]; </w:t>
      </w:r>
      <w:r w:rsidRPr="00D71897">
        <w:rPr>
          <w:rFonts w:ascii="Times New Roman" w:hAnsi="Times New Roman"/>
          <w:i/>
          <w:sz w:val="24"/>
        </w:rPr>
        <w:t>Graham </w:t>
      </w:r>
      <w:r w:rsidRPr="00D71897">
        <w:rPr>
          <w:rFonts w:ascii="Times New Roman" w:hAnsi="Times New Roman"/>
          <w:sz w:val="24"/>
        </w:rPr>
        <w:t>(2017) 263 CLR 1 at 24-26 [39]-[44].</w:t>
      </w:r>
    </w:p>
  </w:footnote>
  <w:footnote w:id="95">
    <w:p w14:paraId="23D6D6C8" w14:textId="77777777" w:rsidR="007B5A1E" w:rsidRPr="00D71897" w:rsidRDefault="007B5A1E" w:rsidP="00D71897">
      <w:pPr>
        <w:pStyle w:val="FootnoteText"/>
        <w:spacing w:line="280" w:lineRule="exact"/>
        <w:ind w:right="0"/>
        <w:jc w:val="both"/>
        <w:rPr>
          <w:rFonts w:ascii="Times New Roman" w:hAnsi="Times New Roman"/>
          <w:sz w:val="24"/>
          <w:highlight w:val="yellow"/>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Plaintiff S157</w:t>
      </w:r>
      <w:r w:rsidRPr="00D71897">
        <w:rPr>
          <w:rFonts w:ascii="Times New Roman" w:hAnsi="Times New Roman"/>
          <w:sz w:val="24"/>
        </w:rPr>
        <w:t xml:space="preserve"> (2003) 211 CLR 476 at 492 [31], 513-514 [104]. See also </w:t>
      </w:r>
      <w:r w:rsidRPr="00D71897">
        <w:rPr>
          <w:rFonts w:ascii="Times New Roman" w:hAnsi="Times New Roman"/>
          <w:i/>
          <w:sz w:val="24"/>
        </w:rPr>
        <w:t>Smethurst v Commissioner of</w:t>
      </w:r>
      <w:r w:rsidRPr="00D71897" w:rsidDel="00DD3BB8">
        <w:rPr>
          <w:rFonts w:ascii="Times New Roman" w:hAnsi="Times New Roman"/>
          <w:i/>
          <w:sz w:val="24"/>
        </w:rPr>
        <w:t xml:space="preserve"> </w:t>
      </w:r>
      <w:r w:rsidRPr="00D71897">
        <w:rPr>
          <w:rFonts w:ascii="Times New Roman" w:hAnsi="Times New Roman"/>
          <w:i/>
          <w:sz w:val="24"/>
        </w:rPr>
        <w:t>the Australian Federal Police</w:t>
      </w:r>
      <w:r w:rsidRPr="00D71897">
        <w:rPr>
          <w:rFonts w:ascii="Times New Roman" w:hAnsi="Times New Roman"/>
          <w:sz w:val="24"/>
        </w:rPr>
        <w:t xml:space="preserve"> (2020) 94 ALJR 502 at 535 [134], 546 [181]; 376 ALR 575 at 608-609, 622.</w:t>
      </w:r>
    </w:p>
  </w:footnote>
  <w:footnote w:id="96">
    <w:p w14:paraId="03FA7AF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Plaintiff S157</w:t>
      </w:r>
      <w:r w:rsidRPr="00D71897">
        <w:rPr>
          <w:rFonts w:ascii="Times New Roman" w:hAnsi="Times New Roman"/>
          <w:sz w:val="24"/>
        </w:rPr>
        <w:t xml:space="preserve"> (2003) 211 CLR 476 at 514 [104]. See also Crawford and Boughey, "The Centrality of Jurisdictional Error: Rationale and Consequences" (2019) 30</w:t>
      </w:r>
      <w:r>
        <w:rPr>
          <w:rFonts w:ascii="Times New Roman" w:hAnsi="Times New Roman"/>
          <w:sz w:val="24"/>
        </w:rPr>
        <w:t> </w:t>
      </w:r>
      <w:r w:rsidRPr="00D71897">
        <w:rPr>
          <w:rFonts w:ascii="Times New Roman" w:hAnsi="Times New Roman"/>
          <w:i/>
          <w:sz w:val="24"/>
        </w:rPr>
        <w:t>Public Law Review</w:t>
      </w:r>
      <w:r w:rsidRPr="00D71897">
        <w:rPr>
          <w:rFonts w:ascii="Times New Roman" w:hAnsi="Times New Roman"/>
          <w:sz w:val="24"/>
        </w:rPr>
        <w:t xml:space="preserve"> 18 at 30-31, 34-35. </w:t>
      </w:r>
    </w:p>
  </w:footnote>
  <w:footnote w:id="97">
    <w:p w14:paraId="3B4D2EE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Plaintiff M68/2015 v Minister for Immigration and Border Protection </w:t>
      </w:r>
      <w:r w:rsidRPr="00D71897">
        <w:rPr>
          <w:rFonts w:ascii="Times New Roman" w:hAnsi="Times New Roman"/>
          <w:sz w:val="24"/>
        </w:rPr>
        <w:t>(2016) 257</w:t>
      </w:r>
      <w:r>
        <w:rPr>
          <w:rFonts w:ascii="Times New Roman" w:hAnsi="Times New Roman"/>
          <w:sz w:val="24"/>
        </w:rPr>
        <w:t> </w:t>
      </w:r>
      <w:r w:rsidRPr="00D71897">
        <w:rPr>
          <w:rFonts w:ascii="Times New Roman" w:hAnsi="Times New Roman"/>
          <w:sz w:val="24"/>
        </w:rPr>
        <w:t>CLR 42 at 95 [128]; see generally 92-96 [119]-[128].</w:t>
      </w:r>
    </w:p>
  </w:footnote>
  <w:footnote w:id="98">
    <w:p w14:paraId="1B0E0CF9"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Clough v Leahy </w:t>
      </w:r>
      <w:r w:rsidRPr="00D71897">
        <w:rPr>
          <w:rFonts w:ascii="Times New Roman" w:hAnsi="Times New Roman"/>
          <w:sz w:val="24"/>
        </w:rPr>
        <w:t xml:space="preserve">(1904) 2 CLR 139 at 155-156; </w:t>
      </w:r>
      <w:r w:rsidRPr="00D71897">
        <w:rPr>
          <w:rFonts w:ascii="Times New Roman" w:hAnsi="Times New Roman"/>
          <w:i/>
          <w:sz w:val="24"/>
        </w:rPr>
        <w:t>R v Anderson; Ex parte Ipec-Air Pty Ltd</w:t>
      </w:r>
      <w:r w:rsidRPr="00D71897">
        <w:rPr>
          <w:rFonts w:ascii="Times New Roman" w:hAnsi="Times New Roman"/>
          <w:sz w:val="24"/>
        </w:rPr>
        <w:t xml:space="preserve"> (1965) 113 CLR 117 at 189; </w:t>
      </w:r>
      <w:r w:rsidRPr="00D71897">
        <w:rPr>
          <w:rFonts w:ascii="Times New Roman" w:hAnsi="Times New Roman"/>
          <w:i/>
          <w:sz w:val="24"/>
        </w:rPr>
        <w:t>R v Toohey; Ex parte Northern Land Council</w:t>
      </w:r>
      <w:r w:rsidRPr="00D71897">
        <w:rPr>
          <w:rFonts w:ascii="Times New Roman" w:hAnsi="Times New Roman"/>
          <w:sz w:val="24"/>
        </w:rPr>
        <w:t xml:space="preserve"> (1981) 151 CLR 170 at 187; </w:t>
      </w:r>
      <w:r w:rsidRPr="00D71897">
        <w:rPr>
          <w:rFonts w:ascii="Times New Roman" w:hAnsi="Times New Roman"/>
          <w:i/>
          <w:sz w:val="24"/>
        </w:rPr>
        <w:t xml:space="preserve">A v Hayden </w:t>
      </w:r>
      <w:r w:rsidRPr="00D71897">
        <w:rPr>
          <w:rFonts w:ascii="Times New Roman" w:hAnsi="Times New Roman"/>
          <w:sz w:val="24"/>
        </w:rPr>
        <w:t xml:space="preserve">(1984) 156 CLR 532 at 540, 550; </w:t>
      </w:r>
      <w:r w:rsidRPr="00D71897">
        <w:rPr>
          <w:rFonts w:ascii="Times New Roman" w:hAnsi="Times New Roman"/>
          <w:i/>
          <w:sz w:val="24"/>
        </w:rPr>
        <w:t>Enfield</w:t>
      </w:r>
      <w:r>
        <w:rPr>
          <w:rFonts w:ascii="Times New Roman" w:hAnsi="Times New Roman"/>
          <w:i/>
          <w:sz w:val="24"/>
        </w:rPr>
        <w:t> </w:t>
      </w:r>
      <w:r w:rsidRPr="00D71897">
        <w:rPr>
          <w:rFonts w:ascii="Times New Roman" w:hAnsi="Times New Roman"/>
          <w:i/>
          <w:sz w:val="24"/>
        </w:rPr>
        <w:t xml:space="preserve">City Corporation v Development Assessment Commission </w:t>
      </w:r>
      <w:r w:rsidRPr="00D71897">
        <w:rPr>
          <w:rFonts w:ascii="Times New Roman" w:hAnsi="Times New Roman"/>
          <w:sz w:val="24"/>
        </w:rPr>
        <w:t xml:space="preserve">(2000) 199 CLR 135 at 157 [56]; </w:t>
      </w:r>
      <w:r w:rsidRPr="00D71897">
        <w:rPr>
          <w:rFonts w:ascii="Times New Roman" w:hAnsi="Times New Roman"/>
          <w:i/>
          <w:sz w:val="24"/>
        </w:rPr>
        <w:t xml:space="preserve">Ruddock v Taylor </w:t>
      </w:r>
      <w:r w:rsidRPr="00D71897">
        <w:rPr>
          <w:rFonts w:ascii="Times New Roman" w:hAnsi="Times New Roman"/>
          <w:sz w:val="24"/>
        </w:rPr>
        <w:t>(2005) 222 CLR 612 at 644</w:t>
      </w:r>
      <w:r w:rsidRPr="00D71897">
        <w:rPr>
          <w:rFonts w:ascii="Times New Roman" w:hAnsi="Times New Roman"/>
          <w:sz w:val="24"/>
        </w:rPr>
        <w:noBreakHyphen/>
        <w:t xml:space="preserve">645 [120]; </w:t>
      </w:r>
      <w:r w:rsidRPr="00D71897">
        <w:rPr>
          <w:rFonts w:ascii="Times New Roman" w:hAnsi="Times New Roman"/>
          <w:i/>
          <w:sz w:val="24"/>
        </w:rPr>
        <w:t>Plaintiff</w:t>
      </w:r>
      <w:r>
        <w:rPr>
          <w:rFonts w:ascii="Times New Roman" w:hAnsi="Times New Roman"/>
          <w:i/>
          <w:sz w:val="24"/>
        </w:rPr>
        <w:t> </w:t>
      </w:r>
      <w:r w:rsidRPr="00D71897">
        <w:rPr>
          <w:rFonts w:ascii="Times New Roman" w:hAnsi="Times New Roman"/>
          <w:i/>
          <w:sz w:val="24"/>
        </w:rPr>
        <w:t xml:space="preserve">M68 </w:t>
      </w:r>
      <w:r w:rsidRPr="00D71897">
        <w:rPr>
          <w:rFonts w:ascii="Times New Roman" w:hAnsi="Times New Roman"/>
          <w:sz w:val="24"/>
        </w:rPr>
        <w:t>(2016) 257 CLR 42 at 98 [135].</w:t>
      </w:r>
    </w:p>
  </w:footnote>
  <w:footnote w:id="99">
    <w:p w14:paraId="05145BE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eastAsia="Calibri" w:hAnsi="Times New Roman"/>
          <w:i/>
          <w:sz w:val="24"/>
        </w:rPr>
        <w:t>A v Hayden</w:t>
      </w:r>
      <w:r w:rsidRPr="00D71897">
        <w:rPr>
          <w:rFonts w:ascii="Times New Roman" w:eastAsia="Calibri" w:hAnsi="Times New Roman"/>
          <w:sz w:val="24"/>
        </w:rPr>
        <w:t xml:space="preserve"> (1984) 156 CLR 532 at 540.</w:t>
      </w:r>
    </w:p>
  </w:footnote>
  <w:footnote w:id="100">
    <w:p w14:paraId="7915EC7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Boughey and Weeks, "Government Accountability as a 'Constitutional Value'", in</w:t>
      </w:r>
      <w:r>
        <w:rPr>
          <w:rFonts w:ascii="Times New Roman" w:hAnsi="Times New Roman"/>
          <w:sz w:val="24"/>
        </w:rPr>
        <w:t> </w:t>
      </w:r>
      <w:r w:rsidRPr="00D71897">
        <w:rPr>
          <w:rFonts w:ascii="Times New Roman" w:hAnsi="Times New Roman"/>
          <w:sz w:val="24"/>
        </w:rPr>
        <w:t xml:space="preserve">Dixon (ed), </w:t>
      </w:r>
      <w:r w:rsidRPr="00D71897">
        <w:rPr>
          <w:rFonts w:ascii="Times New Roman" w:hAnsi="Times New Roman"/>
          <w:i/>
          <w:sz w:val="24"/>
        </w:rPr>
        <w:t xml:space="preserve">Australian Constitutional Values </w:t>
      </w:r>
      <w:r w:rsidRPr="00D71897">
        <w:rPr>
          <w:rFonts w:ascii="Times New Roman" w:hAnsi="Times New Roman"/>
          <w:sz w:val="24"/>
        </w:rPr>
        <w:t>(2018) 99 at 99.</w:t>
      </w:r>
    </w:p>
  </w:footnote>
  <w:footnote w:id="101">
    <w:p w14:paraId="591DFC6E"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Boughey and Weeks, "Government Accountability as a 'Constitutional Value'", in</w:t>
      </w:r>
      <w:r>
        <w:rPr>
          <w:rFonts w:ascii="Times New Roman" w:hAnsi="Times New Roman"/>
          <w:sz w:val="24"/>
        </w:rPr>
        <w:t> </w:t>
      </w:r>
      <w:r w:rsidRPr="00D71897">
        <w:rPr>
          <w:rFonts w:ascii="Times New Roman" w:hAnsi="Times New Roman"/>
          <w:sz w:val="24"/>
        </w:rPr>
        <w:t xml:space="preserve">Dixon (ed), </w:t>
      </w:r>
      <w:r w:rsidRPr="00D71897">
        <w:rPr>
          <w:rFonts w:ascii="Times New Roman" w:hAnsi="Times New Roman"/>
          <w:i/>
          <w:sz w:val="24"/>
        </w:rPr>
        <w:t xml:space="preserve">Australian Constitutional Values </w:t>
      </w:r>
      <w:r w:rsidRPr="00D71897">
        <w:rPr>
          <w:rFonts w:ascii="Times New Roman" w:hAnsi="Times New Roman"/>
          <w:sz w:val="24"/>
        </w:rPr>
        <w:t>(2018) 99 at 103.</w:t>
      </w:r>
    </w:p>
  </w:footnote>
  <w:footnote w:id="102">
    <w:p w14:paraId="6E69E86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(1908) 7 CLR 277. See Lim, "The Normativity of the Principle of Legality" (2013) 37 </w:t>
      </w:r>
      <w:r w:rsidRPr="00D71897">
        <w:rPr>
          <w:rFonts w:ascii="Times New Roman" w:hAnsi="Times New Roman"/>
          <w:i/>
          <w:sz w:val="24"/>
        </w:rPr>
        <w:t>Melbourne University Law Review</w:t>
      </w:r>
      <w:r w:rsidRPr="00D71897">
        <w:rPr>
          <w:rFonts w:ascii="Times New Roman" w:hAnsi="Times New Roman"/>
          <w:sz w:val="24"/>
        </w:rPr>
        <w:t xml:space="preserve"> 372.</w:t>
      </w:r>
    </w:p>
  </w:footnote>
  <w:footnote w:id="103">
    <w:p w14:paraId="70053BC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Daly, "A Typology of Materiality" (2019) 26 </w:t>
      </w:r>
      <w:r w:rsidRPr="00D71897">
        <w:rPr>
          <w:rFonts w:ascii="Times New Roman" w:hAnsi="Times New Roman"/>
          <w:i/>
          <w:sz w:val="24"/>
        </w:rPr>
        <w:t>Australian Journal of Administrative Law</w:t>
      </w:r>
      <w:r w:rsidRPr="00D71897">
        <w:rPr>
          <w:rFonts w:ascii="Times New Roman" w:hAnsi="Times New Roman"/>
          <w:sz w:val="24"/>
        </w:rPr>
        <w:t xml:space="preserve"> 134 at 144.</w:t>
      </w:r>
    </w:p>
  </w:footnote>
  <w:footnote w:id="104">
    <w:p w14:paraId="13D2965D" w14:textId="77777777" w:rsidR="007B5A1E" w:rsidRPr="00D71897" w:rsidRDefault="007B5A1E" w:rsidP="00D71897">
      <w:pPr>
        <w:pStyle w:val="FootnoteText"/>
        <w:spacing w:line="280" w:lineRule="exact"/>
        <w:ind w:right="0"/>
        <w:jc w:val="both"/>
        <w:rPr>
          <w:rFonts w:ascii="Times New Roman" w:hAnsi="Times New Roman"/>
          <w:i/>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Project Blue Sky </w:t>
      </w:r>
      <w:r w:rsidRPr="00D71897">
        <w:rPr>
          <w:rFonts w:ascii="Times New Roman" w:hAnsi="Times New Roman"/>
          <w:sz w:val="24"/>
        </w:rPr>
        <w:t xml:space="preserve">(1998) 194 CLR 355 at 388-391 [91]-[93]; </w:t>
      </w:r>
      <w:r w:rsidRPr="00D71897">
        <w:rPr>
          <w:rFonts w:ascii="Times New Roman" w:hAnsi="Times New Roman"/>
          <w:i/>
          <w:sz w:val="24"/>
        </w:rPr>
        <w:t xml:space="preserve">Hossain </w:t>
      </w:r>
      <w:r w:rsidRPr="00D71897">
        <w:rPr>
          <w:rFonts w:ascii="Times New Roman" w:hAnsi="Times New Roman"/>
          <w:sz w:val="24"/>
        </w:rPr>
        <w:t>(2018) 264</w:t>
      </w:r>
      <w:r>
        <w:rPr>
          <w:rFonts w:ascii="Times New Roman" w:hAnsi="Times New Roman"/>
          <w:sz w:val="24"/>
        </w:rPr>
        <w:t> </w:t>
      </w:r>
      <w:r w:rsidRPr="00D71897">
        <w:rPr>
          <w:rFonts w:ascii="Times New Roman" w:hAnsi="Times New Roman"/>
          <w:sz w:val="24"/>
        </w:rPr>
        <w:t xml:space="preserve">CLR 123 at 134-135 [29]-[30], 136 [39], 145 [65]; </w:t>
      </w:r>
      <w:r w:rsidRPr="00D71897">
        <w:rPr>
          <w:rFonts w:ascii="Times New Roman" w:hAnsi="Times New Roman"/>
          <w:i/>
          <w:sz w:val="24"/>
        </w:rPr>
        <w:t xml:space="preserve">SZMTA </w:t>
      </w:r>
      <w:r w:rsidRPr="00D71897">
        <w:rPr>
          <w:rFonts w:ascii="Times New Roman" w:hAnsi="Times New Roman"/>
          <w:sz w:val="24"/>
        </w:rPr>
        <w:t>(2019) 264 CLR 421 at 433 [2]</w:t>
      </w:r>
      <w:r w:rsidRPr="00D71897">
        <w:rPr>
          <w:rFonts w:ascii="Times New Roman" w:hAnsi="Times New Roman"/>
          <w:sz w:val="24"/>
        </w:rPr>
        <w:noBreakHyphen/>
        <w:t xml:space="preserve">[3], 458 [90]; </w:t>
      </w:r>
      <w:r w:rsidRPr="00D71897">
        <w:rPr>
          <w:rFonts w:ascii="Times New Roman" w:hAnsi="Times New Roman"/>
          <w:i/>
          <w:sz w:val="24"/>
        </w:rPr>
        <w:t>ABT17</w:t>
      </w:r>
      <w:r w:rsidRPr="00D71897">
        <w:rPr>
          <w:rFonts w:ascii="Times New Roman" w:hAnsi="Times New Roman"/>
          <w:sz w:val="24"/>
        </w:rPr>
        <w:t xml:space="preserve"> (2020) 94 ALJR 928 at 948 [72], 954-955 [110]; 383 ALR 407 at 429-430, 438-439. </w:t>
      </w:r>
    </w:p>
  </w:footnote>
  <w:footnote w:id="105">
    <w:p w14:paraId="10DF1E4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See </w:t>
      </w:r>
      <w:r w:rsidRPr="00D71897">
        <w:rPr>
          <w:rFonts w:ascii="Times New Roman" w:hAnsi="Times New Roman"/>
          <w:i/>
          <w:sz w:val="24"/>
        </w:rPr>
        <w:t xml:space="preserve">Hossain </w:t>
      </w:r>
      <w:r w:rsidRPr="00D71897">
        <w:rPr>
          <w:rFonts w:ascii="Times New Roman" w:hAnsi="Times New Roman"/>
          <w:sz w:val="24"/>
        </w:rPr>
        <w:t>(2018) 264 CLR 123 at 137 [40], 147-148 [72].</w:t>
      </w:r>
    </w:p>
  </w:footnote>
  <w:footnote w:id="106">
    <w:p w14:paraId="5A98DE2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Hossain</w:t>
      </w:r>
      <w:r w:rsidRPr="00D71897">
        <w:rPr>
          <w:rFonts w:ascii="Times New Roman" w:hAnsi="Times New Roman"/>
          <w:sz w:val="24"/>
        </w:rPr>
        <w:t xml:space="preserve"> (2018) 264 CLR 123 at 137 [40], 147-148 [72].</w:t>
      </w:r>
    </w:p>
  </w:footnote>
  <w:footnote w:id="107">
    <w:p w14:paraId="359095D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The ability of a reviewing court to remedy a non-jurisdictional error of law is limited: </w:t>
      </w:r>
      <w:r w:rsidRPr="00D71897">
        <w:rPr>
          <w:rFonts w:ascii="Times New Roman" w:hAnsi="Times New Roman"/>
          <w:i/>
          <w:sz w:val="24"/>
        </w:rPr>
        <w:t xml:space="preserve">Attorney-General (NSW) v Quin </w:t>
      </w:r>
      <w:r w:rsidRPr="00D71897">
        <w:rPr>
          <w:rFonts w:ascii="Times New Roman" w:hAnsi="Times New Roman"/>
          <w:sz w:val="24"/>
        </w:rPr>
        <w:t xml:space="preserve">(1990) 170 CLR 1 at 35-36. See the discussions in Crawford and Boughey, "The Centrality of Jurisdictional Error: Rationale and Consequences" (2019) 30 </w:t>
      </w:r>
      <w:r w:rsidRPr="00D71897">
        <w:rPr>
          <w:rFonts w:ascii="Times New Roman" w:hAnsi="Times New Roman"/>
          <w:i/>
          <w:sz w:val="24"/>
        </w:rPr>
        <w:t xml:space="preserve">Public Law Review </w:t>
      </w:r>
      <w:r w:rsidRPr="00D71897">
        <w:rPr>
          <w:rFonts w:ascii="Times New Roman" w:hAnsi="Times New Roman"/>
          <w:sz w:val="24"/>
        </w:rPr>
        <w:t xml:space="preserve">18 at 21, 23-27; Crawford, "Immaterial Errors, Jurisdictional Errors and the Presumptive Limits of Executive Power" (2019) 30 </w:t>
      </w:r>
      <w:r w:rsidRPr="00D71897">
        <w:rPr>
          <w:rFonts w:ascii="Times New Roman" w:hAnsi="Times New Roman"/>
          <w:i/>
          <w:sz w:val="24"/>
        </w:rPr>
        <w:t>Public Law Review</w:t>
      </w:r>
      <w:r w:rsidRPr="00D71897">
        <w:rPr>
          <w:rFonts w:ascii="Times New Roman" w:hAnsi="Times New Roman"/>
          <w:sz w:val="24"/>
        </w:rPr>
        <w:t xml:space="preserve"> 281 at 281-282.</w:t>
      </w:r>
    </w:p>
  </w:footnote>
  <w:footnote w:id="108">
    <w:p w14:paraId="06D1B1C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R (Cart) v Upper Tribunal </w:t>
      </w:r>
      <w:r w:rsidRPr="00D71897">
        <w:rPr>
          <w:rFonts w:ascii="Times New Roman" w:hAnsi="Times New Roman"/>
          <w:sz w:val="24"/>
        </w:rPr>
        <w:t>[2012] 1 AC 663 at 684 [42].</w:t>
      </w:r>
    </w:p>
  </w:footnote>
  <w:footnote w:id="109">
    <w:p w14:paraId="359EC4A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Knight, "Clarifying Immateriality" (2008) 13 </w:t>
      </w:r>
      <w:r w:rsidRPr="00D71897">
        <w:rPr>
          <w:rFonts w:ascii="Times New Roman" w:hAnsi="Times New Roman"/>
          <w:i/>
          <w:sz w:val="24"/>
        </w:rPr>
        <w:t>Judicial Review</w:t>
      </w:r>
      <w:r w:rsidRPr="00D71897">
        <w:rPr>
          <w:rFonts w:ascii="Times New Roman" w:hAnsi="Times New Roman"/>
          <w:sz w:val="24"/>
        </w:rPr>
        <w:t xml:space="preserve"> 111 at 111 [2]-[3], 114 [14].</w:t>
      </w:r>
    </w:p>
  </w:footnote>
  <w:footnote w:id="110">
    <w:p w14:paraId="26EA7FC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(1955) 91 CLR 512 at 519-520. See also </w:t>
      </w:r>
      <w:r w:rsidRPr="00D71897">
        <w:rPr>
          <w:rFonts w:ascii="Times New Roman" w:hAnsi="Times New Roman"/>
          <w:i/>
          <w:sz w:val="24"/>
        </w:rPr>
        <w:t>Chugg v Pacific Dunlop Ltd</w:t>
      </w:r>
      <w:r w:rsidRPr="00D71897">
        <w:rPr>
          <w:rFonts w:ascii="Times New Roman" w:hAnsi="Times New Roman"/>
          <w:sz w:val="24"/>
        </w:rPr>
        <w:t xml:space="preserve"> (1990) 170</w:t>
      </w:r>
      <w:r>
        <w:rPr>
          <w:rFonts w:ascii="Times New Roman" w:hAnsi="Times New Roman"/>
          <w:sz w:val="24"/>
        </w:rPr>
        <w:t> </w:t>
      </w:r>
      <w:r w:rsidRPr="00D71897">
        <w:rPr>
          <w:rFonts w:ascii="Times New Roman" w:hAnsi="Times New Roman"/>
          <w:sz w:val="24"/>
        </w:rPr>
        <w:t>CLR 249 at 257.</w:t>
      </w:r>
    </w:p>
  </w:footnote>
  <w:footnote w:id="111">
    <w:p w14:paraId="0D34B19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Djordjevitch </w:t>
      </w:r>
      <w:r w:rsidRPr="00D71897">
        <w:rPr>
          <w:rFonts w:ascii="Times New Roman" w:hAnsi="Times New Roman"/>
          <w:sz w:val="24"/>
        </w:rPr>
        <w:t>(1955) 91 CLR 512 at 519.</w:t>
      </w:r>
    </w:p>
  </w:footnote>
  <w:footnote w:id="112">
    <w:p w14:paraId="398E8FF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(1986) 161 CLR 141.</w:t>
      </w:r>
    </w:p>
  </w:footnote>
  <w:footnote w:id="113">
    <w:p w14:paraId="2D364FA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(2005) 225 CLR 88.</w:t>
      </w:r>
    </w:p>
  </w:footnote>
  <w:footnote w:id="114">
    <w:p w14:paraId="179A6761"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(2015) 256 CLR 326.</w:t>
      </w:r>
    </w:p>
  </w:footnote>
  <w:footnote w:id="115">
    <w:p w14:paraId="197CA01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See especially </w:t>
      </w:r>
      <w:r w:rsidRPr="00D71897">
        <w:rPr>
          <w:rFonts w:ascii="Times New Roman" w:hAnsi="Times New Roman"/>
          <w:i/>
          <w:sz w:val="24"/>
        </w:rPr>
        <w:t xml:space="preserve">Re Refugee Review Tribunal; Ex parte Aala </w:t>
      </w:r>
      <w:r w:rsidRPr="00D71897">
        <w:rPr>
          <w:rFonts w:ascii="Times New Roman" w:hAnsi="Times New Roman"/>
          <w:sz w:val="24"/>
        </w:rPr>
        <w:t xml:space="preserve">(2000) 204 CLR 82 at 88-89 [4], 116-117 [80], 153-154 [211]; </w:t>
      </w:r>
      <w:r w:rsidRPr="00D71897">
        <w:rPr>
          <w:rFonts w:ascii="Times New Roman" w:hAnsi="Times New Roman"/>
          <w:i/>
          <w:sz w:val="24"/>
        </w:rPr>
        <w:t xml:space="preserve">Nobarani v Mariconte </w:t>
      </w:r>
      <w:r w:rsidRPr="00D71897">
        <w:rPr>
          <w:rFonts w:ascii="Times New Roman" w:hAnsi="Times New Roman"/>
          <w:sz w:val="24"/>
        </w:rPr>
        <w:t xml:space="preserve">(2018) 265 CLR 236 at 247 [38]. See also, eg, </w:t>
      </w:r>
      <w:r w:rsidRPr="00D71897">
        <w:rPr>
          <w:rFonts w:ascii="Times New Roman" w:hAnsi="Times New Roman"/>
          <w:i/>
          <w:sz w:val="24"/>
        </w:rPr>
        <w:t xml:space="preserve">Applicant VBB v Minister for Immigration and Multicultural and Indigenous Affairs </w:t>
      </w:r>
      <w:r w:rsidRPr="00D71897">
        <w:rPr>
          <w:rFonts w:ascii="Times New Roman" w:hAnsi="Times New Roman"/>
          <w:sz w:val="24"/>
        </w:rPr>
        <w:t xml:space="preserve">[2003] FCA 1141 at [24]; </w:t>
      </w:r>
      <w:r w:rsidRPr="00D71897">
        <w:rPr>
          <w:rFonts w:ascii="Times New Roman" w:hAnsi="Times New Roman"/>
          <w:i/>
          <w:sz w:val="24"/>
        </w:rPr>
        <w:t>King v Delta Metallics Pty Ltd</w:t>
      </w:r>
      <w:r w:rsidRPr="00D71897">
        <w:rPr>
          <w:rFonts w:ascii="Times New Roman" w:hAnsi="Times New Roman"/>
          <w:sz w:val="24"/>
        </w:rPr>
        <w:t xml:space="preserve"> [2013] FCAFC 93 at [59]; </w:t>
      </w:r>
      <w:r w:rsidRPr="00D71897">
        <w:rPr>
          <w:rFonts w:ascii="Times New Roman" w:hAnsi="Times New Roman"/>
          <w:i/>
          <w:sz w:val="24"/>
        </w:rPr>
        <w:t>Boyd v Thorn</w:t>
      </w:r>
      <w:r w:rsidRPr="00D71897">
        <w:rPr>
          <w:rFonts w:ascii="Times New Roman" w:hAnsi="Times New Roman"/>
          <w:sz w:val="24"/>
        </w:rPr>
        <w:t xml:space="preserve"> (2017) 96 NSWLR 390 at 403-404 [60]; </w:t>
      </w:r>
      <w:r w:rsidRPr="00D71897">
        <w:rPr>
          <w:rFonts w:ascii="Times New Roman" w:hAnsi="Times New Roman"/>
          <w:i/>
          <w:sz w:val="24"/>
        </w:rPr>
        <w:t xml:space="preserve">Minister for Immigration and Border Protection v CQZ15 </w:t>
      </w:r>
      <w:r w:rsidRPr="00D71897">
        <w:rPr>
          <w:rFonts w:ascii="Times New Roman" w:hAnsi="Times New Roman"/>
          <w:sz w:val="24"/>
        </w:rPr>
        <w:t xml:space="preserve">(2017) 253 FCR 1 at 15 [73]; </w:t>
      </w:r>
      <w:r w:rsidRPr="00D71897">
        <w:rPr>
          <w:rFonts w:ascii="Times New Roman" w:hAnsi="Times New Roman"/>
          <w:i/>
          <w:sz w:val="24"/>
        </w:rPr>
        <w:t xml:space="preserve">Livers v Legal Services Commissioner </w:t>
      </w:r>
      <w:r w:rsidRPr="00D71897">
        <w:rPr>
          <w:rFonts w:ascii="Times New Roman" w:hAnsi="Times New Roman"/>
          <w:sz w:val="24"/>
        </w:rPr>
        <w:t xml:space="preserve">[2018] NSWCA 319 at [82]; </w:t>
      </w:r>
      <w:r w:rsidRPr="00D71897">
        <w:rPr>
          <w:rFonts w:ascii="Times New Roman" w:hAnsi="Times New Roman"/>
          <w:i/>
          <w:sz w:val="24"/>
        </w:rPr>
        <w:t>Gambaro v Mobycom Mobile Pty Ltd</w:t>
      </w:r>
      <w:r w:rsidRPr="00D71897">
        <w:rPr>
          <w:rFonts w:ascii="Times New Roman" w:hAnsi="Times New Roman"/>
          <w:sz w:val="24"/>
        </w:rPr>
        <w:t xml:space="preserve"> (2019) 271 FCR 530 at 544 [49]; </w:t>
      </w:r>
      <w:r w:rsidRPr="00D71897">
        <w:rPr>
          <w:rFonts w:ascii="Times New Roman" w:hAnsi="Times New Roman"/>
          <w:i/>
          <w:sz w:val="24"/>
        </w:rPr>
        <w:t xml:space="preserve">Flightdeck Geelong Pty Ltd v All Options Pty Ltd </w:t>
      </w:r>
      <w:r w:rsidRPr="00D71897">
        <w:rPr>
          <w:rFonts w:ascii="Times New Roman" w:hAnsi="Times New Roman"/>
          <w:sz w:val="24"/>
        </w:rPr>
        <w:t>(2020) 147 ACSR 227</w:t>
      </w:r>
      <w:r w:rsidRPr="00D71897">
        <w:rPr>
          <w:rFonts w:ascii="Times New Roman" w:hAnsi="Times New Roman"/>
          <w:i/>
          <w:sz w:val="24"/>
        </w:rPr>
        <w:t xml:space="preserve"> </w:t>
      </w:r>
      <w:r w:rsidRPr="00D71897">
        <w:rPr>
          <w:rFonts w:ascii="Times New Roman" w:hAnsi="Times New Roman"/>
          <w:sz w:val="24"/>
        </w:rPr>
        <w:t xml:space="preserve">at 239 [58], but cf 240 [59]. </w:t>
      </w:r>
    </w:p>
  </w:footnote>
  <w:footnote w:id="116">
    <w:p w14:paraId="5D15B65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Fordham, </w:t>
      </w:r>
      <w:r w:rsidRPr="00D71897">
        <w:rPr>
          <w:rFonts w:ascii="Times New Roman" w:hAnsi="Times New Roman"/>
          <w:i/>
          <w:sz w:val="24"/>
        </w:rPr>
        <w:t>Judicial Review Handbook</w:t>
      </w:r>
      <w:r w:rsidRPr="00D71897">
        <w:rPr>
          <w:rFonts w:ascii="Times New Roman" w:hAnsi="Times New Roman"/>
          <w:sz w:val="24"/>
        </w:rPr>
        <w:t>, 7th ed</w:t>
      </w:r>
      <w:r w:rsidRPr="00D71897">
        <w:rPr>
          <w:rFonts w:ascii="Times New Roman" w:hAnsi="Times New Roman"/>
          <w:i/>
          <w:sz w:val="24"/>
        </w:rPr>
        <w:t xml:space="preserve"> </w:t>
      </w:r>
      <w:r w:rsidRPr="00D71897">
        <w:rPr>
          <w:rFonts w:ascii="Times New Roman" w:hAnsi="Times New Roman"/>
          <w:sz w:val="24"/>
        </w:rPr>
        <w:t>(2020) at 587 [42.2]; see also 56-57 [4.1.13], 587-590 [42.2.1]-[42.2.19</w:t>
      </w:r>
      <w:r w:rsidRPr="00EE5978">
        <w:rPr>
          <w:rFonts w:ascii="Times New Roman" w:hAnsi="Times New Roman"/>
          <w:sz w:val="24"/>
          <w:szCs w:val="24"/>
        </w:rPr>
        <w:t>].</w:t>
      </w:r>
    </w:p>
  </w:footnote>
  <w:footnote w:id="117">
    <w:p w14:paraId="250125B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Reasons of Edelman J at [</w:t>
      </w:r>
      <w:r>
        <w:rPr>
          <w:rFonts w:ascii="Times New Roman" w:hAnsi="Times New Roman"/>
          <w:sz w:val="24"/>
        </w:rPr>
        <w:t>188</w:t>
      </w:r>
      <w:r w:rsidRPr="00D71897">
        <w:rPr>
          <w:rFonts w:ascii="Times New Roman" w:hAnsi="Times New Roman"/>
          <w:sz w:val="24"/>
        </w:rPr>
        <w:t>]-[</w:t>
      </w:r>
      <w:r>
        <w:rPr>
          <w:rFonts w:ascii="Times New Roman" w:hAnsi="Times New Roman"/>
          <w:sz w:val="24"/>
        </w:rPr>
        <w:t>196</w:t>
      </w:r>
      <w:r w:rsidRPr="00D71897">
        <w:rPr>
          <w:rFonts w:ascii="Times New Roman" w:hAnsi="Times New Roman"/>
          <w:sz w:val="24"/>
        </w:rPr>
        <w:t>].</w:t>
      </w:r>
    </w:p>
  </w:footnote>
  <w:footnote w:id="118">
    <w:p w14:paraId="3810857E"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(1986) 161 CLR 141.</w:t>
      </w:r>
    </w:p>
  </w:footnote>
  <w:footnote w:id="119">
    <w:p w14:paraId="6CDE0C7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(1959) 101 CLR 226.</w:t>
      </w:r>
    </w:p>
  </w:footnote>
  <w:footnote w:id="120">
    <w:p w14:paraId="1D90F4F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(1986) 161 CLR 141 at 147. See also </w:t>
      </w:r>
      <w:r w:rsidRPr="00D71897">
        <w:rPr>
          <w:rFonts w:ascii="Times New Roman" w:hAnsi="Times New Roman"/>
          <w:i/>
          <w:sz w:val="24"/>
        </w:rPr>
        <w:t xml:space="preserve">Balenzuela </w:t>
      </w:r>
      <w:r w:rsidRPr="00D71897">
        <w:rPr>
          <w:rFonts w:ascii="Times New Roman" w:hAnsi="Times New Roman"/>
          <w:sz w:val="24"/>
        </w:rPr>
        <w:t>(1959) 101 CLR 226 at 232-235.</w:t>
      </w:r>
    </w:p>
  </w:footnote>
  <w:footnote w:id="121">
    <w:p w14:paraId="5D12895C"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(2005) 225 CLR 88 at 92 [5].</w:t>
      </w:r>
    </w:p>
  </w:footnote>
  <w:footnote w:id="122">
    <w:p w14:paraId="2B2C824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(2015) 256 CLR 326 at 342-343 [60].</w:t>
      </w:r>
    </w:p>
  </w:footnote>
  <w:footnote w:id="123">
    <w:p w14:paraId="658E1722"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szCs w:val="18"/>
        </w:rPr>
        <w:t>Thornton v Repatriation Commission</w:t>
      </w:r>
      <w:r w:rsidRPr="00D71897">
        <w:rPr>
          <w:rFonts w:ascii="Times New Roman" w:hAnsi="Times New Roman"/>
          <w:sz w:val="24"/>
          <w:szCs w:val="18"/>
        </w:rPr>
        <w:t xml:space="preserve"> (1981) 35 ALR 485 at 492, but cf 489; </w:t>
      </w:r>
      <w:r w:rsidRPr="00D71897">
        <w:rPr>
          <w:rFonts w:ascii="Times New Roman" w:hAnsi="Times New Roman"/>
          <w:i/>
          <w:sz w:val="24"/>
          <w:szCs w:val="18"/>
        </w:rPr>
        <w:t>Wei v Minister for Immigration, Local Government and Ethnic Affairs</w:t>
      </w:r>
      <w:r w:rsidRPr="00D71897">
        <w:rPr>
          <w:rFonts w:ascii="Times New Roman" w:hAnsi="Times New Roman"/>
          <w:sz w:val="24"/>
          <w:szCs w:val="18"/>
        </w:rPr>
        <w:t xml:space="preserve"> (1991) 29 FCR 455 at 476; </w:t>
      </w:r>
      <w:r w:rsidRPr="00D71897">
        <w:rPr>
          <w:rFonts w:ascii="Times New Roman" w:hAnsi="Times New Roman"/>
          <w:i/>
          <w:sz w:val="24"/>
          <w:szCs w:val="18"/>
        </w:rPr>
        <w:t xml:space="preserve">Oliveira v The Attorney General (Antigua and Barbuda) </w:t>
      </w:r>
      <w:r w:rsidRPr="00D71897">
        <w:rPr>
          <w:rFonts w:ascii="Times New Roman" w:hAnsi="Times New Roman"/>
          <w:sz w:val="24"/>
          <w:szCs w:val="18"/>
        </w:rPr>
        <w:t xml:space="preserve">[2016] UKPC 24 at [43]. See also </w:t>
      </w:r>
      <w:r w:rsidRPr="00D71897">
        <w:rPr>
          <w:rFonts w:ascii="Times New Roman" w:hAnsi="Times New Roman"/>
          <w:i/>
          <w:sz w:val="24"/>
        </w:rPr>
        <w:t xml:space="preserve">AQM18 v Minister for Immigration and Border Protection </w:t>
      </w:r>
      <w:r w:rsidRPr="00D71897">
        <w:rPr>
          <w:rFonts w:ascii="Times New Roman" w:hAnsi="Times New Roman"/>
          <w:sz w:val="24"/>
        </w:rPr>
        <w:t>(2019) 268</w:t>
      </w:r>
      <w:r>
        <w:rPr>
          <w:rFonts w:ascii="Times New Roman" w:hAnsi="Times New Roman"/>
          <w:sz w:val="24"/>
        </w:rPr>
        <w:t> </w:t>
      </w:r>
      <w:r w:rsidRPr="00D71897">
        <w:rPr>
          <w:rFonts w:ascii="Times New Roman" w:hAnsi="Times New Roman"/>
          <w:sz w:val="24"/>
        </w:rPr>
        <w:t>FCR 424 at 434 [59].</w:t>
      </w:r>
    </w:p>
  </w:footnote>
  <w:footnote w:id="124">
    <w:p w14:paraId="171A688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szCs w:val="18"/>
        </w:rPr>
        <w:t xml:space="preserve">Liversidge v Anderson </w:t>
      </w:r>
      <w:r w:rsidRPr="00D71897">
        <w:rPr>
          <w:rFonts w:ascii="Times New Roman" w:hAnsi="Times New Roman"/>
          <w:sz w:val="24"/>
          <w:szCs w:val="18"/>
        </w:rPr>
        <w:t xml:space="preserve">[1942] AC 206 at 245; </w:t>
      </w:r>
      <w:r w:rsidRPr="00D71897">
        <w:rPr>
          <w:rFonts w:ascii="Times New Roman" w:hAnsi="Times New Roman"/>
          <w:i/>
          <w:sz w:val="24"/>
          <w:szCs w:val="18"/>
        </w:rPr>
        <w:t xml:space="preserve">Trobridge v Hardy </w:t>
      </w:r>
      <w:r w:rsidRPr="00D71897">
        <w:rPr>
          <w:rFonts w:ascii="Times New Roman" w:hAnsi="Times New Roman"/>
          <w:sz w:val="24"/>
          <w:szCs w:val="18"/>
        </w:rPr>
        <w:t xml:space="preserve">(1955) 94 CLR 147 at 152; </w:t>
      </w:r>
      <w:r w:rsidRPr="00D71897">
        <w:rPr>
          <w:rFonts w:ascii="Times New Roman" w:hAnsi="Times New Roman"/>
          <w:i/>
          <w:sz w:val="24"/>
        </w:rPr>
        <w:t>Plaintiff M47/2018 v Minister for Home Affairs</w:t>
      </w:r>
      <w:r w:rsidRPr="00D71897">
        <w:rPr>
          <w:rFonts w:ascii="Times New Roman" w:hAnsi="Times New Roman"/>
          <w:sz w:val="24"/>
        </w:rPr>
        <w:t xml:space="preserve"> </w:t>
      </w:r>
      <w:r w:rsidRPr="00D71897">
        <w:rPr>
          <w:rFonts w:ascii="Times New Roman" w:hAnsi="Times New Roman"/>
          <w:sz w:val="24"/>
          <w:szCs w:val="18"/>
        </w:rPr>
        <w:t>(2019) 265 CLR 285 at 299 [39].</w:t>
      </w:r>
    </w:p>
  </w:footnote>
  <w:footnote w:id="125">
    <w:p w14:paraId="6B29534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Smethurst </w:t>
      </w:r>
      <w:r w:rsidRPr="00D71897">
        <w:rPr>
          <w:rFonts w:ascii="Times New Roman" w:hAnsi="Times New Roman"/>
          <w:sz w:val="24"/>
          <w:szCs w:val="18"/>
        </w:rPr>
        <w:t xml:space="preserve">(2020) 94 ALJR 502 at 535 [134], 566 [278]; </w:t>
      </w:r>
      <w:r w:rsidRPr="00D71897">
        <w:rPr>
          <w:rFonts w:ascii="Times New Roman" w:hAnsi="Times New Roman"/>
          <w:sz w:val="24"/>
        </w:rPr>
        <w:t>376 ALR 575 at 608-609, 649</w:t>
      </w:r>
      <w:r w:rsidRPr="00D71897">
        <w:rPr>
          <w:rFonts w:ascii="Times New Roman" w:hAnsi="Times New Roman"/>
          <w:sz w:val="24"/>
          <w:szCs w:val="18"/>
        </w:rPr>
        <w:t xml:space="preserve">. See also </w:t>
      </w:r>
      <w:r w:rsidRPr="00D71897">
        <w:rPr>
          <w:rFonts w:ascii="Times New Roman" w:hAnsi="Times New Roman"/>
          <w:i/>
          <w:sz w:val="24"/>
          <w:szCs w:val="18"/>
        </w:rPr>
        <w:t>Challenge Plastics Pty Ltd v Collector of Customs</w:t>
      </w:r>
      <w:r w:rsidRPr="00D71897">
        <w:rPr>
          <w:rFonts w:ascii="Times New Roman" w:hAnsi="Times New Roman"/>
          <w:sz w:val="24"/>
          <w:szCs w:val="18"/>
        </w:rPr>
        <w:t xml:space="preserve"> (1993) 42 FCR 397 at 405.</w:t>
      </w:r>
    </w:p>
  </w:footnote>
  <w:footnote w:id="126">
    <w:p w14:paraId="2B6C4F71"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Criminal Appeal Act 1912</w:t>
      </w:r>
      <w:r w:rsidRPr="00D71897">
        <w:rPr>
          <w:rFonts w:ascii="Times New Roman" w:hAnsi="Times New Roman"/>
          <w:sz w:val="24"/>
        </w:rPr>
        <w:t xml:space="preserve"> (NSW), s 6(1); </w:t>
      </w:r>
      <w:r w:rsidRPr="00D71897">
        <w:rPr>
          <w:rFonts w:ascii="Times New Roman" w:hAnsi="Times New Roman"/>
          <w:i/>
          <w:sz w:val="24"/>
        </w:rPr>
        <w:t>Criminal Procedure Act 1921</w:t>
      </w:r>
      <w:r w:rsidRPr="00D71897">
        <w:rPr>
          <w:rFonts w:ascii="Times New Roman" w:hAnsi="Times New Roman"/>
          <w:sz w:val="24"/>
        </w:rPr>
        <w:t xml:space="preserve"> (SA), s 158(1)-(2); </w:t>
      </w:r>
      <w:r w:rsidRPr="00D71897">
        <w:rPr>
          <w:rFonts w:ascii="Times New Roman" w:hAnsi="Times New Roman"/>
          <w:i/>
          <w:sz w:val="24"/>
        </w:rPr>
        <w:t xml:space="preserve">Criminal Code </w:t>
      </w:r>
      <w:r w:rsidRPr="00D71897">
        <w:rPr>
          <w:rFonts w:ascii="Times New Roman" w:hAnsi="Times New Roman"/>
          <w:sz w:val="24"/>
        </w:rPr>
        <w:t xml:space="preserve">(Qld), s 668E(1)-(1A); </w:t>
      </w:r>
      <w:r w:rsidRPr="00D71897">
        <w:rPr>
          <w:rFonts w:ascii="Times New Roman" w:hAnsi="Times New Roman"/>
          <w:i/>
          <w:sz w:val="24"/>
        </w:rPr>
        <w:t>Criminal Appeals Act 2004</w:t>
      </w:r>
      <w:r w:rsidRPr="00D71897">
        <w:rPr>
          <w:rFonts w:ascii="Times New Roman" w:hAnsi="Times New Roman"/>
          <w:sz w:val="24"/>
        </w:rPr>
        <w:t xml:space="preserve"> (WA), s 30(3)-(4); </w:t>
      </w:r>
      <w:r w:rsidRPr="00D71897">
        <w:rPr>
          <w:rFonts w:ascii="Times New Roman" w:hAnsi="Times New Roman"/>
          <w:i/>
          <w:sz w:val="24"/>
        </w:rPr>
        <w:t xml:space="preserve">Criminal Code </w:t>
      </w:r>
      <w:r w:rsidRPr="00D71897">
        <w:rPr>
          <w:rFonts w:ascii="Times New Roman" w:hAnsi="Times New Roman"/>
          <w:sz w:val="24"/>
        </w:rPr>
        <w:t xml:space="preserve">(Tas), s 402(1)-(2); </w:t>
      </w:r>
      <w:r w:rsidRPr="00D71897">
        <w:rPr>
          <w:rFonts w:ascii="Times New Roman" w:hAnsi="Times New Roman"/>
          <w:i/>
          <w:sz w:val="24"/>
        </w:rPr>
        <w:t>Criminal Code</w:t>
      </w:r>
      <w:r w:rsidRPr="00D71897">
        <w:rPr>
          <w:rFonts w:ascii="Times New Roman" w:hAnsi="Times New Roman"/>
          <w:sz w:val="24"/>
        </w:rPr>
        <w:t xml:space="preserve"> (NT), s 411(1)-(2); </w:t>
      </w:r>
      <w:r w:rsidRPr="00D71897">
        <w:rPr>
          <w:rFonts w:ascii="Times New Roman" w:hAnsi="Times New Roman"/>
          <w:i/>
          <w:sz w:val="24"/>
        </w:rPr>
        <w:t>Supreme Court Act 1933</w:t>
      </w:r>
      <w:r w:rsidRPr="00D71897">
        <w:rPr>
          <w:rFonts w:ascii="Times New Roman" w:hAnsi="Times New Roman"/>
          <w:sz w:val="24"/>
        </w:rPr>
        <w:t xml:space="preserve"> (ACT), s 37O(2)-(3).</w:t>
      </w:r>
    </w:p>
  </w:footnote>
  <w:footnote w:id="127">
    <w:p w14:paraId="75305FB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szCs w:val="18"/>
        </w:rPr>
        <w:t xml:space="preserve">Mraz v The Queen </w:t>
      </w:r>
      <w:r w:rsidRPr="00D71897">
        <w:rPr>
          <w:rFonts w:ascii="Times New Roman" w:hAnsi="Times New Roman"/>
          <w:sz w:val="24"/>
          <w:szCs w:val="18"/>
        </w:rPr>
        <w:t xml:space="preserve">(1955) 93 CLR 493 at 514; </w:t>
      </w:r>
      <w:r w:rsidRPr="00D71897">
        <w:rPr>
          <w:rFonts w:ascii="Times New Roman" w:hAnsi="Times New Roman"/>
          <w:i/>
          <w:sz w:val="24"/>
          <w:szCs w:val="18"/>
        </w:rPr>
        <w:t>KBT v The Queen</w:t>
      </w:r>
      <w:r w:rsidRPr="00D71897">
        <w:rPr>
          <w:rFonts w:ascii="Times New Roman" w:hAnsi="Times New Roman"/>
          <w:sz w:val="24"/>
          <w:szCs w:val="18"/>
        </w:rPr>
        <w:t xml:space="preserve"> (1997) 191 CLR 417 at 434; </w:t>
      </w:r>
      <w:r w:rsidRPr="00D71897">
        <w:rPr>
          <w:rFonts w:ascii="Times New Roman" w:hAnsi="Times New Roman"/>
          <w:i/>
          <w:sz w:val="24"/>
          <w:szCs w:val="18"/>
        </w:rPr>
        <w:t xml:space="preserve">TKWJ v The Queen </w:t>
      </w:r>
      <w:r w:rsidRPr="00D71897">
        <w:rPr>
          <w:rFonts w:ascii="Times New Roman" w:hAnsi="Times New Roman"/>
          <w:sz w:val="24"/>
          <w:szCs w:val="18"/>
        </w:rPr>
        <w:t xml:space="preserve">(2002) 212 CLR 124 at 143 [63]; </w:t>
      </w:r>
      <w:r w:rsidRPr="00D71897">
        <w:rPr>
          <w:rFonts w:ascii="Times New Roman" w:hAnsi="Times New Roman"/>
          <w:i/>
          <w:sz w:val="24"/>
          <w:szCs w:val="18"/>
        </w:rPr>
        <w:t>Lindsay v The</w:t>
      </w:r>
      <w:r>
        <w:rPr>
          <w:rFonts w:ascii="Times New Roman" w:hAnsi="Times New Roman"/>
          <w:i/>
          <w:sz w:val="24"/>
          <w:szCs w:val="18"/>
        </w:rPr>
        <w:t> </w:t>
      </w:r>
      <w:r w:rsidRPr="00D71897">
        <w:rPr>
          <w:rFonts w:ascii="Times New Roman" w:hAnsi="Times New Roman"/>
          <w:i/>
          <w:sz w:val="24"/>
          <w:szCs w:val="18"/>
        </w:rPr>
        <w:t xml:space="preserve">Queen </w:t>
      </w:r>
      <w:r w:rsidRPr="00D71897">
        <w:rPr>
          <w:rFonts w:ascii="Times New Roman" w:hAnsi="Times New Roman"/>
          <w:sz w:val="24"/>
          <w:szCs w:val="18"/>
        </w:rPr>
        <w:t xml:space="preserve">(2015) 255 CLR 272 at 294 [64]; </w:t>
      </w:r>
      <w:r w:rsidRPr="00D71897">
        <w:rPr>
          <w:rFonts w:ascii="Times New Roman" w:hAnsi="Times New Roman"/>
          <w:i/>
          <w:sz w:val="24"/>
          <w:szCs w:val="18"/>
        </w:rPr>
        <w:t xml:space="preserve">GBF v The Queen </w:t>
      </w:r>
      <w:r w:rsidRPr="00D71897">
        <w:rPr>
          <w:rFonts w:ascii="Times New Roman" w:hAnsi="Times New Roman"/>
          <w:sz w:val="24"/>
          <w:szCs w:val="18"/>
        </w:rPr>
        <w:t xml:space="preserve">(2020) 94 ALJR 1037 at 1042 [24]; 384 ALR 569 at 575. </w:t>
      </w:r>
    </w:p>
  </w:footnote>
  <w:footnote w:id="128">
    <w:p w14:paraId="5BD4DC20"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Watts v Rake</w:t>
      </w:r>
      <w:r w:rsidRPr="00D71897">
        <w:rPr>
          <w:rFonts w:ascii="Times New Roman" w:hAnsi="Times New Roman"/>
          <w:sz w:val="24"/>
        </w:rPr>
        <w:t xml:space="preserve"> </w:t>
      </w:r>
      <w:r w:rsidRPr="00D71897">
        <w:rPr>
          <w:rFonts w:ascii="Times New Roman" w:hAnsi="Times New Roman"/>
          <w:sz w:val="24"/>
          <w:szCs w:val="18"/>
        </w:rPr>
        <w:t xml:space="preserve">(1960) 108 CLR 158 at 163-164; </w:t>
      </w:r>
      <w:r w:rsidRPr="00D71897">
        <w:rPr>
          <w:rFonts w:ascii="Times New Roman" w:hAnsi="Times New Roman"/>
          <w:i/>
          <w:sz w:val="24"/>
        </w:rPr>
        <w:t>Purkess v Crittenden</w:t>
      </w:r>
      <w:r w:rsidRPr="00D71897">
        <w:rPr>
          <w:rFonts w:ascii="Times New Roman" w:hAnsi="Times New Roman"/>
          <w:sz w:val="24"/>
        </w:rPr>
        <w:t xml:space="preserve"> </w:t>
      </w:r>
      <w:r w:rsidRPr="00D71897">
        <w:rPr>
          <w:rFonts w:ascii="Times New Roman" w:hAnsi="Times New Roman"/>
          <w:sz w:val="24"/>
          <w:szCs w:val="18"/>
        </w:rPr>
        <w:t>(1965) 114</w:t>
      </w:r>
      <w:r>
        <w:rPr>
          <w:rFonts w:ascii="Times New Roman" w:hAnsi="Times New Roman"/>
          <w:sz w:val="24"/>
          <w:szCs w:val="18"/>
        </w:rPr>
        <w:t> </w:t>
      </w:r>
      <w:r w:rsidRPr="00D71897">
        <w:rPr>
          <w:rFonts w:ascii="Times New Roman" w:hAnsi="Times New Roman"/>
          <w:sz w:val="24"/>
          <w:szCs w:val="18"/>
        </w:rPr>
        <w:t xml:space="preserve">CLR 164 at 168. </w:t>
      </w:r>
    </w:p>
  </w:footnote>
  <w:footnote w:id="129">
    <w:p w14:paraId="100DA02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Lewis v Australian Capital Territory</w:t>
      </w:r>
      <w:r w:rsidRPr="00D71897">
        <w:rPr>
          <w:rFonts w:ascii="Times New Roman" w:hAnsi="Times New Roman"/>
          <w:sz w:val="24"/>
          <w:szCs w:val="18"/>
        </w:rPr>
        <w:t xml:space="preserve"> (2020) 94 ALJR 740 at 751 [24]; 381 ALR 375 at 382, citing </w:t>
      </w:r>
      <w:r w:rsidRPr="00D71897">
        <w:rPr>
          <w:rFonts w:ascii="Times New Roman" w:hAnsi="Times New Roman"/>
          <w:i/>
          <w:sz w:val="24"/>
          <w:szCs w:val="18"/>
        </w:rPr>
        <w:t>Brown v Lizars</w:t>
      </w:r>
      <w:r w:rsidRPr="00D71897">
        <w:rPr>
          <w:rFonts w:ascii="Times New Roman" w:hAnsi="Times New Roman"/>
          <w:sz w:val="24"/>
          <w:szCs w:val="18"/>
        </w:rPr>
        <w:t xml:space="preserve"> (1905) 2 CLR 837 at 853-854, </w:t>
      </w:r>
      <w:r w:rsidRPr="00D71897">
        <w:rPr>
          <w:rFonts w:ascii="Times New Roman" w:hAnsi="Times New Roman"/>
          <w:i/>
          <w:sz w:val="24"/>
          <w:szCs w:val="18"/>
        </w:rPr>
        <w:t xml:space="preserve">Watson v Marshall </w:t>
      </w:r>
      <w:r w:rsidRPr="00D71897">
        <w:rPr>
          <w:rFonts w:ascii="Times New Roman" w:hAnsi="Times New Roman"/>
          <w:sz w:val="24"/>
          <w:szCs w:val="18"/>
        </w:rPr>
        <w:t xml:space="preserve">(1971) 124 CLR 621 at 626 and </w:t>
      </w:r>
      <w:r w:rsidRPr="00D71897">
        <w:rPr>
          <w:rFonts w:ascii="Times New Roman" w:hAnsi="Times New Roman"/>
          <w:i/>
          <w:sz w:val="24"/>
          <w:szCs w:val="18"/>
        </w:rPr>
        <w:t xml:space="preserve">Ruddock </w:t>
      </w:r>
      <w:r w:rsidRPr="00D71897">
        <w:rPr>
          <w:rFonts w:ascii="Times New Roman" w:hAnsi="Times New Roman"/>
          <w:sz w:val="24"/>
          <w:szCs w:val="18"/>
        </w:rPr>
        <w:t xml:space="preserve">(2005) 222 CLR 612 at 631 [64], 650-651 [140]. </w:t>
      </w:r>
    </w:p>
  </w:footnote>
  <w:footnote w:id="130">
    <w:p w14:paraId="75C5BA8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Gould v Vaggelas</w:t>
      </w:r>
      <w:r w:rsidRPr="00D71897">
        <w:rPr>
          <w:rFonts w:ascii="Times New Roman" w:hAnsi="Times New Roman"/>
          <w:sz w:val="24"/>
        </w:rPr>
        <w:t xml:space="preserve"> </w:t>
      </w:r>
      <w:r w:rsidRPr="00D71897">
        <w:rPr>
          <w:rFonts w:ascii="Times New Roman" w:hAnsi="Times New Roman"/>
          <w:sz w:val="24"/>
          <w:szCs w:val="18"/>
        </w:rPr>
        <w:t>(1985) 157 CLR 215 at 238; see also 219, 262.</w:t>
      </w:r>
    </w:p>
  </w:footnote>
  <w:footnote w:id="131">
    <w:p w14:paraId="3D92B0E1"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szCs w:val="18"/>
        </w:rPr>
        <w:t xml:space="preserve">Tozer Kemsley &amp; Millbourn (A'Asia) Pty Ltd v Collier's Interstate Transport Service Ltd </w:t>
      </w:r>
      <w:r w:rsidRPr="00D71897">
        <w:rPr>
          <w:rFonts w:ascii="Times New Roman" w:hAnsi="Times New Roman"/>
          <w:sz w:val="24"/>
          <w:szCs w:val="18"/>
        </w:rPr>
        <w:t xml:space="preserve">(1956) 94 CLR 384 at 397-398; </w:t>
      </w:r>
      <w:r w:rsidRPr="00D71897">
        <w:rPr>
          <w:rFonts w:ascii="Times New Roman" w:hAnsi="Times New Roman"/>
          <w:i/>
          <w:sz w:val="24"/>
          <w:szCs w:val="18"/>
        </w:rPr>
        <w:t xml:space="preserve">Pitt Son &amp; Badgery Ltd v Proulefco </w:t>
      </w:r>
      <w:r w:rsidRPr="00D71897">
        <w:rPr>
          <w:rFonts w:ascii="Times New Roman" w:hAnsi="Times New Roman"/>
          <w:sz w:val="24"/>
          <w:szCs w:val="18"/>
        </w:rPr>
        <w:t>(1984) 153</w:t>
      </w:r>
      <w:r>
        <w:rPr>
          <w:rFonts w:ascii="Times New Roman" w:hAnsi="Times New Roman"/>
          <w:sz w:val="24"/>
          <w:szCs w:val="18"/>
        </w:rPr>
        <w:t> </w:t>
      </w:r>
      <w:r w:rsidRPr="00D71897">
        <w:rPr>
          <w:rFonts w:ascii="Times New Roman" w:hAnsi="Times New Roman"/>
          <w:sz w:val="24"/>
          <w:szCs w:val="18"/>
        </w:rPr>
        <w:t>CLR 644 at 646.</w:t>
      </w:r>
    </w:p>
  </w:footnote>
  <w:footnote w:id="132">
    <w:p w14:paraId="3F9872BE"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Evidence Act 1995 </w:t>
      </w:r>
      <w:r w:rsidRPr="00D71897">
        <w:rPr>
          <w:rFonts w:ascii="Times New Roman" w:hAnsi="Times New Roman"/>
          <w:sz w:val="24"/>
        </w:rPr>
        <w:t xml:space="preserve">(Cth), s 138; </w:t>
      </w:r>
      <w:r w:rsidRPr="00D71897">
        <w:rPr>
          <w:rFonts w:ascii="Times New Roman" w:hAnsi="Times New Roman"/>
          <w:i/>
          <w:sz w:val="24"/>
        </w:rPr>
        <w:t>Parker v Comptroller-General of Customs</w:t>
      </w:r>
      <w:r w:rsidRPr="00D71897">
        <w:rPr>
          <w:rFonts w:ascii="Times New Roman" w:hAnsi="Times New Roman"/>
          <w:sz w:val="24"/>
        </w:rPr>
        <w:t xml:space="preserve"> (2009) 83 ALJR 494 at 500-501 [28]; 252 ALR 619 at 626; </w:t>
      </w:r>
      <w:r w:rsidRPr="00D71897">
        <w:rPr>
          <w:rFonts w:ascii="Times New Roman" w:hAnsi="Times New Roman"/>
          <w:i/>
          <w:sz w:val="24"/>
          <w:szCs w:val="18"/>
        </w:rPr>
        <w:t xml:space="preserve">Director of Public Prosecutions v Marijancevic </w:t>
      </w:r>
      <w:r w:rsidRPr="00D71897">
        <w:rPr>
          <w:rFonts w:ascii="Times New Roman" w:hAnsi="Times New Roman"/>
          <w:sz w:val="24"/>
          <w:szCs w:val="18"/>
        </w:rPr>
        <w:t xml:space="preserve">(2011) 33 VR 440 at 445 [17]; </w:t>
      </w:r>
      <w:r w:rsidRPr="00D71897">
        <w:rPr>
          <w:rFonts w:ascii="Times New Roman" w:hAnsi="Times New Roman"/>
          <w:i/>
          <w:sz w:val="24"/>
          <w:szCs w:val="18"/>
        </w:rPr>
        <w:t xml:space="preserve">R v Mokbel </w:t>
      </w:r>
      <w:r w:rsidRPr="00D71897">
        <w:rPr>
          <w:rFonts w:ascii="Times New Roman" w:hAnsi="Times New Roman"/>
          <w:sz w:val="24"/>
          <w:szCs w:val="18"/>
        </w:rPr>
        <w:t>(2012) 35 VR 156 at 184 [309].</w:t>
      </w:r>
    </w:p>
  </w:footnote>
  <w:footnote w:id="133">
    <w:p w14:paraId="5676B60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Benning v Wong </w:t>
      </w:r>
      <w:r w:rsidRPr="00D71897">
        <w:rPr>
          <w:rFonts w:ascii="Times New Roman" w:hAnsi="Times New Roman"/>
          <w:sz w:val="24"/>
        </w:rPr>
        <w:t xml:space="preserve">(1969) 122 CLR 249 at 308-309; </w:t>
      </w:r>
      <w:r w:rsidRPr="00D71897">
        <w:rPr>
          <w:rFonts w:ascii="Times New Roman" w:hAnsi="Times New Roman"/>
          <w:i/>
          <w:sz w:val="24"/>
        </w:rPr>
        <w:t>Southern Properties (WA) Pty</w:t>
      </w:r>
      <w:r>
        <w:rPr>
          <w:rFonts w:ascii="Times New Roman" w:hAnsi="Times New Roman"/>
          <w:i/>
          <w:sz w:val="24"/>
        </w:rPr>
        <w:t> </w:t>
      </w:r>
      <w:r w:rsidRPr="00D71897">
        <w:rPr>
          <w:rFonts w:ascii="Times New Roman" w:hAnsi="Times New Roman"/>
          <w:i/>
          <w:sz w:val="24"/>
        </w:rPr>
        <w:t>Ltd v Executive Director of the Department of Conservation and Land Management</w:t>
      </w:r>
      <w:r w:rsidRPr="00D71897">
        <w:rPr>
          <w:rFonts w:ascii="Times New Roman" w:hAnsi="Times New Roman"/>
          <w:sz w:val="24"/>
        </w:rPr>
        <w:t xml:space="preserve"> (2012) 42 WAR 287 at 310-311 [118]-[125].</w:t>
      </w:r>
    </w:p>
  </w:footnote>
  <w:footnote w:id="134">
    <w:p w14:paraId="2332A7B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(1955) 91 CLR 512 at 519-520. </w:t>
      </w:r>
    </w:p>
  </w:footnote>
  <w:footnote w:id="135">
    <w:p w14:paraId="69595B5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(1986) 161 CLR 141 at 145-146. </w:t>
      </w:r>
    </w:p>
  </w:footnote>
  <w:footnote w:id="136">
    <w:p w14:paraId="2412117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(2012) 204 FCR 557.</w:t>
      </w:r>
    </w:p>
  </w:footnote>
  <w:footnote w:id="137">
    <w:p w14:paraId="6434DB8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SZQGA </w:t>
      </w:r>
      <w:r w:rsidRPr="00D71897">
        <w:rPr>
          <w:rFonts w:ascii="Times New Roman" w:hAnsi="Times New Roman"/>
          <w:sz w:val="24"/>
        </w:rPr>
        <w:t>(2012) 204 FCR 557 at 591 [157].</w:t>
      </w:r>
    </w:p>
  </w:footnote>
  <w:footnote w:id="138">
    <w:p w14:paraId="5AD7511D"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(2020) 94 ALJR 928 at 954 [109]; 383 ALR 407 at 438.</w:t>
      </w:r>
    </w:p>
  </w:footnote>
  <w:footnote w:id="139">
    <w:p w14:paraId="114FBBC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Guo v The Commonwealth</w:t>
      </w:r>
      <w:r w:rsidRPr="00D71897">
        <w:rPr>
          <w:rFonts w:ascii="Times New Roman" w:hAnsi="Times New Roman"/>
          <w:sz w:val="24"/>
        </w:rPr>
        <w:t xml:space="preserve"> (2017) 258 FCR 31 at 56 [83].</w:t>
      </w:r>
      <w:r w:rsidRPr="00D71897">
        <w:rPr>
          <w:rFonts w:ascii="Times New Roman" w:hAnsi="Times New Roman"/>
          <w:i/>
          <w:sz w:val="24"/>
        </w:rPr>
        <w:t xml:space="preserve"> </w:t>
      </w:r>
    </w:p>
  </w:footnote>
  <w:footnote w:id="140">
    <w:p w14:paraId="3AE3668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See, eg, </w:t>
      </w:r>
      <w:r w:rsidRPr="00D71897">
        <w:rPr>
          <w:rFonts w:ascii="Times New Roman" w:hAnsi="Times New Roman"/>
          <w:i/>
          <w:sz w:val="24"/>
        </w:rPr>
        <w:t xml:space="preserve">SZMTA </w:t>
      </w:r>
      <w:r w:rsidRPr="00D71897">
        <w:rPr>
          <w:rFonts w:ascii="Times New Roman" w:hAnsi="Times New Roman"/>
          <w:sz w:val="24"/>
        </w:rPr>
        <w:t>(2019) 264 CLR 421 at 446 [50], 447 [55]</w:t>
      </w:r>
      <w:r w:rsidRPr="00D71897">
        <w:rPr>
          <w:rFonts w:ascii="Times New Roman" w:hAnsi="Times New Roman"/>
          <w:sz w:val="24"/>
        </w:rPr>
        <w:noBreakHyphen/>
        <w:t xml:space="preserve">[57], 467 [121]; </w:t>
      </w:r>
      <w:r w:rsidRPr="00D71897">
        <w:rPr>
          <w:rFonts w:ascii="Times New Roman" w:hAnsi="Times New Roman"/>
          <w:i/>
          <w:sz w:val="24"/>
        </w:rPr>
        <w:t>MZAPC</w:t>
      </w:r>
      <w:r>
        <w:rPr>
          <w:rFonts w:ascii="Times New Roman" w:hAnsi="Times New Roman"/>
          <w:i/>
          <w:sz w:val="24"/>
        </w:rPr>
        <w:t> </w:t>
      </w:r>
      <w:r w:rsidRPr="00D71897">
        <w:rPr>
          <w:rFonts w:ascii="Times New Roman" w:hAnsi="Times New Roman"/>
          <w:i/>
          <w:sz w:val="24"/>
        </w:rPr>
        <w:t xml:space="preserve">v Minister for Immigration and Border Protection </w:t>
      </w:r>
      <w:r w:rsidRPr="00D71897">
        <w:rPr>
          <w:rFonts w:ascii="Times New Roman" w:hAnsi="Times New Roman"/>
          <w:sz w:val="24"/>
        </w:rPr>
        <w:t>[2019] FCA 2024 at [11].</w:t>
      </w:r>
    </w:p>
  </w:footnote>
  <w:footnote w:id="141">
    <w:p w14:paraId="40E153CF" w14:textId="77777777" w:rsidR="007B5A1E" w:rsidRPr="00D71897" w:rsidRDefault="007B5A1E" w:rsidP="00D71897">
      <w:pPr>
        <w:pStyle w:val="FootnoteText"/>
        <w:spacing w:line="280" w:lineRule="exact"/>
        <w:ind w:right="0"/>
        <w:jc w:val="both"/>
        <w:rPr>
          <w:rFonts w:ascii="Times New Roman" w:hAnsi="Times New Roman"/>
          <w:i/>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bookmarkStart w:id="2" w:name="_Hlk67409787"/>
      <w:r w:rsidRPr="00D71897">
        <w:rPr>
          <w:rFonts w:ascii="Times New Roman" w:hAnsi="Times New Roman"/>
          <w:i/>
          <w:sz w:val="24"/>
        </w:rPr>
        <w:t xml:space="preserve">R v Australian Broadcasting Tribunal; Ex parte Hardiman </w:t>
      </w:r>
      <w:r w:rsidRPr="00D71897">
        <w:rPr>
          <w:rFonts w:ascii="Times New Roman" w:hAnsi="Times New Roman"/>
          <w:sz w:val="24"/>
        </w:rPr>
        <w:t xml:space="preserve">(1980) 144 CLR 13 </w:t>
      </w:r>
      <w:bookmarkEnd w:id="2"/>
      <w:r w:rsidRPr="00D71897">
        <w:rPr>
          <w:rFonts w:ascii="Times New Roman" w:hAnsi="Times New Roman"/>
          <w:sz w:val="24"/>
        </w:rPr>
        <w:t>at 35-36.</w:t>
      </w:r>
      <w:r w:rsidRPr="00D71897">
        <w:rPr>
          <w:rFonts w:ascii="Times New Roman" w:hAnsi="Times New Roman"/>
          <w:i/>
          <w:sz w:val="24"/>
        </w:rPr>
        <w:t xml:space="preserve"> </w:t>
      </w:r>
    </w:p>
  </w:footnote>
  <w:footnote w:id="142">
    <w:p w14:paraId="1F59155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Shi v Migration Agents Registration Authority </w:t>
      </w:r>
      <w:r w:rsidRPr="00D71897">
        <w:rPr>
          <w:rFonts w:ascii="Times New Roman" w:hAnsi="Times New Roman"/>
          <w:sz w:val="24"/>
        </w:rPr>
        <w:t xml:space="preserve">(2008) 235 CLR 286 at 299 [40]; </w:t>
      </w:r>
      <w:r w:rsidRPr="00D71897">
        <w:rPr>
          <w:rFonts w:ascii="Times New Roman" w:hAnsi="Times New Roman"/>
          <w:i/>
          <w:sz w:val="24"/>
        </w:rPr>
        <w:t xml:space="preserve">Frugtniet v Australian Securities and Investments Commission </w:t>
      </w:r>
      <w:r w:rsidRPr="00D71897">
        <w:rPr>
          <w:rFonts w:ascii="Times New Roman" w:hAnsi="Times New Roman"/>
          <w:sz w:val="24"/>
        </w:rPr>
        <w:t>(2019) 266 CLR 250 at 271 [51].</w:t>
      </w:r>
    </w:p>
  </w:footnote>
  <w:footnote w:id="143">
    <w:p w14:paraId="3793E4EC"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Frugtniet </w:t>
      </w:r>
      <w:r w:rsidRPr="00D71897">
        <w:rPr>
          <w:rFonts w:ascii="Times New Roman" w:hAnsi="Times New Roman"/>
          <w:sz w:val="24"/>
        </w:rPr>
        <w:t>(2019) 266 CLR 250 at 271 [51].</w:t>
      </w:r>
    </w:p>
  </w:footnote>
  <w:footnote w:id="144">
    <w:p w14:paraId="3FC20E6C"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(1996) 28 HLR 56 at 67.</w:t>
      </w:r>
    </w:p>
  </w:footnote>
  <w:footnote w:id="145">
    <w:p w14:paraId="12B0132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[2016] UKPC 24 at [43].</w:t>
      </w:r>
    </w:p>
  </w:footnote>
  <w:footnote w:id="146">
    <w:p w14:paraId="07DBE22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Wei </w:t>
      </w:r>
      <w:r w:rsidRPr="00D71897">
        <w:rPr>
          <w:rFonts w:ascii="Times New Roman" w:hAnsi="Times New Roman"/>
          <w:sz w:val="24"/>
        </w:rPr>
        <w:t>(1991) 29 FCR 455 at 476. See also</w:t>
      </w:r>
      <w:r w:rsidRPr="00D71897">
        <w:rPr>
          <w:rFonts w:ascii="Times New Roman" w:hAnsi="Times New Roman"/>
          <w:i/>
          <w:sz w:val="24"/>
        </w:rPr>
        <w:t xml:space="preserve"> AQM18 </w:t>
      </w:r>
      <w:r w:rsidRPr="00D71897">
        <w:rPr>
          <w:rFonts w:ascii="Times New Roman" w:hAnsi="Times New Roman"/>
          <w:sz w:val="24"/>
        </w:rPr>
        <w:t xml:space="preserve">(2019) 268 FCR 424 at 434 [59]. </w:t>
      </w:r>
    </w:p>
  </w:footnote>
  <w:footnote w:id="147">
    <w:p w14:paraId="197F352E"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McHugh v Minister for Immigration, Citizenship, Migrant Services and Multicultural Affairs </w:t>
      </w:r>
      <w:r w:rsidRPr="00D71897">
        <w:rPr>
          <w:rFonts w:ascii="Times New Roman" w:hAnsi="Times New Roman"/>
          <w:sz w:val="24"/>
        </w:rPr>
        <w:t>(2020) 385 ALR 405 at 407 [5].</w:t>
      </w:r>
    </w:p>
  </w:footnote>
  <w:footnote w:id="148">
    <w:p w14:paraId="4027DEB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Guo </w:t>
      </w:r>
      <w:r w:rsidRPr="00D71897">
        <w:rPr>
          <w:rFonts w:ascii="Times New Roman" w:hAnsi="Times New Roman"/>
          <w:sz w:val="24"/>
        </w:rPr>
        <w:t>(2017) 258 FCR 31 at 55 [80], 56 [83], 77 [151].</w:t>
      </w:r>
    </w:p>
  </w:footnote>
  <w:footnote w:id="149">
    <w:p w14:paraId="54988E8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(2017) 258 FCR 31 at 56 [83]. See also </w:t>
      </w:r>
      <w:r w:rsidRPr="00D71897">
        <w:rPr>
          <w:rFonts w:ascii="Times New Roman" w:hAnsi="Times New Roman"/>
          <w:i/>
          <w:sz w:val="24"/>
        </w:rPr>
        <w:t>Burgess v The Commonwealth</w:t>
      </w:r>
      <w:r w:rsidRPr="00D71897">
        <w:rPr>
          <w:rFonts w:ascii="Times New Roman" w:hAnsi="Times New Roman"/>
          <w:sz w:val="24"/>
        </w:rPr>
        <w:t xml:space="preserve"> (2020) 276</w:t>
      </w:r>
      <w:r>
        <w:rPr>
          <w:rFonts w:ascii="Times New Roman" w:hAnsi="Times New Roman"/>
          <w:sz w:val="24"/>
        </w:rPr>
        <w:t> </w:t>
      </w:r>
      <w:r w:rsidRPr="00D71897">
        <w:rPr>
          <w:rFonts w:ascii="Times New Roman" w:hAnsi="Times New Roman"/>
          <w:sz w:val="24"/>
        </w:rPr>
        <w:t>FCR 548 at 567 [68].</w:t>
      </w:r>
    </w:p>
  </w:footnote>
  <w:footnote w:id="150">
    <w:p w14:paraId="7BA11F7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(1959) 101 CLR 226 at 235.</w:t>
      </w:r>
    </w:p>
  </w:footnote>
  <w:footnote w:id="151">
    <w:p w14:paraId="6F41288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SZMTA </w:t>
      </w:r>
      <w:r w:rsidRPr="00D71897">
        <w:rPr>
          <w:rFonts w:ascii="Times New Roman" w:hAnsi="Times New Roman"/>
          <w:sz w:val="24"/>
        </w:rPr>
        <w:t>(2019) 264 CLR 421 at 445 [48].</w:t>
      </w:r>
    </w:p>
  </w:footnote>
  <w:footnote w:id="152">
    <w:p w14:paraId="31BD3058"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SZMTA </w:t>
      </w:r>
      <w:r w:rsidRPr="00D71897">
        <w:rPr>
          <w:rFonts w:ascii="Times New Roman" w:hAnsi="Times New Roman"/>
          <w:sz w:val="24"/>
        </w:rPr>
        <w:t>(2019) 264 CLR 421 at 445 [48].</w:t>
      </w:r>
    </w:p>
  </w:footnote>
  <w:footnote w:id="153">
    <w:p w14:paraId="41F45D5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SZMTA </w:t>
      </w:r>
      <w:r w:rsidRPr="00D71897">
        <w:rPr>
          <w:rFonts w:ascii="Times New Roman" w:hAnsi="Times New Roman"/>
          <w:sz w:val="24"/>
        </w:rPr>
        <w:t xml:space="preserve">(2019) 264 CLR 421 at 460 [95]. See also </w:t>
      </w:r>
      <w:r w:rsidRPr="00D71897">
        <w:rPr>
          <w:rFonts w:ascii="Times New Roman" w:hAnsi="Times New Roman"/>
          <w:i/>
          <w:sz w:val="24"/>
        </w:rPr>
        <w:t xml:space="preserve">Quin </w:t>
      </w:r>
      <w:r w:rsidRPr="00D71897">
        <w:rPr>
          <w:rFonts w:ascii="Times New Roman" w:hAnsi="Times New Roman"/>
          <w:sz w:val="24"/>
        </w:rPr>
        <w:t>(1990) 170 CLR 1 at 35</w:t>
      </w:r>
      <w:r>
        <w:rPr>
          <w:rFonts w:ascii="Times New Roman" w:hAnsi="Times New Roman"/>
          <w:sz w:val="24"/>
        </w:rPr>
        <w:noBreakHyphen/>
      </w:r>
      <w:r w:rsidRPr="00D71897">
        <w:rPr>
          <w:rFonts w:ascii="Times New Roman" w:hAnsi="Times New Roman"/>
          <w:sz w:val="24"/>
        </w:rPr>
        <w:t xml:space="preserve">36; </w:t>
      </w:r>
      <w:r w:rsidRPr="00D71897">
        <w:rPr>
          <w:rFonts w:ascii="Times New Roman" w:hAnsi="Times New Roman"/>
          <w:i/>
          <w:sz w:val="24"/>
        </w:rPr>
        <w:t xml:space="preserve">ABT17 </w:t>
      </w:r>
      <w:r w:rsidRPr="00D71897">
        <w:rPr>
          <w:rFonts w:ascii="Times New Roman" w:hAnsi="Times New Roman"/>
          <w:sz w:val="24"/>
        </w:rPr>
        <w:t xml:space="preserve">(2020) 94 ALJR 928 at 948 [72], 954 [105]; 383 ALR 407 at 429-430, 437; </w:t>
      </w:r>
      <w:r w:rsidRPr="00D71897">
        <w:rPr>
          <w:rFonts w:ascii="Times New Roman" w:hAnsi="Times New Roman"/>
          <w:i/>
          <w:sz w:val="24"/>
        </w:rPr>
        <w:t xml:space="preserve">PQSM v Minister for Home Affairs </w:t>
      </w:r>
      <w:r w:rsidRPr="00D71897">
        <w:rPr>
          <w:rFonts w:ascii="Times New Roman" w:hAnsi="Times New Roman"/>
          <w:sz w:val="24"/>
        </w:rPr>
        <w:t>(2020) 382 ALR 195 at 211 [75], 228 [150].</w:t>
      </w:r>
    </w:p>
  </w:footnote>
  <w:footnote w:id="154">
    <w:p w14:paraId="56AD7D0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When the appellant arrived in Australia on 22 January 2006, he held a student visa which ended on 15 March 2008. The appellant applied for a different class of student visa on 30 August 2007, which was refused, and he made an invalid protection visa application on 31 October 2013, before making his valid protection visa application.</w:t>
      </w:r>
    </w:p>
  </w:footnote>
  <w:footnote w:id="155">
    <w:p w14:paraId="58A1D4F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MZAPC </w:t>
      </w:r>
      <w:r w:rsidRPr="00D71897">
        <w:rPr>
          <w:rFonts w:ascii="Times New Roman" w:hAnsi="Times New Roman"/>
          <w:sz w:val="24"/>
        </w:rPr>
        <w:t>[2019] FCA 2024 at [35].</w:t>
      </w:r>
    </w:p>
  </w:footnote>
  <w:footnote w:id="156">
    <w:p w14:paraId="5373479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MZAPC </w:t>
      </w:r>
      <w:r w:rsidRPr="00D71897">
        <w:rPr>
          <w:rFonts w:ascii="Times New Roman" w:hAnsi="Times New Roman"/>
          <w:sz w:val="24"/>
        </w:rPr>
        <w:t>[2019] FCA 2024 at [56]-[58].</w:t>
      </w:r>
    </w:p>
  </w:footnote>
  <w:footnote w:id="157">
    <w:p w14:paraId="088E597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MZAPC </w:t>
      </w:r>
      <w:r w:rsidRPr="00D71897">
        <w:rPr>
          <w:rFonts w:ascii="Times New Roman" w:hAnsi="Times New Roman"/>
          <w:sz w:val="24"/>
        </w:rPr>
        <w:t>[2019] FCA 2024 at [58].</w:t>
      </w:r>
    </w:p>
  </w:footnote>
  <w:footnote w:id="158">
    <w:p w14:paraId="580B6D31"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See [</w:t>
      </w:r>
      <w:r>
        <w:rPr>
          <w:rFonts w:ascii="Times New Roman" w:hAnsi="Times New Roman"/>
          <w:sz w:val="24"/>
        </w:rPr>
        <w:t>89</w:t>
      </w:r>
      <w:r w:rsidRPr="00D71897">
        <w:rPr>
          <w:rFonts w:ascii="Times New Roman" w:hAnsi="Times New Roman"/>
          <w:sz w:val="24"/>
        </w:rPr>
        <w:t>]-[</w:t>
      </w:r>
      <w:r>
        <w:rPr>
          <w:rFonts w:ascii="Times New Roman" w:hAnsi="Times New Roman"/>
          <w:sz w:val="24"/>
        </w:rPr>
        <w:t>123</w:t>
      </w:r>
      <w:r w:rsidRPr="00D71897">
        <w:rPr>
          <w:rFonts w:ascii="Times New Roman" w:hAnsi="Times New Roman"/>
          <w:sz w:val="24"/>
        </w:rPr>
        <w:t>] above.</w:t>
      </w:r>
    </w:p>
  </w:footnote>
  <w:footnote w:id="159">
    <w:p w14:paraId="4968E2C4"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Project Blue Sky </w:t>
      </w:r>
      <w:r w:rsidRPr="00D71897">
        <w:rPr>
          <w:rFonts w:ascii="Times New Roman" w:hAnsi="Times New Roman"/>
          <w:sz w:val="24"/>
        </w:rPr>
        <w:t>(1998) 194 CLR 355 at 388-391 [91]-[93]. cf </w:t>
      </w:r>
      <w:r w:rsidRPr="00D71897">
        <w:rPr>
          <w:rFonts w:ascii="Times New Roman" w:hAnsi="Times New Roman"/>
          <w:i/>
          <w:sz w:val="24"/>
        </w:rPr>
        <w:t xml:space="preserve">Hossain </w:t>
      </w:r>
      <w:r w:rsidRPr="00D71897">
        <w:rPr>
          <w:rFonts w:ascii="Times New Roman" w:hAnsi="Times New Roman"/>
          <w:sz w:val="24"/>
        </w:rPr>
        <w:t>(2018) 264</w:t>
      </w:r>
      <w:r>
        <w:rPr>
          <w:rFonts w:ascii="Times New Roman" w:hAnsi="Times New Roman"/>
          <w:sz w:val="24"/>
        </w:rPr>
        <w:t> </w:t>
      </w:r>
      <w:r w:rsidRPr="00D71897">
        <w:rPr>
          <w:rFonts w:ascii="Times New Roman" w:hAnsi="Times New Roman"/>
          <w:sz w:val="24"/>
        </w:rPr>
        <w:t xml:space="preserve">CLR 123 at 134 [29], 145 [65]; </w:t>
      </w:r>
      <w:r w:rsidRPr="00D71897">
        <w:rPr>
          <w:rFonts w:ascii="Times New Roman" w:hAnsi="Times New Roman"/>
          <w:i/>
          <w:sz w:val="24"/>
        </w:rPr>
        <w:t>SZMTA</w:t>
      </w:r>
      <w:r w:rsidRPr="00D71897">
        <w:rPr>
          <w:rFonts w:ascii="Times New Roman" w:hAnsi="Times New Roman"/>
          <w:sz w:val="24"/>
        </w:rPr>
        <w:t xml:space="preserve"> (2019) 264 CLR 421 at 444 [44], 458</w:t>
      </w:r>
      <w:r>
        <w:rPr>
          <w:rFonts w:ascii="Times New Roman" w:hAnsi="Times New Roman"/>
          <w:sz w:val="24"/>
        </w:rPr>
        <w:noBreakHyphen/>
      </w:r>
      <w:r w:rsidRPr="00D71897">
        <w:rPr>
          <w:rFonts w:ascii="Times New Roman" w:hAnsi="Times New Roman"/>
          <w:sz w:val="24"/>
        </w:rPr>
        <w:t xml:space="preserve">459 [90]; </w:t>
      </w:r>
      <w:r w:rsidRPr="00D71897">
        <w:rPr>
          <w:rFonts w:ascii="Times New Roman" w:hAnsi="Times New Roman"/>
          <w:i/>
          <w:sz w:val="24"/>
        </w:rPr>
        <w:t xml:space="preserve">MZAOL v Minister for Immigration and Border Protection </w:t>
      </w:r>
      <w:r w:rsidRPr="00D71897">
        <w:rPr>
          <w:rFonts w:ascii="Times New Roman" w:hAnsi="Times New Roman"/>
          <w:sz w:val="24"/>
        </w:rPr>
        <w:t xml:space="preserve">[2019] FCAFC 68 at [75]. </w:t>
      </w:r>
    </w:p>
  </w:footnote>
  <w:footnote w:id="160">
    <w:p w14:paraId="57D05D9B"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412.</w:t>
      </w:r>
    </w:p>
  </w:footnote>
  <w:footnote w:id="161">
    <w:p w14:paraId="6FA3EC6E"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414.</w:t>
      </w:r>
    </w:p>
  </w:footnote>
  <w:footnote w:id="162">
    <w:p w14:paraId="7EB2321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414A (as it stood at the relevant time).</w:t>
      </w:r>
    </w:p>
  </w:footnote>
  <w:footnote w:id="163">
    <w:p w14:paraId="15389F8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415(1)-(2).</w:t>
      </w:r>
    </w:p>
  </w:footnote>
  <w:footnote w:id="164">
    <w:p w14:paraId="384DE68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415(3).</w:t>
      </w:r>
    </w:p>
  </w:footnote>
  <w:footnote w:id="165">
    <w:p w14:paraId="1F9177A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418(1)-(2).</w:t>
      </w:r>
    </w:p>
  </w:footnote>
  <w:footnote w:id="166">
    <w:p w14:paraId="2AA7F465"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418(3).</w:t>
      </w:r>
    </w:p>
  </w:footnote>
  <w:footnote w:id="167">
    <w:p w14:paraId="08579F69"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420(1) (as it stood at the relevant time).</w:t>
      </w:r>
    </w:p>
  </w:footnote>
  <w:footnote w:id="168">
    <w:p w14:paraId="248B3505"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420(2) (as it stood at the relevant time).</w:t>
      </w:r>
    </w:p>
  </w:footnote>
  <w:footnote w:id="169">
    <w:p w14:paraId="0B7DCB4C"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422B(1).</w:t>
      </w:r>
    </w:p>
  </w:footnote>
  <w:footnote w:id="170">
    <w:p w14:paraId="73ECEB3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422B(3).</w:t>
      </w:r>
    </w:p>
  </w:footnote>
  <w:footnote w:id="171">
    <w:p w14:paraId="63087731"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423; see also s 418(2)-(3).</w:t>
      </w:r>
    </w:p>
  </w:footnote>
  <w:footnote w:id="172">
    <w:p w14:paraId="56D18750"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423(1).</w:t>
      </w:r>
    </w:p>
  </w:footnote>
  <w:footnote w:id="173">
    <w:p w14:paraId="3F40F336"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424(1).</w:t>
      </w:r>
    </w:p>
  </w:footnote>
  <w:footnote w:id="174">
    <w:p w14:paraId="39BF2EB7"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425; see also ss 425A and 426.</w:t>
      </w:r>
    </w:p>
  </w:footnote>
  <w:footnote w:id="175">
    <w:p w14:paraId="767002FC"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See </w:t>
      </w:r>
      <w:r w:rsidRPr="00D71897">
        <w:rPr>
          <w:rFonts w:ascii="Times New Roman" w:hAnsi="Times New Roman"/>
          <w:i/>
          <w:sz w:val="24"/>
        </w:rPr>
        <w:t>SZMTA</w:t>
      </w:r>
      <w:r w:rsidRPr="00D71897">
        <w:rPr>
          <w:rFonts w:ascii="Times New Roman" w:hAnsi="Times New Roman"/>
          <w:sz w:val="24"/>
        </w:rPr>
        <w:t xml:space="preserve"> (2019) 264 CLR 421 at 436 [15].</w:t>
      </w:r>
    </w:p>
  </w:footnote>
  <w:footnote w:id="176">
    <w:p w14:paraId="422F7BF3"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t xml:space="preserve">(2019) 264 CLR 421 at 433 [2], 440 [27], 440-441 [29], </w:t>
      </w:r>
      <w:r>
        <w:rPr>
          <w:rFonts w:ascii="Times New Roman" w:hAnsi="Times New Roman"/>
          <w:sz w:val="24"/>
        </w:rPr>
        <w:t>4</w:t>
      </w:r>
      <w:r w:rsidRPr="00D71897">
        <w:rPr>
          <w:rFonts w:ascii="Times New Roman" w:hAnsi="Times New Roman"/>
          <w:sz w:val="24"/>
        </w:rPr>
        <w:t>42-</w:t>
      </w:r>
      <w:r>
        <w:rPr>
          <w:rFonts w:ascii="Times New Roman" w:hAnsi="Times New Roman"/>
          <w:sz w:val="24"/>
        </w:rPr>
        <w:t>4</w:t>
      </w:r>
      <w:r w:rsidRPr="00D71897">
        <w:rPr>
          <w:rFonts w:ascii="Times New Roman" w:hAnsi="Times New Roman"/>
          <w:sz w:val="24"/>
        </w:rPr>
        <w:t>43 [34]-[38], 447</w:t>
      </w:r>
      <w:r>
        <w:rPr>
          <w:rFonts w:ascii="Times New Roman" w:hAnsi="Times New Roman"/>
          <w:sz w:val="24"/>
        </w:rPr>
        <w:t> </w:t>
      </w:r>
      <w:r w:rsidRPr="00D71897">
        <w:rPr>
          <w:rFonts w:ascii="Times New Roman" w:hAnsi="Times New Roman"/>
          <w:sz w:val="24"/>
        </w:rPr>
        <w:t>[57], 452 [72], 454 [78], 466 [115], 466-467 [117].</w:t>
      </w:r>
    </w:p>
  </w:footnote>
  <w:footnote w:id="177">
    <w:p w14:paraId="32B3039A"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430(1).</w:t>
      </w:r>
    </w:p>
  </w:footnote>
  <w:footnote w:id="178">
    <w:p w14:paraId="189DFB1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Migration Act</w:t>
      </w:r>
      <w:r w:rsidRPr="00D71897">
        <w:rPr>
          <w:rFonts w:ascii="Times New Roman" w:hAnsi="Times New Roman"/>
          <w:sz w:val="24"/>
        </w:rPr>
        <w:t>, s 438(3).</w:t>
      </w:r>
    </w:p>
  </w:footnote>
  <w:footnote w:id="179">
    <w:p w14:paraId="7FB7955F"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MZAPC </w:t>
      </w:r>
      <w:r w:rsidRPr="00D71897">
        <w:rPr>
          <w:rFonts w:ascii="Times New Roman" w:hAnsi="Times New Roman"/>
          <w:sz w:val="24"/>
        </w:rPr>
        <w:t>[2019] FCA 2024 at [52].</w:t>
      </w:r>
    </w:p>
  </w:footnote>
  <w:footnote w:id="180">
    <w:p w14:paraId="40EA57CC"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MZAPC </w:t>
      </w:r>
      <w:r w:rsidRPr="00D71897">
        <w:rPr>
          <w:rFonts w:ascii="Times New Roman" w:hAnsi="Times New Roman"/>
          <w:sz w:val="24"/>
        </w:rPr>
        <w:t>[2019] FCA 2024 at [57].</w:t>
      </w:r>
    </w:p>
  </w:footnote>
  <w:footnote w:id="181">
    <w:p w14:paraId="7936F15E" w14:textId="77777777" w:rsidR="007B5A1E" w:rsidRPr="00D71897" w:rsidRDefault="007B5A1E" w:rsidP="00D71897">
      <w:pPr>
        <w:pStyle w:val="FootnoteText"/>
        <w:spacing w:line="280" w:lineRule="exact"/>
        <w:ind w:right="0"/>
        <w:jc w:val="both"/>
        <w:rPr>
          <w:rFonts w:ascii="Times New Roman" w:hAnsi="Times New Roman"/>
          <w:sz w:val="24"/>
        </w:rPr>
      </w:pPr>
      <w:r w:rsidRPr="00D71897">
        <w:rPr>
          <w:rStyle w:val="FootnoteReference"/>
          <w:rFonts w:ascii="Times New Roman" w:hAnsi="Times New Roman"/>
          <w:sz w:val="22"/>
          <w:vertAlign w:val="baseline"/>
        </w:rPr>
        <w:footnoteRef/>
      </w:r>
      <w:r w:rsidRPr="00D71897">
        <w:rPr>
          <w:rFonts w:ascii="Times New Roman" w:hAnsi="Times New Roman"/>
          <w:sz w:val="24"/>
        </w:rPr>
        <w:t xml:space="preserve"> </w:t>
      </w:r>
      <w:r w:rsidRPr="00D71897">
        <w:rPr>
          <w:rFonts w:ascii="Times New Roman" w:hAnsi="Times New Roman"/>
          <w:sz w:val="24"/>
        </w:rPr>
        <w:tab/>
      </w:r>
      <w:r w:rsidRPr="00D71897">
        <w:rPr>
          <w:rFonts w:ascii="Times New Roman" w:hAnsi="Times New Roman"/>
          <w:i/>
          <w:sz w:val="24"/>
        </w:rPr>
        <w:t xml:space="preserve">MZAPC </w:t>
      </w:r>
      <w:r w:rsidRPr="00D71897">
        <w:rPr>
          <w:rFonts w:ascii="Times New Roman" w:hAnsi="Times New Roman"/>
          <w:sz w:val="24"/>
        </w:rPr>
        <w:t>[2019] FCA 2024 at [56].</w:t>
      </w:r>
    </w:p>
  </w:footnote>
  <w:footnote w:id="182">
    <w:p w14:paraId="2D2BAE30"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Shinseki v Sanders</w:t>
      </w:r>
      <w:r w:rsidRPr="00BB73AE">
        <w:rPr>
          <w:rFonts w:ascii="Times New Roman" w:hAnsi="Times New Roman"/>
          <w:sz w:val="24"/>
        </w:rPr>
        <w:t xml:space="preserve"> (2009) 556 US 396 at 410.</w:t>
      </w:r>
    </w:p>
  </w:footnote>
  <w:footnote w:id="183">
    <w:p w14:paraId="7FC63DE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Palmer v Hoffman </w:t>
      </w:r>
      <w:r w:rsidRPr="00BB73AE">
        <w:rPr>
          <w:rFonts w:ascii="Times New Roman" w:hAnsi="Times New Roman"/>
          <w:sz w:val="24"/>
        </w:rPr>
        <w:t>(1943) 318 US 109 at 116.</w:t>
      </w:r>
    </w:p>
  </w:footnote>
  <w:footnote w:id="184">
    <w:p w14:paraId="7341B84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Style w:val="Emphasis"/>
          <w:rFonts w:ascii="Times New Roman" w:hAnsi="Times New Roman"/>
          <w:sz w:val="24"/>
        </w:rPr>
        <w:t>Keyes</w:t>
      </w:r>
      <w:r w:rsidRPr="00BB73AE">
        <w:rPr>
          <w:rFonts w:ascii="Times New Roman" w:hAnsi="Times New Roman"/>
          <w:sz w:val="24"/>
        </w:rPr>
        <w:t xml:space="preserve"> </w:t>
      </w:r>
      <w:r w:rsidRPr="00BB73AE">
        <w:rPr>
          <w:rFonts w:ascii="Times New Roman" w:hAnsi="Times New Roman"/>
          <w:i/>
          <w:sz w:val="24"/>
        </w:rPr>
        <w:t>v</w:t>
      </w:r>
      <w:r w:rsidRPr="00BB73AE">
        <w:rPr>
          <w:rFonts w:ascii="Times New Roman" w:hAnsi="Times New Roman"/>
          <w:sz w:val="24"/>
        </w:rPr>
        <w:t xml:space="preserve"> </w:t>
      </w:r>
      <w:r w:rsidRPr="00BB73AE">
        <w:rPr>
          <w:rStyle w:val="Emphasis"/>
          <w:rFonts w:ascii="Times New Roman" w:hAnsi="Times New Roman"/>
          <w:sz w:val="24"/>
        </w:rPr>
        <w:t>School District No 1</w:t>
      </w:r>
      <w:r w:rsidRPr="00BB73AE">
        <w:rPr>
          <w:rFonts w:ascii="Times New Roman" w:hAnsi="Times New Roman"/>
          <w:sz w:val="24"/>
        </w:rPr>
        <w:t xml:space="preserve"> (1973) 413 US 189 at 209.</w:t>
      </w:r>
    </w:p>
  </w:footnote>
  <w:footnote w:id="185">
    <w:p w14:paraId="3B479B9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Shinseki v Sanders</w:t>
      </w:r>
      <w:r w:rsidRPr="00BB73AE">
        <w:rPr>
          <w:rFonts w:ascii="Times New Roman" w:hAnsi="Times New Roman"/>
          <w:sz w:val="24"/>
        </w:rPr>
        <w:t xml:space="preserve"> (2009) 556 US 396 at 415.</w:t>
      </w:r>
    </w:p>
  </w:footnote>
  <w:footnote w:id="186">
    <w:p w14:paraId="4529C0C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Traynor, </w:t>
      </w:r>
      <w:r w:rsidRPr="00BB73AE">
        <w:rPr>
          <w:rFonts w:ascii="Times New Roman" w:hAnsi="Times New Roman"/>
          <w:i/>
          <w:iCs/>
          <w:sz w:val="24"/>
        </w:rPr>
        <w:t xml:space="preserve">The Riddle of Harmless Error </w:t>
      </w:r>
      <w:r w:rsidRPr="00BB73AE">
        <w:rPr>
          <w:rFonts w:ascii="Times New Roman" w:hAnsi="Times New Roman"/>
          <w:sz w:val="24"/>
        </w:rPr>
        <w:t>(1970) at 26, suggesting that this must be done "without benefit of such aids as presumptions or allocated burdens of proof".</w:t>
      </w:r>
    </w:p>
  </w:footnote>
  <w:footnote w:id="187">
    <w:p w14:paraId="6DD698D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Balenzuela v De Gail</w:t>
      </w:r>
      <w:r w:rsidRPr="00BB73AE">
        <w:rPr>
          <w:rFonts w:ascii="Times New Roman" w:hAnsi="Times New Roman"/>
          <w:sz w:val="24"/>
        </w:rPr>
        <w:t xml:space="preserve"> (1959) 101 CLR 226 at 234</w:t>
      </w:r>
      <w:r w:rsidRPr="00BB73AE">
        <w:rPr>
          <w:rFonts w:ascii="Times New Roman" w:hAnsi="Times New Roman"/>
          <w:sz w:val="24"/>
        </w:rPr>
        <w:noBreakHyphen/>
        <w:t>235.</w:t>
      </w:r>
    </w:p>
  </w:footnote>
  <w:footnote w:id="188">
    <w:p w14:paraId="5CB17F0A" w14:textId="77777777" w:rsidR="007B5A1E" w:rsidRPr="00BB73AE" w:rsidRDefault="007B5A1E" w:rsidP="00BB73AE">
      <w:pPr>
        <w:pStyle w:val="FootnoteText"/>
        <w:spacing w:line="280" w:lineRule="exact"/>
        <w:ind w:right="0"/>
        <w:jc w:val="both"/>
        <w:rPr>
          <w:rFonts w:ascii="Times New Roman" w:hAnsi="Times New Roman"/>
          <w:i/>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Blatch v Archer </w:t>
      </w:r>
      <w:r w:rsidRPr="00BB73AE">
        <w:rPr>
          <w:rFonts w:ascii="Times New Roman" w:hAnsi="Times New Roman"/>
          <w:sz w:val="24"/>
        </w:rPr>
        <w:t xml:space="preserve">(1774) 1 Cowp 63 at 65 [98 ER 969 at 970]. See </w:t>
      </w:r>
      <w:r w:rsidRPr="00BB73AE">
        <w:rPr>
          <w:rFonts w:ascii="Times New Roman" w:hAnsi="Times New Roman"/>
          <w:i/>
          <w:sz w:val="24"/>
        </w:rPr>
        <w:t xml:space="preserve">G v H </w:t>
      </w:r>
      <w:r w:rsidRPr="00BB73AE">
        <w:rPr>
          <w:rFonts w:ascii="Times New Roman" w:hAnsi="Times New Roman"/>
          <w:sz w:val="24"/>
        </w:rPr>
        <w:t>(1994) 181 CLR 387 at 391</w:t>
      </w:r>
      <w:r w:rsidRPr="00BB73AE">
        <w:rPr>
          <w:rFonts w:ascii="Times New Roman" w:hAnsi="Times New Roman"/>
          <w:sz w:val="24"/>
        </w:rPr>
        <w:noBreakHyphen/>
        <w:t xml:space="preserve">392; </w:t>
      </w:r>
      <w:r w:rsidRPr="00BB73AE">
        <w:rPr>
          <w:rFonts w:ascii="Times New Roman" w:hAnsi="Times New Roman"/>
          <w:i/>
          <w:sz w:val="24"/>
        </w:rPr>
        <w:t xml:space="preserve">Russo v Aiello </w:t>
      </w:r>
      <w:r w:rsidRPr="00BB73AE">
        <w:rPr>
          <w:rFonts w:ascii="Times New Roman" w:hAnsi="Times New Roman"/>
          <w:sz w:val="24"/>
        </w:rPr>
        <w:t>(2003) 215 CLR 643 at 647 [10].</w:t>
      </w:r>
    </w:p>
  </w:footnote>
  <w:footnote w:id="189">
    <w:p w14:paraId="206378E1" w14:textId="77777777" w:rsidR="007B5A1E" w:rsidRPr="00BB73AE" w:rsidRDefault="007B5A1E" w:rsidP="00BB73AE">
      <w:pPr>
        <w:pStyle w:val="FootnoteText"/>
        <w:spacing w:line="280" w:lineRule="exact"/>
        <w:ind w:right="0"/>
        <w:jc w:val="both"/>
        <w:rPr>
          <w:rFonts w:ascii="Times New Roman" w:hAnsi="Times New Roman"/>
          <w:i/>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Hampton Court Ltd </w:t>
      </w:r>
      <w:r w:rsidRPr="00BB73AE">
        <w:rPr>
          <w:rFonts w:ascii="Times New Roman" w:hAnsi="Times New Roman"/>
          <w:i/>
          <w:sz w:val="24"/>
        </w:rPr>
        <w:t xml:space="preserve">v Crooks </w:t>
      </w:r>
      <w:r w:rsidRPr="00BB73AE">
        <w:rPr>
          <w:rFonts w:ascii="Times New Roman" w:hAnsi="Times New Roman"/>
          <w:sz w:val="24"/>
        </w:rPr>
        <w:t>(1957) 97 CLR 367 at 371.</w:t>
      </w:r>
    </w:p>
  </w:footnote>
  <w:footnote w:id="190">
    <w:p w14:paraId="232105D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At [</w:t>
      </w:r>
      <w:r>
        <w:rPr>
          <w:rFonts w:ascii="Times New Roman" w:hAnsi="Times New Roman"/>
          <w:sz w:val="24"/>
        </w:rPr>
        <w:t>85</w:t>
      </w:r>
      <w:r w:rsidRPr="00BB73AE">
        <w:rPr>
          <w:rFonts w:ascii="Times New Roman" w:hAnsi="Times New Roman"/>
          <w:sz w:val="24"/>
        </w:rPr>
        <w:t>]-[</w:t>
      </w:r>
      <w:r>
        <w:rPr>
          <w:rFonts w:ascii="Times New Roman" w:hAnsi="Times New Roman"/>
          <w:sz w:val="24"/>
        </w:rPr>
        <w:t>86</w:t>
      </w:r>
      <w:r w:rsidRPr="00BB73AE">
        <w:rPr>
          <w:rFonts w:ascii="Times New Roman" w:hAnsi="Times New Roman"/>
          <w:sz w:val="24"/>
        </w:rPr>
        <w:t>].</w:t>
      </w:r>
    </w:p>
  </w:footnote>
  <w:footnote w:id="191">
    <w:p w14:paraId="44E9C220"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Evidence Act </w:t>
      </w:r>
      <w:r w:rsidRPr="00BB73AE">
        <w:rPr>
          <w:rFonts w:ascii="Times New Roman" w:hAnsi="Times New Roman"/>
          <w:i/>
          <w:sz w:val="24"/>
        </w:rPr>
        <w:t xml:space="preserve">1995 </w:t>
      </w:r>
      <w:r w:rsidRPr="00BB73AE">
        <w:rPr>
          <w:rFonts w:ascii="Times New Roman" w:hAnsi="Times New Roman"/>
          <w:sz w:val="24"/>
        </w:rPr>
        <w:t>(Cth), s 55.</w:t>
      </w:r>
    </w:p>
  </w:footnote>
  <w:footnote w:id="192">
    <w:p w14:paraId="56C9283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Kioa v West</w:t>
      </w:r>
      <w:r w:rsidRPr="00BB73AE">
        <w:rPr>
          <w:rFonts w:ascii="Times New Roman" w:hAnsi="Times New Roman"/>
          <w:sz w:val="24"/>
        </w:rPr>
        <w:t xml:space="preserve"> (1985) 159 CLR 550 at 628.</w:t>
      </w:r>
    </w:p>
  </w:footnote>
  <w:footnote w:id="193">
    <w:p w14:paraId="7E193AC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Re Minister for Immigration and Multicultural and Indigenous Affairs; Ex parte Lam</w:t>
      </w:r>
      <w:r w:rsidRPr="00BB73AE">
        <w:rPr>
          <w:rFonts w:ascii="Times New Roman" w:hAnsi="Times New Roman"/>
          <w:sz w:val="24"/>
        </w:rPr>
        <w:t xml:space="preserve"> (2003) 214 CLR 1 at 13-14 [37]-[38]; </w:t>
      </w:r>
      <w:r w:rsidRPr="00BB73AE">
        <w:rPr>
          <w:rFonts w:ascii="Times New Roman" w:hAnsi="Times New Roman"/>
          <w:i/>
          <w:sz w:val="24"/>
        </w:rPr>
        <w:t>Minister for Immigration and Border Protection v SZMTA</w:t>
      </w:r>
      <w:r w:rsidRPr="00BB73AE">
        <w:rPr>
          <w:rFonts w:ascii="Times New Roman" w:hAnsi="Times New Roman"/>
          <w:sz w:val="24"/>
        </w:rPr>
        <w:t xml:space="preserve"> (2019) 264 CLR 421 at 443 [38]; </w:t>
      </w:r>
      <w:r w:rsidRPr="00BB73AE">
        <w:rPr>
          <w:rFonts w:ascii="Times New Roman" w:hAnsi="Times New Roman"/>
          <w:i/>
          <w:sz w:val="24"/>
        </w:rPr>
        <w:t>BVD17 v Minister for Immigration and Border Protection</w:t>
      </w:r>
      <w:r w:rsidRPr="00BB73AE">
        <w:rPr>
          <w:rFonts w:ascii="Times New Roman" w:hAnsi="Times New Roman"/>
          <w:sz w:val="24"/>
        </w:rPr>
        <w:t xml:space="preserve"> (2019) 93 ALJR 1091 at 1104 [66]; 373 ALR 196 at 212; </w:t>
      </w:r>
      <w:r w:rsidRPr="00BB73AE">
        <w:rPr>
          <w:rFonts w:ascii="Times New Roman" w:hAnsi="Times New Roman"/>
          <w:i/>
          <w:sz w:val="24"/>
        </w:rPr>
        <w:t>Minister for Immigration, Citizenship, Migrant Services and Multicultural Affairs v AAM17</w:t>
      </w:r>
      <w:r w:rsidRPr="00BB73AE">
        <w:rPr>
          <w:rFonts w:ascii="Times New Roman" w:hAnsi="Times New Roman"/>
          <w:sz w:val="24"/>
        </w:rPr>
        <w:t xml:space="preserve"> (2021) 95 ALJR 292 at 300 [22], 303 [39], [41], 304 [42(2)].</w:t>
      </w:r>
    </w:p>
  </w:footnote>
  <w:footnote w:id="194">
    <w:p w14:paraId="28F0818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Piddington v Bennett and Wood Pty Ltd </w:t>
      </w:r>
      <w:r w:rsidRPr="00BB73AE">
        <w:rPr>
          <w:rFonts w:ascii="Times New Roman" w:hAnsi="Times New Roman"/>
          <w:sz w:val="24"/>
        </w:rPr>
        <w:t>(1940) 63 CLR 533 at 554.</w:t>
      </w:r>
    </w:p>
  </w:footnote>
  <w:footnote w:id="195">
    <w:p w14:paraId="2DA578CD"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Mraz v The Queen</w:t>
      </w:r>
      <w:r w:rsidRPr="00BB73AE">
        <w:rPr>
          <w:rFonts w:ascii="Times New Roman" w:hAnsi="Times New Roman"/>
          <w:sz w:val="24"/>
        </w:rPr>
        <w:t xml:space="preserve"> (1955) 93 CLR 493 at 514. See also </w:t>
      </w:r>
      <w:r w:rsidRPr="00BB73AE">
        <w:rPr>
          <w:rFonts w:ascii="Times New Roman" w:hAnsi="Times New Roman"/>
          <w:i/>
          <w:sz w:val="24"/>
        </w:rPr>
        <w:t xml:space="preserve">Weiss v The Queen </w:t>
      </w:r>
      <w:r w:rsidRPr="00BB73AE">
        <w:rPr>
          <w:rFonts w:ascii="Times New Roman" w:hAnsi="Times New Roman"/>
          <w:sz w:val="24"/>
        </w:rPr>
        <w:t>(2005) 224 CLR 300 at 308 [18].</w:t>
      </w:r>
    </w:p>
  </w:footnote>
  <w:footnote w:id="196">
    <w:p w14:paraId="40180DC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 xml:space="preserve">Weiss v The Queen </w:t>
      </w:r>
      <w:r w:rsidRPr="00BB73AE">
        <w:rPr>
          <w:rFonts w:ascii="Times New Roman" w:hAnsi="Times New Roman"/>
          <w:sz w:val="24"/>
        </w:rPr>
        <w:t>(2005) 224 CLR 300 at 308 [18].</w:t>
      </w:r>
    </w:p>
  </w:footnote>
  <w:footnote w:id="197">
    <w:p w14:paraId="75D4E20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R v Matenga </w:t>
      </w:r>
      <w:r w:rsidRPr="00BB73AE">
        <w:rPr>
          <w:rFonts w:ascii="Times New Roman" w:hAnsi="Times New Roman"/>
          <w:sz w:val="24"/>
        </w:rPr>
        <w:t xml:space="preserve">[2009] 3 NZLR 145 at 158 [31] (emphasis in original). See also </w:t>
      </w:r>
      <w:r w:rsidRPr="00BB73AE">
        <w:rPr>
          <w:rFonts w:ascii="Times New Roman" w:hAnsi="Times New Roman"/>
          <w:i/>
          <w:iCs/>
          <w:sz w:val="24"/>
        </w:rPr>
        <w:t xml:space="preserve">Cesan v The Queen </w:t>
      </w:r>
      <w:r w:rsidRPr="00BB73AE">
        <w:rPr>
          <w:rFonts w:ascii="Times New Roman" w:hAnsi="Times New Roman"/>
          <w:sz w:val="24"/>
        </w:rPr>
        <w:t>(2008) 236 CLR 358 at 392</w:t>
      </w:r>
      <w:r w:rsidRPr="00BB73AE">
        <w:rPr>
          <w:rFonts w:ascii="Times New Roman" w:hAnsi="Times New Roman"/>
          <w:sz w:val="24"/>
        </w:rPr>
        <w:noBreakHyphen/>
        <w:t>393 [116]</w:t>
      </w:r>
      <w:r w:rsidRPr="00BB73AE">
        <w:rPr>
          <w:rFonts w:ascii="Times New Roman" w:hAnsi="Times New Roman"/>
          <w:sz w:val="24"/>
        </w:rPr>
        <w:noBreakHyphen/>
        <w:t>[122], 393</w:t>
      </w:r>
      <w:r w:rsidRPr="00BB73AE">
        <w:rPr>
          <w:rFonts w:ascii="Times New Roman" w:hAnsi="Times New Roman"/>
          <w:sz w:val="24"/>
        </w:rPr>
        <w:noBreakHyphen/>
        <w:t>396 [123]</w:t>
      </w:r>
      <w:r w:rsidRPr="00BB73AE">
        <w:rPr>
          <w:rFonts w:ascii="Times New Roman" w:hAnsi="Times New Roman"/>
          <w:sz w:val="24"/>
        </w:rPr>
        <w:noBreakHyphen/>
        <w:t>[132].</w:t>
      </w:r>
    </w:p>
  </w:footnote>
  <w:footnote w:id="198">
    <w:p w14:paraId="02EF3D5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(2005) 224 CLR 300 at 302.</w:t>
      </w:r>
    </w:p>
  </w:footnote>
  <w:footnote w:id="199">
    <w:p w14:paraId="2F1131E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(2019) 264 CLR 421.</w:t>
      </w:r>
    </w:p>
  </w:footnote>
  <w:footnote w:id="200">
    <w:p w14:paraId="41B4826D"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(2019) 264 CLR 421 at 428, 432.</w:t>
      </w:r>
    </w:p>
  </w:footnote>
  <w:footnote w:id="201">
    <w:p w14:paraId="44FC64B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(2019) 264 CLR 421 at 440-441 [29]-[31].</w:t>
      </w:r>
    </w:p>
  </w:footnote>
  <w:footnote w:id="202">
    <w:p w14:paraId="21B0A78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Hossain v Minister for Immigration and Border Protection</w:t>
      </w:r>
      <w:r w:rsidRPr="00BB73AE">
        <w:rPr>
          <w:rFonts w:ascii="Times New Roman" w:hAnsi="Times New Roman"/>
          <w:i/>
          <w:sz w:val="24"/>
        </w:rPr>
        <w:t xml:space="preserve"> </w:t>
      </w:r>
      <w:r w:rsidRPr="00BB73AE">
        <w:rPr>
          <w:rFonts w:ascii="Times New Roman" w:hAnsi="Times New Roman"/>
          <w:sz w:val="24"/>
        </w:rPr>
        <w:t>(2018) 264 CLR 123 at 137 [40], 147</w:t>
      </w:r>
      <w:r w:rsidRPr="00BB73AE">
        <w:rPr>
          <w:rFonts w:ascii="Times New Roman" w:hAnsi="Times New Roman"/>
          <w:sz w:val="24"/>
        </w:rPr>
        <w:noBreakHyphen/>
        <w:t xml:space="preserve">148 [72]; </w:t>
      </w:r>
      <w:r w:rsidRPr="00BB73AE">
        <w:rPr>
          <w:rFonts w:ascii="Times New Roman" w:hAnsi="Times New Roman"/>
          <w:i/>
          <w:sz w:val="24"/>
        </w:rPr>
        <w:t>BVD17 v Minister for Immigration and Border Protection</w:t>
      </w:r>
      <w:r w:rsidRPr="00BB73AE">
        <w:rPr>
          <w:rFonts w:ascii="Times New Roman" w:hAnsi="Times New Roman"/>
          <w:sz w:val="24"/>
        </w:rPr>
        <w:t xml:space="preserve"> (2019) 93 ALJR 1091 at 1104-1105 [66]; 373 ALR 196 at 212.</w:t>
      </w:r>
    </w:p>
  </w:footnote>
  <w:footnote w:id="203">
    <w:p w14:paraId="1116F6B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Minister for Aboriginal Affairs v Peko-Wallsend Ltd</w:t>
      </w:r>
      <w:r w:rsidRPr="00BB73AE">
        <w:rPr>
          <w:rFonts w:ascii="Times New Roman" w:hAnsi="Times New Roman"/>
          <w:sz w:val="24"/>
        </w:rPr>
        <w:t xml:space="preserve"> (1986) 162 CLR 24 at 40.</w:t>
      </w:r>
    </w:p>
  </w:footnote>
  <w:footnote w:id="204">
    <w:p w14:paraId="39030E0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Merchant Service Guild of Austral</w:t>
      </w:r>
      <w:r w:rsidRPr="00BB73AE">
        <w:rPr>
          <w:rFonts w:ascii="Times New Roman" w:hAnsi="Times New Roman"/>
          <w:i/>
          <w:sz w:val="24"/>
        </w:rPr>
        <w:t xml:space="preserve">asia v Newcastle and Hunter River Steamship Co Ltd [No 1] </w:t>
      </w:r>
      <w:r w:rsidRPr="00BB73AE">
        <w:rPr>
          <w:rFonts w:ascii="Times New Roman" w:hAnsi="Times New Roman"/>
          <w:sz w:val="24"/>
        </w:rPr>
        <w:t xml:space="preserve">(1913) 16 CLR 591 at 624. See also </w:t>
      </w:r>
      <w:r w:rsidRPr="00BB73AE">
        <w:rPr>
          <w:rFonts w:ascii="Times New Roman" w:hAnsi="Times New Roman"/>
          <w:i/>
          <w:sz w:val="24"/>
        </w:rPr>
        <w:t>Lubrano v Gollin &amp; Co Pty Ltd</w:t>
      </w:r>
      <w:r w:rsidRPr="00BB73AE">
        <w:rPr>
          <w:rFonts w:ascii="Times New Roman" w:hAnsi="Times New Roman"/>
          <w:sz w:val="24"/>
        </w:rPr>
        <w:t xml:space="preserve"> (1919) 27 CLR 113 at 118; </w:t>
      </w:r>
      <w:r w:rsidRPr="00BB73AE">
        <w:rPr>
          <w:rFonts w:ascii="Times New Roman" w:hAnsi="Times New Roman"/>
          <w:i/>
          <w:sz w:val="24"/>
        </w:rPr>
        <w:t>R v Rigby</w:t>
      </w:r>
      <w:r w:rsidRPr="00BB73AE">
        <w:rPr>
          <w:rFonts w:ascii="Times New Roman" w:hAnsi="Times New Roman"/>
          <w:sz w:val="24"/>
        </w:rPr>
        <w:t xml:space="preserve"> (1956) 100 CLR 146 at 151; </w:t>
      </w:r>
      <w:r w:rsidRPr="00BB73AE">
        <w:rPr>
          <w:rFonts w:ascii="Times New Roman" w:hAnsi="Times New Roman"/>
          <w:i/>
          <w:sz w:val="24"/>
        </w:rPr>
        <w:t xml:space="preserve">Wurridjal v The Commonwealth </w:t>
      </w:r>
      <w:r w:rsidRPr="00BB73AE">
        <w:rPr>
          <w:rFonts w:ascii="Times New Roman" w:hAnsi="Times New Roman"/>
          <w:sz w:val="24"/>
        </w:rPr>
        <w:t>(2009) 237 CLR 309 at 368 [120].</w:t>
      </w:r>
    </w:p>
  </w:footnote>
  <w:footnote w:id="205">
    <w:p w14:paraId="453D72E3"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Lieber, </w:t>
      </w:r>
      <w:r w:rsidRPr="00BB73AE">
        <w:rPr>
          <w:rFonts w:ascii="Times New Roman" w:hAnsi="Times New Roman"/>
          <w:i/>
          <w:sz w:val="24"/>
        </w:rPr>
        <w:t>Legal and Political Hermeneutics</w:t>
      </w:r>
      <w:r w:rsidRPr="00BB73AE">
        <w:rPr>
          <w:rFonts w:ascii="Times New Roman" w:hAnsi="Times New Roman"/>
          <w:sz w:val="24"/>
        </w:rPr>
        <w:t>,</w:t>
      </w:r>
      <w:r w:rsidRPr="00BB73AE">
        <w:rPr>
          <w:rFonts w:ascii="Times New Roman" w:hAnsi="Times New Roman"/>
          <w:i/>
          <w:sz w:val="24"/>
        </w:rPr>
        <w:t xml:space="preserve"> </w:t>
      </w:r>
      <w:r w:rsidRPr="00BB73AE">
        <w:rPr>
          <w:rFonts w:ascii="Times New Roman" w:hAnsi="Times New Roman"/>
          <w:sz w:val="24"/>
        </w:rPr>
        <w:t>enlarged ed</w:t>
      </w:r>
      <w:r w:rsidRPr="00BB73AE">
        <w:rPr>
          <w:rFonts w:ascii="Times New Roman" w:hAnsi="Times New Roman"/>
          <w:i/>
          <w:sz w:val="24"/>
        </w:rPr>
        <w:t xml:space="preserve"> </w:t>
      </w:r>
      <w:r w:rsidRPr="00BB73AE">
        <w:rPr>
          <w:rFonts w:ascii="Times New Roman" w:hAnsi="Times New Roman"/>
          <w:sz w:val="24"/>
        </w:rPr>
        <w:t xml:space="preserve">(1839) at 28, 30-31. See also Goldsworthy, "Implications in Language, Law and the Constitution", in Lindell (ed), </w:t>
      </w:r>
      <w:r w:rsidRPr="00BB73AE">
        <w:rPr>
          <w:rFonts w:ascii="Times New Roman" w:hAnsi="Times New Roman"/>
          <w:i/>
          <w:sz w:val="24"/>
        </w:rPr>
        <w:t xml:space="preserve">Future Directions in Australian Constitutional Law: Essays in honour of Professor Leslie Zines </w:t>
      </w:r>
      <w:r w:rsidRPr="00BB73AE">
        <w:rPr>
          <w:rFonts w:ascii="Times New Roman" w:hAnsi="Times New Roman"/>
          <w:sz w:val="24"/>
        </w:rPr>
        <w:t>(1994) 150 at 157-161.</w:t>
      </w:r>
    </w:p>
  </w:footnote>
  <w:footnote w:id="206">
    <w:p w14:paraId="616D5A9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Pinker, </w:t>
      </w:r>
      <w:r w:rsidRPr="00BB73AE">
        <w:rPr>
          <w:rFonts w:ascii="Times New Roman" w:hAnsi="Times New Roman"/>
          <w:i/>
          <w:sz w:val="24"/>
        </w:rPr>
        <w:t xml:space="preserve">The Blank Slate </w:t>
      </w:r>
      <w:r w:rsidRPr="00BB73AE">
        <w:rPr>
          <w:rFonts w:ascii="Times New Roman" w:hAnsi="Times New Roman"/>
          <w:sz w:val="24"/>
        </w:rPr>
        <w:t>(2002) at 210-211.</w:t>
      </w:r>
    </w:p>
  </w:footnote>
  <w:footnote w:id="207">
    <w:p w14:paraId="3B390A7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Coke, </w:t>
      </w:r>
      <w:r w:rsidRPr="00BB73AE">
        <w:rPr>
          <w:rFonts w:ascii="Times New Roman" w:hAnsi="Times New Roman"/>
          <w:i/>
          <w:sz w:val="24"/>
        </w:rPr>
        <w:t xml:space="preserve">Institutes of the Laws of England </w:t>
      </w:r>
      <w:r w:rsidRPr="00BB73AE">
        <w:rPr>
          <w:rFonts w:ascii="Times New Roman" w:hAnsi="Times New Roman"/>
          <w:sz w:val="24"/>
        </w:rPr>
        <w:t>(1628), pt 1, bk 3, ch 8, s 464 at 272.</w:t>
      </w:r>
    </w:p>
  </w:footnote>
  <w:footnote w:id="208">
    <w:p w14:paraId="1652D57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Coke, </w:t>
      </w:r>
      <w:r w:rsidRPr="00BB73AE">
        <w:rPr>
          <w:rFonts w:ascii="Times New Roman" w:hAnsi="Times New Roman"/>
          <w:i/>
          <w:iCs/>
          <w:sz w:val="24"/>
        </w:rPr>
        <w:t xml:space="preserve">Institutes of the Laws of England </w:t>
      </w:r>
      <w:r w:rsidRPr="00BB73AE">
        <w:rPr>
          <w:rFonts w:ascii="Times New Roman" w:hAnsi="Times New Roman"/>
          <w:sz w:val="24"/>
        </w:rPr>
        <w:t xml:space="preserve">(1642), pt 2, </w:t>
      </w:r>
      <w:r w:rsidRPr="00BB73AE">
        <w:rPr>
          <w:rFonts w:ascii="Times New Roman" w:hAnsi="Times New Roman"/>
          <w:i/>
          <w:sz w:val="24"/>
        </w:rPr>
        <w:t>Marlebridge</w:t>
      </w:r>
      <w:r w:rsidRPr="00BB73AE">
        <w:rPr>
          <w:rFonts w:ascii="Times New Roman" w:hAnsi="Times New Roman"/>
          <w:sz w:val="24"/>
        </w:rPr>
        <w:t>, ch 25 at 148.</w:t>
      </w:r>
    </w:p>
  </w:footnote>
  <w:footnote w:id="209">
    <w:p w14:paraId="02D3069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Coke, </w:t>
      </w:r>
      <w:r w:rsidRPr="00BB73AE">
        <w:rPr>
          <w:rFonts w:ascii="Times New Roman" w:hAnsi="Times New Roman"/>
          <w:i/>
          <w:iCs/>
          <w:sz w:val="24"/>
        </w:rPr>
        <w:t xml:space="preserve">Institutes of the Laws of England </w:t>
      </w:r>
      <w:r w:rsidRPr="00BB73AE">
        <w:rPr>
          <w:rFonts w:ascii="Times New Roman" w:hAnsi="Times New Roman"/>
          <w:sz w:val="24"/>
        </w:rPr>
        <w:t xml:space="preserve">(1642), pt 2, </w:t>
      </w:r>
      <w:r w:rsidRPr="00BB73AE">
        <w:rPr>
          <w:rFonts w:ascii="Times New Roman" w:hAnsi="Times New Roman"/>
          <w:i/>
          <w:sz w:val="24"/>
        </w:rPr>
        <w:t>Glocester</w:t>
      </w:r>
      <w:r w:rsidRPr="00BB73AE">
        <w:rPr>
          <w:rFonts w:ascii="Times New Roman" w:hAnsi="Times New Roman"/>
          <w:sz w:val="24"/>
        </w:rPr>
        <w:t>, ch 5 at 301.</w:t>
      </w:r>
    </w:p>
  </w:footnote>
  <w:footnote w:id="210">
    <w:p w14:paraId="74B0FE6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(1863) 14 CBNS 180 at 194 [143 ER 414 at 420].</w:t>
      </w:r>
    </w:p>
  </w:footnote>
  <w:footnote w:id="211">
    <w:p w14:paraId="451CF26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FAI Insurances Ltd v Winneke</w:t>
      </w:r>
      <w:r w:rsidRPr="00BB73AE">
        <w:rPr>
          <w:rFonts w:ascii="Times New Roman" w:hAnsi="Times New Roman"/>
          <w:sz w:val="24"/>
        </w:rPr>
        <w:t xml:space="preserve"> (1982) 151 CLR 342 at 408. See also </w:t>
      </w:r>
      <w:r w:rsidRPr="00BB73AE">
        <w:rPr>
          <w:rFonts w:ascii="Times New Roman" w:hAnsi="Times New Roman"/>
          <w:i/>
          <w:sz w:val="24"/>
        </w:rPr>
        <w:t xml:space="preserve">Twist v Randwick Municipal Council </w:t>
      </w:r>
      <w:r w:rsidRPr="00BB73AE">
        <w:rPr>
          <w:rFonts w:ascii="Times New Roman" w:hAnsi="Times New Roman"/>
          <w:sz w:val="24"/>
        </w:rPr>
        <w:t>(1976) 136 CLR 106 at 109</w:t>
      </w:r>
      <w:r w:rsidRPr="00BB73AE">
        <w:rPr>
          <w:rFonts w:ascii="Times New Roman" w:hAnsi="Times New Roman"/>
          <w:sz w:val="24"/>
        </w:rPr>
        <w:noBreakHyphen/>
        <w:t xml:space="preserve">110; </w:t>
      </w:r>
      <w:r w:rsidRPr="00BB73AE">
        <w:rPr>
          <w:rFonts w:ascii="Times New Roman" w:hAnsi="Times New Roman"/>
          <w:i/>
          <w:sz w:val="24"/>
        </w:rPr>
        <w:t xml:space="preserve">Heatley v Tasmanian Racing and Gaming Commission </w:t>
      </w:r>
      <w:r w:rsidRPr="00BB73AE">
        <w:rPr>
          <w:rFonts w:ascii="Times New Roman" w:hAnsi="Times New Roman"/>
          <w:sz w:val="24"/>
        </w:rPr>
        <w:t xml:space="preserve">(1977) 137 CLR 487 at 491; </w:t>
      </w:r>
      <w:r w:rsidRPr="00BB73AE">
        <w:rPr>
          <w:rFonts w:ascii="Times New Roman" w:hAnsi="Times New Roman"/>
          <w:i/>
          <w:sz w:val="24"/>
        </w:rPr>
        <w:t>Kioa v West</w:t>
      </w:r>
      <w:r w:rsidRPr="00BB73AE">
        <w:rPr>
          <w:rFonts w:ascii="Times New Roman" w:hAnsi="Times New Roman"/>
          <w:sz w:val="24"/>
        </w:rPr>
        <w:t xml:space="preserve"> (1985) 159 CLR 550 at 610</w:t>
      </w:r>
      <w:r w:rsidRPr="00BB73AE">
        <w:rPr>
          <w:rFonts w:ascii="Times New Roman" w:hAnsi="Times New Roman"/>
          <w:sz w:val="24"/>
        </w:rPr>
        <w:noBreakHyphen/>
        <w:t>615.</w:t>
      </w:r>
    </w:p>
  </w:footnote>
  <w:footnote w:id="212">
    <w:p w14:paraId="028BB4A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Kioa v West</w:t>
      </w:r>
      <w:r w:rsidRPr="00BB73AE">
        <w:rPr>
          <w:rFonts w:ascii="Times New Roman" w:hAnsi="Times New Roman"/>
          <w:sz w:val="24"/>
        </w:rPr>
        <w:t xml:space="preserve"> (1985) 159 CLR 550 at 610, 615; </w:t>
      </w:r>
      <w:r w:rsidRPr="00BB73AE">
        <w:rPr>
          <w:rFonts w:ascii="Times New Roman" w:hAnsi="Times New Roman"/>
          <w:i/>
          <w:sz w:val="24"/>
        </w:rPr>
        <w:t xml:space="preserve">Re Refugee Review Tribunal; Ex parte Aala </w:t>
      </w:r>
      <w:r w:rsidRPr="00BB73AE">
        <w:rPr>
          <w:rFonts w:ascii="Times New Roman" w:hAnsi="Times New Roman"/>
          <w:sz w:val="24"/>
        </w:rPr>
        <w:t>(2000) 204 CLR 82 at 100 [39].</w:t>
      </w:r>
    </w:p>
  </w:footnote>
  <w:footnote w:id="213">
    <w:p w14:paraId="449D573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Water Conservation and Irrigation Commission (NSW) v Browning</w:t>
      </w:r>
      <w:r w:rsidRPr="00BB73AE">
        <w:rPr>
          <w:rFonts w:ascii="Times New Roman" w:hAnsi="Times New Roman"/>
          <w:sz w:val="24"/>
        </w:rPr>
        <w:t xml:space="preserve"> (1947) 74 CLR 492 at 505. See also </w:t>
      </w:r>
      <w:r w:rsidRPr="00BB73AE">
        <w:rPr>
          <w:rFonts w:ascii="Times New Roman" w:hAnsi="Times New Roman"/>
          <w:i/>
          <w:sz w:val="24"/>
        </w:rPr>
        <w:t xml:space="preserve">Swan Hill Corporation v Bradbury </w:t>
      </w:r>
      <w:r w:rsidRPr="00BB73AE">
        <w:rPr>
          <w:rFonts w:ascii="Times New Roman" w:hAnsi="Times New Roman"/>
          <w:sz w:val="24"/>
        </w:rPr>
        <w:t xml:space="preserve">(1937) 56 CLR 746 at 758; </w:t>
      </w:r>
      <w:r w:rsidRPr="00BB73AE">
        <w:rPr>
          <w:rFonts w:ascii="Times New Roman" w:hAnsi="Times New Roman"/>
          <w:i/>
          <w:sz w:val="24"/>
        </w:rPr>
        <w:t xml:space="preserve">R v Australian Broadcasting Tribunal; Ex parte 2HD Pty Ltd </w:t>
      </w:r>
      <w:r w:rsidRPr="00BB73AE">
        <w:rPr>
          <w:rFonts w:ascii="Times New Roman" w:hAnsi="Times New Roman"/>
          <w:sz w:val="24"/>
        </w:rPr>
        <w:t>(1979) 144 CLR 45 at 49.</w:t>
      </w:r>
    </w:p>
  </w:footnote>
  <w:footnote w:id="214">
    <w:p w14:paraId="63277A7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 xml:space="preserve">Attorney-General (NSW) v Quin </w:t>
      </w:r>
      <w:r w:rsidRPr="00BB73AE">
        <w:rPr>
          <w:rFonts w:ascii="Times New Roman" w:hAnsi="Times New Roman"/>
          <w:sz w:val="24"/>
        </w:rPr>
        <w:t xml:space="preserve">(1990) 170 CLR 1 at 36; </w:t>
      </w:r>
      <w:r w:rsidRPr="00BB73AE">
        <w:rPr>
          <w:rFonts w:ascii="Times New Roman" w:hAnsi="Times New Roman"/>
          <w:i/>
          <w:sz w:val="24"/>
        </w:rPr>
        <w:t xml:space="preserve">Kruger v The Commonwealth </w:t>
      </w:r>
      <w:r w:rsidRPr="00BB73AE">
        <w:rPr>
          <w:rFonts w:ascii="Times New Roman" w:hAnsi="Times New Roman"/>
          <w:sz w:val="24"/>
        </w:rPr>
        <w:t>(1997) 190 CLR 1 at 36;</w:t>
      </w:r>
      <w:r w:rsidRPr="00BB73AE">
        <w:rPr>
          <w:rFonts w:ascii="Times New Roman" w:hAnsi="Times New Roman"/>
          <w:i/>
          <w:sz w:val="24"/>
        </w:rPr>
        <w:t xml:space="preserve"> Minister for Immigration and Multicultural Affairs v Eshetu </w:t>
      </w:r>
      <w:r w:rsidRPr="00BB73AE">
        <w:rPr>
          <w:rFonts w:ascii="Times New Roman" w:hAnsi="Times New Roman"/>
          <w:sz w:val="24"/>
        </w:rPr>
        <w:t>(1999) 197 CLR 611 at 650 [126].</w:t>
      </w:r>
    </w:p>
  </w:footnote>
  <w:footnote w:id="215">
    <w:p w14:paraId="7C926C3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Wade, </w:t>
      </w:r>
      <w:r w:rsidRPr="00BB73AE">
        <w:rPr>
          <w:rFonts w:ascii="Times New Roman" w:hAnsi="Times New Roman"/>
          <w:i/>
          <w:iCs/>
          <w:sz w:val="24"/>
        </w:rPr>
        <w:t xml:space="preserve">Administrative Law </w:t>
      </w:r>
      <w:r w:rsidRPr="00BB73AE">
        <w:rPr>
          <w:rFonts w:ascii="Times New Roman" w:hAnsi="Times New Roman"/>
          <w:sz w:val="24"/>
        </w:rPr>
        <w:t>(1961) at 40.</w:t>
      </w:r>
    </w:p>
  </w:footnote>
  <w:footnote w:id="216">
    <w:p w14:paraId="184E684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(1993) 177 CLR 378 at 408.</w:t>
      </w:r>
    </w:p>
  </w:footnote>
  <w:footnote w:id="217">
    <w:p w14:paraId="13032DA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Church of Scientology Inc v Woodward</w:t>
      </w:r>
      <w:r w:rsidRPr="00BB73AE">
        <w:rPr>
          <w:rFonts w:ascii="Times New Roman" w:hAnsi="Times New Roman"/>
          <w:sz w:val="24"/>
        </w:rPr>
        <w:t xml:space="preserve"> (1982) 154 CLR 25 at 70; </w:t>
      </w:r>
      <w:r w:rsidRPr="00BB73AE">
        <w:rPr>
          <w:rFonts w:ascii="Times New Roman" w:hAnsi="Times New Roman"/>
          <w:i/>
          <w:sz w:val="24"/>
        </w:rPr>
        <w:t>FAI Insurances Ltd v Winneke</w:t>
      </w:r>
      <w:r w:rsidRPr="00BB73AE">
        <w:rPr>
          <w:rFonts w:ascii="Times New Roman" w:hAnsi="Times New Roman"/>
          <w:sz w:val="24"/>
        </w:rPr>
        <w:t xml:space="preserve"> (1982) 151 CLR 342 at 409; </w:t>
      </w:r>
      <w:r w:rsidRPr="00BB73AE">
        <w:rPr>
          <w:rFonts w:ascii="Times New Roman" w:hAnsi="Times New Roman"/>
          <w:i/>
          <w:sz w:val="24"/>
        </w:rPr>
        <w:t>Coutts v The Commonwealth</w:t>
      </w:r>
      <w:r w:rsidRPr="00BB73AE">
        <w:rPr>
          <w:rFonts w:ascii="Times New Roman" w:hAnsi="Times New Roman"/>
          <w:sz w:val="24"/>
        </w:rPr>
        <w:t xml:space="preserve"> (1985) 157 CLR 91 at 105; </w:t>
      </w:r>
      <w:r w:rsidRPr="00BB73AE">
        <w:rPr>
          <w:rFonts w:ascii="Times New Roman" w:hAnsi="Times New Roman"/>
          <w:i/>
          <w:sz w:val="24"/>
        </w:rPr>
        <w:t>Kioa v West</w:t>
      </w:r>
      <w:r w:rsidRPr="00BB73AE">
        <w:rPr>
          <w:rFonts w:ascii="Times New Roman" w:hAnsi="Times New Roman"/>
          <w:sz w:val="24"/>
        </w:rPr>
        <w:t xml:space="preserve"> (1985) 159 CLR 550 at 609-611; </w:t>
      </w:r>
      <w:r w:rsidRPr="00BB73AE">
        <w:rPr>
          <w:rFonts w:ascii="Times New Roman" w:hAnsi="Times New Roman"/>
          <w:i/>
          <w:sz w:val="24"/>
        </w:rPr>
        <w:t>Attorney-General (NSW) v Quin</w:t>
      </w:r>
      <w:r w:rsidRPr="00BB73AE">
        <w:rPr>
          <w:rFonts w:ascii="Times New Roman" w:hAnsi="Times New Roman"/>
          <w:sz w:val="24"/>
        </w:rPr>
        <w:t xml:space="preserve"> (1990) 170 CLR 1 at 34</w:t>
      </w:r>
      <w:r w:rsidRPr="00BB73AE">
        <w:rPr>
          <w:rFonts w:ascii="Times New Roman" w:hAnsi="Times New Roman"/>
          <w:sz w:val="24"/>
        </w:rPr>
        <w:noBreakHyphen/>
        <w:t>36.</w:t>
      </w:r>
    </w:p>
  </w:footnote>
  <w:footnote w:id="218">
    <w:p w14:paraId="7BFB52E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(2013) 249 CLR 332 at 364 [67].</w:t>
      </w:r>
    </w:p>
  </w:footnote>
  <w:footnote w:id="219">
    <w:p w14:paraId="73A8760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de Smith, "The Prerogative Writs" (1951) 11 </w:t>
      </w:r>
      <w:r w:rsidRPr="00BB73AE">
        <w:rPr>
          <w:rFonts w:ascii="Times New Roman" w:hAnsi="Times New Roman"/>
          <w:i/>
          <w:sz w:val="24"/>
        </w:rPr>
        <w:t xml:space="preserve">Cambridge Law Journal </w:t>
      </w:r>
      <w:r w:rsidRPr="00BB73AE">
        <w:rPr>
          <w:rFonts w:ascii="Times New Roman" w:hAnsi="Times New Roman"/>
          <w:sz w:val="24"/>
        </w:rPr>
        <w:t>40 at 46.</w:t>
      </w:r>
    </w:p>
  </w:footnote>
  <w:footnote w:id="220">
    <w:p w14:paraId="20C5E6F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Hawes, </w:t>
      </w:r>
      <w:r w:rsidRPr="00BB73AE">
        <w:rPr>
          <w:rFonts w:ascii="Times New Roman" w:hAnsi="Times New Roman"/>
          <w:i/>
          <w:iCs/>
          <w:sz w:val="24"/>
        </w:rPr>
        <w:t xml:space="preserve">The Law Relating to the Subject of Jurisdiction of Courts </w:t>
      </w:r>
      <w:r w:rsidRPr="00BB73AE">
        <w:rPr>
          <w:rFonts w:ascii="Times New Roman" w:hAnsi="Times New Roman"/>
          <w:sz w:val="24"/>
        </w:rPr>
        <w:t xml:space="preserve">(1886) §38 at 59, citing </w:t>
      </w:r>
      <w:r w:rsidRPr="00BB73AE">
        <w:rPr>
          <w:rFonts w:ascii="Times New Roman" w:hAnsi="Times New Roman"/>
          <w:i/>
          <w:sz w:val="24"/>
        </w:rPr>
        <w:t>Elliott v Peirsol</w:t>
      </w:r>
      <w:r w:rsidRPr="00BB73AE">
        <w:rPr>
          <w:rFonts w:ascii="Times New Roman" w:hAnsi="Times New Roman"/>
          <w:sz w:val="24"/>
        </w:rPr>
        <w:t xml:space="preserve"> (1828) 26 US 328 at 340; </w:t>
      </w:r>
      <w:r w:rsidRPr="00BB73AE">
        <w:rPr>
          <w:rFonts w:ascii="Times New Roman" w:hAnsi="Times New Roman"/>
          <w:i/>
          <w:sz w:val="24"/>
        </w:rPr>
        <w:t xml:space="preserve">Lovejoy v Albee </w:t>
      </w:r>
      <w:r w:rsidRPr="00BB73AE">
        <w:rPr>
          <w:rFonts w:ascii="Times New Roman" w:hAnsi="Times New Roman"/>
          <w:sz w:val="24"/>
        </w:rPr>
        <w:t xml:space="preserve">(1851) 33 Me 414; 54 Am Dec 630; </w:t>
      </w:r>
      <w:r w:rsidRPr="00BB73AE">
        <w:rPr>
          <w:rFonts w:ascii="Times New Roman" w:hAnsi="Times New Roman"/>
          <w:i/>
          <w:sz w:val="24"/>
        </w:rPr>
        <w:t>Rodgers v Evans</w:t>
      </w:r>
      <w:r w:rsidRPr="00BB73AE">
        <w:rPr>
          <w:rFonts w:ascii="Times New Roman" w:hAnsi="Times New Roman"/>
          <w:sz w:val="24"/>
        </w:rPr>
        <w:t xml:space="preserve"> (1850) 8 Ga 143; 52 Am Dec 390; </w:t>
      </w:r>
      <w:r w:rsidRPr="00BB73AE">
        <w:rPr>
          <w:rFonts w:ascii="Times New Roman" w:hAnsi="Times New Roman"/>
          <w:i/>
          <w:sz w:val="24"/>
        </w:rPr>
        <w:t>Horner v Doe</w:t>
      </w:r>
      <w:r w:rsidRPr="00BB73AE">
        <w:rPr>
          <w:rFonts w:ascii="Times New Roman" w:hAnsi="Times New Roman"/>
          <w:sz w:val="24"/>
        </w:rPr>
        <w:t xml:space="preserve"> (1848) 1 Ind 130; 48 Am Dec 355; </w:t>
      </w:r>
      <w:r w:rsidRPr="00BB73AE">
        <w:rPr>
          <w:rFonts w:ascii="Times New Roman" w:hAnsi="Times New Roman"/>
          <w:i/>
          <w:sz w:val="24"/>
        </w:rPr>
        <w:t xml:space="preserve">Mercier v Chace </w:t>
      </w:r>
      <w:r w:rsidRPr="00BB73AE">
        <w:rPr>
          <w:rFonts w:ascii="Times New Roman" w:hAnsi="Times New Roman"/>
          <w:sz w:val="24"/>
        </w:rPr>
        <w:t xml:space="preserve">(1864) 9 Allen 242; </w:t>
      </w:r>
      <w:r w:rsidRPr="00BB73AE">
        <w:rPr>
          <w:rFonts w:ascii="Times New Roman" w:hAnsi="Times New Roman"/>
          <w:i/>
          <w:sz w:val="24"/>
        </w:rPr>
        <w:t xml:space="preserve">Miller v Brinkerhoff </w:t>
      </w:r>
      <w:r w:rsidRPr="00BB73AE">
        <w:rPr>
          <w:rFonts w:ascii="Times New Roman" w:hAnsi="Times New Roman"/>
          <w:sz w:val="24"/>
        </w:rPr>
        <w:t xml:space="preserve">(1847) 4 Denio 118; 47 Am Dec 242; </w:t>
      </w:r>
      <w:r w:rsidRPr="00BB73AE">
        <w:rPr>
          <w:rFonts w:ascii="Times New Roman" w:hAnsi="Times New Roman"/>
          <w:i/>
          <w:sz w:val="24"/>
        </w:rPr>
        <w:t>Attorney General v Lord Hotham</w:t>
      </w:r>
      <w:r w:rsidRPr="00BB73AE">
        <w:rPr>
          <w:rFonts w:ascii="Times New Roman" w:hAnsi="Times New Roman"/>
          <w:sz w:val="24"/>
        </w:rPr>
        <w:t xml:space="preserve"> (1823) Turn &amp; R 209 at 219 [37 ER 1077 at 1081]; </w:t>
      </w:r>
      <w:r w:rsidRPr="00BB73AE">
        <w:rPr>
          <w:rFonts w:ascii="Times New Roman" w:hAnsi="Times New Roman"/>
          <w:i/>
          <w:sz w:val="24"/>
        </w:rPr>
        <w:t>Briscoe v Stephens</w:t>
      </w:r>
      <w:r w:rsidRPr="00BB73AE">
        <w:rPr>
          <w:rFonts w:ascii="Times New Roman" w:hAnsi="Times New Roman"/>
          <w:sz w:val="24"/>
        </w:rPr>
        <w:t xml:space="preserve"> (1824) 2 Bing 213 at 217 [130 ER 288 at 289].</w:t>
      </w:r>
    </w:p>
  </w:footnote>
  <w:footnote w:id="221">
    <w:p w14:paraId="6339FFD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Official Record of the Debates of the Australasian Federal Convention</w:t>
      </w:r>
      <w:r w:rsidRPr="00BB73AE">
        <w:rPr>
          <w:rFonts w:ascii="Times New Roman" w:hAnsi="Times New Roman"/>
          <w:sz w:val="24"/>
        </w:rPr>
        <w:t xml:space="preserve"> (Melbourne), 4 March 1898 at 1883-1884 (Mr Barton). See also </w:t>
      </w:r>
      <w:r w:rsidRPr="00BB73AE">
        <w:rPr>
          <w:rFonts w:ascii="Times New Roman" w:hAnsi="Times New Roman"/>
          <w:i/>
          <w:sz w:val="24"/>
        </w:rPr>
        <w:t>Official Record of the Debates of the Australasian Federal Convention</w:t>
      </w:r>
      <w:r w:rsidRPr="00BB73AE">
        <w:rPr>
          <w:rFonts w:ascii="Times New Roman" w:hAnsi="Times New Roman"/>
          <w:sz w:val="24"/>
        </w:rPr>
        <w:t xml:space="preserve"> (Melbourne), 4 March 1898 at 1878 (Mr Symon); Quick and Garran, </w:t>
      </w:r>
      <w:r w:rsidRPr="00BB73AE">
        <w:rPr>
          <w:rFonts w:ascii="Times New Roman" w:hAnsi="Times New Roman"/>
          <w:i/>
          <w:sz w:val="24"/>
        </w:rPr>
        <w:t xml:space="preserve">The Annotated Constitution of the Australian Commonwealth </w:t>
      </w:r>
      <w:r w:rsidRPr="00BB73AE">
        <w:rPr>
          <w:rFonts w:ascii="Times New Roman" w:hAnsi="Times New Roman"/>
          <w:sz w:val="24"/>
        </w:rPr>
        <w:t xml:space="preserve">(1901) at 784. See further </w:t>
      </w:r>
      <w:r w:rsidRPr="00BB73AE">
        <w:rPr>
          <w:rFonts w:ascii="Times New Roman" w:hAnsi="Times New Roman"/>
          <w:i/>
          <w:sz w:val="24"/>
        </w:rPr>
        <w:t>Re Refugee Review Tribunal; Ex parte Aala</w:t>
      </w:r>
      <w:r w:rsidRPr="00BB73AE">
        <w:rPr>
          <w:rFonts w:ascii="Times New Roman" w:hAnsi="Times New Roman"/>
          <w:sz w:val="24"/>
        </w:rPr>
        <w:t xml:space="preserve"> (2000) 204 CLR 82 at 139-140 [156]-[158]; </w:t>
      </w:r>
      <w:r w:rsidRPr="00BB73AE">
        <w:rPr>
          <w:rFonts w:ascii="Times New Roman" w:hAnsi="Times New Roman"/>
          <w:i/>
          <w:sz w:val="24"/>
        </w:rPr>
        <w:t xml:space="preserve">Smethurst v Commissioner of the Australian Federal Police </w:t>
      </w:r>
      <w:r w:rsidRPr="00BB73AE">
        <w:rPr>
          <w:rFonts w:ascii="Times New Roman" w:hAnsi="Times New Roman"/>
          <w:sz w:val="24"/>
        </w:rPr>
        <w:t>(2020) 94 ALJR 502 at 537 [143]-[144], 555 [229]-[230]; 376 ALR 575 at 610</w:t>
      </w:r>
      <w:r w:rsidRPr="00BB73AE">
        <w:rPr>
          <w:rFonts w:ascii="Times New Roman" w:hAnsi="Times New Roman"/>
          <w:sz w:val="24"/>
        </w:rPr>
        <w:noBreakHyphen/>
        <w:t>611, 634.</w:t>
      </w:r>
    </w:p>
  </w:footnote>
  <w:footnote w:id="222">
    <w:p w14:paraId="43180BA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lang w:eastAsia="en-US"/>
        </w:rPr>
        <w:t>R v Loxdale</w:t>
      </w:r>
      <w:r w:rsidRPr="00BB73AE">
        <w:rPr>
          <w:rFonts w:ascii="Times New Roman" w:hAnsi="Times New Roman"/>
          <w:sz w:val="24"/>
          <w:lang w:eastAsia="en-US"/>
        </w:rPr>
        <w:t xml:space="preserve"> (1758) 1 Burr 445 at 447 [97 ER 394 at 395]. See also </w:t>
      </w:r>
      <w:r w:rsidRPr="00BB73AE">
        <w:rPr>
          <w:rFonts w:ascii="Times New Roman" w:hAnsi="Times New Roman"/>
          <w:i/>
          <w:sz w:val="24"/>
          <w:lang w:eastAsia="en-US"/>
        </w:rPr>
        <w:t xml:space="preserve">R v The Justices of Leicester </w:t>
      </w:r>
      <w:r w:rsidRPr="00BB73AE">
        <w:rPr>
          <w:rFonts w:ascii="Times New Roman" w:hAnsi="Times New Roman"/>
          <w:sz w:val="24"/>
          <w:lang w:eastAsia="en-US"/>
        </w:rPr>
        <w:t xml:space="preserve">(1827) 7 B &amp; C 6 at 9 [108 ER 627 at 628]; </w:t>
      </w:r>
      <w:r w:rsidRPr="00BB73AE">
        <w:rPr>
          <w:rFonts w:ascii="Times New Roman" w:hAnsi="Times New Roman"/>
          <w:i/>
          <w:sz w:val="24"/>
          <w:lang w:eastAsia="en-US"/>
        </w:rPr>
        <w:t xml:space="preserve">Montreal Street Railway Co v Normandin </w:t>
      </w:r>
      <w:r w:rsidRPr="00BB73AE">
        <w:rPr>
          <w:rFonts w:ascii="Times New Roman" w:hAnsi="Times New Roman"/>
          <w:sz w:val="24"/>
          <w:lang w:eastAsia="en-US"/>
        </w:rPr>
        <w:t xml:space="preserve">[1917] AC 170 at 174-175; </w:t>
      </w:r>
      <w:r w:rsidRPr="00BB73AE">
        <w:rPr>
          <w:rFonts w:ascii="Times New Roman" w:hAnsi="Times New Roman"/>
          <w:i/>
          <w:sz w:val="24"/>
          <w:lang w:eastAsia="en-US"/>
        </w:rPr>
        <w:t xml:space="preserve">Clayton v Heffron </w:t>
      </w:r>
      <w:r w:rsidRPr="00BB73AE">
        <w:rPr>
          <w:rFonts w:ascii="Times New Roman" w:hAnsi="Times New Roman"/>
          <w:sz w:val="24"/>
          <w:lang w:eastAsia="en-US"/>
        </w:rPr>
        <w:t>(1960) 105 CLR 214 at 247.</w:t>
      </w:r>
    </w:p>
  </w:footnote>
  <w:footnote w:id="223">
    <w:p w14:paraId="0C84FDBD"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Scurr v Brisbane City Council </w:t>
      </w:r>
      <w:r w:rsidRPr="00BB73AE">
        <w:rPr>
          <w:rFonts w:ascii="Times New Roman" w:hAnsi="Times New Roman"/>
          <w:sz w:val="24"/>
        </w:rPr>
        <w:t>(1973) 133 CLR 242 at 256.</w:t>
      </w:r>
    </w:p>
  </w:footnote>
  <w:footnote w:id="224">
    <w:p w14:paraId="6506E1D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sz w:val="24"/>
          <w:lang w:eastAsia="en-US"/>
        </w:rPr>
        <w:t>[1978] 1 NSWLR 20.</w:t>
      </w:r>
    </w:p>
  </w:footnote>
  <w:footnote w:id="225">
    <w:p w14:paraId="54141A4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sz w:val="24"/>
          <w:lang w:eastAsia="en-US"/>
        </w:rPr>
        <w:t>[1978] 1 NSWLR 20 at 23</w:t>
      </w:r>
      <w:r w:rsidRPr="00BB73AE">
        <w:rPr>
          <w:rFonts w:ascii="Times New Roman" w:hAnsi="Times New Roman"/>
          <w:sz w:val="24"/>
          <w:lang w:eastAsia="en-US"/>
        </w:rPr>
        <w:noBreakHyphen/>
        <w:t>24.</w:t>
      </w:r>
    </w:p>
  </w:footnote>
  <w:footnote w:id="226">
    <w:p w14:paraId="2240EFB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Style w:val="highlight"/>
          <w:rFonts w:ascii="Times New Roman" w:hAnsi="Times New Roman"/>
          <w:i/>
          <w:iCs/>
          <w:sz w:val="24"/>
        </w:rPr>
        <w:t>Project</w:t>
      </w:r>
      <w:r w:rsidRPr="00BB73AE">
        <w:rPr>
          <w:rFonts w:ascii="Times New Roman" w:hAnsi="Times New Roman"/>
          <w:i/>
          <w:iCs/>
          <w:sz w:val="24"/>
        </w:rPr>
        <w:t xml:space="preserve"> Blue Sky Inc v Australian Broadcasting Authority </w:t>
      </w:r>
      <w:r w:rsidRPr="00BB73AE">
        <w:rPr>
          <w:rFonts w:ascii="Times New Roman" w:hAnsi="Times New Roman"/>
          <w:sz w:val="24"/>
        </w:rPr>
        <w:t>(1998) 194 CLR 355 at 390-391 [93]. See also at 375 [41].</w:t>
      </w:r>
    </w:p>
  </w:footnote>
  <w:footnote w:id="227">
    <w:p w14:paraId="3038CB6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Style w:val="highlight"/>
          <w:rFonts w:ascii="Times New Roman" w:hAnsi="Times New Roman"/>
          <w:i/>
          <w:iCs/>
          <w:sz w:val="24"/>
        </w:rPr>
        <w:t>Project</w:t>
      </w:r>
      <w:r w:rsidRPr="00BB73AE">
        <w:rPr>
          <w:rFonts w:ascii="Times New Roman" w:hAnsi="Times New Roman"/>
          <w:i/>
          <w:iCs/>
          <w:sz w:val="24"/>
        </w:rPr>
        <w:t xml:space="preserve"> Blue Sky Inc v Australian Broadcasting Authority </w:t>
      </w:r>
      <w:r w:rsidRPr="00BB73AE">
        <w:rPr>
          <w:rFonts w:ascii="Times New Roman" w:hAnsi="Times New Roman"/>
          <w:sz w:val="24"/>
        </w:rPr>
        <w:t>(1998) 194 CLR 355 at 390 [93].</w:t>
      </w:r>
    </w:p>
  </w:footnote>
  <w:footnote w:id="228">
    <w:p w14:paraId="0DDFB6F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Style w:val="highlight"/>
          <w:rFonts w:ascii="Times New Roman" w:hAnsi="Times New Roman"/>
          <w:i/>
          <w:iCs/>
          <w:sz w:val="24"/>
        </w:rPr>
        <w:t>Project</w:t>
      </w:r>
      <w:r w:rsidRPr="00BB73AE">
        <w:rPr>
          <w:rFonts w:ascii="Times New Roman" w:hAnsi="Times New Roman"/>
          <w:i/>
          <w:iCs/>
          <w:sz w:val="24"/>
        </w:rPr>
        <w:t xml:space="preserve"> Blue Sky Inc v Australian Broadcasting Authority </w:t>
      </w:r>
      <w:r w:rsidRPr="00BB73AE">
        <w:rPr>
          <w:rFonts w:ascii="Times New Roman" w:hAnsi="Times New Roman"/>
          <w:sz w:val="24"/>
        </w:rPr>
        <w:t>(1998) 194 CLR 355 at 392 [97].</w:t>
      </w:r>
    </w:p>
  </w:footnote>
  <w:footnote w:id="229">
    <w:p w14:paraId="5A7AC9F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SAAP v Minister for Immigration and Multicultural and Indigenous Affairs </w:t>
      </w:r>
      <w:r w:rsidRPr="00BB73AE">
        <w:rPr>
          <w:rFonts w:ascii="Times New Roman" w:hAnsi="Times New Roman"/>
          <w:sz w:val="24"/>
        </w:rPr>
        <w:t>(2005) 228 CLR 294 at 321 [77], 344 [166], 354 [206].</w:t>
      </w:r>
    </w:p>
  </w:footnote>
  <w:footnote w:id="230">
    <w:p w14:paraId="33A2F753"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Style w:val="highlight"/>
          <w:rFonts w:ascii="Times New Roman" w:hAnsi="Times New Roman"/>
          <w:i/>
          <w:iCs/>
          <w:sz w:val="24"/>
        </w:rPr>
        <w:t>Project</w:t>
      </w:r>
      <w:r w:rsidRPr="00BB73AE">
        <w:rPr>
          <w:rFonts w:ascii="Times New Roman" w:hAnsi="Times New Roman"/>
          <w:i/>
          <w:iCs/>
          <w:sz w:val="24"/>
        </w:rPr>
        <w:t xml:space="preserve"> Blue Sky Inc v Australian Broadcasting Authority </w:t>
      </w:r>
      <w:r w:rsidRPr="00BB73AE">
        <w:rPr>
          <w:rFonts w:ascii="Times New Roman" w:hAnsi="Times New Roman"/>
          <w:sz w:val="24"/>
        </w:rPr>
        <w:t>(1998) 194 CLR 355 at 391 [94].</w:t>
      </w:r>
    </w:p>
  </w:footnote>
  <w:footnote w:id="231">
    <w:p w14:paraId="0DF708E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(2009) 238 CLR 627 at 640 [35].</w:t>
      </w:r>
    </w:p>
  </w:footnote>
  <w:footnote w:id="232">
    <w:p w14:paraId="591CCF3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See the more detailed historical discussion in </w:t>
      </w:r>
      <w:r w:rsidRPr="00BB73AE">
        <w:rPr>
          <w:rFonts w:ascii="Times New Roman" w:hAnsi="Times New Roman"/>
          <w:i/>
          <w:sz w:val="24"/>
        </w:rPr>
        <w:t xml:space="preserve">Weiss v The Queen </w:t>
      </w:r>
      <w:r w:rsidRPr="00BB73AE">
        <w:rPr>
          <w:rFonts w:ascii="Times New Roman" w:hAnsi="Times New Roman"/>
          <w:sz w:val="24"/>
        </w:rPr>
        <w:t>(2005) 224 CLR 300 at 306-312 [12]-[30].</w:t>
      </w:r>
    </w:p>
  </w:footnote>
  <w:footnote w:id="233">
    <w:p w14:paraId="4146809E" w14:textId="77777777" w:rsidR="007B5A1E" w:rsidRPr="00BB73AE" w:rsidRDefault="007B5A1E" w:rsidP="00BB73AE">
      <w:pPr>
        <w:pStyle w:val="FootnoteText"/>
        <w:spacing w:line="280" w:lineRule="exact"/>
        <w:ind w:right="0"/>
        <w:jc w:val="both"/>
        <w:rPr>
          <w:rFonts w:ascii="Times New Roman" w:hAnsi="Times New Roman"/>
          <w:i/>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R v Ball </w:t>
      </w:r>
      <w:r w:rsidRPr="00BB73AE">
        <w:rPr>
          <w:rFonts w:ascii="Times New Roman" w:hAnsi="Times New Roman"/>
          <w:sz w:val="24"/>
        </w:rPr>
        <w:t xml:space="preserve">(1807) Russ &amp; Ry 132 at 133 [168 ER 721 at 722]; </w:t>
      </w:r>
      <w:r w:rsidRPr="00BB73AE">
        <w:rPr>
          <w:rFonts w:ascii="Times New Roman" w:hAnsi="Times New Roman"/>
          <w:i/>
          <w:sz w:val="24"/>
        </w:rPr>
        <w:t xml:space="preserve">R v Treble </w:t>
      </w:r>
      <w:r w:rsidRPr="00BB73AE">
        <w:rPr>
          <w:rFonts w:ascii="Times New Roman" w:hAnsi="Times New Roman"/>
          <w:sz w:val="24"/>
        </w:rPr>
        <w:t>(1810) Russ &amp; Ry 164 at 166 [168 ER 740 at 741].</w:t>
      </w:r>
    </w:p>
  </w:footnote>
  <w:footnote w:id="234">
    <w:p w14:paraId="48C10F1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Horford v Wilson </w:t>
      </w:r>
      <w:r w:rsidRPr="00BB73AE">
        <w:rPr>
          <w:rFonts w:ascii="Times New Roman" w:hAnsi="Times New Roman"/>
          <w:sz w:val="24"/>
        </w:rPr>
        <w:t xml:space="preserve">(1807) 1 Taunt 12 at 14 [127 ER 733 at 734]; </w:t>
      </w:r>
      <w:r w:rsidRPr="00BB73AE">
        <w:rPr>
          <w:rFonts w:ascii="Times New Roman" w:hAnsi="Times New Roman"/>
          <w:i/>
          <w:sz w:val="24"/>
        </w:rPr>
        <w:t xml:space="preserve">Doe v Tyler </w:t>
      </w:r>
      <w:r w:rsidRPr="00BB73AE">
        <w:rPr>
          <w:rFonts w:ascii="Times New Roman" w:hAnsi="Times New Roman"/>
          <w:sz w:val="24"/>
        </w:rPr>
        <w:t>(1830) 6 Bing 561 at 563, 564 [130 ER 1397 at 1398].</w:t>
      </w:r>
    </w:p>
  </w:footnote>
  <w:footnote w:id="235">
    <w:p w14:paraId="316D534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Pemberton v Pemberton </w:t>
      </w:r>
      <w:r w:rsidRPr="00BB73AE">
        <w:rPr>
          <w:rFonts w:ascii="Times New Roman" w:hAnsi="Times New Roman"/>
          <w:sz w:val="24"/>
        </w:rPr>
        <w:t xml:space="preserve">(1805) 11 Ves 50 at 52-53 [32 ER 1006 at 1007]; </w:t>
      </w:r>
      <w:r w:rsidRPr="00BB73AE">
        <w:rPr>
          <w:rFonts w:ascii="Times New Roman" w:hAnsi="Times New Roman"/>
          <w:i/>
          <w:sz w:val="24"/>
        </w:rPr>
        <w:t xml:space="preserve">Bullen v Michel </w:t>
      </w:r>
      <w:r w:rsidRPr="00BB73AE">
        <w:rPr>
          <w:rFonts w:ascii="Times New Roman" w:hAnsi="Times New Roman"/>
          <w:sz w:val="24"/>
        </w:rPr>
        <w:t xml:space="preserve">(1816) 4 Dow 297 at 319, 330 [3 ER 1171 at 1179, 1182]; </w:t>
      </w:r>
      <w:r w:rsidRPr="00BB73AE">
        <w:rPr>
          <w:rFonts w:ascii="Times New Roman" w:hAnsi="Times New Roman"/>
          <w:i/>
          <w:sz w:val="24"/>
        </w:rPr>
        <w:t xml:space="preserve">Barker v Ray </w:t>
      </w:r>
      <w:r w:rsidRPr="00BB73AE">
        <w:rPr>
          <w:rFonts w:ascii="Times New Roman" w:hAnsi="Times New Roman"/>
          <w:sz w:val="24"/>
        </w:rPr>
        <w:t>(1826) 2 Russ 63 at 75-76 [38 ER 259 at 263</w:t>
      </w:r>
      <w:r w:rsidRPr="00BB73AE">
        <w:rPr>
          <w:rFonts w:ascii="Times New Roman" w:hAnsi="Times New Roman"/>
          <w:sz w:val="24"/>
        </w:rPr>
        <w:noBreakHyphen/>
        <w:t xml:space="preserve">264]; </w:t>
      </w:r>
      <w:r w:rsidRPr="00BB73AE">
        <w:rPr>
          <w:rFonts w:ascii="Times New Roman" w:hAnsi="Times New Roman"/>
          <w:i/>
          <w:sz w:val="24"/>
        </w:rPr>
        <w:t xml:space="preserve">Lorton v Kingston </w:t>
      </w:r>
      <w:r w:rsidRPr="00BB73AE">
        <w:rPr>
          <w:rFonts w:ascii="Times New Roman" w:hAnsi="Times New Roman"/>
          <w:sz w:val="24"/>
        </w:rPr>
        <w:t>(1838) 5 Cl &amp; F 269 at 340 [7 ER 406 at 433].</w:t>
      </w:r>
    </w:p>
  </w:footnote>
  <w:footnote w:id="236">
    <w:p w14:paraId="4A1FB34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(1809) 11 East 307 at 312 [103 ER 1022 at 1024].</w:t>
      </w:r>
    </w:p>
  </w:footnote>
  <w:footnote w:id="237">
    <w:p w14:paraId="3D2DED1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(1835) 1 Cr M &amp; R 919 [149 ER 1353]. And see the discussion in </w:t>
      </w:r>
      <w:r w:rsidRPr="00BB73AE">
        <w:rPr>
          <w:rFonts w:ascii="Times New Roman" w:hAnsi="Times New Roman"/>
          <w:i/>
          <w:iCs/>
          <w:sz w:val="24"/>
        </w:rPr>
        <w:t xml:space="preserve">Weiss v The Queen </w:t>
      </w:r>
      <w:r w:rsidRPr="00BB73AE">
        <w:rPr>
          <w:rFonts w:ascii="Times New Roman" w:hAnsi="Times New Roman"/>
          <w:sz w:val="24"/>
        </w:rPr>
        <w:t>(2005) 224 CLR 300 at 306</w:t>
      </w:r>
      <w:r w:rsidRPr="00BB73AE">
        <w:rPr>
          <w:rFonts w:ascii="Times New Roman" w:hAnsi="Times New Roman"/>
          <w:sz w:val="24"/>
        </w:rPr>
        <w:noBreakHyphen/>
        <w:t>307 [13].</w:t>
      </w:r>
    </w:p>
  </w:footnote>
  <w:footnote w:id="238">
    <w:p w14:paraId="25ED183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Wright v Doe d Tatham </w:t>
      </w:r>
      <w:r w:rsidRPr="00BB73AE">
        <w:rPr>
          <w:rFonts w:ascii="Times New Roman" w:hAnsi="Times New Roman"/>
          <w:sz w:val="24"/>
        </w:rPr>
        <w:t xml:space="preserve">(1837) 7 Ad &amp; El 313 at 330 [112 ER 488 at 495], quoted in </w:t>
      </w:r>
      <w:r w:rsidRPr="00BB73AE">
        <w:rPr>
          <w:rFonts w:ascii="Times New Roman" w:hAnsi="Times New Roman"/>
          <w:i/>
          <w:sz w:val="24"/>
        </w:rPr>
        <w:t xml:space="preserve">Weiss v The Queen </w:t>
      </w:r>
      <w:r w:rsidRPr="00BB73AE">
        <w:rPr>
          <w:rFonts w:ascii="Times New Roman" w:hAnsi="Times New Roman"/>
          <w:sz w:val="24"/>
        </w:rPr>
        <w:t>(2005) 224 CLR 300 at 307 [13].</w:t>
      </w:r>
    </w:p>
  </w:footnote>
  <w:footnote w:id="239">
    <w:p w14:paraId="13C7E5A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Wigmore, </w:t>
      </w:r>
      <w:r w:rsidRPr="00BB73AE">
        <w:rPr>
          <w:rFonts w:ascii="Times New Roman" w:hAnsi="Times New Roman"/>
          <w:i/>
          <w:iCs/>
          <w:sz w:val="24"/>
        </w:rPr>
        <w:t>A Treatise on the Anglo-American System of Evidence in Trials at Common Law</w:t>
      </w:r>
      <w:r w:rsidRPr="00BB73AE">
        <w:rPr>
          <w:rFonts w:ascii="Times New Roman" w:hAnsi="Times New Roman"/>
          <w:sz w:val="24"/>
        </w:rPr>
        <w:t xml:space="preserve">, 3rd ed (1940), vol 1 at 368. This section reflected in large part his earlier writing: Wigmore, "New Trials for Erroneous Rulings upon Evidence; A Practical Problem for American Justice" (1903) 3 </w:t>
      </w:r>
      <w:r w:rsidRPr="00BB73AE">
        <w:rPr>
          <w:rFonts w:ascii="Times New Roman" w:hAnsi="Times New Roman"/>
          <w:i/>
          <w:sz w:val="24"/>
        </w:rPr>
        <w:t xml:space="preserve">Columbia Law Review </w:t>
      </w:r>
      <w:r w:rsidRPr="00BB73AE">
        <w:rPr>
          <w:rFonts w:ascii="Times New Roman" w:hAnsi="Times New Roman"/>
          <w:sz w:val="24"/>
        </w:rPr>
        <w:t>433.</w:t>
      </w:r>
    </w:p>
  </w:footnote>
  <w:footnote w:id="240">
    <w:p w14:paraId="76C21D6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bookmarkStart w:id="4" w:name="_Hlk69919685"/>
      <w:r w:rsidRPr="00BB73AE">
        <w:rPr>
          <w:rFonts w:ascii="Times New Roman" w:hAnsi="Times New Roman"/>
          <w:sz w:val="24"/>
        </w:rPr>
        <w:t>36 &amp; 37 Vict c 66</w:t>
      </w:r>
      <w:bookmarkEnd w:id="4"/>
      <w:r w:rsidRPr="00BB73AE">
        <w:rPr>
          <w:rFonts w:ascii="Times New Roman" w:hAnsi="Times New Roman"/>
          <w:sz w:val="24"/>
        </w:rPr>
        <w:t>.</w:t>
      </w:r>
    </w:p>
  </w:footnote>
  <w:footnote w:id="241">
    <w:p w14:paraId="0FEF855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See </w:t>
      </w:r>
      <w:r w:rsidRPr="00BB73AE">
        <w:rPr>
          <w:rFonts w:ascii="Times New Roman" w:hAnsi="Times New Roman"/>
          <w:i/>
          <w:sz w:val="24"/>
        </w:rPr>
        <w:t xml:space="preserve">Balenzuela v De Gail </w:t>
      </w:r>
      <w:r w:rsidRPr="00BB73AE">
        <w:rPr>
          <w:rFonts w:ascii="Times New Roman" w:hAnsi="Times New Roman"/>
          <w:sz w:val="24"/>
        </w:rPr>
        <w:t xml:space="preserve">(1959) 101 CLR 226 at 233; </w:t>
      </w:r>
      <w:r w:rsidRPr="00BB73AE">
        <w:rPr>
          <w:rFonts w:ascii="Times New Roman" w:hAnsi="Times New Roman"/>
          <w:i/>
          <w:sz w:val="24"/>
        </w:rPr>
        <w:t xml:space="preserve">Hembury v Chief of the General Staff </w:t>
      </w:r>
      <w:r w:rsidRPr="00BB73AE">
        <w:rPr>
          <w:rFonts w:ascii="Times New Roman" w:hAnsi="Times New Roman"/>
          <w:sz w:val="24"/>
        </w:rPr>
        <w:t xml:space="preserve">(1998) 193 CLR 641 at 656 [38]; </w:t>
      </w:r>
      <w:r w:rsidRPr="00BB73AE">
        <w:rPr>
          <w:rFonts w:ascii="Times New Roman" w:hAnsi="Times New Roman"/>
          <w:i/>
          <w:sz w:val="24"/>
        </w:rPr>
        <w:t xml:space="preserve">Radio 2UE Sydney Pty Ltd v Chesterton </w:t>
      </w:r>
      <w:r w:rsidRPr="00BB73AE">
        <w:rPr>
          <w:rFonts w:ascii="Times New Roman" w:hAnsi="Times New Roman"/>
          <w:sz w:val="24"/>
        </w:rPr>
        <w:t>(2009) 238 CLR 460 at 485 [66].</w:t>
      </w:r>
    </w:p>
  </w:footnote>
  <w:footnote w:id="242">
    <w:p w14:paraId="72DB0AA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[1909] VLR 497 at 526.</w:t>
      </w:r>
    </w:p>
  </w:footnote>
  <w:footnote w:id="243">
    <w:p w14:paraId="5833D340"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7 Edw VII c 23.</w:t>
      </w:r>
    </w:p>
  </w:footnote>
  <w:footnote w:id="244">
    <w:p w14:paraId="573C156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lang w:eastAsia="en-US"/>
        </w:rPr>
        <w:t xml:space="preserve">Criminal Appeal Act 1912 </w:t>
      </w:r>
      <w:r w:rsidRPr="00BB73AE">
        <w:rPr>
          <w:rFonts w:ascii="Times New Roman" w:hAnsi="Times New Roman"/>
          <w:sz w:val="24"/>
          <w:lang w:eastAsia="en-US"/>
        </w:rPr>
        <w:t>(NSW), s 8(1).</w:t>
      </w:r>
    </w:p>
  </w:footnote>
  <w:footnote w:id="245">
    <w:p w14:paraId="370D80A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lang w:eastAsia="en-US"/>
        </w:rPr>
        <w:t xml:space="preserve">Criminal Appeal Act 1912 </w:t>
      </w:r>
      <w:r w:rsidRPr="00BB73AE">
        <w:rPr>
          <w:rFonts w:ascii="Times New Roman" w:hAnsi="Times New Roman"/>
          <w:sz w:val="24"/>
          <w:lang w:eastAsia="en-US"/>
        </w:rPr>
        <w:t>(NSW), s 6(1).</w:t>
      </w:r>
    </w:p>
  </w:footnote>
  <w:footnote w:id="246">
    <w:p w14:paraId="1C0E8DD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Piddington v Bennett and Wood Pty Ltd </w:t>
      </w:r>
      <w:r w:rsidRPr="00BB73AE">
        <w:rPr>
          <w:rFonts w:ascii="Times New Roman" w:hAnsi="Times New Roman"/>
          <w:sz w:val="24"/>
        </w:rPr>
        <w:t xml:space="preserve">(1940) 63 CLR 533 at 563. </w:t>
      </w:r>
      <w:r w:rsidRPr="00BB73AE">
        <w:rPr>
          <w:rFonts w:ascii="Times New Roman" w:hAnsi="Times New Roman"/>
          <w:sz w:val="24"/>
          <w:lang w:eastAsia="en-US"/>
        </w:rPr>
        <w:t xml:space="preserve">See also </w:t>
      </w:r>
      <w:r w:rsidRPr="00BB73AE">
        <w:rPr>
          <w:rFonts w:ascii="Times New Roman" w:hAnsi="Times New Roman"/>
          <w:i/>
          <w:sz w:val="24"/>
        </w:rPr>
        <w:t xml:space="preserve">Balenzuela v De Gail </w:t>
      </w:r>
      <w:r w:rsidRPr="00BB73AE">
        <w:rPr>
          <w:rFonts w:ascii="Times New Roman" w:hAnsi="Times New Roman"/>
          <w:sz w:val="24"/>
        </w:rPr>
        <w:t xml:space="preserve">(1959) 101 CLR 226 at 234; </w:t>
      </w:r>
      <w:r w:rsidRPr="00BB73AE">
        <w:rPr>
          <w:rFonts w:ascii="Times New Roman" w:hAnsi="Times New Roman"/>
          <w:i/>
          <w:sz w:val="24"/>
        </w:rPr>
        <w:t>Nobarani v Mariconte</w:t>
      </w:r>
      <w:r w:rsidRPr="00BB73AE">
        <w:rPr>
          <w:rFonts w:ascii="Times New Roman" w:hAnsi="Times New Roman"/>
          <w:sz w:val="24"/>
        </w:rPr>
        <w:t xml:space="preserve"> (2018) 265 CLR 236 at 247 [38], discussing the meaning of "substantial wrong or miscarriage" in </w:t>
      </w:r>
      <w:r w:rsidRPr="00BB73AE">
        <w:rPr>
          <w:rFonts w:ascii="Times New Roman" w:hAnsi="Times New Roman"/>
          <w:i/>
          <w:sz w:val="24"/>
        </w:rPr>
        <w:t xml:space="preserve">Uniform Civil Procedure Rules </w:t>
      </w:r>
      <w:r w:rsidRPr="00BB73AE">
        <w:rPr>
          <w:rFonts w:ascii="Times New Roman" w:hAnsi="Times New Roman"/>
          <w:i/>
          <w:iCs/>
          <w:sz w:val="24"/>
        </w:rPr>
        <w:t>2005</w:t>
      </w:r>
      <w:r w:rsidRPr="00BB73AE">
        <w:rPr>
          <w:rFonts w:ascii="Times New Roman" w:hAnsi="Times New Roman"/>
          <w:iCs/>
          <w:sz w:val="24"/>
        </w:rPr>
        <w:t> </w:t>
      </w:r>
      <w:r w:rsidRPr="00BB73AE">
        <w:rPr>
          <w:rFonts w:ascii="Times New Roman" w:hAnsi="Times New Roman"/>
          <w:sz w:val="24"/>
        </w:rPr>
        <w:t xml:space="preserve">(NSW), r 51.53(1). </w:t>
      </w:r>
    </w:p>
  </w:footnote>
  <w:footnote w:id="247">
    <w:p w14:paraId="756564B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(2005) 224 CLR 300 at 306</w:t>
      </w:r>
      <w:r w:rsidRPr="00BB73AE">
        <w:rPr>
          <w:rFonts w:ascii="Times New Roman" w:hAnsi="Times New Roman"/>
          <w:sz w:val="24"/>
        </w:rPr>
        <w:noBreakHyphen/>
        <w:t>312 [12]</w:t>
      </w:r>
      <w:r w:rsidRPr="00BB73AE">
        <w:rPr>
          <w:rFonts w:ascii="Times New Roman" w:hAnsi="Times New Roman"/>
          <w:sz w:val="24"/>
        </w:rPr>
        <w:noBreakHyphen/>
        <w:t>[30].</w:t>
      </w:r>
    </w:p>
  </w:footnote>
  <w:footnote w:id="248">
    <w:p w14:paraId="4DD6F13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Wilde v The Queen</w:t>
      </w:r>
      <w:r w:rsidRPr="00BB73AE">
        <w:rPr>
          <w:rFonts w:ascii="Times New Roman" w:hAnsi="Times New Roman"/>
          <w:sz w:val="24"/>
        </w:rPr>
        <w:t xml:space="preserve"> (1988) 164 CLR 365 at 371</w:t>
      </w:r>
      <w:r w:rsidRPr="00BB73AE">
        <w:rPr>
          <w:rFonts w:ascii="Times New Roman" w:hAnsi="Times New Roman"/>
          <w:sz w:val="24"/>
        </w:rPr>
        <w:noBreakHyphen/>
        <w:t xml:space="preserve">372; </w:t>
      </w:r>
      <w:r w:rsidRPr="00BB73AE">
        <w:rPr>
          <w:rFonts w:ascii="Times New Roman" w:hAnsi="Times New Roman"/>
          <w:i/>
          <w:sz w:val="24"/>
        </w:rPr>
        <w:t>Kalbasi v Western Australia</w:t>
      </w:r>
      <w:r w:rsidRPr="00BB73AE">
        <w:rPr>
          <w:rFonts w:ascii="Times New Roman" w:hAnsi="Times New Roman"/>
          <w:sz w:val="24"/>
        </w:rPr>
        <w:t xml:space="preserve"> (2018) 264 CLR 62 at 88 [71], 111 [136], 121 [160]. See also </w:t>
      </w:r>
      <w:r w:rsidRPr="00BB73AE">
        <w:rPr>
          <w:rFonts w:ascii="Times New Roman" w:hAnsi="Times New Roman"/>
          <w:i/>
          <w:sz w:val="24"/>
        </w:rPr>
        <w:t>Mraz v The Queen</w:t>
      </w:r>
      <w:r w:rsidRPr="00BB73AE">
        <w:rPr>
          <w:rFonts w:ascii="Times New Roman" w:hAnsi="Times New Roman"/>
          <w:sz w:val="24"/>
        </w:rPr>
        <w:t xml:space="preserve"> (1955) 93 CLR 493 at 514; </w:t>
      </w:r>
      <w:r w:rsidRPr="00BB73AE">
        <w:rPr>
          <w:rFonts w:ascii="Times New Roman" w:hAnsi="Times New Roman"/>
          <w:i/>
          <w:sz w:val="24"/>
        </w:rPr>
        <w:t>Driscoll v The Queen</w:t>
      </w:r>
      <w:r w:rsidRPr="00BB73AE">
        <w:rPr>
          <w:rFonts w:ascii="Times New Roman" w:hAnsi="Times New Roman"/>
          <w:sz w:val="24"/>
        </w:rPr>
        <w:t xml:space="preserve"> (1977) 137 CLR 517 at 524</w:t>
      </w:r>
      <w:r w:rsidRPr="00BB73AE">
        <w:rPr>
          <w:rFonts w:ascii="Times New Roman" w:hAnsi="Times New Roman"/>
          <w:sz w:val="24"/>
        </w:rPr>
        <w:noBreakHyphen/>
        <w:t xml:space="preserve">525; </w:t>
      </w:r>
      <w:r w:rsidRPr="00BB73AE">
        <w:rPr>
          <w:rFonts w:ascii="Times New Roman" w:hAnsi="Times New Roman"/>
          <w:i/>
          <w:sz w:val="24"/>
        </w:rPr>
        <w:t>R v Storey</w:t>
      </w:r>
      <w:r w:rsidRPr="00BB73AE">
        <w:rPr>
          <w:rFonts w:ascii="Times New Roman" w:hAnsi="Times New Roman"/>
          <w:sz w:val="24"/>
        </w:rPr>
        <w:t xml:space="preserve"> (1978) 140 CLR 364 at 376; </w:t>
      </w:r>
      <w:r w:rsidRPr="00BB73AE">
        <w:rPr>
          <w:rFonts w:ascii="Times New Roman" w:hAnsi="Times New Roman"/>
          <w:i/>
          <w:sz w:val="24"/>
        </w:rPr>
        <w:t>Pollock v The Queen</w:t>
      </w:r>
      <w:r w:rsidRPr="00BB73AE">
        <w:rPr>
          <w:rFonts w:ascii="Times New Roman" w:hAnsi="Times New Roman"/>
          <w:sz w:val="24"/>
        </w:rPr>
        <w:t xml:space="preserve"> (2010) 242 CLR 233 at 252 [70]; </w:t>
      </w:r>
      <w:r w:rsidRPr="00BB73AE">
        <w:rPr>
          <w:rFonts w:ascii="Times New Roman" w:hAnsi="Times New Roman"/>
          <w:i/>
          <w:sz w:val="24"/>
        </w:rPr>
        <w:t>Filippou v The Queen</w:t>
      </w:r>
      <w:r w:rsidRPr="00BB73AE">
        <w:rPr>
          <w:rFonts w:ascii="Times New Roman" w:hAnsi="Times New Roman"/>
          <w:sz w:val="24"/>
        </w:rPr>
        <w:t xml:space="preserve"> (2015) 256 CLR 47 at 54</w:t>
      </w:r>
      <w:r w:rsidRPr="00BB73AE">
        <w:rPr>
          <w:rFonts w:ascii="Times New Roman" w:hAnsi="Times New Roman"/>
          <w:sz w:val="24"/>
        </w:rPr>
        <w:noBreakHyphen/>
        <w:t xml:space="preserve">55 [15]; </w:t>
      </w:r>
      <w:r w:rsidRPr="00BB73AE">
        <w:rPr>
          <w:rFonts w:ascii="Times New Roman" w:hAnsi="Times New Roman"/>
          <w:i/>
          <w:sz w:val="24"/>
        </w:rPr>
        <w:t xml:space="preserve">Lane v The Queen </w:t>
      </w:r>
      <w:r w:rsidRPr="00BB73AE">
        <w:rPr>
          <w:rFonts w:ascii="Times New Roman" w:hAnsi="Times New Roman"/>
          <w:sz w:val="24"/>
        </w:rPr>
        <w:t>(2018) 265 CLR 196 at 212 [56].</w:t>
      </w:r>
    </w:p>
  </w:footnote>
  <w:footnote w:id="249">
    <w:p w14:paraId="49EFBDB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Collins v The Queen</w:t>
      </w:r>
      <w:r w:rsidRPr="00BB73AE">
        <w:rPr>
          <w:rFonts w:ascii="Times New Roman" w:hAnsi="Times New Roman"/>
          <w:sz w:val="24"/>
        </w:rPr>
        <w:t xml:space="preserve"> (2018) 265 CLR 178 at 193 [41];</w:t>
      </w:r>
      <w:r w:rsidRPr="00BB73AE">
        <w:rPr>
          <w:rFonts w:ascii="Times New Roman" w:hAnsi="Times New Roman"/>
          <w:i/>
          <w:sz w:val="24"/>
        </w:rPr>
        <w:t xml:space="preserve"> OKS v Western Australia </w:t>
      </w:r>
      <w:r w:rsidRPr="00BB73AE">
        <w:rPr>
          <w:rFonts w:ascii="Times New Roman" w:hAnsi="Times New Roman"/>
          <w:sz w:val="24"/>
        </w:rPr>
        <w:t xml:space="preserve">(2019) 265 CLR 268 at 282-283 [38]-[39]. See also </w:t>
      </w:r>
      <w:r w:rsidRPr="00BB73AE">
        <w:rPr>
          <w:rFonts w:ascii="Times New Roman" w:hAnsi="Times New Roman"/>
          <w:i/>
          <w:sz w:val="24"/>
        </w:rPr>
        <w:t>Gallagher v The Queen</w:t>
      </w:r>
      <w:r w:rsidRPr="00BB73AE">
        <w:rPr>
          <w:rFonts w:ascii="Times New Roman" w:hAnsi="Times New Roman"/>
          <w:sz w:val="24"/>
        </w:rPr>
        <w:t xml:space="preserve"> (1986) </w:t>
      </w:r>
      <w:bookmarkStart w:id="5" w:name="_Hlk68023258"/>
      <w:r w:rsidRPr="00BB73AE">
        <w:rPr>
          <w:rFonts w:ascii="Times New Roman" w:hAnsi="Times New Roman"/>
          <w:sz w:val="24"/>
        </w:rPr>
        <w:t xml:space="preserve">160 CLR 392 </w:t>
      </w:r>
      <w:bookmarkEnd w:id="5"/>
      <w:r w:rsidRPr="00BB73AE">
        <w:rPr>
          <w:rFonts w:ascii="Times New Roman" w:hAnsi="Times New Roman"/>
          <w:sz w:val="24"/>
        </w:rPr>
        <w:t>at 412</w:t>
      </w:r>
      <w:r w:rsidRPr="00BB73AE">
        <w:rPr>
          <w:rFonts w:ascii="Times New Roman" w:hAnsi="Times New Roman"/>
          <w:sz w:val="24"/>
        </w:rPr>
        <w:noBreakHyphen/>
        <w:t xml:space="preserve">413; </w:t>
      </w:r>
      <w:r w:rsidRPr="00BB73AE">
        <w:rPr>
          <w:rFonts w:ascii="Times New Roman" w:hAnsi="Times New Roman"/>
          <w:i/>
          <w:sz w:val="24"/>
        </w:rPr>
        <w:t>Wilde v The Queen</w:t>
      </w:r>
      <w:r w:rsidRPr="00BB73AE">
        <w:rPr>
          <w:rFonts w:ascii="Times New Roman" w:hAnsi="Times New Roman"/>
          <w:sz w:val="24"/>
        </w:rPr>
        <w:t xml:space="preserve"> (1988) 164 CLR 365 at 372; </w:t>
      </w:r>
      <w:r w:rsidRPr="00BB73AE">
        <w:rPr>
          <w:rFonts w:ascii="Times New Roman" w:hAnsi="Times New Roman"/>
          <w:i/>
          <w:sz w:val="24"/>
        </w:rPr>
        <w:t>Festa v The Queen</w:t>
      </w:r>
      <w:r w:rsidRPr="00BB73AE">
        <w:rPr>
          <w:rFonts w:ascii="Times New Roman" w:hAnsi="Times New Roman"/>
          <w:sz w:val="24"/>
        </w:rPr>
        <w:t xml:space="preserve"> (2001) 208 CLR 593 at 631 [121], 636 [140], 661 [226]; </w:t>
      </w:r>
      <w:r w:rsidRPr="00BB73AE">
        <w:rPr>
          <w:rFonts w:ascii="Times New Roman" w:hAnsi="Times New Roman"/>
          <w:i/>
          <w:sz w:val="24"/>
        </w:rPr>
        <w:t>Conway v The Queen</w:t>
      </w:r>
      <w:r w:rsidRPr="00BB73AE">
        <w:rPr>
          <w:rFonts w:ascii="Times New Roman" w:hAnsi="Times New Roman"/>
          <w:sz w:val="24"/>
        </w:rPr>
        <w:t xml:space="preserve"> (2002) 209 CLR 203 at 226 [63]; </w:t>
      </w:r>
      <w:r w:rsidRPr="00BB73AE">
        <w:rPr>
          <w:rFonts w:ascii="Times New Roman" w:hAnsi="Times New Roman"/>
          <w:i/>
          <w:sz w:val="24"/>
        </w:rPr>
        <w:t>Arulthilakan v The Queen</w:t>
      </w:r>
      <w:r w:rsidRPr="00BB73AE">
        <w:rPr>
          <w:rFonts w:ascii="Times New Roman" w:hAnsi="Times New Roman"/>
          <w:sz w:val="24"/>
        </w:rPr>
        <w:t xml:space="preserve"> (2003) 78 ALJR 257 at 269 [62], 270-271 [68]</w:t>
      </w:r>
      <w:r w:rsidRPr="00BB73AE">
        <w:rPr>
          <w:rFonts w:ascii="Times New Roman" w:hAnsi="Times New Roman"/>
          <w:sz w:val="24"/>
        </w:rPr>
        <w:noBreakHyphen/>
        <w:t>[69]; 203 ALR 259 at 275, 276</w:t>
      </w:r>
      <w:r w:rsidRPr="00BB73AE">
        <w:rPr>
          <w:rFonts w:ascii="Times New Roman" w:hAnsi="Times New Roman"/>
          <w:sz w:val="24"/>
        </w:rPr>
        <w:noBreakHyphen/>
        <w:t xml:space="preserve">277; </w:t>
      </w:r>
      <w:r w:rsidRPr="00BB73AE">
        <w:rPr>
          <w:rFonts w:ascii="Times New Roman" w:hAnsi="Times New Roman"/>
          <w:i/>
          <w:sz w:val="24"/>
        </w:rPr>
        <w:t>Kamleh v The Queen</w:t>
      </w:r>
      <w:r w:rsidRPr="00BB73AE">
        <w:rPr>
          <w:rFonts w:ascii="Times New Roman" w:hAnsi="Times New Roman"/>
          <w:sz w:val="24"/>
        </w:rPr>
        <w:t xml:space="preserve"> (2005) 79 ALJR 541 at 547 [29], 549 [39]; 213 ALR 97 at 104, 106; </w:t>
      </w:r>
      <w:r w:rsidRPr="00BB73AE">
        <w:rPr>
          <w:rFonts w:ascii="Times New Roman" w:hAnsi="Times New Roman"/>
          <w:i/>
          <w:sz w:val="24"/>
        </w:rPr>
        <w:t>Darkan v The</w:t>
      </w:r>
      <w:r w:rsidRPr="00BB73AE">
        <w:rPr>
          <w:rFonts w:ascii="Times New Roman" w:hAnsi="Times New Roman"/>
          <w:sz w:val="24"/>
        </w:rPr>
        <w:t xml:space="preserve"> </w:t>
      </w:r>
      <w:r w:rsidRPr="00BB73AE">
        <w:rPr>
          <w:rFonts w:ascii="Times New Roman" w:hAnsi="Times New Roman"/>
          <w:i/>
          <w:sz w:val="24"/>
        </w:rPr>
        <w:t>Queen</w:t>
      </w:r>
      <w:r w:rsidRPr="00BB73AE">
        <w:rPr>
          <w:rFonts w:ascii="Times New Roman" w:hAnsi="Times New Roman"/>
          <w:sz w:val="24"/>
        </w:rPr>
        <w:t xml:space="preserve"> (2006) 227 CLR 373 at 402 [95], 407 [117]; </w:t>
      </w:r>
      <w:r w:rsidRPr="00BB73AE">
        <w:rPr>
          <w:rFonts w:ascii="Times New Roman" w:hAnsi="Times New Roman"/>
          <w:i/>
          <w:sz w:val="24"/>
        </w:rPr>
        <w:t>Baini v The Queen</w:t>
      </w:r>
      <w:r w:rsidRPr="00BB73AE">
        <w:rPr>
          <w:rFonts w:ascii="Times New Roman" w:hAnsi="Times New Roman"/>
          <w:sz w:val="24"/>
        </w:rPr>
        <w:t xml:space="preserve"> (2012) 246 CLR 469 at 481</w:t>
      </w:r>
      <w:r w:rsidRPr="00BB73AE">
        <w:rPr>
          <w:rFonts w:ascii="Times New Roman" w:hAnsi="Times New Roman"/>
          <w:sz w:val="24"/>
        </w:rPr>
        <w:noBreakHyphen/>
        <w:t xml:space="preserve">482 [33], 484 [40]; </w:t>
      </w:r>
      <w:r w:rsidRPr="00BB73AE">
        <w:rPr>
          <w:rFonts w:ascii="Times New Roman" w:hAnsi="Times New Roman"/>
          <w:i/>
          <w:sz w:val="24"/>
        </w:rPr>
        <w:t>Lindsay v The Queen</w:t>
      </w:r>
      <w:r w:rsidRPr="00BB73AE">
        <w:rPr>
          <w:rFonts w:ascii="Times New Roman" w:hAnsi="Times New Roman"/>
          <w:sz w:val="24"/>
        </w:rPr>
        <w:t xml:space="preserve"> (2015) 255 CLR 272 at 276 [4], 301</w:t>
      </w:r>
      <w:r w:rsidRPr="00BB73AE">
        <w:rPr>
          <w:rFonts w:ascii="Times New Roman" w:hAnsi="Times New Roman"/>
          <w:sz w:val="24"/>
        </w:rPr>
        <w:noBreakHyphen/>
        <w:t xml:space="preserve">302 [86]; </w:t>
      </w:r>
      <w:r w:rsidRPr="00BB73AE">
        <w:rPr>
          <w:rFonts w:ascii="Times New Roman" w:hAnsi="Times New Roman"/>
          <w:i/>
          <w:sz w:val="24"/>
        </w:rPr>
        <w:t>Castle v The Queen</w:t>
      </w:r>
      <w:r w:rsidRPr="00BB73AE">
        <w:rPr>
          <w:rFonts w:ascii="Times New Roman" w:hAnsi="Times New Roman"/>
          <w:sz w:val="24"/>
        </w:rPr>
        <w:t xml:space="preserve"> (2016) 259 CLR 449 at 472 [65], 477 [81]; </w:t>
      </w:r>
      <w:r w:rsidRPr="00BB73AE">
        <w:rPr>
          <w:rFonts w:ascii="Times New Roman" w:hAnsi="Times New Roman"/>
          <w:i/>
          <w:sz w:val="24"/>
        </w:rPr>
        <w:t>R v Dickman</w:t>
      </w:r>
      <w:r w:rsidRPr="00BB73AE">
        <w:rPr>
          <w:rFonts w:ascii="Times New Roman" w:hAnsi="Times New Roman"/>
          <w:sz w:val="24"/>
        </w:rPr>
        <w:t xml:space="preserve"> (2017) 261 CLR 601 at 605 [4]</w:t>
      </w:r>
      <w:r w:rsidRPr="00BB73AE">
        <w:rPr>
          <w:rFonts w:ascii="Times New Roman" w:hAnsi="Times New Roman"/>
          <w:sz w:val="24"/>
        </w:rPr>
        <w:noBreakHyphen/>
        <w:t xml:space="preserve">[5], 620 [63]; </w:t>
      </w:r>
      <w:r w:rsidRPr="00BB73AE">
        <w:rPr>
          <w:rFonts w:ascii="Times New Roman" w:hAnsi="Times New Roman"/>
          <w:i/>
          <w:sz w:val="24"/>
        </w:rPr>
        <w:t>Kalbasi v Western Australia</w:t>
      </w:r>
      <w:r w:rsidRPr="00BB73AE">
        <w:rPr>
          <w:rFonts w:ascii="Times New Roman" w:hAnsi="Times New Roman"/>
          <w:sz w:val="24"/>
        </w:rPr>
        <w:t xml:space="preserve"> (2018) 264 CLR 62 at 88 [71], 121 [159]</w:t>
      </w:r>
      <w:r w:rsidRPr="00BB73AE">
        <w:rPr>
          <w:rFonts w:ascii="Times New Roman" w:hAnsi="Times New Roman"/>
          <w:sz w:val="24"/>
        </w:rPr>
        <w:noBreakHyphen/>
        <w:t xml:space="preserve">[160]; </w:t>
      </w:r>
      <w:r w:rsidRPr="00BB73AE">
        <w:rPr>
          <w:rFonts w:ascii="Times New Roman" w:hAnsi="Times New Roman"/>
          <w:i/>
          <w:sz w:val="24"/>
        </w:rPr>
        <w:t xml:space="preserve">Lane v The Queen </w:t>
      </w:r>
      <w:r w:rsidRPr="00BB73AE">
        <w:rPr>
          <w:rFonts w:ascii="Times New Roman" w:hAnsi="Times New Roman"/>
          <w:sz w:val="24"/>
        </w:rPr>
        <w:t>(2018) 265 CLR 196 at 212 [56], 213 [59].</w:t>
      </w:r>
    </w:p>
  </w:footnote>
  <w:footnote w:id="250">
    <w:p w14:paraId="0D4EECC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Lane v The Queen </w:t>
      </w:r>
      <w:r w:rsidRPr="00BB73AE">
        <w:rPr>
          <w:rFonts w:ascii="Times New Roman" w:hAnsi="Times New Roman"/>
          <w:sz w:val="24"/>
        </w:rPr>
        <w:t>(2018) 265 CLR 196 at 207 [38].</w:t>
      </w:r>
    </w:p>
  </w:footnote>
  <w:footnote w:id="251">
    <w:p w14:paraId="27DF58F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(2005) 224 CLR 300 at 317 [45].</w:t>
      </w:r>
    </w:p>
  </w:footnote>
  <w:footnote w:id="252">
    <w:p w14:paraId="3E64525F"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(2018) 265 CLR 236 at 247 [38]. See also </w:t>
      </w:r>
      <w:r w:rsidRPr="00BB73AE">
        <w:rPr>
          <w:rFonts w:ascii="Times New Roman" w:hAnsi="Times New Roman"/>
          <w:i/>
          <w:sz w:val="24"/>
        </w:rPr>
        <w:t>BVD17</w:t>
      </w:r>
      <w:r w:rsidRPr="00BB73AE">
        <w:rPr>
          <w:rFonts w:ascii="Times New Roman" w:hAnsi="Times New Roman"/>
          <w:sz w:val="24"/>
        </w:rPr>
        <w:t xml:space="preserve"> </w:t>
      </w:r>
      <w:r w:rsidRPr="00BB73AE">
        <w:rPr>
          <w:rFonts w:ascii="Times New Roman" w:hAnsi="Times New Roman"/>
          <w:i/>
          <w:sz w:val="24"/>
        </w:rPr>
        <w:t xml:space="preserve">v Minister for Immigration and Border Protection </w:t>
      </w:r>
      <w:r w:rsidRPr="00BB73AE">
        <w:rPr>
          <w:rFonts w:ascii="Times New Roman" w:hAnsi="Times New Roman"/>
          <w:sz w:val="24"/>
        </w:rPr>
        <w:t>(2019) 93 ALJR 1091 at 1104</w:t>
      </w:r>
      <w:r w:rsidRPr="00BB73AE">
        <w:rPr>
          <w:rFonts w:ascii="Times New Roman" w:hAnsi="Times New Roman"/>
          <w:sz w:val="24"/>
        </w:rPr>
        <w:noBreakHyphen/>
        <w:t>1105 [66]-[68]; 373 ALR 196 at 212</w:t>
      </w:r>
      <w:r w:rsidRPr="00BB73AE">
        <w:rPr>
          <w:rFonts w:ascii="Times New Roman" w:hAnsi="Times New Roman"/>
          <w:sz w:val="24"/>
        </w:rPr>
        <w:noBreakHyphen/>
        <w:t xml:space="preserve">213. See further </w:t>
      </w:r>
      <w:r w:rsidRPr="00BB73AE">
        <w:rPr>
          <w:rFonts w:ascii="Times New Roman" w:hAnsi="Times New Roman"/>
          <w:i/>
          <w:sz w:val="24"/>
        </w:rPr>
        <w:t xml:space="preserve">Wehbe v Minister for Home Affairs </w:t>
      </w:r>
      <w:r w:rsidRPr="00BB73AE">
        <w:rPr>
          <w:rFonts w:ascii="Times New Roman" w:hAnsi="Times New Roman"/>
          <w:sz w:val="24"/>
        </w:rPr>
        <w:t xml:space="preserve">(2018) 92 ALJR 1033 at 1037 [24]; 361 ALR 1 at 6; </w:t>
      </w:r>
      <w:r w:rsidRPr="00BB73AE">
        <w:rPr>
          <w:rFonts w:ascii="Times New Roman" w:hAnsi="Times New Roman"/>
          <w:i/>
          <w:sz w:val="24"/>
        </w:rPr>
        <w:t>OKS</w:t>
      </w:r>
      <w:r w:rsidRPr="00BB73AE">
        <w:rPr>
          <w:rFonts w:ascii="Times New Roman" w:hAnsi="Times New Roman"/>
          <w:sz w:val="24"/>
        </w:rPr>
        <w:t xml:space="preserve"> </w:t>
      </w:r>
      <w:r w:rsidRPr="00BB73AE">
        <w:rPr>
          <w:rFonts w:ascii="Times New Roman" w:hAnsi="Times New Roman"/>
          <w:i/>
          <w:sz w:val="24"/>
        </w:rPr>
        <w:t xml:space="preserve">v Western Australia </w:t>
      </w:r>
      <w:r w:rsidRPr="00BB73AE">
        <w:rPr>
          <w:rFonts w:ascii="Times New Roman" w:hAnsi="Times New Roman"/>
          <w:sz w:val="24"/>
        </w:rPr>
        <w:t>(2019) 265 CLR 268 at 280</w:t>
      </w:r>
      <w:r w:rsidRPr="00BB73AE">
        <w:rPr>
          <w:rFonts w:ascii="Times New Roman" w:hAnsi="Times New Roman"/>
          <w:sz w:val="24"/>
        </w:rPr>
        <w:noBreakHyphen/>
        <w:t>281 [34].</w:t>
      </w:r>
    </w:p>
  </w:footnote>
  <w:footnote w:id="253">
    <w:p w14:paraId="29B8D62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Rather than other duties or powers: see </w:t>
      </w:r>
      <w:r w:rsidRPr="00BB73AE">
        <w:rPr>
          <w:rFonts w:ascii="Times New Roman" w:hAnsi="Times New Roman"/>
          <w:i/>
          <w:iCs/>
          <w:sz w:val="24"/>
        </w:rPr>
        <w:t xml:space="preserve">Minister for Home Affairs v DUA16 </w:t>
      </w:r>
      <w:r w:rsidRPr="00BB73AE">
        <w:rPr>
          <w:rFonts w:ascii="Times New Roman" w:hAnsi="Times New Roman"/>
          <w:sz w:val="24"/>
        </w:rPr>
        <w:t xml:space="preserve">(2020) 95 ALJR 54 at 61 [26]; 385 ALR 212 at 220; </w:t>
      </w:r>
      <w:r w:rsidRPr="00BB73AE">
        <w:rPr>
          <w:rFonts w:ascii="Times New Roman" w:hAnsi="Times New Roman"/>
          <w:i/>
          <w:sz w:val="24"/>
        </w:rPr>
        <w:t xml:space="preserve">ABT17 v Minister for Immigration and Border Protection </w:t>
      </w:r>
      <w:r w:rsidRPr="00BB73AE">
        <w:rPr>
          <w:rFonts w:ascii="Times New Roman" w:hAnsi="Times New Roman"/>
          <w:sz w:val="24"/>
        </w:rPr>
        <w:t>(2020) 94 ALJR 928 at 958 [125]; 383 ALR 407 at 443.</w:t>
      </w:r>
    </w:p>
  </w:footnote>
  <w:footnote w:id="254">
    <w:p w14:paraId="32FCBFF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Hossain v Minister for Immigration and Border Protection</w:t>
      </w:r>
      <w:r w:rsidRPr="00BB73AE">
        <w:rPr>
          <w:rFonts w:ascii="Times New Roman" w:hAnsi="Times New Roman"/>
          <w:i/>
          <w:sz w:val="24"/>
        </w:rPr>
        <w:t xml:space="preserve"> </w:t>
      </w:r>
      <w:r w:rsidRPr="00BB73AE">
        <w:rPr>
          <w:rFonts w:ascii="Times New Roman" w:hAnsi="Times New Roman"/>
          <w:sz w:val="24"/>
        </w:rPr>
        <w:t>(2018) 264 CLR 123 at 137 [40], 147</w:t>
      </w:r>
      <w:r w:rsidRPr="00BB73AE">
        <w:rPr>
          <w:rFonts w:ascii="Times New Roman" w:hAnsi="Times New Roman"/>
          <w:sz w:val="24"/>
        </w:rPr>
        <w:noBreakHyphen/>
        <w:t>148 [72].</w:t>
      </w:r>
    </w:p>
  </w:footnote>
  <w:footnote w:id="255">
    <w:p w14:paraId="255CE46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Neder v United States </w:t>
      </w:r>
      <w:r w:rsidRPr="00BB73AE">
        <w:rPr>
          <w:rFonts w:ascii="Times New Roman" w:hAnsi="Times New Roman"/>
          <w:sz w:val="24"/>
        </w:rPr>
        <w:t>(1999) 527 US 1 at 8-9.</w:t>
      </w:r>
    </w:p>
  </w:footnote>
  <w:footnote w:id="256">
    <w:p w14:paraId="77B351C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lang w:eastAsia="en-US"/>
        </w:rPr>
        <w:t>Supreme Court of Judicature Act 1873</w:t>
      </w:r>
      <w:r w:rsidRPr="00BB73AE">
        <w:rPr>
          <w:rFonts w:ascii="Times New Roman" w:hAnsi="Times New Roman"/>
          <w:iCs/>
          <w:sz w:val="24"/>
          <w:lang w:eastAsia="en-US"/>
        </w:rPr>
        <w:t xml:space="preserve"> (</w:t>
      </w:r>
      <w:r w:rsidRPr="00BB73AE">
        <w:rPr>
          <w:rFonts w:ascii="Times New Roman" w:hAnsi="Times New Roman"/>
          <w:sz w:val="24"/>
        </w:rPr>
        <w:t>36 &amp; 37 Vict c 66),</w:t>
      </w:r>
      <w:r w:rsidRPr="00BB73AE" w:rsidDel="00191280">
        <w:rPr>
          <w:rFonts w:ascii="Times New Roman" w:hAnsi="Times New Roman"/>
          <w:iCs/>
          <w:sz w:val="24"/>
          <w:lang w:eastAsia="en-US"/>
        </w:rPr>
        <w:t xml:space="preserve"> </w:t>
      </w:r>
      <w:r w:rsidRPr="00BB73AE">
        <w:rPr>
          <w:rFonts w:ascii="Times New Roman" w:hAnsi="Times New Roman"/>
          <w:sz w:val="24"/>
        </w:rPr>
        <w:t xml:space="preserve">Schedule, r 48 (emphasis added). </w:t>
      </w:r>
    </w:p>
  </w:footnote>
  <w:footnote w:id="257">
    <w:p w14:paraId="355543F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Wigmore, </w:t>
      </w:r>
      <w:r w:rsidRPr="00BB73AE">
        <w:rPr>
          <w:rFonts w:ascii="Times New Roman" w:hAnsi="Times New Roman"/>
          <w:i/>
          <w:iCs/>
          <w:sz w:val="24"/>
        </w:rPr>
        <w:t>A Treatise on the Anglo-American System of Evidence in Trials at Common Law</w:t>
      </w:r>
      <w:r w:rsidRPr="00BB73AE">
        <w:rPr>
          <w:rFonts w:ascii="Times New Roman" w:hAnsi="Times New Roman"/>
          <w:sz w:val="24"/>
        </w:rPr>
        <w:t xml:space="preserve">, 3rd ed (1940), vol 1 at 368. </w:t>
      </w:r>
    </w:p>
  </w:footnote>
  <w:footnote w:id="258">
    <w:p w14:paraId="231E3520"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(1866) 35 NY 49 at 59.</w:t>
      </w:r>
    </w:p>
  </w:footnote>
  <w:footnote w:id="259">
    <w:p w14:paraId="58E8DBE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Mraz v The Queen </w:t>
      </w:r>
      <w:r w:rsidRPr="00BB73AE">
        <w:rPr>
          <w:rFonts w:ascii="Times New Roman" w:hAnsi="Times New Roman"/>
          <w:sz w:val="24"/>
        </w:rPr>
        <w:t xml:space="preserve">(1955) 93 CLR 493 at 514; </w:t>
      </w:r>
      <w:r w:rsidRPr="00BB73AE">
        <w:rPr>
          <w:rFonts w:ascii="Times New Roman" w:hAnsi="Times New Roman"/>
          <w:i/>
          <w:sz w:val="24"/>
        </w:rPr>
        <w:t xml:space="preserve">TKWJ v The Queen </w:t>
      </w:r>
      <w:r w:rsidRPr="00BB73AE">
        <w:rPr>
          <w:rFonts w:ascii="Times New Roman" w:hAnsi="Times New Roman"/>
          <w:sz w:val="24"/>
        </w:rPr>
        <w:t xml:space="preserve">(2002) 212 CLR 124 at 143 [63]; </w:t>
      </w:r>
      <w:r w:rsidRPr="00BB73AE">
        <w:rPr>
          <w:rFonts w:ascii="Times New Roman" w:hAnsi="Times New Roman"/>
          <w:i/>
          <w:sz w:val="24"/>
        </w:rPr>
        <w:t>Lindsay v The Queen</w:t>
      </w:r>
      <w:r w:rsidRPr="00BB73AE">
        <w:rPr>
          <w:rFonts w:ascii="Times New Roman" w:hAnsi="Times New Roman"/>
          <w:sz w:val="24"/>
        </w:rPr>
        <w:t xml:space="preserve"> (2015) 255 CLR 272 at 294 [64].</w:t>
      </w:r>
    </w:p>
  </w:footnote>
  <w:footnote w:id="260">
    <w:p w14:paraId="7848E72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(2002) 212 CLR 124 at 143 [63].</w:t>
      </w:r>
    </w:p>
  </w:footnote>
  <w:footnote w:id="261">
    <w:p w14:paraId="1FD808B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[1909] VLR 497 at 526 (italics in original).</w:t>
      </w:r>
    </w:p>
  </w:footnote>
  <w:footnote w:id="262">
    <w:p w14:paraId="3DD3875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233-234.</w:t>
      </w:r>
    </w:p>
  </w:footnote>
  <w:footnote w:id="263">
    <w:p w14:paraId="76FBB7D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(1959) 101 CLR 226 at 234, quoting </w:t>
      </w:r>
      <w:r w:rsidRPr="00BB73AE">
        <w:rPr>
          <w:rFonts w:ascii="Times New Roman" w:hAnsi="Times New Roman"/>
          <w:i/>
          <w:sz w:val="24"/>
        </w:rPr>
        <w:t xml:space="preserve">Piddington v Bennett and Wood Pty Ltd </w:t>
      </w:r>
      <w:r w:rsidRPr="00BB73AE">
        <w:rPr>
          <w:rFonts w:ascii="Times New Roman" w:hAnsi="Times New Roman"/>
          <w:sz w:val="24"/>
        </w:rPr>
        <w:t xml:space="preserve">(1940) 63 CLR 533 at 563 and citing </w:t>
      </w:r>
      <w:r w:rsidRPr="00BB73AE">
        <w:rPr>
          <w:rFonts w:ascii="Times New Roman" w:hAnsi="Times New Roman"/>
          <w:i/>
          <w:sz w:val="24"/>
        </w:rPr>
        <w:t>Macleod v Attorney-General (NSW)</w:t>
      </w:r>
      <w:r w:rsidRPr="00BB73AE">
        <w:rPr>
          <w:rFonts w:ascii="Times New Roman" w:hAnsi="Times New Roman"/>
          <w:i/>
          <w:iCs/>
          <w:sz w:val="24"/>
        </w:rPr>
        <w:t xml:space="preserve"> </w:t>
      </w:r>
      <w:r w:rsidRPr="00BB73AE">
        <w:rPr>
          <w:rFonts w:ascii="Times New Roman" w:hAnsi="Times New Roman"/>
          <w:sz w:val="24"/>
        </w:rPr>
        <w:t xml:space="preserve">(1890) 11 LR (NSW) 218; [1891] AC 455 and </w:t>
      </w:r>
      <w:r w:rsidRPr="00BB73AE">
        <w:rPr>
          <w:rFonts w:ascii="Times New Roman" w:hAnsi="Times New Roman"/>
          <w:i/>
          <w:sz w:val="24"/>
        </w:rPr>
        <w:t xml:space="preserve">Makin v Attorney-General (NSW) </w:t>
      </w:r>
      <w:r w:rsidRPr="00BB73AE">
        <w:rPr>
          <w:rFonts w:ascii="Times New Roman" w:hAnsi="Times New Roman"/>
          <w:sz w:val="24"/>
        </w:rPr>
        <w:t>[1894] AC 57.</w:t>
      </w:r>
    </w:p>
  </w:footnote>
  <w:footnote w:id="264">
    <w:p w14:paraId="31C7DB5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 xml:space="preserve">Piddington v Bennett and Wood Pty Ltd </w:t>
      </w:r>
      <w:r w:rsidRPr="00BB73AE">
        <w:rPr>
          <w:rFonts w:ascii="Times New Roman" w:hAnsi="Times New Roman"/>
          <w:sz w:val="24"/>
        </w:rPr>
        <w:t>(1940) 63 CLR 533 at 563.</w:t>
      </w:r>
    </w:p>
  </w:footnote>
  <w:footnote w:id="265">
    <w:p w14:paraId="5B37642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Piddington v Bennett and Wood Pty Ltd </w:t>
      </w:r>
      <w:r w:rsidRPr="00BB73AE">
        <w:rPr>
          <w:rFonts w:ascii="Times New Roman" w:hAnsi="Times New Roman"/>
          <w:sz w:val="24"/>
        </w:rPr>
        <w:t>(1940) 63 CLR 533 at 554.</w:t>
      </w:r>
    </w:p>
  </w:footnote>
  <w:footnote w:id="266">
    <w:p w14:paraId="770A6FE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234</w:t>
      </w:r>
      <w:r w:rsidRPr="00BB73AE">
        <w:rPr>
          <w:rFonts w:ascii="Times New Roman" w:hAnsi="Times New Roman"/>
          <w:sz w:val="24"/>
        </w:rPr>
        <w:noBreakHyphen/>
        <w:t>235.</w:t>
      </w:r>
    </w:p>
  </w:footnote>
  <w:footnote w:id="267">
    <w:p w14:paraId="6672F5A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235.</w:t>
      </w:r>
    </w:p>
  </w:footnote>
  <w:footnote w:id="268">
    <w:p w14:paraId="6347360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Phipson and Best, </w:t>
      </w:r>
      <w:r w:rsidRPr="00BB73AE">
        <w:rPr>
          <w:rFonts w:ascii="Times New Roman" w:hAnsi="Times New Roman"/>
          <w:i/>
          <w:iCs/>
          <w:sz w:val="24"/>
        </w:rPr>
        <w:t>The Principles of the Law of Evidenc</w:t>
      </w:r>
      <w:r w:rsidRPr="00BB73AE">
        <w:rPr>
          <w:rFonts w:ascii="Times New Roman" w:hAnsi="Times New Roman"/>
          <w:i/>
          <w:sz w:val="24"/>
        </w:rPr>
        <w:t>e</w:t>
      </w:r>
      <w:r w:rsidRPr="00BB73AE">
        <w:rPr>
          <w:rFonts w:ascii="Times New Roman" w:hAnsi="Times New Roman"/>
          <w:sz w:val="24"/>
        </w:rPr>
        <w:t>,</w:t>
      </w:r>
      <w:r w:rsidRPr="00BB73AE">
        <w:rPr>
          <w:rFonts w:ascii="Times New Roman" w:hAnsi="Times New Roman"/>
          <w:i/>
          <w:iCs/>
          <w:sz w:val="24"/>
        </w:rPr>
        <w:t xml:space="preserve"> </w:t>
      </w:r>
      <w:r w:rsidRPr="00BB73AE">
        <w:rPr>
          <w:rFonts w:ascii="Times New Roman" w:hAnsi="Times New Roman"/>
          <w:sz w:val="24"/>
        </w:rPr>
        <w:t xml:space="preserve">12th ed (1922) at 70. </w:t>
      </w:r>
    </w:p>
  </w:footnote>
  <w:footnote w:id="269">
    <w:p w14:paraId="3DF0780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235.</w:t>
      </w:r>
    </w:p>
  </w:footnote>
  <w:footnote w:id="270">
    <w:p w14:paraId="4D392A9D"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(1926) 38 CLR 1 at 10. </w:t>
      </w:r>
    </w:p>
  </w:footnote>
  <w:footnote w:id="271">
    <w:p w14:paraId="252497DD"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15 &amp; 16 Vict c 76.</w:t>
      </w:r>
    </w:p>
  </w:footnote>
  <w:footnote w:id="272">
    <w:p w14:paraId="07E2B010"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236.</w:t>
      </w:r>
    </w:p>
  </w:footnote>
  <w:footnote w:id="273">
    <w:p w14:paraId="1E8900D3"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232.</w:t>
      </w:r>
    </w:p>
  </w:footnote>
  <w:footnote w:id="274">
    <w:p w14:paraId="08F15C2C"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237.</w:t>
      </w:r>
    </w:p>
  </w:footnote>
  <w:footnote w:id="275">
    <w:p w14:paraId="2E69BC5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244-245. See also at 238 (Taylor J), 239 (Menzies J).</w:t>
      </w:r>
    </w:p>
  </w:footnote>
  <w:footnote w:id="276">
    <w:p w14:paraId="296AD32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(1961) 106 CLR 95.</w:t>
      </w:r>
    </w:p>
  </w:footnote>
  <w:footnote w:id="277">
    <w:p w14:paraId="0232996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Unreported, High Court of Australia, 22 August 1963 at 3-4.</w:t>
      </w:r>
    </w:p>
  </w:footnote>
  <w:footnote w:id="278">
    <w:p w14:paraId="6A345E1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(1963) 109 CLR 458 at 463.</w:t>
      </w:r>
    </w:p>
  </w:footnote>
  <w:footnote w:id="279">
    <w:p w14:paraId="760A3F05"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(1835) 1 Cr M &amp; R 919 [149 ER 1353].</w:t>
      </w:r>
    </w:p>
  </w:footnote>
  <w:footnote w:id="280">
    <w:p w14:paraId="0220892C"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 xml:space="preserve">Crease v Barrett </w:t>
      </w:r>
      <w:r w:rsidRPr="00BB73AE">
        <w:rPr>
          <w:rFonts w:ascii="Times New Roman" w:hAnsi="Times New Roman"/>
          <w:sz w:val="24"/>
        </w:rPr>
        <w:t>(1835) 1 Cr M &amp; R 919 at 933 [149 ER 1353 at 1359].</w:t>
      </w:r>
    </w:p>
  </w:footnote>
  <w:footnote w:id="281">
    <w:p w14:paraId="353B154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(1986) 161 CLR 141.</w:t>
      </w:r>
    </w:p>
  </w:footnote>
  <w:footnote w:id="282">
    <w:p w14:paraId="36AB484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(1986) 161 CLR 141 at 147.</w:t>
      </w:r>
    </w:p>
  </w:footnote>
  <w:footnote w:id="283">
    <w:p w14:paraId="6400278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(1959) 101 CLR 226 at 232, 235.</w:t>
      </w:r>
    </w:p>
  </w:footnote>
  <w:footnote w:id="284">
    <w:p w14:paraId="74F9432D" w14:textId="77777777" w:rsidR="007B5A1E" w:rsidRPr="00BB73AE" w:rsidRDefault="007B5A1E" w:rsidP="00BB73AE">
      <w:pPr>
        <w:pStyle w:val="FootnoteText"/>
        <w:spacing w:line="280" w:lineRule="exact"/>
        <w:ind w:right="0"/>
        <w:jc w:val="both"/>
        <w:rPr>
          <w:rFonts w:ascii="Times New Roman" w:hAnsi="Times New Roman"/>
          <w:i/>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 xml:space="preserve">Stead v State Government Insurance Commission </w:t>
      </w:r>
      <w:r w:rsidRPr="00BB73AE">
        <w:rPr>
          <w:rFonts w:ascii="Times New Roman" w:hAnsi="Times New Roman"/>
          <w:sz w:val="24"/>
        </w:rPr>
        <w:t>(1986) 161 CLR 141 at 147 (emphasis added).</w:t>
      </w:r>
    </w:p>
  </w:footnote>
  <w:footnote w:id="285">
    <w:p w14:paraId="19930D1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w:t>
      </w:r>
    </w:p>
  </w:footnote>
  <w:footnote w:id="286">
    <w:p w14:paraId="3969C2A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 at 88 [4].</w:t>
      </w:r>
    </w:p>
  </w:footnote>
  <w:footnote w:id="287">
    <w:p w14:paraId="295D93A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 at 122 [104].</w:t>
      </w:r>
    </w:p>
  </w:footnote>
  <w:footnote w:id="288">
    <w:p w14:paraId="05F73C3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 at 130-131 [131].</w:t>
      </w:r>
    </w:p>
  </w:footnote>
  <w:footnote w:id="289">
    <w:p w14:paraId="78CE3184"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 at 155 [211].</w:t>
      </w:r>
    </w:p>
  </w:footnote>
  <w:footnote w:id="290">
    <w:p w14:paraId="194E9AD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 at 144 [172].</w:t>
      </w:r>
    </w:p>
  </w:footnote>
  <w:footnote w:id="291">
    <w:p w14:paraId="7797677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(2000) 204 CLR 82 at 109 [59].</w:t>
      </w:r>
    </w:p>
  </w:footnote>
  <w:footnote w:id="292">
    <w:p w14:paraId="066880D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 xml:space="preserve">Minister for Immigration and Border Protection v SZMTA </w:t>
      </w:r>
      <w:r w:rsidRPr="00BB73AE">
        <w:rPr>
          <w:rFonts w:ascii="Times New Roman" w:hAnsi="Times New Roman"/>
          <w:sz w:val="24"/>
        </w:rPr>
        <w:t>(2019) 264 CLR 421 at 459 [93].</w:t>
      </w:r>
    </w:p>
  </w:footnote>
  <w:footnote w:id="293">
    <w:p w14:paraId="72239ED4" w14:textId="77777777" w:rsidR="007B5A1E" w:rsidRPr="00BB73AE" w:rsidRDefault="007B5A1E" w:rsidP="00BB73AE">
      <w:pPr>
        <w:pStyle w:val="FootnoteText"/>
        <w:spacing w:line="280" w:lineRule="exact"/>
        <w:ind w:right="0"/>
        <w:jc w:val="both"/>
        <w:rPr>
          <w:rFonts w:ascii="Times New Roman" w:hAnsi="Times New Roman"/>
          <w:i/>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(2019) 264 CLR 421 at 444 [41].</w:t>
      </w:r>
    </w:p>
  </w:footnote>
  <w:footnote w:id="294">
    <w:p w14:paraId="5B912C5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sz w:val="24"/>
        </w:rPr>
        <w:t>R v Warner</w:t>
      </w:r>
      <w:r w:rsidRPr="00BB73AE">
        <w:rPr>
          <w:rFonts w:ascii="Times New Roman" w:hAnsi="Times New Roman"/>
          <w:sz w:val="24"/>
        </w:rPr>
        <w:t xml:space="preserve"> (1661) 1 Keb 66 at 67 [83 ER 814 at 815]; </w:t>
      </w:r>
      <w:r w:rsidRPr="00BB73AE">
        <w:rPr>
          <w:rFonts w:ascii="Times New Roman" w:hAnsi="Times New Roman"/>
          <w:i/>
          <w:sz w:val="24"/>
        </w:rPr>
        <w:t>Felton v Mulligan</w:t>
      </w:r>
      <w:r w:rsidRPr="00BB73AE">
        <w:rPr>
          <w:rFonts w:ascii="Times New Roman" w:hAnsi="Times New Roman"/>
          <w:sz w:val="24"/>
        </w:rPr>
        <w:t xml:space="preserve"> (1971) 124 CLR 367 at 413; </w:t>
      </w:r>
      <w:r w:rsidRPr="00BB73AE">
        <w:rPr>
          <w:rFonts w:ascii="Times New Roman" w:hAnsi="Times New Roman"/>
          <w:i/>
          <w:sz w:val="24"/>
        </w:rPr>
        <w:t>Baker v The Queen</w:t>
      </w:r>
      <w:r w:rsidRPr="00BB73AE">
        <w:rPr>
          <w:rFonts w:ascii="Times New Roman" w:hAnsi="Times New Roman"/>
          <w:sz w:val="24"/>
        </w:rPr>
        <w:t xml:space="preserve"> [1975] AC 774 at 787-789; </w:t>
      </w:r>
      <w:r w:rsidRPr="00BB73AE">
        <w:rPr>
          <w:rFonts w:ascii="Times New Roman" w:hAnsi="Times New Roman"/>
          <w:i/>
          <w:sz w:val="24"/>
        </w:rPr>
        <w:t>Coleman v Power</w:t>
      </w:r>
      <w:r w:rsidRPr="00BB73AE">
        <w:rPr>
          <w:rFonts w:ascii="Times New Roman" w:hAnsi="Times New Roman"/>
          <w:sz w:val="24"/>
        </w:rPr>
        <w:t xml:space="preserve"> (2004) 220 CLR 1 at 44</w:t>
      </w:r>
      <w:r w:rsidRPr="00BB73AE">
        <w:rPr>
          <w:rFonts w:ascii="Times New Roman" w:hAnsi="Times New Roman"/>
          <w:sz w:val="24"/>
        </w:rPr>
        <w:noBreakHyphen/>
        <w:t xml:space="preserve">45 [79]; </w:t>
      </w:r>
      <w:r w:rsidRPr="00BB73AE">
        <w:rPr>
          <w:rFonts w:ascii="Times New Roman" w:hAnsi="Times New Roman"/>
          <w:i/>
          <w:sz w:val="24"/>
        </w:rPr>
        <w:t>CSR Ltd v Eddy</w:t>
      </w:r>
      <w:r w:rsidRPr="00BB73AE">
        <w:rPr>
          <w:rFonts w:ascii="Times New Roman" w:hAnsi="Times New Roman"/>
          <w:sz w:val="24"/>
        </w:rPr>
        <w:t xml:space="preserve"> (2005) 226 CLR 1 at 11 [13]. See also Cross and Harris, </w:t>
      </w:r>
      <w:r w:rsidRPr="00BB73AE">
        <w:rPr>
          <w:rFonts w:ascii="Times New Roman" w:hAnsi="Times New Roman"/>
          <w:i/>
          <w:sz w:val="24"/>
        </w:rPr>
        <w:t>Precedent in English Law</w:t>
      </w:r>
      <w:r w:rsidRPr="00BB73AE">
        <w:rPr>
          <w:rFonts w:ascii="Times New Roman" w:hAnsi="Times New Roman"/>
          <w:sz w:val="24"/>
        </w:rPr>
        <w:t>, 4th ed (1991) at 158</w:t>
      </w:r>
      <w:r w:rsidRPr="00BB73AE">
        <w:rPr>
          <w:rFonts w:ascii="Times New Roman" w:hAnsi="Times New Roman"/>
          <w:sz w:val="24"/>
        </w:rPr>
        <w:noBreakHyphen/>
        <w:t>161.</w:t>
      </w:r>
    </w:p>
  </w:footnote>
  <w:footnote w:id="295">
    <w:p w14:paraId="6B5EF33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Migration Legislation Amendment (Procedural Fairness) Act 2002 </w:t>
      </w:r>
      <w:r w:rsidRPr="00BB73AE">
        <w:rPr>
          <w:rFonts w:ascii="Times New Roman" w:hAnsi="Times New Roman"/>
          <w:sz w:val="24"/>
        </w:rPr>
        <w:t>(Cth), Sch 1, item 6.</w:t>
      </w:r>
    </w:p>
  </w:footnote>
  <w:footnote w:id="296">
    <w:p w14:paraId="34A5C7F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Minister for Immigration and Border Protection v SZMTA</w:t>
      </w:r>
      <w:r w:rsidRPr="00BB73AE">
        <w:rPr>
          <w:rFonts w:ascii="Times New Roman" w:hAnsi="Times New Roman"/>
          <w:sz w:val="24"/>
        </w:rPr>
        <w:t xml:space="preserve"> (2019) 264 CLR 421 at 442 [34].</w:t>
      </w:r>
    </w:p>
  </w:footnote>
  <w:footnote w:id="297">
    <w:p w14:paraId="56F45AAA"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MZAPC v Minister for Immigration and Border Protection </w:t>
      </w:r>
      <w:r w:rsidRPr="00BB73AE">
        <w:rPr>
          <w:rFonts w:ascii="Times New Roman" w:hAnsi="Times New Roman"/>
          <w:sz w:val="24"/>
        </w:rPr>
        <w:t>[2019] FCA 2024 at [39].</w:t>
      </w:r>
    </w:p>
  </w:footnote>
  <w:footnote w:id="298">
    <w:p w14:paraId="77471E1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MZAPC v Minister for Immigration and Border Protection </w:t>
      </w:r>
      <w:r w:rsidRPr="00BB73AE">
        <w:rPr>
          <w:rFonts w:ascii="Times New Roman" w:hAnsi="Times New Roman"/>
          <w:sz w:val="24"/>
        </w:rPr>
        <w:t>[2019] FCA 2024 at [48]</w:t>
      </w:r>
      <w:r w:rsidRPr="00BB73AE">
        <w:rPr>
          <w:rFonts w:ascii="Times New Roman" w:hAnsi="Times New Roman"/>
          <w:sz w:val="24"/>
        </w:rPr>
        <w:noBreakHyphen/>
        <w:t>[49].</w:t>
      </w:r>
    </w:p>
  </w:footnote>
  <w:footnote w:id="299">
    <w:p w14:paraId="7E5A85F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 xml:space="preserve">See </w:t>
      </w:r>
      <w:r w:rsidRPr="00BB73AE">
        <w:rPr>
          <w:rFonts w:ascii="Times New Roman" w:hAnsi="Times New Roman"/>
          <w:i/>
          <w:iCs/>
          <w:sz w:val="24"/>
        </w:rPr>
        <w:t xml:space="preserve">Thorne v Kennedy </w:t>
      </w:r>
      <w:r w:rsidRPr="00BB73AE">
        <w:rPr>
          <w:rFonts w:ascii="Times New Roman" w:hAnsi="Times New Roman"/>
          <w:sz w:val="24"/>
        </w:rPr>
        <w:t>(2017) 263 CLR 85</w:t>
      </w:r>
      <w:r w:rsidRPr="00BB73AE">
        <w:rPr>
          <w:rFonts w:ascii="Times New Roman" w:hAnsi="Times New Roman"/>
          <w:i/>
          <w:iCs/>
          <w:sz w:val="24"/>
        </w:rPr>
        <w:t xml:space="preserve"> </w:t>
      </w:r>
      <w:r w:rsidRPr="00BB73AE">
        <w:rPr>
          <w:rFonts w:ascii="Times New Roman" w:hAnsi="Times New Roman"/>
          <w:sz w:val="24"/>
        </w:rPr>
        <w:t xml:space="preserve">at 101 [34], citing </w:t>
      </w:r>
      <w:r w:rsidRPr="00BB73AE">
        <w:rPr>
          <w:rFonts w:ascii="Times New Roman" w:hAnsi="Times New Roman"/>
          <w:i/>
          <w:sz w:val="24"/>
        </w:rPr>
        <w:t>Calverley v Green</w:t>
      </w:r>
      <w:r w:rsidRPr="00BB73AE">
        <w:rPr>
          <w:rFonts w:ascii="Times New Roman" w:hAnsi="Times New Roman"/>
          <w:sz w:val="24"/>
        </w:rPr>
        <w:t xml:space="preserve"> (1984) 155 CLR 242 at 264.</w:t>
      </w:r>
    </w:p>
  </w:footnote>
  <w:footnote w:id="300">
    <w:p w14:paraId="71D22952"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Migration Act</w:t>
      </w:r>
      <w:r w:rsidRPr="00BB73AE">
        <w:rPr>
          <w:rFonts w:ascii="Times New Roman" w:hAnsi="Times New Roman"/>
          <w:sz w:val="24"/>
        </w:rPr>
        <w:t>,</w:t>
      </w:r>
      <w:r w:rsidRPr="00BB73AE">
        <w:rPr>
          <w:rFonts w:ascii="Times New Roman" w:hAnsi="Times New Roman"/>
          <w:i/>
          <w:iCs/>
          <w:sz w:val="24"/>
        </w:rPr>
        <w:t xml:space="preserve"> </w:t>
      </w:r>
      <w:r w:rsidRPr="00BB73AE">
        <w:rPr>
          <w:rFonts w:ascii="Times New Roman" w:hAnsi="Times New Roman"/>
          <w:sz w:val="24"/>
        </w:rPr>
        <w:t xml:space="preserve">ss 430(1)(c), 430(1)(d). See, similarly, </w:t>
      </w:r>
      <w:r w:rsidRPr="00BB73AE">
        <w:rPr>
          <w:rFonts w:ascii="Times New Roman" w:hAnsi="Times New Roman"/>
          <w:i/>
          <w:iCs/>
          <w:sz w:val="24"/>
        </w:rPr>
        <w:t xml:space="preserve">DL v The Queen </w:t>
      </w:r>
      <w:r w:rsidRPr="00BB73AE">
        <w:rPr>
          <w:rFonts w:ascii="Times New Roman" w:hAnsi="Times New Roman"/>
          <w:sz w:val="24"/>
        </w:rPr>
        <w:t>(2018) 266 CLR 1 at 12 [32].</w:t>
      </w:r>
    </w:p>
  </w:footnote>
  <w:footnote w:id="301">
    <w:p w14:paraId="268831D7"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Migration Act</w:t>
      </w:r>
      <w:r w:rsidRPr="00BB73AE">
        <w:rPr>
          <w:rFonts w:ascii="Times New Roman" w:hAnsi="Times New Roman"/>
          <w:sz w:val="24"/>
        </w:rPr>
        <w:t>,</w:t>
      </w:r>
      <w:r w:rsidRPr="00BB73AE">
        <w:rPr>
          <w:rFonts w:ascii="Times New Roman" w:hAnsi="Times New Roman"/>
          <w:i/>
          <w:iCs/>
          <w:sz w:val="24"/>
        </w:rPr>
        <w:t xml:space="preserve"> </w:t>
      </w:r>
      <w:r w:rsidRPr="00BB73AE">
        <w:rPr>
          <w:rFonts w:ascii="Times New Roman" w:hAnsi="Times New Roman"/>
          <w:sz w:val="24"/>
        </w:rPr>
        <w:t>s 420(1).</w:t>
      </w:r>
    </w:p>
  </w:footnote>
  <w:footnote w:id="302">
    <w:p w14:paraId="51ECD31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Minister for Immigration and Multicultural Affairs v Yusuf </w:t>
      </w:r>
      <w:r w:rsidRPr="00BB73AE">
        <w:rPr>
          <w:rFonts w:ascii="Times New Roman" w:hAnsi="Times New Roman"/>
          <w:sz w:val="24"/>
        </w:rPr>
        <w:t>(2001) 206 CLR 323 at 330 [5] (emphasis added).</w:t>
      </w:r>
    </w:p>
  </w:footnote>
  <w:footnote w:id="303">
    <w:p w14:paraId="056B9006"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Minister for Immigration and Multicultural Affairs v Yusuf </w:t>
      </w:r>
      <w:r w:rsidRPr="00BB73AE">
        <w:rPr>
          <w:rFonts w:ascii="Times New Roman" w:hAnsi="Times New Roman"/>
          <w:sz w:val="24"/>
        </w:rPr>
        <w:t>(2001) 206 CLR 323 at 346 [69].</w:t>
      </w:r>
    </w:p>
  </w:footnote>
  <w:footnote w:id="304">
    <w:p w14:paraId="0A80E82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MZAPC v Minister for Immigration and Border Protection </w:t>
      </w:r>
      <w:r w:rsidRPr="00BB73AE">
        <w:rPr>
          <w:rFonts w:ascii="Times New Roman" w:hAnsi="Times New Roman"/>
          <w:sz w:val="24"/>
        </w:rPr>
        <w:t>[2019] FCA 2024 at [55].</w:t>
      </w:r>
    </w:p>
  </w:footnote>
  <w:footnote w:id="305">
    <w:p w14:paraId="0E57264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MZAPC v Minister for Immigration and Border Protection </w:t>
      </w:r>
      <w:r w:rsidRPr="00BB73AE">
        <w:rPr>
          <w:rFonts w:ascii="Times New Roman" w:hAnsi="Times New Roman"/>
          <w:sz w:val="24"/>
        </w:rPr>
        <w:t>[2019] FCA 2024 at [56].</w:t>
      </w:r>
    </w:p>
  </w:footnote>
  <w:footnote w:id="306">
    <w:p w14:paraId="4064C3F8"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Migration Act</w:t>
      </w:r>
      <w:r w:rsidRPr="00BB73AE">
        <w:rPr>
          <w:rFonts w:ascii="Times New Roman" w:hAnsi="Times New Roman"/>
          <w:sz w:val="24"/>
        </w:rPr>
        <w:t>, s 425(2)(a).</w:t>
      </w:r>
    </w:p>
  </w:footnote>
  <w:footnote w:id="307">
    <w:p w14:paraId="74BEC7D3"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(1985) 159 CLR 550.</w:t>
      </w:r>
    </w:p>
  </w:footnote>
  <w:footnote w:id="308">
    <w:p w14:paraId="5604D579"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(1985) 159 CLR 550 at 577.</w:t>
      </w:r>
    </w:p>
  </w:footnote>
  <w:footnote w:id="309">
    <w:p w14:paraId="127E6B7C"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(1985) 159 CLR 550 at 625.</w:t>
      </w:r>
    </w:p>
  </w:footnote>
  <w:footnote w:id="310">
    <w:p w14:paraId="16EE3670"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(1985) 159 CLR 550 at 603.</w:t>
      </w:r>
    </w:p>
  </w:footnote>
  <w:footnote w:id="311">
    <w:p w14:paraId="4BAB179E"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(1985) 159 CLR 550 at 588. See also at 602.</w:t>
      </w:r>
    </w:p>
  </w:footnote>
  <w:footnote w:id="312">
    <w:p w14:paraId="7DB5D353"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(1985) 159 CLR 550 at 629.</w:t>
      </w:r>
    </w:p>
  </w:footnote>
  <w:footnote w:id="313">
    <w:p w14:paraId="43790991"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t>(2019) 94 ALJR 140; 375 ALR 47.</w:t>
      </w:r>
    </w:p>
  </w:footnote>
  <w:footnote w:id="314">
    <w:p w14:paraId="1570E79B" w14:textId="77777777" w:rsidR="007B5A1E" w:rsidRPr="00BB73AE" w:rsidRDefault="007B5A1E" w:rsidP="00BB73AE">
      <w:pPr>
        <w:pStyle w:val="FootnoteText"/>
        <w:spacing w:line="280" w:lineRule="exact"/>
        <w:ind w:right="0"/>
        <w:jc w:val="both"/>
        <w:rPr>
          <w:rFonts w:ascii="Times New Roman" w:hAnsi="Times New Roman"/>
          <w:sz w:val="24"/>
        </w:rPr>
      </w:pPr>
      <w:r w:rsidRPr="00BB73AE">
        <w:rPr>
          <w:rStyle w:val="FootnoteReference"/>
          <w:rFonts w:ascii="Times New Roman" w:hAnsi="Times New Roman"/>
          <w:sz w:val="22"/>
          <w:vertAlign w:val="baseline"/>
        </w:rPr>
        <w:footnoteRef/>
      </w:r>
      <w:r w:rsidRPr="00BB73AE">
        <w:rPr>
          <w:rFonts w:ascii="Times New Roman" w:hAnsi="Times New Roman"/>
          <w:sz w:val="24"/>
        </w:rPr>
        <w:t xml:space="preserve"> </w:t>
      </w:r>
      <w:r w:rsidRPr="00BB73AE">
        <w:rPr>
          <w:rFonts w:ascii="Times New Roman" w:hAnsi="Times New Roman"/>
          <w:sz w:val="24"/>
        </w:rPr>
        <w:tab/>
      </w:r>
      <w:r w:rsidRPr="00BB73AE">
        <w:rPr>
          <w:rFonts w:ascii="Times New Roman" w:hAnsi="Times New Roman"/>
          <w:i/>
          <w:iCs/>
          <w:sz w:val="24"/>
        </w:rPr>
        <w:t xml:space="preserve">MZAPC v Minister for Immigration and Border Protection </w:t>
      </w:r>
      <w:r w:rsidRPr="00BB73AE">
        <w:rPr>
          <w:rFonts w:ascii="Times New Roman" w:hAnsi="Times New Roman"/>
          <w:sz w:val="24"/>
        </w:rPr>
        <w:t>[2019] FCA 2024 at [54],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480E" w14:textId="77777777" w:rsidR="005E1802" w:rsidRPr="00577BDD" w:rsidRDefault="005E1802" w:rsidP="00577B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D650" w14:textId="77777777" w:rsidR="00BB73AE" w:rsidRDefault="007B5A1E" w:rsidP="00BB73A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5378CF5" w14:textId="77777777" w:rsidR="00BB73AE" w:rsidRDefault="005E4678" w:rsidP="00BB73AE">
    <w:pPr>
      <w:pStyle w:val="Header"/>
      <w:tabs>
        <w:tab w:val="clear" w:pos="4153"/>
        <w:tab w:val="clear" w:pos="8306"/>
        <w:tab w:val="right" w:pos="1304"/>
      </w:tabs>
      <w:spacing w:line="280" w:lineRule="exact"/>
      <w:ind w:firstLine="0"/>
      <w:rPr>
        <w:rFonts w:ascii="Times New Roman" w:hAnsi="Times New Roman"/>
        <w:i/>
        <w:sz w:val="22"/>
      </w:rPr>
    </w:pPr>
  </w:p>
  <w:p w14:paraId="4F27814C" w14:textId="77777777" w:rsidR="00BB73AE" w:rsidRDefault="007B5A1E" w:rsidP="00BB73A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99828D6" w14:textId="77777777" w:rsidR="00BB73AE" w:rsidRPr="00BB73AE" w:rsidRDefault="005E4678" w:rsidP="00BB73A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A32E" w14:textId="77777777" w:rsidR="00BB73AE" w:rsidRDefault="007B5A1E" w:rsidP="00BB73A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4D4BEC6" w14:textId="77777777" w:rsidR="00BB73AE" w:rsidRDefault="005E4678" w:rsidP="00BB73AE">
    <w:pPr>
      <w:pStyle w:val="Header"/>
      <w:tabs>
        <w:tab w:val="clear" w:pos="4153"/>
        <w:tab w:val="clear" w:pos="8306"/>
        <w:tab w:val="left" w:pos="7200"/>
        <w:tab w:val="right" w:pos="8504"/>
      </w:tabs>
      <w:spacing w:line="280" w:lineRule="exact"/>
      <w:jc w:val="right"/>
      <w:rPr>
        <w:rFonts w:ascii="Times New Roman" w:hAnsi="Times New Roman"/>
        <w:i/>
        <w:sz w:val="22"/>
      </w:rPr>
    </w:pPr>
  </w:p>
  <w:p w14:paraId="20A7B26F" w14:textId="77777777" w:rsidR="00BB73AE" w:rsidRDefault="007B5A1E" w:rsidP="00BB73A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751394" w14:textId="77777777" w:rsidR="00BB73AE" w:rsidRPr="00BB73AE" w:rsidRDefault="005E4678" w:rsidP="00BB73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BC0A" w14:textId="77777777" w:rsidR="00BB73AE" w:rsidRDefault="005E4678" w:rsidP="00BB73AE">
    <w:pPr>
      <w:pStyle w:val="Header"/>
      <w:tabs>
        <w:tab w:val="clear" w:pos="4153"/>
        <w:tab w:val="clear" w:pos="8306"/>
        <w:tab w:val="center" w:pos="1134"/>
      </w:tabs>
      <w:spacing w:line="280" w:lineRule="exact"/>
      <w:ind w:firstLine="0"/>
      <w:rPr>
        <w:rFonts w:ascii="Times New Roman" w:hAnsi="Times New Roman"/>
        <w:i/>
        <w:sz w:val="22"/>
      </w:rPr>
    </w:pPr>
  </w:p>
  <w:p w14:paraId="2E23BFFF" w14:textId="77777777" w:rsidR="00BB73AE" w:rsidRDefault="005E4678" w:rsidP="00BB73AE">
    <w:pPr>
      <w:pStyle w:val="Header"/>
      <w:tabs>
        <w:tab w:val="clear" w:pos="4153"/>
        <w:tab w:val="clear" w:pos="8306"/>
        <w:tab w:val="center" w:pos="1134"/>
      </w:tabs>
      <w:spacing w:line="280" w:lineRule="exact"/>
      <w:ind w:firstLine="0"/>
      <w:rPr>
        <w:rFonts w:ascii="Times New Roman" w:hAnsi="Times New Roman"/>
        <w:i/>
        <w:sz w:val="22"/>
      </w:rPr>
    </w:pPr>
  </w:p>
  <w:p w14:paraId="2C8976ED" w14:textId="77777777" w:rsidR="00BB73AE" w:rsidRDefault="005E4678" w:rsidP="00BB73AE">
    <w:pPr>
      <w:pStyle w:val="Header"/>
      <w:tabs>
        <w:tab w:val="clear" w:pos="4153"/>
        <w:tab w:val="clear" w:pos="8306"/>
        <w:tab w:val="center" w:pos="1134"/>
      </w:tabs>
      <w:spacing w:line="280" w:lineRule="exact"/>
      <w:ind w:firstLine="0"/>
      <w:rPr>
        <w:rFonts w:ascii="Times New Roman" w:hAnsi="Times New Roman"/>
        <w:i/>
        <w:sz w:val="22"/>
      </w:rPr>
    </w:pPr>
  </w:p>
  <w:p w14:paraId="30A41B0B" w14:textId="77777777" w:rsidR="00210EF0" w:rsidRPr="00BB73AE" w:rsidRDefault="005E4678" w:rsidP="00BB73AE">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76A9" w14:textId="77777777" w:rsidR="007B5A1E" w:rsidRPr="00BB73AE" w:rsidRDefault="007B5A1E" w:rsidP="00BB73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9BED" w14:textId="268CFCDE" w:rsidR="005E1802" w:rsidRPr="00577BDD" w:rsidRDefault="00577BDD" w:rsidP="00577BD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4C8D" w14:textId="6CCB3587" w:rsidR="00DC724A" w:rsidRPr="00577BDD" w:rsidRDefault="00DC724A" w:rsidP="00577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5EF6" w14:textId="77777777" w:rsidR="00577BDD" w:rsidRPr="005E1802" w:rsidRDefault="00577BDD" w:rsidP="005E1802">
    <w:pPr>
      <w:pStyle w:val="Header"/>
      <w:tabs>
        <w:tab w:val="clear" w:pos="4153"/>
        <w:tab w:val="clear" w:pos="8306"/>
        <w:tab w:val="right" w:pos="1304"/>
      </w:tabs>
      <w:spacing w:line="280" w:lineRule="exact"/>
      <w:ind w:firstLine="0"/>
      <w:rPr>
        <w:rFonts w:ascii="Times New Roman" w:hAnsi="Times New Roman"/>
        <w:i/>
        <w:sz w:val="22"/>
      </w:rPr>
    </w:pPr>
    <w:r w:rsidRPr="005E1802">
      <w:rPr>
        <w:rFonts w:ascii="Times New Roman" w:hAnsi="Times New Roman"/>
        <w:i/>
        <w:sz w:val="22"/>
      </w:rPr>
      <w:t>Kiefel</w:t>
    </w:r>
    <w:r w:rsidRPr="005E1802">
      <w:rPr>
        <w:rFonts w:ascii="Times New Roman" w:hAnsi="Times New Roman"/>
        <w:i/>
        <w:sz w:val="22"/>
      </w:rPr>
      <w:tab/>
      <w:t>CJ</w:t>
    </w:r>
  </w:p>
  <w:p w14:paraId="6749CB5F" w14:textId="77777777" w:rsidR="00577BDD" w:rsidRPr="005E1802" w:rsidRDefault="00577BDD" w:rsidP="005E1802">
    <w:pPr>
      <w:pStyle w:val="Header"/>
      <w:tabs>
        <w:tab w:val="clear" w:pos="4153"/>
        <w:tab w:val="clear" w:pos="8306"/>
        <w:tab w:val="right" w:pos="1304"/>
      </w:tabs>
      <w:spacing w:line="280" w:lineRule="exact"/>
      <w:ind w:firstLine="0"/>
      <w:rPr>
        <w:rFonts w:ascii="Times New Roman" w:hAnsi="Times New Roman"/>
        <w:i/>
        <w:sz w:val="22"/>
      </w:rPr>
    </w:pPr>
    <w:r w:rsidRPr="005E1802">
      <w:rPr>
        <w:rFonts w:ascii="Times New Roman" w:hAnsi="Times New Roman"/>
        <w:i/>
        <w:sz w:val="22"/>
      </w:rPr>
      <w:t>Gageler</w:t>
    </w:r>
    <w:r w:rsidRPr="005E1802">
      <w:rPr>
        <w:rFonts w:ascii="Times New Roman" w:hAnsi="Times New Roman"/>
        <w:i/>
        <w:sz w:val="22"/>
      </w:rPr>
      <w:tab/>
      <w:t>J</w:t>
    </w:r>
  </w:p>
  <w:p w14:paraId="150BEAB5" w14:textId="77777777" w:rsidR="00577BDD" w:rsidRPr="005E1802" w:rsidRDefault="00577BDD" w:rsidP="005E1802">
    <w:pPr>
      <w:pStyle w:val="Header"/>
      <w:tabs>
        <w:tab w:val="clear" w:pos="4153"/>
        <w:tab w:val="clear" w:pos="8306"/>
        <w:tab w:val="right" w:pos="1304"/>
      </w:tabs>
      <w:spacing w:line="280" w:lineRule="exact"/>
      <w:ind w:firstLine="0"/>
      <w:rPr>
        <w:rFonts w:ascii="Times New Roman" w:hAnsi="Times New Roman"/>
        <w:i/>
        <w:sz w:val="22"/>
      </w:rPr>
    </w:pPr>
    <w:r w:rsidRPr="005E1802">
      <w:rPr>
        <w:rFonts w:ascii="Times New Roman" w:hAnsi="Times New Roman"/>
        <w:i/>
        <w:sz w:val="22"/>
      </w:rPr>
      <w:t>Keane</w:t>
    </w:r>
    <w:r w:rsidRPr="005E1802">
      <w:rPr>
        <w:rFonts w:ascii="Times New Roman" w:hAnsi="Times New Roman"/>
        <w:i/>
        <w:sz w:val="22"/>
      </w:rPr>
      <w:tab/>
      <w:t>J</w:t>
    </w:r>
  </w:p>
  <w:p w14:paraId="0537EA83" w14:textId="77777777" w:rsidR="00577BDD" w:rsidRDefault="00577BDD" w:rsidP="005E180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D2C6560" w14:textId="77777777" w:rsidR="00577BDD" w:rsidRDefault="00577BDD" w:rsidP="005E1802">
    <w:pPr>
      <w:pStyle w:val="Header"/>
      <w:tabs>
        <w:tab w:val="clear" w:pos="4153"/>
        <w:tab w:val="clear" w:pos="8306"/>
        <w:tab w:val="right" w:pos="1304"/>
      </w:tabs>
      <w:spacing w:line="280" w:lineRule="exact"/>
      <w:ind w:firstLine="0"/>
      <w:rPr>
        <w:rFonts w:ascii="Times New Roman" w:hAnsi="Times New Roman"/>
        <w:i/>
        <w:sz w:val="22"/>
      </w:rPr>
    </w:pPr>
  </w:p>
  <w:p w14:paraId="3B3A0026" w14:textId="77777777" w:rsidR="00577BDD" w:rsidRDefault="00577BDD" w:rsidP="005E180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247757" w14:textId="77777777" w:rsidR="00577BDD" w:rsidRPr="005E1802" w:rsidRDefault="00577BDD" w:rsidP="005E180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89E8" w14:textId="77777777" w:rsidR="00577BDD" w:rsidRPr="005E1802" w:rsidRDefault="00577BDD" w:rsidP="005E1802">
    <w:pPr>
      <w:pStyle w:val="Header"/>
      <w:tabs>
        <w:tab w:val="clear" w:pos="4153"/>
        <w:tab w:val="clear" w:pos="8306"/>
        <w:tab w:val="left" w:pos="7200"/>
        <w:tab w:val="right" w:pos="8504"/>
      </w:tabs>
      <w:spacing w:line="280" w:lineRule="exact"/>
      <w:jc w:val="right"/>
      <w:rPr>
        <w:rFonts w:ascii="Times New Roman" w:hAnsi="Times New Roman"/>
        <w:i/>
        <w:sz w:val="22"/>
      </w:rPr>
    </w:pPr>
    <w:r w:rsidRPr="005E1802">
      <w:rPr>
        <w:rFonts w:ascii="Times New Roman" w:hAnsi="Times New Roman"/>
        <w:i/>
        <w:sz w:val="22"/>
      </w:rPr>
      <w:tab/>
      <w:t>Kiefel</w:t>
    </w:r>
    <w:r w:rsidRPr="005E1802">
      <w:rPr>
        <w:rFonts w:ascii="Times New Roman" w:hAnsi="Times New Roman"/>
        <w:i/>
        <w:sz w:val="22"/>
      </w:rPr>
      <w:tab/>
      <w:t>CJ</w:t>
    </w:r>
  </w:p>
  <w:p w14:paraId="325B4FCA" w14:textId="77777777" w:rsidR="00577BDD" w:rsidRPr="005E1802" w:rsidRDefault="00577BDD" w:rsidP="005E1802">
    <w:pPr>
      <w:pStyle w:val="Header"/>
      <w:tabs>
        <w:tab w:val="clear" w:pos="4153"/>
        <w:tab w:val="clear" w:pos="8306"/>
        <w:tab w:val="left" w:pos="7200"/>
        <w:tab w:val="right" w:pos="8504"/>
      </w:tabs>
      <w:spacing w:line="280" w:lineRule="exact"/>
      <w:jc w:val="right"/>
      <w:rPr>
        <w:rFonts w:ascii="Times New Roman" w:hAnsi="Times New Roman"/>
        <w:i/>
        <w:sz w:val="22"/>
      </w:rPr>
    </w:pPr>
    <w:r w:rsidRPr="005E1802">
      <w:rPr>
        <w:rFonts w:ascii="Times New Roman" w:hAnsi="Times New Roman"/>
        <w:i/>
        <w:sz w:val="22"/>
      </w:rPr>
      <w:tab/>
      <w:t>Gageler</w:t>
    </w:r>
    <w:r w:rsidRPr="005E1802">
      <w:rPr>
        <w:rFonts w:ascii="Times New Roman" w:hAnsi="Times New Roman"/>
        <w:i/>
        <w:sz w:val="22"/>
      </w:rPr>
      <w:tab/>
      <w:t>J</w:t>
    </w:r>
  </w:p>
  <w:p w14:paraId="7410CF4C" w14:textId="77777777" w:rsidR="00577BDD" w:rsidRPr="005E1802" w:rsidRDefault="00577BDD" w:rsidP="005E1802">
    <w:pPr>
      <w:pStyle w:val="Header"/>
      <w:tabs>
        <w:tab w:val="clear" w:pos="4153"/>
        <w:tab w:val="clear" w:pos="8306"/>
        <w:tab w:val="left" w:pos="7200"/>
        <w:tab w:val="right" w:pos="8504"/>
      </w:tabs>
      <w:spacing w:line="280" w:lineRule="exact"/>
      <w:jc w:val="right"/>
      <w:rPr>
        <w:rFonts w:ascii="Times New Roman" w:hAnsi="Times New Roman"/>
        <w:i/>
        <w:sz w:val="22"/>
      </w:rPr>
    </w:pPr>
    <w:r w:rsidRPr="005E1802">
      <w:rPr>
        <w:rFonts w:ascii="Times New Roman" w:hAnsi="Times New Roman"/>
        <w:i/>
        <w:sz w:val="22"/>
      </w:rPr>
      <w:tab/>
      <w:t>Keane</w:t>
    </w:r>
    <w:r w:rsidRPr="005E1802">
      <w:rPr>
        <w:rFonts w:ascii="Times New Roman" w:hAnsi="Times New Roman"/>
        <w:i/>
        <w:sz w:val="22"/>
      </w:rPr>
      <w:tab/>
      <w:t>J</w:t>
    </w:r>
  </w:p>
  <w:p w14:paraId="43ED8B6C" w14:textId="77777777" w:rsidR="00577BDD" w:rsidRDefault="00577BDD" w:rsidP="005E180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B0A8EF8" w14:textId="77777777" w:rsidR="00577BDD" w:rsidRDefault="00577BDD" w:rsidP="005E1802">
    <w:pPr>
      <w:pStyle w:val="Header"/>
      <w:tabs>
        <w:tab w:val="clear" w:pos="4153"/>
        <w:tab w:val="clear" w:pos="8306"/>
        <w:tab w:val="left" w:pos="7200"/>
        <w:tab w:val="right" w:pos="8504"/>
      </w:tabs>
      <w:spacing w:line="280" w:lineRule="exact"/>
      <w:jc w:val="right"/>
      <w:rPr>
        <w:rFonts w:ascii="Times New Roman" w:hAnsi="Times New Roman"/>
        <w:i/>
        <w:sz w:val="22"/>
      </w:rPr>
    </w:pPr>
  </w:p>
  <w:p w14:paraId="2F1B86AD" w14:textId="77777777" w:rsidR="00577BDD" w:rsidRDefault="00577BDD" w:rsidP="005E180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E0A78BB" w14:textId="77777777" w:rsidR="00577BDD" w:rsidRPr="005E1802" w:rsidRDefault="00577BDD" w:rsidP="005E180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2C91" w14:textId="77777777" w:rsidR="00577BDD"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p w14:paraId="42E76CC6" w14:textId="77777777" w:rsidR="00577BDD"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p w14:paraId="4344C750" w14:textId="77777777" w:rsidR="00577BDD"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p w14:paraId="409F2AAB" w14:textId="77777777" w:rsidR="00577BDD"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p w14:paraId="3534BD76" w14:textId="77777777" w:rsidR="00577BDD"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p w14:paraId="43551B74" w14:textId="77777777" w:rsidR="00577BDD"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p w14:paraId="330B04D6" w14:textId="77777777" w:rsidR="00577BDD" w:rsidRPr="005E1802" w:rsidRDefault="00577BDD" w:rsidP="005E180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8F32" w14:textId="77777777" w:rsidR="00D71897" w:rsidRPr="00D71897" w:rsidRDefault="007B5A1E" w:rsidP="00D71897">
    <w:pPr>
      <w:pStyle w:val="Header"/>
      <w:tabs>
        <w:tab w:val="clear" w:pos="4153"/>
        <w:tab w:val="clear" w:pos="8306"/>
        <w:tab w:val="right" w:pos="1304"/>
      </w:tabs>
      <w:spacing w:line="280" w:lineRule="exact"/>
      <w:ind w:firstLine="0"/>
      <w:rPr>
        <w:rFonts w:ascii="Times New Roman" w:hAnsi="Times New Roman"/>
        <w:i/>
        <w:sz w:val="22"/>
      </w:rPr>
    </w:pPr>
    <w:r w:rsidRPr="00D71897">
      <w:rPr>
        <w:rFonts w:ascii="Times New Roman" w:hAnsi="Times New Roman"/>
        <w:i/>
        <w:sz w:val="22"/>
      </w:rPr>
      <w:t>Gordon</w:t>
    </w:r>
    <w:r w:rsidRPr="00D71897">
      <w:rPr>
        <w:rFonts w:ascii="Times New Roman" w:hAnsi="Times New Roman"/>
        <w:i/>
        <w:sz w:val="22"/>
      </w:rPr>
      <w:tab/>
      <w:t>J</w:t>
    </w:r>
  </w:p>
  <w:p w14:paraId="0140484F" w14:textId="77777777" w:rsidR="00D71897" w:rsidRDefault="007B5A1E" w:rsidP="00D7189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A22BBB2" w14:textId="77777777" w:rsidR="00D71897" w:rsidRDefault="005E4678" w:rsidP="00D71897">
    <w:pPr>
      <w:pStyle w:val="Header"/>
      <w:tabs>
        <w:tab w:val="clear" w:pos="4153"/>
        <w:tab w:val="clear" w:pos="8306"/>
        <w:tab w:val="right" w:pos="1304"/>
      </w:tabs>
      <w:spacing w:line="280" w:lineRule="exact"/>
      <w:ind w:firstLine="0"/>
      <w:rPr>
        <w:rFonts w:ascii="Times New Roman" w:hAnsi="Times New Roman"/>
        <w:i/>
        <w:sz w:val="22"/>
      </w:rPr>
    </w:pPr>
  </w:p>
  <w:p w14:paraId="41874999" w14:textId="77777777" w:rsidR="00D71897" w:rsidRDefault="007B5A1E" w:rsidP="00D7189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E1F3ED1" w14:textId="77777777" w:rsidR="00D71897" w:rsidRPr="00D71897" w:rsidRDefault="005E4678" w:rsidP="00D7189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C6BA" w14:textId="77777777" w:rsidR="00D71897" w:rsidRPr="00D71897" w:rsidRDefault="007B5A1E" w:rsidP="00D71897">
    <w:pPr>
      <w:pStyle w:val="Header"/>
      <w:tabs>
        <w:tab w:val="clear" w:pos="4153"/>
        <w:tab w:val="clear" w:pos="8306"/>
        <w:tab w:val="left" w:pos="7200"/>
        <w:tab w:val="right" w:pos="8504"/>
      </w:tabs>
      <w:spacing w:line="280" w:lineRule="exact"/>
      <w:jc w:val="right"/>
      <w:rPr>
        <w:rFonts w:ascii="Times New Roman" w:hAnsi="Times New Roman"/>
        <w:i/>
        <w:sz w:val="22"/>
      </w:rPr>
    </w:pPr>
    <w:r w:rsidRPr="00D71897">
      <w:rPr>
        <w:rFonts w:ascii="Times New Roman" w:hAnsi="Times New Roman"/>
        <w:i/>
        <w:sz w:val="22"/>
      </w:rPr>
      <w:tab/>
      <w:t>Gordon</w:t>
    </w:r>
    <w:r w:rsidRPr="00D71897">
      <w:rPr>
        <w:rFonts w:ascii="Times New Roman" w:hAnsi="Times New Roman"/>
        <w:i/>
        <w:sz w:val="22"/>
      </w:rPr>
      <w:tab/>
      <w:t>J</w:t>
    </w:r>
  </w:p>
  <w:p w14:paraId="7FC9C7B3" w14:textId="77777777" w:rsidR="00D71897" w:rsidRDefault="007B5A1E" w:rsidP="00D7189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AFF2113" w14:textId="77777777" w:rsidR="00D71897" w:rsidRDefault="005E4678" w:rsidP="00D71897">
    <w:pPr>
      <w:pStyle w:val="Header"/>
      <w:tabs>
        <w:tab w:val="clear" w:pos="4153"/>
        <w:tab w:val="clear" w:pos="8306"/>
        <w:tab w:val="left" w:pos="7200"/>
        <w:tab w:val="right" w:pos="8504"/>
      </w:tabs>
      <w:spacing w:line="280" w:lineRule="exact"/>
      <w:jc w:val="right"/>
      <w:rPr>
        <w:rFonts w:ascii="Times New Roman" w:hAnsi="Times New Roman"/>
        <w:i/>
        <w:sz w:val="22"/>
      </w:rPr>
    </w:pPr>
  </w:p>
  <w:p w14:paraId="28A4CA45" w14:textId="77777777" w:rsidR="00D71897" w:rsidRDefault="007B5A1E" w:rsidP="00D7189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4F06FFD" w14:textId="77777777" w:rsidR="00D71897" w:rsidRPr="00D71897" w:rsidRDefault="005E4678" w:rsidP="00D7189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6BFC" w14:textId="77777777" w:rsidR="00D71897" w:rsidRDefault="005E4678" w:rsidP="00D71897">
    <w:pPr>
      <w:pStyle w:val="Header"/>
      <w:tabs>
        <w:tab w:val="clear" w:pos="4153"/>
        <w:tab w:val="clear" w:pos="8306"/>
        <w:tab w:val="center" w:pos="1134"/>
      </w:tabs>
      <w:spacing w:line="280" w:lineRule="exact"/>
      <w:ind w:firstLine="0"/>
      <w:rPr>
        <w:rFonts w:ascii="Times New Roman" w:hAnsi="Times New Roman"/>
        <w:i/>
        <w:sz w:val="22"/>
      </w:rPr>
    </w:pPr>
  </w:p>
  <w:p w14:paraId="65F35BA4" w14:textId="77777777" w:rsidR="00D71897" w:rsidRDefault="005E4678" w:rsidP="00D71897">
    <w:pPr>
      <w:pStyle w:val="Header"/>
      <w:tabs>
        <w:tab w:val="clear" w:pos="4153"/>
        <w:tab w:val="clear" w:pos="8306"/>
        <w:tab w:val="center" w:pos="1134"/>
      </w:tabs>
      <w:spacing w:line="280" w:lineRule="exact"/>
      <w:ind w:firstLine="0"/>
      <w:rPr>
        <w:rFonts w:ascii="Times New Roman" w:hAnsi="Times New Roman"/>
        <w:i/>
        <w:sz w:val="22"/>
      </w:rPr>
    </w:pPr>
  </w:p>
  <w:p w14:paraId="440F8C27" w14:textId="77777777" w:rsidR="00D71897" w:rsidRDefault="005E4678" w:rsidP="00D71897">
    <w:pPr>
      <w:pStyle w:val="Header"/>
      <w:tabs>
        <w:tab w:val="clear" w:pos="4153"/>
        <w:tab w:val="clear" w:pos="8306"/>
        <w:tab w:val="center" w:pos="1134"/>
      </w:tabs>
      <w:spacing w:line="280" w:lineRule="exact"/>
      <w:ind w:firstLine="0"/>
      <w:rPr>
        <w:rFonts w:ascii="Times New Roman" w:hAnsi="Times New Roman"/>
        <w:i/>
        <w:sz w:val="22"/>
      </w:rPr>
    </w:pPr>
  </w:p>
  <w:p w14:paraId="23808B63" w14:textId="77777777" w:rsidR="00D71897" w:rsidRDefault="005E4678" w:rsidP="00D71897">
    <w:pPr>
      <w:pStyle w:val="Header"/>
      <w:tabs>
        <w:tab w:val="clear" w:pos="4153"/>
        <w:tab w:val="clear" w:pos="8306"/>
        <w:tab w:val="center" w:pos="1134"/>
      </w:tabs>
      <w:spacing w:line="280" w:lineRule="exact"/>
      <w:ind w:firstLine="0"/>
      <w:rPr>
        <w:rFonts w:ascii="Times New Roman" w:hAnsi="Times New Roman"/>
        <w:i/>
        <w:sz w:val="22"/>
      </w:rPr>
    </w:pPr>
  </w:p>
  <w:p w14:paraId="157018ED" w14:textId="77777777" w:rsidR="00B3655E" w:rsidRPr="00D71897" w:rsidRDefault="005E4678" w:rsidP="00D7189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0BD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5903"/>
    <w:multiLevelType w:val="multilevel"/>
    <w:tmpl w:val="271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C457F09"/>
    <w:multiLevelType w:val="multilevel"/>
    <w:tmpl w:val="80C6D3E6"/>
    <w:lvl w:ilvl="0">
      <w:start w:val="1"/>
      <w:numFmt w:val="upperLetter"/>
      <w:lvlText w:val="%1"/>
      <w:lvlJc w:val="left"/>
      <w:pPr>
        <w:ind w:left="720" w:hanging="720"/>
      </w:pPr>
      <w:rPr>
        <w:rFonts w:hint="default"/>
        <w:b/>
      </w:rPr>
    </w:lvl>
    <w:lvl w:ilvl="1">
      <w:start w:val="1"/>
      <w:numFmt w:val="decimal"/>
      <w:lvlRestart w:val="0"/>
      <w:lvlText w:val="%2"/>
      <w:lvlJc w:val="left"/>
      <w:pPr>
        <w:ind w:left="720" w:hanging="720"/>
      </w:pPr>
      <w:rPr>
        <w:rFonts w:hint="default"/>
        <w:b w:val="0"/>
        <w:i w:val="0"/>
        <w:color w:val="auto"/>
      </w:rPr>
    </w:lvl>
    <w:lvl w:ilvl="2">
      <w:start w:val="1"/>
      <w:numFmt w:val="decimal"/>
      <w:lvlText w:val="%2.%3"/>
      <w:lvlJc w:val="left"/>
      <w:pPr>
        <w:ind w:left="1418" w:hanging="709"/>
      </w:pPr>
      <w:rPr>
        <w:rFonts w:hint="default"/>
        <w:i w:val="0"/>
      </w:rPr>
    </w:lvl>
    <w:lvl w:ilvl="3">
      <w:start w:val="1"/>
      <w:numFmt w:val="lowerRoman"/>
      <w:lvlText w:val="%4."/>
      <w:lvlJc w:val="right"/>
      <w:pPr>
        <w:ind w:left="2268" w:hanging="567"/>
      </w:pPr>
      <w:rPr>
        <w:rFonts w:hint="default"/>
      </w:rPr>
    </w:lvl>
    <w:lvl w:ilvl="4">
      <w:start w:val="1"/>
      <w:numFmt w:val="bullet"/>
      <w:lvlText w:val=""/>
      <w:lvlJc w:val="left"/>
      <w:pPr>
        <w:ind w:left="2148" w:hanging="720"/>
      </w:pPr>
      <w:rPr>
        <w:rFonts w:ascii="Symbol" w:hAnsi="Symbol"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5"/>
  </w:num>
  <w:num w:numId="3">
    <w:abstractNumId w:val="19"/>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2"/>
  </w:num>
  <w:num w:numId="19">
    <w:abstractNumId w:val="12"/>
  </w:num>
  <w:num w:numId="20">
    <w:abstractNumId w:val="10"/>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6F"/>
    <w:rsid w:val="00000030"/>
    <w:rsid w:val="00000DC1"/>
    <w:rsid w:val="000016FD"/>
    <w:rsid w:val="00001799"/>
    <w:rsid w:val="00001D3C"/>
    <w:rsid w:val="00001EE5"/>
    <w:rsid w:val="00002069"/>
    <w:rsid w:val="0000221A"/>
    <w:rsid w:val="0000255F"/>
    <w:rsid w:val="00002CAE"/>
    <w:rsid w:val="00002CE6"/>
    <w:rsid w:val="00002E13"/>
    <w:rsid w:val="0000316A"/>
    <w:rsid w:val="00003274"/>
    <w:rsid w:val="0000441D"/>
    <w:rsid w:val="00004592"/>
    <w:rsid w:val="000049B7"/>
    <w:rsid w:val="00004AED"/>
    <w:rsid w:val="00005561"/>
    <w:rsid w:val="00006D90"/>
    <w:rsid w:val="00006E8E"/>
    <w:rsid w:val="0001010B"/>
    <w:rsid w:val="0001021E"/>
    <w:rsid w:val="000103CB"/>
    <w:rsid w:val="000115CE"/>
    <w:rsid w:val="00011E1B"/>
    <w:rsid w:val="00011F11"/>
    <w:rsid w:val="00012542"/>
    <w:rsid w:val="00012707"/>
    <w:rsid w:val="00012886"/>
    <w:rsid w:val="00013325"/>
    <w:rsid w:val="00013B4A"/>
    <w:rsid w:val="00014B34"/>
    <w:rsid w:val="00015171"/>
    <w:rsid w:val="00015936"/>
    <w:rsid w:val="00015C00"/>
    <w:rsid w:val="00015F8A"/>
    <w:rsid w:val="000168C9"/>
    <w:rsid w:val="00016C20"/>
    <w:rsid w:val="00016DBB"/>
    <w:rsid w:val="00017144"/>
    <w:rsid w:val="00017492"/>
    <w:rsid w:val="00017753"/>
    <w:rsid w:val="00017CF2"/>
    <w:rsid w:val="00017D21"/>
    <w:rsid w:val="00017EF0"/>
    <w:rsid w:val="00020BD8"/>
    <w:rsid w:val="00021813"/>
    <w:rsid w:val="00021ACF"/>
    <w:rsid w:val="000225A9"/>
    <w:rsid w:val="000227CA"/>
    <w:rsid w:val="00023B49"/>
    <w:rsid w:val="00023F71"/>
    <w:rsid w:val="000241F3"/>
    <w:rsid w:val="0002423A"/>
    <w:rsid w:val="000250AF"/>
    <w:rsid w:val="00025490"/>
    <w:rsid w:val="0002561E"/>
    <w:rsid w:val="000264EB"/>
    <w:rsid w:val="000268E1"/>
    <w:rsid w:val="00026B1B"/>
    <w:rsid w:val="00026DBD"/>
    <w:rsid w:val="000279F5"/>
    <w:rsid w:val="0003085D"/>
    <w:rsid w:val="000309A7"/>
    <w:rsid w:val="000328B8"/>
    <w:rsid w:val="00032B1D"/>
    <w:rsid w:val="00033106"/>
    <w:rsid w:val="0003468A"/>
    <w:rsid w:val="000346CB"/>
    <w:rsid w:val="0003536F"/>
    <w:rsid w:val="0003575A"/>
    <w:rsid w:val="00035FA0"/>
    <w:rsid w:val="000360EB"/>
    <w:rsid w:val="00036977"/>
    <w:rsid w:val="00036F0D"/>
    <w:rsid w:val="00037976"/>
    <w:rsid w:val="00037A5F"/>
    <w:rsid w:val="00037D87"/>
    <w:rsid w:val="00040A09"/>
    <w:rsid w:val="000411C9"/>
    <w:rsid w:val="00042974"/>
    <w:rsid w:val="00043D2C"/>
    <w:rsid w:val="00043FDB"/>
    <w:rsid w:val="00044299"/>
    <w:rsid w:val="00044D86"/>
    <w:rsid w:val="0004518D"/>
    <w:rsid w:val="000451EE"/>
    <w:rsid w:val="000453DF"/>
    <w:rsid w:val="000455F0"/>
    <w:rsid w:val="00045F01"/>
    <w:rsid w:val="000461E7"/>
    <w:rsid w:val="00046812"/>
    <w:rsid w:val="00046FA2"/>
    <w:rsid w:val="00047051"/>
    <w:rsid w:val="00047149"/>
    <w:rsid w:val="000500CD"/>
    <w:rsid w:val="00050457"/>
    <w:rsid w:val="00050D6F"/>
    <w:rsid w:val="00050D93"/>
    <w:rsid w:val="00051175"/>
    <w:rsid w:val="0005143F"/>
    <w:rsid w:val="00051C91"/>
    <w:rsid w:val="00052407"/>
    <w:rsid w:val="00053FAE"/>
    <w:rsid w:val="000545B1"/>
    <w:rsid w:val="00054EA7"/>
    <w:rsid w:val="00055ACD"/>
    <w:rsid w:val="00056CD5"/>
    <w:rsid w:val="00056F27"/>
    <w:rsid w:val="00056F60"/>
    <w:rsid w:val="00057183"/>
    <w:rsid w:val="000573AF"/>
    <w:rsid w:val="000575DD"/>
    <w:rsid w:val="0005766E"/>
    <w:rsid w:val="00057AEF"/>
    <w:rsid w:val="000602BA"/>
    <w:rsid w:val="000612E4"/>
    <w:rsid w:val="0006169E"/>
    <w:rsid w:val="00061941"/>
    <w:rsid w:val="00061CEB"/>
    <w:rsid w:val="000624C4"/>
    <w:rsid w:val="000626FD"/>
    <w:rsid w:val="00062F43"/>
    <w:rsid w:val="00063BED"/>
    <w:rsid w:val="0006432B"/>
    <w:rsid w:val="00064882"/>
    <w:rsid w:val="00064FB3"/>
    <w:rsid w:val="00065246"/>
    <w:rsid w:val="000653D4"/>
    <w:rsid w:val="00065E02"/>
    <w:rsid w:val="00066161"/>
    <w:rsid w:val="0006635E"/>
    <w:rsid w:val="00067F31"/>
    <w:rsid w:val="000706BB"/>
    <w:rsid w:val="00070A65"/>
    <w:rsid w:val="00070E61"/>
    <w:rsid w:val="00070F2B"/>
    <w:rsid w:val="00071635"/>
    <w:rsid w:val="00071756"/>
    <w:rsid w:val="00071C35"/>
    <w:rsid w:val="00072069"/>
    <w:rsid w:val="00072E01"/>
    <w:rsid w:val="0007414E"/>
    <w:rsid w:val="00074F62"/>
    <w:rsid w:val="000754DD"/>
    <w:rsid w:val="00075777"/>
    <w:rsid w:val="00075F50"/>
    <w:rsid w:val="000761B5"/>
    <w:rsid w:val="00076BE4"/>
    <w:rsid w:val="000805BF"/>
    <w:rsid w:val="00080D77"/>
    <w:rsid w:val="00080DC5"/>
    <w:rsid w:val="00082F7C"/>
    <w:rsid w:val="00083855"/>
    <w:rsid w:val="00083FF6"/>
    <w:rsid w:val="000842DC"/>
    <w:rsid w:val="0008435D"/>
    <w:rsid w:val="00084476"/>
    <w:rsid w:val="00084478"/>
    <w:rsid w:val="00084968"/>
    <w:rsid w:val="000849A5"/>
    <w:rsid w:val="00084F9A"/>
    <w:rsid w:val="00085445"/>
    <w:rsid w:val="0008558C"/>
    <w:rsid w:val="00085F13"/>
    <w:rsid w:val="0008602D"/>
    <w:rsid w:val="00086FEE"/>
    <w:rsid w:val="0009001E"/>
    <w:rsid w:val="000903C1"/>
    <w:rsid w:val="000908F7"/>
    <w:rsid w:val="00090CEB"/>
    <w:rsid w:val="00091CC3"/>
    <w:rsid w:val="00091DEF"/>
    <w:rsid w:val="000920E5"/>
    <w:rsid w:val="00092445"/>
    <w:rsid w:val="00092606"/>
    <w:rsid w:val="00094974"/>
    <w:rsid w:val="00095214"/>
    <w:rsid w:val="00096D67"/>
    <w:rsid w:val="000972B7"/>
    <w:rsid w:val="000979FC"/>
    <w:rsid w:val="00097B31"/>
    <w:rsid w:val="000A0C10"/>
    <w:rsid w:val="000A19AB"/>
    <w:rsid w:val="000A2084"/>
    <w:rsid w:val="000A2282"/>
    <w:rsid w:val="000A28D4"/>
    <w:rsid w:val="000A28E4"/>
    <w:rsid w:val="000A2EB4"/>
    <w:rsid w:val="000A361F"/>
    <w:rsid w:val="000A366D"/>
    <w:rsid w:val="000A3D34"/>
    <w:rsid w:val="000A3DA3"/>
    <w:rsid w:val="000A52FA"/>
    <w:rsid w:val="000A61E8"/>
    <w:rsid w:val="000A63C6"/>
    <w:rsid w:val="000A66C7"/>
    <w:rsid w:val="000A6A1E"/>
    <w:rsid w:val="000B03C0"/>
    <w:rsid w:val="000B10D1"/>
    <w:rsid w:val="000B1DF0"/>
    <w:rsid w:val="000B2FCF"/>
    <w:rsid w:val="000B36C0"/>
    <w:rsid w:val="000B4630"/>
    <w:rsid w:val="000B497F"/>
    <w:rsid w:val="000B5426"/>
    <w:rsid w:val="000B59F3"/>
    <w:rsid w:val="000B5A76"/>
    <w:rsid w:val="000B66BC"/>
    <w:rsid w:val="000B6BA2"/>
    <w:rsid w:val="000B6C72"/>
    <w:rsid w:val="000B6DC9"/>
    <w:rsid w:val="000B6EA7"/>
    <w:rsid w:val="000B710D"/>
    <w:rsid w:val="000B73AD"/>
    <w:rsid w:val="000B7558"/>
    <w:rsid w:val="000B7968"/>
    <w:rsid w:val="000C04DC"/>
    <w:rsid w:val="000C0D98"/>
    <w:rsid w:val="000C130F"/>
    <w:rsid w:val="000C1A36"/>
    <w:rsid w:val="000C2227"/>
    <w:rsid w:val="000C3380"/>
    <w:rsid w:val="000C3E92"/>
    <w:rsid w:val="000C3FFA"/>
    <w:rsid w:val="000C5131"/>
    <w:rsid w:val="000C6063"/>
    <w:rsid w:val="000C784E"/>
    <w:rsid w:val="000C78B2"/>
    <w:rsid w:val="000C7C36"/>
    <w:rsid w:val="000D11DB"/>
    <w:rsid w:val="000D158C"/>
    <w:rsid w:val="000D25E6"/>
    <w:rsid w:val="000D32D4"/>
    <w:rsid w:val="000D4EB5"/>
    <w:rsid w:val="000D5CD2"/>
    <w:rsid w:val="000D5EA9"/>
    <w:rsid w:val="000D5FA3"/>
    <w:rsid w:val="000D6555"/>
    <w:rsid w:val="000D6DF8"/>
    <w:rsid w:val="000D7B51"/>
    <w:rsid w:val="000E00F0"/>
    <w:rsid w:val="000E0E8B"/>
    <w:rsid w:val="000E15A1"/>
    <w:rsid w:val="000E1FA4"/>
    <w:rsid w:val="000E2ED1"/>
    <w:rsid w:val="000E51B5"/>
    <w:rsid w:val="000E53EE"/>
    <w:rsid w:val="000E54AE"/>
    <w:rsid w:val="000E65F7"/>
    <w:rsid w:val="000E68E5"/>
    <w:rsid w:val="000E7195"/>
    <w:rsid w:val="000E7721"/>
    <w:rsid w:val="000E7A47"/>
    <w:rsid w:val="000E7AC4"/>
    <w:rsid w:val="000E7C28"/>
    <w:rsid w:val="000E7DA3"/>
    <w:rsid w:val="000F0296"/>
    <w:rsid w:val="000F06A3"/>
    <w:rsid w:val="000F08A0"/>
    <w:rsid w:val="000F0FD4"/>
    <w:rsid w:val="000F1345"/>
    <w:rsid w:val="000F13DC"/>
    <w:rsid w:val="000F2DE8"/>
    <w:rsid w:val="000F334F"/>
    <w:rsid w:val="000F377A"/>
    <w:rsid w:val="000F423A"/>
    <w:rsid w:val="000F4C88"/>
    <w:rsid w:val="000F52EC"/>
    <w:rsid w:val="000F54CE"/>
    <w:rsid w:val="000F57B5"/>
    <w:rsid w:val="000F5D01"/>
    <w:rsid w:val="000F5F20"/>
    <w:rsid w:val="000F5FB5"/>
    <w:rsid w:val="000F6ED0"/>
    <w:rsid w:val="000F78F4"/>
    <w:rsid w:val="000F7C2C"/>
    <w:rsid w:val="001000EA"/>
    <w:rsid w:val="001001B9"/>
    <w:rsid w:val="00100F58"/>
    <w:rsid w:val="00101894"/>
    <w:rsid w:val="00101DCB"/>
    <w:rsid w:val="00102254"/>
    <w:rsid w:val="00102F1C"/>
    <w:rsid w:val="00102F31"/>
    <w:rsid w:val="00103524"/>
    <w:rsid w:val="0010470E"/>
    <w:rsid w:val="00104C7E"/>
    <w:rsid w:val="001050CF"/>
    <w:rsid w:val="00105442"/>
    <w:rsid w:val="00105D94"/>
    <w:rsid w:val="00105F21"/>
    <w:rsid w:val="00106F59"/>
    <w:rsid w:val="0010702C"/>
    <w:rsid w:val="001076F9"/>
    <w:rsid w:val="00110093"/>
    <w:rsid w:val="001105B7"/>
    <w:rsid w:val="00110970"/>
    <w:rsid w:val="00111343"/>
    <w:rsid w:val="00111568"/>
    <w:rsid w:val="001120C0"/>
    <w:rsid w:val="00112F6E"/>
    <w:rsid w:val="001136F2"/>
    <w:rsid w:val="00113995"/>
    <w:rsid w:val="001140E8"/>
    <w:rsid w:val="00114653"/>
    <w:rsid w:val="001146B7"/>
    <w:rsid w:val="00114B1F"/>
    <w:rsid w:val="001150BF"/>
    <w:rsid w:val="00115896"/>
    <w:rsid w:val="001159D1"/>
    <w:rsid w:val="00115EB0"/>
    <w:rsid w:val="001165A4"/>
    <w:rsid w:val="001167ED"/>
    <w:rsid w:val="001168A7"/>
    <w:rsid w:val="001168D5"/>
    <w:rsid w:val="001168F2"/>
    <w:rsid w:val="00117055"/>
    <w:rsid w:val="001171B3"/>
    <w:rsid w:val="00120207"/>
    <w:rsid w:val="00121044"/>
    <w:rsid w:val="00121D8C"/>
    <w:rsid w:val="00121E63"/>
    <w:rsid w:val="00122875"/>
    <w:rsid w:val="001230FB"/>
    <w:rsid w:val="001232A3"/>
    <w:rsid w:val="001232B5"/>
    <w:rsid w:val="00123787"/>
    <w:rsid w:val="0012394F"/>
    <w:rsid w:val="0012399E"/>
    <w:rsid w:val="00123C1B"/>
    <w:rsid w:val="00124433"/>
    <w:rsid w:val="00124737"/>
    <w:rsid w:val="00125175"/>
    <w:rsid w:val="001259D4"/>
    <w:rsid w:val="00125E3C"/>
    <w:rsid w:val="0012610A"/>
    <w:rsid w:val="001266F8"/>
    <w:rsid w:val="00126D16"/>
    <w:rsid w:val="00127190"/>
    <w:rsid w:val="00127586"/>
    <w:rsid w:val="0012791E"/>
    <w:rsid w:val="00127DCC"/>
    <w:rsid w:val="0013088D"/>
    <w:rsid w:val="00131700"/>
    <w:rsid w:val="00131702"/>
    <w:rsid w:val="00131E45"/>
    <w:rsid w:val="00132049"/>
    <w:rsid w:val="0013208A"/>
    <w:rsid w:val="00132989"/>
    <w:rsid w:val="00132D12"/>
    <w:rsid w:val="00133DC0"/>
    <w:rsid w:val="00133E7E"/>
    <w:rsid w:val="00133ED2"/>
    <w:rsid w:val="0013456F"/>
    <w:rsid w:val="00135315"/>
    <w:rsid w:val="0013557F"/>
    <w:rsid w:val="00135A5E"/>
    <w:rsid w:val="00135F80"/>
    <w:rsid w:val="00137362"/>
    <w:rsid w:val="00140E49"/>
    <w:rsid w:val="00142072"/>
    <w:rsid w:val="0014307D"/>
    <w:rsid w:val="001432E2"/>
    <w:rsid w:val="00143533"/>
    <w:rsid w:val="00143680"/>
    <w:rsid w:val="001436F1"/>
    <w:rsid w:val="00143ABF"/>
    <w:rsid w:val="00143CB2"/>
    <w:rsid w:val="00143FCB"/>
    <w:rsid w:val="00144173"/>
    <w:rsid w:val="001445DF"/>
    <w:rsid w:val="00144E81"/>
    <w:rsid w:val="00145627"/>
    <w:rsid w:val="00145944"/>
    <w:rsid w:val="00146A41"/>
    <w:rsid w:val="00146C77"/>
    <w:rsid w:val="0014758D"/>
    <w:rsid w:val="0014774A"/>
    <w:rsid w:val="0015078D"/>
    <w:rsid w:val="00150F1D"/>
    <w:rsid w:val="00151010"/>
    <w:rsid w:val="00151679"/>
    <w:rsid w:val="001519FE"/>
    <w:rsid w:val="00152E7F"/>
    <w:rsid w:val="0015318E"/>
    <w:rsid w:val="00153E19"/>
    <w:rsid w:val="00153EC3"/>
    <w:rsid w:val="00155363"/>
    <w:rsid w:val="00155D11"/>
    <w:rsid w:val="001562B2"/>
    <w:rsid w:val="00157235"/>
    <w:rsid w:val="0016004C"/>
    <w:rsid w:val="001604EA"/>
    <w:rsid w:val="00160DA7"/>
    <w:rsid w:val="00161190"/>
    <w:rsid w:val="001612FA"/>
    <w:rsid w:val="0016131E"/>
    <w:rsid w:val="0016144C"/>
    <w:rsid w:val="00161EB6"/>
    <w:rsid w:val="0016236A"/>
    <w:rsid w:val="001624E8"/>
    <w:rsid w:val="00162A08"/>
    <w:rsid w:val="001637F3"/>
    <w:rsid w:val="0016383C"/>
    <w:rsid w:val="00163D92"/>
    <w:rsid w:val="0016409E"/>
    <w:rsid w:val="00164144"/>
    <w:rsid w:val="001645B1"/>
    <w:rsid w:val="00164D13"/>
    <w:rsid w:val="00170881"/>
    <w:rsid w:val="00170A51"/>
    <w:rsid w:val="00170AB2"/>
    <w:rsid w:val="00170D5C"/>
    <w:rsid w:val="00171111"/>
    <w:rsid w:val="0017198A"/>
    <w:rsid w:val="00171A06"/>
    <w:rsid w:val="00171C91"/>
    <w:rsid w:val="00171CF4"/>
    <w:rsid w:val="0017240F"/>
    <w:rsid w:val="00172ADE"/>
    <w:rsid w:val="001731B0"/>
    <w:rsid w:val="0017321C"/>
    <w:rsid w:val="0017375B"/>
    <w:rsid w:val="00174124"/>
    <w:rsid w:val="00174AE2"/>
    <w:rsid w:val="00174CF9"/>
    <w:rsid w:val="00175605"/>
    <w:rsid w:val="00175703"/>
    <w:rsid w:val="001758DE"/>
    <w:rsid w:val="00175B00"/>
    <w:rsid w:val="00176D25"/>
    <w:rsid w:val="00176E9D"/>
    <w:rsid w:val="0017734B"/>
    <w:rsid w:val="00177AF8"/>
    <w:rsid w:val="00177D22"/>
    <w:rsid w:val="00180CAA"/>
    <w:rsid w:val="0018103A"/>
    <w:rsid w:val="00182D78"/>
    <w:rsid w:val="0018342E"/>
    <w:rsid w:val="00183F1A"/>
    <w:rsid w:val="001840C2"/>
    <w:rsid w:val="001847D1"/>
    <w:rsid w:val="001848F7"/>
    <w:rsid w:val="00184B46"/>
    <w:rsid w:val="00185422"/>
    <w:rsid w:val="00185939"/>
    <w:rsid w:val="001866E1"/>
    <w:rsid w:val="00187044"/>
    <w:rsid w:val="001870EE"/>
    <w:rsid w:val="001876F6"/>
    <w:rsid w:val="00190745"/>
    <w:rsid w:val="00190E4E"/>
    <w:rsid w:val="00191AF9"/>
    <w:rsid w:val="00193032"/>
    <w:rsid w:val="00194DA4"/>
    <w:rsid w:val="001953B1"/>
    <w:rsid w:val="00195A8E"/>
    <w:rsid w:val="00196162"/>
    <w:rsid w:val="001963C0"/>
    <w:rsid w:val="00196760"/>
    <w:rsid w:val="00197463"/>
    <w:rsid w:val="00197956"/>
    <w:rsid w:val="001A1464"/>
    <w:rsid w:val="001A19B1"/>
    <w:rsid w:val="001A3D02"/>
    <w:rsid w:val="001A446E"/>
    <w:rsid w:val="001A562B"/>
    <w:rsid w:val="001A59B4"/>
    <w:rsid w:val="001A63B9"/>
    <w:rsid w:val="001A6511"/>
    <w:rsid w:val="001A6729"/>
    <w:rsid w:val="001A75F1"/>
    <w:rsid w:val="001B08ED"/>
    <w:rsid w:val="001B0CCC"/>
    <w:rsid w:val="001B1098"/>
    <w:rsid w:val="001B1699"/>
    <w:rsid w:val="001B17A8"/>
    <w:rsid w:val="001B1A03"/>
    <w:rsid w:val="001B1AE9"/>
    <w:rsid w:val="001B2501"/>
    <w:rsid w:val="001B2B7D"/>
    <w:rsid w:val="001B2F8A"/>
    <w:rsid w:val="001B309B"/>
    <w:rsid w:val="001B3176"/>
    <w:rsid w:val="001B33A2"/>
    <w:rsid w:val="001B3BA9"/>
    <w:rsid w:val="001B3D0A"/>
    <w:rsid w:val="001B3E18"/>
    <w:rsid w:val="001B4158"/>
    <w:rsid w:val="001B4DB4"/>
    <w:rsid w:val="001B568A"/>
    <w:rsid w:val="001B5900"/>
    <w:rsid w:val="001B5EBD"/>
    <w:rsid w:val="001B63C6"/>
    <w:rsid w:val="001B7249"/>
    <w:rsid w:val="001B729E"/>
    <w:rsid w:val="001C0A3B"/>
    <w:rsid w:val="001C13C6"/>
    <w:rsid w:val="001C1C58"/>
    <w:rsid w:val="001C2EFB"/>
    <w:rsid w:val="001C3286"/>
    <w:rsid w:val="001C3519"/>
    <w:rsid w:val="001C376E"/>
    <w:rsid w:val="001C454F"/>
    <w:rsid w:val="001C48D4"/>
    <w:rsid w:val="001C4F3E"/>
    <w:rsid w:val="001C6498"/>
    <w:rsid w:val="001C662E"/>
    <w:rsid w:val="001C6EA3"/>
    <w:rsid w:val="001C7C93"/>
    <w:rsid w:val="001D0170"/>
    <w:rsid w:val="001D01DF"/>
    <w:rsid w:val="001D07FA"/>
    <w:rsid w:val="001D0D1E"/>
    <w:rsid w:val="001D0D7E"/>
    <w:rsid w:val="001D1365"/>
    <w:rsid w:val="001D1F0E"/>
    <w:rsid w:val="001D204F"/>
    <w:rsid w:val="001D2464"/>
    <w:rsid w:val="001D2D4D"/>
    <w:rsid w:val="001D36CD"/>
    <w:rsid w:val="001D398B"/>
    <w:rsid w:val="001D401A"/>
    <w:rsid w:val="001D46DA"/>
    <w:rsid w:val="001D4862"/>
    <w:rsid w:val="001D4D29"/>
    <w:rsid w:val="001D4F49"/>
    <w:rsid w:val="001D5009"/>
    <w:rsid w:val="001D52C8"/>
    <w:rsid w:val="001D573C"/>
    <w:rsid w:val="001D6034"/>
    <w:rsid w:val="001D7693"/>
    <w:rsid w:val="001D7783"/>
    <w:rsid w:val="001D7982"/>
    <w:rsid w:val="001E03F9"/>
    <w:rsid w:val="001E046B"/>
    <w:rsid w:val="001E08E4"/>
    <w:rsid w:val="001E0AAD"/>
    <w:rsid w:val="001E0F41"/>
    <w:rsid w:val="001E1D3D"/>
    <w:rsid w:val="001E25D3"/>
    <w:rsid w:val="001E297B"/>
    <w:rsid w:val="001E2E03"/>
    <w:rsid w:val="001E31C1"/>
    <w:rsid w:val="001E34B4"/>
    <w:rsid w:val="001E3C30"/>
    <w:rsid w:val="001E47D1"/>
    <w:rsid w:val="001E4E91"/>
    <w:rsid w:val="001E6A64"/>
    <w:rsid w:val="001E7366"/>
    <w:rsid w:val="001E75C5"/>
    <w:rsid w:val="001F1808"/>
    <w:rsid w:val="001F1BAF"/>
    <w:rsid w:val="001F231C"/>
    <w:rsid w:val="001F3013"/>
    <w:rsid w:val="001F3E06"/>
    <w:rsid w:val="001F3F2A"/>
    <w:rsid w:val="001F412F"/>
    <w:rsid w:val="001F4658"/>
    <w:rsid w:val="001F4A00"/>
    <w:rsid w:val="001F5236"/>
    <w:rsid w:val="001F5681"/>
    <w:rsid w:val="001F5ADA"/>
    <w:rsid w:val="001F5F0F"/>
    <w:rsid w:val="001F6541"/>
    <w:rsid w:val="001F6642"/>
    <w:rsid w:val="001F69C2"/>
    <w:rsid w:val="001F6AE5"/>
    <w:rsid w:val="001F7603"/>
    <w:rsid w:val="001F7A9A"/>
    <w:rsid w:val="001F7DB0"/>
    <w:rsid w:val="001F7E2E"/>
    <w:rsid w:val="001F7EB0"/>
    <w:rsid w:val="001F7F74"/>
    <w:rsid w:val="00200ECB"/>
    <w:rsid w:val="00201510"/>
    <w:rsid w:val="00201B20"/>
    <w:rsid w:val="002023A0"/>
    <w:rsid w:val="00203E60"/>
    <w:rsid w:val="002048D1"/>
    <w:rsid w:val="0020497C"/>
    <w:rsid w:val="00204FFA"/>
    <w:rsid w:val="00205164"/>
    <w:rsid w:val="002079CB"/>
    <w:rsid w:val="00210156"/>
    <w:rsid w:val="0021096E"/>
    <w:rsid w:val="00210DE8"/>
    <w:rsid w:val="00210E07"/>
    <w:rsid w:val="0021103D"/>
    <w:rsid w:val="00211449"/>
    <w:rsid w:val="00211D73"/>
    <w:rsid w:val="002121D9"/>
    <w:rsid w:val="00212A3E"/>
    <w:rsid w:val="002140AD"/>
    <w:rsid w:val="002140C5"/>
    <w:rsid w:val="0021429D"/>
    <w:rsid w:val="00214BF2"/>
    <w:rsid w:val="00215A7F"/>
    <w:rsid w:val="00215AC1"/>
    <w:rsid w:val="00215F97"/>
    <w:rsid w:val="00215FDC"/>
    <w:rsid w:val="00216522"/>
    <w:rsid w:val="00216644"/>
    <w:rsid w:val="0021716F"/>
    <w:rsid w:val="00217CBA"/>
    <w:rsid w:val="0022015F"/>
    <w:rsid w:val="002205D0"/>
    <w:rsid w:val="00221180"/>
    <w:rsid w:val="00221798"/>
    <w:rsid w:val="0022194A"/>
    <w:rsid w:val="00221D19"/>
    <w:rsid w:val="00222476"/>
    <w:rsid w:val="002237C7"/>
    <w:rsid w:val="0022387E"/>
    <w:rsid w:val="00223970"/>
    <w:rsid w:val="0022477F"/>
    <w:rsid w:val="00225516"/>
    <w:rsid w:val="00225B20"/>
    <w:rsid w:val="002260C2"/>
    <w:rsid w:val="0022616F"/>
    <w:rsid w:val="0022666B"/>
    <w:rsid w:val="00226B59"/>
    <w:rsid w:val="00227099"/>
    <w:rsid w:val="0022734D"/>
    <w:rsid w:val="00227381"/>
    <w:rsid w:val="0022744A"/>
    <w:rsid w:val="00227677"/>
    <w:rsid w:val="00227CD3"/>
    <w:rsid w:val="002309CA"/>
    <w:rsid w:val="00230B8E"/>
    <w:rsid w:val="00230C80"/>
    <w:rsid w:val="00230D6C"/>
    <w:rsid w:val="00230FF7"/>
    <w:rsid w:val="002314E6"/>
    <w:rsid w:val="0023167C"/>
    <w:rsid w:val="0023172A"/>
    <w:rsid w:val="00231900"/>
    <w:rsid w:val="00231F38"/>
    <w:rsid w:val="00232A81"/>
    <w:rsid w:val="00232A8D"/>
    <w:rsid w:val="00232C9D"/>
    <w:rsid w:val="00232FC6"/>
    <w:rsid w:val="002343CB"/>
    <w:rsid w:val="0023447F"/>
    <w:rsid w:val="002350B3"/>
    <w:rsid w:val="0023576B"/>
    <w:rsid w:val="00235FE6"/>
    <w:rsid w:val="00236153"/>
    <w:rsid w:val="002365D4"/>
    <w:rsid w:val="0023669E"/>
    <w:rsid w:val="00236748"/>
    <w:rsid w:val="00236D72"/>
    <w:rsid w:val="00236E57"/>
    <w:rsid w:val="002371CF"/>
    <w:rsid w:val="00237965"/>
    <w:rsid w:val="0023798E"/>
    <w:rsid w:val="0024104F"/>
    <w:rsid w:val="0024166D"/>
    <w:rsid w:val="00242248"/>
    <w:rsid w:val="00242307"/>
    <w:rsid w:val="00242EE4"/>
    <w:rsid w:val="0024462E"/>
    <w:rsid w:val="00244A10"/>
    <w:rsid w:val="002451B8"/>
    <w:rsid w:val="002463CE"/>
    <w:rsid w:val="002474FA"/>
    <w:rsid w:val="0024773D"/>
    <w:rsid w:val="00247CBA"/>
    <w:rsid w:val="00250153"/>
    <w:rsid w:val="002503DA"/>
    <w:rsid w:val="0025069B"/>
    <w:rsid w:val="0025098A"/>
    <w:rsid w:val="00251120"/>
    <w:rsid w:val="002511B0"/>
    <w:rsid w:val="002511E4"/>
    <w:rsid w:val="002512E6"/>
    <w:rsid w:val="00251D88"/>
    <w:rsid w:val="00252257"/>
    <w:rsid w:val="00252638"/>
    <w:rsid w:val="00252B57"/>
    <w:rsid w:val="00252EE5"/>
    <w:rsid w:val="00253493"/>
    <w:rsid w:val="00254A01"/>
    <w:rsid w:val="002554D7"/>
    <w:rsid w:val="0025571D"/>
    <w:rsid w:val="00255B4F"/>
    <w:rsid w:val="00255CE3"/>
    <w:rsid w:val="00256018"/>
    <w:rsid w:val="00257420"/>
    <w:rsid w:val="0025768B"/>
    <w:rsid w:val="00257AFB"/>
    <w:rsid w:val="002604A7"/>
    <w:rsid w:val="00260B98"/>
    <w:rsid w:val="00260D4E"/>
    <w:rsid w:val="00260E39"/>
    <w:rsid w:val="00261273"/>
    <w:rsid w:val="002623F7"/>
    <w:rsid w:val="0026293D"/>
    <w:rsid w:val="002634BD"/>
    <w:rsid w:val="00264688"/>
    <w:rsid w:val="00264B99"/>
    <w:rsid w:val="00265982"/>
    <w:rsid w:val="00265B90"/>
    <w:rsid w:val="00266D1A"/>
    <w:rsid w:val="00267453"/>
    <w:rsid w:val="00267536"/>
    <w:rsid w:val="002700A5"/>
    <w:rsid w:val="00270154"/>
    <w:rsid w:val="00270477"/>
    <w:rsid w:val="002704B5"/>
    <w:rsid w:val="002706A0"/>
    <w:rsid w:val="0027094D"/>
    <w:rsid w:val="00270B38"/>
    <w:rsid w:val="0027181D"/>
    <w:rsid w:val="00271F70"/>
    <w:rsid w:val="0027281C"/>
    <w:rsid w:val="00273DC5"/>
    <w:rsid w:val="0027408B"/>
    <w:rsid w:val="00274496"/>
    <w:rsid w:val="00275608"/>
    <w:rsid w:val="00276B56"/>
    <w:rsid w:val="00277ADC"/>
    <w:rsid w:val="00277B3F"/>
    <w:rsid w:val="00280048"/>
    <w:rsid w:val="00280426"/>
    <w:rsid w:val="00280F46"/>
    <w:rsid w:val="0028101F"/>
    <w:rsid w:val="00281073"/>
    <w:rsid w:val="002819FD"/>
    <w:rsid w:val="00282104"/>
    <w:rsid w:val="002829A6"/>
    <w:rsid w:val="0028342F"/>
    <w:rsid w:val="00283626"/>
    <w:rsid w:val="002836F9"/>
    <w:rsid w:val="00283A41"/>
    <w:rsid w:val="00283ADE"/>
    <w:rsid w:val="00284485"/>
    <w:rsid w:val="0028470D"/>
    <w:rsid w:val="00284E11"/>
    <w:rsid w:val="00284E54"/>
    <w:rsid w:val="00285132"/>
    <w:rsid w:val="00285220"/>
    <w:rsid w:val="002855D0"/>
    <w:rsid w:val="00285634"/>
    <w:rsid w:val="0028583A"/>
    <w:rsid w:val="00285F62"/>
    <w:rsid w:val="00286692"/>
    <w:rsid w:val="00286E70"/>
    <w:rsid w:val="00287368"/>
    <w:rsid w:val="00287873"/>
    <w:rsid w:val="002902F0"/>
    <w:rsid w:val="002908FE"/>
    <w:rsid w:val="00290FF2"/>
    <w:rsid w:val="002916CC"/>
    <w:rsid w:val="00291801"/>
    <w:rsid w:val="00291B77"/>
    <w:rsid w:val="00291EF3"/>
    <w:rsid w:val="00292668"/>
    <w:rsid w:val="0029278C"/>
    <w:rsid w:val="00292BEA"/>
    <w:rsid w:val="00292D0E"/>
    <w:rsid w:val="00292E65"/>
    <w:rsid w:val="002930C6"/>
    <w:rsid w:val="00293475"/>
    <w:rsid w:val="00294167"/>
    <w:rsid w:val="00295172"/>
    <w:rsid w:val="00295BEA"/>
    <w:rsid w:val="0029688C"/>
    <w:rsid w:val="0029697C"/>
    <w:rsid w:val="002973A7"/>
    <w:rsid w:val="002979F1"/>
    <w:rsid w:val="00297DDD"/>
    <w:rsid w:val="00297FFB"/>
    <w:rsid w:val="002A0F2B"/>
    <w:rsid w:val="002A1054"/>
    <w:rsid w:val="002A13B1"/>
    <w:rsid w:val="002A13E1"/>
    <w:rsid w:val="002A1427"/>
    <w:rsid w:val="002A1E0C"/>
    <w:rsid w:val="002A22A4"/>
    <w:rsid w:val="002A302C"/>
    <w:rsid w:val="002A3248"/>
    <w:rsid w:val="002A33E3"/>
    <w:rsid w:val="002A37AE"/>
    <w:rsid w:val="002A4627"/>
    <w:rsid w:val="002A4A6D"/>
    <w:rsid w:val="002A4DF9"/>
    <w:rsid w:val="002A571D"/>
    <w:rsid w:val="002A5DCE"/>
    <w:rsid w:val="002A5E6E"/>
    <w:rsid w:val="002A6FCD"/>
    <w:rsid w:val="002A7A7B"/>
    <w:rsid w:val="002A7BCB"/>
    <w:rsid w:val="002B0846"/>
    <w:rsid w:val="002B0C77"/>
    <w:rsid w:val="002B0E8A"/>
    <w:rsid w:val="002B1304"/>
    <w:rsid w:val="002B17FC"/>
    <w:rsid w:val="002B1A22"/>
    <w:rsid w:val="002B22CE"/>
    <w:rsid w:val="002B27AB"/>
    <w:rsid w:val="002B362F"/>
    <w:rsid w:val="002B3A8A"/>
    <w:rsid w:val="002B4359"/>
    <w:rsid w:val="002B4CBA"/>
    <w:rsid w:val="002B5AD5"/>
    <w:rsid w:val="002B6B25"/>
    <w:rsid w:val="002B6FBC"/>
    <w:rsid w:val="002B7D19"/>
    <w:rsid w:val="002C0217"/>
    <w:rsid w:val="002C0AF8"/>
    <w:rsid w:val="002C0EA3"/>
    <w:rsid w:val="002C1A81"/>
    <w:rsid w:val="002C1B28"/>
    <w:rsid w:val="002C286E"/>
    <w:rsid w:val="002C31D1"/>
    <w:rsid w:val="002C3985"/>
    <w:rsid w:val="002C3C92"/>
    <w:rsid w:val="002C3E3F"/>
    <w:rsid w:val="002C5135"/>
    <w:rsid w:val="002C5542"/>
    <w:rsid w:val="002C5981"/>
    <w:rsid w:val="002C6239"/>
    <w:rsid w:val="002C67AF"/>
    <w:rsid w:val="002C6D9F"/>
    <w:rsid w:val="002C6ED0"/>
    <w:rsid w:val="002C7008"/>
    <w:rsid w:val="002C7D6C"/>
    <w:rsid w:val="002D0410"/>
    <w:rsid w:val="002D0899"/>
    <w:rsid w:val="002D1707"/>
    <w:rsid w:val="002D17E2"/>
    <w:rsid w:val="002D25C5"/>
    <w:rsid w:val="002D299F"/>
    <w:rsid w:val="002D3911"/>
    <w:rsid w:val="002D3C3D"/>
    <w:rsid w:val="002D3F5B"/>
    <w:rsid w:val="002D48C2"/>
    <w:rsid w:val="002D5516"/>
    <w:rsid w:val="002D5954"/>
    <w:rsid w:val="002D5B1B"/>
    <w:rsid w:val="002D5FBF"/>
    <w:rsid w:val="002D67EB"/>
    <w:rsid w:val="002D6B30"/>
    <w:rsid w:val="002D6E81"/>
    <w:rsid w:val="002D7C39"/>
    <w:rsid w:val="002E001D"/>
    <w:rsid w:val="002E081F"/>
    <w:rsid w:val="002E08D9"/>
    <w:rsid w:val="002E0E0D"/>
    <w:rsid w:val="002E0EC8"/>
    <w:rsid w:val="002E13B4"/>
    <w:rsid w:val="002E1842"/>
    <w:rsid w:val="002E1889"/>
    <w:rsid w:val="002E25DA"/>
    <w:rsid w:val="002E278F"/>
    <w:rsid w:val="002E3A56"/>
    <w:rsid w:val="002E3ABB"/>
    <w:rsid w:val="002E3B40"/>
    <w:rsid w:val="002E3B4D"/>
    <w:rsid w:val="002E3CD9"/>
    <w:rsid w:val="002E4684"/>
    <w:rsid w:val="002E47B7"/>
    <w:rsid w:val="002E4D7B"/>
    <w:rsid w:val="002E55DF"/>
    <w:rsid w:val="002E6078"/>
    <w:rsid w:val="002E7553"/>
    <w:rsid w:val="002E7F00"/>
    <w:rsid w:val="002F0522"/>
    <w:rsid w:val="002F0734"/>
    <w:rsid w:val="002F07D2"/>
    <w:rsid w:val="002F0C0F"/>
    <w:rsid w:val="002F1339"/>
    <w:rsid w:val="002F1B2A"/>
    <w:rsid w:val="002F1D86"/>
    <w:rsid w:val="002F2980"/>
    <w:rsid w:val="002F2CB5"/>
    <w:rsid w:val="002F339A"/>
    <w:rsid w:val="002F3773"/>
    <w:rsid w:val="002F380B"/>
    <w:rsid w:val="002F4DEC"/>
    <w:rsid w:val="002F5135"/>
    <w:rsid w:val="002F5516"/>
    <w:rsid w:val="002F5C8F"/>
    <w:rsid w:val="002F63F7"/>
    <w:rsid w:val="0030022E"/>
    <w:rsid w:val="003005B2"/>
    <w:rsid w:val="00300B77"/>
    <w:rsid w:val="00301975"/>
    <w:rsid w:val="00301B93"/>
    <w:rsid w:val="00302100"/>
    <w:rsid w:val="0030361B"/>
    <w:rsid w:val="0030376F"/>
    <w:rsid w:val="00303C9F"/>
    <w:rsid w:val="003049E5"/>
    <w:rsid w:val="00304A12"/>
    <w:rsid w:val="00305063"/>
    <w:rsid w:val="0030542C"/>
    <w:rsid w:val="00305678"/>
    <w:rsid w:val="003063AF"/>
    <w:rsid w:val="00307343"/>
    <w:rsid w:val="003076D0"/>
    <w:rsid w:val="003077E6"/>
    <w:rsid w:val="00307899"/>
    <w:rsid w:val="00307F12"/>
    <w:rsid w:val="00307FA7"/>
    <w:rsid w:val="00310418"/>
    <w:rsid w:val="00310684"/>
    <w:rsid w:val="00310D24"/>
    <w:rsid w:val="003110F4"/>
    <w:rsid w:val="0031258D"/>
    <w:rsid w:val="00312FFC"/>
    <w:rsid w:val="00313026"/>
    <w:rsid w:val="0031318E"/>
    <w:rsid w:val="0031360F"/>
    <w:rsid w:val="0031367E"/>
    <w:rsid w:val="003138BE"/>
    <w:rsid w:val="00313C54"/>
    <w:rsid w:val="00314676"/>
    <w:rsid w:val="00314754"/>
    <w:rsid w:val="00314A28"/>
    <w:rsid w:val="00314A65"/>
    <w:rsid w:val="003150BF"/>
    <w:rsid w:val="003150CE"/>
    <w:rsid w:val="003156AA"/>
    <w:rsid w:val="00315E92"/>
    <w:rsid w:val="003162C4"/>
    <w:rsid w:val="00316B03"/>
    <w:rsid w:val="0031750E"/>
    <w:rsid w:val="00317DCD"/>
    <w:rsid w:val="00321057"/>
    <w:rsid w:val="00321BBB"/>
    <w:rsid w:val="003227BD"/>
    <w:rsid w:val="0032292B"/>
    <w:rsid w:val="00323191"/>
    <w:rsid w:val="00323852"/>
    <w:rsid w:val="00323B9E"/>
    <w:rsid w:val="00326BDD"/>
    <w:rsid w:val="0032721A"/>
    <w:rsid w:val="00327576"/>
    <w:rsid w:val="003275CC"/>
    <w:rsid w:val="00327F88"/>
    <w:rsid w:val="0033027B"/>
    <w:rsid w:val="0033054B"/>
    <w:rsid w:val="00330804"/>
    <w:rsid w:val="00330FCB"/>
    <w:rsid w:val="003318FF"/>
    <w:rsid w:val="00331CE3"/>
    <w:rsid w:val="00331ECF"/>
    <w:rsid w:val="00334502"/>
    <w:rsid w:val="003349CE"/>
    <w:rsid w:val="00334A6B"/>
    <w:rsid w:val="003351F1"/>
    <w:rsid w:val="00336097"/>
    <w:rsid w:val="003366B2"/>
    <w:rsid w:val="00337D7B"/>
    <w:rsid w:val="00340066"/>
    <w:rsid w:val="003401B6"/>
    <w:rsid w:val="003405DC"/>
    <w:rsid w:val="00340FBA"/>
    <w:rsid w:val="0034288B"/>
    <w:rsid w:val="00342A6C"/>
    <w:rsid w:val="00342C3D"/>
    <w:rsid w:val="0034332B"/>
    <w:rsid w:val="0034371F"/>
    <w:rsid w:val="003437D1"/>
    <w:rsid w:val="00343E8C"/>
    <w:rsid w:val="00345571"/>
    <w:rsid w:val="00345C17"/>
    <w:rsid w:val="00346522"/>
    <w:rsid w:val="0034678F"/>
    <w:rsid w:val="0034681C"/>
    <w:rsid w:val="00346EDE"/>
    <w:rsid w:val="00347A49"/>
    <w:rsid w:val="003500E5"/>
    <w:rsid w:val="00350DDD"/>
    <w:rsid w:val="00351ABE"/>
    <w:rsid w:val="00351E42"/>
    <w:rsid w:val="00352145"/>
    <w:rsid w:val="00352759"/>
    <w:rsid w:val="00352B5F"/>
    <w:rsid w:val="00353C12"/>
    <w:rsid w:val="003552A7"/>
    <w:rsid w:val="00355810"/>
    <w:rsid w:val="00355CE1"/>
    <w:rsid w:val="0035642A"/>
    <w:rsid w:val="0035661E"/>
    <w:rsid w:val="003600A8"/>
    <w:rsid w:val="003606D4"/>
    <w:rsid w:val="00360CB3"/>
    <w:rsid w:val="00361581"/>
    <w:rsid w:val="00361778"/>
    <w:rsid w:val="00361DB8"/>
    <w:rsid w:val="003629B9"/>
    <w:rsid w:val="003629BD"/>
    <w:rsid w:val="00362F77"/>
    <w:rsid w:val="0036312F"/>
    <w:rsid w:val="00364B03"/>
    <w:rsid w:val="0036590B"/>
    <w:rsid w:val="00365A2A"/>
    <w:rsid w:val="00365F4D"/>
    <w:rsid w:val="00366353"/>
    <w:rsid w:val="00366524"/>
    <w:rsid w:val="00366B79"/>
    <w:rsid w:val="0036761C"/>
    <w:rsid w:val="00367FC9"/>
    <w:rsid w:val="00370680"/>
    <w:rsid w:val="00370713"/>
    <w:rsid w:val="003711D8"/>
    <w:rsid w:val="00371BD5"/>
    <w:rsid w:val="00373E58"/>
    <w:rsid w:val="00373FE9"/>
    <w:rsid w:val="003743D9"/>
    <w:rsid w:val="00374980"/>
    <w:rsid w:val="00375AC1"/>
    <w:rsid w:val="00376073"/>
    <w:rsid w:val="00376400"/>
    <w:rsid w:val="0037660B"/>
    <w:rsid w:val="00376942"/>
    <w:rsid w:val="00376F05"/>
    <w:rsid w:val="00377091"/>
    <w:rsid w:val="00377452"/>
    <w:rsid w:val="00377C5B"/>
    <w:rsid w:val="003804BF"/>
    <w:rsid w:val="00380523"/>
    <w:rsid w:val="00380B96"/>
    <w:rsid w:val="00380BC3"/>
    <w:rsid w:val="0038113A"/>
    <w:rsid w:val="00381223"/>
    <w:rsid w:val="00381285"/>
    <w:rsid w:val="00381849"/>
    <w:rsid w:val="00382746"/>
    <w:rsid w:val="00382FD3"/>
    <w:rsid w:val="0038347E"/>
    <w:rsid w:val="00383B7A"/>
    <w:rsid w:val="00384F36"/>
    <w:rsid w:val="00385271"/>
    <w:rsid w:val="00385FF1"/>
    <w:rsid w:val="00386307"/>
    <w:rsid w:val="0038692E"/>
    <w:rsid w:val="00386C1C"/>
    <w:rsid w:val="003873C0"/>
    <w:rsid w:val="0038777E"/>
    <w:rsid w:val="003900AC"/>
    <w:rsid w:val="00390472"/>
    <w:rsid w:val="0039195F"/>
    <w:rsid w:val="00392243"/>
    <w:rsid w:val="0039226E"/>
    <w:rsid w:val="00392CC8"/>
    <w:rsid w:val="00393034"/>
    <w:rsid w:val="003947B0"/>
    <w:rsid w:val="00394939"/>
    <w:rsid w:val="00396583"/>
    <w:rsid w:val="0039698E"/>
    <w:rsid w:val="003972BF"/>
    <w:rsid w:val="003973B0"/>
    <w:rsid w:val="00397DAD"/>
    <w:rsid w:val="003A0439"/>
    <w:rsid w:val="003A0F8C"/>
    <w:rsid w:val="003A1F3B"/>
    <w:rsid w:val="003A2017"/>
    <w:rsid w:val="003A220C"/>
    <w:rsid w:val="003A272E"/>
    <w:rsid w:val="003A2DEC"/>
    <w:rsid w:val="003A388D"/>
    <w:rsid w:val="003A3C6B"/>
    <w:rsid w:val="003A3F77"/>
    <w:rsid w:val="003A48CC"/>
    <w:rsid w:val="003A4A19"/>
    <w:rsid w:val="003A4B8A"/>
    <w:rsid w:val="003A4EE5"/>
    <w:rsid w:val="003A5F69"/>
    <w:rsid w:val="003A72EF"/>
    <w:rsid w:val="003A7326"/>
    <w:rsid w:val="003A74E9"/>
    <w:rsid w:val="003A7D10"/>
    <w:rsid w:val="003B072E"/>
    <w:rsid w:val="003B080D"/>
    <w:rsid w:val="003B0B18"/>
    <w:rsid w:val="003B1242"/>
    <w:rsid w:val="003B1333"/>
    <w:rsid w:val="003B1775"/>
    <w:rsid w:val="003B3CBD"/>
    <w:rsid w:val="003B4513"/>
    <w:rsid w:val="003B4EED"/>
    <w:rsid w:val="003B5680"/>
    <w:rsid w:val="003B5A43"/>
    <w:rsid w:val="003B5DBE"/>
    <w:rsid w:val="003B6629"/>
    <w:rsid w:val="003B6B2C"/>
    <w:rsid w:val="003B7AAA"/>
    <w:rsid w:val="003C076C"/>
    <w:rsid w:val="003C0E56"/>
    <w:rsid w:val="003C1A8E"/>
    <w:rsid w:val="003C1B3A"/>
    <w:rsid w:val="003C2521"/>
    <w:rsid w:val="003C266A"/>
    <w:rsid w:val="003C2CB7"/>
    <w:rsid w:val="003C2D87"/>
    <w:rsid w:val="003C3B4B"/>
    <w:rsid w:val="003C522F"/>
    <w:rsid w:val="003C547E"/>
    <w:rsid w:val="003C5A87"/>
    <w:rsid w:val="003C5E32"/>
    <w:rsid w:val="003C602A"/>
    <w:rsid w:val="003C65CF"/>
    <w:rsid w:val="003C7323"/>
    <w:rsid w:val="003C787F"/>
    <w:rsid w:val="003C7A81"/>
    <w:rsid w:val="003D01B7"/>
    <w:rsid w:val="003D0751"/>
    <w:rsid w:val="003D1759"/>
    <w:rsid w:val="003D1896"/>
    <w:rsid w:val="003D1E21"/>
    <w:rsid w:val="003D2076"/>
    <w:rsid w:val="003D26CD"/>
    <w:rsid w:val="003D280E"/>
    <w:rsid w:val="003D2B33"/>
    <w:rsid w:val="003D3383"/>
    <w:rsid w:val="003D3B14"/>
    <w:rsid w:val="003D3B3C"/>
    <w:rsid w:val="003D3DA9"/>
    <w:rsid w:val="003D4223"/>
    <w:rsid w:val="003D43DE"/>
    <w:rsid w:val="003D46C0"/>
    <w:rsid w:val="003D4ABB"/>
    <w:rsid w:val="003D5B0E"/>
    <w:rsid w:val="003D5DCC"/>
    <w:rsid w:val="003D62F7"/>
    <w:rsid w:val="003D638F"/>
    <w:rsid w:val="003D6478"/>
    <w:rsid w:val="003D6AEA"/>
    <w:rsid w:val="003D7948"/>
    <w:rsid w:val="003D7BE7"/>
    <w:rsid w:val="003D7ECC"/>
    <w:rsid w:val="003E05B5"/>
    <w:rsid w:val="003E0BE4"/>
    <w:rsid w:val="003E0C01"/>
    <w:rsid w:val="003E1035"/>
    <w:rsid w:val="003E17F2"/>
    <w:rsid w:val="003E19F7"/>
    <w:rsid w:val="003E1EB2"/>
    <w:rsid w:val="003E3153"/>
    <w:rsid w:val="003E4077"/>
    <w:rsid w:val="003E492C"/>
    <w:rsid w:val="003E598A"/>
    <w:rsid w:val="003E6966"/>
    <w:rsid w:val="003E6BAA"/>
    <w:rsid w:val="003E710D"/>
    <w:rsid w:val="003E7A9C"/>
    <w:rsid w:val="003E7CA5"/>
    <w:rsid w:val="003E7ECB"/>
    <w:rsid w:val="003F0378"/>
    <w:rsid w:val="003F1239"/>
    <w:rsid w:val="003F17BE"/>
    <w:rsid w:val="003F1B55"/>
    <w:rsid w:val="003F2266"/>
    <w:rsid w:val="003F328F"/>
    <w:rsid w:val="003F3318"/>
    <w:rsid w:val="003F531A"/>
    <w:rsid w:val="003F6740"/>
    <w:rsid w:val="003F7C9E"/>
    <w:rsid w:val="00401C31"/>
    <w:rsid w:val="0040246B"/>
    <w:rsid w:val="004025E8"/>
    <w:rsid w:val="00402768"/>
    <w:rsid w:val="00402B6B"/>
    <w:rsid w:val="00403B8D"/>
    <w:rsid w:val="00404636"/>
    <w:rsid w:val="004049D4"/>
    <w:rsid w:val="00404C36"/>
    <w:rsid w:val="00405E0B"/>
    <w:rsid w:val="004068F6"/>
    <w:rsid w:val="00406F38"/>
    <w:rsid w:val="00407F47"/>
    <w:rsid w:val="00410480"/>
    <w:rsid w:val="00410779"/>
    <w:rsid w:val="004107CA"/>
    <w:rsid w:val="00410E22"/>
    <w:rsid w:val="004111BC"/>
    <w:rsid w:val="004114CB"/>
    <w:rsid w:val="004117FE"/>
    <w:rsid w:val="0041230A"/>
    <w:rsid w:val="004125F4"/>
    <w:rsid w:val="004126D4"/>
    <w:rsid w:val="00412EB6"/>
    <w:rsid w:val="004130C5"/>
    <w:rsid w:val="004134FF"/>
    <w:rsid w:val="00413587"/>
    <w:rsid w:val="00414703"/>
    <w:rsid w:val="004151C2"/>
    <w:rsid w:val="00415392"/>
    <w:rsid w:val="00415A5C"/>
    <w:rsid w:val="00415ACA"/>
    <w:rsid w:val="00415B76"/>
    <w:rsid w:val="00415D2B"/>
    <w:rsid w:val="00415D30"/>
    <w:rsid w:val="00416118"/>
    <w:rsid w:val="004167B7"/>
    <w:rsid w:val="00416C0A"/>
    <w:rsid w:val="00416E45"/>
    <w:rsid w:val="00417296"/>
    <w:rsid w:val="0041752B"/>
    <w:rsid w:val="00421941"/>
    <w:rsid w:val="00423051"/>
    <w:rsid w:val="00423090"/>
    <w:rsid w:val="00423126"/>
    <w:rsid w:val="004236FD"/>
    <w:rsid w:val="00424DE2"/>
    <w:rsid w:val="00424F89"/>
    <w:rsid w:val="00425580"/>
    <w:rsid w:val="0042603E"/>
    <w:rsid w:val="004267D2"/>
    <w:rsid w:val="004269A5"/>
    <w:rsid w:val="00430242"/>
    <w:rsid w:val="00431054"/>
    <w:rsid w:val="00431418"/>
    <w:rsid w:val="004318BB"/>
    <w:rsid w:val="00432528"/>
    <w:rsid w:val="00432836"/>
    <w:rsid w:val="00432E36"/>
    <w:rsid w:val="00432EB8"/>
    <w:rsid w:val="00433004"/>
    <w:rsid w:val="00434176"/>
    <w:rsid w:val="00434202"/>
    <w:rsid w:val="00434A93"/>
    <w:rsid w:val="00435497"/>
    <w:rsid w:val="00436C46"/>
    <w:rsid w:val="004373D1"/>
    <w:rsid w:val="0043778D"/>
    <w:rsid w:val="00437E68"/>
    <w:rsid w:val="0044083A"/>
    <w:rsid w:val="0044086E"/>
    <w:rsid w:val="00440C15"/>
    <w:rsid w:val="00441FBA"/>
    <w:rsid w:val="00442D99"/>
    <w:rsid w:val="0044457E"/>
    <w:rsid w:val="0044507A"/>
    <w:rsid w:val="004454C2"/>
    <w:rsid w:val="00446040"/>
    <w:rsid w:val="004462C2"/>
    <w:rsid w:val="00447347"/>
    <w:rsid w:val="00447360"/>
    <w:rsid w:val="00447814"/>
    <w:rsid w:val="00447F33"/>
    <w:rsid w:val="00450A27"/>
    <w:rsid w:val="00450DC8"/>
    <w:rsid w:val="0045155B"/>
    <w:rsid w:val="00451EC2"/>
    <w:rsid w:val="00453099"/>
    <w:rsid w:val="00453449"/>
    <w:rsid w:val="00453A86"/>
    <w:rsid w:val="00453F14"/>
    <w:rsid w:val="00453FA7"/>
    <w:rsid w:val="0045514F"/>
    <w:rsid w:val="00455A7D"/>
    <w:rsid w:val="004562D7"/>
    <w:rsid w:val="00456B8D"/>
    <w:rsid w:val="00457DB4"/>
    <w:rsid w:val="00457F44"/>
    <w:rsid w:val="00460ABB"/>
    <w:rsid w:val="00461000"/>
    <w:rsid w:val="00461701"/>
    <w:rsid w:val="00461C15"/>
    <w:rsid w:val="00462305"/>
    <w:rsid w:val="00462853"/>
    <w:rsid w:val="00462ED2"/>
    <w:rsid w:val="004630ED"/>
    <w:rsid w:val="00463357"/>
    <w:rsid w:val="00463368"/>
    <w:rsid w:val="00463A04"/>
    <w:rsid w:val="00464B57"/>
    <w:rsid w:val="00464DAE"/>
    <w:rsid w:val="00464F81"/>
    <w:rsid w:val="00465255"/>
    <w:rsid w:val="00465A13"/>
    <w:rsid w:val="00466849"/>
    <w:rsid w:val="0046685E"/>
    <w:rsid w:val="00467E52"/>
    <w:rsid w:val="004703FB"/>
    <w:rsid w:val="004704D0"/>
    <w:rsid w:val="00470751"/>
    <w:rsid w:val="00470B2E"/>
    <w:rsid w:val="00471210"/>
    <w:rsid w:val="00471489"/>
    <w:rsid w:val="00471BBB"/>
    <w:rsid w:val="00471E28"/>
    <w:rsid w:val="00471E52"/>
    <w:rsid w:val="00472654"/>
    <w:rsid w:val="00473718"/>
    <w:rsid w:val="00473869"/>
    <w:rsid w:val="00473CD8"/>
    <w:rsid w:val="0047410E"/>
    <w:rsid w:val="00474922"/>
    <w:rsid w:val="00474FE5"/>
    <w:rsid w:val="0047572F"/>
    <w:rsid w:val="00475A00"/>
    <w:rsid w:val="00476317"/>
    <w:rsid w:val="00476D4F"/>
    <w:rsid w:val="00477416"/>
    <w:rsid w:val="0048054A"/>
    <w:rsid w:val="00480B56"/>
    <w:rsid w:val="004818E8"/>
    <w:rsid w:val="00482BA6"/>
    <w:rsid w:val="00482C8C"/>
    <w:rsid w:val="00482E44"/>
    <w:rsid w:val="00482F67"/>
    <w:rsid w:val="00483006"/>
    <w:rsid w:val="0048324E"/>
    <w:rsid w:val="004835F1"/>
    <w:rsid w:val="00484326"/>
    <w:rsid w:val="004848DC"/>
    <w:rsid w:val="00484915"/>
    <w:rsid w:val="00484E54"/>
    <w:rsid w:val="004850D7"/>
    <w:rsid w:val="00485961"/>
    <w:rsid w:val="00486648"/>
    <w:rsid w:val="004867EC"/>
    <w:rsid w:val="00486AF3"/>
    <w:rsid w:val="00486E34"/>
    <w:rsid w:val="00487035"/>
    <w:rsid w:val="00487387"/>
    <w:rsid w:val="00487852"/>
    <w:rsid w:val="0049005A"/>
    <w:rsid w:val="00490DED"/>
    <w:rsid w:val="004919FD"/>
    <w:rsid w:val="00492B8E"/>
    <w:rsid w:val="00494083"/>
    <w:rsid w:val="00494E68"/>
    <w:rsid w:val="00495123"/>
    <w:rsid w:val="00495242"/>
    <w:rsid w:val="00496229"/>
    <w:rsid w:val="00496B60"/>
    <w:rsid w:val="00496F8A"/>
    <w:rsid w:val="00497588"/>
    <w:rsid w:val="00497FA1"/>
    <w:rsid w:val="004A000B"/>
    <w:rsid w:val="004A1195"/>
    <w:rsid w:val="004A132C"/>
    <w:rsid w:val="004A1EB7"/>
    <w:rsid w:val="004A1F97"/>
    <w:rsid w:val="004A2DDF"/>
    <w:rsid w:val="004A3034"/>
    <w:rsid w:val="004A370D"/>
    <w:rsid w:val="004A3752"/>
    <w:rsid w:val="004A46C9"/>
    <w:rsid w:val="004A4F53"/>
    <w:rsid w:val="004A5160"/>
    <w:rsid w:val="004A58CD"/>
    <w:rsid w:val="004A5C9B"/>
    <w:rsid w:val="004A5E6A"/>
    <w:rsid w:val="004A6861"/>
    <w:rsid w:val="004A6B4B"/>
    <w:rsid w:val="004A6BC7"/>
    <w:rsid w:val="004A6E21"/>
    <w:rsid w:val="004A7103"/>
    <w:rsid w:val="004A791F"/>
    <w:rsid w:val="004B0648"/>
    <w:rsid w:val="004B2486"/>
    <w:rsid w:val="004B26D9"/>
    <w:rsid w:val="004B2B78"/>
    <w:rsid w:val="004B2BFB"/>
    <w:rsid w:val="004B2C5E"/>
    <w:rsid w:val="004B2FBF"/>
    <w:rsid w:val="004B3264"/>
    <w:rsid w:val="004B32AD"/>
    <w:rsid w:val="004B36BB"/>
    <w:rsid w:val="004B3733"/>
    <w:rsid w:val="004B3D85"/>
    <w:rsid w:val="004B3D9B"/>
    <w:rsid w:val="004B42C6"/>
    <w:rsid w:val="004B6715"/>
    <w:rsid w:val="004B774B"/>
    <w:rsid w:val="004B7DAD"/>
    <w:rsid w:val="004C38A9"/>
    <w:rsid w:val="004C4339"/>
    <w:rsid w:val="004C4629"/>
    <w:rsid w:val="004C494B"/>
    <w:rsid w:val="004C4B71"/>
    <w:rsid w:val="004C4D84"/>
    <w:rsid w:val="004C59F8"/>
    <w:rsid w:val="004C6F48"/>
    <w:rsid w:val="004C6F83"/>
    <w:rsid w:val="004D087E"/>
    <w:rsid w:val="004D1460"/>
    <w:rsid w:val="004D19DB"/>
    <w:rsid w:val="004D1E64"/>
    <w:rsid w:val="004D1E88"/>
    <w:rsid w:val="004D2125"/>
    <w:rsid w:val="004D216E"/>
    <w:rsid w:val="004D21C6"/>
    <w:rsid w:val="004D2328"/>
    <w:rsid w:val="004D3408"/>
    <w:rsid w:val="004D392A"/>
    <w:rsid w:val="004D3A4D"/>
    <w:rsid w:val="004D3CD7"/>
    <w:rsid w:val="004D3D7B"/>
    <w:rsid w:val="004D4364"/>
    <w:rsid w:val="004D4D3A"/>
    <w:rsid w:val="004D5799"/>
    <w:rsid w:val="004D57DE"/>
    <w:rsid w:val="004D58DE"/>
    <w:rsid w:val="004D622F"/>
    <w:rsid w:val="004D63CE"/>
    <w:rsid w:val="004D63E2"/>
    <w:rsid w:val="004D6691"/>
    <w:rsid w:val="004D6AF5"/>
    <w:rsid w:val="004D730C"/>
    <w:rsid w:val="004D73F5"/>
    <w:rsid w:val="004D7552"/>
    <w:rsid w:val="004D7A3E"/>
    <w:rsid w:val="004D7D95"/>
    <w:rsid w:val="004E1A56"/>
    <w:rsid w:val="004E1C68"/>
    <w:rsid w:val="004E2053"/>
    <w:rsid w:val="004E3425"/>
    <w:rsid w:val="004E38F1"/>
    <w:rsid w:val="004E3F30"/>
    <w:rsid w:val="004E46F8"/>
    <w:rsid w:val="004E508F"/>
    <w:rsid w:val="004E50C8"/>
    <w:rsid w:val="004E5880"/>
    <w:rsid w:val="004E5ED9"/>
    <w:rsid w:val="004E653E"/>
    <w:rsid w:val="004E65F5"/>
    <w:rsid w:val="004F0202"/>
    <w:rsid w:val="004F0874"/>
    <w:rsid w:val="004F0D1D"/>
    <w:rsid w:val="004F10CE"/>
    <w:rsid w:val="004F29BF"/>
    <w:rsid w:val="004F2D77"/>
    <w:rsid w:val="004F342C"/>
    <w:rsid w:val="004F353E"/>
    <w:rsid w:val="004F36F8"/>
    <w:rsid w:val="004F3E28"/>
    <w:rsid w:val="004F43A2"/>
    <w:rsid w:val="004F4BBC"/>
    <w:rsid w:val="004F568B"/>
    <w:rsid w:val="004F604D"/>
    <w:rsid w:val="004F61ED"/>
    <w:rsid w:val="004F621F"/>
    <w:rsid w:val="004F6348"/>
    <w:rsid w:val="004F68DA"/>
    <w:rsid w:val="004F6A13"/>
    <w:rsid w:val="004F6E8B"/>
    <w:rsid w:val="004F712F"/>
    <w:rsid w:val="004F7556"/>
    <w:rsid w:val="004F7CE9"/>
    <w:rsid w:val="004F7FD2"/>
    <w:rsid w:val="005005D9"/>
    <w:rsid w:val="00500F80"/>
    <w:rsid w:val="005025E2"/>
    <w:rsid w:val="00502775"/>
    <w:rsid w:val="005029AD"/>
    <w:rsid w:val="00502CB7"/>
    <w:rsid w:val="00502EAE"/>
    <w:rsid w:val="00503A1B"/>
    <w:rsid w:val="0050420D"/>
    <w:rsid w:val="0050500F"/>
    <w:rsid w:val="00505208"/>
    <w:rsid w:val="00505279"/>
    <w:rsid w:val="005052CF"/>
    <w:rsid w:val="005056B0"/>
    <w:rsid w:val="005056D6"/>
    <w:rsid w:val="005058FD"/>
    <w:rsid w:val="005063E1"/>
    <w:rsid w:val="00506703"/>
    <w:rsid w:val="00507CC5"/>
    <w:rsid w:val="005102C1"/>
    <w:rsid w:val="00510584"/>
    <w:rsid w:val="005112CE"/>
    <w:rsid w:val="00511A2E"/>
    <w:rsid w:val="00511B9B"/>
    <w:rsid w:val="005127DF"/>
    <w:rsid w:val="00513394"/>
    <w:rsid w:val="00513875"/>
    <w:rsid w:val="00513CED"/>
    <w:rsid w:val="005140E6"/>
    <w:rsid w:val="00514261"/>
    <w:rsid w:val="005143DC"/>
    <w:rsid w:val="005148AD"/>
    <w:rsid w:val="005152E1"/>
    <w:rsid w:val="00515692"/>
    <w:rsid w:val="00515F04"/>
    <w:rsid w:val="00516B2E"/>
    <w:rsid w:val="00516BBB"/>
    <w:rsid w:val="005176F8"/>
    <w:rsid w:val="0051782F"/>
    <w:rsid w:val="005218C1"/>
    <w:rsid w:val="0052240B"/>
    <w:rsid w:val="00523324"/>
    <w:rsid w:val="00523337"/>
    <w:rsid w:val="0052376A"/>
    <w:rsid w:val="00523D04"/>
    <w:rsid w:val="00523E83"/>
    <w:rsid w:val="00524863"/>
    <w:rsid w:val="005248BB"/>
    <w:rsid w:val="00524C0F"/>
    <w:rsid w:val="005257A7"/>
    <w:rsid w:val="00526217"/>
    <w:rsid w:val="00526803"/>
    <w:rsid w:val="005271D9"/>
    <w:rsid w:val="005272B9"/>
    <w:rsid w:val="005308A5"/>
    <w:rsid w:val="00531040"/>
    <w:rsid w:val="005314E9"/>
    <w:rsid w:val="005315D7"/>
    <w:rsid w:val="00531723"/>
    <w:rsid w:val="005318A7"/>
    <w:rsid w:val="005319B6"/>
    <w:rsid w:val="0053275E"/>
    <w:rsid w:val="0053280C"/>
    <w:rsid w:val="00533865"/>
    <w:rsid w:val="00533BD6"/>
    <w:rsid w:val="0053605C"/>
    <w:rsid w:val="00536ACA"/>
    <w:rsid w:val="00536CF5"/>
    <w:rsid w:val="00536FA6"/>
    <w:rsid w:val="00537604"/>
    <w:rsid w:val="00537987"/>
    <w:rsid w:val="00537C89"/>
    <w:rsid w:val="0054018F"/>
    <w:rsid w:val="00540471"/>
    <w:rsid w:val="00540D64"/>
    <w:rsid w:val="005417C2"/>
    <w:rsid w:val="00541811"/>
    <w:rsid w:val="005419CA"/>
    <w:rsid w:val="00541EF9"/>
    <w:rsid w:val="00542267"/>
    <w:rsid w:val="005426B1"/>
    <w:rsid w:val="0054311C"/>
    <w:rsid w:val="0054312B"/>
    <w:rsid w:val="005431CF"/>
    <w:rsid w:val="00543D0A"/>
    <w:rsid w:val="00545230"/>
    <w:rsid w:val="005454F3"/>
    <w:rsid w:val="005455E5"/>
    <w:rsid w:val="00545B00"/>
    <w:rsid w:val="0054681B"/>
    <w:rsid w:val="00547320"/>
    <w:rsid w:val="0054779A"/>
    <w:rsid w:val="00547BA1"/>
    <w:rsid w:val="00547FCF"/>
    <w:rsid w:val="0055029D"/>
    <w:rsid w:val="005502EB"/>
    <w:rsid w:val="00551744"/>
    <w:rsid w:val="005532F4"/>
    <w:rsid w:val="00553842"/>
    <w:rsid w:val="00555239"/>
    <w:rsid w:val="00556101"/>
    <w:rsid w:val="005564F2"/>
    <w:rsid w:val="005566A9"/>
    <w:rsid w:val="00556C56"/>
    <w:rsid w:val="00557BAC"/>
    <w:rsid w:val="00557CB1"/>
    <w:rsid w:val="00557D63"/>
    <w:rsid w:val="00560066"/>
    <w:rsid w:val="005604A4"/>
    <w:rsid w:val="0056054C"/>
    <w:rsid w:val="0056090B"/>
    <w:rsid w:val="0056091E"/>
    <w:rsid w:val="00561031"/>
    <w:rsid w:val="00561371"/>
    <w:rsid w:val="00561592"/>
    <w:rsid w:val="0056172D"/>
    <w:rsid w:val="0056202D"/>
    <w:rsid w:val="0056208F"/>
    <w:rsid w:val="00562619"/>
    <w:rsid w:val="005635F3"/>
    <w:rsid w:val="0056384F"/>
    <w:rsid w:val="00563CB5"/>
    <w:rsid w:val="00563D93"/>
    <w:rsid w:val="00563F37"/>
    <w:rsid w:val="00563FBC"/>
    <w:rsid w:val="0056407F"/>
    <w:rsid w:val="0056411C"/>
    <w:rsid w:val="005651CF"/>
    <w:rsid w:val="00565B4C"/>
    <w:rsid w:val="00566056"/>
    <w:rsid w:val="005663FF"/>
    <w:rsid w:val="00566FB2"/>
    <w:rsid w:val="005673C9"/>
    <w:rsid w:val="00567517"/>
    <w:rsid w:val="005677E5"/>
    <w:rsid w:val="00570779"/>
    <w:rsid w:val="00570D24"/>
    <w:rsid w:val="00571379"/>
    <w:rsid w:val="005714FF"/>
    <w:rsid w:val="005715AD"/>
    <w:rsid w:val="005721A8"/>
    <w:rsid w:val="00572CB1"/>
    <w:rsid w:val="00573FBB"/>
    <w:rsid w:val="00574996"/>
    <w:rsid w:val="00574C1A"/>
    <w:rsid w:val="00575CE7"/>
    <w:rsid w:val="005764DF"/>
    <w:rsid w:val="00576595"/>
    <w:rsid w:val="00576870"/>
    <w:rsid w:val="00577303"/>
    <w:rsid w:val="005774D0"/>
    <w:rsid w:val="00577BDD"/>
    <w:rsid w:val="00580082"/>
    <w:rsid w:val="00580EEB"/>
    <w:rsid w:val="00580FCF"/>
    <w:rsid w:val="00581675"/>
    <w:rsid w:val="00581CC5"/>
    <w:rsid w:val="00581D1A"/>
    <w:rsid w:val="00583673"/>
    <w:rsid w:val="00583B90"/>
    <w:rsid w:val="00583D08"/>
    <w:rsid w:val="00584360"/>
    <w:rsid w:val="00584928"/>
    <w:rsid w:val="00584D80"/>
    <w:rsid w:val="00585298"/>
    <w:rsid w:val="005858BE"/>
    <w:rsid w:val="00585FA1"/>
    <w:rsid w:val="005865EA"/>
    <w:rsid w:val="005867D9"/>
    <w:rsid w:val="00586C78"/>
    <w:rsid w:val="00587278"/>
    <w:rsid w:val="00587991"/>
    <w:rsid w:val="00587BE7"/>
    <w:rsid w:val="00587BEE"/>
    <w:rsid w:val="00587CBC"/>
    <w:rsid w:val="0059010C"/>
    <w:rsid w:val="00590AAA"/>
    <w:rsid w:val="00593344"/>
    <w:rsid w:val="00595016"/>
    <w:rsid w:val="005954EF"/>
    <w:rsid w:val="0059550F"/>
    <w:rsid w:val="00595791"/>
    <w:rsid w:val="00595DF1"/>
    <w:rsid w:val="00596524"/>
    <w:rsid w:val="005970A7"/>
    <w:rsid w:val="0059783B"/>
    <w:rsid w:val="00597D35"/>
    <w:rsid w:val="005A010C"/>
    <w:rsid w:val="005A01D6"/>
    <w:rsid w:val="005A0869"/>
    <w:rsid w:val="005A1138"/>
    <w:rsid w:val="005A1A6D"/>
    <w:rsid w:val="005A2455"/>
    <w:rsid w:val="005A3034"/>
    <w:rsid w:val="005A320E"/>
    <w:rsid w:val="005A3630"/>
    <w:rsid w:val="005A40B0"/>
    <w:rsid w:val="005A445A"/>
    <w:rsid w:val="005A4A36"/>
    <w:rsid w:val="005A4E22"/>
    <w:rsid w:val="005A4FBE"/>
    <w:rsid w:val="005A50C7"/>
    <w:rsid w:val="005A5183"/>
    <w:rsid w:val="005A51E7"/>
    <w:rsid w:val="005A5249"/>
    <w:rsid w:val="005A55AE"/>
    <w:rsid w:val="005A605C"/>
    <w:rsid w:val="005A6D6D"/>
    <w:rsid w:val="005A6DC0"/>
    <w:rsid w:val="005A71FD"/>
    <w:rsid w:val="005A7264"/>
    <w:rsid w:val="005A7D3D"/>
    <w:rsid w:val="005A7FFE"/>
    <w:rsid w:val="005B0031"/>
    <w:rsid w:val="005B0148"/>
    <w:rsid w:val="005B064C"/>
    <w:rsid w:val="005B1601"/>
    <w:rsid w:val="005B1941"/>
    <w:rsid w:val="005B1BC0"/>
    <w:rsid w:val="005B20E0"/>
    <w:rsid w:val="005B2685"/>
    <w:rsid w:val="005B271E"/>
    <w:rsid w:val="005B4CFC"/>
    <w:rsid w:val="005B58B0"/>
    <w:rsid w:val="005B5C65"/>
    <w:rsid w:val="005B646F"/>
    <w:rsid w:val="005B6C46"/>
    <w:rsid w:val="005C000D"/>
    <w:rsid w:val="005C0298"/>
    <w:rsid w:val="005C0351"/>
    <w:rsid w:val="005C0709"/>
    <w:rsid w:val="005C0769"/>
    <w:rsid w:val="005C148C"/>
    <w:rsid w:val="005C1621"/>
    <w:rsid w:val="005C1D82"/>
    <w:rsid w:val="005C299F"/>
    <w:rsid w:val="005C2B00"/>
    <w:rsid w:val="005C33B5"/>
    <w:rsid w:val="005C33F1"/>
    <w:rsid w:val="005C360A"/>
    <w:rsid w:val="005C4016"/>
    <w:rsid w:val="005C553F"/>
    <w:rsid w:val="005C5540"/>
    <w:rsid w:val="005C5572"/>
    <w:rsid w:val="005C64F2"/>
    <w:rsid w:val="005C78C3"/>
    <w:rsid w:val="005C7A55"/>
    <w:rsid w:val="005D0F87"/>
    <w:rsid w:val="005D16AA"/>
    <w:rsid w:val="005D1B96"/>
    <w:rsid w:val="005D1D28"/>
    <w:rsid w:val="005D221C"/>
    <w:rsid w:val="005D259D"/>
    <w:rsid w:val="005D2A43"/>
    <w:rsid w:val="005D2EDA"/>
    <w:rsid w:val="005D4AB3"/>
    <w:rsid w:val="005D6011"/>
    <w:rsid w:val="005D6030"/>
    <w:rsid w:val="005D6EA0"/>
    <w:rsid w:val="005D7937"/>
    <w:rsid w:val="005D7FD1"/>
    <w:rsid w:val="005D7FE3"/>
    <w:rsid w:val="005E007E"/>
    <w:rsid w:val="005E0A8B"/>
    <w:rsid w:val="005E115A"/>
    <w:rsid w:val="005E1177"/>
    <w:rsid w:val="005E1247"/>
    <w:rsid w:val="005E1802"/>
    <w:rsid w:val="005E221A"/>
    <w:rsid w:val="005E23CA"/>
    <w:rsid w:val="005E298B"/>
    <w:rsid w:val="005E34C0"/>
    <w:rsid w:val="005E3516"/>
    <w:rsid w:val="005E390B"/>
    <w:rsid w:val="005E3D02"/>
    <w:rsid w:val="005E3E50"/>
    <w:rsid w:val="005E432B"/>
    <w:rsid w:val="005E4678"/>
    <w:rsid w:val="005E4DC2"/>
    <w:rsid w:val="005E4E64"/>
    <w:rsid w:val="005E612F"/>
    <w:rsid w:val="005E61F5"/>
    <w:rsid w:val="005E6EA3"/>
    <w:rsid w:val="005E751E"/>
    <w:rsid w:val="005E7B36"/>
    <w:rsid w:val="005E7D05"/>
    <w:rsid w:val="005F02E6"/>
    <w:rsid w:val="005F039B"/>
    <w:rsid w:val="005F0DD7"/>
    <w:rsid w:val="005F10F1"/>
    <w:rsid w:val="005F1911"/>
    <w:rsid w:val="005F2CBA"/>
    <w:rsid w:val="005F3216"/>
    <w:rsid w:val="005F3679"/>
    <w:rsid w:val="005F4DFE"/>
    <w:rsid w:val="005F4EF9"/>
    <w:rsid w:val="005F5DB1"/>
    <w:rsid w:val="005F663E"/>
    <w:rsid w:val="005F6A21"/>
    <w:rsid w:val="005F6CA7"/>
    <w:rsid w:val="005F728E"/>
    <w:rsid w:val="005F7E14"/>
    <w:rsid w:val="005F7F25"/>
    <w:rsid w:val="00600FEB"/>
    <w:rsid w:val="0060109B"/>
    <w:rsid w:val="006015AE"/>
    <w:rsid w:val="006017B1"/>
    <w:rsid w:val="0060229C"/>
    <w:rsid w:val="00602370"/>
    <w:rsid w:val="00602614"/>
    <w:rsid w:val="0060399D"/>
    <w:rsid w:val="00603DC4"/>
    <w:rsid w:val="006048FC"/>
    <w:rsid w:val="006049CF"/>
    <w:rsid w:val="006051B9"/>
    <w:rsid w:val="006052CE"/>
    <w:rsid w:val="006053D9"/>
    <w:rsid w:val="00606238"/>
    <w:rsid w:val="0060685F"/>
    <w:rsid w:val="00606A1C"/>
    <w:rsid w:val="00607066"/>
    <w:rsid w:val="00607197"/>
    <w:rsid w:val="00607A16"/>
    <w:rsid w:val="006109F8"/>
    <w:rsid w:val="006114BF"/>
    <w:rsid w:val="006123D4"/>
    <w:rsid w:val="00613295"/>
    <w:rsid w:val="006136F7"/>
    <w:rsid w:val="00613A41"/>
    <w:rsid w:val="00614083"/>
    <w:rsid w:val="006147EA"/>
    <w:rsid w:val="006157AA"/>
    <w:rsid w:val="00616FEE"/>
    <w:rsid w:val="00617A32"/>
    <w:rsid w:val="00617E09"/>
    <w:rsid w:val="00617EB7"/>
    <w:rsid w:val="00617ECE"/>
    <w:rsid w:val="00617F78"/>
    <w:rsid w:val="00620859"/>
    <w:rsid w:val="00620C8E"/>
    <w:rsid w:val="00620D01"/>
    <w:rsid w:val="00621CDA"/>
    <w:rsid w:val="00622A28"/>
    <w:rsid w:val="00623075"/>
    <w:rsid w:val="00623910"/>
    <w:rsid w:val="00623B98"/>
    <w:rsid w:val="00623ED6"/>
    <w:rsid w:val="006244E3"/>
    <w:rsid w:val="00624A27"/>
    <w:rsid w:val="00624B5E"/>
    <w:rsid w:val="00624D74"/>
    <w:rsid w:val="00625AFE"/>
    <w:rsid w:val="0062716D"/>
    <w:rsid w:val="00627884"/>
    <w:rsid w:val="00627AF2"/>
    <w:rsid w:val="00627BBE"/>
    <w:rsid w:val="00630304"/>
    <w:rsid w:val="00630582"/>
    <w:rsid w:val="006305B2"/>
    <w:rsid w:val="00630C83"/>
    <w:rsid w:val="0063154D"/>
    <w:rsid w:val="00631825"/>
    <w:rsid w:val="00631A43"/>
    <w:rsid w:val="00631E25"/>
    <w:rsid w:val="00632640"/>
    <w:rsid w:val="00632A61"/>
    <w:rsid w:val="00632F45"/>
    <w:rsid w:val="00632F94"/>
    <w:rsid w:val="0063343B"/>
    <w:rsid w:val="00633B28"/>
    <w:rsid w:val="00633D39"/>
    <w:rsid w:val="0063462A"/>
    <w:rsid w:val="00634642"/>
    <w:rsid w:val="00634AD7"/>
    <w:rsid w:val="0063555A"/>
    <w:rsid w:val="00635DC1"/>
    <w:rsid w:val="0063632F"/>
    <w:rsid w:val="00636E71"/>
    <w:rsid w:val="00637160"/>
    <w:rsid w:val="0063756F"/>
    <w:rsid w:val="00640DAC"/>
    <w:rsid w:val="0064237E"/>
    <w:rsid w:val="006456D4"/>
    <w:rsid w:val="00646C50"/>
    <w:rsid w:val="006500F0"/>
    <w:rsid w:val="00650269"/>
    <w:rsid w:val="0065066B"/>
    <w:rsid w:val="00650BA0"/>
    <w:rsid w:val="00650C56"/>
    <w:rsid w:val="00650F84"/>
    <w:rsid w:val="00652143"/>
    <w:rsid w:val="00652596"/>
    <w:rsid w:val="00652858"/>
    <w:rsid w:val="006537B6"/>
    <w:rsid w:val="00654A05"/>
    <w:rsid w:val="00654A95"/>
    <w:rsid w:val="00654E55"/>
    <w:rsid w:val="006558DC"/>
    <w:rsid w:val="00656169"/>
    <w:rsid w:val="00656248"/>
    <w:rsid w:val="006565AD"/>
    <w:rsid w:val="00656752"/>
    <w:rsid w:val="00656B27"/>
    <w:rsid w:val="00656CAF"/>
    <w:rsid w:val="00657762"/>
    <w:rsid w:val="006578D9"/>
    <w:rsid w:val="00657F8B"/>
    <w:rsid w:val="006602D5"/>
    <w:rsid w:val="00660401"/>
    <w:rsid w:val="00660557"/>
    <w:rsid w:val="006606F7"/>
    <w:rsid w:val="006618FC"/>
    <w:rsid w:val="006629E5"/>
    <w:rsid w:val="00663287"/>
    <w:rsid w:val="0066353B"/>
    <w:rsid w:val="00663D00"/>
    <w:rsid w:val="00663D68"/>
    <w:rsid w:val="00663E86"/>
    <w:rsid w:val="00664782"/>
    <w:rsid w:val="00665434"/>
    <w:rsid w:val="006658E9"/>
    <w:rsid w:val="006658FD"/>
    <w:rsid w:val="00665A74"/>
    <w:rsid w:val="00665F99"/>
    <w:rsid w:val="006661F1"/>
    <w:rsid w:val="00667E39"/>
    <w:rsid w:val="006701BF"/>
    <w:rsid w:val="00671159"/>
    <w:rsid w:val="00671A26"/>
    <w:rsid w:val="00671B7E"/>
    <w:rsid w:val="00671F39"/>
    <w:rsid w:val="00672545"/>
    <w:rsid w:val="0067296E"/>
    <w:rsid w:val="00672C2E"/>
    <w:rsid w:val="00673FD2"/>
    <w:rsid w:val="00674D28"/>
    <w:rsid w:val="006759B3"/>
    <w:rsid w:val="00675BC8"/>
    <w:rsid w:val="00675F83"/>
    <w:rsid w:val="006767BC"/>
    <w:rsid w:val="006770CF"/>
    <w:rsid w:val="006807BD"/>
    <w:rsid w:val="00680A3C"/>
    <w:rsid w:val="00681827"/>
    <w:rsid w:val="00681D75"/>
    <w:rsid w:val="00682351"/>
    <w:rsid w:val="0068242E"/>
    <w:rsid w:val="00683034"/>
    <w:rsid w:val="00683206"/>
    <w:rsid w:val="00683360"/>
    <w:rsid w:val="00683A84"/>
    <w:rsid w:val="00683DC0"/>
    <w:rsid w:val="0068403D"/>
    <w:rsid w:val="006848E7"/>
    <w:rsid w:val="00684BAF"/>
    <w:rsid w:val="00686C5F"/>
    <w:rsid w:val="00687D90"/>
    <w:rsid w:val="0069011E"/>
    <w:rsid w:val="0069024F"/>
    <w:rsid w:val="006904AF"/>
    <w:rsid w:val="006912A3"/>
    <w:rsid w:val="00693621"/>
    <w:rsid w:val="006936EC"/>
    <w:rsid w:val="00693AFC"/>
    <w:rsid w:val="00694DF9"/>
    <w:rsid w:val="0069548F"/>
    <w:rsid w:val="00695C5F"/>
    <w:rsid w:val="00695CBE"/>
    <w:rsid w:val="00695E53"/>
    <w:rsid w:val="00696BE5"/>
    <w:rsid w:val="00696C25"/>
    <w:rsid w:val="00696EBB"/>
    <w:rsid w:val="00697424"/>
    <w:rsid w:val="006A02B9"/>
    <w:rsid w:val="006A04C9"/>
    <w:rsid w:val="006A18E7"/>
    <w:rsid w:val="006A1F10"/>
    <w:rsid w:val="006A366C"/>
    <w:rsid w:val="006A48EE"/>
    <w:rsid w:val="006A49A0"/>
    <w:rsid w:val="006A4D4E"/>
    <w:rsid w:val="006A57BE"/>
    <w:rsid w:val="006A6077"/>
    <w:rsid w:val="006A714C"/>
    <w:rsid w:val="006A77DD"/>
    <w:rsid w:val="006A7BD3"/>
    <w:rsid w:val="006A7C0B"/>
    <w:rsid w:val="006B0140"/>
    <w:rsid w:val="006B0DBC"/>
    <w:rsid w:val="006B28D3"/>
    <w:rsid w:val="006B2C65"/>
    <w:rsid w:val="006B4572"/>
    <w:rsid w:val="006B4887"/>
    <w:rsid w:val="006B48C7"/>
    <w:rsid w:val="006B4A2A"/>
    <w:rsid w:val="006B591B"/>
    <w:rsid w:val="006B5C3D"/>
    <w:rsid w:val="006B60C7"/>
    <w:rsid w:val="006B630A"/>
    <w:rsid w:val="006B681F"/>
    <w:rsid w:val="006B6EAC"/>
    <w:rsid w:val="006C0F32"/>
    <w:rsid w:val="006C1577"/>
    <w:rsid w:val="006C2058"/>
    <w:rsid w:val="006C2253"/>
    <w:rsid w:val="006C2362"/>
    <w:rsid w:val="006C31D9"/>
    <w:rsid w:val="006C39F8"/>
    <w:rsid w:val="006C4DDA"/>
    <w:rsid w:val="006C5ACD"/>
    <w:rsid w:val="006C5CDC"/>
    <w:rsid w:val="006C6300"/>
    <w:rsid w:val="006C64D3"/>
    <w:rsid w:val="006C7023"/>
    <w:rsid w:val="006C7722"/>
    <w:rsid w:val="006C7A99"/>
    <w:rsid w:val="006C7C50"/>
    <w:rsid w:val="006C7C67"/>
    <w:rsid w:val="006D0474"/>
    <w:rsid w:val="006D09FD"/>
    <w:rsid w:val="006D1544"/>
    <w:rsid w:val="006D190A"/>
    <w:rsid w:val="006D19D9"/>
    <w:rsid w:val="006D19FA"/>
    <w:rsid w:val="006D2CE9"/>
    <w:rsid w:val="006D2FCA"/>
    <w:rsid w:val="006D31B2"/>
    <w:rsid w:val="006D36B7"/>
    <w:rsid w:val="006D3A49"/>
    <w:rsid w:val="006D401F"/>
    <w:rsid w:val="006D4130"/>
    <w:rsid w:val="006D46CF"/>
    <w:rsid w:val="006D4D6E"/>
    <w:rsid w:val="006D55C5"/>
    <w:rsid w:val="006D7BA4"/>
    <w:rsid w:val="006E0E32"/>
    <w:rsid w:val="006E16F1"/>
    <w:rsid w:val="006E1804"/>
    <w:rsid w:val="006E256C"/>
    <w:rsid w:val="006E359B"/>
    <w:rsid w:val="006E5FBF"/>
    <w:rsid w:val="006E613B"/>
    <w:rsid w:val="006E63ED"/>
    <w:rsid w:val="006E66F2"/>
    <w:rsid w:val="006E7540"/>
    <w:rsid w:val="006E75BF"/>
    <w:rsid w:val="006E770C"/>
    <w:rsid w:val="006E7AFB"/>
    <w:rsid w:val="006F06AF"/>
    <w:rsid w:val="006F0839"/>
    <w:rsid w:val="006F09B5"/>
    <w:rsid w:val="006F1349"/>
    <w:rsid w:val="006F201F"/>
    <w:rsid w:val="006F259B"/>
    <w:rsid w:val="006F2C03"/>
    <w:rsid w:val="006F313E"/>
    <w:rsid w:val="006F483C"/>
    <w:rsid w:val="006F48B3"/>
    <w:rsid w:val="006F48B8"/>
    <w:rsid w:val="006F520F"/>
    <w:rsid w:val="006F553C"/>
    <w:rsid w:val="006F5924"/>
    <w:rsid w:val="006F5F5D"/>
    <w:rsid w:val="006F6258"/>
    <w:rsid w:val="006F63A2"/>
    <w:rsid w:val="006F65E1"/>
    <w:rsid w:val="006F78BB"/>
    <w:rsid w:val="006F7BC8"/>
    <w:rsid w:val="006F7C91"/>
    <w:rsid w:val="006F7F8E"/>
    <w:rsid w:val="007000CD"/>
    <w:rsid w:val="00701552"/>
    <w:rsid w:val="00701F93"/>
    <w:rsid w:val="0070215C"/>
    <w:rsid w:val="00703691"/>
    <w:rsid w:val="00703BA8"/>
    <w:rsid w:val="00704FDE"/>
    <w:rsid w:val="0070505C"/>
    <w:rsid w:val="00705448"/>
    <w:rsid w:val="0070629E"/>
    <w:rsid w:val="00707659"/>
    <w:rsid w:val="00707820"/>
    <w:rsid w:val="00710B63"/>
    <w:rsid w:val="00710C5D"/>
    <w:rsid w:val="00711000"/>
    <w:rsid w:val="007114E3"/>
    <w:rsid w:val="0071172E"/>
    <w:rsid w:val="00711F6F"/>
    <w:rsid w:val="00712221"/>
    <w:rsid w:val="007122EC"/>
    <w:rsid w:val="007125F5"/>
    <w:rsid w:val="00712E8F"/>
    <w:rsid w:val="007133BF"/>
    <w:rsid w:val="00713973"/>
    <w:rsid w:val="00713E7B"/>
    <w:rsid w:val="00714504"/>
    <w:rsid w:val="007147B0"/>
    <w:rsid w:val="00714F34"/>
    <w:rsid w:val="00715871"/>
    <w:rsid w:val="00716068"/>
    <w:rsid w:val="00716510"/>
    <w:rsid w:val="00716A1A"/>
    <w:rsid w:val="00716DD7"/>
    <w:rsid w:val="00717004"/>
    <w:rsid w:val="0071742A"/>
    <w:rsid w:val="0071783F"/>
    <w:rsid w:val="007209B1"/>
    <w:rsid w:val="00720DE6"/>
    <w:rsid w:val="00721296"/>
    <w:rsid w:val="00721554"/>
    <w:rsid w:val="00721824"/>
    <w:rsid w:val="00722060"/>
    <w:rsid w:val="0072215C"/>
    <w:rsid w:val="0072246F"/>
    <w:rsid w:val="00722FD7"/>
    <w:rsid w:val="00723ADE"/>
    <w:rsid w:val="00723E03"/>
    <w:rsid w:val="0072405D"/>
    <w:rsid w:val="00724814"/>
    <w:rsid w:val="00724C84"/>
    <w:rsid w:val="00724F7B"/>
    <w:rsid w:val="007252D0"/>
    <w:rsid w:val="00725558"/>
    <w:rsid w:val="00725937"/>
    <w:rsid w:val="00725D8D"/>
    <w:rsid w:val="007266D0"/>
    <w:rsid w:val="0072743C"/>
    <w:rsid w:val="00727E81"/>
    <w:rsid w:val="00730E8F"/>
    <w:rsid w:val="0073163A"/>
    <w:rsid w:val="00731C6C"/>
    <w:rsid w:val="00731D3D"/>
    <w:rsid w:val="00731D48"/>
    <w:rsid w:val="00733592"/>
    <w:rsid w:val="007336BE"/>
    <w:rsid w:val="00733E6E"/>
    <w:rsid w:val="00733F64"/>
    <w:rsid w:val="007343F4"/>
    <w:rsid w:val="00734484"/>
    <w:rsid w:val="00734712"/>
    <w:rsid w:val="00736378"/>
    <w:rsid w:val="00736B40"/>
    <w:rsid w:val="007372B4"/>
    <w:rsid w:val="0073768A"/>
    <w:rsid w:val="00737796"/>
    <w:rsid w:val="0073786E"/>
    <w:rsid w:val="007404E6"/>
    <w:rsid w:val="00740EBD"/>
    <w:rsid w:val="0074109C"/>
    <w:rsid w:val="0074127C"/>
    <w:rsid w:val="00741D09"/>
    <w:rsid w:val="00742076"/>
    <w:rsid w:val="0074220D"/>
    <w:rsid w:val="00743A7F"/>
    <w:rsid w:val="0074422E"/>
    <w:rsid w:val="0074427D"/>
    <w:rsid w:val="0074448F"/>
    <w:rsid w:val="007449F1"/>
    <w:rsid w:val="00744EF7"/>
    <w:rsid w:val="00745136"/>
    <w:rsid w:val="00745A15"/>
    <w:rsid w:val="00745C63"/>
    <w:rsid w:val="00745DD2"/>
    <w:rsid w:val="00746787"/>
    <w:rsid w:val="0074680B"/>
    <w:rsid w:val="007469CB"/>
    <w:rsid w:val="00746BDA"/>
    <w:rsid w:val="00746D83"/>
    <w:rsid w:val="00746DDC"/>
    <w:rsid w:val="0074734A"/>
    <w:rsid w:val="00747702"/>
    <w:rsid w:val="00747CC0"/>
    <w:rsid w:val="00747E6F"/>
    <w:rsid w:val="00750263"/>
    <w:rsid w:val="00750CA0"/>
    <w:rsid w:val="00751354"/>
    <w:rsid w:val="00751B38"/>
    <w:rsid w:val="00751D52"/>
    <w:rsid w:val="00751EFD"/>
    <w:rsid w:val="007521C6"/>
    <w:rsid w:val="007522D2"/>
    <w:rsid w:val="00752D0A"/>
    <w:rsid w:val="00752EDA"/>
    <w:rsid w:val="0075494F"/>
    <w:rsid w:val="00754B63"/>
    <w:rsid w:val="0075540A"/>
    <w:rsid w:val="00755883"/>
    <w:rsid w:val="00756909"/>
    <w:rsid w:val="00756F1D"/>
    <w:rsid w:val="007602D0"/>
    <w:rsid w:val="00760D10"/>
    <w:rsid w:val="00760DBA"/>
    <w:rsid w:val="00761143"/>
    <w:rsid w:val="007617BF"/>
    <w:rsid w:val="00762108"/>
    <w:rsid w:val="00763D25"/>
    <w:rsid w:val="007642A5"/>
    <w:rsid w:val="0076443A"/>
    <w:rsid w:val="00764BB9"/>
    <w:rsid w:val="007651C8"/>
    <w:rsid w:val="00765C1A"/>
    <w:rsid w:val="00766A87"/>
    <w:rsid w:val="00767642"/>
    <w:rsid w:val="00767FBC"/>
    <w:rsid w:val="00770268"/>
    <w:rsid w:val="00770BAA"/>
    <w:rsid w:val="00770E38"/>
    <w:rsid w:val="00770ECB"/>
    <w:rsid w:val="00771AB3"/>
    <w:rsid w:val="00771D11"/>
    <w:rsid w:val="0077247A"/>
    <w:rsid w:val="0077349C"/>
    <w:rsid w:val="00773DAD"/>
    <w:rsid w:val="00773E5E"/>
    <w:rsid w:val="00774ECA"/>
    <w:rsid w:val="0077516D"/>
    <w:rsid w:val="007751DE"/>
    <w:rsid w:val="00775270"/>
    <w:rsid w:val="00776033"/>
    <w:rsid w:val="007763A6"/>
    <w:rsid w:val="0077693A"/>
    <w:rsid w:val="00776A3C"/>
    <w:rsid w:val="00777979"/>
    <w:rsid w:val="007801CA"/>
    <w:rsid w:val="00780E42"/>
    <w:rsid w:val="0078133D"/>
    <w:rsid w:val="00781391"/>
    <w:rsid w:val="00781D78"/>
    <w:rsid w:val="00781E34"/>
    <w:rsid w:val="0078202E"/>
    <w:rsid w:val="00782090"/>
    <w:rsid w:val="00782402"/>
    <w:rsid w:val="00782B83"/>
    <w:rsid w:val="00782C75"/>
    <w:rsid w:val="00783117"/>
    <w:rsid w:val="007835B3"/>
    <w:rsid w:val="0078387A"/>
    <w:rsid w:val="0078387C"/>
    <w:rsid w:val="00783DA6"/>
    <w:rsid w:val="00784CC2"/>
    <w:rsid w:val="00784CE7"/>
    <w:rsid w:val="00785109"/>
    <w:rsid w:val="0078512A"/>
    <w:rsid w:val="00785785"/>
    <w:rsid w:val="007867FD"/>
    <w:rsid w:val="0078715A"/>
    <w:rsid w:val="00787983"/>
    <w:rsid w:val="00787DEA"/>
    <w:rsid w:val="00787FDA"/>
    <w:rsid w:val="00790782"/>
    <w:rsid w:val="007910BF"/>
    <w:rsid w:val="00791193"/>
    <w:rsid w:val="00791206"/>
    <w:rsid w:val="007916AF"/>
    <w:rsid w:val="00791AA9"/>
    <w:rsid w:val="00791DED"/>
    <w:rsid w:val="00791DEE"/>
    <w:rsid w:val="00792AA8"/>
    <w:rsid w:val="007932D6"/>
    <w:rsid w:val="00793AAE"/>
    <w:rsid w:val="00794697"/>
    <w:rsid w:val="00794972"/>
    <w:rsid w:val="00795296"/>
    <w:rsid w:val="00795D63"/>
    <w:rsid w:val="00796EE7"/>
    <w:rsid w:val="00797022"/>
    <w:rsid w:val="007975D0"/>
    <w:rsid w:val="00797C37"/>
    <w:rsid w:val="00797FD8"/>
    <w:rsid w:val="007A0080"/>
    <w:rsid w:val="007A0FF3"/>
    <w:rsid w:val="007A1254"/>
    <w:rsid w:val="007A135D"/>
    <w:rsid w:val="007A1604"/>
    <w:rsid w:val="007A1AA6"/>
    <w:rsid w:val="007A1D06"/>
    <w:rsid w:val="007A2F73"/>
    <w:rsid w:val="007A3ABE"/>
    <w:rsid w:val="007A43F2"/>
    <w:rsid w:val="007A481B"/>
    <w:rsid w:val="007A4CB0"/>
    <w:rsid w:val="007A5480"/>
    <w:rsid w:val="007A5853"/>
    <w:rsid w:val="007A5B52"/>
    <w:rsid w:val="007A615B"/>
    <w:rsid w:val="007A62C3"/>
    <w:rsid w:val="007A6554"/>
    <w:rsid w:val="007A681F"/>
    <w:rsid w:val="007A7154"/>
    <w:rsid w:val="007A7516"/>
    <w:rsid w:val="007B1355"/>
    <w:rsid w:val="007B187D"/>
    <w:rsid w:val="007B1BFC"/>
    <w:rsid w:val="007B1EC5"/>
    <w:rsid w:val="007B24C1"/>
    <w:rsid w:val="007B2549"/>
    <w:rsid w:val="007B2D5D"/>
    <w:rsid w:val="007B31DF"/>
    <w:rsid w:val="007B332A"/>
    <w:rsid w:val="007B3A89"/>
    <w:rsid w:val="007B3BA8"/>
    <w:rsid w:val="007B4102"/>
    <w:rsid w:val="007B48F7"/>
    <w:rsid w:val="007B5884"/>
    <w:rsid w:val="007B5A1E"/>
    <w:rsid w:val="007B5B61"/>
    <w:rsid w:val="007B651A"/>
    <w:rsid w:val="007B6648"/>
    <w:rsid w:val="007B6669"/>
    <w:rsid w:val="007B68B6"/>
    <w:rsid w:val="007B7C48"/>
    <w:rsid w:val="007C14A5"/>
    <w:rsid w:val="007C1D5C"/>
    <w:rsid w:val="007C291A"/>
    <w:rsid w:val="007C2A21"/>
    <w:rsid w:val="007C2B4D"/>
    <w:rsid w:val="007C311B"/>
    <w:rsid w:val="007C35EF"/>
    <w:rsid w:val="007C3D80"/>
    <w:rsid w:val="007C42D7"/>
    <w:rsid w:val="007C4848"/>
    <w:rsid w:val="007C506B"/>
    <w:rsid w:val="007C5A3F"/>
    <w:rsid w:val="007C640E"/>
    <w:rsid w:val="007C7E17"/>
    <w:rsid w:val="007D02C8"/>
    <w:rsid w:val="007D0699"/>
    <w:rsid w:val="007D0986"/>
    <w:rsid w:val="007D1076"/>
    <w:rsid w:val="007D11CB"/>
    <w:rsid w:val="007D20FA"/>
    <w:rsid w:val="007D2733"/>
    <w:rsid w:val="007D281C"/>
    <w:rsid w:val="007D2C49"/>
    <w:rsid w:val="007D30F6"/>
    <w:rsid w:val="007D3D9A"/>
    <w:rsid w:val="007D4098"/>
    <w:rsid w:val="007D412A"/>
    <w:rsid w:val="007D4A83"/>
    <w:rsid w:val="007D59A7"/>
    <w:rsid w:val="007D5F3D"/>
    <w:rsid w:val="007D6059"/>
    <w:rsid w:val="007D698B"/>
    <w:rsid w:val="007D716D"/>
    <w:rsid w:val="007D7BB6"/>
    <w:rsid w:val="007D7EBF"/>
    <w:rsid w:val="007E08A4"/>
    <w:rsid w:val="007E08B2"/>
    <w:rsid w:val="007E18B8"/>
    <w:rsid w:val="007E2853"/>
    <w:rsid w:val="007E29C0"/>
    <w:rsid w:val="007E2A0B"/>
    <w:rsid w:val="007E392D"/>
    <w:rsid w:val="007E394B"/>
    <w:rsid w:val="007E398D"/>
    <w:rsid w:val="007E45F3"/>
    <w:rsid w:val="007E4C56"/>
    <w:rsid w:val="007E5D35"/>
    <w:rsid w:val="007E5FC3"/>
    <w:rsid w:val="007E6398"/>
    <w:rsid w:val="007E6FEE"/>
    <w:rsid w:val="007F1196"/>
    <w:rsid w:val="007F1410"/>
    <w:rsid w:val="007F20EF"/>
    <w:rsid w:val="007F2394"/>
    <w:rsid w:val="007F2ECC"/>
    <w:rsid w:val="007F373D"/>
    <w:rsid w:val="007F3A26"/>
    <w:rsid w:val="007F3A7E"/>
    <w:rsid w:val="007F51B2"/>
    <w:rsid w:val="007F52A6"/>
    <w:rsid w:val="007F5789"/>
    <w:rsid w:val="007F60A4"/>
    <w:rsid w:val="007F634B"/>
    <w:rsid w:val="007F6872"/>
    <w:rsid w:val="007F68DA"/>
    <w:rsid w:val="007F6AB4"/>
    <w:rsid w:val="007F7EA0"/>
    <w:rsid w:val="008004E7"/>
    <w:rsid w:val="00800905"/>
    <w:rsid w:val="00801308"/>
    <w:rsid w:val="0080276C"/>
    <w:rsid w:val="00802C57"/>
    <w:rsid w:val="008038F2"/>
    <w:rsid w:val="00803B75"/>
    <w:rsid w:val="00804335"/>
    <w:rsid w:val="00804D05"/>
    <w:rsid w:val="00804FC5"/>
    <w:rsid w:val="008055AC"/>
    <w:rsid w:val="008056EF"/>
    <w:rsid w:val="00805C55"/>
    <w:rsid w:val="008060C8"/>
    <w:rsid w:val="008064C2"/>
    <w:rsid w:val="00806BC2"/>
    <w:rsid w:val="00806C82"/>
    <w:rsid w:val="0080703D"/>
    <w:rsid w:val="008078CC"/>
    <w:rsid w:val="008101E8"/>
    <w:rsid w:val="00810CBB"/>
    <w:rsid w:val="00810F5C"/>
    <w:rsid w:val="008116C0"/>
    <w:rsid w:val="00812723"/>
    <w:rsid w:val="008138F1"/>
    <w:rsid w:val="00814840"/>
    <w:rsid w:val="00814A6A"/>
    <w:rsid w:val="00814ED4"/>
    <w:rsid w:val="00814F06"/>
    <w:rsid w:val="008152E3"/>
    <w:rsid w:val="0081557C"/>
    <w:rsid w:val="008159B1"/>
    <w:rsid w:val="00815C71"/>
    <w:rsid w:val="00816384"/>
    <w:rsid w:val="0081647B"/>
    <w:rsid w:val="008169BF"/>
    <w:rsid w:val="00820282"/>
    <w:rsid w:val="0082028D"/>
    <w:rsid w:val="0082117F"/>
    <w:rsid w:val="00821787"/>
    <w:rsid w:val="00821BD0"/>
    <w:rsid w:val="00822232"/>
    <w:rsid w:val="008239C5"/>
    <w:rsid w:val="008246BD"/>
    <w:rsid w:val="00824C97"/>
    <w:rsid w:val="00824FD6"/>
    <w:rsid w:val="00825942"/>
    <w:rsid w:val="0082606A"/>
    <w:rsid w:val="0082619C"/>
    <w:rsid w:val="00826B74"/>
    <w:rsid w:val="00826BFB"/>
    <w:rsid w:val="00826C91"/>
    <w:rsid w:val="00827D97"/>
    <w:rsid w:val="008306E0"/>
    <w:rsid w:val="008318BD"/>
    <w:rsid w:val="00831A0D"/>
    <w:rsid w:val="00832C20"/>
    <w:rsid w:val="00832E97"/>
    <w:rsid w:val="0083457E"/>
    <w:rsid w:val="0083467C"/>
    <w:rsid w:val="00834D36"/>
    <w:rsid w:val="00835C91"/>
    <w:rsid w:val="008364E5"/>
    <w:rsid w:val="00836507"/>
    <w:rsid w:val="00836AD2"/>
    <w:rsid w:val="008375CC"/>
    <w:rsid w:val="00837CEE"/>
    <w:rsid w:val="008404FE"/>
    <w:rsid w:val="008408B7"/>
    <w:rsid w:val="008415CC"/>
    <w:rsid w:val="00841B04"/>
    <w:rsid w:val="00841F02"/>
    <w:rsid w:val="0084231E"/>
    <w:rsid w:val="0084272A"/>
    <w:rsid w:val="00842862"/>
    <w:rsid w:val="00842C15"/>
    <w:rsid w:val="00843DF2"/>
    <w:rsid w:val="00844292"/>
    <w:rsid w:val="00844980"/>
    <w:rsid w:val="00844B6F"/>
    <w:rsid w:val="00845199"/>
    <w:rsid w:val="00845205"/>
    <w:rsid w:val="00845268"/>
    <w:rsid w:val="0084578C"/>
    <w:rsid w:val="008457A0"/>
    <w:rsid w:val="00845F00"/>
    <w:rsid w:val="00846691"/>
    <w:rsid w:val="00846C88"/>
    <w:rsid w:val="00847DFE"/>
    <w:rsid w:val="00851029"/>
    <w:rsid w:val="00851111"/>
    <w:rsid w:val="00851E1F"/>
    <w:rsid w:val="008525CF"/>
    <w:rsid w:val="00852F2C"/>
    <w:rsid w:val="00852F48"/>
    <w:rsid w:val="00853623"/>
    <w:rsid w:val="008542CC"/>
    <w:rsid w:val="00854F3F"/>
    <w:rsid w:val="00855618"/>
    <w:rsid w:val="0085576E"/>
    <w:rsid w:val="00856570"/>
    <w:rsid w:val="00856814"/>
    <w:rsid w:val="008577A1"/>
    <w:rsid w:val="00857AD1"/>
    <w:rsid w:val="008605E8"/>
    <w:rsid w:val="0086060F"/>
    <w:rsid w:val="00860973"/>
    <w:rsid w:val="00860B77"/>
    <w:rsid w:val="00860C05"/>
    <w:rsid w:val="0086131E"/>
    <w:rsid w:val="008615C2"/>
    <w:rsid w:val="0086183E"/>
    <w:rsid w:val="00861A8C"/>
    <w:rsid w:val="00861C1C"/>
    <w:rsid w:val="00862531"/>
    <w:rsid w:val="00862CD6"/>
    <w:rsid w:val="00863172"/>
    <w:rsid w:val="008641B0"/>
    <w:rsid w:val="008648B5"/>
    <w:rsid w:val="0086496E"/>
    <w:rsid w:val="00864FF0"/>
    <w:rsid w:val="00865202"/>
    <w:rsid w:val="00865648"/>
    <w:rsid w:val="0086641A"/>
    <w:rsid w:val="00866F44"/>
    <w:rsid w:val="00867B19"/>
    <w:rsid w:val="00867F68"/>
    <w:rsid w:val="0087003F"/>
    <w:rsid w:val="008702B4"/>
    <w:rsid w:val="008709B9"/>
    <w:rsid w:val="00871529"/>
    <w:rsid w:val="00872D57"/>
    <w:rsid w:val="008734FF"/>
    <w:rsid w:val="0087360C"/>
    <w:rsid w:val="00873732"/>
    <w:rsid w:val="008737D3"/>
    <w:rsid w:val="00875598"/>
    <w:rsid w:val="00875CCB"/>
    <w:rsid w:val="00876345"/>
    <w:rsid w:val="008767AA"/>
    <w:rsid w:val="00876DF0"/>
    <w:rsid w:val="00876F1E"/>
    <w:rsid w:val="008773B2"/>
    <w:rsid w:val="00877CBF"/>
    <w:rsid w:val="00877E95"/>
    <w:rsid w:val="0088074B"/>
    <w:rsid w:val="00880CF3"/>
    <w:rsid w:val="008814F3"/>
    <w:rsid w:val="00882710"/>
    <w:rsid w:val="00882BCC"/>
    <w:rsid w:val="00882D53"/>
    <w:rsid w:val="00883437"/>
    <w:rsid w:val="008834C5"/>
    <w:rsid w:val="008837FF"/>
    <w:rsid w:val="00883919"/>
    <w:rsid w:val="00883A18"/>
    <w:rsid w:val="00883C24"/>
    <w:rsid w:val="00883C74"/>
    <w:rsid w:val="00883F90"/>
    <w:rsid w:val="00884064"/>
    <w:rsid w:val="008845C3"/>
    <w:rsid w:val="008853F8"/>
    <w:rsid w:val="00885937"/>
    <w:rsid w:val="0088617F"/>
    <w:rsid w:val="008870BD"/>
    <w:rsid w:val="008871FE"/>
    <w:rsid w:val="008878BC"/>
    <w:rsid w:val="0089040C"/>
    <w:rsid w:val="008917C8"/>
    <w:rsid w:val="00891D6C"/>
    <w:rsid w:val="00893472"/>
    <w:rsid w:val="008939FB"/>
    <w:rsid w:val="00893B36"/>
    <w:rsid w:val="00894E45"/>
    <w:rsid w:val="008953BD"/>
    <w:rsid w:val="0089568C"/>
    <w:rsid w:val="008956F9"/>
    <w:rsid w:val="00895D4B"/>
    <w:rsid w:val="0089604C"/>
    <w:rsid w:val="0089611B"/>
    <w:rsid w:val="008962FE"/>
    <w:rsid w:val="00896ABB"/>
    <w:rsid w:val="00896AED"/>
    <w:rsid w:val="00897410"/>
    <w:rsid w:val="008977D4"/>
    <w:rsid w:val="00897A0E"/>
    <w:rsid w:val="008A1539"/>
    <w:rsid w:val="008A15CF"/>
    <w:rsid w:val="008A1DB8"/>
    <w:rsid w:val="008A2B76"/>
    <w:rsid w:val="008A32F7"/>
    <w:rsid w:val="008A34A2"/>
    <w:rsid w:val="008A38A7"/>
    <w:rsid w:val="008A39A6"/>
    <w:rsid w:val="008A3C77"/>
    <w:rsid w:val="008A4628"/>
    <w:rsid w:val="008A4BE1"/>
    <w:rsid w:val="008A53FF"/>
    <w:rsid w:val="008A63BF"/>
    <w:rsid w:val="008A663F"/>
    <w:rsid w:val="008A67C2"/>
    <w:rsid w:val="008A7A66"/>
    <w:rsid w:val="008B022F"/>
    <w:rsid w:val="008B19AE"/>
    <w:rsid w:val="008B238B"/>
    <w:rsid w:val="008B4353"/>
    <w:rsid w:val="008B4458"/>
    <w:rsid w:val="008B47CB"/>
    <w:rsid w:val="008B4EA0"/>
    <w:rsid w:val="008B557D"/>
    <w:rsid w:val="008B55EF"/>
    <w:rsid w:val="008B61DC"/>
    <w:rsid w:val="008B667B"/>
    <w:rsid w:val="008B6A6C"/>
    <w:rsid w:val="008B6E01"/>
    <w:rsid w:val="008B6E28"/>
    <w:rsid w:val="008B7884"/>
    <w:rsid w:val="008B79CC"/>
    <w:rsid w:val="008C0030"/>
    <w:rsid w:val="008C052E"/>
    <w:rsid w:val="008C086D"/>
    <w:rsid w:val="008C0B52"/>
    <w:rsid w:val="008C13E0"/>
    <w:rsid w:val="008C15BB"/>
    <w:rsid w:val="008C1E23"/>
    <w:rsid w:val="008C24DA"/>
    <w:rsid w:val="008C28E5"/>
    <w:rsid w:val="008C424C"/>
    <w:rsid w:val="008C4A94"/>
    <w:rsid w:val="008C4E5F"/>
    <w:rsid w:val="008C4F29"/>
    <w:rsid w:val="008C52E2"/>
    <w:rsid w:val="008C5AF4"/>
    <w:rsid w:val="008C5F83"/>
    <w:rsid w:val="008C60FC"/>
    <w:rsid w:val="008C6C28"/>
    <w:rsid w:val="008C6C82"/>
    <w:rsid w:val="008D01AC"/>
    <w:rsid w:val="008D08FC"/>
    <w:rsid w:val="008D0AA5"/>
    <w:rsid w:val="008D0B3D"/>
    <w:rsid w:val="008D0E23"/>
    <w:rsid w:val="008D0FA1"/>
    <w:rsid w:val="008D129E"/>
    <w:rsid w:val="008D14B6"/>
    <w:rsid w:val="008D15F7"/>
    <w:rsid w:val="008D1FDE"/>
    <w:rsid w:val="008D351D"/>
    <w:rsid w:val="008D4211"/>
    <w:rsid w:val="008D47FD"/>
    <w:rsid w:val="008D51BD"/>
    <w:rsid w:val="008D558D"/>
    <w:rsid w:val="008D66F8"/>
    <w:rsid w:val="008D726D"/>
    <w:rsid w:val="008D7583"/>
    <w:rsid w:val="008D7F11"/>
    <w:rsid w:val="008E0BBB"/>
    <w:rsid w:val="008E0D61"/>
    <w:rsid w:val="008E111A"/>
    <w:rsid w:val="008E1489"/>
    <w:rsid w:val="008E1C45"/>
    <w:rsid w:val="008E1F7D"/>
    <w:rsid w:val="008E21F2"/>
    <w:rsid w:val="008E242E"/>
    <w:rsid w:val="008E2C64"/>
    <w:rsid w:val="008E30F1"/>
    <w:rsid w:val="008E37C0"/>
    <w:rsid w:val="008E3C00"/>
    <w:rsid w:val="008E4335"/>
    <w:rsid w:val="008E5267"/>
    <w:rsid w:val="008E5A09"/>
    <w:rsid w:val="008E5ADC"/>
    <w:rsid w:val="008E5D35"/>
    <w:rsid w:val="008E647B"/>
    <w:rsid w:val="008E66A3"/>
    <w:rsid w:val="008E684E"/>
    <w:rsid w:val="008E702B"/>
    <w:rsid w:val="008E7B61"/>
    <w:rsid w:val="008F10B5"/>
    <w:rsid w:val="008F1341"/>
    <w:rsid w:val="008F1A88"/>
    <w:rsid w:val="008F1BAA"/>
    <w:rsid w:val="008F1D3A"/>
    <w:rsid w:val="008F1E8F"/>
    <w:rsid w:val="008F204B"/>
    <w:rsid w:val="008F3163"/>
    <w:rsid w:val="008F32B6"/>
    <w:rsid w:val="008F3977"/>
    <w:rsid w:val="008F3AE2"/>
    <w:rsid w:val="008F40F4"/>
    <w:rsid w:val="008F4A1D"/>
    <w:rsid w:val="008F50AB"/>
    <w:rsid w:val="008F535F"/>
    <w:rsid w:val="008F55F1"/>
    <w:rsid w:val="008F594B"/>
    <w:rsid w:val="008F6221"/>
    <w:rsid w:val="008F671B"/>
    <w:rsid w:val="008F6D1B"/>
    <w:rsid w:val="008F6ED5"/>
    <w:rsid w:val="008F722B"/>
    <w:rsid w:val="008F7609"/>
    <w:rsid w:val="008F777B"/>
    <w:rsid w:val="008F7CCE"/>
    <w:rsid w:val="008F7FEA"/>
    <w:rsid w:val="00900074"/>
    <w:rsid w:val="00900FCA"/>
    <w:rsid w:val="009020CE"/>
    <w:rsid w:val="00902309"/>
    <w:rsid w:val="00902B52"/>
    <w:rsid w:val="009036EC"/>
    <w:rsid w:val="00903CAC"/>
    <w:rsid w:val="00904173"/>
    <w:rsid w:val="00904C3A"/>
    <w:rsid w:val="00905A35"/>
    <w:rsid w:val="00905B82"/>
    <w:rsid w:val="0090632B"/>
    <w:rsid w:val="009064E2"/>
    <w:rsid w:val="00906EA2"/>
    <w:rsid w:val="009077C7"/>
    <w:rsid w:val="00910333"/>
    <w:rsid w:val="009106EF"/>
    <w:rsid w:val="00910CBA"/>
    <w:rsid w:val="009115A0"/>
    <w:rsid w:val="00911A44"/>
    <w:rsid w:val="00911DA8"/>
    <w:rsid w:val="00911F36"/>
    <w:rsid w:val="0091220E"/>
    <w:rsid w:val="009122A6"/>
    <w:rsid w:val="0091465A"/>
    <w:rsid w:val="00914809"/>
    <w:rsid w:val="009156B4"/>
    <w:rsid w:val="009158A3"/>
    <w:rsid w:val="00916236"/>
    <w:rsid w:val="00920216"/>
    <w:rsid w:val="00920463"/>
    <w:rsid w:val="00921292"/>
    <w:rsid w:val="00921C12"/>
    <w:rsid w:val="00922D81"/>
    <w:rsid w:val="0092306C"/>
    <w:rsid w:val="009231E5"/>
    <w:rsid w:val="009238C7"/>
    <w:rsid w:val="00923C85"/>
    <w:rsid w:val="00923D68"/>
    <w:rsid w:val="00923E13"/>
    <w:rsid w:val="009245CA"/>
    <w:rsid w:val="00924AA0"/>
    <w:rsid w:val="00924BC3"/>
    <w:rsid w:val="00925489"/>
    <w:rsid w:val="00925D82"/>
    <w:rsid w:val="00926129"/>
    <w:rsid w:val="0092650C"/>
    <w:rsid w:val="00926DB0"/>
    <w:rsid w:val="00926E4D"/>
    <w:rsid w:val="00927AC2"/>
    <w:rsid w:val="00927AF9"/>
    <w:rsid w:val="00931C5B"/>
    <w:rsid w:val="00931D44"/>
    <w:rsid w:val="00933173"/>
    <w:rsid w:val="0093349A"/>
    <w:rsid w:val="0093352D"/>
    <w:rsid w:val="0093515A"/>
    <w:rsid w:val="009352FB"/>
    <w:rsid w:val="00935660"/>
    <w:rsid w:val="009358E9"/>
    <w:rsid w:val="00936A96"/>
    <w:rsid w:val="00936CEA"/>
    <w:rsid w:val="00937351"/>
    <w:rsid w:val="009376FF"/>
    <w:rsid w:val="00937FEC"/>
    <w:rsid w:val="00940185"/>
    <w:rsid w:val="00940BCD"/>
    <w:rsid w:val="00941279"/>
    <w:rsid w:val="00941648"/>
    <w:rsid w:val="0094195C"/>
    <w:rsid w:val="00942707"/>
    <w:rsid w:val="00942FF1"/>
    <w:rsid w:val="009442D7"/>
    <w:rsid w:val="00944531"/>
    <w:rsid w:val="00944536"/>
    <w:rsid w:val="009446B0"/>
    <w:rsid w:val="00945163"/>
    <w:rsid w:val="009462D5"/>
    <w:rsid w:val="009468DA"/>
    <w:rsid w:val="00947174"/>
    <w:rsid w:val="009471ED"/>
    <w:rsid w:val="00947283"/>
    <w:rsid w:val="0095026F"/>
    <w:rsid w:val="00950843"/>
    <w:rsid w:val="00950B60"/>
    <w:rsid w:val="00950F48"/>
    <w:rsid w:val="009517AB"/>
    <w:rsid w:val="00951EB5"/>
    <w:rsid w:val="0095456C"/>
    <w:rsid w:val="009547B3"/>
    <w:rsid w:val="00954D05"/>
    <w:rsid w:val="00955503"/>
    <w:rsid w:val="00956851"/>
    <w:rsid w:val="00956905"/>
    <w:rsid w:val="00956D73"/>
    <w:rsid w:val="0095770B"/>
    <w:rsid w:val="0095781B"/>
    <w:rsid w:val="00957CCF"/>
    <w:rsid w:val="00957ECC"/>
    <w:rsid w:val="00960964"/>
    <w:rsid w:val="00960D44"/>
    <w:rsid w:val="009614C6"/>
    <w:rsid w:val="00962146"/>
    <w:rsid w:val="00962BFB"/>
    <w:rsid w:val="00962E1C"/>
    <w:rsid w:val="00963029"/>
    <w:rsid w:val="0096349D"/>
    <w:rsid w:val="0096380B"/>
    <w:rsid w:val="00963B12"/>
    <w:rsid w:val="009641A2"/>
    <w:rsid w:val="00964414"/>
    <w:rsid w:val="0096470E"/>
    <w:rsid w:val="00964954"/>
    <w:rsid w:val="00964B78"/>
    <w:rsid w:val="00964FA7"/>
    <w:rsid w:val="00965424"/>
    <w:rsid w:val="00965441"/>
    <w:rsid w:val="009654A7"/>
    <w:rsid w:val="00966178"/>
    <w:rsid w:val="00966ACC"/>
    <w:rsid w:val="00966BE8"/>
    <w:rsid w:val="00966DEC"/>
    <w:rsid w:val="00967063"/>
    <w:rsid w:val="00967A27"/>
    <w:rsid w:val="00967FD3"/>
    <w:rsid w:val="00970B74"/>
    <w:rsid w:val="009716E8"/>
    <w:rsid w:val="00972072"/>
    <w:rsid w:val="0097215E"/>
    <w:rsid w:val="009721B1"/>
    <w:rsid w:val="00972C5C"/>
    <w:rsid w:val="0097312C"/>
    <w:rsid w:val="00973140"/>
    <w:rsid w:val="009748CA"/>
    <w:rsid w:val="00974AD0"/>
    <w:rsid w:val="00975A11"/>
    <w:rsid w:val="00975E94"/>
    <w:rsid w:val="00976203"/>
    <w:rsid w:val="0097642E"/>
    <w:rsid w:val="009765AD"/>
    <w:rsid w:val="0097673B"/>
    <w:rsid w:val="009769BE"/>
    <w:rsid w:val="009772CA"/>
    <w:rsid w:val="00977756"/>
    <w:rsid w:val="0097782C"/>
    <w:rsid w:val="009803F7"/>
    <w:rsid w:val="0098061D"/>
    <w:rsid w:val="00980F10"/>
    <w:rsid w:val="00981D84"/>
    <w:rsid w:val="00982B2B"/>
    <w:rsid w:val="0098340E"/>
    <w:rsid w:val="00983F80"/>
    <w:rsid w:val="00984307"/>
    <w:rsid w:val="0098448B"/>
    <w:rsid w:val="009848DB"/>
    <w:rsid w:val="00985594"/>
    <w:rsid w:val="009855B4"/>
    <w:rsid w:val="009868A7"/>
    <w:rsid w:val="00986B66"/>
    <w:rsid w:val="009873BF"/>
    <w:rsid w:val="0098764F"/>
    <w:rsid w:val="00990380"/>
    <w:rsid w:val="0099196B"/>
    <w:rsid w:val="00991E3B"/>
    <w:rsid w:val="009921DB"/>
    <w:rsid w:val="0099243C"/>
    <w:rsid w:val="00993281"/>
    <w:rsid w:val="00993D8A"/>
    <w:rsid w:val="00993EB2"/>
    <w:rsid w:val="009940EF"/>
    <w:rsid w:val="0099486B"/>
    <w:rsid w:val="00994A8D"/>
    <w:rsid w:val="00994D06"/>
    <w:rsid w:val="00994E8A"/>
    <w:rsid w:val="00995094"/>
    <w:rsid w:val="00995B4A"/>
    <w:rsid w:val="009974DC"/>
    <w:rsid w:val="00997CF0"/>
    <w:rsid w:val="009A088A"/>
    <w:rsid w:val="009A0982"/>
    <w:rsid w:val="009A0BBC"/>
    <w:rsid w:val="009A297E"/>
    <w:rsid w:val="009A29F0"/>
    <w:rsid w:val="009A2EA7"/>
    <w:rsid w:val="009A3275"/>
    <w:rsid w:val="009A3C60"/>
    <w:rsid w:val="009A416C"/>
    <w:rsid w:val="009A51C7"/>
    <w:rsid w:val="009A5AFD"/>
    <w:rsid w:val="009A63E2"/>
    <w:rsid w:val="009A67B2"/>
    <w:rsid w:val="009A6917"/>
    <w:rsid w:val="009A6EFD"/>
    <w:rsid w:val="009A6FF0"/>
    <w:rsid w:val="009A71C0"/>
    <w:rsid w:val="009A7B27"/>
    <w:rsid w:val="009B006C"/>
    <w:rsid w:val="009B012E"/>
    <w:rsid w:val="009B08BB"/>
    <w:rsid w:val="009B21F3"/>
    <w:rsid w:val="009B3439"/>
    <w:rsid w:val="009B39DC"/>
    <w:rsid w:val="009B3BFC"/>
    <w:rsid w:val="009B44B7"/>
    <w:rsid w:val="009B4679"/>
    <w:rsid w:val="009B4A01"/>
    <w:rsid w:val="009B4CA7"/>
    <w:rsid w:val="009B521A"/>
    <w:rsid w:val="009B526C"/>
    <w:rsid w:val="009B5AEC"/>
    <w:rsid w:val="009B5D99"/>
    <w:rsid w:val="009B5E54"/>
    <w:rsid w:val="009B609E"/>
    <w:rsid w:val="009B61E7"/>
    <w:rsid w:val="009B635C"/>
    <w:rsid w:val="009B6B05"/>
    <w:rsid w:val="009B6C6D"/>
    <w:rsid w:val="009B6EDE"/>
    <w:rsid w:val="009B708A"/>
    <w:rsid w:val="009C08A9"/>
    <w:rsid w:val="009C0BAE"/>
    <w:rsid w:val="009C1219"/>
    <w:rsid w:val="009C1DD8"/>
    <w:rsid w:val="009C226C"/>
    <w:rsid w:val="009C27BE"/>
    <w:rsid w:val="009C2914"/>
    <w:rsid w:val="009C2F2B"/>
    <w:rsid w:val="009C30C0"/>
    <w:rsid w:val="009C3854"/>
    <w:rsid w:val="009C4AD5"/>
    <w:rsid w:val="009C503D"/>
    <w:rsid w:val="009C5B3A"/>
    <w:rsid w:val="009C6A31"/>
    <w:rsid w:val="009C6ADC"/>
    <w:rsid w:val="009C6B43"/>
    <w:rsid w:val="009C6C63"/>
    <w:rsid w:val="009C6E6F"/>
    <w:rsid w:val="009C6E72"/>
    <w:rsid w:val="009C72FB"/>
    <w:rsid w:val="009C751F"/>
    <w:rsid w:val="009D1884"/>
    <w:rsid w:val="009D2024"/>
    <w:rsid w:val="009D2E6D"/>
    <w:rsid w:val="009D3054"/>
    <w:rsid w:val="009D33B2"/>
    <w:rsid w:val="009D3C3F"/>
    <w:rsid w:val="009D4724"/>
    <w:rsid w:val="009D4C14"/>
    <w:rsid w:val="009D4D67"/>
    <w:rsid w:val="009D55DE"/>
    <w:rsid w:val="009D587A"/>
    <w:rsid w:val="009D5DC0"/>
    <w:rsid w:val="009D635B"/>
    <w:rsid w:val="009D66DC"/>
    <w:rsid w:val="009D7156"/>
    <w:rsid w:val="009D74EB"/>
    <w:rsid w:val="009D7F6F"/>
    <w:rsid w:val="009E0393"/>
    <w:rsid w:val="009E0706"/>
    <w:rsid w:val="009E07D3"/>
    <w:rsid w:val="009E0AD6"/>
    <w:rsid w:val="009E1C32"/>
    <w:rsid w:val="009E1CCC"/>
    <w:rsid w:val="009E2365"/>
    <w:rsid w:val="009E3814"/>
    <w:rsid w:val="009E384E"/>
    <w:rsid w:val="009E38CF"/>
    <w:rsid w:val="009E4E6C"/>
    <w:rsid w:val="009E50B6"/>
    <w:rsid w:val="009E597B"/>
    <w:rsid w:val="009E5AE2"/>
    <w:rsid w:val="009E622E"/>
    <w:rsid w:val="009E66CD"/>
    <w:rsid w:val="009E7031"/>
    <w:rsid w:val="009E7042"/>
    <w:rsid w:val="009E76F8"/>
    <w:rsid w:val="009E773D"/>
    <w:rsid w:val="009E7743"/>
    <w:rsid w:val="009E78E9"/>
    <w:rsid w:val="009F010F"/>
    <w:rsid w:val="009F0628"/>
    <w:rsid w:val="009F06F2"/>
    <w:rsid w:val="009F0BB5"/>
    <w:rsid w:val="009F1446"/>
    <w:rsid w:val="009F1965"/>
    <w:rsid w:val="009F30F4"/>
    <w:rsid w:val="009F372C"/>
    <w:rsid w:val="009F571E"/>
    <w:rsid w:val="009F5EE0"/>
    <w:rsid w:val="009F635E"/>
    <w:rsid w:val="009F7181"/>
    <w:rsid w:val="009F7377"/>
    <w:rsid w:val="009F74C8"/>
    <w:rsid w:val="009F7602"/>
    <w:rsid w:val="00A0006D"/>
    <w:rsid w:val="00A0012C"/>
    <w:rsid w:val="00A00340"/>
    <w:rsid w:val="00A00D2D"/>
    <w:rsid w:val="00A01877"/>
    <w:rsid w:val="00A019D1"/>
    <w:rsid w:val="00A01E4D"/>
    <w:rsid w:val="00A02391"/>
    <w:rsid w:val="00A02C5D"/>
    <w:rsid w:val="00A03297"/>
    <w:rsid w:val="00A03DC5"/>
    <w:rsid w:val="00A04393"/>
    <w:rsid w:val="00A04830"/>
    <w:rsid w:val="00A048F2"/>
    <w:rsid w:val="00A04A46"/>
    <w:rsid w:val="00A06031"/>
    <w:rsid w:val="00A06D04"/>
    <w:rsid w:val="00A06DDB"/>
    <w:rsid w:val="00A071A6"/>
    <w:rsid w:val="00A07B34"/>
    <w:rsid w:val="00A07D15"/>
    <w:rsid w:val="00A10F1B"/>
    <w:rsid w:val="00A1121D"/>
    <w:rsid w:val="00A122D3"/>
    <w:rsid w:val="00A12B62"/>
    <w:rsid w:val="00A13028"/>
    <w:rsid w:val="00A1344D"/>
    <w:rsid w:val="00A1359F"/>
    <w:rsid w:val="00A140D3"/>
    <w:rsid w:val="00A1446B"/>
    <w:rsid w:val="00A1483D"/>
    <w:rsid w:val="00A16712"/>
    <w:rsid w:val="00A167F2"/>
    <w:rsid w:val="00A17227"/>
    <w:rsid w:val="00A174B3"/>
    <w:rsid w:val="00A1789A"/>
    <w:rsid w:val="00A17994"/>
    <w:rsid w:val="00A17C3C"/>
    <w:rsid w:val="00A17EFE"/>
    <w:rsid w:val="00A20C78"/>
    <w:rsid w:val="00A21396"/>
    <w:rsid w:val="00A2312E"/>
    <w:rsid w:val="00A23690"/>
    <w:rsid w:val="00A24323"/>
    <w:rsid w:val="00A244F4"/>
    <w:rsid w:val="00A2512C"/>
    <w:rsid w:val="00A2515B"/>
    <w:rsid w:val="00A2588E"/>
    <w:rsid w:val="00A25F2D"/>
    <w:rsid w:val="00A26757"/>
    <w:rsid w:val="00A269CB"/>
    <w:rsid w:val="00A26A99"/>
    <w:rsid w:val="00A26D20"/>
    <w:rsid w:val="00A26EDF"/>
    <w:rsid w:val="00A271FB"/>
    <w:rsid w:val="00A27548"/>
    <w:rsid w:val="00A3048F"/>
    <w:rsid w:val="00A3056E"/>
    <w:rsid w:val="00A30E00"/>
    <w:rsid w:val="00A313A7"/>
    <w:rsid w:val="00A3186E"/>
    <w:rsid w:val="00A31C66"/>
    <w:rsid w:val="00A321AF"/>
    <w:rsid w:val="00A32A45"/>
    <w:rsid w:val="00A32B74"/>
    <w:rsid w:val="00A335CE"/>
    <w:rsid w:val="00A33C56"/>
    <w:rsid w:val="00A33F20"/>
    <w:rsid w:val="00A34732"/>
    <w:rsid w:val="00A34789"/>
    <w:rsid w:val="00A34C00"/>
    <w:rsid w:val="00A3630E"/>
    <w:rsid w:val="00A363DF"/>
    <w:rsid w:val="00A37BB6"/>
    <w:rsid w:val="00A37BB8"/>
    <w:rsid w:val="00A407D8"/>
    <w:rsid w:val="00A40BE5"/>
    <w:rsid w:val="00A40F0C"/>
    <w:rsid w:val="00A414DE"/>
    <w:rsid w:val="00A41968"/>
    <w:rsid w:val="00A41FF8"/>
    <w:rsid w:val="00A429CF"/>
    <w:rsid w:val="00A42D87"/>
    <w:rsid w:val="00A4308B"/>
    <w:rsid w:val="00A43A8E"/>
    <w:rsid w:val="00A43D31"/>
    <w:rsid w:val="00A447C2"/>
    <w:rsid w:val="00A44BD3"/>
    <w:rsid w:val="00A4521D"/>
    <w:rsid w:val="00A46317"/>
    <w:rsid w:val="00A466BB"/>
    <w:rsid w:val="00A46CF5"/>
    <w:rsid w:val="00A46D6F"/>
    <w:rsid w:val="00A47B56"/>
    <w:rsid w:val="00A504A1"/>
    <w:rsid w:val="00A50BE2"/>
    <w:rsid w:val="00A51C85"/>
    <w:rsid w:val="00A51F0A"/>
    <w:rsid w:val="00A52293"/>
    <w:rsid w:val="00A52301"/>
    <w:rsid w:val="00A523C3"/>
    <w:rsid w:val="00A52939"/>
    <w:rsid w:val="00A52B5D"/>
    <w:rsid w:val="00A536F0"/>
    <w:rsid w:val="00A53B74"/>
    <w:rsid w:val="00A53CA1"/>
    <w:rsid w:val="00A54550"/>
    <w:rsid w:val="00A54EF2"/>
    <w:rsid w:val="00A558CE"/>
    <w:rsid w:val="00A55D48"/>
    <w:rsid w:val="00A55F20"/>
    <w:rsid w:val="00A56375"/>
    <w:rsid w:val="00A56601"/>
    <w:rsid w:val="00A573A1"/>
    <w:rsid w:val="00A574C4"/>
    <w:rsid w:val="00A57B7F"/>
    <w:rsid w:val="00A57BEB"/>
    <w:rsid w:val="00A57F48"/>
    <w:rsid w:val="00A6082B"/>
    <w:rsid w:val="00A60A06"/>
    <w:rsid w:val="00A61673"/>
    <w:rsid w:val="00A6234C"/>
    <w:rsid w:val="00A62674"/>
    <w:rsid w:val="00A62A73"/>
    <w:rsid w:val="00A638C0"/>
    <w:rsid w:val="00A63F97"/>
    <w:rsid w:val="00A64232"/>
    <w:rsid w:val="00A64926"/>
    <w:rsid w:val="00A65060"/>
    <w:rsid w:val="00A6622C"/>
    <w:rsid w:val="00A665CF"/>
    <w:rsid w:val="00A66FF3"/>
    <w:rsid w:val="00A673B2"/>
    <w:rsid w:val="00A67400"/>
    <w:rsid w:val="00A67CA7"/>
    <w:rsid w:val="00A67D86"/>
    <w:rsid w:val="00A706BB"/>
    <w:rsid w:val="00A71016"/>
    <w:rsid w:val="00A7141F"/>
    <w:rsid w:val="00A72664"/>
    <w:rsid w:val="00A72734"/>
    <w:rsid w:val="00A734EC"/>
    <w:rsid w:val="00A739FB"/>
    <w:rsid w:val="00A7655F"/>
    <w:rsid w:val="00A76C81"/>
    <w:rsid w:val="00A7752F"/>
    <w:rsid w:val="00A775D6"/>
    <w:rsid w:val="00A77AAB"/>
    <w:rsid w:val="00A80F95"/>
    <w:rsid w:val="00A81552"/>
    <w:rsid w:val="00A815AB"/>
    <w:rsid w:val="00A81E96"/>
    <w:rsid w:val="00A81F3D"/>
    <w:rsid w:val="00A821B7"/>
    <w:rsid w:val="00A83D22"/>
    <w:rsid w:val="00A846C7"/>
    <w:rsid w:val="00A84955"/>
    <w:rsid w:val="00A8564A"/>
    <w:rsid w:val="00A85BD2"/>
    <w:rsid w:val="00A85C35"/>
    <w:rsid w:val="00A8601E"/>
    <w:rsid w:val="00A8669F"/>
    <w:rsid w:val="00A86CB9"/>
    <w:rsid w:val="00A8793E"/>
    <w:rsid w:val="00A90060"/>
    <w:rsid w:val="00A90152"/>
    <w:rsid w:val="00A908FA"/>
    <w:rsid w:val="00A91CC2"/>
    <w:rsid w:val="00A92061"/>
    <w:rsid w:val="00A921A1"/>
    <w:rsid w:val="00A92269"/>
    <w:rsid w:val="00A9304A"/>
    <w:rsid w:val="00A93B58"/>
    <w:rsid w:val="00A94249"/>
    <w:rsid w:val="00A94BC9"/>
    <w:rsid w:val="00A94EBF"/>
    <w:rsid w:val="00A950AA"/>
    <w:rsid w:val="00A956C4"/>
    <w:rsid w:val="00A959BC"/>
    <w:rsid w:val="00A95CDB"/>
    <w:rsid w:val="00A96192"/>
    <w:rsid w:val="00AA0036"/>
    <w:rsid w:val="00AA0542"/>
    <w:rsid w:val="00AA0EB2"/>
    <w:rsid w:val="00AA161C"/>
    <w:rsid w:val="00AA19B9"/>
    <w:rsid w:val="00AA1C8F"/>
    <w:rsid w:val="00AA216D"/>
    <w:rsid w:val="00AA274E"/>
    <w:rsid w:val="00AA3254"/>
    <w:rsid w:val="00AA3C60"/>
    <w:rsid w:val="00AA3EAD"/>
    <w:rsid w:val="00AA4077"/>
    <w:rsid w:val="00AA417E"/>
    <w:rsid w:val="00AA52DE"/>
    <w:rsid w:val="00AA5367"/>
    <w:rsid w:val="00AA53F6"/>
    <w:rsid w:val="00AA59BB"/>
    <w:rsid w:val="00AA6C43"/>
    <w:rsid w:val="00AA7335"/>
    <w:rsid w:val="00AB00A7"/>
    <w:rsid w:val="00AB11C1"/>
    <w:rsid w:val="00AB19A0"/>
    <w:rsid w:val="00AB1AB3"/>
    <w:rsid w:val="00AB2B1E"/>
    <w:rsid w:val="00AB2FF4"/>
    <w:rsid w:val="00AB3838"/>
    <w:rsid w:val="00AB4B71"/>
    <w:rsid w:val="00AB55DD"/>
    <w:rsid w:val="00AB5F9C"/>
    <w:rsid w:val="00AB681E"/>
    <w:rsid w:val="00AB6853"/>
    <w:rsid w:val="00AB6FE9"/>
    <w:rsid w:val="00AC0291"/>
    <w:rsid w:val="00AC02F4"/>
    <w:rsid w:val="00AC1AD6"/>
    <w:rsid w:val="00AC2A67"/>
    <w:rsid w:val="00AC2A6E"/>
    <w:rsid w:val="00AC36B5"/>
    <w:rsid w:val="00AC41F0"/>
    <w:rsid w:val="00AC4643"/>
    <w:rsid w:val="00AC49F5"/>
    <w:rsid w:val="00AC5205"/>
    <w:rsid w:val="00AC60ED"/>
    <w:rsid w:val="00AC6153"/>
    <w:rsid w:val="00AC653C"/>
    <w:rsid w:val="00AC6812"/>
    <w:rsid w:val="00AC6F67"/>
    <w:rsid w:val="00AD01A6"/>
    <w:rsid w:val="00AD1414"/>
    <w:rsid w:val="00AD239C"/>
    <w:rsid w:val="00AD2699"/>
    <w:rsid w:val="00AD3616"/>
    <w:rsid w:val="00AD3FCC"/>
    <w:rsid w:val="00AD4343"/>
    <w:rsid w:val="00AD47B4"/>
    <w:rsid w:val="00AD4D56"/>
    <w:rsid w:val="00AD5753"/>
    <w:rsid w:val="00AD5956"/>
    <w:rsid w:val="00AD59E1"/>
    <w:rsid w:val="00AD60B5"/>
    <w:rsid w:val="00AD64DF"/>
    <w:rsid w:val="00AD75AA"/>
    <w:rsid w:val="00AD79FF"/>
    <w:rsid w:val="00AD7E57"/>
    <w:rsid w:val="00AE09E6"/>
    <w:rsid w:val="00AE09F5"/>
    <w:rsid w:val="00AE1025"/>
    <w:rsid w:val="00AE138D"/>
    <w:rsid w:val="00AE1C93"/>
    <w:rsid w:val="00AE1FE5"/>
    <w:rsid w:val="00AE3204"/>
    <w:rsid w:val="00AE353D"/>
    <w:rsid w:val="00AE3F03"/>
    <w:rsid w:val="00AE53D4"/>
    <w:rsid w:val="00AE557C"/>
    <w:rsid w:val="00AE64F0"/>
    <w:rsid w:val="00AE6532"/>
    <w:rsid w:val="00AE664B"/>
    <w:rsid w:val="00AE6D4B"/>
    <w:rsid w:val="00AE720D"/>
    <w:rsid w:val="00AE734B"/>
    <w:rsid w:val="00AE78B2"/>
    <w:rsid w:val="00AE7E1C"/>
    <w:rsid w:val="00AE7FCC"/>
    <w:rsid w:val="00AF0226"/>
    <w:rsid w:val="00AF07CE"/>
    <w:rsid w:val="00AF0CE5"/>
    <w:rsid w:val="00AF1822"/>
    <w:rsid w:val="00AF18E9"/>
    <w:rsid w:val="00AF1FCD"/>
    <w:rsid w:val="00AF23C8"/>
    <w:rsid w:val="00AF2AE2"/>
    <w:rsid w:val="00AF2B4F"/>
    <w:rsid w:val="00AF3F3C"/>
    <w:rsid w:val="00AF3F5C"/>
    <w:rsid w:val="00AF4977"/>
    <w:rsid w:val="00AF5365"/>
    <w:rsid w:val="00AF56A0"/>
    <w:rsid w:val="00AF5FA4"/>
    <w:rsid w:val="00AF62A5"/>
    <w:rsid w:val="00AF6856"/>
    <w:rsid w:val="00AF76FF"/>
    <w:rsid w:val="00B0057E"/>
    <w:rsid w:val="00B00588"/>
    <w:rsid w:val="00B015B2"/>
    <w:rsid w:val="00B01CB9"/>
    <w:rsid w:val="00B0265B"/>
    <w:rsid w:val="00B0377E"/>
    <w:rsid w:val="00B0392D"/>
    <w:rsid w:val="00B03DD1"/>
    <w:rsid w:val="00B0426A"/>
    <w:rsid w:val="00B049E7"/>
    <w:rsid w:val="00B05236"/>
    <w:rsid w:val="00B0587A"/>
    <w:rsid w:val="00B059D2"/>
    <w:rsid w:val="00B05AD2"/>
    <w:rsid w:val="00B05E85"/>
    <w:rsid w:val="00B0669E"/>
    <w:rsid w:val="00B067E8"/>
    <w:rsid w:val="00B07BA9"/>
    <w:rsid w:val="00B07F4A"/>
    <w:rsid w:val="00B10055"/>
    <w:rsid w:val="00B10150"/>
    <w:rsid w:val="00B105D6"/>
    <w:rsid w:val="00B10678"/>
    <w:rsid w:val="00B11303"/>
    <w:rsid w:val="00B1141E"/>
    <w:rsid w:val="00B11A35"/>
    <w:rsid w:val="00B1278B"/>
    <w:rsid w:val="00B13AEC"/>
    <w:rsid w:val="00B13F0B"/>
    <w:rsid w:val="00B14EF1"/>
    <w:rsid w:val="00B152FC"/>
    <w:rsid w:val="00B1548B"/>
    <w:rsid w:val="00B16214"/>
    <w:rsid w:val="00B164BF"/>
    <w:rsid w:val="00B17295"/>
    <w:rsid w:val="00B173FE"/>
    <w:rsid w:val="00B215F5"/>
    <w:rsid w:val="00B2280C"/>
    <w:rsid w:val="00B22F69"/>
    <w:rsid w:val="00B23DBC"/>
    <w:rsid w:val="00B25C62"/>
    <w:rsid w:val="00B26102"/>
    <w:rsid w:val="00B269A7"/>
    <w:rsid w:val="00B26DD6"/>
    <w:rsid w:val="00B27722"/>
    <w:rsid w:val="00B27A54"/>
    <w:rsid w:val="00B30084"/>
    <w:rsid w:val="00B3024D"/>
    <w:rsid w:val="00B304F5"/>
    <w:rsid w:val="00B30783"/>
    <w:rsid w:val="00B30EA7"/>
    <w:rsid w:val="00B313B4"/>
    <w:rsid w:val="00B31EE6"/>
    <w:rsid w:val="00B3286D"/>
    <w:rsid w:val="00B330DF"/>
    <w:rsid w:val="00B333ED"/>
    <w:rsid w:val="00B340BC"/>
    <w:rsid w:val="00B344AD"/>
    <w:rsid w:val="00B34AD0"/>
    <w:rsid w:val="00B35372"/>
    <w:rsid w:val="00B35F5E"/>
    <w:rsid w:val="00B362D3"/>
    <w:rsid w:val="00B36AC2"/>
    <w:rsid w:val="00B37D52"/>
    <w:rsid w:val="00B37E52"/>
    <w:rsid w:val="00B37ED1"/>
    <w:rsid w:val="00B403AC"/>
    <w:rsid w:val="00B40C4A"/>
    <w:rsid w:val="00B419DE"/>
    <w:rsid w:val="00B41C0F"/>
    <w:rsid w:val="00B41F0F"/>
    <w:rsid w:val="00B42560"/>
    <w:rsid w:val="00B426E5"/>
    <w:rsid w:val="00B42F59"/>
    <w:rsid w:val="00B432A7"/>
    <w:rsid w:val="00B43A34"/>
    <w:rsid w:val="00B43D8C"/>
    <w:rsid w:val="00B43FF7"/>
    <w:rsid w:val="00B44985"/>
    <w:rsid w:val="00B44F02"/>
    <w:rsid w:val="00B455AA"/>
    <w:rsid w:val="00B4570B"/>
    <w:rsid w:val="00B45778"/>
    <w:rsid w:val="00B457A1"/>
    <w:rsid w:val="00B45940"/>
    <w:rsid w:val="00B4630F"/>
    <w:rsid w:val="00B464B1"/>
    <w:rsid w:val="00B466F4"/>
    <w:rsid w:val="00B4676E"/>
    <w:rsid w:val="00B4676F"/>
    <w:rsid w:val="00B472C7"/>
    <w:rsid w:val="00B4789E"/>
    <w:rsid w:val="00B47A4A"/>
    <w:rsid w:val="00B47B99"/>
    <w:rsid w:val="00B506F2"/>
    <w:rsid w:val="00B508A1"/>
    <w:rsid w:val="00B50BCC"/>
    <w:rsid w:val="00B510E3"/>
    <w:rsid w:val="00B5123E"/>
    <w:rsid w:val="00B521AC"/>
    <w:rsid w:val="00B526E5"/>
    <w:rsid w:val="00B52702"/>
    <w:rsid w:val="00B529A5"/>
    <w:rsid w:val="00B53335"/>
    <w:rsid w:val="00B54556"/>
    <w:rsid w:val="00B548EE"/>
    <w:rsid w:val="00B5498D"/>
    <w:rsid w:val="00B54A06"/>
    <w:rsid w:val="00B54E5E"/>
    <w:rsid w:val="00B5501D"/>
    <w:rsid w:val="00B562F3"/>
    <w:rsid w:val="00B563BC"/>
    <w:rsid w:val="00B57448"/>
    <w:rsid w:val="00B57B6D"/>
    <w:rsid w:val="00B60CA0"/>
    <w:rsid w:val="00B614F3"/>
    <w:rsid w:val="00B6151E"/>
    <w:rsid w:val="00B61CE4"/>
    <w:rsid w:val="00B6270F"/>
    <w:rsid w:val="00B6277B"/>
    <w:rsid w:val="00B63429"/>
    <w:rsid w:val="00B6349D"/>
    <w:rsid w:val="00B639D7"/>
    <w:rsid w:val="00B64323"/>
    <w:rsid w:val="00B64962"/>
    <w:rsid w:val="00B6522E"/>
    <w:rsid w:val="00B65242"/>
    <w:rsid w:val="00B6539A"/>
    <w:rsid w:val="00B655CC"/>
    <w:rsid w:val="00B659DF"/>
    <w:rsid w:val="00B6605D"/>
    <w:rsid w:val="00B661B5"/>
    <w:rsid w:val="00B67100"/>
    <w:rsid w:val="00B6757C"/>
    <w:rsid w:val="00B676EC"/>
    <w:rsid w:val="00B67AE7"/>
    <w:rsid w:val="00B70050"/>
    <w:rsid w:val="00B7016C"/>
    <w:rsid w:val="00B7039B"/>
    <w:rsid w:val="00B71F59"/>
    <w:rsid w:val="00B72555"/>
    <w:rsid w:val="00B725B4"/>
    <w:rsid w:val="00B725EF"/>
    <w:rsid w:val="00B72ED1"/>
    <w:rsid w:val="00B73308"/>
    <w:rsid w:val="00B74294"/>
    <w:rsid w:val="00B74D1E"/>
    <w:rsid w:val="00B74F6F"/>
    <w:rsid w:val="00B75DDB"/>
    <w:rsid w:val="00B76A10"/>
    <w:rsid w:val="00B76A18"/>
    <w:rsid w:val="00B76AAD"/>
    <w:rsid w:val="00B77016"/>
    <w:rsid w:val="00B7783F"/>
    <w:rsid w:val="00B80363"/>
    <w:rsid w:val="00B808C0"/>
    <w:rsid w:val="00B80DD9"/>
    <w:rsid w:val="00B80F0F"/>
    <w:rsid w:val="00B81377"/>
    <w:rsid w:val="00B823F4"/>
    <w:rsid w:val="00B82473"/>
    <w:rsid w:val="00B836D9"/>
    <w:rsid w:val="00B84C6C"/>
    <w:rsid w:val="00B84DB9"/>
    <w:rsid w:val="00B8568C"/>
    <w:rsid w:val="00B857D1"/>
    <w:rsid w:val="00B85EC6"/>
    <w:rsid w:val="00B86211"/>
    <w:rsid w:val="00B86D05"/>
    <w:rsid w:val="00B902E6"/>
    <w:rsid w:val="00B90AB7"/>
    <w:rsid w:val="00B90FCF"/>
    <w:rsid w:val="00B91419"/>
    <w:rsid w:val="00B917F0"/>
    <w:rsid w:val="00B92687"/>
    <w:rsid w:val="00B92855"/>
    <w:rsid w:val="00B92989"/>
    <w:rsid w:val="00B936CA"/>
    <w:rsid w:val="00B93FA9"/>
    <w:rsid w:val="00B94248"/>
    <w:rsid w:val="00B942A1"/>
    <w:rsid w:val="00B94853"/>
    <w:rsid w:val="00B948B8"/>
    <w:rsid w:val="00B94A20"/>
    <w:rsid w:val="00B94B4F"/>
    <w:rsid w:val="00B95028"/>
    <w:rsid w:val="00B95CC1"/>
    <w:rsid w:val="00B966A8"/>
    <w:rsid w:val="00B96FA5"/>
    <w:rsid w:val="00B976F6"/>
    <w:rsid w:val="00BA05A0"/>
    <w:rsid w:val="00BA0834"/>
    <w:rsid w:val="00BA08B2"/>
    <w:rsid w:val="00BA094D"/>
    <w:rsid w:val="00BA0BD9"/>
    <w:rsid w:val="00BA1C19"/>
    <w:rsid w:val="00BA28CC"/>
    <w:rsid w:val="00BA2B93"/>
    <w:rsid w:val="00BA3CDB"/>
    <w:rsid w:val="00BA402A"/>
    <w:rsid w:val="00BA4283"/>
    <w:rsid w:val="00BA48C0"/>
    <w:rsid w:val="00BA4A8A"/>
    <w:rsid w:val="00BA5397"/>
    <w:rsid w:val="00BA5839"/>
    <w:rsid w:val="00BA5F41"/>
    <w:rsid w:val="00BA61B9"/>
    <w:rsid w:val="00BA67D1"/>
    <w:rsid w:val="00BA6BE9"/>
    <w:rsid w:val="00BA6DC5"/>
    <w:rsid w:val="00BA7245"/>
    <w:rsid w:val="00BA7385"/>
    <w:rsid w:val="00BA77A5"/>
    <w:rsid w:val="00BA7E53"/>
    <w:rsid w:val="00BA7EC4"/>
    <w:rsid w:val="00BB018D"/>
    <w:rsid w:val="00BB0A94"/>
    <w:rsid w:val="00BB0D61"/>
    <w:rsid w:val="00BB1718"/>
    <w:rsid w:val="00BB187C"/>
    <w:rsid w:val="00BB1CD2"/>
    <w:rsid w:val="00BB23C0"/>
    <w:rsid w:val="00BB23E6"/>
    <w:rsid w:val="00BB28F9"/>
    <w:rsid w:val="00BB296B"/>
    <w:rsid w:val="00BB2E90"/>
    <w:rsid w:val="00BB3622"/>
    <w:rsid w:val="00BB4F91"/>
    <w:rsid w:val="00BB5198"/>
    <w:rsid w:val="00BB53EE"/>
    <w:rsid w:val="00BB5D90"/>
    <w:rsid w:val="00BB682C"/>
    <w:rsid w:val="00BB7560"/>
    <w:rsid w:val="00BB78FB"/>
    <w:rsid w:val="00BB7A14"/>
    <w:rsid w:val="00BB7CA9"/>
    <w:rsid w:val="00BC0211"/>
    <w:rsid w:val="00BC0B16"/>
    <w:rsid w:val="00BC0B1C"/>
    <w:rsid w:val="00BC14DA"/>
    <w:rsid w:val="00BC236B"/>
    <w:rsid w:val="00BC2BB4"/>
    <w:rsid w:val="00BC362F"/>
    <w:rsid w:val="00BC364A"/>
    <w:rsid w:val="00BC3810"/>
    <w:rsid w:val="00BC3DF4"/>
    <w:rsid w:val="00BC42BE"/>
    <w:rsid w:val="00BC4388"/>
    <w:rsid w:val="00BC4663"/>
    <w:rsid w:val="00BC4827"/>
    <w:rsid w:val="00BC5513"/>
    <w:rsid w:val="00BC5AEF"/>
    <w:rsid w:val="00BC5EF4"/>
    <w:rsid w:val="00BC6410"/>
    <w:rsid w:val="00BC64BC"/>
    <w:rsid w:val="00BC65D9"/>
    <w:rsid w:val="00BC75C9"/>
    <w:rsid w:val="00BC7C1A"/>
    <w:rsid w:val="00BC7C52"/>
    <w:rsid w:val="00BD06FD"/>
    <w:rsid w:val="00BD0CF6"/>
    <w:rsid w:val="00BD14C5"/>
    <w:rsid w:val="00BD196A"/>
    <w:rsid w:val="00BD2081"/>
    <w:rsid w:val="00BD2311"/>
    <w:rsid w:val="00BD48DA"/>
    <w:rsid w:val="00BD5647"/>
    <w:rsid w:val="00BD6262"/>
    <w:rsid w:val="00BD638F"/>
    <w:rsid w:val="00BD67D5"/>
    <w:rsid w:val="00BD6AEB"/>
    <w:rsid w:val="00BD6B6B"/>
    <w:rsid w:val="00BD6C93"/>
    <w:rsid w:val="00BD6F30"/>
    <w:rsid w:val="00BD6FBC"/>
    <w:rsid w:val="00BD790B"/>
    <w:rsid w:val="00BD7B55"/>
    <w:rsid w:val="00BE0580"/>
    <w:rsid w:val="00BE0843"/>
    <w:rsid w:val="00BE095F"/>
    <w:rsid w:val="00BE188E"/>
    <w:rsid w:val="00BE401D"/>
    <w:rsid w:val="00BE4433"/>
    <w:rsid w:val="00BE4C48"/>
    <w:rsid w:val="00BE4CFF"/>
    <w:rsid w:val="00BE4E36"/>
    <w:rsid w:val="00BE5608"/>
    <w:rsid w:val="00BE61C1"/>
    <w:rsid w:val="00BE6472"/>
    <w:rsid w:val="00BE64AF"/>
    <w:rsid w:val="00BE66F8"/>
    <w:rsid w:val="00BE6717"/>
    <w:rsid w:val="00BE6996"/>
    <w:rsid w:val="00BE7394"/>
    <w:rsid w:val="00BE76A6"/>
    <w:rsid w:val="00BF0235"/>
    <w:rsid w:val="00BF0381"/>
    <w:rsid w:val="00BF1141"/>
    <w:rsid w:val="00BF1A8A"/>
    <w:rsid w:val="00BF2CAF"/>
    <w:rsid w:val="00BF2DF8"/>
    <w:rsid w:val="00BF33B4"/>
    <w:rsid w:val="00BF4AF6"/>
    <w:rsid w:val="00BF5088"/>
    <w:rsid w:val="00BF52B5"/>
    <w:rsid w:val="00BF5EF6"/>
    <w:rsid w:val="00BF6E7B"/>
    <w:rsid w:val="00BF75E8"/>
    <w:rsid w:val="00C00C3C"/>
    <w:rsid w:val="00C01021"/>
    <w:rsid w:val="00C0141F"/>
    <w:rsid w:val="00C01472"/>
    <w:rsid w:val="00C01B47"/>
    <w:rsid w:val="00C02763"/>
    <w:rsid w:val="00C03590"/>
    <w:rsid w:val="00C04039"/>
    <w:rsid w:val="00C048AF"/>
    <w:rsid w:val="00C050CC"/>
    <w:rsid w:val="00C05CE8"/>
    <w:rsid w:val="00C0650A"/>
    <w:rsid w:val="00C06BC6"/>
    <w:rsid w:val="00C06E76"/>
    <w:rsid w:val="00C0766C"/>
    <w:rsid w:val="00C077E0"/>
    <w:rsid w:val="00C07DE6"/>
    <w:rsid w:val="00C102D8"/>
    <w:rsid w:val="00C10E91"/>
    <w:rsid w:val="00C10F62"/>
    <w:rsid w:val="00C11DBE"/>
    <w:rsid w:val="00C12C36"/>
    <w:rsid w:val="00C12C60"/>
    <w:rsid w:val="00C1305B"/>
    <w:rsid w:val="00C147BB"/>
    <w:rsid w:val="00C149DA"/>
    <w:rsid w:val="00C154B5"/>
    <w:rsid w:val="00C155A3"/>
    <w:rsid w:val="00C169B0"/>
    <w:rsid w:val="00C17872"/>
    <w:rsid w:val="00C205E9"/>
    <w:rsid w:val="00C20E92"/>
    <w:rsid w:val="00C21067"/>
    <w:rsid w:val="00C212FC"/>
    <w:rsid w:val="00C214A8"/>
    <w:rsid w:val="00C215B1"/>
    <w:rsid w:val="00C21D77"/>
    <w:rsid w:val="00C2295E"/>
    <w:rsid w:val="00C23A16"/>
    <w:rsid w:val="00C23A1C"/>
    <w:rsid w:val="00C23E41"/>
    <w:rsid w:val="00C23F48"/>
    <w:rsid w:val="00C24178"/>
    <w:rsid w:val="00C24663"/>
    <w:rsid w:val="00C25442"/>
    <w:rsid w:val="00C25DDC"/>
    <w:rsid w:val="00C262BD"/>
    <w:rsid w:val="00C26DF9"/>
    <w:rsid w:val="00C273B8"/>
    <w:rsid w:val="00C277FE"/>
    <w:rsid w:val="00C27837"/>
    <w:rsid w:val="00C310C2"/>
    <w:rsid w:val="00C317D7"/>
    <w:rsid w:val="00C33E97"/>
    <w:rsid w:val="00C33F7F"/>
    <w:rsid w:val="00C347F2"/>
    <w:rsid w:val="00C35054"/>
    <w:rsid w:val="00C35E60"/>
    <w:rsid w:val="00C36344"/>
    <w:rsid w:val="00C36525"/>
    <w:rsid w:val="00C36CC0"/>
    <w:rsid w:val="00C37B0B"/>
    <w:rsid w:val="00C37F54"/>
    <w:rsid w:val="00C406BE"/>
    <w:rsid w:val="00C40843"/>
    <w:rsid w:val="00C40EB3"/>
    <w:rsid w:val="00C419AF"/>
    <w:rsid w:val="00C41BD9"/>
    <w:rsid w:val="00C41FF0"/>
    <w:rsid w:val="00C42602"/>
    <w:rsid w:val="00C42D3B"/>
    <w:rsid w:val="00C42E60"/>
    <w:rsid w:val="00C434FD"/>
    <w:rsid w:val="00C438F9"/>
    <w:rsid w:val="00C43AE6"/>
    <w:rsid w:val="00C43EA9"/>
    <w:rsid w:val="00C4431F"/>
    <w:rsid w:val="00C4445A"/>
    <w:rsid w:val="00C448F7"/>
    <w:rsid w:val="00C47AC7"/>
    <w:rsid w:val="00C47E02"/>
    <w:rsid w:val="00C50FD6"/>
    <w:rsid w:val="00C5192E"/>
    <w:rsid w:val="00C525DE"/>
    <w:rsid w:val="00C52A03"/>
    <w:rsid w:val="00C52A26"/>
    <w:rsid w:val="00C52DE6"/>
    <w:rsid w:val="00C53314"/>
    <w:rsid w:val="00C5376C"/>
    <w:rsid w:val="00C53CD3"/>
    <w:rsid w:val="00C550FB"/>
    <w:rsid w:val="00C57875"/>
    <w:rsid w:val="00C6016B"/>
    <w:rsid w:val="00C60CFE"/>
    <w:rsid w:val="00C60EB7"/>
    <w:rsid w:val="00C6265A"/>
    <w:rsid w:val="00C629CC"/>
    <w:rsid w:val="00C62CF1"/>
    <w:rsid w:val="00C634A7"/>
    <w:rsid w:val="00C638D7"/>
    <w:rsid w:val="00C63B19"/>
    <w:rsid w:val="00C63F05"/>
    <w:rsid w:val="00C63FB4"/>
    <w:rsid w:val="00C64400"/>
    <w:rsid w:val="00C64720"/>
    <w:rsid w:val="00C64E58"/>
    <w:rsid w:val="00C650CC"/>
    <w:rsid w:val="00C6517F"/>
    <w:rsid w:val="00C655E7"/>
    <w:rsid w:val="00C65C06"/>
    <w:rsid w:val="00C665FC"/>
    <w:rsid w:val="00C66AD1"/>
    <w:rsid w:val="00C673E0"/>
    <w:rsid w:val="00C67771"/>
    <w:rsid w:val="00C67BA6"/>
    <w:rsid w:val="00C67E7D"/>
    <w:rsid w:val="00C70DA3"/>
    <w:rsid w:val="00C71920"/>
    <w:rsid w:val="00C72A63"/>
    <w:rsid w:val="00C73F76"/>
    <w:rsid w:val="00C749C9"/>
    <w:rsid w:val="00C74D8A"/>
    <w:rsid w:val="00C750A0"/>
    <w:rsid w:val="00C75283"/>
    <w:rsid w:val="00C754FA"/>
    <w:rsid w:val="00C75544"/>
    <w:rsid w:val="00C75E5E"/>
    <w:rsid w:val="00C76BC3"/>
    <w:rsid w:val="00C77696"/>
    <w:rsid w:val="00C7786D"/>
    <w:rsid w:val="00C77E21"/>
    <w:rsid w:val="00C80AE4"/>
    <w:rsid w:val="00C80EB7"/>
    <w:rsid w:val="00C8172D"/>
    <w:rsid w:val="00C81DBB"/>
    <w:rsid w:val="00C82C1D"/>
    <w:rsid w:val="00C83900"/>
    <w:rsid w:val="00C8476E"/>
    <w:rsid w:val="00C84D70"/>
    <w:rsid w:val="00C86535"/>
    <w:rsid w:val="00C86FA7"/>
    <w:rsid w:val="00C871C4"/>
    <w:rsid w:val="00C87B14"/>
    <w:rsid w:val="00C87B71"/>
    <w:rsid w:val="00C900B1"/>
    <w:rsid w:val="00C90494"/>
    <w:rsid w:val="00C9123E"/>
    <w:rsid w:val="00C91247"/>
    <w:rsid w:val="00C91858"/>
    <w:rsid w:val="00C9256A"/>
    <w:rsid w:val="00C92D07"/>
    <w:rsid w:val="00C933EA"/>
    <w:rsid w:val="00C934F9"/>
    <w:rsid w:val="00C95694"/>
    <w:rsid w:val="00C967F9"/>
    <w:rsid w:val="00C96A4D"/>
    <w:rsid w:val="00C96FCC"/>
    <w:rsid w:val="00C9798C"/>
    <w:rsid w:val="00CA091E"/>
    <w:rsid w:val="00CA1130"/>
    <w:rsid w:val="00CA1839"/>
    <w:rsid w:val="00CA2475"/>
    <w:rsid w:val="00CA401D"/>
    <w:rsid w:val="00CA415F"/>
    <w:rsid w:val="00CA4377"/>
    <w:rsid w:val="00CA46D6"/>
    <w:rsid w:val="00CA4AE6"/>
    <w:rsid w:val="00CA5381"/>
    <w:rsid w:val="00CA5548"/>
    <w:rsid w:val="00CA5670"/>
    <w:rsid w:val="00CA5EA7"/>
    <w:rsid w:val="00CA7109"/>
    <w:rsid w:val="00CA74B5"/>
    <w:rsid w:val="00CB026C"/>
    <w:rsid w:val="00CB06FB"/>
    <w:rsid w:val="00CB09AE"/>
    <w:rsid w:val="00CB2878"/>
    <w:rsid w:val="00CB2C14"/>
    <w:rsid w:val="00CB31C5"/>
    <w:rsid w:val="00CB335D"/>
    <w:rsid w:val="00CB3813"/>
    <w:rsid w:val="00CB3B43"/>
    <w:rsid w:val="00CB5037"/>
    <w:rsid w:val="00CB50E5"/>
    <w:rsid w:val="00CB58D6"/>
    <w:rsid w:val="00CB5A49"/>
    <w:rsid w:val="00CB5C15"/>
    <w:rsid w:val="00CB66FA"/>
    <w:rsid w:val="00CB678B"/>
    <w:rsid w:val="00CB6DFF"/>
    <w:rsid w:val="00CC01B2"/>
    <w:rsid w:val="00CC04F6"/>
    <w:rsid w:val="00CC091C"/>
    <w:rsid w:val="00CC0A92"/>
    <w:rsid w:val="00CC1228"/>
    <w:rsid w:val="00CC1852"/>
    <w:rsid w:val="00CC1A21"/>
    <w:rsid w:val="00CC1E82"/>
    <w:rsid w:val="00CC36FC"/>
    <w:rsid w:val="00CC39F0"/>
    <w:rsid w:val="00CC3F97"/>
    <w:rsid w:val="00CC4947"/>
    <w:rsid w:val="00CC5FD2"/>
    <w:rsid w:val="00CC64A8"/>
    <w:rsid w:val="00CC66DE"/>
    <w:rsid w:val="00CC7AC0"/>
    <w:rsid w:val="00CC7C0C"/>
    <w:rsid w:val="00CD1782"/>
    <w:rsid w:val="00CD1E42"/>
    <w:rsid w:val="00CD3119"/>
    <w:rsid w:val="00CD45AF"/>
    <w:rsid w:val="00CD66AA"/>
    <w:rsid w:val="00CD7187"/>
    <w:rsid w:val="00CD75E3"/>
    <w:rsid w:val="00CE0454"/>
    <w:rsid w:val="00CE2627"/>
    <w:rsid w:val="00CE265D"/>
    <w:rsid w:val="00CE2EB2"/>
    <w:rsid w:val="00CE3095"/>
    <w:rsid w:val="00CE399B"/>
    <w:rsid w:val="00CE525D"/>
    <w:rsid w:val="00CE55B2"/>
    <w:rsid w:val="00CE5871"/>
    <w:rsid w:val="00CE5AA0"/>
    <w:rsid w:val="00CE5C99"/>
    <w:rsid w:val="00CE67B1"/>
    <w:rsid w:val="00CE7452"/>
    <w:rsid w:val="00CF0152"/>
    <w:rsid w:val="00CF0431"/>
    <w:rsid w:val="00CF1A6B"/>
    <w:rsid w:val="00CF20B2"/>
    <w:rsid w:val="00CF23EE"/>
    <w:rsid w:val="00CF2B48"/>
    <w:rsid w:val="00CF38B9"/>
    <w:rsid w:val="00CF43A4"/>
    <w:rsid w:val="00CF45D5"/>
    <w:rsid w:val="00CF46A9"/>
    <w:rsid w:val="00CF4BAE"/>
    <w:rsid w:val="00CF6016"/>
    <w:rsid w:val="00CF701A"/>
    <w:rsid w:val="00D000BA"/>
    <w:rsid w:val="00D00A94"/>
    <w:rsid w:val="00D00C01"/>
    <w:rsid w:val="00D027D8"/>
    <w:rsid w:val="00D0318E"/>
    <w:rsid w:val="00D0348E"/>
    <w:rsid w:val="00D03E11"/>
    <w:rsid w:val="00D04089"/>
    <w:rsid w:val="00D05AA2"/>
    <w:rsid w:val="00D06339"/>
    <w:rsid w:val="00D064A5"/>
    <w:rsid w:val="00D06764"/>
    <w:rsid w:val="00D067E8"/>
    <w:rsid w:val="00D0698E"/>
    <w:rsid w:val="00D07166"/>
    <w:rsid w:val="00D073F7"/>
    <w:rsid w:val="00D07912"/>
    <w:rsid w:val="00D07C9D"/>
    <w:rsid w:val="00D1041F"/>
    <w:rsid w:val="00D10487"/>
    <w:rsid w:val="00D112EC"/>
    <w:rsid w:val="00D11357"/>
    <w:rsid w:val="00D126E2"/>
    <w:rsid w:val="00D126F7"/>
    <w:rsid w:val="00D129F5"/>
    <w:rsid w:val="00D12ED9"/>
    <w:rsid w:val="00D13217"/>
    <w:rsid w:val="00D13A42"/>
    <w:rsid w:val="00D141DD"/>
    <w:rsid w:val="00D14367"/>
    <w:rsid w:val="00D1494A"/>
    <w:rsid w:val="00D14BEF"/>
    <w:rsid w:val="00D14C4D"/>
    <w:rsid w:val="00D15036"/>
    <w:rsid w:val="00D15C0B"/>
    <w:rsid w:val="00D16055"/>
    <w:rsid w:val="00D16207"/>
    <w:rsid w:val="00D16729"/>
    <w:rsid w:val="00D17A66"/>
    <w:rsid w:val="00D20620"/>
    <w:rsid w:val="00D20AD3"/>
    <w:rsid w:val="00D20F92"/>
    <w:rsid w:val="00D217B5"/>
    <w:rsid w:val="00D21887"/>
    <w:rsid w:val="00D21CC0"/>
    <w:rsid w:val="00D2212B"/>
    <w:rsid w:val="00D2247A"/>
    <w:rsid w:val="00D22AA1"/>
    <w:rsid w:val="00D22B8D"/>
    <w:rsid w:val="00D23747"/>
    <w:rsid w:val="00D23AF6"/>
    <w:rsid w:val="00D23D0F"/>
    <w:rsid w:val="00D244E9"/>
    <w:rsid w:val="00D24DD7"/>
    <w:rsid w:val="00D253D4"/>
    <w:rsid w:val="00D25AE2"/>
    <w:rsid w:val="00D25C24"/>
    <w:rsid w:val="00D26693"/>
    <w:rsid w:val="00D266DE"/>
    <w:rsid w:val="00D26A90"/>
    <w:rsid w:val="00D26C42"/>
    <w:rsid w:val="00D30971"/>
    <w:rsid w:val="00D31352"/>
    <w:rsid w:val="00D31689"/>
    <w:rsid w:val="00D318BE"/>
    <w:rsid w:val="00D31ED8"/>
    <w:rsid w:val="00D32013"/>
    <w:rsid w:val="00D321E4"/>
    <w:rsid w:val="00D3259F"/>
    <w:rsid w:val="00D32632"/>
    <w:rsid w:val="00D32C9C"/>
    <w:rsid w:val="00D3425C"/>
    <w:rsid w:val="00D34392"/>
    <w:rsid w:val="00D34641"/>
    <w:rsid w:val="00D34A1E"/>
    <w:rsid w:val="00D3520D"/>
    <w:rsid w:val="00D355E8"/>
    <w:rsid w:val="00D366A2"/>
    <w:rsid w:val="00D369AE"/>
    <w:rsid w:val="00D36C4A"/>
    <w:rsid w:val="00D3705A"/>
    <w:rsid w:val="00D372EA"/>
    <w:rsid w:val="00D408BA"/>
    <w:rsid w:val="00D40B94"/>
    <w:rsid w:val="00D41050"/>
    <w:rsid w:val="00D418F2"/>
    <w:rsid w:val="00D42804"/>
    <w:rsid w:val="00D4295B"/>
    <w:rsid w:val="00D43201"/>
    <w:rsid w:val="00D43470"/>
    <w:rsid w:val="00D43DD6"/>
    <w:rsid w:val="00D44057"/>
    <w:rsid w:val="00D4429F"/>
    <w:rsid w:val="00D4430B"/>
    <w:rsid w:val="00D4433D"/>
    <w:rsid w:val="00D44474"/>
    <w:rsid w:val="00D44DF5"/>
    <w:rsid w:val="00D460E3"/>
    <w:rsid w:val="00D463F4"/>
    <w:rsid w:val="00D465F2"/>
    <w:rsid w:val="00D473BF"/>
    <w:rsid w:val="00D4776E"/>
    <w:rsid w:val="00D47790"/>
    <w:rsid w:val="00D47DD9"/>
    <w:rsid w:val="00D47FD6"/>
    <w:rsid w:val="00D51B41"/>
    <w:rsid w:val="00D51C2C"/>
    <w:rsid w:val="00D52D5B"/>
    <w:rsid w:val="00D5372F"/>
    <w:rsid w:val="00D54EA8"/>
    <w:rsid w:val="00D55A36"/>
    <w:rsid w:val="00D5613D"/>
    <w:rsid w:val="00D56621"/>
    <w:rsid w:val="00D5689A"/>
    <w:rsid w:val="00D56BAE"/>
    <w:rsid w:val="00D56BCA"/>
    <w:rsid w:val="00D57052"/>
    <w:rsid w:val="00D57072"/>
    <w:rsid w:val="00D572EB"/>
    <w:rsid w:val="00D600FF"/>
    <w:rsid w:val="00D60A08"/>
    <w:rsid w:val="00D60AD1"/>
    <w:rsid w:val="00D60BEF"/>
    <w:rsid w:val="00D60E59"/>
    <w:rsid w:val="00D61249"/>
    <w:rsid w:val="00D61639"/>
    <w:rsid w:val="00D61AE5"/>
    <w:rsid w:val="00D61DB3"/>
    <w:rsid w:val="00D61E61"/>
    <w:rsid w:val="00D631D9"/>
    <w:rsid w:val="00D6344D"/>
    <w:rsid w:val="00D637AD"/>
    <w:rsid w:val="00D63CB3"/>
    <w:rsid w:val="00D63E2C"/>
    <w:rsid w:val="00D64393"/>
    <w:rsid w:val="00D64636"/>
    <w:rsid w:val="00D64BA5"/>
    <w:rsid w:val="00D64D37"/>
    <w:rsid w:val="00D65526"/>
    <w:rsid w:val="00D65707"/>
    <w:rsid w:val="00D65B6C"/>
    <w:rsid w:val="00D65BEE"/>
    <w:rsid w:val="00D65BFF"/>
    <w:rsid w:val="00D668E4"/>
    <w:rsid w:val="00D66AEA"/>
    <w:rsid w:val="00D66AF8"/>
    <w:rsid w:val="00D66DCF"/>
    <w:rsid w:val="00D6745E"/>
    <w:rsid w:val="00D67466"/>
    <w:rsid w:val="00D67841"/>
    <w:rsid w:val="00D67E56"/>
    <w:rsid w:val="00D7047B"/>
    <w:rsid w:val="00D70B45"/>
    <w:rsid w:val="00D70EAF"/>
    <w:rsid w:val="00D718FC"/>
    <w:rsid w:val="00D729A9"/>
    <w:rsid w:val="00D741F4"/>
    <w:rsid w:val="00D7494A"/>
    <w:rsid w:val="00D74FEC"/>
    <w:rsid w:val="00D7524A"/>
    <w:rsid w:val="00D75505"/>
    <w:rsid w:val="00D76695"/>
    <w:rsid w:val="00D766BD"/>
    <w:rsid w:val="00D77DAB"/>
    <w:rsid w:val="00D8067F"/>
    <w:rsid w:val="00D80741"/>
    <w:rsid w:val="00D809BA"/>
    <w:rsid w:val="00D809EE"/>
    <w:rsid w:val="00D811A9"/>
    <w:rsid w:val="00D814D5"/>
    <w:rsid w:val="00D8177F"/>
    <w:rsid w:val="00D81CF9"/>
    <w:rsid w:val="00D81ED8"/>
    <w:rsid w:val="00D8228F"/>
    <w:rsid w:val="00D82B22"/>
    <w:rsid w:val="00D83562"/>
    <w:rsid w:val="00D83CB1"/>
    <w:rsid w:val="00D84501"/>
    <w:rsid w:val="00D847BC"/>
    <w:rsid w:val="00D8492A"/>
    <w:rsid w:val="00D84939"/>
    <w:rsid w:val="00D85982"/>
    <w:rsid w:val="00D862DA"/>
    <w:rsid w:val="00D8640C"/>
    <w:rsid w:val="00D86456"/>
    <w:rsid w:val="00D8651B"/>
    <w:rsid w:val="00D865F1"/>
    <w:rsid w:val="00D86E9E"/>
    <w:rsid w:val="00D86FD6"/>
    <w:rsid w:val="00D870BD"/>
    <w:rsid w:val="00D871AF"/>
    <w:rsid w:val="00D874FE"/>
    <w:rsid w:val="00D87A53"/>
    <w:rsid w:val="00D90D61"/>
    <w:rsid w:val="00D90ED6"/>
    <w:rsid w:val="00D90ED8"/>
    <w:rsid w:val="00D91236"/>
    <w:rsid w:val="00D91E3D"/>
    <w:rsid w:val="00D92CFA"/>
    <w:rsid w:val="00D9302C"/>
    <w:rsid w:val="00D930FF"/>
    <w:rsid w:val="00D93134"/>
    <w:rsid w:val="00D93969"/>
    <w:rsid w:val="00D945C7"/>
    <w:rsid w:val="00D94751"/>
    <w:rsid w:val="00D94EC7"/>
    <w:rsid w:val="00D95367"/>
    <w:rsid w:val="00D967F3"/>
    <w:rsid w:val="00D969A3"/>
    <w:rsid w:val="00D96E11"/>
    <w:rsid w:val="00D97D6E"/>
    <w:rsid w:val="00DA0842"/>
    <w:rsid w:val="00DA08EC"/>
    <w:rsid w:val="00DA0CA2"/>
    <w:rsid w:val="00DA0CA5"/>
    <w:rsid w:val="00DA0F22"/>
    <w:rsid w:val="00DA179B"/>
    <w:rsid w:val="00DA1836"/>
    <w:rsid w:val="00DA1AE7"/>
    <w:rsid w:val="00DA1BCC"/>
    <w:rsid w:val="00DA1C4C"/>
    <w:rsid w:val="00DA2081"/>
    <w:rsid w:val="00DA2364"/>
    <w:rsid w:val="00DA24DD"/>
    <w:rsid w:val="00DA3602"/>
    <w:rsid w:val="00DA3701"/>
    <w:rsid w:val="00DA3AD4"/>
    <w:rsid w:val="00DA3B29"/>
    <w:rsid w:val="00DA3D7B"/>
    <w:rsid w:val="00DA4531"/>
    <w:rsid w:val="00DA4E98"/>
    <w:rsid w:val="00DA4F36"/>
    <w:rsid w:val="00DA5E7F"/>
    <w:rsid w:val="00DA5F9B"/>
    <w:rsid w:val="00DA6721"/>
    <w:rsid w:val="00DA7189"/>
    <w:rsid w:val="00DA7365"/>
    <w:rsid w:val="00DA7370"/>
    <w:rsid w:val="00DA754B"/>
    <w:rsid w:val="00DA7AA8"/>
    <w:rsid w:val="00DB05FA"/>
    <w:rsid w:val="00DB0B11"/>
    <w:rsid w:val="00DB1190"/>
    <w:rsid w:val="00DB1C45"/>
    <w:rsid w:val="00DB2168"/>
    <w:rsid w:val="00DB33C6"/>
    <w:rsid w:val="00DB369B"/>
    <w:rsid w:val="00DB4594"/>
    <w:rsid w:val="00DB47B1"/>
    <w:rsid w:val="00DB4926"/>
    <w:rsid w:val="00DB4AA3"/>
    <w:rsid w:val="00DB68FF"/>
    <w:rsid w:val="00DB7230"/>
    <w:rsid w:val="00DB74B2"/>
    <w:rsid w:val="00DB782B"/>
    <w:rsid w:val="00DC005C"/>
    <w:rsid w:val="00DC0BC3"/>
    <w:rsid w:val="00DC12D7"/>
    <w:rsid w:val="00DC32BA"/>
    <w:rsid w:val="00DC34DF"/>
    <w:rsid w:val="00DC474D"/>
    <w:rsid w:val="00DC5C12"/>
    <w:rsid w:val="00DC5CF2"/>
    <w:rsid w:val="00DC5FD8"/>
    <w:rsid w:val="00DC61DB"/>
    <w:rsid w:val="00DC6E5B"/>
    <w:rsid w:val="00DC7072"/>
    <w:rsid w:val="00DC724A"/>
    <w:rsid w:val="00DC7A29"/>
    <w:rsid w:val="00DC7DDB"/>
    <w:rsid w:val="00DD0B7A"/>
    <w:rsid w:val="00DD0E5E"/>
    <w:rsid w:val="00DD0F64"/>
    <w:rsid w:val="00DD1E9F"/>
    <w:rsid w:val="00DD25B2"/>
    <w:rsid w:val="00DD32CA"/>
    <w:rsid w:val="00DD470E"/>
    <w:rsid w:val="00DD6537"/>
    <w:rsid w:val="00DD6667"/>
    <w:rsid w:val="00DD6901"/>
    <w:rsid w:val="00DD6A77"/>
    <w:rsid w:val="00DD74A2"/>
    <w:rsid w:val="00DD7CDD"/>
    <w:rsid w:val="00DE0384"/>
    <w:rsid w:val="00DE07BA"/>
    <w:rsid w:val="00DE1247"/>
    <w:rsid w:val="00DE26DB"/>
    <w:rsid w:val="00DE2B38"/>
    <w:rsid w:val="00DE30A3"/>
    <w:rsid w:val="00DE37E7"/>
    <w:rsid w:val="00DE383B"/>
    <w:rsid w:val="00DE4293"/>
    <w:rsid w:val="00DE4530"/>
    <w:rsid w:val="00DE4539"/>
    <w:rsid w:val="00DE49BE"/>
    <w:rsid w:val="00DE4B47"/>
    <w:rsid w:val="00DE5281"/>
    <w:rsid w:val="00DE5858"/>
    <w:rsid w:val="00DE61B7"/>
    <w:rsid w:val="00DE6576"/>
    <w:rsid w:val="00DE6E5F"/>
    <w:rsid w:val="00DE75B9"/>
    <w:rsid w:val="00DE7C39"/>
    <w:rsid w:val="00DF1164"/>
    <w:rsid w:val="00DF2007"/>
    <w:rsid w:val="00DF200B"/>
    <w:rsid w:val="00DF2102"/>
    <w:rsid w:val="00DF3802"/>
    <w:rsid w:val="00DF38C6"/>
    <w:rsid w:val="00DF4614"/>
    <w:rsid w:val="00DF47A4"/>
    <w:rsid w:val="00DF4FBB"/>
    <w:rsid w:val="00DF53E8"/>
    <w:rsid w:val="00DF6032"/>
    <w:rsid w:val="00DF6200"/>
    <w:rsid w:val="00DF676A"/>
    <w:rsid w:val="00DF6822"/>
    <w:rsid w:val="00DF6C77"/>
    <w:rsid w:val="00DF6D10"/>
    <w:rsid w:val="00DF718E"/>
    <w:rsid w:val="00DF7B25"/>
    <w:rsid w:val="00E00B67"/>
    <w:rsid w:val="00E01B8A"/>
    <w:rsid w:val="00E0246B"/>
    <w:rsid w:val="00E026F3"/>
    <w:rsid w:val="00E02824"/>
    <w:rsid w:val="00E03706"/>
    <w:rsid w:val="00E04557"/>
    <w:rsid w:val="00E04811"/>
    <w:rsid w:val="00E051C5"/>
    <w:rsid w:val="00E059ED"/>
    <w:rsid w:val="00E06BF8"/>
    <w:rsid w:val="00E06DEA"/>
    <w:rsid w:val="00E07200"/>
    <w:rsid w:val="00E072F6"/>
    <w:rsid w:val="00E0761D"/>
    <w:rsid w:val="00E0764D"/>
    <w:rsid w:val="00E07812"/>
    <w:rsid w:val="00E1001E"/>
    <w:rsid w:val="00E12BFC"/>
    <w:rsid w:val="00E135A1"/>
    <w:rsid w:val="00E139A6"/>
    <w:rsid w:val="00E13EDB"/>
    <w:rsid w:val="00E1401D"/>
    <w:rsid w:val="00E14657"/>
    <w:rsid w:val="00E1496E"/>
    <w:rsid w:val="00E14BE3"/>
    <w:rsid w:val="00E15633"/>
    <w:rsid w:val="00E15D4F"/>
    <w:rsid w:val="00E167AA"/>
    <w:rsid w:val="00E16B0D"/>
    <w:rsid w:val="00E16E3E"/>
    <w:rsid w:val="00E16EF1"/>
    <w:rsid w:val="00E17002"/>
    <w:rsid w:val="00E1732B"/>
    <w:rsid w:val="00E177A0"/>
    <w:rsid w:val="00E17F63"/>
    <w:rsid w:val="00E210D3"/>
    <w:rsid w:val="00E211A1"/>
    <w:rsid w:val="00E21538"/>
    <w:rsid w:val="00E21B47"/>
    <w:rsid w:val="00E22256"/>
    <w:rsid w:val="00E22505"/>
    <w:rsid w:val="00E2250C"/>
    <w:rsid w:val="00E2420C"/>
    <w:rsid w:val="00E247EF"/>
    <w:rsid w:val="00E24B34"/>
    <w:rsid w:val="00E24C13"/>
    <w:rsid w:val="00E250A4"/>
    <w:rsid w:val="00E259F0"/>
    <w:rsid w:val="00E25B95"/>
    <w:rsid w:val="00E25ECE"/>
    <w:rsid w:val="00E2636F"/>
    <w:rsid w:val="00E26BBD"/>
    <w:rsid w:val="00E27486"/>
    <w:rsid w:val="00E275DB"/>
    <w:rsid w:val="00E27AAE"/>
    <w:rsid w:val="00E30439"/>
    <w:rsid w:val="00E30FF8"/>
    <w:rsid w:val="00E31938"/>
    <w:rsid w:val="00E32ABE"/>
    <w:rsid w:val="00E338D7"/>
    <w:rsid w:val="00E33A79"/>
    <w:rsid w:val="00E33FC7"/>
    <w:rsid w:val="00E34317"/>
    <w:rsid w:val="00E345ED"/>
    <w:rsid w:val="00E34D7E"/>
    <w:rsid w:val="00E352BD"/>
    <w:rsid w:val="00E3636D"/>
    <w:rsid w:val="00E36561"/>
    <w:rsid w:val="00E36666"/>
    <w:rsid w:val="00E36B40"/>
    <w:rsid w:val="00E374FA"/>
    <w:rsid w:val="00E37C08"/>
    <w:rsid w:val="00E37CEC"/>
    <w:rsid w:val="00E37F48"/>
    <w:rsid w:val="00E4018E"/>
    <w:rsid w:val="00E41401"/>
    <w:rsid w:val="00E4145A"/>
    <w:rsid w:val="00E419EE"/>
    <w:rsid w:val="00E41B65"/>
    <w:rsid w:val="00E428AA"/>
    <w:rsid w:val="00E43172"/>
    <w:rsid w:val="00E4336B"/>
    <w:rsid w:val="00E43B64"/>
    <w:rsid w:val="00E43C06"/>
    <w:rsid w:val="00E44009"/>
    <w:rsid w:val="00E449B1"/>
    <w:rsid w:val="00E44DFC"/>
    <w:rsid w:val="00E4691C"/>
    <w:rsid w:val="00E47B31"/>
    <w:rsid w:val="00E47DF2"/>
    <w:rsid w:val="00E501F7"/>
    <w:rsid w:val="00E5082D"/>
    <w:rsid w:val="00E50A70"/>
    <w:rsid w:val="00E5104E"/>
    <w:rsid w:val="00E5151F"/>
    <w:rsid w:val="00E51925"/>
    <w:rsid w:val="00E51DEA"/>
    <w:rsid w:val="00E51F29"/>
    <w:rsid w:val="00E52232"/>
    <w:rsid w:val="00E52E64"/>
    <w:rsid w:val="00E543A1"/>
    <w:rsid w:val="00E54725"/>
    <w:rsid w:val="00E55CDC"/>
    <w:rsid w:val="00E55F26"/>
    <w:rsid w:val="00E56078"/>
    <w:rsid w:val="00E56775"/>
    <w:rsid w:val="00E574A9"/>
    <w:rsid w:val="00E5766A"/>
    <w:rsid w:val="00E5792E"/>
    <w:rsid w:val="00E61031"/>
    <w:rsid w:val="00E61355"/>
    <w:rsid w:val="00E613BC"/>
    <w:rsid w:val="00E61414"/>
    <w:rsid w:val="00E61F1E"/>
    <w:rsid w:val="00E634E3"/>
    <w:rsid w:val="00E6392A"/>
    <w:rsid w:val="00E65658"/>
    <w:rsid w:val="00E6598F"/>
    <w:rsid w:val="00E66299"/>
    <w:rsid w:val="00E66861"/>
    <w:rsid w:val="00E66E21"/>
    <w:rsid w:val="00E66F35"/>
    <w:rsid w:val="00E66F73"/>
    <w:rsid w:val="00E67063"/>
    <w:rsid w:val="00E6722B"/>
    <w:rsid w:val="00E70673"/>
    <w:rsid w:val="00E70F38"/>
    <w:rsid w:val="00E710FC"/>
    <w:rsid w:val="00E71179"/>
    <w:rsid w:val="00E713DF"/>
    <w:rsid w:val="00E71915"/>
    <w:rsid w:val="00E71E0C"/>
    <w:rsid w:val="00E72BCA"/>
    <w:rsid w:val="00E7305F"/>
    <w:rsid w:val="00E73E58"/>
    <w:rsid w:val="00E76D2A"/>
    <w:rsid w:val="00E77534"/>
    <w:rsid w:val="00E80055"/>
    <w:rsid w:val="00E80840"/>
    <w:rsid w:val="00E80916"/>
    <w:rsid w:val="00E81097"/>
    <w:rsid w:val="00E811B2"/>
    <w:rsid w:val="00E8137B"/>
    <w:rsid w:val="00E819D5"/>
    <w:rsid w:val="00E81B66"/>
    <w:rsid w:val="00E81B83"/>
    <w:rsid w:val="00E81B9D"/>
    <w:rsid w:val="00E8368D"/>
    <w:rsid w:val="00E840DF"/>
    <w:rsid w:val="00E8501F"/>
    <w:rsid w:val="00E85151"/>
    <w:rsid w:val="00E853BD"/>
    <w:rsid w:val="00E8555F"/>
    <w:rsid w:val="00E855DA"/>
    <w:rsid w:val="00E8560F"/>
    <w:rsid w:val="00E86C6F"/>
    <w:rsid w:val="00E873E8"/>
    <w:rsid w:val="00E8780A"/>
    <w:rsid w:val="00E902D6"/>
    <w:rsid w:val="00E906F1"/>
    <w:rsid w:val="00E90E34"/>
    <w:rsid w:val="00E91C11"/>
    <w:rsid w:val="00E92122"/>
    <w:rsid w:val="00E92169"/>
    <w:rsid w:val="00E92D75"/>
    <w:rsid w:val="00E92D9B"/>
    <w:rsid w:val="00E930BF"/>
    <w:rsid w:val="00E932F7"/>
    <w:rsid w:val="00E9468F"/>
    <w:rsid w:val="00E957FC"/>
    <w:rsid w:val="00E9589F"/>
    <w:rsid w:val="00E96382"/>
    <w:rsid w:val="00E969A4"/>
    <w:rsid w:val="00E97316"/>
    <w:rsid w:val="00E976A5"/>
    <w:rsid w:val="00E97A88"/>
    <w:rsid w:val="00EA0289"/>
    <w:rsid w:val="00EA0EC4"/>
    <w:rsid w:val="00EA10E4"/>
    <w:rsid w:val="00EA2295"/>
    <w:rsid w:val="00EA2365"/>
    <w:rsid w:val="00EA2A32"/>
    <w:rsid w:val="00EA2E25"/>
    <w:rsid w:val="00EA3BF9"/>
    <w:rsid w:val="00EA48E8"/>
    <w:rsid w:val="00EA4BDD"/>
    <w:rsid w:val="00EA4F67"/>
    <w:rsid w:val="00EA592B"/>
    <w:rsid w:val="00EA59C6"/>
    <w:rsid w:val="00EA5BF4"/>
    <w:rsid w:val="00EA6EB4"/>
    <w:rsid w:val="00EA72E9"/>
    <w:rsid w:val="00EA736D"/>
    <w:rsid w:val="00EA7D05"/>
    <w:rsid w:val="00EB053C"/>
    <w:rsid w:val="00EB0890"/>
    <w:rsid w:val="00EB11D1"/>
    <w:rsid w:val="00EB136D"/>
    <w:rsid w:val="00EB13DC"/>
    <w:rsid w:val="00EB1686"/>
    <w:rsid w:val="00EB181B"/>
    <w:rsid w:val="00EB1CA4"/>
    <w:rsid w:val="00EB242D"/>
    <w:rsid w:val="00EB2D5C"/>
    <w:rsid w:val="00EB2DEA"/>
    <w:rsid w:val="00EB39F2"/>
    <w:rsid w:val="00EB4D9C"/>
    <w:rsid w:val="00EB52D9"/>
    <w:rsid w:val="00EB5C29"/>
    <w:rsid w:val="00EB6363"/>
    <w:rsid w:val="00EB7A87"/>
    <w:rsid w:val="00EC08A8"/>
    <w:rsid w:val="00EC0CA9"/>
    <w:rsid w:val="00EC0EB5"/>
    <w:rsid w:val="00EC0FD7"/>
    <w:rsid w:val="00EC17ED"/>
    <w:rsid w:val="00EC1F50"/>
    <w:rsid w:val="00EC341C"/>
    <w:rsid w:val="00EC3AFC"/>
    <w:rsid w:val="00EC408D"/>
    <w:rsid w:val="00EC4E24"/>
    <w:rsid w:val="00EC537E"/>
    <w:rsid w:val="00EC54C9"/>
    <w:rsid w:val="00EC5F65"/>
    <w:rsid w:val="00EC6127"/>
    <w:rsid w:val="00EC69A6"/>
    <w:rsid w:val="00EC6CD4"/>
    <w:rsid w:val="00EC6F60"/>
    <w:rsid w:val="00EC71BD"/>
    <w:rsid w:val="00EC75BD"/>
    <w:rsid w:val="00EC7A94"/>
    <w:rsid w:val="00EC7C62"/>
    <w:rsid w:val="00ED0B55"/>
    <w:rsid w:val="00ED1657"/>
    <w:rsid w:val="00ED1814"/>
    <w:rsid w:val="00ED1C8F"/>
    <w:rsid w:val="00ED30B8"/>
    <w:rsid w:val="00ED347C"/>
    <w:rsid w:val="00ED4880"/>
    <w:rsid w:val="00ED4991"/>
    <w:rsid w:val="00ED4EFB"/>
    <w:rsid w:val="00ED503A"/>
    <w:rsid w:val="00ED5637"/>
    <w:rsid w:val="00ED5BC6"/>
    <w:rsid w:val="00ED5C36"/>
    <w:rsid w:val="00ED60C3"/>
    <w:rsid w:val="00ED6618"/>
    <w:rsid w:val="00ED68B1"/>
    <w:rsid w:val="00ED77C5"/>
    <w:rsid w:val="00ED7BF2"/>
    <w:rsid w:val="00ED7C04"/>
    <w:rsid w:val="00ED7E12"/>
    <w:rsid w:val="00EE0156"/>
    <w:rsid w:val="00EE0C6E"/>
    <w:rsid w:val="00EE1452"/>
    <w:rsid w:val="00EE2DE0"/>
    <w:rsid w:val="00EE332B"/>
    <w:rsid w:val="00EE34CA"/>
    <w:rsid w:val="00EE3D33"/>
    <w:rsid w:val="00EE4BC4"/>
    <w:rsid w:val="00EE50E7"/>
    <w:rsid w:val="00EE5608"/>
    <w:rsid w:val="00EE59C5"/>
    <w:rsid w:val="00EE6069"/>
    <w:rsid w:val="00EE65DD"/>
    <w:rsid w:val="00EE6636"/>
    <w:rsid w:val="00EE71C9"/>
    <w:rsid w:val="00EE756E"/>
    <w:rsid w:val="00EE7A76"/>
    <w:rsid w:val="00EF017A"/>
    <w:rsid w:val="00EF0260"/>
    <w:rsid w:val="00EF07BE"/>
    <w:rsid w:val="00EF0E67"/>
    <w:rsid w:val="00EF220A"/>
    <w:rsid w:val="00EF24D1"/>
    <w:rsid w:val="00EF2826"/>
    <w:rsid w:val="00EF2B36"/>
    <w:rsid w:val="00EF2E9A"/>
    <w:rsid w:val="00EF352D"/>
    <w:rsid w:val="00EF356D"/>
    <w:rsid w:val="00EF3E44"/>
    <w:rsid w:val="00EF4A41"/>
    <w:rsid w:val="00EF4AEE"/>
    <w:rsid w:val="00EF4CCF"/>
    <w:rsid w:val="00EF55F5"/>
    <w:rsid w:val="00EF5AB2"/>
    <w:rsid w:val="00EF6389"/>
    <w:rsid w:val="00EF6AC9"/>
    <w:rsid w:val="00EF6DC9"/>
    <w:rsid w:val="00EF6E41"/>
    <w:rsid w:val="00EF6E70"/>
    <w:rsid w:val="00EF7498"/>
    <w:rsid w:val="00EF74DA"/>
    <w:rsid w:val="00EF751B"/>
    <w:rsid w:val="00EF7814"/>
    <w:rsid w:val="00F005C0"/>
    <w:rsid w:val="00F03A43"/>
    <w:rsid w:val="00F03D24"/>
    <w:rsid w:val="00F03F3B"/>
    <w:rsid w:val="00F0443B"/>
    <w:rsid w:val="00F04450"/>
    <w:rsid w:val="00F044A8"/>
    <w:rsid w:val="00F047FC"/>
    <w:rsid w:val="00F04810"/>
    <w:rsid w:val="00F0538D"/>
    <w:rsid w:val="00F05A7B"/>
    <w:rsid w:val="00F05CF6"/>
    <w:rsid w:val="00F060B8"/>
    <w:rsid w:val="00F06AD4"/>
    <w:rsid w:val="00F06BC2"/>
    <w:rsid w:val="00F06D73"/>
    <w:rsid w:val="00F06E0D"/>
    <w:rsid w:val="00F07468"/>
    <w:rsid w:val="00F07A7A"/>
    <w:rsid w:val="00F07FE8"/>
    <w:rsid w:val="00F100D4"/>
    <w:rsid w:val="00F11078"/>
    <w:rsid w:val="00F110B0"/>
    <w:rsid w:val="00F11279"/>
    <w:rsid w:val="00F11998"/>
    <w:rsid w:val="00F11DDC"/>
    <w:rsid w:val="00F1202E"/>
    <w:rsid w:val="00F127C8"/>
    <w:rsid w:val="00F1302B"/>
    <w:rsid w:val="00F13200"/>
    <w:rsid w:val="00F13D24"/>
    <w:rsid w:val="00F13EC7"/>
    <w:rsid w:val="00F13F76"/>
    <w:rsid w:val="00F14CB2"/>
    <w:rsid w:val="00F1579C"/>
    <w:rsid w:val="00F15B0E"/>
    <w:rsid w:val="00F205A8"/>
    <w:rsid w:val="00F2091A"/>
    <w:rsid w:val="00F2176B"/>
    <w:rsid w:val="00F217B1"/>
    <w:rsid w:val="00F21E5A"/>
    <w:rsid w:val="00F22487"/>
    <w:rsid w:val="00F22D82"/>
    <w:rsid w:val="00F23131"/>
    <w:rsid w:val="00F23A8E"/>
    <w:rsid w:val="00F243FE"/>
    <w:rsid w:val="00F246DE"/>
    <w:rsid w:val="00F24AD3"/>
    <w:rsid w:val="00F24EAF"/>
    <w:rsid w:val="00F25578"/>
    <w:rsid w:val="00F25E58"/>
    <w:rsid w:val="00F2623A"/>
    <w:rsid w:val="00F263AB"/>
    <w:rsid w:val="00F266F7"/>
    <w:rsid w:val="00F26D40"/>
    <w:rsid w:val="00F26ECF"/>
    <w:rsid w:val="00F27092"/>
    <w:rsid w:val="00F27795"/>
    <w:rsid w:val="00F27B18"/>
    <w:rsid w:val="00F27B90"/>
    <w:rsid w:val="00F301BD"/>
    <w:rsid w:val="00F30C77"/>
    <w:rsid w:val="00F30DC9"/>
    <w:rsid w:val="00F3123F"/>
    <w:rsid w:val="00F3222C"/>
    <w:rsid w:val="00F32ECF"/>
    <w:rsid w:val="00F33784"/>
    <w:rsid w:val="00F33A02"/>
    <w:rsid w:val="00F33A36"/>
    <w:rsid w:val="00F340B6"/>
    <w:rsid w:val="00F35EB1"/>
    <w:rsid w:val="00F361B7"/>
    <w:rsid w:val="00F36E25"/>
    <w:rsid w:val="00F37A69"/>
    <w:rsid w:val="00F37EC6"/>
    <w:rsid w:val="00F40A13"/>
    <w:rsid w:val="00F40BAE"/>
    <w:rsid w:val="00F40C94"/>
    <w:rsid w:val="00F4284C"/>
    <w:rsid w:val="00F43C01"/>
    <w:rsid w:val="00F44CDD"/>
    <w:rsid w:val="00F4553A"/>
    <w:rsid w:val="00F45721"/>
    <w:rsid w:val="00F46105"/>
    <w:rsid w:val="00F46553"/>
    <w:rsid w:val="00F46F7D"/>
    <w:rsid w:val="00F47ED7"/>
    <w:rsid w:val="00F50A92"/>
    <w:rsid w:val="00F50D81"/>
    <w:rsid w:val="00F51467"/>
    <w:rsid w:val="00F51CE8"/>
    <w:rsid w:val="00F51D38"/>
    <w:rsid w:val="00F51FBC"/>
    <w:rsid w:val="00F52337"/>
    <w:rsid w:val="00F523F7"/>
    <w:rsid w:val="00F52F93"/>
    <w:rsid w:val="00F53142"/>
    <w:rsid w:val="00F531ED"/>
    <w:rsid w:val="00F53743"/>
    <w:rsid w:val="00F53BF2"/>
    <w:rsid w:val="00F54251"/>
    <w:rsid w:val="00F54608"/>
    <w:rsid w:val="00F5491C"/>
    <w:rsid w:val="00F549AC"/>
    <w:rsid w:val="00F552F2"/>
    <w:rsid w:val="00F552F3"/>
    <w:rsid w:val="00F5584F"/>
    <w:rsid w:val="00F55E52"/>
    <w:rsid w:val="00F562B0"/>
    <w:rsid w:val="00F56FBA"/>
    <w:rsid w:val="00F57776"/>
    <w:rsid w:val="00F57EF0"/>
    <w:rsid w:val="00F6040F"/>
    <w:rsid w:val="00F60BD7"/>
    <w:rsid w:val="00F612CA"/>
    <w:rsid w:val="00F6183D"/>
    <w:rsid w:val="00F627E2"/>
    <w:rsid w:val="00F62E65"/>
    <w:rsid w:val="00F62F72"/>
    <w:rsid w:val="00F6490A"/>
    <w:rsid w:val="00F66B45"/>
    <w:rsid w:val="00F66DFC"/>
    <w:rsid w:val="00F67AA6"/>
    <w:rsid w:val="00F67E45"/>
    <w:rsid w:val="00F7089F"/>
    <w:rsid w:val="00F70A49"/>
    <w:rsid w:val="00F7104D"/>
    <w:rsid w:val="00F71520"/>
    <w:rsid w:val="00F74896"/>
    <w:rsid w:val="00F7590F"/>
    <w:rsid w:val="00F75929"/>
    <w:rsid w:val="00F75FE2"/>
    <w:rsid w:val="00F7651D"/>
    <w:rsid w:val="00F76946"/>
    <w:rsid w:val="00F771F5"/>
    <w:rsid w:val="00F772CC"/>
    <w:rsid w:val="00F778E3"/>
    <w:rsid w:val="00F77E7A"/>
    <w:rsid w:val="00F8073C"/>
    <w:rsid w:val="00F80FEC"/>
    <w:rsid w:val="00F81D82"/>
    <w:rsid w:val="00F82CC4"/>
    <w:rsid w:val="00F83A07"/>
    <w:rsid w:val="00F83E43"/>
    <w:rsid w:val="00F840E0"/>
    <w:rsid w:val="00F84270"/>
    <w:rsid w:val="00F84650"/>
    <w:rsid w:val="00F84A30"/>
    <w:rsid w:val="00F850EA"/>
    <w:rsid w:val="00F8569E"/>
    <w:rsid w:val="00F85A14"/>
    <w:rsid w:val="00F85F8F"/>
    <w:rsid w:val="00F862FB"/>
    <w:rsid w:val="00F869C8"/>
    <w:rsid w:val="00F86DFC"/>
    <w:rsid w:val="00F870CA"/>
    <w:rsid w:val="00F90BC3"/>
    <w:rsid w:val="00F90C7A"/>
    <w:rsid w:val="00F90EB0"/>
    <w:rsid w:val="00F90F1F"/>
    <w:rsid w:val="00F913C6"/>
    <w:rsid w:val="00F9464E"/>
    <w:rsid w:val="00F94864"/>
    <w:rsid w:val="00F94FDB"/>
    <w:rsid w:val="00F95458"/>
    <w:rsid w:val="00F95ADC"/>
    <w:rsid w:val="00F95B4F"/>
    <w:rsid w:val="00F95BDD"/>
    <w:rsid w:val="00F97376"/>
    <w:rsid w:val="00F97569"/>
    <w:rsid w:val="00F97FE4"/>
    <w:rsid w:val="00FA0215"/>
    <w:rsid w:val="00FA02EE"/>
    <w:rsid w:val="00FA05AD"/>
    <w:rsid w:val="00FA070D"/>
    <w:rsid w:val="00FA0773"/>
    <w:rsid w:val="00FA1723"/>
    <w:rsid w:val="00FA1A32"/>
    <w:rsid w:val="00FA2626"/>
    <w:rsid w:val="00FA33A6"/>
    <w:rsid w:val="00FA3C49"/>
    <w:rsid w:val="00FA58AD"/>
    <w:rsid w:val="00FA5D2D"/>
    <w:rsid w:val="00FA7B80"/>
    <w:rsid w:val="00FA7DB3"/>
    <w:rsid w:val="00FA7FCD"/>
    <w:rsid w:val="00FB0354"/>
    <w:rsid w:val="00FB063B"/>
    <w:rsid w:val="00FB0B18"/>
    <w:rsid w:val="00FB0E3B"/>
    <w:rsid w:val="00FB1599"/>
    <w:rsid w:val="00FB20D0"/>
    <w:rsid w:val="00FB22B8"/>
    <w:rsid w:val="00FB23E3"/>
    <w:rsid w:val="00FB255A"/>
    <w:rsid w:val="00FB2ACA"/>
    <w:rsid w:val="00FB3403"/>
    <w:rsid w:val="00FB34F8"/>
    <w:rsid w:val="00FB3E1F"/>
    <w:rsid w:val="00FB5533"/>
    <w:rsid w:val="00FB5565"/>
    <w:rsid w:val="00FB673E"/>
    <w:rsid w:val="00FB6B3B"/>
    <w:rsid w:val="00FB700A"/>
    <w:rsid w:val="00FB753B"/>
    <w:rsid w:val="00FB7980"/>
    <w:rsid w:val="00FB7AB8"/>
    <w:rsid w:val="00FC0E04"/>
    <w:rsid w:val="00FC12B4"/>
    <w:rsid w:val="00FC14E3"/>
    <w:rsid w:val="00FC1FD3"/>
    <w:rsid w:val="00FC23D3"/>
    <w:rsid w:val="00FC2CE0"/>
    <w:rsid w:val="00FC321B"/>
    <w:rsid w:val="00FC3D57"/>
    <w:rsid w:val="00FC3EB4"/>
    <w:rsid w:val="00FC4E34"/>
    <w:rsid w:val="00FC4EF3"/>
    <w:rsid w:val="00FC50C3"/>
    <w:rsid w:val="00FC51B8"/>
    <w:rsid w:val="00FC5FD1"/>
    <w:rsid w:val="00FC630E"/>
    <w:rsid w:val="00FC6AAE"/>
    <w:rsid w:val="00FC6C2D"/>
    <w:rsid w:val="00FC703A"/>
    <w:rsid w:val="00FC7B2D"/>
    <w:rsid w:val="00FC7D43"/>
    <w:rsid w:val="00FD0DEE"/>
    <w:rsid w:val="00FD16AB"/>
    <w:rsid w:val="00FD19FA"/>
    <w:rsid w:val="00FD211F"/>
    <w:rsid w:val="00FD2260"/>
    <w:rsid w:val="00FD2E3A"/>
    <w:rsid w:val="00FD37AE"/>
    <w:rsid w:val="00FD38DC"/>
    <w:rsid w:val="00FD3A7C"/>
    <w:rsid w:val="00FD3DCC"/>
    <w:rsid w:val="00FD424D"/>
    <w:rsid w:val="00FD4E75"/>
    <w:rsid w:val="00FD589A"/>
    <w:rsid w:val="00FD5DDE"/>
    <w:rsid w:val="00FD62C2"/>
    <w:rsid w:val="00FD6457"/>
    <w:rsid w:val="00FD646C"/>
    <w:rsid w:val="00FD6609"/>
    <w:rsid w:val="00FD731E"/>
    <w:rsid w:val="00FD755E"/>
    <w:rsid w:val="00FD7CD3"/>
    <w:rsid w:val="00FD7D78"/>
    <w:rsid w:val="00FE01BA"/>
    <w:rsid w:val="00FE0262"/>
    <w:rsid w:val="00FE157D"/>
    <w:rsid w:val="00FE1778"/>
    <w:rsid w:val="00FE1D90"/>
    <w:rsid w:val="00FE2081"/>
    <w:rsid w:val="00FE24F3"/>
    <w:rsid w:val="00FE3189"/>
    <w:rsid w:val="00FE432F"/>
    <w:rsid w:val="00FE44C5"/>
    <w:rsid w:val="00FE44EB"/>
    <w:rsid w:val="00FE46E3"/>
    <w:rsid w:val="00FE4796"/>
    <w:rsid w:val="00FE4DFD"/>
    <w:rsid w:val="00FE5E2C"/>
    <w:rsid w:val="00FE5F1D"/>
    <w:rsid w:val="00FE5F5D"/>
    <w:rsid w:val="00FE61CE"/>
    <w:rsid w:val="00FE6569"/>
    <w:rsid w:val="00FE66B9"/>
    <w:rsid w:val="00FE6B0A"/>
    <w:rsid w:val="00FE6E3D"/>
    <w:rsid w:val="00FF0079"/>
    <w:rsid w:val="00FF01A9"/>
    <w:rsid w:val="00FF03AA"/>
    <w:rsid w:val="00FF0586"/>
    <w:rsid w:val="00FF068A"/>
    <w:rsid w:val="00FF1021"/>
    <w:rsid w:val="00FF141F"/>
    <w:rsid w:val="00FF1581"/>
    <w:rsid w:val="00FF1620"/>
    <w:rsid w:val="00FF182B"/>
    <w:rsid w:val="00FF185B"/>
    <w:rsid w:val="00FF1960"/>
    <w:rsid w:val="00FF19E9"/>
    <w:rsid w:val="00FF1BFC"/>
    <w:rsid w:val="00FF1F0E"/>
    <w:rsid w:val="00FF26E8"/>
    <w:rsid w:val="00FF2B3B"/>
    <w:rsid w:val="00FF406D"/>
    <w:rsid w:val="00FF474F"/>
    <w:rsid w:val="00FF5CE3"/>
    <w:rsid w:val="00FF79B6"/>
    <w:rsid w:val="00FF79B8"/>
    <w:rsid w:val="00FF7B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Norm"/>
    <w:next w:val="Normal"/>
    <w:link w:val="Heading4Char"/>
    <w:autoRedefine/>
    <w:uiPriority w:val="9"/>
    <w:unhideWhenUsed/>
    <w:qFormat/>
    <w:locked/>
    <w:rsid w:val="007B5A1E"/>
    <w:pPr>
      <w:ind w:firstLine="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Hyperlink">
    <w:name w:val="Hyperlink"/>
    <w:basedOn w:val="DefaultParagraphFont"/>
    <w:uiPriority w:val="99"/>
    <w:semiHidden/>
    <w:unhideWhenUsed/>
    <w:locked/>
    <w:rsid w:val="00895D4B"/>
    <w:rPr>
      <w:color w:val="0000FF"/>
      <w:u w:val="single"/>
    </w:rPr>
  </w:style>
  <w:style w:type="character" w:customStyle="1" w:styleId="sup">
    <w:name w:val="sup"/>
    <w:basedOn w:val="DefaultParagraphFont"/>
    <w:rsid w:val="00285F62"/>
  </w:style>
  <w:style w:type="paragraph" w:styleId="PlainText">
    <w:name w:val="Plain Text"/>
    <w:basedOn w:val="Normal"/>
    <w:link w:val="PlainTextChar"/>
    <w:uiPriority w:val="99"/>
    <w:semiHidden/>
    <w:unhideWhenUsed/>
    <w:locked/>
    <w:rsid w:val="00FC7B2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FC7B2D"/>
    <w:rPr>
      <w:rFonts w:ascii="Calibri" w:hAnsi="Calibri"/>
      <w:sz w:val="22"/>
      <w:szCs w:val="21"/>
      <w:lang w:eastAsia="en-US"/>
    </w:rPr>
  </w:style>
  <w:style w:type="character" w:styleId="CommentReference">
    <w:name w:val="annotation reference"/>
    <w:basedOn w:val="DefaultParagraphFont"/>
    <w:uiPriority w:val="99"/>
    <w:semiHidden/>
    <w:unhideWhenUsed/>
    <w:locked/>
    <w:rsid w:val="001D1F0E"/>
    <w:rPr>
      <w:sz w:val="16"/>
      <w:szCs w:val="16"/>
    </w:rPr>
  </w:style>
  <w:style w:type="paragraph" w:styleId="CommentText">
    <w:name w:val="annotation text"/>
    <w:basedOn w:val="Normal"/>
    <w:link w:val="CommentTextChar"/>
    <w:uiPriority w:val="99"/>
    <w:unhideWhenUsed/>
    <w:locked/>
    <w:rsid w:val="001D1F0E"/>
    <w:pPr>
      <w:spacing w:line="240" w:lineRule="auto"/>
    </w:pPr>
    <w:rPr>
      <w:sz w:val="20"/>
      <w:szCs w:val="20"/>
    </w:rPr>
  </w:style>
  <w:style w:type="character" w:customStyle="1" w:styleId="CommentTextChar">
    <w:name w:val="Comment Text Char"/>
    <w:basedOn w:val="DefaultParagraphFont"/>
    <w:link w:val="CommentText"/>
    <w:uiPriority w:val="99"/>
    <w:rsid w:val="001D1F0E"/>
    <w:rPr>
      <w:sz w:val="20"/>
      <w:szCs w:val="20"/>
    </w:rPr>
  </w:style>
  <w:style w:type="paragraph" w:styleId="CommentSubject">
    <w:name w:val="annotation subject"/>
    <w:basedOn w:val="CommentText"/>
    <w:next w:val="CommentText"/>
    <w:link w:val="CommentSubjectChar"/>
    <w:uiPriority w:val="99"/>
    <w:semiHidden/>
    <w:unhideWhenUsed/>
    <w:locked/>
    <w:rsid w:val="001D1F0E"/>
    <w:rPr>
      <w:b/>
      <w:bCs/>
    </w:rPr>
  </w:style>
  <w:style w:type="character" w:customStyle="1" w:styleId="CommentSubjectChar">
    <w:name w:val="Comment Subject Char"/>
    <w:basedOn w:val="CommentTextChar"/>
    <w:link w:val="CommentSubject"/>
    <w:uiPriority w:val="99"/>
    <w:semiHidden/>
    <w:rsid w:val="001D1F0E"/>
    <w:rPr>
      <w:b/>
      <w:bCs/>
      <w:sz w:val="20"/>
      <w:szCs w:val="20"/>
    </w:rPr>
  </w:style>
  <w:style w:type="paragraph" w:styleId="NormalWeb">
    <w:name w:val="Normal (Web)"/>
    <w:basedOn w:val="Normal"/>
    <w:uiPriority w:val="99"/>
    <w:semiHidden/>
    <w:unhideWhenUsed/>
    <w:locked/>
    <w:rsid w:val="004F43A2"/>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Revision">
    <w:name w:val="Revision"/>
    <w:hidden/>
    <w:uiPriority w:val="99"/>
    <w:semiHidden/>
    <w:rsid w:val="00965441"/>
  </w:style>
  <w:style w:type="character" w:customStyle="1" w:styleId="Heading4Char">
    <w:name w:val="Heading 4 Char"/>
    <w:basedOn w:val="DefaultParagraphFont"/>
    <w:link w:val="Heading4"/>
    <w:uiPriority w:val="9"/>
    <w:rsid w:val="007B5A1E"/>
    <w:rPr>
      <w:rFonts w:ascii="Arial" w:hAnsi="Arial" w:cs="Arial"/>
      <w:sz w:val="22"/>
      <w:szCs w:val="22"/>
      <w:u w:val="single"/>
    </w:rPr>
  </w:style>
  <w:style w:type="paragraph" w:customStyle="1" w:styleId="NoNorm">
    <w:name w:val="No Norm"/>
    <w:basedOn w:val="Normal"/>
    <w:qFormat/>
    <w:rsid w:val="007B5A1E"/>
    <w:pPr>
      <w:tabs>
        <w:tab w:val="clear" w:pos="720"/>
        <w:tab w:val="clear" w:pos="1440"/>
        <w:tab w:val="left" w:pos="709"/>
      </w:tabs>
      <w:spacing w:before="120" w:line="240" w:lineRule="auto"/>
      <w:ind w:left="720" w:hanging="720"/>
      <w:jc w:val="both"/>
    </w:pPr>
    <w:rPr>
      <w:rFonts w:ascii="Arial" w:hAnsi="Arial" w:cs="Arial"/>
      <w:sz w:val="22"/>
      <w:szCs w:val="22"/>
    </w:rPr>
  </w:style>
  <w:style w:type="character" w:customStyle="1" w:styleId="FootnoteTextChar">
    <w:name w:val="Footnote Text Char"/>
    <w:basedOn w:val="DefaultParagraphFont"/>
    <w:link w:val="FootnoteText"/>
    <w:uiPriority w:val="53"/>
    <w:rsid w:val="007B5A1E"/>
  </w:style>
  <w:style w:type="paragraph" w:styleId="Quote">
    <w:name w:val="Quote"/>
    <w:basedOn w:val="Normal"/>
    <w:next w:val="NoNorm"/>
    <w:link w:val="QuoteChar"/>
    <w:uiPriority w:val="29"/>
    <w:qFormat/>
    <w:locked/>
    <w:rsid w:val="007B5A1E"/>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7B5A1E"/>
    <w:rPr>
      <w:rFonts w:ascii="Arial" w:eastAsia="Calibri" w:hAnsi="Arial" w:cs="Arial"/>
      <w:sz w:val="20"/>
      <w:szCs w:val="22"/>
    </w:rPr>
  </w:style>
  <w:style w:type="paragraph" w:customStyle="1" w:styleId="Noindentnormal">
    <w:name w:val="No indent normal"/>
    <w:basedOn w:val="NoNorm"/>
    <w:qFormat/>
    <w:rsid w:val="007B5A1E"/>
    <w:pPr>
      <w:tabs>
        <w:tab w:val="clear" w:pos="2160"/>
        <w:tab w:val="left" w:pos="1418"/>
      </w:tabs>
      <w:ind w:left="1418" w:hanging="709"/>
    </w:pPr>
  </w:style>
  <w:style w:type="paragraph" w:customStyle="1" w:styleId="Indentlista">
    <w:name w:val="Indent list a)"/>
    <w:basedOn w:val="Noindentnormal"/>
    <w:qFormat/>
    <w:rsid w:val="007B5A1E"/>
    <w:pPr>
      <w:tabs>
        <w:tab w:val="left" w:pos="2268"/>
      </w:tabs>
      <w:spacing w:before="60"/>
      <w:ind w:left="2268" w:hanging="567"/>
    </w:pPr>
  </w:style>
  <w:style w:type="paragraph" w:styleId="ListBullet5">
    <w:name w:val="List Bullet 5"/>
    <w:basedOn w:val="Normal"/>
    <w:uiPriority w:val="99"/>
    <w:unhideWhenUsed/>
    <w:locked/>
    <w:rsid w:val="007B5A1E"/>
    <w:pPr>
      <w:tabs>
        <w:tab w:val="clear" w:pos="720"/>
        <w:tab w:val="num" w:pos="1492"/>
      </w:tabs>
      <w:spacing w:before="120" w:line="312" w:lineRule="auto"/>
      <w:ind w:left="1492" w:hanging="360"/>
      <w:contextualSpacing/>
      <w:jc w:val="both"/>
    </w:pPr>
    <w:rPr>
      <w:rFonts w:ascii="Arial" w:hAnsi="Arial" w:cs="Arial"/>
      <w:sz w:val="22"/>
      <w:szCs w:val="22"/>
    </w:rPr>
  </w:style>
  <w:style w:type="character" w:customStyle="1" w:styleId="ssleftalign">
    <w:name w:val="ss_leftalign"/>
    <w:basedOn w:val="DefaultParagraphFont"/>
    <w:rsid w:val="007B5A1E"/>
  </w:style>
  <w:style w:type="character" w:styleId="Strong">
    <w:name w:val="Strong"/>
    <w:basedOn w:val="DefaultParagraphFont"/>
    <w:uiPriority w:val="22"/>
    <w:qFormat/>
    <w:locked/>
    <w:rsid w:val="007B5A1E"/>
    <w:rPr>
      <w:b/>
      <w:bCs/>
    </w:rPr>
  </w:style>
  <w:style w:type="character" w:customStyle="1" w:styleId="highlight">
    <w:name w:val="highlight"/>
    <w:basedOn w:val="DefaultParagraphFont"/>
    <w:rsid w:val="007B5A1E"/>
  </w:style>
  <w:style w:type="character" w:customStyle="1" w:styleId="headertext">
    <w:name w:val="headertext"/>
    <w:basedOn w:val="DefaultParagraphFont"/>
    <w:rsid w:val="007B5A1E"/>
  </w:style>
  <w:style w:type="character" w:styleId="Emphasis">
    <w:name w:val="Emphasis"/>
    <w:basedOn w:val="DefaultParagraphFont"/>
    <w:uiPriority w:val="20"/>
    <w:qFormat/>
    <w:locked/>
    <w:rsid w:val="007B5A1E"/>
    <w:rPr>
      <w:i/>
      <w:iCs/>
    </w:rPr>
  </w:style>
  <w:style w:type="paragraph" w:customStyle="1" w:styleId="Default">
    <w:name w:val="Default"/>
    <w:rsid w:val="007B5A1E"/>
    <w:pPr>
      <w:autoSpaceDE w:val="0"/>
      <w:autoSpaceDN w:val="0"/>
      <w:adjustRightInd w:val="0"/>
    </w:pPr>
    <w:rPr>
      <w:rFonts w:cs="Univers"/>
      <w:color w:val="000000"/>
      <w:sz w:val="24"/>
      <w:szCs w:val="24"/>
    </w:rPr>
  </w:style>
  <w:style w:type="paragraph" w:customStyle="1" w:styleId="Body">
    <w:name w:val="Body"/>
    <w:basedOn w:val="Normal"/>
    <w:qFormat/>
    <w:rsid w:val="00577BD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77BD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77BD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77BD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77BD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77BD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3477">
      <w:bodyDiv w:val="1"/>
      <w:marLeft w:val="0"/>
      <w:marRight w:val="0"/>
      <w:marTop w:val="0"/>
      <w:marBottom w:val="0"/>
      <w:divBdr>
        <w:top w:val="none" w:sz="0" w:space="0" w:color="auto"/>
        <w:left w:val="none" w:sz="0" w:space="0" w:color="auto"/>
        <w:bottom w:val="none" w:sz="0" w:space="0" w:color="auto"/>
        <w:right w:val="none" w:sz="0" w:space="0" w:color="auto"/>
      </w:divBdr>
    </w:div>
    <w:div w:id="328682335">
      <w:bodyDiv w:val="1"/>
      <w:marLeft w:val="0"/>
      <w:marRight w:val="0"/>
      <w:marTop w:val="0"/>
      <w:marBottom w:val="0"/>
      <w:divBdr>
        <w:top w:val="none" w:sz="0" w:space="0" w:color="auto"/>
        <w:left w:val="none" w:sz="0" w:space="0" w:color="auto"/>
        <w:bottom w:val="none" w:sz="0" w:space="0" w:color="auto"/>
        <w:right w:val="none" w:sz="0" w:space="0" w:color="auto"/>
      </w:divBdr>
    </w:div>
    <w:div w:id="1058550543">
      <w:bodyDiv w:val="1"/>
      <w:marLeft w:val="0"/>
      <w:marRight w:val="0"/>
      <w:marTop w:val="0"/>
      <w:marBottom w:val="0"/>
      <w:divBdr>
        <w:top w:val="none" w:sz="0" w:space="0" w:color="auto"/>
        <w:left w:val="none" w:sz="0" w:space="0" w:color="auto"/>
        <w:bottom w:val="none" w:sz="0" w:space="0" w:color="auto"/>
        <w:right w:val="none" w:sz="0" w:space="0" w:color="auto"/>
      </w:divBdr>
    </w:div>
    <w:div w:id="19140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3581EA1F-01EA-4574-BE31-E11EDB69426A}">
  <ds:schemaRefs>
    <ds:schemaRef ds:uri="http://schemas.openxmlformats.org/officeDocument/2006/bibliography"/>
  </ds:schemaRefs>
</ds:datastoreItem>
</file>

<file path=customXml/itemProps4.xml><?xml version="1.0" encoding="utf-8"?>
<ds:datastoreItem xmlns:ds="http://schemas.openxmlformats.org/officeDocument/2006/customXml" ds:itemID="{CE591639-CEEB-452E-9509-55E9FB4D0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82</Pages>
  <Words>24266</Words>
  <Characters>138319</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2021-05-18T02:06:00Z</dcterms:created>
  <dcterms:modified xsi:type="dcterms:W3CDTF">2022-07-07T06:06:00Z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