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04422" w14:textId="77777777" w:rsidR="00824BE3" w:rsidRPr="00704FF8" w:rsidRDefault="00824BE3" w:rsidP="00704FF8">
      <w:pPr>
        <w:pStyle w:val="OrdersTopLine"/>
      </w:pPr>
      <w:r w:rsidRPr="00704FF8">
        <w:t>HIGH COURT OF AUSTRALIA</w:t>
      </w:r>
    </w:p>
    <w:p w14:paraId="6452848C" w14:textId="77777777" w:rsidR="00824BE3" w:rsidRPr="00704FF8" w:rsidRDefault="00824BE3" w:rsidP="00704FF8">
      <w:pPr>
        <w:pStyle w:val="OrderCentre"/>
      </w:pPr>
    </w:p>
    <w:p w14:paraId="4CB3D18A" w14:textId="77777777" w:rsidR="00824BE3" w:rsidRPr="00704FF8" w:rsidRDefault="00824BE3" w:rsidP="00704FF8">
      <w:pPr>
        <w:pStyle w:val="OrderCentre"/>
      </w:pPr>
      <w:r w:rsidRPr="00704FF8">
        <w:t>KIEFEL CJ</w:t>
      </w:r>
      <w:r>
        <w:t>,</w:t>
      </w:r>
    </w:p>
    <w:p w14:paraId="297A7D71" w14:textId="77777777" w:rsidR="00824BE3" w:rsidRPr="00704FF8" w:rsidRDefault="00824BE3" w:rsidP="00704FF8">
      <w:pPr>
        <w:pStyle w:val="OrderCentre"/>
      </w:pPr>
      <w:r w:rsidRPr="00704FF8">
        <w:t>GAGELER, GORDON</w:t>
      </w:r>
      <w:r>
        <w:t xml:space="preserve">, </w:t>
      </w:r>
      <w:r w:rsidRPr="00704FF8">
        <w:t xml:space="preserve">EDELMAN AND </w:t>
      </w:r>
      <w:r w:rsidRPr="004C496B">
        <w:t xml:space="preserve">STEWARD </w:t>
      </w:r>
      <w:r w:rsidRPr="00704FF8">
        <w:t>JJ</w:t>
      </w:r>
    </w:p>
    <w:p w14:paraId="5B2B1784" w14:textId="77777777" w:rsidR="00824BE3" w:rsidRPr="00427F3A" w:rsidRDefault="00824BE3" w:rsidP="00EE5374">
      <w:pPr>
        <w:pStyle w:val="Centre"/>
        <w:rPr>
          <w:lang w:val="en-AU"/>
        </w:rPr>
      </w:pPr>
    </w:p>
    <w:p w14:paraId="1F31F706" w14:textId="77777777" w:rsidR="00824BE3" w:rsidRPr="00704FF8" w:rsidRDefault="00824BE3" w:rsidP="00704FF8">
      <w:pPr>
        <w:pStyle w:val="OrdersCenteredBorder"/>
      </w:pPr>
    </w:p>
    <w:p w14:paraId="5ADE7360" w14:textId="77777777" w:rsidR="00824BE3" w:rsidRPr="00704FF8" w:rsidRDefault="00824BE3" w:rsidP="0032341F">
      <w:pPr>
        <w:pStyle w:val="OrdersBodyHeading"/>
      </w:pPr>
    </w:p>
    <w:p w14:paraId="22FD0DAE" w14:textId="77777777" w:rsidR="00824BE3" w:rsidRDefault="00824BE3" w:rsidP="00013292">
      <w:pPr>
        <w:pStyle w:val="OrdersPartyName"/>
        <w:ind w:right="-1"/>
        <w:jc w:val="left"/>
      </w:pPr>
      <w:r w:rsidRPr="00013292">
        <w:t xml:space="preserve">MATTHEW WARD PRICE AS EXECUTOR OF </w:t>
      </w:r>
    </w:p>
    <w:p w14:paraId="6102A3F3" w14:textId="77777777" w:rsidR="00824BE3" w:rsidRDefault="00824BE3" w:rsidP="00013292">
      <w:pPr>
        <w:pStyle w:val="OrdersPartyName"/>
        <w:ind w:right="-1"/>
        <w:jc w:val="left"/>
      </w:pPr>
      <w:r w:rsidRPr="00013292">
        <w:t>THE ESTATE OF</w:t>
      </w:r>
      <w:r>
        <w:t xml:space="preserve"> </w:t>
      </w:r>
      <w:r w:rsidRPr="00013292">
        <w:t xml:space="preserve">ALAN LESLIE PRICE </w:t>
      </w:r>
    </w:p>
    <w:p w14:paraId="3D589604" w14:textId="77777777" w:rsidR="00824BE3" w:rsidRPr="0032341F" w:rsidRDefault="00824BE3" w:rsidP="00013292">
      <w:pPr>
        <w:pStyle w:val="OrdersPartyName"/>
        <w:ind w:right="-1"/>
        <w:jc w:val="left"/>
      </w:pPr>
      <w:r w:rsidRPr="00013292">
        <w:t>(DECEASED) &amp; ORS</w:t>
      </w:r>
      <w:r w:rsidRPr="0032341F">
        <w:tab/>
        <w:t>APPELLANT</w:t>
      </w:r>
      <w:r>
        <w:t>S</w:t>
      </w:r>
    </w:p>
    <w:p w14:paraId="0A7FF125" w14:textId="77777777" w:rsidR="00824BE3" w:rsidRPr="0032341F" w:rsidRDefault="00824BE3" w:rsidP="009362E8">
      <w:pPr>
        <w:pStyle w:val="OrdersPartyName"/>
        <w:ind w:right="-1"/>
      </w:pPr>
    </w:p>
    <w:p w14:paraId="6952DC2D" w14:textId="77777777" w:rsidR="00824BE3" w:rsidRPr="0032341F" w:rsidRDefault="00824BE3" w:rsidP="009362E8">
      <w:pPr>
        <w:pStyle w:val="OrdersPartyName"/>
        <w:ind w:right="-1"/>
      </w:pPr>
      <w:r w:rsidRPr="0032341F">
        <w:t>AND</w:t>
      </w:r>
    </w:p>
    <w:p w14:paraId="2AD58BFB" w14:textId="77777777" w:rsidR="00824BE3" w:rsidRPr="0032341F" w:rsidRDefault="00824BE3" w:rsidP="009362E8">
      <w:pPr>
        <w:pStyle w:val="OrdersPartyName"/>
        <w:ind w:right="-1"/>
      </w:pPr>
    </w:p>
    <w:p w14:paraId="5D67E9A8" w14:textId="77777777" w:rsidR="00824BE3" w:rsidRPr="0032341F" w:rsidRDefault="00824BE3" w:rsidP="009362E8">
      <w:pPr>
        <w:pStyle w:val="OrdersPartyName"/>
        <w:ind w:right="-1"/>
      </w:pPr>
      <w:r w:rsidRPr="00013292">
        <w:t>CHRISTINE CLAIRE SPOOR AS TRUSTEE &amp; ORS</w:t>
      </w:r>
      <w:r w:rsidRPr="0032341F">
        <w:tab/>
        <w:t>RESPONDENT</w:t>
      </w:r>
      <w:r>
        <w:t>S</w:t>
      </w:r>
    </w:p>
    <w:p w14:paraId="767BCB30" w14:textId="77777777" w:rsidR="00824BE3" w:rsidRPr="00427F3A" w:rsidRDefault="00824BE3" w:rsidP="00AF0A5E">
      <w:pPr>
        <w:pStyle w:val="BodyHeading"/>
      </w:pPr>
    </w:p>
    <w:p w14:paraId="062EE5A1" w14:textId="77777777" w:rsidR="00824BE3" w:rsidRPr="00427F3A" w:rsidRDefault="00824BE3" w:rsidP="00BE0A6C">
      <w:pPr>
        <w:pStyle w:val="BodyHeading"/>
      </w:pPr>
    </w:p>
    <w:p w14:paraId="502C0843" w14:textId="77777777" w:rsidR="00824BE3" w:rsidRPr="00427F3A" w:rsidRDefault="00824BE3" w:rsidP="00EE5374">
      <w:pPr>
        <w:pStyle w:val="CentreItalics"/>
      </w:pPr>
      <w:r w:rsidRPr="00013292">
        <w:t xml:space="preserve">Price v Spoor </w:t>
      </w:r>
    </w:p>
    <w:p w14:paraId="4445C3B6" w14:textId="77777777" w:rsidR="00824BE3" w:rsidRPr="00427F3A" w:rsidRDefault="00824BE3" w:rsidP="00E90E4F">
      <w:pPr>
        <w:pStyle w:val="OrdersCentre"/>
      </w:pPr>
      <w:r>
        <w:t>[2021</w:t>
      </w:r>
      <w:r w:rsidRPr="00427F3A">
        <w:t xml:space="preserve">] HCA </w:t>
      </w:r>
      <w:r>
        <w:t>20</w:t>
      </w:r>
    </w:p>
    <w:p w14:paraId="437200FF" w14:textId="77777777" w:rsidR="00824BE3" w:rsidRDefault="00824BE3" w:rsidP="00E90E4F">
      <w:pPr>
        <w:pStyle w:val="OrdersCentreItalics"/>
      </w:pPr>
      <w:r>
        <w:t>Date of Hearing: 4 March 2021</w:t>
      </w:r>
    </w:p>
    <w:p w14:paraId="079D155A" w14:textId="77777777" w:rsidR="00824BE3" w:rsidRPr="00427F3A" w:rsidRDefault="00824BE3" w:rsidP="00E90E4F">
      <w:pPr>
        <w:pStyle w:val="OrdersCentreItalics"/>
      </w:pPr>
      <w:r>
        <w:t>Date of Judgment: 23 June 2021</w:t>
      </w:r>
    </w:p>
    <w:p w14:paraId="3048C196" w14:textId="77777777" w:rsidR="00824BE3" w:rsidRDefault="00824BE3" w:rsidP="00E90E4F">
      <w:pPr>
        <w:pStyle w:val="OrdersCentre"/>
      </w:pPr>
      <w:r w:rsidRPr="00013292">
        <w:t>B55/2020</w:t>
      </w:r>
    </w:p>
    <w:p w14:paraId="7237718E" w14:textId="77777777" w:rsidR="00824BE3" w:rsidRPr="00427F3A" w:rsidRDefault="00824BE3" w:rsidP="00E90E4F">
      <w:pPr>
        <w:pStyle w:val="OrdersCentre"/>
      </w:pPr>
    </w:p>
    <w:p w14:paraId="540C3B29" w14:textId="77777777" w:rsidR="00824BE3" w:rsidRPr="00BE0A6C" w:rsidRDefault="00824BE3" w:rsidP="00E90E4F">
      <w:pPr>
        <w:pStyle w:val="OrderCentreBold"/>
      </w:pPr>
      <w:r w:rsidRPr="00BE0A6C">
        <w:t>ORDER</w:t>
      </w:r>
    </w:p>
    <w:p w14:paraId="7446875B" w14:textId="77777777" w:rsidR="00824BE3" w:rsidRPr="00427F3A" w:rsidRDefault="00824BE3" w:rsidP="00736C52">
      <w:pPr>
        <w:pStyle w:val="Centre"/>
        <w:rPr>
          <w:lang w:val="en-AU"/>
        </w:rPr>
      </w:pPr>
    </w:p>
    <w:p w14:paraId="50C3AABD" w14:textId="77777777" w:rsidR="00824BE3" w:rsidRDefault="00824BE3" w:rsidP="007D2840">
      <w:pPr>
        <w:pStyle w:val="OrdersText"/>
      </w:pPr>
      <w:r>
        <w:t xml:space="preserve">Appeal dismissed with costs. </w:t>
      </w:r>
    </w:p>
    <w:p w14:paraId="7D79F816" w14:textId="77777777" w:rsidR="00824BE3" w:rsidRDefault="00824BE3" w:rsidP="00EE5374">
      <w:pPr>
        <w:pStyle w:val="Body"/>
      </w:pPr>
    </w:p>
    <w:p w14:paraId="4B2F659E" w14:textId="77777777" w:rsidR="00824BE3" w:rsidRPr="00427F3A" w:rsidRDefault="00824BE3" w:rsidP="00EE5374">
      <w:pPr>
        <w:pStyle w:val="Body"/>
      </w:pPr>
    </w:p>
    <w:p w14:paraId="745A4187" w14:textId="77777777" w:rsidR="00824BE3" w:rsidRPr="00013292" w:rsidRDefault="00824BE3" w:rsidP="0032341F">
      <w:pPr>
        <w:pStyle w:val="OrdersBody"/>
      </w:pPr>
      <w:r w:rsidRPr="00013292">
        <w:t>On appeal from the Supreme Court of Queensland</w:t>
      </w:r>
    </w:p>
    <w:p w14:paraId="4590BDCC" w14:textId="77777777" w:rsidR="00824BE3" w:rsidRPr="00013292" w:rsidRDefault="00824BE3" w:rsidP="00EE5374">
      <w:pPr>
        <w:pStyle w:val="Body"/>
      </w:pPr>
    </w:p>
    <w:p w14:paraId="5CCE085C" w14:textId="77777777" w:rsidR="00824BE3" w:rsidRPr="00013292" w:rsidRDefault="00824BE3" w:rsidP="00EE5374">
      <w:pPr>
        <w:pStyle w:val="Body"/>
      </w:pPr>
    </w:p>
    <w:p w14:paraId="672395AD" w14:textId="77777777" w:rsidR="00824BE3" w:rsidRPr="00013292" w:rsidRDefault="00824BE3" w:rsidP="00E90E4F">
      <w:pPr>
        <w:pStyle w:val="OrdersBodyHeading"/>
      </w:pPr>
      <w:r w:rsidRPr="00013292">
        <w:t>Representation</w:t>
      </w:r>
    </w:p>
    <w:p w14:paraId="5B31E909" w14:textId="77777777" w:rsidR="00824BE3" w:rsidRPr="00013292" w:rsidRDefault="00824BE3" w:rsidP="00EE5374">
      <w:pPr>
        <w:pStyle w:val="Body"/>
      </w:pPr>
    </w:p>
    <w:p w14:paraId="24C5DA49" w14:textId="77777777" w:rsidR="00824BE3" w:rsidRPr="00013292" w:rsidRDefault="00824BE3" w:rsidP="00E90E4F">
      <w:pPr>
        <w:pStyle w:val="OrdersBody"/>
      </w:pPr>
      <w:r w:rsidRPr="00013292">
        <w:t xml:space="preserve">T Matthews QC with D </w:t>
      </w:r>
      <w:proofErr w:type="spellStart"/>
      <w:r w:rsidRPr="00013292">
        <w:t>D</w:t>
      </w:r>
      <w:proofErr w:type="spellEnd"/>
      <w:r w:rsidRPr="00013292">
        <w:t xml:space="preserve"> Keane and J K Carter for the appellants (instructed by MA Kent &amp; Associates)</w:t>
      </w:r>
    </w:p>
    <w:p w14:paraId="5553D818" w14:textId="77777777" w:rsidR="00824BE3" w:rsidRPr="00013292" w:rsidRDefault="00824BE3" w:rsidP="001B3C97">
      <w:pPr>
        <w:pStyle w:val="Body"/>
      </w:pPr>
    </w:p>
    <w:p w14:paraId="0C95E5B1" w14:textId="77777777" w:rsidR="00824BE3" w:rsidRPr="00013292" w:rsidRDefault="00824BE3" w:rsidP="00E90E4F">
      <w:pPr>
        <w:pStyle w:val="OrdersBody"/>
      </w:pPr>
      <w:r w:rsidRPr="00013292">
        <w:t xml:space="preserve">N </w:t>
      </w:r>
      <w:proofErr w:type="spellStart"/>
      <w:r w:rsidRPr="00013292">
        <w:t>Andreatidis</w:t>
      </w:r>
      <w:proofErr w:type="spellEnd"/>
      <w:r w:rsidRPr="00013292">
        <w:t xml:space="preserve"> QC with A F Messina and S J Gibson for the respondents (instructed by Mullins Lawyers)</w:t>
      </w:r>
    </w:p>
    <w:p w14:paraId="6D996A06" w14:textId="77777777" w:rsidR="00824BE3" w:rsidRDefault="00824BE3" w:rsidP="00A01277">
      <w:pPr>
        <w:pStyle w:val="Body"/>
      </w:pPr>
    </w:p>
    <w:p w14:paraId="65D72B36" w14:textId="77777777" w:rsidR="00824BE3" w:rsidRPr="00427F3A" w:rsidRDefault="00824BE3" w:rsidP="00EE5374">
      <w:pPr>
        <w:pStyle w:val="Body"/>
      </w:pPr>
    </w:p>
    <w:p w14:paraId="0AA1A776" w14:textId="77777777" w:rsidR="00824BE3" w:rsidRPr="00427F3A" w:rsidRDefault="00824BE3" w:rsidP="00F9713B">
      <w:pPr>
        <w:pStyle w:val="Notice"/>
        <w:rPr>
          <w:lang w:val="en-AU"/>
        </w:rPr>
      </w:pPr>
      <w:r w:rsidRPr="00427F3A">
        <w:rPr>
          <w:lang w:val="en-AU"/>
        </w:rPr>
        <w:t>Notice:  This copy of the Court's Reasons for Judgment is subject to formal revision prior to publication in the Commonwealth Law Reports.</w:t>
      </w:r>
    </w:p>
    <w:p w14:paraId="754B48B3" w14:textId="76A22278" w:rsidR="00824BE3" w:rsidRDefault="00824BE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001256B7" w14:textId="77777777" w:rsidR="00824BE3" w:rsidRDefault="00824BE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824BE3" w:rsidSect="00824BE3">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23ECEE32" w14:textId="77777777" w:rsidR="00824BE3" w:rsidRDefault="00824BE3" w:rsidP="00F52F9A">
      <w:pPr>
        <w:pStyle w:val="CatchwordsBold"/>
      </w:pPr>
      <w:r>
        <w:lastRenderedPageBreak/>
        <w:t>CATCHWORDS</w:t>
      </w:r>
    </w:p>
    <w:p w14:paraId="537ABA5F" w14:textId="77777777" w:rsidR="00824BE3" w:rsidRDefault="00824BE3" w:rsidP="00F52F9A">
      <w:pPr>
        <w:pStyle w:val="CatchwordsBold"/>
      </w:pPr>
    </w:p>
    <w:p w14:paraId="264CAFEC" w14:textId="77777777" w:rsidR="00824BE3" w:rsidRDefault="00824BE3" w:rsidP="00F52F9A">
      <w:pPr>
        <w:pStyle w:val="CatchwordsBold"/>
      </w:pPr>
      <w:bookmarkStart w:id="0" w:name="CaseName"/>
      <w:r>
        <w:t xml:space="preserve">Price v Spoor </w:t>
      </w:r>
    </w:p>
    <w:bookmarkEnd w:id="0"/>
    <w:p w14:paraId="6705A94E" w14:textId="77777777" w:rsidR="00824BE3" w:rsidRDefault="00824BE3" w:rsidP="00824BE3">
      <w:pPr>
        <w:spacing w:line="280" w:lineRule="exact"/>
        <w:ind w:firstLine="0"/>
        <w:jc w:val="both"/>
        <w:rPr>
          <w:rFonts w:ascii="Times New Roman" w:hAnsi="Times New Roman"/>
        </w:rPr>
      </w:pPr>
    </w:p>
    <w:p w14:paraId="5F3CF47E" w14:textId="6020AF7C" w:rsidR="00824BE3" w:rsidRDefault="00824BE3" w:rsidP="006E590F">
      <w:pPr>
        <w:pStyle w:val="CatchwordsText"/>
      </w:pPr>
      <w:r>
        <w:t>Limitation of actions</w:t>
      </w:r>
      <w:r w:rsidRPr="00C131B1">
        <w:t xml:space="preserve"> –</w:t>
      </w:r>
      <w:r>
        <w:t xml:space="preserve"> Exclusion by agreement – Where mortgages over land secured loan – Where mortgagors failed to repay loan – Where mortgagees brought proceedings to recover monies owing and possession of land secured by mortgages</w:t>
      </w:r>
      <w:r w:rsidR="006E590F">
        <w:t> </w:t>
      </w:r>
      <w:bookmarkStart w:id="1" w:name="_GoBack"/>
      <w:bookmarkEnd w:id="1"/>
      <w:r>
        <w:t xml:space="preserve">– Where mortgagors contended mortgagees statute-barred from enforcing rights under mortgages as a result of expiry of relevant time period under </w:t>
      </w:r>
      <w:r>
        <w:rPr>
          <w:i/>
        </w:rPr>
        <w:t xml:space="preserve">Limitation of Actions Act 1974 </w:t>
      </w:r>
      <w:r>
        <w:t xml:space="preserve">(Qld) ("Act") – Where mortgagors contended mortgagees' title under mortgages extinguished by operation of s 24 of Act – Where mortgagees contended that mortgagors agreed not to plead any defence under Act by virtue of cl 24 of mortgages – </w:t>
      </w:r>
      <w:r w:rsidRPr="0096444E">
        <w:t xml:space="preserve">Whether </w:t>
      </w:r>
      <w:r w:rsidRPr="00AB6789">
        <w:t>cl</w:t>
      </w:r>
      <w:r>
        <w:t xml:space="preserve"> 24 effective to prevent mortgagors from pleading any defence under Act – Whether agreement not to plead any defence under Act unenforceable as contrary to public policy – Whether s 24 of Act operated automatically to extinguish mortgagees' title at expiry of relevant time </w:t>
      </w:r>
      <w:r w:rsidRPr="00E031B1">
        <w:t>period</w:t>
      </w:r>
      <w:r w:rsidRPr="00C33DCC">
        <w:t xml:space="preserve"> </w:t>
      </w:r>
      <w:r w:rsidRPr="00991B57">
        <w:t>–</w:t>
      </w:r>
      <w:r w:rsidRPr="00911A5C">
        <w:t xml:space="preserve"> </w:t>
      </w:r>
      <w:r w:rsidRPr="00C625B2">
        <w:t>Whether mortgagees' remedy confined to damages for mortgagors' breach of cl 24 of mortgages</w:t>
      </w:r>
      <w:r w:rsidRPr="00E031B1">
        <w:t>.</w:t>
      </w:r>
      <w:r>
        <w:t xml:space="preserve">  </w:t>
      </w:r>
    </w:p>
    <w:p w14:paraId="407C79D6" w14:textId="77777777" w:rsidR="00824BE3" w:rsidRDefault="00824BE3" w:rsidP="006E590F">
      <w:pPr>
        <w:pStyle w:val="CatchwordsText"/>
      </w:pPr>
    </w:p>
    <w:p w14:paraId="025AEE72" w14:textId="77777777" w:rsidR="00824BE3" w:rsidRDefault="00824BE3" w:rsidP="006E590F">
      <w:pPr>
        <w:pStyle w:val="CatchwordsText"/>
      </w:pPr>
      <w:r>
        <w:t>Words and phrases – "action", "agreement", "agreement not to plead", "benefit", "breach of contract", "contracting out", "defeated", "defence", "defence of limitation", "expiry</w:t>
      </w:r>
      <w:r w:rsidRPr="00FA7477">
        <w:t xml:space="preserve">", </w:t>
      </w:r>
      <w:r>
        <w:t xml:space="preserve">"extinguishment of title", </w:t>
      </w:r>
      <w:r w:rsidRPr="00FA7477">
        <w:t>"finality of litigation", "jurisdiction of the court", "limitation period", "limitations defence", "plea",</w:t>
      </w:r>
      <w:r>
        <w:t xml:space="preserve"> "public interest", "public policy", "reasonable business person", "remedy", "shall not be brought", "statute-barred", "statute of limitations", "statutory bar", "statutory right", "waiver". </w:t>
      </w:r>
    </w:p>
    <w:p w14:paraId="757A4DDF" w14:textId="77777777" w:rsidR="00824BE3" w:rsidRDefault="00824BE3" w:rsidP="006E590F">
      <w:pPr>
        <w:pStyle w:val="CatchwordsText"/>
      </w:pPr>
    </w:p>
    <w:p w14:paraId="700A68A2" w14:textId="77777777" w:rsidR="00824BE3" w:rsidRPr="00E35B01" w:rsidRDefault="00824BE3" w:rsidP="006E590F">
      <w:pPr>
        <w:pStyle w:val="CatchwordsText"/>
        <w:rPr>
          <w:i/>
        </w:rPr>
      </w:pPr>
      <w:r>
        <w:rPr>
          <w:i/>
        </w:rPr>
        <w:t xml:space="preserve">Limitation of Actions Act 1974 </w:t>
      </w:r>
      <w:r>
        <w:t>(Qld)</w:t>
      </w:r>
      <w:r>
        <w:rPr>
          <w:iCs/>
        </w:rPr>
        <w:t>, ss 10, 13, 24, 26.</w:t>
      </w:r>
      <w:r>
        <w:t xml:space="preserve"> </w:t>
      </w:r>
    </w:p>
    <w:p w14:paraId="5A5D1319" w14:textId="77777777" w:rsidR="00824BE3" w:rsidRDefault="00824BE3" w:rsidP="00824BE3">
      <w:pPr>
        <w:spacing w:line="280" w:lineRule="exact"/>
        <w:ind w:firstLine="0"/>
        <w:jc w:val="both"/>
        <w:rPr>
          <w:rFonts w:ascii="Times New Roman" w:hAnsi="Times New Roman"/>
        </w:rPr>
      </w:pPr>
    </w:p>
    <w:p w14:paraId="3FB296D9" w14:textId="77777777" w:rsidR="00824BE3" w:rsidRDefault="00824BE3" w:rsidP="00824BE3">
      <w:pPr>
        <w:spacing w:line="280" w:lineRule="exact"/>
        <w:ind w:firstLine="0"/>
        <w:jc w:val="both"/>
        <w:rPr>
          <w:rFonts w:ascii="Times New Roman" w:hAnsi="Times New Roman"/>
        </w:rPr>
      </w:pPr>
    </w:p>
    <w:p w14:paraId="4151EAD5" w14:textId="77777777" w:rsidR="00824BE3" w:rsidRDefault="00824BE3" w:rsidP="00824BE3">
      <w:pPr>
        <w:spacing w:line="280" w:lineRule="exact"/>
        <w:ind w:firstLine="0"/>
        <w:jc w:val="both"/>
        <w:rPr>
          <w:rFonts w:ascii="Times New Roman" w:hAnsi="Times New Roman"/>
        </w:rPr>
      </w:pPr>
    </w:p>
    <w:p w14:paraId="4511562C" w14:textId="67248BC1" w:rsidR="00824BE3" w:rsidRDefault="00824BE3" w:rsidP="00824BE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035C9781" w14:textId="745C0609" w:rsidR="00824BE3" w:rsidRDefault="00824BE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09607A2D" w14:textId="553BC59F" w:rsidR="00824BE3" w:rsidRDefault="00824BE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71194438" w14:textId="77777777" w:rsidR="00824BE3" w:rsidRDefault="00824BE3" w:rsidP="00333D58">
      <w:pPr>
        <w:pStyle w:val="FixListStyle"/>
        <w:tabs>
          <w:tab w:val="clear" w:pos="720"/>
          <w:tab w:val="left" w:pos="0"/>
        </w:tabs>
        <w:spacing w:after="260" w:line="280" w:lineRule="exact"/>
        <w:ind w:right="0"/>
        <w:jc w:val="both"/>
        <w:rPr>
          <w:rFonts w:ascii="Times New Roman" w:hAnsi="Times New Roman"/>
        </w:rPr>
        <w:sectPr w:rsidR="00824BE3" w:rsidSect="00824BE3">
          <w:pgSz w:w="11907" w:h="16839" w:code="9"/>
          <w:pgMar w:top="1440" w:right="1701" w:bottom="1984" w:left="1701" w:header="720" w:footer="720" w:gutter="0"/>
          <w:pgNumType w:start="1"/>
          <w:cols w:space="720"/>
          <w:titlePg/>
          <w:docGrid w:linePitch="354"/>
        </w:sectPr>
      </w:pPr>
    </w:p>
    <w:p w14:paraId="4F23207A" w14:textId="45A20FF7" w:rsidR="00832E25" w:rsidRPr="00333D58" w:rsidRDefault="00333D58" w:rsidP="00333D58">
      <w:pPr>
        <w:pStyle w:val="FixListStyle"/>
        <w:tabs>
          <w:tab w:val="clear" w:pos="720"/>
          <w:tab w:val="left" w:pos="0"/>
        </w:tabs>
        <w:spacing w:after="260" w:line="280" w:lineRule="exact"/>
        <w:ind w:right="0"/>
        <w:jc w:val="both"/>
        <w:rPr>
          <w:rFonts w:ascii="Times New Roman" w:hAnsi="Times New Roman"/>
        </w:rPr>
      </w:pPr>
      <w:r w:rsidRPr="00333D58">
        <w:rPr>
          <w:rFonts w:ascii="Times New Roman" w:hAnsi="Times New Roman"/>
        </w:rPr>
        <w:lastRenderedPageBreak/>
        <w:t xml:space="preserve">KIEFEL CJ AND EDELMAN J.   </w:t>
      </w:r>
      <w:r w:rsidR="00700A13" w:rsidRPr="00333D58">
        <w:rPr>
          <w:rFonts w:ascii="Times New Roman" w:hAnsi="Times New Roman"/>
        </w:rPr>
        <w:t xml:space="preserve">The </w:t>
      </w:r>
      <w:r w:rsidR="00CF10A7" w:rsidRPr="00333D58">
        <w:rPr>
          <w:rFonts w:ascii="Times New Roman" w:hAnsi="Times New Roman"/>
          <w:i/>
        </w:rPr>
        <w:t>Limitation of Actions Act 1974</w:t>
      </w:r>
      <w:r w:rsidR="00CF10A7" w:rsidRPr="00333D58">
        <w:rPr>
          <w:rFonts w:ascii="Times New Roman" w:hAnsi="Times New Roman"/>
        </w:rPr>
        <w:t xml:space="preserve"> (Qld) </w:t>
      </w:r>
      <w:r w:rsidR="00626ED1" w:rsidRPr="00333D58">
        <w:rPr>
          <w:rFonts w:ascii="Times New Roman" w:hAnsi="Times New Roman"/>
        </w:rPr>
        <w:t xml:space="preserve">("the Limitation Act") </w:t>
      </w:r>
      <w:r w:rsidR="00700A13" w:rsidRPr="00333D58">
        <w:rPr>
          <w:rFonts w:ascii="Times New Roman" w:hAnsi="Times New Roman"/>
        </w:rPr>
        <w:t xml:space="preserve">contains provisions which </w:t>
      </w:r>
      <w:r w:rsidR="00626ED1" w:rsidRPr="00333D58">
        <w:rPr>
          <w:rFonts w:ascii="Times New Roman" w:hAnsi="Times New Roman"/>
        </w:rPr>
        <w:t xml:space="preserve">prescribe </w:t>
      </w:r>
      <w:r w:rsidR="007571E0" w:rsidRPr="00333D58">
        <w:rPr>
          <w:rFonts w:ascii="Times New Roman" w:hAnsi="Times New Roman"/>
        </w:rPr>
        <w:t xml:space="preserve">the time within which actions founded upon simple contract or for the recovery of land or monies secured by a mortgage </w:t>
      </w:r>
      <w:r w:rsidR="00B21CEC" w:rsidRPr="00333D58">
        <w:rPr>
          <w:rFonts w:ascii="Times New Roman" w:hAnsi="Times New Roman"/>
        </w:rPr>
        <w:t xml:space="preserve">over land </w:t>
      </w:r>
      <w:r w:rsidR="008D43F5" w:rsidRPr="00333D58">
        <w:rPr>
          <w:rFonts w:ascii="Times New Roman" w:hAnsi="Times New Roman"/>
        </w:rPr>
        <w:t xml:space="preserve">shall </w:t>
      </w:r>
      <w:r w:rsidR="00B21CEC" w:rsidRPr="00333D58">
        <w:rPr>
          <w:rFonts w:ascii="Times New Roman" w:hAnsi="Times New Roman"/>
        </w:rPr>
        <w:t xml:space="preserve">be brought. The </w:t>
      </w:r>
      <w:r w:rsidR="00BC69A0" w:rsidRPr="00333D58">
        <w:rPr>
          <w:rFonts w:ascii="Times New Roman" w:hAnsi="Times New Roman"/>
        </w:rPr>
        <w:t xml:space="preserve">principal </w:t>
      </w:r>
      <w:r w:rsidR="00B21CEC" w:rsidRPr="00333D58">
        <w:rPr>
          <w:rFonts w:ascii="Times New Roman" w:hAnsi="Times New Roman"/>
        </w:rPr>
        <w:t xml:space="preserve">question on this appeal </w:t>
      </w:r>
      <w:r w:rsidR="00BC69A0" w:rsidRPr="00333D58">
        <w:rPr>
          <w:rFonts w:ascii="Times New Roman" w:hAnsi="Times New Roman"/>
        </w:rPr>
        <w:t xml:space="preserve">is </w:t>
      </w:r>
      <w:r w:rsidR="00B21CEC" w:rsidRPr="00333D58">
        <w:rPr>
          <w:rFonts w:ascii="Times New Roman" w:hAnsi="Times New Roman"/>
        </w:rPr>
        <w:t xml:space="preserve">whether the parties to a mortgage may agree that the mortgagor </w:t>
      </w:r>
      <w:r w:rsidR="006460A1" w:rsidRPr="00333D58">
        <w:rPr>
          <w:rFonts w:ascii="Times New Roman" w:hAnsi="Times New Roman"/>
        </w:rPr>
        <w:t>will not plead the statutory limitation by way of defence to an action brought by the mortgagee or whether such an agreement is unenforceable as contrary to public policy</w:t>
      </w:r>
      <w:r w:rsidR="00BC69A0" w:rsidRPr="00333D58">
        <w:rPr>
          <w:rFonts w:ascii="Times New Roman" w:hAnsi="Times New Roman"/>
        </w:rPr>
        <w:t xml:space="preserve">. </w:t>
      </w:r>
      <w:r w:rsidR="00832E25" w:rsidRPr="00333D58">
        <w:rPr>
          <w:rFonts w:ascii="Times New Roman" w:hAnsi="Times New Roman"/>
        </w:rPr>
        <w:t xml:space="preserve">A second question concerns the operation of a provision of the Limitation Act respecting extinguishment of title. A third concerns </w:t>
      </w:r>
      <w:r w:rsidR="00E60256" w:rsidRPr="00333D58">
        <w:rPr>
          <w:rFonts w:ascii="Times New Roman" w:hAnsi="Times New Roman"/>
        </w:rPr>
        <w:t xml:space="preserve">the </w:t>
      </w:r>
      <w:r w:rsidR="00A90138" w:rsidRPr="00333D58">
        <w:rPr>
          <w:rFonts w:ascii="Times New Roman" w:hAnsi="Times New Roman"/>
        </w:rPr>
        <w:t>terms of a clause in the mortgages in question and whether they are effective to prevent the appellants from pleading the statutory time limitation</w:t>
      </w:r>
      <w:r w:rsidR="003A10F2" w:rsidRPr="00333D58">
        <w:rPr>
          <w:rFonts w:ascii="Times New Roman" w:hAnsi="Times New Roman"/>
        </w:rPr>
        <w:t>.</w:t>
      </w:r>
    </w:p>
    <w:p w14:paraId="01EE3B37" w14:textId="2A207311" w:rsidR="006306E1" w:rsidRPr="00333D58" w:rsidRDefault="006306E1" w:rsidP="00333D58">
      <w:pPr>
        <w:pStyle w:val="FixListStyle"/>
        <w:spacing w:after="260" w:line="280" w:lineRule="exact"/>
        <w:ind w:right="0"/>
        <w:jc w:val="both"/>
        <w:rPr>
          <w:rFonts w:ascii="Times New Roman" w:hAnsi="Times New Roman"/>
        </w:rPr>
      </w:pPr>
      <w:r w:rsidRPr="00333D58">
        <w:rPr>
          <w:rFonts w:ascii="Times New Roman" w:hAnsi="Times New Roman"/>
        </w:rPr>
        <w:tab/>
        <w:t>The</w:t>
      </w:r>
      <w:r w:rsidR="008D43F5" w:rsidRPr="00333D58">
        <w:rPr>
          <w:rFonts w:ascii="Times New Roman" w:hAnsi="Times New Roman"/>
        </w:rPr>
        <w:t>se</w:t>
      </w:r>
      <w:r w:rsidRPr="00333D58">
        <w:rPr>
          <w:rFonts w:ascii="Times New Roman" w:hAnsi="Times New Roman"/>
        </w:rPr>
        <w:t xml:space="preserve"> questions arose in proceedings brought </w:t>
      </w:r>
      <w:r w:rsidR="004C454D" w:rsidRPr="00333D58">
        <w:rPr>
          <w:rFonts w:ascii="Times New Roman" w:hAnsi="Times New Roman"/>
        </w:rPr>
        <w:t xml:space="preserve">in 2017 </w:t>
      </w:r>
      <w:r w:rsidR="008D43F5" w:rsidRPr="00333D58">
        <w:rPr>
          <w:rFonts w:ascii="Times New Roman" w:hAnsi="Times New Roman"/>
        </w:rPr>
        <w:t>in the Supreme Court of Queensland</w:t>
      </w:r>
      <w:r w:rsidR="00914D2C" w:rsidRPr="00333D58">
        <w:rPr>
          <w:rFonts w:ascii="Times New Roman" w:hAnsi="Times New Roman"/>
        </w:rPr>
        <w:t xml:space="preserve"> </w:t>
      </w:r>
      <w:r w:rsidRPr="00333D58">
        <w:rPr>
          <w:rFonts w:ascii="Times New Roman" w:hAnsi="Times New Roman"/>
        </w:rPr>
        <w:t xml:space="preserve">by the respondents </w:t>
      </w:r>
      <w:r w:rsidR="00914D2C" w:rsidRPr="00333D58">
        <w:rPr>
          <w:rFonts w:ascii="Times New Roman" w:hAnsi="Times New Roman"/>
        </w:rPr>
        <w:t xml:space="preserve">as mortgagees </w:t>
      </w:r>
      <w:r w:rsidRPr="00333D58">
        <w:rPr>
          <w:rFonts w:ascii="Times New Roman" w:hAnsi="Times New Roman"/>
        </w:rPr>
        <w:t xml:space="preserve">in which they claimed more </w:t>
      </w:r>
      <w:r w:rsidR="00D41B0E" w:rsidRPr="00333D58">
        <w:rPr>
          <w:rFonts w:ascii="Times New Roman" w:hAnsi="Times New Roman"/>
        </w:rPr>
        <w:t>than $4</w:t>
      </w:r>
      <w:r w:rsidR="00316CA9" w:rsidRPr="00333D58">
        <w:rPr>
          <w:rFonts w:ascii="Times New Roman" w:hAnsi="Times New Roman"/>
        </w:rPr>
        <w:t> million</w:t>
      </w:r>
      <w:r w:rsidR="00D41B0E" w:rsidRPr="00333D58">
        <w:rPr>
          <w:rFonts w:ascii="Times New Roman" w:hAnsi="Times New Roman"/>
        </w:rPr>
        <w:t xml:space="preserve"> as monies </w:t>
      </w:r>
      <w:r w:rsidR="00305CA7" w:rsidRPr="00333D58">
        <w:rPr>
          <w:rFonts w:ascii="Times New Roman" w:hAnsi="Times New Roman"/>
        </w:rPr>
        <w:t xml:space="preserve">owing under and secured by two mortgages, together with recovery of possession of land </w:t>
      </w:r>
      <w:r w:rsidR="00AC0166" w:rsidRPr="00333D58">
        <w:rPr>
          <w:rFonts w:ascii="Times New Roman" w:hAnsi="Times New Roman"/>
        </w:rPr>
        <w:t>the subject of the mortgages.</w:t>
      </w:r>
    </w:p>
    <w:p w14:paraId="35057FD6" w14:textId="7D753042" w:rsidR="002B7CA6" w:rsidRPr="00333D58" w:rsidRDefault="00B86498" w:rsidP="00333D58">
      <w:pPr>
        <w:pStyle w:val="FixListStyle"/>
        <w:spacing w:after="260" w:line="280" w:lineRule="exact"/>
        <w:ind w:right="0"/>
        <w:jc w:val="both"/>
        <w:rPr>
          <w:rFonts w:ascii="Times New Roman" w:hAnsi="Times New Roman"/>
        </w:rPr>
      </w:pPr>
      <w:r w:rsidRPr="00333D58">
        <w:rPr>
          <w:rFonts w:ascii="Times New Roman" w:hAnsi="Times New Roman"/>
        </w:rPr>
        <w:tab/>
      </w:r>
      <w:r w:rsidR="00F42A04" w:rsidRPr="00333D58">
        <w:rPr>
          <w:rFonts w:ascii="Times New Roman" w:hAnsi="Times New Roman"/>
        </w:rPr>
        <w:t>By way of defence</w:t>
      </w:r>
      <w:r w:rsidR="00F85517" w:rsidRPr="00333D58">
        <w:rPr>
          <w:rFonts w:ascii="Times New Roman" w:hAnsi="Times New Roman"/>
        </w:rPr>
        <w:t xml:space="preserve"> and counterclaim</w:t>
      </w:r>
      <w:r w:rsidR="00F42A04" w:rsidRPr="00333D58">
        <w:rPr>
          <w:rFonts w:ascii="Times New Roman" w:hAnsi="Times New Roman"/>
        </w:rPr>
        <w:t xml:space="preserve">, the </w:t>
      </w:r>
      <w:r w:rsidRPr="00333D58">
        <w:rPr>
          <w:rFonts w:ascii="Times New Roman" w:hAnsi="Times New Roman"/>
        </w:rPr>
        <w:t xml:space="preserve">appellants </w:t>
      </w:r>
      <w:r w:rsidR="007D5105" w:rsidRPr="00333D58">
        <w:rPr>
          <w:rFonts w:ascii="Times New Roman" w:hAnsi="Times New Roman"/>
        </w:rPr>
        <w:t xml:space="preserve">alleged that the respondents </w:t>
      </w:r>
      <w:r w:rsidRPr="00333D58">
        <w:rPr>
          <w:rFonts w:ascii="Times New Roman" w:hAnsi="Times New Roman"/>
        </w:rPr>
        <w:t>were statute</w:t>
      </w:r>
      <w:r w:rsidRPr="00333D58">
        <w:rPr>
          <w:rFonts w:ascii="Times New Roman" w:hAnsi="Times New Roman"/>
        </w:rPr>
        <w:noBreakHyphen/>
        <w:t>barred</w:t>
      </w:r>
      <w:r w:rsidR="00D83E61" w:rsidRPr="00333D58">
        <w:rPr>
          <w:rFonts w:ascii="Times New Roman" w:hAnsi="Times New Roman"/>
        </w:rPr>
        <w:t xml:space="preserve"> from bringing the action for debt</w:t>
      </w:r>
      <w:r w:rsidR="00B06A20" w:rsidRPr="00333D58">
        <w:rPr>
          <w:rFonts w:ascii="Times New Roman" w:hAnsi="Times New Roman"/>
        </w:rPr>
        <w:t xml:space="preserve"> pursuant to ss</w:t>
      </w:r>
      <w:r w:rsidR="00A43FE8" w:rsidRPr="00333D58">
        <w:rPr>
          <w:rFonts w:ascii="Times New Roman" w:hAnsi="Times New Roman"/>
        </w:rPr>
        <w:t> </w:t>
      </w:r>
      <w:r w:rsidR="00B06A20" w:rsidRPr="00333D58">
        <w:rPr>
          <w:rFonts w:ascii="Times New Roman" w:hAnsi="Times New Roman"/>
        </w:rPr>
        <w:t>10, 13 and 26 of the Limitation Act</w:t>
      </w:r>
      <w:r w:rsidR="00D75716" w:rsidRPr="00333D58">
        <w:rPr>
          <w:rFonts w:ascii="Times New Roman" w:hAnsi="Times New Roman"/>
        </w:rPr>
        <w:t>. The respondents were in consequence said to be barred from enforcing any rights under the mortgages</w:t>
      </w:r>
      <w:r w:rsidR="00F85517" w:rsidRPr="00333D58">
        <w:rPr>
          <w:rFonts w:ascii="Times New Roman" w:hAnsi="Times New Roman"/>
        </w:rPr>
        <w:t>. Two appellants</w:t>
      </w:r>
      <w:r w:rsidR="00D75716" w:rsidRPr="00333D58">
        <w:rPr>
          <w:rFonts w:ascii="Times New Roman" w:hAnsi="Times New Roman"/>
        </w:rPr>
        <w:t xml:space="preserve"> </w:t>
      </w:r>
      <w:r w:rsidR="008F24C6" w:rsidRPr="00333D58">
        <w:rPr>
          <w:rFonts w:ascii="Times New Roman" w:hAnsi="Times New Roman"/>
        </w:rPr>
        <w:t>further</w:t>
      </w:r>
      <w:r w:rsidR="007D5105" w:rsidRPr="00333D58">
        <w:rPr>
          <w:rFonts w:ascii="Times New Roman" w:hAnsi="Times New Roman"/>
        </w:rPr>
        <w:t xml:space="preserve"> alleged that </w:t>
      </w:r>
      <w:r w:rsidR="00D75716" w:rsidRPr="00333D58">
        <w:rPr>
          <w:rFonts w:ascii="Times New Roman" w:hAnsi="Times New Roman"/>
        </w:rPr>
        <w:t>the respondents</w:t>
      </w:r>
      <w:r w:rsidR="00AC0DC7" w:rsidRPr="00333D58">
        <w:rPr>
          <w:rFonts w:ascii="Times New Roman" w:hAnsi="Times New Roman"/>
        </w:rPr>
        <w:t xml:space="preserve">' title </w:t>
      </w:r>
      <w:r w:rsidR="00F02C26" w:rsidRPr="00333D58">
        <w:rPr>
          <w:rFonts w:ascii="Times New Roman" w:hAnsi="Times New Roman"/>
        </w:rPr>
        <w:t xml:space="preserve">under the mortgages </w:t>
      </w:r>
      <w:r w:rsidR="00FB68DB" w:rsidRPr="00333D58">
        <w:rPr>
          <w:rFonts w:ascii="Times New Roman" w:hAnsi="Times New Roman"/>
        </w:rPr>
        <w:t xml:space="preserve">had been extinguished. In </w:t>
      </w:r>
      <w:r w:rsidR="00EE5978" w:rsidRPr="00333D58">
        <w:rPr>
          <w:rFonts w:ascii="Times New Roman" w:hAnsi="Times New Roman"/>
        </w:rPr>
        <w:t>reply</w:t>
      </w:r>
      <w:r w:rsidR="00FB68DB" w:rsidRPr="00333D58">
        <w:rPr>
          <w:rFonts w:ascii="Times New Roman" w:hAnsi="Times New Roman"/>
        </w:rPr>
        <w:t xml:space="preserve">, the </w:t>
      </w:r>
      <w:r w:rsidR="004912AC" w:rsidRPr="00333D58">
        <w:rPr>
          <w:rFonts w:ascii="Times New Roman" w:hAnsi="Times New Roman"/>
        </w:rPr>
        <w:t>respondents</w:t>
      </w:r>
      <w:r w:rsidR="00FB68DB" w:rsidRPr="00333D58">
        <w:rPr>
          <w:rFonts w:ascii="Times New Roman" w:hAnsi="Times New Roman"/>
        </w:rPr>
        <w:t xml:space="preserve"> relied on cl 24 </w:t>
      </w:r>
      <w:r w:rsidR="002F4D3E" w:rsidRPr="00333D58">
        <w:rPr>
          <w:rFonts w:ascii="Times New Roman" w:hAnsi="Times New Roman"/>
        </w:rPr>
        <w:t xml:space="preserve">of </w:t>
      </w:r>
      <w:r w:rsidR="00EE5978" w:rsidRPr="00333D58">
        <w:rPr>
          <w:rFonts w:ascii="Times New Roman" w:hAnsi="Times New Roman"/>
        </w:rPr>
        <w:t>each</w:t>
      </w:r>
      <w:r w:rsidR="002F4D3E" w:rsidRPr="00333D58">
        <w:rPr>
          <w:rFonts w:ascii="Times New Roman" w:hAnsi="Times New Roman"/>
        </w:rPr>
        <w:t xml:space="preserve"> mortgage</w:t>
      </w:r>
      <w:r w:rsidR="00961291" w:rsidRPr="00333D58">
        <w:rPr>
          <w:rFonts w:ascii="Times New Roman" w:hAnsi="Times New Roman"/>
        </w:rPr>
        <w:t>,</w:t>
      </w:r>
      <w:r w:rsidR="002F4D3E" w:rsidRPr="00333D58">
        <w:rPr>
          <w:rFonts w:ascii="Times New Roman" w:hAnsi="Times New Roman"/>
        </w:rPr>
        <w:t xml:space="preserve"> which they contended amounted to a covenant on the part of the appellants not to plead a defence of limitation. </w:t>
      </w:r>
      <w:r w:rsidR="00414951" w:rsidRPr="00333D58">
        <w:rPr>
          <w:rFonts w:ascii="Times New Roman" w:hAnsi="Times New Roman"/>
        </w:rPr>
        <w:t>As a result it was said that t</w:t>
      </w:r>
      <w:r w:rsidR="002B7CA6" w:rsidRPr="00333D58">
        <w:rPr>
          <w:rFonts w:ascii="Times New Roman" w:hAnsi="Times New Roman"/>
        </w:rPr>
        <w:t>he appellants were estopped from pleading it. The respondents</w:t>
      </w:r>
      <w:r w:rsidR="00D6444E" w:rsidRPr="00333D58">
        <w:rPr>
          <w:rFonts w:ascii="Times New Roman" w:hAnsi="Times New Roman"/>
        </w:rPr>
        <w:t xml:space="preserve"> might have described the abandonment of </w:t>
      </w:r>
      <w:r w:rsidR="005862F0" w:rsidRPr="00333D58">
        <w:rPr>
          <w:rFonts w:ascii="Times New Roman" w:hAnsi="Times New Roman"/>
        </w:rPr>
        <w:t xml:space="preserve">reliance on </w:t>
      </w:r>
      <w:r w:rsidR="00D6444E" w:rsidRPr="00333D58">
        <w:rPr>
          <w:rFonts w:ascii="Times New Roman" w:hAnsi="Times New Roman"/>
        </w:rPr>
        <w:t xml:space="preserve">the statutory right </w:t>
      </w:r>
      <w:r w:rsidR="00414951" w:rsidRPr="00333D58">
        <w:rPr>
          <w:rFonts w:ascii="Times New Roman" w:hAnsi="Times New Roman"/>
        </w:rPr>
        <w:t xml:space="preserve">which they allege was </w:t>
      </w:r>
      <w:r w:rsidR="00D6444E" w:rsidRPr="00333D58">
        <w:rPr>
          <w:rFonts w:ascii="Times New Roman" w:hAnsi="Times New Roman"/>
        </w:rPr>
        <w:t>effected by the agreement as a waiver by the appellants</w:t>
      </w:r>
      <w:r w:rsidR="004D3A75" w:rsidRPr="00333D58">
        <w:rPr>
          <w:rFonts w:ascii="Times New Roman" w:hAnsi="Times New Roman"/>
        </w:rPr>
        <w:t xml:space="preserve"> of </w:t>
      </w:r>
      <w:r w:rsidR="00593519" w:rsidRPr="00333D58">
        <w:rPr>
          <w:rFonts w:ascii="Times New Roman" w:hAnsi="Times New Roman"/>
        </w:rPr>
        <w:t xml:space="preserve">that </w:t>
      </w:r>
      <w:r w:rsidR="004D3A75" w:rsidRPr="00333D58">
        <w:rPr>
          <w:rFonts w:ascii="Times New Roman" w:hAnsi="Times New Roman"/>
        </w:rPr>
        <w:t>right</w:t>
      </w:r>
      <w:r w:rsidR="001F7F4F" w:rsidRPr="00333D58">
        <w:rPr>
          <w:rStyle w:val="FootnoteReference"/>
          <w:rFonts w:ascii="Times New Roman" w:hAnsi="Times New Roman"/>
          <w:sz w:val="24"/>
        </w:rPr>
        <w:footnoteReference w:id="2"/>
      </w:r>
      <w:r w:rsidR="008A3BA9" w:rsidRPr="00333D58">
        <w:rPr>
          <w:rFonts w:ascii="Times New Roman" w:hAnsi="Times New Roman"/>
        </w:rPr>
        <w:t>.</w:t>
      </w:r>
    </w:p>
    <w:p w14:paraId="40EC50AD" w14:textId="1E892059" w:rsidR="00414951" w:rsidRPr="00333D58" w:rsidRDefault="0076437D" w:rsidP="00333D58">
      <w:pPr>
        <w:pStyle w:val="FixListStyle"/>
        <w:spacing w:after="260" w:line="280" w:lineRule="exact"/>
        <w:ind w:right="0"/>
        <w:jc w:val="both"/>
        <w:rPr>
          <w:rFonts w:ascii="Times New Roman" w:hAnsi="Times New Roman"/>
        </w:rPr>
      </w:pPr>
      <w:r w:rsidRPr="00333D58">
        <w:rPr>
          <w:rFonts w:ascii="Times New Roman" w:hAnsi="Times New Roman"/>
        </w:rPr>
        <w:tab/>
        <w:t>On the hearing of the</w:t>
      </w:r>
      <w:r w:rsidR="007F1E4F" w:rsidRPr="00333D58">
        <w:rPr>
          <w:rFonts w:ascii="Times New Roman" w:hAnsi="Times New Roman"/>
        </w:rPr>
        <w:t>ir</w:t>
      </w:r>
      <w:r w:rsidRPr="00333D58">
        <w:rPr>
          <w:rFonts w:ascii="Times New Roman" w:hAnsi="Times New Roman"/>
        </w:rPr>
        <w:t xml:space="preserve"> application </w:t>
      </w:r>
      <w:r w:rsidR="007F1E4F" w:rsidRPr="00333D58">
        <w:rPr>
          <w:rFonts w:ascii="Times New Roman" w:hAnsi="Times New Roman"/>
        </w:rPr>
        <w:t xml:space="preserve">for summary judgment </w:t>
      </w:r>
      <w:r w:rsidR="0069412F" w:rsidRPr="00333D58">
        <w:rPr>
          <w:rFonts w:ascii="Times New Roman" w:hAnsi="Times New Roman"/>
        </w:rPr>
        <w:t xml:space="preserve">or </w:t>
      </w:r>
      <w:r w:rsidR="00132E8A" w:rsidRPr="00333D58">
        <w:rPr>
          <w:rFonts w:ascii="Times New Roman" w:hAnsi="Times New Roman"/>
        </w:rPr>
        <w:t xml:space="preserve">for </w:t>
      </w:r>
      <w:r w:rsidR="00725BBB" w:rsidRPr="00333D58">
        <w:rPr>
          <w:rFonts w:ascii="Times New Roman" w:hAnsi="Times New Roman"/>
        </w:rPr>
        <w:t>a strike out of the</w:t>
      </w:r>
      <w:r w:rsidR="00132E8A" w:rsidRPr="00333D58">
        <w:rPr>
          <w:rFonts w:ascii="Times New Roman" w:hAnsi="Times New Roman"/>
        </w:rPr>
        <w:t xml:space="preserve"> </w:t>
      </w:r>
      <w:r w:rsidR="00725BBB" w:rsidRPr="00333D58">
        <w:rPr>
          <w:rFonts w:ascii="Times New Roman" w:hAnsi="Times New Roman"/>
        </w:rPr>
        <w:t>defences</w:t>
      </w:r>
      <w:r w:rsidR="00132E8A" w:rsidRPr="00333D58">
        <w:rPr>
          <w:rFonts w:ascii="Times New Roman" w:hAnsi="Times New Roman"/>
        </w:rPr>
        <w:t xml:space="preserve"> </w:t>
      </w:r>
      <w:r w:rsidR="00914070" w:rsidRPr="00333D58">
        <w:rPr>
          <w:rFonts w:ascii="Times New Roman" w:hAnsi="Times New Roman"/>
        </w:rPr>
        <w:t xml:space="preserve">the respondents conceded that if the Limitation Act applied their claims would be defeated. The primary judge (Dalton J) </w:t>
      </w:r>
      <w:r w:rsidR="00C41E1D" w:rsidRPr="00333D58">
        <w:rPr>
          <w:rFonts w:ascii="Times New Roman" w:hAnsi="Times New Roman"/>
        </w:rPr>
        <w:t>dismissed the application and entered judgment for the appellants</w:t>
      </w:r>
      <w:r w:rsidR="00C41E1D" w:rsidRPr="00333D58">
        <w:rPr>
          <w:rStyle w:val="FootnoteReference"/>
          <w:rFonts w:ascii="Times New Roman" w:hAnsi="Times New Roman"/>
          <w:sz w:val="24"/>
        </w:rPr>
        <w:footnoteReference w:id="3"/>
      </w:r>
      <w:r w:rsidR="00C41E1D" w:rsidRPr="00333D58">
        <w:rPr>
          <w:rFonts w:ascii="Times New Roman" w:hAnsi="Times New Roman"/>
        </w:rPr>
        <w:t>.</w:t>
      </w:r>
      <w:r w:rsidR="00EB6B63" w:rsidRPr="00333D58">
        <w:rPr>
          <w:rFonts w:ascii="Times New Roman" w:hAnsi="Times New Roman"/>
        </w:rPr>
        <w:t xml:space="preserve"> The Court of Appeal allowed the appeal from that decision </w:t>
      </w:r>
      <w:r w:rsidR="001C7E81" w:rsidRPr="00333D58">
        <w:rPr>
          <w:rFonts w:ascii="Times New Roman" w:hAnsi="Times New Roman"/>
        </w:rPr>
        <w:t>and subsequently gave judgment for the respondents and made other orders</w:t>
      </w:r>
      <w:r w:rsidR="002F76DD" w:rsidRPr="00333D58">
        <w:rPr>
          <w:rStyle w:val="FootnoteReference"/>
          <w:rFonts w:ascii="Times New Roman" w:hAnsi="Times New Roman"/>
          <w:sz w:val="24"/>
        </w:rPr>
        <w:footnoteReference w:id="4"/>
      </w:r>
      <w:r w:rsidR="001C7E81" w:rsidRPr="00333D58">
        <w:rPr>
          <w:rFonts w:ascii="Times New Roman" w:hAnsi="Times New Roman"/>
        </w:rPr>
        <w:t>.</w:t>
      </w:r>
    </w:p>
    <w:p w14:paraId="0098A41A" w14:textId="2B924B7B" w:rsidR="00DA7FBB" w:rsidRPr="00333D58" w:rsidRDefault="00352BC9" w:rsidP="00333D58">
      <w:pPr>
        <w:pStyle w:val="HeadingL1"/>
        <w:spacing w:after="260" w:line="280" w:lineRule="exact"/>
        <w:ind w:right="0"/>
        <w:jc w:val="both"/>
        <w:rPr>
          <w:rFonts w:ascii="Times New Roman" w:hAnsi="Times New Roman"/>
        </w:rPr>
      </w:pPr>
      <w:r w:rsidRPr="00333D58">
        <w:rPr>
          <w:rFonts w:ascii="Times New Roman" w:hAnsi="Times New Roman"/>
        </w:rPr>
        <w:lastRenderedPageBreak/>
        <w:t xml:space="preserve">The Limitation Act provisions and their </w:t>
      </w:r>
      <w:r w:rsidR="00B94A08" w:rsidRPr="00333D58">
        <w:rPr>
          <w:rFonts w:ascii="Times New Roman" w:hAnsi="Times New Roman"/>
        </w:rPr>
        <w:t>effect</w:t>
      </w:r>
    </w:p>
    <w:p w14:paraId="2E4AA9A0" w14:textId="26666E6C" w:rsidR="00352BC9" w:rsidRPr="00333D58" w:rsidRDefault="00352BC9" w:rsidP="00333D58">
      <w:pPr>
        <w:pStyle w:val="FixListStyle"/>
        <w:spacing w:after="260" w:line="280" w:lineRule="exact"/>
        <w:ind w:right="0"/>
        <w:jc w:val="both"/>
        <w:rPr>
          <w:rFonts w:ascii="Times New Roman" w:hAnsi="Times New Roman"/>
        </w:rPr>
      </w:pPr>
      <w:r w:rsidRPr="00333D58">
        <w:rPr>
          <w:rFonts w:ascii="Times New Roman" w:hAnsi="Times New Roman"/>
        </w:rPr>
        <w:tab/>
        <w:t xml:space="preserve">Section 10(1)(a) of the Limitation Act </w:t>
      </w:r>
      <w:r w:rsidR="00B94A08" w:rsidRPr="00333D58">
        <w:rPr>
          <w:rFonts w:ascii="Times New Roman" w:hAnsi="Times New Roman"/>
        </w:rPr>
        <w:t xml:space="preserve">in its relevant part </w:t>
      </w:r>
      <w:r w:rsidRPr="00333D58">
        <w:rPr>
          <w:rFonts w:ascii="Times New Roman" w:hAnsi="Times New Roman"/>
        </w:rPr>
        <w:t>provides that:</w:t>
      </w:r>
    </w:p>
    <w:p w14:paraId="285CBE78" w14:textId="1B3851B7" w:rsidR="00352BC9" w:rsidRPr="00333D58" w:rsidRDefault="00163173" w:rsidP="00333D58">
      <w:pPr>
        <w:pStyle w:val="LeftrightHanging"/>
        <w:spacing w:before="0" w:after="260" w:line="280" w:lineRule="exact"/>
        <w:ind w:right="0"/>
        <w:jc w:val="both"/>
        <w:rPr>
          <w:rFonts w:ascii="Times New Roman" w:hAnsi="Times New Roman"/>
        </w:rPr>
      </w:pPr>
      <w:r w:rsidRPr="00333D58">
        <w:rPr>
          <w:rFonts w:ascii="Times New Roman" w:hAnsi="Times New Roman"/>
        </w:rPr>
        <w:t>"(1)</w:t>
      </w:r>
      <w:r w:rsidRPr="00333D58">
        <w:rPr>
          <w:rFonts w:ascii="Times New Roman" w:hAnsi="Times New Roman"/>
        </w:rPr>
        <w:tab/>
        <w:t xml:space="preserve">The following actions shall not be brought after the expiration of </w:t>
      </w:r>
      <w:r w:rsidR="0049234E" w:rsidRPr="00333D58">
        <w:rPr>
          <w:rFonts w:ascii="Times New Roman" w:hAnsi="Times New Roman"/>
        </w:rPr>
        <w:t xml:space="preserve">6 </w:t>
      </w:r>
      <w:r w:rsidRPr="00333D58">
        <w:rPr>
          <w:rFonts w:ascii="Times New Roman" w:hAnsi="Times New Roman"/>
        </w:rPr>
        <w:t xml:space="preserve">years from the date on which the cause of action arose </w:t>
      </w:r>
      <w:r w:rsidR="00FB58D2" w:rsidRPr="00333D58">
        <w:rPr>
          <w:rFonts w:ascii="Times New Roman" w:hAnsi="Times New Roman"/>
        </w:rPr>
        <w:t>–</w:t>
      </w:r>
    </w:p>
    <w:p w14:paraId="092D7CE0" w14:textId="77777777" w:rsidR="00333D58" w:rsidRDefault="004D6C81" w:rsidP="00333D58">
      <w:pPr>
        <w:pStyle w:val="LeftrightHanging"/>
        <w:spacing w:before="0" w:after="260" w:line="280" w:lineRule="exact"/>
        <w:ind w:left="2160" w:right="0" w:hanging="1440"/>
        <w:jc w:val="both"/>
        <w:rPr>
          <w:rFonts w:ascii="Times New Roman" w:hAnsi="Times New Roman"/>
        </w:rPr>
      </w:pPr>
      <w:r w:rsidRPr="00333D58">
        <w:rPr>
          <w:rFonts w:ascii="Times New Roman" w:hAnsi="Times New Roman"/>
        </w:rPr>
        <w:tab/>
        <w:t>(a)</w:t>
      </w:r>
      <w:r w:rsidRPr="00333D58">
        <w:rPr>
          <w:rFonts w:ascii="Times New Roman" w:hAnsi="Times New Roman"/>
        </w:rPr>
        <w:tab/>
        <w:t>… an action founded on simple contract …"</w:t>
      </w:r>
    </w:p>
    <w:p w14:paraId="62BF865F" w14:textId="6179653B" w:rsidR="004D6C81" w:rsidRPr="00333D58" w:rsidRDefault="004D6C81" w:rsidP="00333D58">
      <w:pPr>
        <w:pStyle w:val="FixListStyle"/>
        <w:spacing w:after="260" w:line="280" w:lineRule="exact"/>
        <w:ind w:right="0"/>
        <w:jc w:val="both"/>
        <w:rPr>
          <w:rFonts w:ascii="Times New Roman" w:hAnsi="Times New Roman"/>
        </w:rPr>
      </w:pPr>
      <w:r w:rsidRPr="00333D58">
        <w:rPr>
          <w:rFonts w:ascii="Times New Roman" w:hAnsi="Times New Roman"/>
        </w:rPr>
        <w:tab/>
      </w:r>
      <w:r w:rsidR="00C203B3" w:rsidRPr="00333D58">
        <w:rPr>
          <w:rFonts w:ascii="Times New Roman" w:hAnsi="Times New Roman"/>
        </w:rPr>
        <w:t>Section 13 provides:</w:t>
      </w:r>
    </w:p>
    <w:p w14:paraId="753EF7E9" w14:textId="77777777" w:rsidR="00333D58" w:rsidRDefault="00A80386" w:rsidP="00333D58">
      <w:pPr>
        <w:pStyle w:val="LeftrightHanging"/>
        <w:spacing w:before="0" w:after="260" w:line="280" w:lineRule="exact"/>
        <w:ind w:left="720" w:right="0"/>
        <w:jc w:val="both"/>
        <w:rPr>
          <w:rFonts w:ascii="Times New Roman" w:hAnsi="Times New Roman"/>
        </w:rPr>
      </w:pPr>
      <w:r w:rsidRPr="00333D58">
        <w:rPr>
          <w:rFonts w:ascii="Times New Roman" w:hAnsi="Times New Roman"/>
        </w:rPr>
        <w:tab/>
      </w:r>
      <w:r w:rsidR="00C203B3" w:rsidRPr="00333D58">
        <w:rPr>
          <w:rFonts w:ascii="Times New Roman" w:hAnsi="Times New Roman"/>
        </w:rPr>
        <w:t>"</w:t>
      </w:r>
      <w:r w:rsidR="00155F6C" w:rsidRPr="00333D58">
        <w:rPr>
          <w:rFonts w:ascii="Times New Roman" w:hAnsi="Times New Roman"/>
        </w:rPr>
        <w:t>An action shall not be brought by a person to recover land after the expiration of 12 years from the date on whi</w:t>
      </w:r>
      <w:r w:rsidR="003331D2" w:rsidRPr="00333D58">
        <w:rPr>
          <w:rFonts w:ascii="Times New Roman" w:hAnsi="Times New Roman"/>
        </w:rPr>
        <w:t>c</w:t>
      </w:r>
      <w:r w:rsidR="00155F6C" w:rsidRPr="00333D58">
        <w:rPr>
          <w:rFonts w:ascii="Times New Roman" w:hAnsi="Times New Roman"/>
        </w:rPr>
        <w:t xml:space="preserve">h the </w:t>
      </w:r>
      <w:r w:rsidR="0076613C" w:rsidRPr="00333D58">
        <w:rPr>
          <w:rFonts w:ascii="Times New Roman" w:hAnsi="Times New Roman"/>
        </w:rPr>
        <w:t xml:space="preserve">right </w:t>
      </w:r>
      <w:r w:rsidR="00155F6C" w:rsidRPr="00333D58">
        <w:rPr>
          <w:rFonts w:ascii="Times New Roman" w:hAnsi="Times New Roman"/>
        </w:rPr>
        <w:t>of action accrued to the person or, if it first accrued to some person through whom the person claims, to that person</w:t>
      </w:r>
      <w:r w:rsidR="003331D2" w:rsidRPr="00333D58">
        <w:rPr>
          <w:rFonts w:ascii="Times New Roman" w:hAnsi="Times New Roman"/>
        </w:rPr>
        <w:t>."</w:t>
      </w:r>
    </w:p>
    <w:p w14:paraId="0F947D54" w14:textId="27EE1F99" w:rsidR="00BC66EB" w:rsidRPr="00333D58" w:rsidRDefault="00BC66EB" w:rsidP="00333D58">
      <w:pPr>
        <w:pStyle w:val="FixListStyle"/>
        <w:spacing w:after="260" w:line="280" w:lineRule="exact"/>
        <w:ind w:right="0"/>
        <w:jc w:val="both"/>
        <w:rPr>
          <w:rFonts w:ascii="Times New Roman" w:hAnsi="Times New Roman"/>
        </w:rPr>
      </w:pPr>
      <w:r w:rsidRPr="00333D58">
        <w:rPr>
          <w:rFonts w:ascii="Times New Roman" w:hAnsi="Times New Roman"/>
        </w:rPr>
        <w:tab/>
        <w:t xml:space="preserve">The provision which relates to the extinguishment of title </w:t>
      </w:r>
      <w:r w:rsidR="002E1EE0" w:rsidRPr="00333D58">
        <w:rPr>
          <w:rFonts w:ascii="Times New Roman" w:hAnsi="Times New Roman"/>
        </w:rPr>
        <w:t xml:space="preserve">upon </w:t>
      </w:r>
      <w:r w:rsidRPr="00333D58">
        <w:rPr>
          <w:rFonts w:ascii="Times New Roman" w:hAnsi="Times New Roman"/>
        </w:rPr>
        <w:t xml:space="preserve">which the appellants </w:t>
      </w:r>
      <w:r w:rsidR="002E1EE0" w:rsidRPr="00333D58">
        <w:rPr>
          <w:rFonts w:ascii="Times New Roman" w:hAnsi="Times New Roman"/>
        </w:rPr>
        <w:t xml:space="preserve">rely </w:t>
      </w:r>
      <w:r w:rsidRPr="00333D58">
        <w:rPr>
          <w:rFonts w:ascii="Times New Roman" w:hAnsi="Times New Roman"/>
        </w:rPr>
        <w:t>is s 24(1)</w:t>
      </w:r>
      <w:r w:rsidR="00E71A86" w:rsidRPr="00333D58">
        <w:rPr>
          <w:rFonts w:ascii="Times New Roman" w:hAnsi="Times New Roman"/>
        </w:rPr>
        <w:t>,</w:t>
      </w:r>
      <w:r w:rsidRPr="00333D58">
        <w:rPr>
          <w:rFonts w:ascii="Times New Roman" w:hAnsi="Times New Roman"/>
        </w:rPr>
        <w:t xml:space="preserve"> which relevantly provides:</w:t>
      </w:r>
    </w:p>
    <w:p w14:paraId="73B711CA" w14:textId="77777777" w:rsidR="00333D58" w:rsidRDefault="00BA1959" w:rsidP="00333D58">
      <w:pPr>
        <w:pStyle w:val="LeftrightHanging"/>
        <w:spacing w:before="0" w:after="260" w:line="280" w:lineRule="exact"/>
        <w:ind w:left="720" w:right="0"/>
        <w:jc w:val="both"/>
        <w:rPr>
          <w:rFonts w:ascii="Times New Roman" w:hAnsi="Times New Roman"/>
        </w:rPr>
      </w:pPr>
      <w:r w:rsidRPr="00333D58">
        <w:rPr>
          <w:rFonts w:ascii="Times New Roman" w:hAnsi="Times New Roman"/>
        </w:rPr>
        <w:tab/>
      </w:r>
      <w:r w:rsidR="00BC66EB" w:rsidRPr="00333D58">
        <w:rPr>
          <w:rFonts w:ascii="Times New Roman" w:hAnsi="Times New Roman"/>
        </w:rPr>
        <w:t>"… where the period of limitation prescribed by this Act within which a person may bring an action to recover land … has expired, the title of that person to the land shall be extinguished."</w:t>
      </w:r>
    </w:p>
    <w:p w14:paraId="519CDF72" w14:textId="5E6F6D0A" w:rsidR="00BC66EB" w:rsidRPr="00333D58" w:rsidRDefault="00BC66EB" w:rsidP="00333D58">
      <w:pPr>
        <w:pStyle w:val="FixListStyle"/>
        <w:spacing w:after="260" w:line="280" w:lineRule="exact"/>
        <w:ind w:right="0"/>
        <w:jc w:val="both"/>
        <w:rPr>
          <w:rFonts w:ascii="Times New Roman" w:hAnsi="Times New Roman"/>
        </w:rPr>
      </w:pPr>
      <w:r w:rsidRPr="00333D58">
        <w:rPr>
          <w:rFonts w:ascii="Times New Roman" w:hAnsi="Times New Roman"/>
        </w:rPr>
        <w:tab/>
      </w:r>
      <w:r w:rsidR="00B54FF8" w:rsidRPr="00333D58">
        <w:rPr>
          <w:rFonts w:ascii="Times New Roman" w:hAnsi="Times New Roman"/>
        </w:rPr>
        <w:t xml:space="preserve">Section 26 deals with actions to recover money secured by a mortgage </w:t>
      </w:r>
      <w:r w:rsidR="003775F0" w:rsidRPr="00333D58">
        <w:rPr>
          <w:rFonts w:ascii="Times New Roman" w:hAnsi="Times New Roman"/>
        </w:rPr>
        <w:t xml:space="preserve">or </w:t>
      </w:r>
      <w:r w:rsidR="00D2082A" w:rsidRPr="00333D58">
        <w:rPr>
          <w:rFonts w:ascii="Times New Roman" w:hAnsi="Times New Roman"/>
        </w:rPr>
        <w:t>to recover proceeds from the sale of the land.</w:t>
      </w:r>
    </w:p>
    <w:p w14:paraId="40378B01" w14:textId="39BB2D3E" w:rsidR="002E1EE0" w:rsidRPr="00333D58" w:rsidRDefault="002E1EE0" w:rsidP="00333D58">
      <w:pPr>
        <w:pStyle w:val="FixListStyle"/>
        <w:spacing w:after="260" w:line="280" w:lineRule="exact"/>
        <w:ind w:right="0"/>
        <w:jc w:val="both"/>
        <w:rPr>
          <w:rFonts w:ascii="Times New Roman" w:hAnsi="Times New Roman"/>
        </w:rPr>
      </w:pPr>
      <w:r w:rsidRPr="00333D58">
        <w:rPr>
          <w:rFonts w:ascii="Times New Roman" w:hAnsi="Times New Roman"/>
        </w:rPr>
        <w:tab/>
        <w:t xml:space="preserve">In </w:t>
      </w:r>
      <w:r w:rsidRPr="00333D58">
        <w:rPr>
          <w:rFonts w:ascii="Times New Roman" w:hAnsi="Times New Roman"/>
          <w:i/>
        </w:rPr>
        <w:t>Work</w:t>
      </w:r>
      <w:r w:rsidR="00CB7D72" w:rsidRPr="00333D58">
        <w:rPr>
          <w:rFonts w:ascii="Times New Roman" w:hAnsi="Times New Roman"/>
          <w:i/>
        </w:rPr>
        <w:t>C</w:t>
      </w:r>
      <w:r w:rsidRPr="00333D58">
        <w:rPr>
          <w:rFonts w:ascii="Times New Roman" w:hAnsi="Times New Roman"/>
          <w:i/>
        </w:rPr>
        <w:t>over Q</w:t>
      </w:r>
      <w:r w:rsidR="0071446A" w:rsidRPr="00333D58">
        <w:rPr>
          <w:rFonts w:ascii="Times New Roman" w:hAnsi="Times New Roman"/>
          <w:i/>
        </w:rPr>
        <w:t>ueens</w:t>
      </w:r>
      <w:r w:rsidRPr="00333D58">
        <w:rPr>
          <w:rFonts w:ascii="Times New Roman" w:hAnsi="Times New Roman"/>
          <w:i/>
        </w:rPr>
        <w:t>l</w:t>
      </w:r>
      <w:r w:rsidR="0071446A" w:rsidRPr="00333D58">
        <w:rPr>
          <w:rFonts w:ascii="Times New Roman" w:hAnsi="Times New Roman"/>
          <w:i/>
        </w:rPr>
        <w:t>an</w:t>
      </w:r>
      <w:r w:rsidRPr="00333D58">
        <w:rPr>
          <w:rFonts w:ascii="Times New Roman" w:hAnsi="Times New Roman"/>
          <w:i/>
        </w:rPr>
        <w:t xml:space="preserve">d v </w:t>
      </w:r>
      <w:proofErr w:type="spellStart"/>
      <w:r w:rsidRPr="00333D58">
        <w:rPr>
          <w:rFonts w:ascii="Times New Roman" w:hAnsi="Times New Roman"/>
          <w:i/>
        </w:rPr>
        <w:t>Amaca</w:t>
      </w:r>
      <w:proofErr w:type="spellEnd"/>
      <w:r w:rsidRPr="00333D58">
        <w:rPr>
          <w:rFonts w:ascii="Times New Roman" w:hAnsi="Times New Roman"/>
          <w:i/>
        </w:rPr>
        <w:t xml:space="preserve"> Pty </w:t>
      </w:r>
      <w:r w:rsidR="0071446A" w:rsidRPr="00333D58">
        <w:rPr>
          <w:rFonts w:ascii="Times New Roman" w:hAnsi="Times New Roman"/>
          <w:i/>
        </w:rPr>
        <w:t>Ltd</w:t>
      </w:r>
      <w:r w:rsidRPr="00333D58">
        <w:rPr>
          <w:rStyle w:val="FootnoteReference"/>
          <w:rFonts w:ascii="Times New Roman" w:hAnsi="Times New Roman"/>
          <w:sz w:val="24"/>
        </w:rPr>
        <w:footnoteReference w:id="5"/>
      </w:r>
      <w:r w:rsidR="00BA1959" w:rsidRPr="00333D58">
        <w:rPr>
          <w:rFonts w:ascii="Times New Roman" w:hAnsi="Times New Roman"/>
        </w:rPr>
        <w:t>,</w:t>
      </w:r>
      <w:r w:rsidR="00731278" w:rsidRPr="00333D58">
        <w:rPr>
          <w:rFonts w:ascii="Times New Roman" w:hAnsi="Times New Roman"/>
        </w:rPr>
        <w:t xml:space="preserve"> five members of this Court explained the effect of statutes of limitation by reference to what had been said by Gummow and Kirby JJ in </w:t>
      </w:r>
      <w:r w:rsidR="00731278" w:rsidRPr="00333D58">
        <w:rPr>
          <w:rFonts w:ascii="Times New Roman" w:hAnsi="Times New Roman"/>
          <w:i/>
        </w:rPr>
        <w:t xml:space="preserve">The Commonwealth v </w:t>
      </w:r>
      <w:proofErr w:type="spellStart"/>
      <w:r w:rsidR="00731278" w:rsidRPr="00333D58">
        <w:rPr>
          <w:rFonts w:ascii="Times New Roman" w:hAnsi="Times New Roman"/>
          <w:i/>
        </w:rPr>
        <w:t>Mewett</w:t>
      </w:r>
      <w:proofErr w:type="spellEnd"/>
      <w:r w:rsidR="00731278" w:rsidRPr="00333D58">
        <w:rPr>
          <w:rStyle w:val="FootnoteReference"/>
          <w:rFonts w:ascii="Times New Roman" w:hAnsi="Times New Roman"/>
          <w:sz w:val="24"/>
        </w:rPr>
        <w:footnoteReference w:id="6"/>
      </w:r>
      <w:r w:rsidR="00C810EC" w:rsidRPr="00333D58">
        <w:rPr>
          <w:rFonts w:ascii="Times New Roman" w:hAnsi="Times New Roman"/>
        </w:rPr>
        <w:t xml:space="preserve">. </w:t>
      </w:r>
      <w:r w:rsidR="006B1A18" w:rsidRPr="00333D58">
        <w:rPr>
          <w:rFonts w:ascii="Times New Roman" w:hAnsi="Times New Roman"/>
        </w:rPr>
        <w:t xml:space="preserve">In </w:t>
      </w:r>
      <w:proofErr w:type="spellStart"/>
      <w:r w:rsidR="006B1A18" w:rsidRPr="00333D58">
        <w:rPr>
          <w:rFonts w:ascii="Times New Roman" w:hAnsi="Times New Roman"/>
          <w:i/>
        </w:rPr>
        <w:t>Mewett</w:t>
      </w:r>
      <w:proofErr w:type="spellEnd"/>
      <w:r w:rsidR="006B1A18" w:rsidRPr="00333D58">
        <w:rPr>
          <w:rFonts w:ascii="Times New Roman" w:hAnsi="Times New Roman"/>
        </w:rPr>
        <w:t>,</w:t>
      </w:r>
      <w:r w:rsidR="006B1A18" w:rsidRPr="00333D58">
        <w:rPr>
          <w:rFonts w:ascii="Times New Roman" w:hAnsi="Times New Roman"/>
          <w:i/>
        </w:rPr>
        <w:t xml:space="preserve"> </w:t>
      </w:r>
      <w:r w:rsidR="006B1A18" w:rsidRPr="00333D58">
        <w:rPr>
          <w:rFonts w:ascii="Times New Roman" w:hAnsi="Times New Roman"/>
        </w:rPr>
        <w:t>t</w:t>
      </w:r>
      <w:r w:rsidR="00C810EC" w:rsidRPr="00333D58">
        <w:rPr>
          <w:rFonts w:ascii="Times New Roman" w:hAnsi="Times New Roman"/>
        </w:rPr>
        <w:t xml:space="preserve">heir Honours said that in the case of a statute of limitations in the traditional form a statutory bar does not go to the jurisdiction of the court to </w:t>
      </w:r>
      <w:r w:rsidR="0029504E" w:rsidRPr="00333D58">
        <w:rPr>
          <w:rFonts w:ascii="Times New Roman" w:hAnsi="Times New Roman"/>
        </w:rPr>
        <w:t xml:space="preserve">entertain the claim but rather to the remedy available, and therefore to the defences which may be pleaded. The cause of action is not extinguished by the statute and unless a defence relying on the statute is pleaded, the statutory bar does not arise for the consideration of </w:t>
      </w:r>
      <w:r w:rsidR="00424D52" w:rsidRPr="00333D58">
        <w:rPr>
          <w:rFonts w:ascii="Times New Roman" w:hAnsi="Times New Roman"/>
        </w:rPr>
        <w:t xml:space="preserve">the </w:t>
      </w:r>
      <w:r w:rsidR="0029504E" w:rsidRPr="00333D58">
        <w:rPr>
          <w:rFonts w:ascii="Times New Roman" w:hAnsi="Times New Roman"/>
        </w:rPr>
        <w:t>court.</w:t>
      </w:r>
    </w:p>
    <w:p w14:paraId="7257C306" w14:textId="5624412B" w:rsidR="00BA1959" w:rsidRPr="00333D58" w:rsidRDefault="0029504E" w:rsidP="00333D58">
      <w:pPr>
        <w:pStyle w:val="FixListStyle"/>
        <w:spacing w:after="260" w:line="280" w:lineRule="exact"/>
        <w:ind w:right="0"/>
        <w:jc w:val="both"/>
        <w:rPr>
          <w:rFonts w:ascii="Times New Roman" w:hAnsi="Times New Roman"/>
        </w:rPr>
      </w:pPr>
      <w:r w:rsidRPr="00333D58">
        <w:rPr>
          <w:rFonts w:ascii="Times New Roman" w:hAnsi="Times New Roman"/>
        </w:rPr>
        <w:lastRenderedPageBreak/>
        <w:tab/>
        <w:t xml:space="preserve">What was said in </w:t>
      </w:r>
      <w:proofErr w:type="spellStart"/>
      <w:r w:rsidRPr="00333D58">
        <w:rPr>
          <w:rFonts w:ascii="Times New Roman" w:hAnsi="Times New Roman"/>
          <w:i/>
        </w:rPr>
        <w:t>Mewett</w:t>
      </w:r>
      <w:proofErr w:type="spellEnd"/>
      <w:r w:rsidRPr="00333D58">
        <w:rPr>
          <w:rFonts w:ascii="Times New Roman" w:hAnsi="Times New Roman"/>
        </w:rPr>
        <w:t xml:space="preserve"> accords with the </w:t>
      </w:r>
      <w:r w:rsidR="00BA1959" w:rsidRPr="00333D58">
        <w:rPr>
          <w:rFonts w:ascii="Times New Roman" w:hAnsi="Times New Roman"/>
        </w:rPr>
        <w:t xml:space="preserve">reasons of </w:t>
      </w:r>
      <w:r w:rsidRPr="00333D58">
        <w:rPr>
          <w:rFonts w:ascii="Times New Roman" w:hAnsi="Times New Roman"/>
        </w:rPr>
        <w:t xml:space="preserve">Mason CJ in </w:t>
      </w:r>
      <w:r w:rsidR="005E4336" w:rsidRPr="00333D58">
        <w:rPr>
          <w:rFonts w:ascii="Times New Roman" w:hAnsi="Times New Roman"/>
          <w:i/>
        </w:rPr>
        <w:t xml:space="preserve">The Commonwealth v </w:t>
      </w:r>
      <w:proofErr w:type="spellStart"/>
      <w:r w:rsidR="005E4336" w:rsidRPr="00333D58">
        <w:rPr>
          <w:rFonts w:ascii="Times New Roman" w:hAnsi="Times New Roman"/>
          <w:i/>
        </w:rPr>
        <w:t>Verwayen</w:t>
      </w:r>
      <w:proofErr w:type="spellEnd"/>
      <w:r w:rsidR="005E4336" w:rsidRPr="00333D58">
        <w:rPr>
          <w:rStyle w:val="FootnoteReference"/>
          <w:rFonts w:ascii="Times New Roman" w:hAnsi="Times New Roman"/>
          <w:sz w:val="24"/>
        </w:rPr>
        <w:footnoteReference w:id="7"/>
      </w:r>
      <w:r w:rsidR="008067C1" w:rsidRPr="00333D58">
        <w:rPr>
          <w:rFonts w:ascii="Times New Roman" w:hAnsi="Times New Roman"/>
        </w:rPr>
        <w:t xml:space="preserve">. Speaking there of </w:t>
      </w:r>
      <w:r w:rsidR="00031F72" w:rsidRPr="00333D58">
        <w:rPr>
          <w:rFonts w:ascii="Times New Roman" w:hAnsi="Times New Roman"/>
        </w:rPr>
        <w:t xml:space="preserve">then </w:t>
      </w:r>
      <w:r w:rsidR="008067C1" w:rsidRPr="00333D58">
        <w:rPr>
          <w:rFonts w:ascii="Times New Roman" w:hAnsi="Times New Roman"/>
        </w:rPr>
        <w:t xml:space="preserve">s 5(6) of the </w:t>
      </w:r>
      <w:r w:rsidR="008067C1" w:rsidRPr="00333D58">
        <w:rPr>
          <w:rFonts w:ascii="Times New Roman" w:hAnsi="Times New Roman"/>
          <w:i/>
        </w:rPr>
        <w:t>Limitation of Actions Act 1958</w:t>
      </w:r>
      <w:r w:rsidR="008067C1" w:rsidRPr="00333D58">
        <w:rPr>
          <w:rFonts w:ascii="Times New Roman" w:hAnsi="Times New Roman"/>
        </w:rPr>
        <w:t xml:space="preserve"> (Vic)</w:t>
      </w:r>
      <w:r w:rsidR="00772339" w:rsidRPr="00333D58">
        <w:rPr>
          <w:rStyle w:val="FootnoteReference"/>
          <w:rFonts w:ascii="Times New Roman" w:hAnsi="Times New Roman"/>
          <w:sz w:val="24"/>
        </w:rPr>
        <w:footnoteReference w:id="8"/>
      </w:r>
      <w:r w:rsidR="00067C8E" w:rsidRPr="00333D58">
        <w:rPr>
          <w:rFonts w:ascii="Times New Roman" w:hAnsi="Times New Roman"/>
        </w:rPr>
        <w:t xml:space="preserve"> ("</w:t>
      </w:r>
      <w:r w:rsidR="00CB7D72" w:rsidRPr="00333D58">
        <w:rPr>
          <w:rFonts w:ascii="Times New Roman" w:hAnsi="Times New Roman"/>
        </w:rPr>
        <w:t xml:space="preserve">the </w:t>
      </w:r>
      <w:r w:rsidR="000426AD" w:rsidRPr="00333D58">
        <w:rPr>
          <w:rFonts w:ascii="Times New Roman" w:hAnsi="Times New Roman"/>
        </w:rPr>
        <w:t>Victorian Limitation Act")</w:t>
      </w:r>
      <w:r w:rsidR="00BA1959" w:rsidRPr="00333D58">
        <w:rPr>
          <w:rFonts w:ascii="Times New Roman" w:hAnsi="Times New Roman"/>
        </w:rPr>
        <w:t>,</w:t>
      </w:r>
      <w:r w:rsidR="00C329C9" w:rsidRPr="00333D58">
        <w:rPr>
          <w:rFonts w:ascii="Times New Roman" w:hAnsi="Times New Roman"/>
        </w:rPr>
        <w:t xml:space="preserve"> h</w:t>
      </w:r>
      <w:r w:rsidR="00FA52B6" w:rsidRPr="00333D58">
        <w:rPr>
          <w:rFonts w:ascii="Times New Roman" w:hAnsi="Times New Roman"/>
        </w:rPr>
        <w:t xml:space="preserve">is Honour said that although the terms of that provision are capable of being read as going to the jurisdiction of the court, limitation provisions of this kind have not been held to have that effect. Instead they have been </w:t>
      </w:r>
      <w:r w:rsidR="00C329C9" w:rsidRPr="00333D58">
        <w:rPr>
          <w:rFonts w:ascii="Times New Roman" w:hAnsi="Times New Roman"/>
        </w:rPr>
        <w:t xml:space="preserve">held </w:t>
      </w:r>
      <w:r w:rsidR="008E1935" w:rsidRPr="00333D58">
        <w:rPr>
          <w:rFonts w:ascii="Times New Roman" w:hAnsi="Times New Roman"/>
        </w:rPr>
        <w:t>to bar the remedy</w:t>
      </w:r>
      <w:r w:rsidR="00F35250" w:rsidRPr="00333D58">
        <w:rPr>
          <w:rFonts w:ascii="Times New Roman" w:hAnsi="Times New Roman"/>
        </w:rPr>
        <w:t xml:space="preserve"> </w:t>
      </w:r>
      <w:r w:rsidR="008E1935" w:rsidRPr="00333D58">
        <w:rPr>
          <w:rFonts w:ascii="Times New Roman" w:hAnsi="Times New Roman"/>
        </w:rPr>
        <w:t>but not the right and thereby create a defence to the action which must be pleaded</w:t>
      </w:r>
      <w:r w:rsidR="008E1935" w:rsidRPr="00333D58">
        <w:rPr>
          <w:rStyle w:val="FootnoteReference"/>
          <w:rFonts w:ascii="Times New Roman" w:hAnsi="Times New Roman"/>
          <w:sz w:val="24"/>
        </w:rPr>
        <w:footnoteReference w:id="9"/>
      </w:r>
      <w:r w:rsidR="00230709" w:rsidRPr="00333D58">
        <w:rPr>
          <w:rFonts w:ascii="Times New Roman" w:hAnsi="Times New Roman"/>
        </w:rPr>
        <w:t>.</w:t>
      </w:r>
      <w:r w:rsidR="00CD0A27" w:rsidRPr="00333D58">
        <w:rPr>
          <w:rFonts w:ascii="Times New Roman" w:hAnsi="Times New Roman"/>
        </w:rPr>
        <w:t xml:space="preserve"> </w:t>
      </w:r>
      <w:r w:rsidR="001113C9" w:rsidRPr="00333D58">
        <w:rPr>
          <w:rFonts w:ascii="Times New Roman" w:hAnsi="Times New Roman"/>
        </w:rPr>
        <w:t xml:space="preserve">These statements have been applied with approval on a number of occasions in </w:t>
      </w:r>
      <w:r w:rsidR="000B62A6" w:rsidRPr="00333D58">
        <w:rPr>
          <w:rFonts w:ascii="Times New Roman" w:hAnsi="Times New Roman"/>
        </w:rPr>
        <w:t xml:space="preserve">this </w:t>
      </w:r>
      <w:r w:rsidR="001113C9" w:rsidRPr="00333D58">
        <w:rPr>
          <w:rFonts w:ascii="Times New Roman" w:hAnsi="Times New Roman"/>
        </w:rPr>
        <w:t>Court</w:t>
      </w:r>
      <w:r w:rsidR="001113C9" w:rsidRPr="00333D58">
        <w:rPr>
          <w:rStyle w:val="FootnoteReference"/>
          <w:rFonts w:ascii="Times New Roman" w:hAnsi="Times New Roman"/>
          <w:sz w:val="24"/>
        </w:rPr>
        <w:footnoteReference w:id="10"/>
      </w:r>
      <w:r w:rsidR="001113C9" w:rsidRPr="00333D58">
        <w:rPr>
          <w:rFonts w:ascii="Times New Roman" w:hAnsi="Times New Roman"/>
        </w:rPr>
        <w:t>.</w:t>
      </w:r>
    </w:p>
    <w:p w14:paraId="2AC6DB6A" w14:textId="0CE4596E" w:rsidR="00230709" w:rsidRPr="00333D58" w:rsidRDefault="00230709" w:rsidP="00333D58">
      <w:pPr>
        <w:pStyle w:val="FixListStyle"/>
        <w:spacing w:after="260" w:line="280" w:lineRule="exact"/>
        <w:ind w:right="0"/>
        <w:jc w:val="both"/>
        <w:rPr>
          <w:rFonts w:ascii="Times New Roman" w:hAnsi="Times New Roman"/>
        </w:rPr>
      </w:pPr>
      <w:r w:rsidRPr="00333D58">
        <w:rPr>
          <w:rFonts w:ascii="Times New Roman" w:hAnsi="Times New Roman"/>
        </w:rPr>
        <w:tab/>
        <w:t>Mason CJ went on to observe</w:t>
      </w:r>
      <w:r w:rsidRPr="00333D58">
        <w:rPr>
          <w:rStyle w:val="FootnoteReference"/>
          <w:rFonts w:ascii="Times New Roman" w:hAnsi="Times New Roman"/>
          <w:sz w:val="24"/>
        </w:rPr>
        <w:footnoteReference w:id="11"/>
      </w:r>
      <w:r w:rsidRPr="00333D58">
        <w:rPr>
          <w:rFonts w:ascii="Times New Roman" w:hAnsi="Times New Roman"/>
        </w:rPr>
        <w:t xml:space="preserve"> that since the right to plead </w:t>
      </w:r>
      <w:r w:rsidR="00AC1DBB" w:rsidRPr="00333D58">
        <w:rPr>
          <w:rFonts w:ascii="Times New Roman" w:hAnsi="Times New Roman"/>
        </w:rPr>
        <w:t>a limitation</w:t>
      </w:r>
      <w:r w:rsidR="0031487B" w:rsidRPr="00333D58">
        <w:rPr>
          <w:rFonts w:ascii="Times New Roman" w:hAnsi="Times New Roman"/>
        </w:rPr>
        <w:t>s</w:t>
      </w:r>
      <w:r w:rsidR="00AC1DBB" w:rsidRPr="00333D58">
        <w:rPr>
          <w:rFonts w:ascii="Times New Roman" w:hAnsi="Times New Roman"/>
        </w:rPr>
        <w:t xml:space="preserve"> defence </w:t>
      </w:r>
      <w:r w:rsidRPr="00333D58">
        <w:rPr>
          <w:rFonts w:ascii="Times New Roman" w:hAnsi="Times New Roman"/>
        </w:rPr>
        <w:t xml:space="preserve">is conferred by statute a contention </w:t>
      </w:r>
      <w:r w:rsidR="004E23D7" w:rsidRPr="00333D58">
        <w:rPr>
          <w:rFonts w:ascii="Times New Roman" w:hAnsi="Times New Roman"/>
        </w:rPr>
        <w:t xml:space="preserve">that the right is susceptible of waiver "hinges on the scope and </w:t>
      </w:r>
      <w:r w:rsidR="006563CE" w:rsidRPr="00333D58">
        <w:rPr>
          <w:rFonts w:ascii="Times New Roman" w:hAnsi="Times New Roman"/>
        </w:rPr>
        <w:t>policy</w:t>
      </w:r>
      <w:r w:rsidR="004E23D7" w:rsidRPr="00333D58">
        <w:rPr>
          <w:rFonts w:ascii="Times New Roman" w:hAnsi="Times New Roman"/>
        </w:rPr>
        <w:t xml:space="preserve">" of the </w:t>
      </w:r>
      <w:r w:rsidR="00F9376F" w:rsidRPr="00333D58">
        <w:rPr>
          <w:rFonts w:ascii="Times New Roman" w:hAnsi="Times New Roman"/>
        </w:rPr>
        <w:t xml:space="preserve">Victorian </w:t>
      </w:r>
      <w:r w:rsidR="004E23D7" w:rsidRPr="00333D58">
        <w:rPr>
          <w:rFonts w:ascii="Times New Roman" w:hAnsi="Times New Roman"/>
        </w:rPr>
        <w:t xml:space="preserve">Limitation Act. </w:t>
      </w:r>
      <w:r w:rsidR="006563CE" w:rsidRPr="00333D58">
        <w:rPr>
          <w:rFonts w:ascii="Times New Roman" w:hAnsi="Times New Roman"/>
        </w:rPr>
        <w:t xml:space="preserve">The same may be said of the question whether a person may abandon the statutory right </w:t>
      </w:r>
      <w:r w:rsidR="005D37FD" w:rsidRPr="00333D58">
        <w:rPr>
          <w:rFonts w:ascii="Times New Roman" w:hAnsi="Times New Roman"/>
        </w:rPr>
        <w:t xml:space="preserve">to </w:t>
      </w:r>
      <w:r w:rsidR="006B5588" w:rsidRPr="00333D58">
        <w:rPr>
          <w:rFonts w:ascii="Times New Roman" w:hAnsi="Times New Roman"/>
        </w:rPr>
        <w:t>plead a defence of limitation</w:t>
      </w:r>
      <w:r w:rsidR="003114A7" w:rsidRPr="00333D58">
        <w:rPr>
          <w:rFonts w:ascii="Times New Roman" w:hAnsi="Times New Roman"/>
        </w:rPr>
        <w:t>,</w:t>
      </w:r>
      <w:r w:rsidR="005D37FD" w:rsidRPr="00333D58">
        <w:rPr>
          <w:rFonts w:ascii="Times New Roman" w:hAnsi="Times New Roman"/>
        </w:rPr>
        <w:t xml:space="preserve"> </w:t>
      </w:r>
      <w:r w:rsidR="006563CE" w:rsidRPr="00333D58">
        <w:rPr>
          <w:rFonts w:ascii="Times New Roman" w:hAnsi="Times New Roman"/>
        </w:rPr>
        <w:t>by agreement.</w:t>
      </w:r>
    </w:p>
    <w:p w14:paraId="762B5F13" w14:textId="5CC37BCA" w:rsidR="001D18C5" w:rsidRPr="00333D58" w:rsidRDefault="003E6AD5" w:rsidP="00333D58">
      <w:pPr>
        <w:pStyle w:val="HeadingL1"/>
        <w:spacing w:after="260" w:line="280" w:lineRule="exact"/>
        <w:ind w:right="0"/>
        <w:jc w:val="both"/>
        <w:rPr>
          <w:rFonts w:ascii="Times New Roman" w:hAnsi="Times New Roman"/>
        </w:rPr>
      </w:pPr>
      <w:r w:rsidRPr="00333D58">
        <w:rPr>
          <w:rFonts w:ascii="Times New Roman" w:hAnsi="Times New Roman"/>
        </w:rPr>
        <w:t xml:space="preserve">Public </w:t>
      </w:r>
      <w:r w:rsidR="002B4BCD" w:rsidRPr="00333D58">
        <w:rPr>
          <w:rFonts w:ascii="Times New Roman" w:hAnsi="Times New Roman"/>
        </w:rPr>
        <w:t>p</w:t>
      </w:r>
      <w:r w:rsidRPr="00333D58">
        <w:rPr>
          <w:rFonts w:ascii="Times New Roman" w:hAnsi="Times New Roman"/>
        </w:rPr>
        <w:t>olicy</w:t>
      </w:r>
    </w:p>
    <w:p w14:paraId="57A7BBDA" w14:textId="5270CD2C" w:rsidR="00D62A30" w:rsidRPr="00333D58" w:rsidRDefault="003E6AD5" w:rsidP="00333D58">
      <w:pPr>
        <w:pStyle w:val="FixListStyle"/>
        <w:spacing w:after="260" w:line="280" w:lineRule="exact"/>
        <w:ind w:right="0"/>
        <w:jc w:val="both"/>
        <w:rPr>
          <w:rFonts w:ascii="Times New Roman" w:hAnsi="Times New Roman"/>
        </w:rPr>
      </w:pPr>
      <w:r w:rsidRPr="00333D58">
        <w:rPr>
          <w:rFonts w:ascii="Times New Roman" w:hAnsi="Times New Roman"/>
        </w:rPr>
        <w:tab/>
        <w:t xml:space="preserve">In </w:t>
      </w:r>
      <w:r w:rsidRPr="00333D58">
        <w:rPr>
          <w:rFonts w:ascii="Times New Roman" w:hAnsi="Times New Roman"/>
          <w:i/>
        </w:rPr>
        <w:t>Westfield Management Ltd v AMP Capital Property Nominees Ltd</w:t>
      </w:r>
      <w:r w:rsidRPr="00333D58">
        <w:rPr>
          <w:rStyle w:val="FootnoteReference"/>
          <w:rFonts w:ascii="Times New Roman" w:hAnsi="Times New Roman"/>
          <w:sz w:val="24"/>
        </w:rPr>
        <w:footnoteReference w:id="12"/>
      </w:r>
      <w:r w:rsidR="00E15B6A" w:rsidRPr="00333D58">
        <w:rPr>
          <w:rFonts w:ascii="Times New Roman" w:hAnsi="Times New Roman"/>
        </w:rPr>
        <w:t xml:space="preserve"> it was accepted that a person upon whom a statute confers a right may waive or </w:t>
      </w:r>
      <w:r w:rsidR="00264FF5" w:rsidRPr="00333D58">
        <w:rPr>
          <w:rFonts w:ascii="Times New Roman" w:hAnsi="Times New Roman"/>
        </w:rPr>
        <w:t xml:space="preserve">renounce that right unless it would be contrary to the statute to do so. </w:t>
      </w:r>
      <w:r w:rsidR="003E762E" w:rsidRPr="00333D58">
        <w:rPr>
          <w:rFonts w:ascii="Times New Roman" w:hAnsi="Times New Roman"/>
        </w:rPr>
        <w:t>M</w:t>
      </w:r>
      <w:r w:rsidR="00D62A30" w:rsidRPr="00333D58">
        <w:rPr>
          <w:rFonts w:ascii="Times New Roman" w:hAnsi="Times New Roman"/>
        </w:rPr>
        <w:t xml:space="preserve">ost clearly </w:t>
      </w:r>
      <w:r w:rsidR="003E762E" w:rsidRPr="00333D58">
        <w:rPr>
          <w:rFonts w:ascii="Times New Roman" w:hAnsi="Times New Roman"/>
        </w:rPr>
        <w:lastRenderedPageBreak/>
        <w:t xml:space="preserve">this may </w:t>
      </w:r>
      <w:r w:rsidR="00D62A30" w:rsidRPr="00333D58">
        <w:rPr>
          <w:rFonts w:ascii="Times New Roman" w:hAnsi="Times New Roman"/>
        </w:rPr>
        <w:t xml:space="preserve">be the case where the statute contains an express prohibition </w:t>
      </w:r>
      <w:r w:rsidR="00ED07D5" w:rsidRPr="00333D58">
        <w:rPr>
          <w:rFonts w:ascii="Times New Roman" w:hAnsi="Times New Roman"/>
        </w:rPr>
        <w:t xml:space="preserve">against "contracting out" of rights or where the statute, properly construed, is inconsistent </w:t>
      </w:r>
      <w:r w:rsidR="00E941C0" w:rsidRPr="00333D58">
        <w:rPr>
          <w:rFonts w:ascii="Times New Roman" w:hAnsi="Times New Roman"/>
        </w:rPr>
        <w:t xml:space="preserve">with a person's power to forgo statutory rights. </w:t>
      </w:r>
      <w:r w:rsidR="005D37FD" w:rsidRPr="00333D58">
        <w:rPr>
          <w:rFonts w:ascii="Times New Roman" w:hAnsi="Times New Roman"/>
        </w:rPr>
        <w:t>The joint judgment continued</w:t>
      </w:r>
      <w:r w:rsidR="00E941C0" w:rsidRPr="00333D58">
        <w:rPr>
          <w:rFonts w:ascii="Times New Roman" w:hAnsi="Times New Roman"/>
        </w:rPr>
        <w:t>:</w:t>
      </w:r>
    </w:p>
    <w:p w14:paraId="0C1D9F05" w14:textId="4A53C228" w:rsidR="00AD3E95" w:rsidRPr="00333D58" w:rsidRDefault="00E941C0" w:rsidP="00333D58">
      <w:pPr>
        <w:pStyle w:val="LeftrightafterHC"/>
        <w:spacing w:before="0" w:after="260" w:line="280" w:lineRule="exact"/>
        <w:ind w:right="0"/>
        <w:jc w:val="both"/>
        <w:rPr>
          <w:rFonts w:ascii="Times New Roman" w:hAnsi="Times New Roman"/>
        </w:rPr>
      </w:pPr>
      <w:r w:rsidRPr="00333D58">
        <w:rPr>
          <w:rFonts w:ascii="Times New Roman" w:hAnsi="Times New Roman"/>
        </w:rPr>
        <w:t xml:space="preserve">"It is the policy of the law that contractual arrangements will not be enforced </w:t>
      </w:r>
      <w:r w:rsidR="00C90414" w:rsidRPr="00333D58">
        <w:rPr>
          <w:rFonts w:ascii="Times New Roman" w:hAnsi="Times New Roman"/>
        </w:rPr>
        <w:t>where they operate to defeat or circumvent a statutory pu</w:t>
      </w:r>
      <w:r w:rsidR="00D13B51" w:rsidRPr="00333D58">
        <w:rPr>
          <w:rFonts w:ascii="Times New Roman" w:hAnsi="Times New Roman"/>
        </w:rPr>
        <w:t>r</w:t>
      </w:r>
      <w:r w:rsidR="00C90414" w:rsidRPr="00333D58">
        <w:rPr>
          <w:rFonts w:ascii="Times New Roman" w:hAnsi="Times New Roman"/>
        </w:rPr>
        <w:t xml:space="preserve">pose or policy according to which statutory rights are conferred in the public interest, rather than for the benefit of </w:t>
      </w:r>
      <w:r w:rsidR="002B4BCD" w:rsidRPr="00333D58">
        <w:rPr>
          <w:rFonts w:ascii="Times New Roman" w:hAnsi="Times New Roman"/>
        </w:rPr>
        <w:t xml:space="preserve">an </w:t>
      </w:r>
      <w:r w:rsidR="00C90414" w:rsidRPr="00333D58">
        <w:rPr>
          <w:rFonts w:ascii="Times New Roman" w:hAnsi="Times New Roman"/>
        </w:rPr>
        <w:t>individual alone. T</w:t>
      </w:r>
      <w:r w:rsidR="00D13B51" w:rsidRPr="00333D58">
        <w:rPr>
          <w:rFonts w:ascii="Times New Roman" w:hAnsi="Times New Roman"/>
        </w:rPr>
        <w:t>h</w:t>
      </w:r>
      <w:r w:rsidR="00C90414" w:rsidRPr="00333D58">
        <w:rPr>
          <w:rFonts w:ascii="Times New Roman" w:hAnsi="Times New Roman"/>
        </w:rPr>
        <w:t>e courts will treat such arrangements as ineffective or void</w:t>
      </w:r>
      <w:r w:rsidR="00EF29AE" w:rsidRPr="00333D58">
        <w:rPr>
          <w:rFonts w:ascii="Times New Roman" w:hAnsi="Times New Roman"/>
        </w:rPr>
        <w:t>"</w:t>
      </w:r>
      <w:r w:rsidR="002B4BCD" w:rsidRPr="00333D58">
        <w:rPr>
          <w:rFonts w:ascii="Times New Roman" w:hAnsi="Times New Roman"/>
        </w:rPr>
        <w:t xml:space="preserve">. </w:t>
      </w:r>
    </w:p>
    <w:p w14:paraId="6C3E0A99" w14:textId="0A4C67E1" w:rsidR="00D62A30" w:rsidRPr="00333D58" w:rsidRDefault="00D13B51" w:rsidP="00333D58">
      <w:pPr>
        <w:pStyle w:val="FixListStyle"/>
        <w:spacing w:after="260" w:line="280" w:lineRule="exact"/>
        <w:ind w:right="0"/>
        <w:jc w:val="both"/>
        <w:rPr>
          <w:rFonts w:ascii="Times New Roman" w:hAnsi="Times New Roman"/>
        </w:rPr>
      </w:pPr>
      <w:r w:rsidRPr="00333D58">
        <w:rPr>
          <w:rFonts w:ascii="Times New Roman" w:hAnsi="Times New Roman"/>
        </w:rPr>
        <w:tab/>
        <w:t>As the Court of Appeal observed</w:t>
      </w:r>
      <w:r w:rsidRPr="00333D58">
        <w:rPr>
          <w:rStyle w:val="FootnoteReference"/>
          <w:rFonts w:ascii="Times New Roman" w:hAnsi="Times New Roman"/>
          <w:sz w:val="24"/>
        </w:rPr>
        <w:footnoteReference w:id="13"/>
      </w:r>
      <w:r w:rsidR="007D593E" w:rsidRPr="00333D58">
        <w:rPr>
          <w:rFonts w:ascii="Times New Roman" w:hAnsi="Times New Roman"/>
        </w:rPr>
        <w:t xml:space="preserve">, a similar approach </w:t>
      </w:r>
      <w:r w:rsidR="0023106F" w:rsidRPr="00333D58">
        <w:rPr>
          <w:rFonts w:ascii="Times New Roman" w:hAnsi="Times New Roman"/>
        </w:rPr>
        <w:t>ha</w:t>
      </w:r>
      <w:r w:rsidR="007D593E" w:rsidRPr="00333D58">
        <w:rPr>
          <w:rFonts w:ascii="Times New Roman" w:hAnsi="Times New Roman"/>
        </w:rPr>
        <w:t xml:space="preserve">s </w:t>
      </w:r>
      <w:r w:rsidR="0023106F" w:rsidRPr="00333D58">
        <w:rPr>
          <w:rFonts w:ascii="Times New Roman" w:hAnsi="Times New Roman"/>
        </w:rPr>
        <w:t xml:space="preserve">been taken by courts </w:t>
      </w:r>
      <w:r w:rsidR="007D593E" w:rsidRPr="00333D58">
        <w:rPr>
          <w:rFonts w:ascii="Times New Roman" w:hAnsi="Times New Roman"/>
        </w:rPr>
        <w:t>in the United Kingdom</w:t>
      </w:r>
      <w:r w:rsidR="007D593E" w:rsidRPr="00333D58">
        <w:rPr>
          <w:rStyle w:val="FootnoteReference"/>
          <w:rFonts w:ascii="Times New Roman" w:hAnsi="Times New Roman"/>
          <w:sz w:val="24"/>
        </w:rPr>
        <w:footnoteReference w:id="14"/>
      </w:r>
      <w:r w:rsidR="008278AE" w:rsidRPr="00333D58">
        <w:rPr>
          <w:rFonts w:ascii="Times New Roman" w:hAnsi="Times New Roman"/>
        </w:rPr>
        <w:t>, Canada</w:t>
      </w:r>
      <w:r w:rsidR="008278AE" w:rsidRPr="00333D58">
        <w:rPr>
          <w:rStyle w:val="FootnoteReference"/>
          <w:rFonts w:ascii="Times New Roman" w:hAnsi="Times New Roman"/>
          <w:sz w:val="24"/>
        </w:rPr>
        <w:footnoteReference w:id="15"/>
      </w:r>
      <w:r w:rsidR="00BA3E96" w:rsidRPr="00333D58">
        <w:rPr>
          <w:rFonts w:ascii="Times New Roman" w:hAnsi="Times New Roman"/>
        </w:rPr>
        <w:t xml:space="preserve"> and New Zealand</w:t>
      </w:r>
      <w:r w:rsidR="00BA3E96" w:rsidRPr="00333D58">
        <w:rPr>
          <w:rStyle w:val="FootnoteReference"/>
          <w:rFonts w:ascii="Times New Roman" w:hAnsi="Times New Roman"/>
          <w:sz w:val="24"/>
        </w:rPr>
        <w:footnoteReference w:id="16"/>
      </w:r>
      <w:r w:rsidR="00467337" w:rsidRPr="00333D58">
        <w:rPr>
          <w:rFonts w:ascii="Times New Roman" w:hAnsi="Times New Roman"/>
        </w:rPr>
        <w:t>.</w:t>
      </w:r>
    </w:p>
    <w:p w14:paraId="459CF788" w14:textId="3EFAA5FB" w:rsidR="00FA3C1E" w:rsidRPr="00333D58" w:rsidRDefault="00467337" w:rsidP="00333D58">
      <w:pPr>
        <w:pStyle w:val="FixListStyle"/>
        <w:spacing w:after="260" w:line="280" w:lineRule="exact"/>
        <w:ind w:right="0"/>
        <w:jc w:val="both"/>
        <w:rPr>
          <w:rFonts w:ascii="Times New Roman" w:hAnsi="Times New Roman"/>
        </w:rPr>
      </w:pPr>
      <w:r w:rsidRPr="00333D58">
        <w:rPr>
          <w:rFonts w:ascii="Times New Roman" w:hAnsi="Times New Roman"/>
        </w:rPr>
        <w:tab/>
        <w:t xml:space="preserve">The appellants rely upon the public interest in the finality of litigation as the policy </w:t>
      </w:r>
      <w:r w:rsidR="00516B69" w:rsidRPr="00333D58">
        <w:rPr>
          <w:rFonts w:ascii="Times New Roman" w:hAnsi="Times New Roman"/>
        </w:rPr>
        <w:t xml:space="preserve">which the Limitation Act pursues. </w:t>
      </w:r>
      <w:r w:rsidR="001B1BE5" w:rsidRPr="00333D58">
        <w:rPr>
          <w:rFonts w:ascii="Times New Roman" w:hAnsi="Times New Roman"/>
        </w:rPr>
        <w:t xml:space="preserve">The finality of litigation, </w:t>
      </w:r>
      <w:r w:rsidR="00516B69" w:rsidRPr="00333D58">
        <w:rPr>
          <w:rFonts w:ascii="Times New Roman" w:hAnsi="Times New Roman"/>
        </w:rPr>
        <w:t xml:space="preserve">they contend, </w:t>
      </w:r>
      <w:r w:rsidR="001B1BE5" w:rsidRPr="00333D58">
        <w:rPr>
          <w:rFonts w:ascii="Times New Roman" w:hAnsi="Times New Roman"/>
        </w:rPr>
        <w:t xml:space="preserve">was </w:t>
      </w:r>
      <w:r w:rsidR="00516B69" w:rsidRPr="00333D58">
        <w:rPr>
          <w:rFonts w:ascii="Times New Roman" w:hAnsi="Times New Roman"/>
        </w:rPr>
        <w:t xml:space="preserve">the </w:t>
      </w:r>
      <w:r w:rsidR="00FA3C1E" w:rsidRPr="00333D58">
        <w:rPr>
          <w:rFonts w:ascii="Times New Roman" w:hAnsi="Times New Roman"/>
        </w:rPr>
        <w:t xml:space="preserve">mischief </w:t>
      </w:r>
      <w:r w:rsidR="00884BD9" w:rsidRPr="00333D58">
        <w:rPr>
          <w:rFonts w:ascii="Times New Roman" w:hAnsi="Times New Roman"/>
        </w:rPr>
        <w:t xml:space="preserve">to which </w:t>
      </w:r>
      <w:r w:rsidR="00FA3C1E" w:rsidRPr="00333D58">
        <w:rPr>
          <w:rFonts w:ascii="Times New Roman" w:hAnsi="Times New Roman"/>
        </w:rPr>
        <w:t xml:space="preserve">the Jacobean </w:t>
      </w:r>
      <w:r w:rsidR="00C33345" w:rsidRPr="00333D58">
        <w:rPr>
          <w:rFonts w:ascii="Times New Roman" w:hAnsi="Times New Roman"/>
        </w:rPr>
        <w:t>s</w:t>
      </w:r>
      <w:r w:rsidR="00FA3C1E" w:rsidRPr="00333D58">
        <w:rPr>
          <w:rFonts w:ascii="Times New Roman" w:hAnsi="Times New Roman"/>
        </w:rPr>
        <w:t>tatute</w:t>
      </w:r>
      <w:r w:rsidR="00516B69" w:rsidRPr="00333D58">
        <w:rPr>
          <w:rFonts w:ascii="Times New Roman" w:hAnsi="Times New Roman"/>
        </w:rPr>
        <w:t xml:space="preserve"> of 1623</w:t>
      </w:r>
      <w:r w:rsidR="0051393C" w:rsidRPr="00333D58">
        <w:rPr>
          <w:rStyle w:val="FootnoteReference"/>
          <w:rFonts w:ascii="Times New Roman" w:hAnsi="Times New Roman"/>
          <w:sz w:val="24"/>
        </w:rPr>
        <w:footnoteReference w:id="17"/>
      </w:r>
      <w:r w:rsidR="008E279B" w:rsidRPr="00333D58">
        <w:rPr>
          <w:rFonts w:ascii="Times New Roman" w:hAnsi="Times New Roman"/>
        </w:rPr>
        <w:t>,</w:t>
      </w:r>
      <w:r w:rsidR="0051393C" w:rsidRPr="00333D58">
        <w:rPr>
          <w:rFonts w:ascii="Times New Roman" w:hAnsi="Times New Roman"/>
        </w:rPr>
        <w:t xml:space="preserve"> which is the origin of statutes such as the Limitation Act</w:t>
      </w:r>
      <w:r w:rsidR="008463E2" w:rsidRPr="00333D58">
        <w:rPr>
          <w:rFonts w:ascii="Times New Roman" w:hAnsi="Times New Roman"/>
        </w:rPr>
        <w:t>,</w:t>
      </w:r>
      <w:r w:rsidR="003116C6" w:rsidRPr="00333D58">
        <w:rPr>
          <w:rFonts w:ascii="Times New Roman" w:hAnsi="Times New Roman"/>
        </w:rPr>
        <w:t xml:space="preserve"> </w:t>
      </w:r>
      <w:r w:rsidR="001B1BE5" w:rsidRPr="00333D58">
        <w:rPr>
          <w:rFonts w:ascii="Times New Roman" w:hAnsi="Times New Roman"/>
        </w:rPr>
        <w:t xml:space="preserve">was </w:t>
      </w:r>
      <w:r w:rsidR="003116C6" w:rsidRPr="00333D58">
        <w:rPr>
          <w:rFonts w:ascii="Times New Roman" w:hAnsi="Times New Roman"/>
        </w:rPr>
        <w:t>directed</w:t>
      </w:r>
      <w:r w:rsidR="00604C66" w:rsidRPr="00333D58">
        <w:rPr>
          <w:rFonts w:ascii="Times New Roman" w:hAnsi="Times New Roman"/>
        </w:rPr>
        <w:t xml:space="preserve">. </w:t>
      </w:r>
      <w:r w:rsidR="003116C6" w:rsidRPr="00333D58">
        <w:rPr>
          <w:rFonts w:ascii="Times New Roman" w:hAnsi="Times New Roman"/>
        </w:rPr>
        <w:t xml:space="preserve">Tracing the 1623 Act to the </w:t>
      </w:r>
      <w:r w:rsidR="008463E2" w:rsidRPr="00333D58">
        <w:rPr>
          <w:rFonts w:ascii="Times New Roman" w:hAnsi="Times New Roman"/>
        </w:rPr>
        <w:t xml:space="preserve">Limitation </w:t>
      </w:r>
      <w:r w:rsidR="003116C6" w:rsidRPr="00333D58">
        <w:rPr>
          <w:rFonts w:ascii="Times New Roman" w:hAnsi="Times New Roman"/>
        </w:rPr>
        <w:t xml:space="preserve">Act of 1974, in </w:t>
      </w:r>
      <w:r w:rsidR="003116C6" w:rsidRPr="00333D58">
        <w:rPr>
          <w:rFonts w:ascii="Times New Roman" w:hAnsi="Times New Roman"/>
          <w:i/>
        </w:rPr>
        <w:t>Brisbane South Regional Health Authority v Taylor</w:t>
      </w:r>
      <w:r w:rsidR="003116C6" w:rsidRPr="00333D58">
        <w:rPr>
          <w:rStyle w:val="FootnoteReference"/>
          <w:rFonts w:ascii="Times New Roman" w:hAnsi="Times New Roman"/>
          <w:sz w:val="24"/>
        </w:rPr>
        <w:footnoteReference w:id="18"/>
      </w:r>
      <w:r w:rsidR="00B23899" w:rsidRPr="00333D58">
        <w:rPr>
          <w:rFonts w:ascii="Times New Roman" w:hAnsi="Times New Roman"/>
        </w:rPr>
        <w:t xml:space="preserve">, McHugh J said that a motive for the legislature to impose a limitation period was that "the public </w:t>
      </w:r>
      <w:r w:rsidR="00763233" w:rsidRPr="00333D58">
        <w:rPr>
          <w:rFonts w:ascii="Times New Roman" w:hAnsi="Times New Roman"/>
        </w:rPr>
        <w:t>interest requires that disputes be settled as quickly as possible"; and that a limitation period "represents the legislature's judgment that the welfare of society is best serve</w:t>
      </w:r>
      <w:r w:rsidR="00313FE4" w:rsidRPr="00333D58">
        <w:rPr>
          <w:rFonts w:ascii="Times New Roman" w:hAnsi="Times New Roman"/>
        </w:rPr>
        <w:t>d</w:t>
      </w:r>
      <w:r w:rsidR="00763233" w:rsidRPr="00333D58">
        <w:rPr>
          <w:rFonts w:ascii="Times New Roman" w:hAnsi="Times New Roman"/>
        </w:rPr>
        <w:t xml:space="preserve"> by causes of action being litigated within the limitation period".</w:t>
      </w:r>
    </w:p>
    <w:p w14:paraId="65977AB3" w14:textId="32D1CABB" w:rsidR="00666A4C" w:rsidRPr="00333D58" w:rsidRDefault="00666A4C" w:rsidP="00333D58">
      <w:pPr>
        <w:pStyle w:val="FixListStyle"/>
        <w:spacing w:after="260" w:line="280" w:lineRule="exact"/>
        <w:ind w:right="0"/>
        <w:jc w:val="both"/>
        <w:rPr>
          <w:rFonts w:ascii="Times New Roman" w:hAnsi="Times New Roman"/>
        </w:rPr>
      </w:pPr>
      <w:r w:rsidRPr="00333D58">
        <w:rPr>
          <w:rFonts w:ascii="Times New Roman" w:hAnsi="Times New Roman"/>
        </w:rPr>
        <w:tab/>
      </w:r>
      <w:r w:rsidR="00DD0EB8" w:rsidRPr="00333D58">
        <w:rPr>
          <w:rFonts w:ascii="Times New Roman" w:hAnsi="Times New Roman"/>
        </w:rPr>
        <w:t xml:space="preserve">There can be no doubt that </w:t>
      </w:r>
      <w:r w:rsidR="00313FE4" w:rsidRPr="00333D58">
        <w:rPr>
          <w:rFonts w:ascii="Times New Roman" w:hAnsi="Times New Roman"/>
        </w:rPr>
        <w:t xml:space="preserve">a </w:t>
      </w:r>
      <w:r w:rsidR="00DD0EB8" w:rsidRPr="00333D58">
        <w:rPr>
          <w:rFonts w:ascii="Times New Roman" w:hAnsi="Times New Roman"/>
        </w:rPr>
        <w:t xml:space="preserve">policy of finality of litigation </w:t>
      </w:r>
      <w:r w:rsidR="00F001FD" w:rsidRPr="00333D58">
        <w:rPr>
          <w:rFonts w:ascii="Times New Roman" w:hAnsi="Times New Roman"/>
        </w:rPr>
        <w:t xml:space="preserve">accounts for </w:t>
      </w:r>
      <w:r w:rsidR="00DD0EB8" w:rsidRPr="00333D58">
        <w:rPr>
          <w:rFonts w:ascii="Times New Roman" w:hAnsi="Times New Roman"/>
        </w:rPr>
        <w:t>the provision made by the legislature</w:t>
      </w:r>
      <w:r w:rsidR="008F36F2" w:rsidRPr="00333D58">
        <w:rPr>
          <w:rFonts w:ascii="Times New Roman" w:hAnsi="Times New Roman"/>
        </w:rPr>
        <w:t>s for limiting the period within which certain actions should be commenced in the courts. Provisions of this kind are conducive to the orderly administration of justice and are in the public interest</w:t>
      </w:r>
      <w:r w:rsidR="00313FE4" w:rsidRPr="00333D58">
        <w:rPr>
          <w:rFonts w:ascii="Times New Roman" w:hAnsi="Times New Roman"/>
        </w:rPr>
        <w:t xml:space="preserve">, as </w:t>
      </w:r>
      <w:r w:rsidR="009A25D1" w:rsidRPr="00333D58">
        <w:rPr>
          <w:rFonts w:ascii="Times New Roman" w:hAnsi="Times New Roman"/>
        </w:rPr>
        <w:t>it may be expected many statutes are</w:t>
      </w:r>
      <w:r w:rsidR="00313FE4" w:rsidRPr="00333D58">
        <w:rPr>
          <w:rFonts w:ascii="Times New Roman" w:hAnsi="Times New Roman"/>
        </w:rPr>
        <w:t>.</w:t>
      </w:r>
      <w:r w:rsidR="008F36F2" w:rsidRPr="00333D58">
        <w:rPr>
          <w:rFonts w:ascii="Times New Roman" w:hAnsi="Times New Roman"/>
        </w:rPr>
        <w:t xml:space="preserve"> But </w:t>
      </w:r>
      <w:r w:rsidR="00313FE4" w:rsidRPr="00333D58">
        <w:rPr>
          <w:rFonts w:ascii="Times New Roman" w:hAnsi="Times New Roman"/>
        </w:rPr>
        <w:t xml:space="preserve">as Mason CJ explained in </w:t>
      </w:r>
      <w:proofErr w:type="spellStart"/>
      <w:r w:rsidR="00313FE4" w:rsidRPr="00333D58">
        <w:rPr>
          <w:rFonts w:ascii="Times New Roman" w:hAnsi="Times New Roman"/>
          <w:i/>
        </w:rPr>
        <w:t>Verwayen</w:t>
      </w:r>
      <w:proofErr w:type="spellEnd"/>
      <w:r w:rsidR="00313FE4" w:rsidRPr="00333D58">
        <w:rPr>
          <w:rFonts w:ascii="Times New Roman" w:hAnsi="Times New Roman"/>
        </w:rPr>
        <w:t xml:space="preserve">, </w:t>
      </w:r>
      <w:r w:rsidR="00A94914" w:rsidRPr="00333D58">
        <w:rPr>
          <w:rFonts w:ascii="Times New Roman" w:hAnsi="Times New Roman"/>
        </w:rPr>
        <w:t xml:space="preserve">the issue </w:t>
      </w:r>
      <w:r w:rsidR="00A94914" w:rsidRPr="00333D58">
        <w:rPr>
          <w:rFonts w:ascii="Times New Roman" w:hAnsi="Times New Roman"/>
        </w:rPr>
        <w:lastRenderedPageBreak/>
        <w:t>concerning whether a statutory right is capable of waiver</w:t>
      </w:r>
      <w:r w:rsidR="00F23045" w:rsidRPr="00333D58">
        <w:rPr>
          <w:rStyle w:val="FootnoteReference"/>
          <w:rFonts w:ascii="Times New Roman" w:hAnsi="Times New Roman"/>
          <w:sz w:val="24"/>
        </w:rPr>
        <w:footnoteReference w:id="19"/>
      </w:r>
      <w:r w:rsidR="00F001FD" w:rsidRPr="00333D58">
        <w:rPr>
          <w:rFonts w:ascii="Times New Roman" w:hAnsi="Times New Roman"/>
        </w:rPr>
        <w:t>,</w:t>
      </w:r>
      <w:r w:rsidR="00F23045" w:rsidRPr="00333D58">
        <w:rPr>
          <w:rFonts w:ascii="Times New Roman" w:hAnsi="Times New Roman"/>
        </w:rPr>
        <w:t xml:space="preserve"> or abandonment by other means</w:t>
      </w:r>
      <w:r w:rsidR="00F23045" w:rsidRPr="00333D58">
        <w:rPr>
          <w:rStyle w:val="FootnoteReference"/>
          <w:rFonts w:ascii="Times New Roman" w:hAnsi="Times New Roman"/>
          <w:sz w:val="24"/>
        </w:rPr>
        <w:footnoteReference w:id="20"/>
      </w:r>
      <w:r w:rsidR="00F001FD" w:rsidRPr="00333D58">
        <w:rPr>
          <w:rFonts w:ascii="Times New Roman" w:hAnsi="Times New Roman"/>
        </w:rPr>
        <w:t>,</w:t>
      </w:r>
      <w:r w:rsidR="00A94914" w:rsidRPr="00333D58">
        <w:rPr>
          <w:rFonts w:ascii="Times New Roman" w:hAnsi="Times New Roman"/>
        </w:rPr>
        <w:t xml:space="preserve"> is not whether the provisions in question are beneficial to the public, but rather whether they are "not for the benefit of any individual</w:t>
      </w:r>
      <w:r w:rsidR="00B81894" w:rsidRPr="00333D58">
        <w:rPr>
          <w:rFonts w:ascii="Times New Roman" w:hAnsi="Times New Roman"/>
        </w:rPr>
        <w:t>s</w:t>
      </w:r>
      <w:r w:rsidR="00A94914" w:rsidRPr="00333D58">
        <w:rPr>
          <w:rFonts w:ascii="Times New Roman" w:hAnsi="Times New Roman"/>
        </w:rPr>
        <w:t xml:space="preserve"> </w:t>
      </w:r>
      <w:r w:rsidR="009626B8" w:rsidRPr="00333D58">
        <w:rPr>
          <w:rFonts w:ascii="Times New Roman" w:hAnsi="Times New Roman"/>
        </w:rPr>
        <w:t>or body of individuals, but for considerations of State</w:t>
      </w:r>
      <w:r w:rsidR="00CD6FBA" w:rsidRPr="00333D58">
        <w:rPr>
          <w:rFonts w:ascii="Times New Roman" w:hAnsi="Times New Roman"/>
        </w:rPr>
        <w:t>"</w:t>
      </w:r>
      <w:r w:rsidR="009626B8" w:rsidRPr="00333D58">
        <w:rPr>
          <w:rStyle w:val="FootnoteReference"/>
          <w:rFonts w:ascii="Times New Roman" w:hAnsi="Times New Roman"/>
          <w:sz w:val="24"/>
        </w:rPr>
        <w:footnoteReference w:id="21"/>
      </w:r>
      <w:r w:rsidR="009626B8" w:rsidRPr="00333D58">
        <w:rPr>
          <w:rFonts w:ascii="Times New Roman" w:hAnsi="Times New Roman"/>
        </w:rPr>
        <w:t>.</w:t>
      </w:r>
      <w:r w:rsidR="005C388C" w:rsidRPr="00333D58">
        <w:rPr>
          <w:rFonts w:ascii="Times New Roman" w:hAnsi="Times New Roman"/>
        </w:rPr>
        <w:t xml:space="preserve"> The "critical question", he said, "is whether the benefit is personal or private or whether it rests upon public policy or expediency</w:t>
      </w:r>
      <w:r w:rsidR="00E30574" w:rsidRPr="00333D58">
        <w:rPr>
          <w:rFonts w:ascii="Times New Roman" w:hAnsi="Times New Roman"/>
        </w:rPr>
        <w:t>"</w:t>
      </w:r>
      <w:r w:rsidR="00E93209" w:rsidRPr="00333D58">
        <w:rPr>
          <w:rStyle w:val="FootnoteReference"/>
          <w:rFonts w:ascii="Times New Roman" w:hAnsi="Times New Roman"/>
          <w:sz w:val="24"/>
        </w:rPr>
        <w:footnoteReference w:id="22"/>
      </w:r>
      <w:r w:rsidR="005C388C" w:rsidRPr="00333D58">
        <w:rPr>
          <w:rFonts w:ascii="Times New Roman" w:hAnsi="Times New Roman"/>
        </w:rPr>
        <w:t>.</w:t>
      </w:r>
    </w:p>
    <w:p w14:paraId="190AB73E" w14:textId="56C5EE66" w:rsidR="005C388C" w:rsidRPr="00333D58" w:rsidRDefault="005C388C" w:rsidP="00333D58">
      <w:pPr>
        <w:pStyle w:val="FixListStyle"/>
        <w:spacing w:after="260" w:line="280" w:lineRule="exact"/>
        <w:ind w:right="0"/>
        <w:jc w:val="both"/>
        <w:rPr>
          <w:rFonts w:ascii="Times New Roman" w:hAnsi="Times New Roman"/>
        </w:rPr>
      </w:pPr>
      <w:r w:rsidRPr="00333D58">
        <w:rPr>
          <w:rFonts w:ascii="Times New Roman" w:hAnsi="Times New Roman"/>
        </w:rPr>
        <w:tab/>
        <w:t>Mason CJ concluded</w:t>
      </w:r>
      <w:r w:rsidR="00464370" w:rsidRPr="00333D58">
        <w:rPr>
          <w:rStyle w:val="FootnoteReference"/>
          <w:rFonts w:ascii="Times New Roman" w:hAnsi="Times New Roman"/>
          <w:sz w:val="24"/>
        </w:rPr>
        <w:footnoteReference w:id="23"/>
      </w:r>
      <w:r w:rsidR="00464370" w:rsidRPr="00333D58">
        <w:rPr>
          <w:rFonts w:ascii="Times New Roman" w:hAnsi="Times New Roman"/>
        </w:rPr>
        <w:t xml:space="preserve"> that by giving defendants a right to plead the expiry of the relevant time period as a defence, rather than imposing a jurisdictional restriction, the </w:t>
      </w:r>
      <w:r w:rsidR="004366DB" w:rsidRPr="00333D58">
        <w:rPr>
          <w:rFonts w:ascii="Times New Roman" w:hAnsi="Times New Roman"/>
        </w:rPr>
        <w:t xml:space="preserve">purpose of the </w:t>
      </w:r>
      <w:r w:rsidR="00063602" w:rsidRPr="00333D58">
        <w:rPr>
          <w:rFonts w:ascii="Times New Roman" w:hAnsi="Times New Roman"/>
        </w:rPr>
        <w:t xml:space="preserve">Victorian Limitation Act could </w:t>
      </w:r>
      <w:r w:rsidR="004366DB" w:rsidRPr="00333D58">
        <w:rPr>
          <w:rFonts w:ascii="Times New Roman" w:hAnsi="Times New Roman"/>
        </w:rPr>
        <w:t xml:space="preserve">be discerned as one to confer a benefit on individuals "rather than to meet some public need which must be satisfied to the exclusion of the right of access of individuals to the courts". It </w:t>
      </w:r>
      <w:r w:rsidR="00063602" w:rsidRPr="00333D58">
        <w:rPr>
          <w:rFonts w:ascii="Times New Roman" w:hAnsi="Times New Roman"/>
        </w:rPr>
        <w:t xml:space="preserve">was </w:t>
      </w:r>
      <w:r w:rsidR="004366DB" w:rsidRPr="00333D58">
        <w:rPr>
          <w:rFonts w:ascii="Times New Roman" w:hAnsi="Times New Roman"/>
        </w:rPr>
        <w:t>therefore possible, in his Honour's view, to "contract out" of statutory provisions</w:t>
      </w:r>
      <w:r w:rsidR="00C23107" w:rsidRPr="00333D58">
        <w:rPr>
          <w:rFonts w:ascii="Times New Roman" w:hAnsi="Times New Roman"/>
        </w:rPr>
        <w:t xml:space="preserve"> of t</w:t>
      </w:r>
      <w:r w:rsidR="007338DA" w:rsidRPr="00333D58">
        <w:rPr>
          <w:rFonts w:ascii="Times New Roman" w:hAnsi="Times New Roman"/>
        </w:rPr>
        <w:t>hat kind</w:t>
      </w:r>
      <w:r w:rsidR="004366DB" w:rsidRPr="00333D58">
        <w:rPr>
          <w:rFonts w:ascii="Times New Roman" w:hAnsi="Times New Roman"/>
        </w:rPr>
        <w:t>.</w:t>
      </w:r>
    </w:p>
    <w:p w14:paraId="49570517" w14:textId="08BE63CC" w:rsidR="00745A88" w:rsidRPr="00333D58" w:rsidRDefault="004366DB" w:rsidP="00333D58">
      <w:pPr>
        <w:pStyle w:val="FixListStyle"/>
        <w:spacing w:after="260" w:line="280" w:lineRule="exact"/>
        <w:ind w:right="0"/>
        <w:jc w:val="both"/>
        <w:rPr>
          <w:rFonts w:ascii="Times New Roman" w:hAnsi="Times New Roman"/>
        </w:rPr>
      </w:pPr>
      <w:r w:rsidRPr="00333D58">
        <w:rPr>
          <w:rFonts w:ascii="Times New Roman" w:hAnsi="Times New Roman"/>
        </w:rPr>
        <w:tab/>
      </w:r>
      <w:r w:rsidR="0081364B" w:rsidRPr="00333D58">
        <w:rPr>
          <w:rFonts w:ascii="Times New Roman" w:hAnsi="Times New Roman"/>
        </w:rPr>
        <w:t xml:space="preserve">In the present case the Court of Appeal observed that there appears to be no authority </w:t>
      </w:r>
      <w:r w:rsidR="008D6F7A" w:rsidRPr="00333D58">
        <w:rPr>
          <w:rFonts w:ascii="Times New Roman" w:hAnsi="Times New Roman"/>
        </w:rPr>
        <w:t xml:space="preserve">in Australia dealing </w:t>
      </w:r>
      <w:r w:rsidR="009A25D1" w:rsidRPr="00333D58">
        <w:rPr>
          <w:rFonts w:ascii="Times New Roman" w:hAnsi="Times New Roman"/>
        </w:rPr>
        <w:t xml:space="preserve">directly </w:t>
      </w:r>
      <w:r w:rsidR="008D6F7A" w:rsidRPr="00333D58">
        <w:rPr>
          <w:rFonts w:ascii="Times New Roman" w:hAnsi="Times New Roman"/>
        </w:rPr>
        <w:t xml:space="preserve">with the question </w:t>
      </w:r>
      <w:r w:rsidR="0081364B" w:rsidRPr="00333D58">
        <w:rPr>
          <w:rFonts w:ascii="Times New Roman" w:hAnsi="Times New Roman"/>
        </w:rPr>
        <w:t>whether a contractual p</w:t>
      </w:r>
      <w:r w:rsidR="002D7608" w:rsidRPr="00333D58">
        <w:rPr>
          <w:rFonts w:ascii="Times New Roman" w:hAnsi="Times New Roman"/>
        </w:rPr>
        <w:t>rovision not to plead a limitations defence</w:t>
      </w:r>
      <w:r w:rsidR="006B7AC0" w:rsidRPr="00333D58">
        <w:rPr>
          <w:rFonts w:ascii="Times New Roman" w:hAnsi="Times New Roman"/>
        </w:rPr>
        <w:t>,</w:t>
      </w:r>
      <w:r w:rsidR="002D7608" w:rsidRPr="00333D58">
        <w:rPr>
          <w:rFonts w:ascii="Times New Roman" w:hAnsi="Times New Roman"/>
        </w:rPr>
        <w:t xml:space="preserve"> entered into for consideration before a cause of action to which it might be pleaded, is void against public policy. </w:t>
      </w:r>
      <w:r w:rsidR="008D6F7A" w:rsidRPr="00333D58">
        <w:rPr>
          <w:rFonts w:ascii="Times New Roman" w:hAnsi="Times New Roman"/>
        </w:rPr>
        <w:t>As a result t</w:t>
      </w:r>
      <w:r w:rsidR="002D7608" w:rsidRPr="00333D58">
        <w:rPr>
          <w:rFonts w:ascii="Times New Roman" w:hAnsi="Times New Roman"/>
        </w:rPr>
        <w:t xml:space="preserve">he Court </w:t>
      </w:r>
      <w:r w:rsidR="00EF2825" w:rsidRPr="00333D58">
        <w:rPr>
          <w:rFonts w:ascii="Times New Roman" w:hAnsi="Times New Roman"/>
        </w:rPr>
        <w:t xml:space="preserve">turned to what Mason CJ had said in </w:t>
      </w:r>
      <w:proofErr w:type="spellStart"/>
      <w:r w:rsidR="00EF2825" w:rsidRPr="00333D58">
        <w:rPr>
          <w:rFonts w:ascii="Times New Roman" w:hAnsi="Times New Roman"/>
          <w:i/>
        </w:rPr>
        <w:t>Verwayen</w:t>
      </w:r>
      <w:proofErr w:type="spellEnd"/>
      <w:r w:rsidR="00EF2825" w:rsidRPr="00333D58">
        <w:rPr>
          <w:rFonts w:ascii="Times New Roman" w:hAnsi="Times New Roman"/>
        </w:rPr>
        <w:t xml:space="preserve"> as </w:t>
      </w:r>
      <w:r w:rsidR="00EA3D49" w:rsidRPr="00333D58">
        <w:rPr>
          <w:rFonts w:ascii="Times New Roman" w:hAnsi="Times New Roman"/>
        </w:rPr>
        <w:t xml:space="preserve">a </w:t>
      </w:r>
      <w:r w:rsidR="00EF2825" w:rsidRPr="00333D58">
        <w:rPr>
          <w:rFonts w:ascii="Times New Roman" w:hAnsi="Times New Roman"/>
        </w:rPr>
        <w:t>"judicial observation</w:t>
      </w:r>
      <w:r w:rsidR="00424739" w:rsidRPr="00333D58">
        <w:rPr>
          <w:rFonts w:ascii="Times New Roman" w:hAnsi="Times New Roman"/>
        </w:rPr>
        <w:t>[]</w:t>
      </w:r>
      <w:r w:rsidR="00EF2825" w:rsidRPr="00333D58">
        <w:rPr>
          <w:rFonts w:ascii="Times New Roman" w:hAnsi="Times New Roman"/>
        </w:rPr>
        <w:t xml:space="preserve"> at the highest level</w:t>
      </w:r>
      <w:r w:rsidR="00EA3D49" w:rsidRPr="00333D58">
        <w:rPr>
          <w:rFonts w:ascii="Times New Roman" w:hAnsi="Times New Roman"/>
        </w:rPr>
        <w:t>"</w:t>
      </w:r>
      <w:r w:rsidR="00EF2825" w:rsidRPr="00333D58">
        <w:rPr>
          <w:rFonts w:ascii="Times New Roman" w:hAnsi="Times New Roman"/>
        </w:rPr>
        <w:t xml:space="preserve"> </w:t>
      </w:r>
      <w:r w:rsidR="009A25D1" w:rsidRPr="00333D58">
        <w:rPr>
          <w:rFonts w:ascii="Times New Roman" w:hAnsi="Times New Roman"/>
        </w:rPr>
        <w:t xml:space="preserve">and concluded </w:t>
      </w:r>
      <w:r w:rsidR="00EF2825" w:rsidRPr="00333D58">
        <w:rPr>
          <w:rFonts w:ascii="Times New Roman" w:hAnsi="Times New Roman"/>
        </w:rPr>
        <w:t>that such a provision is not, for that reason, void</w:t>
      </w:r>
      <w:r w:rsidR="00EF2825" w:rsidRPr="00333D58">
        <w:rPr>
          <w:rStyle w:val="FootnoteReference"/>
          <w:rFonts w:ascii="Times New Roman" w:hAnsi="Times New Roman"/>
          <w:sz w:val="24"/>
        </w:rPr>
        <w:footnoteReference w:id="24"/>
      </w:r>
      <w:r w:rsidR="00EF2825" w:rsidRPr="00333D58">
        <w:rPr>
          <w:rFonts w:ascii="Times New Roman" w:hAnsi="Times New Roman"/>
        </w:rPr>
        <w:t xml:space="preserve">. The appellants contend that the Court of Appeal </w:t>
      </w:r>
      <w:r w:rsidR="00AF050B" w:rsidRPr="00333D58">
        <w:rPr>
          <w:rFonts w:ascii="Times New Roman" w:hAnsi="Times New Roman"/>
        </w:rPr>
        <w:t xml:space="preserve">were wrong in </w:t>
      </w:r>
      <w:r w:rsidR="00B60C6E" w:rsidRPr="00333D58">
        <w:rPr>
          <w:rFonts w:ascii="Times New Roman" w:hAnsi="Times New Roman"/>
        </w:rPr>
        <w:t xml:space="preserve">so concluding </w:t>
      </w:r>
      <w:r w:rsidR="00AF050B" w:rsidRPr="00333D58">
        <w:rPr>
          <w:rFonts w:ascii="Times New Roman" w:hAnsi="Times New Roman"/>
        </w:rPr>
        <w:t xml:space="preserve">but they </w:t>
      </w:r>
      <w:r w:rsidR="00EA3D49" w:rsidRPr="00333D58">
        <w:rPr>
          <w:rFonts w:ascii="Times New Roman" w:hAnsi="Times New Roman"/>
        </w:rPr>
        <w:t xml:space="preserve">do </w:t>
      </w:r>
      <w:r w:rsidR="00AF050B" w:rsidRPr="00333D58">
        <w:rPr>
          <w:rFonts w:ascii="Times New Roman" w:hAnsi="Times New Roman"/>
        </w:rPr>
        <w:t>not point to any error in the reasoning of Mason CJ</w:t>
      </w:r>
      <w:r w:rsidR="00B60C6E" w:rsidRPr="00333D58">
        <w:rPr>
          <w:rFonts w:ascii="Times New Roman" w:hAnsi="Times New Roman"/>
        </w:rPr>
        <w:t xml:space="preserve"> which was adopted by the Court</w:t>
      </w:r>
      <w:r w:rsidR="00AF050B" w:rsidRPr="00333D58">
        <w:rPr>
          <w:rFonts w:ascii="Times New Roman" w:hAnsi="Times New Roman"/>
        </w:rPr>
        <w:t xml:space="preserve">. They submit that </w:t>
      </w:r>
      <w:r w:rsidR="00B60C6E" w:rsidRPr="00333D58">
        <w:rPr>
          <w:rFonts w:ascii="Times New Roman" w:hAnsi="Times New Roman"/>
        </w:rPr>
        <w:t xml:space="preserve">his Honour's reasons in this respect </w:t>
      </w:r>
      <w:r w:rsidR="00AF050B" w:rsidRPr="00333D58">
        <w:rPr>
          <w:rFonts w:ascii="Times New Roman" w:hAnsi="Times New Roman"/>
        </w:rPr>
        <w:t>lack precedential value.</w:t>
      </w:r>
    </w:p>
    <w:p w14:paraId="16501378" w14:textId="655C2BEA" w:rsidR="00212BBC" w:rsidRPr="00333D58" w:rsidRDefault="004860E2" w:rsidP="00333D58">
      <w:pPr>
        <w:pStyle w:val="FixListStyle"/>
        <w:spacing w:after="260" w:line="280" w:lineRule="exact"/>
        <w:ind w:right="0"/>
        <w:jc w:val="both"/>
        <w:rPr>
          <w:rFonts w:ascii="Times New Roman" w:hAnsi="Times New Roman"/>
        </w:rPr>
      </w:pPr>
      <w:r w:rsidRPr="00333D58">
        <w:rPr>
          <w:rFonts w:ascii="Times New Roman" w:hAnsi="Times New Roman"/>
        </w:rPr>
        <w:tab/>
        <w:t xml:space="preserve">It may be accepted that what was said by Mason CJ respecting waiver </w:t>
      </w:r>
      <w:r w:rsidR="00C74D53" w:rsidRPr="00333D58">
        <w:rPr>
          <w:rFonts w:ascii="Times New Roman" w:hAnsi="Times New Roman"/>
        </w:rPr>
        <w:t xml:space="preserve">or contracting out of </w:t>
      </w:r>
      <w:r w:rsidRPr="00333D58">
        <w:rPr>
          <w:rFonts w:ascii="Times New Roman" w:hAnsi="Times New Roman"/>
        </w:rPr>
        <w:t>the statutory right given by s 5(6) of the Victorian Limitation Act was not necessary to the ultimate decision</w:t>
      </w:r>
      <w:r w:rsidR="00C74D53" w:rsidRPr="00333D58">
        <w:rPr>
          <w:rFonts w:ascii="Times New Roman" w:hAnsi="Times New Roman"/>
        </w:rPr>
        <w:t xml:space="preserve"> in </w:t>
      </w:r>
      <w:proofErr w:type="spellStart"/>
      <w:r w:rsidR="00C74D53" w:rsidRPr="00333D58">
        <w:rPr>
          <w:rFonts w:ascii="Times New Roman" w:hAnsi="Times New Roman"/>
          <w:i/>
        </w:rPr>
        <w:t>Verwayen</w:t>
      </w:r>
      <w:proofErr w:type="spellEnd"/>
      <w:r w:rsidRPr="00333D58">
        <w:rPr>
          <w:rFonts w:ascii="Times New Roman" w:hAnsi="Times New Roman"/>
        </w:rPr>
        <w:t>, that the Commonwealth was estopped from disputing its liability to the plaintiff</w:t>
      </w:r>
      <w:r w:rsidR="00960160" w:rsidRPr="00333D58">
        <w:rPr>
          <w:rFonts w:ascii="Times New Roman" w:hAnsi="Times New Roman"/>
        </w:rPr>
        <w:t xml:space="preserve"> and that it </w:t>
      </w:r>
      <w:r w:rsidRPr="00333D58">
        <w:rPr>
          <w:rFonts w:ascii="Times New Roman" w:hAnsi="Times New Roman"/>
        </w:rPr>
        <w:lastRenderedPageBreak/>
        <w:t xml:space="preserve">should be </w:t>
      </w:r>
      <w:r w:rsidR="00C472BE" w:rsidRPr="00333D58">
        <w:rPr>
          <w:rFonts w:ascii="Times New Roman" w:hAnsi="Times New Roman"/>
        </w:rPr>
        <w:t xml:space="preserve">held to the state of affairs it had </w:t>
      </w:r>
      <w:r w:rsidR="00960160" w:rsidRPr="00333D58">
        <w:rPr>
          <w:rFonts w:ascii="Times New Roman" w:hAnsi="Times New Roman"/>
        </w:rPr>
        <w:t xml:space="preserve">created by the application of an </w:t>
      </w:r>
      <w:r w:rsidR="00C472BE" w:rsidRPr="00333D58">
        <w:rPr>
          <w:rFonts w:ascii="Times New Roman" w:hAnsi="Times New Roman"/>
        </w:rPr>
        <w:t xml:space="preserve">earlier policy not to contest liability or plead a limitations defence. </w:t>
      </w:r>
      <w:r w:rsidR="00D439A1" w:rsidRPr="00333D58">
        <w:rPr>
          <w:rFonts w:ascii="Times New Roman" w:hAnsi="Times New Roman"/>
        </w:rPr>
        <w:t>I</w:t>
      </w:r>
      <w:r w:rsidR="00F23A4E" w:rsidRPr="00333D58">
        <w:rPr>
          <w:rFonts w:ascii="Times New Roman" w:hAnsi="Times New Roman"/>
        </w:rPr>
        <w:t>n</w:t>
      </w:r>
      <w:r w:rsidR="00D439A1" w:rsidRPr="00333D58">
        <w:rPr>
          <w:rFonts w:ascii="Times New Roman" w:hAnsi="Times New Roman"/>
        </w:rPr>
        <w:t xml:space="preserve"> the passages referred to above, Mason CJ </w:t>
      </w:r>
      <w:r w:rsidR="00DC5877" w:rsidRPr="00333D58">
        <w:rPr>
          <w:rFonts w:ascii="Times New Roman" w:hAnsi="Times New Roman"/>
        </w:rPr>
        <w:t xml:space="preserve">was dealing with the plaintiff's alternative argument, </w:t>
      </w:r>
      <w:r w:rsidR="007B630C" w:rsidRPr="00333D58">
        <w:rPr>
          <w:rFonts w:ascii="Times New Roman" w:hAnsi="Times New Roman"/>
        </w:rPr>
        <w:t>that the Commonwealth had waived the benefit of the statutory right to defend on the basis of the time limitation</w:t>
      </w:r>
      <w:r w:rsidR="00050C89" w:rsidRPr="00333D58">
        <w:rPr>
          <w:rStyle w:val="FootnoteReference"/>
          <w:rFonts w:ascii="Times New Roman" w:hAnsi="Times New Roman"/>
          <w:sz w:val="24"/>
        </w:rPr>
        <w:footnoteReference w:id="25"/>
      </w:r>
      <w:r w:rsidR="004F198F" w:rsidRPr="00333D58">
        <w:rPr>
          <w:rFonts w:ascii="Times New Roman" w:hAnsi="Times New Roman"/>
        </w:rPr>
        <w:t xml:space="preserve">. This was an argument to which </w:t>
      </w:r>
      <w:r w:rsidR="000B0076" w:rsidRPr="00333D58">
        <w:rPr>
          <w:rFonts w:ascii="Times New Roman" w:hAnsi="Times New Roman"/>
        </w:rPr>
        <w:t>the Commonwealth responded</w:t>
      </w:r>
      <w:r w:rsidR="00880B0A" w:rsidRPr="00333D58">
        <w:rPr>
          <w:rStyle w:val="FootnoteReference"/>
          <w:rFonts w:ascii="Times New Roman" w:hAnsi="Times New Roman"/>
          <w:sz w:val="24"/>
        </w:rPr>
        <w:footnoteReference w:id="26"/>
      </w:r>
      <w:r w:rsidR="00032E77" w:rsidRPr="00333D58">
        <w:rPr>
          <w:rFonts w:ascii="Times New Roman" w:hAnsi="Times New Roman"/>
        </w:rPr>
        <w:t xml:space="preserve">. </w:t>
      </w:r>
      <w:r w:rsidR="004F198F" w:rsidRPr="00333D58">
        <w:rPr>
          <w:rFonts w:ascii="Times New Roman" w:hAnsi="Times New Roman"/>
        </w:rPr>
        <w:t xml:space="preserve">It follows that what </w:t>
      </w:r>
      <w:r w:rsidR="00032E77" w:rsidRPr="00333D58">
        <w:rPr>
          <w:rFonts w:ascii="Times New Roman" w:hAnsi="Times New Roman"/>
        </w:rPr>
        <w:t xml:space="preserve">was said by Mason CJ </w:t>
      </w:r>
      <w:r w:rsidR="005F2D6B" w:rsidRPr="00333D58">
        <w:rPr>
          <w:rFonts w:ascii="Times New Roman" w:hAnsi="Times New Roman"/>
        </w:rPr>
        <w:t xml:space="preserve">in </w:t>
      </w:r>
      <w:proofErr w:type="spellStart"/>
      <w:r w:rsidR="005F2D6B" w:rsidRPr="00333D58">
        <w:rPr>
          <w:rFonts w:ascii="Times New Roman" w:hAnsi="Times New Roman"/>
          <w:i/>
        </w:rPr>
        <w:t>Verwayen</w:t>
      </w:r>
      <w:proofErr w:type="spellEnd"/>
      <w:r w:rsidR="009C175E" w:rsidRPr="00333D58">
        <w:rPr>
          <w:rFonts w:ascii="Times New Roman" w:hAnsi="Times New Roman"/>
        </w:rPr>
        <w:t xml:space="preserve"> on </w:t>
      </w:r>
      <w:r w:rsidR="004F198F" w:rsidRPr="00333D58">
        <w:rPr>
          <w:rFonts w:ascii="Times New Roman" w:hAnsi="Times New Roman"/>
        </w:rPr>
        <w:t xml:space="preserve">the </w:t>
      </w:r>
      <w:r w:rsidR="009C175E" w:rsidRPr="00333D58">
        <w:rPr>
          <w:rFonts w:ascii="Times New Roman" w:hAnsi="Times New Roman"/>
        </w:rPr>
        <w:t xml:space="preserve">subject </w:t>
      </w:r>
      <w:r w:rsidR="00032E77" w:rsidRPr="00333D58">
        <w:rPr>
          <w:rFonts w:ascii="Times New Roman" w:hAnsi="Times New Roman"/>
        </w:rPr>
        <w:t>was no "mere passing remark, or a statement or assumption on some matter that has not been argued"</w:t>
      </w:r>
      <w:r w:rsidR="00032E77" w:rsidRPr="00333D58">
        <w:rPr>
          <w:rStyle w:val="FootnoteReference"/>
          <w:rFonts w:ascii="Times New Roman" w:hAnsi="Times New Roman"/>
          <w:sz w:val="24"/>
        </w:rPr>
        <w:footnoteReference w:id="27"/>
      </w:r>
      <w:r w:rsidR="002F52D5" w:rsidRPr="00333D58">
        <w:rPr>
          <w:rFonts w:ascii="Times New Roman" w:hAnsi="Times New Roman"/>
        </w:rPr>
        <w:t>.</w:t>
      </w:r>
      <w:r w:rsidR="00081DEB" w:rsidRPr="00333D58">
        <w:rPr>
          <w:rFonts w:ascii="Times New Roman" w:hAnsi="Times New Roman"/>
        </w:rPr>
        <w:t xml:space="preserve"> It was a considered judgment</w:t>
      </w:r>
      <w:r w:rsidR="003105F0" w:rsidRPr="00333D58">
        <w:rPr>
          <w:rFonts w:ascii="Times New Roman" w:hAnsi="Times New Roman"/>
        </w:rPr>
        <w:t xml:space="preserve"> on a point argued</w:t>
      </w:r>
      <w:r w:rsidR="00685D9F" w:rsidRPr="00333D58">
        <w:rPr>
          <w:rFonts w:ascii="Times New Roman" w:hAnsi="Times New Roman"/>
        </w:rPr>
        <w:t xml:space="preserve"> by the parties</w:t>
      </w:r>
      <w:r w:rsidR="00081DEB" w:rsidRPr="00333D58">
        <w:rPr>
          <w:rFonts w:ascii="Times New Roman" w:hAnsi="Times New Roman"/>
        </w:rPr>
        <w:t xml:space="preserve">, one which </w:t>
      </w:r>
      <w:r w:rsidR="009C175E" w:rsidRPr="00333D58">
        <w:rPr>
          <w:rFonts w:ascii="Times New Roman" w:hAnsi="Times New Roman"/>
        </w:rPr>
        <w:t xml:space="preserve">fulfils Sir Robert </w:t>
      </w:r>
      <w:proofErr w:type="spellStart"/>
      <w:r w:rsidR="009C175E" w:rsidRPr="00333D58">
        <w:rPr>
          <w:rFonts w:ascii="Times New Roman" w:hAnsi="Times New Roman"/>
        </w:rPr>
        <w:t>Megarry's</w:t>
      </w:r>
      <w:proofErr w:type="spellEnd"/>
      <w:r w:rsidR="009C175E" w:rsidRPr="00333D58">
        <w:rPr>
          <w:rFonts w:ascii="Times New Roman" w:hAnsi="Times New Roman"/>
        </w:rPr>
        <w:t xml:space="preserve"> description as </w:t>
      </w:r>
      <w:r w:rsidR="00081DEB" w:rsidRPr="00333D58">
        <w:rPr>
          <w:rFonts w:ascii="Times New Roman" w:hAnsi="Times New Roman"/>
        </w:rPr>
        <w:t xml:space="preserve">having </w:t>
      </w:r>
      <w:r w:rsidR="00C636FC" w:rsidRPr="00333D58">
        <w:rPr>
          <w:rFonts w:ascii="Times New Roman" w:hAnsi="Times New Roman"/>
        </w:rPr>
        <w:t>"</w:t>
      </w:r>
      <w:r w:rsidR="00081DEB" w:rsidRPr="00333D58">
        <w:rPr>
          <w:rFonts w:ascii="Times New Roman" w:hAnsi="Times New Roman"/>
        </w:rPr>
        <w:t>a weight nearer</w:t>
      </w:r>
      <w:r w:rsidR="00C636FC" w:rsidRPr="00333D58">
        <w:rPr>
          <w:rFonts w:ascii="Times New Roman" w:hAnsi="Times New Roman"/>
        </w:rPr>
        <w:t>"</w:t>
      </w:r>
      <w:r w:rsidR="00081DEB" w:rsidRPr="00333D58">
        <w:rPr>
          <w:rFonts w:ascii="Times New Roman" w:hAnsi="Times New Roman"/>
        </w:rPr>
        <w:t xml:space="preserve"> to ratio </w:t>
      </w:r>
      <w:r w:rsidR="001249B5" w:rsidRPr="00333D58">
        <w:rPr>
          <w:rFonts w:ascii="Times New Roman" w:hAnsi="Times New Roman"/>
        </w:rPr>
        <w:t xml:space="preserve">decidendi </w:t>
      </w:r>
      <w:r w:rsidR="0048322A" w:rsidRPr="00333D58">
        <w:rPr>
          <w:rFonts w:ascii="Times New Roman" w:hAnsi="Times New Roman"/>
        </w:rPr>
        <w:t>than an obiter dictum</w:t>
      </w:r>
      <w:r w:rsidR="0048322A" w:rsidRPr="00333D58">
        <w:rPr>
          <w:rStyle w:val="FootnoteReference"/>
          <w:rFonts w:ascii="Times New Roman" w:hAnsi="Times New Roman"/>
          <w:sz w:val="24"/>
        </w:rPr>
        <w:footnoteReference w:id="28"/>
      </w:r>
      <w:r w:rsidR="00444F1A" w:rsidRPr="00333D58">
        <w:rPr>
          <w:rFonts w:ascii="Times New Roman" w:hAnsi="Times New Roman"/>
        </w:rPr>
        <w:t>.</w:t>
      </w:r>
    </w:p>
    <w:p w14:paraId="171D69D3" w14:textId="326A4FDC" w:rsidR="00212BBC" w:rsidRPr="00333D58" w:rsidRDefault="00212BBC" w:rsidP="00333D58">
      <w:pPr>
        <w:pStyle w:val="FixListStyle"/>
        <w:spacing w:after="260" w:line="280" w:lineRule="exact"/>
        <w:ind w:right="0"/>
        <w:jc w:val="both"/>
        <w:rPr>
          <w:rFonts w:ascii="Times New Roman" w:hAnsi="Times New Roman"/>
        </w:rPr>
      </w:pPr>
      <w:r w:rsidRPr="00333D58">
        <w:rPr>
          <w:rFonts w:ascii="Times New Roman" w:hAnsi="Times New Roman"/>
        </w:rPr>
        <w:tab/>
        <w:t>There was only one aspect of Mason CJ's r</w:t>
      </w:r>
      <w:r w:rsidR="00D962D6" w:rsidRPr="00333D58">
        <w:rPr>
          <w:rFonts w:ascii="Times New Roman" w:hAnsi="Times New Roman"/>
        </w:rPr>
        <w:t>e</w:t>
      </w:r>
      <w:r w:rsidRPr="00333D58">
        <w:rPr>
          <w:rFonts w:ascii="Times New Roman" w:hAnsi="Times New Roman"/>
        </w:rPr>
        <w:t>asons whi</w:t>
      </w:r>
      <w:r w:rsidR="00D962D6" w:rsidRPr="00333D58">
        <w:rPr>
          <w:rFonts w:ascii="Times New Roman" w:hAnsi="Times New Roman"/>
        </w:rPr>
        <w:t>c</w:t>
      </w:r>
      <w:r w:rsidRPr="00333D58">
        <w:rPr>
          <w:rFonts w:ascii="Times New Roman" w:hAnsi="Times New Roman"/>
        </w:rPr>
        <w:t xml:space="preserve">h had not been dealt </w:t>
      </w:r>
      <w:r w:rsidR="00D962D6" w:rsidRPr="00333D58">
        <w:rPr>
          <w:rFonts w:ascii="Times New Roman" w:hAnsi="Times New Roman"/>
        </w:rPr>
        <w:t xml:space="preserve">with </w:t>
      </w:r>
      <w:r w:rsidRPr="00333D58">
        <w:rPr>
          <w:rFonts w:ascii="Times New Roman" w:hAnsi="Times New Roman"/>
        </w:rPr>
        <w:t>in the authorities concerning limitation provisions of the kind in question. It was the conclusion that his Honour r</w:t>
      </w:r>
      <w:r w:rsidR="00C8760A" w:rsidRPr="00333D58">
        <w:rPr>
          <w:rFonts w:ascii="Times New Roman" w:hAnsi="Times New Roman"/>
        </w:rPr>
        <w:t>eached that such provision</w:t>
      </w:r>
      <w:r w:rsidR="00D962D6" w:rsidRPr="00333D58">
        <w:rPr>
          <w:rFonts w:ascii="Times New Roman" w:hAnsi="Times New Roman"/>
        </w:rPr>
        <w:t>s</w:t>
      </w:r>
      <w:r w:rsidR="00C8760A" w:rsidRPr="00333D58">
        <w:rPr>
          <w:rFonts w:ascii="Times New Roman" w:hAnsi="Times New Roman"/>
        </w:rPr>
        <w:t xml:space="preserve"> are not dictated by public policy to the exclusion of individual rights and that the benefit conferred by statute on a defendant was of a nature that it could be given up.</w:t>
      </w:r>
    </w:p>
    <w:p w14:paraId="5467150E" w14:textId="45CC0A78" w:rsidR="00C8760A" w:rsidRPr="00333D58" w:rsidRDefault="00C8760A" w:rsidP="00333D58">
      <w:pPr>
        <w:pStyle w:val="FixListStyle"/>
        <w:spacing w:after="260" w:line="280" w:lineRule="exact"/>
        <w:ind w:right="0"/>
        <w:jc w:val="both"/>
        <w:rPr>
          <w:rFonts w:ascii="Times New Roman" w:hAnsi="Times New Roman"/>
        </w:rPr>
      </w:pPr>
      <w:r w:rsidRPr="00333D58">
        <w:rPr>
          <w:rFonts w:ascii="Times New Roman" w:hAnsi="Times New Roman"/>
        </w:rPr>
        <w:tab/>
        <w:t xml:space="preserve">Both propositions are clearly correct and have </w:t>
      </w:r>
      <w:r w:rsidR="00D240A3" w:rsidRPr="00333D58">
        <w:rPr>
          <w:rFonts w:ascii="Times New Roman" w:hAnsi="Times New Roman"/>
        </w:rPr>
        <w:t>since</w:t>
      </w:r>
      <w:r w:rsidRPr="00333D58">
        <w:rPr>
          <w:rFonts w:ascii="Times New Roman" w:hAnsi="Times New Roman"/>
        </w:rPr>
        <w:t xml:space="preserve"> been </w:t>
      </w:r>
      <w:r w:rsidR="00D85CD8" w:rsidRPr="00333D58">
        <w:rPr>
          <w:rFonts w:ascii="Times New Roman" w:hAnsi="Times New Roman"/>
        </w:rPr>
        <w:t>cited</w:t>
      </w:r>
      <w:r w:rsidR="00671118" w:rsidRPr="00333D58">
        <w:rPr>
          <w:rFonts w:ascii="Times New Roman" w:hAnsi="Times New Roman"/>
        </w:rPr>
        <w:t xml:space="preserve"> </w:t>
      </w:r>
      <w:r w:rsidR="008620CA" w:rsidRPr="00333D58">
        <w:rPr>
          <w:rFonts w:ascii="Times New Roman" w:hAnsi="Times New Roman"/>
        </w:rPr>
        <w:t xml:space="preserve">by </w:t>
      </w:r>
      <w:r w:rsidRPr="00333D58">
        <w:rPr>
          <w:rFonts w:ascii="Times New Roman" w:hAnsi="Times New Roman"/>
        </w:rPr>
        <w:t>intermediate courts</w:t>
      </w:r>
      <w:r w:rsidRPr="00333D58">
        <w:rPr>
          <w:rStyle w:val="FootnoteReference"/>
          <w:rFonts w:ascii="Times New Roman" w:hAnsi="Times New Roman"/>
          <w:sz w:val="24"/>
        </w:rPr>
        <w:footnoteReference w:id="29"/>
      </w:r>
      <w:r w:rsidR="00C4699C" w:rsidRPr="00333D58">
        <w:rPr>
          <w:rFonts w:ascii="Times New Roman" w:hAnsi="Times New Roman"/>
        </w:rPr>
        <w:t xml:space="preserve">. The first follows from the way in which the legislatures have dealt with </w:t>
      </w:r>
      <w:r w:rsidR="00231A3C" w:rsidRPr="00333D58">
        <w:rPr>
          <w:rFonts w:ascii="Times New Roman" w:hAnsi="Times New Roman"/>
        </w:rPr>
        <w:t xml:space="preserve">the public interest in the finality of litigation, by leaving it to a defendant to raise the application of </w:t>
      </w:r>
      <w:r w:rsidR="00341BED" w:rsidRPr="00333D58">
        <w:rPr>
          <w:rFonts w:ascii="Times New Roman" w:hAnsi="Times New Roman"/>
        </w:rPr>
        <w:t xml:space="preserve">a </w:t>
      </w:r>
      <w:r w:rsidR="00231A3C" w:rsidRPr="00333D58">
        <w:rPr>
          <w:rFonts w:ascii="Times New Roman" w:hAnsi="Times New Roman"/>
        </w:rPr>
        <w:t>statute's time</w:t>
      </w:r>
      <w:r w:rsidR="00231A3C" w:rsidRPr="00333D58">
        <w:rPr>
          <w:rFonts w:ascii="Times New Roman" w:hAnsi="Times New Roman"/>
        </w:rPr>
        <w:noBreakHyphen/>
        <w:t xml:space="preserve">bar. </w:t>
      </w:r>
      <w:r w:rsidR="00A318C2" w:rsidRPr="00333D58">
        <w:rPr>
          <w:rFonts w:ascii="Times New Roman" w:hAnsi="Times New Roman"/>
        </w:rPr>
        <w:t xml:space="preserve">On this topic </w:t>
      </w:r>
      <w:r w:rsidR="00231A3C" w:rsidRPr="00333D58">
        <w:rPr>
          <w:rFonts w:ascii="Times New Roman" w:hAnsi="Times New Roman"/>
        </w:rPr>
        <w:t xml:space="preserve">there is no dispute amongst the decided cases. The second </w:t>
      </w:r>
      <w:r w:rsidR="009A7120" w:rsidRPr="00333D58">
        <w:rPr>
          <w:rFonts w:ascii="Times New Roman" w:hAnsi="Times New Roman"/>
        </w:rPr>
        <w:t>follows from what has been said about the right or benefit which limitation statutes give to a defendant and</w:t>
      </w:r>
      <w:r w:rsidR="005E2C8C" w:rsidRPr="00333D58">
        <w:rPr>
          <w:rFonts w:ascii="Times New Roman" w:hAnsi="Times New Roman"/>
        </w:rPr>
        <w:t xml:space="preserve"> the fact</w:t>
      </w:r>
      <w:r w:rsidR="009A7120" w:rsidRPr="00333D58">
        <w:rPr>
          <w:rFonts w:ascii="Times New Roman" w:hAnsi="Times New Roman"/>
        </w:rPr>
        <w:t xml:space="preserve"> that the defendant may choose whether to plead </w:t>
      </w:r>
      <w:r w:rsidR="00273CFE" w:rsidRPr="00333D58">
        <w:rPr>
          <w:rFonts w:ascii="Times New Roman" w:hAnsi="Times New Roman"/>
        </w:rPr>
        <w:t xml:space="preserve">a </w:t>
      </w:r>
      <w:r w:rsidR="009A7120" w:rsidRPr="00333D58">
        <w:rPr>
          <w:rFonts w:ascii="Times New Roman" w:hAnsi="Times New Roman"/>
        </w:rPr>
        <w:t>statute.</w:t>
      </w:r>
    </w:p>
    <w:p w14:paraId="0E88FA40" w14:textId="665BA744" w:rsidR="00BB382B" w:rsidRPr="00333D58" w:rsidRDefault="00613773" w:rsidP="00333D58">
      <w:pPr>
        <w:pStyle w:val="HeadingL1"/>
        <w:spacing w:after="260" w:line="280" w:lineRule="exact"/>
        <w:ind w:right="0"/>
        <w:jc w:val="both"/>
        <w:rPr>
          <w:rFonts w:ascii="Times New Roman" w:hAnsi="Times New Roman"/>
        </w:rPr>
      </w:pPr>
      <w:r w:rsidRPr="00333D58">
        <w:rPr>
          <w:rFonts w:ascii="Times New Roman" w:hAnsi="Times New Roman"/>
        </w:rPr>
        <w:t>Extinguishment</w:t>
      </w:r>
    </w:p>
    <w:p w14:paraId="320904C8" w14:textId="7CF54703" w:rsidR="00957A03" w:rsidRPr="00333D58" w:rsidRDefault="00613773" w:rsidP="00333D58">
      <w:pPr>
        <w:pStyle w:val="FixListStyle"/>
        <w:spacing w:after="260" w:line="280" w:lineRule="exact"/>
        <w:ind w:right="0"/>
        <w:jc w:val="both"/>
        <w:rPr>
          <w:rFonts w:ascii="Times New Roman" w:hAnsi="Times New Roman"/>
        </w:rPr>
      </w:pPr>
      <w:r w:rsidRPr="00333D58">
        <w:rPr>
          <w:rFonts w:ascii="Times New Roman" w:hAnsi="Times New Roman"/>
        </w:rPr>
        <w:tab/>
      </w:r>
      <w:r w:rsidR="00B7677B" w:rsidRPr="00333D58">
        <w:rPr>
          <w:rFonts w:ascii="Times New Roman" w:hAnsi="Times New Roman"/>
        </w:rPr>
        <w:t xml:space="preserve">Section 24 of the Limitation Act provides, in effect, that where the time </w:t>
      </w:r>
      <w:r w:rsidR="00AD10F2" w:rsidRPr="00333D58">
        <w:rPr>
          <w:rFonts w:ascii="Times New Roman" w:hAnsi="Times New Roman"/>
        </w:rPr>
        <w:t xml:space="preserve">prescribed by the Act </w:t>
      </w:r>
      <w:r w:rsidR="00B7677B" w:rsidRPr="00333D58">
        <w:rPr>
          <w:rFonts w:ascii="Times New Roman" w:hAnsi="Times New Roman"/>
        </w:rPr>
        <w:t xml:space="preserve">within </w:t>
      </w:r>
      <w:r w:rsidR="00957A03" w:rsidRPr="00333D58">
        <w:rPr>
          <w:rFonts w:ascii="Times New Roman" w:hAnsi="Times New Roman"/>
        </w:rPr>
        <w:t xml:space="preserve">which </w:t>
      </w:r>
      <w:r w:rsidR="00B7677B" w:rsidRPr="00333D58">
        <w:rPr>
          <w:rFonts w:ascii="Times New Roman" w:hAnsi="Times New Roman"/>
        </w:rPr>
        <w:t>a person "may bring an action</w:t>
      </w:r>
      <w:r w:rsidR="001B58B7" w:rsidRPr="00333D58">
        <w:rPr>
          <w:rFonts w:ascii="Times New Roman" w:hAnsi="Times New Roman"/>
        </w:rPr>
        <w:t>"</w:t>
      </w:r>
      <w:r w:rsidR="00B7677B" w:rsidRPr="00333D58">
        <w:rPr>
          <w:rFonts w:ascii="Times New Roman" w:hAnsi="Times New Roman"/>
        </w:rPr>
        <w:t xml:space="preserve"> to recover land has expired, the person's </w:t>
      </w:r>
      <w:r w:rsidR="001B58B7" w:rsidRPr="00333D58">
        <w:rPr>
          <w:rFonts w:ascii="Times New Roman" w:hAnsi="Times New Roman"/>
        </w:rPr>
        <w:t>"</w:t>
      </w:r>
      <w:r w:rsidR="00B7677B" w:rsidRPr="00333D58">
        <w:rPr>
          <w:rFonts w:ascii="Times New Roman" w:hAnsi="Times New Roman"/>
        </w:rPr>
        <w:t>title</w:t>
      </w:r>
      <w:r w:rsidR="001B58B7" w:rsidRPr="00333D58">
        <w:rPr>
          <w:rFonts w:ascii="Times New Roman" w:hAnsi="Times New Roman"/>
        </w:rPr>
        <w:t>"</w:t>
      </w:r>
      <w:r w:rsidR="00B7677B" w:rsidRPr="00333D58">
        <w:rPr>
          <w:rFonts w:ascii="Times New Roman" w:hAnsi="Times New Roman"/>
        </w:rPr>
        <w:t xml:space="preserve"> to that land "shall be extinguished". The time for bringing such an action </w:t>
      </w:r>
      <w:r w:rsidR="00002EDF" w:rsidRPr="00333D58">
        <w:rPr>
          <w:rFonts w:ascii="Times New Roman" w:hAnsi="Times New Roman"/>
        </w:rPr>
        <w:t>is prescribed by s 13</w:t>
      </w:r>
      <w:r w:rsidR="00B7677B" w:rsidRPr="00333D58">
        <w:rPr>
          <w:rFonts w:ascii="Times New Roman" w:hAnsi="Times New Roman"/>
        </w:rPr>
        <w:t>.</w:t>
      </w:r>
      <w:r w:rsidR="00002EDF" w:rsidRPr="00333D58">
        <w:rPr>
          <w:rFonts w:ascii="Times New Roman" w:hAnsi="Times New Roman"/>
        </w:rPr>
        <w:t xml:space="preserve"> </w:t>
      </w:r>
      <w:r w:rsidR="00C33329" w:rsidRPr="00333D58">
        <w:rPr>
          <w:rFonts w:ascii="Times New Roman" w:hAnsi="Times New Roman"/>
        </w:rPr>
        <w:t xml:space="preserve">The title </w:t>
      </w:r>
      <w:r w:rsidR="00002EDF" w:rsidRPr="00333D58">
        <w:rPr>
          <w:rFonts w:ascii="Times New Roman" w:hAnsi="Times New Roman"/>
        </w:rPr>
        <w:t xml:space="preserve">to the land </w:t>
      </w:r>
      <w:r w:rsidR="00C33329" w:rsidRPr="00333D58">
        <w:rPr>
          <w:rFonts w:ascii="Times New Roman" w:hAnsi="Times New Roman"/>
        </w:rPr>
        <w:t>here in question is that of a registered mortgagee of land. "</w:t>
      </w:r>
      <w:r w:rsidR="00093326" w:rsidRPr="00333D58">
        <w:rPr>
          <w:rFonts w:ascii="Times New Roman" w:hAnsi="Times New Roman"/>
        </w:rPr>
        <w:t>[</w:t>
      </w:r>
      <w:r w:rsidR="00C33329" w:rsidRPr="00333D58">
        <w:rPr>
          <w:rFonts w:ascii="Times New Roman" w:hAnsi="Times New Roman"/>
        </w:rPr>
        <w:t>L</w:t>
      </w:r>
      <w:r w:rsidR="00093326" w:rsidRPr="00333D58">
        <w:rPr>
          <w:rFonts w:ascii="Times New Roman" w:hAnsi="Times New Roman"/>
        </w:rPr>
        <w:t>]</w:t>
      </w:r>
      <w:r w:rsidR="00C33329" w:rsidRPr="00333D58">
        <w:rPr>
          <w:rFonts w:ascii="Times New Roman" w:hAnsi="Times New Roman"/>
        </w:rPr>
        <w:t xml:space="preserve">and" is defined to include "any legal </w:t>
      </w:r>
      <w:r w:rsidR="00C33329" w:rsidRPr="00333D58">
        <w:rPr>
          <w:rFonts w:ascii="Times New Roman" w:hAnsi="Times New Roman"/>
        </w:rPr>
        <w:lastRenderedPageBreak/>
        <w:t>or equitable estate or interest therein</w:t>
      </w:r>
      <w:r w:rsidR="00541075" w:rsidRPr="00333D58">
        <w:rPr>
          <w:rFonts w:ascii="Times New Roman" w:hAnsi="Times New Roman"/>
        </w:rPr>
        <w:t>"</w:t>
      </w:r>
      <w:r w:rsidR="0039239E" w:rsidRPr="00333D58">
        <w:rPr>
          <w:rStyle w:val="FootnoteReference"/>
          <w:rFonts w:ascii="Times New Roman" w:hAnsi="Times New Roman"/>
          <w:sz w:val="24"/>
        </w:rPr>
        <w:footnoteReference w:id="30"/>
      </w:r>
      <w:r w:rsidR="006230CA" w:rsidRPr="00333D58">
        <w:rPr>
          <w:rFonts w:ascii="Times New Roman" w:hAnsi="Times New Roman"/>
        </w:rPr>
        <w:t>,</w:t>
      </w:r>
      <w:r w:rsidR="00BB1DF7" w:rsidRPr="00333D58">
        <w:rPr>
          <w:rFonts w:ascii="Times New Roman" w:hAnsi="Times New Roman"/>
        </w:rPr>
        <w:t xml:space="preserve"> which encompasses a registered mortgagee's interest</w:t>
      </w:r>
      <w:r w:rsidR="00D0783A" w:rsidRPr="00333D58">
        <w:rPr>
          <w:rFonts w:ascii="Times New Roman" w:hAnsi="Times New Roman"/>
        </w:rPr>
        <w:t>.</w:t>
      </w:r>
    </w:p>
    <w:p w14:paraId="08B35BCA" w14:textId="0149A841" w:rsidR="00256136" w:rsidRPr="00333D58" w:rsidRDefault="00957A03" w:rsidP="00333D58">
      <w:pPr>
        <w:pStyle w:val="FixListStyle"/>
        <w:spacing w:after="260" w:line="280" w:lineRule="exact"/>
        <w:ind w:right="0"/>
        <w:jc w:val="both"/>
        <w:rPr>
          <w:rFonts w:ascii="Times New Roman" w:hAnsi="Times New Roman"/>
        </w:rPr>
      </w:pPr>
      <w:r w:rsidRPr="00333D58">
        <w:rPr>
          <w:rFonts w:ascii="Times New Roman" w:hAnsi="Times New Roman"/>
        </w:rPr>
        <w:tab/>
      </w:r>
      <w:r w:rsidR="00D0783A" w:rsidRPr="00333D58">
        <w:rPr>
          <w:rFonts w:ascii="Times New Roman" w:hAnsi="Times New Roman"/>
        </w:rPr>
        <w:t xml:space="preserve">By contrast with provisions such as s 13, s 24 operates to extinguish rights, not create them. </w:t>
      </w:r>
      <w:r w:rsidR="00613773" w:rsidRPr="00333D58">
        <w:rPr>
          <w:rFonts w:ascii="Times New Roman" w:hAnsi="Times New Roman"/>
        </w:rPr>
        <w:t xml:space="preserve">The appellants </w:t>
      </w:r>
      <w:r w:rsidR="00AD5F6D" w:rsidRPr="00333D58">
        <w:rPr>
          <w:rFonts w:ascii="Times New Roman" w:hAnsi="Times New Roman"/>
        </w:rPr>
        <w:t xml:space="preserve">contend </w:t>
      </w:r>
      <w:r w:rsidR="00A41249" w:rsidRPr="00333D58">
        <w:rPr>
          <w:rFonts w:ascii="Times New Roman" w:hAnsi="Times New Roman"/>
        </w:rPr>
        <w:t xml:space="preserve">that the respondents' title to the land was extinguished </w:t>
      </w:r>
      <w:r w:rsidR="00AD5F6D" w:rsidRPr="00333D58">
        <w:rPr>
          <w:rFonts w:ascii="Times New Roman" w:hAnsi="Times New Roman"/>
        </w:rPr>
        <w:t xml:space="preserve">by the operation of s 24 </w:t>
      </w:r>
      <w:r w:rsidR="00B06DE0" w:rsidRPr="00333D58">
        <w:rPr>
          <w:rFonts w:ascii="Times New Roman" w:hAnsi="Times New Roman"/>
        </w:rPr>
        <w:t>before the proceedings in the Supreme Court were commenced</w:t>
      </w:r>
      <w:r w:rsidR="00610E28" w:rsidRPr="00333D58">
        <w:rPr>
          <w:rFonts w:ascii="Times New Roman" w:hAnsi="Times New Roman"/>
        </w:rPr>
        <w:t xml:space="preserve">. </w:t>
      </w:r>
      <w:r w:rsidR="006C3C91" w:rsidRPr="00333D58">
        <w:rPr>
          <w:rFonts w:ascii="Times New Roman" w:hAnsi="Times New Roman"/>
        </w:rPr>
        <w:t xml:space="preserve">The </w:t>
      </w:r>
      <w:r w:rsidR="00166696" w:rsidRPr="00333D58">
        <w:rPr>
          <w:rFonts w:ascii="Times New Roman" w:hAnsi="Times New Roman"/>
        </w:rPr>
        <w:t>argument was not fully developed</w:t>
      </w:r>
      <w:r w:rsidR="006C3C91" w:rsidRPr="00333D58">
        <w:rPr>
          <w:rFonts w:ascii="Times New Roman" w:hAnsi="Times New Roman"/>
        </w:rPr>
        <w:t xml:space="preserve"> but </w:t>
      </w:r>
      <w:r w:rsidR="004E5B1F" w:rsidRPr="00333D58">
        <w:rPr>
          <w:rFonts w:ascii="Times New Roman" w:hAnsi="Times New Roman"/>
        </w:rPr>
        <w:t xml:space="preserve">the appellants </w:t>
      </w:r>
      <w:r w:rsidR="006C3C91" w:rsidRPr="00333D58">
        <w:rPr>
          <w:rFonts w:ascii="Times New Roman" w:hAnsi="Times New Roman"/>
        </w:rPr>
        <w:t>may be understood to suggest that s 24 operate</w:t>
      </w:r>
      <w:r w:rsidR="00D27F5A" w:rsidRPr="00333D58">
        <w:rPr>
          <w:rFonts w:ascii="Times New Roman" w:hAnsi="Times New Roman"/>
        </w:rPr>
        <w:t>d</w:t>
      </w:r>
      <w:r w:rsidR="006C3C91" w:rsidRPr="00333D58">
        <w:rPr>
          <w:rFonts w:ascii="Times New Roman" w:hAnsi="Times New Roman"/>
        </w:rPr>
        <w:t xml:space="preserve"> automatically at the end of the </w:t>
      </w:r>
      <w:r w:rsidR="004E5B1F" w:rsidRPr="00333D58">
        <w:rPr>
          <w:rFonts w:ascii="Times New Roman" w:hAnsi="Times New Roman"/>
        </w:rPr>
        <w:t xml:space="preserve">limitation </w:t>
      </w:r>
      <w:r w:rsidR="006C3C91" w:rsidRPr="00333D58">
        <w:rPr>
          <w:rFonts w:ascii="Times New Roman" w:hAnsi="Times New Roman"/>
        </w:rPr>
        <w:t xml:space="preserve">period to extinguish the </w:t>
      </w:r>
      <w:r w:rsidR="00D27F5A" w:rsidRPr="00333D58">
        <w:rPr>
          <w:rFonts w:ascii="Times New Roman" w:hAnsi="Times New Roman"/>
        </w:rPr>
        <w:t>respondents</w:t>
      </w:r>
      <w:r w:rsidR="00AD68B0" w:rsidRPr="00333D58">
        <w:rPr>
          <w:rFonts w:ascii="Times New Roman" w:hAnsi="Times New Roman"/>
        </w:rPr>
        <w:t>'</w:t>
      </w:r>
      <w:r w:rsidR="0016089B" w:rsidRPr="00333D58">
        <w:rPr>
          <w:rFonts w:ascii="Times New Roman" w:hAnsi="Times New Roman"/>
        </w:rPr>
        <w:t xml:space="preserve"> </w:t>
      </w:r>
      <w:r w:rsidR="00A318C2" w:rsidRPr="00333D58">
        <w:rPr>
          <w:rFonts w:ascii="Times New Roman" w:hAnsi="Times New Roman"/>
        </w:rPr>
        <w:t xml:space="preserve">interest in the </w:t>
      </w:r>
      <w:r w:rsidR="00010DAD" w:rsidRPr="00333D58">
        <w:rPr>
          <w:rFonts w:ascii="Times New Roman" w:hAnsi="Times New Roman"/>
        </w:rPr>
        <w:t>land</w:t>
      </w:r>
      <w:r w:rsidR="00E04529" w:rsidRPr="00333D58">
        <w:rPr>
          <w:rFonts w:ascii="Times New Roman" w:hAnsi="Times New Roman"/>
        </w:rPr>
        <w:t xml:space="preserve"> as mortgagee</w:t>
      </w:r>
      <w:r w:rsidR="00010DAD" w:rsidRPr="00333D58">
        <w:rPr>
          <w:rFonts w:ascii="Times New Roman" w:hAnsi="Times New Roman"/>
        </w:rPr>
        <w:t xml:space="preserve"> </w:t>
      </w:r>
      <w:r w:rsidR="00256136" w:rsidRPr="00333D58">
        <w:rPr>
          <w:rFonts w:ascii="Times New Roman" w:hAnsi="Times New Roman"/>
        </w:rPr>
        <w:t xml:space="preserve">regardless of whether </w:t>
      </w:r>
      <w:r w:rsidR="00D27F5A" w:rsidRPr="00333D58">
        <w:rPr>
          <w:rFonts w:ascii="Times New Roman" w:hAnsi="Times New Roman"/>
        </w:rPr>
        <w:t>the appellants</w:t>
      </w:r>
      <w:r w:rsidR="00256136" w:rsidRPr="00333D58">
        <w:rPr>
          <w:rFonts w:ascii="Times New Roman" w:hAnsi="Times New Roman"/>
        </w:rPr>
        <w:t xml:space="preserve"> plead</w:t>
      </w:r>
      <w:r w:rsidR="00D27F5A" w:rsidRPr="00333D58">
        <w:rPr>
          <w:rFonts w:ascii="Times New Roman" w:hAnsi="Times New Roman"/>
        </w:rPr>
        <w:t>ed</w:t>
      </w:r>
      <w:r w:rsidR="00256136" w:rsidRPr="00333D58">
        <w:rPr>
          <w:rFonts w:ascii="Times New Roman" w:hAnsi="Times New Roman"/>
        </w:rPr>
        <w:t xml:space="preserve"> the limitation </w:t>
      </w:r>
      <w:r w:rsidR="00552564" w:rsidRPr="00333D58">
        <w:rPr>
          <w:rFonts w:ascii="Times New Roman" w:hAnsi="Times New Roman"/>
        </w:rPr>
        <w:t xml:space="preserve">period </w:t>
      </w:r>
      <w:r w:rsidR="00FB77D2" w:rsidRPr="00333D58">
        <w:rPr>
          <w:rFonts w:ascii="Times New Roman" w:hAnsi="Times New Roman"/>
        </w:rPr>
        <w:t xml:space="preserve">by way of </w:t>
      </w:r>
      <w:r w:rsidR="00552564" w:rsidRPr="00333D58">
        <w:rPr>
          <w:rFonts w:ascii="Times New Roman" w:hAnsi="Times New Roman"/>
        </w:rPr>
        <w:t>defence. That is to say, s 24 is to be understood to operate independently of s 13, rather than providing for what follows from a successful plea.</w:t>
      </w:r>
    </w:p>
    <w:p w14:paraId="55AB0863" w14:textId="4CB11D21" w:rsidR="00F0229F" w:rsidRPr="00333D58" w:rsidRDefault="00A27A19" w:rsidP="00333D58">
      <w:pPr>
        <w:pStyle w:val="FixListStyle"/>
        <w:spacing w:after="260" w:line="280" w:lineRule="exact"/>
        <w:ind w:right="0"/>
        <w:jc w:val="both"/>
        <w:rPr>
          <w:rFonts w:ascii="Times New Roman" w:hAnsi="Times New Roman"/>
        </w:rPr>
      </w:pPr>
      <w:r w:rsidRPr="00333D58">
        <w:rPr>
          <w:rFonts w:ascii="Times New Roman" w:hAnsi="Times New Roman"/>
        </w:rPr>
        <w:tab/>
      </w:r>
      <w:r w:rsidR="00DD3ADA" w:rsidRPr="00333D58">
        <w:rPr>
          <w:rFonts w:ascii="Times New Roman" w:hAnsi="Times New Roman"/>
        </w:rPr>
        <w:t xml:space="preserve">Textually </w:t>
      </w:r>
      <w:r w:rsidRPr="00333D58">
        <w:rPr>
          <w:rFonts w:ascii="Times New Roman" w:hAnsi="Times New Roman"/>
        </w:rPr>
        <w:t>there are strong indications that s 24 operates by reference to the plea</w:t>
      </w:r>
      <w:r w:rsidR="00DD3ADA" w:rsidRPr="00333D58">
        <w:rPr>
          <w:rFonts w:ascii="Times New Roman" w:hAnsi="Times New Roman"/>
        </w:rPr>
        <w:t>.</w:t>
      </w:r>
      <w:r w:rsidRPr="00333D58">
        <w:rPr>
          <w:rFonts w:ascii="Times New Roman" w:hAnsi="Times New Roman"/>
        </w:rPr>
        <w:t xml:space="preserve"> Section</w:t>
      </w:r>
      <w:r w:rsidR="00DD3ADA" w:rsidRPr="00333D58">
        <w:rPr>
          <w:rFonts w:ascii="Times New Roman" w:hAnsi="Times New Roman"/>
        </w:rPr>
        <w:t> </w:t>
      </w:r>
      <w:r w:rsidRPr="00333D58">
        <w:rPr>
          <w:rFonts w:ascii="Times New Roman" w:hAnsi="Times New Roman"/>
        </w:rPr>
        <w:t>13 say</w:t>
      </w:r>
      <w:r w:rsidR="00DD3ADA" w:rsidRPr="00333D58">
        <w:rPr>
          <w:rFonts w:ascii="Times New Roman" w:hAnsi="Times New Roman"/>
        </w:rPr>
        <w:t>s</w:t>
      </w:r>
      <w:r w:rsidRPr="00333D58">
        <w:rPr>
          <w:rFonts w:ascii="Times New Roman" w:hAnsi="Times New Roman"/>
        </w:rPr>
        <w:t xml:space="preserve"> that "[a]n action shall not be brought" </w:t>
      </w:r>
      <w:r w:rsidR="00987B96" w:rsidRPr="00333D58">
        <w:rPr>
          <w:rFonts w:ascii="Times New Roman" w:hAnsi="Times New Roman"/>
        </w:rPr>
        <w:t>to recover land</w:t>
      </w:r>
      <w:r w:rsidR="006D4E84" w:rsidRPr="00333D58">
        <w:rPr>
          <w:rFonts w:ascii="Times New Roman" w:hAnsi="Times New Roman"/>
        </w:rPr>
        <w:t xml:space="preserve"> after the expiration of 12 years. Consistently with the authorities earlier referred to, in </w:t>
      </w:r>
      <w:r w:rsidR="00D3603E" w:rsidRPr="00333D58">
        <w:rPr>
          <w:rFonts w:ascii="Times New Roman" w:hAnsi="Times New Roman"/>
          <w:i/>
        </w:rPr>
        <w:t>Brisbane City Council v Amos</w:t>
      </w:r>
      <w:r w:rsidR="00D3603E" w:rsidRPr="00333D58">
        <w:rPr>
          <w:rStyle w:val="FootnoteReference"/>
          <w:rFonts w:ascii="Times New Roman" w:hAnsi="Times New Roman"/>
          <w:sz w:val="24"/>
        </w:rPr>
        <w:footnoteReference w:id="31"/>
      </w:r>
      <w:r w:rsidR="00525BD0" w:rsidRPr="00333D58">
        <w:rPr>
          <w:rFonts w:ascii="Times New Roman" w:hAnsi="Times New Roman"/>
        </w:rPr>
        <w:t xml:space="preserve">, Keane J observed </w:t>
      </w:r>
      <w:r w:rsidR="00256C1B" w:rsidRPr="00333D58">
        <w:rPr>
          <w:rFonts w:ascii="Times New Roman" w:hAnsi="Times New Roman"/>
        </w:rPr>
        <w:t xml:space="preserve">that the term "shall not be brought" </w:t>
      </w:r>
      <w:r w:rsidR="00525BD0" w:rsidRPr="00333D58">
        <w:rPr>
          <w:rFonts w:ascii="Times New Roman" w:hAnsi="Times New Roman"/>
        </w:rPr>
        <w:t xml:space="preserve">has been </w:t>
      </w:r>
      <w:r w:rsidR="00256C1B" w:rsidRPr="00333D58">
        <w:rPr>
          <w:rFonts w:ascii="Times New Roman" w:hAnsi="Times New Roman"/>
        </w:rPr>
        <w:t>gi</w:t>
      </w:r>
      <w:r w:rsidR="005C12A3" w:rsidRPr="00333D58">
        <w:rPr>
          <w:rFonts w:ascii="Times New Roman" w:hAnsi="Times New Roman"/>
        </w:rPr>
        <w:t>v</w:t>
      </w:r>
      <w:r w:rsidR="00256C1B" w:rsidRPr="00333D58">
        <w:rPr>
          <w:rFonts w:ascii="Times New Roman" w:hAnsi="Times New Roman"/>
        </w:rPr>
        <w:t>en a special meanin</w:t>
      </w:r>
      <w:r w:rsidR="005C12A3" w:rsidRPr="00333D58">
        <w:rPr>
          <w:rFonts w:ascii="Times New Roman" w:hAnsi="Times New Roman"/>
        </w:rPr>
        <w:t>g</w:t>
      </w:r>
      <w:r w:rsidR="00256C1B" w:rsidRPr="00333D58">
        <w:rPr>
          <w:rFonts w:ascii="Times New Roman" w:hAnsi="Times New Roman"/>
        </w:rPr>
        <w:t xml:space="preserve"> by the courts, one which is to be understood to refer to the defence provided by the statute, but whi</w:t>
      </w:r>
      <w:r w:rsidR="005C12A3" w:rsidRPr="00333D58">
        <w:rPr>
          <w:rFonts w:ascii="Times New Roman" w:hAnsi="Times New Roman"/>
        </w:rPr>
        <w:t>c</w:t>
      </w:r>
      <w:r w:rsidR="00256C1B" w:rsidRPr="00333D58">
        <w:rPr>
          <w:rFonts w:ascii="Times New Roman" w:hAnsi="Times New Roman"/>
        </w:rPr>
        <w:t xml:space="preserve">h must be pleaded if effect is to be given to the limitation on bringing the action. The point </w:t>
      </w:r>
      <w:r w:rsidR="005C12A3" w:rsidRPr="00333D58">
        <w:rPr>
          <w:rFonts w:ascii="Times New Roman" w:hAnsi="Times New Roman"/>
        </w:rPr>
        <w:t xml:space="preserve">presently to be made is that s 24, in its terms, proceeds upon the same footing. </w:t>
      </w:r>
      <w:r w:rsidR="000C259B" w:rsidRPr="00333D58">
        <w:rPr>
          <w:rFonts w:ascii="Times New Roman" w:hAnsi="Times New Roman"/>
        </w:rPr>
        <w:t>It also refers to the limitation period as that within which a person "may bring an action" to recover land. It contemplates a plea of the time</w:t>
      </w:r>
      <w:r w:rsidR="00120088" w:rsidRPr="00333D58">
        <w:rPr>
          <w:rFonts w:ascii="Times New Roman" w:hAnsi="Times New Roman"/>
        </w:rPr>
        <w:t>-</w:t>
      </w:r>
      <w:r w:rsidR="000C259B" w:rsidRPr="00333D58">
        <w:rPr>
          <w:rFonts w:ascii="Times New Roman" w:hAnsi="Times New Roman"/>
        </w:rPr>
        <w:t>bar being made under s 13 and being given effect.</w:t>
      </w:r>
    </w:p>
    <w:p w14:paraId="3ECE54A3" w14:textId="26761240" w:rsidR="00467CEA" w:rsidRPr="00333D58" w:rsidRDefault="00F0229F" w:rsidP="00333D58">
      <w:pPr>
        <w:pStyle w:val="FixListStyle"/>
        <w:spacing w:after="260" w:line="280" w:lineRule="exact"/>
        <w:ind w:right="0"/>
        <w:jc w:val="both"/>
        <w:rPr>
          <w:rFonts w:ascii="Times New Roman" w:hAnsi="Times New Roman"/>
        </w:rPr>
      </w:pPr>
      <w:r w:rsidRPr="00333D58">
        <w:rPr>
          <w:rFonts w:ascii="Times New Roman" w:hAnsi="Times New Roman"/>
        </w:rPr>
        <w:tab/>
      </w:r>
      <w:r w:rsidR="00744A49" w:rsidRPr="00333D58">
        <w:rPr>
          <w:rFonts w:ascii="Times New Roman" w:hAnsi="Times New Roman"/>
        </w:rPr>
        <w:t xml:space="preserve">There is </w:t>
      </w:r>
      <w:r w:rsidR="00A11F41" w:rsidRPr="00333D58">
        <w:rPr>
          <w:rFonts w:ascii="Times New Roman" w:hAnsi="Times New Roman"/>
        </w:rPr>
        <w:t xml:space="preserve">also </w:t>
      </w:r>
      <w:r w:rsidR="00744A49" w:rsidRPr="00333D58">
        <w:rPr>
          <w:rFonts w:ascii="Times New Roman" w:hAnsi="Times New Roman"/>
        </w:rPr>
        <w:t>some historical support for th</w:t>
      </w:r>
      <w:r w:rsidRPr="00333D58">
        <w:rPr>
          <w:rFonts w:ascii="Times New Roman" w:hAnsi="Times New Roman"/>
        </w:rPr>
        <w:t>is</w:t>
      </w:r>
      <w:r w:rsidR="00744A49" w:rsidRPr="00333D58">
        <w:rPr>
          <w:rFonts w:ascii="Times New Roman" w:hAnsi="Times New Roman"/>
        </w:rPr>
        <w:t xml:space="preserve"> </w:t>
      </w:r>
      <w:r w:rsidR="00A11F41" w:rsidRPr="00333D58">
        <w:rPr>
          <w:rFonts w:ascii="Times New Roman" w:hAnsi="Times New Roman"/>
        </w:rPr>
        <w:t>construction</w:t>
      </w:r>
      <w:r w:rsidR="002503AF" w:rsidRPr="00333D58">
        <w:rPr>
          <w:rFonts w:ascii="Times New Roman" w:hAnsi="Times New Roman"/>
        </w:rPr>
        <w:t>. The words "bring</w:t>
      </w:r>
      <w:r w:rsidR="009D4B28" w:rsidRPr="00333D58">
        <w:rPr>
          <w:rFonts w:ascii="Times New Roman" w:hAnsi="Times New Roman"/>
        </w:rPr>
        <w:t>ing</w:t>
      </w:r>
      <w:r w:rsidR="00042E28" w:rsidRPr="00333D58">
        <w:rPr>
          <w:rFonts w:ascii="Times New Roman" w:hAnsi="Times New Roman"/>
        </w:rPr>
        <w:t xml:space="preserve"> any</w:t>
      </w:r>
      <w:r w:rsidR="009F5A44" w:rsidRPr="00333D58">
        <w:rPr>
          <w:rFonts w:ascii="Times New Roman" w:hAnsi="Times New Roman"/>
        </w:rPr>
        <w:t xml:space="preserve"> </w:t>
      </w:r>
      <w:r w:rsidR="00042E28" w:rsidRPr="00333D58">
        <w:rPr>
          <w:rFonts w:ascii="Times New Roman" w:hAnsi="Times New Roman"/>
        </w:rPr>
        <w:t>...</w:t>
      </w:r>
      <w:r w:rsidR="009F5A44" w:rsidRPr="00333D58">
        <w:rPr>
          <w:rFonts w:ascii="Times New Roman" w:hAnsi="Times New Roman"/>
        </w:rPr>
        <w:t xml:space="preserve"> </w:t>
      </w:r>
      <w:r w:rsidR="008A2789" w:rsidRPr="00333D58">
        <w:rPr>
          <w:rFonts w:ascii="Times New Roman" w:hAnsi="Times New Roman"/>
        </w:rPr>
        <w:t>[</w:t>
      </w:r>
      <w:r w:rsidR="002503AF" w:rsidRPr="00333D58">
        <w:rPr>
          <w:rFonts w:ascii="Times New Roman" w:hAnsi="Times New Roman"/>
        </w:rPr>
        <w:t>a</w:t>
      </w:r>
      <w:r w:rsidR="008A2789" w:rsidRPr="00333D58">
        <w:rPr>
          <w:rFonts w:ascii="Times New Roman" w:hAnsi="Times New Roman"/>
        </w:rPr>
        <w:t>]</w:t>
      </w:r>
      <w:proofErr w:type="spellStart"/>
      <w:r w:rsidR="002503AF" w:rsidRPr="00333D58">
        <w:rPr>
          <w:rFonts w:ascii="Times New Roman" w:hAnsi="Times New Roman"/>
        </w:rPr>
        <w:t>ction</w:t>
      </w:r>
      <w:proofErr w:type="spellEnd"/>
      <w:r w:rsidR="002503AF" w:rsidRPr="00333D58">
        <w:rPr>
          <w:rFonts w:ascii="Times New Roman" w:hAnsi="Times New Roman"/>
        </w:rPr>
        <w:t xml:space="preserve">" were used in the English </w:t>
      </w:r>
      <w:r w:rsidR="002503AF" w:rsidRPr="00333D58">
        <w:rPr>
          <w:rFonts w:ascii="Times New Roman" w:hAnsi="Times New Roman"/>
          <w:i/>
        </w:rPr>
        <w:t>Real Property Limitation Act</w:t>
      </w:r>
      <w:r w:rsidR="002503AF" w:rsidRPr="00333D58">
        <w:rPr>
          <w:rFonts w:ascii="Times New Roman" w:hAnsi="Times New Roman"/>
        </w:rPr>
        <w:t xml:space="preserve"> </w:t>
      </w:r>
      <w:r w:rsidR="002503AF" w:rsidRPr="00333D58">
        <w:rPr>
          <w:rFonts w:ascii="Times New Roman" w:hAnsi="Times New Roman"/>
          <w:i/>
        </w:rPr>
        <w:t>1833</w:t>
      </w:r>
      <w:r w:rsidR="00DE10FA" w:rsidRPr="00333D58">
        <w:rPr>
          <w:rStyle w:val="FootnoteReference"/>
          <w:rFonts w:ascii="Times New Roman" w:hAnsi="Times New Roman"/>
          <w:sz w:val="24"/>
        </w:rPr>
        <w:footnoteReference w:id="32"/>
      </w:r>
      <w:r w:rsidR="002503AF" w:rsidRPr="00333D58">
        <w:rPr>
          <w:rFonts w:ascii="Times New Roman" w:hAnsi="Times New Roman"/>
        </w:rPr>
        <w:t>, in the provision which was the precursor to s 24</w:t>
      </w:r>
      <w:r w:rsidR="000770CE" w:rsidRPr="00333D58">
        <w:rPr>
          <w:rStyle w:val="FootnoteReference"/>
          <w:rFonts w:ascii="Times New Roman" w:hAnsi="Times New Roman"/>
          <w:sz w:val="24"/>
        </w:rPr>
        <w:footnoteReference w:id="33"/>
      </w:r>
      <w:r w:rsidR="002503AF" w:rsidRPr="00333D58">
        <w:rPr>
          <w:rFonts w:ascii="Times New Roman" w:hAnsi="Times New Roman"/>
        </w:rPr>
        <w:t xml:space="preserve">. </w:t>
      </w:r>
      <w:r w:rsidR="00A859F4" w:rsidRPr="00333D58">
        <w:rPr>
          <w:rFonts w:ascii="Times New Roman" w:hAnsi="Times New Roman"/>
        </w:rPr>
        <w:t xml:space="preserve">Prior to </w:t>
      </w:r>
      <w:r w:rsidR="00A11F41" w:rsidRPr="00333D58">
        <w:rPr>
          <w:rFonts w:ascii="Times New Roman" w:hAnsi="Times New Roman"/>
        </w:rPr>
        <w:t xml:space="preserve">that </w:t>
      </w:r>
      <w:r w:rsidR="002503AF" w:rsidRPr="00333D58">
        <w:rPr>
          <w:rFonts w:ascii="Times New Roman" w:hAnsi="Times New Roman"/>
        </w:rPr>
        <w:t xml:space="preserve">provision </w:t>
      </w:r>
      <w:r w:rsidR="00A859F4" w:rsidRPr="00333D58">
        <w:rPr>
          <w:rFonts w:ascii="Times New Roman" w:hAnsi="Times New Roman"/>
        </w:rPr>
        <w:t xml:space="preserve">being </w:t>
      </w:r>
      <w:r w:rsidR="002503AF" w:rsidRPr="00333D58">
        <w:rPr>
          <w:rFonts w:ascii="Times New Roman" w:hAnsi="Times New Roman"/>
        </w:rPr>
        <w:t xml:space="preserve">re-enacted in the </w:t>
      </w:r>
      <w:r w:rsidR="002503AF" w:rsidRPr="00333D58">
        <w:rPr>
          <w:rFonts w:ascii="Times New Roman" w:hAnsi="Times New Roman"/>
          <w:i/>
        </w:rPr>
        <w:t>Limitation Act 1939</w:t>
      </w:r>
      <w:r w:rsidR="002503AF" w:rsidRPr="00333D58">
        <w:rPr>
          <w:rFonts w:ascii="Times New Roman" w:hAnsi="Times New Roman"/>
        </w:rPr>
        <w:t xml:space="preserve"> (UK), the </w:t>
      </w:r>
      <w:r w:rsidR="00A11F41" w:rsidRPr="00333D58">
        <w:rPr>
          <w:rFonts w:ascii="Times New Roman" w:hAnsi="Times New Roman"/>
        </w:rPr>
        <w:t xml:space="preserve">report of the </w:t>
      </w:r>
      <w:r w:rsidR="00A859F4" w:rsidRPr="00333D58">
        <w:rPr>
          <w:rFonts w:ascii="Times New Roman" w:hAnsi="Times New Roman"/>
        </w:rPr>
        <w:t xml:space="preserve">Law Revision </w:t>
      </w:r>
      <w:r w:rsidR="006B2C3A" w:rsidRPr="00333D58">
        <w:rPr>
          <w:rFonts w:ascii="Times New Roman" w:hAnsi="Times New Roman"/>
        </w:rPr>
        <w:t xml:space="preserve">Committee spoke of </w:t>
      </w:r>
      <w:r w:rsidR="006B14F4" w:rsidRPr="00333D58">
        <w:rPr>
          <w:rFonts w:ascii="Times New Roman" w:hAnsi="Times New Roman"/>
        </w:rPr>
        <w:t xml:space="preserve">the </w:t>
      </w:r>
      <w:r w:rsidR="006B2C3A" w:rsidRPr="00333D58">
        <w:rPr>
          <w:rFonts w:ascii="Times New Roman" w:hAnsi="Times New Roman"/>
        </w:rPr>
        <w:t>need for "clearing the ti</w:t>
      </w:r>
      <w:r w:rsidR="006B14F4" w:rsidRPr="00333D58">
        <w:rPr>
          <w:rFonts w:ascii="Times New Roman" w:hAnsi="Times New Roman"/>
        </w:rPr>
        <w:t>t</w:t>
      </w:r>
      <w:r w:rsidR="006B2C3A" w:rsidRPr="00333D58">
        <w:rPr>
          <w:rFonts w:ascii="Times New Roman" w:hAnsi="Times New Roman"/>
        </w:rPr>
        <w:t xml:space="preserve">le" as being of importance with </w:t>
      </w:r>
      <w:r w:rsidR="006B2C3A" w:rsidRPr="00333D58">
        <w:rPr>
          <w:rFonts w:ascii="Times New Roman" w:hAnsi="Times New Roman"/>
        </w:rPr>
        <w:lastRenderedPageBreak/>
        <w:t>respect to the land</w:t>
      </w:r>
      <w:r w:rsidR="006B2C3A" w:rsidRPr="00333D58">
        <w:rPr>
          <w:rStyle w:val="FootnoteReference"/>
          <w:rFonts w:ascii="Times New Roman" w:hAnsi="Times New Roman"/>
          <w:sz w:val="24"/>
        </w:rPr>
        <w:footnoteReference w:id="34"/>
      </w:r>
      <w:r w:rsidR="001977D0" w:rsidRPr="00333D58">
        <w:rPr>
          <w:rFonts w:ascii="Times New Roman" w:hAnsi="Times New Roman"/>
        </w:rPr>
        <w:t>. T</w:t>
      </w:r>
      <w:r w:rsidR="00AA51D2" w:rsidRPr="00333D58">
        <w:rPr>
          <w:rFonts w:ascii="Times New Roman" w:hAnsi="Times New Roman"/>
        </w:rPr>
        <w:t>here would be no need to clear a title if the provision took effect without the defence of limitation being raised.</w:t>
      </w:r>
    </w:p>
    <w:p w14:paraId="0EC8FD9F" w14:textId="7E24AB33" w:rsidR="007A1066" w:rsidRPr="00333D58" w:rsidRDefault="007A1066" w:rsidP="00333D58">
      <w:pPr>
        <w:pStyle w:val="FixListStyle"/>
        <w:spacing w:after="260" w:line="280" w:lineRule="exact"/>
        <w:ind w:right="0"/>
        <w:jc w:val="both"/>
        <w:rPr>
          <w:rFonts w:ascii="Times New Roman" w:hAnsi="Times New Roman"/>
        </w:rPr>
      </w:pPr>
      <w:r w:rsidRPr="00333D58">
        <w:rPr>
          <w:rFonts w:ascii="Times New Roman" w:hAnsi="Times New Roman"/>
        </w:rPr>
        <w:tab/>
        <w:t xml:space="preserve">Further </w:t>
      </w:r>
      <w:r w:rsidR="006B14F4" w:rsidRPr="00333D58">
        <w:rPr>
          <w:rFonts w:ascii="Times New Roman" w:hAnsi="Times New Roman"/>
        </w:rPr>
        <w:t xml:space="preserve">support </w:t>
      </w:r>
      <w:r w:rsidRPr="00333D58">
        <w:rPr>
          <w:rFonts w:ascii="Times New Roman" w:hAnsi="Times New Roman"/>
        </w:rPr>
        <w:t xml:space="preserve">for the view that s 24 </w:t>
      </w:r>
      <w:r w:rsidR="006B14F4" w:rsidRPr="00333D58">
        <w:rPr>
          <w:rFonts w:ascii="Times New Roman" w:hAnsi="Times New Roman"/>
        </w:rPr>
        <w:t xml:space="preserve">is not intended to </w:t>
      </w:r>
      <w:r w:rsidRPr="00333D58">
        <w:rPr>
          <w:rFonts w:ascii="Times New Roman" w:hAnsi="Times New Roman"/>
        </w:rPr>
        <w:t xml:space="preserve">operate </w:t>
      </w:r>
      <w:r w:rsidR="006B14F4" w:rsidRPr="00333D58">
        <w:rPr>
          <w:rFonts w:ascii="Times New Roman" w:hAnsi="Times New Roman"/>
        </w:rPr>
        <w:t xml:space="preserve">automatically and </w:t>
      </w:r>
      <w:r w:rsidRPr="00333D58">
        <w:rPr>
          <w:rFonts w:ascii="Times New Roman" w:hAnsi="Times New Roman"/>
        </w:rPr>
        <w:t xml:space="preserve">independently of s 13 </w:t>
      </w:r>
      <w:r w:rsidR="006B14F4" w:rsidRPr="00333D58">
        <w:rPr>
          <w:rFonts w:ascii="Times New Roman" w:hAnsi="Times New Roman"/>
        </w:rPr>
        <w:t xml:space="preserve">at the </w:t>
      </w:r>
      <w:r w:rsidR="000E3C82" w:rsidRPr="00333D58">
        <w:rPr>
          <w:rFonts w:ascii="Times New Roman" w:hAnsi="Times New Roman"/>
        </w:rPr>
        <w:t xml:space="preserve">expiry of the limitation period is provided by considerations of utility. If a provision such as s 24 </w:t>
      </w:r>
      <w:r w:rsidR="00C81156" w:rsidRPr="00333D58">
        <w:rPr>
          <w:rFonts w:ascii="Times New Roman" w:hAnsi="Times New Roman"/>
        </w:rPr>
        <w:t xml:space="preserve">automatically </w:t>
      </w:r>
      <w:r w:rsidR="000E3C82" w:rsidRPr="00333D58">
        <w:rPr>
          <w:rFonts w:ascii="Times New Roman" w:hAnsi="Times New Roman"/>
        </w:rPr>
        <w:t>extinguishe</w:t>
      </w:r>
      <w:r w:rsidR="00C81156" w:rsidRPr="00333D58">
        <w:rPr>
          <w:rFonts w:ascii="Times New Roman" w:hAnsi="Times New Roman"/>
        </w:rPr>
        <w:t>d</w:t>
      </w:r>
      <w:r w:rsidR="000E3C82" w:rsidRPr="00333D58">
        <w:rPr>
          <w:rFonts w:ascii="Times New Roman" w:hAnsi="Times New Roman"/>
        </w:rPr>
        <w:t xml:space="preserve"> title there would seem to be no utility to the </w:t>
      </w:r>
      <w:r w:rsidR="0049671D" w:rsidRPr="00333D58">
        <w:rPr>
          <w:rFonts w:ascii="Times New Roman" w:hAnsi="Times New Roman"/>
        </w:rPr>
        <w:t xml:space="preserve">requirement affecting s 13 </w:t>
      </w:r>
      <w:r w:rsidR="000E3C82" w:rsidRPr="00333D58">
        <w:rPr>
          <w:rFonts w:ascii="Times New Roman" w:hAnsi="Times New Roman"/>
        </w:rPr>
        <w:t>that a defendant must raise the defence in order to defeat a claim</w:t>
      </w:r>
      <w:r w:rsidR="0049671D" w:rsidRPr="00333D58">
        <w:rPr>
          <w:rFonts w:ascii="Times New Roman" w:hAnsi="Times New Roman"/>
        </w:rPr>
        <w:t xml:space="preserve">. If s 24 operated in the way </w:t>
      </w:r>
      <w:r w:rsidR="00A63A4D" w:rsidRPr="00333D58">
        <w:rPr>
          <w:rFonts w:ascii="Times New Roman" w:hAnsi="Times New Roman"/>
        </w:rPr>
        <w:t>contended for</w:t>
      </w:r>
      <w:r w:rsidR="00E9587D" w:rsidRPr="00333D58">
        <w:rPr>
          <w:rFonts w:ascii="Times New Roman" w:hAnsi="Times New Roman"/>
        </w:rPr>
        <w:t>,</w:t>
      </w:r>
      <w:r w:rsidR="00A63A4D" w:rsidRPr="00333D58">
        <w:rPr>
          <w:rFonts w:ascii="Times New Roman" w:hAnsi="Times New Roman"/>
        </w:rPr>
        <w:t xml:space="preserve"> </w:t>
      </w:r>
      <w:r w:rsidR="000E3C82" w:rsidRPr="00333D58">
        <w:rPr>
          <w:rFonts w:ascii="Times New Roman" w:hAnsi="Times New Roman"/>
        </w:rPr>
        <w:t xml:space="preserve">there would remain no right or title in respect of </w:t>
      </w:r>
      <w:r w:rsidR="00BC3336" w:rsidRPr="00333D58">
        <w:rPr>
          <w:rFonts w:ascii="Times New Roman" w:hAnsi="Times New Roman"/>
        </w:rPr>
        <w:t xml:space="preserve">which a remedy </w:t>
      </w:r>
      <w:r w:rsidR="00A63A4D" w:rsidRPr="00333D58">
        <w:rPr>
          <w:rFonts w:ascii="Times New Roman" w:hAnsi="Times New Roman"/>
        </w:rPr>
        <w:t xml:space="preserve">could </w:t>
      </w:r>
      <w:r w:rsidR="00BC3336" w:rsidRPr="00333D58">
        <w:rPr>
          <w:rFonts w:ascii="Times New Roman" w:hAnsi="Times New Roman"/>
        </w:rPr>
        <w:t>be given. T</w:t>
      </w:r>
      <w:r w:rsidR="003B2377" w:rsidRPr="00333D58">
        <w:rPr>
          <w:rFonts w:ascii="Times New Roman" w:hAnsi="Times New Roman"/>
        </w:rPr>
        <w:t>h</w:t>
      </w:r>
      <w:r w:rsidR="00BC3336" w:rsidRPr="00333D58">
        <w:rPr>
          <w:rFonts w:ascii="Times New Roman" w:hAnsi="Times New Roman"/>
        </w:rPr>
        <w:t xml:space="preserve">is appears to be the point made </w:t>
      </w:r>
      <w:r w:rsidR="003B2377" w:rsidRPr="00333D58">
        <w:rPr>
          <w:rFonts w:ascii="Times New Roman" w:hAnsi="Times New Roman"/>
        </w:rPr>
        <w:t xml:space="preserve">by </w:t>
      </w:r>
      <w:r w:rsidR="00BC3336" w:rsidRPr="00333D58">
        <w:rPr>
          <w:rFonts w:ascii="Times New Roman" w:hAnsi="Times New Roman"/>
        </w:rPr>
        <w:t>the New South Wales Law Reform Commission in its 1971 Report on the Limitation of Actions</w:t>
      </w:r>
      <w:r w:rsidR="00BC3336" w:rsidRPr="00333D58">
        <w:rPr>
          <w:rStyle w:val="FootnoteReference"/>
          <w:rFonts w:ascii="Times New Roman" w:hAnsi="Times New Roman"/>
          <w:sz w:val="24"/>
        </w:rPr>
        <w:footnoteReference w:id="35"/>
      </w:r>
      <w:r w:rsidR="003B2377" w:rsidRPr="00333D58">
        <w:rPr>
          <w:rFonts w:ascii="Times New Roman" w:hAnsi="Times New Roman"/>
        </w:rPr>
        <w:t>.</w:t>
      </w:r>
    </w:p>
    <w:p w14:paraId="2CC4423C" w14:textId="3332C713" w:rsidR="00533ED6" w:rsidRPr="00333D58" w:rsidRDefault="00533ED6" w:rsidP="00333D58">
      <w:pPr>
        <w:pStyle w:val="HeadingL1"/>
        <w:spacing w:after="260" w:line="280" w:lineRule="exact"/>
        <w:ind w:right="0"/>
        <w:jc w:val="both"/>
        <w:rPr>
          <w:rFonts w:ascii="Times New Roman" w:hAnsi="Times New Roman"/>
        </w:rPr>
      </w:pPr>
      <w:r w:rsidRPr="00333D58">
        <w:rPr>
          <w:rFonts w:ascii="Times New Roman" w:hAnsi="Times New Roman"/>
        </w:rPr>
        <w:t>The construction of cl 24</w:t>
      </w:r>
    </w:p>
    <w:p w14:paraId="3E0BED8F" w14:textId="3A187B77" w:rsidR="00533ED6" w:rsidRPr="00333D58" w:rsidRDefault="00533ED6" w:rsidP="00333D58">
      <w:pPr>
        <w:pStyle w:val="FixListStyle"/>
        <w:spacing w:after="260" w:line="280" w:lineRule="exact"/>
        <w:ind w:right="0"/>
        <w:jc w:val="both"/>
        <w:rPr>
          <w:rFonts w:ascii="Times New Roman" w:hAnsi="Times New Roman"/>
        </w:rPr>
      </w:pPr>
      <w:r w:rsidRPr="00333D58">
        <w:rPr>
          <w:rFonts w:ascii="Times New Roman" w:hAnsi="Times New Roman"/>
        </w:rPr>
        <w:tab/>
        <w:t xml:space="preserve">Clause 24 of </w:t>
      </w:r>
      <w:r w:rsidR="000B35FF" w:rsidRPr="00333D58">
        <w:rPr>
          <w:rFonts w:ascii="Times New Roman" w:hAnsi="Times New Roman"/>
        </w:rPr>
        <w:t xml:space="preserve">each </w:t>
      </w:r>
      <w:r w:rsidRPr="00333D58">
        <w:rPr>
          <w:rFonts w:ascii="Times New Roman" w:hAnsi="Times New Roman"/>
        </w:rPr>
        <w:t>mort</w:t>
      </w:r>
      <w:r w:rsidR="00091998" w:rsidRPr="00333D58">
        <w:rPr>
          <w:rFonts w:ascii="Times New Roman" w:hAnsi="Times New Roman"/>
        </w:rPr>
        <w:t>g</w:t>
      </w:r>
      <w:r w:rsidRPr="00333D58">
        <w:rPr>
          <w:rFonts w:ascii="Times New Roman" w:hAnsi="Times New Roman"/>
        </w:rPr>
        <w:t>age provide</w:t>
      </w:r>
      <w:r w:rsidR="00481D2F" w:rsidRPr="00333D58">
        <w:rPr>
          <w:rFonts w:ascii="Times New Roman" w:hAnsi="Times New Roman"/>
        </w:rPr>
        <w:t>s</w:t>
      </w:r>
      <w:r w:rsidRPr="00333D58">
        <w:rPr>
          <w:rFonts w:ascii="Times New Roman" w:hAnsi="Times New Roman"/>
        </w:rPr>
        <w:t>:</w:t>
      </w:r>
    </w:p>
    <w:p w14:paraId="7A74A67E" w14:textId="77777777" w:rsidR="00333D58" w:rsidRDefault="002835FF" w:rsidP="00333D58">
      <w:pPr>
        <w:pStyle w:val="LeftrightHanging"/>
        <w:spacing w:before="0" w:after="260" w:line="280" w:lineRule="exact"/>
        <w:ind w:left="720" w:right="0" w:firstLine="0"/>
        <w:jc w:val="both"/>
        <w:rPr>
          <w:rFonts w:ascii="Times New Roman" w:hAnsi="Times New Roman"/>
        </w:rPr>
      </w:pPr>
      <w:r w:rsidRPr="00333D58">
        <w:rPr>
          <w:rFonts w:ascii="Times New Roman" w:hAnsi="Times New Roman"/>
        </w:rPr>
        <w:t>"</w:t>
      </w:r>
      <w:r w:rsidR="00091998" w:rsidRPr="00333D58">
        <w:rPr>
          <w:rFonts w:ascii="Times New Roman" w:hAnsi="Times New Roman"/>
        </w:rPr>
        <w:t>The Mortgagor covenants with the Mortgage</w:t>
      </w:r>
      <w:r w:rsidR="00331F3E" w:rsidRPr="00333D58">
        <w:rPr>
          <w:rFonts w:ascii="Times New Roman" w:hAnsi="Times New Roman"/>
        </w:rPr>
        <w:t>[</w:t>
      </w:r>
      <w:r w:rsidR="003B6407" w:rsidRPr="00333D58">
        <w:rPr>
          <w:rFonts w:ascii="Times New Roman" w:hAnsi="Times New Roman"/>
        </w:rPr>
        <w:t>e</w:t>
      </w:r>
      <w:r w:rsidR="00331F3E" w:rsidRPr="00333D58">
        <w:rPr>
          <w:rFonts w:ascii="Times New Roman" w:hAnsi="Times New Roman"/>
        </w:rPr>
        <w:t>]</w:t>
      </w:r>
      <w:r w:rsidR="00414811" w:rsidRPr="00333D58">
        <w:rPr>
          <w:rFonts w:ascii="Times New Roman" w:hAnsi="Times New Roman"/>
        </w:rPr>
        <w:t xml:space="preserve"> </w:t>
      </w:r>
      <w:r w:rsidR="00091998" w:rsidRPr="00333D58">
        <w:rPr>
          <w:rFonts w:ascii="Times New Roman" w:hAnsi="Times New Roman"/>
        </w:rPr>
        <w:t>that the provision</w:t>
      </w:r>
      <w:r w:rsidR="00414811" w:rsidRPr="00333D58">
        <w:rPr>
          <w:rFonts w:ascii="Times New Roman" w:hAnsi="Times New Roman"/>
        </w:rPr>
        <w:t>s</w:t>
      </w:r>
      <w:r w:rsidR="00091998" w:rsidRPr="00333D58">
        <w:rPr>
          <w:rFonts w:ascii="Times New Roman" w:hAnsi="Times New Roman"/>
        </w:rPr>
        <w:t xml:space="preserve"> of all statutes now or hereafter in force whereby or in consequence whereof any o</w:t>
      </w:r>
      <w:r w:rsidR="00331F3E" w:rsidRPr="00333D58">
        <w:rPr>
          <w:rFonts w:ascii="Times New Roman" w:hAnsi="Times New Roman"/>
        </w:rPr>
        <w:t>[</w:t>
      </w:r>
      <w:r w:rsidR="003B6407" w:rsidRPr="00333D58">
        <w:rPr>
          <w:rFonts w:ascii="Times New Roman" w:hAnsi="Times New Roman"/>
        </w:rPr>
        <w:t>r</w:t>
      </w:r>
      <w:r w:rsidR="00331F3E" w:rsidRPr="00333D58">
        <w:rPr>
          <w:rFonts w:ascii="Times New Roman" w:hAnsi="Times New Roman"/>
        </w:rPr>
        <w:t>]</w:t>
      </w:r>
      <w:r w:rsidR="00091998" w:rsidRPr="00333D58">
        <w:rPr>
          <w:rFonts w:ascii="Times New Roman" w:hAnsi="Times New Roman"/>
        </w:rPr>
        <w:t xml:space="preserve"> all of the powers </w:t>
      </w:r>
      <w:r w:rsidR="003D34EE" w:rsidRPr="00333D58">
        <w:rPr>
          <w:rFonts w:ascii="Times New Roman" w:hAnsi="Times New Roman"/>
        </w:rPr>
        <w:t>rights and remedies of the Mortgagee and the obligations of the Mortgagor hereunder may be curtailed, suspended, postponed, def</w:t>
      </w:r>
      <w:r w:rsidR="0047774D" w:rsidRPr="00333D58">
        <w:rPr>
          <w:rFonts w:ascii="Times New Roman" w:hAnsi="Times New Roman"/>
        </w:rPr>
        <w:t>eated</w:t>
      </w:r>
      <w:r w:rsidR="00F437A1" w:rsidRPr="00333D58">
        <w:rPr>
          <w:rFonts w:ascii="Times New Roman" w:hAnsi="Times New Roman"/>
        </w:rPr>
        <w:t xml:space="preserve"> or extinguished shall not apply hereto and are expressly excluded insofar as this can lawfully be done."</w:t>
      </w:r>
    </w:p>
    <w:p w14:paraId="23B40982" w14:textId="160289FF" w:rsidR="00A63A4D" w:rsidRPr="00333D58" w:rsidRDefault="00F437A1" w:rsidP="00333D58">
      <w:pPr>
        <w:pStyle w:val="FixListStyle"/>
        <w:spacing w:after="260" w:line="280" w:lineRule="exact"/>
        <w:ind w:right="0"/>
        <w:jc w:val="both"/>
        <w:rPr>
          <w:rFonts w:ascii="Times New Roman" w:hAnsi="Times New Roman"/>
        </w:rPr>
      </w:pPr>
      <w:r w:rsidRPr="00333D58">
        <w:rPr>
          <w:rFonts w:ascii="Times New Roman" w:hAnsi="Times New Roman"/>
        </w:rPr>
        <w:tab/>
      </w:r>
      <w:r w:rsidR="00A63A4D" w:rsidRPr="00333D58">
        <w:rPr>
          <w:rFonts w:ascii="Times New Roman" w:hAnsi="Times New Roman"/>
        </w:rPr>
        <w:t xml:space="preserve">An objective approach is required to determine the rights </w:t>
      </w:r>
      <w:r w:rsidR="003214CD" w:rsidRPr="00333D58">
        <w:rPr>
          <w:rFonts w:ascii="Times New Roman" w:hAnsi="Times New Roman"/>
        </w:rPr>
        <w:t xml:space="preserve">and liabilities of a party to a </w:t>
      </w:r>
      <w:r w:rsidR="00684A19" w:rsidRPr="00333D58">
        <w:rPr>
          <w:rFonts w:ascii="Times New Roman" w:hAnsi="Times New Roman"/>
        </w:rPr>
        <w:t xml:space="preserve">commercial </w:t>
      </w:r>
      <w:r w:rsidR="003214CD" w:rsidRPr="00333D58">
        <w:rPr>
          <w:rFonts w:ascii="Times New Roman" w:hAnsi="Times New Roman"/>
        </w:rPr>
        <w:t>contract, by reference to its text, context and purpose. The meaning to be given to its terms is determined by refer</w:t>
      </w:r>
      <w:r w:rsidR="00C36281" w:rsidRPr="00333D58">
        <w:rPr>
          <w:rFonts w:ascii="Times New Roman" w:hAnsi="Times New Roman"/>
        </w:rPr>
        <w:t>e</w:t>
      </w:r>
      <w:r w:rsidR="003214CD" w:rsidRPr="00333D58">
        <w:rPr>
          <w:rFonts w:ascii="Times New Roman" w:hAnsi="Times New Roman"/>
        </w:rPr>
        <w:t>nce to what a reasonable business per</w:t>
      </w:r>
      <w:r w:rsidR="00C36281" w:rsidRPr="00333D58">
        <w:rPr>
          <w:rFonts w:ascii="Times New Roman" w:hAnsi="Times New Roman"/>
        </w:rPr>
        <w:t>s</w:t>
      </w:r>
      <w:r w:rsidR="003214CD" w:rsidRPr="00333D58">
        <w:rPr>
          <w:rFonts w:ascii="Times New Roman" w:hAnsi="Times New Roman"/>
        </w:rPr>
        <w:t>on would have understood those terms to mean</w:t>
      </w:r>
      <w:r w:rsidR="003214CD" w:rsidRPr="00333D58">
        <w:rPr>
          <w:rStyle w:val="FootnoteReference"/>
          <w:rFonts w:ascii="Times New Roman" w:hAnsi="Times New Roman"/>
          <w:sz w:val="24"/>
        </w:rPr>
        <w:footnoteReference w:id="36"/>
      </w:r>
      <w:r w:rsidR="00C36281" w:rsidRPr="00333D58">
        <w:rPr>
          <w:rFonts w:ascii="Times New Roman" w:hAnsi="Times New Roman"/>
        </w:rPr>
        <w:t>.</w:t>
      </w:r>
    </w:p>
    <w:p w14:paraId="54260E61" w14:textId="453D96FA" w:rsidR="00D81375" w:rsidRPr="00333D58" w:rsidRDefault="00D81375" w:rsidP="00333D58">
      <w:pPr>
        <w:pStyle w:val="FixListStyle"/>
        <w:spacing w:after="260" w:line="280" w:lineRule="exact"/>
        <w:ind w:right="0"/>
        <w:jc w:val="both"/>
        <w:rPr>
          <w:rFonts w:ascii="Times New Roman" w:hAnsi="Times New Roman"/>
        </w:rPr>
      </w:pPr>
      <w:r w:rsidRPr="00333D58">
        <w:rPr>
          <w:rFonts w:ascii="Times New Roman" w:hAnsi="Times New Roman"/>
        </w:rPr>
        <w:tab/>
        <w:t xml:space="preserve">Clause 24 is expressed to apply to all statutes </w:t>
      </w:r>
      <w:r w:rsidR="00A8565B" w:rsidRPr="00333D58">
        <w:rPr>
          <w:rFonts w:ascii="Times New Roman" w:hAnsi="Times New Roman"/>
        </w:rPr>
        <w:t>affect</w:t>
      </w:r>
      <w:r w:rsidR="00E17256" w:rsidRPr="00333D58">
        <w:rPr>
          <w:rFonts w:ascii="Times New Roman" w:hAnsi="Times New Roman"/>
        </w:rPr>
        <w:t>ing</w:t>
      </w:r>
      <w:r w:rsidR="00A8565B" w:rsidRPr="00333D58">
        <w:rPr>
          <w:rFonts w:ascii="Times New Roman" w:hAnsi="Times New Roman"/>
        </w:rPr>
        <w:t xml:space="preserve"> the mortgagee</w:t>
      </w:r>
      <w:r w:rsidR="00DA6AF7" w:rsidRPr="00333D58">
        <w:rPr>
          <w:rFonts w:ascii="Times New Roman" w:hAnsi="Times New Roman"/>
        </w:rPr>
        <w:t>'</w:t>
      </w:r>
      <w:r w:rsidR="00A8565B" w:rsidRPr="00333D58">
        <w:rPr>
          <w:rFonts w:ascii="Times New Roman" w:hAnsi="Times New Roman"/>
        </w:rPr>
        <w:t xml:space="preserve">s rights </w:t>
      </w:r>
      <w:r w:rsidR="0092593F" w:rsidRPr="00333D58">
        <w:rPr>
          <w:rFonts w:ascii="Times New Roman" w:hAnsi="Times New Roman"/>
        </w:rPr>
        <w:t>and remedies and the obligations of the mortgagor. The effects spoken of include the defeat or extinguishment of rights. Where this occurs</w:t>
      </w:r>
      <w:r w:rsidR="00250A63" w:rsidRPr="00333D58">
        <w:rPr>
          <w:rFonts w:ascii="Times New Roman" w:hAnsi="Times New Roman"/>
        </w:rPr>
        <w:t>,</w:t>
      </w:r>
      <w:r w:rsidR="0092593F" w:rsidRPr="00333D58">
        <w:rPr>
          <w:rFonts w:ascii="Times New Roman" w:hAnsi="Times New Roman"/>
        </w:rPr>
        <w:t xml:space="preserve"> the parties agree </w:t>
      </w:r>
      <w:r w:rsidR="0092593F" w:rsidRPr="00333D58">
        <w:rPr>
          <w:rFonts w:ascii="Times New Roman" w:hAnsi="Times New Roman"/>
        </w:rPr>
        <w:lastRenderedPageBreak/>
        <w:t xml:space="preserve">that the statute "shall not apply hereto" and shall be regarded as "expressly </w:t>
      </w:r>
      <w:r w:rsidR="00E3070F" w:rsidRPr="00333D58">
        <w:rPr>
          <w:rFonts w:ascii="Times New Roman" w:hAnsi="Times New Roman"/>
        </w:rPr>
        <w:t>excluded".</w:t>
      </w:r>
    </w:p>
    <w:p w14:paraId="0549300B" w14:textId="66D5BBA0" w:rsidR="00E3070F" w:rsidRPr="00333D58" w:rsidRDefault="00E3070F" w:rsidP="00333D58">
      <w:pPr>
        <w:pStyle w:val="FixListStyle"/>
        <w:spacing w:after="260" w:line="280" w:lineRule="exact"/>
        <w:ind w:right="0"/>
        <w:jc w:val="both"/>
        <w:rPr>
          <w:rFonts w:ascii="Times New Roman" w:hAnsi="Times New Roman"/>
        </w:rPr>
      </w:pPr>
      <w:r w:rsidRPr="00333D58">
        <w:rPr>
          <w:rFonts w:ascii="Times New Roman" w:hAnsi="Times New Roman"/>
        </w:rPr>
        <w:tab/>
        <w:t>The word "defeat" is apt to capture the effect of limitation provisions, as the Court of Appeal observed</w:t>
      </w:r>
      <w:r w:rsidR="0029771B" w:rsidRPr="00333D58">
        <w:rPr>
          <w:rStyle w:val="FootnoteReference"/>
          <w:rFonts w:ascii="Times New Roman" w:hAnsi="Times New Roman"/>
          <w:sz w:val="24"/>
        </w:rPr>
        <w:footnoteReference w:id="37"/>
      </w:r>
      <w:r w:rsidR="004E4B7E" w:rsidRPr="00333D58">
        <w:rPr>
          <w:rFonts w:ascii="Times New Roman" w:hAnsi="Times New Roman"/>
        </w:rPr>
        <w:t xml:space="preserve">. It is </w:t>
      </w:r>
      <w:r w:rsidR="003F1F86" w:rsidRPr="00333D58">
        <w:rPr>
          <w:rFonts w:ascii="Times New Roman" w:hAnsi="Times New Roman"/>
        </w:rPr>
        <w:t xml:space="preserve">often used in this context. In </w:t>
      </w:r>
      <w:proofErr w:type="spellStart"/>
      <w:r w:rsidR="00A944B1" w:rsidRPr="00333D58">
        <w:rPr>
          <w:rFonts w:ascii="Times New Roman" w:hAnsi="Times New Roman"/>
          <w:i/>
        </w:rPr>
        <w:t>Verwayen</w:t>
      </w:r>
      <w:proofErr w:type="spellEnd"/>
      <w:r w:rsidR="00BE31AE" w:rsidRPr="00333D58">
        <w:rPr>
          <w:rStyle w:val="FootnoteReference"/>
          <w:rFonts w:ascii="Times New Roman" w:hAnsi="Times New Roman"/>
          <w:sz w:val="24"/>
        </w:rPr>
        <w:footnoteReference w:id="38"/>
      </w:r>
      <w:r w:rsidR="007D3CA7" w:rsidRPr="00333D58">
        <w:rPr>
          <w:rFonts w:ascii="Times New Roman" w:hAnsi="Times New Roman"/>
        </w:rPr>
        <w:t>, Brennan J spoke of whether the limitation provision had been abandoned so that it was beyond the capacity of the Commonwealth to "defeat" the plaintiff's claim by invoking the provision. McHugh J</w:t>
      </w:r>
      <w:r w:rsidR="00B24721" w:rsidRPr="00333D58">
        <w:rPr>
          <w:rStyle w:val="FootnoteReference"/>
          <w:rFonts w:ascii="Times New Roman" w:hAnsi="Times New Roman"/>
          <w:sz w:val="24"/>
        </w:rPr>
        <w:footnoteReference w:id="39"/>
      </w:r>
      <w:r w:rsidR="00B24721" w:rsidRPr="00333D58">
        <w:rPr>
          <w:rFonts w:ascii="Times New Roman" w:hAnsi="Times New Roman"/>
        </w:rPr>
        <w:t xml:space="preserve"> likewise framed the question as whether the Commonwealth could rely on the statute to "defeat" the plaintiff's claim.</w:t>
      </w:r>
    </w:p>
    <w:p w14:paraId="1D71FBF1" w14:textId="308BDBEB" w:rsidR="00C32BFE" w:rsidRPr="00333D58" w:rsidRDefault="00B24721" w:rsidP="00333D58">
      <w:pPr>
        <w:pStyle w:val="FixListStyle"/>
        <w:spacing w:after="260" w:line="280" w:lineRule="exact"/>
        <w:ind w:right="0"/>
        <w:jc w:val="both"/>
        <w:rPr>
          <w:rFonts w:ascii="Times New Roman" w:hAnsi="Times New Roman"/>
        </w:rPr>
      </w:pPr>
      <w:r w:rsidRPr="00333D58">
        <w:rPr>
          <w:rFonts w:ascii="Times New Roman" w:hAnsi="Times New Roman"/>
        </w:rPr>
        <w:tab/>
        <w:t xml:space="preserve">The fact that the Limitation Act does not </w:t>
      </w:r>
      <w:r w:rsidR="00BC74E1" w:rsidRPr="00333D58">
        <w:rPr>
          <w:rFonts w:ascii="Times New Roman" w:hAnsi="Times New Roman"/>
        </w:rPr>
        <w:t xml:space="preserve">of </w:t>
      </w:r>
      <w:r w:rsidRPr="00333D58">
        <w:rPr>
          <w:rFonts w:ascii="Times New Roman" w:hAnsi="Times New Roman"/>
        </w:rPr>
        <w:t>itself have the effect of defeating the respondents' rights to claim under the mortgage</w:t>
      </w:r>
      <w:r w:rsidR="002238C2" w:rsidRPr="00333D58">
        <w:rPr>
          <w:rFonts w:ascii="Times New Roman" w:hAnsi="Times New Roman"/>
        </w:rPr>
        <w:t>s</w:t>
      </w:r>
      <w:r w:rsidRPr="00333D58">
        <w:rPr>
          <w:rFonts w:ascii="Times New Roman" w:hAnsi="Times New Roman"/>
        </w:rPr>
        <w:t xml:space="preserve"> and that a </w:t>
      </w:r>
      <w:r w:rsidR="00A874E4" w:rsidRPr="00333D58">
        <w:rPr>
          <w:rFonts w:ascii="Times New Roman" w:hAnsi="Times New Roman"/>
        </w:rPr>
        <w:t xml:space="preserve">plea </w:t>
      </w:r>
      <w:r w:rsidRPr="00333D58">
        <w:rPr>
          <w:rFonts w:ascii="Times New Roman" w:hAnsi="Times New Roman"/>
        </w:rPr>
        <w:t xml:space="preserve">by the appellants is required </w:t>
      </w:r>
      <w:r w:rsidR="00A874E4" w:rsidRPr="00333D58">
        <w:rPr>
          <w:rFonts w:ascii="Times New Roman" w:hAnsi="Times New Roman"/>
        </w:rPr>
        <w:t xml:space="preserve">to do so </w:t>
      </w:r>
      <w:r w:rsidRPr="00333D58">
        <w:rPr>
          <w:rFonts w:ascii="Times New Roman" w:hAnsi="Times New Roman"/>
        </w:rPr>
        <w:t>does not take the matter outside the purview of the clause. It</w:t>
      </w:r>
      <w:r w:rsidR="00A874E4" w:rsidRPr="00333D58">
        <w:rPr>
          <w:rFonts w:ascii="Times New Roman" w:hAnsi="Times New Roman"/>
        </w:rPr>
        <w:t xml:space="preserve"> </w:t>
      </w:r>
      <w:r w:rsidRPr="00333D58">
        <w:rPr>
          <w:rFonts w:ascii="Times New Roman" w:hAnsi="Times New Roman"/>
        </w:rPr>
        <w:t xml:space="preserve">is clear that the parties intended that it have a wide operation and that it extend to any </w:t>
      </w:r>
      <w:r w:rsidR="00ED0F1F" w:rsidRPr="00333D58">
        <w:rPr>
          <w:rFonts w:ascii="Times New Roman" w:hAnsi="Times New Roman"/>
        </w:rPr>
        <w:t xml:space="preserve">consequences flowing from a statutory provision </w:t>
      </w:r>
      <w:r w:rsidR="003A60A9" w:rsidRPr="00333D58">
        <w:rPr>
          <w:rFonts w:ascii="Times New Roman" w:hAnsi="Times New Roman"/>
        </w:rPr>
        <w:t xml:space="preserve">("whereby or in consequence whereof") </w:t>
      </w:r>
      <w:r w:rsidR="00ED0F1F" w:rsidRPr="00333D58">
        <w:rPr>
          <w:rFonts w:ascii="Times New Roman" w:hAnsi="Times New Roman"/>
        </w:rPr>
        <w:t xml:space="preserve">which would defeat the mortgagee's rights. </w:t>
      </w:r>
      <w:r w:rsidR="00BC74E1" w:rsidRPr="00333D58">
        <w:rPr>
          <w:rFonts w:ascii="Times New Roman" w:hAnsi="Times New Roman"/>
        </w:rPr>
        <w:t xml:space="preserve">It was </w:t>
      </w:r>
      <w:r w:rsidR="00ED0F1F" w:rsidRPr="00333D58">
        <w:rPr>
          <w:rFonts w:ascii="Times New Roman" w:hAnsi="Times New Roman"/>
        </w:rPr>
        <w:t xml:space="preserve">clearly intended that provisions which might have that result were not to apply to affect the rights and obligations of the parties. It is not difficult to infer that it was </w:t>
      </w:r>
      <w:r w:rsidR="000F0DC9" w:rsidRPr="00333D58">
        <w:rPr>
          <w:rFonts w:ascii="Times New Roman" w:hAnsi="Times New Roman"/>
        </w:rPr>
        <w:t xml:space="preserve">intended </w:t>
      </w:r>
      <w:r w:rsidR="007D613E" w:rsidRPr="00333D58">
        <w:rPr>
          <w:rFonts w:ascii="Times New Roman" w:hAnsi="Times New Roman"/>
        </w:rPr>
        <w:t xml:space="preserve">to apply to a benefit given by statute to a defendant by which the mortgagee's right could be defeated. </w:t>
      </w:r>
      <w:r w:rsidR="00A179E5" w:rsidRPr="00333D58">
        <w:rPr>
          <w:rFonts w:ascii="Times New Roman" w:hAnsi="Times New Roman"/>
        </w:rPr>
        <w:t xml:space="preserve">By agreeing to the terms of cl 24 the </w:t>
      </w:r>
      <w:r w:rsidR="006F7085" w:rsidRPr="00333D58">
        <w:rPr>
          <w:rFonts w:ascii="Times New Roman" w:hAnsi="Times New Roman"/>
        </w:rPr>
        <w:t xml:space="preserve">appellants </w:t>
      </w:r>
      <w:r w:rsidR="00A179E5" w:rsidRPr="00333D58">
        <w:rPr>
          <w:rFonts w:ascii="Times New Roman" w:hAnsi="Times New Roman"/>
        </w:rPr>
        <w:t>effectively gave up the benefit provided by the Limitation</w:t>
      </w:r>
      <w:r w:rsidR="00021E03" w:rsidRPr="00333D58">
        <w:rPr>
          <w:rFonts w:ascii="Times New Roman" w:hAnsi="Times New Roman"/>
        </w:rPr>
        <w:t xml:space="preserve"> Act</w:t>
      </w:r>
      <w:r w:rsidR="00A179E5" w:rsidRPr="00333D58">
        <w:rPr>
          <w:rFonts w:ascii="Times New Roman" w:hAnsi="Times New Roman"/>
        </w:rPr>
        <w:t>.</w:t>
      </w:r>
    </w:p>
    <w:p w14:paraId="139F2034" w14:textId="5E8AED79" w:rsidR="00812120" w:rsidRPr="00333D58" w:rsidRDefault="00812120" w:rsidP="00333D58">
      <w:pPr>
        <w:pStyle w:val="FixListStyle"/>
        <w:spacing w:after="260" w:line="280" w:lineRule="exact"/>
        <w:ind w:right="0"/>
        <w:jc w:val="both"/>
        <w:rPr>
          <w:rFonts w:ascii="Times New Roman" w:hAnsi="Times New Roman"/>
        </w:rPr>
      </w:pPr>
      <w:r w:rsidRPr="00333D58">
        <w:rPr>
          <w:rFonts w:ascii="Times New Roman" w:hAnsi="Times New Roman"/>
        </w:rPr>
        <w:tab/>
        <w:t>The appellants' reliance on the concluding words of the clause</w:t>
      </w:r>
      <w:r w:rsidR="00BD7ACD" w:rsidRPr="00333D58">
        <w:rPr>
          <w:rFonts w:ascii="Times New Roman" w:hAnsi="Times New Roman"/>
        </w:rPr>
        <w:t>,</w:t>
      </w:r>
      <w:r w:rsidRPr="00333D58">
        <w:rPr>
          <w:rFonts w:ascii="Times New Roman" w:hAnsi="Times New Roman"/>
        </w:rPr>
        <w:t xml:space="preserve"> "insofar as this can lawfully be done"</w:t>
      </w:r>
      <w:r w:rsidR="00BD7ACD" w:rsidRPr="00333D58">
        <w:rPr>
          <w:rFonts w:ascii="Times New Roman" w:hAnsi="Times New Roman"/>
        </w:rPr>
        <w:t>,</w:t>
      </w:r>
      <w:r w:rsidR="00D30333" w:rsidRPr="00333D58">
        <w:rPr>
          <w:rFonts w:ascii="Times New Roman" w:hAnsi="Times New Roman"/>
        </w:rPr>
        <w:t xml:space="preserve"> take</w:t>
      </w:r>
      <w:r w:rsidR="00AB7CB5" w:rsidRPr="00333D58">
        <w:rPr>
          <w:rFonts w:ascii="Times New Roman" w:hAnsi="Times New Roman"/>
        </w:rPr>
        <w:t>s</w:t>
      </w:r>
      <w:r w:rsidR="00D30333" w:rsidRPr="00333D58">
        <w:rPr>
          <w:rFonts w:ascii="Times New Roman" w:hAnsi="Times New Roman"/>
        </w:rPr>
        <w:t xml:space="preserve"> the matter no further. As has been explained, an agreement that the appellants not rely upon the benefit given by the </w:t>
      </w:r>
      <w:r w:rsidR="009269F1" w:rsidRPr="00333D58">
        <w:rPr>
          <w:rFonts w:ascii="Times New Roman" w:hAnsi="Times New Roman"/>
        </w:rPr>
        <w:t xml:space="preserve">Limitation Act </w:t>
      </w:r>
      <w:r w:rsidR="00D30333" w:rsidRPr="00333D58">
        <w:rPr>
          <w:rFonts w:ascii="Times New Roman" w:hAnsi="Times New Roman"/>
        </w:rPr>
        <w:t>is enforceable.</w:t>
      </w:r>
    </w:p>
    <w:p w14:paraId="1679B1D5" w14:textId="40BB21CC" w:rsidR="00D30333" w:rsidRPr="00333D58" w:rsidRDefault="00D30333" w:rsidP="00333D58">
      <w:pPr>
        <w:pStyle w:val="HeadingL1"/>
        <w:spacing w:after="260" w:line="280" w:lineRule="exact"/>
        <w:ind w:right="0"/>
        <w:jc w:val="both"/>
        <w:rPr>
          <w:rFonts w:ascii="Times New Roman" w:hAnsi="Times New Roman"/>
        </w:rPr>
      </w:pPr>
      <w:r w:rsidRPr="00333D58">
        <w:rPr>
          <w:rFonts w:ascii="Times New Roman" w:hAnsi="Times New Roman"/>
        </w:rPr>
        <w:t>Damages only?</w:t>
      </w:r>
    </w:p>
    <w:p w14:paraId="6E29EF7C" w14:textId="1C177CA1" w:rsidR="009269F1" w:rsidRPr="00333D58" w:rsidRDefault="00D30333" w:rsidP="00333D58">
      <w:pPr>
        <w:pStyle w:val="FixListStyle"/>
        <w:spacing w:after="260" w:line="280" w:lineRule="exact"/>
        <w:ind w:right="0"/>
        <w:jc w:val="both"/>
        <w:rPr>
          <w:rFonts w:ascii="Times New Roman" w:hAnsi="Times New Roman"/>
        </w:rPr>
      </w:pPr>
      <w:r w:rsidRPr="00333D58">
        <w:rPr>
          <w:rFonts w:ascii="Times New Roman" w:hAnsi="Times New Roman"/>
        </w:rPr>
        <w:tab/>
        <w:t xml:space="preserve">The appellants </w:t>
      </w:r>
      <w:r w:rsidR="0042466B" w:rsidRPr="00333D58">
        <w:rPr>
          <w:rFonts w:ascii="Times New Roman" w:hAnsi="Times New Roman"/>
        </w:rPr>
        <w:t xml:space="preserve">also </w:t>
      </w:r>
      <w:r w:rsidRPr="00333D58">
        <w:rPr>
          <w:rFonts w:ascii="Times New Roman" w:hAnsi="Times New Roman"/>
        </w:rPr>
        <w:t xml:space="preserve">submit that an agreement not to plead the statute may give rise to an action for breach </w:t>
      </w:r>
      <w:r w:rsidR="00107B0C" w:rsidRPr="00333D58">
        <w:rPr>
          <w:rFonts w:ascii="Times New Roman" w:hAnsi="Times New Roman"/>
        </w:rPr>
        <w:t xml:space="preserve">of </w:t>
      </w:r>
      <w:r w:rsidR="0042466B" w:rsidRPr="00333D58">
        <w:rPr>
          <w:rFonts w:ascii="Times New Roman" w:hAnsi="Times New Roman"/>
        </w:rPr>
        <w:t>the agreement</w:t>
      </w:r>
      <w:r w:rsidRPr="00333D58">
        <w:rPr>
          <w:rFonts w:ascii="Times New Roman" w:hAnsi="Times New Roman"/>
        </w:rPr>
        <w:t xml:space="preserve">, but </w:t>
      </w:r>
      <w:r w:rsidR="0042466B" w:rsidRPr="00333D58">
        <w:rPr>
          <w:rFonts w:ascii="Times New Roman" w:hAnsi="Times New Roman"/>
        </w:rPr>
        <w:t xml:space="preserve">the agreement </w:t>
      </w:r>
      <w:r w:rsidRPr="00333D58">
        <w:rPr>
          <w:rFonts w:ascii="Times New Roman" w:hAnsi="Times New Roman"/>
        </w:rPr>
        <w:t xml:space="preserve">will not itself </w:t>
      </w:r>
      <w:r w:rsidR="00E37BDC" w:rsidRPr="00333D58">
        <w:rPr>
          <w:rFonts w:ascii="Times New Roman" w:hAnsi="Times New Roman"/>
        </w:rPr>
        <w:t>"prevent the pleading</w:t>
      </w:r>
      <w:r w:rsidR="00BC046B" w:rsidRPr="00333D58">
        <w:rPr>
          <w:rFonts w:ascii="Times New Roman" w:hAnsi="Times New Roman"/>
        </w:rPr>
        <w:t>,</w:t>
      </w:r>
      <w:r w:rsidR="00E37BDC" w:rsidRPr="00333D58">
        <w:rPr>
          <w:rFonts w:ascii="Times New Roman" w:hAnsi="Times New Roman"/>
        </w:rPr>
        <w:t xml:space="preserve"> and the operation</w:t>
      </w:r>
      <w:r w:rsidR="00BC046B" w:rsidRPr="00333D58">
        <w:rPr>
          <w:rFonts w:ascii="Times New Roman" w:hAnsi="Times New Roman"/>
        </w:rPr>
        <w:t>,</w:t>
      </w:r>
      <w:r w:rsidR="00E37BDC" w:rsidRPr="00333D58">
        <w:rPr>
          <w:rFonts w:ascii="Times New Roman" w:hAnsi="Times New Roman"/>
        </w:rPr>
        <w:t xml:space="preserve"> of </w:t>
      </w:r>
      <w:r w:rsidR="00B772B6" w:rsidRPr="00333D58">
        <w:rPr>
          <w:rFonts w:ascii="Times New Roman" w:hAnsi="Times New Roman"/>
        </w:rPr>
        <w:t xml:space="preserve">the </w:t>
      </w:r>
      <w:r w:rsidR="00E37BDC" w:rsidRPr="00333D58">
        <w:rPr>
          <w:rFonts w:ascii="Times New Roman" w:hAnsi="Times New Roman"/>
        </w:rPr>
        <w:t xml:space="preserve">statute </w:t>
      </w:r>
      <w:r w:rsidR="00B772B6" w:rsidRPr="00333D58">
        <w:rPr>
          <w:rFonts w:ascii="Times New Roman" w:hAnsi="Times New Roman"/>
        </w:rPr>
        <w:t xml:space="preserve">of </w:t>
      </w:r>
      <w:r w:rsidR="00E37BDC" w:rsidRPr="00333D58">
        <w:rPr>
          <w:rFonts w:ascii="Times New Roman" w:hAnsi="Times New Roman"/>
        </w:rPr>
        <w:t xml:space="preserve">limitations". The submission </w:t>
      </w:r>
      <w:r w:rsidR="00B772B6" w:rsidRPr="00333D58">
        <w:rPr>
          <w:rFonts w:ascii="Times New Roman" w:hAnsi="Times New Roman"/>
        </w:rPr>
        <w:t xml:space="preserve">relies </w:t>
      </w:r>
      <w:r w:rsidR="00E37BDC" w:rsidRPr="00333D58">
        <w:rPr>
          <w:rFonts w:ascii="Times New Roman" w:hAnsi="Times New Roman"/>
        </w:rPr>
        <w:t xml:space="preserve">upon </w:t>
      </w:r>
      <w:r w:rsidR="00D646B0" w:rsidRPr="00333D58">
        <w:rPr>
          <w:rFonts w:ascii="Times New Roman" w:hAnsi="Times New Roman"/>
        </w:rPr>
        <w:t xml:space="preserve">the </w:t>
      </w:r>
      <w:r w:rsidR="00E37BDC" w:rsidRPr="00333D58">
        <w:rPr>
          <w:rFonts w:ascii="Times New Roman" w:hAnsi="Times New Roman"/>
        </w:rPr>
        <w:t xml:space="preserve">decision of the Privy Council in </w:t>
      </w:r>
      <w:r w:rsidR="00E37BDC" w:rsidRPr="00333D58">
        <w:rPr>
          <w:rFonts w:ascii="Times New Roman" w:hAnsi="Times New Roman"/>
          <w:i/>
        </w:rPr>
        <w:t>East India</w:t>
      </w:r>
      <w:r w:rsidR="0061142E" w:rsidRPr="00333D58">
        <w:rPr>
          <w:rFonts w:ascii="Times New Roman" w:hAnsi="Times New Roman"/>
          <w:i/>
        </w:rPr>
        <w:t xml:space="preserve"> Co</w:t>
      </w:r>
      <w:r w:rsidR="00097683" w:rsidRPr="00333D58">
        <w:rPr>
          <w:rFonts w:ascii="Times New Roman" w:hAnsi="Times New Roman"/>
          <w:i/>
        </w:rPr>
        <w:t>mpany</w:t>
      </w:r>
      <w:r w:rsidR="0061142E" w:rsidRPr="00333D58">
        <w:rPr>
          <w:rFonts w:ascii="Times New Roman" w:hAnsi="Times New Roman"/>
          <w:i/>
        </w:rPr>
        <w:t xml:space="preserve"> v </w:t>
      </w:r>
      <w:proofErr w:type="spellStart"/>
      <w:r w:rsidR="0061142E" w:rsidRPr="00333D58">
        <w:rPr>
          <w:rFonts w:ascii="Times New Roman" w:hAnsi="Times New Roman"/>
          <w:i/>
        </w:rPr>
        <w:t>Oditchurn</w:t>
      </w:r>
      <w:proofErr w:type="spellEnd"/>
      <w:r w:rsidR="0061142E" w:rsidRPr="00333D58">
        <w:rPr>
          <w:rFonts w:ascii="Times New Roman" w:hAnsi="Times New Roman"/>
          <w:i/>
        </w:rPr>
        <w:t xml:space="preserve"> Paul</w:t>
      </w:r>
      <w:r w:rsidR="0061142E" w:rsidRPr="00333D58">
        <w:rPr>
          <w:rStyle w:val="FootnoteReference"/>
          <w:rFonts w:ascii="Times New Roman" w:hAnsi="Times New Roman"/>
          <w:sz w:val="24"/>
        </w:rPr>
        <w:footnoteReference w:id="40"/>
      </w:r>
      <w:r w:rsidR="00F205B4" w:rsidRPr="00333D58">
        <w:rPr>
          <w:rFonts w:ascii="Times New Roman" w:hAnsi="Times New Roman"/>
        </w:rPr>
        <w:t>.</w:t>
      </w:r>
    </w:p>
    <w:p w14:paraId="190CCABD" w14:textId="1F780CB1" w:rsidR="00F205B4" w:rsidRPr="00333D58" w:rsidRDefault="00F205B4" w:rsidP="00333D58">
      <w:pPr>
        <w:pStyle w:val="FixListStyle"/>
        <w:spacing w:after="260" w:line="280" w:lineRule="exact"/>
        <w:ind w:right="0"/>
        <w:jc w:val="both"/>
        <w:rPr>
          <w:rFonts w:ascii="Times New Roman" w:hAnsi="Times New Roman"/>
        </w:rPr>
      </w:pPr>
      <w:r w:rsidRPr="00333D58">
        <w:rPr>
          <w:rFonts w:ascii="Times New Roman" w:hAnsi="Times New Roman"/>
        </w:rPr>
        <w:lastRenderedPageBreak/>
        <w:tab/>
        <w:t>That case concerned the non</w:t>
      </w:r>
      <w:r w:rsidRPr="00333D58">
        <w:rPr>
          <w:rFonts w:ascii="Times New Roman" w:hAnsi="Times New Roman"/>
        </w:rPr>
        <w:noBreakHyphen/>
        <w:t>delivery of salt</w:t>
      </w:r>
      <w:r w:rsidR="00B772B6" w:rsidRPr="00333D58">
        <w:rPr>
          <w:rFonts w:ascii="Times New Roman" w:hAnsi="Times New Roman"/>
        </w:rPr>
        <w:t xml:space="preserve"> which had been </w:t>
      </w:r>
      <w:r w:rsidR="002D0944" w:rsidRPr="00333D58">
        <w:rPr>
          <w:rFonts w:ascii="Times New Roman" w:hAnsi="Times New Roman"/>
        </w:rPr>
        <w:t>purchased</w:t>
      </w:r>
      <w:r w:rsidR="00B772B6" w:rsidRPr="00333D58">
        <w:rPr>
          <w:rFonts w:ascii="Times New Roman" w:hAnsi="Times New Roman"/>
        </w:rPr>
        <w:t xml:space="preserve"> by </w:t>
      </w:r>
      <w:r w:rsidR="002D0944" w:rsidRPr="00333D58">
        <w:rPr>
          <w:rFonts w:ascii="Times New Roman" w:hAnsi="Times New Roman"/>
        </w:rPr>
        <w:t>the</w:t>
      </w:r>
      <w:r w:rsidR="00B772B6" w:rsidRPr="00333D58">
        <w:rPr>
          <w:rFonts w:ascii="Times New Roman" w:hAnsi="Times New Roman"/>
        </w:rPr>
        <w:t xml:space="preserve"> respondent</w:t>
      </w:r>
      <w:r w:rsidRPr="00333D58">
        <w:rPr>
          <w:rFonts w:ascii="Times New Roman" w:hAnsi="Times New Roman"/>
        </w:rPr>
        <w:t xml:space="preserve">. Rather than commence an action for breach of contract the purchaser </w:t>
      </w:r>
      <w:r w:rsidR="00B50EB4" w:rsidRPr="00333D58">
        <w:rPr>
          <w:rFonts w:ascii="Times New Roman" w:hAnsi="Times New Roman"/>
        </w:rPr>
        <w:t>sought to negotiate a refund and the matter became the subject of</w:t>
      </w:r>
      <w:r w:rsidR="001D6E5F" w:rsidRPr="00333D58">
        <w:rPr>
          <w:rFonts w:ascii="Times New Roman" w:hAnsi="Times New Roman"/>
        </w:rPr>
        <w:t xml:space="preserve"> inquiries</w:t>
      </w:r>
      <w:r w:rsidR="00B50EB4" w:rsidRPr="00333D58">
        <w:rPr>
          <w:rFonts w:ascii="Times New Roman" w:hAnsi="Times New Roman"/>
        </w:rPr>
        <w:t>, instigated by the appellant,</w:t>
      </w:r>
      <w:r w:rsidR="001D6E5F" w:rsidRPr="00333D58">
        <w:rPr>
          <w:rFonts w:ascii="Times New Roman" w:hAnsi="Times New Roman"/>
        </w:rPr>
        <w:t xml:space="preserve"> over the course of some years. </w:t>
      </w:r>
      <w:r w:rsidR="000C388C" w:rsidRPr="00333D58">
        <w:rPr>
          <w:rFonts w:ascii="Times New Roman" w:hAnsi="Times New Roman"/>
        </w:rPr>
        <w:t xml:space="preserve">When the purchaser finally sued for breach of contract the appellant </w:t>
      </w:r>
      <w:r w:rsidR="001D6E5F" w:rsidRPr="00333D58">
        <w:rPr>
          <w:rFonts w:ascii="Times New Roman" w:hAnsi="Times New Roman"/>
        </w:rPr>
        <w:t>pleaded the Statute of Limitations</w:t>
      </w:r>
      <w:r w:rsidR="004E7C48" w:rsidRPr="00333D58">
        <w:rPr>
          <w:rFonts w:ascii="Times New Roman" w:hAnsi="Times New Roman"/>
        </w:rPr>
        <w:t>, although it had been largely responsible for the delays</w:t>
      </w:r>
      <w:r w:rsidR="001D6E5F" w:rsidRPr="00333D58">
        <w:rPr>
          <w:rFonts w:ascii="Times New Roman" w:hAnsi="Times New Roman"/>
        </w:rPr>
        <w:t>.</w:t>
      </w:r>
    </w:p>
    <w:p w14:paraId="3D9F15DD" w14:textId="772ACF61" w:rsidR="00386282" w:rsidRPr="00333D58" w:rsidRDefault="001D6E5F" w:rsidP="00333D58">
      <w:pPr>
        <w:pStyle w:val="FixListStyle"/>
        <w:spacing w:after="260" w:line="280" w:lineRule="exact"/>
        <w:ind w:right="0"/>
        <w:jc w:val="both"/>
        <w:rPr>
          <w:rFonts w:ascii="Times New Roman" w:hAnsi="Times New Roman"/>
        </w:rPr>
      </w:pPr>
      <w:r w:rsidRPr="00333D58">
        <w:rPr>
          <w:rFonts w:ascii="Times New Roman" w:hAnsi="Times New Roman"/>
        </w:rPr>
        <w:tab/>
      </w:r>
      <w:r w:rsidR="004E7C48" w:rsidRPr="00333D58">
        <w:rPr>
          <w:rFonts w:ascii="Times New Roman" w:hAnsi="Times New Roman"/>
        </w:rPr>
        <w:t xml:space="preserve">The question for the Privy Council was </w:t>
      </w:r>
      <w:r w:rsidR="009A48E1" w:rsidRPr="00333D58">
        <w:rPr>
          <w:rFonts w:ascii="Times New Roman" w:hAnsi="Times New Roman"/>
        </w:rPr>
        <w:t>when the cause of action arose. Lord Campbell observed</w:t>
      </w:r>
      <w:r w:rsidR="009A48E1" w:rsidRPr="00333D58">
        <w:rPr>
          <w:rStyle w:val="FootnoteReference"/>
          <w:rFonts w:ascii="Times New Roman" w:hAnsi="Times New Roman"/>
          <w:sz w:val="24"/>
        </w:rPr>
        <w:footnoteReference w:id="41"/>
      </w:r>
      <w:r w:rsidR="000714D6" w:rsidRPr="00333D58">
        <w:rPr>
          <w:rFonts w:ascii="Times New Roman" w:hAnsi="Times New Roman"/>
        </w:rPr>
        <w:t xml:space="preserve"> that nothing in the circumstances of the case </w:t>
      </w:r>
      <w:r w:rsidR="00F07B6E" w:rsidRPr="00333D58">
        <w:rPr>
          <w:rFonts w:ascii="Times New Roman" w:hAnsi="Times New Roman"/>
        </w:rPr>
        <w:t xml:space="preserve">could </w:t>
      </w:r>
      <w:r w:rsidR="000714D6" w:rsidRPr="00333D58">
        <w:rPr>
          <w:rFonts w:ascii="Times New Roman" w:hAnsi="Times New Roman"/>
        </w:rPr>
        <w:t>affect the operation of the statute.</w:t>
      </w:r>
      <w:r w:rsidR="000728C2" w:rsidRPr="00333D58">
        <w:rPr>
          <w:rFonts w:ascii="Times New Roman" w:hAnsi="Times New Roman"/>
        </w:rPr>
        <w:t xml:space="preserve"> </w:t>
      </w:r>
      <w:r w:rsidR="00386282" w:rsidRPr="00333D58">
        <w:rPr>
          <w:rFonts w:ascii="Times New Roman" w:hAnsi="Times New Roman"/>
        </w:rPr>
        <w:t>The purchaser</w:t>
      </w:r>
      <w:r w:rsidR="00226D33" w:rsidRPr="00333D58">
        <w:rPr>
          <w:rFonts w:ascii="Times New Roman" w:hAnsi="Times New Roman"/>
        </w:rPr>
        <w:t>,</w:t>
      </w:r>
      <w:r w:rsidR="00386282" w:rsidRPr="00333D58">
        <w:rPr>
          <w:rFonts w:ascii="Times New Roman" w:hAnsi="Times New Roman"/>
        </w:rPr>
        <w:t xml:space="preserve"> </w:t>
      </w:r>
      <w:r w:rsidR="00DF362F" w:rsidRPr="00333D58">
        <w:rPr>
          <w:rFonts w:ascii="Times New Roman" w:hAnsi="Times New Roman"/>
        </w:rPr>
        <w:t>however</w:t>
      </w:r>
      <w:r w:rsidR="00226D33" w:rsidRPr="00333D58">
        <w:rPr>
          <w:rFonts w:ascii="Times New Roman" w:hAnsi="Times New Roman"/>
        </w:rPr>
        <w:t>,</w:t>
      </w:r>
      <w:r w:rsidR="00DF362F" w:rsidRPr="00333D58">
        <w:rPr>
          <w:rFonts w:ascii="Times New Roman" w:hAnsi="Times New Roman"/>
        </w:rPr>
        <w:t xml:space="preserve"> </w:t>
      </w:r>
      <w:r w:rsidR="00386282" w:rsidRPr="00333D58">
        <w:rPr>
          <w:rFonts w:ascii="Times New Roman" w:hAnsi="Times New Roman"/>
        </w:rPr>
        <w:t>contended that the subsequent negotiations and inquiries had the effect of suspending the operation of th</w:t>
      </w:r>
      <w:r w:rsidR="00520998" w:rsidRPr="00333D58">
        <w:rPr>
          <w:rFonts w:ascii="Times New Roman" w:hAnsi="Times New Roman"/>
        </w:rPr>
        <w:t>e</w:t>
      </w:r>
      <w:r w:rsidR="00386282" w:rsidRPr="00333D58">
        <w:rPr>
          <w:rFonts w:ascii="Times New Roman" w:hAnsi="Times New Roman"/>
        </w:rPr>
        <w:t xml:space="preserve"> statute for a time</w:t>
      </w:r>
      <w:r w:rsidR="005A717E" w:rsidRPr="00333D58">
        <w:rPr>
          <w:rFonts w:ascii="Times New Roman" w:hAnsi="Times New Roman"/>
        </w:rPr>
        <w:t xml:space="preserve"> but could point </w:t>
      </w:r>
      <w:r w:rsidR="002D0944" w:rsidRPr="00333D58">
        <w:rPr>
          <w:rFonts w:ascii="Times New Roman" w:hAnsi="Times New Roman"/>
        </w:rPr>
        <w:t>t</w:t>
      </w:r>
      <w:r w:rsidR="005A717E" w:rsidRPr="00333D58">
        <w:rPr>
          <w:rFonts w:ascii="Times New Roman" w:hAnsi="Times New Roman"/>
        </w:rPr>
        <w:t>o no authority in support of that contention</w:t>
      </w:r>
      <w:r w:rsidR="00386282" w:rsidRPr="00333D58">
        <w:rPr>
          <w:rFonts w:ascii="Times New Roman" w:hAnsi="Times New Roman"/>
        </w:rPr>
        <w:t xml:space="preserve">. In the passage on which the appellants </w:t>
      </w:r>
      <w:r w:rsidR="00520998" w:rsidRPr="00333D58">
        <w:rPr>
          <w:rFonts w:ascii="Times New Roman" w:hAnsi="Times New Roman"/>
        </w:rPr>
        <w:t>rely</w:t>
      </w:r>
      <w:r w:rsidR="00520998" w:rsidRPr="00333D58">
        <w:rPr>
          <w:rStyle w:val="FootnoteReference"/>
          <w:rFonts w:ascii="Times New Roman" w:hAnsi="Times New Roman"/>
          <w:sz w:val="24"/>
        </w:rPr>
        <w:footnoteReference w:id="42"/>
      </w:r>
      <w:r w:rsidR="00520998" w:rsidRPr="00333D58">
        <w:rPr>
          <w:rFonts w:ascii="Times New Roman" w:hAnsi="Times New Roman"/>
        </w:rPr>
        <w:t xml:space="preserve">, Lord </w:t>
      </w:r>
      <w:r w:rsidR="002943DF" w:rsidRPr="00333D58">
        <w:rPr>
          <w:rFonts w:ascii="Times New Roman" w:hAnsi="Times New Roman"/>
        </w:rPr>
        <w:t xml:space="preserve">Campbell </w:t>
      </w:r>
      <w:r w:rsidR="004A0E6F" w:rsidRPr="00333D58">
        <w:rPr>
          <w:rFonts w:ascii="Times New Roman" w:hAnsi="Times New Roman"/>
        </w:rPr>
        <w:t>said</w:t>
      </w:r>
      <w:r w:rsidR="002943DF" w:rsidRPr="00333D58">
        <w:rPr>
          <w:rFonts w:ascii="Times New Roman" w:hAnsi="Times New Roman"/>
        </w:rPr>
        <w:t>:</w:t>
      </w:r>
    </w:p>
    <w:p w14:paraId="41DF37AF" w14:textId="77777777" w:rsidR="00333D58" w:rsidRDefault="002943DF" w:rsidP="00333D58">
      <w:pPr>
        <w:pStyle w:val="LeftrightafterHC"/>
        <w:spacing w:before="0" w:after="260" w:line="280" w:lineRule="exact"/>
        <w:ind w:right="0"/>
        <w:jc w:val="both"/>
        <w:rPr>
          <w:rFonts w:ascii="Times New Roman" w:hAnsi="Times New Roman"/>
        </w:rPr>
      </w:pPr>
      <w:r w:rsidRPr="00333D58">
        <w:rPr>
          <w:rFonts w:ascii="Times New Roman" w:hAnsi="Times New Roman"/>
        </w:rPr>
        <w:t xml:space="preserve">"There might be an agreement that in consideration of an inquiry into the merits of a disputed claim, advantage </w:t>
      </w:r>
      <w:r w:rsidR="00372A80" w:rsidRPr="00333D58">
        <w:rPr>
          <w:rFonts w:ascii="Times New Roman" w:hAnsi="Times New Roman"/>
        </w:rPr>
        <w:t>should not be taken of the Statute of Limitations in respe</w:t>
      </w:r>
      <w:r w:rsidR="00134B8F" w:rsidRPr="00333D58">
        <w:rPr>
          <w:rFonts w:ascii="Times New Roman" w:hAnsi="Times New Roman"/>
        </w:rPr>
        <w:t>c</w:t>
      </w:r>
      <w:r w:rsidR="00372A80" w:rsidRPr="00333D58">
        <w:rPr>
          <w:rFonts w:ascii="Times New Roman" w:hAnsi="Times New Roman"/>
        </w:rPr>
        <w:t>t of the time employed in th</w:t>
      </w:r>
      <w:r w:rsidR="00134B8F" w:rsidRPr="00333D58">
        <w:rPr>
          <w:rFonts w:ascii="Times New Roman" w:hAnsi="Times New Roman"/>
        </w:rPr>
        <w:t>e</w:t>
      </w:r>
      <w:r w:rsidR="00372A80" w:rsidRPr="00333D58">
        <w:rPr>
          <w:rFonts w:ascii="Times New Roman" w:hAnsi="Times New Roman"/>
        </w:rPr>
        <w:t xml:space="preserve"> inquiry, and an action might be brought for breach of such </w:t>
      </w:r>
      <w:r w:rsidR="00226D33" w:rsidRPr="00333D58">
        <w:rPr>
          <w:rFonts w:ascii="Times New Roman" w:hAnsi="Times New Roman"/>
        </w:rPr>
        <w:t xml:space="preserve">an </w:t>
      </w:r>
      <w:r w:rsidR="00372A80" w:rsidRPr="00333D58">
        <w:rPr>
          <w:rFonts w:ascii="Times New Roman" w:hAnsi="Times New Roman"/>
        </w:rPr>
        <w:t>agreement; but if to an action for the or</w:t>
      </w:r>
      <w:r w:rsidR="00134B8F" w:rsidRPr="00333D58">
        <w:rPr>
          <w:rFonts w:ascii="Times New Roman" w:hAnsi="Times New Roman"/>
        </w:rPr>
        <w:t>i</w:t>
      </w:r>
      <w:r w:rsidR="00372A80" w:rsidRPr="00333D58">
        <w:rPr>
          <w:rFonts w:ascii="Times New Roman" w:hAnsi="Times New Roman"/>
        </w:rPr>
        <w:t xml:space="preserve">ginal cause of action the Statute of Limitations is pleaded, upon which </w:t>
      </w:r>
      <w:r w:rsidR="00C94A27" w:rsidRPr="00333D58">
        <w:rPr>
          <w:rFonts w:ascii="Times New Roman" w:hAnsi="Times New Roman"/>
        </w:rPr>
        <w:t>issue is joined</w:t>
      </w:r>
      <w:r w:rsidR="00E43F13" w:rsidRPr="00333D58">
        <w:rPr>
          <w:rFonts w:ascii="Times New Roman" w:hAnsi="Times New Roman"/>
        </w:rPr>
        <w:t xml:space="preserve"> … the Defendant, notwithstanding any agreement to inquire</w:t>
      </w:r>
      <w:r w:rsidR="00134B8F" w:rsidRPr="00333D58">
        <w:rPr>
          <w:rFonts w:ascii="Times New Roman" w:hAnsi="Times New Roman"/>
        </w:rPr>
        <w:t>, is entitled to the verdict."</w:t>
      </w:r>
    </w:p>
    <w:p w14:paraId="3A308ED0" w14:textId="4C0DA0D0" w:rsidR="00A612FC" w:rsidRPr="00333D58" w:rsidRDefault="00A612FC" w:rsidP="00333D58">
      <w:pPr>
        <w:pStyle w:val="FixListStyle"/>
        <w:spacing w:after="260" w:line="280" w:lineRule="exact"/>
        <w:ind w:right="0"/>
        <w:jc w:val="both"/>
        <w:rPr>
          <w:rFonts w:ascii="Times New Roman" w:hAnsi="Times New Roman"/>
        </w:rPr>
      </w:pPr>
      <w:r w:rsidRPr="00333D58">
        <w:rPr>
          <w:rFonts w:ascii="Times New Roman" w:hAnsi="Times New Roman"/>
        </w:rPr>
        <w:tab/>
      </w:r>
      <w:r w:rsidR="0051435A" w:rsidRPr="00333D58">
        <w:rPr>
          <w:rFonts w:ascii="Times New Roman" w:hAnsi="Times New Roman"/>
        </w:rPr>
        <w:t xml:space="preserve">There was no such agreement between the parties concerning the Statute of Limitations and Lord Campbell's observation about the effect of </w:t>
      </w:r>
      <w:r w:rsidR="00AA4AA8" w:rsidRPr="00333D58">
        <w:rPr>
          <w:rFonts w:ascii="Times New Roman" w:hAnsi="Times New Roman"/>
        </w:rPr>
        <w:t>the hypothetical agreement on the operation of the statute forms no part of the decision of the Privy Council. As to the correctness of its implication, that even a binding agreement canno</w:t>
      </w:r>
      <w:r w:rsidR="00681AC2" w:rsidRPr="00333D58">
        <w:rPr>
          <w:rFonts w:ascii="Times New Roman" w:hAnsi="Times New Roman"/>
        </w:rPr>
        <w:t xml:space="preserve">t prevent the statute taking effect, no explanation is given as to why such </w:t>
      </w:r>
      <w:r w:rsidR="00894240" w:rsidRPr="00333D58">
        <w:rPr>
          <w:rFonts w:ascii="Times New Roman" w:hAnsi="Times New Roman"/>
        </w:rPr>
        <w:t xml:space="preserve">an agreement could not be enforced. It appears to </w:t>
      </w:r>
      <w:r w:rsidR="007079E6" w:rsidRPr="00333D58">
        <w:rPr>
          <w:rFonts w:ascii="Times New Roman" w:hAnsi="Times New Roman"/>
        </w:rPr>
        <w:t>proceed</w:t>
      </w:r>
      <w:r w:rsidR="00227893" w:rsidRPr="00333D58">
        <w:rPr>
          <w:rFonts w:ascii="Times New Roman" w:hAnsi="Times New Roman"/>
        </w:rPr>
        <w:t xml:space="preserve"> from a misapprehension about the operation of a limitations provision. At an earlier point in the judgment</w:t>
      </w:r>
      <w:r w:rsidR="00227893" w:rsidRPr="00333D58">
        <w:rPr>
          <w:rStyle w:val="FootnoteReference"/>
          <w:rFonts w:ascii="Times New Roman" w:hAnsi="Times New Roman"/>
          <w:sz w:val="24"/>
        </w:rPr>
        <w:footnoteReference w:id="43"/>
      </w:r>
      <w:r w:rsidR="00227893" w:rsidRPr="00333D58">
        <w:rPr>
          <w:rFonts w:ascii="Times New Roman" w:hAnsi="Times New Roman"/>
        </w:rPr>
        <w:t>,</w:t>
      </w:r>
      <w:r w:rsidR="00E70600" w:rsidRPr="00333D58">
        <w:rPr>
          <w:rFonts w:ascii="Times New Roman" w:hAnsi="Times New Roman"/>
        </w:rPr>
        <w:t xml:space="preserve"> his Lordship said </w:t>
      </w:r>
      <w:r w:rsidR="009057EF" w:rsidRPr="00333D58">
        <w:rPr>
          <w:rFonts w:ascii="Times New Roman" w:hAnsi="Times New Roman"/>
        </w:rPr>
        <w:t xml:space="preserve">that once </w:t>
      </w:r>
      <w:r w:rsidR="005D2542" w:rsidRPr="00333D58">
        <w:rPr>
          <w:rFonts w:ascii="Times New Roman" w:hAnsi="Times New Roman"/>
        </w:rPr>
        <w:t>the cause of action "began to run</w:t>
      </w:r>
      <w:r w:rsidR="0084032D" w:rsidRPr="00333D58">
        <w:rPr>
          <w:rFonts w:ascii="Times New Roman" w:hAnsi="Times New Roman"/>
        </w:rPr>
        <w:t xml:space="preserve"> ...</w:t>
      </w:r>
      <w:r w:rsidR="005D2542" w:rsidRPr="00333D58">
        <w:rPr>
          <w:rFonts w:ascii="Times New Roman" w:hAnsi="Times New Roman"/>
        </w:rPr>
        <w:t xml:space="preserve"> nothing could stop it", even if there was fraud on the part of the defendant. Such an opinion does not acknowledge, in accordance with more modern authority, that the statutory bar is not raised for the court's consideration unless and until a defence is pleaded and </w:t>
      </w:r>
      <w:r w:rsidR="005D2542" w:rsidRPr="00333D58">
        <w:rPr>
          <w:rFonts w:ascii="Times New Roman" w:hAnsi="Times New Roman"/>
        </w:rPr>
        <w:lastRenderedPageBreak/>
        <w:t xml:space="preserve">that a defendant has a choice whether to do so. A defendant may bargain away </w:t>
      </w:r>
      <w:r w:rsidR="00C44FF6" w:rsidRPr="00333D58">
        <w:rPr>
          <w:rFonts w:ascii="Times New Roman" w:hAnsi="Times New Roman"/>
        </w:rPr>
        <w:t>the statutory right and that bargain may be enforced</w:t>
      </w:r>
      <w:r w:rsidR="00220407" w:rsidRPr="00333D58">
        <w:rPr>
          <w:rFonts w:ascii="Times New Roman" w:hAnsi="Times New Roman"/>
        </w:rPr>
        <w:t>.</w:t>
      </w:r>
    </w:p>
    <w:p w14:paraId="3F42EB55" w14:textId="5C4EBB32" w:rsidR="00173E96" w:rsidRPr="00333D58" w:rsidRDefault="00C119F8" w:rsidP="00333D58">
      <w:pPr>
        <w:pStyle w:val="HeadingL1"/>
        <w:spacing w:after="260" w:line="280" w:lineRule="exact"/>
        <w:ind w:right="0"/>
        <w:jc w:val="both"/>
        <w:rPr>
          <w:rFonts w:ascii="Times New Roman" w:hAnsi="Times New Roman"/>
        </w:rPr>
      </w:pPr>
      <w:r w:rsidRPr="00333D58">
        <w:rPr>
          <w:rFonts w:ascii="Times New Roman" w:hAnsi="Times New Roman"/>
        </w:rPr>
        <w:t>Orders</w:t>
      </w:r>
    </w:p>
    <w:p w14:paraId="288719E1" w14:textId="77777777" w:rsidR="008447C0" w:rsidRDefault="002D0944" w:rsidP="00333D58">
      <w:pPr>
        <w:pStyle w:val="FixListStyle"/>
        <w:spacing w:after="260" w:line="280" w:lineRule="exact"/>
        <w:ind w:right="0"/>
        <w:jc w:val="both"/>
        <w:rPr>
          <w:rFonts w:ascii="Times New Roman" w:hAnsi="Times New Roman"/>
        </w:rPr>
      </w:pPr>
      <w:r w:rsidRPr="00333D58">
        <w:rPr>
          <w:rFonts w:ascii="Times New Roman" w:hAnsi="Times New Roman"/>
        </w:rPr>
        <w:tab/>
      </w:r>
      <w:r w:rsidR="00C119F8" w:rsidRPr="00333D58">
        <w:rPr>
          <w:rFonts w:ascii="Times New Roman" w:hAnsi="Times New Roman"/>
        </w:rPr>
        <w:t>The appeal should be dismissed with costs.</w:t>
      </w:r>
    </w:p>
    <w:p w14:paraId="1D2F19F0" w14:textId="77777777" w:rsidR="008447C0" w:rsidRDefault="008447C0" w:rsidP="00333D58">
      <w:pPr>
        <w:pStyle w:val="FixListStyle"/>
        <w:spacing w:after="260" w:line="280" w:lineRule="exact"/>
        <w:ind w:right="0"/>
        <w:jc w:val="both"/>
        <w:rPr>
          <w:rFonts w:ascii="Times New Roman" w:hAnsi="Times New Roman"/>
        </w:rPr>
        <w:sectPr w:rsidR="008447C0" w:rsidSect="00824BE3">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75A6CA72" w14:textId="09F4BB41" w:rsidR="008447C0" w:rsidRPr="00BD791C" w:rsidRDefault="008447C0" w:rsidP="008447C0">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BD791C">
        <w:rPr>
          <w:rFonts w:ascii="Times New Roman" w:hAnsi="Times New Roman"/>
        </w:rPr>
        <w:lastRenderedPageBreak/>
        <w:t>GAGELER AND GORDON JJ.</w:t>
      </w:r>
      <w:r>
        <w:rPr>
          <w:rFonts w:ascii="Times New Roman" w:hAnsi="Times New Roman"/>
        </w:rPr>
        <w:t xml:space="preserve"> </w:t>
      </w:r>
      <w:r w:rsidRPr="00BD791C">
        <w:rPr>
          <w:rFonts w:ascii="Times New Roman" w:hAnsi="Times New Roman"/>
        </w:rPr>
        <w:t xml:space="preserve"> </w:t>
      </w:r>
      <w:r w:rsidR="00824BE3">
        <w:rPr>
          <w:rFonts w:ascii="Times New Roman" w:hAnsi="Times New Roman"/>
        </w:rPr>
        <w:t xml:space="preserve"> </w:t>
      </w:r>
      <w:r w:rsidRPr="00BD791C">
        <w:rPr>
          <w:rFonts w:ascii="Times New Roman" w:hAnsi="Times New Roman"/>
        </w:rPr>
        <w:t>We agree that the appeal should be dismissed, substantially for the reasons given by Kiefel CJ and Edelman J.</w:t>
      </w:r>
      <w:r>
        <w:rPr>
          <w:rFonts w:ascii="Times New Roman" w:hAnsi="Times New Roman"/>
        </w:rPr>
        <w:t xml:space="preserve"> </w:t>
      </w:r>
    </w:p>
    <w:p w14:paraId="1AB16D34" w14:textId="77777777" w:rsidR="008447C0" w:rsidRPr="00BD791C" w:rsidRDefault="008447C0" w:rsidP="008447C0">
      <w:pPr>
        <w:pStyle w:val="FixListStyle"/>
        <w:numPr>
          <w:ilvl w:val="0"/>
          <w:numId w:val="18"/>
        </w:numPr>
        <w:spacing w:after="260" w:line="280" w:lineRule="exact"/>
        <w:ind w:left="0" w:right="0" w:hanging="720"/>
        <w:jc w:val="both"/>
        <w:rPr>
          <w:rFonts w:ascii="Times New Roman" w:hAnsi="Times New Roman"/>
        </w:rPr>
      </w:pPr>
      <w:r w:rsidRPr="00BD791C">
        <w:rPr>
          <w:rFonts w:ascii="Times New Roman" w:hAnsi="Times New Roman"/>
        </w:rPr>
        <w:tab/>
        <w:t xml:space="preserve">The principal question in this appeal is whether cl 24 of each mortgage is void and unenforceable as contrary to the public policy underpinning the </w:t>
      </w:r>
      <w:r w:rsidRPr="00BD791C">
        <w:rPr>
          <w:rFonts w:ascii="Times New Roman" w:hAnsi="Times New Roman"/>
          <w:i/>
        </w:rPr>
        <w:t xml:space="preserve">Limitation of Actions Act 1974 </w:t>
      </w:r>
      <w:r w:rsidRPr="00BD791C">
        <w:rPr>
          <w:rFonts w:ascii="Times New Roman" w:hAnsi="Times New Roman"/>
        </w:rPr>
        <w:t>(Qld) ("the </w:t>
      </w:r>
      <w:r w:rsidRPr="00BD791C">
        <w:rPr>
          <w:rFonts w:ascii="Times New Roman" w:hAnsi="Times New Roman"/>
          <w:i/>
        </w:rPr>
        <w:t>Limitation Act</w:t>
      </w:r>
      <w:r w:rsidRPr="00BD791C">
        <w:rPr>
          <w:rFonts w:ascii="Times New Roman" w:hAnsi="Times New Roman"/>
        </w:rPr>
        <w:t>").</w:t>
      </w:r>
      <w:r>
        <w:rPr>
          <w:rFonts w:ascii="Times New Roman" w:hAnsi="Times New Roman"/>
        </w:rPr>
        <w:t xml:space="preserve"> </w:t>
      </w:r>
      <w:r w:rsidRPr="00BD791C">
        <w:rPr>
          <w:rFonts w:ascii="Times New Roman" w:hAnsi="Times New Roman"/>
        </w:rPr>
        <w:t>That question raises a preliminary point of contractual construction and a subsidiary question about the appropriate relief if a party breaches a covenant not to rely upon a limitation defence.</w:t>
      </w:r>
      <w:r>
        <w:rPr>
          <w:rFonts w:ascii="Times New Roman" w:hAnsi="Times New Roman"/>
        </w:rPr>
        <w:t xml:space="preserve"> </w:t>
      </w:r>
    </w:p>
    <w:p w14:paraId="23B72C0C" w14:textId="77777777" w:rsidR="008447C0" w:rsidRPr="00BD791C" w:rsidRDefault="008447C0" w:rsidP="008447C0">
      <w:pPr>
        <w:pStyle w:val="FixListStyle"/>
        <w:numPr>
          <w:ilvl w:val="0"/>
          <w:numId w:val="18"/>
        </w:numPr>
        <w:spacing w:after="260" w:line="280" w:lineRule="exact"/>
        <w:ind w:left="0" w:right="0" w:hanging="720"/>
        <w:jc w:val="both"/>
        <w:rPr>
          <w:rFonts w:ascii="Times New Roman" w:hAnsi="Times New Roman"/>
        </w:rPr>
      </w:pPr>
      <w:r w:rsidRPr="00BD791C">
        <w:rPr>
          <w:rFonts w:ascii="Times New Roman" w:hAnsi="Times New Roman"/>
        </w:rPr>
        <w:tab/>
        <w:t>The question of construction is whether cl 24, properly construed, means</w:t>
      </w:r>
      <w:r>
        <w:rPr>
          <w:rFonts w:ascii="Times New Roman" w:hAnsi="Times New Roman"/>
        </w:rPr>
        <w:t> </w:t>
      </w:r>
      <w:r w:rsidRPr="00BD791C">
        <w:rPr>
          <w:rFonts w:ascii="Times New Roman" w:hAnsi="Times New Roman"/>
        </w:rPr>
        <w:t xml:space="preserve">that ss 10 and 13 of the </w:t>
      </w:r>
      <w:r w:rsidRPr="00BD791C">
        <w:rPr>
          <w:rFonts w:ascii="Times New Roman" w:hAnsi="Times New Roman"/>
          <w:i/>
        </w:rPr>
        <w:t>Limitation Act</w:t>
      </w:r>
      <w:r w:rsidRPr="00BD791C">
        <w:rPr>
          <w:rFonts w:ascii="Times New Roman" w:hAnsi="Times New Roman"/>
        </w:rPr>
        <w:t xml:space="preserve"> do "not apply</w:t>
      </w:r>
      <w:r w:rsidRPr="00BD791C">
        <w:rPr>
          <w:rFonts w:ascii="Times New Roman" w:hAnsi="Times New Roman"/>
          <w:i/>
        </w:rPr>
        <w:t xml:space="preserve"> ... </w:t>
      </w:r>
      <w:r w:rsidRPr="00BD791C">
        <w:rPr>
          <w:rFonts w:ascii="Times New Roman" w:hAnsi="Times New Roman"/>
        </w:rPr>
        <w:t>and are expressly excluded".</w:t>
      </w:r>
      <w:r>
        <w:rPr>
          <w:rFonts w:ascii="Times New Roman" w:hAnsi="Times New Roman"/>
        </w:rPr>
        <w:t xml:space="preserve"> </w:t>
      </w:r>
      <w:r w:rsidRPr="00BD791C">
        <w:rPr>
          <w:rFonts w:ascii="Times New Roman" w:hAnsi="Times New Roman"/>
        </w:rPr>
        <w:t>Whether a party may, by contract, forbear or renounce rights conferred by a statute directs attention to the proper construction of the statute in issue to identify whether there is "an express prohibition against 'contracting out'"; or</w:t>
      </w:r>
      <w:r>
        <w:rPr>
          <w:rFonts w:ascii="Times New Roman" w:hAnsi="Times New Roman"/>
        </w:rPr>
        <w:t> </w:t>
      </w:r>
      <w:r w:rsidRPr="00BD791C">
        <w:rPr>
          <w:rFonts w:ascii="Times New Roman" w:hAnsi="Times New Roman"/>
        </w:rPr>
        <w:t>whether "the</w:t>
      </w:r>
      <w:r>
        <w:rPr>
          <w:rFonts w:ascii="Times New Roman" w:hAnsi="Times New Roman"/>
        </w:rPr>
        <w:t> </w:t>
      </w:r>
      <w:r w:rsidRPr="00BD791C">
        <w:rPr>
          <w:rFonts w:ascii="Times New Roman" w:hAnsi="Times New Roman"/>
        </w:rPr>
        <w:t>provisions of the statute, read as a whole, are inconsistent with a power to forgo its benefits"; or whether "the policy and purpose of the statute may [show] that the rights which it confers on individuals are given not for their benefit alone, but also in the public interest, and are therefore not capable of being</w:t>
      </w:r>
      <w:r>
        <w:rPr>
          <w:rFonts w:ascii="Times New Roman" w:hAnsi="Times New Roman"/>
        </w:rPr>
        <w:t> </w:t>
      </w:r>
      <w:r w:rsidRPr="00BD791C">
        <w:rPr>
          <w:rFonts w:ascii="Times New Roman" w:hAnsi="Times New Roman"/>
        </w:rPr>
        <w:t>renounced"</w:t>
      </w:r>
      <w:r w:rsidRPr="00BD791C">
        <w:rPr>
          <w:rStyle w:val="FootnoteReference"/>
          <w:rFonts w:ascii="Times New Roman" w:hAnsi="Times New Roman"/>
          <w:sz w:val="24"/>
        </w:rPr>
        <w:footnoteReference w:id="44"/>
      </w:r>
      <w:r w:rsidRPr="00BD791C">
        <w:rPr>
          <w:rFonts w:ascii="Times New Roman" w:hAnsi="Times New Roman"/>
        </w:rPr>
        <w:t>.</w:t>
      </w:r>
    </w:p>
    <w:p w14:paraId="45219F20" w14:textId="77777777" w:rsidR="008447C0" w:rsidRPr="00BD791C" w:rsidRDefault="008447C0" w:rsidP="008447C0">
      <w:pPr>
        <w:pStyle w:val="FixListStyle"/>
        <w:numPr>
          <w:ilvl w:val="0"/>
          <w:numId w:val="18"/>
        </w:numPr>
        <w:spacing w:after="260" w:line="280" w:lineRule="exact"/>
        <w:ind w:left="0" w:right="0" w:hanging="720"/>
        <w:jc w:val="both"/>
        <w:rPr>
          <w:rFonts w:ascii="Times New Roman" w:hAnsi="Times New Roman"/>
        </w:rPr>
      </w:pPr>
      <w:r w:rsidRPr="00BD791C">
        <w:rPr>
          <w:rFonts w:ascii="Times New Roman" w:hAnsi="Times New Roman"/>
        </w:rPr>
        <w:tab/>
        <w:t xml:space="preserve">The </w:t>
      </w:r>
      <w:r w:rsidRPr="00BD791C">
        <w:rPr>
          <w:rFonts w:ascii="Times New Roman" w:hAnsi="Times New Roman"/>
          <w:i/>
        </w:rPr>
        <w:t>Limitation Act</w:t>
      </w:r>
      <w:r w:rsidRPr="00BD791C">
        <w:rPr>
          <w:rFonts w:ascii="Times New Roman" w:hAnsi="Times New Roman"/>
        </w:rPr>
        <w:t xml:space="preserve"> contains no express prohibition against contracting out.</w:t>
      </w:r>
      <w:r>
        <w:rPr>
          <w:rFonts w:ascii="Times New Roman" w:hAnsi="Times New Roman"/>
        </w:rPr>
        <w:t xml:space="preserve"> </w:t>
      </w:r>
      <w:r w:rsidRPr="00BD791C">
        <w:rPr>
          <w:rFonts w:ascii="Times New Roman" w:hAnsi="Times New Roman"/>
        </w:rPr>
        <w:t xml:space="preserve">And the </w:t>
      </w:r>
      <w:r w:rsidRPr="00BD791C">
        <w:rPr>
          <w:rFonts w:ascii="Times New Roman" w:hAnsi="Times New Roman"/>
          <w:i/>
        </w:rPr>
        <w:t>Limitation Act</w:t>
      </w:r>
      <w:r w:rsidRPr="00BD791C">
        <w:rPr>
          <w:rFonts w:ascii="Times New Roman" w:hAnsi="Times New Roman"/>
        </w:rPr>
        <w:t>, read as a whole, does not compel a different conclusion.</w:t>
      </w:r>
      <w:r>
        <w:rPr>
          <w:rFonts w:ascii="Times New Roman" w:hAnsi="Times New Roman"/>
        </w:rPr>
        <w:t xml:space="preserve"> </w:t>
      </w:r>
      <w:r w:rsidRPr="00BD791C">
        <w:rPr>
          <w:rFonts w:ascii="Times New Roman" w:hAnsi="Times New Roman"/>
        </w:rPr>
        <w:t>Section 13, in its terms, provides that "[a]n action shall not be brought by a person to recover land after the expiration of 12 years from the date on which the right of action accrued to the person ...".</w:t>
      </w:r>
      <w:r>
        <w:rPr>
          <w:rFonts w:ascii="Times New Roman" w:hAnsi="Times New Roman"/>
        </w:rPr>
        <w:t xml:space="preserve"> </w:t>
      </w:r>
      <w:r w:rsidRPr="00BD791C">
        <w:rPr>
          <w:rFonts w:ascii="Times New Roman" w:hAnsi="Times New Roman"/>
        </w:rPr>
        <w:t>It is in a form which, as has long been settled by judicial decision, is not to be taken literally but merely provides a defence to an action that must be pleaded by a defendant if the expiration of the limitation period is to be given effect</w:t>
      </w:r>
      <w:r w:rsidRPr="00BD791C">
        <w:rPr>
          <w:rStyle w:val="FootnoteReference"/>
          <w:rFonts w:ascii="Times New Roman" w:hAnsi="Times New Roman"/>
          <w:sz w:val="24"/>
        </w:rPr>
        <w:footnoteReference w:id="45"/>
      </w:r>
      <w:r w:rsidRPr="00BD791C">
        <w:rPr>
          <w:rFonts w:ascii="Times New Roman" w:hAnsi="Times New Roman"/>
        </w:rPr>
        <w:t>.</w:t>
      </w:r>
      <w:r>
        <w:rPr>
          <w:rFonts w:ascii="Times New Roman" w:hAnsi="Times New Roman"/>
        </w:rPr>
        <w:t xml:space="preserve"> </w:t>
      </w:r>
      <w:r w:rsidRPr="00BD791C">
        <w:rPr>
          <w:rFonts w:ascii="Times New Roman" w:hAnsi="Times New Roman"/>
        </w:rPr>
        <w:t>It is a provision by which the remedy is barred, but not the right of the plaintiff to bring the cause of action</w:t>
      </w:r>
      <w:r w:rsidRPr="00BD791C">
        <w:rPr>
          <w:rStyle w:val="FootnoteReference"/>
          <w:rFonts w:ascii="Times New Roman" w:hAnsi="Times New Roman"/>
          <w:sz w:val="24"/>
        </w:rPr>
        <w:footnoteReference w:id="46"/>
      </w:r>
      <w:r w:rsidRPr="00BD791C">
        <w:rPr>
          <w:rFonts w:ascii="Times New Roman" w:hAnsi="Times New Roman"/>
        </w:rPr>
        <w:t>.</w:t>
      </w:r>
      <w:r>
        <w:rPr>
          <w:rFonts w:ascii="Times New Roman" w:hAnsi="Times New Roman"/>
        </w:rPr>
        <w:t xml:space="preserve"> </w:t>
      </w:r>
      <w:r w:rsidRPr="00BD791C">
        <w:rPr>
          <w:rFonts w:ascii="Times New Roman" w:hAnsi="Times New Roman"/>
        </w:rPr>
        <w:t>Section 10 is to a similar effect.</w:t>
      </w:r>
      <w:r>
        <w:rPr>
          <w:rFonts w:ascii="Times New Roman" w:hAnsi="Times New Roman"/>
        </w:rPr>
        <w:t xml:space="preserve"> </w:t>
      </w:r>
      <w:r w:rsidRPr="00BD791C">
        <w:rPr>
          <w:rFonts w:ascii="Times New Roman" w:hAnsi="Times New Roman"/>
        </w:rPr>
        <w:lastRenderedPageBreak/>
        <w:t>Concluding that it is for the defendant to raise a limitation defence does not cut across the public policy at which limitations of actions statutes are directed, namely "finality in civil litigation"</w:t>
      </w:r>
      <w:r w:rsidRPr="00BD791C">
        <w:rPr>
          <w:rStyle w:val="FootnoteReference"/>
          <w:rFonts w:ascii="Times New Roman" w:hAnsi="Times New Roman"/>
          <w:sz w:val="24"/>
        </w:rPr>
        <w:footnoteReference w:id="47"/>
      </w:r>
      <w:r w:rsidRPr="00BD791C">
        <w:rPr>
          <w:rFonts w:ascii="Times New Roman" w:hAnsi="Times New Roman"/>
        </w:rPr>
        <w:t>.</w:t>
      </w:r>
      <w:r>
        <w:rPr>
          <w:rFonts w:ascii="Times New Roman" w:hAnsi="Times New Roman"/>
        </w:rPr>
        <w:t xml:space="preserve"> </w:t>
      </w:r>
    </w:p>
    <w:p w14:paraId="35E27581" w14:textId="77777777" w:rsidR="008447C0" w:rsidRPr="00BD791C" w:rsidRDefault="008447C0" w:rsidP="008447C0">
      <w:pPr>
        <w:pStyle w:val="FixListStyle"/>
        <w:numPr>
          <w:ilvl w:val="0"/>
          <w:numId w:val="18"/>
        </w:numPr>
        <w:spacing w:after="260" w:line="280" w:lineRule="exact"/>
        <w:ind w:left="0" w:right="0" w:hanging="720"/>
        <w:jc w:val="both"/>
        <w:rPr>
          <w:rFonts w:ascii="Times New Roman" w:hAnsi="Times New Roman"/>
        </w:rPr>
      </w:pPr>
      <w:r w:rsidRPr="00BD791C">
        <w:rPr>
          <w:rFonts w:ascii="Times New Roman" w:hAnsi="Times New Roman"/>
        </w:rPr>
        <w:tab/>
        <w:t xml:space="preserve">The way that ss 10 and 13 of the </w:t>
      </w:r>
      <w:r w:rsidRPr="00BD791C">
        <w:rPr>
          <w:rFonts w:ascii="Times New Roman" w:hAnsi="Times New Roman"/>
          <w:i/>
        </w:rPr>
        <w:t xml:space="preserve">Limitation Act </w:t>
      </w:r>
      <w:r w:rsidRPr="00BD791C">
        <w:rPr>
          <w:rFonts w:ascii="Times New Roman" w:hAnsi="Times New Roman"/>
        </w:rPr>
        <w:t xml:space="preserve">give effect to the Act's legislative purpose of ensuring finality in litigation – a legitimate public policy objective – is by conferring a </w:t>
      </w:r>
      <w:r w:rsidRPr="00BD791C">
        <w:rPr>
          <w:rFonts w:ascii="Times New Roman" w:hAnsi="Times New Roman"/>
          <w:i/>
        </w:rPr>
        <w:t>right</w:t>
      </w:r>
      <w:r w:rsidRPr="00BD791C">
        <w:rPr>
          <w:rFonts w:ascii="Times New Roman" w:hAnsi="Times New Roman"/>
        </w:rPr>
        <w:t xml:space="preserve"> on an </w:t>
      </w:r>
      <w:r w:rsidRPr="00BD791C">
        <w:rPr>
          <w:rFonts w:ascii="Times New Roman" w:hAnsi="Times New Roman"/>
          <w:i/>
        </w:rPr>
        <w:t>individual defendant</w:t>
      </w:r>
      <w:r w:rsidRPr="00BD791C">
        <w:rPr>
          <w:rFonts w:ascii="Times New Roman" w:hAnsi="Times New Roman"/>
        </w:rPr>
        <w:t xml:space="preserve"> in a particular case to </w:t>
      </w:r>
      <w:r w:rsidRPr="00BD791C">
        <w:rPr>
          <w:rFonts w:ascii="Times New Roman" w:hAnsi="Times New Roman"/>
          <w:i/>
        </w:rPr>
        <w:t>elect</w:t>
      </w:r>
      <w:r w:rsidRPr="00BD791C">
        <w:rPr>
          <w:rFonts w:ascii="Times New Roman" w:hAnsi="Times New Roman"/>
        </w:rPr>
        <w:t xml:space="preserve"> to plead a limitation period.</w:t>
      </w:r>
      <w:r>
        <w:rPr>
          <w:rFonts w:ascii="Times New Roman" w:hAnsi="Times New Roman"/>
        </w:rPr>
        <w:t xml:space="preserve"> </w:t>
      </w:r>
      <w:r w:rsidRPr="00BD791C">
        <w:rPr>
          <w:rFonts w:ascii="Times New Roman" w:hAnsi="Times New Roman"/>
        </w:rPr>
        <w:t xml:space="preserve">Once this is properly understood, enforcing a contractual agreement not to plead a limitation period is entirely compatible with the terms of the </w:t>
      </w:r>
      <w:r w:rsidRPr="00BD791C">
        <w:rPr>
          <w:rFonts w:ascii="Times New Roman" w:hAnsi="Times New Roman"/>
          <w:i/>
        </w:rPr>
        <w:t>Limitation Act</w:t>
      </w:r>
      <w:r w:rsidRPr="00BD791C">
        <w:rPr>
          <w:rFonts w:ascii="Times New Roman" w:hAnsi="Times New Roman"/>
        </w:rPr>
        <w:t xml:space="preserve"> and the policy underpinning it: because it is always left to an individual to choose whether to forgo the right conferred by statute.</w:t>
      </w:r>
    </w:p>
    <w:p w14:paraId="4BC29866" w14:textId="77777777" w:rsidR="008447C0" w:rsidRPr="00BD791C" w:rsidRDefault="008447C0" w:rsidP="008447C0">
      <w:pPr>
        <w:pStyle w:val="FixListStyle"/>
        <w:numPr>
          <w:ilvl w:val="0"/>
          <w:numId w:val="18"/>
        </w:numPr>
        <w:spacing w:after="260" w:line="280" w:lineRule="exact"/>
        <w:ind w:left="0" w:right="0" w:hanging="720"/>
        <w:jc w:val="both"/>
        <w:rPr>
          <w:rFonts w:ascii="Times New Roman" w:hAnsi="Times New Roman"/>
        </w:rPr>
      </w:pPr>
      <w:r w:rsidRPr="00BD791C">
        <w:rPr>
          <w:rFonts w:ascii="Times New Roman" w:hAnsi="Times New Roman"/>
        </w:rPr>
        <w:tab/>
        <w:t xml:space="preserve">The question which then arises is whether by cl 24 the parties contracted out of ss 10 and 13 of the </w:t>
      </w:r>
      <w:r w:rsidRPr="00BD791C">
        <w:rPr>
          <w:rFonts w:ascii="Times New Roman" w:hAnsi="Times New Roman"/>
          <w:i/>
        </w:rPr>
        <w:t>Limitation Act</w:t>
      </w:r>
      <w:r w:rsidRPr="00BD791C">
        <w:rPr>
          <w:rFonts w:ascii="Times New Roman" w:hAnsi="Times New Roman"/>
        </w:rPr>
        <w:t>.</w:t>
      </w:r>
      <w:r>
        <w:rPr>
          <w:rFonts w:ascii="Times New Roman" w:hAnsi="Times New Roman"/>
        </w:rPr>
        <w:t xml:space="preserve"> </w:t>
      </w:r>
      <w:r w:rsidRPr="00BD791C">
        <w:rPr>
          <w:rFonts w:ascii="Times New Roman" w:hAnsi="Times New Roman"/>
        </w:rPr>
        <w:t>The construction of cl 24 of each mortgage is to be determined objectively by what reasonable persons in the position of the parties can be taken by adopting the words to have meant</w:t>
      </w:r>
      <w:r w:rsidRPr="00BD791C">
        <w:rPr>
          <w:rStyle w:val="FootnoteReference"/>
          <w:rFonts w:ascii="Times New Roman" w:hAnsi="Times New Roman"/>
          <w:sz w:val="24"/>
        </w:rPr>
        <w:footnoteReference w:id="48"/>
      </w:r>
      <w:r w:rsidRPr="00BD791C">
        <w:rPr>
          <w:rFonts w:ascii="Times New Roman" w:hAnsi="Times New Roman"/>
        </w:rPr>
        <w:t>.</w:t>
      </w:r>
      <w:r>
        <w:rPr>
          <w:rFonts w:ascii="Times New Roman" w:hAnsi="Times New Roman"/>
        </w:rPr>
        <w:t xml:space="preserve"> </w:t>
      </w:r>
      <w:r w:rsidRPr="00BD791C">
        <w:rPr>
          <w:rFonts w:ascii="Times New Roman" w:hAnsi="Times New Roman"/>
        </w:rPr>
        <w:t>That</w:t>
      </w:r>
      <w:r>
        <w:rPr>
          <w:rFonts w:ascii="Times New Roman" w:hAnsi="Times New Roman"/>
        </w:rPr>
        <w:t> </w:t>
      </w:r>
      <w:r w:rsidRPr="00BD791C">
        <w:rPr>
          <w:rFonts w:ascii="Times New Roman" w:hAnsi="Times New Roman"/>
        </w:rPr>
        <w:t>requires consideration, not only of the text of the mortgage, but also of the surrounding circumstances known to the Mortgagee and the Mortgagor, and the purpose and object of the transaction</w:t>
      </w:r>
      <w:r w:rsidRPr="00BD791C">
        <w:rPr>
          <w:rStyle w:val="FootnoteReference"/>
          <w:rFonts w:ascii="Times New Roman" w:hAnsi="Times New Roman"/>
          <w:sz w:val="24"/>
        </w:rPr>
        <w:footnoteReference w:id="49"/>
      </w:r>
      <w:r w:rsidRPr="00BD791C">
        <w:rPr>
          <w:rFonts w:ascii="Times New Roman" w:hAnsi="Times New Roman"/>
        </w:rPr>
        <w:t xml:space="preserve">. </w:t>
      </w:r>
    </w:p>
    <w:p w14:paraId="035D6649" w14:textId="77777777" w:rsidR="008447C0" w:rsidRPr="00BD791C" w:rsidRDefault="008447C0" w:rsidP="008447C0">
      <w:pPr>
        <w:pStyle w:val="FixListStyle"/>
        <w:numPr>
          <w:ilvl w:val="0"/>
          <w:numId w:val="18"/>
        </w:numPr>
        <w:spacing w:after="260" w:line="280" w:lineRule="exact"/>
        <w:ind w:left="0" w:right="0" w:hanging="720"/>
        <w:jc w:val="both"/>
        <w:rPr>
          <w:rFonts w:ascii="Times New Roman" w:hAnsi="Times New Roman"/>
        </w:rPr>
      </w:pPr>
      <w:r w:rsidRPr="00BD791C">
        <w:rPr>
          <w:rFonts w:ascii="Times New Roman" w:hAnsi="Times New Roman"/>
        </w:rPr>
        <w:tab/>
        <w:t>Under each Bill of Mortgage identified land was charged "with the repayment to the Mortgagee of all sums of money" listed under an item which read "Description of debt or liability secured".</w:t>
      </w:r>
      <w:r>
        <w:rPr>
          <w:rFonts w:ascii="Times New Roman" w:hAnsi="Times New Roman"/>
        </w:rPr>
        <w:t xml:space="preserve"> </w:t>
      </w:r>
      <w:r w:rsidRPr="00BD791C">
        <w:rPr>
          <w:rFonts w:ascii="Times New Roman" w:hAnsi="Times New Roman"/>
        </w:rPr>
        <w:t xml:space="preserve">The Mortgagor's covenants with the Mortgagee were set out in a Schedule attached to the Bill of Mortgage and in a document numbered L342365R (filed in the office of the Registrar of Titles) </w:t>
      </w:r>
      <w:r w:rsidRPr="00BD791C">
        <w:rPr>
          <w:rFonts w:ascii="Times New Roman" w:hAnsi="Times New Roman"/>
        </w:rPr>
        <w:lastRenderedPageBreak/>
        <w:t>("the</w:t>
      </w:r>
      <w:r>
        <w:rPr>
          <w:rFonts w:ascii="Times New Roman" w:hAnsi="Times New Roman"/>
        </w:rPr>
        <w:t> </w:t>
      </w:r>
      <w:r w:rsidRPr="00BD791C">
        <w:rPr>
          <w:rFonts w:ascii="Times New Roman" w:hAnsi="Times New Roman"/>
        </w:rPr>
        <w:t>Memorandum").</w:t>
      </w:r>
      <w:r>
        <w:rPr>
          <w:rFonts w:ascii="Times New Roman" w:hAnsi="Times New Roman"/>
        </w:rPr>
        <w:t xml:space="preserve"> </w:t>
      </w:r>
      <w:r w:rsidRPr="00BD791C">
        <w:rPr>
          <w:rFonts w:ascii="Times New Roman" w:hAnsi="Times New Roman"/>
        </w:rPr>
        <w:t>That is consistent with the Bill of Mortgage being a registrable instrument operating as a security and not as a transfer of the land charged</w:t>
      </w:r>
      <w:r w:rsidRPr="00BD791C">
        <w:rPr>
          <w:rStyle w:val="FootnoteReference"/>
          <w:rFonts w:ascii="Times New Roman" w:hAnsi="Times New Roman"/>
          <w:sz w:val="24"/>
        </w:rPr>
        <w:footnoteReference w:id="50"/>
      </w:r>
      <w:r w:rsidRPr="00BD791C">
        <w:rPr>
          <w:rFonts w:ascii="Times New Roman" w:hAnsi="Times New Roman"/>
        </w:rPr>
        <w:t>.</w:t>
      </w:r>
      <w:r>
        <w:rPr>
          <w:rFonts w:ascii="Times New Roman" w:hAnsi="Times New Roman"/>
        </w:rPr>
        <w:t xml:space="preserve"> </w:t>
      </w:r>
    </w:p>
    <w:p w14:paraId="3129C135" w14:textId="77777777" w:rsidR="008447C0" w:rsidRPr="00BD791C" w:rsidRDefault="008447C0" w:rsidP="008447C0">
      <w:pPr>
        <w:pStyle w:val="FixListStyle"/>
        <w:numPr>
          <w:ilvl w:val="0"/>
          <w:numId w:val="18"/>
        </w:numPr>
        <w:spacing w:after="260" w:line="280" w:lineRule="exact"/>
        <w:ind w:left="0" w:right="0" w:hanging="720"/>
        <w:jc w:val="both"/>
        <w:rPr>
          <w:rFonts w:ascii="Times New Roman" w:hAnsi="Times New Roman"/>
        </w:rPr>
      </w:pPr>
      <w:r w:rsidRPr="00BD791C">
        <w:rPr>
          <w:rFonts w:ascii="Times New Roman" w:hAnsi="Times New Roman"/>
        </w:rPr>
        <w:tab/>
        <w:t>The Schedule to the Bill of Mortgage, headed "Mortgagor's Covenant", recorded that the Mortgagee advanced the Principal Sum to the Mortgagor on the terms and conditions set out in the Schedule.</w:t>
      </w:r>
      <w:r>
        <w:rPr>
          <w:rFonts w:ascii="Times New Roman" w:hAnsi="Times New Roman"/>
        </w:rPr>
        <w:t xml:space="preserve"> </w:t>
      </w:r>
      <w:r w:rsidRPr="00BD791C">
        <w:rPr>
          <w:rFonts w:ascii="Times New Roman" w:hAnsi="Times New Roman"/>
        </w:rPr>
        <w:t>Clauses 2 to 6 set the due date for payment being the first day of each month, that the mortgage was for 12 months from the advance of the Principal Sum and that the Mortgagor had a right to repay the Principal Sum earlier than the due date upon certain conditions.</w:t>
      </w:r>
      <w:r>
        <w:rPr>
          <w:rFonts w:ascii="Times New Roman" w:hAnsi="Times New Roman"/>
        </w:rPr>
        <w:t xml:space="preserve"> </w:t>
      </w:r>
    </w:p>
    <w:p w14:paraId="29E5DB0F" w14:textId="77777777" w:rsidR="008447C0" w:rsidRPr="00BD791C" w:rsidRDefault="008447C0" w:rsidP="008447C0">
      <w:pPr>
        <w:pStyle w:val="FixListStyle"/>
        <w:numPr>
          <w:ilvl w:val="0"/>
          <w:numId w:val="18"/>
        </w:numPr>
        <w:spacing w:after="260" w:line="280" w:lineRule="exact"/>
        <w:ind w:left="0" w:right="0" w:hanging="720"/>
        <w:jc w:val="both"/>
        <w:rPr>
          <w:rFonts w:ascii="Times New Roman" w:hAnsi="Times New Roman"/>
        </w:rPr>
      </w:pPr>
      <w:r w:rsidRPr="00BD791C">
        <w:rPr>
          <w:rFonts w:ascii="Times New Roman" w:hAnsi="Times New Roman"/>
        </w:rPr>
        <w:tab/>
        <w:t xml:space="preserve">By cl 7, the Mortgagor covenanted and agreed with the Mortgagee that the provisions </w:t>
      </w:r>
      <w:r w:rsidRPr="00BD791C" w:rsidDel="00ED3ABB">
        <w:rPr>
          <w:rFonts w:ascii="Times New Roman" w:hAnsi="Times New Roman"/>
        </w:rPr>
        <w:t xml:space="preserve">in </w:t>
      </w:r>
      <w:r w:rsidRPr="00BD791C">
        <w:rPr>
          <w:rFonts w:ascii="Times New Roman" w:hAnsi="Times New Roman"/>
        </w:rPr>
        <w:t xml:space="preserve">the Memorandum were deemed to be incorporated in and form part of the mortgage as if fully set out in the Schedule and that each provision of the mortgage (including those in the Memorandum) was deemed to be a covenant and condition between the Mortgagee and the Mortgagor within the meaning of s 76A of the </w:t>
      </w:r>
      <w:r w:rsidRPr="00BD791C">
        <w:rPr>
          <w:rFonts w:ascii="Times New Roman" w:hAnsi="Times New Roman"/>
          <w:i/>
        </w:rPr>
        <w:t xml:space="preserve">Real Property Act 1861-1985 </w:t>
      </w:r>
      <w:r w:rsidRPr="00BD791C">
        <w:rPr>
          <w:rFonts w:ascii="Times New Roman" w:hAnsi="Times New Roman"/>
        </w:rPr>
        <w:t>(Qld)</w:t>
      </w:r>
      <w:r w:rsidRPr="00BD791C">
        <w:rPr>
          <w:rStyle w:val="FootnoteReference"/>
          <w:rFonts w:ascii="Times New Roman" w:hAnsi="Times New Roman"/>
          <w:sz w:val="24"/>
        </w:rPr>
        <w:footnoteReference w:id="51"/>
      </w:r>
      <w:r w:rsidRPr="00BD791C">
        <w:rPr>
          <w:rFonts w:ascii="Times New Roman" w:hAnsi="Times New Roman"/>
        </w:rPr>
        <w:t>.</w:t>
      </w:r>
      <w:r>
        <w:rPr>
          <w:rFonts w:ascii="Times New Roman" w:hAnsi="Times New Roman"/>
        </w:rPr>
        <w:t xml:space="preserve"> </w:t>
      </w:r>
      <w:r w:rsidRPr="00BD791C">
        <w:rPr>
          <w:rFonts w:ascii="Times New Roman" w:hAnsi="Times New Roman"/>
        </w:rPr>
        <w:t>The Mortgagor also covenanted and agreed to duly and punctually observe and perform each and every provision of the mortgage (including those in the Memorandum) and agreed that prior to executing the mortgage, the Mortgagor had received a copy of the mortgage and the Memorandum and read and understood the provisions.</w:t>
      </w:r>
      <w:r>
        <w:rPr>
          <w:rFonts w:ascii="Times New Roman" w:hAnsi="Times New Roman"/>
        </w:rPr>
        <w:t xml:space="preserve"> </w:t>
      </w:r>
      <w:r w:rsidRPr="00BD791C">
        <w:rPr>
          <w:rFonts w:ascii="Times New Roman" w:hAnsi="Times New Roman"/>
        </w:rPr>
        <w:t xml:space="preserve">Section 76A of the </w:t>
      </w:r>
      <w:r w:rsidRPr="00BD791C">
        <w:rPr>
          <w:rFonts w:ascii="Times New Roman" w:hAnsi="Times New Roman"/>
          <w:i/>
        </w:rPr>
        <w:t>Real Property Act</w:t>
      </w:r>
      <w:r w:rsidRPr="00BD791C">
        <w:rPr>
          <w:rFonts w:ascii="Times New Roman" w:hAnsi="Times New Roman"/>
        </w:rPr>
        <w:t xml:space="preserve"> provided for the incorporation of provisions in a registered memorandum.</w:t>
      </w:r>
      <w:r>
        <w:rPr>
          <w:rFonts w:ascii="Times New Roman" w:hAnsi="Times New Roman"/>
        </w:rPr>
        <w:t xml:space="preserve"> </w:t>
      </w:r>
      <w:r w:rsidRPr="00BD791C">
        <w:rPr>
          <w:rFonts w:ascii="Times New Roman" w:hAnsi="Times New Roman"/>
        </w:rPr>
        <w:t>The Memorandum was such a registered memorandum, being</w:t>
      </w:r>
      <w:r w:rsidRPr="00BD791C" w:rsidDel="00ED75B3">
        <w:rPr>
          <w:rFonts w:ascii="Times New Roman" w:hAnsi="Times New Roman"/>
        </w:rPr>
        <w:t xml:space="preserve"> </w:t>
      </w:r>
      <w:r w:rsidRPr="00BD791C">
        <w:rPr>
          <w:rFonts w:ascii="Times New Roman" w:hAnsi="Times New Roman"/>
        </w:rPr>
        <w:t>a document prepared and delivered by an identified firm of solicitors in Queensland and which, when incorporated into the Bill of Mortgage, contained the standard terms and conditions of the mortgage</w:t>
      </w:r>
      <w:r w:rsidRPr="00BD791C">
        <w:rPr>
          <w:rStyle w:val="FootnoteReference"/>
          <w:rFonts w:ascii="Times New Roman" w:hAnsi="Times New Roman"/>
          <w:sz w:val="24"/>
        </w:rPr>
        <w:footnoteReference w:id="52"/>
      </w:r>
      <w:r w:rsidRPr="00BD791C">
        <w:rPr>
          <w:rFonts w:ascii="Times New Roman" w:hAnsi="Times New Roman"/>
        </w:rPr>
        <w:t>.</w:t>
      </w:r>
      <w:r>
        <w:rPr>
          <w:rFonts w:ascii="Times New Roman" w:hAnsi="Times New Roman"/>
        </w:rPr>
        <w:t xml:space="preserve"> </w:t>
      </w:r>
      <w:r w:rsidRPr="00BD791C">
        <w:rPr>
          <w:rFonts w:ascii="Times New Roman" w:hAnsi="Times New Roman"/>
        </w:rPr>
        <w:t>The Memorandum relevantly defined "Mortgage" to mean the mortgage created by the Bill of Mortgage, the Schedule to the Bill of Mortgage and the Memorandum, which were to be "read together as a whole".</w:t>
      </w:r>
      <w:r>
        <w:rPr>
          <w:rFonts w:ascii="Times New Roman" w:hAnsi="Times New Roman"/>
        </w:rPr>
        <w:t xml:space="preserve"> </w:t>
      </w:r>
      <w:r w:rsidRPr="00BD791C">
        <w:rPr>
          <w:rFonts w:ascii="Times New Roman" w:hAnsi="Times New Roman"/>
        </w:rPr>
        <w:t>The Memorandum expressly recognised that not all provisions, including for example those relating to a trustee mortgagor, where the mortgaged land was agricultural land or the guarantor provisions, were intended to apply to every Bill of Mortgage which incorporated the Memorandum.</w:t>
      </w:r>
      <w:r>
        <w:rPr>
          <w:rFonts w:ascii="Times New Roman" w:hAnsi="Times New Roman"/>
        </w:rPr>
        <w:t xml:space="preserve"> </w:t>
      </w:r>
    </w:p>
    <w:p w14:paraId="721188E4" w14:textId="77777777" w:rsidR="008447C0" w:rsidRPr="00BD791C" w:rsidRDefault="008447C0" w:rsidP="008447C0">
      <w:pPr>
        <w:pStyle w:val="FixListStyle"/>
        <w:numPr>
          <w:ilvl w:val="0"/>
          <w:numId w:val="18"/>
        </w:numPr>
        <w:spacing w:after="260" w:line="280" w:lineRule="exact"/>
        <w:ind w:left="0" w:right="0" w:hanging="720"/>
        <w:jc w:val="both"/>
        <w:rPr>
          <w:rFonts w:ascii="Times New Roman" w:hAnsi="Times New Roman"/>
        </w:rPr>
      </w:pPr>
      <w:r w:rsidRPr="00BD791C">
        <w:rPr>
          <w:rFonts w:ascii="Times New Roman" w:hAnsi="Times New Roman"/>
        </w:rPr>
        <w:tab/>
        <w:t>The Memorandum comprised numerous provisions, of which cl 24 was just one, covering a broad range of matters in which the Mortgagor covenanted with the Mortgagee for the benefit of the Mortgagee and to the detriment of the Mortgagor.</w:t>
      </w:r>
      <w:r>
        <w:rPr>
          <w:rFonts w:ascii="Times New Roman" w:hAnsi="Times New Roman"/>
        </w:rPr>
        <w:t xml:space="preserve"> </w:t>
      </w:r>
      <w:r w:rsidRPr="00BD791C">
        <w:rPr>
          <w:rFonts w:ascii="Times New Roman" w:hAnsi="Times New Roman"/>
        </w:rPr>
        <w:t xml:space="preserve">The primacy of the Memorandum is evident on the face of the </w:t>
      </w:r>
      <w:r w:rsidRPr="00BD791C">
        <w:rPr>
          <w:rFonts w:ascii="Times New Roman" w:hAnsi="Times New Roman"/>
        </w:rPr>
        <w:lastRenderedPageBreak/>
        <w:t>document.</w:t>
      </w:r>
      <w:r>
        <w:rPr>
          <w:rFonts w:ascii="Times New Roman" w:hAnsi="Times New Roman"/>
        </w:rPr>
        <w:t xml:space="preserve"> </w:t>
      </w:r>
      <w:r w:rsidRPr="00BD791C">
        <w:rPr>
          <w:rFonts w:ascii="Times New Roman" w:hAnsi="Times New Roman"/>
        </w:rPr>
        <w:t>Clause 38, for example, headed "Statutory Provisions", provided that the Mortgagor covenanted with the Mortgagee "that the covenants powers and provisions implied in mortgages by virtue of statute for the time being in force shall for the purposes hereof be negatived or varied only so far as they are inconsistent with the provisions hereof and are otherwise hereby modified varied or extended so as to become consistent herewith".</w:t>
      </w:r>
    </w:p>
    <w:p w14:paraId="25BD86BE" w14:textId="77777777" w:rsidR="008447C0" w:rsidRPr="00BD791C" w:rsidRDefault="008447C0" w:rsidP="008447C0">
      <w:pPr>
        <w:pStyle w:val="FixListStyle"/>
        <w:numPr>
          <w:ilvl w:val="0"/>
          <w:numId w:val="18"/>
        </w:numPr>
        <w:spacing w:after="260" w:line="280" w:lineRule="exact"/>
        <w:ind w:left="0" w:right="0" w:hanging="720"/>
        <w:jc w:val="both"/>
        <w:rPr>
          <w:rFonts w:ascii="Times New Roman" w:hAnsi="Times New Roman"/>
        </w:rPr>
      </w:pPr>
      <w:r w:rsidRPr="00BD791C">
        <w:rPr>
          <w:rFonts w:ascii="Times New Roman" w:hAnsi="Times New Roman"/>
        </w:rPr>
        <w:tab/>
        <w:t>Consistent with that structure and purpose, by cl 24, headed "Restrictive Legislation", the Mortgagor covenanted with the Mortgagee that "the provisions of all statutes now or hereafter in force" being statutes "whereby or in consequence whereof":</w:t>
      </w:r>
    </w:p>
    <w:p w14:paraId="72E700DC" w14:textId="77777777" w:rsidR="008447C0" w:rsidRDefault="008447C0" w:rsidP="00BD791C">
      <w:pPr>
        <w:pStyle w:val="leftright"/>
        <w:spacing w:before="0" w:after="260" w:line="280" w:lineRule="exact"/>
        <w:ind w:right="0"/>
        <w:jc w:val="both"/>
        <w:rPr>
          <w:rFonts w:ascii="Times New Roman" w:hAnsi="Times New Roman"/>
        </w:rPr>
      </w:pPr>
      <w:r w:rsidRPr="00BD791C">
        <w:rPr>
          <w:rFonts w:ascii="Times New Roman" w:hAnsi="Times New Roman"/>
        </w:rPr>
        <w:t xml:space="preserve">"any o[r] all of the powers rights and remedies of the Mortgagee and the obligations of the Mortgagor hereunder may be </w:t>
      </w:r>
      <w:r w:rsidRPr="00BD791C">
        <w:rPr>
          <w:rFonts w:ascii="Times New Roman" w:hAnsi="Times New Roman"/>
          <w:i/>
        </w:rPr>
        <w:t>curtailed</w:t>
      </w:r>
      <w:r w:rsidRPr="00BD791C">
        <w:rPr>
          <w:rFonts w:ascii="Times New Roman" w:hAnsi="Times New Roman"/>
        </w:rPr>
        <w:t xml:space="preserve">, suspended, postponed, </w:t>
      </w:r>
      <w:r w:rsidRPr="00BD791C">
        <w:rPr>
          <w:rFonts w:ascii="Times New Roman" w:hAnsi="Times New Roman"/>
          <w:i/>
        </w:rPr>
        <w:t>defeated</w:t>
      </w:r>
      <w:r w:rsidRPr="00BD791C">
        <w:rPr>
          <w:rFonts w:ascii="Times New Roman" w:hAnsi="Times New Roman"/>
        </w:rPr>
        <w:t xml:space="preserve"> or extinguished </w:t>
      </w:r>
      <w:r w:rsidRPr="00BD791C">
        <w:rPr>
          <w:rFonts w:ascii="Times New Roman" w:hAnsi="Times New Roman"/>
          <w:i/>
        </w:rPr>
        <w:t>shall not apply hereto and are expressly excluded insofar as this can lawfully be done</w:t>
      </w:r>
      <w:r w:rsidRPr="00BD791C">
        <w:rPr>
          <w:rFonts w:ascii="Times New Roman" w:hAnsi="Times New Roman"/>
        </w:rPr>
        <w:t>". (emphasis added)</w:t>
      </w:r>
    </w:p>
    <w:p w14:paraId="2318EFF6" w14:textId="77777777" w:rsidR="008447C0" w:rsidRPr="00BD791C" w:rsidRDefault="008447C0" w:rsidP="008447C0">
      <w:pPr>
        <w:pStyle w:val="FixListStyle"/>
        <w:numPr>
          <w:ilvl w:val="0"/>
          <w:numId w:val="18"/>
        </w:numPr>
        <w:spacing w:after="260" w:line="280" w:lineRule="exact"/>
        <w:ind w:left="0" w:right="0" w:hanging="720"/>
        <w:jc w:val="both"/>
        <w:rPr>
          <w:rFonts w:ascii="Times New Roman" w:hAnsi="Times New Roman"/>
        </w:rPr>
      </w:pPr>
      <w:r w:rsidRPr="00BD791C">
        <w:rPr>
          <w:rFonts w:ascii="Times New Roman" w:hAnsi="Times New Roman"/>
        </w:rPr>
        <w:tab/>
        <w:t>On its proper construction, cl 24 is a generic "contracting out" of any statutes that would operate to limit the obligations of the Mortgagor or the powers, rights and remedies of the Mortgagee.</w:t>
      </w:r>
      <w:r>
        <w:rPr>
          <w:rFonts w:ascii="Times New Roman" w:hAnsi="Times New Roman"/>
        </w:rPr>
        <w:t xml:space="preserve"> </w:t>
      </w:r>
      <w:r w:rsidRPr="00BD791C">
        <w:rPr>
          <w:rFonts w:ascii="Times New Roman" w:hAnsi="Times New Roman"/>
        </w:rPr>
        <w:t>As is apparent from the words "insofar as this can lawfully be done", the contracting out is to the maximum extent permitted by law.</w:t>
      </w:r>
      <w:r>
        <w:rPr>
          <w:rFonts w:ascii="Times New Roman" w:hAnsi="Times New Roman"/>
        </w:rPr>
        <w:t xml:space="preserve"> </w:t>
      </w:r>
      <w:r w:rsidRPr="00BD791C">
        <w:rPr>
          <w:rFonts w:ascii="Times New Roman" w:hAnsi="Times New Roman"/>
        </w:rPr>
        <w:t>Exactly how the clause operates will vary from statute to statute</w:t>
      </w:r>
      <w:r w:rsidRPr="00BD791C">
        <w:rPr>
          <w:rStyle w:val="FootnoteReference"/>
          <w:rFonts w:ascii="Times New Roman" w:hAnsi="Times New Roman"/>
          <w:sz w:val="24"/>
        </w:rPr>
        <w:footnoteReference w:id="53"/>
      </w:r>
      <w:r w:rsidRPr="00BD791C">
        <w:rPr>
          <w:rFonts w:ascii="Times New Roman" w:hAnsi="Times New Roman"/>
        </w:rPr>
        <w:t>.</w:t>
      </w:r>
      <w:r>
        <w:rPr>
          <w:rFonts w:ascii="Times New Roman" w:hAnsi="Times New Roman"/>
        </w:rPr>
        <w:t xml:space="preserve"> </w:t>
      </w:r>
    </w:p>
    <w:p w14:paraId="0EBA638C" w14:textId="77777777" w:rsidR="008447C0" w:rsidRPr="00BD791C" w:rsidRDefault="008447C0" w:rsidP="008447C0">
      <w:pPr>
        <w:pStyle w:val="FixListStyle"/>
        <w:numPr>
          <w:ilvl w:val="0"/>
          <w:numId w:val="18"/>
        </w:numPr>
        <w:spacing w:after="260" w:line="280" w:lineRule="exact"/>
        <w:ind w:left="0" w:right="0" w:hanging="720"/>
        <w:jc w:val="both"/>
        <w:rPr>
          <w:rFonts w:ascii="Times New Roman" w:hAnsi="Times New Roman"/>
        </w:rPr>
      </w:pPr>
      <w:r w:rsidRPr="00BD791C">
        <w:rPr>
          <w:rFonts w:ascii="Times New Roman" w:hAnsi="Times New Roman"/>
        </w:rPr>
        <w:tab/>
        <w:t xml:space="preserve">In its application to ss 10 and 13 of the </w:t>
      </w:r>
      <w:r w:rsidRPr="00BD791C">
        <w:rPr>
          <w:rFonts w:ascii="Times New Roman" w:hAnsi="Times New Roman"/>
          <w:i/>
        </w:rPr>
        <w:t>Limitation Act</w:t>
      </w:r>
      <w:r w:rsidRPr="00BD791C">
        <w:rPr>
          <w:rFonts w:ascii="Times New Roman" w:hAnsi="Times New Roman"/>
        </w:rPr>
        <w:t>,</w:t>
      </w:r>
      <w:r w:rsidRPr="00BD791C">
        <w:rPr>
          <w:rFonts w:ascii="Times New Roman" w:hAnsi="Times New Roman"/>
          <w:i/>
        </w:rPr>
        <w:t xml:space="preserve"> </w:t>
      </w:r>
      <w:r w:rsidRPr="00BD791C">
        <w:rPr>
          <w:rFonts w:ascii="Times New Roman" w:hAnsi="Times New Roman"/>
        </w:rPr>
        <w:t>cl 24 could not operate as an immediate renunciation or abandonment of the statutory rights of the Mortgagor to plead those sections in defence of an action by the Mortgagee.</w:t>
      </w:r>
      <w:r>
        <w:rPr>
          <w:rFonts w:ascii="Times New Roman" w:hAnsi="Times New Roman"/>
        </w:rPr>
        <w:t xml:space="preserve"> </w:t>
      </w:r>
      <w:r w:rsidRPr="00BD791C">
        <w:rPr>
          <w:rFonts w:ascii="Times New Roman" w:hAnsi="Times New Roman"/>
        </w:rPr>
        <w:t>The</w:t>
      </w:r>
      <w:r>
        <w:rPr>
          <w:rFonts w:ascii="Times New Roman" w:hAnsi="Times New Roman"/>
        </w:rPr>
        <w:t> </w:t>
      </w:r>
      <w:r w:rsidRPr="00BD791C">
        <w:rPr>
          <w:rFonts w:ascii="Times New Roman" w:hAnsi="Times New Roman"/>
        </w:rPr>
        <w:t>maximum extent it could operate was as a contract not to rely on the limitation provisions, a stipulation by the Mortgagor not to plead the statute at any time up to judgment</w:t>
      </w:r>
      <w:r w:rsidRPr="00BD791C">
        <w:rPr>
          <w:rStyle w:val="FootnoteReference"/>
          <w:rFonts w:ascii="Times New Roman" w:hAnsi="Times New Roman"/>
          <w:sz w:val="24"/>
        </w:rPr>
        <w:footnoteReference w:id="54"/>
      </w:r>
      <w:r w:rsidRPr="00BD791C">
        <w:rPr>
          <w:rFonts w:ascii="Times New Roman" w:hAnsi="Times New Roman"/>
        </w:rPr>
        <w:t>.</w:t>
      </w:r>
      <w:r>
        <w:rPr>
          <w:rFonts w:ascii="Times New Roman" w:hAnsi="Times New Roman"/>
        </w:rPr>
        <w:t xml:space="preserve"> </w:t>
      </w:r>
    </w:p>
    <w:p w14:paraId="1F89A7A9" w14:textId="77777777" w:rsidR="008447C0" w:rsidRPr="00BD791C" w:rsidRDefault="008447C0" w:rsidP="008447C0">
      <w:pPr>
        <w:pStyle w:val="FixListStyle"/>
        <w:numPr>
          <w:ilvl w:val="0"/>
          <w:numId w:val="18"/>
        </w:numPr>
        <w:spacing w:after="260" w:line="280" w:lineRule="exact"/>
        <w:ind w:left="0" w:right="0" w:hanging="720"/>
        <w:jc w:val="both"/>
        <w:rPr>
          <w:rFonts w:ascii="Times New Roman" w:hAnsi="Times New Roman"/>
        </w:rPr>
      </w:pPr>
      <w:r w:rsidRPr="00BD791C">
        <w:rPr>
          <w:rFonts w:ascii="Times New Roman" w:hAnsi="Times New Roman"/>
        </w:rPr>
        <w:tab/>
        <w:t xml:space="preserve">Contrary to the contention of the appellants, relying on the decision of the Privy Council in </w:t>
      </w:r>
      <w:r w:rsidRPr="00BD791C">
        <w:rPr>
          <w:rFonts w:ascii="Times New Roman" w:hAnsi="Times New Roman"/>
          <w:i/>
        </w:rPr>
        <w:t xml:space="preserve">East India Co v </w:t>
      </w:r>
      <w:proofErr w:type="spellStart"/>
      <w:r w:rsidRPr="00BD791C">
        <w:rPr>
          <w:rFonts w:ascii="Times New Roman" w:hAnsi="Times New Roman"/>
          <w:i/>
        </w:rPr>
        <w:t>Oditchurn</w:t>
      </w:r>
      <w:proofErr w:type="spellEnd"/>
      <w:r w:rsidRPr="00BD791C">
        <w:rPr>
          <w:rFonts w:ascii="Times New Roman" w:hAnsi="Times New Roman"/>
          <w:i/>
        </w:rPr>
        <w:t xml:space="preserve"> Paul</w:t>
      </w:r>
      <w:r w:rsidRPr="00BD791C">
        <w:rPr>
          <w:rStyle w:val="FootnoteReference"/>
          <w:rFonts w:ascii="Times New Roman" w:hAnsi="Times New Roman"/>
          <w:sz w:val="24"/>
        </w:rPr>
        <w:footnoteReference w:id="55"/>
      </w:r>
      <w:r w:rsidRPr="00BD791C">
        <w:rPr>
          <w:rFonts w:ascii="Times New Roman" w:hAnsi="Times New Roman"/>
        </w:rPr>
        <w:t xml:space="preserve">, the Mortgagee is not confined to an action in damages in the event of the Mortgagor breaching cl 24 by pleading the sections of the </w:t>
      </w:r>
      <w:r w:rsidRPr="00BD791C">
        <w:rPr>
          <w:rFonts w:ascii="Times New Roman" w:hAnsi="Times New Roman"/>
          <w:i/>
        </w:rPr>
        <w:t>Limitation Act</w:t>
      </w:r>
      <w:r w:rsidRPr="00BD791C">
        <w:rPr>
          <w:rFonts w:ascii="Times New Roman" w:hAnsi="Times New Roman"/>
        </w:rPr>
        <w:t xml:space="preserve"> in defence of an action by the Mortgagee.</w:t>
      </w:r>
      <w:r>
        <w:rPr>
          <w:rFonts w:ascii="Times New Roman" w:hAnsi="Times New Roman"/>
        </w:rPr>
        <w:t xml:space="preserve"> </w:t>
      </w:r>
      <w:r w:rsidRPr="00BD791C">
        <w:rPr>
          <w:rFonts w:ascii="Times New Roman" w:hAnsi="Times New Roman"/>
        </w:rPr>
        <w:lastRenderedPageBreak/>
        <w:t>Rejecting a contention that certain negotiations and inquiries "suspended the operation" of the limitations statute applicable to a common law action in an appeal from the discharge of an order nisi for a new trial on the "plea side" of the Supreme Court of Judicature at Calcutta</w:t>
      </w:r>
      <w:r w:rsidRPr="00BD791C">
        <w:rPr>
          <w:rStyle w:val="FootnoteReference"/>
          <w:rFonts w:ascii="Times New Roman" w:hAnsi="Times New Roman"/>
          <w:sz w:val="24"/>
        </w:rPr>
        <w:footnoteReference w:id="56"/>
      </w:r>
      <w:r w:rsidRPr="00BD791C">
        <w:rPr>
          <w:rFonts w:ascii="Times New Roman" w:hAnsi="Times New Roman"/>
        </w:rPr>
        <w:t xml:space="preserve">, the Privy Council in </w:t>
      </w:r>
      <w:r w:rsidRPr="00BD791C">
        <w:rPr>
          <w:rFonts w:ascii="Times New Roman" w:hAnsi="Times New Roman"/>
          <w:i/>
          <w:iCs/>
        </w:rPr>
        <w:t xml:space="preserve">Paul </w:t>
      </w:r>
      <w:r w:rsidRPr="00BD791C">
        <w:rPr>
          <w:rFonts w:ascii="Times New Roman" w:hAnsi="Times New Roman"/>
        </w:rPr>
        <w:t>referred only to the remedy available at common law had there been a breach of a contract not to rely on a limitation provision.</w:t>
      </w:r>
      <w:r>
        <w:rPr>
          <w:rFonts w:ascii="Times New Roman" w:hAnsi="Times New Roman"/>
        </w:rPr>
        <w:t xml:space="preserve"> </w:t>
      </w:r>
      <w:r w:rsidRPr="00BD791C">
        <w:rPr>
          <w:rFonts w:ascii="Times New Roman" w:hAnsi="Times New Roman"/>
        </w:rPr>
        <w:t>The Privy Council did not go on to address the relief that would have been available in equity.</w:t>
      </w:r>
      <w:r>
        <w:rPr>
          <w:rFonts w:ascii="Times New Roman" w:hAnsi="Times New Roman"/>
        </w:rPr>
        <w:t xml:space="preserve"> </w:t>
      </w:r>
      <w:r w:rsidRPr="00BD791C">
        <w:rPr>
          <w:rFonts w:ascii="Times New Roman" w:hAnsi="Times New Roman"/>
          <w:i/>
        </w:rPr>
        <w:t>Paul </w:t>
      </w:r>
      <w:r w:rsidRPr="00BD791C">
        <w:rPr>
          <w:rFonts w:ascii="Times New Roman" w:hAnsi="Times New Roman"/>
        </w:rPr>
        <w:t xml:space="preserve">therefore did not contradict the prior holding of the Court of Chancery in </w:t>
      </w:r>
      <w:r w:rsidRPr="00BD791C">
        <w:rPr>
          <w:rFonts w:ascii="Times New Roman" w:hAnsi="Times New Roman"/>
          <w:i/>
        </w:rPr>
        <w:t>Lade v Trill</w:t>
      </w:r>
      <w:r w:rsidRPr="00BD791C">
        <w:rPr>
          <w:rStyle w:val="FootnoteReference"/>
          <w:rFonts w:ascii="Times New Roman" w:hAnsi="Times New Roman"/>
          <w:sz w:val="24"/>
        </w:rPr>
        <w:footnoteReference w:id="57"/>
      </w:r>
      <w:r w:rsidRPr="00BD791C">
        <w:rPr>
          <w:rFonts w:ascii="Times New Roman" w:hAnsi="Times New Roman"/>
        </w:rPr>
        <w:t xml:space="preserve"> that such a contract ought to be enforced in equity.</w:t>
      </w:r>
      <w:r w:rsidRPr="00BD791C">
        <w:rPr>
          <w:rFonts w:ascii="Times New Roman" w:hAnsi="Times New Roman"/>
          <w:i/>
        </w:rPr>
        <w:t xml:space="preserve"> </w:t>
      </w:r>
    </w:p>
    <w:p w14:paraId="7EF1C1E7" w14:textId="77777777" w:rsidR="008447C0" w:rsidRPr="00BD791C" w:rsidRDefault="008447C0" w:rsidP="008447C0">
      <w:pPr>
        <w:pStyle w:val="FixListStyle"/>
        <w:numPr>
          <w:ilvl w:val="0"/>
          <w:numId w:val="18"/>
        </w:numPr>
        <w:spacing w:after="260" w:line="280" w:lineRule="exact"/>
        <w:ind w:left="0" w:right="0" w:hanging="720"/>
        <w:jc w:val="both"/>
        <w:rPr>
          <w:rFonts w:ascii="Times New Roman" w:hAnsi="Times New Roman"/>
        </w:rPr>
      </w:pPr>
      <w:r w:rsidRPr="00BD791C">
        <w:rPr>
          <w:rFonts w:ascii="Times New Roman" w:hAnsi="Times New Roman"/>
        </w:rPr>
        <w:tab/>
        <w:t>Although damages was and remains a remedy for breach of a contract not to rely on a limitation period at common law, equitable relief in the form of injunction to restrain a breach of contract was and is also an available remedy to restrain a breach of the contractual promise – in effect, a negative stipulation</w:t>
      </w:r>
      <w:r w:rsidRPr="00BD791C">
        <w:rPr>
          <w:rStyle w:val="FootnoteReference"/>
          <w:rFonts w:ascii="Times New Roman" w:hAnsi="Times New Roman"/>
          <w:sz w:val="24"/>
        </w:rPr>
        <w:footnoteReference w:id="58"/>
      </w:r>
      <w:r w:rsidRPr="00BD791C">
        <w:rPr>
          <w:rFonts w:ascii="Times New Roman" w:hAnsi="Times New Roman"/>
        </w:rPr>
        <w:t>.</w:t>
      </w:r>
      <w:r>
        <w:rPr>
          <w:rFonts w:ascii="Times New Roman" w:hAnsi="Times New Roman"/>
        </w:rPr>
        <w:t xml:space="preserve"> </w:t>
      </w:r>
      <w:r w:rsidRPr="00BD791C">
        <w:rPr>
          <w:rFonts w:ascii="Times New Roman" w:hAnsi="Times New Roman"/>
        </w:rPr>
        <w:t>As</w:t>
      </w:r>
      <w:r>
        <w:rPr>
          <w:rFonts w:ascii="Times New Roman" w:hAnsi="Times New Roman"/>
        </w:rPr>
        <w:t> </w:t>
      </w:r>
      <w:r w:rsidRPr="00BD791C">
        <w:rPr>
          <w:rFonts w:ascii="Times New Roman" w:hAnsi="Times New Roman"/>
        </w:rPr>
        <w:t xml:space="preserve">the Court stated in </w:t>
      </w:r>
      <w:r w:rsidRPr="00BD791C">
        <w:rPr>
          <w:rFonts w:ascii="Times New Roman" w:hAnsi="Times New Roman"/>
          <w:i/>
        </w:rPr>
        <w:t>Tabcorp Holdings Ltd v Bowen Investments Pty Ltd</w:t>
      </w:r>
      <w:r w:rsidRPr="00BD791C">
        <w:rPr>
          <w:rStyle w:val="FootnoteReference"/>
          <w:rFonts w:ascii="Times New Roman" w:hAnsi="Times New Roman"/>
          <w:sz w:val="24"/>
        </w:rPr>
        <w:footnoteReference w:id="59"/>
      </w:r>
      <w:r w:rsidRPr="00BD791C">
        <w:rPr>
          <w:rFonts w:ascii="Times New Roman" w:hAnsi="Times New Roman"/>
        </w:rPr>
        <w:t>, where</w:t>
      </w:r>
      <w:r>
        <w:rPr>
          <w:rFonts w:ascii="Times New Roman" w:hAnsi="Times New Roman"/>
        </w:rPr>
        <w:t> </w:t>
      </w:r>
      <w:r w:rsidRPr="00BD791C">
        <w:rPr>
          <w:rFonts w:ascii="Times New Roman" w:hAnsi="Times New Roman"/>
        </w:rPr>
        <w:t>a clear legal duty is imposed by contract to refrain from some act, then, prima facie, an injunction should go to restrain the doing of that act.</w:t>
      </w:r>
      <w:r>
        <w:rPr>
          <w:rFonts w:ascii="Times New Roman" w:hAnsi="Times New Roman"/>
        </w:rPr>
        <w:t xml:space="preserve"> </w:t>
      </w:r>
      <w:r w:rsidRPr="00BD791C">
        <w:rPr>
          <w:rFonts w:ascii="Times New Roman" w:hAnsi="Times New Roman"/>
        </w:rPr>
        <w:t>Put</w:t>
      </w:r>
      <w:r>
        <w:rPr>
          <w:rFonts w:ascii="Times New Roman" w:hAnsi="Times New Roman"/>
        </w:rPr>
        <w:t> </w:t>
      </w:r>
      <w:r w:rsidRPr="00BD791C">
        <w:rPr>
          <w:rFonts w:ascii="Times New Roman" w:hAnsi="Times New Roman"/>
        </w:rPr>
        <w:t>in</w:t>
      </w:r>
      <w:r>
        <w:rPr>
          <w:rFonts w:ascii="Times New Roman" w:hAnsi="Times New Roman"/>
        </w:rPr>
        <w:t> </w:t>
      </w:r>
      <w:r w:rsidRPr="00BD791C">
        <w:rPr>
          <w:rFonts w:ascii="Times New Roman" w:hAnsi="Times New Roman"/>
        </w:rPr>
        <w:t>different terms, if there is a breach of such a contractual promise, specific</w:t>
      </w:r>
      <w:r>
        <w:rPr>
          <w:rFonts w:ascii="Times New Roman" w:hAnsi="Times New Roman"/>
        </w:rPr>
        <w:t> </w:t>
      </w:r>
      <w:r w:rsidRPr="00BD791C">
        <w:rPr>
          <w:rFonts w:ascii="Times New Roman" w:hAnsi="Times New Roman"/>
        </w:rPr>
        <w:t>performance of the contract may be ordered where damages would be inadequate</w:t>
      </w:r>
      <w:r w:rsidRPr="00BD791C">
        <w:rPr>
          <w:rStyle w:val="FootnoteReference"/>
          <w:rFonts w:ascii="Times New Roman" w:hAnsi="Times New Roman"/>
          <w:sz w:val="24"/>
        </w:rPr>
        <w:footnoteReference w:id="60"/>
      </w:r>
      <w:r w:rsidRPr="00BD791C" w:rsidDel="009951B2">
        <w:rPr>
          <w:rFonts w:ascii="Times New Roman" w:hAnsi="Times New Roman"/>
        </w:rPr>
        <w:t>.</w:t>
      </w:r>
      <w:r>
        <w:rPr>
          <w:rFonts w:ascii="Times New Roman" w:hAnsi="Times New Roman"/>
        </w:rPr>
        <w:t xml:space="preserve"> </w:t>
      </w:r>
      <w:r w:rsidRPr="00BD791C">
        <w:rPr>
          <w:rFonts w:ascii="Times New Roman" w:hAnsi="Times New Roman"/>
        </w:rPr>
        <w:t>Under the Judicature system which has existed in Queensland since 1876</w:t>
      </w:r>
      <w:r w:rsidRPr="00BD791C">
        <w:rPr>
          <w:rStyle w:val="FootnoteReference"/>
          <w:rFonts w:ascii="Times New Roman" w:hAnsi="Times New Roman"/>
          <w:sz w:val="24"/>
        </w:rPr>
        <w:footnoteReference w:id="61"/>
      </w:r>
      <w:r w:rsidRPr="00BD791C">
        <w:rPr>
          <w:rFonts w:ascii="Times New Roman" w:hAnsi="Times New Roman"/>
        </w:rPr>
        <w:t>, where equity would restrain by injunction the making of a claim or the raising of a defence, the injunction need not issue.</w:t>
      </w:r>
      <w:r>
        <w:rPr>
          <w:rFonts w:ascii="Times New Roman" w:hAnsi="Times New Roman"/>
        </w:rPr>
        <w:t xml:space="preserve"> </w:t>
      </w:r>
      <w:r w:rsidRPr="00BD791C">
        <w:rPr>
          <w:rFonts w:ascii="Times New Roman" w:hAnsi="Times New Roman"/>
        </w:rPr>
        <w:t>The equitable basis for the injunction can instead be pleaded directly in answer to the making of the claim or the raising of the defence</w:t>
      </w:r>
      <w:r w:rsidRPr="00BD791C">
        <w:rPr>
          <w:rStyle w:val="FootnoteReference"/>
          <w:rFonts w:ascii="Times New Roman" w:hAnsi="Times New Roman"/>
          <w:sz w:val="24"/>
        </w:rPr>
        <w:footnoteReference w:id="62"/>
      </w:r>
      <w:r w:rsidRPr="00BD791C">
        <w:rPr>
          <w:rFonts w:ascii="Times New Roman" w:hAnsi="Times New Roman"/>
        </w:rPr>
        <w:t>.</w:t>
      </w:r>
      <w:r>
        <w:rPr>
          <w:rFonts w:ascii="Times New Roman" w:hAnsi="Times New Roman"/>
        </w:rPr>
        <w:t xml:space="preserve"> </w:t>
      </w:r>
      <w:r w:rsidRPr="00BD791C">
        <w:rPr>
          <w:rFonts w:ascii="Times New Roman" w:hAnsi="Times New Roman"/>
        </w:rPr>
        <w:lastRenderedPageBreak/>
        <w:t>Hence cl 24 was available to be pleaded by the respondents in answer to the</w:t>
      </w:r>
      <w:r w:rsidRPr="00BD791C">
        <w:rPr>
          <w:rFonts w:ascii="Times New Roman" w:hAnsi="Times New Roman"/>
          <w:spacing w:val="-14"/>
        </w:rPr>
        <w:t xml:space="preserve"> </w:t>
      </w:r>
      <w:r w:rsidRPr="00BD791C">
        <w:rPr>
          <w:rFonts w:ascii="Times New Roman" w:hAnsi="Times New Roman"/>
        </w:rPr>
        <w:t xml:space="preserve">appellants' reliance on ss 10 and 13 of the </w:t>
      </w:r>
      <w:r w:rsidRPr="00BD791C">
        <w:rPr>
          <w:rFonts w:ascii="Times New Roman" w:hAnsi="Times New Roman"/>
          <w:i/>
        </w:rPr>
        <w:t>Limitation Act</w:t>
      </w:r>
      <w:r w:rsidRPr="00BD791C">
        <w:rPr>
          <w:rFonts w:ascii="Times New Roman" w:hAnsi="Times New Roman"/>
        </w:rPr>
        <w:t>.</w:t>
      </w:r>
    </w:p>
    <w:p w14:paraId="3AD0A1F5" w14:textId="77777777" w:rsidR="008447C0" w:rsidRDefault="008447C0" w:rsidP="008447C0">
      <w:pPr>
        <w:pStyle w:val="FixListStyle"/>
        <w:numPr>
          <w:ilvl w:val="0"/>
          <w:numId w:val="0"/>
        </w:numPr>
        <w:spacing w:after="260" w:line="280" w:lineRule="exact"/>
        <w:ind w:right="0"/>
        <w:jc w:val="both"/>
        <w:rPr>
          <w:rFonts w:ascii="Times New Roman" w:hAnsi="Times New Roman"/>
        </w:rPr>
      </w:pPr>
    </w:p>
    <w:p w14:paraId="27E70F6C" w14:textId="77777777" w:rsidR="008447C0" w:rsidRDefault="008447C0" w:rsidP="00333D58">
      <w:pPr>
        <w:pStyle w:val="FixListStyle"/>
        <w:spacing w:after="260" w:line="280" w:lineRule="exact"/>
        <w:ind w:right="0"/>
        <w:jc w:val="both"/>
        <w:rPr>
          <w:rFonts w:ascii="Times New Roman" w:hAnsi="Times New Roman"/>
        </w:rPr>
        <w:sectPr w:rsidR="008447C0" w:rsidSect="008447C0">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3116E467" w14:textId="77777777" w:rsidR="008447C0" w:rsidRPr="00372A5A" w:rsidRDefault="008447C0" w:rsidP="008447C0">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372A5A">
        <w:rPr>
          <w:rFonts w:ascii="Times New Roman" w:hAnsi="Times New Roman"/>
        </w:rPr>
        <w:lastRenderedPageBreak/>
        <w:t>STEWARD J.   I agree substantially with the reasons of Kiefel CJ and Edelman J as well as the reasons of Gageler and Gordon JJ, and agree further that this appeal should be dismissed. However, I wish to express my own reasons for dismissing the appeal.</w:t>
      </w:r>
    </w:p>
    <w:p w14:paraId="56450E6C"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 xml:space="preserve">Secured by mortgages over three plots of land, Law Partners Mortgages Pty Ltd ("LPM") lent $320,000 to the appellants in 1998. The date for repayment was ultimately fixed to be 2 July 2000, but the loan was not repaid on that date. A partial repayment was made in November 2000 which reduced the principal owing by $50,000. In August 2017, the respondents, as successors in title to LPM as mortgagee, sued the appellants for repayment of $4,014,969.22 ("the money claim") and to recover possession of the three plots of land ("the possession claim"). The appellants pleaded as a defence that the claims were statute-barred pursuant to ss 10, 13 and 26 of the </w:t>
      </w:r>
      <w:r w:rsidRPr="00372A5A">
        <w:rPr>
          <w:rFonts w:ascii="Times New Roman" w:hAnsi="Times New Roman"/>
          <w:i/>
        </w:rPr>
        <w:t xml:space="preserve">Limitation of Actions Act 1974 </w:t>
      </w:r>
      <w:r w:rsidRPr="00372A5A">
        <w:rPr>
          <w:rFonts w:ascii="Times New Roman" w:hAnsi="Times New Roman"/>
        </w:rPr>
        <w:t xml:space="preserve">(Qld) ("the </w:t>
      </w:r>
      <w:r w:rsidRPr="00372A5A">
        <w:rPr>
          <w:rFonts w:ascii="Times New Roman" w:hAnsi="Times New Roman"/>
          <w:i/>
        </w:rPr>
        <w:t>Limitation Act</w:t>
      </w:r>
      <w:r w:rsidRPr="00372A5A">
        <w:rPr>
          <w:rFonts w:ascii="Times New Roman" w:hAnsi="Times New Roman"/>
        </w:rPr>
        <w:t xml:space="preserve">"). It was not in dispute that, if it were open to the appellants to so plead, the respondents' claims were statute-barred. Two appellants further pleaded that the respondents' titles under the mortgages had been extinguished. The respondents replied that the appellants had covenanted, pursuant to cl 24 of the Bill of Mortgage ("the Mortgage"), as entered into by LPM and the appellants, that they would not plead any defence under the </w:t>
      </w:r>
      <w:r w:rsidRPr="00372A5A">
        <w:rPr>
          <w:rFonts w:ascii="Times New Roman" w:hAnsi="Times New Roman"/>
          <w:i/>
        </w:rPr>
        <w:t>Limitation Act</w:t>
      </w:r>
      <w:r w:rsidRPr="00372A5A">
        <w:rPr>
          <w:rFonts w:ascii="Times New Roman" w:hAnsi="Times New Roman"/>
        </w:rPr>
        <w:t xml:space="preserve"> in proceedings to enforce the respondents' rights as mortgagees. The primary judge (Dalton J), for the purposes of dealing with applications for summary judgment made by both the appellants and the respondents, held that cl 24, correctly construed, could not aid the respondents in respect of the money claim or the possession claim, and that, in respect of the possession claim, s 24 of the </w:t>
      </w:r>
      <w:r w:rsidRPr="00372A5A">
        <w:rPr>
          <w:rFonts w:ascii="Times New Roman" w:hAnsi="Times New Roman"/>
          <w:i/>
        </w:rPr>
        <w:t>Limitation Act</w:t>
      </w:r>
      <w:r w:rsidRPr="00372A5A">
        <w:rPr>
          <w:rFonts w:ascii="Times New Roman" w:hAnsi="Times New Roman"/>
        </w:rPr>
        <w:t xml:space="preserve"> had extinguished the respondents' title to the three plots of land</w:t>
      </w:r>
      <w:r w:rsidRPr="00372A5A">
        <w:rPr>
          <w:rStyle w:val="FootnoteReference"/>
          <w:rFonts w:ascii="Times New Roman" w:hAnsi="Times New Roman"/>
          <w:sz w:val="24"/>
        </w:rPr>
        <w:footnoteReference w:id="63"/>
      </w:r>
      <w:r w:rsidRPr="00372A5A">
        <w:rPr>
          <w:rFonts w:ascii="Times New Roman" w:hAnsi="Times New Roman"/>
        </w:rPr>
        <w:t>. The Court of Appeal of the Supreme Court of Queensland (</w:t>
      </w:r>
      <w:proofErr w:type="spellStart"/>
      <w:r w:rsidRPr="00372A5A">
        <w:rPr>
          <w:rFonts w:ascii="Times New Roman" w:hAnsi="Times New Roman"/>
        </w:rPr>
        <w:t>Sofronoff</w:t>
      </w:r>
      <w:proofErr w:type="spellEnd"/>
      <w:r w:rsidRPr="00372A5A">
        <w:rPr>
          <w:rFonts w:ascii="Times New Roman" w:hAnsi="Times New Roman"/>
        </w:rPr>
        <w:t xml:space="preserve"> P, </w:t>
      </w:r>
      <w:proofErr w:type="spellStart"/>
      <w:r w:rsidRPr="00372A5A">
        <w:rPr>
          <w:rFonts w:ascii="Times New Roman" w:hAnsi="Times New Roman"/>
        </w:rPr>
        <w:t>Gotterson</w:t>
      </w:r>
      <w:proofErr w:type="spellEnd"/>
      <w:r w:rsidRPr="00372A5A">
        <w:rPr>
          <w:rFonts w:ascii="Times New Roman" w:hAnsi="Times New Roman"/>
        </w:rPr>
        <w:t xml:space="preserve"> and Morrison JJA) disagreed</w:t>
      </w:r>
      <w:r w:rsidRPr="00372A5A">
        <w:rPr>
          <w:rStyle w:val="FootnoteReference"/>
          <w:rFonts w:ascii="Times New Roman" w:hAnsi="Times New Roman"/>
          <w:sz w:val="24"/>
        </w:rPr>
        <w:footnoteReference w:id="64"/>
      </w:r>
      <w:r w:rsidRPr="00372A5A">
        <w:rPr>
          <w:rFonts w:ascii="Times New Roman" w:hAnsi="Times New Roman"/>
        </w:rPr>
        <w:t xml:space="preserve">. </w:t>
      </w:r>
    </w:p>
    <w:p w14:paraId="32472F42"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On appeal to this Court, the appellants identified the following three issues for determination:</w:t>
      </w:r>
    </w:p>
    <w:p w14:paraId="6FECD1A3" w14:textId="77777777" w:rsidR="008447C0" w:rsidRPr="00372A5A" w:rsidRDefault="008447C0" w:rsidP="00372A5A">
      <w:pPr>
        <w:pStyle w:val="NormalBody"/>
        <w:spacing w:after="260" w:line="280" w:lineRule="exact"/>
        <w:ind w:right="0"/>
        <w:jc w:val="both"/>
        <w:rPr>
          <w:rFonts w:ascii="Times New Roman" w:hAnsi="Times New Roman"/>
        </w:rPr>
      </w:pPr>
      <w:r w:rsidRPr="00372A5A">
        <w:rPr>
          <w:rFonts w:ascii="Times New Roman" w:hAnsi="Times New Roman"/>
        </w:rPr>
        <w:t>(a)</w:t>
      </w:r>
      <w:r w:rsidRPr="00372A5A">
        <w:rPr>
          <w:rFonts w:ascii="Times New Roman" w:hAnsi="Times New Roman"/>
        </w:rPr>
        <w:tab/>
        <w:t>What is the correct construction of cl 24 of the Mortgage?</w:t>
      </w:r>
    </w:p>
    <w:p w14:paraId="6B33522C" w14:textId="77777777" w:rsidR="008447C0" w:rsidRPr="00372A5A" w:rsidRDefault="008447C0" w:rsidP="00372A5A">
      <w:pPr>
        <w:pStyle w:val="NormalBody"/>
        <w:spacing w:after="260" w:line="280" w:lineRule="exact"/>
        <w:ind w:left="720" w:right="0" w:hanging="720"/>
        <w:jc w:val="both"/>
        <w:rPr>
          <w:rFonts w:ascii="Times New Roman" w:hAnsi="Times New Roman"/>
        </w:rPr>
      </w:pPr>
      <w:r w:rsidRPr="00372A5A">
        <w:rPr>
          <w:rFonts w:ascii="Times New Roman" w:hAnsi="Times New Roman"/>
        </w:rPr>
        <w:t>(b)</w:t>
      </w:r>
      <w:r w:rsidRPr="00372A5A">
        <w:rPr>
          <w:rFonts w:ascii="Times New Roman" w:hAnsi="Times New Roman"/>
        </w:rPr>
        <w:tab/>
        <w:t xml:space="preserve">If, correctly construed, cl 24 prevented the appellants from relying upon the defences available to them under the </w:t>
      </w:r>
      <w:r w:rsidRPr="00372A5A">
        <w:rPr>
          <w:rFonts w:ascii="Times New Roman" w:hAnsi="Times New Roman"/>
          <w:i/>
        </w:rPr>
        <w:t>Limitation Act</w:t>
      </w:r>
      <w:r w:rsidRPr="00372A5A">
        <w:rPr>
          <w:rFonts w:ascii="Times New Roman" w:hAnsi="Times New Roman"/>
        </w:rPr>
        <w:t>, is that clause contrary to public policy and thus void or unenforceable?</w:t>
      </w:r>
    </w:p>
    <w:p w14:paraId="2AE45AD8" w14:textId="77777777" w:rsidR="008447C0" w:rsidRPr="00372A5A" w:rsidRDefault="008447C0" w:rsidP="00372A5A">
      <w:pPr>
        <w:pStyle w:val="NormalBody"/>
        <w:spacing w:after="260" w:line="280" w:lineRule="exact"/>
        <w:ind w:left="720" w:right="0" w:hanging="720"/>
        <w:jc w:val="both"/>
        <w:rPr>
          <w:rFonts w:ascii="Times New Roman" w:hAnsi="Times New Roman"/>
        </w:rPr>
      </w:pPr>
      <w:r w:rsidRPr="00372A5A">
        <w:rPr>
          <w:rFonts w:ascii="Times New Roman" w:hAnsi="Times New Roman"/>
        </w:rPr>
        <w:t>(c)</w:t>
      </w:r>
      <w:r w:rsidRPr="00372A5A">
        <w:rPr>
          <w:rFonts w:ascii="Times New Roman" w:hAnsi="Times New Roman"/>
        </w:rPr>
        <w:tab/>
        <w:t>In any event, should the respondents' proper remedy be confined to damages for breach of contract, and if so, should the respondents be precluded from pursuing any such claim?</w:t>
      </w:r>
    </w:p>
    <w:p w14:paraId="157DE9DC"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lastRenderedPageBreak/>
        <w:tab/>
        <w:t xml:space="preserve">A further and related issue also arises concerning the application of s 24 of the </w:t>
      </w:r>
      <w:r w:rsidRPr="00372A5A">
        <w:rPr>
          <w:rFonts w:ascii="Times New Roman" w:hAnsi="Times New Roman"/>
          <w:i/>
        </w:rPr>
        <w:t>Limitation Act</w:t>
      </w:r>
      <w:r w:rsidRPr="00372A5A">
        <w:rPr>
          <w:rFonts w:ascii="Times New Roman" w:hAnsi="Times New Roman"/>
        </w:rPr>
        <w:t>.</w:t>
      </w:r>
    </w:p>
    <w:p w14:paraId="1A816B26"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 xml:space="preserve">For the reasons set out below, the Queensland Court of Appeal was correct. </w:t>
      </w:r>
    </w:p>
    <w:p w14:paraId="71F85C8E" w14:textId="77777777" w:rsidR="008447C0" w:rsidRPr="00372A5A" w:rsidRDefault="008447C0" w:rsidP="00372A5A">
      <w:pPr>
        <w:pStyle w:val="HeadingL1"/>
        <w:spacing w:after="260" w:line="280" w:lineRule="exact"/>
        <w:ind w:right="0"/>
        <w:jc w:val="both"/>
        <w:rPr>
          <w:rFonts w:ascii="Times New Roman" w:hAnsi="Times New Roman"/>
        </w:rPr>
      </w:pPr>
      <w:r w:rsidRPr="00372A5A">
        <w:rPr>
          <w:rFonts w:ascii="Times New Roman" w:hAnsi="Times New Roman"/>
        </w:rPr>
        <w:t>The correct construction of cl 24</w:t>
      </w:r>
    </w:p>
    <w:p w14:paraId="6003A5ED"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Clause 24 of the Mortgage should be set out in full. It provides:</w:t>
      </w:r>
    </w:p>
    <w:p w14:paraId="07015622" w14:textId="77777777" w:rsidR="008447C0" w:rsidRPr="00372A5A" w:rsidRDefault="008447C0" w:rsidP="00372A5A">
      <w:pPr>
        <w:pStyle w:val="LeftrightafterHC"/>
        <w:spacing w:before="0" w:after="260" w:line="280" w:lineRule="exact"/>
        <w:ind w:right="0"/>
        <w:jc w:val="both"/>
        <w:rPr>
          <w:rFonts w:ascii="Times New Roman" w:hAnsi="Times New Roman"/>
        </w:rPr>
      </w:pPr>
      <w:r w:rsidRPr="00372A5A">
        <w:rPr>
          <w:rFonts w:ascii="Times New Roman" w:hAnsi="Times New Roman"/>
        </w:rPr>
        <w:t>"</w:t>
      </w:r>
      <w:r w:rsidRPr="00372A5A">
        <w:rPr>
          <w:rFonts w:ascii="Times New Roman" w:hAnsi="Times New Roman"/>
          <w:u w:val="single"/>
        </w:rPr>
        <w:t>RESTRICTIVE LEGISLATION</w:t>
      </w:r>
    </w:p>
    <w:p w14:paraId="59521271" w14:textId="77777777" w:rsidR="008447C0" w:rsidRDefault="008447C0" w:rsidP="00372A5A">
      <w:pPr>
        <w:pStyle w:val="leftright"/>
        <w:spacing w:before="0" w:after="260" w:line="280" w:lineRule="exact"/>
        <w:ind w:right="0"/>
        <w:jc w:val="both"/>
        <w:rPr>
          <w:rFonts w:ascii="Times New Roman" w:hAnsi="Times New Roman"/>
        </w:rPr>
      </w:pPr>
      <w:r w:rsidRPr="00372A5A">
        <w:rPr>
          <w:rFonts w:ascii="Times New Roman" w:hAnsi="Times New Roman"/>
        </w:rPr>
        <w:t>The Mortgagor covenants with the Mortgage[e] that the provisions of all statutes now or hereafter in force whereby or in consequence whereof any o[r] all of the powers rights and remedies of the Mortgagee and the obligations of the Mortgagor hereunder may be curtailed, suspended, postponed, defeated or extinguished shall not apply hereto and are expressly excluded insofar as this can lawfully be done."</w:t>
      </w:r>
    </w:p>
    <w:p w14:paraId="3C9A6CD1"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 xml:space="preserve">This clause has obvious shortcomings. Nonetheless, in the Queensland Court of Appeal, </w:t>
      </w:r>
      <w:proofErr w:type="spellStart"/>
      <w:r w:rsidRPr="00372A5A">
        <w:rPr>
          <w:rFonts w:ascii="Times New Roman" w:hAnsi="Times New Roman"/>
        </w:rPr>
        <w:t>Gotterson</w:t>
      </w:r>
      <w:proofErr w:type="spellEnd"/>
      <w:r w:rsidRPr="00372A5A">
        <w:rPr>
          <w:rFonts w:ascii="Times New Roman" w:hAnsi="Times New Roman"/>
        </w:rPr>
        <w:t xml:space="preserve"> JA, with whose reasons </w:t>
      </w:r>
      <w:proofErr w:type="spellStart"/>
      <w:r w:rsidRPr="00372A5A">
        <w:rPr>
          <w:rFonts w:ascii="Times New Roman" w:hAnsi="Times New Roman"/>
        </w:rPr>
        <w:t>Sofronoff</w:t>
      </w:r>
      <w:proofErr w:type="spellEnd"/>
      <w:r w:rsidRPr="00372A5A">
        <w:rPr>
          <w:rFonts w:ascii="Times New Roman" w:hAnsi="Times New Roman"/>
        </w:rPr>
        <w:t xml:space="preserve"> P and Morrison JA agreed, was of the view that the primary judge had correctly concluded that the words "suspended", "postponed" and "extinguished" in cl 24 were "inapt" to describe the effect of invoking a defence that a claim had been statute-barred by the </w:t>
      </w:r>
      <w:r w:rsidRPr="00372A5A">
        <w:rPr>
          <w:rFonts w:ascii="Times New Roman" w:hAnsi="Times New Roman"/>
          <w:i/>
        </w:rPr>
        <w:t>Limitation Act</w:t>
      </w:r>
      <w:r w:rsidRPr="00372A5A">
        <w:rPr>
          <w:rStyle w:val="FootnoteReference"/>
          <w:rFonts w:ascii="Times New Roman" w:hAnsi="Times New Roman"/>
          <w:sz w:val="24"/>
        </w:rPr>
        <w:footnoteReference w:id="65"/>
      </w:r>
      <w:r w:rsidRPr="00372A5A">
        <w:rPr>
          <w:rFonts w:ascii="Times New Roman" w:hAnsi="Times New Roman"/>
        </w:rPr>
        <w:t>. However, his Honour was also of the view that the word "defeated" in that clause did sufficiently describe that effect</w:t>
      </w:r>
      <w:r w:rsidRPr="00372A5A">
        <w:rPr>
          <w:rStyle w:val="FootnoteReference"/>
          <w:rFonts w:ascii="Times New Roman" w:hAnsi="Times New Roman"/>
          <w:sz w:val="24"/>
        </w:rPr>
        <w:footnoteReference w:id="66"/>
      </w:r>
      <w:r w:rsidRPr="00372A5A">
        <w:rPr>
          <w:rFonts w:ascii="Times New Roman" w:hAnsi="Times New Roman"/>
        </w:rPr>
        <w:t>. This was consistent with the use of the word "defeat" by Australian courts, including this Court, to describe the consequence of a plea that a claim was statute-barred</w:t>
      </w:r>
      <w:r w:rsidRPr="00372A5A">
        <w:rPr>
          <w:rStyle w:val="FootnoteReference"/>
          <w:rFonts w:ascii="Times New Roman" w:hAnsi="Times New Roman"/>
          <w:sz w:val="24"/>
        </w:rPr>
        <w:footnoteReference w:id="67"/>
      </w:r>
      <w:r w:rsidRPr="00372A5A">
        <w:rPr>
          <w:rFonts w:ascii="Times New Roman" w:hAnsi="Times New Roman"/>
        </w:rPr>
        <w:t>.</w:t>
      </w:r>
    </w:p>
    <w:p w14:paraId="0B4D59C2"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The appellants made four points. First, they submitted that "strong words" are necessary to contract out of a benefit conferred by a statute</w:t>
      </w:r>
      <w:r w:rsidRPr="00372A5A">
        <w:rPr>
          <w:rStyle w:val="FootnoteReference"/>
          <w:rFonts w:ascii="Times New Roman" w:hAnsi="Times New Roman"/>
          <w:sz w:val="24"/>
        </w:rPr>
        <w:footnoteReference w:id="68"/>
      </w:r>
      <w:r w:rsidRPr="00372A5A">
        <w:rPr>
          <w:rFonts w:ascii="Times New Roman" w:hAnsi="Times New Roman"/>
        </w:rPr>
        <w:t xml:space="preserve">. Here, the </w:t>
      </w:r>
      <w:r w:rsidRPr="00372A5A">
        <w:rPr>
          <w:rFonts w:ascii="Times New Roman" w:hAnsi="Times New Roman"/>
        </w:rPr>
        <w:lastRenderedPageBreak/>
        <w:t>language deployed by cl 24 was said to be too vague</w:t>
      </w:r>
      <w:r w:rsidRPr="00372A5A">
        <w:rPr>
          <w:rStyle w:val="FootnoteReference"/>
          <w:rFonts w:ascii="Times New Roman" w:hAnsi="Times New Roman"/>
          <w:sz w:val="24"/>
        </w:rPr>
        <w:footnoteReference w:id="69"/>
      </w:r>
      <w:r w:rsidRPr="00372A5A">
        <w:rPr>
          <w:rFonts w:ascii="Times New Roman" w:hAnsi="Times New Roman"/>
        </w:rPr>
        <w:t xml:space="preserve">; the </w:t>
      </w:r>
      <w:r w:rsidRPr="00372A5A">
        <w:rPr>
          <w:rFonts w:ascii="Times New Roman" w:hAnsi="Times New Roman"/>
          <w:i/>
        </w:rPr>
        <w:t>Limitation Act</w:t>
      </w:r>
      <w:r w:rsidRPr="00372A5A">
        <w:rPr>
          <w:rFonts w:ascii="Times New Roman" w:hAnsi="Times New Roman"/>
        </w:rPr>
        <w:t xml:space="preserve"> is not expressly named in it, nor is that Act identified by reference to some specified "class" of enactments. Rather, the clause seeks to defeat in relevant circumstances "the provisions of all statutes". Such generalised language should not be used, it was said, to defeat the defences available to the appellants under the </w:t>
      </w:r>
      <w:r w:rsidRPr="00372A5A">
        <w:rPr>
          <w:rFonts w:ascii="Times New Roman" w:hAnsi="Times New Roman"/>
          <w:i/>
        </w:rPr>
        <w:t>Limitation Act</w:t>
      </w:r>
      <w:r w:rsidRPr="00372A5A">
        <w:rPr>
          <w:rFonts w:ascii="Times New Roman" w:hAnsi="Times New Roman"/>
        </w:rPr>
        <w:t xml:space="preserve">, especially when the "onus" was on the respondents to show that the clause was efficacious. Secondly, it was contended that the language of cl 24 is not promissory at all, but merely recites a state of affairs. It was contended that cl 24, by its terms, did not oblige the appellants not to plead available defences under the </w:t>
      </w:r>
      <w:r w:rsidRPr="00372A5A">
        <w:rPr>
          <w:rFonts w:ascii="Times New Roman" w:hAnsi="Times New Roman"/>
          <w:i/>
        </w:rPr>
        <w:t>Limitation Act</w:t>
      </w:r>
      <w:r w:rsidRPr="00372A5A">
        <w:rPr>
          <w:rFonts w:ascii="Times New Roman" w:hAnsi="Times New Roman"/>
        </w:rPr>
        <w:t xml:space="preserve">. Thirdly, it was submitted that because cl 24 is ambiguous, that ambiguity should be resolved against the respondents in accordance with the principle </w:t>
      </w:r>
      <w:bookmarkStart w:id="3" w:name="_Hlk66885942"/>
      <w:proofErr w:type="spellStart"/>
      <w:r w:rsidRPr="00372A5A">
        <w:rPr>
          <w:rFonts w:ascii="Times New Roman" w:hAnsi="Times New Roman"/>
          <w:i/>
          <w:iCs/>
        </w:rPr>
        <w:t>verba</w:t>
      </w:r>
      <w:proofErr w:type="spellEnd"/>
      <w:r w:rsidRPr="00372A5A">
        <w:rPr>
          <w:rFonts w:ascii="Times New Roman" w:hAnsi="Times New Roman"/>
          <w:i/>
          <w:iCs/>
        </w:rPr>
        <w:t xml:space="preserve"> </w:t>
      </w:r>
      <w:proofErr w:type="spellStart"/>
      <w:r w:rsidRPr="00372A5A">
        <w:rPr>
          <w:rFonts w:ascii="Times New Roman" w:hAnsi="Times New Roman"/>
          <w:i/>
          <w:iCs/>
        </w:rPr>
        <w:t>chartarum</w:t>
      </w:r>
      <w:proofErr w:type="spellEnd"/>
      <w:r w:rsidRPr="00372A5A">
        <w:rPr>
          <w:rFonts w:ascii="Times New Roman" w:hAnsi="Times New Roman"/>
          <w:i/>
          <w:iCs/>
        </w:rPr>
        <w:t xml:space="preserve"> </w:t>
      </w:r>
      <w:proofErr w:type="spellStart"/>
      <w:r w:rsidRPr="00372A5A">
        <w:rPr>
          <w:rFonts w:ascii="Times New Roman" w:hAnsi="Times New Roman"/>
          <w:i/>
          <w:iCs/>
        </w:rPr>
        <w:t>fortius</w:t>
      </w:r>
      <w:proofErr w:type="spellEnd"/>
      <w:r w:rsidRPr="00372A5A">
        <w:rPr>
          <w:rFonts w:ascii="Times New Roman" w:hAnsi="Times New Roman"/>
          <w:i/>
          <w:iCs/>
        </w:rPr>
        <w:t xml:space="preserve"> </w:t>
      </w:r>
      <w:proofErr w:type="spellStart"/>
      <w:r w:rsidRPr="00372A5A">
        <w:rPr>
          <w:rFonts w:ascii="Times New Roman" w:hAnsi="Times New Roman"/>
          <w:i/>
          <w:iCs/>
        </w:rPr>
        <w:t>accipiuntur</w:t>
      </w:r>
      <w:proofErr w:type="spellEnd"/>
      <w:r w:rsidRPr="00372A5A">
        <w:rPr>
          <w:rFonts w:ascii="Times New Roman" w:hAnsi="Times New Roman"/>
          <w:i/>
          <w:iCs/>
        </w:rPr>
        <w:t xml:space="preserve"> contra proferentem</w:t>
      </w:r>
      <w:bookmarkEnd w:id="3"/>
      <w:r w:rsidRPr="00372A5A">
        <w:rPr>
          <w:rStyle w:val="FootnoteReference"/>
          <w:rFonts w:ascii="Times New Roman" w:hAnsi="Times New Roman"/>
          <w:iCs/>
          <w:sz w:val="24"/>
        </w:rPr>
        <w:footnoteReference w:id="70"/>
      </w:r>
      <w:r w:rsidRPr="00372A5A">
        <w:rPr>
          <w:rFonts w:ascii="Times New Roman" w:hAnsi="Times New Roman"/>
          <w:iCs/>
        </w:rPr>
        <w:t>. This was the view of the primary judge, who applied that doctrine in favour of the appellants</w:t>
      </w:r>
      <w:r w:rsidRPr="00372A5A">
        <w:rPr>
          <w:rStyle w:val="FootnoteReference"/>
          <w:rFonts w:ascii="Times New Roman" w:hAnsi="Times New Roman"/>
          <w:iCs/>
          <w:sz w:val="24"/>
        </w:rPr>
        <w:footnoteReference w:id="71"/>
      </w:r>
      <w:r w:rsidRPr="00372A5A">
        <w:rPr>
          <w:rFonts w:ascii="Times New Roman" w:hAnsi="Times New Roman"/>
          <w:iCs/>
        </w:rPr>
        <w:t xml:space="preserve">. Finally, the appellants submitted that it was not the </w:t>
      </w:r>
      <w:r w:rsidRPr="00372A5A">
        <w:rPr>
          <w:rFonts w:ascii="Times New Roman" w:hAnsi="Times New Roman"/>
          <w:i/>
          <w:iCs/>
        </w:rPr>
        <w:t>Limitation Act</w:t>
      </w:r>
      <w:r w:rsidRPr="00372A5A">
        <w:rPr>
          <w:rFonts w:ascii="Times New Roman" w:hAnsi="Times New Roman"/>
          <w:iCs/>
        </w:rPr>
        <w:t xml:space="preserve"> "whereby or in consequence whereof", to use the language of cl 24, the respondents' claims were defeated. Rather, it was the act of the appellants in pleading the limitation defence that barred the respondents' claims. Clause 24, it was said, is directed only to the defeating of rights by provisions of statutes, and not by the exercise of rights conferred by them.</w:t>
      </w:r>
    </w:p>
    <w:p w14:paraId="3179140F"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Three propositions are applicable. First, it was never suggested that the Mortgage was anything other than the product of free negotiation between parties contracting at arm's length</w:t>
      </w:r>
      <w:r w:rsidRPr="00372A5A">
        <w:rPr>
          <w:rStyle w:val="FootnoteReference"/>
          <w:rFonts w:ascii="Times New Roman" w:hAnsi="Times New Roman"/>
          <w:sz w:val="24"/>
        </w:rPr>
        <w:footnoteReference w:id="72"/>
      </w:r>
      <w:r w:rsidRPr="00372A5A">
        <w:rPr>
          <w:rFonts w:ascii="Times New Roman" w:hAnsi="Times New Roman"/>
        </w:rPr>
        <w:t>. Clause 24 was part of that bargain. Its inclusion may possibly have affected decisions concerning whether to advance monies to the appellants, or what interest rate should be set. Secondly, notwithstanding arguable deficiencies in a contract, a court must strive to give meaning and effect to all of its clauses</w:t>
      </w:r>
      <w:r w:rsidRPr="00372A5A">
        <w:rPr>
          <w:rStyle w:val="FootnoteReference"/>
          <w:rFonts w:ascii="Times New Roman" w:hAnsi="Times New Roman"/>
          <w:sz w:val="24"/>
        </w:rPr>
        <w:footnoteReference w:id="73"/>
      </w:r>
      <w:r w:rsidRPr="00372A5A">
        <w:rPr>
          <w:rFonts w:ascii="Times New Roman" w:hAnsi="Times New Roman"/>
        </w:rPr>
        <w:t xml:space="preserve">. Here, it is more than possible to do so with respect to cl 24. Thirdly, because the Mortgage is a commercial contract, the meaning of its terms is to be determined objectively by what a reasonable business person would have </w:t>
      </w:r>
      <w:r w:rsidRPr="00372A5A">
        <w:rPr>
          <w:rFonts w:ascii="Times New Roman" w:hAnsi="Times New Roman"/>
        </w:rPr>
        <w:lastRenderedPageBreak/>
        <w:t>understood them to mean</w:t>
      </w:r>
      <w:r w:rsidRPr="00372A5A">
        <w:rPr>
          <w:rStyle w:val="FootnoteReference"/>
          <w:rFonts w:ascii="Times New Roman" w:hAnsi="Times New Roman"/>
          <w:sz w:val="24"/>
        </w:rPr>
        <w:footnoteReference w:id="74"/>
      </w:r>
      <w:r w:rsidRPr="00372A5A">
        <w:rPr>
          <w:rFonts w:ascii="Times New Roman" w:hAnsi="Times New Roman"/>
        </w:rPr>
        <w:t>. This requires the court to consider the language used by the parties, the circumstances known to them and the commercial purpose or objects which the contract was intended to secure</w:t>
      </w:r>
      <w:r w:rsidRPr="00372A5A">
        <w:rPr>
          <w:rStyle w:val="FootnoteReference"/>
          <w:rFonts w:ascii="Times New Roman" w:hAnsi="Times New Roman"/>
          <w:sz w:val="24"/>
        </w:rPr>
        <w:footnoteReference w:id="75"/>
      </w:r>
      <w:r w:rsidRPr="00372A5A">
        <w:rPr>
          <w:rFonts w:ascii="Times New Roman" w:hAnsi="Times New Roman"/>
        </w:rPr>
        <w:t>.</w:t>
      </w:r>
    </w:p>
    <w:p w14:paraId="0D036037"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 xml:space="preserve">Turning to the language of cl 24, the phrase "provisions of all statutes" plainly includes the </w:t>
      </w:r>
      <w:r w:rsidRPr="00372A5A">
        <w:rPr>
          <w:rFonts w:ascii="Times New Roman" w:hAnsi="Times New Roman"/>
          <w:i/>
        </w:rPr>
        <w:t>Limitation Act</w:t>
      </w:r>
      <w:r w:rsidRPr="00372A5A">
        <w:rPr>
          <w:rFonts w:ascii="Times New Roman" w:hAnsi="Times New Roman"/>
        </w:rPr>
        <w:t xml:space="preserve">. Then there are the words "powers rights and remedies". There is no reason to doubt that these words encompass the respondents' right to possession of the three plots of land. As </w:t>
      </w:r>
      <w:proofErr w:type="spellStart"/>
      <w:r w:rsidRPr="00372A5A">
        <w:rPr>
          <w:rFonts w:ascii="Times New Roman" w:hAnsi="Times New Roman"/>
        </w:rPr>
        <w:t>Gotterson</w:t>
      </w:r>
      <w:proofErr w:type="spellEnd"/>
      <w:r w:rsidRPr="00372A5A">
        <w:rPr>
          <w:rFonts w:ascii="Times New Roman" w:hAnsi="Times New Roman"/>
        </w:rPr>
        <w:t xml:space="preserve"> JA observed, the word "defeated" invites consideration, in a given case, as to what is to happen, or has happened, to those "powers rights and remedies" of a mortgagee. Where they have, by statute, been denied, they have in such a case been "defeated". As </w:t>
      </w:r>
      <w:proofErr w:type="spellStart"/>
      <w:r w:rsidRPr="00372A5A">
        <w:rPr>
          <w:rFonts w:ascii="Times New Roman" w:hAnsi="Times New Roman"/>
        </w:rPr>
        <w:t>Gotterson</w:t>
      </w:r>
      <w:proofErr w:type="spellEnd"/>
      <w:r w:rsidRPr="00372A5A">
        <w:rPr>
          <w:rFonts w:ascii="Times New Roman" w:hAnsi="Times New Roman"/>
        </w:rPr>
        <w:t xml:space="preserve"> JA said</w:t>
      </w:r>
      <w:r w:rsidRPr="00372A5A">
        <w:rPr>
          <w:rStyle w:val="FootnoteReference"/>
          <w:rFonts w:ascii="Times New Roman" w:hAnsi="Times New Roman"/>
          <w:sz w:val="24"/>
        </w:rPr>
        <w:footnoteReference w:id="76"/>
      </w:r>
      <w:r w:rsidRPr="00372A5A">
        <w:rPr>
          <w:rFonts w:ascii="Times New Roman" w:hAnsi="Times New Roman"/>
        </w:rPr>
        <w:t>:</w:t>
      </w:r>
    </w:p>
    <w:p w14:paraId="558ECC83" w14:textId="77777777" w:rsidR="008447C0" w:rsidRDefault="008447C0" w:rsidP="00372A5A">
      <w:pPr>
        <w:pStyle w:val="LRIndentafterHC"/>
        <w:spacing w:before="0" w:after="260" w:line="280" w:lineRule="exact"/>
        <w:ind w:right="0"/>
        <w:jc w:val="both"/>
        <w:rPr>
          <w:rFonts w:ascii="Times New Roman" w:hAnsi="Times New Roman"/>
        </w:rPr>
      </w:pPr>
      <w:r w:rsidRPr="00372A5A">
        <w:rPr>
          <w:rFonts w:ascii="Times New Roman" w:hAnsi="Times New Roman"/>
        </w:rPr>
        <w:t xml:space="preserve">"It is the past participle 'defeated' in the passive voice that is used in cl 24 to describe the requisite result, namely, that the power, right or remedy may be defeated. In that way, the clause accommodates conduct by the mortgagor to trigger the operation of the statutory provision with the result that the mortgagee's power, right or remedy might be defeated. As well, the </w:t>
      </w:r>
      <w:r w:rsidRPr="00372A5A">
        <w:rPr>
          <w:rFonts w:ascii="Times New Roman" w:hAnsi="Times New Roman"/>
        </w:rPr>
        <w:lastRenderedPageBreak/>
        <w:t>words 'may be', rather than the word 'is', are used to describe the result. Those words have a flexibility that comprehends a decision on the part of the mortgagor whether or not to plead a statutory provision in order for the mortgagee's power, right or remedy to be defeated by operation of the provision."</w:t>
      </w:r>
    </w:p>
    <w:p w14:paraId="62488FB6"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 xml:space="preserve">Further, it is also pursuant to the provisions of the </w:t>
      </w:r>
      <w:r w:rsidRPr="00372A5A">
        <w:rPr>
          <w:rFonts w:ascii="Times New Roman" w:hAnsi="Times New Roman"/>
          <w:i/>
        </w:rPr>
        <w:t>Limitation Act</w:t>
      </w:r>
      <w:r w:rsidRPr="00372A5A">
        <w:rPr>
          <w:rFonts w:ascii="Times New Roman" w:hAnsi="Times New Roman"/>
        </w:rPr>
        <w:t xml:space="preserve"> "whereby or in consequence whereof" the appellants may plead that a claim has been defeated. The phrase "shall not apply hereto and are expressly excluded" aptly expresses the appellants' promise, to the extent they can perform it, not to invoke various statutory protections or defences available to the appellants, including defences under the </w:t>
      </w:r>
      <w:r w:rsidRPr="00372A5A">
        <w:rPr>
          <w:rFonts w:ascii="Times New Roman" w:hAnsi="Times New Roman"/>
          <w:i/>
        </w:rPr>
        <w:t>Limitation Act</w:t>
      </w:r>
      <w:r w:rsidRPr="00372A5A">
        <w:rPr>
          <w:rFonts w:ascii="Times New Roman" w:hAnsi="Times New Roman"/>
        </w:rPr>
        <w:t xml:space="preserve">. Finally, the phrase "insofar as this can lawfully be done" at the end of cl 24 probably adds little to the content of the appellants' covenant, but it does highlight that not every statute adversely affecting the respondents' "powers rights and remedies" could lawfully be excluded by the Mortgage. </w:t>
      </w:r>
    </w:p>
    <w:p w14:paraId="14BE15F5"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 xml:space="preserve">Turning to the appellants' contentions, whatever might be meant by their submission that "strong words" are needed to contract out of a private benefit conferred by a statute, by reason of the foregoing, the language in cl 24 is sufficient to achieve that legal effect in relation to the defences that might be invoked under the </w:t>
      </w:r>
      <w:r w:rsidRPr="00372A5A">
        <w:rPr>
          <w:rFonts w:ascii="Times New Roman" w:hAnsi="Times New Roman"/>
          <w:i/>
        </w:rPr>
        <w:t>Limitation Act</w:t>
      </w:r>
      <w:r w:rsidRPr="00372A5A">
        <w:rPr>
          <w:rFonts w:ascii="Times New Roman" w:hAnsi="Times New Roman"/>
        </w:rPr>
        <w:t xml:space="preserve">. </w:t>
      </w:r>
    </w:p>
    <w:p w14:paraId="5B5D0D80"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Contrary to the appellants' submission, cl 24 contains language which is promissory in nature. It states that the mortgagor "covenants" with the mortgagee that statutes which have certain effects on the powers, rights and remedies of the mortgagee "shall not apply ... and are expressly excluded". Although the language is clumsy, it should not be read as some declaration concerning the legal reach of Acts of Parliament. Rather, the Mortgage should be construed "so as to avoid it 'making commercial nonsense ...'"</w:t>
      </w:r>
      <w:r w:rsidRPr="00372A5A">
        <w:rPr>
          <w:rStyle w:val="FootnoteReference"/>
          <w:rFonts w:ascii="Times New Roman" w:hAnsi="Times New Roman"/>
          <w:sz w:val="24"/>
        </w:rPr>
        <w:footnoteReference w:id="77"/>
      </w:r>
      <w:r w:rsidRPr="00372A5A">
        <w:rPr>
          <w:rFonts w:ascii="Times New Roman" w:hAnsi="Times New Roman"/>
        </w:rPr>
        <w:t>. Accordingly, these words should be read as a reference to a promise not to invoke a benefit conferred by statute which permits the mortgagor to defeat the powers, rights and remedies of the mortgagee.</w:t>
      </w:r>
    </w:p>
    <w:p w14:paraId="1BDBDBDE"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lastRenderedPageBreak/>
        <w:tab/>
        <w:t>The "seldom to be resorted to"</w:t>
      </w:r>
      <w:r w:rsidRPr="00372A5A">
        <w:rPr>
          <w:rStyle w:val="FootnoteReference"/>
          <w:rFonts w:ascii="Times New Roman" w:hAnsi="Times New Roman"/>
          <w:sz w:val="24"/>
        </w:rPr>
        <w:footnoteReference w:id="78"/>
      </w:r>
      <w:r w:rsidRPr="00372A5A">
        <w:rPr>
          <w:rFonts w:ascii="Times New Roman" w:hAnsi="Times New Roman"/>
        </w:rPr>
        <w:t xml:space="preserve"> principle </w:t>
      </w:r>
      <w:proofErr w:type="spellStart"/>
      <w:r w:rsidRPr="00372A5A">
        <w:rPr>
          <w:rFonts w:ascii="Times New Roman" w:hAnsi="Times New Roman"/>
          <w:i/>
          <w:iCs/>
        </w:rPr>
        <w:t>verba</w:t>
      </w:r>
      <w:proofErr w:type="spellEnd"/>
      <w:r w:rsidRPr="00372A5A">
        <w:rPr>
          <w:rFonts w:ascii="Times New Roman" w:hAnsi="Times New Roman"/>
          <w:i/>
          <w:iCs/>
        </w:rPr>
        <w:t xml:space="preserve"> </w:t>
      </w:r>
      <w:proofErr w:type="spellStart"/>
      <w:r w:rsidRPr="00372A5A">
        <w:rPr>
          <w:rFonts w:ascii="Times New Roman" w:hAnsi="Times New Roman"/>
          <w:i/>
          <w:iCs/>
        </w:rPr>
        <w:t>chartarum</w:t>
      </w:r>
      <w:proofErr w:type="spellEnd"/>
      <w:r w:rsidRPr="00372A5A">
        <w:rPr>
          <w:rFonts w:ascii="Times New Roman" w:hAnsi="Times New Roman"/>
          <w:i/>
          <w:iCs/>
        </w:rPr>
        <w:t xml:space="preserve"> </w:t>
      </w:r>
      <w:proofErr w:type="spellStart"/>
      <w:r w:rsidRPr="00372A5A">
        <w:rPr>
          <w:rFonts w:ascii="Times New Roman" w:hAnsi="Times New Roman"/>
          <w:i/>
          <w:iCs/>
        </w:rPr>
        <w:t>fortius</w:t>
      </w:r>
      <w:proofErr w:type="spellEnd"/>
      <w:r w:rsidRPr="00372A5A">
        <w:rPr>
          <w:rFonts w:ascii="Times New Roman" w:hAnsi="Times New Roman"/>
          <w:i/>
          <w:iCs/>
        </w:rPr>
        <w:t xml:space="preserve"> </w:t>
      </w:r>
      <w:proofErr w:type="spellStart"/>
      <w:r w:rsidRPr="00372A5A">
        <w:rPr>
          <w:rFonts w:ascii="Times New Roman" w:hAnsi="Times New Roman"/>
          <w:i/>
          <w:iCs/>
        </w:rPr>
        <w:t>accipiuntur</w:t>
      </w:r>
      <w:proofErr w:type="spellEnd"/>
      <w:r w:rsidRPr="00372A5A">
        <w:rPr>
          <w:rFonts w:ascii="Times New Roman" w:hAnsi="Times New Roman"/>
          <w:i/>
          <w:iCs/>
        </w:rPr>
        <w:t xml:space="preserve"> contra proferentem </w:t>
      </w:r>
      <w:r w:rsidRPr="00372A5A">
        <w:rPr>
          <w:rFonts w:ascii="Times New Roman" w:hAnsi="Times New Roman"/>
          <w:iCs/>
        </w:rPr>
        <w:t>does not have any dispositive effect here</w:t>
      </w:r>
      <w:r w:rsidRPr="00372A5A">
        <w:rPr>
          <w:rFonts w:ascii="Times New Roman" w:hAnsi="Times New Roman"/>
          <w:i/>
          <w:iCs/>
        </w:rPr>
        <w:t xml:space="preserve">. </w:t>
      </w:r>
      <w:r w:rsidRPr="00372A5A">
        <w:rPr>
          <w:rFonts w:ascii="Times New Roman" w:hAnsi="Times New Roman"/>
          <w:iCs/>
        </w:rPr>
        <w:t>That principle may be applicable where there are two equally competing constructions of a given clause</w:t>
      </w:r>
      <w:r w:rsidRPr="00372A5A">
        <w:rPr>
          <w:rFonts w:ascii="Times New Roman" w:hAnsi="Times New Roman"/>
          <w:b/>
          <w:iCs/>
          <w:sz w:val="24"/>
          <w:vertAlign w:val="superscript"/>
        </w:rPr>
        <w:footnoteReference w:id="79"/>
      </w:r>
      <w:r w:rsidRPr="00372A5A">
        <w:rPr>
          <w:rFonts w:ascii="Times New Roman" w:hAnsi="Times New Roman"/>
          <w:iCs/>
        </w:rPr>
        <w:t>. However, it cannot apply here precisely because the appellants' argument that cl 24 of the Mortgage is ineffective or not applicable should not be preferred. Applying the ordinary rules of construction has resulted in cl 24 having a certain meaning that a court must enforce. There are no equally persuasive interpretations of cl 24. In any event, as Sir George </w:t>
      </w:r>
      <w:proofErr w:type="spellStart"/>
      <w:r w:rsidRPr="00372A5A">
        <w:rPr>
          <w:rFonts w:ascii="Times New Roman" w:hAnsi="Times New Roman"/>
          <w:iCs/>
        </w:rPr>
        <w:t>Jessel</w:t>
      </w:r>
      <w:proofErr w:type="spellEnd"/>
      <w:r w:rsidRPr="00372A5A">
        <w:rPr>
          <w:rFonts w:ascii="Times New Roman" w:hAnsi="Times New Roman"/>
          <w:iCs/>
        </w:rPr>
        <w:t> MR observed in 1877, the "now established rules of construction" have rendered the principle as having no force "at the present day"</w:t>
      </w:r>
      <w:r w:rsidRPr="00372A5A">
        <w:rPr>
          <w:rStyle w:val="FootnoteReference"/>
          <w:rFonts w:ascii="Times New Roman" w:hAnsi="Times New Roman"/>
          <w:iCs/>
          <w:sz w:val="24"/>
        </w:rPr>
        <w:footnoteReference w:id="80"/>
      </w:r>
      <w:r w:rsidRPr="00372A5A">
        <w:rPr>
          <w:rFonts w:ascii="Times New Roman" w:hAnsi="Times New Roman"/>
          <w:iCs/>
        </w:rPr>
        <w:t>. His Lordship then said</w:t>
      </w:r>
      <w:r w:rsidRPr="00372A5A">
        <w:rPr>
          <w:rStyle w:val="FootnoteReference"/>
          <w:rFonts w:ascii="Times New Roman" w:hAnsi="Times New Roman"/>
          <w:iCs/>
          <w:sz w:val="24"/>
        </w:rPr>
        <w:footnoteReference w:id="81"/>
      </w:r>
      <w:r w:rsidRPr="00372A5A">
        <w:rPr>
          <w:rFonts w:ascii="Times New Roman" w:hAnsi="Times New Roman"/>
          <w:iCs/>
        </w:rPr>
        <w:t>:</w:t>
      </w:r>
    </w:p>
    <w:p w14:paraId="5C8E8A7F" w14:textId="77777777" w:rsidR="008447C0" w:rsidRDefault="008447C0" w:rsidP="00372A5A">
      <w:pPr>
        <w:pStyle w:val="LeftrightafterHC"/>
        <w:spacing w:before="0" w:after="260" w:line="280" w:lineRule="exact"/>
        <w:ind w:right="0"/>
        <w:jc w:val="both"/>
        <w:rPr>
          <w:rFonts w:ascii="Times New Roman" w:hAnsi="Times New Roman"/>
        </w:rPr>
      </w:pPr>
      <w:r w:rsidRPr="00372A5A">
        <w:rPr>
          <w:rFonts w:ascii="Times New Roman" w:hAnsi="Times New Roman"/>
        </w:rPr>
        <w:t>"The rule is to find out the meaning of the instrument according to the ordinary and proper rules of construction. If we can thus find out its meaning, we do not want the maxim. If, on the other hand, we cannot find out its meaning, then the instrument is void for uncertainty".</w:t>
      </w:r>
    </w:p>
    <w:p w14:paraId="6364027A"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iCs/>
        </w:rPr>
        <w:tab/>
        <w:t>In that respect, and contrary to the submissions of the appellants, there was no onus on the respondents to establish that their construction of cl 24 is correct. The issue of construction is a question of law</w:t>
      </w:r>
      <w:r w:rsidRPr="00372A5A">
        <w:rPr>
          <w:rStyle w:val="FootnoteReference"/>
          <w:rFonts w:ascii="Times New Roman" w:hAnsi="Times New Roman"/>
          <w:iCs/>
          <w:sz w:val="24"/>
        </w:rPr>
        <w:footnoteReference w:id="82"/>
      </w:r>
      <w:r w:rsidRPr="00372A5A">
        <w:rPr>
          <w:rFonts w:ascii="Times New Roman" w:hAnsi="Times New Roman"/>
          <w:iCs/>
        </w:rPr>
        <w:t>, to be objectively determined having regard to the text and context of the contract, and the commercial purpose or objects which it was intended to secure</w:t>
      </w:r>
      <w:r w:rsidRPr="00372A5A">
        <w:rPr>
          <w:rStyle w:val="FootnoteReference"/>
          <w:rFonts w:ascii="Times New Roman" w:hAnsi="Times New Roman"/>
          <w:iCs/>
          <w:sz w:val="24"/>
        </w:rPr>
        <w:footnoteReference w:id="83"/>
      </w:r>
      <w:r w:rsidRPr="00372A5A">
        <w:rPr>
          <w:rFonts w:ascii="Times New Roman" w:hAnsi="Times New Roman"/>
          <w:iCs/>
        </w:rPr>
        <w:t>.</w:t>
      </w:r>
    </w:p>
    <w:p w14:paraId="0EBFE215"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iCs/>
        </w:rPr>
        <w:tab/>
        <w:t xml:space="preserve">Finally, the cause of the potential defeat of the respondents' claims should not be characterised narrowly as the appellants' act of pleading a limitation defence. The ordinary and natural meaning of the phrase "whereby or in consequence whereof" in cl 24 of the Mortgage sufficiently embraces both the direct application of a statute, and its indirect effect, in defeating the rights of the </w:t>
      </w:r>
      <w:r w:rsidRPr="00372A5A">
        <w:rPr>
          <w:rFonts w:ascii="Times New Roman" w:hAnsi="Times New Roman"/>
          <w:iCs/>
        </w:rPr>
        <w:lastRenderedPageBreak/>
        <w:t xml:space="preserve">respondents. Here, the appellants' plea of limitation could only have been effective because of the provisions of the </w:t>
      </w:r>
      <w:r w:rsidRPr="00372A5A">
        <w:rPr>
          <w:rFonts w:ascii="Times New Roman" w:hAnsi="Times New Roman"/>
          <w:i/>
          <w:iCs/>
        </w:rPr>
        <w:t>Limitation Act</w:t>
      </w:r>
      <w:r w:rsidRPr="00372A5A">
        <w:rPr>
          <w:rFonts w:ascii="Times New Roman" w:hAnsi="Times New Roman"/>
          <w:iCs/>
        </w:rPr>
        <w:t>.</w:t>
      </w:r>
    </w:p>
    <w:p w14:paraId="7250F859" w14:textId="77777777" w:rsidR="008447C0" w:rsidRPr="00372A5A" w:rsidRDefault="008447C0" w:rsidP="00372A5A">
      <w:pPr>
        <w:pStyle w:val="HeadingL1"/>
        <w:spacing w:after="260" w:line="280" w:lineRule="exact"/>
        <w:ind w:right="0"/>
        <w:jc w:val="both"/>
        <w:rPr>
          <w:rFonts w:ascii="Times New Roman" w:hAnsi="Times New Roman"/>
        </w:rPr>
      </w:pPr>
      <w:r w:rsidRPr="00372A5A">
        <w:rPr>
          <w:rFonts w:ascii="Times New Roman" w:hAnsi="Times New Roman"/>
        </w:rPr>
        <w:t>Clause 24 and public policy</w:t>
      </w:r>
    </w:p>
    <w:p w14:paraId="27545B6E"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 xml:space="preserve">The appellants contended that a person cannot contract out of the defences conferred by the </w:t>
      </w:r>
      <w:r w:rsidRPr="00372A5A">
        <w:rPr>
          <w:rFonts w:ascii="Times New Roman" w:hAnsi="Times New Roman"/>
          <w:i/>
        </w:rPr>
        <w:t>Limitation Act</w:t>
      </w:r>
      <w:r w:rsidRPr="00372A5A">
        <w:rPr>
          <w:rFonts w:ascii="Times New Roman" w:hAnsi="Times New Roman"/>
        </w:rPr>
        <w:t xml:space="preserve">. They put their case in two ways. First, they submitted that it was Parliament's intention that a person should not have this freedom, and that this was discernible from the text, applicable context, and the purpose and scheme of the </w:t>
      </w:r>
      <w:r w:rsidRPr="00372A5A">
        <w:rPr>
          <w:rFonts w:ascii="Times New Roman" w:hAnsi="Times New Roman"/>
          <w:i/>
        </w:rPr>
        <w:t>Limitation Act</w:t>
      </w:r>
      <w:r w:rsidRPr="00372A5A">
        <w:rPr>
          <w:rFonts w:ascii="Times New Roman" w:hAnsi="Times New Roman"/>
        </w:rPr>
        <w:t xml:space="preserve">. Secondly, they submitted that a clause which purports to oust the defences available under the </w:t>
      </w:r>
      <w:r w:rsidRPr="00372A5A">
        <w:rPr>
          <w:rFonts w:ascii="Times New Roman" w:hAnsi="Times New Roman"/>
          <w:i/>
        </w:rPr>
        <w:t>Limitation Act</w:t>
      </w:r>
      <w:r w:rsidRPr="00372A5A">
        <w:rPr>
          <w:rFonts w:ascii="Times New Roman" w:hAnsi="Times New Roman"/>
        </w:rPr>
        <w:t xml:space="preserve"> is, in any event, contrary to the public policy of the common law.</w:t>
      </w:r>
    </w:p>
    <w:p w14:paraId="6A44506B" w14:textId="77777777" w:rsidR="008447C0" w:rsidRPr="00372A5A" w:rsidRDefault="008447C0" w:rsidP="00372A5A">
      <w:pPr>
        <w:pStyle w:val="HeadingL2"/>
        <w:spacing w:after="260" w:line="280" w:lineRule="exact"/>
        <w:ind w:right="0"/>
        <w:jc w:val="both"/>
        <w:rPr>
          <w:rFonts w:ascii="Times New Roman" w:hAnsi="Times New Roman"/>
        </w:rPr>
      </w:pPr>
      <w:r w:rsidRPr="00372A5A">
        <w:rPr>
          <w:rFonts w:ascii="Times New Roman" w:hAnsi="Times New Roman"/>
        </w:rPr>
        <w:t>Relevant provisions</w:t>
      </w:r>
    </w:p>
    <w:p w14:paraId="59CE0152"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 xml:space="preserve">Section 10 of the </w:t>
      </w:r>
      <w:r w:rsidRPr="00372A5A">
        <w:rPr>
          <w:rFonts w:ascii="Times New Roman" w:hAnsi="Times New Roman"/>
          <w:i/>
        </w:rPr>
        <w:t>Limitation Act</w:t>
      </w:r>
      <w:r w:rsidRPr="00372A5A">
        <w:rPr>
          <w:rFonts w:ascii="Times New Roman" w:hAnsi="Times New Roman"/>
        </w:rPr>
        <w:t xml:space="preserve"> relevantly provides:</w:t>
      </w:r>
    </w:p>
    <w:p w14:paraId="4F158892" w14:textId="77777777" w:rsidR="008447C0" w:rsidRPr="00372A5A" w:rsidRDefault="008447C0" w:rsidP="00372A5A">
      <w:pPr>
        <w:pStyle w:val="LeftrightafterHC"/>
        <w:spacing w:before="0" w:after="260" w:line="280" w:lineRule="exact"/>
        <w:ind w:left="1440" w:right="0" w:hanging="720"/>
        <w:jc w:val="both"/>
        <w:rPr>
          <w:rFonts w:ascii="Times New Roman" w:hAnsi="Times New Roman"/>
          <w:b/>
        </w:rPr>
      </w:pPr>
      <w:r w:rsidRPr="00372A5A">
        <w:rPr>
          <w:rFonts w:ascii="Times New Roman" w:hAnsi="Times New Roman"/>
        </w:rPr>
        <w:t>"</w:t>
      </w:r>
      <w:r w:rsidRPr="00372A5A">
        <w:rPr>
          <w:rFonts w:ascii="Times New Roman" w:hAnsi="Times New Roman"/>
          <w:b/>
        </w:rPr>
        <w:t>Actions of contract and tort and certain other actions</w:t>
      </w:r>
    </w:p>
    <w:p w14:paraId="08252475" w14:textId="77777777" w:rsidR="008447C0" w:rsidRPr="00372A5A" w:rsidRDefault="008447C0" w:rsidP="00372A5A">
      <w:pPr>
        <w:pStyle w:val="leftright"/>
        <w:spacing w:before="0" w:after="260" w:line="280" w:lineRule="exact"/>
        <w:ind w:left="1440" w:right="0" w:hanging="720"/>
        <w:jc w:val="both"/>
        <w:rPr>
          <w:rFonts w:ascii="Times New Roman" w:hAnsi="Times New Roman"/>
        </w:rPr>
      </w:pPr>
      <w:r w:rsidRPr="00372A5A">
        <w:rPr>
          <w:rFonts w:ascii="Times New Roman" w:hAnsi="Times New Roman"/>
        </w:rPr>
        <w:t>(1)</w:t>
      </w:r>
      <w:r w:rsidRPr="00372A5A">
        <w:rPr>
          <w:rFonts w:ascii="Times New Roman" w:hAnsi="Times New Roman"/>
        </w:rPr>
        <w:tab/>
        <w:t>The following actions shall not be brought after the expiration of 6 years from the date on which the cause of action arose –</w:t>
      </w:r>
    </w:p>
    <w:p w14:paraId="13F440B3" w14:textId="77777777" w:rsidR="008447C0" w:rsidRDefault="008447C0" w:rsidP="00372A5A">
      <w:pPr>
        <w:pStyle w:val="leftright"/>
        <w:spacing w:before="0" w:after="260" w:line="280" w:lineRule="exact"/>
        <w:ind w:left="1440" w:right="0"/>
        <w:jc w:val="both"/>
        <w:rPr>
          <w:rFonts w:ascii="Times New Roman" w:hAnsi="Times New Roman"/>
        </w:rPr>
      </w:pPr>
      <w:r w:rsidRPr="00372A5A">
        <w:rPr>
          <w:rFonts w:ascii="Times New Roman" w:hAnsi="Times New Roman"/>
        </w:rPr>
        <w:t>(a)</w:t>
      </w:r>
      <w:r w:rsidRPr="00372A5A">
        <w:rPr>
          <w:rFonts w:ascii="Times New Roman" w:hAnsi="Times New Roman"/>
        </w:rPr>
        <w:tab/>
        <w:t>... an action founded on simple contract ..."</w:t>
      </w:r>
    </w:p>
    <w:p w14:paraId="1C62BC3E"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Section 13 provides:</w:t>
      </w:r>
    </w:p>
    <w:p w14:paraId="12DC4641" w14:textId="77777777" w:rsidR="008447C0" w:rsidRPr="00372A5A" w:rsidRDefault="008447C0" w:rsidP="00372A5A">
      <w:pPr>
        <w:pStyle w:val="LeftrightafterHC"/>
        <w:spacing w:before="0" w:after="260" w:line="280" w:lineRule="exact"/>
        <w:ind w:right="0"/>
        <w:jc w:val="both"/>
        <w:rPr>
          <w:rFonts w:ascii="Times New Roman" w:hAnsi="Times New Roman"/>
        </w:rPr>
      </w:pPr>
      <w:r w:rsidRPr="00372A5A">
        <w:rPr>
          <w:rFonts w:ascii="Times New Roman" w:hAnsi="Times New Roman"/>
        </w:rPr>
        <w:t>"</w:t>
      </w:r>
      <w:r w:rsidRPr="00372A5A">
        <w:rPr>
          <w:rFonts w:ascii="Times New Roman" w:hAnsi="Times New Roman"/>
          <w:b/>
        </w:rPr>
        <w:t>Actions to recover land</w:t>
      </w:r>
    </w:p>
    <w:p w14:paraId="277FFA24" w14:textId="77777777" w:rsidR="008447C0" w:rsidRDefault="008447C0" w:rsidP="00372A5A">
      <w:pPr>
        <w:pStyle w:val="leftright"/>
        <w:spacing w:before="0" w:after="260" w:line="280" w:lineRule="exact"/>
        <w:ind w:left="1440" w:right="0"/>
        <w:jc w:val="both"/>
        <w:rPr>
          <w:rFonts w:ascii="Times New Roman" w:hAnsi="Times New Roman"/>
        </w:rPr>
      </w:pPr>
      <w:r w:rsidRPr="00372A5A">
        <w:rPr>
          <w:rFonts w:ascii="Times New Roman" w:hAnsi="Times New Roman"/>
        </w:rPr>
        <w:t>An action shall not be brought by a person to recover land after the expiration of 12 years from the date on which the right of action accrued to the person or, if it first accrued to some person through whom the person claims, to that person."</w:t>
      </w:r>
    </w:p>
    <w:p w14:paraId="73ABF856"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Section 24(1) relevantly provides:</w:t>
      </w:r>
    </w:p>
    <w:p w14:paraId="27630377" w14:textId="77777777" w:rsidR="008447C0" w:rsidRPr="00372A5A" w:rsidRDefault="008447C0" w:rsidP="00372A5A">
      <w:pPr>
        <w:pStyle w:val="LeftrightafterHC"/>
        <w:spacing w:before="0" w:after="260" w:line="280" w:lineRule="exact"/>
        <w:ind w:right="0"/>
        <w:jc w:val="both"/>
        <w:rPr>
          <w:rFonts w:ascii="Times New Roman" w:hAnsi="Times New Roman"/>
        </w:rPr>
      </w:pPr>
      <w:r w:rsidRPr="00372A5A">
        <w:rPr>
          <w:rFonts w:ascii="Times New Roman" w:hAnsi="Times New Roman"/>
        </w:rPr>
        <w:t>"</w:t>
      </w:r>
      <w:r w:rsidRPr="00372A5A">
        <w:rPr>
          <w:rFonts w:ascii="Times New Roman" w:hAnsi="Times New Roman"/>
          <w:b/>
        </w:rPr>
        <w:t>Extinction of title after expiration of period of limitation</w:t>
      </w:r>
    </w:p>
    <w:p w14:paraId="1C88A866" w14:textId="77777777" w:rsidR="008447C0" w:rsidRDefault="008447C0" w:rsidP="00372A5A">
      <w:pPr>
        <w:pStyle w:val="leftright"/>
        <w:spacing w:before="0" w:after="260" w:line="280" w:lineRule="exact"/>
        <w:ind w:left="1440" w:right="0" w:hanging="720"/>
        <w:jc w:val="both"/>
        <w:rPr>
          <w:rFonts w:ascii="Times New Roman" w:hAnsi="Times New Roman"/>
        </w:rPr>
      </w:pPr>
      <w:r w:rsidRPr="00372A5A">
        <w:rPr>
          <w:rFonts w:ascii="Times New Roman" w:hAnsi="Times New Roman"/>
        </w:rPr>
        <w:t xml:space="preserve">(1) </w:t>
      </w:r>
      <w:r w:rsidRPr="00372A5A">
        <w:rPr>
          <w:rFonts w:ascii="Times New Roman" w:hAnsi="Times New Roman"/>
        </w:rPr>
        <w:tab/>
        <w:t>... where the period of limitation prescribed by this Act within which a person may bring an action to recover land (including a redemption action) has expired, the title of that person to the land shall be extinguished."</w:t>
      </w:r>
    </w:p>
    <w:p w14:paraId="41B1256D"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Section 5(5) relevantly provides that "[a] reference in this Act to a right of action to recover land includes a reference to a right to enter into possession of the land".</w:t>
      </w:r>
    </w:p>
    <w:p w14:paraId="43F58E4E" w14:textId="77777777" w:rsidR="008447C0" w:rsidRPr="00372A5A" w:rsidRDefault="008447C0" w:rsidP="008447C0">
      <w:pPr>
        <w:pStyle w:val="FixListStyle"/>
        <w:keepNext/>
        <w:numPr>
          <w:ilvl w:val="0"/>
          <w:numId w:val="18"/>
        </w:numPr>
        <w:spacing w:after="260" w:line="280" w:lineRule="exact"/>
        <w:ind w:left="0" w:right="0" w:hanging="720"/>
        <w:jc w:val="both"/>
        <w:rPr>
          <w:rFonts w:ascii="Times New Roman" w:hAnsi="Times New Roman"/>
        </w:rPr>
      </w:pPr>
      <w:r w:rsidRPr="00372A5A">
        <w:rPr>
          <w:rFonts w:ascii="Times New Roman" w:hAnsi="Times New Roman"/>
        </w:rPr>
        <w:lastRenderedPageBreak/>
        <w:tab/>
        <w:t>Section 26 relevantly provides:</w:t>
      </w:r>
    </w:p>
    <w:p w14:paraId="3E6119A8" w14:textId="77777777" w:rsidR="008447C0" w:rsidRPr="00372A5A" w:rsidRDefault="008447C0" w:rsidP="00372A5A">
      <w:pPr>
        <w:pStyle w:val="LeftrightafterHC"/>
        <w:spacing w:before="0" w:after="260" w:line="280" w:lineRule="exact"/>
        <w:ind w:right="0"/>
        <w:jc w:val="both"/>
        <w:rPr>
          <w:rFonts w:ascii="Times New Roman" w:hAnsi="Times New Roman"/>
          <w:b/>
        </w:rPr>
      </w:pPr>
      <w:r w:rsidRPr="00372A5A">
        <w:rPr>
          <w:rFonts w:ascii="Times New Roman" w:hAnsi="Times New Roman"/>
        </w:rPr>
        <w:t>"</w:t>
      </w:r>
      <w:r w:rsidRPr="00372A5A">
        <w:rPr>
          <w:rFonts w:ascii="Times New Roman" w:hAnsi="Times New Roman"/>
          <w:b/>
        </w:rPr>
        <w:t>Actions to recover money secured by mortgage or charge or to recover proceeds of the sale of land</w:t>
      </w:r>
    </w:p>
    <w:p w14:paraId="2E221B46" w14:textId="77777777" w:rsidR="008447C0" w:rsidRPr="00372A5A" w:rsidRDefault="008447C0" w:rsidP="00372A5A">
      <w:pPr>
        <w:pStyle w:val="leftright"/>
        <w:spacing w:before="0" w:after="260" w:line="280" w:lineRule="exact"/>
        <w:ind w:left="1440" w:right="0" w:hanging="720"/>
        <w:jc w:val="both"/>
        <w:rPr>
          <w:rFonts w:ascii="Times New Roman" w:hAnsi="Times New Roman"/>
        </w:rPr>
      </w:pPr>
      <w:r w:rsidRPr="00372A5A">
        <w:rPr>
          <w:rFonts w:ascii="Times New Roman" w:hAnsi="Times New Roman"/>
        </w:rPr>
        <w:t>(1)</w:t>
      </w:r>
      <w:r w:rsidRPr="00372A5A">
        <w:rPr>
          <w:rFonts w:ascii="Times New Roman" w:hAnsi="Times New Roman"/>
        </w:rPr>
        <w:tab/>
        <w:t>An action shall not be brought to recover a principal sum of money secured by a mortgage or other charge on property whether real or personal nor to recover proceeds of the sale of land after the expiration of 12 years from the date on which the right to receive the money accrued.</w:t>
      </w:r>
    </w:p>
    <w:p w14:paraId="6D7D0CB7" w14:textId="77777777" w:rsidR="008447C0" w:rsidRPr="00372A5A" w:rsidRDefault="008447C0" w:rsidP="00372A5A">
      <w:pPr>
        <w:pStyle w:val="leftright"/>
        <w:spacing w:before="0" w:after="260" w:line="280" w:lineRule="exact"/>
        <w:ind w:right="0"/>
        <w:jc w:val="both"/>
        <w:rPr>
          <w:rFonts w:ascii="Times New Roman" w:hAnsi="Times New Roman"/>
        </w:rPr>
      </w:pPr>
      <w:r w:rsidRPr="00372A5A">
        <w:rPr>
          <w:rFonts w:ascii="Times New Roman" w:hAnsi="Times New Roman"/>
        </w:rPr>
        <w:t>...</w:t>
      </w:r>
    </w:p>
    <w:p w14:paraId="715DC2D6" w14:textId="77777777" w:rsidR="008447C0" w:rsidRPr="00372A5A" w:rsidRDefault="008447C0" w:rsidP="00372A5A">
      <w:pPr>
        <w:pStyle w:val="leftright"/>
        <w:spacing w:before="0" w:after="260" w:line="280" w:lineRule="exact"/>
        <w:ind w:left="1440" w:right="0" w:hanging="720"/>
        <w:jc w:val="both"/>
        <w:rPr>
          <w:rFonts w:ascii="Times New Roman" w:hAnsi="Times New Roman"/>
        </w:rPr>
      </w:pPr>
      <w:r w:rsidRPr="00372A5A">
        <w:rPr>
          <w:rFonts w:ascii="Times New Roman" w:hAnsi="Times New Roman"/>
        </w:rPr>
        <w:t>(4)</w:t>
      </w:r>
      <w:r w:rsidRPr="00372A5A">
        <w:rPr>
          <w:rFonts w:ascii="Times New Roman" w:hAnsi="Times New Roman"/>
        </w:rPr>
        <w:tab/>
        <w:t>The provisions of this section do not apply to a foreclosure action in respect of mortgaged land, but the provisions of this Act with respect to an action to recover land apply to such an action.</w:t>
      </w:r>
    </w:p>
    <w:p w14:paraId="35087D69" w14:textId="77777777" w:rsidR="008447C0" w:rsidRDefault="008447C0" w:rsidP="00372A5A">
      <w:pPr>
        <w:pStyle w:val="leftright"/>
        <w:spacing w:before="0" w:after="260" w:line="280" w:lineRule="exact"/>
        <w:ind w:left="1440" w:right="0" w:hanging="720"/>
        <w:jc w:val="both"/>
        <w:rPr>
          <w:rFonts w:ascii="Times New Roman" w:hAnsi="Times New Roman"/>
        </w:rPr>
      </w:pPr>
      <w:r w:rsidRPr="00372A5A">
        <w:rPr>
          <w:rFonts w:ascii="Times New Roman" w:hAnsi="Times New Roman"/>
        </w:rPr>
        <w:t>(5)</w:t>
      </w:r>
      <w:r w:rsidRPr="00372A5A">
        <w:rPr>
          <w:rFonts w:ascii="Times New Roman" w:hAnsi="Times New Roman"/>
        </w:rPr>
        <w:tab/>
        <w:t>An action to recover arrears of interest payable in respect of a sum of money secured by a mortgage or other charge or payable in respect of proceeds of the sale of land or to recover damages in respect of such arrears shall not be brought after the expiration of 6 years from the date on which the interest became due."</w:t>
      </w:r>
    </w:p>
    <w:p w14:paraId="21BFEDC1"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To the extent of any overlap between the limitation periods in ss 10 and 13, no party disputed that it was open to the appellants to plead and rely upon the shorter period set out in s 10</w:t>
      </w:r>
      <w:r w:rsidRPr="00372A5A">
        <w:rPr>
          <w:rStyle w:val="FootnoteReference"/>
          <w:rFonts w:ascii="Times New Roman" w:hAnsi="Times New Roman"/>
          <w:sz w:val="24"/>
        </w:rPr>
        <w:footnoteReference w:id="84"/>
      </w:r>
      <w:r w:rsidRPr="00372A5A">
        <w:rPr>
          <w:rFonts w:ascii="Times New Roman" w:hAnsi="Times New Roman"/>
        </w:rPr>
        <w:t>. As it happens, the respondents brought both the possession claim and the money claim more than 12 years after these rights of action accrued to them.</w:t>
      </w:r>
    </w:p>
    <w:p w14:paraId="5B10B8F6" w14:textId="77777777" w:rsidR="008447C0" w:rsidRPr="00372A5A" w:rsidRDefault="008447C0" w:rsidP="00372A5A">
      <w:pPr>
        <w:pStyle w:val="HeadingL2"/>
        <w:spacing w:after="260" w:line="280" w:lineRule="exact"/>
        <w:ind w:right="0"/>
        <w:jc w:val="both"/>
        <w:rPr>
          <w:rFonts w:ascii="Times New Roman" w:hAnsi="Times New Roman"/>
        </w:rPr>
      </w:pPr>
      <w:r w:rsidRPr="00372A5A">
        <w:rPr>
          <w:rFonts w:ascii="Times New Roman" w:hAnsi="Times New Roman"/>
        </w:rPr>
        <w:t>The decision below</w:t>
      </w:r>
    </w:p>
    <w:p w14:paraId="2B94A9E2"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Before the Queensland Court of Appeal, the appellants relied upon certain decisions of the Supreme Court of Utah</w:t>
      </w:r>
      <w:r w:rsidRPr="00372A5A">
        <w:rPr>
          <w:rStyle w:val="FootnoteReference"/>
          <w:rFonts w:ascii="Times New Roman" w:hAnsi="Times New Roman"/>
          <w:sz w:val="24"/>
        </w:rPr>
        <w:footnoteReference w:id="85"/>
      </w:r>
      <w:r w:rsidRPr="00372A5A">
        <w:rPr>
          <w:rFonts w:ascii="Times New Roman" w:hAnsi="Times New Roman"/>
        </w:rPr>
        <w:t xml:space="preserve"> and the Appellate Court of Connecticut</w:t>
      </w:r>
      <w:r w:rsidRPr="00372A5A">
        <w:rPr>
          <w:rStyle w:val="FootnoteReference"/>
          <w:rFonts w:ascii="Times New Roman" w:hAnsi="Times New Roman"/>
          <w:sz w:val="24"/>
        </w:rPr>
        <w:footnoteReference w:id="86"/>
      </w:r>
      <w:r w:rsidRPr="00372A5A">
        <w:rPr>
          <w:rFonts w:ascii="Times New Roman" w:hAnsi="Times New Roman"/>
        </w:rPr>
        <w:t xml:space="preserve"> in support of the proposition that a person cannot contract out of a Statute of Limitations</w:t>
      </w:r>
      <w:r w:rsidRPr="00372A5A">
        <w:rPr>
          <w:rStyle w:val="FootnoteReference"/>
          <w:rFonts w:ascii="Times New Roman" w:hAnsi="Times New Roman"/>
          <w:sz w:val="24"/>
        </w:rPr>
        <w:footnoteReference w:id="87"/>
      </w:r>
      <w:r w:rsidRPr="00372A5A">
        <w:rPr>
          <w:rFonts w:ascii="Times New Roman" w:hAnsi="Times New Roman"/>
        </w:rPr>
        <w:t xml:space="preserve">. However, the appellants did not rely upon these cases before this </w:t>
      </w:r>
      <w:r w:rsidRPr="00372A5A">
        <w:rPr>
          <w:rFonts w:ascii="Times New Roman" w:hAnsi="Times New Roman"/>
        </w:rPr>
        <w:lastRenderedPageBreak/>
        <w:t xml:space="preserve">Court; they can therefore be put to one side. Notwithstanding the appellants' submissions, </w:t>
      </w:r>
      <w:proofErr w:type="spellStart"/>
      <w:r w:rsidRPr="00372A5A">
        <w:rPr>
          <w:rFonts w:ascii="Times New Roman" w:hAnsi="Times New Roman"/>
        </w:rPr>
        <w:t>Gotterson</w:t>
      </w:r>
      <w:proofErr w:type="spellEnd"/>
      <w:r w:rsidRPr="00372A5A">
        <w:rPr>
          <w:rFonts w:ascii="Times New Roman" w:hAnsi="Times New Roman"/>
        </w:rPr>
        <w:t xml:space="preserve"> JA decided that one could contract out of the defences conferred by the </w:t>
      </w:r>
      <w:r w:rsidRPr="00372A5A">
        <w:rPr>
          <w:rFonts w:ascii="Times New Roman" w:hAnsi="Times New Roman"/>
          <w:i/>
        </w:rPr>
        <w:t>Limitation Act</w:t>
      </w:r>
      <w:r w:rsidRPr="00372A5A">
        <w:rPr>
          <w:rStyle w:val="FootnoteReference"/>
          <w:rFonts w:ascii="Times New Roman" w:hAnsi="Times New Roman"/>
          <w:sz w:val="24"/>
        </w:rPr>
        <w:footnoteReference w:id="88"/>
      </w:r>
      <w:r w:rsidRPr="00372A5A">
        <w:rPr>
          <w:rFonts w:ascii="Times New Roman" w:hAnsi="Times New Roman"/>
        </w:rPr>
        <w:t xml:space="preserve">. His Honour did so largely in reliance upon the judgments of Mason CJ and Brennan J (as his Honour then was) in </w:t>
      </w:r>
      <w:r w:rsidRPr="00372A5A">
        <w:rPr>
          <w:rFonts w:ascii="Times New Roman" w:hAnsi="Times New Roman"/>
          <w:i/>
        </w:rPr>
        <w:t xml:space="preserve">The Commonwealth v </w:t>
      </w:r>
      <w:proofErr w:type="spellStart"/>
      <w:r w:rsidRPr="00372A5A">
        <w:rPr>
          <w:rFonts w:ascii="Times New Roman" w:hAnsi="Times New Roman"/>
          <w:i/>
        </w:rPr>
        <w:t>Verwayen</w:t>
      </w:r>
      <w:proofErr w:type="spellEnd"/>
      <w:r w:rsidRPr="00372A5A">
        <w:rPr>
          <w:rStyle w:val="FootnoteReference"/>
          <w:rFonts w:ascii="Times New Roman" w:hAnsi="Times New Roman"/>
          <w:sz w:val="24"/>
        </w:rPr>
        <w:footnoteReference w:id="89"/>
      </w:r>
      <w:r w:rsidRPr="00372A5A">
        <w:rPr>
          <w:rFonts w:ascii="Times New Roman" w:hAnsi="Times New Roman"/>
        </w:rPr>
        <w:t xml:space="preserve">. </w:t>
      </w:r>
    </w:p>
    <w:p w14:paraId="014607E4"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 xml:space="preserve">Two relevant propositions may be extracted from the reasons of Mason CJ in </w:t>
      </w:r>
      <w:proofErr w:type="spellStart"/>
      <w:r w:rsidRPr="00372A5A">
        <w:rPr>
          <w:rFonts w:ascii="Times New Roman" w:hAnsi="Times New Roman"/>
          <w:i/>
        </w:rPr>
        <w:t>Verwayen</w:t>
      </w:r>
      <w:proofErr w:type="spellEnd"/>
      <w:r w:rsidRPr="00372A5A">
        <w:rPr>
          <w:rFonts w:ascii="Times New Roman" w:hAnsi="Times New Roman"/>
        </w:rPr>
        <w:t>. The first is not in dispute. Whether or not a person can waive the defences conferred by a particular Statute of Limitations depends on the scope and policy of that Act; the test is whether the applicable provisions are "dictated by public policy" and were enacted "not for the benefit of any individuals or body of individuals, but for considerations of State"</w:t>
      </w:r>
      <w:r w:rsidRPr="00372A5A">
        <w:rPr>
          <w:rStyle w:val="FootnoteReference"/>
          <w:rFonts w:ascii="Times New Roman" w:hAnsi="Times New Roman"/>
          <w:sz w:val="24"/>
        </w:rPr>
        <w:footnoteReference w:id="90"/>
      </w:r>
      <w:r w:rsidRPr="00372A5A">
        <w:rPr>
          <w:rFonts w:ascii="Times New Roman" w:hAnsi="Times New Roman"/>
        </w:rPr>
        <w:t>. If so, they cannot be excluded by contract. But if the benefit conferred by statute is otherwise private in nature, the law may permit the parties to exclude it. As Mason CJ said, "the critical question is whether the benefit is personal or private or whether it rests upon public policy or expediency"</w:t>
      </w:r>
      <w:r w:rsidRPr="00372A5A">
        <w:rPr>
          <w:rStyle w:val="FootnoteReference"/>
          <w:rFonts w:ascii="Times New Roman" w:hAnsi="Times New Roman"/>
          <w:sz w:val="24"/>
        </w:rPr>
        <w:footnoteReference w:id="91"/>
      </w:r>
      <w:r w:rsidRPr="00372A5A">
        <w:rPr>
          <w:rFonts w:ascii="Times New Roman" w:hAnsi="Times New Roman"/>
        </w:rPr>
        <w:t xml:space="preserve">. </w:t>
      </w:r>
      <w:proofErr w:type="spellStart"/>
      <w:r w:rsidRPr="00372A5A">
        <w:rPr>
          <w:rFonts w:ascii="Times New Roman" w:hAnsi="Times New Roman"/>
        </w:rPr>
        <w:t>Gotterson</w:t>
      </w:r>
      <w:proofErr w:type="spellEnd"/>
      <w:r w:rsidRPr="00372A5A">
        <w:rPr>
          <w:rFonts w:ascii="Times New Roman" w:hAnsi="Times New Roman"/>
        </w:rPr>
        <w:t> JA also referred</w:t>
      </w:r>
      <w:r w:rsidRPr="00372A5A">
        <w:rPr>
          <w:rStyle w:val="FootnoteReference"/>
          <w:rFonts w:ascii="Times New Roman" w:hAnsi="Times New Roman"/>
          <w:sz w:val="24"/>
        </w:rPr>
        <w:footnoteReference w:id="92"/>
      </w:r>
      <w:r w:rsidRPr="00372A5A">
        <w:rPr>
          <w:rFonts w:ascii="Times New Roman" w:hAnsi="Times New Roman"/>
        </w:rPr>
        <w:t xml:space="preserve"> to the more recent expression of that principle in </w:t>
      </w:r>
      <w:r w:rsidRPr="00372A5A">
        <w:rPr>
          <w:rFonts w:ascii="Times New Roman" w:hAnsi="Times New Roman"/>
          <w:i/>
        </w:rPr>
        <w:t>Westfield Management Ltd v AMP Capital Property Nominees Ltd</w:t>
      </w:r>
      <w:r w:rsidRPr="00372A5A">
        <w:rPr>
          <w:rFonts w:ascii="Times New Roman" w:hAnsi="Times New Roman"/>
        </w:rPr>
        <w:t>, where French CJ, Crennan, Kiefel and Bell JJ said</w:t>
      </w:r>
      <w:r w:rsidRPr="00372A5A">
        <w:rPr>
          <w:rStyle w:val="FootnoteReference"/>
          <w:rFonts w:ascii="Times New Roman" w:hAnsi="Times New Roman"/>
          <w:sz w:val="24"/>
        </w:rPr>
        <w:footnoteReference w:id="93"/>
      </w:r>
      <w:r w:rsidRPr="00372A5A">
        <w:rPr>
          <w:rFonts w:ascii="Times New Roman" w:hAnsi="Times New Roman"/>
        </w:rPr>
        <w:t>:</w:t>
      </w:r>
    </w:p>
    <w:p w14:paraId="76A95F8F" w14:textId="77777777" w:rsidR="008447C0" w:rsidRDefault="008447C0" w:rsidP="00372A5A">
      <w:pPr>
        <w:pStyle w:val="LeftrightafterHC"/>
        <w:spacing w:before="0" w:after="260" w:line="280" w:lineRule="exact"/>
        <w:ind w:right="0"/>
        <w:jc w:val="both"/>
        <w:rPr>
          <w:rFonts w:ascii="Times New Roman" w:hAnsi="Times New Roman"/>
        </w:rPr>
      </w:pPr>
      <w:r w:rsidRPr="00372A5A">
        <w:rPr>
          <w:rFonts w:ascii="Times New Roman" w:hAnsi="Times New Roman"/>
        </w:rPr>
        <w:t xml:space="preserve">"Windeyer J observed in </w:t>
      </w:r>
      <w:r w:rsidRPr="00372A5A">
        <w:rPr>
          <w:rFonts w:ascii="Times New Roman" w:hAnsi="Times New Roman"/>
          <w:i/>
        </w:rPr>
        <w:t>Brooks v Burns Philp Trustee Co Ltd</w:t>
      </w:r>
      <w:r w:rsidRPr="00372A5A">
        <w:rPr>
          <w:rStyle w:val="FootnoteReference"/>
          <w:rFonts w:ascii="Times New Roman" w:hAnsi="Times New Roman"/>
          <w:sz w:val="24"/>
        </w:rPr>
        <w:footnoteReference w:id="94"/>
      </w:r>
      <w:r w:rsidRPr="00372A5A">
        <w:rPr>
          <w:rFonts w:ascii="Times New Roman" w:hAnsi="Times New Roman"/>
        </w:rPr>
        <w:t xml:space="preserve"> that a person upon whom a statute confers a right may waive or renounce his or her rights unless it would be contrary to the statute to do so. It will be contrary to the statute where the statute contains an express prohibition against 'contracting out' of rights. In addition, the provisions of a statute, read as a whole, might be inconsistent with a power, on the part of a person, to forego statutory rights. It is the policy of the law that contractual </w:t>
      </w:r>
      <w:r w:rsidRPr="00372A5A">
        <w:rPr>
          <w:rFonts w:ascii="Times New Roman" w:hAnsi="Times New Roman"/>
        </w:rPr>
        <w:lastRenderedPageBreak/>
        <w:t>arrangements will not be enforced where they operate to defeat or circumvent a statutory purpose or policy according to which statutory rights are conferred in the public interest, rather than for the benefit of an individual alone. The courts will treat such arrangements as ineffective or void, even in the absence of a breach of a norm of conduct or other requirement expressed or necessarily implicit in the statutory text</w:t>
      </w:r>
      <w:r w:rsidRPr="00372A5A">
        <w:rPr>
          <w:rStyle w:val="FootnoteReference"/>
          <w:rFonts w:ascii="Times New Roman" w:hAnsi="Times New Roman"/>
          <w:sz w:val="24"/>
        </w:rPr>
        <w:footnoteReference w:id="95"/>
      </w:r>
      <w:r w:rsidRPr="00372A5A">
        <w:rPr>
          <w:rFonts w:ascii="Times New Roman" w:hAnsi="Times New Roman"/>
        </w:rPr>
        <w:t>."</w:t>
      </w:r>
    </w:p>
    <w:p w14:paraId="5AC3F7D2"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 xml:space="preserve">Here, before both the Queensland Court of Appeal and this Court, the appellants contended that the defences conferred by the </w:t>
      </w:r>
      <w:r w:rsidRPr="00372A5A">
        <w:rPr>
          <w:rFonts w:ascii="Times New Roman" w:hAnsi="Times New Roman"/>
          <w:i/>
        </w:rPr>
        <w:t>Limitation Act</w:t>
      </w:r>
      <w:r w:rsidRPr="00372A5A">
        <w:rPr>
          <w:rFonts w:ascii="Times New Roman" w:hAnsi="Times New Roman"/>
        </w:rPr>
        <w:t xml:space="preserve"> existed not for the personal benefit of individuals but in the pursuit of the public policy of finality in litigation.</w:t>
      </w:r>
    </w:p>
    <w:p w14:paraId="2B0716DF"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The second proposition is that Parliaments have chosen to implement the public policy of finality in litigation by conferring on defendants a right to plead an applicable Statute of Limitations defence, rather than by imposing a restriction on jurisdiction</w:t>
      </w:r>
      <w:r w:rsidRPr="00372A5A">
        <w:rPr>
          <w:rStyle w:val="FootnoteReference"/>
          <w:rFonts w:ascii="Times New Roman" w:hAnsi="Times New Roman"/>
          <w:sz w:val="24"/>
        </w:rPr>
        <w:footnoteReference w:id="96"/>
      </w:r>
      <w:r w:rsidRPr="00372A5A">
        <w:rPr>
          <w:rFonts w:ascii="Times New Roman" w:hAnsi="Times New Roman"/>
        </w:rPr>
        <w:t xml:space="preserve">. In that respect, no party disputed that it had been long established that the language used in the </w:t>
      </w:r>
      <w:r w:rsidRPr="00372A5A">
        <w:rPr>
          <w:rFonts w:ascii="Times New Roman" w:hAnsi="Times New Roman"/>
          <w:i/>
        </w:rPr>
        <w:t>Limitation Act</w:t>
      </w:r>
      <w:r w:rsidRPr="00372A5A">
        <w:rPr>
          <w:rFonts w:ascii="Times New Roman" w:hAnsi="Times New Roman"/>
        </w:rPr>
        <w:t xml:space="preserve"> – an action "shall not be brought" – was a reference to a defendant having the capacity to plead a defence of limitation and not to the extinguishment of any underlying rights of a plaintiff</w:t>
      </w:r>
      <w:r w:rsidRPr="00372A5A">
        <w:rPr>
          <w:rStyle w:val="FootnoteReference"/>
          <w:rFonts w:ascii="Times New Roman" w:hAnsi="Times New Roman"/>
          <w:sz w:val="24"/>
        </w:rPr>
        <w:footnoteReference w:id="97"/>
      </w:r>
      <w:r w:rsidRPr="00372A5A">
        <w:rPr>
          <w:rFonts w:ascii="Times New Roman" w:hAnsi="Times New Roman"/>
        </w:rPr>
        <w:t xml:space="preserve">. On that basis, Mason CJ in </w:t>
      </w:r>
      <w:proofErr w:type="spellStart"/>
      <w:r w:rsidRPr="00372A5A">
        <w:rPr>
          <w:rFonts w:ascii="Times New Roman" w:hAnsi="Times New Roman"/>
          <w:i/>
        </w:rPr>
        <w:t>Verwayen</w:t>
      </w:r>
      <w:proofErr w:type="spellEnd"/>
      <w:r w:rsidRPr="00372A5A">
        <w:rPr>
          <w:rFonts w:ascii="Times New Roman" w:hAnsi="Times New Roman"/>
        </w:rPr>
        <w:t xml:space="preserve"> concluded, for the purpose of considering whether the defences conferred by a Statute of Limitations</w:t>
      </w:r>
      <w:r w:rsidRPr="00372A5A">
        <w:rPr>
          <w:rStyle w:val="FootnoteReference"/>
          <w:rFonts w:ascii="Times New Roman" w:hAnsi="Times New Roman"/>
          <w:sz w:val="24"/>
        </w:rPr>
        <w:footnoteReference w:id="98"/>
      </w:r>
      <w:r w:rsidRPr="00372A5A">
        <w:rPr>
          <w:rFonts w:ascii="Times New Roman" w:hAnsi="Times New Roman"/>
        </w:rPr>
        <w:t xml:space="preserve"> may be waived, as follows</w:t>
      </w:r>
      <w:r w:rsidRPr="00372A5A">
        <w:rPr>
          <w:rStyle w:val="FootnoteReference"/>
          <w:rFonts w:ascii="Times New Roman" w:hAnsi="Times New Roman"/>
          <w:sz w:val="24"/>
        </w:rPr>
        <w:footnoteReference w:id="99"/>
      </w:r>
      <w:r w:rsidRPr="00372A5A">
        <w:rPr>
          <w:rFonts w:ascii="Times New Roman" w:hAnsi="Times New Roman"/>
        </w:rPr>
        <w:t>:</w:t>
      </w:r>
    </w:p>
    <w:p w14:paraId="4A052BD9" w14:textId="77777777" w:rsidR="008447C0" w:rsidRDefault="008447C0" w:rsidP="00372A5A">
      <w:pPr>
        <w:pStyle w:val="LeftrightafterHC"/>
        <w:spacing w:before="0" w:after="260" w:line="280" w:lineRule="exact"/>
        <w:ind w:right="0"/>
        <w:jc w:val="both"/>
        <w:rPr>
          <w:rFonts w:ascii="Times New Roman" w:hAnsi="Times New Roman"/>
        </w:rPr>
      </w:pPr>
      <w:r w:rsidRPr="00372A5A">
        <w:rPr>
          <w:rFonts w:ascii="Times New Roman" w:hAnsi="Times New Roman"/>
        </w:rPr>
        <w:t xml:space="preserve">"I conclude that the purpose of the statute is to confer a benefit upon persons as individuals rather than to meet some public need which must be satisfied to the exclusion of the right of access of individuals to the courts. On that </w:t>
      </w:r>
      <w:r w:rsidRPr="00372A5A">
        <w:rPr>
          <w:rFonts w:ascii="Times New Roman" w:hAnsi="Times New Roman"/>
        </w:rPr>
        <w:lastRenderedPageBreak/>
        <w:t>basis, it is possible to 'contract out' of the statutory provisions, and it is equally possible to deprive them of effect by other means such as waiver. Put differently, the provisions are procedural rather than substantive in nature, which suggests that they are capable of waiver".</w:t>
      </w:r>
    </w:p>
    <w:p w14:paraId="436FFE92"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 xml:space="preserve">Brennan J reached the same conclusion. His Honour was of the view that, as the defences conferred by the </w:t>
      </w:r>
      <w:r w:rsidRPr="00372A5A">
        <w:rPr>
          <w:rFonts w:ascii="Times New Roman" w:hAnsi="Times New Roman"/>
          <w:i/>
        </w:rPr>
        <w:t>Limitation of Actions Act 1958</w:t>
      </w:r>
      <w:r w:rsidRPr="00372A5A">
        <w:rPr>
          <w:rFonts w:ascii="Times New Roman" w:hAnsi="Times New Roman"/>
        </w:rPr>
        <w:t xml:space="preserve"> (Vic) were introduced "solely" for the benefit of a defendant, who must plead the applicable defence for it to be effective, the defence was capable of being waived</w:t>
      </w:r>
      <w:r w:rsidRPr="00372A5A">
        <w:rPr>
          <w:rStyle w:val="FootnoteReference"/>
          <w:rFonts w:ascii="Times New Roman" w:hAnsi="Times New Roman"/>
          <w:sz w:val="24"/>
        </w:rPr>
        <w:footnoteReference w:id="100"/>
      </w:r>
      <w:r w:rsidRPr="00372A5A">
        <w:rPr>
          <w:rFonts w:ascii="Times New Roman" w:hAnsi="Times New Roman"/>
        </w:rPr>
        <w:t xml:space="preserve">. </w:t>
      </w:r>
    </w:p>
    <w:p w14:paraId="3A85FF9B"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 xml:space="preserve">Based on these authorities, </w:t>
      </w:r>
      <w:proofErr w:type="spellStart"/>
      <w:r w:rsidRPr="00372A5A">
        <w:rPr>
          <w:rFonts w:ascii="Times New Roman" w:hAnsi="Times New Roman"/>
        </w:rPr>
        <w:t>Gotterson</w:t>
      </w:r>
      <w:proofErr w:type="spellEnd"/>
      <w:r w:rsidRPr="00372A5A">
        <w:rPr>
          <w:rFonts w:ascii="Times New Roman" w:hAnsi="Times New Roman"/>
        </w:rPr>
        <w:t> JA concluded that</w:t>
      </w:r>
      <w:r w:rsidRPr="00372A5A">
        <w:rPr>
          <w:rStyle w:val="FootnoteReference"/>
          <w:rFonts w:ascii="Times New Roman" w:hAnsi="Times New Roman"/>
          <w:sz w:val="24"/>
        </w:rPr>
        <w:footnoteReference w:id="101"/>
      </w:r>
      <w:r w:rsidRPr="00372A5A">
        <w:rPr>
          <w:rFonts w:ascii="Times New Roman" w:hAnsi="Times New Roman"/>
        </w:rPr>
        <w:t>:</w:t>
      </w:r>
    </w:p>
    <w:p w14:paraId="41ABAB9C" w14:textId="77777777" w:rsidR="008447C0" w:rsidRPr="00372A5A" w:rsidRDefault="008447C0" w:rsidP="00372A5A">
      <w:pPr>
        <w:pStyle w:val="NormalBody"/>
        <w:spacing w:after="260" w:line="280" w:lineRule="exact"/>
        <w:ind w:left="720" w:right="0" w:hanging="720"/>
        <w:jc w:val="both"/>
        <w:rPr>
          <w:rFonts w:ascii="Times New Roman" w:hAnsi="Times New Roman"/>
        </w:rPr>
      </w:pPr>
      <w:r w:rsidRPr="00372A5A">
        <w:rPr>
          <w:rFonts w:ascii="Times New Roman" w:hAnsi="Times New Roman"/>
        </w:rPr>
        <w:t>(a)</w:t>
      </w:r>
      <w:r w:rsidRPr="00372A5A">
        <w:rPr>
          <w:rFonts w:ascii="Times New Roman" w:hAnsi="Times New Roman"/>
        </w:rPr>
        <w:tab/>
        <w:t xml:space="preserve">the </w:t>
      </w:r>
      <w:r w:rsidRPr="00372A5A">
        <w:rPr>
          <w:rFonts w:ascii="Times New Roman" w:hAnsi="Times New Roman"/>
          <w:i/>
        </w:rPr>
        <w:t>Limitation Act</w:t>
      </w:r>
      <w:r w:rsidRPr="00372A5A">
        <w:rPr>
          <w:rFonts w:ascii="Times New Roman" w:hAnsi="Times New Roman"/>
        </w:rPr>
        <w:t xml:space="preserve"> did not expressly provide that a person could not contract out of pleading the defences conferred by that Act, a point undisputed by the parties before this Court; and</w:t>
      </w:r>
    </w:p>
    <w:p w14:paraId="71E35264" w14:textId="77777777" w:rsidR="008447C0" w:rsidRPr="00372A5A" w:rsidRDefault="008447C0" w:rsidP="00372A5A">
      <w:pPr>
        <w:pStyle w:val="NormalBody"/>
        <w:spacing w:after="260" w:line="280" w:lineRule="exact"/>
        <w:ind w:left="720" w:right="0" w:hanging="720"/>
        <w:jc w:val="both"/>
        <w:rPr>
          <w:rFonts w:ascii="Times New Roman" w:hAnsi="Times New Roman"/>
        </w:rPr>
      </w:pPr>
      <w:r w:rsidRPr="00372A5A">
        <w:rPr>
          <w:rFonts w:ascii="Times New Roman" w:hAnsi="Times New Roman"/>
        </w:rPr>
        <w:t>(b)</w:t>
      </w:r>
      <w:r w:rsidRPr="00372A5A">
        <w:rPr>
          <w:rFonts w:ascii="Times New Roman" w:hAnsi="Times New Roman"/>
        </w:rPr>
        <w:tab/>
        <w:t xml:space="preserve">no such limitation or restriction could be implied from the terms of the </w:t>
      </w:r>
      <w:r w:rsidRPr="00372A5A">
        <w:rPr>
          <w:rFonts w:ascii="Times New Roman" w:hAnsi="Times New Roman"/>
          <w:i/>
        </w:rPr>
        <w:t>Limitation Act</w:t>
      </w:r>
      <w:r w:rsidRPr="00372A5A">
        <w:rPr>
          <w:rFonts w:ascii="Times New Roman" w:hAnsi="Times New Roman"/>
        </w:rPr>
        <w:t>. His Honour inferred that Parliament intended for a defendant to have both an ability to plead a limitation defence and the capacity to give up that ability.</w:t>
      </w:r>
    </w:p>
    <w:p w14:paraId="38DCB48C" w14:textId="77777777" w:rsidR="008447C0" w:rsidRPr="00372A5A" w:rsidRDefault="008447C0" w:rsidP="00372A5A">
      <w:pPr>
        <w:pStyle w:val="HeadingL2"/>
        <w:spacing w:after="260" w:line="280" w:lineRule="exact"/>
        <w:ind w:right="0"/>
        <w:jc w:val="both"/>
        <w:rPr>
          <w:rFonts w:ascii="Times New Roman" w:hAnsi="Times New Roman"/>
        </w:rPr>
      </w:pPr>
      <w:r w:rsidRPr="00372A5A">
        <w:rPr>
          <w:rFonts w:ascii="Times New Roman" w:hAnsi="Times New Roman"/>
        </w:rPr>
        <w:t>Submissions before this Court</w:t>
      </w:r>
    </w:p>
    <w:p w14:paraId="06074032"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 xml:space="preserve">The appellants relied upon two contentions to advance a contrary conclusion. The first was that a statutorily conferred advantage can only be excluded by contract if it operates </w:t>
      </w:r>
      <w:r w:rsidRPr="00372A5A">
        <w:rPr>
          <w:rFonts w:ascii="Times New Roman" w:hAnsi="Times New Roman"/>
          <w:i/>
        </w:rPr>
        <w:t>solely</w:t>
      </w:r>
      <w:r w:rsidRPr="00372A5A">
        <w:rPr>
          <w:rFonts w:ascii="Times New Roman" w:hAnsi="Times New Roman"/>
        </w:rPr>
        <w:t xml:space="preserve"> for the benefit of a person</w:t>
      </w:r>
      <w:r w:rsidRPr="00372A5A">
        <w:rPr>
          <w:rStyle w:val="FootnoteReference"/>
          <w:rFonts w:ascii="Times New Roman" w:hAnsi="Times New Roman"/>
          <w:sz w:val="24"/>
        </w:rPr>
        <w:footnoteReference w:id="102"/>
      </w:r>
      <w:r w:rsidRPr="00372A5A">
        <w:rPr>
          <w:rFonts w:ascii="Times New Roman" w:hAnsi="Times New Roman"/>
        </w:rPr>
        <w:t>, whereas, if the benefit serves a mix of public and private interests, it cannot be excluded by contract</w:t>
      </w:r>
      <w:r w:rsidRPr="00372A5A">
        <w:rPr>
          <w:rStyle w:val="FootnoteReference"/>
          <w:rFonts w:ascii="Times New Roman" w:hAnsi="Times New Roman"/>
          <w:sz w:val="24"/>
        </w:rPr>
        <w:footnoteReference w:id="103"/>
      </w:r>
      <w:r w:rsidRPr="00372A5A">
        <w:rPr>
          <w:rFonts w:ascii="Times New Roman" w:hAnsi="Times New Roman"/>
        </w:rPr>
        <w:t>. An individual, it was said, could thus not waive a matter "in which the public have an interest"</w:t>
      </w:r>
      <w:r w:rsidRPr="00372A5A">
        <w:rPr>
          <w:rStyle w:val="FootnoteReference"/>
          <w:rFonts w:ascii="Times New Roman" w:hAnsi="Times New Roman"/>
          <w:sz w:val="24"/>
        </w:rPr>
        <w:footnoteReference w:id="104"/>
      </w:r>
      <w:r w:rsidRPr="00372A5A">
        <w:rPr>
          <w:rFonts w:ascii="Times New Roman" w:hAnsi="Times New Roman"/>
        </w:rPr>
        <w:t xml:space="preserve">. The second was that the "freedom and sanctity of contract" are not conclusive of the public interest and should not here trump the </w:t>
      </w:r>
      <w:r w:rsidRPr="00372A5A">
        <w:rPr>
          <w:rFonts w:ascii="Times New Roman" w:hAnsi="Times New Roman"/>
        </w:rPr>
        <w:lastRenderedPageBreak/>
        <w:t>public policy of finality in litigation; the law, it was said, began to "back-pedal" from freedom of contract in the nineteenth century</w:t>
      </w:r>
      <w:r w:rsidRPr="00372A5A">
        <w:rPr>
          <w:rStyle w:val="FootnoteReference"/>
          <w:rFonts w:ascii="Times New Roman" w:hAnsi="Times New Roman"/>
          <w:sz w:val="24"/>
        </w:rPr>
        <w:footnoteReference w:id="105"/>
      </w:r>
      <w:r w:rsidRPr="00372A5A">
        <w:rPr>
          <w:rFonts w:ascii="Times New Roman" w:hAnsi="Times New Roman"/>
        </w:rPr>
        <w:t>.</w:t>
      </w:r>
    </w:p>
    <w:p w14:paraId="5F366FC4" w14:textId="77777777" w:rsidR="008447C0" w:rsidRPr="00372A5A" w:rsidRDefault="008447C0" w:rsidP="00372A5A">
      <w:pPr>
        <w:pStyle w:val="HeadingL2"/>
        <w:spacing w:after="260" w:line="280" w:lineRule="exact"/>
        <w:ind w:right="0"/>
        <w:jc w:val="both"/>
        <w:rPr>
          <w:rFonts w:ascii="Times New Roman" w:hAnsi="Times New Roman"/>
        </w:rPr>
      </w:pPr>
      <w:r w:rsidRPr="00372A5A">
        <w:rPr>
          <w:rFonts w:ascii="Times New Roman" w:hAnsi="Times New Roman"/>
        </w:rPr>
        <w:t>Public benefit</w:t>
      </w:r>
    </w:p>
    <w:p w14:paraId="466A957C"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 xml:space="preserve">For the first proposition, the appellants relied upon the reasons of McHugh J in </w:t>
      </w:r>
      <w:r w:rsidRPr="00372A5A">
        <w:rPr>
          <w:rFonts w:ascii="Times New Roman" w:hAnsi="Times New Roman"/>
          <w:i/>
        </w:rPr>
        <w:t>Brisbane South Regional Health Authority v Taylor</w:t>
      </w:r>
      <w:r w:rsidRPr="00372A5A">
        <w:rPr>
          <w:rFonts w:ascii="Times New Roman" w:hAnsi="Times New Roman"/>
        </w:rPr>
        <w:t>, where his Honour identified the following four "broad rationales" for the enactment of limitation periods in civil litigation</w:t>
      </w:r>
      <w:r w:rsidRPr="00372A5A">
        <w:rPr>
          <w:rStyle w:val="FootnoteReference"/>
          <w:rFonts w:ascii="Times New Roman" w:hAnsi="Times New Roman"/>
          <w:sz w:val="24"/>
        </w:rPr>
        <w:footnoteReference w:id="106"/>
      </w:r>
      <w:r w:rsidRPr="00372A5A">
        <w:rPr>
          <w:rFonts w:ascii="Times New Roman" w:hAnsi="Times New Roman"/>
        </w:rPr>
        <w:t>:</w:t>
      </w:r>
    </w:p>
    <w:p w14:paraId="01F58361" w14:textId="77777777" w:rsidR="008447C0" w:rsidRDefault="008447C0" w:rsidP="00372A5A">
      <w:pPr>
        <w:pStyle w:val="LeftrightafterHC"/>
        <w:spacing w:before="0" w:after="260" w:line="280" w:lineRule="exact"/>
        <w:ind w:right="0"/>
        <w:jc w:val="both"/>
        <w:rPr>
          <w:rFonts w:ascii="Times New Roman" w:hAnsi="Times New Roman"/>
        </w:rPr>
      </w:pPr>
      <w:r w:rsidRPr="00372A5A">
        <w:rPr>
          <w:rFonts w:ascii="Times New Roman" w:hAnsi="Times New Roman"/>
        </w:rPr>
        <w:t>"First, as time goes by, relevant evidence is likely to be lost</w:t>
      </w:r>
      <w:r w:rsidRPr="00372A5A">
        <w:rPr>
          <w:rStyle w:val="FootnoteReference"/>
          <w:rFonts w:ascii="Times New Roman" w:hAnsi="Times New Roman"/>
          <w:sz w:val="24"/>
        </w:rPr>
        <w:footnoteReference w:id="107"/>
      </w:r>
      <w:r w:rsidRPr="00372A5A">
        <w:rPr>
          <w:rFonts w:ascii="Times New Roman" w:hAnsi="Times New Roman"/>
        </w:rPr>
        <w:t>. Second, it is oppressive, even 'cruel', to a defendant to allow an action to be brought long after the circumstances which gave rise to it have passed</w:t>
      </w:r>
      <w:r w:rsidRPr="00372A5A">
        <w:rPr>
          <w:rStyle w:val="FootnoteReference"/>
          <w:rFonts w:ascii="Times New Roman" w:hAnsi="Times New Roman"/>
          <w:sz w:val="24"/>
        </w:rPr>
        <w:footnoteReference w:id="108"/>
      </w:r>
      <w:r w:rsidRPr="00372A5A">
        <w:rPr>
          <w:rFonts w:ascii="Times New Roman" w:hAnsi="Times New Roman"/>
        </w:rPr>
        <w:t>. Third, people should be able to arrange their affairs and utilise their resources on the basis that claims can no longer be made against them</w:t>
      </w:r>
      <w:r w:rsidRPr="00372A5A">
        <w:rPr>
          <w:rStyle w:val="FootnoteReference"/>
          <w:rFonts w:ascii="Times New Roman" w:hAnsi="Times New Roman"/>
          <w:sz w:val="24"/>
        </w:rPr>
        <w:footnoteReference w:id="109"/>
      </w:r>
      <w:r w:rsidRPr="00372A5A">
        <w:rPr>
          <w:rFonts w:ascii="Times New Roman" w:hAnsi="Times New Roman"/>
        </w:rPr>
        <w:t xml:space="preserve"> ... The final rationale for limitation periods is that the public interest requires that disputes be settled as quickly as possible</w:t>
      </w:r>
      <w:r w:rsidRPr="00372A5A">
        <w:rPr>
          <w:rStyle w:val="FootnoteReference"/>
          <w:rFonts w:ascii="Times New Roman" w:hAnsi="Times New Roman"/>
          <w:sz w:val="24"/>
        </w:rPr>
        <w:footnoteReference w:id="110"/>
      </w:r>
      <w:r w:rsidRPr="00372A5A">
        <w:rPr>
          <w:rFonts w:ascii="Times New Roman" w:hAnsi="Times New Roman"/>
        </w:rPr>
        <w:t>."</w:t>
      </w:r>
    </w:p>
    <w:p w14:paraId="42BDBEBC"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 xml:space="preserve">The final rationale was said to express a public benefit which could not be contracted out of as a matter of public policy, having regard to the text, purpose and object of the </w:t>
      </w:r>
      <w:r w:rsidRPr="00372A5A">
        <w:rPr>
          <w:rFonts w:ascii="Times New Roman" w:hAnsi="Times New Roman"/>
          <w:i/>
        </w:rPr>
        <w:t>Limitation Act</w:t>
      </w:r>
      <w:r w:rsidRPr="00372A5A">
        <w:rPr>
          <w:rFonts w:ascii="Times New Roman" w:hAnsi="Times New Roman"/>
        </w:rPr>
        <w:t xml:space="preserve">. In that respect, the appellants submitted that the Queensland </w:t>
      </w:r>
      <w:bookmarkStart w:id="4" w:name="_Hlk67478327"/>
      <w:r w:rsidRPr="00372A5A">
        <w:rPr>
          <w:rFonts w:ascii="Times New Roman" w:hAnsi="Times New Roman"/>
        </w:rPr>
        <w:t>Parliament had manifestly turned its mind to consider when the limitation periods should not apply by the enactment of a regime</w:t>
      </w:r>
      <w:bookmarkEnd w:id="4"/>
      <w:r w:rsidRPr="00372A5A">
        <w:rPr>
          <w:rFonts w:ascii="Times New Roman" w:hAnsi="Times New Roman"/>
        </w:rPr>
        <w:t xml:space="preserve"> for obtaining extensions of time: Pt 3 of the </w:t>
      </w:r>
      <w:r w:rsidRPr="00372A5A">
        <w:rPr>
          <w:rFonts w:ascii="Times New Roman" w:hAnsi="Times New Roman"/>
          <w:i/>
        </w:rPr>
        <w:t>Limitation Act</w:t>
      </w:r>
      <w:r w:rsidRPr="00372A5A">
        <w:rPr>
          <w:rFonts w:ascii="Times New Roman" w:hAnsi="Times New Roman"/>
        </w:rPr>
        <w:t xml:space="preserve">. It followed that if Parliament had intended to permit someone to exclude by contract the benefits conferred by that Act, it would have done so expressly. An example of this may be found in s 45 of the </w:t>
      </w:r>
      <w:r w:rsidRPr="00372A5A">
        <w:rPr>
          <w:rFonts w:ascii="Times New Roman" w:hAnsi="Times New Roman"/>
          <w:i/>
        </w:rPr>
        <w:t>Limitation Act 2005</w:t>
      </w:r>
      <w:r w:rsidRPr="00372A5A">
        <w:rPr>
          <w:rFonts w:ascii="Times New Roman" w:hAnsi="Times New Roman"/>
        </w:rPr>
        <w:t xml:space="preserve"> (WA), which relevantly provides that "[n]</w:t>
      </w:r>
      <w:proofErr w:type="spellStart"/>
      <w:r w:rsidRPr="00372A5A">
        <w:rPr>
          <w:rFonts w:ascii="Times New Roman" w:hAnsi="Times New Roman"/>
        </w:rPr>
        <w:t>othing</w:t>
      </w:r>
      <w:proofErr w:type="spellEnd"/>
      <w:r w:rsidRPr="00372A5A">
        <w:rPr>
          <w:rFonts w:ascii="Times New Roman" w:hAnsi="Times New Roman"/>
        </w:rPr>
        <w:t xml:space="preserve"> in this Act prevents a person from agreeing to extend or shorten a limitation period </w:t>
      </w:r>
      <w:r w:rsidRPr="00372A5A">
        <w:rPr>
          <w:rFonts w:ascii="Times New Roman" w:hAnsi="Times New Roman"/>
        </w:rPr>
        <w:lastRenderedPageBreak/>
        <w:t xml:space="preserve">provided for under this Act". The existence of Pt 3 of the </w:t>
      </w:r>
      <w:r w:rsidRPr="00372A5A">
        <w:rPr>
          <w:rFonts w:ascii="Times New Roman" w:hAnsi="Times New Roman"/>
          <w:i/>
        </w:rPr>
        <w:t>Limitation Act</w:t>
      </w:r>
      <w:r w:rsidRPr="00372A5A">
        <w:rPr>
          <w:rFonts w:ascii="Times New Roman" w:hAnsi="Times New Roman"/>
        </w:rPr>
        <w:t xml:space="preserve"> also demonstrated, it was said, that the Act expresses a series of legislative choices about balancing the rights of plaintiffs and defendants. That balancing of rights was not something which the parties could themselves adjust or disturb by contract.</w:t>
      </w:r>
    </w:p>
    <w:p w14:paraId="044B095F"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 xml:space="preserve">The appellants did not, and could not, deny that a party may waive the defences conferred by the </w:t>
      </w:r>
      <w:r w:rsidRPr="00372A5A">
        <w:rPr>
          <w:rFonts w:ascii="Times New Roman" w:hAnsi="Times New Roman"/>
          <w:i/>
        </w:rPr>
        <w:t>Limitation Act</w:t>
      </w:r>
      <w:r w:rsidRPr="00372A5A">
        <w:rPr>
          <w:rFonts w:ascii="Times New Roman" w:hAnsi="Times New Roman"/>
        </w:rPr>
        <w:t xml:space="preserve">. However, they contended that the doctrine of waiver was separate and distinct from an asserted right to exclude by contract a benefit conferred by statute. There is, it was said, nothing inconsistent in that position. The appellants argued that the critical element that is present in the doctrine of waiver, which is not present in the doctrine of exclusion by contract, is the mental element of "knowledge". A defendant to a cause of action can waive the right to plead a limitation defence because at that point in time she or he is armed with knowledge of what is being claimed. In contrast, it was contended, a person does not have such equivalent knowledge when entering into a contract and covenanting not to rely upon the </w:t>
      </w:r>
      <w:r w:rsidRPr="00372A5A">
        <w:rPr>
          <w:rFonts w:ascii="Times New Roman" w:hAnsi="Times New Roman"/>
          <w:i/>
        </w:rPr>
        <w:t xml:space="preserve">Limitation Act </w:t>
      </w:r>
      <w:r w:rsidRPr="00372A5A">
        <w:rPr>
          <w:rFonts w:ascii="Times New Roman" w:hAnsi="Times New Roman"/>
        </w:rPr>
        <w:t>as a defence against any future causes of action.</w:t>
      </w:r>
    </w:p>
    <w:p w14:paraId="4DB3282D"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The proposition that a Statute of Limitations confers benefits which are intractable, and which cannot be avoided, is unsustainable. The benefit of protection from a late claim that is not made within the times prescribed by the Statute of Limitations</w:t>
      </w:r>
      <w:r w:rsidRPr="00372A5A">
        <w:rPr>
          <w:rFonts w:ascii="Times New Roman" w:hAnsi="Times New Roman"/>
          <w:i/>
        </w:rPr>
        <w:t xml:space="preserve"> </w:t>
      </w:r>
      <w:r w:rsidRPr="00372A5A">
        <w:rPr>
          <w:rFonts w:ascii="Times New Roman" w:hAnsi="Times New Roman"/>
        </w:rPr>
        <w:t>will not arise unless a defendant pleads it as a defence</w:t>
      </w:r>
      <w:r w:rsidRPr="00372A5A">
        <w:rPr>
          <w:rStyle w:val="FootnoteReference"/>
          <w:rFonts w:ascii="Times New Roman" w:hAnsi="Times New Roman"/>
          <w:sz w:val="24"/>
        </w:rPr>
        <w:footnoteReference w:id="111"/>
      </w:r>
      <w:r w:rsidRPr="00372A5A">
        <w:rPr>
          <w:rFonts w:ascii="Times New Roman" w:hAnsi="Times New Roman"/>
        </w:rPr>
        <w:t>. Its application thus turns upon a choice made by a defendant in a given proceeding. That is the starting point. It is a starting point of some antiquity. A failure to plead the limitation defence has been fatal to a defendant's ability to invoke a Statute of Limitations since at least the early seventeenth century</w:t>
      </w:r>
      <w:r w:rsidRPr="00372A5A">
        <w:rPr>
          <w:rStyle w:val="FootnoteReference"/>
          <w:rFonts w:ascii="Times New Roman" w:hAnsi="Times New Roman"/>
          <w:sz w:val="24"/>
        </w:rPr>
        <w:footnoteReference w:id="112"/>
      </w:r>
      <w:r w:rsidRPr="00372A5A">
        <w:rPr>
          <w:rFonts w:ascii="Times New Roman" w:hAnsi="Times New Roman"/>
        </w:rPr>
        <w:t>.</w:t>
      </w:r>
    </w:p>
    <w:p w14:paraId="6D1915B2"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 xml:space="preserve">Consistently with this, and as the appellants properly accepted, the benefit of the defences may be waived. But the attempt to distinguish this from contracting out based on a defendant's knowledge fails. It is not supported by authority and is logically unsustainable. The degree of "knowledge" said to be needed for the doctrine of waiver was never specified and it assumed that all defendants would, upon being served with a claim, have sufficient "knowledge" to be able to waive </w:t>
      </w:r>
      <w:r w:rsidRPr="00372A5A">
        <w:rPr>
          <w:rFonts w:ascii="Times New Roman" w:hAnsi="Times New Roman"/>
        </w:rPr>
        <w:lastRenderedPageBreak/>
        <w:t xml:space="preserve">the benefits conferred by the </w:t>
      </w:r>
      <w:r w:rsidRPr="00372A5A">
        <w:rPr>
          <w:rFonts w:ascii="Times New Roman" w:hAnsi="Times New Roman"/>
          <w:i/>
        </w:rPr>
        <w:t>Limitation Act</w:t>
      </w:r>
      <w:r w:rsidRPr="00372A5A">
        <w:rPr>
          <w:rFonts w:ascii="Times New Roman" w:hAnsi="Times New Roman"/>
        </w:rPr>
        <w:t xml:space="preserve">. In reality, different defendants will have very different levels of knowledge about the claims being made against them. Accordingly, there is no principled basis for distinguishing between the waiver of a limitation defence in respect of a particular cause of action and an enforceable promise never to take a limitation defence against a counter-party to a contract. They are both legitimate ways of excluding the benefits conferred on a defendant by the </w:t>
      </w:r>
      <w:r w:rsidRPr="00372A5A">
        <w:rPr>
          <w:rFonts w:ascii="Times New Roman" w:hAnsi="Times New Roman"/>
          <w:i/>
        </w:rPr>
        <w:t>Limitation Act</w:t>
      </w:r>
      <w:r w:rsidRPr="00372A5A">
        <w:rPr>
          <w:rFonts w:ascii="Times New Roman" w:hAnsi="Times New Roman"/>
        </w:rPr>
        <w:t xml:space="preserve">. As Lord Diplock observed in </w:t>
      </w:r>
      <w:proofErr w:type="spellStart"/>
      <w:r w:rsidRPr="00372A5A">
        <w:rPr>
          <w:rFonts w:ascii="Times New Roman" w:hAnsi="Times New Roman"/>
          <w:i/>
        </w:rPr>
        <w:t>Kammins</w:t>
      </w:r>
      <w:proofErr w:type="spellEnd"/>
      <w:r w:rsidRPr="00372A5A">
        <w:rPr>
          <w:rFonts w:ascii="Times New Roman" w:hAnsi="Times New Roman"/>
          <w:i/>
        </w:rPr>
        <w:t xml:space="preserve"> Ballrooms Co Ltd v Zenith Investments (Torquay) Ltd</w:t>
      </w:r>
      <w:r w:rsidRPr="00372A5A">
        <w:rPr>
          <w:rFonts w:ascii="Times New Roman" w:hAnsi="Times New Roman"/>
        </w:rPr>
        <w:t>, waiving a right to a limitation defence</w:t>
      </w:r>
      <w:r w:rsidRPr="00372A5A">
        <w:rPr>
          <w:rStyle w:val="FootnoteReference"/>
          <w:rFonts w:ascii="Times New Roman" w:hAnsi="Times New Roman"/>
          <w:sz w:val="24"/>
        </w:rPr>
        <w:footnoteReference w:id="113"/>
      </w:r>
      <w:r w:rsidRPr="00372A5A">
        <w:rPr>
          <w:rFonts w:ascii="Times New Roman" w:hAnsi="Times New Roman"/>
        </w:rPr>
        <w:t>:</w:t>
      </w:r>
    </w:p>
    <w:p w14:paraId="76623536" w14:textId="77777777" w:rsidR="008447C0" w:rsidRDefault="008447C0" w:rsidP="00372A5A">
      <w:pPr>
        <w:pStyle w:val="LeftrightafterHC"/>
        <w:spacing w:before="0" w:after="260" w:line="280" w:lineRule="exact"/>
        <w:ind w:right="0"/>
        <w:jc w:val="both"/>
        <w:rPr>
          <w:rFonts w:ascii="Times New Roman" w:hAnsi="Times New Roman"/>
        </w:rPr>
      </w:pPr>
      <w:r w:rsidRPr="00372A5A">
        <w:rPr>
          <w:rFonts w:ascii="Times New Roman" w:hAnsi="Times New Roman"/>
        </w:rPr>
        <w:t>"means that the party has chosen not to rely upon the non-compliance of the other party with the requirement, or</w:t>
      </w:r>
      <w:r w:rsidRPr="00372A5A">
        <w:rPr>
          <w:rFonts w:ascii="Times New Roman" w:hAnsi="Times New Roman"/>
          <w:i/>
        </w:rPr>
        <w:t xml:space="preserve"> has disentitled himself from relying upon it either by agreeing with the other party not to do</w:t>
      </w:r>
      <w:r w:rsidRPr="00372A5A">
        <w:rPr>
          <w:rFonts w:ascii="Times New Roman" w:hAnsi="Times New Roman"/>
        </w:rPr>
        <w:t xml:space="preserve"> </w:t>
      </w:r>
      <w:r w:rsidRPr="00372A5A">
        <w:rPr>
          <w:rFonts w:ascii="Times New Roman" w:hAnsi="Times New Roman"/>
          <w:i/>
        </w:rPr>
        <w:t>so</w:t>
      </w:r>
      <w:r w:rsidRPr="00372A5A">
        <w:rPr>
          <w:rFonts w:ascii="Times New Roman" w:hAnsi="Times New Roman"/>
        </w:rPr>
        <w:t xml:space="preserve"> or because he has so conducted himself that it would not be fair to allow him to rely upon non-compliance."</w:t>
      </w:r>
    </w:p>
    <w:p w14:paraId="30A05A05"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 xml:space="preserve">The proposition that because the </w:t>
      </w:r>
      <w:r w:rsidRPr="00372A5A">
        <w:rPr>
          <w:rFonts w:ascii="Times New Roman" w:hAnsi="Times New Roman"/>
          <w:i/>
        </w:rPr>
        <w:t>Limitation Act</w:t>
      </w:r>
      <w:r w:rsidRPr="00372A5A">
        <w:rPr>
          <w:rFonts w:ascii="Times New Roman" w:hAnsi="Times New Roman"/>
        </w:rPr>
        <w:t xml:space="preserve"> serves, in part, a public policy – </w:t>
      </w:r>
      <w:r w:rsidRPr="00372A5A">
        <w:rPr>
          <w:rFonts w:ascii="Times New Roman" w:hAnsi="Times New Roman"/>
          <w:i/>
        </w:rPr>
        <w:t>viz</w:t>
      </w:r>
      <w:r w:rsidRPr="00372A5A">
        <w:rPr>
          <w:rFonts w:ascii="Times New Roman" w:hAnsi="Times New Roman"/>
        </w:rPr>
        <w:t xml:space="preserve"> finality in litigation – the effect of its provisions cannot be adjusted or disturbed by contract, is not correct. The contention ignores the legislative choice made to implement that policy, which is to confer, effectively, an option on defendants either to invoke or not to invoke the benefits of the </w:t>
      </w:r>
      <w:r w:rsidRPr="00372A5A">
        <w:rPr>
          <w:rFonts w:ascii="Times New Roman" w:hAnsi="Times New Roman"/>
          <w:i/>
        </w:rPr>
        <w:t>Limitation Act</w:t>
      </w:r>
      <w:r w:rsidRPr="00372A5A">
        <w:rPr>
          <w:rFonts w:ascii="Times New Roman" w:hAnsi="Times New Roman"/>
        </w:rPr>
        <w:t xml:space="preserve">. In other words, the legislature has chosen to serve the public policy through the conferral of purely private benefits. In that sense, the benefits of the </w:t>
      </w:r>
      <w:r w:rsidRPr="00372A5A">
        <w:rPr>
          <w:rFonts w:ascii="Times New Roman" w:hAnsi="Times New Roman"/>
          <w:i/>
        </w:rPr>
        <w:t>Limitation Act</w:t>
      </w:r>
      <w:r w:rsidRPr="00372A5A">
        <w:rPr>
          <w:rFonts w:ascii="Times New Roman" w:hAnsi="Times New Roman"/>
        </w:rPr>
        <w:t xml:space="preserve"> can correctly be seen as purely private in nature</w:t>
      </w:r>
      <w:r w:rsidRPr="00372A5A">
        <w:rPr>
          <w:rStyle w:val="FootnoteReference"/>
          <w:rFonts w:ascii="Times New Roman" w:hAnsi="Times New Roman"/>
          <w:sz w:val="24"/>
        </w:rPr>
        <w:footnoteReference w:id="114"/>
      </w:r>
      <w:r w:rsidRPr="00372A5A">
        <w:rPr>
          <w:rFonts w:ascii="Times New Roman" w:hAnsi="Times New Roman"/>
        </w:rPr>
        <w:t xml:space="preserve">. </w:t>
      </w:r>
    </w:p>
    <w:p w14:paraId="12AA3FF8"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 xml:space="preserve">Once it is accepted that the policy of finality in litigation is one that is statutorily entrusted to each defendant, it follows that the limitation defences may be waived. It also follows, as a matter of logic and principle, that a party may agree to promise not to invoke those defences as part of the contractual bargain. The </w:t>
      </w:r>
      <w:r w:rsidRPr="00372A5A">
        <w:rPr>
          <w:rFonts w:ascii="Times New Roman" w:hAnsi="Times New Roman"/>
          <w:i/>
        </w:rPr>
        <w:t>Limitation Act</w:t>
      </w:r>
      <w:r w:rsidRPr="00372A5A">
        <w:rPr>
          <w:rFonts w:ascii="Times New Roman" w:hAnsi="Times New Roman"/>
        </w:rPr>
        <w:t xml:space="preserve"> neither expressly nor by implication justifies a contrary conclusion. In that respect, having accepted that limitation defences may be waived, the appellants' reliance upon the statutory power of extension in Pt 3 of the </w:t>
      </w:r>
      <w:r w:rsidRPr="00372A5A">
        <w:rPr>
          <w:rFonts w:ascii="Times New Roman" w:hAnsi="Times New Roman"/>
          <w:i/>
        </w:rPr>
        <w:t>Limitation Act</w:t>
      </w:r>
      <w:r w:rsidRPr="00372A5A">
        <w:rPr>
          <w:rFonts w:ascii="Times New Roman" w:hAnsi="Times New Roman"/>
        </w:rPr>
        <w:t>, as demonstrative of Parliament having expressly decided when the limitation periods should not apply, has little force. Evidently, the presence of Pt 3, on the appellants' own case, did not deny a person's ability to waive reliance upon a limitation defence.</w:t>
      </w:r>
    </w:p>
    <w:p w14:paraId="2864D1E1"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lastRenderedPageBreak/>
        <w:tab/>
        <w:t xml:space="preserve">As it happens, the law has long recognised an ability to exclude limitation defences by contract. In </w:t>
      </w:r>
      <w:r w:rsidRPr="00372A5A">
        <w:rPr>
          <w:rFonts w:ascii="Times New Roman" w:hAnsi="Times New Roman"/>
          <w:i/>
        </w:rPr>
        <w:t>Lade v Trill</w:t>
      </w:r>
      <w:r w:rsidRPr="00372A5A">
        <w:rPr>
          <w:rStyle w:val="FootnoteReference"/>
          <w:rFonts w:ascii="Times New Roman" w:hAnsi="Times New Roman"/>
          <w:sz w:val="24"/>
        </w:rPr>
        <w:footnoteReference w:id="115"/>
      </w:r>
      <w:r w:rsidRPr="00372A5A">
        <w:rPr>
          <w:rFonts w:ascii="Times New Roman" w:hAnsi="Times New Roman"/>
        </w:rPr>
        <w:t xml:space="preserve">, Messrs Lade and Trill, a farmer and a bricklayer who were related and lived in the same area, frequently accommodated each other with money, for which promissory notes were given. They both died in 1835. The executors of their estates entered into a verbal agreement in 1837 that the old accounts of Messrs Lade and Trill were to be settled on a given day without regard to the length of time that had been running. Settlement then took place. </w:t>
      </w:r>
      <w:proofErr w:type="spellStart"/>
      <w:r w:rsidRPr="00372A5A">
        <w:rPr>
          <w:rFonts w:ascii="Times New Roman" w:hAnsi="Times New Roman"/>
        </w:rPr>
        <w:t>Some time</w:t>
      </w:r>
      <w:proofErr w:type="spellEnd"/>
      <w:r w:rsidRPr="00372A5A">
        <w:rPr>
          <w:rFonts w:ascii="Times New Roman" w:hAnsi="Times New Roman"/>
        </w:rPr>
        <w:t xml:space="preserve"> later, the executors of Mr Trill's estate discovered a promissory note that had been given by Mr Lade to Mr Trill for 250 pounds. They sought to enforce it. Knight Bruce V-C decided that neither party was to be at liberty to take advantage of the Statute of Limitations. That was because there had been an agreement for valuable consideration for both sides to waive the benefit of that statute, and this agreement "ought to be enforced"</w:t>
      </w:r>
      <w:r w:rsidRPr="00372A5A">
        <w:rPr>
          <w:rStyle w:val="FootnoteReference"/>
          <w:rFonts w:ascii="Times New Roman" w:hAnsi="Times New Roman"/>
          <w:sz w:val="24"/>
        </w:rPr>
        <w:footnoteReference w:id="116"/>
      </w:r>
      <w:r w:rsidRPr="00372A5A">
        <w:rPr>
          <w:rFonts w:ascii="Times New Roman" w:hAnsi="Times New Roman"/>
        </w:rPr>
        <w:t>.</w:t>
      </w:r>
    </w:p>
    <w:p w14:paraId="3ED474D6"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 xml:space="preserve">In </w:t>
      </w:r>
      <w:r w:rsidRPr="00372A5A">
        <w:rPr>
          <w:rFonts w:ascii="Times New Roman" w:hAnsi="Times New Roman"/>
          <w:i/>
        </w:rPr>
        <w:t>Wright v John Bagnall &amp; Sons Ltd</w:t>
      </w:r>
      <w:r w:rsidRPr="00372A5A">
        <w:rPr>
          <w:rStyle w:val="FootnoteReference"/>
          <w:rFonts w:ascii="Times New Roman" w:hAnsi="Times New Roman"/>
          <w:sz w:val="24"/>
        </w:rPr>
        <w:footnoteReference w:id="117"/>
      </w:r>
      <w:r w:rsidRPr="00372A5A">
        <w:rPr>
          <w:rFonts w:ascii="Times New Roman" w:hAnsi="Times New Roman"/>
        </w:rPr>
        <w:t xml:space="preserve">, a defendant admitted liability under the </w:t>
      </w:r>
      <w:r w:rsidRPr="00372A5A">
        <w:rPr>
          <w:rFonts w:ascii="Times New Roman" w:hAnsi="Times New Roman"/>
          <w:i/>
        </w:rPr>
        <w:t>Workmen's Compensation Act 1897</w:t>
      </w:r>
      <w:r w:rsidRPr="00372A5A">
        <w:rPr>
          <w:rFonts w:ascii="Times New Roman" w:hAnsi="Times New Roman"/>
        </w:rPr>
        <w:t xml:space="preserve"> (UK) in relation to a workplace accident. Under that Act, a person was required to make any claim for compensation within six months of an accident occurring. The parties reserved their respective rights to go to court to determine the quantum of damages. Whilst the parties were still negotiating, the six-month time limit ran out. Vaughan Williams LJ decided that there was an agreement that the defendant was liable to pay compensation and that if the parties could not agree as to the amount, they were then to obtain an adjudication of that issue from a court</w:t>
      </w:r>
      <w:r w:rsidRPr="00372A5A">
        <w:rPr>
          <w:rStyle w:val="FootnoteReference"/>
          <w:rFonts w:ascii="Times New Roman" w:hAnsi="Times New Roman"/>
          <w:sz w:val="24"/>
        </w:rPr>
        <w:footnoteReference w:id="118"/>
      </w:r>
      <w:r w:rsidRPr="00372A5A">
        <w:rPr>
          <w:rFonts w:ascii="Times New Roman" w:hAnsi="Times New Roman"/>
        </w:rPr>
        <w:t>. The defendant nonetheless raised the lapse of time as a defence. Because of that agreement, Vaughan Williams LJ said, this defence could not "be set up as a bar to the claim"</w:t>
      </w:r>
      <w:r w:rsidRPr="00372A5A">
        <w:rPr>
          <w:rStyle w:val="FootnoteReference"/>
          <w:rFonts w:ascii="Times New Roman" w:hAnsi="Times New Roman"/>
          <w:sz w:val="24"/>
        </w:rPr>
        <w:footnoteReference w:id="119"/>
      </w:r>
      <w:r w:rsidRPr="00372A5A">
        <w:rPr>
          <w:rFonts w:ascii="Times New Roman" w:hAnsi="Times New Roman"/>
        </w:rPr>
        <w:t>. Collins LJ similarly stated that the defendant was "debarred from raising the point that the statutory limitation applied"</w:t>
      </w:r>
      <w:r w:rsidRPr="00372A5A">
        <w:rPr>
          <w:rStyle w:val="FootnoteReference"/>
          <w:rFonts w:ascii="Times New Roman" w:hAnsi="Times New Roman"/>
          <w:sz w:val="24"/>
        </w:rPr>
        <w:footnoteReference w:id="120"/>
      </w:r>
      <w:r w:rsidRPr="00372A5A">
        <w:rPr>
          <w:rFonts w:ascii="Times New Roman" w:hAnsi="Times New Roman"/>
        </w:rPr>
        <w:t xml:space="preserve"> because of the agreement. Romer LJ also agreed</w:t>
      </w:r>
      <w:r w:rsidRPr="00372A5A">
        <w:rPr>
          <w:rStyle w:val="FootnoteReference"/>
          <w:rFonts w:ascii="Times New Roman" w:hAnsi="Times New Roman"/>
          <w:sz w:val="24"/>
        </w:rPr>
        <w:footnoteReference w:id="121"/>
      </w:r>
      <w:r w:rsidRPr="00372A5A">
        <w:rPr>
          <w:rFonts w:ascii="Times New Roman" w:hAnsi="Times New Roman"/>
        </w:rPr>
        <w:t>.</w:t>
      </w:r>
    </w:p>
    <w:p w14:paraId="7793163F"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lastRenderedPageBreak/>
        <w:tab/>
        <w:t xml:space="preserve">The later decision of </w:t>
      </w:r>
      <w:proofErr w:type="spellStart"/>
      <w:r w:rsidRPr="00372A5A">
        <w:rPr>
          <w:rFonts w:ascii="Times New Roman" w:hAnsi="Times New Roman"/>
          <w:i/>
        </w:rPr>
        <w:t>Lubovsky</w:t>
      </w:r>
      <w:proofErr w:type="spellEnd"/>
      <w:r w:rsidRPr="00372A5A">
        <w:rPr>
          <w:rFonts w:ascii="Times New Roman" w:hAnsi="Times New Roman"/>
          <w:i/>
        </w:rPr>
        <w:t xml:space="preserve"> v Snelling</w:t>
      </w:r>
      <w:r w:rsidRPr="00372A5A">
        <w:rPr>
          <w:rStyle w:val="FootnoteReference"/>
          <w:rFonts w:ascii="Times New Roman" w:hAnsi="Times New Roman"/>
          <w:sz w:val="24"/>
        </w:rPr>
        <w:footnoteReference w:id="122"/>
      </w:r>
      <w:r w:rsidRPr="00372A5A">
        <w:rPr>
          <w:rFonts w:ascii="Times New Roman" w:hAnsi="Times New Roman"/>
        </w:rPr>
        <w:t xml:space="preserve"> concerned similar circumstances. During an interview between the plaintiff and the defendant's insurance company, liability under the </w:t>
      </w:r>
      <w:r w:rsidRPr="00372A5A">
        <w:rPr>
          <w:rFonts w:ascii="Times New Roman" w:hAnsi="Times New Roman"/>
          <w:i/>
        </w:rPr>
        <w:t xml:space="preserve">Fatal Accidents Act 1846 </w:t>
      </w:r>
      <w:r w:rsidRPr="00372A5A">
        <w:rPr>
          <w:rFonts w:ascii="Times New Roman" w:hAnsi="Times New Roman"/>
        </w:rPr>
        <w:t>(UK) was admitted on the basis that the quantum of damages was to be fixed by a judge. Under s 3 of that Act, proceedings were required to be commenced within 12 months of death. A writ was issued after that time period had expired. The defendant pleaded s 3 of the Act. Scott LJ, with whom Mackinnon and Goddard LJJ agreed</w:t>
      </w:r>
      <w:r w:rsidRPr="00372A5A">
        <w:rPr>
          <w:rStyle w:val="FootnoteReference"/>
          <w:rFonts w:ascii="Times New Roman" w:hAnsi="Times New Roman"/>
          <w:sz w:val="24"/>
        </w:rPr>
        <w:footnoteReference w:id="123"/>
      </w:r>
      <w:r w:rsidRPr="00372A5A">
        <w:rPr>
          <w:rFonts w:ascii="Times New Roman" w:hAnsi="Times New Roman"/>
        </w:rPr>
        <w:t>, was of the view that the parties had entered into a contract whereby liability was admitted and the defendant was precluded from putting forward any limitation defence. As his Lordship observed, "[i]t was just as much a contract not to plead s 3 of the Act"</w:t>
      </w:r>
      <w:r w:rsidRPr="00372A5A">
        <w:rPr>
          <w:rStyle w:val="FootnoteReference"/>
          <w:rFonts w:ascii="Times New Roman" w:hAnsi="Times New Roman"/>
          <w:sz w:val="24"/>
        </w:rPr>
        <w:footnoteReference w:id="124"/>
      </w:r>
      <w:r w:rsidRPr="00372A5A">
        <w:rPr>
          <w:rFonts w:ascii="Times New Roman" w:hAnsi="Times New Roman"/>
        </w:rPr>
        <w:t>. It followed that the "plea was not so open"</w:t>
      </w:r>
      <w:r w:rsidRPr="00372A5A">
        <w:rPr>
          <w:rStyle w:val="FootnoteReference"/>
          <w:rFonts w:ascii="Times New Roman" w:hAnsi="Times New Roman"/>
          <w:sz w:val="24"/>
        </w:rPr>
        <w:footnoteReference w:id="125"/>
      </w:r>
      <w:r w:rsidRPr="00372A5A">
        <w:rPr>
          <w:rFonts w:ascii="Times New Roman" w:hAnsi="Times New Roman"/>
        </w:rPr>
        <w:t>. Goddard LJ added that he could "see no distinction between this case and that of [</w:t>
      </w:r>
      <w:r w:rsidRPr="00372A5A">
        <w:rPr>
          <w:rFonts w:ascii="Times New Roman" w:hAnsi="Times New Roman"/>
          <w:i/>
        </w:rPr>
        <w:t>Wright</w:t>
      </w:r>
      <w:r w:rsidRPr="00372A5A">
        <w:rPr>
          <w:rFonts w:ascii="Times New Roman" w:hAnsi="Times New Roman"/>
        </w:rPr>
        <w:t>], which is binding on this court"</w:t>
      </w:r>
      <w:r w:rsidRPr="00372A5A">
        <w:rPr>
          <w:rStyle w:val="FootnoteReference"/>
          <w:rFonts w:ascii="Times New Roman" w:hAnsi="Times New Roman"/>
          <w:sz w:val="24"/>
        </w:rPr>
        <w:footnoteReference w:id="126"/>
      </w:r>
      <w:r w:rsidRPr="00372A5A">
        <w:rPr>
          <w:rFonts w:ascii="Times New Roman" w:hAnsi="Times New Roman"/>
        </w:rPr>
        <w:t>.</w:t>
      </w:r>
    </w:p>
    <w:p w14:paraId="60C96D4A"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 xml:space="preserve">The appellants submitted that </w:t>
      </w:r>
      <w:r w:rsidRPr="00372A5A">
        <w:rPr>
          <w:rFonts w:ascii="Times New Roman" w:hAnsi="Times New Roman"/>
          <w:i/>
        </w:rPr>
        <w:t>Lade v Trill</w:t>
      </w:r>
      <w:r w:rsidRPr="00372A5A">
        <w:rPr>
          <w:rFonts w:ascii="Times New Roman" w:hAnsi="Times New Roman"/>
        </w:rPr>
        <w:t xml:space="preserve"> is an historical anomaly and should not be followed. Whilst the reasons of Knight Bruce V-C are scant, the Court was not taken to any contrary authority, and the appellants' contention ultimately rose no higher than an assertion that the case was wrongly decided.</w:t>
      </w:r>
    </w:p>
    <w:p w14:paraId="2A729A35"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The appellants also submitted that this Court should distinguish</w:t>
      </w:r>
      <w:r w:rsidRPr="00372A5A">
        <w:rPr>
          <w:rFonts w:ascii="Times New Roman" w:hAnsi="Times New Roman"/>
          <w:i/>
        </w:rPr>
        <w:t xml:space="preserve"> Wright </w:t>
      </w:r>
      <w:r w:rsidRPr="00372A5A">
        <w:rPr>
          <w:rFonts w:ascii="Times New Roman" w:hAnsi="Times New Roman"/>
        </w:rPr>
        <w:t xml:space="preserve">and </w:t>
      </w:r>
      <w:proofErr w:type="spellStart"/>
      <w:r w:rsidRPr="00372A5A">
        <w:rPr>
          <w:rFonts w:ascii="Times New Roman" w:hAnsi="Times New Roman"/>
          <w:i/>
        </w:rPr>
        <w:t>Lubovsky</w:t>
      </w:r>
      <w:proofErr w:type="spellEnd"/>
      <w:r w:rsidRPr="00372A5A">
        <w:rPr>
          <w:rFonts w:ascii="Times New Roman" w:hAnsi="Times New Roman"/>
          <w:i/>
        </w:rPr>
        <w:t xml:space="preserve"> </w:t>
      </w:r>
      <w:r w:rsidRPr="00372A5A">
        <w:rPr>
          <w:rFonts w:ascii="Times New Roman" w:hAnsi="Times New Roman"/>
        </w:rPr>
        <w:t xml:space="preserve">(as well as </w:t>
      </w:r>
      <w:proofErr w:type="spellStart"/>
      <w:r w:rsidRPr="00372A5A">
        <w:rPr>
          <w:rFonts w:ascii="Times New Roman" w:hAnsi="Times New Roman"/>
          <w:i/>
        </w:rPr>
        <w:t>Kammins</w:t>
      </w:r>
      <w:proofErr w:type="spellEnd"/>
      <w:r w:rsidRPr="00372A5A">
        <w:rPr>
          <w:rFonts w:ascii="Times New Roman" w:hAnsi="Times New Roman"/>
        </w:rPr>
        <w:t xml:space="preserve">) on the basis that the time period in each case was annexed to the right created by the relevant statute. As Windeyer J explained in </w:t>
      </w:r>
      <w:r w:rsidRPr="00372A5A">
        <w:rPr>
          <w:rFonts w:ascii="Times New Roman" w:hAnsi="Times New Roman"/>
          <w:i/>
        </w:rPr>
        <w:t>Australian Iron &amp; Steel Ltd v Hoogland</w:t>
      </w:r>
      <w:r w:rsidRPr="00372A5A">
        <w:rPr>
          <w:rStyle w:val="FootnoteReference"/>
          <w:rFonts w:ascii="Times New Roman" w:hAnsi="Times New Roman"/>
          <w:sz w:val="24"/>
        </w:rPr>
        <w:footnoteReference w:id="127"/>
      </w:r>
      <w:r w:rsidRPr="00372A5A">
        <w:rPr>
          <w:rFonts w:ascii="Times New Roman" w:hAnsi="Times New Roman"/>
        </w:rPr>
        <w:t xml:space="preserve">, such provisions may differ from a Statute of Limitations because they constitute an essential statutory condition for obtaining relief to be pleaded by a plaintiff, as distinct from a defence to be pleaded by a defendant. The appellants also submitted that Australia has not adopted the more liberal approach to limitation periods annexed to statutory rights found in the English cases. These submissions are not persuasive. As to the first reason, a principle that a court may enforce a contract which permits the positive exclusion of a statutory condition for the obtaining of relief does not deny, as a matter of logic, the arguably more modest proposition that a contract which excludes the defences arising under a Statute of Limitations may also be enforceable. As to the </w:t>
      </w:r>
      <w:r w:rsidRPr="00372A5A">
        <w:rPr>
          <w:rFonts w:ascii="Times New Roman" w:hAnsi="Times New Roman"/>
        </w:rPr>
        <w:lastRenderedPageBreak/>
        <w:t xml:space="preserve">second reason, it was not supported by relevant authority; the case cited by the appellants for this proposition, </w:t>
      </w:r>
      <w:r w:rsidRPr="00372A5A">
        <w:rPr>
          <w:rFonts w:ascii="Times New Roman" w:hAnsi="Times New Roman"/>
          <w:i/>
        </w:rPr>
        <w:t>The Crown v McNeil</w:t>
      </w:r>
      <w:r w:rsidRPr="00372A5A">
        <w:rPr>
          <w:rStyle w:val="FootnoteReference"/>
          <w:rFonts w:ascii="Times New Roman" w:hAnsi="Times New Roman"/>
          <w:sz w:val="24"/>
        </w:rPr>
        <w:footnoteReference w:id="128"/>
      </w:r>
      <w:r w:rsidRPr="00372A5A">
        <w:rPr>
          <w:rFonts w:ascii="Times New Roman" w:hAnsi="Times New Roman"/>
        </w:rPr>
        <w:t xml:space="preserve">, did not concern an agreement that was held to have the effect of preventing a defendant from setting up a limitation defence. Rather, the issue in that case was whether certain fraudulent conduct could have had the effect of extending the time prescribed for suing the Crown pursuant to the </w:t>
      </w:r>
      <w:r w:rsidRPr="00372A5A">
        <w:rPr>
          <w:rFonts w:ascii="Times New Roman" w:hAnsi="Times New Roman"/>
          <w:i/>
        </w:rPr>
        <w:t xml:space="preserve">Crown Suits Act 1898 </w:t>
      </w:r>
      <w:r w:rsidRPr="00372A5A">
        <w:rPr>
          <w:rFonts w:ascii="Times New Roman" w:hAnsi="Times New Roman"/>
        </w:rPr>
        <w:t xml:space="preserve">(WA). </w:t>
      </w:r>
    </w:p>
    <w:p w14:paraId="0992B36E"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 xml:space="preserve">The Court was then also asked not to follow </w:t>
      </w:r>
      <w:proofErr w:type="spellStart"/>
      <w:r w:rsidRPr="00372A5A">
        <w:rPr>
          <w:rFonts w:ascii="Times New Roman" w:hAnsi="Times New Roman"/>
          <w:i/>
        </w:rPr>
        <w:t>Kammins</w:t>
      </w:r>
      <w:proofErr w:type="spellEnd"/>
      <w:r w:rsidRPr="00372A5A">
        <w:rPr>
          <w:rFonts w:ascii="Times New Roman" w:hAnsi="Times New Roman"/>
        </w:rPr>
        <w:t>,</w:t>
      </w:r>
      <w:r w:rsidRPr="00372A5A">
        <w:rPr>
          <w:rFonts w:ascii="Times New Roman" w:hAnsi="Times New Roman"/>
          <w:i/>
        </w:rPr>
        <w:t xml:space="preserve"> Wright </w:t>
      </w:r>
      <w:r w:rsidRPr="00372A5A">
        <w:rPr>
          <w:rFonts w:ascii="Times New Roman" w:hAnsi="Times New Roman"/>
        </w:rPr>
        <w:t xml:space="preserve">and </w:t>
      </w:r>
      <w:proofErr w:type="spellStart"/>
      <w:r w:rsidRPr="00372A5A">
        <w:rPr>
          <w:rFonts w:ascii="Times New Roman" w:hAnsi="Times New Roman"/>
          <w:i/>
        </w:rPr>
        <w:t>Lubovsky</w:t>
      </w:r>
      <w:proofErr w:type="spellEnd"/>
      <w:r w:rsidRPr="00372A5A">
        <w:rPr>
          <w:rFonts w:ascii="Times New Roman" w:hAnsi="Times New Roman"/>
        </w:rPr>
        <w:t xml:space="preserve">. In support of that proposition, the appellants cited an observation by Lord </w:t>
      </w:r>
      <w:proofErr w:type="spellStart"/>
      <w:r w:rsidRPr="00372A5A">
        <w:rPr>
          <w:rFonts w:ascii="Times New Roman" w:hAnsi="Times New Roman"/>
        </w:rPr>
        <w:t>Evershed</w:t>
      </w:r>
      <w:proofErr w:type="spellEnd"/>
      <w:r w:rsidRPr="00372A5A">
        <w:rPr>
          <w:rFonts w:ascii="Times New Roman" w:hAnsi="Times New Roman"/>
        </w:rPr>
        <w:t xml:space="preserve"> MR in </w:t>
      </w:r>
      <w:r w:rsidRPr="00372A5A">
        <w:rPr>
          <w:rFonts w:ascii="Times New Roman" w:hAnsi="Times New Roman"/>
          <w:i/>
        </w:rPr>
        <w:t>The "</w:t>
      </w:r>
      <w:proofErr w:type="spellStart"/>
      <w:r w:rsidRPr="00372A5A">
        <w:rPr>
          <w:rFonts w:ascii="Times New Roman" w:hAnsi="Times New Roman"/>
          <w:i/>
        </w:rPr>
        <w:t>Sauria</w:t>
      </w:r>
      <w:proofErr w:type="spellEnd"/>
      <w:r w:rsidRPr="00372A5A">
        <w:rPr>
          <w:rFonts w:ascii="Times New Roman" w:hAnsi="Times New Roman"/>
          <w:i/>
        </w:rPr>
        <w:t>" and the "Trent"</w:t>
      </w:r>
      <w:r w:rsidRPr="00372A5A">
        <w:rPr>
          <w:rFonts w:ascii="Times New Roman" w:hAnsi="Times New Roman"/>
        </w:rPr>
        <w:t xml:space="preserve">, where his Lordship expressed his "greatest difficulty" with </w:t>
      </w:r>
      <w:proofErr w:type="spellStart"/>
      <w:r w:rsidRPr="00372A5A">
        <w:rPr>
          <w:rFonts w:ascii="Times New Roman" w:hAnsi="Times New Roman"/>
          <w:i/>
        </w:rPr>
        <w:t>Lubovsky</w:t>
      </w:r>
      <w:proofErr w:type="spellEnd"/>
      <w:r w:rsidRPr="00372A5A">
        <w:rPr>
          <w:rFonts w:ascii="Times New Roman" w:hAnsi="Times New Roman"/>
          <w:i/>
        </w:rPr>
        <w:t xml:space="preserve"> </w:t>
      </w:r>
      <w:r w:rsidRPr="00372A5A">
        <w:rPr>
          <w:rFonts w:ascii="Times New Roman" w:hAnsi="Times New Roman"/>
        </w:rPr>
        <w:t>"[a]s a matter of principle"</w:t>
      </w:r>
      <w:r w:rsidRPr="00372A5A">
        <w:rPr>
          <w:rStyle w:val="FootnoteReference"/>
          <w:rFonts w:ascii="Times New Roman" w:hAnsi="Times New Roman"/>
          <w:sz w:val="24"/>
        </w:rPr>
        <w:footnoteReference w:id="129"/>
      </w:r>
      <w:r w:rsidRPr="00372A5A">
        <w:rPr>
          <w:rFonts w:ascii="Times New Roman" w:hAnsi="Times New Roman"/>
        </w:rPr>
        <w:t>. However, in that case no contract to exclude the relevant limitation period was found to exist. Moreover, Lord </w:t>
      </w:r>
      <w:proofErr w:type="spellStart"/>
      <w:r w:rsidRPr="00372A5A">
        <w:rPr>
          <w:rFonts w:ascii="Times New Roman" w:hAnsi="Times New Roman"/>
        </w:rPr>
        <w:t>Evershed</w:t>
      </w:r>
      <w:proofErr w:type="spellEnd"/>
      <w:r w:rsidRPr="00372A5A">
        <w:rPr>
          <w:rFonts w:ascii="Times New Roman" w:hAnsi="Times New Roman"/>
        </w:rPr>
        <w:t xml:space="preserve"> MR did not fully explain the basis for his difficulty, although it may have been a concern about the breadth of the exclusion in </w:t>
      </w:r>
      <w:proofErr w:type="spellStart"/>
      <w:r w:rsidRPr="00372A5A">
        <w:rPr>
          <w:rFonts w:ascii="Times New Roman" w:hAnsi="Times New Roman"/>
          <w:i/>
        </w:rPr>
        <w:t>Lubovsky</w:t>
      </w:r>
      <w:proofErr w:type="spellEnd"/>
      <w:r w:rsidRPr="00372A5A">
        <w:rPr>
          <w:rFonts w:ascii="Times New Roman" w:hAnsi="Times New Roman"/>
        </w:rPr>
        <w:t xml:space="preserve">. </w:t>
      </w:r>
    </w:p>
    <w:p w14:paraId="5BFA4412"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The foregoing authorities are illustrative of the common law's general tolerance of bargains which seek to exclude private benefits conferred by statute. Contrary to the submissions of the appellants, these authorities cannot be read as instances of estoppel or waiver. In each case, an agreement to exclude a statutory limitation period was found to be legally efficacious.</w:t>
      </w:r>
    </w:p>
    <w:p w14:paraId="2B1260D3" w14:textId="77777777" w:rsidR="008447C0" w:rsidRPr="00372A5A" w:rsidRDefault="008447C0" w:rsidP="00372A5A">
      <w:pPr>
        <w:pStyle w:val="HeadingL2"/>
        <w:spacing w:after="260" w:line="280" w:lineRule="exact"/>
        <w:ind w:right="0"/>
        <w:jc w:val="both"/>
        <w:rPr>
          <w:rFonts w:ascii="Times New Roman" w:hAnsi="Times New Roman"/>
        </w:rPr>
      </w:pPr>
      <w:r w:rsidRPr="00372A5A">
        <w:rPr>
          <w:rFonts w:ascii="Times New Roman" w:hAnsi="Times New Roman"/>
        </w:rPr>
        <w:t>Freedom of contract</w:t>
      </w:r>
    </w:p>
    <w:p w14:paraId="7B1942E9"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 xml:space="preserve">More significantly, the conclusions reached in the foregoing cases are consistent with the broad principle of freedom of contract. Courts may have, to an extent, "back-pedalled" from Sir George </w:t>
      </w:r>
      <w:proofErr w:type="spellStart"/>
      <w:r w:rsidRPr="00372A5A">
        <w:rPr>
          <w:rFonts w:ascii="Times New Roman" w:hAnsi="Times New Roman"/>
        </w:rPr>
        <w:t>Jessel</w:t>
      </w:r>
      <w:proofErr w:type="spellEnd"/>
      <w:r w:rsidRPr="00372A5A">
        <w:rPr>
          <w:rFonts w:ascii="Times New Roman" w:hAnsi="Times New Roman"/>
        </w:rPr>
        <w:t xml:space="preserve"> MR's classic expression of this principle in 1875</w:t>
      </w:r>
      <w:r w:rsidRPr="00372A5A">
        <w:rPr>
          <w:rStyle w:val="FootnoteReference"/>
          <w:rFonts w:ascii="Times New Roman" w:hAnsi="Times New Roman"/>
          <w:sz w:val="24"/>
        </w:rPr>
        <w:footnoteReference w:id="130"/>
      </w:r>
      <w:r w:rsidRPr="00372A5A">
        <w:rPr>
          <w:rFonts w:ascii="Times New Roman" w:hAnsi="Times New Roman"/>
        </w:rPr>
        <w:t xml:space="preserve">, but it remains an important attribute of the law. In </w:t>
      </w:r>
      <w:proofErr w:type="spellStart"/>
      <w:r w:rsidRPr="00372A5A">
        <w:rPr>
          <w:rFonts w:ascii="Times New Roman" w:hAnsi="Times New Roman"/>
          <w:i/>
        </w:rPr>
        <w:t>Ringrow</w:t>
      </w:r>
      <w:proofErr w:type="spellEnd"/>
      <w:r w:rsidRPr="00372A5A">
        <w:rPr>
          <w:rFonts w:ascii="Times New Roman" w:hAnsi="Times New Roman"/>
          <w:i/>
        </w:rPr>
        <w:t xml:space="preserve"> Pty Ltd v BP Australia Pty Ltd</w:t>
      </w:r>
      <w:r w:rsidRPr="00372A5A">
        <w:rPr>
          <w:rFonts w:ascii="Times New Roman" w:hAnsi="Times New Roman"/>
        </w:rPr>
        <w:t>, this Court observed</w:t>
      </w:r>
      <w:r w:rsidRPr="00372A5A">
        <w:rPr>
          <w:rStyle w:val="FootnoteReference"/>
          <w:rFonts w:ascii="Times New Roman" w:hAnsi="Times New Roman"/>
          <w:sz w:val="24"/>
        </w:rPr>
        <w:footnoteReference w:id="131"/>
      </w:r>
      <w:r w:rsidRPr="00372A5A">
        <w:rPr>
          <w:rFonts w:ascii="Times New Roman" w:hAnsi="Times New Roman"/>
        </w:rPr>
        <w:t>:</w:t>
      </w:r>
    </w:p>
    <w:p w14:paraId="1328D0B2" w14:textId="77777777" w:rsidR="008447C0" w:rsidRDefault="008447C0" w:rsidP="00372A5A">
      <w:pPr>
        <w:pStyle w:val="LRIndentafterHC"/>
        <w:spacing w:before="0" w:after="260" w:line="280" w:lineRule="exact"/>
        <w:ind w:right="0"/>
        <w:jc w:val="both"/>
        <w:rPr>
          <w:rFonts w:ascii="Times New Roman" w:hAnsi="Times New Roman"/>
        </w:rPr>
      </w:pPr>
      <w:r w:rsidRPr="00372A5A">
        <w:rPr>
          <w:rFonts w:ascii="Times New Roman" w:hAnsi="Times New Roman"/>
        </w:rPr>
        <w:lastRenderedPageBreak/>
        <w:t>"Exceptions from that freedom of contract require good reason to attract judicial intervention to set aside the bargains upon which parties of full capacity have agreed."</w:t>
      </w:r>
    </w:p>
    <w:p w14:paraId="1FDAED72"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 xml:space="preserve">In </w:t>
      </w:r>
      <w:r w:rsidRPr="00372A5A">
        <w:rPr>
          <w:rFonts w:ascii="Times New Roman" w:hAnsi="Times New Roman"/>
          <w:i/>
        </w:rPr>
        <w:t>Sidhu v British Airways Plc</w:t>
      </w:r>
      <w:r w:rsidRPr="00372A5A">
        <w:rPr>
          <w:rFonts w:ascii="Times New Roman" w:hAnsi="Times New Roman"/>
        </w:rPr>
        <w:t xml:space="preserve">, Lord Hope (with whom Lords Browne-Wilkinson, </w:t>
      </w:r>
      <w:proofErr w:type="spellStart"/>
      <w:r w:rsidRPr="00372A5A">
        <w:rPr>
          <w:rFonts w:ascii="Times New Roman" w:hAnsi="Times New Roman"/>
        </w:rPr>
        <w:t>Jauncey</w:t>
      </w:r>
      <w:proofErr w:type="spellEnd"/>
      <w:r w:rsidRPr="00372A5A">
        <w:rPr>
          <w:rFonts w:ascii="Times New Roman" w:hAnsi="Times New Roman"/>
        </w:rPr>
        <w:t xml:space="preserve">, </w:t>
      </w:r>
      <w:proofErr w:type="spellStart"/>
      <w:r w:rsidRPr="00372A5A">
        <w:rPr>
          <w:rFonts w:ascii="Times New Roman" w:hAnsi="Times New Roman"/>
        </w:rPr>
        <w:t>Mustill</w:t>
      </w:r>
      <w:proofErr w:type="spellEnd"/>
      <w:r w:rsidRPr="00372A5A">
        <w:rPr>
          <w:rFonts w:ascii="Times New Roman" w:hAnsi="Times New Roman"/>
        </w:rPr>
        <w:t xml:space="preserve"> and Steyn agreed) said</w:t>
      </w:r>
      <w:r w:rsidRPr="00372A5A">
        <w:rPr>
          <w:rStyle w:val="FootnoteReference"/>
          <w:rFonts w:ascii="Times New Roman" w:hAnsi="Times New Roman"/>
          <w:sz w:val="24"/>
        </w:rPr>
        <w:footnoteReference w:id="132"/>
      </w:r>
      <w:r w:rsidRPr="00372A5A">
        <w:rPr>
          <w:rFonts w:ascii="Times New Roman" w:hAnsi="Times New Roman"/>
        </w:rPr>
        <w:t>:</w:t>
      </w:r>
    </w:p>
    <w:p w14:paraId="2CD3EB68" w14:textId="77777777" w:rsidR="008447C0" w:rsidRDefault="008447C0" w:rsidP="00372A5A">
      <w:pPr>
        <w:pStyle w:val="LeftrightafterHC"/>
        <w:spacing w:before="0" w:after="260" w:line="280" w:lineRule="exact"/>
        <w:ind w:right="0"/>
        <w:jc w:val="both"/>
        <w:rPr>
          <w:rFonts w:ascii="Times New Roman" w:hAnsi="Times New Roman"/>
        </w:rPr>
      </w:pPr>
      <w:r w:rsidRPr="00372A5A">
        <w:rPr>
          <w:rFonts w:ascii="Times New Roman" w:hAnsi="Times New Roman"/>
        </w:rPr>
        <w:t>"Any person is free, unless restrained by statute, to enter into a contract with another on the basis that his liability in damages is excluded or limited if he is in breach of contract. Exclusion and limitation clauses are a common feature of commercial contracts".</w:t>
      </w:r>
    </w:p>
    <w:p w14:paraId="58FAC913"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 xml:space="preserve">It was open to the parties here to exercise their freedom of contract by the inclusion of cl 24. That clause represents a legitimate adjustment of the private statutory rights of the appellants, which they were free to include, amongst other clauses, in their original bargain with LPM in order to secure a loan of monies to them. </w:t>
      </w:r>
    </w:p>
    <w:p w14:paraId="2800C501" w14:textId="77777777" w:rsidR="008447C0" w:rsidRPr="00372A5A" w:rsidRDefault="008447C0" w:rsidP="00372A5A">
      <w:pPr>
        <w:pStyle w:val="HeadingL2"/>
        <w:spacing w:after="260" w:line="280" w:lineRule="exact"/>
        <w:ind w:right="0"/>
        <w:jc w:val="both"/>
        <w:rPr>
          <w:rFonts w:ascii="Times New Roman" w:hAnsi="Times New Roman"/>
        </w:rPr>
      </w:pPr>
      <w:r w:rsidRPr="00372A5A">
        <w:rPr>
          <w:rFonts w:ascii="Times New Roman" w:hAnsi="Times New Roman"/>
        </w:rPr>
        <w:t>The common law</w:t>
      </w:r>
    </w:p>
    <w:p w14:paraId="40928ECE"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 xml:space="preserve">Alternatively, the appellants submitted that the common law recognises a public policy, independent of the </w:t>
      </w:r>
      <w:r w:rsidRPr="00372A5A">
        <w:rPr>
          <w:rFonts w:ascii="Times New Roman" w:hAnsi="Times New Roman"/>
          <w:i/>
        </w:rPr>
        <w:t>Limitation Act</w:t>
      </w:r>
      <w:r w:rsidRPr="00372A5A">
        <w:rPr>
          <w:rFonts w:ascii="Times New Roman" w:hAnsi="Times New Roman"/>
        </w:rPr>
        <w:t xml:space="preserve">, of finality in litigation. The community, it was submitted, had tacitly adopted it. It was said to be reflected in, for example, the decision of this Court in </w:t>
      </w:r>
      <w:r w:rsidRPr="00372A5A">
        <w:rPr>
          <w:rFonts w:ascii="Times New Roman" w:hAnsi="Times New Roman"/>
          <w:i/>
        </w:rPr>
        <w:t>Aon Risk Services Australia Ltd v Australian National University</w:t>
      </w:r>
      <w:r w:rsidRPr="00372A5A">
        <w:rPr>
          <w:rFonts w:ascii="Times New Roman" w:hAnsi="Times New Roman"/>
        </w:rPr>
        <w:t xml:space="preserve"> and the concern there expressed about delay</w:t>
      </w:r>
      <w:r w:rsidRPr="00372A5A">
        <w:rPr>
          <w:rFonts w:ascii="Times New Roman" w:hAnsi="Times New Roman"/>
          <w:b/>
          <w:sz w:val="24"/>
          <w:vertAlign w:val="superscript"/>
        </w:rPr>
        <w:footnoteReference w:id="133"/>
      </w:r>
      <w:r w:rsidRPr="00372A5A">
        <w:rPr>
          <w:rFonts w:ascii="Times New Roman" w:hAnsi="Times New Roman"/>
        </w:rPr>
        <w:t>. Clause 24 offended this policy and was accordingly void. The merits of this contention may be addressed briefly. It emerged from the submissions as no more than an assertion unsupported by direct authority. Moreover, given that the common law did not itself impose any limitations on the time within which to commence a suit</w:t>
      </w:r>
      <w:r w:rsidRPr="00372A5A">
        <w:rPr>
          <w:rFonts w:ascii="Times New Roman" w:hAnsi="Times New Roman"/>
          <w:b/>
          <w:sz w:val="24"/>
          <w:vertAlign w:val="superscript"/>
        </w:rPr>
        <w:footnoteReference w:id="134"/>
      </w:r>
      <w:r w:rsidRPr="00372A5A">
        <w:rPr>
          <w:rFonts w:ascii="Times New Roman" w:hAnsi="Times New Roman"/>
        </w:rPr>
        <w:t>, it is difficult to see why the common law should now recognise the public policy asserted by the appellants. The contention is rejected.</w:t>
      </w:r>
    </w:p>
    <w:p w14:paraId="517D4DB3" w14:textId="77777777" w:rsidR="008447C0" w:rsidRPr="00372A5A" w:rsidRDefault="008447C0" w:rsidP="00372A5A">
      <w:pPr>
        <w:pStyle w:val="HeadingL1"/>
        <w:spacing w:after="260" w:line="280" w:lineRule="exact"/>
        <w:ind w:right="0"/>
        <w:jc w:val="both"/>
        <w:rPr>
          <w:rFonts w:ascii="Times New Roman" w:hAnsi="Times New Roman"/>
        </w:rPr>
      </w:pPr>
      <w:r w:rsidRPr="00372A5A">
        <w:rPr>
          <w:rFonts w:ascii="Times New Roman" w:hAnsi="Times New Roman"/>
        </w:rPr>
        <w:t>Breach of contract</w:t>
      </w:r>
    </w:p>
    <w:p w14:paraId="4F1AB633"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 xml:space="preserve">The appellants finally submitted that if cl 24 operates to prevent them from relying upon s 13 of the </w:t>
      </w:r>
      <w:r w:rsidRPr="00372A5A">
        <w:rPr>
          <w:rFonts w:ascii="Times New Roman" w:hAnsi="Times New Roman"/>
          <w:i/>
        </w:rPr>
        <w:t>Limitation Act</w:t>
      </w:r>
      <w:r w:rsidRPr="00372A5A">
        <w:rPr>
          <w:rFonts w:ascii="Times New Roman" w:hAnsi="Times New Roman"/>
        </w:rPr>
        <w:t xml:space="preserve">, the respondents should nonetheless be </w:t>
      </w:r>
      <w:r w:rsidRPr="00372A5A">
        <w:rPr>
          <w:rFonts w:ascii="Times New Roman" w:hAnsi="Times New Roman"/>
        </w:rPr>
        <w:lastRenderedPageBreak/>
        <w:t>denied the remedy of possession because they should have sued the appellants for damages for breach of contract. The appellants further submitted that this Court should not remit the matter back to the Supreme Court of Queensland to permit the respondents to pursue such a claim, as they had made an election not to sue on this basis, or they are otherwise now estopped from doing so</w:t>
      </w:r>
      <w:r w:rsidRPr="00372A5A">
        <w:rPr>
          <w:rStyle w:val="FootnoteReference"/>
          <w:rFonts w:ascii="Times New Roman" w:hAnsi="Times New Roman"/>
          <w:sz w:val="24"/>
        </w:rPr>
        <w:footnoteReference w:id="135"/>
      </w:r>
      <w:r w:rsidRPr="00372A5A">
        <w:rPr>
          <w:rFonts w:ascii="Times New Roman" w:hAnsi="Times New Roman"/>
        </w:rPr>
        <w:t>.</w:t>
      </w:r>
    </w:p>
    <w:p w14:paraId="4ECCAB20"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 xml:space="preserve">The appellants relied upon an 1849 advice of the Privy Council on appeal from the Supreme Court of Judicature at Fort William in Bengal: </w:t>
      </w:r>
      <w:r w:rsidRPr="00372A5A">
        <w:rPr>
          <w:rFonts w:ascii="Times New Roman" w:hAnsi="Times New Roman"/>
          <w:i/>
        </w:rPr>
        <w:t xml:space="preserve">The East India Company v </w:t>
      </w:r>
      <w:proofErr w:type="spellStart"/>
      <w:r w:rsidRPr="00372A5A">
        <w:rPr>
          <w:rFonts w:ascii="Times New Roman" w:hAnsi="Times New Roman"/>
          <w:i/>
        </w:rPr>
        <w:t>Oditchurn</w:t>
      </w:r>
      <w:proofErr w:type="spellEnd"/>
      <w:r w:rsidRPr="00372A5A">
        <w:rPr>
          <w:rFonts w:ascii="Times New Roman" w:hAnsi="Times New Roman"/>
          <w:i/>
        </w:rPr>
        <w:t xml:space="preserve"> Paul</w:t>
      </w:r>
      <w:r w:rsidRPr="00372A5A">
        <w:rPr>
          <w:rStyle w:val="FootnoteReference"/>
          <w:rFonts w:ascii="Times New Roman" w:hAnsi="Times New Roman"/>
          <w:sz w:val="24"/>
        </w:rPr>
        <w:footnoteReference w:id="136"/>
      </w:r>
      <w:r w:rsidRPr="00372A5A">
        <w:rPr>
          <w:rFonts w:ascii="Times New Roman" w:hAnsi="Times New Roman"/>
        </w:rPr>
        <w:t xml:space="preserve">. In 1822, the respondent purchased salt, located in a warehouse, from the British East India Company (which at the time held a monopoly over salt in the former British India). Until 1831, the respondent received from time to time deliveries of salt from that warehouse. But in 1831, an inundation took place which destroyed all of the respondent's remaining salt. The respondent sought a refund of part of the purchase money. This was refused. The East India Company then convened an inquiry into the matter. A negative report was furnished in 1838, and the Company again refused to refund the respondent. The respondent then sued in </w:t>
      </w:r>
      <w:r w:rsidRPr="00372A5A">
        <w:rPr>
          <w:rFonts w:ascii="Times New Roman" w:hAnsi="Times New Roman"/>
          <w:i/>
        </w:rPr>
        <w:t>assumpsit</w:t>
      </w:r>
      <w:r w:rsidRPr="00372A5A">
        <w:rPr>
          <w:rFonts w:ascii="Times New Roman" w:hAnsi="Times New Roman"/>
        </w:rPr>
        <w:t xml:space="preserve"> for recovery of an amount of purchase money corresponding to the salt that had not been delivered. However, the claim was found to be statute-barred; the fact of the inquiry did not suspend time for the purposes of the </w:t>
      </w:r>
      <w:r w:rsidRPr="00372A5A">
        <w:rPr>
          <w:rFonts w:ascii="Times New Roman" w:hAnsi="Times New Roman"/>
          <w:i/>
        </w:rPr>
        <w:t xml:space="preserve">Limitations Act 1623 </w:t>
      </w:r>
      <w:r w:rsidRPr="00372A5A">
        <w:rPr>
          <w:rFonts w:ascii="Times New Roman" w:hAnsi="Times New Roman"/>
        </w:rPr>
        <w:t>(21 Jac 1 c 16)</w:t>
      </w:r>
      <w:r w:rsidRPr="00372A5A">
        <w:rPr>
          <w:rStyle w:val="FootnoteReference"/>
          <w:rFonts w:ascii="Times New Roman" w:hAnsi="Times New Roman"/>
          <w:sz w:val="24"/>
        </w:rPr>
        <w:footnoteReference w:id="137"/>
      </w:r>
      <w:r w:rsidRPr="00372A5A">
        <w:rPr>
          <w:rFonts w:ascii="Times New Roman" w:hAnsi="Times New Roman"/>
        </w:rPr>
        <w:t>. Lord Campbell, delivering the reasons of the Judicial Committee</w:t>
      </w:r>
      <w:r w:rsidRPr="00372A5A">
        <w:rPr>
          <w:rStyle w:val="FootnoteReference"/>
          <w:rFonts w:ascii="Times New Roman" w:hAnsi="Times New Roman"/>
          <w:sz w:val="24"/>
        </w:rPr>
        <w:footnoteReference w:id="138"/>
      </w:r>
      <w:r w:rsidRPr="00372A5A">
        <w:rPr>
          <w:rFonts w:ascii="Times New Roman" w:hAnsi="Times New Roman"/>
        </w:rPr>
        <w:t>, said</w:t>
      </w:r>
      <w:r w:rsidRPr="00372A5A">
        <w:rPr>
          <w:rStyle w:val="FootnoteReference"/>
          <w:rFonts w:ascii="Times New Roman" w:hAnsi="Times New Roman"/>
          <w:sz w:val="24"/>
        </w:rPr>
        <w:footnoteReference w:id="139"/>
      </w:r>
      <w:r w:rsidRPr="00372A5A">
        <w:rPr>
          <w:rFonts w:ascii="Times New Roman" w:hAnsi="Times New Roman"/>
        </w:rPr>
        <w:t>:</w:t>
      </w:r>
    </w:p>
    <w:p w14:paraId="1CCDDA58" w14:textId="77777777" w:rsidR="008447C0" w:rsidRDefault="008447C0" w:rsidP="00372A5A">
      <w:pPr>
        <w:pStyle w:val="LeftrightafterHC"/>
        <w:spacing w:before="0" w:after="260" w:line="280" w:lineRule="exact"/>
        <w:ind w:right="0"/>
        <w:jc w:val="both"/>
        <w:rPr>
          <w:rFonts w:ascii="Times New Roman" w:hAnsi="Times New Roman"/>
        </w:rPr>
      </w:pPr>
      <w:r w:rsidRPr="00372A5A">
        <w:rPr>
          <w:rFonts w:ascii="Times New Roman" w:hAnsi="Times New Roman"/>
        </w:rPr>
        <w:t xml:space="preserve">"There might be an agreement that in consideration of an inquiry into the merits of a disputed claim, advantage should not be taken of the Statute of Limitations in respect of the time employed in the inquiry, and an action might be brought for breach of such an agreement; but if to an action for the original cause of action the Statute of Limitations is pleaded, upon which issue is joined – proof being given that the action did clearly accrue </w:t>
      </w:r>
      <w:r w:rsidRPr="00372A5A">
        <w:rPr>
          <w:rFonts w:ascii="Times New Roman" w:hAnsi="Times New Roman"/>
        </w:rPr>
        <w:lastRenderedPageBreak/>
        <w:t>more than six years before the commencement of the suit – the Defendant, notwithstanding any agreement to inquire, is entitled to the verdict."</w:t>
      </w:r>
    </w:p>
    <w:p w14:paraId="203E3524"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 xml:space="preserve">The appellants relied upon the foregoing passage for the proposition that the respondents' remedy should be confined to damages for breach of cl 24. In that respect, they conceded that it was possible for parties to suspend by contract the </w:t>
      </w:r>
      <w:r w:rsidRPr="00372A5A">
        <w:rPr>
          <w:rFonts w:ascii="Times New Roman" w:hAnsi="Times New Roman"/>
          <w:i/>
        </w:rPr>
        <w:t>Limitation Act</w:t>
      </w:r>
      <w:r w:rsidRPr="00372A5A">
        <w:rPr>
          <w:rFonts w:ascii="Times New Roman" w:hAnsi="Times New Roman"/>
        </w:rPr>
        <w:t xml:space="preserve"> for a specified or limited period, but contended that it was not possible to contract out of that Act entirely. This principle, it was said, explained why it might have been lawful for the parties in </w:t>
      </w:r>
      <w:proofErr w:type="spellStart"/>
      <w:r w:rsidRPr="00372A5A">
        <w:rPr>
          <w:rFonts w:ascii="Times New Roman" w:hAnsi="Times New Roman"/>
          <w:i/>
        </w:rPr>
        <w:t>Oditchurn</w:t>
      </w:r>
      <w:proofErr w:type="spellEnd"/>
      <w:r w:rsidRPr="00372A5A">
        <w:rPr>
          <w:rFonts w:ascii="Times New Roman" w:hAnsi="Times New Roman"/>
          <w:i/>
        </w:rPr>
        <w:t xml:space="preserve"> Paul</w:t>
      </w:r>
      <w:r w:rsidRPr="00372A5A">
        <w:rPr>
          <w:rFonts w:ascii="Times New Roman" w:hAnsi="Times New Roman"/>
        </w:rPr>
        <w:t xml:space="preserve"> to have suspended the operation of the Statute of Limitations pending the inquiry undertaken into the inundation of the salt. </w:t>
      </w:r>
    </w:p>
    <w:p w14:paraId="0D897162"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r>
      <w:proofErr w:type="spellStart"/>
      <w:r w:rsidRPr="00372A5A">
        <w:rPr>
          <w:rFonts w:ascii="Times New Roman" w:hAnsi="Times New Roman"/>
          <w:i/>
        </w:rPr>
        <w:t>Oditchurn</w:t>
      </w:r>
      <w:proofErr w:type="spellEnd"/>
      <w:r w:rsidRPr="00372A5A">
        <w:rPr>
          <w:rFonts w:ascii="Times New Roman" w:hAnsi="Times New Roman"/>
          <w:i/>
        </w:rPr>
        <w:t xml:space="preserve"> Paul</w:t>
      </w:r>
      <w:r w:rsidRPr="00372A5A">
        <w:rPr>
          <w:rFonts w:ascii="Times New Roman" w:hAnsi="Times New Roman"/>
        </w:rPr>
        <w:t xml:space="preserve"> is not authority for the proposition advanced by the appellants. The existence of one remedy does not necessarily foreclose the possibility of other remedies. For example, in </w:t>
      </w:r>
      <w:r w:rsidRPr="00372A5A">
        <w:rPr>
          <w:rFonts w:ascii="Times New Roman" w:hAnsi="Times New Roman"/>
          <w:i/>
        </w:rPr>
        <w:t>Newton, Bellamy and Wolfe v State Government Insurance Office (Qld)</w:t>
      </w:r>
      <w:r w:rsidRPr="00372A5A">
        <w:rPr>
          <w:rStyle w:val="FootnoteReference"/>
          <w:rFonts w:ascii="Times New Roman" w:hAnsi="Times New Roman"/>
          <w:sz w:val="24"/>
        </w:rPr>
        <w:footnoteReference w:id="140"/>
      </w:r>
      <w:r w:rsidRPr="00372A5A">
        <w:rPr>
          <w:rFonts w:ascii="Times New Roman" w:hAnsi="Times New Roman"/>
        </w:rPr>
        <w:t>, a claim for damages was made arising out of a motor vehicle collision. In previous correspondence, the State Government Insurance Office had conceded liability. It subsequently claimed in its defence that the proceeding was statute</w:t>
      </w:r>
      <w:r w:rsidRPr="00372A5A">
        <w:rPr>
          <w:rFonts w:ascii="Times New Roman" w:hAnsi="Times New Roman"/>
        </w:rPr>
        <w:noBreakHyphen/>
        <w:t>barred. The Full Court of the Supreme Court of Queensland decided that there had been an agreement that liability would not be an issue for determination and that, consequently, the insurer could not rely on this defence</w:t>
      </w:r>
      <w:r w:rsidRPr="00372A5A">
        <w:rPr>
          <w:rStyle w:val="FootnoteReference"/>
          <w:rFonts w:ascii="Times New Roman" w:hAnsi="Times New Roman"/>
          <w:sz w:val="24"/>
        </w:rPr>
        <w:footnoteReference w:id="141"/>
      </w:r>
      <w:r w:rsidRPr="00372A5A">
        <w:rPr>
          <w:rFonts w:ascii="Times New Roman" w:hAnsi="Times New Roman"/>
        </w:rPr>
        <w:t>. McPherson J recognised that the plaintiffs had an "option of suing for damages for breach of that contract, or of affirming the contract and relying upon it in answer to the defence"</w:t>
      </w:r>
      <w:r w:rsidRPr="00372A5A">
        <w:rPr>
          <w:rStyle w:val="FootnoteReference"/>
          <w:rFonts w:ascii="Times New Roman" w:hAnsi="Times New Roman"/>
          <w:sz w:val="24"/>
        </w:rPr>
        <w:footnoteReference w:id="142"/>
      </w:r>
      <w:r w:rsidRPr="00372A5A">
        <w:rPr>
          <w:rFonts w:ascii="Times New Roman" w:hAnsi="Times New Roman"/>
        </w:rPr>
        <w:t xml:space="preserve">. That observation was correct. </w:t>
      </w:r>
    </w:p>
    <w:p w14:paraId="6CCF8521"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Here, the respondents chose to rely upon cl 24</w:t>
      </w:r>
      <w:r w:rsidRPr="00372A5A">
        <w:rPr>
          <w:rStyle w:val="FootnoteReference"/>
          <w:rFonts w:ascii="Times New Roman" w:hAnsi="Times New Roman"/>
          <w:sz w:val="24"/>
        </w:rPr>
        <w:footnoteReference w:id="143"/>
      </w:r>
      <w:r w:rsidRPr="00372A5A">
        <w:rPr>
          <w:rFonts w:ascii="Times New Roman" w:hAnsi="Times New Roman"/>
        </w:rPr>
        <w:t xml:space="preserve"> in reply to the appellants' invocation of the </w:t>
      </w:r>
      <w:r w:rsidRPr="00372A5A">
        <w:rPr>
          <w:rFonts w:ascii="Times New Roman" w:hAnsi="Times New Roman"/>
          <w:i/>
        </w:rPr>
        <w:t>Limitation Act</w:t>
      </w:r>
      <w:r w:rsidRPr="00372A5A">
        <w:rPr>
          <w:rFonts w:ascii="Times New Roman" w:hAnsi="Times New Roman"/>
        </w:rPr>
        <w:t xml:space="preserve"> in their defence. They were entitled to respond to that pleading by contending in their reply, as was apparently the case in </w:t>
      </w:r>
      <w:r w:rsidRPr="00372A5A">
        <w:rPr>
          <w:rFonts w:ascii="Times New Roman" w:hAnsi="Times New Roman"/>
          <w:i/>
        </w:rPr>
        <w:t>Wright</w:t>
      </w:r>
      <w:r w:rsidRPr="00372A5A">
        <w:rPr>
          <w:rFonts w:ascii="Times New Roman" w:hAnsi="Times New Roman"/>
        </w:rPr>
        <w:t xml:space="preserve"> and </w:t>
      </w:r>
      <w:proofErr w:type="spellStart"/>
      <w:r w:rsidRPr="00372A5A">
        <w:rPr>
          <w:rFonts w:ascii="Times New Roman" w:hAnsi="Times New Roman"/>
          <w:i/>
        </w:rPr>
        <w:t>Lubovsky</w:t>
      </w:r>
      <w:proofErr w:type="spellEnd"/>
      <w:r w:rsidRPr="00372A5A">
        <w:rPr>
          <w:rFonts w:ascii="Times New Roman" w:hAnsi="Times New Roman"/>
        </w:rPr>
        <w:t xml:space="preserve">, that the appellants were debarred from raising a defence under the </w:t>
      </w:r>
      <w:r w:rsidRPr="00372A5A">
        <w:rPr>
          <w:rFonts w:ascii="Times New Roman" w:hAnsi="Times New Roman"/>
          <w:i/>
        </w:rPr>
        <w:t>Limitation Act</w:t>
      </w:r>
      <w:r w:rsidRPr="00372A5A">
        <w:rPr>
          <w:rStyle w:val="FootnoteReference"/>
          <w:rFonts w:ascii="Times New Roman" w:hAnsi="Times New Roman"/>
          <w:sz w:val="24"/>
        </w:rPr>
        <w:footnoteReference w:id="144"/>
      </w:r>
      <w:r w:rsidRPr="00372A5A">
        <w:rPr>
          <w:rFonts w:ascii="Times New Roman" w:hAnsi="Times New Roman"/>
        </w:rPr>
        <w:t xml:space="preserve">. There is no reason to doubt the legitimacy and effectiveness of </w:t>
      </w:r>
      <w:r w:rsidRPr="00372A5A">
        <w:rPr>
          <w:rFonts w:ascii="Times New Roman" w:hAnsi="Times New Roman"/>
        </w:rPr>
        <w:lastRenderedPageBreak/>
        <w:t xml:space="preserve">such a reply. Given that it has been long established that the benefit of a Statute of Limitations is invoked by pleading it as a defence, it makes perfect sense for the validity of such an invocation to be raised in a reply to that defence. The respondents' reply here sufficiently put the appellants on notice that their answer to the appellants' reliance upon the </w:t>
      </w:r>
      <w:r w:rsidRPr="00372A5A">
        <w:rPr>
          <w:rFonts w:ascii="Times New Roman" w:hAnsi="Times New Roman"/>
          <w:i/>
        </w:rPr>
        <w:t>Limitation Act</w:t>
      </w:r>
      <w:r w:rsidRPr="00372A5A">
        <w:rPr>
          <w:rFonts w:ascii="Times New Roman" w:hAnsi="Times New Roman"/>
        </w:rPr>
        <w:t xml:space="preserve"> would be cl 24 of the Mortgage. The issue of the validity of this defence was thus then engaged.</w:t>
      </w:r>
    </w:p>
    <w:p w14:paraId="70333C98"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 xml:space="preserve">The submission that a distinction can be drawn between a clause limiting the application of the benefits conferred by the </w:t>
      </w:r>
      <w:r w:rsidRPr="00372A5A">
        <w:rPr>
          <w:rFonts w:ascii="Times New Roman" w:hAnsi="Times New Roman"/>
          <w:i/>
        </w:rPr>
        <w:t>Limitation Act</w:t>
      </w:r>
      <w:r w:rsidRPr="00372A5A">
        <w:rPr>
          <w:rFonts w:ascii="Times New Roman" w:hAnsi="Times New Roman"/>
        </w:rPr>
        <w:t xml:space="preserve"> for a limited period only, and a clause like cl 24, should be rejected. If anything, this proposition, like the appellants' concession about waiver, fundamentally undermines their case. The distinction is not sustainable as a matter of principle.</w:t>
      </w:r>
    </w:p>
    <w:p w14:paraId="78A88BED"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Because the respondents are not confined here to a claim for damages for breach of cl 24, it is unnecessary to consider whether they had made an election not to sue on that basis or whether they should otherwise be estopped from pursuing such a claim.</w:t>
      </w:r>
    </w:p>
    <w:p w14:paraId="750CF4E9" w14:textId="77777777" w:rsidR="008447C0" w:rsidRPr="00372A5A" w:rsidRDefault="008447C0" w:rsidP="00372A5A">
      <w:pPr>
        <w:pStyle w:val="HeadingL1"/>
        <w:spacing w:after="260" w:line="280" w:lineRule="exact"/>
        <w:ind w:right="0"/>
        <w:jc w:val="both"/>
        <w:rPr>
          <w:rFonts w:ascii="Times New Roman" w:hAnsi="Times New Roman"/>
        </w:rPr>
      </w:pPr>
      <w:r w:rsidRPr="00372A5A">
        <w:rPr>
          <w:rFonts w:ascii="Times New Roman" w:hAnsi="Times New Roman"/>
        </w:rPr>
        <w:t xml:space="preserve">Section 24 of the </w:t>
      </w:r>
      <w:r w:rsidRPr="00372A5A">
        <w:rPr>
          <w:rFonts w:ascii="Times New Roman" w:hAnsi="Times New Roman"/>
          <w:i/>
        </w:rPr>
        <w:t>Limitation Act</w:t>
      </w:r>
    </w:p>
    <w:p w14:paraId="0D1C8B8E"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 xml:space="preserve">In this matter, the respondents, amongst other remedies, seek possession of the three plots of land. They do not seek foreclosure. As noted earlier, s 5(5) of the </w:t>
      </w:r>
      <w:r w:rsidRPr="00372A5A">
        <w:rPr>
          <w:rFonts w:ascii="Times New Roman" w:hAnsi="Times New Roman"/>
          <w:i/>
        </w:rPr>
        <w:t>Limitation Act</w:t>
      </w:r>
      <w:r w:rsidRPr="00372A5A">
        <w:rPr>
          <w:rFonts w:ascii="Times New Roman" w:hAnsi="Times New Roman"/>
        </w:rPr>
        <w:t xml:space="preserve"> relevantly provides that "[a] reference in this Act to a right of action to recover land includes a reference to a right to enter into possession of the land". It follows that in relation to the possession claim, ss 13 and 24 of the </w:t>
      </w:r>
      <w:r w:rsidRPr="00372A5A">
        <w:rPr>
          <w:rFonts w:ascii="Times New Roman" w:hAnsi="Times New Roman"/>
          <w:i/>
        </w:rPr>
        <w:t>Limitation Act</w:t>
      </w:r>
      <w:r w:rsidRPr="00372A5A">
        <w:rPr>
          <w:rFonts w:ascii="Times New Roman" w:hAnsi="Times New Roman"/>
        </w:rPr>
        <w:t xml:space="preserve">, which address actions for the recovery of land, apply. </w:t>
      </w:r>
    </w:p>
    <w:p w14:paraId="1B227246"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 xml:space="preserve">The appellants did not contend that s 24 had any independent operation from s 13 of the </w:t>
      </w:r>
      <w:r w:rsidRPr="00372A5A">
        <w:rPr>
          <w:rFonts w:ascii="Times New Roman" w:hAnsi="Times New Roman"/>
          <w:i/>
        </w:rPr>
        <w:t>Limitation Act</w:t>
      </w:r>
      <w:r w:rsidRPr="00372A5A">
        <w:rPr>
          <w:rFonts w:ascii="Times New Roman" w:hAnsi="Times New Roman"/>
        </w:rPr>
        <w:t xml:space="preserve">. They appeared to accept that s 24 only applied to extinguish the respondents' title as mortgagees to the three plots of land if the respondents' claims were otherwise statute-barred. </w:t>
      </w:r>
    </w:p>
    <w:p w14:paraId="138696F0"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r>
      <w:proofErr w:type="spellStart"/>
      <w:r w:rsidRPr="00372A5A">
        <w:rPr>
          <w:rFonts w:ascii="Times New Roman" w:hAnsi="Times New Roman"/>
        </w:rPr>
        <w:t>Gotterson</w:t>
      </w:r>
      <w:proofErr w:type="spellEnd"/>
      <w:r w:rsidRPr="00372A5A">
        <w:rPr>
          <w:rFonts w:ascii="Times New Roman" w:hAnsi="Times New Roman"/>
        </w:rPr>
        <w:t xml:space="preserve"> JA was of the same view. His Honour found that s 24 did not apply in the circumstances of this case</w:t>
      </w:r>
      <w:r w:rsidRPr="00372A5A">
        <w:rPr>
          <w:rStyle w:val="FootnoteReference"/>
          <w:rFonts w:ascii="Times New Roman" w:hAnsi="Times New Roman"/>
          <w:sz w:val="24"/>
        </w:rPr>
        <w:footnoteReference w:id="145"/>
      </w:r>
      <w:r w:rsidRPr="00372A5A">
        <w:rPr>
          <w:rFonts w:ascii="Times New Roman" w:hAnsi="Times New Roman"/>
        </w:rPr>
        <w:t>. That was because "the limitation period prescribed by the Act" for the purposes of s 24 was to be found in s 13, which in turn prescribed a 12</w:t>
      </w:r>
      <w:r w:rsidRPr="00372A5A">
        <w:rPr>
          <w:rFonts w:ascii="Times New Roman" w:hAnsi="Times New Roman"/>
        </w:rPr>
        <w:noBreakHyphen/>
        <w:t>year limit within which to bring an action to recover land</w:t>
      </w:r>
      <w:r w:rsidRPr="00372A5A">
        <w:rPr>
          <w:rStyle w:val="FootnoteReference"/>
          <w:rFonts w:ascii="Times New Roman" w:hAnsi="Times New Roman"/>
          <w:sz w:val="24"/>
        </w:rPr>
        <w:footnoteReference w:id="146"/>
      </w:r>
      <w:r w:rsidRPr="00372A5A">
        <w:rPr>
          <w:rFonts w:ascii="Times New Roman" w:hAnsi="Times New Roman"/>
        </w:rPr>
        <w:t xml:space="preserve">. However, by reason of cl 24 of the Mortgage, "as between mortgagor and mortgagee, the period of limitation prescribed by s 13 has never applied and hence </w:t>
      </w:r>
      <w:r w:rsidRPr="00372A5A">
        <w:rPr>
          <w:rFonts w:ascii="Times New Roman" w:hAnsi="Times New Roman"/>
        </w:rPr>
        <w:lastRenderedPageBreak/>
        <w:t>has never expired"</w:t>
      </w:r>
      <w:r w:rsidRPr="00372A5A">
        <w:rPr>
          <w:rStyle w:val="FootnoteReference"/>
          <w:rFonts w:ascii="Times New Roman" w:hAnsi="Times New Roman"/>
          <w:sz w:val="24"/>
        </w:rPr>
        <w:footnoteReference w:id="147"/>
      </w:r>
      <w:r w:rsidRPr="00372A5A">
        <w:rPr>
          <w:rFonts w:ascii="Times New Roman" w:hAnsi="Times New Roman"/>
        </w:rPr>
        <w:t>. The appellants did not challenge the correctness of this reasoning beyond their objection on public policy grounds.</w:t>
      </w:r>
    </w:p>
    <w:p w14:paraId="2D592ECF"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 xml:space="preserve">Nonetheless, the possibility that s 24 has independent operation should be addressed. In that respect, it appears to have been accepted that s 24 is a substantive provision because it does more than bar a remedy; it extinguishes the title of a person to the land. It also appears to have been accepted that a party cannot exclude its application by contract because it serves a public need. The issue is whether, in such circumstances, s 24 automatically applies to extinguish title 12 years after the accrual of a cause of action to recover land. In other words, does the phrase in s 24 "the period of limitation prescribed by this Act within which a person may bring an action to recover land" relevantly refer to the 12 years prescribed by s 13, regardless of whether a party has invoked the </w:t>
      </w:r>
      <w:r w:rsidRPr="00372A5A">
        <w:rPr>
          <w:rFonts w:ascii="Times New Roman" w:hAnsi="Times New Roman"/>
          <w:i/>
        </w:rPr>
        <w:t>Limitation Act</w:t>
      </w:r>
      <w:r w:rsidRPr="00372A5A">
        <w:rPr>
          <w:rFonts w:ascii="Times New Roman" w:hAnsi="Times New Roman"/>
        </w:rPr>
        <w:t xml:space="preserve"> as a defence? For the reasons given below, it does not.</w:t>
      </w:r>
    </w:p>
    <w:p w14:paraId="516588D3"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 xml:space="preserve">The genesis of s 24 is to be found in s 34 of the </w:t>
      </w:r>
      <w:bookmarkStart w:id="5" w:name="_Hlk67385523"/>
      <w:r w:rsidRPr="00372A5A">
        <w:rPr>
          <w:rFonts w:ascii="Times New Roman" w:hAnsi="Times New Roman"/>
          <w:i/>
        </w:rPr>
        <w:t>Real Property Limitation Act 1833</w:t>
      </w:r>
      <w:r w:rsidRPr="00372A5A">
        <w:rPr>
          <w:rFonts w:ascii="Times New Roman" w:hAnsi="Times New Roman"/>
        </w:rPr>
        <w:t xml:space="preserve"> (UK)</w:t>
      </w:r>
      <w:bookmarkEnd w:id="5"/>
      <w:r w:rsidRPr="00372A5A">
        <w:rPr>
          <w:rFonts w:ascii="Times New Roman" w:hAnsi="Times New Roman"/>
        </w:rPr>
        <w:t xml:space="preserve"> and in the doctrine of adverse possession. As Mr Strauss QC, sitting as a deputy High Court judge in England, observed in </w:t>
      </w:r>
      <w:proofErr w:type="spellStart"/>
      <w:r w:rsidRPr="00372A5A">
        <w:rPr>
          <w:rFonts w:ascii="Times New Roman" w:hAnsi="Times New Roman"/>
          <w:i/>
        </w:rPr>
        <w:t>Beaulane</w:t>
      </w:r>
      <w:proofErr w:type="spellEnd"/>
      <w:r w:rsidRPr="00372A5A">
        <w:rPr>
          <w:rFonts w:ascii="Times New Roman" w:hAnsi="Times New Roman"/>
          <w:i/>
        </w:rPr>
        <w:t xml:space="preserve"> Properties Ltd v Palmer</w:t>
      </w:r>
      <w:r w:rsidRPr="00372A5A">
        <w:rPr>
          <w:rFonts w:ascii="Times New Roman" w:hAnsi="Times New Roman"/>
        </w:rPr>
        <w:t>, this enactment constituted "a radical change in the law"</w:t>
      </w:r>
      <w:r w:rsidRPr="00372A5A">
        <w:rPr>
          <w:rStyle w:val="FootnoteReference"/>
          <w:rFonts w:ascii="Times New Roman" w:hAnsi="Times New Roman"/>
          <w:sz w:val="24"/>
        </w:rPr>
        <w:footnoteReference w:id="148"/>
      </w:r>
      <w:r w:rsidRPr="00372A5A">
        <w:rPr>
          <w:rFonts w:ascii="Times New Roman" w:hAnsi="Times New Roman"/>
        </w:rPr>
        <w:t>. The change was described by Mr Strauss QC in the following way</w:t>
      </w:r>
      <w:r w:rsidRPr="00372A5A">
        <w:rPr>
          <w:rStyle w:val="FootnoteReference"/>
          <w:rFonts w:ascii="Times New Roman" w:hAnsi="Times New Roman"/>
          <w:sz w:val="24"/>
        </w:rPr>
        <w:footnoteReference w:id="149"/>
      </w:r>
      <w:r w:rsidRPr="00372A5A">
        <w:rPr>
          <w:rFonts w:ascii="Times New Roman" w:hAnsi="Times New Roman"/>
        </w:rPr>
        <w:t>:</w:t>
      </w:r>
    </w:p>
    <w:p w14:paraId="3F3EE763" w14:textId="77777777" w:rsidR="008447C0" w:rsidRPr="00372A5A" w:rsidRDefault="008447C0" w:rsidP="00372A5A">
      <w:pPr>
        <w:pStyle w:val="LeftrightafterHC"/>
        <w:spacing w:before="0" w:after="260" w:line="280" w:lineRule="exact"/>
        <w:ind w:right="0"/>
        <w:jc w:val="both"/>
        <w:rPr>
          <w:rFonts w:ascii="Times New Roman" w:hAnsi="Times New Roman"/>
        </w:rPr>
      </w:pPr>
      <w:r w:rsidRPr="00372A5A">
        <w:rPr>
          <w:rFonts w:ascii="Times New Roman" w:hAnsi="Times New Roman"/>
        </w:rPr>
        <w:t>"Before [1833], lapse of time barred the owner's remedies, but did not transfer title. By section 34 of the Real Property Limitation Act 1833</w:t>
      </w:r>
      <w:r w:rsidRPr="00372A5A">
        <w:rPr>
          <w:rFonts w:ascii="Times New Roman" w:hAnsi="Times New Roman"/>
          <w:i/>
        </w:rPr>
        <w:t xml:space="preserve"> </w:t>
      </w:r>
      <w:r w:rsidRPr="00372A5A">
        <w:rPr>
          <w:rFonts w:ascii="Times New Roman" w:hAnsi="Times New Roman"/>
        </w:rPr>
        <w:t>(3 &amp; 4 Will 4, c 27) the owner's rights were extinguished and the trespasser acquired title to the land.</w:t>
      </w:r>
    </w:p>
    <w:p w14:paraId="6B3F878C" w14:textId="77777777" w:rsidR="008447C0" w:rsidRDefault="008447C0" w:rsidP="00372A5A">
      <w:pPr>
        <w:pStyle w:val="leftright"/>
        <w:spacing w:before="0" w:after="260" w:line="280" w:lineRule="exact"/>
        <w:ind w:right="0"/>
        <w:jc w:val="both"/>
        <w:rPr>
          <w:rFonts w:ascii="Times New Roman" w:hAnsi="Times New Roman"/>
        </w:rPr>
      </w:pPr>
      <w:r w:rsidRPr="00372A5A">
        <w:rPr>
          <w:rFonts w:ascii="Times New Roman" w:hAnsi="Times New Roman"/>
        </w:rPr>
        <w:t>The reason for the change in the law, and other later changes, was that it was for the public good. It did away with burdensome enquiries and difficulties which were encountered in conveyancing transactions generally (not only those in which there was an issue about a possible possessory title), and made conveyancing less expensive."</w:t>
      </w:r>
    </w:p>
    <w:p w14:paraId="7F3FE3BE"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 xml:space="preserve">By s 5 of the </w:t>
      </w:r>
      <w:r w:rsidRPr="00372A5A">
        <w:rPr>
          <w:rFonts w:ascii="Times New Roman" w:hAnsi="Times New Roman"/>
          <w:i/>
        </w:rPr>
        <w:t>Distress Replevin and Ejectment Act 1867</w:t>
      </w:r>
      <w:r w:rsidRPr="00372A5A">
        <w:rPr>
          <w:rFonts w:ascii="Times New Roman" w:hAnsi="Times New Roman"/>
        </w:rPr>
        <w:t xml:space="preserve"> (Qld), an almost identical version of s 34 of the </w:t>
      </w:r>
      <w:r w:rsidRPr="00372A5A">
        <w:rPr>
          <w:rFonts w:ascii="Times New Roman" w:hAnsi="Times New Roman"/>
          <w:i/>
        </w:rPr>
        <w:t>Real Property Limitation Act 1833</w:t>
      </w:r>
      <w:r w:rsidRPr="00372A5A">
        <w:rPr>
          <w:rFonts w:ascii="Times New Roman" w:hAnsi="Times New Roman"/>
        </w:rPr>
        <w:t xml:space="preserve"> (UK) became law in Queensland. In contrast, actions relating to personal property, and not land, were the subject of the </w:t>
      </w:r>
      <w:r w:rsidRPr="00372A5A">
        <w:rPr>
          <w:rFonts w:ascii="Times New Roman" w:hAnsi="Times New Roman"/>
          <w:i/>
        </w:rPr>
        <w:t xml:space="preserve">Statute of Frauds and Limitations 1867 </w:t>
      </w:r>
      <w:r w:rsidRPr="00372A5A">
        <w:rPr>
          <w:rFonts w:ascii="Times New Roman" w:hAnsi="Times New Roman"/>
        </w:rPr>
        <w:t xml:space="preserve">(Qld). Section 5 of the </w:t>
      </w:r>
      <w:r w:rsidRPr="00372A5A">
        <w:rPr>
          <w:rFonts w:ascii="Times New Roman" w:hAnsi="Times New Roman"/>
          <w:i/>
        </w:rPr>
        <w:t>Distress Replevin and Ejectment Act 1867</w:t>
      </w:r>
      <w:r w:rsidRPr="00372A5A">
        <w:rPr>
          <w:rFonts w:ascii="Times New Roman" w:hAnsi="Times New Roman"/>
        </w:rPr>
        <w:t xml:space="preserve"> (Qld) was essentially re</w:t>
      </w:r>
      <w:r w:rsidRPr="00372A5A">
        <w:rPr>
          <w:rFonts w:ascii="Times New Roman" w:hAnsi="Times New Roman"/>
        </w:rPr>
        <w:noBreakHyphen/>
        <w:t xml:space="preserve">enacted in 1960 as s 22 of the </w:t>
      </w:r>
      <w:r w:rsidRPr="00372A5A">
        <w:rPr>
          <w:rFonts w:ascii="Times New Roman" w:hAnsi="Times New Roman"/>
          <w:i/>
        </w:rPr>
        <w:t>Limitation Act 1960</w:t>
      </w:r>
      <w:r w:rsidRPr="00372A5A">
        <w:rPr>
          <w:rFonts w:ascii="Times New Roman" w:hAnsi="Times New Roman"/>
        </w:rPr>
        <w:t xml:space="preserve"> (Qld). Much of that Act was modelled on </w:t>
      </w:r>
      <w:r w:rsidRPr="00372A5A">
        <w:rPr>
          <w:rFonts w:ascii="Times New Roman" w:hAnsi="Times New Roman"/>
        </w:rPr>
        <w:lastRenderedPageBreak/>
        <w:t xml:space="preserve">the </w:t>
      </w:r>
      <w:r w:rsidRPr="00372A5A">
        <w:rPr>
          <w:rFonts w:ascii="Times New Roman" w:hAnsi="Times New Roman"/>
          <w:i/>
        </w:rPr>
        <w:t>Limitation Act 1939</w:t>
      </w:r>
      <w:r w:rsidRPr="00372A5A">
        <w:rPr>
          <w:rFonts w:ascii="Times New Roman" w:hAnsi="Times New Roman"/>
        </w:rPr>
        <w:t xml:space="preserve"> (UK), which, amongst other things, effectively merged the Acts dealing with limitations on actions relating respectively to real and personal property. Section 22 was then relevantly re-enacted in 1974 to become s 24 of the </w:t>
      </w:r>
      <w:r w:rsidRPr="00372A5A">
        <w:rPr>
          <w:rFonts w:ascii="Times New Roman" w:hAnsi="Times New Roman"/>
          <w:i/>
        </w:rPr>
        <w:t>Limitation Act</w:t>
      </w:r>
      <w:r w:rsidRPr="00372A5A">
        <w:rPr>
          <w:rFonts w:ascii="Times New Roman" w:hAnsi="Times New Roman"/>
        </w:rPr>
        <w:t xml:space="preserve">. </w:t>
      </w:r>
    </w:p>
    <w:p w14:paraId="5110E0CA"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 xml:space="preserve">In </w:t>
      </w:r>
      <w:proofErr w:type="spellStart"/>
      <w:r w:rsidRPr="00372A5A">
        <w:rPr>
          <w:rFonts w:ascii="Times New Roman" w:hAnsi="Times New Roman"/>
          <w:i/>
        </w:rPr>
        <w:t>Beaulane</w:t>
      </w:r>
      <w:proofErr w:type="spellEnd"/>
      <w:r w:rsidRPr="00372A5A">
        <w:rPr>
          <w:rFonts w:ascii="Times New Roman" w:hAnsi="Times New Roman"/>
          <w:i/>
        </w:rPr>
        <w:t xml:space="preserve"> Properties</w:t>
      </w:r>
      <w:r w:rsidRPr="00372A5A">
        <w:rPr>
          <w:rFonts w:ascii="Times New Roman" w:hAnsi="Times New Roman"/>
        </w:rPr>
        <w:t>, Mr Strauss QC also observed that under the Torrens system, it was initially not possible to acquire rights over registered land by adverse possession</w:t>
      </w:r>
      <w:r w:rsidRPr="00372A5A">
        <w:rPr>
          <w:rStyle w:val="FootnoteReference"/>
          <w:rFonts w:ascii="Times New Roman" w:hAnsi="Times New Roman"/>
          <w:sz w:val="24"/>
        </w:rPr>
        <w:footnoteReference w:id="150"/>
      </w:r>
      <w:r w:rsidRPr="00372A5A">
        <w:rPr>
          <w:rFonts w:ascii="Times New Roman" w:hAnsi="Times New Roman"/>
        </w:rPr>
        <w:t>. That was the position in Queensland until 1952</w:t>
      </w:r>
      <w:r w:rsidRPr="00372A5A">
        <w:rPr>
          <w:rStyle w:val="FootnoteReference"/>
          <w:rFonts w:ascii="Times New Roman" w:hAnsi="Times New Roman"/>
          <w:sz w:val="24"/>
        </w:rPr>
        <w:footnoteReference w:id="151"/>
      </w:r>
      <w:r w:rsidRPr="00372A5A">
        <w:rPr>
          <w:rFonts w:ascii="Times New Roman" w:hAnsi="Times New Roman"/>
        </w:rPr>
        <w:t>. Following that change, it may be accepted that s 24, together with Pt 6 Div 5 of the</w:t>
      </w:r>
      <w:r w:rsidRPr="00372A5A">
        <w:rPr>
          <w:rFonts w:ascii="Times New Roman" w:hAnsi="Times New Roman"/>
          <w:i/>
        </w:rPr>
        <w:t xml:space="preserve"> Land Title Act 1994 </w:t>
      </w:r>
      <w:r w:rsidRPr="00372A5A">
        <w:rPr>
          <w:rFonts w:ascii="Times New Roman" w:hAnsi="Times New Roman"/>
        </w:rPr>
        <w:t>(Qld)</w:t>
      </w:r>
      <w:r w:rsidRPr="00372A5A">
        <w:rPr>
          <w:rStyle w:val="FootnoteReference"/>
          <w:rFonts w:ascii="Times New Roman" w:hAnsi="Times New Roman"/>
          <w:sz w:val="24"/>
        </w:rPr>
        <w:footnoteReference w:id="152"/>
      </w:r>
      <w:r w:rsidRPr="00372A5A">
        <w:rPr>
          <w:rFonts w:ascii="Times New Roman" w:hAnsi="Times New Roman"/>
        </w:rPr>
        <w:t xml:space="preserve">, is the legal means whereby the adverse possessor may obtain registered title to land in Queensland. </w:t>
      </w:r>
    </w:p>
    <w:p w14:paraId="0F8C8D76"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 xml:space="preserve">It is important to identify precisely what s 24 extinguishes. In </w:t>
      </w:r>
      <w:r w:rsidRPr="00372A5A">
        <w:rPr>
          <w:rStyle w:val="Emphasis1"/>
          <w:rFonts w:ascii="Times New Roman" w:hAnsi="Times New Roman"/>
          <w:i/>
          <w:iCs/>
          <w:color w:val="000000"/>
          <w:bdr w:val="none" w:sz="0" w:space="0" w:color="auto" w:frame="1"/>
          <w:shd w:val="clear" w:color="auto" w:fill="FFFFFF"/>
        </w:rPr>
        <w:t>Fairweather v St Marylebone Property Co Ltd</w:t>
      </w:r>
      <w:r w:rsidRPr="00372A5A">
        <w:rPr>
          <w:rStyle w:val="FootnoteReference"/>
          <w:rFonts w:ascii="Times New Roman" w:hAnsi="Times New Roman"/>
          <w:sz w:val="24"/>
        </w:rPr>
        <w:footnoteReference w:id="153"/>
      </w:r>
      <w:r w:rsidRPr="00372A5A">
        <w:rPr>
          <w:rFonts w:ascii="Times New Roman" w:hAnsi="Times New Roman"/>
        </w:rPr>
        <w:t>, the land in question had been subject to a lease; part of the appellant's shed, from the neighbouring land, intruded onto it during the term of that lease. What was eventually extinguished by adverse possession was only the estate of a dispossessed lessee to that part of the shed which had intruded, and not the title of the landlord. As Lord Radcliffe observed, provisions like s 24 extinguish no more than "the title of the dispossessed against the dispossessor"</w:t>
      </w:r>
      <w:r w:rsidRPr="00372A5A">
        <w:rPr>
          <w:rStyle w:val="FootnoteReference"/>
          <w:rFonts w:ascii="Times New Roman" w:hAnsi="Times New Roman"/>
          <w:sz w:val="24"/>
        </w:rPr>
        <w:footnoteReference w:id="154"/>
      </w:r>
      <w:r w:rsidRPr="00372A5A">
        <w:rPr>
          <w:rFonts w:ascii="Times New Roman" w:hAnsi="Times New Roman"/>
        </w:rPr>
        <w:t xml:space="preserve">. In other words, whatever "title" is extinguished is not extinguished against the whole world. Rather, it is extinguished against the dispossessor. </w:t>
      </w:r>
    </w:p>
    <w:p w14:paraId="1E1BA6CF"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 xml:space="preserve">The mortgages in this case were registered pursuant to the </w:t>
      </w:r>
      <w:r w:rsidRPr="00372A5A">
        <w:rPr>
          <w:rFonts w:ascii="Times New Roman" w:hAnsi="Times New Roman"/>
          <w:i/>
        </w:rPr>
        <w:t>Land Title Act 1994</w:t>
      </w:r>
      <w:r w:rsidRPr="00372A5A">
        <w:rPr>
          <w:rFonts w:ascii="Times New Roman" w:hAnsi="Times New Roman"/>
        </w:rPr>
        <w:t xml:space="preserve"> (Qld) over Torrens land. When s 34 of the </w:t>
      </w:r>
      <w:r w:rsidRPr="00372A5A">
        <w:rPr>
          <w:rFonts w:ascii="Times New Roman" w:hAnsi="Times New Roman"/>
          <w:i/>
        </w:rPr>
        <w:t>Real Property Limitation Act 1833</w:t>
      </w:r>
      <w:r w:rsidRPr="00372A5A">
        <w:rPr>
          <w:rFonts w:ascii="Times New Roman" w:hAnsi="Times New Roman"/>
        </w:rPr>
        <w:t xml:space="preserve"> (UK) was enacted, the title of the mortgagee was either legal title to the land, or, </w:t>
      </w:r>
      <w:r w:rsidRPr="00372A5A">
        <w:rPr>
          <w:rFonts w:ascii="Times New Roman" w:hAnsi="Times New Roman"/>
        </w:rPr>
        <w:lastRenderedPageBreak/>
        <w:t>in the case of an equitable mortgage, an equitable interest in the land</w:t>
      </w:r>
      <w:r w:rsidRPr="00372A5A">
        <w:rPr>
          <w:rStyle w:val="FootnoteReference"/>
          <w:rFonts w:ascii="Times New Roman" w:hAnsi="Times New Roman"/>
          <w:sz w:val="24"/>
        </w:rPr>
        <w:footnoteReference w:id="155"/>
      </w:r>
      <w:r w:rsidRPr="00372A5A">
        <w:rPr>
          <w:rFonts w:ascii="Times New Roman" w:hAnsi="Times New Roman"/>
        </w:rPr>
        <w:t>. In contrast, the "title" held by the respondents here that is capable of being extinguished by s 24 is a species of statutory charge, giving them an interest but not an estate in land</w:t>
      </w:r>
      <w:r w:rsidRPr="00372A5A">
        <w:rPr>
          <w:rStyle w:val="FootnoteReference"/>
          <w:rFonts w:ascii="Times New Roman" w:hAnsi="Times New Roman"/>
          <w:sz w:val="24"/>
        </w:rPr>
        <w:footnoteReference w:id="156"/>
      </w:r>
      <w:r w:rsidRPr="00372A5A">
        <w:rPr>
          <w:rFonts w:ascii="Times New Roman" w:hAnsi="Times New Roman"/>
        </w:rPr>
        <w:t>. As such, it involves no ownership of the land</w:t>
      </w:r>
      <w:r w:rsidRPr="00372A5A">
        <w:rPr>
          <w:rStyle w:val="FootnoteReference"/>
          <w:rFonts w:ascii="Times New Roman" w:hAnsi="Times New Roman"/>
          <w:sz w:val="24"/>
        </w:rPr>
        <w:footnoteReference w:id="157"/>
      </w:r>
      <w:r w:rsidRPr="00372A5A">
        <w:rPr>
          <w:rFonts w:ascii="Times New Roman" w:hAnsi="Times New Roman"/>
        </w:rPr>
        <w:t>. No one disputed that this interest was a form of "title" for the purposes of s 24. Here, the respondents as mortgagees became "dispossessed" of their title, and the lands relevantly became subject to adverse possession as against them, upon the failure by the appellants to pay the principal and interest owing for the prescribed period of years</w:t>
      </w:r>
      <w:r w:rsidRPr="00372A5A">
        <w:rPr>
          <w:rStyle w:val="FootnoteReference"/>
          <w:rFonts w:ascii="Times New Roman" w:hAnsi="Times New Roman"/>
          <w:sz w:val="24"/>
        </w:rPr>
        <w:footnoteReference w:id="158"/>
      </w:r>
      <w:r w:rsidRPr="00372A5A">
        <w:rPr>
          <w:rFonts w:ascii="Times New Roman" w:hAnsi="Times New Roman"/>
        </w:rPr>
        <w:t>.</w:t>
      </w:r>
    </w:p>
    <w:p w14:paraId="25DB1CDB"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 xml:space="preserve">Section 24 is relevantly here an ancillary provision intended to facilitate the better operation of s 13 of the </w:t>
      </w:r>
      <w:r w:rsidRPr="00372A5A">
        <w:rPr>
          <w:rFonts w:ascii="Times New Roman" w:hAnsi="Times New Roman"/>
          <w:i/>
        </w:rPr>
        <w:t>Limitation Act</w:t>
      </w:r>
      <w:r w:rsidRPr="00372A5A">
        <w:rPr>
          <w:rFonts w:ascii="Times New Roman" w:hAnsi="Times New Roman"/>
        </w:rPr>
        <w:t xml:space="preserve">. The reference in s 24 to the "period of limitation prescribed by this Act within which a person may bring an action to recover land" is a reference to s 13 and its operation. As such, the phrase "may bring an action to recover land" in s 24 must be read, as in the case of s 13, not literally, but as a reference to a defendant's ability to plead that a claim is statute-barred. As Keane J said in </w:t>
      </w:r>
      <w:r w:rsidRPr="00372A5A">
        <w:rPr>
          <w:rFonts w:ascii="Times New Roman" w:hAnsi="Times New Roman"/>
          <w:i/>
        </w:rPr>
        <w:t>Brisbane City Council v Amos</w:t>
      </w:r>
      <w:r w:rsidRPr="00372A5A">
        <w:rPr>
          <w:rStyle w:val="FootnoteReference"/>
          <w:rFonts w:ascii="Times New Roman" w:hAnsi="Times New Roman"/>
          <w:sz w:val="24"/>
        </w:rPr>
        <w:footnoteReference w:id="159"/>
      </w:r>
      <w:r w:rsidRPr="00372A5A">
        <w:rPr>
          <w:rFonts w:ascii="Times New Roman" w:hAnsi="Times New Roman"/>
        </w:rPr>
        <w:t>:</w:t>
      </w:r>
    </w:p>
    <w:p w14:paraId="61EEC63D" w14:textId="77777777" w:rsidR="008447C0" w:rsidRDefault="008447C0" w:rsidP="00372A5A">
      <w:pPr>
        <w:pStyle w:val="LeftrightafterHC"/>
        <w:spacing w:before="0" w:after="260" w:line="280" w:lineRule="exact"/>
        <w:ind w:right="0"/>
        <w:jc w:val="both"/>
        <w:rPr>
          <w:rFonts w:ascii="Times New Roman" w:hAnsi="Times New Roman"/>
        </w:rPr>
      </w:pPr>
      <w:r w:rsidRPr="00372A5A">
        <w:rPr>
          <w:rFonts w:ascii="Times New Roman" w:hAnsi="Times New Roman"/>
        </w:rPr>
        <w:t>"[L]imitation statutes have a long history, in the course of which the courts have glossed the statutory language to an extent that might not now be regarded as acceptable in terms of the separation of the roles of the legislature and judiciary. It has, for example, long been settled by judicial decision that legislative provision that an action 'shall not be brought' is not to be taken literally, and that the provision merely provides a defence to the action that must be pleaded by a defendant if the expiration of the limitation period is to be given effect."</w:t>
      </w:r>
    </w:p>
    <w:p w14:paraId="2037F358"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lastRenderedPageBreak/>
        <w:tab/>
        <w:t>Limitation defences are often characterised as procedural rather than substantive in nature</w:t>
      </w:r>
      <w:r w:rsidRPr="00372A5A">
        <w:rPr>
          <w:rStyle w:val="FootnoteReference"/>
          <w:rFonts w:ascii="Times New Roman" w:hAnsi="Times New Roman"/>
          <w:sz w:val="24"/>
        </w:rPr>
        <w:footnoteReference w:id="160"/>
      </w:r>
      <w:r w:rsidRPr="00372A5A">
        <w:rPr>
          <w:rFonts w:ascii="Times New Roman" w:hAnsi="Times New Roman"/>
        </w:rPr>
        <w:t>. That is because they usually only operate to bar a remedy and do not extinguish a plaintiff's underlying right or rights</w:t>
      </w:r>
      <w:r w:rsidRPr="00372A5A">
        <w:rPr>
          <w:rStyle w:val="FootnoteReference"/>
          <w:rFonts w:ascii="Times New Roman" w:hAnsi="Times New Roman"/>
          <w:sz w:val="24"/>
        </w:rPr>
        <w:footnoteReference w:id="161"/>
      </w:r>
      <w:r w:rsidRPr="00372A5A">
        <w:rPr>
          <w:rFonts w:ascii="Times New Roman" w:hAnsi="Times New Roman"/>
        </w:rPr>
        <w:t>. Whether the terms "procedural" and "substantive" are apt may be put to one side so long as it is understood that the distinction is between provisions which offer a defence based on the expiration of a given time period, and those which extinguish the claim or title of a plaintiff</w:t>
      </w:r>
      <w:r w:rsidRPr="00372A5A">
        <w:rPr>
          <w:rStyle w:val="FootnoteReference"/>
          <w:rFonts w:ascii="Times New Roman" w:hAnsi="Times New Roman"/>
          <w:sz w:val="24"/>
        </w:rPr>
        <w:footnoteReference w:id="162"/>
      </w:r>
      <w:r w:rsidRPr="00372A5A">
        <w:rPr>
          <w:rFonts w:ascii="Times New Roman" w:hAnsi="Times New Roman"/>
        </w:rPr>
        <w:t>.</w:t>
      </w:r>
    </w:p>
    <w:p w14:paraId="1D7F4100" w14:textId="77777777" w:rsidR="008447C0" w:rsidRPr="00372A5A" w:rsidRDefault="008447C0" w:rsidP="008447C0">
      <w:pPr>
        <w:pStyle w:val="FixListStyle"/>
        <w:numPr>
          <w:ilvl w:val="0"/>
          <w:numId w:val="18"/>
        </w:numPr>
        <w:spacing w:after="260" w:line="280" w:lineRule="exact"/>
        <w:ind w:left="0" w:right="0" w:hanging="720"/>
        <w:jc w:val="both"/>
        <w:rPr>
          <w:rFonts w:ascii="Times New Roman" w:hAnsi="Times New Roman"/>
        </w:rPr>
      </w:pPr>
      <w:r w:rsidRPr="00372A5A">
        <w:rPr>
          <w:rFonts w:ascii="Times New Roman" w:hAnsi="Times New Roman"/>
        </w:rPr>
        <w:tab/>
        <w:t xml:space="preserve">If no defence of limitation is pleaded for whatever reason, the period within which to bring an action, here for the purposes of s 13 of the </w:t>
      </w:r>
      <w:r w:rsidRPr="00372A5A">
        <w:rPr>
          <w:rFonts w:ascii="Times New Roman" w:hAnsi="Times New Roman"/>
          <w:i/>
        </w:rPr>
        <w:t>Limitation Act</w:t>
      </w:r>
      <w:r w:rsidRPr="00372A5A">
        <w:rPr>
          <w:rFonts w:ascii="Times New Roman" w:hAnsi="Times New Roman"/>
        </w:rPr>
        <w:t>, will have never expired. And that is so for the purposes of both ss 13 and 24. Where, however, the defence is successfully pleaded that an action to recover land is statute-barred, the effect of s 13 is that the remedy of recovery of the land is barred, and the further effect of s 24 is that the "title" of the person seeking recovery of the land is "extinguished". Section 24 thus ensures that the issue of "title" is put beyond doubt where s 13 has applied, consistently with the reasons for the original enactment of s 34 of the</w:t>
      </w:r>
      <w:r w:rsidRPr="00372A5A">
        <w:rPr>
          <w:rFonts w:ascii="Times New Roman" w:hAnsi="Times New Roman"/>
          <w:i/>
        </w:rPr>
        <w:t xml:space="preserve"> Real Property Limitation Act 1833</w:t>
      </w:r>
      <w:r w:rsidRPr="00372A5A">
        <w:rPr>
          <w:rFonts w:ascii="Times New Roman" w:hAnsi="Times New Roman"/>
        </w:rPr>
        <w:t xml:space="preserve"> (UK). This conclusion is supported by the fact that s 24 does not extinguish a person's title against the whole world, but only against the dispossessor</w:t>
      </w:r>
      <w:r w:rsidRPr="00372A5A">
        <w:rPr>
          <w:rStyle w:val="FootnoteReference"/>
          <w:rFonts w:ascii="Times New Roman" w:hAnsi="Times New Roman"/>
          <w:sz w:val="24"/>
        </w:rPr>
        <w:footnoteReference w:id="163"/>
      </w:r>
      <w:r w:rsidRPr="00372A5A">
        <w:rPr>
          <w:rFonts w:ascii="Times New Roman" w:hAnsi="Times New Roman"/>
        </w:rPr>
        <w:t xml:space="preserve">. Its application is limited to the dispossessor and dispossessed because it is the dispossessor who has the option to plead the defence conferred by s 13, thus triggering a possible application of s 24. </w:t>
      </w:r>
    </w:p>
    <w:p w14:paraId="4529718C" w14:textId="77777777" w:rsidR="008447C0" w:rsidRDefault="008447C0" w:rsidP="008447C0">
      <w:pPr>
        <w:pStyle w:val="FixListStyle"/>
        <w:numPr>
          <w:ilvl w:val="0"/>
          <w:numId w:val="0"/>
        </w:numPr>
        <w:spacing w:after="260" w:line="280" w:lineRule="exact"/>
        <w:ind w:right="0"/>
        <w:jc w:val="both"/>
        <w:rPr>
          <w:rFonts w:ascii="Times New Roman" w:hAnsi="Times New Roman"/>
        </w:rPr>
        <w:sectPr w:rsidR="008447C0" w:rsidSect="008447C0">
          <w:headerReference w:type="even" r:id="rId26"/>
          <w:headerReference w:type="default" r:id="rId27"/>
          <w:headerReference w:type="first" r:id="rId28"/>
          <w:pgSz w:w="11907" w:h="16839" w:code="9"/>
          <w:pgMar w:top="1440" w:right="1701" w:bottom="1984" w:left="1701" w:header="720" w:footer="720" w:gutter="0"/>
          <w:cols w:space="720"/>
          <w:docGrid w:linePitch="354"/>
        </w:sectPr>
      </w:pPr>
    </w:p>
    <w:p w14:paraId="53704428" w14:textId="51AF179B" w:rsidR="00C119F8" w:rsidRPr="00333D58" w:rsidRDefault="00C119F8" w:rsidP="008447C0">
      <w:pPr>
        <w:pStyle w:val="FixListStyle"/>
        <w:numPr>
          <w:ilvl w:val="0"/>
          <w:numId w:val="0"/>
        </w:numPr>
        <w:spacing w:after="260" w:line="280" w:lineRule="exact"/>
        <w:ind w:right="0"/>
        <w:jc w:val="both"/>
        <w:rPr>
          <w:rFonts w:ascii="Times New Roman" w:hAnsi="Times New Roman"/>
        </w:rPr>
      </w:pPr>
    </w:p>
    <w:sectPr w:rsidR="00C119F8" w:rsidRPr="00333D58" w:rsidSect="008447C0">
      <w:headerReference w:type="default" r:id="rId29"/>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CE760" w14:textId="77777777" w:rsidR="005A777D" w:rsidRDefault="005A777D">
      <w:pPr>
        <w:spacing w:line="240" w:lineRule="auto"/>
      </w:pPr>
      <w:r>
        <w:separator/>
      </w:r>
    </w:p>
  </w:endnote>
  <w:endnote w:type="continuationSeparator" w:id="0">
    <w:p w14:paraId="0CCF3D7A" w14:textId="77777777" w:rsidR="005A777D" w:rsidRDefault="005A777D">
      <w:pPr>
        <w:spacing w:line="240" w:lineRule="auto"/>
      </w:pPr>
      <w:r>
        <w:continuationSeparator/>
      </w:r>
    </w:p>
  </w:endnote>
  <w:endnote w:type="continuationNotice" w:id="1">
    <w:p w14:paraId="2096B5F9" w14:textId="77777777" w:rsidR="005A777D" w:rsidRDefault="005A77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F2B10" w14:textId="77777777" w:rsidR="00824BE3" w:rsidRDefault="00824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9E809" w14:textId="77777777" w:rsidR="00824BE3" w:rsidRDefault="00824B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C8DCF" w14:textId="77777777" w:rsidR="00824BE3" w:rsidRDefault="00824B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4D342" w14:textId="77777777" w:rsidR="00824BE3" w:rsidRDefault="00824BE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A8A32" w14:textId="77777777" w:rsidR="00824BE3" w:rsidRDefault="00824BE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7E6EF" w14:textId="77777777" w:rsidR="00824BE3" w:rsidRDefault="00824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F2F3C" w14:textId="77777777" w:rsidR="005A777D" w:rsidRPr="00333D58" w:rsidRDefault="005A777D" w:rsidP="00333D58">
      <w:pPr>
        <w:pStyle w:val="Footer"/>
        <w:spacing w:before="120" w:after="20"/>
        <w:ind w:right="0"/>
        <w:rPr>
          <w:rFonts w:ascii="Times New Roman" w:hAnsi="Times New Roman"/>
        </w:rPr>
      </w:pPr>
      <w:r>
        <w:continuationSeparator/>
      </w:r>
    </w:p>
  </w:footnote>
  <w:footnote w:type="continuationSeparator" w:id="0">
    <w:p w14:paraId="3ABE6F8F" w14:textId="77777777" w:rsidR="005A777D" w:rsidRPr="00333D58" w:rsidRDefault="005A777D" w:rsidP="00333D58">
      <w:pPr>
        <w:pStyle w:val="Footer"/>
        <w:spacing w:before="120" w:after="20"/>
        <w:ind w:right="0"/>
        <w:rPr>
          <w:rFonts w:ascii="Times New Roman" w:hAnsi="Times New Roman"/>
        </w:rPr>
      </w:pPr>
      <w:r w:rsidRPr="00333D58">
        <w:rPr>
          <w:rFonts w:ascii="Times New Roman" w:hAnsi="Times New Roman"/>
        </w:rPr>
        <w:continuationSeparator/>
      </w:r>
    </w:p>
  </w:footnote>
  <w:footnote w:type="continuationNotice" w:id="1">
    <w:p w14:paraId="134B23F5" w14:textId="77777777" w:rsidR="005A777D" w:rsidRPr="008447C0" w:rsidRDefault="005A777D">
      <w:pPr>
        <w:jc w:val="right"/>
        <w:rPr>
          <w:rFonts w:ascii="Times New Roman" w:hAnsi="Times New Roman"/>
          <w:sz w:val="24"/>
        </w:rPr>
      </w:pPr>
    </w:p>
  </w:footnote>
  <w:footnote w:id="2">
    <w:p w14:paraId="6E565ED1" w14:textId="494945EF" w:rsidR="001F7F4F" w:rsidRPr="00333D58" w:rsidRDefault="001F7F4F" w:rsidP="00333D58">
      <w:pPr>
        <w:pStyle w:val="FootnoteText"/>
        <w:spacing w:line="280" w:lineRule="exact"/>
        <w:ind w:right="0"/>
        <w:jc w:val="both"/>
        <w:rPr>
          <w:rFonts w:ascii="Times New Roman" w:hAnsi="Times New Roman"/>
          <w:sz w:val="24"/>
        </w:rPr>
      </w:pPr>
      <w:r w:rsidRPr="00333D58">
        <w:rPr>
          <w:rStyle w:val="FootnoteReference"/>
          <w:rFonts w:ascii="Times New Roman" w:hAnsi="Times New Roman"/>
          <w:sz w:val="22"/>
          <w:vertAlign w:val="baseline"/>
        </w:rPr>
        <w:footnoteRef/>
      </w:r>
      <w:r w:rsidRPr="00333D58">
        <w:rPr>
          <w:rFonts w:ascii="Times New Roman" w:hAnsi="Times New Roman"/>
          <w:sz w:val="24"/>
        </w:rPr>
        <w:t xml:space="preserve"> </w:t>
      </w:r>
      <w:r w:rsidRPr="00333D58">
        <w:rPr>
          <w:rFonts w:ascii="Times New Roman" w:hAnsi="Times New Roman"/>
          <w:sz w:val="24"/>
        </w:rPr>
        <w:tab/>
      </w:r>
      <w:r w:rsidRPr="00333D58">
        <w:rPr>
          <w:rFonts w:ascii="Times New Roman" w:hAnsi="Times New Roman"/>
          <w:i/>
          <w:sz w:val="24"/>
        </w:rPr>
        <w:t xml:space="preserve">Expense Reduction Analysts Group Pty Ltd v Armstrong Strategic Management </w:t>
      </w:r>
      <w:r w:rsidR="00ED7FD6" w:rsidRPr="00333D58">
        <w:rPr>
          <w:rFonts w:ascii="Times New Roman" w:hAnsi="Times New Roman"/>
          <w:i/>
          <w:sz w:val="24"/>
        </w:rPr>
        <w:t xml:space="preserve">and </w:t>
      </w:r>
      <w:r w:rsidRPr="00333D58">
        <w:rPr>
          <w:rFonts w:ascii="Times New Roman" w:hAnsi="Times New Roman"/>
          <w:i/>
          <w:sz w:val="24"/>
        </w:rPr>
        <w:t xml:space="preserve">Marketing Pty </w:t>
      </w:r>
      <w:r w:rsidR="00ED7FD6" w:rsidRPr="00333D58">
        <w:rPr>
          <w:rFonts w:ascii="Times New Roman" w:hAnsi="Times New Roman"/>
          <w:i/>
          <w:sz w:val="24"/>
        </w:rPr>
        <w:t xml:space="preserve">Ltd </w:t>
      </w:r>
      <w:r w:rsidRPr="00333D58">
        <w:rPr>
          <w:rFonts w:ascii="Times New Roman" w:hAnsi="Times New Roman"/>
          <w:sz w:val="24"/>
        </w:rPr>
        <w:t xml:space="preserve">(2013) </w:t>
      </w:r>
      <w:r w:rsidR="008A3BA9" w:rsidRPr="00333D58">
        <w:rPr>
          <w:rFonts w:ascii="Times New Roman" w:hAnsi="Times New Roman"/>
          <w:sz w:val="24"/>
        </w:rPr>
        <w:t xml:space="preserve">250 CLR 303 at </w:t>
      </w:r>
      <w:r w:rsidR="00B05E0C" w:rsidRPr="00333D58">
        <w:rPr>
          <w:rFonts w:ascii="Times New Roman" w:hAnsi="Times New Roman"/>
          <w:sz w:val="24"/>
        </w:rPr>
        <w:t xml:space="preserve">315 </w:t>
      </w:r>
      <w:r w:rsidR="008A3BA9" w:rsidRPr="00333D58">
        <w:rPr>
          <w:rFonts w:ascii="Times New Roman" w:hAnsi="Times New Roman"/>
          <w:sz w:val="24"/>
        </w:rPr>
        <w:t xml:space="preserve">[30]; see also </w:t>
      </w:r>
      <w:r w:rsidR="008A3BA9" w:rsidRPr="00333D58">
        <w:rPr>
          <w:rFonts w:ascii="Times New Roman" w:hAnsi="Times New Roman"/>
          <w:i/>
          <w:sz w:val="24"/>
        </w:rPr>
        <w:t xml:space="preserve">The Commonwealth v Verwayen </w:t>
      </w:r>
      <w:r w:rsidR="008A3BA9" w:rsidRPr="00333D58">
        <w:rPr>
          <w:rFonts w:ascii="Times New Roman" w:hAnsi="Times New Roman"/>
          <w:sz w:val="24"/>
        </w:rPr>
        <w:t xml:space="preserve">(1990) 170 CLR 394 at </w:t>
      </w:r>
      <w:r w:rsidR="001115DD" w:rsidRPr="00333D58">
        <w:rPr>
          <w:rFonts w:ascii="Times New Roman" w:hAnsi="Times New Roman"/>
          <w:sz w:val="24"/>
        </w:rPr>
        <w:t>406-</w:t>
      </w:r>
      <w:r w:rsidR="008A3BA9" w:rsidRPr="00333D58">
        <w:rPr>
          <w:rFonts w:ascii="Times New Roman" w:hAnsi="Times New Roman"/>
          <w:sz w:val="24"/>
        </w:rPr>
        <w:t>407 per Mason CJ.</w:t>
      </w:r>
    </w:p>
  </w:footnote>
  <w:footnote w:id="3">
    <w:p w14:paraId="74CABD1F" w14:textId="5A88D308" w:rsidR="00C41E1D" w:rsidRPr="00333D58" w:rsidRDefault="00C41E1D" w:rsidP="00333D58">
      <w:pPr>
        <w:pStyle w:val="FootnoteText"/>
        <w:spacing w:line="280" w:lineRule="exact"/>
        <w:ind w:right="0"/>
        <w:jc w:val="both"/>
        <w:rPr>
          <w:rFonts w:ascii="Times New Roman" w:hAnsi="Times New Roman"/>
          <w:sz w:val="24"/>
        </w:rPr>
      </w:pPr>
      <w:r w:rsidRPr="00333D58">
        <w:rPr>
          <w:rStyle w:val="FootnoteReference"/>
          <w:rFonts w:ascii="Times New Roman" w:hAnsi="Times New Roman"/>
          <w:sz w:val="22"/>
          <w:vertAlign w:val="baseline"/>
        </w:rPr>
        <w:footnoteRef/>
      </w:r>
      <w:r w:rsidRPr="00333D58">
        <w:rPr>
          <w:rFonts w:ascii="Times New Roman" w:hAnsi="Times New Roman"/>
          <w:sz w:val="24"/>
        </w:rPr>
        <w:t xml:space="preserve"> </w:t>
      </w:r>
      <w:r w:rsidRPr="00333D58">
        <w:rPr>
          <w:rFonts w:ascii="Times New Roman" w:hAnsi="Times New Roman"/>
          <w:sz w:val="24"/>
        </w:rPr>
        <w:tab/>
      </w:r>
      <w:r w:rsidRPr="00333D58">
        <w:rPr>
          <w:rFonts w:ascii="Times New Roman" w:hAnsi="Times New Roman"/>
          <w:i/>
          <w:sz w:val="24"/>
        </w:rPr>
        <w:t>Spoor v Price</w:t>
      </w:r>
      <w:r w:rsidRPr="00333D58">
        <w:rPr>
          <w:rFonts w:ascii="Times New Roman" w:hAnsi="Times New Roman"/>
          <w:sz w:val="24"/>
        </w:rPr>
        <w:t xml:space="preserve"> </w:t>
      </w:r>
      <w:r w:rsidR="00DA1450" w:rsidRPr="00333D58">
        <w:rPr>
          <w:rFonts w:ascii="Times New Roman" w:hAnsi="Times New Roman"/>
          <w:sz w:val="24"/>
        </w:rPr>
        <w:t>[</w:t>
      </w:r>
      <w:r w:rsidRPr="00333D58">
        <w:rPr>
          <w:rFonts w:ascii="Times New Roman" w:hAnsi="Times New Roman"/>
          <w:sz w:val="24"/>
        </w:rPr>
        <w:t>2019</w:t>
      </w:r>
      <w:r w:rsidR="00DA1450" w:rsidRPr="00333D58">
        <w:rPr>
          <w:rFonts w:ascii="Times New Roman" w:hAnsi="Times New Roman"/>
          <w:sz w:val="24"/>
        </w:rPr>
        <w:t xml:space="preserve">] </w:t>
      </w:r>
      <w:r w:rsidRPr="00333D58">
        <w:rPr>
          <w:rFonts w:ascii="Times New Roman" w:hAnsi="Times New Roman"/>
          <w:sz w:val="24"/>
        </w:rPr>
        <w:t>QSC 53.</w:t>
      </w:r>
    </w:p>
  </w:footnote>
  <w:footnote w:id="4">
    <w:p w14:paraId="022FDF65" w14:textId="1B0CCA34" w:rsidR="002F76DD" w:rsidRPr="00333D58" w:rsidRDefault="002F76DD" w:rsidP="00333D58">
      <w:pPr>
        <w:pStyle w:val="FootnoteText"/>
        <w:spacing w:line="280" w:lineRule="exact"/>
        <w:ind w:right="0"/>
        <w:jc w:val="both"/>
        <w:rPr>
          <w:rFonts w:ascii="Times New Roman" w:hAnsi="Times New Roman"/>
          <w:sz w:val="24"/>
        </w:rPr>
      </w:pPr>
      <w:r w:rsidRPr="00333D58">
        <w:rPr>
          <w:rStyle w:val="FootnoteReference"/>
          <w:rFonts w:ascii="Times New Roman" w:hAnsi="Times New Roman"/>
          <w:sz w:val="22"/>
          <w:vertAlign w:val="baseline"/>
        </w:rPr>
        <w:footnoteRef/>
      </w:r>
      <w:r w:rsidRPr="00333D58">
        <w:rPr>
          <w:rFonts w:ascii="Times New Roman" w:hAnsi="Times New Roman"/>
          <w:sz w:val="24"/>
        </w:rPr>
        <w:t xml:space="preserve"> </w:t>
      </w:r>
      <w:r w:rsidRPr="00333D58">
        <w:rPr>
          <w:rFonts w:ascii="Times New Roman" w:hAnsi="Times New Roman"/>
          <w:sz w:val="24"/>
        </w:rPr>
        <w:tab/>
      </w:r>
      <w:r w:rsidR="00F406A9" w:rsidRPr="00333D58">
        <w:rPr>
          <w:rFonts w:ascii="Times New Roman" w:hAnsi="Times New Roman"/>
          <w:i/>
          <w:sz w:val="24"/>
        </w:rPr>
        <w:t xml:space="preserve">Spoor v Price </w:t>
      </w:r>
      <w:r w:rsidR="001E4C8C" w:rsidRPr="00333D58">
        <w:rPr>
          <w:rFonts w:ascii="Times New Roman" w:hAnsi="Times New Roman"/>
          <w:sz w:val="24"/>
        </w:rPr>
        <w:t>(</w:t>
      </w:r>
      <w:r w:rsidR="00F406A9" w:rsidRPr="00333D58">
        <w:rPr>
          <w:rFonts w:ascii="Times New Roman" w:hAnsi="Times New Roman"/>
          <w:sz w:val="24"/>
        </w:rPr>
        <w:t>2019</w:t>
      </w:r>
      <w:r w:rsidR="001E4C8C" w:rsidRPr="00333D58">
        <w:rPr>
          <w:rFonts w:ascii="Times New Roman" w:hAnsi="Times New Roman"/>
          <w:sz w:val="24"/>
        </w:rPr>
        <w:t>)</w:t>
      </w:r>
      <w:r w:rsidR="007B7FC6" w:rsidRPr="00333D58">
        <w:rPr>
          <w:rFonts w:ascii="Times New Roman" w:hAnsi="Times New Roman"/>
          <w:sz w:val="24"/>
        </w:rPr>
        <w:t xml:space="preserve"> 3 QR 176.</w:t>
      </w:r>
    </w:p>
  </w:footnote>
  <w:footnote w:id="5">
    <w:p w14:paraId="5DB1CFAD" w14:textId="542F8772" w:rsidR="002E1EE0" w:rsidRPr="00333D58" w:rsidRDefault="002E1EE0" w:rsidP="00333D58">
      <w:pPr>
        <w:pStyle w:val="FootnoteText"/>
        <w:spacing w:line="280" w:lineRule="exact"/>
        <w:ind w:right="0"/>
        <w:jc w:val="both"/>
        <w:rPr>
          <w:rFonts w:ascii="Times New Roman" w:hAnsi="Times New Roman"/>
          <w:sz w:val="24"/>
        </w:rPr>
      </w:pPr>
      <w:r w:rsidRPr="00333D58">
        <w:rPr>
          <w:rStyle w:val="FootnoteReference"/>
          <w:rFonts w:ascii="Times New Roman" w:hAnsi="Times New Roman"/>
          <w:sz w:val="22"/>
          <w:vertAlign w:val="baseline"/>
        </w:rPr>
        <w:footnoteRef/>
      </w:r>
      <w:r w:rsidRPr="00333D58">
        <w:rPr>
          <w:rFonts w:ascii="Times New Roman" w:hAnsi="Times New Roman"/>
          <w:sz w:val="24"/>
        </w:rPr>
        <w:t xml:space="preserve"> </w:t>
      </w:r>
      <w:r w:rsidRPr="00333D58">
        <w:rPr>
          <w:rFonts w:ascii="Times New Roman" w:hAnsi="Times New Roman"/>
          <w:sz w:val="24"/>
        </w:rPr>
        <w:tab/>
        <w:t>(2010) 241 CLR 420 at 433</w:t>
      </w:r>
      <w:r w:rsidR="002119B4" w:rsidRPr="00333D58">
        <w:rPr>
          <w:rFonts w:ascii="Times New Roman" w:hAnsi="Times New Roman"/>
          <w:sz w:val="24"/>
        </w:rPr>
        <w:t xml:space="preserve"> [30]</w:t>
      </w:r>
      <w:r w:rsidRPr="00333D58">
        <w:rPr>
          <w:rFonts w:ascii="Times New Roman" w:hAnsi="Times New Roman"/>
          <w:sz w:val="24"/>
        </w:rPr>
        <w:t xml:space="preserve"> per French CJ, Gummow, Crennan, Kiefel and Bell JJ</w:t>
      </w:r>
      <w:r w:rsidR="00577D8C" w:rsidRPr="00333D58">
        <w:rPr>
          <w:rFonts w:ascii="Times New Roman" w:hAnsi="Times New Roman"/>
          <w:sz w:val="24"/>
        </w:rPr>
        <w:t>.</w:t>
      </w:r>
    </w:p>
  </w:footnote>
  <w:footnote w:id="6">
    <w:p w14:paraId="0B4343E0" w14:textId="3E6BFE99" w:rsidR="00731278" w:rsidRPr="00333D58" w:rsidRDefault="00731278" w:rsidP="00333D58">
      <w:pPr>
        <w:pStyle w:val="FootnoteText"/>
        <w:spacing w:line="280" w:lineRule="exact"/>
        <w:ind w:right="0"/>
        <w:jc w:val="both"/>
        <w:rPr>
          <w:rFonts w:ascii="Times New Roman" w:hAnsi="Times New Roman"/>
          <w:sz w:val="24"/>
        </w:rPr>
      </w:pPr>
      <w:r w:rsidRPr="00333D58">
        <w:rPr>
          <w:rStyle w:val="FootnoteReference"/>
          <w:rFonts w:ascii="Times New Roman" w:hAnsi="Times New Roman"/>
          <w:sz w:val="22"/>
          <w:vertAlign w:val="baseline"/>
        </w:rPr>
        <w:footnoteRef/>
      </w:r>
      <w:r w:rsidRPr="00333D58">
        <w:rPr>
          <w:rFonts w:ascii="Times New Roman" w:hAnsi="Times New Roman"/>
          <w:sz w:val="24"/>
        </w:rPr>
        <w:t xml:space="preserve"> </w:t>
      </w:r>
      <w:r w:rsidRPr="00333D58">
        <w:rPr>
          <w:rFonts w:ascii="Times New Roman" w:hAnsi="Times New Roman"/>
          <w:sz w:val="24"/>
        </w:rPr>
        <w:tab/>
        <w:t xml:space="preserve">(1997) 191 CLR 471 at 534-535; see also </w:t>
      </w:r>
      <w:r w:rsidRPr="00333D58">
        <w:rPr>
          <w:rFonts w:ascii="Times New Roman" w:hAnsi="Times New Roman"/>
          <w:i/>
          <w:sz w:val="24"/>
        </w:rPr>
        <w:t xml:space="preserve">The Commonwealth v </w:t>
      </w:r>
      <w:r w:rsidRPr="00333D58">
        <w:rPr>
          <w:rFonts w:ascii="Times New Roman" w:hAnsi="Times New Roman"/>
          <w:i/>
          <w:sz w:val="24"/>
        </w:rPr>
        <w:t>Verwayen</w:t>
      </w:r>
      <w:r w:rsidRPr="00333D58">
        <w:rPr>
          <w:rFonts w:ascii="Times New Roman" w:hAnsi="Times New Roman"/>
          <w:sz w:val="24"/>
        </w:rPr>
        <w:t xml:space="preserve"> (1990) 170 CLR 394 at 404 per Mason </w:t>
      </w:r>
      <w:r w:rsidR="00BC4FF1" w:rsidRPr="00333D58">
        <w:rPr>
          <w:rFonts w:ascii="Times New Roman" w:hAnsi="Times New Roman"/>
          <w:sz w:val="24"/>
        </w:rPr>
        <w:t>C</w:t>
      </w:r>
      <w:r w:rsidRPr="00333D58">
        <w:rPr>
          <w:rFonts w:ascii="Times New Roman" w:hAnsi="Times New Roman"/>
          <w:sz w:val="24"/>
        </w:rPr>
        <w:t>J</w:t>
      </w:r>
      <w:r w:rsidR="00577D8C" w:rsidRPr="00333D58">
        <w:rPr>
          <w:rFonts w:ascii="Times New Roman" w:hAnsi="Times New Roman"/>
          <w:sz w:val="24"/>
        </w:rPr>
        <w:t>.</w:t>
      </w:r>
    </w:p>
  </w:footnote>
  <w:footnote w:id="7">
    <w:p w14:paraId="254D8147" w14:textId="2D190FC3" w:rsidR="005E4336" w:rsidRPr="00333D58" w:rsidRDefault="005E4336" w:rsidP="00333D58">
      <w:pPr>
        <w:pStyle w:val="FootnoteText"/>
        <w:spacing w:line="280" w:lineRule="exact"/>
        <w:ind w:right="0"/>
        <w:jc w:val="both"/>
        <w:rPr>
          <w:rFonts w:ascii="Times New Roman" w:hAnsi="Times New Roman"/>
          <w:sz w:val="24"/>
        </w:rPr>
      </w:pPr>
      <w:r w:rsidRPr="00333D58">
        <w:rPr>
          <w:rStyle w:val="FootnoteReference"/>
          <w:rFonts w:ascii="Times New Roman" w:hAnsi="Times New Roman"/>
          <w:sz w:val="22"/>
          <w:vertAlign w:val="baseline"/>
        </w:rPr>
        <w:footnoteRef/>
      </w:r>
      <w:r w:rsidRPr="00333D58">
        <w:rPr>
          <w:rFonts w:ascii="Times New Roman" w:hAnsi="Times New Roman"/>
          <w:sz w:val="24"/>
        </w:rPr>
        <w:t xml:space="preserve"> </w:t>
      </w:r>
      <w:r w:rsidRPr="00333D58">
        <w:rPr>
          <w:rFonts w:ascii="Times New Roman" w:hAnsi="Times New Roman"/>
          <w:sz w:val="24"/>
        </w:rPr>
        <w:tab/>
        <w:t>(1990) 170 CLR 394 at 40</w:t>
      </w:r>
      <w:r w:rsidR="00776A06" w:rsidRPr="00333D58">
        <w:rPr>
          <w:rFonts w:ascii="Times New Roman" w:hAnsi="Times New Roman"/>
          <w:sz w:val="24"/>
        </w:rPr>
        <w:t>5</w:t>
      </w:r>
      <w:r w:rsidR="00910F84" w:rsidRPr="00333D58">
        <w:rPr>
          <w:rFonts w:ascii="Times New Roman" w:hAnsi="Times New Roman"/>
          <w:sz w:val="24"/>
        </w:rPr>
        <w:t>.</w:t>
      </w:r>
    </w:p>
  </w:footnote>
  <w:footnote w:id="8">
    <w:p w14:paraId="2F178B5E" w14:textId="7B3E57BC" w:rsidR="00772339" w:rsidRPr="00333D58" w:rsidRDefault="00772339" w:rsidP="00333D58">
      <w:pPr>
        <w:pStyle w:val="FootnoteText"/>
        <w:spacing w:line="280" w:lineRule="exact"/>
        <w:ind w:right="0"/>
        <w:jc w:val="both"/>
        <w:rPr>
          <w:rFonts w:ascii="Times New Roman" w:hAnsi="Times New Roman"/>
          <w:sz w:val="24"/>
        </w:rPr>
      </w:pPr>
      <w:r w:rsidRPr="00333D58">
        <w:rPr>
          <w:rStyle w:val="FootnoteReference"/>
          <w:rFonts w:ascii="Times New Roman" w:hAnsi="Times New Roman"/>
          <w:sz w:val="22"/>
          <w:vertAlign w:val="baseline"/>
        </w:rPr>
        <w:footnoteRef/>
      </w:r>
      <w:r w:rsidRPr="00333D58">
        <w:rPr>
          <w:rFonts w:ascii="Times New Roman" w:hAnsi="Times New Roman"/>
          <w:sz w:val="24"/>
        </w:rPr>
        <w:t xml:space="preserve"> </w:t>
      </w:r>
      <w:r w:rsidRPr="00333D58">
        <w:rPr>
          <w:rFonts w:ascii="Times New Roman" w:hAnsi="Times New Roman"/>
          <w:sz w:val="24"/>
        </w:rPr>
        <w:tab/>
      </w:r>
      <w:r w:rsidR="00BC4FF1" w:rsidRPr="00333D58">
        <w:rPr>
          <w:rFonts w:ascii="Times New Roman" w:hAnsi="Times New Roman"/>
          <w:sz w:val="24"/>
        </w:rPr>
        <w:t>Section </w:t>
      </w:r>
      <w:r w:rsidRPr="00333D58">
        <w:rPr>
          <w:rFonts w:ascii="Times New Roman" w:hAnsi="Times New Roman"/>
          <w:sz w:val="24"/>
        </w:rPr>
        <w:t>5(6)</w:t>
      </w:r>
      <w:r w:rsidR="003134E7" w:rsidRPr="00333D58">
        <w:rPr>
          <w:rFonts w:ascii="Times New Roman" w:hAnsi="Times New Roman"/>
          <w:sz w:val="24"/>
        </w:rPr>
        <w:t xml:space="preserve"> provided</w:t>
      </w:r>
      <w:r w:rsidR="0052534F" w:rsidRPr="00333D58">
        <w:rPr>
          <w:rFonts w:ascii="Times New Roman" w:hAnsi="Times New Roman"/>
          <w:sz w:val="24"/>
        </w:rPr>
        <w:t>:</w:t>
      </w:r>
      <w:r w:rsidR="009B5EEC" w:rsidRPr="00333D58">
        <w:rPr>
          <w:rFonts w:ascii="Times New Roman" w:hAnsi="Times New Roman"/>
          <w:sz w:val="24"/>
        </w:rPr>
        <w:t xml:space="preserve"> "No action for damages for negligence …, where the damages claimed by the plaintiff consist of or include damages in respect of personal injuries to any person, shall be brought after the expiration of three years after the cause of action accrued</w:t>
      </w:r>
      <w:r w:rsidR="009C4624" w:rsidRPr="00333D58">
        <w:rPr>
          <w:rFonts w:ascii="Times New Roman" w:hAnsi="Times New Roman"/>
          <w:sz w:val="24"/>
        </w:rPr>
        <w:t>.</w:t>
      </w:r>
      <w:r w:rsidR="009B5EEC" w:rsidRPr="00333D58">
        <w:rPr>
          <w:rFonts w:ascii="Times New Roman" w:hAnsi="Times New Roman"/>
          <w:sz w:val="24"/>
        </w:rPr>
        <w:t>"</w:t>
      </w:r>
      <w:r w:rsidR="000B7FE7" w:rsidRPr="00333D58">
        <w:rPr>
          <w:rFonts w:ascii="Times New Roman" w:hAnsi="Times New Roman"/>
          <w:sz w:val="24"/>
        </w:rPr>
        <w:t xml:space="preserve"> </w:t>
      </w:r>
    </w:p>
  </w:footnote>
  <w:footnote w:id="9">
    <w:p w14:paraId="39160135" w14:textId="79E4B3D1" w:rsidR="008E1935" w:rsidRPr="00333D58" w:rsidRDefault="008E1935" w:rsidP="00333D58">
      <w:pPr>
        <w:pStyle w:val="FootnoteText"/>
        <w:spacing w:line="280" w:lineRule="exact"/>
        <w:ind w:right="0"/>
        <w:jc w:val="both"/>
        <w:rPr>
          <w:rFonts w:ascii="Times New Roman" w:hAnsi="Times New Roman"/>
          <w:sz w:val="24"/>
        </w:rPr>
      </w:pPr>
      <w:r w:rsidRPr="00333D58">
        <w:rPr>
          <w:rStyle w:val="FootnoteReference"/>
          <w:rFonts w:ascii="Times New Roman" w:hAnsi="Times New Roman"/>
          <w:sz w:val="22"/>
          <w:vertAlign w:val="baseline"/>
        </w:rPr>
        <w:footnoteRef/>
      </w:r>
      <w:r w:rsidRPr="00333D58">
        <w:rPr>
          <w:rFonts w:ascii="Times New Roman" w:hAnsi="Times New Roman"/>
          <w:sz w:val="24"/>
        </w:rPr>
        <w:t xml:space="preserve"> </w:t>
      </w:r>
      <w:r w:rsidRPr="00333D58">
        <w:rPr>
          <w:rFonts w:ascii="Times New Roman" w:hAnsi="Times New Roman"/>
          <w:sz w:val="24"/>
        </w:rPr>
        <w:tab/>
      </w:r>
      <w:r w:rsidR="00EC20D4" w:rsidRPr="00333D58">
        <w:rPr>
          <w:rFonts w:ascii="Times New Roman" w:hAnsi="Times New Roman"/>
          <w:sz w:val="24"/>
        </w:rPr>
        <w:t xml:space="preserve">Citing </w:t>
      </w:r>
      <w:r w:rsidR="001A17ED" w:rsidRPr="00333D58">
        <w:rPr>
          <w:rFonts w:ascii="Times New Roman" w:hAnsi="Times New Roman"/>
          <w:i/>
          <w:sz w:val="24"/>
        </w:rPr>
        <w:t xml:space="preserve">Dawkins v </w:t>
      </w:r>
      <w:r w:rsidR="00EC20D4" w:rsidRPr="00333D58">
        <w:rPr>
          <w:rFonts w:ascii="Times New Roman" w:hAnsi="Times New Roman"/>
          <w:i/>
          <w:sz w:val="24"/>
        </w:rPr>
        <w:t xml:space="preserve">Lord </w:t>
      </w:r>
      <w:r w:rsidR="001A17ED" w:rsidRPr="00333D58">
        <w:rPr>
          <w:rFonts w:ascii="Times New Roman" w:hAnsi="Times New Roman"/>
          <w:i/>
          <w:sz w:val="24"/>
        </w:rPr>
        <w:t>Penr</w:t>
      </w:r>
      <w:r w:rsidR="00C90C3F" w:rsidRPr="00333D58">
        <w:rPr>
          <w:rFonts w:ascii="Times New Roman" w:hAnsi="Times New Roman"/>
          <w:i/>
          <w:sz w:val="24"/>
        </w:rPr>
        <w:t>h</w:t>
      </w:r>
      <w:r w:rsidR="001A17ED" w:rsidRPr="00333D58">
        <w:rPr>
          <w:rFonts w:ascii="Times New Roman" w:hAnsi="Times New Roman"/>
          <w:i/>
          <w:sz w:val="24"/>
        </w:rPr>
        <w:t>yn</w:t>
      </w:r>
      <w:r w:rsidR="001A17ED" w:rsidRPr="00333D58">
        <w:rPr>
          <w:rFonts w:ascii="Times New Roman" w:hAnsi="Times New Roman"/>
          <w:sz w:val="24"/>
        </w:rPr>
        <w:t xml:space="preserve"> (1878) </w:t>
      </w:r>
      <w:r w:rsidR="00D76142" w:rsidRPr="00333D58">
        <w:rPr>
          <w:rFonts w:ascii="Times New Roman" w:hAnsi="Times New Roman"/>
          <w:sz w:val="24"/>
        </w:rPr>
        <w:t xml:space="preserve">4 </w:t>
      </w:r>
      <w:r w:rsidR="001A17ED" w:rsidRPr="00333D58">
        <w:rPr>
          <w:rFonts w:ascii="Times New Roman" w:hAnsi="Times New Roman"/>
          <w:sz w:val="24"/>
        </w:rPr>
        <w:t>App Cas 51</w:t>
      </w:r>
      <w:r w:rsidR="00DB1890" w:rsidRPr="00333D58">
        <w:rPr>
          <w:rFonts w:ascii="Times New Roman" w:hAnsi="Times New Roman"/>
          <w:sz w:val="24"/>
        </w:rPr>
        <w:t xml:space="preserve"> at</w:t>
      </w:r>
      <w:r w:rsidR="001A17ED" w:rsidRPr="00333D58">
        <w:rPr>
          <w:rFonts w:ascii="Times New Roman" w:hAnsi="Times New Roman"/>
          <w:sz w:val="24"/>
        </w:rPr>
        <w:t xml:space="preserve"> 58-59; </w:t>
      </w:r>
      <w:r w:rsidR="001A17ED" w:rsidRPr="00333D58">
        <w:rPr>
          <w:rFonts w:ascii="Times New Roman" w:hAnsi="Times New Roman"/>
          <w:i/>
          <w:sz w:val="24"/>
        </w:rPr>
        <w:t xml:space="preserve">The </w:t>
      </w:r>
      <w:r w:rsidR="006C7287" w:rsidRPr="00333D58">
        <w:rPr>
          <w:rFonts w:ascii="Times New Roman" w:hAnsi="Times New Roman"/>
          <w:i/>
          <w:sz w:val="24"/>
        </w:rPr>
        <w:t>Llandovery Castle</w:t>
      </w:r>
      <w:r w:rsidR="006C7287" w:rsidRPr="00333D58">
        <w:rPr>
          <w:rFonts w:ascii="Times New Roman" w:hAnsi="Times New Roman"/>
          <w:sz w:val="24"/>
        </w:rPr>
        <w:t xml:space="preserve"> </w:t>
      </w:r>
      <w:r w:rsidR="00DB1890" w:rsidRPr="00333D58">
        <w:rPr>
          <w:rFonts w:ascii="Times New Roman" w:hAnsi="Times New Roman"/>
          <w:sz w:val="24"/>
        </w:rPr>
        <w:t>[</w:t>
      </w:r>
      <w:r w:rsidR="006C7287" w:rsidRPr="00333D58">
        <w:rPr>
          <w:rFonts w:ascii="Times New Roman" w:hAnsi="Times New Roman"/>
          <w:sz w:val="24"/>
        </w:rPr>
        <w:t>1920</w:t>
      </w:r>
      <w:r w:rsidR="00DB1890" w:rsidRPr="00333D58">
        <w:rPr>
          <w:rFonts w:ascii="Times New Roman" w:hAnsi="Times New Roman"/>
          <w:sz w:val="24"/>
        </w:rPr>
        <w:t xml:space="preserve">] </w:t>
      </w:r>
      <w:r w:rsidR="006C7287" w:rsidRPr="00333D58">
        <w:rPr>
          <w:rFonts w:ascii="Times New Roman" w:hAnsi="Times New Roman"/>
          <w:sz w:val="24"/>
        </w:rPr>
        <w:t xml:space="preserve">P 119 at 124; </w:t>
      </w:r>
      <w:r w:rsidR="006C7287" w:rsidRPr="00333D58">
        <w:rPr>
          <w:rFonts w:ascii="Times New Roman" w:hAnsi="Times New Roman"/>
          <w:i/>
          <w:sz w:val="24"/>
        </w:rPr>
        <w:t>Dismore v Milton</w:t>
      </w:r>
      <w:r w:rsidR="006C7287" w:rsidRPr="00333D58">
        <w:rPr>
          <w:rFonts w:ascii="Times New Roman" w:hAnsi="Times New Roman"/>
          <w:sz w:val="24"/>
        </w:rPr>
        <w:t xml:space="preserve"> </w:t>
      </w:r>
      <w:r w:rsidR="00624110" w:rsidRPr="00333D58">
        <w:rPr>
          <w:rFonts w:ascii="Times New Roman" w:hAnsi="Times New Roman"/>
          <w:sz w:val="24"/>
        </w:rPr>
        <w:t>[</w:t>
      </w:r>
      <w:r w:rsidR="006C7287" w:rsidRPr="00333D58">
        <w:rPr>
          <w:rFonts w:ascii="Times New Roman" w:hAnsi="Times New Roman"/>
          <w:sz w:val="24"/>
        </w:rPr>
        <w:t>1938</w:t>
      </w:r>
      <w:r w:rsidR="00624110" w:rsidRPr="00333D58">
        <w:rPr>
          <w:rFonts w:ascii="Times New Roman" w:hAnsi="Times New Roman"/>
          <w:sz w:val="24"/>
        </w:rPr>
        <w:t xml:space="preserve">] </w:t>
      </w:r>
      <w:r w:rsidR="006C7287" w:rsidRPr="00333D58">
        <w:rPr>
          <w:rFonts w:ascii="Times New Roman" w:hAnsi="Times New Roman"/>
          <w:sz w:val="24"/>
        </w:rPr>
        <w:t>3 A</w:t>
      </w:r>
      <w:r w:rsidR="009A5060" w:rsidRPr="00333D58">
        <w:rPr>
          <w:rFonts w:ascii="Times New Roman" w:hAnsi="Times New Roman"/>
          <w:sz w:val="24"/>
        </w:rPr>
        <w:t xml:space="preserve">ll ER 762; </w:t>
      </w:r>
      <w:r w:rsidR="009A5060" w:rsidRPr="00333D58">
        <w:rPr>
          <w:rFonts w:ascii="Times New Roman" w:hAnsi="Times New Roman"/>
          <w:i/>
          <w:sz w:val="24"/>
        </w:rPr>
        <w:t xml:space="preserve">Ronex Properties </w:t>
      </w:r>
      <w:r w:rsidR="00BE5B38" w:rsidRPr="00333D58">
        <w:rPr>
          <w:rFonts w:ascii="Times New Roman" w:hAnsi="Times New Roman"/>
          <w:i/>
          <w:sz w:val="24"/>
        </w:rPr>
        <w:t xml:space="preserve">Ltd </w:t>
      </w:r>
      <w:r w:rsidR="009A5060" w:rsidRPr="00333D58">
        <w:rPr>
          <w:rFonts w:ascii="Times New Roman" w:hAnsi="Times New Roman"/>
          <w:i/>
          <w:sz w:val="24"/>
        </w:rPr>
        <w:t xml:space="preserve">v John Laing Construction Ltd </w:t>
      </w:r>
      <w:r w:rsidR="00624110" w:rsidRPr="00333D58">
        <w:rPr>
          <w:rFonts w:ascii="Times New Roman" w:hAnsi="Times New Roman"/>
          <w:sz w:val="24"/>
        </w:rPr>
        <w:t>[</w:t>
      </w:r>
      <w:r w:rsidR="009A5060" w:rsidRPr="00333D58">
        <w:rPr>
          <w:rFonts w:ascii="Times New Roman" w:hAnsi="Times New Roman"/>
          <w:sz w:val="24"/>
        </w:rPr>
        <w:t>1983</w:t>
      </w:r>
      <w:r w:rsidR="00624110" w:rsidRPr="00333D58">
        <w:rPr>
          <w:rFonts w:ascii="Times New Roman" w:hAnsi="Times New Roman"/>
          <w:sz w:val="24"/>
        </w:rPr>
        <w:t xml:space="preserve">] </w:t>
      </w:r>
      <w:r w:rsidR="009A5060" w:rsidRPr="00333D58">
        <w:rPr>
          <w:rFonts w:ascii="Times New Roman" w:hAnsi="Times New Roman"/>
          <w:sz w:val="24"/>
        </w:rPr>
        <w:t xml:space="preserve">QB 398; </w:t>
      </w:r>
      <w:r w:rsidR="009A5060" w:rsidRPr="00333D58">
        <w:rPr>
          <w:rFonts w:ascii="Times New Roman" w:hAnsi="Times New Roman"/>
          <w:i/>
          <w:sz w:val="24"/>
        </w:rPr>
        <w:t>K</w:t>
      </w:r>
      <w:r w:rsidR="009D6772" w:rsidRPr="00333D58">
        <w:rPr>
          <w:rFonts w:ascii="Times New Roman" w:hAnsi="Times New Roman"/>
          <w:i/>
          <w:sz w:val="24"/>
        </w:rPr>
        <w:t>e</w:t>
      </w:r>
      <w:r w:rsidR="009A5060" w:rsidRPr="00333D58">
        <w:rPr>
          <w:rFonts w:ascii="Times New Roman" w:hAnsi="Times New Roman"/>
          <w:i/>
          <w:sz w:val="24"/>
        </w:rPr>
        <w:t>tt</w:t>
      </w:r>
      <w:r w:rsidR="009D6772" w:rsidRPr="00333D58">
        <w:rPr>
          <w:rFonts w:ascii="Times New Roman" w:hAnsi="Times New Roman"/>
          <w:i/>
          <w:sz w:val="24"/>
        </w:rPr>
        <w:t>e</w:t>
      </w:r>
      <w:r w:rsidR="009A5060" w:rsidRPr="00333D58">
        <w:rPr>
          <w:rFonts w:ascii="Times New Roman" w:hAnsi="Times New Roman"/>
          <w:i/>
          <w:sz w:val="24"/>
        </w:rPr>
        <w:t xml:space="preserve">man v Hansel Properties Ltd </w:t>
      </w:r>
      <w:r w:rsidR="00624110" w:rsidRPr="00333D58">
        <w:rPr>
          <w:rFonts w:ascii="Times New Roman" w:hAnsi="Times New Roman"/>
          <w:sz w:val="24"/>
        </w:rPr>
        <w:t>[</w:t>
      </w:r>
      <w:r w:rsidR="009A5060" w:rsidRPr="00333D58">
        <w:rPr>
          <w:rFonts w:ascii="Times New Roman" w:hAnsi="Times New Roman"/>
          <w:sz w:val="24"/>
        </w:rPr>
        <w:t>1987</w:t>
      </w:r>
      <w:r w:rsidR="00624110" w:rsidRPr="00333D58">
        <w:rPr>
          <w:rFonts w:ascii="Times New Roman" w:hAnsi="Times New Roman"/>
          <w:sz w:val="24"/>
        </w:rPr>
        <w:t>]</w:t>
      </w:r>
      <w:r w:rsidR="009A5060" w:rsidRPr="00333D58">
        <w:rPr>
          <w:rFonts w:ascii="Times New Roman" w:hAnsi="Times New Roman"/>
          <w:sz w:val="24"/>
        </w:rPr>
        <w:t xml:space="preserve"> AC 189</w:t>
      </w:r>
      <w:r w:rsidR="00816F7C" w:rsidRPr="00333D58">
        <w:rPr>
          <w:rFonts w:ascii="Times New Roman" w:hAnsi="Times New Roman"/>
          <w:sz w:val="24"/>
        </w:rPr>
        <w:t xml:space="preserve"> at</w:t>
      </w:r>
      <w:r w:rsidR="009A5060" w:rsidRPr="00333D58">
        <w:rPr>
          <w:rFonts w:ascii="Times New Roman" w:hAnsi="Times New Roman"/>
          <w:sz w:val="24"/>
        </w:rPr>
        <w:t xml:space="preserve"> 219.</w:t>
      </w:r>
    </w:p>
  </w:footnote>
  <w:footnote w:id="10">
    <w:p w14:paraId="6A93AECD" w14:textId="5541B3F0" w:rsidR="001113C9" w:rsidRPr="00333D58" w:rsidRDefault="001113C9" w:rsidP="00333D58">
      <w:pPr>
        <w:pStyle w:val="FootnoteText"/>
        <w:spacing w:line="280" w:lineRule="exact"/>
        <w:ind w:right="0"/>
        <w:jc w:val="both"/>
        <w:rPr>
          <w:rFonts w:ascii="Times New Roman" w:hAnsi="Times New Roman"/>
          <w:sz w:val="24"/>
        </w:rPr>
      </w:pPr>
      <w:r w:rsidRPr="00333D58">
        <w:rPr>
          <w:rStyle w:val="FootnoteReference"/>
          <w:rFonts w:ascii="Times New Roman" w:hAnsi="Times New Roman"/>
          <w:sz w:val="22"/>
          <w:vertAlign w:val="baseline"/>
        </w:rPr>
        <w:footnoteRef/>
      </w:r>
      <w:r w:rsidRPr="00333D58">
        <w:rPr>
          <w:rFonts w:ascii="Times New Roman" w:hAnsi="Times New Roman"/>
          <w:sz w:val="24"/>
        </w:rPr>
        <w:t xml:space="preserve"> </w:t>
      </w:r>
      <w:r w:rsidRPr="00333D58">
        <w:rPr>
          <w:rFonts w:ascii="Times New Roman" w:hAnsi="Times New Roman"/>
          <w:sz w:val="24"/>
        </w:rPr>
        <w:tab/>
      </w:r>
      <w:r w:rsidRPr="00333D58">
        <w:rPr>
          <w:rFonts w:ascii="Times New Roman" w:hAnsi="Times New Roman"/>
          <w:i/>
          <w:sz w:val="24"/>
        </w:rPr>
        <w:t xml:space="preserve">Georgiadis v </w:t>
      </w:r>
      <w:r w:rsidR="00F91E3E" w:rsidRPr="00333D58">
        <w:rPr>
          <w:rFonts w:ascii="Times New Roman" w:hAnsi="Times New Roman"/>
          <w:i/>
          <w:sz w:val="24"/>
        </w:rPr>
        <w:t>Australian and Overseas Telecommunications Corporation</w:t>
      </w:r>
      <w:r w:rsidR="00F91E3E" w:rsidRPr="00333D58">
        <w:rPr>
          <w:rFonts w:ascii="Times New Roman" w:hAnsi="Times New Roman"/>
          <w:sz w:val="24"/>
        </w:rPr>
        <w:t xml:space="preserve"> </w:t>
      </w:r>
      <w:r w:rsidRPr="00333D58">
        <w:rPr>
          <w:rFonts w:ascii="Times New Roman" w:hAnsi="Times New Roman"/>
          <w:sz w:val="24"/>
        </w:rPr>
        <w:t>(1994) 179 CLR 297</w:t>
      </w:r>
      <w:r w:rsidR="00E53C42" w:rsidRPr="00333D58">
        <w:rPr>
          <w:rFonts w:ascii="Times New Roman" w:hAnsi="Times New Roman"/>
          <w:sz w:val="24"/>
        </w:rPr>
        <w:t xml:space="preserve"> at 30</w:t>
      </w:r>
      <w:r w:rsidR="00140CAF" w:rsidRPr="00333D58">
        <w:rPr>
          <w:rFonts w:ascii="Times New Roman" w:hAnsi="Times New Roman"/>
          <w:sz w:val="24"/>
        </w:rPr>
        <w:t>5</w:t>
      </w:r>
      <w:r w:rsidRPr="00333D58">
        <w:rPr>
          <w:rFonts w:ascii="Times New Roman" w:hAnsi="Times New Roman"/>
          <w:sz w:val="24"/>
        </w:rPr>
        <w:t xml:space="preserve">; </w:t>
      </w:r>
      <w:r w:rsidRPr="00333D58">
        <w:rPr>
          <w:rFonts w:ascii="Times New Roman" w:hAnsi="Times New Roman"/>
          <w:i/>
          <w:sz w:val="24"/>
        </w:rPr>
        <w:t>Berowra Holdings Pty Ltd v Gordon</w:t>
      </w:r>
      <w:r w:rsidRPr="00333D58">
        <w:rPr>
          <w:rFonts w:ascii="Times New Roman" w:hAnsi="Times New Roman"/>
          <w:sz w:val="24"/>
        </w:rPr>
        <w:t xml:space="preserve"> (2006) </w:t>
      </w:r>
      <w:r w:rsidR="00AE15EE" w:rsidRPr="00333D58">
        <w:rPr>
          <w:rFonts w:ascii="Times New Roman" w:hAnsi="Times New Roman"/>
          <w:sz w:val="24"/>
        </w:rPr>
        <w:t xml:space="preserve">225 </w:t>
      </w:r>
      <w:r w:rsidRPr="00333D58">
        <w:rPr>
          <w:rFonts w:ascii="Times New Roman" w:hAnsi="Times New Roman"/>
          <w:sz w:val="24"/>
        </w:rPr>
        <w:t xml:space="preserve">CLR 364 </w:t>
      </w:r>
      <w:r w:rsidR="00CA5B40" w:rsidRPr="00333D58">
        <w:rPr>
          <w:rFonts w:ascii="Times New Roman" w:hAnsi="Times New Roman"/>
          <w:sz w:val="24"/>
        </w:rPr>
        <w:t xml:space="preserve">at </w:t>
      </w:r>
      <w:r w:rsidR="004F1443" w:rsidRPr="00333D58">
        <w:rPr>
          <w:rFonts w:ascii="Times New Roman" w:hAnsi="Times New Roman"/>
          <w:sz w:val="24"/>
        </w:rPr>
        <w:t xml:space="preserve">372 </w:t>
      </w:r>
      <w:r w:rsidRPr="00333D58">
        <w:rPr>
          <w:rFonts w:ascii="Times New Roman" w:hAnsi="Times New Roman"/>
          <w:sz w:val="24"/>
        </w:rPr>
        <w:t>[20],</w:t>
      </w:r>
      <w:r w:rsidR="00EA716C" w:rsidRPr="00333D58">
        <w:rPr>
          <w:rFonts w:ascii="Times New Roman" w:hAnsi="Times New Roman"/>
          <w:sz w:val="24"/>
        </w:rPr>
        <w:t xml:space="preserve"> 373</w:t>
      </w:r>
      <w:r w:rsidR="00634114" w:rsidRPr="00333D58">
        <w:rPr>
          <w:rFonts w:ascii="Times New Roman" w:hAnsi="Times New Roman"/>
          <w:sz w:val="24"/>
        </w:rPr>
        <w:t>-374</w:t>
      </w:r>
      <w:r w:rsidRPr="00333D58">
        <w:rPr>
          <w:rFonts w:ascii="Times New Roman" w:hAnsi="Times New Roman"/>
          <w:sz w:val="24"/>
        </w:rPr>
        <w:t xml:space="preserve"> [24]</w:t>
      </w:r>
      <w:r w:rsidR="00634114" w:rsidRPr="00333D58">
        <w:rPr>
          <w:rFonts w:ascii="Times New Roman" w:hAnsi="Times New Roman"/>
          <w:sz w:val="24"/>
        </w:rPr>
        <w:t>-</w:t>
      </w:r>
      <w:r w:rsidRPr="00333D58">
        <w:rPr>
          <w:rFonts w:ascii="Times New Roman" w:hAnsi="Times New Roman"/>
          <w:sz w:val="24"/>
        </w:rPr>
        <w:t xml:space="preserve">[25]; </w:t>
      </w:r>
      <w:r w:rsidRPr="00333D58">
        <w:rPr>
          <w:rFonts w:ascii="Times New Roman" w:hAnsi="Times New Roman"/>
          <w:i/>
          <w:sz w:val="24"/>
        </w:rPr>
        <w:t>Brisbane City Council v Amos</w:t>
      </w:r>
      <w:r w:rsidRPr="00333D58">
        <w:rPr>
          <w:rFonts w:ascii="Times New Roman" w:hAnsi="Times New Roman"/>
          <w:sz w:val="24"/>
        </w:rPr>
        <w:t xml:space="preserve"> (2019) 266 CLR 593 at </w:t>
      </w:r>
      <w:r w:rsidR="00801A26" w:rsidRPr="00333D58">
        <w:rPr>
          <w:rFonts w:ascii="Times New Roman" w:hAnsi="Times New Roman"/>
          <w:sz w:val="24"/>
        </w:rPr>
        <w:t>61</w:t>
      </w:r>
      <w:r w:rsidR="00CA7157" w:rsidRPr="00333D58">
        <w:rPr>
          <w:rFonts w:ascii="Times New Roman" w:hAnsi="Times New Roman"/>
          <w:sz w:val="24"/>
        </w:rPr>
        <w:t>5-616</w:t>
      </w:r>
      <w:r w:rsidR="00801A26" w:rsidRPr="00333D58">
        <w:rPr>
          <w:rFonts w:ascii="Times New Roman" w:hAnsi="Times New Roman"/>
          <w:sz w:val="24"/>
        </w:rPr>
        <w:t xml:space="preserve"> </w:t>
      </w:r>
      <w:r w:rsidRPr="00333D58">
        <w:rPr>
          <w:rFonts w:ascii="Times New Roman" w:hAnsi="Times New Roman"/>
          <w:sz w:val="24"/>
        </w:rPr>
        <w:t xml:space="preserve">[49]; </w:t>
      </w:r>
      <w:r w:rsidRPr="00333D58">
        <w:rPr>
          <w:rFonts w:ascii="Times New Roman" w:hAnsi="Times New Roman"/>
          <w:i/>
          <w:sz w:val="24"/>
        </w:rPr>
        <w:t>Minister for Home Affairs v DMA18</w:t>
      </w:r>
      <w:r w:rsidRPr="00333D58">
        <w:rPr>
          <w:rFonts w:ascii="Times New Roman" w:hAnsi="Times New Roman"/>
          <w:sz w:val="24"/>
        </w:rPr>
        <w:t xml:space="preserve"> </w:t>
      </w:r>
      <w:r w:rsidR="009C42C0" w:rsidRPr="00333D58">
        <w:rPr>
          <w:rFonts w:ascii="Times New Roman" w:hAnsi="Times New Roman"/>
          <w:sz w:val="24"/>
        </w:rPr>
        <w:t>(2020) 95 ALJR 14</w:t>
      </w:r>
      <w:r w:rsidR="008D76E1" w:rsidRPr="00333D58">
        <w:rPr>
          <w:rFonts w:ascii="Times New Roman" w:hAnsi="Times New Roman"/>
          <w:sz w:val="24"/>
        </w:rPr>
        <w:t xml:space="preserve"> </w:t>
      </w:r>
      <w:r w:rsidRPr="00333D58">
        <w:rPr>
          <w:rFonts w:ascii="Times New Roman" w:hAnsi="Times New Roman"/>
          <w:sz w:val="24"/>
        </w:rPr>
        <w:t xml:space="preserve">at </w:t>
      </w:r>
      <w:r w:rsidR="00BC3F64" w:rsidRPr="00333D58">
        <w:rPr>
          <w:rFonts w:ascii="Times New Roman" w:hAnsi="Times New Roman"/>
          <w:sz w:val="24"/>
        </w:rPr>
        <w:t xml:space="preserve">18 </w:t>
      </w:r>
      <w:r w:rsidRPr="00333D58">
        <w:rPr>
          <w:rFonts w:ascii="Times New Roman" w:hAnsi="Times New Roman"/>
          <w:sz w:val="24"/>
        </w:rPr>
        <w:t xml:space="preserve">[4], </w:t>
      </w:r>
      <w:r w:rsidR="00D21407" w:rsidRPr="00333D58">
        <w:rPr>
          <w:rFonts w:ascii="Times New Roman" w:hAnsi="Times New Roman"/>
          <w:sz w:val="24"/>
        </w:rPr>
        <w:t xml:space="preserve">23 </w:t>
      </w:r>
      <w:r w:rsidRPr="00333D58">
        <w:rPr>
          <w:rFonts w:ascii="Times New Roman" w:hAnsi="Times New Roman"/>
          <w:sz w:val="24"/>
        </w:rPr>
        <w:t>[30]</w:t>
      </w:r>
      <w:r w:rsidR="00F91E3E" w:rsidRPr="00333D58">
        <w:rPr>
          <w:rFonts w:ascii="Times New Roman" w:hAnsi="Times New Roman"/>
          <w:sz w:val="24"/>
        </w:rPr>
        <w:t xml:space="preserve">; 385 ALR 16 at 19, 26. </w:t>
      </w:r>
    </w:p>
  </w:footnote>
  <w:footnote w:id="11">
    <w:p w14:paraId="73468D4B" w14:textId="4E1444FE" w:rsidR="00230709" w:rsidRPr="00333D58" w:rsidRDefault="00230709" w:rsidP="00333D58">
      <w:pPr>
        <w:pStyle w:val="FootnoteText"/>
        <w:spacing w:line="280" w:lineRule="exact"/>
        <w:ind w:right="0"/>
        <w:jc w:val="both"/>
        <w:rPr>
          <w:rFonts w:ascii="Times New Roman" w:hAnsi="Times New Roman"/>
          <w:sz w:val="24"/>
        </w:rPr>
      </w:pPr>
      <w:r w:rsidRPr="00333D58">
        <w:rPr>
          <w:rStyle w:val="FootnoteReference"/>
          <w:rFonts w:ascii="Times New Roman" w:hAnsi="Times New Roman"/>
          <w:sz w:val="22"/>
          <w:vertAlign w:val="baseline"/>
        </w:rPr>
        <w:footnoteRef/>
      </w:r>
      <w:r w:rsidRPr="00333D58">
        <w:rPr>
          <w:rFonts w:ascii="Times New Roman" w:hAnsi="Times New Roman"/>
          <w:sz w:val="24"/>
        </w:rPr>
        <w:t xml:space="preserve"> </w:t>
      </w:r>
      <w:r w:rsidRPr="00333D58">
        <w:rPr>
          <w:rFonts w:ascii="Times New Roman" w:hAnsi="Times New Roman"/>
          <w:sz w:val="24"/>
        </w:rPr>
        <w:tab/>
      </w:r>
      <w:r w:rsidR="007224CC" w:rsidRPr="00333D58">
        <w:rPr>
          <w:rFonts w:ascii="Times New Roman" w:hAnsi="Times New Roman"/>
          <w:i/>
          <w:sz w:val="24"/>
        </w:rPr>
        <w:t xml:space="preserve">The Commonwealth v </w:t>
      </w:r>
      <w:r w:rsidRPr="00333D58">
        <w:rPr>
          <w:rFonts w:ascii="Times New Roman" w:hAnsi="Times New Roman"/>
          <w:i/>
          <w:sz w:val="24"/>
        </w:rPr>
        <w:t>Verwayen</w:t>
      </w:r>
      <w:r w:rsidRPr="00333D58">
        <w:rPr>
          <w:rFonts w:ascii="Times New Roman" w:hAnsi="Times New Roman"/>
          <w:sz w:val="24"/>
        </w:rPr>
        <w:t xml:space="preserve"> </w:t>
      </w:r>
      <w:r w:rsidR="007224CC" w:rsidRPr="00333D58">
        <w:rPr>
          <w:rFonts w:ascii="Times New Roman" w:hAnsi="Times New Roman"/>
          <w:sz w:val="24"/>
        </w:rPr>
        <w:t xml:space="preserve">(1990) 170 CLR 394 </w:t>
      </w:r>
      <w:r w:rsidRPr="00333D58">
        <w:rPr>
          <w:rFonts w:ascii="Times New Roman" w:hAnsi="Times New Roman"/>
          <w:sz w:val="24"/>
        </w:rPr>
        <w:t>at 405.</w:t>
      </w:r>
    </w:p>
  </w:footnote>
  <w:footnote w:id="12">
    <w:p w14:paraId="0270E040" w14:textId="3D9167EB" w:rsidR="003E6AD5" w:rsidRPr="00333D58" w:rsidRDefault="003E6AD5" w:rsidP="00333D58">
      <w:pPr>
        <w:pStyle w:val="FootnoteText"/>
        <w:spacing w:line="280" w:lineRule="exact"/>
        <w:ind w:right="0"/>
        <w:jc w:val="both"/>
        <w:rPr>
          <w:rFonts w:ascii="Times New Roman" w:hAnsi="Times New Roman"/>
          <w:sz w:val="24"/>
        </w:rPr>
      </w:pPr>
      <w:r w:rsidRPr="00333D58">
        <w:rPr>
          <w:rStyle w:val="FootnoteReference"/>
          <w:rFonts w:ascii="Times New Roman" w:hAnsi="Times New Roman"/>
          <w:sz w:val="22"/>
          <w:vertAlign w:val="baseline"/>
        </w:rPr>
        <w:footnoteRef/>
      </w:r>
      <w:r w:rsidRPr="00333D58">
        <w:rPr>
          <w:rFonts w:ascii="Times New Roman" w:hAnsi="Times New Roman"/>
          <w:sz w:val="24"/>
        </w:rPr>
        <w:t xml:space="preserve"> </w:t>
      </w:r>
      <w:r w:rsidRPr="00333D58">
        <w:rPr>
          <w:rFonts w:ascii="Times New Roman" w:hAnsi="Times New Roman"/>
          <w:sz w:val="24"/>
        </w:rPr>
        <w:tab/>
        <w:t>(201</w:t>
      </w:r>
      <w:r w:rsidR="003758B0" w:rsidRPr="00333D58">
        <w:rPr>
          <w:rFonts w:ascii="Times New Roman" w:hAnsi="Times New Roman"/>
          <w:sz w:val="24"/>
        </w:rPr>
        <w:t>2</w:t>
      </w:r>
      <w:r w:rsidRPr="00333D58">
        <w:rPr>
          <w:rFonts w:ascii="Times New Roman" w:hAnsi="Times New Roman"/>
          <w:sz w:val="24"/>
        </w:rPr>
        <w:t>) 247 CLR 129</w:t>
      </w:r>
      <w:r w:rsidR="005E062E" w:rsidRPr="00333D58">
        <w:rPr>
          <w:rFonts w:ascii="Times New Roman" w:hAnsi="Times New Roman"/>
          <w:sz w:val="24"/>
        </w:rPr>
        <w:t xml:space="preserve"> at</w:t>
      </w:r>
      <w:r w:rsidRPr="00333D58">
        <w:rPr>
          <w:rFonts w:ascii="Times New Roman" w:hAnsi="Times New Roman"/>
          <w:sz w:val="24"/>
        </w:rPr>
        <w:t xml:space="preserve"> 143-144</w:t>
      </w:r>
      <w:r w:rsidR="00563DA8" w:rsidRPr="00333D58">
        <w:rPr>
          <w:rFonts w:ascii="Times New Roman" w:hAnsi="Times New Roman"/>
          <w:sz w:val="24"/>
        </w:rPr>
        <w:t xml:space="preserve"> </w:t>
      </w:r>
      <w:r w:rsidR="000A0776" w:rsidRPr="00333D58">
        <w:rPr>
          <w:rFonts w:ascii="Times New Roman" w:hAnsi="Times New Roman"/>
          <w:sz w:val="24"/>
        </w:rPr>
        <w:t>[46]</w:t>
      </w:r>
      <w:r w:rsidR="00E15B6A" w:rsidRPr="00333D58">
        <w:rPr>
          <w:rFonts w:ascii="Times New Roman" w:hAnsi="Times New Roman"/>
          <w:sz w:val="24"/>
        </w:rPr>
        <w:t xml:space="preserve"> per French CJ, Crennan, Kiefel and Bell JJ.</w:t>
      </w:r>
    </w:p>
  </w:footnote>
  <w:footnote w:id="13">
    <w:p w14:paraId="1199D26D" w14:textId="0E4C6A3B" w:rsidR="00D13B51" w:rsidRPr="00333D58" w:rsidRDefault="00D13B51" w:rsidP="00333D58">
      <w:pPr>
        <w:pStyle w:val="FootnoteText"/>
        <w:spacing w:line="280" w:lineRule="exact"/>
        <w:ind w:right="0"/>
        <w:jc w:val="both"/>
        <w:rPr>
          <w:rFonts w:ascii="Times New Roman" w:hAnsi="Times New Roman"/>
          <w:sz w:val="24"/>
        </w:rPr>
      </w:pPr>
      <w:r w:rsidRPr="00333D58">
        <w:rPr>
          <w:rStyle w:val="FootnoteReference"/>
          <w:rFonts w:ascii="Times New Roman" w:hAnsi="Times New Roman"/>
          <w:sz w:val="22"/>
          <w:vertAlign w:val="baseline"/>
        </w:rPr>
        <w:footnoteRef/>
      </w:r>
      <w:r w:rsidRPr="00333D58">
        <w:rPr>
          <w:rFonts w:ascii="Times New Roman" w:hAnsi="Times New Roman"/>
          <w:sz w:val="24"/>
        </w:rPr>
        <w:t xml:space="preserve"> </w:t>
      </w:r>
      <w:r w:rsidRPr="00333D58">
        <w:rPr>
          <w:rFonts w:ascii="Times New Roman" w:hAnsi="Times New Roman"/>
          <w:sz w:val="24"/>
        </w:rPr>
        <w:tab/>
      </w:r>
      <w:r w:rsidRPr="00333D58">
        <w:rPr>
          <w:rFonts w:ascii="Times New Roman" w:hAnsi="Times New Roman"/>
          <w:i/>
          <w:sz w:val="24"/>
        </w:rPr>
        <w:t>Spoor v Price</w:t>
      </w:r>
      <w:r w:rsidRPr="00333D58">
        <w:rPr>
          <w:rFonts w:ascii="Times New Roman" w:hAnsi="Times New Roman"/>
          <w:sz w:val="24"/>
        </w:rPr>
        <w:t xml:space="preserve"> </w:t>
      </w:r>
      <w:r w:rsidR="00914300" w:rsidRPr="00333D58">
        <w:rPr>
          <w:rFonts w:ascii="Times New Roman" w:hAnsi="Times New Roman"/>
          <w:sz w:val="24"/>
        </w:rPr>
        <w:t>(</w:t>
      </w:r>
      <w:r w:rsidR="00E35DB3" w:rsidRPr="00333D58">
        <w:rPr>
          <w:rFonts w:ascii="Times New Roman" w:hAnsi="Times New Roman"/>
          <w:sz w:val="24"/>
        </w:rPr>
        <w:t>2019</w:t>
      </w:r>
      <w:r w:rsidR="00914300" w:rsidRPr="00333D58">
        <w:rPr>
          <w:rFonts w:ascii="Times New Roman" w:hAnsi="Times New Roman"/>
          <w:sz w:val="24"/>
        </w:rPr>
        <w:t xml:space="preserve">) 3 QR 176 </w:t>
      </w:r>
      <w:r w:rsidRPr="00333D58">
        <w:rPr>
          <w:rFonts w:ascii="Times New Roman" w:hAnsi="Times New Roman"/>
          <w:sz w:val="24"/>
        </w:rPr>
        <w:t xml:space="preserve">at </w:t>
      </w:r>
      <w:r w:rsidR="00587E67" w:rsidRPr="00333D58">
        <w:rPr>
          <w:rFonts w:ascii="Times New Roman" w:hAnsi="Times New Roman"/>
          <w:sz w:val="24"/>
        </w:rPr>
        <w:t xml:space="preserve">188 </w:t>
      </w:r>
      <w:r w:rsidRPr="00333D58">
        <w:rPr>
          <w:rFonts w:ascii="Times New Roman" w:hAnsi="Times New Roman"/>
          <w:sz w:val="24"/>
        </w:rPr>
        <w:t xml:space="preserve">[37] </w:t>
      </w:r>
      <w:r w:rsidR="00D225B5" w:rsidRPr="00333D58">
        <w:rPr>
          <w:rFonts w:ascii="Times New Roman" w:hAnsi="Times New Roman"/>
          <w:sz w:val="24"/>
        </w:rPr>
        <w:t xml:space="preserve">per </w:t>
      </w:r>
      <w:r w:rsidRPr="00333D58">
        <w:rPr>
          <w:rFonts w:ascii="Times New Roman" w:hAnsi="Times New Roman"/>
          <w:sz w:val="24"/>
        </w:rPr>
        <w:t>Gotterson JA, Sofronoff P</w:t>
      </w:r>
      <w:r w:rsidR="007D593E" w:rsidRPr="00333D58">
        <w:rPr>
          <w:rFonts w:ascii="Times New Roman" w:hAnsi="Times New Roman"/>
          <w:sz w:val="24"/>
        </w:rPr>
        <w:t xml:space="preserve"> and Morrison JA agreeing.</w:t>
      </w:r>
    </w:p>
  </w:footnote>
  <w:footnote w:id="14">
    <w:p w14:paraId="79848EB4" w14:textId="24941454" w:rsidR="007D593E" w:rsidRPr="00333D58" w:rsidRDefault="007D593E" w:rsidP="00333D58">
      <w:pPr>
        <w:pStyle w:val="FootnoteText"/>
        <w:spacing w:line="280" w:lineRule="exact"/>
        <w:ind w:right="0"/>
        <w:jc w:val="both"/>
        <w:rPr>
          <w:rFonts w:ascii="Times New Roman" w:hAnsi="Times New Roman"/>
          <w:sz w:val="24"/>
        </w:rPr>
      </w:pPr>
      <w:r w:rsidRPr="00333D58">
        <w:rPr>
          <w:rStyle w:val="FootnoteReference"/>
          <w:rFonts w:ascii="Times New Roman" w:hAnsi="Times New Roman"/>
          <w:sz w:val="22"/>
          <w:vertAlign w:val="baseline"/>
        </w:rPr>
        <w:footnoteRef/>
      </w:r>
      <w:r w:rsidRPr="00333D58">
        <w:rPr>
          <w:rFonts w:ascii="Times New Roman" w:hAnsi="Times New Roman"/>
          <w:sz w:val="24"/>
        </w:rPr>
        <w:t xml:space="preserve"> </w:t>
      </w:r>
      <w:r w:rsidRPr="00333D58">
        <w:rPr>
          <w:rFonts w:ascii="Times New Roman" w:hAnsi="Times New Roman"/>
          <w:sz w:val="24"/>
        </w:rPr>
        <w:tab/>
      </w:r>
      <w:r w:rsidRPr="00333D58">
        <w:rPr>
          <w:rFonts w:ascii="Times New Roman" w:hAnsi="Times New Roman"/>
          <w:i/>
          <w:sz w:val="24"/>
        </w:rPr>
        <w:t xml:space="preserve">Kammins Ballrooms Co </w:t>
      </w:r>
      <w:r w:rsidR="00423FCB" w:rsidRPr="00333D58">
        <w:rPr>
          <w:rFonts w:ascii="Times New Roman" w:hAnsi="Times New Roman"/>
          <w:i/>
          <w:sz w:val="24"/>
        </w:rPr>
        <w:t xml:space="preserve">Ltd </w:t>
      </w:r>
      <w:r w:rsidRPr="00333D58">
        <w:rPr>
          <w:rFonts w:ascii="Times New Roman" w:hAnsi="Times New Roman"/>
          <w:i/>
          <w:sz w:val="24"/>
        </w:rPr>
        <w:t xml:space="preserve">v Zenith Investments (Torquay) Ltd </w:t>
      </w:r>
      <w:r w:rsidR="00C0393F" w:rsidRPr="00333D58">
        <w:rPr>
          <w:rFonts w:ascii="Times New Roman" w:hAnsi="Times New Roman"/>
          <w:sz w:val="24"/>
        </w:rPr>
        <w:t>[</w:t>
      </w:r>
      <w:r w:rsidRPr="00333D58">
        <w:rPr>
          <w:rFonts w:ascii="Times New Roman" w:hAnsi="Times New Roman"/>
          <w:sz w:val="24"/>
        </w:rPr>
        <w:t>197</w:t>
      </w:r>
      <w:r w:rsidR="00C0393F" w:rsidRPr="00333D58">
        <w:rPr>
          <w:rFonts w:ascii="Times New Roman" w:hAnsi="Times New Roman"/>
          <w:sz w:val="24"/>
        </w:rPr>
        <w:t>1]</w:t>
      </w:r>
      <w:r w:rsidR="00B37899" w:rsidRPr="00333D58">
        <w:rPr>
          <w:rFonts w:ascii="Times New Roman" w:hAnsi="Times New Roman"/>
          <w:sz w:val="24"/>
        </w:rPr>
        <w:t xml:space="preserve"> AC 850</w:t>
      </w:r>
      <w:r w:rsidRPr="00333D58">
        <w:rPr>
          <w:rFonts w:ascii="Times New Roman" w:hAnsi="Times New Roman"/>
          <w:sz w:val="24"/>
        </w:rPr>
        <w:t xml:space="preserve"> </w:t>
      </w:r>
      <w:r w:rsidR="00624964" w:rsidRPr="00333D58">
        <w:rPr>
          <w:rFonts w:ascii="Times New Roman" w:hAnsi="Times New Roman"/>
          <w:sz w:val="24"/>
        </w:rPr>
        <w:t>at</w:t>
      </w:r>
      <w:r w:rsidR="0008339B" w:rsidRPr="00333D58">
        <w:rPr>
          <w:rFonts w:ascii="Times New Roman" w:hAnsi="Times New Roman"/>
          <w:sz w:val="24"/>
        </w:rPr>
        <w:t xml:space="preserve"> 881</w:t>
      </w:r>
      <w:r w:rsidRPr="00333D58">
        <w:rPr>
          <w:rFonts w:ascii="Times New Roman" w:hAnsi="Times New Roman"/>
          <w:sz w:val="24"/>
        </w:rPr>
        <w:t>.</w:t>
      </w:r>
    </w:p>
  </w:footnote>
  <w:footnote w:id="15">
    <w:p w14:paraId="694F7307" w14:textId="2FACA7FE" w:rsidR="008278AE" w:rsidRPr="00333D58" w:rsidRDefault="008278AE" w:rsidP="00333D58">
      <w:pPr>
        <w:pStyle w:val="FootnoteText"/>
        <w:spacing w:line="280" w:lineRule="exact"/>
        <w:ind w:right="0"/>
        <w:jc w:val="both"/>
        <w:rPr>
          <w:rFonts w:ascii="Times New Roman" w:hAnsi="Times New Roman"/>
          <w:i/>
          <w:sz w:val="24"/>
        </w:rPr>
      </w:pPr>
      <w:r w:rsidRPr="00333D58">
        <w:rPr>
          <w:rStyle w:val="FootnoteReference"/>
          <w:rFonts w:ascii="Times New Roman" w:hAnsi="Times New Roman"/>
          <w:sz w:val="22"/>
          <w:vertAlign w:val="baseline"/>
        </w:rPr>
        <w:footnoteRef/>
      </w:r>
      <w:r w:rsidRPr="00333D58">
        <w:rPr>
          <w:rFonts w:ascii="Times New Roman" w:hAnsi="Times New Roman"/>
          <w:sz w:val="24"/>
        </w:rPr>
        <w:t xml:space="preserve"> </w:t>
      </w:r>
      <w:r w:rsidRPr="00333D58">
        <w:rPr>
          <w:rFonts w:ascii="Times New Roman" w:hAnsi="Times New Roman"/>
          <w:sz w:val="24"/>
        </w:rPr>
        <w:tab/>
      </w:r>
      <w:r w:rsidRPr="00333D58">
        <w:rPr>
          <w:rFonts w:ascii="Times New Roman" w:hAnsi="Times New Roman"/>
          <w:i/>
          <w:sz w:val="24"/>
        </w:rPr>
        <w:t xml:space="preserve">Tolofson v Jensen </w:t>
      </w:r>
      <w:r w:rsidR="00A56D17" w:rsidRPr="00333D58">
        <w:rPr>
          <w:rFonts w:ascii="Times New Roman" w:hAnsi="Times New Roman"/>
          <w:sz w:val="24"/>
        </w:rPr>
        <w:t>[</w:t>
      </w:r>
      <w:r w:rsidRPr="00333D58">
        <w:rPr>
          <w:rFonts w:ascii="Times New Roman" w:hAnsi="Times New Roman"/>
          <w:sz w:val="24"/>
        </w:rPr>
        <w:t>1994</w:t>
      </w:r>
      <w:r w:rsidR="00A56D17" w:rsidRPr="00333D58">
        <w:rPr>
          <w:rFonts w:ascii="Times New Roman" w:hAnsi="Times New Roman"/>
          <w:sz w:val="24"/>
        </w:rPr>
        <w:t>]</w:t>
      </w:r>
      <w:r w:rsidRPr="00333D58">
        <w:rPr>
          <w:rFonts w:ascii="Times New Roman" w:hAnsi="Times New Roman"/>
          <w:sz w:val="24"/>
        </w:rPr>
        <w:t xml:space="preserve"> 3 SCR 1022</w:t>
      </w:r>
      <w:r w:rsidR="0089254E" w:rsidRPr="00333D58">
        <w:rPr>
          <w:rFonts w:ascii="Times New Roman" w:hAnsi="Times New Roman"/>
          <w:sz w:val="24"/>
        </w:rPr>
        <w:t xml:space="preserve"> at</w:t>
      </w:r>
      <w:r w:rsidRPr="00333D58">
        <w:rPr>
          <w:rFonts w:ascii="Times New Roman" w:hAnsi="Times New Roman"/>
          <w:sz w:val="24"/>
        </w:rPr>
        <w:t xml:space="preserve"> 1073</w:t>
      </w:r>
      <w:r w:rsidR="00BA3E96" w:rsidRPr="00333D58">
        <w:rPr>
          <w:rFonts w:ascii="Times New Roman" w:hAnsi="Times New Roman"/>
          <w:sz w:val="24"/>
        </w:rPr>
        <w:t>.</w:t>
      </w:r>
    </w:p>
  </w:footnote>
  <w:footnote w:id="16">
    <w:p w14:paraId="19ECA366" w14:textId="3CB5662B" w:rsidR="00BA3E96" w:rsidRPr="00333D58" w:rsidRDefault="00BA3E96" w:rsidP="00333D58">
      <w:pPr>
        <w:pStyle w:val="FootnoteText"/>
        <w:spacing w:line="280" w:lineRule="exact"/>
        <w:ind w:right="0"/>
        <w:jc w:val="both"/>
        <w:rPr>
          <w:rFonts w:ascii="Times New Roman" w:hAnsi="Times New Roman"/>
          <w:sz w:val="24"/>
        </w:rPr>
      </w:pPr>
      <w:r w:rsidRPr="00333D58">
        <w:rPr>
          <w:rStyle w:val="FootnoteReference"/>
          <w:rFonts w:ascii="Times New Roman" w:hAnsi="Times New Roman"/>
          <w:sz w:val="22"/>
          <w:vertAlign w:val="baseline"/>
        </w:rPr>
        <w:footnoteRef/>
      </w:r>
      <w:r w:rsidRPr="00333D58">
        <w:rPr>
          <w:rFonts w:ascii="Times New Roman" w:hAnsi="Times New Roman"/>
          <w:sz w:val="24"/>
        </w:rPr>
        <w:t xml:space="preserve"> </w:t>
      </w:r>
      <w:r w:rsidRPr="00333D58">
        <w:rPr>
          <w:rFonts w:ascii="Times New Roman" w:hAnsi="Times New Roman"/>
          <w:sz w:val="24"/>
        </w:rPr>
        <w:tab/>
      </w:r>
      <w:r w:rsidRPr="00333D58">
        <w:rPr>
          <w:rFonts w:ascii="Times New Roman" w:hAnsi="Times New Roman"/>
          <w:i/>
          <w:sz w:val="24"/>
        </w:rPr>
        <w:t xml:space="preserve">Auckland </w:t>
      </w:r>
      <w:r w:rsidR="009E10A4" w:rsidRPr="00333D58">
        <w:rPr>
          <w:rFonts w:ascii="Times New Roman" w:hAnsi="Times New Roman"/>
          <w:i/>
          <w:sz w:val="24"/>
        </w:rPr>
        <w:t xml:space="preserve">Harbour Board v </w:t>
      </w:r>
      <w:r w:rsidR="009E10A4" w:rsidRPr="00333D58">
        <w:rPr>
          <w:rFonts w:ascii="Times New Roman" w:hAnsi="Times New Roman"/>
          <w:i/>
          <w:sz w:val="24"/>
        </w:rPr>
        <w:t xml:space="preserve">Kaihe </w:t>
      </w:r>
      <w:r w:rsidR="00C64822" w:rsidRPr="00333D58">
        <w:rPr>
          <w:rFonts w:ascii="Times New Roman" w:hAnsi="Times New Roman"/>
          <w:sz w:val="24"/>
        </w:rPr>
        <w:t>[</w:t>
      </w:r>
      <w:r w:rsidR="009E10A4" w:rsidRPr="00333D58">
        <w:rPr>
          <w:rFonts w:ascii="Times New Roman" w:hAnsi="Times New Roman"/>
          <w:sz w:val="24"/>
        </w:rPr>
        <w:t>1962</w:t>
      </w:r>
      <w:r w:rsidR="00C64822" w:rsidRPr="00333D58">
        <w:rPr>
          <w:rFonts w:ascii="Times New Roman" w:hAnsi="Times New Roman"/>
          <w:sz w:val="24"/>
        </w:rPr>
        <w:t>]</w:t>
      </w:r>
      <w:r w:rsidR="00467337" w:rsidRPr="00333D58">
        <w:rPr>
          <w:rFonts w:ascii="Times New Roman" w:hAnsi="Times New Roman"/>
          <w:sz w:val="24"/>
        </w:rPr>
        <w:t xml:space="preserve"> </w:t>
      </w:r>
      <w:r w:rsidR="009B250E" w:rsidRPr="00333D58">
        <w:rPr>
          <w:rFonts w:ascii="Times New Roman" w:hAnsi="Times New Roman"/>
          <w:sz w:val="24"/>
        </w:rPr>
        <w:t xml:space="preserve">NZLR </w:t>
      </w:r>
      <w:r w:rsidR="00467337" w:rsidRPr="00333D58">
        <w:rPr>
          <w:rFonts w:ascii="Times New Roman" w:hAnsi="Times New Roman"/>
          <w:sz w:val="24"/>
        </w:rPr>
        <w:t>68</w:t>
      </w:r>
      <w:r w:rsidR="00807F76" w:rsidRPr="00333D58">
        <w:rPr>
          <w:rFonts w:ascii="Times New Roman" w:hAnsi="Times New Roman"/>
          <w:sz w:val="24"/>
        </w:rPr>
        <w:t xml:space="preserve"> at</w:t>
      </w:r>
      <w:r w:rsidR="00467337" w:rsidRPr="00333D58">
        <w:rPr>
          <w:rFonts w:ascii="Times New Roman" w:hAnsi="Times New Roman"/>
          <w:sz w:val="24"/>
        </w:rPr>
        <w:t xml:space="preserve"> 87-88.</w:t>
      </w:r>
    </w:p>
  </w:footnote>
  <w:footnote w:id="17">
    <w:p w14:paraId="0A8FEAF4" w14:textId="355B25D3" w:rsidR="0051393C" w:rsidRPr="00333D58" w:rsidRDefault="0051393C" w:rsidP="00333D58">
      <w:pPr>
        <w:pStyle w:val="FootnoteText"/>
        <w:spacing w:line="280" w:lineRule="exact"/>
        <w:ind w:right="0"/>
        <w:jc w:val="both"/>
        <w:rPr>
          <w:rFonts w:ascii="Times New Roman" w:hAnsi="Times New Roman"/>
          <w:sz w:val="24"/>
        </w:rPr>
      </w:pPr>
      <w:r w:rsidRPr="00333D58">
        <w:rPr>
          <w:rStyle w:val="FootnoteReference"/>
          <w:rFonts w:ascii="Times New Roman" w:hAnsi="Times New Roman"/>
          <w:sz w:val="22"/>
          <w:vertAlign w:val="baseline"/>
        </w:rPr>
        <w:footnoteRef/>
      </w:r>
      <w:r w:rsidRPr="00333D58">
        <w:rPr>
          <w:rFonts w:ascii="Times New Roman" w:hAnsi="Times New Roman"/>
          <w:sz w:val="24"/>
        </w:rPr>
        <w:t xml:space="preserve"> </w:t>
      </w:r>
      <w:r w:rsidRPr="00333D58">
        <w:rPr>
          <w:rFonts w:ascii="Times New Roman" w:hAnsi="Times New Roman"/>
          <w:sz w:val="24"/>
        </w:rPr>
        <w:tab/>
        <w:t xml:space="preserve">21 Jac </w:t>
      </w:r>
      <w:r w:rsidR="00884CF5" w:rsidRPr="00333D58">
        <w:rPr>
          <w:rFonts w:ascii="Times New Roman" w:hAnsi="Times New Roman"/>
          <w:sz w:val="24"/>
        </w:rPr>
        <w:t xml:space="preserve">I </w:t>
      </w:r>
      <w:r w:rsidRPr="00333D58">
        <w:rPr>
          <w:rFonts w:ascii="Times New Roman" w:hAnsi="Times New Roman"/>
          <w:sz w:val="24"/>
        </w:rPr>
        <w:t>c 16.</w:t>
      </w:r>
    </w:p>
  </w:footnote>
  <w:footnote w:id="18">
    <w:p w14:paraId="2E7B60F3" w14:textId="0A3A69B7" w:rsidR="003116C6" w:rsidRPr="00333D58" w:rsidRDefault="003116C6" w:rsidP="00333D58">
      <w:pPr>
        <w:pStyle w:val="FootnoteText"/>
        <w:spacing w:line="280" w:lineRule="exact"/>
        <w:ind w:right="0"/>
        <w:jc w:val="both"/>
        <w:rPr>
          <w:rFonts w:ascii="Times New Roman" w:hAnsi="Times New Roman"/>
          <w:sz w:val="24"/>
        </w:rPr>
      </w:pPr>
      <w:r w:rsidRPr="00333D58">
        <w:rPr>
          <w:rStyle w:val="FootnoteReference"/>
          <w:rFonts w:ascii="Times New Roman" w:hAnsi="Times New Roman"/>
          <w:sz w:val="22"/>
          <w:vertAlign w:val="baseline"/>
        </w:rPr>
        <w:footnoteRef/>
      </w:r>
      <w:r w:rsidRPr="00333D58">
        <w:rPr>
          <w:rFonts w:ascii="Times New Roman" w:hAnsi="Times New Roman"/>
          <w:sz w:val="24"/>
        </w:rPr>
        <w:t xml:space="preserve"> </w:t>
      </w:r>
      <w:r w:rsidRPr="00333D58">
        <w:rPr>
          <w:rFonts w:ascii="Times New Roman" w:hAnsi="Times New Roman"/>
          <w:sz w:val="24"/>
        </w:rPr>
        <w:tab/>
        <w:t xml:space="preserve">(1996) </w:t>
      </w:r>
      <w:r w:rsidR="00B23899" w:rsidRPr="00333D58">
        <w:rPr>
          <w:rFonts w:ascii="Times New Roman" w:hAnsi="Times New Roman"/>
          <w:sz w:val="24"/>
        </w:rPr>
        <w:t xml:space="preserve">186 CLR 541 at </w:t>
      </w:r>
      <w:r w:rsidR="00C604E1" w:rsidRPr="00333D58">
        <w:rPr>
          <w:rFonts w:ascii="Times New Roman" w:hAnsi="Times New Roman"/>
          <w:sz w:val="24"/>
        </w:rPr>
        <w:t>551-</w:t>
      </w:r>
      <w:r w:rsidR="00B23899" w:rsidRPr="00333D58">
        <w:rPr>
          <w:rFonts w:ascii="Times New Roman" w:hAnsi="Times New Roman"/>
          <w:sz w:val="24"/>
        </w:rPr>
        <w:t>553.</w:t>
      </w:r>
    </w:p>
  </w:footnote>
  <w:footnote w:id="19">
    <w:p w14:paraId="384E5DA4" w14:textId="1899C659" w:rsidR="00F23045" w:rsidRPr="00333D58" w:rsidRDefault="00F23045" w:rsidP="00333D58">
      <w:pPr>
        <w:pStyle w:val="FootnoteText"/>
        <w:spacing w:line="280" w:lineRule="exact"/>
        <w:ind w:right="0"/>
        <w:jc w:val="both"/>
        <w:rPr>
          <w:rFonts w:ascii="Times New Roman" w:hAnsi="Times New Roman"/>
          <w:sz w:val="24"/>
        </w:rPr>
      </w:pPr>
      <w:r w:rsidRPr="00333D58">
        <w:rPr>
          <w:rStyle w:val="FootnoteReference"/>
          <w:rFonts w:ascii="Times New Roman" w:hAnsi="Times New Roman"/>
          <w:sz w:val="22"/>
          <w:vertAlign w:val="baseline"/>
        </w:rPr>
        <w:footnoteRef/>
      </w:r>
      <w:r w:rsidRPr="00333D58">
        <w:rPr>
          <w:rFonts w:ascii="Times New Roman" w:hAnsi="Times New Roman"/>
          <w:sz w:val="24"/>
        </w:rPr>
        <w:t xml:space="preserve"> </w:t>
      </w:r>
      <w:r w:rsidRPr="00333D58">
        <w:rPr>
          <w:rFonts w:ascii="Times New Roman" w:hAnsi="Times New Roman"/>
          <w:sz w:val="24"/>
        </w:rPr>
        <w:tab/>
      </w:r>
      <w:r w:rsidR="00CD6FBA" w:rsidRPr="00333D58">
        <w:rPr>
          <w:rFonts w:ascii="Times New Roman" w:hAnsi="Times New Roman"/>
          <w:i/>
          <w:sz w:val="24"/>
        </w:rPr>
        <w:t xml:space="preserve">The Commonwealth v </w:t>
      </w:r>
      <w:r w:rsidR="00CD6FBA" w:rsidRPr="00333D58">
        <w:rPr>
          <w:rFonts w:ascii="Times New Roman" w:hAnsi="Times New Roman"/>
          <w:i/>
          <w:sz w:val="24"/>
        </w:rPr>
        <w:t>Verwayen</w:t>
      </w:r>
      <w:r w:rsidR="00CD6FBA" w:rsidRPr="00333D58">
        <w:rPr>
          <w:rFonts w:ascii="Times New Roman" w:hAnsi="Times New Roman"/>
          <w:sz w:val="24"/>
        </w:rPr>
        <w:t xml:space="preserve"> (1990) 170 CLR 394 </w:t>
      </w:r>
      <w:r w:rsidRPr="00333D58">
        <w:rPr>
          <w:rFonts w:ascii="Times New Roman" w:hAnsi="Times New Roman"/>
          <w:sz w:val="24"/>
        </w:rPr>
        <w:t>at 405.</w:t>
      </w:r>
    </w:p>
  </w:footnote>
  <w:footnote w:id="20">
    <w:p w14:paraId="455D98B1" w14:textId="506E1AC2" w:rsidR="00F23045" w:rsidRPr="00333D58" w:rsidRDefault="00F23045" w:rsidP="00333D58">
      <w:pPr>
        <w:pStyle w:val="FootnoteText"/>
        <w:spacing w:line="280" w:lineRule="exact"/>
        <w:ind w:right="0"/>
        <w:jc w:val="both"/>
        <w:rPr>
          <w:rFonts w:ascii="Times New Roman" w:hAnsi="Times New Roman"/>
          <w:sz w:val="24"/>
        </w:rPr>
      </w:pPr>
      <w:r w:rsidRPr="00333D58">
        <w:rPr>
          <w:rStyle w:val="FootnoteReference"/>
          <w:rFonts w:ascii="Times New Roman" w:hAnsi="Times New Roman"/>
          <w:sz w:val="22"/>
          <w:vertAlign w:val="baseline"/>
        </w:rPr>
        <w:footnoteRef/>
      </w:r>
      <w:r w:rsidRPr="00333D58">
        <w:rPr>
          <w:rFonts w:ascii="Times New Roman" w:hAnsi="Times New Roman"/>
          <w:sz w:val="24"/>
        </w:rPr>
        <w:t xml:space="preserve"> </w:t>
      </w:r>
      <w:r w:rsidRPr="00333D58">
        <w:rPr>
          <w:rFonts w:ascii="Times New Roman" w:hAnsi="Times New Roman"/>
          <w:sz w:val="24"/>
        </w:rPr>
        <w:tab/>
      </w:r>
      <w:r w:rsidR="00CD6FBA" w:rsidRPr="00333D58">
        <w:rPr>
          <w:rFonts w:ascii="Times New Roman" w:hAnsi="Times New Roman"/>
          <w:sz w:val="24"/>
        </w:rPr>
        <w:t>Se</w:t>
      </w:r>
      <w:r w:rsidR="0001155D" w:rsidRPr="00333D58">
        <w:rPr>
          <w:rFonts w:ascii="Times New Roman" w:hAnsi="Times New Roman"/>
          <w:sz w:val="24"/>
        </w:rPr>
        <w:t xml:space="preserve">e </w:t>
      </w:r>
      <w:r w:rsidR="00CD6FBA" w:rsidRPr="00333D58">
        <w:rPr>
          <w:rFonts w:ascii="Times New Roman" w:hAnsi="Times New Roman"/>
          <w:i/>
          <w:sz w:val="24"/>
        </w:rPr>
        <w:t xml:space="preserve">The Commonwealth v </w:t>
      </w:r>
      <w:r w:rsidR="00CD6FBA" w:rsidRPr="00333D58">
        <w:rPr>
          <w:rFonts w:ascii="Times New Roman" w:hAnsi="Times New Roman"/>
          <w:i/>
          <w:sz w:val="24"/>
        </w:rPr>
        <w:t>Verwayen</w:t>
      </w:r>
      <w:r w:rsidR="00CD6FBA" w:rsidRPr="00333D58">
        <w:rPr>
          <w:rFonts w:ascii="Times New Roman" w:hAnsi="Times New Roman"/>
          <w:sz w:val="24"/>
        </w:rPr>
        <w:t xml:space="preserve"> (1990) 170 CLR 394 </w:t>
      </w:r>
      <w:r w:rsidRPr="00333D58">
        <w:rPr>
          <w:rFonts w:ascii="Times New Roman" w:hAnsi="Times New Roman"/>
          <w:sz w:val="24"/>
        </w:rPr>
        <w:t>at 406.</w:t>
      </w:r>
    </w:p>
  </w:footnote>
  <w:footnote w:id="21">
    <w:p w14:paraId="70A601B9" w14:textId="303274E9" w:rsidR="009626B8" w:rsidRPr="00333D58" w:rsidRDefault="009626B8" w:rsidP="00333D58">
      <w:pPr>
        <w:pStyle w:val="FootnoteText"/>
        <w:spacing w:line="280" w:lineRule="exact"/>
        <w:ind w:right="0"/>
        <w:jc w:val="both"/>
        <w:rPr>
          <w:rFonts w:ascii="Times New Roman" w:hAnsi="Times New Roman"/>
          <w:sz w:val="24"/>
        </w:rPr>
      </w:pPr>
      <w:r w:rsidRPr="00333D58">
        <w:rPr>
          <w:rStyle w:val="FootnoteReference"/>
          <w:rFonts w:ascii="Times New Roman" w:hAnsi="Times New Roman"/>
          <w:sz w:val="22"/>
          <w:vertAlign w:val="baseline"/>
        </w:rPr>
        <w:footnoteRef/>
      </w:r>
      <w:r w:rsidRPr="00333D58">
        <w:rPr>
          <w:rFonts w:ascii="Times New Roman" w:hAnsi="Times New Roman"/>
          <w:sz w:val="24"/>
        </w:rPr>
        <w:t xml:space="preserve"> </w:t>
      </w:r>
      <w:r w:rsidRPr="00333D58">
        <w:rPr>
          <w:rFonts w:ascii="Times New Roman" w:hAnsi="Times New Roman"/>
          <w:sz w:val="24"/>
        </w:rPr>
        <w:tab/>
      </w:r>
      <w:r w:rsidR="00CD6FBA" w:rsidRPr="00333D58">
        <w:rPr>
          <w:rFonts w:ascii="Times New Roman" w:hAnsi="Times New Roman"/>
          <w:i/>
          <w:sz w:val="24"/>
        </w:rPr>
        <w:t xml:space="preserve">The Commonwealth v </w:t>
      </w:r>
      <w:r w:rsidR="00CD6FBA" w:rsidRPr="00333D58">
        <w:rPr>
          <w:rFonts w:ascii="Times New Roman" w:hAnsi="Times New Roman"/>
          <w:i/>
          <w:sz w:val="24"/>
        </w:rPr>
        <w:t>Verwayen</w:t>
      </w:r>
      <w:r w:rsidR="00CD6FBA" w:rsidRPr="00333D58">
        <w:rPr>
          <w:rFonts w:ascii="Times New Roman" w:hAnsi="Times New Roman"/>
          <w:sz w:val="24"/>
        </w:rPr>
        <w:t xml:space="preserve"> (1990) 170 CLR 394 </w:t>
      </w:r>
      <w:r w:rsidRPr="00333D58">
        <w:rPr>
          <w:rFonts w:ascii="Times New Roman" w:hAnsi="Times New Roman"/>
          <w:sz w:val="24"/>
        </w:rPr>
        <w:t xml:space="preserve">at 405, citing </w:t>
      </w:r>
      <w:r w:rsidRPr="00333D58">
        <w:rPr>
          <w:rFonts w:ascii="Times New Roman" w:hAnsi="Times New Roman"/>
          <w:i/>
          <w:sz w:val="24"/>
        </w:rPr>
        <w:t>Admiralty Commissioner</w:t>
      </w:r>
      <w:r w:rsidR="00AA71DD" w:rsidRPr="00333D58">
        <w:rPr>
          <w:rFonts w:ascii="Times New Roman" w:hAnsi="Times New Roman"/>
          <w:i/>
          <w:sz w:val="24"/>
        </w:rPr>
        <w:t>s</w:t>
      </w:r>
      <w:r w:rsidRPr="00333D58">
        <w:rPr>
          <w:rFonts w:ascii="Times New Roman" w:hAnsi="Times New Roman"/>
          <w:i/>
          <w:sz w:val="24"/>
        </w:rPr>
        <w:t xml:space="preserve"> v Valverda (Owners)</w:t>
      </w:r>
      <w:r w:rsidRPr="00333D58">
        <w:rPr>
          <w:rFonts w:ascii="Times New Roman" w:hAnsi="Times New Roman"/>
          <w:sz w:val="24"/>
        </w:rPr>
        <w:t xml:space="preserve"> </w:t>
      </w:r>
      <w:r w:rsidR="007F297E" w:rsidRPr="00333D58">
        <w:rPr>
          <w:rFonts w:ascii="Times New Roman" w:hAnsi="Times New Roman"/>
          <w:sz w:val="24"/>
        </w:rPr>
        <w:t>[</w:t>
      </w:r>
      <w:r w:rsidRPr="00333D58">
        <w:rPr>
          <w:rFonts w:ascii="Times New Roman" w:hAnsi="Times New Roman"/>
          <w:sz w:val="24"/>
        </w:rPr>
        <w:t>1938</w:t>
      </w:r>
      <w:r w:rsidR="007F297E" w:rsidRPr="00333D58">
        <w:rPr>
          <w:rFonts w:ascii="Times New Roman" w:hAnsi="Times New Roman"/>
          <w:sz w:val="24"/>
        </w:rPr>
        <w:t>]</w:t>
      </w:r>
      <w:r w:rsidRPr="00333D58">
        <w:rPr>
          <w:rFonts w:ascii="Times New Roman" w:hAnsi="Times New Roman"/>
          <w:sz w:val="24"/>
        </w:rPr>
        <w:t xml:space="preserve"> AC 173</w:t>
      </w:r>
      <w:r w:rsidR="00AA71DD" w:rsidRPr="00333D58">
        <w:rPr>
          <w:rFonts w:ascii="Times New Roman" w:hAnsi="Times New Roman"/>
          <w:sz w:val="24"/>
        </w:rPr>
        <w:t xml:space="preserve"> at </w:t>
      </w:r>
      <w:r w:rsidRPr="00333D58">
        <w:rPr>
          <w:rFonts w:ascii="Times New Roman" w:hAnsi="Times New Roman"/>
          <w:sz w:val="24"/>
        </w:rPr>
        <w:t>185.</w:t>
      </w:r>
    </w:p>
  </w:footnote>
  <w:footnote w:id="22">
    <w:p w14:paraId="15866A32" w14:textId="20F7E22D" w:rsidR="00E93209" w:rsidRPr="00333D58" w:rsidRDefault="00E93209" w:rsidP="00333D58">
      <w:pPr>
        <w:pStyle w:val="FootnoteText"/>
        <w:spacing w:line="280" w:lineRule="exact"/>
        <w:ind w:right="0"/>
        <w:jc w:val="both"/>
        <w:rPr>
          <w:rFonts w:ascii="Times New Roman" w:hAnsi="Times New Roman"/>
          <w:sz w:val="24"/>
        </w:rPr>
      </w:pPr>
      <w:r w:rsidRPr="00333D58">
        <w:rPr>
          <w:rStyle w:val="FootnoteReference"/>
          <w:rFonts w:ascii="Times New Roman" w:hAnsi="Times New Roman"/>
          <w:sz w:val="22"/>
          <w:vertAlign w:val="baseline"/>
        </w:rPr>
        <w:footnoteRef/>
      </w:r>
      <w:r w:rsidRPr="00333D58">
        <w:rPr>
          <w:rFonts w:ascii="Times New Roman" w:hAnsi="Times New Roman"/>
          <w:sz w:val="24"/>
        </w:rPr>
        <w:t xml:space="preserve"> </w:t>
      </w:r>
      <w:r w:rsidRPr="00333D58">
        <w:rPr>
          <w:rFonts w:ascii="Times New Roman" w:hAnsi="Times New Roman"/>
          <w:sz w:val="24"/>
        </w:rPr>
        <w:tab/>
      </w:r>
      <w:r w:rsidRPr="00333D58">
        <w:rPr>
          <w:rFonts w:ascii="Times New Roman" w:hAnsi="Times New Roman"/>
          <w:i/>
          <w:sz w:val="24"/>
        </w:rPr>
        <w:t xml:space="preserve">The Commonwealth v </w:t>
      </w:r>
      <w:r w:rsidRPr="00333D58">
        <w:rPr>
          <w:rFonts w:ascii="Times New Roman" w:hAnsi="Times New Roman"/>
          <w:i/>
          <w:sz w:val="24"/>
        </w:rPr>
        <w:t>Verwayen</w:t>
      </w:r>
      <w:r w:rsidRPr="00333D58">
        <w:rPr>
          <w:rFonts w:ascii="Times New Roman" w:hAnsi="Times New Roman"/>
          <w:sz w:val="24"/>
        </w:rPr>
        <w:t xml:space="preserve"> (1990) 170 CLR 394 at 405. </w:t>
      </w:r>
    </w:p>
  </w:footnote>
  <w:footnote w:id="23">
    <w:p w14:paraId="5A276A1F" w14:textId="7370C55F" w:rsidR="00464370" w:rsidRPr="00333D58" w:rsidRDefault="00464370" w:rsidP="00333D58">
      <w:pPr>
        <w:pStyle w:val="FootnoteText"/>
        <w:spacing w:line="280" w:lineRule="exact"/>
        <w:ind w:right="0"/>
        <w:jc w:val="both"/>
        <w:rPr>
          <w:rFonts w:ascii="Times New Roman" w:hAnsi="Times New Roman"/>
          <w:sz w:val="24"/>
        </w:rPr>
      </w:pPr>
      <w:r w:rsidRPr="00333D58">
        <w:rPr>
          <w:rStyle w:val="FootnoteReference"/>
          <w:rFonts w:ascii="Times New Roman" w:hAnsi="Times New Roman"/>
          <w:sz w:val="22"/>
          <w:vertAlign w:val="baseline"/>
        </w:rPr>
        <w:footnoteRef/>
      </w:r>
      <w:r w:rsidRPr="00333D58">
        <w:rPr>
          <w:rFonts w:ascii="Times New Roman" w:hAnsi="Times New Roman"/>
          <w:sz w:val="24"/>
        </w:rPr>
        <w:t xml:space="preserve"> </w:t>
      </w:r>
      <w:r w:rsidRPr="00333D58">
        <w:rPr>
          <w:rFonts w:ascii="Times New Roman" w:hAnsi="Times New Roman"/>
          <w:sz w:val="24"/>
        </w:rPr>
        <w:tab/>
      </w:r>
      <w:r w:rsidR="00CD6FBA" w:rsidRPr="00333D58">
        <w:rPr>
          <w:rFonts w:ascii="Times New Roman" w:hAnsi="Times New Roman"/>
          <w:i/>
          <w:sz w:val="24"/>
        </w:rPr>
        <w:t xml:space="preserve">The Commonwealth v </w:t>
      </w:r>
      <w:r w:rsidR="00CD6FBA" w:rsidRPr="00333D58">
        <w:rPr>
          <w:rFonts w:ascii="Times New Roman" w:hAnsi="Times New Roman"/>
          <w:i/>
          <w:sz w:val="24"/>
        </w:rPr>
        <w:t>Verwayen</w:t>
      </w:r>
      <w:r w:rsidR="00CD6FBA" w:rsidRPr="00333D58">
        <w:rPr>
          <w:rFonts w:ascii="Times New Roman" w:hAnsi="Times New Roman"/>
          <w:sz w:val="24"/>
        </w:rPr>
        <w:t xml:space="preserve"> (1990) 170 CLR 394 </w:t>
      </w:r>
      <w:r w:rsidRPr="00333D58">
        <w:rPr>
          <w:rFonts w:ascii="Times New Roman" w:hAnsi="Times New Roman"/>
          <w:sz w:val="24"/>
        </w:rPr>
        <w:t>at 405-406.</w:t>
      </w:r>
    </w:p>
  </w:footnote>
  <w:footnote w:id="24">
    <w:p w14:paraId="2CDFA3A1" w14:textId="4E526169" w:rsidR="00EF2825" w:rsidRPr="00333D58" w:rsidRDefault="00EF2825" w:rsidP="00333D58">
      <w:pPr>
        <w:pStyle w:val="FootnoteText"/>
        <w:spacing w:line="280" w:lineRule="exact"/>
        <w:ind w:right="0"/>
        <w:jc w:val="both"/>
        <w:rPr>
          <w:rFonts w:ascii="Times New Roman" w:hAnsi="Times New Roman"/>
          <w:sz w:val="24"/>
        </w:rPr>
      </w:pPr>
      <w:r w:rsidRPr="00333D58">
        <w:rPr>
          <w:rStyle w:val="FootnoteReference"/>
          <w:rFonts w:ascii="Times New Roman" w:hAnsi="Times New Roman"/>
          <w:sz w:val="22"/>
          <w:vertAlign w:val="baseline"/>
        </w:rPr>
        <w:footnoteRef/>
      </w:r>
      <w:r w:rsidRPr="00333D58">
        <w:rPr>
          <w:rFonts w:ascii="Times New Roman" w:hAnsi="Times New Roman"/>
          <w:sz w:val="24"/>
        </w:rPr>
        <w:t xml:space="preserve"> </w:t>
      </w:r>
      <w:r w:rsidRPr="00333D58">
        <w:rPr>
          <w:rFonts w:ascii="Times New Roman" w:hAnsi="Times New Roman"/>
          <w:sz w:val="24"/>
        </w:rPr>
        <w:tab/>
      </w:r>
      <w:r w:rsidR="00C80903" w:rsidRPr="00333D58">
        <w:rPr>
          <w:rFonts w:ascii="Times New Roman" w:hAnsi="Times New Roman"/>
          <w:i/>
          <w:sz w:val="24"/>
        </w:rPr>
        <w:t>Spoor v Price</w:t>
      </w:r>
      <w:r w:rsidR="00C80903" w:rsidRPr="00333D58">
        <w:rPr>
          <w:rFonts w:ascii="Times New Roman" w:hAnsi="Times New Roman"/>
          <w:sz w:val="24"/>
        </w:rPr>
        <w:t xml:space="preserve"> (2019) 3 QR 176 </w:t>
      </w:r>
      <w:r w:rsidRPr="00333D58">
        <w:rPr>
          <w:rFonts w:ascii="Times New Roman" w:hAnsi="Times New Roman"/>
          <w:sz w:val="24"/>
        </w:rPr>
        <w:t>at</w:t>
      </w:r>
      <w:r w:rsidR="00985DBC" w:rsidRPr="00333D58">
        <w:rPr>
          <w:rFonts w:ascii="Times New Roman" w:hAnsi="Times New Roman"/>
          <w:sz w:val="24"/>
        </w:rPr>
        <w:t xml:space="preserve"> 186-187</w:t>
      </w:r>
      <w:r w:rsidRPr="00333D58">
        <w:rPr>
          <w:rFonts w:ascii="Times New Roman" w:hAnsi="Times New Roman"/>
          <w:sz w:val="24"/>
        </w:rPr>
        <w:t xml:space="preserve"> [34].</w:t>
      </w:r>
    </w:p>
  </w:footnote>
  <w:footnote w:id="25">
    <w:p w14:paraId="0DD5E455" w14:textId="1ABBE1D1" w:rsidR="00050C89" w:rsidRPr="00333D58" w:rsidRDefault="00050C89" w:rsidP="00333D58">
      <w:pPr>
        <w:pStyle w:val="FootnoteText"/>
        <w:spacing w:line="280" w:lineRule="exact"/>
        <w:ind w:right="0"/>
        <w:jc w:val="both"/>
        <w:rPr>
          <w:rFonts w:ascii="Times New Roman" w:hAnsi="Times New Roman"/>
          <w:sz w:val="24"/>
        </w:rPr>
      </w:pPr>
      <w:r w:rsidRPr="00333D58">
        <w:rPr>
          <w:rStyle w:val="FootnoteReference"/>
          <w:rFonts w:ascii="Times New Roman" w:hAnsi="Times New Roman"/>
          <w:sz w:val="22"/>
          <w:vertAlign w:val="baseline"/>
        </w:rPr>
        <w:footnoteRef/>
      </w:r>
      <w:r w:rsidRPr="00333D58">
        <w:rPr>
          <w:rFonts w:ascii="Times New Roman" w:hAnsi="Times New Roman"/>
          <w:sz w:val="24"/>
        </w:rPr>
        <w:t xml:space="preserve"> </w:t>
      </w:r>
      <w:r w:rsidRPr="00333D58">
        <w:rPr>
          <w:rFonts w:ascii="Times New Roman" w:hAnsi="Times New Roman"/>
          <w:sz w:val="24"/>
        </w:rPr>
        <w:tab/>
      </w:r>
      <w:r w:rsidR="00DF3E1E" w:rsidRPr="00333D58">
        <w:rPr>
          <w:rFonts w:ascii="Times New Roman" w:hAnsi="Times New Roman"/>
          <w:i/>
          <w:sz w:val="24"/>
        </w:rPr>
        <w:t xml:space="preserve">The Commonwealth v </w:t>
      </w:r>
      <w:r w:rsidR="00DF3E1E" w:rsidRPr="00333D58">
        <w:rPr>
          <w:rFonts w:ascii="Times New Roman" w:hAnsi="Times New Roman"/>
          <w:i/>
          <w:sz w:val="24"/>
        </w:rPr>
        <w:t>Verwayen</w:t>
      </w:r>
      <w:r w:rsidR="00DF3E1E" w:rsidRPr="00333D58">
        <w:rPr>
          <w:rFonts w:ascii="Times New Roman" w:hAnsi="Times New Roman"/>
          <w:sz w:val="24"/>
        </w:rPr>
        <w:t xml:space="preserve"> (1990) 170 CLR 394 </w:t>
      </w:r>
      <w:r w:rsidRPr="00333D58">
        <w:rPr>
          <w:rFonts w:ascii="Times New Roman" w:hAnsi="Times New Roman"/>
          <w:sz w:val="24"/>
        </w:rPr>
        <w:t xml:space="preserve">at </w:t>
      </w:r>
      <w:r w:rsidR="00B31B35" w:rsidRPr="00333D58">
        <w:rPr>
          <w:rFonts w:ascii="Times New Roman" w:hAnsi="Times New Roman"/>
          <w:sz w:val="24"/>
        </w:rPr>
        <w:t>402</w:t>
      </w:r>
      <w:r w:rsidR="005A3589" w:rsidRPr="00333D58">
        <w:rPr>
          <w:rFonts w:ascii="Times New Roman" w:hAnsi="Times New Roman"/>
          <w:sz w:val="24"/>
        </w:rPr>
        <w:t xml:space="preserve">, </w:t>
      </w:r>
      <w:r w:rsidR="00052328" w:rsidRPr="00333D58">
        <w:rPr>
          <w:rFonts w:ascii="Times New Roman" w:hAnsi="Times New Roman"/>
          <w:sz w:val="24"/>
        </w:rPr>
        <w:t>404</w:t>
      </w:r>
      <w:r w:rsidRPr="00333D58">
        <w:rPr>
          <w:rFonts w:ascii="Times New Roman" w:hAnsi="Times New Roman"/>
          <w:sz w:val="24"/>
        </w:rPr>
        <w:t>.</w:t>
      </w:r>
    </w:p>
  </w:footnote>
  <w:footnote w:id="26">
    <w:p w14:paraId="46A7FD4E" w14:textId="02D8EA4B" w:rsidR="00880B0A" w:rsidRPr="00333D58" w:rsidRDefault="00880B0A" w:rsidP="00333D58">
      <w:pPr>
        <w:pStyle w:val="FootnoteText"/>
        <w:spacing w:line="280" w:lineRule="exact"/>
        <w:ind w:right="0"/>
        <w:jc w:val="both"/>
        <w:rPr>
          <w:rFonts w:ascii="Times New Roman" w:hAnsi="Times New Roman"/>
          <w:sz w:val="24"/>
        </w:rPr>
      </w:pPr>
      <w:r w:rsidRPr="00333D58">
        <w:rPr>
          <w:rStyle w:val="FootnoteReference"/>
          <w:rFonts w:ascii="Times New Roman" w:hAnsi="Times New Roman"/>
          <w:sz w:val="22"/>
          <w:vertAlign w:val="baseline"/>
        </w:rPr>
        <w:footnoteRef/>
      </w:r>
      <w:r w:rsidRPr="00333D58">
        <w:rPr>
          <w:rFonts w:ascii="Times New Roman" w:hAnsi="Times New Roman"/>
          <w:sz w:val="24"/>
        </w:rPr>
        <w:t xml:space="preserve"> </w:t>
      </w:r>
      <w:r w:rsidRPr="00333D58">
        <w:rPr>
          <w:rFonts w:ascii="Times New Roman" w:hAnsi="Times New Roman"/>
          <w:sz w:val="24"/>
        </w:rPr>
        <w:tab/>
      </w:r>
      <w:r w:rsidR="00DF3E1E" w:rsidRPr="00333D58">
        <w:rPr>
          <w:rFonts w:ascii="Times New Roman" w:hAnsi="Times New Roman"/>
          <w:i/>
          <w:sz w:val="24"/>
        </w:rPr>
        <w:t xml:space="preserve">The Commonwealth v </w:t>
      </w:r>
      <w:r w:rsidR="00DF3E1E" w:rsidRPr="00333D58">
        <w:rPr>
          <w:rFonts w:ascii="Times New Roman" w:hAnsi="Times New Roman"/>
          <w:i/>
          <w:sz w:val="24"/>
        </w:rPr>
        <w:t>Verwayen</w:t>
      </w:r>
      <w:r w:rsidR="00DF3E1E" w:rsidRPr="00333D58">
        <w:rPr>
          <w:rFonts w:ascii="Times New Roman" w:hAnsi="Times New Roman"/>
          <w:sz w:val="24"/>
        </w:rPr>
        <w:t xml:space="preserve"> (1990) 170 CLR 394 </w:t>
      </w:r>
      <w:r w:rsidR="00D0766A" w:rsidRPr="00333D58">
        <w:rPr>
          <w:rFonts w:ascii="Times New Roman" w:hAnsi="Times New Roman"/>
          <w:sz w:val="24"/>
        </w:rPr>
        <w:t>at 399</w:t>
      </w:r>
      <w:r w:rsidR="00614953" w:rsidRPr="00333D58">
        <w:rPr>
          <w:rFonts w:ascii="Times New Roman" w:hAnsi="Times New Roman"/>
          <w:sz w:val="24"/>
        </w:rPr>
        <w:t>-</w:t>
      </w:r>
      <w:r w:rsidR="00D0766A" w:rsidRPr="00333D58">
        <w:rPr>
          <w:rFonts w:ascii="Times New Roman" w:hAnsi="Times New Roman"/>
          <w:sz w:val="24"/>
        </w:rPr>
        <w:t>400.</w:t>
      </w:r>
    </w:p>
  </w:footnote>
  <w:footnote w:id="27">
    <w:p w14:paraId="1AE57E81" w14:textId="79F958F2" w:rsidR="00032E77" w:rsidRPr="00333D58" w:rsidRDefault="00032E77" w:rsidP="00333D58">
      <w:pPr>
        <w:pStyle w:val="FootnoteText"/>
        <w:spacing w:line="280" w:lineRule="exact"/>
        <w:ind w:right="0"/>
        <w:jc w:val="both"/>
        <w:rPr>
          <w:rFonts w:ascii="Times New Roman" w:hAnsi="Times New Roman"/>
          <w:sz w:val="24"/>
        </w:rPr>
      </w:pPr>
      <w:r w:rsidRPr="00333D58">
        <w:rPr>
          <w:rStyle w:val="FootnoteReference"/>
          <w:rFonts w:ascii="Times New Roman" w:hAnsi="Times New Roman"/>
          <w:sz w:val="22"/>
          <w:vertAlign w:val="baseline"/>
        </w:rPr>
        <w:footnoteRef/>
      </w:r>
      <w:r w:rsidRPr="00333D58">
        <w:rPr>
          <w:rFonts w:ascii="Times New Roman" w:hAnsi="Times New Roman"/>
          <w:sz w:val="24"/>
        </w:rPr>
        <w:t xml:space="preserve"> </w:t>
      </w:r>
      <w:r w:rsidRPr="00333D58">
        <w:rPr>
          <w:rFonts w:ascii="Times New Roman" w:hAnsi="Times New Roman"/>
          <w:sz w:val="24"/>
        </w:rPr>
        <w:tab/>
      </w:r>
      <w:r w:rsidRPr="00333D58">
        <w:rPr>
          <w:rFonts w:ascii="Times New Roman" w:hAnsi="Times New Roman"/>
          <w:i/>
          <w:sz w:val="24"/>
        </w:rPr>
        <w:t>Brunner v Green</w:t>
      </w:r>
      <w:r w:rsidR="00A50211" w:rsidRPr="00333D58">
        <w:rPr>
          <w:rFonts w:ascii="Times New Roman" w:hAnsi="Times New Roman"/>
          <w:i/>
          <w:sz w:val="24"/>
        </w:rPr>
        <w:t>sla</w:t>
      </w:r>
      <w:r w:rsidR="00AB30FD" w:rsidRPr="00333D58">
        <w:rPr>
          <w:rFonts w:ascii="Times New Roman" w:hAnsi="Times New Roman"/>
          <w:i/>
          <w:sz w:val="24"/>
        </w:rPr>
        <w:t>de</w:t>
      </w:r>
      <w:r w:rsidR="00A50211" w:rsidRPr="00333D58">
        <w:rPr>
          <w:rFonts w:ascii="Times New Roman" w:hAnsi="Times New Roman"/>
          <w:sz w:val="24"/>
        </w:rPr>
        <w:t xml:space="preserve"> </w:t>
      </w:r>
      <w:r w:rsidR="0088184D" w:rsidRPr="00333D58">
        <w:rPr>
          <w:rFonts w:ascii="Times New Roman" w:hAnsi="Times New Roman"/>
          <w:sz w:val="24"/>
        </w:rPr>
        <w:t>[</w:t>
      </w:r>
      <w:r w:rsidR="00A50211" w:rsidRPr="00333D58">
        <w:rPr>
          <w:rFonts w:ascii="Times New Roman" w:hAnsi="Times New Roman"/>
          <w:sz w:val="24"/>
        </w:rPr>
        <w:t>1971</w:t>
      </w:r>
      <w:r w:rsidR="0088184D" w:rsidRPr="00333D58">
        <w:rPr>
          <w:rFonts w:ascii="Times New Roman" w:hAnsi="Times New Roman"/>
          <w:sz w:val="24"/>
        </w:rPr>
        <w:t>]</w:t>
      </w:r>
      <w:r w:rsidR="00A50211" w:rsidRPr="00333D58">
        <w:rPr>
          <w:rFonts w:ascii="Times New Roman" w:hAnsi="Times New Roman"/>
          <w:sz w:val="24"/>
        </w:rPr>
        <w:t xml:space="preserve"> Ch 993</w:t>
      </w:r>
      <w:r w:rsidR="00257F0C" w:rsidRPr="00333D58">
        <w:rPr>
          <w:rFonts w:ascii="Times New Roman" w:hAnsi="Times New Roman"/>
          <w:sz w:val="24"/>
        </w:rPr>
        <w:t xml:space="preserve"> at </w:t>
      </w:r>
      <w:r w:rsidR="00A50211" w:rsidRPr="00333D58">
        <w:rPr>
          <w:rFonts w:ascii="Times New Roman" w:hAnsi="Times New Roman"/>
          <w:sz w:val="24"/>
        </w:rPr>
        <w:t xml:space="preserve">1002-1003 per </w:t>
      </w:r>
      <w:r w:rsidR="00A50211" w:rsidRPr="00333D58">
        <w:rPr>
          <w:rFonts w:ascii="Times New Roman" w:hAnsi="Times New Roman"/>
          <w:sz w:val="24"/>
        </w:rPr>
        <w:t>Megarry J.</w:t>
      </w:r>
    </w:p>
  </w:footnote>
  <w:footnote w:id="28">
    <w:p w14:paraId="3D9DBEC4" w14:textId="4B43A54F" w:rsidR="0048322A" w:rsidRPr="00333D58" w:rsidRDefault="0048322A" w:rsidP="00333D58">
      <w:pPr>
        <w:pStyle w:val="FootnoteText"/>
        <w:spacing w:line="280" w:lineRule="exact"/>
        <w:ind w:right="0"/>
        <w:jc w:val="both"/>
        <w:rPr>
          <w:rFonts w:ascii="Times New Roman" w:hAnsi="Times New Roman"/>
          <w:sz w:val="24"/>
        </w:rPr>
      </w:pPr>
      <w:r w:rsidRPr="00333D58">
        <w:rPr>
          <w:rStyle w:val="FootnoteReference"/>
          <w:rFonts w:ascii="Times New Roman" w:hAnsi="Times New Roman"/>
          <w:sz w:val="22"/>
          <w:vertAlign w:val="baseline"/>
        </w:rPr>
        <w:footnoteRef/>
      </w:r>
      <w:r w:rsidRPr="00333D58">
        <w:rPr>
          <w:rFonts w:ascii="Times New Roman" w:hAnsi="Times New Roman"/>
          <w:sz w:val="24"/>
        </w:rPr>
        <w:t xml:space="preserve"> </w:t>
      </w:r>
      <w:r w:rsidRPr="00333D58">
        <w:rPr>
          <w:rFonts w:ascii="Times New Roman" w:hAnsi="Times New Roman"/>
          <w:sz w:val="24"/>
        </w:rPr>
        <w:tab/>
      </w:r>
      <w:r w:rsidRPr="00333D58">
        <w:rPr>
          <w:rFonts w:ascii="Times New Roman" w:hAnsi="Times New Roman"/>
          <w:i/>
          <w:sz w:val="24"/>
        </w:rPr>
        <w:t>Brunner v Greensla</w:t>
      </w:r>
      <w:r w:rsidR="00AB30FD" w:rsidRPr="00333D58">
        <w:rPr>
          <w:rFonts w:ascii="Times New Roman" w:hAnsi="Times New Roman"/>
          <w:i/>
          <w:sz w:val="24"/>
        </w:rPr>
        <w:t>de</w:t>
      </w:r>
      <w:r w:rsidRPr="00333D58">
        <w:rPr>
          <w:rFonts w:ascii="Times New Roman" w:hAnsi="Times New Roman"/>
          <w:sz w:val="24"/>
        </w:rPr>
        <w:t xml:space="preserve"> </w:t>
      </w:r>
      <w:r w:rsidR="0088184D" w:rsidRPr="00333D58">
        <w:rPr>
          <w:rFonts w:ascii="Times New Roman" w:hAnsi="Times New Roman"/>
          <w:sz w:val="24"/>
        </w:rPr>
        <w:t>[</w:t>
      </w:r>
      <w:r w:rsidRPr="00333D58">
        <w:rPr>
          <w:rFonts w:ascii="Times New Roman" w:hAnsi="Times New Roman"/>
          <w:sz w:val="24"/>
        </w:rPr>
        <w:t>1971</w:t>
      </w:r>
      <w:r w:rsidR="0088184D" w:rsidRPr="00333D58">
        <w:rPr>
          <w:rFonts w:ascii="Times New Roman" w:hAnsi="Times New Roman"/>
          <w:sz w:val="24"/>
        </w:rPr>
        <w:t>]</w:t>
      </w:r>
      <w:r w:rsidRPr="00333D58">
        <w:rPr>
          <w:rFonts w:ascii="Times New Roman" w:hAnsi="Times New Roman"/>
          <w:sz w:val="24"/>
        </w:rPr>
        <w:t xml:space="preserve"> Ch 993</w:t>
      </w:r>
      <w:r w:rsidR="00257F0C" w:rsidRPr="00333D58">
        <w:rPr>
          <w:rFonts w:ascii="Times New Roman" w:hAnsi="Times New Roman"/>
          <w:sz w:val="24"/>
        </w:rPr>
        <w:t xml:space="preserve"> at </w:t>
      </w:r>
      <w:r w:rsidRPr="00333D58">
        <w:rPr>
          <w:rFonts w:ascii="Times New Roman" w:hAnsi="Times New Roman"/>
          <w:sz w:val="24"/>
        </w:rPr>
        <w:t xml:space="preserve">1003 per </w:t>
      </w:r>
      <w:r w:rsidRPr="00333D58">
        <w:rPr>
          <w:rFonts w:ascii="Times New Roman" w:hAnsi="Times New Roman"/>
          <w:sz w:val="24"/>
        </w:rPr>
        <w:t>Megarry J.</w:t>
      </w:r>
    </w:p>
  </w:footnote>
  <w:footnote w:id="29">
    <w:p w14:paraId="185C6B40" w14:textId="3AD77B72" w:rsidR="00C8760A" w:rsidRPr="00333D58" w:rsidRDefault="00C8760A" w:rsidP="00333D58">
      <w:pPr>
        <w:pStyle w:val="FootnoteText"/>
        <w:spacing w:line="280" w:lineRule="exact"/>
        <w:ind w:right="0"/>
        <w:jc w:val="both"/>
        <w:rPr>
          <w:rFonts w:ascii="Times New Roman" w:hAnsi="Times New Roman"/>
          <w:sz w:val="24"/>
        </w:rPr>
      </w:pPr>
      <w:r w:rsidRPr="00333D58">
        <w:rPr>
          <w:rStyle w:val="FootnoteReference"/>
          <w:rFonts w:ascii="Times New Roman" w:hAnsi="Times New Roman"/>
          <w:sz w:val="22"/>
          <w:vertAlign w:val="baseline"/>
        </w:rPr>
        <w:footnoteRef/>
      </w:r>
      <w:r w:rsidRPr="00333D58">
        <w:rPr>
          <w:rFonts w:ascii="Times New Roman" w:hAnsi="Times New Roman"/>
          <w:sz w:val="24"/>
        </w:rPr>
        <w:t xml:space="preserve"> </w:t>
      </w:r>
      <w:r w:rsidRPr="00333D58">
        <w:rPr>
          <w:rFonts w:ascii="Times New Roman" w:hAnsi="Times New Roman"/>
          <w:sz w:val="24"/>
        </w:rPr>
        <w:tab/>
      </w:r>
      <w:r w:rsidR="004B450C" w:rsidRPr="00333D58">
        <w:rPr>
          <w:rFonts w:ascii="Times New Roman" w:hAnsi="Times New Roman"/>
          <w:i/>
          <w:color w:val="000000"/>
          <w:sz w:val="24"/>
          <w:shd w:val="clear" w:color="auto" w:fill="FFFFFF"/>
        </w:rPr>
        <w:t>Beba Enterprises Pty Ltd v Gadens Lawyers</w:t>
      </w:r>
      <w:r w:rsidR="004B450C" w:rsidRPr="00333D58">
        <w:rPr>
          <w:rFonts w:ascii="Times New Roman" w:hAnsi="Times New Roman"/>
          <w:color w:val="000000"/>
          <w:sz w:val="24"/>
          <w:shd w:val="clear" w:color="auto" w:fill="FFFFFF"/>
        </w:rPr>
        <w:t xml:space="preserve"> (</w:t>
      </w:r>
      <w:r w:rsidR="004B450C" w:rsidRPr="00333D58">
        <w:rPr>
          <w:rFonts w:ascii="Times New Roman" w:hAnsi="Times New Roman"/>
          <w:sz w:val="24"/>
        </w:rPr>
        <w:t xml:space="preserve">2013) 41 VR 590 at 608 [81]-[82]; </w:t>
      </w:r>
      <w:r w:rsidR="003F5A4A" w:rsidRPr="00333D58">
        <w:rPr>
          <w:rFonts w:ascii="Times New Roman" w:hAnsi="Times New Roman"/>
          <w:i/>
          <w:sz w:val="24"/>
        </w:rPr>
        <w:t>Rae &amp; Partners Pty v Shaw</w:t>
      </w:r>
      <w:r w:rsidR="003F5A4A" w:rsidRPr="00333D58">
        <w:rPr>
          <w:rFonts w:ascii="Times New Roman" w:hAnsi="Times New Roman"/>
          <w:sz w:val="24"/>
        </w:rPr>
        <w:t xml:space="preserve"> [2020] TASFC 14</w:t>
      </w:r>
      <w:r w:rsidR="00A50220" w:rsidRPr="00333D58">
        <w:rPr>
          <w:rFonts w:ascii="Times New Roman" w:hAnsi="Times New Roman"/>
          <w:sz w:val="24"/>
        </w:rPr>
        <w:t xml:space="preserve"> at [131]</w:t>
      </w:r>
      <w:r w:rsidR="004B450C" w:rsidRPr="00333D58">
        <w:rPr>
          <w:rFonts w:ascii="Times New Roman" w:hAnsi="Times New Roman"/>
          <w:sz w:val="24"/>
        </w:rPr>
        <w:t>.</w:t>
      </w:r>
      <w:r w:rsidR="003F5A4A" w:rsidRPr="00333D58">
        <w:rPr>
          <w:rFonts w:ascii="Times New Roman" w:hAnsi="Times New Roman"/>
          <w:sz w:val="24"/>
        </w:rPr>
        <w:t xml:space="preserve"> </w:t>
      </w:r>
    </w:p>
  </w:footnote>
  <w:footnote w:id="30">
    <w:p w14:paraId="72DF6AF1" w14:textId="77777777" w:rsidR="0039239E" w:rsidRPr="00333D58" w:rsidRDefault="0039239E" w:rsidP="00333D58">
      <w:pPr>
        <w:pStyle w:val="FootnoteText"/>
        <w:spacing w:line="280" w:lineRule="exact"/>
        <w:ind w:right="0"/>
        <w:jc w:val="both"/>
        <w:rPr>
          <w:rFonts w:ascii="Times New Roman" w:hAnsi="Times New Roman"/>
          <w:sz w:val="24"/>
        </w:rPr>
      </w:pPr>
      <w:r w:rsidRPr="00333D58">
        <w:rPr>
          <w:rStyle w:val="FootnoteReference"/>
          <w:rFonts w:ascii="Times New Roman" w:hAnsi="Times New Roman"/>
          <w:sz w:val="22"/>
          <w:vertAlign w:val="baseline"/>
        </w:rPr>
        <w:footnoteRef/>
      </w:r>
      <w:r w:rsidRPr="00333D58">
        <w:rPr>
          <w:rFonts w:ascii="Times New Roman" w:hAnsi="Times New Roman"/>
          <w:sz w:val="24"/>
        </w:rPr>
        <w:t xml:space="preserve"> </w:t>
      </w:r>
      <w:r w:rsidRPr="00333D58">
        <w:rPr>
          <w:rFonts w:ascii="Times New Roman" w:hAnsi="Times New Roman"/>
          <w:sz w:val="24"/>
        </w:rPr>
        <w:tab/>
        <w:t>Limitation Act, s 5(1).</w:t>
      </w:r>
    </w:p>
  </w:footnote>
  <w:footnote w:id="31">
    <w:p w14:paraId="37DC15F6" w14:textId="7D1AFD86" w:rsidR="00D3603E" w:rsidRPr="00333D58" w:rsidRDefault="00D3603E" w:rsidP="00333D58">
      <w:pPr>
        <w:pStyle w:val="FootnoteText"/>
        <w:spacing w:line="280" w:lineRule="exact"/>
        <w:ind w:right="0"/>
        <w:jc w:val="both"/>
        <w:rPr>
          <w:rFonts w:ascii="Times New Roman" w:hAnsi="Times New Roman"/>
          <w:sz w:val="24"/>
        </w:rPr>
      </w:pPr>
      <w:r w:rsidRPr="00333D58">
        <w:rPr>
          <w:rStyle w:val="FootnoteReference"/>
          <w:rFonts w:ascii="Times New Roman" w:hAnsi="Times New Roman"/>
          <w:sz w:val="22"/>
          <w:vertAlign w:val="baseline"/>
        </w:rPr>
        <w:footnoteRef/>
      </w:r>
      <w:r w:rsidRPr="00333D58">
        <w:rPr>
          <w:rFonts w:ascii="Times New Roman" w:hAnsi="Times New Roman"/>
          <w:sz w:val="24"/>
        </w:rPr>
        <w:t xml:space="preserve"> </w:t>
      </w:r>
      <w:r w:rsidRPr="00333D58">
        <w:rPr>
          <w:rFonts w:ascii="Times New Roman" w:hAnsi="Times New Roman"/>
          <w:sz w:val="24"/>
        </w:rPr>
        <w:tab/>
        <w:t>(2019) 266 CLR 593</w:t>
      </w:r>
      <w:r w:rsidR="00D55422" w:rsidRPr="00333D58">
        <w:rPr>
          <w:rFonts w:ascii="Times New Roman" w:hAnsi="Times New Roman"/>
          <w:sz w:val="24"/>
        </w:rPr>
        <w:t xml:space="preserve"> at</w:t>
      </w:r>
      <w:r w:rsidRPr="00333D58">
        <w:rPr>
          <w:rFonts w:ascii="Times New Roman" w:hAnsi="Times New Roman"/>
          <w:sz w:val="24"/>
        </w:rPr>
        <w:t xml:space="preserve"> </w:t>
      </w:r>
      <w:r w:rsidR="00FD5931" w:rsidRPr="00333D58">
        <w:rPr>
          <w:rFonts w:ascii="Times New Roman" w:hAnsi="Times New Roman"/>
          <w:sz w:val="24"/>
        </w:rPr>
        <w:t>615</w:t>
      </w:r>
      <w:r w:rsidR="00714BE7" w:rsidRPr="00333D58">
        <w:rPr>
          <w:rFonts w:ascii="Times New Roman" w:hAnsi="Times New Roman"/>
          <w:sz w:val="24"/>
        </w:rPr>
        <w:t>-616</w:t>
      </w:r>
      <w:r w:rsidR="00FD5931" w:rsidRPr="00333D58">
        <w:rPr>
          <w:rFonts w:ascii="Times New Roman" w:hAnsi="Times New Roman"/>
          <w:sz w:val="24"/>
        </w:rPr>
        <w:t xml:space="preserve"> </w:t>
      </w:r>
      <w:r w:rsidRPr="00333D58">
        <w:rPr>
          <w:rFonts w:ascii="Times New Roman" w:hAnsi="Times New Roman"/>
          <w:sz w:val="24"/>
        </w:rPr>
        <w:t>[49].</w:t>
      </w:r>
    </w:p>
  </w:footnote>
  <w:footnote w:id="32">
    <w:p w14:paraId="1A836071" w14:textId="32EE478E" w:rsidR="00DE10FA" w:rsidRPr="00333D58" w:rsidRDefault="00DE10FA" w:rsidP="00333D58">
      <w:pPr>
        <w:pStyle w:val="FootnoteText"/>
        <w:spacing w:line="280" w:lineRule="exact"/>
        <w:ind w:right="0"/>
        <w:jc w:val="both"/>
        <w:rPr>
          <w:rFonts w:ascii="Times New Roman" w:hAnsi="Times New Roman"/>
          <w:sz w:val="24"/>
        </w:rPr>
      </w:pPr>
      <w:r w:rsidRPr="00333D58">
        <w:rPr>
          <w:rStyle w:val="FootnoteReference"/>
          <w:rFonts w:ascii="Times New Roman" w:hAnsi="Times New Roman"/>
          <w:sz w:val="22"/>
          <w:vertAlign w:val="baseline"/>
        </w:rPr>
        <w:footnoteRef/>
      </w:r>
      <w:r w:rsidRPr="00333D58">
        <w:rPr>
          <w:rFonts w:ascii="Times New Roman" w:hAnsi="Times New Roman"/>
          <w:sz w:val="24"/>
        </w:rPr>
        <w:t xml:space="preserve"> </w:t>
      </w:r>
      <w:r w:rsidRPr="00333D58">
        <w:rPr>
          <w:rFonts w:ascii="Times New Roman" w:hAnsi="Times New Roman"/>
          <w:sz w:val="24"/>
        </w:rPr>
        <w:tab/>
        <w:t>3 &amp; 4</w:t>
      </w:r>
      <w:r w:rsidR="000A2133" w:rsidRPr="00333D58">
        <w:rPr>
          <w:rFonts w:ascii="Times New Roman" w:hAnsi="Times New Roman"/>
          <w:sz w:val="24"/>
        </w:rPr>
        <w:t xml:space="preserve"> Wm IV c 27. </w:t>
      </w:r>
    </w:p>
  </w:footnote>
  <w:footnote w:id="33">
    <w:p w14:paraId="4D58A97F" w14:textId="29FA41AE" w:rsidR="000770CE" w:rsidRPr="00333D58" w:rsidRDefault="000770CE" w:rsidP="00333D58">
      <w:pPr>
        <w:pStyle w:val="FootnoteText"/>
        <w:spacing w:line="280" w:lineRule="exact"/>
        <w:ind w:right="0"/>
        <w:jc w:val="both"/>
        <w:rPr>
          <w:rFonts w:ascii="Times New Roman" w:hAnsi="Times New Roman"/>
          <w:sz w:val="24"/>
        </w:rPr>
      </w:pPr>
      <w:r w:rsidRPr="00333D58">
        <w:rPr>
          <w:rStyle w:val="FootnoteReference"/>
          <w:rFonts w:ascii="Times New Roman" w:hAnsi="Times New Roman"/>
          <w:sz w:val="22"/>
          <w:vertAlign w:val="baseline"/>
        </w:rPr>
        <w:footnoteRef/>
      </w:r>
      <w:r w:rsidRPr="00333D58">
        <w:rPr>
          <w:rFonts w:ascii="Times New Roman" w:hAnsi="Times New Roman"/>
          <w:sz w:val="24"/>
        </w:rPr>
        <w:t xml:space="preserve"> </w:t>
      </w:r>
      <w:r w:rsidRPr="00333D58">
        <w:rPr>
          <w:rFonts w:ascii="Times New Roman" w:hAnsi="Times New Roman"/>
          <w:sz w:val="24"/>
        </w:rPr>
        <w:tab/>
        <w:t xml:space="preserve">s 34. </w:t>
      </w:r>
    </w:p>
  </w:footnote>
  <w:footnote w:id="34">
    <w:p w14:paraId="46F39345" w14:textId="008E913C" w:rsidR="006B2C3A" w:rsidRPr="00333D58" w:rsidRDefault="006B2C3A" w:rsidP="00333D58">
      <w:pPr>
        <w:pStyle w:val="FootnoteText"/>
        <w:spacing w:line="280" w:lineRule="exact"/>
        <w:ind w:right="0"/>
        <w:jc w:val="both"/>
        <w:rPr>
          <w:rFonts w:ascii="Times New Roman" w:hAnsi="Times New Roman"/>
          <w:i/>
          <w:sz w:val="24"/>
        </w:rPr>
      </w:pPr>
      <w:r w:rsidRPr="00333D58">
        <w:rPr>
          <w:rStyle w:val="FootnoteReference"/>
          <w:rFonts w:ascii="Times New Roman" w:hAnsi="Times New Roman"/>
          <w:sz w:val="22"/>
          <w:vertAlign w:val="baseline"/>
        </w:rPr>
        <w:footnoteRef/>
      </w:r>
      <w:r w:rsidRPr="00333D58">
        <w:rPr>
          <w:rFonts w:ascii="Times New Roman" w:hAnsi="Times New Roman"/>
          <w:sz w:val="24"/>
        </w:rPr>
        <w:t xml:space="preserve"> </w:t>
      </w:r>
      <w:r w:rsidRPr="00333D58">
        <w:rPr>
          <w:rFonts w:ascii="Times New Roman" w:hAnsi="Times New Roman"/>
          <w:sz w:val="24"/>
        </w:rPr>
        <w:tab/>
        <w:t xml:space="preserve">Law </w:t>
      </w:r>
      <w:r w:rsidR="00E5689E" w:rsidRPr="00333D58">
        <w:rPr>
          <w:rFonts w:ascii="Times New Roman" w:hAnsi="Times New Roman"/>
          <w:sz w:val="24"/>
        </w:rPr>
        <w:t xml:space="preserve">Revision </w:t>
      </w:r>
      <w:r w:rsidRPr="00333D58">
        <w:rPr>
          <w:rFonts w:ascii="Times New Roman" w:hAnsi="Times New Roman"/>
          <w:sz w:val="24"/>
        </w:rPr>
        <w:t xml:space="preserve">Committee, </w:t>
      </w:r>
      <w:r w:rsidRPr="00333D58">
        <w:rPr>
          <w:rFonts w:ascii="Times New Roman" w:hAnsi="Times New Roman"/>
          <w:i/>
          <w:sz w:val="24"/>
        </w:rPr>
        <w:t>Fifth Interim Report (Statutes of Limitation)</w:t>
      </w:r>
      <w:r w:rsidR="009E36FA" w:rsidRPr="00333D58">
        <w:rPr>
          <w:rFonts w:ascii="Times New Roman" w:hAnsi="Times New Roman"/>
          <w:i/>
          <w:sz w:val="24"/>
        </w:rPr>
        <w:t xml:space="preserve"> </w:t>
      </w:r>
      <w:r w:rsidR="00C65CC9" w:rsidRPr="00333D58">
        <w:rPr>
          <w:rFonts w:ascii="Times New Roman" w:hAnsi="Times New Roman"/>
          <w:sz w:val="24"/>
        </w:rPr>
        <w:t>(</w:t>
      </w:r>
      <w:r w:rsidRPr="00333D58">
        <w:rPr>
          <w:rFonts w:ascii="Times New Roman" w:hAnsi="Times New Roman"/>
          <w:sz w:val="24"/>
        </w:rPr>
        <w:t>1936</w:t>
      </w:r>
      <w:r w:rsidR="00C65CC9" w:rsidRPr="00333D58">
        <w:rPr>
          <w:rFonts w:ascii="Times New Roman" w:hAnsi="Times New Roman"/>
          <w:sz w:val="24"/>
        </w:rPr>
        <w:t>)</w:t>
      </w:r>
      <w:r w:rsidR="009F5A44" w:rsidRPr="00333D58">
        <w:rPr>
          <w:rFonts w:ascii="Times New Roman" w:hAnsi="Times New Roman"/>
          <w:sz w:val="24"/>
        </w:rPr>
        <w:t xml:space="preserve"> </w:t>
      </w:r>
      <w:r w:rsidR="009F5A44" w:rsidRPr="00333D58">
        <w:rPr>
          <w:rFonts w:ascii="Times New Roman" w:hAnsi="Times New Roman"/>
          <w:sz w:val="24"/>
        </w:rPr>
        <w:t>Cmd</w:t>
      </w:r>
      <w:r w:rsidR="00430420" w:rsidRPr="00333D58">
        <w:rPr>
          <w:rFonts w:ascii="Times New Roman" w:hAnsi="Times New Roman"/>
          <w:sz w:val="24"/>
        </w:rPr>
        <w:t> </w:t>
      </w:r>
      <w:r w:rsidR="009F5A44" w:rsidRPr="00333D58">
        <w:rPr>
          <w:rFonts w:ascii="Times New Roman" w:hAnsi="Times New Roman"/>
          <w:sz w:val="24"/>
        </w:rPr>
        <w:t>5334</w:t>
      </w:r>
      <w:r w:rsidRPr="00333D58">
        <w:rPr>
          <w:rFonts w:ascii="Times New Roman" w:hAnsi="Times New Roman"/>
          <w:sz w:val="24"/>
        </w:rPr>
        <w:t xml:space="preserve"> at 34-35.</w:t>
      </w:r>
    </w:p>
  </w:footnote>
  <w:footnote w:id="35">
    <w:p w14:paraId="72082E00" w14:textId="651583DC" w:rsidR="00BC3336" w:rsidRPr="00333D58" w:rsidRDefault="00BC3336" w:rsidP="00333D58">
      <w:pPr>
        <w:pStyle w:val="FootnoteText"/>
        <w:spacing w:line="280" w:lineRule="exact"/>
        <w:ind w:right="0"/>
        <w:jc w:val="both"/>
        <w:rPr>
          <w:rFonts w:ascii="Times New Roman" w:hAnsi="Times New Roman"/>
          <w:sz w:val="24"/>
        </w:rPr>
      </w:pPr>
      <w:r w:rsidRPr="00333D58">
        <w:rPr>
          <w:rStyle w:val="FootnoteReference"/>
          <w:rFonts w:ascii="Times New Roman" w:hAnsi="Times New Roman"/>
          <w:sz w:val="22"/>
          <w:vertAlign w:val="baseline"/>
        </w:rPr>
        <w:footnoteRef/>
      </w:r>
      <w:r w:rsidRPr="00333D58">
        <w:rPr>
          <w:rFonts w:ascii="Times New Roman" w:hAnsi="Times New Roman"/>
          <w:sz w:val="24"/>
        </w:rPr>
        <w:t xml:space="preserve"> </w:t>
      </w:r>
      <w:r w:rsidRPr="00333D58">
        <w:rPr>
          <w:rFonts w:ascii="Times New Roman" w:hAnsi="Times New Roman"/>
          <w:sz w:val="24"/>
        </w:rPr>
        <w:tab/>
        <w:t xml:space="preserve">New South Wales Law Reform Commission, </w:t>
      </w:r>
      <w:r w:rsidR="003B2377" w:rsidRPr="00333D58">
        <w:rPr>
          <w:rFonts w:ascii="Times New Roman" w:hAnsi="Times New Roman"/>
          <w:i/>
          <w:sz w:val="24"/>
        </w:rPr>
        <w:t>Second Report on the Limitation of Actions</w:t>
      </w:r>
      <w:r w:rsidR="003C2B61" w:rsidRPr="00333D58">
        <w:rPr>
          <w:rFonts w:ascii="Times New Roman" w:hAnsi="Times New Roman"/>
          <w:sz w:val="24"/>
        </w:rPr>
        <w:t>,</w:t>
      </w:r>
      <w:r w:rsidR="003C2B61" w:rsidRPr="00333D58">
        <w:rPr>
          <w:rFonts w:ascii="Times New Roman" w:hAnsi="Times New Roman"/>
          <w:i/>
          <w:sz w:val="24"/>
        </w:rPr>
        <w:t xml:space="preserve"> </w:t>
      </w:r>
      <w:r w:rsidR="003C2B61" w:rsidRPr="00333D58">
        <w:rPr>
          <w:rFonts w:ascii="Times New Roman" w:hAnsi="Times New Roman"/>
          <w:sz w:val="24"/>
        </w:rPr>
        <w:t>LRC 12</w:t>
      </w:r>
      <w:r w:rsidR="00847213" w:rsidRPr="00333D58">
        <w:rPr>
          <w:rFonts w:ascii="Times New Roman" w:hAnsi="Times New Roman"/>
          <w:i/>
          <w:sz w:val="24"/>
        </w:rPr>
        <w:t xml:space="preserve"> </w:t>
      </w:r>
      <w:r w:rsidR="00847213" w:rsidRPr="00333D58">
        <w:rPr>
          <w:rFonts w:ascii="Times New Roman" w:hAnsi="Times New Roman"/>
          <w:sz w:val="24"/>
        </w:rPr>
        <w:t>(</w:t>
      </w:r>
      <w:r w:rsidR="009010D8" w:rsidRPr="00333D58">
        <w:rPr>
          <w:rFonts w:ascii="Times New Roman" w:hAnsi="Times New Roman"/>
          <w:sz w:val="24"/>
        </w:rPr>
        <w:t>1971) at</w:t>
      </w:r>
      <w:r w:rsidR="003C2B61" w:rsidRPr="00333D58">
        <w:rPr>
          <w:rFonts w:ascii="Times New Roman" w:hAnsi="Times New Roman"/>
          <w:sz w:val="24"/>
        </w:rPr>
        <w:t xml:space="preserve"> 11</w:t>
      </w:r>
      <w:r w:rsidR="009010D8" w:rsidRPr="00333D58">
        <w:rPr>
          <w:rFonts w:ascii="Times New Roman" w:hAnsi="Times New Roman"/>
          <w:sz w:val="24"/>
        </w:rPr>
        <w:t xml:space="preserve"> </w:t>
      </w:r>
      <w:r w:rsidR="000460AA" w:rsidRPr="00333D58">
        <w:rPr>
          <w:rFonts w:ascii="Times New Roman" w:hAnsi="Times New Roman"/>
          <w:sz w:val="24"/>
        </w:rPr>
        <w:t>[14]</w:t>
      </w:r>
      <w:r w:rsidR="003B2377" w:rsidRPr="00333D58">
        <w:rPr>
          <w:rFonts w:ascii="Times New Roman" w:hAnsi="Times New Roman"/>
          <w:sz w:val="24"/>
        </w:rPr>
        <w:t>.</w:t>
      </w:r>
    </w:p>
  </w:footnote>
  <w:footnote w:id="36">
    <w:p w14:paraId="25BCB507" w14:textId="2740F533" w:rsidR="003214CD" w:rsidRPr="00333D58" w:rsidRDefault="003214CD" w:rsidP="00333D58">
      <w:pPr>
        <w:pStyle w:val="FootnoteText"/>
        <w:spacing w:line="280" w:lineRule="exact"/>
        <w:ind w:right="0"/>
        <w:jc w:val="both"/>
        <w:rPr>
          <w:rFonts w:ascii="Times New Roman" w:hAnsi="Times New Roman"/>
          <w:sz w:val="24"/>
        </w:rPr>
      </w:pPr>
      <w:r w:rsidRPr="00333D58">
        <w:rPr>
          <w:rStyle w:val="FootnoteReference"/>
          <w:rFonts w:ascii="Times New Roman" w:hAnsi="Times New Roman"/>
          <w:sz w:val="22"/>
          <w:vertAlign w:val="baseline"/>
        </w:rPr>
        <w:footnoteRef/>
      </w:r>
      <w:r w:rsidRPr="00333D58">
        <w:rPr>
          <w:rFonts w:ascii="Times New Roman" w:hAnsi="Times New Roman"/>
          <w:sz w:val="24"/>
        </w:rPr>
        <w:t xml:space="preserve"> </w:t>
      </w:r>
      <w:r w:rsidRPr="00333D58">
        <w:rPr>
          <w:rFonts w:ascii="Times New Roman" w:hAnsi="Times New Roman"/>
          <w:sz w:val="24"/>
        </w:rPr>
        <w:tab/>
      </w:r>
      <w:r w:rsidR="00C36281" w:rsidRPr="00333D58">
        <w:rPr>
          <w:rFonts w:ascii="Times New Roman" w:hAnsi="Times New Roman"/>
          <w:i/>
          <w:sz w:val="24"/>
        </w:rPr>
        <w:t>Electricity</w:t>
      </w:r>
      <w:r w:rsidR="00517445" w:rsidRPr="00333D58">
        <w:rPr>
          <w:rFonts w:ascii="Times New Roman" w:hAnsi="Times New Roman"/>
          <w:i/>
          <w:sz w:val="24"/>
        </w:rPr>
        <w:t xml:space="preserve"> Generation</w:t>
      </w:r>
      <w:r w:rsidR="00C36281" w:rsidRPr="00333D58">
        <w:rPr>
          <w:rFonts w:ascii="Times New Roman" w:hAnsi="Times New Roman"/>
          <w:i/>
          <w:sz w:val="24"/>
        </w:rPr>
        <w:t xml:space="preserve"> Corporation v Woodside Energy</w:t>
      </w:r>
      <w:r w:rsidR="00517445" w:rsidRPr="00333D58">
        <w:rPr>
          <w:rFonts w:ascii="Times New Roman" w:hAnsi="Times New Roman"/>
          <w:i/>
          <w:sz w:val="24"/>
        </w:rPr>
        <w:t xml:space="preserve"> Ltd</w:t>
      </w:r>
      <w:r w:rsidR="00C36281" w:rsidRPr="00333D58">
        <w:rPr>
          <w:rFonts w:ascii="Times New Roman" w:hAnsi="Times New Roman"/>
          <w:sz w:val="24"/>
        </w:rPr>
        <w:t xml:space="preserve"> (2014) 251 CLR 640 at 656-657 [35]</w:t>
      </w:r>
      <w:r w:rsidR="00517445" w:rsidRPr="00333D58">
        <w:rPr>
          <w:rFonts w:ascii="Times New Roman" w:hAnsi="Times New Roman"/>
          <w:sz w:val="24"/>
        </w:rPr>
        <w:t>.</w:t>
      </w:r>
      <w:r w:rsidR="00C36281" w:rsidRPr="00333D58">
        <w:rPr>
          <w:rFonts w:ascii="Times New Roman" w:hAnsi="Times New Roman"/>
          <w:sz w:val="24"/>
        </w:rPr>
        <w:t xml:space="preserve"> </w:t>
      </w:r>
      <w:r w:rsidR="00517445" w:rsidRPr="00333D58">
        <w:rPr>
          <w:rFonts w:ascii="Times New Roman" w:hAnsi="Times New Roman"/>
          <w:sz w:val="24"/>
        </w:rPr>
        <w:t>S</w:t>
      </w:r>
      <w:r w:rsidR="00C36281" w:rsidRPr="00333D58">
        <w:rPr>
          <w:rFonts w:ascii="Times New Roman" w:hAnsi="Times New Roman"/>
          <w:sz w:val="24"/>
        </w:rPr>
        <w:t xml:space="preserve">ee also </w:t>
      </w:r>
      <w:r w:rsidR="00030844" w:rsidRPr="00333D58">
        <w:rPr>
          <w:rFonts w:ascii="Times New Roman" w:hAnsi="Times New Roman"/>
          <w:i/>
          <w:sz w:val="24"/>
        </w:rPr>
        <w:t>Sim</w:t>
      </w:r>
      <w:r w:rsidR="00026368" w:rsidRPr="00333D58">
        <w:rPr>
          <w:rFonts w:ascii="Times New Roman" w:hAnsi="Times New Roman"/>
          <w:i/>
          <w:sz w:val="24"/>
        </w:rPr>
        <w:t>i</w:t>
      </w:r>
      <w:r w:rsidR="00C32BFE" w:rsidRPr="00333D58">
        <w:rPr>
          <w:rFonts w:ascii="Times New Roman" w:hAnsi="Times New Roman"/>
          <w:i/>
          <w:sz w:val="24"/>
        </w:rPr>
        <w:t>c</w:t>
      </w:r>
      <w:r w:rsidR="00030844" w:rsidRPr="00333D58">
        <w:rPr>
          <w:rFonts w:ascii="Times New Roman" w:hAnsi="Times New Roman"/>
          <w:i/>
          <w:sz w:val="24"/>
        </w:rPr>
        <w:t xml:space="preserve"> v New South Wales Land </w:t>
      </w:r>
      <w:r w:rsidR="00C32BFE" w:rsidRPr="00333D58">
        <w:rPr>
          <w:rFonts w:ascii="Times New Roman" w:hAnsi="Times New Roman"/>
          <w:i/>
          <w:sz w:val="24"/>
        </w:rPr>
        <w:t>and</w:t>
      </w:r>
      <w:r w:rsidR="00030844" w:rsidRPr="00333D58">
        <w:rPr>
          <w:rFonts w:ascii="Times New Roman" w:hAnsi="Times New Roman"/>
          <w:i/>
          <w:sz w:val="24"/>
        </w:rPr>
        <w:t xml:space="preserve"> Housing Corporation</w:t>
      </w:r>
      <w:r w:rsidR="00030844" w:rsidRPr="00333D58">
        <w:rPr>
          <w:rFonts w:ascii="Times New Roman" w:hAnsi="Times New Roman"/>
          <w:sz w:val="24"/>
        </w:rPr>
        <w:t xml:space="preserve"> (2016) 260 CLR 85 at</w:t>
      </w:r>
      <w:r w:rsidR="00015504" w:rsidRPr="00333D58">
        <w:rPr>
          <w:rFonts w:ascii="Times New Roman" w:hAnsi="Times New Roman"/>
          <w:sz w:val="24"/>
        </w:rPr>
        <w:t xml:space="preserve"> 111</w:t>
      </w:r>
      <w:r w:rsidR="00030844" w:rsidRPr="00333D58">
        <w:rPr>
          <w:rFonts w:ascii="Times New Roman" w:hAnsi="Times New Roman"/>
          <w:sz w:val="24"/>
        </w:rPr>
        <w:t xml:space="preserve"> [78]</w:t>
      </w:r>
      <w:r w:rsidR="00517445" w:rsidRPr="00333D58">
        <w:rPr>
          <w:rFonts w:ascii="Times New Roman" w:hAnsi="Times New Roman"/>
          <w:sz w:val="24"/>
        </w:rPr>
        <w:t xml:space="preserve">; </w:t>
      </w:r>
      <w:r w:rsidR="00517445" w:rsidRPr="00333D58">
        <w:rPr>
          <w:rFonts w:ascii="Times New Roman" w:hAnsi="Times New Roman"/>
          <w:i/>
          <w:sz w:val="24"/>
        </w:rPr>
        <w:t xml:space="preserve">Ecosse Property Holding Pty Ltd v Gee Dee Nominees Pty Ltd </w:t>
      </w:r>
      <w:r w:rsidR="00517445" w:rsidRPr="00333D58">
        <w:rPr>
          <w:rFonts w:ascii="Times New Roman" w:hAnsi="Times New Roman"/>
          <w:sz w:val="24"/>
        </w:rPr>
        <w:t>(2017) 261 CLR 544 at 551 [16]-[17], 554-555 [24]-[25].</w:t>
      </w:r>
    </w:p>
  </w:footnote>
  <w:footnote w:id="37">
    <w:p w14:paraId="503BEF7D" w14:textId="32E9B89B" w:rsidR="0029771B" w:rsidRPr="00333D58" w:rsidRDefault="0029771B" w:rsidP="00333D58">
      <w:pPr>
        <w:pStyle w:val="FootnoteText"/>
        <w:spacing w:line="280" w:lineRule="exact"/>
        <w:ind w:right="0"/>
        <w:jc w:val="both"/>
        <w:rPr>
          <w:rFonts w:ascii="Times New Roman" w:hAnsi="Times New Roman"/>
          <w:sz w:val="24"/>
        </w:rPr>
      </w:pPr>
      <w:r w:rsidRPr="00333D58">
        <w:rPr>
          <w:rStyle w:val="FootnoteReference"/>
          <w:rFonts w:ascii="Times New Roman" w:hAnsi="Times New Roman"/>
          <w:sz w:val="22"/>
          <w:vertAlign w:val="baseline"/>
        </w:rPr>
        <w:footnoteRef/>
      </w:r>
      <w:r w:rsidRPr="00333D58">
        <w:rPr>
          <w:rFonts w:ascii="Times New Roman" w:hAnsi="Times New Roman"/>
          <w:sz w:val="24"/>
        </w:rPr>
        <w:t xml:space="preserve"> </w:t>
      </w:r>
      <w:r w:rsidRPr="00333D58">
        <w:rPr>
          <w:rFonts w:ascii="Times New Roman" w:hAnsi="Times New Roman"/>
          <w:sz w:val="24"/>
        </w:rPr>
        <w:tab/>
      </w:r>
      <w:r w:rsidR="004F32C1" w:rsidRPr="00333D58">
        <w:rPr>
          <w:rFonts w:ascii="Times New Roman" w:hAnsi="Times New Roman"/>
          <w:i/>
          <w:sz w:val="24"/>
        </w:rPr>
        <w:t>Spoor v Price</w:t>
      </w:r>
      <w:r w:rsidR="004F32C1" w:rsidRPr="00333D58">
        <w:rPr>
          <w:rFonts w:ascii="Times New Roman" w:hAnsi="Times New Roman"/>
          <w:sz w:val="24"/>
        </w:rPr>
        <w:t xml:space="preserve"> (2019) 3 QR 176 </w:t>
      </w:r>
      <w:r w:rsidRPr="00333D58">
        <w:rPr>
          <w:rFonts w:ascii="Times New Roman" w:hAnsi="Times New Roman"/>
          <w:sz w:val="24"/>
        </w:rPr>
        <w:t xml:space="preserve">at </w:t>
      </w:r>
      <w:r w:rsidR="004E4568" w:rsidRPr="00333D58">
        <w:rPr>
          <w:rFonts w:ascii="Times New Roman" w:hAnsi="Times New Roman"/>
          <w:sz w:val="24"/>
        </w:rPr>
        <w:t xml:space="preserve">192 </w:t>
      </w:r>
      <w:r w:rsidR="00EF43A0" w:rsidRPr="00333D58">
        <w:rPr>
          <w:rFonts w:ascii="Times New Roman" w:hAnsi="Times New Roman"/>
          <w:sz w:val="24"/>
        </w:rPr>
        <w:t>[</w:t>
      </w:r>
      <w:r w:rsidRPr="00333D58">
        <w:rPr>
          <w:rFonts w:ascii="Times New Roman" w:hAnsi="Times New Roman"/>
          <w:sz w:val="24"/>
        </w:rPr>
        <w:t>6</w:t>
      </w:r>
      <w:r w:rsidR="00AF07F6" w:rsidRPr="00333D58">
        <w:rPr>
          <w:rFonts w:ascii="Times New Roman" w:hAnsi="Times New Roman"/>
          <w:sz w:val="24"/>
        </w:rPr>
        <w:t>4</w:t>
      </w:r>
      <w:r w:rsidR="00EF43A0" w:rsidRPr="00333D58">
        <w:rPr>
          <w:rFonts w:ascii="Times New Roman" w:hAnsi="Times New Roman"/>
          <w:sz w:val="24"/>
        </w:rPr>
        <w:t>]</w:t>
      </w:r>
      <w:r w:rsidRPr="00333D58">
        <w:rPr>
          <w:rFonts w:ascii="Times New Roman" w:hAnsi="Times New Roman"/>
          <w:sz w:val="24"/>
        </w:rPr>
        <w:t>.</w:t>
      </w:r>
    </w:p>
  </w:footnote>
  <w:footnote w:id="38">
    <w:p w14:paraId="52B029A1" w14:textId="20935E93" w:rsidR="00BE31AE" w:rsidRPr="00333D58" w:rsidRDefault="00BE31AE" w:rsidP="00333D58">
      <w:pPr>
        <w:pStyle w:val="FootnoteText"/>
        <w:spacing w:line="280" w:lineRule="exact"/>
        <w:ind w:right="0"/>
        <w:jc w:val="both"/>
        <w:rPr>
          <w:rFonts w:ascii="Times New Roman" w:hAnsi="Times New Roman"/>
          <w:sz w:val="24"/>
        </w:rPr>
      </w:pPr>
      <w:r w:rsidRPr="00333D58">
        <w:rPr>
          <w:rStyle w:val="FootnoteReference"/>
          <w:rFonts w:ascii="Times New Roman" w:hAnsi="Times New Roman"/>
          <w:sz w:val="22"/>
          <w:vertAlign w:val="baseline"/>
        </w:rPr>
        <w:footnoteRef/>
      </w:r>
      <w:r w:rsidRPr="00333D58">
        <w:rPr>
          <w:rFonts w:ascii="Times New Roman" w:hAnsi="Times New Roman"/>
          <w:sz w:val="24"/>
        </w:rPr>
        <w:t xml:space="preserve"> </w:t>
      </w:r>
      <w:r w:rsidRPr="00333D58">
        <w:rPr>
          <w:rFonts w:ascii="Times New Roman" w:hAnsi="Times New Roman"/>
          <w:sz w:val="24"/>
        </w:rPr>
        <w:tab/>
      </w:r>
      <w:r w:rsidR="006104C3" w:rsidRPr="00333D58">
        <w:rPr>
          <w:rFonts w:ascii="Times New Roman" w:hAnsi="Times New Roman"/>
          <w:i/>
          <w:sz w:val="24"/>
        </w:rPr>
        <w:t xml:space="preserve">The Commonwealth v </w:t>
      </w:r>
      <w:r w:rsidR="006104C3" w:rsidRPr="00333D58">
        <w:rPr>
          <w:rFonts w:ascii="Times New Roman" w:hAnsi="Times New Roman"/>
          <w:i/>
          <w:sz w:val="24"/>
        </w:rPr>
        <w:t>Verwayen</w:t>
      </w:r>
      <w:r w:rsidR="006104C3" w:rsidRPr="00333D58">
        <w:rPr>
          <w:rFonts w:ascii="Times New Roman" w:hAnsi="Times New Roman"/>
          <w:sz w:val="24"/>
        </w:rPr>
        <w:t xml:space="preserve"> (1990) 170 CLR 394 </w:t>
      </w:r>
      <w:r w:rsidRPr="00333D58">
        <w:rPr>
          <w:rFonts w:ascii="Times New Roman" w:hAnsi="Times New Roman"/>
          <w:sz w:val="24"/>
        </w:rPr>
        <w:t>at 426.</w:t>
      </w:r>
    </w:p>
  </w:footnote>
  <w:footnote w:id="39">
    <w:p w14:paraId="3419AF7E" w14:textId="5B11A9B1" w:rsidR="00B24721" w:rsidRPr="00333D58" w:rsidRDefault="00B24721" w:rsidP="00333D58">
      <w:pPr>
        <w:pStyle w:val="FootnoteText"/>
        <w:spacing w:line="280" w:lineRule="exact"/>
        <w:ind w:right="0"/>
        <w:jc w:val="both"/>
        <w:rPr>
          <w:rFonts w:ascii="Times New Roman" w:hAnsi="Times New Roman"/>
          <w:sz w:val="24"/>
        </w:rPr>
      </w:pPr>
      <w:r w:rsidRPr="00333D58">
        <w:rPr>
          <w:rStyle w:val="FootnoteReference"/>
          <w:rFonts w:ascii="Times New Roman" w:hAnsi="Times New Roman"/>
          <w:sz w:val="22"/>
          <w:vertAlign w:val="baseline"/>
        </w:rPr>
        <w:footnoteRef/>
      </w:r>
      <w:r w:rsidRPr="00333D58">
        <w:rPr>
          <w:rFonts w:ascii="Times New Roman" w:hAnsi="Times New Roman"/>
          <w:sz w:val="24"/>
        </w:rPr>
        <w:t xml:space="preserve"> </w:t>
      </w:r>
      <w:r w:rsidRPr="00333D58">
        <w:rPr>
          <w:rFonts w:ascii="Times New Roman" w:hAnsi="Times New Roman"/>
          <w:sz w:val="24"/>
        </w:rPr>
        <w:tab/>
      </w:r>
      <w:r w:rsidR="00A03900" w:rsidRPr="00333D58">
        <w:rPr>
          <w:rFonts w:ascii="Times New Roman" w:hAnsi="Times New Roman"/>
          <w:i/>
          <w:sz w:val="24"/>
        </w:rPr>
        <w:t xml:space="preserve">The Commonwealth v </w:t>
      </w:r>
      <w:r w:rsidR="00A03900" w:rsidRPr="00333D58">
        <w:rPr>
          <w:rFonts w:ascii="Times New Roman" w:hAnsi="Times New Roman"/>
          <w:i/>
          <w:sz w:val="24"/>
        </w:rPr>
        <w:t>Verwayen</w:t>
      </w:r>
      <w:r w:rsidR="00A03900" w:rsidRPr="00333D58">
        <w:rPr>
          <w:rFonts w:ascii="Times New Roman" w:hAnsi="Times New Roman"/>
          <w:sz w:val="24"/>
        </w:rPr>
        <w:t xml:space="preserve"> (1990) 170 CLR 394 </w:t>
      </w:r>
      <w:r w:rsidRPr="00333D58">
        <w:rPr>
          <w:rFonts w:ascii="Times New Roman" w:hAnsi="Times New Roman"/>
          <w:sz w:val="24"/>
        </w:rPr>
        <w:t>at 504.</w:t>
      </w:r>
    </w:p>
  </w:footnote>
  <w:footnote w:id="40">
    <w:p w14:paraId="527FC163" w14:textId="0F9AA209" w:rsidR="0061142E" w:rsidRPr="00333D58" w:rsidRDefault="0061142E" w:rsidP="00333D58">
      <w:pPr>
        <w:pStyle w:val="FootnoteText"/>
        <w:spacing w:line="280" w:lineRule="exact"/>
        <w:ind w:right="0"/>
        <w:jc w:val="both"/>
        <w:rPr>
          <w:rFonts w:ascii="Times New Roman" w:hAnsi="Times New Roman"/>
          <w:sz w:val="24"/>
        </w:rPr>
      </w:pPr>
      <w:r w:rsidRPr="00333D58">
        <w:rPr>
          <w:rStyle w:val="FootnoteReference"/>
          <w:rFonts w:ascii="Times New Roman" w:hAnsi="Times New Roman"/>
          <w:sz w:val="22"/>
          <w:vertAlign w:val="baseline"/>
        </w:rPr>
        <w:footnoteRef/>
      </w:r>
      <w:r w:rsidRPr="00333D58">
        <w:rPr>
          <w:rFonts w:ascii="Times New Roman" w:hAnsi="Times New Roman"/>
          <w:sz w:val="24"/>
        </w:rPr>
        <w:t xml:space="preserve"> </w:t>
      </w:r>
      <w:r w:rsidRPr="00333D58">
        <w:rPr>
          <w:rFonts w:ascii="Times New Roman" w:hAnsi="Times New Roman"/>
          <w:sz w:val="24"/>
        </w:rPr>
        <w:tab/>
        <w:t>(1849) 7 Moo PC 85</w:t>
      </w:r>
      <w:r w:rsidR="00AD3E95" w:rsidRPr="00333D58">
        <w:rPr>
          <w:rFonts w:ascii="Times New Roman" w:hAnsi="Times New Roman"/>
          <w:sz w:val="24"/>
        </w:rPr>
        <w:t xml:space="preserve"> </w:t>
      </w:r>
      <w:r w:rsidR="00777F57" w:rsidRPr="00333D58">
        <w:rPr>
          <w:rFonts w:ascii="Times New Roman" w:hAnsi="Times New Roman"/>
          <w:sz w:val="24"/>
        </w:rPr>
        <w:t>[</w:t>
      </w:r>
      <w:r w:rsidRPr="00333D58">
        <w:rPr>
          <w:rFonts w:ascii="Times New Roman" w:hAnsi="Times New Roman"/>
          <w:sz w:val="24"/>
        </w:rPr>
        <w:t>13 ER 811</w:t>
      </w:r>
      <w:r w:rsidR="00777F57" w:rsidRPr="00333D58">
        <w:rPr>
          <w:rFonts w:ascii="Times New Roman" w:hAnsi="Times New Roman"/>
          <w:sz w:val="24"/>
        </w:rPr>
        <w:t>]</w:t>
      </w:r>
      <w:r w:rsidRPr="00333D58">
        <w:rPr>
          <w:rFonts w:ascii="Times New Roman" w:hAnsi="Times New Roman"/>
          <w:sz w:val="24"/>
        </w:rPr>
        <w:t>.</w:t>
      </w:r>
    </w:p>
  </w:footnote>
  <w:footnote w:id="41">
    <w:p w14:paraId="470C88B8" w14:textId="21DEB9C4" w:rsidR="009A48E1" w:rsidRPr="00333D58" w:rsidRDefault="009A48E1" w:rsidP="00333D58">
      <w:pPr>
        <w:pStyle w:val="FootnoteText"/>
        <w:spacing w:line="280" w:lineRule="exact"/>
        <w:ind w:right="0"/>
        <w:jc w:val="both"/>
        <w:rPr>
          <w:rFonts w:ascii="Times New Roman" w:hAnsi="Times New Roman"/>
          <w:sz w:val="24"/>
        </w:rPr>
      </w:pPr>
      <w:r w:rsidRPr="00333D58">
        <w:rPr>
          <w:rStyle w:val="FootnoteReference"/>
          <w:rFonts w:ascii="Times New Roman" w:hAnsi="Times New Roman"/>
          <w:sz w:val="22"/>
          <w:vertAlign w:val="baseline"/>
        </w:rPr>
        <w:footnoteRef/>
      </w:r>
      <w:r w:rsidRPr="00333D58">
        <w:rPr>
          <w:rFonts w:ascii="Times New Roman" w:hAnsi="Times New Roman"/>
          <w:sz w:val="24"/>
        </w:rPr>
        <w:t xml:space="preserve"> </w:t>
      </w:r>
      <w:r w:rsidRPr="00333D58">
        <w:rPr>
          <w:rFonts w:ascii="Times New Roman" w:hAnsi="Times New Roman"/>
          <w:sz w:val="24"/>
        </w:rPr>
        <w:tab/>
      </w:r>
      <w:r w:rsidR="00EA0D43" w:rsidRPr="00333D58">
        <w:rPr>
          <w:rFonts w:ascii="Times New Roman" w:hAnsi="Times New Roman"/>
          <w:i/>
          <w:sz w:val="24"/>
        </w:rPr>
        <w:t xml:space="preserve">East India Company v </w:t>
      </w:r>
      <w:r w:rsidR="00EA0D43" w:rsidRPr="00333D58">
        <w:rPr>
          <w:rFonts w:ascii="Times New Roman" w:hAnsi="Times New Roman"/>
          <w:i/>
          <w:sz w:val="24"/>
        </w:rPr>
        <w:t>Oditchurn Paul</w:t>
      </w:r>
      <w:r w:rsidR="00EA0D43" w:rsidRPr="00333D58">
        <w:rPr>
          <w:rFonts w:ascii="Times New Roman" w:hAnsi="Times New Roman"/>
          <w:sz w:val="24"/>
        </w:rPr>
        <w:t xml:space="preserve"> (1849) 7 Moo PC 85</w:t>
      </w:r>
      <w:r w:rsidR="00511F83" w:rsidRPr="00333D58">
        <w:rPr>
          <w:rFonts w:ascii="Times New Roman" w:hAnsi="Times New Roman"/>
          <w:sz w:val="24"/>
        </w:rPr>
        <w:t xml:space="preserve"> </w:t>
      </w:r>
      <w:r w:rsidR="00915558" w:rsidRPr="00333D58">
        <w:rPr>
          <w:rFonts w:ascii="Times New Roman" w:hAnsi="Times New Roman"/>
          <w:sz w:val="24"/>
        </w:rPr>
        <w:t>at 11</w:t>
      </w:r>
      <w:r w:rsidR="001E6766" w:rsidRPr="00333D58">
        <w:rPr>
          <w:rFonts w:ascii="Times New Roman" w:hAnsi="Times New Roman"/>
          <w:sz w:val="24"/>
        </w:rPr>
        <w:t>1</w:t>
      </w:r>
      <w:r w:rsidR="00EA0D43" w:rsidRPr="00333D58">
        <w:rPr>
          <w:rFonts w:ascii="Times New Roman" w:hAnsi="Times New Roman"/>
          <w:sz w:val="24"/>
        </w:rPr>
        <w:t xml:space="preserve"> </w:t>
      </w:r>
      <w:r w:rsidR="007903EC" w:rsidRPr="00333D58">
        <w:rPr>
          <w:rFonts w:ascii="Times New Roman" w:hAnsi="Times New Roman"/>
          <w:sz w:val="24"/>
        </w:rPr>
        <w:t>[</w:t>
      </w:r>
      <w:r w:rsidR="00EA0D43" w:rsidRPr="00333D58">
        <w:rPr>
          <w:rFonts w:ascii="Times New Roman" w:hAnsi="Times New Roman"/>
          <w:sz w:val="24"/>
        </w:rPr>
        <w:t xml:space="preserve">13 ER 811 </w:t>
      </w:r>
      <w:r w:rsidRPr="00333D58">
        <w:rPr>
          <w:rFonts w:ascii="Times New Roman" w:hAnsi="Times New Roman"/>
          <w:sz w:val="24"/>
        </w:rPr>
        <w:t xml:space="preserve">at </w:t>
      </w:r>
      <w:r w:rsidR="00E4420A" w:rsidRPr="00333D58">
        <w:rPr>
          <w:rFonts w:ascii="Times New Roman" w:hAnsi="Times New Roman"/>
          <w:sz w:val="24"/>
        </w:rPr>
        <w:t>821</w:t>
      </w:r>
      <w:r w:rsidR="00FC780A" w:rsidRPr="00333D58">
        <w:rPr>
          <w:rFonts w:ascii="Times New Roman" w:hAnsi="Times New Roman"/>
          <w:sz w:val="24"/>
        </w:rPr>
        <w:t>]</w:t>
      </w:r>
      <w:r w:rsidRPr="00333D58">
        <w:rPr>
          <w:rFonts w:ascii="Times New Roman" w:hAnsi="Times New Roman"/>
          <w:sz w:val="24"/>
        </w:rPr>
        <w:t>.</w:t>
      </w:r>
    </w:p>
  </w:footnote>
  <w:footnote w:id="42">
    <w:p w14:paraId="3ABC9246" w14:textId="4682DF59" w:rsidR="00520998" w:rsidRPr="00333D58" w:rsidRDefault="00520998" w:rsidP="00333D58">
      <w:pPr>
        <w:pStyle w:val="FootnoteText"/>
        <w:spacing w:line="280" w:lineRule="exact"/>
        <w:ind w:right="0"/>
        <w:jc w:val="both"/>
        <w:rPr>
          <w:rFonts w:ascii="Times New Roman" w:hAnsi="Times New Roman"/>
          <w:sz w:val="24"/>
        </w:rPr>
      </w:pPr>
      <w:r w:rsidRPr="00333D58">
        <w:rPr>
          <w:rStyle w:val="FootnoteReference"/>
          <w:rFonts w:ascii="Times New Roman" w:hAnsi="Times New Roman"/>
          <w:sz w:val="22"/>
          <w:vertAlign w:val="baseline"/>
        </w:rPr>
        <w:footnoteRef/>
      </w:r>
      <w:r w:rsidRPr="00333D58">
        <w:rPr>
          <w:rFonts w:ascii="Times New Roman" w:hAnsi="Times New Roman"/>
          <w:sz w:val="24"/>
        </w:rPr>
        <w:t xml:space="preserve"> </w:t>
      </w:r>
      <w:r w:rsidRPr="00333D58">
        <w:rPr>
          <w:rFonts w:ascii="Times New Roman" w:hAnsi="Times New Roman"/>
          <w:sz w:val="24"/>
        </w:rPr>
        <w:tab/>
      </w:r>
      <w:r w:rsidR="00EA0D43" w:rsidRPr="00333D58">
        <w:rPr>
          <w:rFonts w:ascii="Times New Roman" w:hAnsi="Times New Roman"/>
          <w:i/>
          <w:sz w:val="24"/>
        </w:rPr>
        <w:t xml:space="preserve">East India Company v </w:t>
      </w:r>
      <w:r w:rsidR="00EA0D43" w:rsidRPr="00333D58">
        <w:rPr>
          <w:rFonts w:ascii="Times New Roman" w:hAnsi="Times New Roman"/>
          <w:i/>
          <w:sz w:val="24"/>
        </w:rPr>
        <w:t>Oditchurn Paul</w:t>
      </w:r>
      <w:r w:rsidR="00EA0D43" w:rsidRPr="00333D58">
        <w:rPr>
          <w:rFonts w:ascii="Times New Roman" w:hAnsi="Times New Roman"/>
          <w:sz w:val="24"/>
        </w:rPr>
        <w:t xml:space="preserve"> (1849) 7 Moo PC 85 </w:t>
      </w:r>
      <w:r w:rsidR="00B050ED" w:rsidRPr="00333D58">
        <w:rPr>
          <w:rFonts w:ascii="Times New Roman" w:hAnsi="Times New Roman"/>
          <w:sz w:val="24"/>
        </w:rPr>
        <w:t>at 11</w:t>
      </w:r>
      <w:r w:rsidR="00DF7BD7" w:rsidRPr="00333D58">
        <w:rPr>
          <w:rFonts w:ascii="Times New Roman" w:hAnsi="Times New Roman"/>
          <w:sz w:val="24"/>
        </w:rPr>
        <w:t>2</w:t>
      </w:r>
      <w:r w:rsidR="00B050ED" w:rsidRPr="00333D58">
        <w:rPr>
          <w:rFonts w:ascii="Times New Roman" w:hAnsi="Times New Roman"/>
          <w:sz w:val="24"/>
        </w:rPr>
        <w:t xml:space="preserve"> </w:t>
      </w:r>
      <w:r w:rsidR="00493ACA" w:rsidRPr="00333D58">
        <w:rPr>
          <w:rFonts w:ascii="Times New Roman" w:hAnsi="Times New Roman"/>
          <w:sz w:val="24"/>
        </w:rPr>
        <w:t>[</w:t>
      </w:r>
      <w:r w:rsidR="00EA0D43" w:rsidRPr="00333D58">
        <w:rPr>
          <w:rFonts w:ascii="Times New Roman" w:hAnsi="Times New Roman"/>
          <w:sz w:val="24"/>
        </w:rPr>
        <w:t xml:space="preserve">13 ER 811 </w:t>
      </w:r>
      <w:r w:rsidRPr="00333D58">
        <w:rPr>
          <w:rFonts w:ascii="Times New Roman" w:hAnsi="Times New Roman"/>
          <w:sz w:val="24"/>
        </w:rPr>
        <w:t>at 821</w:t>
      </w:r>
      <w:r w:rsidR="005713DB" w:rsidRPr="00333D58">
        <w:rPr>
          <w:rFonts w:ascii="Times New Roman" w:hAnsi="Times New Roman"/>
          <w:sz w:val="24"/>
        </w:rPr>
        <w:t>-822</w:t>
      </w:r>
      <w:r w:rsidR="00FC780A" w:rsidRPr="00333D58">
        <w:rPr>
          <w:rFonts w:ascii="Times New Roman" w:hAnsi="Times New Roman"/>
          <w:sz w:val="24"/>
        </w:rPr>
        <w:t>]</w:t>
      </w:r>
      <w:r w:rsidRPr="00333D58">
        <w:rPr>
          <w:rFonts w:ascii="Times New Roman" w:hAnsi="Times New Roman"/>
          <w:sz w:val="24"/>
        </w:rPr>
        <w:t>.</w:t>
      </w:r>
    </w:p>
  </w:footnote>
  <w:footnote w:id="43">
    <w:p w14:paraId="13787534" w14:textId="77777777" w:rsidR="00227893" w:rsidRPr="00333D58" w:rsidRDefault="00227893" w:rsidP="00333D58">
      <w:pPr>
        <w:pStyle w:val="FootnoteText"/>
        <w:spacing w:line="280" w:lineRule="exact"/>
        <w:ind w:right="0"/>
        <w:jc w:val="both"/>
        <w:rPr>
          <w:rFonts w:ascii="Times New Roman" w:hAnsi="Times New Roman"/>
          <w:sz w:val="24"/>
        </w:rPr>
      </w:pPr>
      <w:r w:rsidRPr="00333D58">
        <w:rPr>
          <w:rStyle w:val="FootnoteReference"/>
          <w:rFonts w:ascii="Times New Roman" w:hAnsi="Times New Roman"/>
          <w:sz w:val="22"/>
          <w:vertAlign w:val="baseline"/>
        </w:rPr>
        <w:footnoteRef/>
      </w:r>
      <w:r w:rsidRPr="00333D58">
        <w:rPr>
          <w:rFonts w:ascii="Times New Roman" w:hAnsi="Times New Roman"/>
          <w:sz w:val="24"/>
        </w:rPr>
        <w:t xml:space="preserve"> </w:t>
      </w:r>
      <w:r w:rsidRPr="00333D58">
        <w:rPr>
          <w:rFonts w:ascii="Times New Roman" w:hAnsi="Times New Roman"/>
          <w:sz w:val="24"/>
        </w:rPr>
        <w:tab/>
      </w:r>
      <w:r w:rsidRPr="00333D58">
        <w:rPr>
          <w:rFonts w:ascii="Times New Roman" w:hAnsi="Times New Roman"/>
          <w:i/>
          <w:sz w:val="24"/>
        </w:rPr>
        <w:t xml:space="preserve">East India Company v </w:t>
      </w:r>
      <w:r w:rsidRPr="00333D58">
        <w:rPr>
          <w:rFonts w:ascii="Times New Roman" w:hAnsi="Times New Roman"/>
          <w:i/>
          <w:sz w:val="24"/>
        </w:rPr>
        <w:t>Oditchurn Paul</w:t>
      </w:r>
      <w:r w:rsidRPr="00333D58">
        <w:rPr>
          <w:rFonts w:ascii="Times New Roman" w:hAnsi="Times New Roman"/>
          <w:sz w:val="24"/>
        </w:rPr>
        <w:t xml:space="preserve"> (1849) 7 Moo PC 85 at 111 [13 ER 811 at 821].</w:t>
      </w:r>
    </w:p>
  </w:footnote>
  <w:footnote w:id="44">
    <w:p w14:paraId="1BA8AE03" w14:textId="77777777" w:rsidR="008447C0" w:rsidRPr="00BD791C" w:rsidRDefault="008447C0" w:rsidP="00BD791C">
      <w:pPr>
        <w:pStyle w:val="FootnoteText"/>
        <w:spacing w:line="280" w:lineRule="exact"/>
        <w:ind w:right="0"/>
        <w:jc w:val="both"/>
        <w:rPr>
          <w:rFonts w:ascii="Times New Roman" w:hAnsi="Times New Roman"/>
          <w:sz w:val="24"/>
        </w:rPr>
      </w:pPr>
      <w:r w:rsidRPr="00BD791C">
        <w:rPr>
          <w:rStyle w:val="FootnoteReference"/>
          <w:rFonts w:ascii="Times New Roman" w:hAnsi="Times New Roman"/>
          <w:sz w:val="22"/>
          <w:vertAlign w:val="baseline"/>
        </w:rPr>
        <w:footnoteRef/>
      </w:r>
      <w:r w:rsidRPr="00BD791C">
        <w:rPr>
          <w:rFonts w:ascii="Times New Roman" w:hAnsi="Times New Roman"/>
          <w:sz w:val="24"/>
        </w:rPr>
        <w:t xml:space="preserve"> </w:t>
      </w:r>
      <w:r w:rsidRPr="00BD791C">
        <w:rPr>
          <w:rFonts w:ascii="Times New Roman" w:hAnsi="Times New Roman"/>
          <w:sz w:val="24"/>
        </w:rPr>
        <w:tab/>
      </w:r>
      <w:r w:rsidRPr="00BD791C">
        <w:rPr>
          <w:rFonts w:ascii="Times New Roman" w:hAnsi="Times New Roman"/>
          <w:i/>
          <w:sz w:val="24"/>
        </w:rPr>
        <w:t>Brooks v Burns Philp Trustee Co Ltd</w:t>
      </w:r>
      <w:r w:rsidRPr="00BD791C">
        <w:rPr>
          <w:rFonts w:ascii="Times New Roman" w:hAnsi="Times New Roman"/>
          <w:sz w:val="24"/>
        </w:rPr>
        <w:t xml:space="preserve"> (1969) 121 CLR 432 at 456.</w:t>
      </w:r>
      <w:r>
        <w:rPr>
          <w:rFonts w:ascii="Times New Roman" w:hAnsi="Times New Roman"/>
          <w:sz w:val="24"/>
        </w:rPr>
        <w:t xml:space="preserve"> </w:t>
      </w:r>
      <w:r w:rsidRPr="00BD791C">
        <w:rPr>
          <w:rFonts w:ascii="Times New Roman" w:hAnsi="Times New Roman"/>
          <w:sz w:val="24"/>
        </w:rPr>
        <w:t xml:space="preserve">See also </w:t>
      </w:r>
      <w:r w:rsidRPr="00BD791C">
        <w:rPr>
          <w:rFonts w:ascii="Times New Roman" w:hAnsi="Times New Roman"/>
          <w:i/>
          <w:sz w:val="24"/>
        </w:rPr>
        <w:t>Westfield</w:t>
      </w:r>
      <w:r w:rsidRPr="00BD791C">
        <w:rPr>
          <w:rFonts w:ascii="Times New Roman" w:hAnsi="Times New Roman"/>
          <w:sz w:val="24"/>
        </w:rPr>
        <w:t xml:space="preserve"> </w:t>
      </w:r>
      <w:r w:rsidRPr="00BD791C">
        <w:rPr>
          <w:rFonts w:ascii="Times New Roman" w:hAnsi="Times New Roman"/>
          <w:i/>
          <w:sz w:val="24"/>
        </w:rPr>
        <w:t xml:space="preserve">Management Ltd v AMP Capital Property Nominees Ltd </w:t>
      </w:r>
      <w:r w:rsidRPr="00BD791C">
        <w:rPr>
          <w:rFonts w:ascii="Times New Roman" w:hAnsi="Times New Roman"/>
          <w:sz w:val="24"/>
        </w:rPr>
        <w:t>(2012) 247 CLR 129 at</w:t>
      </w:r>
      <w:r>
        <w:rPr>
          <w:rFonts w:ascii="Times New Roman" w:hAnsi="Times New Roman"/>
          <w:sz w:val="24"/>
        </w:rPr>
        <w:t> </w:t>
      </w:r>
      <w:r w:rsidRPr="00BD791C">
        <w:rPr>
          <w:rFonts w:ascii="Times New Roman" w:hAnsi="Times New Roman"/>
          <w:sz w:val="24"/>
        </w:rPr>
        <w:t>143-144 [46].</w:t>
      </w:r>
    </w:p>
  </w:footnote>
  <w:footnote w:id="45">
    <w:p w14:paraId="31285C91" w14:textId="77777777" w:rsidR="008447C0" w:rsidRPr="00BD791C" w:rsidRDefault="008447C0" w:rsidP="00BD791C">
      <w:pPr>
        <w:pStyle w:val="FootnoteText"/>
        <w:spacing w:line="280" w:lineRule="exact"/>
        <w:ind w:right="0"/>
        <w:jc w:val="both"/>
        <w:rPr>
          <w:rFonts w:ascii="Times New Roman" w:hAnsi="Times New Roman"/>
          <w:sz w:val="24"/>
        </w:rPr>
      </w:pPr>
      <w:r w:rsidRPr="00BD791C">
        <w:rPr>
          <w:rStyle w:val="FootnoteReference"/>
          <w:rFonts w:ascii="Times New Roman" w:hAnsi="Times New Roman"/>
          <w:sz w:val="22"/>
          <w:vertAlign w:val="baseline"/>
        </w:rPr>
        <w:footnoteRef/>
      </w:r>
      <w:r w:rsidRPr="00BD791C">
        <w:rPr>
          <w:rFonts w:ascii="Times New Roman" w:hAnsi="Times New Roman"/>
          <w:sz w:val="24"/>
        </w:rPr>
        <w:t xml:space="preserve"> </w:t>
      </w:r>
      <w:r w:rsidRPr="00BD791C">
        <w:rPr>
          <w:rFonts w:ascii="Times New Roman" w:hAnsi="Times New Roman"/>
          <w:sz w:val="24"/>
        </w:rPr>
        <w:tab/>
      </w:r>
      <w:r w:rsidRPr="00BD791C">
        <w:rPr>
          <w:rFonts w:ascii="Times New Roman" w:hAnsi="Times New Roman"/>
          <w:i/>
          <w:sz w:val="24"/>
        </w:rPr>
        <w:t xml:space="preserve">Brisbane City Council v Amos </w:t>
      </w:r>
      <w:r w:rsidRPr="00BD791C">
        <w:rPr>
          <w:rFonts w:ascii="Times New Roman" w:hAnsi="Times New Roman"/>
          <w:sz w:val="24"/>
        </w:rPr>
        <w:t>(2019) 266 CLR 593 at 615</w:t>
      </w:r>
      <w:r w:rsidRPr="00BD791C">
        <w:rPr>
          <w:rFonts w:ascii="Times New Roman" w:hAnsi="Times New Roman"/>
          <w:sz w:val="24"/>
        </w:rPr>
        <w:noBreakHyphen/>
        <w:t>616 [49].</w:t>
      </w:r>
      <w:r>
        <w:rPr>
          <w:rFonts w:ascii="Times New Roman" w:hAnsi="Times New Roman"/>
          <w:sz w:val="24"/>
        </w:rPr>
        <w:t xml:space="preserve"> </w:t>
      </w:r>
      <w:r w:rsidRPr="00BD791C">
        <w:rPr>
          <w:rFonts w:ascii="Times New Roman" w:hAnsi="Times New Roman"/>
          <w:sz w:val="24"/>
        </w:rPr>
        <w:t xml:space="preserve">See also, </w:t>
      </w:r>
      <w:r w:rsidRPr="00BD791C">
        <w:rPr>
          <w:rFonts w:ascii="Times New Roman" w:hAnsi="Times New Roman"/>
          <w:sz w:val="24"/>
        </w:rPr>
        <w:t xml:space="preserve">eg, </w:t>
      </w:r>
      <w:r w:rsidRPr="00BD791C">
        <w:rPr>
          <w:rFonts w:ascii="Times New Roman" w:hAnsi="Times New Roman"/>
          <w:i/>
          <w:sz w:val="24"/>
        </w:rPr>
        <w:t xml:space="preserve">Berowra Holdings Pty Ltd v Gordon </w:t>
      </w:r>
      <w:r w:rsidRPr="00BD791C">
        <w:rPr>
          <w:rFonts w:ascii="Times New Roman" w:hAnsi="Times New Roman"/>
          <w:sz w:val="24"/>
        </w:rPr>
        <w:t xml:space="preserve">(2006) 225 CLR 364 at 372 [20]; </w:t>
      </w:r>
      <w:r w:rsidRPr="00BD791C">
        <w:rPr>
          <w:rFonts w:ascii="Times New Roman" w:hAnsi="Times New Roman"/>
          <w:i/>
          <w:sz w:val="24"/>
        </w:rPr>
        <w:t xml:space="preserve">Minister for Home Affairs v DMA18 </w:t>
      </w:r>
      <w:r w:rsidRPr="00BD791C">
        <w:rPr>
          <w:rFonts w:ascii="Times New Roman" w:hAnsi="Times New Roman"/>
          <w:sz w:val="24"/>
        </w:rPr>
        <w:t>(2020) 95 ALJR 14 at 18 [4], 23-24 [30]-[31]; 385 ALR 16 at 19, 26-27.</w:t>
      </w:r>
    </w:p>
  </w:footnote>
  <w:footnote w:id="46">
    <w:p w14:paraId="7473F858" w14:textId="77777777" w:rsidR="008447C0" w:rsidRPr="00BD791C" w:rsidRDefault="008447C0" w:rsidP="00BD791C">
      <w:pPr>
        <w:pStyle w:val="FootnoteText"/>
        <w:spacing w:line="280" w:lineRule="exact"/>
        <w:ind w:right="0"/>
        <w:jc w:val="both"/>
        <w:rPr>
          <w:rFonts w:ascii="Times New Roman" w:hAnsi="Times New Roman"/>
          <w:sz w:val="24"/>
        </w:rPr>
      </w:pPr>
      <w:r w:rsidRPr="00BD791C">
        <w:rPr>
          <w:rStyle w:val="FootnoteReference"/>
          <w:rFonts w:ascii="Times New Roman" w:hAnsi="Times New Roman"/>
          <w:sz w:val="22"/>
          <w:vertAlign w:val="baseline"/>
        </w:rPr>
        <w:footnoteRef/>
      </w:r>
      <w:r w:rsidRPr="00BD791C">
        <w:rPr>
          <w:rFonts w:ascii="Times New Roman" w:hAnsi="Times New Roman"/>
          <w:sz w:val="24"/>
        </w:rPr>
        <w:t xml:space="preserve"> </w:t>
      </w:r>
      <w:r w:rsidRPr="00BD791C">
        <w:rPr>
          <w:rFonts w:ascii="Times New Roman" w:hAnsi="Times New Roman"/>
          <w:sz w:val="24"/>
        </w:rPr>
        <w:tab/>
      </w:r>
      <w:r w:rsidRPr="00BD791C">
        <w:rPr>
          <w:rFonts w:ascii="Times New Roman" w:hAnsi="Times New Roman"/>
          <w:i/>
          <w:sz w:val="24"/>
        </w:rPr>
        <w:t xml:space="preserve">Courtenay v Williams </w:t>
      </w:r>
      <w:r w:rsidRPr="00BD791C">
        <w:rPr>
          <w:rFonts w:ascii="Times New Roman" w:hAnsi="Times New Roman"/>
          <w:sz w:val="24"/>
        </w:rPr>
        <w:t xml:space="preserve">(1844) 3 Hare 539 at 551-552 [67 ER 494 at 500]; </w:t>
      </w:r>
      <w:r w:rsidRPr="00BD791C">
        <w:rPr>
          <w:rFonts w:ascii="Times New Roman" w:hAnsi="Times New Roman"/>
          <w:i/>
          <w:sz w:val="24"/>
        </w:rPr>
        <w:t xml:space="preserve">In re </w:t>
      </w:r>
      <w:r w:rsidRPr="00BD791C">
        <w:rPr>
          <w:rFonts w:ascii="Times New Roman" w:hAnsi="Times New Roman"/>
          <w:i/>
          <w:sz w:val="24"/>
        </w:rPr>
        <w:t xml:space="preserve">Rownson; Field v White </w:t>
      </w:r>
      <w:r w:rsidRPr="00BD791C">
        <w:rPr>
          <w:rFonts w:ascii="Times New Roman" w:hAnsi="Times New Roman"/>
          <w:sz w:val="24"/>
        </w:rPr>
        <w:t xml:space="preserve">(1885) 29 Ch D 358 at 364; </w:t>
      </w:r>
      <w:r w:rsidRPr="00BD791C">
        <w:rPr>
          <w:rFonts w:ascii="Times New Roman" w:hAnsi="Times New Roman"/>
          <w:i/>
          <w:sz w:val="24"/>
        </w:rPr>
        <w:t xml:space="preserve">Jones v Bellgrove Properties Ltd </w:t>
      </w:r>
      <w:r w:rsidRPr="00BD791C">
        <w:rPr>
          <w:rFonts w:ascii="Times New Roman" w:hAnsi="Times New Roman"/>
          <w:sz w:val="24"/>
        </w:rPr>
        <w:t xml:space="preserve">[1949] 2 KB 700 at 704; </w:t>
      </w:r>
      <w:r w:rsidRPr="00BD791C">
        <w:rPr>
          <w:rFonts w:ascii="Times New Roman" w:hAnsi="Times New Roman"/>
          <w:i/>
          <w:sz w:val="24"/>
        </w:rPr>
        <w:t xml:space="preserve">Ketteman v Hansel Properties Ltd </w:t>
      </w:r>
      <w:r w:rsidRPr="00BD791C">
        <w:rPr>
          <w:rFonts w:ascii="Times New Roman" w:hAnsi="Times New Roman"/>
          <w:sz w:val="24"/>
        </w:rPr>
        <w:t>[1987] AC 189 at</w:t>
      </w:r>
      <w:r>
        <w:rPr>
          <w:rFonts w:ascii="Times New Roman" w:hAnsi="Times New Roman"/>
          <w:sz w:val="24"/>
        </w:rPr>
        <w:t> </w:t>
      </w:r>
      <w:r w:rsidRPr="00BD791C">
        <w:rPr>
          <w:rFonts w:ascii="Times New Roman" w:hAnsi="Times New Roman"/>
          <w:sz w:val="24"/>
        </w:rPr>
        <w:t xml:space="preserve">219; </w:t>
      </w:r>
      <w:r w:rsidRPr="00BD791C">
        <w:rPr>
          <w:rFonts w:ascii="Times New Roman" w:hAnsi="Times New Roman"/>
          <w:i/>
          <w:sz w:val="24"/>
        </w:rPr>
        <w:t xml:space="preserve">The Commonwealth v Verwayen </w:t>
      </w:r>
      <w:r w:rsidRPr="00BD791C">
        <w:rPr>
          <w:rFonts w:ascii="Times New Roman" w:hAnsi="Times New Roman"/>
          <w:sz w:val="24"/>
        </w:rPr>
        <w:t>(1990) 170 CLR 394</w:t>
      </w:r>
      <w:r w:rsidRPr="00BD791C">
        <w:rPr>
          <w:rFonts w:ascii="Times New Roman" w:hAnsi="Times New Roman"/>
          <w:i/>
          <w:sz w:val="24"/>
        </w:rPr>
        <w:t xml:space="preserve"> </w:t>
      </w:r>
      <w:r w:rsidRPr="00BD791C">
        <w:rPr>
          <w:rFonts w:ascii="Times New Roman" w:hAnsi="Times New Roman"/>
          <w:sz w:val="24"/>
        </w:rPr>
        <w:t xml:space="preserve">at 405; </w:t>
      </w:r>
      <w:r w:rsidRPr="00BD791C">
        <w:rPr>
          <w:rFonts w:ascii="Times New Roman" w:hAnsi="Times New Roman"/>
          <w:i/>
          <w:sz w:val="24"/>
        </w:rPr>
        <w:t xml:space="preserve">The Commonwealth v Mewett </w:t>
      </w:r>
      <w:r w:rsidRPr="00BD791C">
        <w:rPr>
          <w:rFonts w:ascii="Times New Roman" w:hAnsi="Times New Roman"/>
          <w:sz w:val="24"/>
        </w:rPr>
        <w:t>(1997) 191 CLR 471 at 534</w:t>
      </w:r>
      <w:r w:rsidRPr="00BD791C">
        <w:rPr>
          <w:rFonts w:ascii="Times New Roman" w:hAnsi="Times New Roman"/>
          <w:sz w:val="24"/>
        </w:rPr>
        <w:noBreakHyphen/>
        <w:t xml:space="preserve">535; </w:t>
      </w:r>
      <w:r w:rsidRPr="00BD791C">
        <w:rPr>
          <w:rFonts w:ascii="Times New Roman" w:hAnsi="Times New Roman"/>
          <w:i/>
          <w:sz w:val="24"/>
        </w:rPr>
        <w:t xml:space="preserve">Amos </w:t>
      </w:r>
      <w:r w:rsidRPr="00BD791C">
        <w:rPr>
          <w:rFonts w:ascii="Times New Roman" w:hAnsi="Times New Roman"/>
          <w:sz w:val="24"/>
        </w:rPr>
        <w:t>(2019) 266 CLR 593 at 599 [7].</w:t>
      </w:r>
    </w:p>
  </w:footnote>
  <w:footnote w:id="47">
    <w:p w14:paraId="200B47B9" w14:textId="77777777" w:rsidR="008447C0" w:rsidRPr="00BD791C" w:rsidRDefault="008447C0" w:rsidP="00BD791C">
      <w:pPr>
        <w:pStyle w:val="FootnoteText"/>
        <w:spacing w:line="280" w:lineRule="exact"/>
        <w:ind w:right="0"/>
        <w:jc w:val="both"/>
        <w:rPr>
          <w:rFonts w:ascii="Times New Roman" w:hAnsi="Times New Roman"/>
          <w:sz w:val="24"/>
        </w:rPr>
      </w:pPr>
      <w:r w:rsidRPr="00BD791C">
        <w:rPr>
          <w:rStyle w:val="FootnoteReference"/>
          <w:rFonts w:ascii="Times New Roman" w:hAnsi="Times New Roman"/>
          <w:sz w:val="22"/>
          <w:vertAlign w:val="baseline"/>
        </w:rPr>
        <w:footnoteRef/>
      </w:r>
      <w:r w:rsidRPr="00BD791C">
        <w:rPr>
          <w:rFonts w:ascii="Times New Roman" w:hAnsi="Times New Roman"/>
          <w:sz w:val="24"/>
        </w:rPr>
        <w:t xml:space="preserve"> </w:t>
      </w:r>
      <w:r w:rsidRPr="00BD791C">
        <w:rPr>
          <w:rFonts w:ascii="Times New Roman" w:hAnsi="Times New Roman"/>
          <w:sz w:val="24"/>
        </w:rPr>
        <w:tab/>
      </w:r>
      <w:r w:rsidRPr="00BD791C">
        <w:rPr>
          <w:rFonts w:ascii="Times New Roman" w:hAnsi="Times New Roman"/>
          <w:i/>
          <w:sz w:val="24"/>
        </w:rPr>
        <w:t xml:space="preserve">Verwayen </w:t>
      </w:r>
      <w:r w:rsidRPr="00BD791C">
        <w:rPr>
          <w:rFonts w:ascii="Times New Roman" w:hAnsi="Times New Roman"/>
          <w:sz w:val="24"/>
        </w:rPr>
        <w:t>(1990) 170 CLR 394 at 405-406.</w:t>
      </w:r>
    </w:p>
  </w:footnote>
  <w:footnote w:id="48">
    <w:p w14:paraId="6BCB5281" w14:textId="77777777" w:rsidR="008447C0" w:rsidRPr="00BD791C" w:rsidRDefault="008447C0" w:rsidP="00BD791C">
      <w:pPr>
        <w:pStyle w:val="FootnoteText"/>
        <w:spacing w:line="280" w:lineRule="exact"/>
        <w:ind w:right="0"/>
        <w:jc w:val="both"/>
        <w:rPr>
          <w:rFonts w:ascii="Times New Roman" w:hAnsi="Times New Roman"/>
          <w:sz w:val="24"/>
        </w:rPr>
      </w:pPr>
      <w:r w:rsidRPr="00BD791C">
        <w:rPr>
          <w:rStyle w:val="FootnoteReference"/>
          <w:rFonts w:ascii="Times New Roman" w:hAnsi="Times New Roman"/>
          <w:sz w:val="22"/>
          <w:vertAlign w:val="baseline"/>
        </w:rPr>
        <w:footnoteRef/>
      </w:r>
      <w:r w:rsidRPr="00BD791C">
        <w:rPr>
          <w:rFonts w:ascii="Times New Roman" w:hAnsi="Times New Roman"/>
          <w:sz w:val="24"/>
        </w:rPr>
        <w:t xml:space="preserve"> </w:t>
      </w:r>
      <w:r w:rsidRPr="00BD791C">
        <w:rPr>
          <w:rFonts w:ascii="Times New Roman" w:hAnsi="Times New Roman"/>
          <w:sz w:val="24"/>
        </w:rPr>
        <w:tab/>
      </w:r>
      <w:r w:rsidRPr="00BD791C">
        <w:rPr>
          <w:rFonts w:ascii="Times New Roman" w:hAnsi="Times New Roman"/>
          <w:i/>
          <w:sz w:val="24"/>
        </w:rPr>
        <w:t xml:space="preserve">Pacific Carriers Ltd v BNP Paribas </w:t>
      </w:r>
      <w:r w:rsidRPr="00BD791C">
        <w:rPr>
          <w:rFonts w:ascii="Times New Roman" w:hAnsi="Times New Roman"/>
          <w:sz w:val="24"/>
        </w:rPr>
        <w:t>(2004) 218 CLR 451 at 461</w:t>
      </w:r>
      <w:r w:rsidRPr="00BD791C">
        <w:rPr>
          <w:rFonts w:ascii="Times New Roman" w:hAnsi="Times New Roman"/>
          <w:sz w:val="24"/>
        </w:rPr>
        <w:noBreakHyphen/>
        <w:t>462 [22], citing</w:t>
      </w:r>
      <w:r>
        <w:rPr>
          <w:rFonts w:ascii="Times New Roman" w:hAnsi="Times New Roman"/>
          <w:sz w:val="24"/>
        </w:rPr>
        <w:t> </w:t>
      </w:r>
      <w:r w:rsidRPr="00BD791C">
        <w:rPr>
          <w:rFonts w:ascii="Times New Roman" w:hAnsi="Times New Roman"/>
          <w:i/>
          <w:sz w:val="24"/>
        </w:rPr>
        <w:t>Gissing v Gissing</w:t>
      </w:r>
      <w:r w:rsidRPr="00BD791C">
        <w:rPr>
          <w:rFonts w:ascii="Times New Roman" w:hAnsi="Times New Roman"/>
          <w:color w:val="000000"/>
          <w:sz w:val="24"/>
          <w:szCs w:val="27"/>
          <w:shd w:val="clear" w:color="auto" w:fill="FFFFFF"/>
        </w:rPr>
        <w:t xml:space="preserve"> [1971] AC 886 at 906; </w:t>
      </w:r>
      <w:r w:rsidRPr="00BD791C">
        <w:rPr>
          <w:rFonts w:ascii="Times New Roman" w:hAnsi="Times New Roman"/>
          <w:i/>
          <w:color w:val="000000"/>
          <w:sz w:val="24"/>
          <w:szCs w:val="27"/>
          <w:shd w:val="clear" w:color="auto" w:fill="FFFFFF"/>
        </w:rPr>
        <w:t xml:space="preserve">Christopher Hill Ltd v </w:t>
      </w:r>
      <w:r w:rsidRPr="00BD791C">
        <w:rPr>
          <w:rFonts w:ascii="Times New Roman" w:hAnsi="Times New Roman"/>
          <w:i/>
          <w:color w:val="000000"/>
          <w:sz w:val="24"/>
          <w:szCs w:val="27"/>
          <w:shd w:val="clear" w:color="auto" w:fill="FFFFFF"/>
        </w:rPr>
        <w:t>Ashington Piggeries Ltd</w:t>
      </w:r>
      <w:r w:rsidRPr="00BD791C">
        <w:rPr>
          <w:rFonts w:ascii="Times New Roman" w:hAnsi="Times New Roman"/>
          <w:color w:val="000000"/>
          <w:sz w:val="24"/>
          <w:szCs w:val="27"/>
          <w:shd w:val="clear" w:color="auto" w:fill="FFFFFF"/>
        </w:rPr>
        <w:t> [1972] AC 441 at 502;</w:t>
      </w:r>
      <w:bookmarkStart w:id="2" w:name="disp36"/>
      <w:r w:rsidRPr="00BD791C">
        <w:rPr>
          <w:rFonts w:ascii="Times New Roman" w:hAnsi="Times New Roman"/>
          <w:color w:val="000000"/>
          <w:sz w:val="24"/>
          <w:szCs w:val="27"/>
          <w:shd w:val="clear" w:color="auto" w:fill="FFFFFF"/>
        </w:rPr>
        <w:t xml:space="preserve"> </w:t>
      </w:r>
      <w:r w:rsidRPr="00BD791C">
        <w:rPr>
          <w:rFonts w:ascii="Times New Roman" w:hAnsi="Times New Roman"/>
          <w:i/>
          <w:color w:val="000000"/>
          <w:sz w:val="24"/>
          <w:szCs w:val="27"/>
          <w:shd w:val="clear" w:color="auto" w:fill="FFFFFF"/>
        </w:rPr>
        <w:t xml:space="preserve">Australian Broadcasting Corporation </w:t>
      </w:r>
      <w:bookmarkEnd w:id="2"/>
      <w:r w:rsidRPr="00BD791C">
        <w:rPr>
          <w:rFonts w:ascii="Times New Roman" w:hAnsi="Times New Roman"/>
          <w:i/>
          <w:color w:val="000000"/>
          <w:sz w:val="24"/>
          <w:szCs w:val="27"/>
          <w:shd w:val="clear" w:color="auto" w:fill="FFFFFF"/>
        </w:rPr>
        <w:t>v XIVth</w:t>
      </w:r>
      <w:r>
        <w:rPr>
          <w:rFonts w:ascii="Times New Roman" w:hAnsi="Times New Roman"/>
          <w:i/>
          <w:color w:val="000000"/>
          <w:sz w:val="24"/>
          <w:szCs w:val="27"/>
          <w:shd w:val="clear" w:color="auto" w:fill="FFFFFF"/>
        </w:rPr>
        <w:t> </w:t>
      </w:r>
      <w:r w:rsidRPr="00BD791C">
        <w:rPr>
          <w:rFonts w:ascii="Times New Roman" w:hAnsi="Times New Roman"/>
          <w:i/>
          <w:color w:val="000000"/>
          <w:sz w:val="24"/>
          <w:szCs w:val="27"/>
          <w:shd w:val="clear" w:color="auto" w:fill="FFFFFF"/>
        </w:rPr>
        <w:t>Commonwealth Games Ltd</w:t>
      </w:r>
      <w:r w:rsidRPr="00BD791C">
        <w:rPr>
          <w:rFonts w:ascii="Times New Roman" w:hAnsi="Times New Roman"/>
          <w:color w:val="000000"/>
          <w:sz w:val="24"/>
          <w:szCs w:val="27"/>
          <w:shd w:val="clear" w:color="auto" w:fill="FFFFFF"/>
        </w:rPr>
        <w:t> (1988) 18 NSWLR 540.</w:t>
      </w:r>
      <w:r>
        <w:rPr>
          <w:rFonts w:ascii="Times New Roman" w:hAnsi="Times New Roman"/>
          <w:color w:val="000000"/>
          <w:sz w:val="24"/>
          <w:szCs w:val="27"/>
          <w:shd w:val="clear" w:color="auto" w:fill="FFFFFF"/>
        </w:rPr>
        <w:t xml:space="preserve"> </w:t>
      </w:r>
      <w:r w:rsidRPr="00BD791C">
        <w:rPr>
          <w:rFonts w:ascii="Times New Roman" w:hAnsi="Times New Roman"/>
          <w:color w:val="000000"/>
          <w:sz w:val="24"/>
          <w:szCs w:val="27"/>
          <w:shd w:val="clear" w:color="auto" w:fill="FFFFFF"/>
        </w:rPr>
        <w:t xml:space="preserve">See also, eg, </w:t>
      </w:r>
      <w:r w:rsidRPr="00BD791C">
        <w:rPr>
          <w:rFonts w:ascii="Times New Roman" w:hAnsi="Times New Roman"/>
          <w:i/>
          <w:color w:val="000000"/>
          <w:sz w:val="24"/>
          <w:szCs w:val="27"/>
          <w:shd w:val="clear" w:color="auto" w:fill="FFFFFF"/>
        </w:rPr>
        <w:t>Electricity</w:t>
      </w:r>
      <w:r>
        <w:rPr>
          <w:rFonts w:ascii="Times New Roman" w:hAnsi="Times New Roman"/>
          <w:i/>
          <w:color w:val="000000"/>
          <w:sz w:val="24"/>
          <w:szCs w:val="27"/>
          <w:shd w:val="clear" w:color="auto" w:fill="FFFFFF"/>
        </w:rPr>
        <w:t> </w:t>
      </w:r>
      <w:r w:rsidRPr="00BD791C">
        <w:rPr>
          <w:rFonts w:ascii="Times New Roman" w:hAnsi="Times New Roman"/>
          <w:i/>
          <w:color w:val="000000"/>
          <w:sz w:val="24"/>
          <w:szCs w:val="27"/>
          <w:shd w:val="clear" w:color="auto" w:fill="FFFFFF"/>
        </w:rPr>
        <w:t xml:space="preserve">Generation Corporation v Woodside Energy Ltd </w:t>
      </w:r>
      <w:r w:rsidRPr="00BD791C">
        <w:rPr>
          <w:rFonts w:ascii="Times New Roman" w:hAnsi="Times New Roman"/>
          <w:color w:val="000000"/>
          <w:sz w:val="24"/>
          <w:szCs w:val="27"/>
          <w:shd w:val="clear" w:color="auto" w:fill="FFFFFF"/>
        </w:rPr>
        <w:t>(2014) 251 CLR 640 at</w:t>
      </w:r>
      <w:r>
        <w:rPr>
          <w:rFonts w:ascii="Times New Roman" w:hAnsi="Times New Roman"/>
          <w:color w:val="000000"/>
          <w:sz w:val="24"/>
          <w:szCs w:val="27"/>
          <w:shd w:val="clear" w:color="auto" w:fill="FFFFFF"/>
        </w:rPr>
        <w:t> </w:t>
      </w:r>
      <w:r w:rsidRPr="00BD791C">
        <w:rPr>
          <w:rFonts w:ascii="Times New Roman" w:hAnsi="Times New Roman"/>
          <w:color w:val="000000"/>
          <w:sz w:val="24"/>
          <w:szCs w:val="27"/>
          <w:shd w:val="clear" w:color="auto" w:fill="FFFFFF"/>
        </w:rPr>
        <w:t xml:space="preserve">656-657 [35]; </w:t>
      </w:r>
      <w:r w:rsidRPr="00BD791C">
        <w:rPr>
          <w:rFonts w:ascii="Times New Roman" w:hAnsi="Times New Roman"/>
          <w:i/>
          <w:color w:val="000000"/>
          <w:sz w:val="24"/>
          <w:szCs w:val="27"/>
          <w:shd w:val="clear" w:color="auto" w:fill="FFFFFF"/>
        </w:rPr>
        <w:t>Mount Bruce Mining Pty Ltd v Wright Prospecting Pty Ltd</w:t>
      </w:r>
      <w:r w:rsidRPr="00BD791C">
        <w:rPr>
          <w:rFonts w:ascii="Times New Roman" w:hAnsi="Times New Roman"/>
          <w:color w:val="000000"/>
          <w:sz w:val="24"/>
          <w:szCs w:val="27"/>
          <w:shd w:val="clear" w:color="auto" w:fill="FFFFFF"/>
        </w:rPr>
        <w:t xml:space="preserve"> (2015) 256 CLR 104</w:t>
      </w:r>
      <w:r w:rsidRPr="00BD791C">
        <w:rPr>
          <w:rFonts w:ascii="Times New Roman" w:hAnsi="Times New Roman"/>
          <w:i/>
          <w:color w:val="000000"/>
          <w:sz w:val="24"/>
          <w:szCs w:val="27"/>
          <w:shd w:val="clear" w:color="auto" w:fill="FFFFFF"/>
        </w:rPr>
        <w:t xml:space="preserve"> </w:t>
      </w:r>
      <w:r w:rsidRPr="00BD791C">
        <w:rPr>
          <w:rFonts w:ascii="Times New Roman" w:hAnsi="Times New Roman"/>
          <w:color w:val="000000"/>
          <w:sz w:val="24"/>
          <w:szCs w:val="27"/>
          <w:shd w:val="clear" w:color="auto" w:fill="FFFFFF"/>
        </w:rPr>
        <w:t xml:space="preserve">at 116 [46]. </w:t>
      </w:r>
    </w:p>
  </w:footnote>
  <w:footnote w:id="49">
    <w:p w14:paraId="722917F2" w14:textId="77777777" w:rsidR="008447C0" w:rsidRPr="00BD791C" w:rsidRDefault="008447C0" w:rsidP="00BD791C">
      <w:pPr>
        <w:pStyle w:val="FootnoteText"/>
        <w:spacing w:line="280" w:lineRule="exact"/>
        <w:ind w:right="0"/>
        <w:jc w:val="both"/>
        <w:rPr>
          <w:rFonts w:ascii="Times New Roman" w:hAnsi="Times New Roman"/>
          <w:sz w:val="24"/>
        </w:rPr>
      </w:pPr>
      <w:r w:rsidRPr="00BD791C">
        <w:rPr>
          <w:rStyle w:val="FootnoteReference"/>
          <w:rFonts w:ascii="Times New Roman" w:hAnsi="Times New Roman"/>
          <w:sz w:val="22"/>
          <w:vertAlign w:val="baseline"/>
        </w:rPr>
        <w:footnoteRef/>
      </w:r>
      <w:r w:rsidRPr="00BD791C">
        <w:rPr>
          <w:rFonts w:ascii="Times New Roman" w:hAnsi="Times New Roman"/>
          <w:sz w:val="24"/>
        </w:rPr>
        <w:t xml:space="preserve"> </w:t>
      </w:r>
      <w:r w:rsidRPr="00BD791C">
        <w:rPr>
          <w:rFonts w:ascii="Times New Roman" w:hAnsi="Times New Roman"/>
          <w:sz w:val="24"/>
        </w:rPr>
        <w:tab/>
      </w:r>
      <w:r w:rsidRPr="00BD791C">
        <w:rPr>
          <w:rFonts w:ascii="Times New Roman" w:hAnsi="Times New Roman"/>
          <w:i/>
          <w:sz w:val="24"/>
        </w:rPr>
        <w:t xml:space="preserve">Codelfa Construction Pty Ltd v State Rail Authority of NSW </w:t>
      </w:r>
      <w:r w:rsidRPr="00BD791C">
        <w:rPr>
          <w:rFonts w:ascii="Times New Roman" w:hAnsi="Times New Roman"/>
          <w:sz w:val="24"/>
        </w:rPr>
        <w:t>(1982) 149 CLR 337 at</w:t>
      </w:r>
      <w:r>
        <w:rPr>
          <w:rFonts w:ascii="Times New Roman" w:hAnsi="Times New Roman"/>
          <w:sz w:val="24"/>
        </w:rPr>
        <w:t> </w:t>
      </w:r>
      <w:r w:rsidRPr="00BD791C">
        <w:rPr>
          <w:rFonts w:ascii="Times New Roman" w:hAnsi="Times New Roman"/>
          <w:sz w:val="24"/>
        </w:rPr>
        <w:t>350.</w:t>
      </w:r>
      <w:r>
        <w:rPr>
          <w:rFonts w:ascii="Times New Roman" w:hAnsi="Times New Roman"/>
          <w:sz w:val="24"/>
        </w:rPr>
        <w:t xml:space="preserve"> </w:t>
      </w:r>
      <w:r w:rsidRPr="00BD791C">
        <w:rPr>
          <w:rFonts w:ascii="Times New Roman" w:hAnsi="Times New Roman"/>
          <w:sz w:val="24"/>
        </w:rPr>
        <w:t xml:space="preserve">See also, eg, </w:t>
      </w:r>
      <w:r w:rsidRPr="00BD791C">
        <w:rPr>
          <w:rFonts w:ascii="Times New Roman" w:hAnsi="Times New Roman"/>
          <w:i/>
          <w:sz w:val="24"/>
        </w:rPr>
        <w:t xml:space="preserve">Pacific Carriers </w:t>
      </w:r>
      <w:r w:rsidRPr="00BD791C">
        <w:rPr>
          <w:rFonts w:ascii="Times New Roman" w:hAnsi="Times New Roman"/>
          <w:sz w:val="24"/>
        </w:rPr>
        <w:t xml:space="preserve">(2004) 218 CLR 451 at 461-462 [22]; </w:t>
      </w:r>
      <w:r w:rsidRPr="00BD791C">
        <w:rPr>
          <w:rFonts w:ascii="Times New Roman" w:hAnsi="Times New Roman"/>
          <w:i/>
          <w:sz w:val="24"/>
        </w:rPr>
        <w:t>Mount</w:t>
      </w:r>
      <w:r>
        <w:rPr>
          <w:rFonts w:ascii="Times New Roman" w:hAnsi="Times New Roman"/>
          <w:i/>
          <w:sz w:val="24"/>
        </w:rPr>
        <w:t> </w:t>
      </w:r>
      <w:r w:rsidRPr="00BD791C">
        <w:rPr>
          <w:rFonts w:ascii="Times New Roman" w:hAnsi="Times New Roman"/>
          <w:i/>
          <w:sz w:val="24"/>
        </w:rPr>
        <w:t xml:space="preserve">Bruce Mining </w:t>
      </w:r>
      <w:r w:rsidRPr="00BD791C">
        <w:rPr>
          <w:rFonts w:ascii="Times New Roman" w:hAnsi="Times New Roman"/>
          <w:sz w:val="24"/>
        </w:rPr>
        <w:t>(2015) 256 CLR 104 at 116 [46].</w:t>
      </w:r>
    </w:p>
  </w:footnote>
  <w:footnote w:id="50">
    <w:p w14:paraId="2D888D23" w14:textId="77777777" w:rsidR="008447C0" w:rsidRPr="00BD791C" w:rsidRDefault="008447C0" w:rsidP="00BD791C">
      <w:pPr>
        <w:pStyle w:val="FootnoteText"/>
        <w:spacing w:line="280" w:lineRule="exact"/>
        <w:ind w:right="0"/>
        <w:jc w:val="both"/>
        <w:rPr>
          <w:rFonts w:ascii="Times New Roman" w:hAnsi="Times New Roman"/>
          <w:sz w:val="24"/>
        </w:rPr>
      </w:pPr>
      <w:r w:rsidRPr="00BD791C">
        <w:rPr>
          <w:rStyle w:val="FootnoteReference"/>
          <w:rFonts w:ascii="Times New Roman" w:hAnsi="Times New Roman"/>
          <w:sz w:val="22"/>
          <w:vertAlign w:val="baseline"/>
        </w:rPr>
        <w:footnoteRef/>
      </w:r>
      <w:r w:rsidRPr="00BD791C">
        <w:rPr>
          <w:rFonts w:ascii="Times New Roman" w:hAnsi="Times New Roman"/>
          <w:sz w:val="24"/>
        </w:rPr>
        <w:t xml:space="preserve"> </w:t>
      </w:r>
      <w:r w:rsidRPr="00BD791C">
        <w:rPr>
          <w:rFonts w:ascii="Times New Roman" w:hAnsi="Times New Roman"/>
          <w:sz w:val="24"/>
        </w:rPr>
        <w:tab/>
      </w:r>
      <w:r w:rsidRPr="00BD791C">
        <w:rPr>
          <w:rFonts w:ascii="Times New Roman" w:hAnsi="Times New Roman"/>
          <w:i/>
          <w:sz w:val="24"/>
        </w:rPr>
        <w:t xml:space="preserve">Land Title Act 1994 </w:t>
      </w:r>
      <w:r w:rsidRPr="00BD791C">
        <w:rPr>
          <w:rFonts w:ascii="Times New Roman" w:hAnsi="Times New Roman"/>
          <w:sz w:val="24"/>
        </w:rPr>
        <w:t>(Qld), s 61.</w:t>
      </w:r>
    </w:p>
  </w:footnote>
  <w:footnote w:id="51">
    <w:p w14:paraId="6A9B32AE" w14:textId="77777777" w:rsidR="008447C0" w:rsidRPr="00BD791C" w:rsidRDefault="008447C0" w:rsidP="00BD791C">
      <w:pPr>
        <w:pStyle w:val="FootnoteText"/>
        <w:spacing w:line="280" w:lineRule="exact"/>
        <w:ind w:right="0"/>
        <w:jc w:val="both"/>
        <w:rPr>
          <w:rFonts w:ascii="Times New Roman" w:hAnsi="Times New Roman"/>
          <w:sz w:val="24"/>
        </w:rPr>
      </w:pPr>
      <w:r w:rsidRPr="00BD791C">
        <w:rPr>
          <w:rStyle w:val="FootnoteReference"/>
          <w:rFonts w:ascii="Times New Roman" w:hAnsi="Times New Roman"/>
          <w:sz w:val="22"/>
          <w:vertAlign w:val="baseline"/>
        </w:rPr>
        <w:footnoteRef/>
      </w:r>
      <w:r w:rsidRPr="00BD791C">
        <w:rPr>
          <w:rFonts w:ascii="Times New Roman" w:hAnsi="Times New Roman"/>
          <w:sz w:val="24"/>
        </w:rPr>
        <w:t xml:space="preserve"> </w:t>
      </w:r>
      <w:r w:rsidRPr="00BD791C">
        <w:rPr>
          <w:rFonts w:ascii="Times New Roman" w:hAnsi="Times New Roman"/>
          <w:sz w:val="24"/>
        </w:rPr>
        <w:tab/>
        <w:t>Section 76A provided for the incorporation of provisions in a registered memorandum.</w:t>
      </w:r>
    </w:p>
  </w:footnote>
  <w:footnote w:id="52">
    <w:p w14:paraId="5EF43B8A" w14:textId="77777777" w:rsidR="008447C0" w:rsidRPr="00BD791C" w:rsidRDefault="008447C0" w:rsidP="00BD791C">
      <w:pPr>
        <w:pStyle w:val="FootnoteText"/>
        <w:spacing w:line="280" w:lineRule="exact"/>
        <w:ind w:right="0"/>
        <w:jc w:val="both"/>
        <w:rPr>
          <w:rFonts w:ascii="Times New Roman" w:hAnsi="Times New Roman"/>
          <w:sz w:val="24"/>
        </w:rPr>
      </w:pPr>
      <w:r w:rsidRPr="00BD791C">
        <w:rPr>
          <w:rStyle w:val="FootnoteReference"/>
          <w:rFonts w:ascii="Times New Roman" w:hAnsi="Times New Roman"/>
          <w:sz w:val="22"/>
          <w:vertAlign w:val="baseline"/>
        </w:rPr>
        <w:footnoteRef/>
      </w:r>
      <w:r w:rsidRPr="00BD791C">
        <w:rPr>
          <w:rFonts w:ascii="Times New Roman" w:hAnsi="Times New Roman"/>
          <w:sz w:val="24"/>
        </w:rPr>
        <w:t xml:space="preserve"> </w:t>
      </w:r>
      <w:r w:rsidRPr="00BD791C">
        <w:rPr>
          <w:rFonts w:ascii="Times New Roman" w:hAnsi="Times New Roman"/>
          <w:sz w:val="24"/>
        </w:rPr>
        <w:tab/>
      </w:r>
      <w:r w:rsidRPr="00BD791C">
        <w:rPr>
          <w:rFonts w:ascii="Times New Roman" w:hAnsi="Times New Roman"/>
          <w:i/>
          <w:sz w:val="24"/>
        </w:rPr>
        <w:t>Real Property Act</w:t>
      </w:r>
      <w:r w:rsidRPr="00BD791C">
        <w:rPr>
          <w:rFonts w:ascii="Times New Roman" w:hAnsi="Times New Roman"/>
          <w:sz w:val="24"/>
        </w:rPr>
        <w:t>, s 76A(1).</w:t>
      </w:r>
    </w:p>
  </w:footnote>
  <w:footnote w:id="53">
    <w:p w14:paraId="5A9D0069" w14:textId="77777777" w:rsidR="008447C0" w:rsidRPr="00BD791C" w:rsidRDefault="008447C0" w:rsidP="00BD791C">
      <w:pPr>
        <w:pStyle w:val="FootnoteText"/>
        <w:spacing w:line="280" w:lineRule="exact"/>
        <w:ind w:right="0"/>
        <w:jc w:val="both"/>
        <w:rPr>
          <w:rFonts w:ascii="Times New Roman" w:hAnsi="Times New Roman"/>
          <w:sz w:val="24"/>
        </w:rPr>
      </w:pPr>
      <w:r w:rsidRPr="00BD791C">
        <w:rPr>
          <w:rStyle w:val="FootnoteReference"/>
          <w:rFonts w:ascii="Times New Roman" w:hAnsi="Times New Roman"/>
          <w:sz w:val="22"/>
          <w:vertAlign w:val="baseline"/>
        </w:rPr>
        <w:footnoteRef/>
      </w:r>
      <w:r w:rsidRPr="00BD791C">
        <w:rPr>
          <w:rFonts w:ascii="Times New Roman" w:hAnsi="Times New Roman"/>
          <w:sz w:val="24"/>
        </w:rPr>
        <w:t xml:space="preserve"> </w:t>
      </w:r>
      <w:r w:rsidRPr="00BD791C">
        <w:rPr>
          <w:rFonts w:ascii="Times New Roman" w:hAnsi="Times New Roman"/>
          <w:sz w:val="24"/>
        </w:rPr>
        <w:tab/>
      </w:r>
      <w:r w:rsidRPr="00BD791C">
        <w:rPr>
          <w:rFonts w:ascii="Times New Roman" w:hAnsi="Times New Roman"/>
          <w:i/>
          <w:sz w:val="24"/>
        </w:rPr>
        <w:t xml:space="preserve">Caltex Oil (Australia) Pty Ltd v Best </w:t>
      </w:r>
      <w:r w:rsidRPr="00BD791C">
        <w:rPr>
          <w:rFonts w:ascii="Times New Roman" w:hAnsi="Times New Roman"/>
          <w:sz w:val="24"/>
        </w:rPr>
        <w:t>(1990) 170 CLR 516 at 522.</w:t>
      </w:r>
    </w:p>
  </w:footnote>
  <w:footnote w:id="54">
    <w:p w14:paraId="5425AFD5" w14:textId="77777777" w:rsidR="008447C0" w:rsidRPr="00BD791C" w:rsidRDefault="008447C0" w:rsidP="00BD791C">
      <w:pPr>
        <w:pStyle w:val="FootnoteText"/>
        <w:spacing w:line="280" w:lineRule="exact"/>
        <w:ind w:right="0"/>
        <w:jc w:val="both"/>
        <w:rPr>
          <w:rFonts w:ascii="Times New Roman" w:hAnsi="Times New Roman"/>
          <w:sz w:val="24"/>
        </w:rPr>
      </w:pPr>
      <w:r w:rsidRPr="00BD791C">
        <w:rPr>
          <w:rStyle w:val="FootnoteReference"/>
          <w:rFonts w:ascii="Times New Roman" w:hAnsi="Times New Roman"/>
          <w:sz w:val="22"/>
          <w:vertAlign w:val="baseline"/>
        </w:rPr>
        <w:footnoteRef/>
      </w:r>
      <w:r w:rsidRPr="00BD791C">
        <w:rPr>
          <w:rFonts w:ascii="Times New Roman" w:hAnsi="Times New Roman"/>
          <w:sz w:val="24"/>
        </w:rPr>
        <w:t xml:space="preserve"> </w:t>
      </w:r>
      <w:r w:rsidRPr="00BD791C">
        <w:rPr>
          <w:rFonts w:ascii="Times New Roman" w:hAnsi="Times New Roman"/>
          <w:sz w:val="24"/>
        </w:rPr>
        <w:tab/>
        <w:t xml:space="preserve">See, </w:t>
      </w:r>
      <w:r w:rsidRPr="00BD791C">
        <w:rPr>
          <w:rFonts w:ascii="Times New Roman" w:hAnsi="Times New Roman"/>
          <w:sz w:val="24"/>
        </w:rPr>
        <w:t xml:space="preserve">eg, </w:t>
      </w:r>
      <w:r w:rsidRPr="00BD791C">
        <w:rPr>
          <w:rFonts w:ascii="Times New Roman" w:hAnsi="Times New Roman"/>
          <w:i/>
          <w:sz w:val="24"/>
        </w:rPr>
        <w:t xml:space="preserve">Verwayen </w:t>
      </w:r>
      <w:r w:rsidRPr="00BD791C">
        <w:rPr>
          <w:rFonts w:ascii="Times New Roman" w:hAnsi="Times New Roman"/>
          <w:sz w:val="24"/>
        </w:rPr>
        <w:t xml:space="preserve">(1990) 170 CLR 394 at 427; </w:t>
      </w:r>
      <w:r w:rsidRPr="00BD791C">
        <w:rPr>
          <w:rFonts w:ascii="Times New Roman" w:hAnsi="Times New Roman"/>
          <w:i/>
          <w:sz w:val="24"/>
        </w:rPr>
        <w:t xml:space="preserve">Agricultural and Rural Finance Pty Ltd v Gardiner </w:t>
      </w:r>
      <w:r w:rsidRPr="00BD791C">
        <w:rPr>
          <w:rFonts w:ascii="Times New Roman" w:hAnsi="Times New Roman"/>
          <w:sz w:val="24"/>
        </w:rPr>
        <w:t xml:space="preserve">(2008) 238 CLR 570 at 590 [61], 599 [88]; cf </w:t>
      </w:r>
      <w:r w:rsidRPr="00BD791C">
        <w:rPr>
          <w:rFonts w:ascii="Times New Roman" w:hAnsi="Times New Roman"/>
          <w:i/>
          <w:sz w:val="24"/>
        </w:rPr>
        <w:t xml:space="preserve">Newton, Bellamy and Wolfe v State Government Insurance Office (Qld) </w:t>
      </w:r>
      <w:r w:rsidRPr="00BD791C">
        <w:rPr>
          <w:rFonts w:ascii="Times New Roman" w:hAnsi="Times New Roman"/>
          <w:sz w:val="24"/>
        </w:rPr>
        <w:t>[1986] 1 Qd R 431 at 441, 444, 445</w:t>
      </w:r>
      <w:r w:rsidRPr="00BD791C">
        <w:rPr>
          <w:rFonts w:ascii="Times New Roman" w:hAnsi="Times New Roman"/>
          <w:sz w:val="24"/>
        </w:rPr>
        <w:noBreakHyphen/>
        <w:t>446.</w:t>
      </w:r>
    </w:p>
  </w:footnote>
  <w:footnote w:id="55">
    <w:p w14:paraId="44D7699A" w14:textId="77777777" w:rsidR="008447C0" w:rsidRPr="00BD791C" w:rsidRDefault="008447C0" w:rsidP="00BD791C">
      <w:pPr>
        <w:pStyle w:val="FootnoteText"/>
        <w:spacing w:line="280" w:lineRule="exact"/>
        <w:ind w:right="0"/>
        <w:jc w:val="both"/>
        <w:rPr>
          <w:rFonts w:ascii="Times New Roman" w:hAnsi="Times New Roman"/>
          <w:sz w:val="24"/>
        </w:rPr>
      </w:pPr>
      <w:r w:rsidRPr="00BD791C">
        <w:rPr>
          <w:rStyle w:val="FootnoteReference"/>
          <w:rFonts w:ascii="Times New Roman" w:hAnsi="Times New Roman"/>
          <w:sz w:val="22"/>
          <w:vertAlign w:val="baseline"/>
        </w:rPr>
        <w:footnoteRef/>
      </w:r>
      <w:r w:rsidRPr="00BD791C">
        <w:rPr>
          <w:rFonts w:ascii="Times New Roman" w:hAnsi="Times New Roman"/>
          <w:sz w:val="24"/>
        </w:rPr>
        <w:t xml:space="preserve"> </w:t>
      </w:r>
      <w:r w:rsidRPr="00BD791C">
        <w:rPr>
          <w:rFonts w:ascii="Times New Roman" w:hAnsi="Times New Roman"/>
          <w:sz w:val="24"/>
        </w:rPr>
        <w:tab/>
        <w:t>(1849) 7 Moo PC 85 at 112 [13 ER 811 at 821-822].</w:t>
      </w:r>
    </w:p>
  </w:footnote>
  <w:footnote w:id="56">
    <w:p w14:paraId="16FB1004" w14:textId="77777777" w:rsidR="008447C0" w:rsidRPr="00BD791C" w:rsidRDefault="008447C0" w:rsidP="00BD791C">
      <w:pPr>
        <w:pStyle w:val="FootnoteText"/>
        <w:spacing w:line="280" w:lineRule="exact"/>
        <w:ind w:right="0"/>
        <w:jc w:val="both"/>
        <w:rPr>
          <w:rFonts w:ascii="Times New Roman" w:hAnsi="Times New Roman"/>
          <w:sz w:val="24"/>
        </w:rPr>
      </w:pPr>
      <w:r w:rsidRPr="00BD791C">
        <w:rPr>
          <w:rStyle w:val="FootnoteReference"/>
          <w:rFonts w:ascii="Times New Roman" w:hAnsi="Times New Roman"/>
          <w:sz w:val="22"/>
          <w:vertAlign w:val="baseline"/>
        </w:rPr>
        <w:footnoteRef/>
      </w:r>
      <w:r w:rsidRPr="00BD791C">
        <w:rPr>
          <w:rFonts w:ascii="Times New Roman" w:hAnsi="Times New Roman"/>
          <w:sz w:val="24"/>
        </w:rPr>
        <w:t xml:space="preserve"> </w:t>
      </w:r>
      <w:r w:rsidRPr="00BD791C">
        <w:rPr>
          <w:rFonts w:ascii="Times New Roman" w:hAnsi="Times New Roman"/>
          <w:sz w:val="24"/>
        </w:rPr>
        <w:tab/>
        <w:t>(1849) 7 Moo PC 85 at 111 [13 ER 811 at 821].</w:t>
      </w:r>
    </w:p>
  </w:footnote>
  <w:footnote w:id="57">
    <w:p w14:paraId="38A21F7A" w14:textId="77777777" w:rsidR="008447C0" w:rsidRPr="00BD791C" w:rsidRDefault="008447C0" w:rsidP="00BD791C">
      <w:pPr>
        <w:pStyle w:val="FootnoteText"/>
        <w:spacing w:line="280" w:lineRule="exact"/>
        <w:ind w:right="0"/>
        <w:jc w:val="both"/>
        <w:rPr>
          <w:rFonts w:ascii="Times New Roman" w:hAnsi="Times New Roman"/>
          <w:sz w:val="24"/>
        </w:rPr>
      </w:pPr>
      <w:r w:rsidRPr="00BD791C">
        <w:rPr>
          <w:rStyle w:val="FootnoteReference"/>
          <w:rFonts w:ascii="Times New Roman" w:hAnsi="Times New Roman"/>
          <w:sz w:val="22"/>
          <w:vertAlign w:val="baseline"/>
        </w:rPr>
        <w:footnoteRef/>
      </w:r>
      <w:r w:rsidRPr="00BD791C">
        <w:rPr>
          <w:rFonts w:ascii="Times New Roman" w:hAnsi="Times New Roman"/>
          <w:sz w:val="24"/>
        </w:rPr>
        <w:t xml:space="preserve"> </w:t>
      </w:r>
      <w:r w:rsidRPr="00BD791C">
        <w:rPr>
          <w:rFonts w:ascii="Times New Roman" w:hAnsi="Times New Roman"/>
          <w:sz w:val="24"/>
        </w:rPr>
        <w:tab/>
        <w:t>(1842) 11 LJ Ch 102.</w:t>
      </w:r>
    </w:p>
  </w:footnote>
  <w:footnote w:id="58">
    <w:p w14:paraId="3E9E63BC" w14:textId="77777777" w:rsidR="008447C0" w:rsidRPr="00BD791C" w:rsidRDefault="008447C0" w:rsidP="00BD791C">
      <w:pPr>
        <w:pStyle w:val="FootnoteText"/>
        <w:spacing w:line="280" w:lineRule="exact"/>
        <w:ind w:right="0"/>
        <w:jc w:val="both"/>
        <w:rPr>
          <w:rFonts w:ascii="Times New Roman" w:hAnsi="Times New Roman"/>
          <w:sz w:val="24"/>
        </w:rPr>
      </w:pPr>
      <w:r w:rsidRPr="00BD791C">
        <w:rPr>
          <w:rStyle w:val="FootnoteReference"/>
          <w:rFonts w:ascii="Times New Roman" w:hAnsi="Times New Roman"/>
          <w:sz w:val="22"/>
          <w:vertAlign w:val="baseline"/>
        </w:rPr>
        <w:footnoteRef/>
      </w:r>
      <w:r w:rsidRPr="00BD791C">
        <w:rPr>
          <w:rFonts w:ascii="Times New Roman" w:hAnsi="Times New Roman"/>
          <w:sz w:val="24"/>
        </w:rPr>
        <w:t xml:space="preserve"> </w:t>
      </w:r>
      <w:r w:rsidRPr="00BD791C">
        <w:rPr>
          <w:rFonts w:ascii="Times New Roman" w:hAnsi="Times New Roman"/>
          <w:sz w:val="24"/>
        </w:rPr>
        <w:tab/>
      </w:r>
      <w:r w:rsidRPr="00BD791C">
        <w:rPr>
          <w:rFonts w:ascii="Times New Roman" w:hAnsi="Times New Roman"/>
          <w:i/>
          <w:sz w:val="24"/>
        </w:rPr>
        <w:t xml:space="preserve">Doherty v Allman </w:t>
      </w:r>
      <w:r w:rsidRPr="00BD791C">
        <w:rPr>
          <w:rFonts w:ascii="Times New Roman" w:hAnsi="Times New Roman"/>
          <w:sz w:val="24"/>
        </w:rPr>
        <w:t xml:space="preserve">(1878) 3 App Cas 709 at 720; </w:t>
      </w:r>
      <w:r w:rsidRPr="00BD791C">
        <w:rPr>
          <w:rFonts w:ascii="Times New Roman" w:hAnsi="Times New Roman"/>
          <w:i/>
          <w:sz w:val="24"/>
        </w:rPr>
        <w:t xml:space="preserve">J C Williamson Ltd v </w:t>
      </w:r>
      <w:r w:rsidRPr="00BD791C">
        <w:rPr>
          <w:rFonts w:ascii="Times New Roman" w:hAnsi="Times New Roman"/>
          <w:i/>
          <w:sz w:val="24"/>
        </w:rPr>
        <w:t xml:space="preserve">Lukey and Mulholland </w:t>
      </w:r>
      <w:r w:rsidRPr="00BD791C">
        <w:rPr>
          <w:rFonts w:ascii="Times New Roman" w:hAnsi="Times New Roman"/>
          <w:sz w:val="24"/>
        </w:rPr>
        <w:t xml:space="preserve">(1931) 45 CLR 282 at 293, 299, 307; </w:t>
      </w:r>
      <w:r w:rsidRPr="00BD791C">
        <w:rPr>
          <w:rFonts w:ascii="Times New Roman" w:hAnsi="Times New Roman"/>
          <w:i/>
          <w:sz w:val="24"/>
        </w:rPr>
        <w:t xml:space="preserve">McDermott v Black </w:t>
      </w:r>
      <w:r w:rsidRPr="00BD791C">
        <w:rPr>
          <w:rFonts w:ascii="Times New Roman" w:hAnsi="Times New Roman"/>
          <w:sz w:val="24"/>
        </w:rPr>
        <w:t xml:space="preserve">(1940) 63 CLR 161 at 187-188; </w:t>
      </w:r>
      <w:r w:rsidRPr="00BD791C">
        <w:rPr>
          <w:rFonts w:ascii="Times New Roman" w:hAnsi="Times New Roman"/>
          <w:i/>
          <w:sz w:val="24"/>
        </w:rPr>
        <w:t xml:space="preserve">Dalgety Wine Estates Pty Ltd v Rizzon </w:t>
      </w:r>
      <w:r w:rsidRPr="00BD791C">
        <w:rPr>
          <w:rFonts w:ascii="Times New Roman" w:hAnsi="Times New Roman"/>
          <w:sz w:val="24"/>
        </w:rPr>
        <w:t xml:space="preserve">(1979) 141 CLR 552 at 573; </w:t>
      </w:r>
      <w:r w:rsidRPr="00BD791C">
        <w:rPr>
          <w:rFonts w:ascii="Times New Roman" w:hAnsi="Times New Roman"/>
          <w:i/>
          <w:sz w:val="24"/>
        </w:rPr>
        <w:t xml:space="preserve">Tabcorp Holdings Ltd v Bowen Investments Pty Ltd </w:t>
      </w:r>
      <w:r w:rsidRPr="00BD791C">
        <w:rPr>
          <w:rFonts w:ascii="Times New Roman" w:hAnsi="Times New Roman"/>
          <w:sz w:val="24"/>
        </w:rPr>
        <w:t>(2009) 236 CLR 272 at</w:t>
      </w:r>
      <w:r>
        <w:rPr>
          <w:rFonts w:ascii="Times New Roman" w:hAnsi="Times New Roman"/>
          <w:sz w:val="24"/>
        </w:rPr>
        <w:t> </w:t>
      </w:r>
      <w:r w:rsidRPr="00BD791C">
        <w:rPr>
          <w:rFonts w:ascii="Times New Roman" w:hAnsi="Times New Roman"/>
          <w:sz w:val="24"/>
        </w:rPr>
        <w:t>285 [12].</w:t>
      </w:r>
    </w:p>
  </w:footnote>
  <w:footnote w:id="59">
    <w:p w14:paraId="5D650A06" w14:textId="77777777" w:rsidR="008447C0" w:rsidRPr="00BD791C" w:rsidRDefault="008447C0" w:rsidP="00BD791C">
      <w:pPr>
        <w:pStyle w:val="FootnoteText"/>
        <w:spacing w:line="280" w:lineRule="exact"/>
        <w:ind w:right="0"/>
        <w:jc w:val="both"/>
        <w:rPr>
          <w:rFonts w:ascii="Times New Roman" w:hAnsi="Times New Roman"/>
          <w:sz w:val="24"/>
        </w:rPr>
      </w:pPr>
      <w:r w:rsidRPr="00BD791C">
        <w:rPr>
          <w:rStyle w:val="FootnoteReference"/>
          <w:rFonts w:ascii="Times New Roman" w:hAnsi="Times New Roman"/>
          <w:sz w:val="22"/>
          <w:vertAlign w:val="baseline"/>
        </w:rPr>
        <w:footnoteRef/>
      </w:r>
      <w:r w:rsidRPr="00BD791C">
        <w:rPr>
          <w:rFonts w:ascii="Times New Roman" w:hAnsi="Times New Roman"/>
          <w:sz w:val="24"/>
        </w:rPr>
        <w:t xml:space="preserve"> </w:t>
      </w:r>
      <w:r w:rsidRPr="00BD791C">
        <w:rPr>
          <w:rFonts w:ascii="Times New Roman" w:hAnsi="Times New Roman"/>
          <w:sz w:val="24"/>
        </w:rPr>
        <w:tab/>
        <w:t xml:space="preserve">(2009) 236 CLR 272 at 285 [12] </w:t>
      </w:r>
      <w:r w:rsidRPr="00BD791C">
        <w:rPr>
          <w:rFonts w:ascii="Times New Roman" w:hAnsi="Times New Roman"/>
          <w:sz w:val="24"/>
        </w:rPr>
        <w:t>fn 58.</w:t>
      </w:r>
    </w:p>
  </w:footnote>
  <w:footnote w:id="60">
    <w:p w14:paraId="083E6325" w14:textId="77777777" w:rsidR="008447C0" w:rsidRPr="00BD791C" w:rsidRDefault="008447C0" w:rsidP="00BD791C">
      <w:pPr>
        <w:pStyle w:val="FootnoteText"/>
        <w:spacing w:line="280" w:lineRule="exact"/>
        <w:ind w:right="0"/>
        <w:jc w:val="both"/>
        <w:rPr>
          <w:rFonts w:ascii="Times New Roman" w:hAnsi="Times New Roman"/>
          <w:sz w:val="24"/>
        </w:rPr>
      </w:pPr>
      <w:r w:rsidRPr="00BD791C">
        <w:rPr>
          <w:rStyle w:val="FootnoteReference"/>
          <w:rFonts w:ascii="Times New Roman" w:hAnsi="Times New Roman"/>
          <w:sz w:val="22"/>
          <w:vertAlign w:val="baseline"/>
        </w:rPr>
        <w:footnoteRef/>
      </w:r>
      <w:r w:rsidRPr="00BD791C">
        <w:rPr>
          <w:rFonts w:ascii="Times New Roman" w:hAnsi="Times New Roman"/>
          <w:sz w:val="24"/>
        </w:rPr>
        <w:t xml:space="preserve"> </w:t>
      </w:r>
      <w:r w:rsidRPr="00BD791C">
        <w:rPr>
          <w:rFonts w:ascii="Times New Roman" w:hAnsi="Times New Roman"/>
          <w:sz w:val="24"/>
        </w:rPr>
        <w:tab/>
        <w:t xml:space="preserve">See, </w:t>
      </w:r>
      <w:r w:rsidRPr="00BD791C">
        <w:rPr>
          <w:rFonts w:ascii="Times New Roman" w:hAnsi="Times New Roman"/>
          <w:sz w:val="24"/>
        </w:rPr>
        <w:t xml:space="preserve">eg, </w:t>
      </w:r>
      <w:r w:rsidRPr="00BD791C">
        <w:rPr>
          <w:rFonts w:ascii="Times New Roman" w:hAnsi="Times New Roman"/>
          <w:i/>
          <w:sz w:val="24"/>
        </w:rPr>
        <w:t xml:space="preserve">J C Williamson </w:t>
      </w:r>
      <w:r w:rsidRPr="00BD791C">
        <w:rPr>
          <w:rFonts w:ascii="Times New Roman" w:hAnsi="Times New Roman"/>
          <w:sz w:val="24"/>
        </w:rPr>
        <w:t xml:space="preserve">(1931) 45 CLR 282 at 297; </w:t>
      </w:r>
      <w:r w:rsidRPr="00BD791C">
        <w:rPr>
          <w:rFonts w:ascii="Times New Roman" w:hAnsi="Times New Roman"/>
          <w:i/>
          <w:sz w:val="24"/>
        </w:rPr>
        <w:t xml:space="preserve">Trident General Insurance Co Ltd v McNiece Bros Pty Ltd </w:t>
      </w:r>
      <w:r w:rsidRPr="00BD791C">
        <w:rPr>
          <w:rFonts w:ascii="Times New Roman" w:hAnsi="Times New Roman"/>
          <w:sz w:val="24"/>
        </w:rPr>
        <w:t>(1988) 165 CLR 107 at 119, 138, 173.</w:t>
      </w:r>
      <w:r>
        <w:rPr>
          <w:rFonts w:ascii="Times New Roman" w:hAnsi="Times New Roman"/>
          <w:sz w:val="24"/>
        </w:rPr>
        <w:t xml:space="preserve"> </w:t>
      </w:r>
    </w:p>
  </w:footnote>
  <w:footnote w:id="61">
    <w:p w14:paraId="5C6E498C" w14:textId="77777777" w:rsidR="008447C0" w:rsidRPr="00BD791C" w:rsidRDefault="008447C0" w:rsidP="00BD791C">
      <w:pPr>
        <w:pStyle w:val="FootnoteText"/>
        <w:spacing w:line="280" w:lineRule="exact"/>
        <w:ind w:right="0"/>
        <w:jc w:val="both"/>
        <w:rPr>
          <w:rFonts w:ascii="Times New Roman" w:hAnsi="Times New Roman"/>
          <w:sz w:val="24"/>
        </w:rPr>
      </w:pPr>
      <w:r w:rsidRPr="00BD791C">
        <w:rPr>
          <w:rStyle w:val="FootnoteReference"/>
          <w:rFonts w:ascii="Times New Roman" w:hAnsi="Times New Roman"/>
          <w:sz w:val="22"/>
          <w:vertAlign w:val="baseline"/>
        </w:rPr>
        <w:footnoteRef/>
      </w:r>
      <w:r w:rsidRPr="00BD791C">
        <w:rPr>
          <w:rFonts w:ascii="Times New Roman" w:hAnsi="Times New Roman"/>
          <w:sz w:val="24"/>
        </w:rPr>
        <w:t xml:space="preserve"> </w:t>
      </w:r>
      <w:r w:rsidRPr="00BD791C">
        <w:rPr>
          <w:rFonts w:ascii="Times New Roman" w:hAnsi="Times New Roman"/>
          <w:sz w:val="24"/>
        </w:rPr>
        <w:tab/>
      </w:r>
      <w:r w:rsidRPr="00BD791C">
        <w:rPr>
          <w:rFonts w:ascii="Times New Roman" w:hAnsi="Times New Roman"/>
          <w:i/>
          <w:sz w:val="24"/>
        </w:rPr>
        <w:t>Judicature Act 1876</w:t>
      </w:r>
      <w:r w:rsidRPr="00BD791C">
        <w:rPr>
          <w:rFonts w:ascii="Times New Roman" w:hAnsi="Times New Roman"/>
          <w:sz w:val="24"/>
        </w:rPr>
        <w:t xml:space="preserve"> (Qld), s 4; </w:t>
      </w:r>
      <w:r w:rsidRPr="00BD791C">
        <w:rPr>
          <w:rFonts w:ascii="Times New Roman" w:hAnsi="Times New Roman"/>
          <w:i/>
          <w:sz w:val="24"/>
        </w:rPr>
        <w:t>Supreme Court Act 1995</w:t>
      </w:r>
      <w:r w:rsidRPr="00BD791C">
        <w:rPr>
          <w:rFonts w:ascii="Times New Roman" w:hAnsi="Times New Roman"/>
          <w:sz w:val="24"/>
        </w:rPr>
        <w:t xml:space="preserve"> (Qld), s 244; </w:t>
      </w:r>
      <w:r w:rsidRPr="00BD791C">
        <w:rPr>
          <w:rFonts w:ascii="Times New Roman" w:hAnsi="Times New Roman"/>
          <w:i/>
          <w:sz w:val="24"/>
        </w:rPr>
        <w:t xml:space="preserve">Civil Proceedings Act 2011 </w:t>
      </w:r>
      <w:r w:rsidRPr="00BD791C">
        <w:rPr>
          <w:rFonts w:ascii="Times New Roman" w:hAnsi="Times New Roman"/>
          <w:sz w:val="24"/>
        </w:rPr>
        <w:t>(Qld), s 7.</w:t>
      </w:r>
    </w:p>
  </w:footnote>
  <w:footnote w:id="62">
    <w:p w14:paraId="0E08682A" w14:textId="77777777" w:rsidR="008447C0" w:rsidRPr="00BD791C" w:rsidRDefault="008447C0" w:rsidP="00BD791C">
      <w:pPr>
        <w:pStyle w:val="FootnoteText"/>
        <w:spacing w:line="280" w:lineRule="exact"/>
        <w:ind w:right="0"/>
        <w:jc w:val="both"/>
        <w:rPr>
          <w:rFonts w:ascii="Times New Roman" w:hAnsi="Times New Roman"/>
          <w:sz w:val="24"/>
        </w:rPr>
      </w:pPr>
      <w:r w:rsidRPr="00BD791C">
        <w:rPr>
          <w:rStyle w:val="FootnoteReference"/>
          <w:rFonts w:ascii="Times New Roman" w:hAnsi="Times New Roman"/>
          <w:sz w:val="22"/>
          <w:vertAlign w:val="baseline"/>
        </w:rPr>
        <w:footnoteRef/>
      </w:r>
      <w:r w:rsidRPr="00BD791C">
        <w:rPr>
          <w:rFonts w:ascii="Times New Roman" w:hAnsi="Times New Roman"/>
          <w:sz w:val="24"/>
        </w:rPr>
        <w:t xml:space="preserve"> </w:t>
      </w:r>
      <w:r w:rsidRPr="00BD791C">
        <w:rPr>
          <w:rFonts w:ascii="Times New Roman" w:hAnsi="Times New Roman"/>
          <w:sz w:val="24"/>
        </w:rPr>
        <w:tab/>
        <w:t xml:space="preserve">See, </w:t>
      </w:r>
      <w:r w:rsidRPr="00BD791C">
        <w:rPr>
          <w:rFonts w:ascii="Times New Roman" w:hAnsi="Times New Roman"/>
          <w:sz w:val="24"/>
        </w:rPr>
        <w:t xml:space="preserve">eg, </w:t>
      </w:r>
      <w:r w:rsidRPr="00BD791C">
        <w:rPr>
          <w:rFonts w:ascii="Times New Roman" w:hAnsi="Times New Roman"/>
          <w:i/>
          <w:sz w:val="24"/>
        </w:rPr>
        <w:t xml:space="preserve">Newton, Bellamy and Wolfe </w:t>
      </w:r>
      <w:r w:rsidRPr="00BD791C">
        <w:rPr>
          <w:rFonts w:ascii="Times New Roman" w:hAnsi="Times New Roman"/>
          <w:sz w:val="24"/>
        </w:rPr>
        <w:t>[1986] 1 Qd R 431 at 445</w:t>
      </w:r>
      <w:r w:rsidRPr="00BD791C">
        <w:rPr>
          <w:rFonts w:ascii="Times New Roman" w:hAnsi="Times New Roman"/>
          <w:sz w:val="24"/>
        </w:rPr>
        <w:noBreakHyphen/>
        <w:t>446.</w:t>
      </w:r>
    </w:p>
  </w:footnote>
  <w:footnote w:id="63">
    <w:p w14:paraId="35ED6229"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 xml:space="preserve">Spoor v Price </w:t>
      </w:r>
      <w:r w:rsidRPr="00372A5A">
        <w:rPr>
          <w:rFonts w:ascii="Times New Roman" w:hAnsi="Times New Roman"/>
          <w:sz w:val="24"/>
        </w:rPr>
        <w:t>[2019] QSC 53 at [54]-[56].</w:t>
      </w:r>
    </w:p>
  </w:footnote>
  <w:footnote w:id="64">
    <w:p w14:paraId="6EDB8B78"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 xml:space="preserve">Spoor v Price </w:t>
      </w:r>
      <w:r w:rsidRPr="00372A5A">
        <w:rPr>
          <w:rFonts w:ascii="Times New Roman" w:hAnsi="Times New Roman"/>
          <w:sz w:val="24"/>
        </w:rPr>
        <w:t>(2019) 3 QR 176.</w:t>
      </w:r>
    </w:p>
  </w:footnote>
  <w:footnote w:id="65">
    <w:p w14:paraId="77826CDB"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 xml:space="preserve">Spoor v Price </w:t>
      </w:r>
      <w:r w:rsidRPr="00372A5A">
        <w:rPr>
          <w:rFonts w:ascii="Times New Roman" w:hAnsi="Times New Roman"/>
          <w:sz w:val="24"/>
        </w:rPr>
        <w:t>(2019) 3 QR 176 at 191 [57].</w:t>
      </w:r>
    </w:p>
  </w:footnote>
  <w:footnote w:id="66">
    <w:p w14:paraId="61970DE9"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 xml:space="preserve">Spoor v Price </w:t>
      </w:r>
      <w:r w:rsidRPr="00372A5A">
        <w:rPr>
          <w:rFonts w:ascii="Times New Roman" w:hAnsi="Times New Roman"/>
          <w:sz w:val="24"/>
        </w:rPr>
        <w:t>(2019) 3 QR 176 at 193 [66].</w:t>
      </w:r>
    </w:p>
  </w:footnote>
  <w:footnote w:id="67">
    <w:p w14:paraId="7AFD8353"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 xml:space="preserve">Spoor v Price </w:t>
      </w:r>
      <w:r w:rsidRPr="00372A5A">
        <w:rPr>
          <w:rFonts w:ascii="Times New Roman" w:hAnsi="Times New Roman"/>
          <w:sz w:val="24"/>
        </w:rPr>
        <w:t xml:space="preserve">(2019) 3 QR 176 at 192 [63]-[65], quoting </w:t>
      </w:r>
      <w:r w:rsidRPr="00372A5A">
        <w:rPr>
          <w:rFonts w:ascii="Times New Roman" w:hAnsi="Times New Roman"/>
          <w:i/>
          <w:sz w:val="24"/>
        </w:rPr>
        <w:t>The Commonwealth v</w:t>
      </w:r>
      <w:r w:rsidRPr="00372A5A">
        <w:rPr>
          <w:rFonts w:ascii="Times New Roman" w:hAnsi="Times New Roman"/>
          <w:sz w:val="24"/>
        </w:rPr>
        <w:t xml:space="preserve"> </w:t>
      </w:r>
      <w:r w:rsidRPr="00372A5A">
        <w:rPr>
          <w:rFonts w:ascii="Times New Roman" w:hAnsi="Times New Roman"/>
          <w:i/>
          <w:sz w:val="24"/>
        </w:rPr>
        <w:t xml:space="preserve">Verwayen </w:t>
      </w:r>
      <w:r w:rsidRPr="00372A5A">
        <w:rPr>
          <w:rFonts w:ascii="Times New Roman" w:hAnsi="Times New Roman"/>
          <w:sz w:val="24"/>
        </w:rPr>
        <w:t>(1990) 170 CLR 394 at 426 per Brennan J, 504 per McHugh J and</w:t>
      </w:r>
      <w:r w:rsidRPr="00372A5A">
        <w:rPr>
          <w:rFonts w:ascii="Times New Roman" w:hAnsi="Times New Roman"/>
          <w:i/>
          <w:sz w:val="24"/>
        </w:rPr>
        <w:t xml:space="preserve"> Belgravia Nominees Pty Ltd v Lowe Pty Ltd</w:t>
      </w:r>
      <w:r w:rsidRPr="00372A5A">
        <w:rPr>
          <w:rFonts w:ascii="Times New Roman" w:hAnsi="Times New Roman"/>
          <w:sz w:val="24"/>
        </w:rPr>
        <w:t xml:space="preserve"> (2017) 51 WAR 341 at 354 [46(f)] per Martin CJ, Murphy and Mitchell JJA.</w:t>
      </w:r>
    </w:p>
  </w:footnote>
  <w:footnote w:id="68">
    <w:p w14:paraId="6AA405A1"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Equitable Life Assurance of the United States v Bogie</w:t>
      </w:r>
      <w:r w:rsidRPr="00372A5A">
        <w:rPr>
          <w:rFonts w:ascii="Times New Roman" w:hAnsi="Times New Roman"/>
          <w:sz w:val="24"/>
        </w:rPr>
        <w:t xml:space="preserve"> (1905) 3 CLR 878 at 911 per O'Connor J.</w:t>
      </w:r>
    </w:p>
  </w:footnote>
  <w:footnote w:id="69">
    <w:p w14:paraId="3178E2B5"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sz w:val="24"/>
        </w:rPr>
        <w:t xml:space="preserve">cf </w:t>
      </w:r>
      <w:r w:rsidRPr="00372A5A">
        <w:rPr>
          <w:rFonts w:ascii="Times New Roman" w:hAnsi="Times New Roman"/>
          <w:i/>
          <w:sz w:val="24"/>
        </w:rPr>
        <w:t>In re Clarke;</w:t>
      </w:r>
      <w:r w:rsidRPr="00372A5A">
        <w:rPr>
          <w:rFonts w:ascii="Times New Roman" w:hAnsi="Times New Roman"/>
          <w:sz w:val="24"/>
        </w:rPr>
        <w:t xml:space="preserve"> </w:t>
      </w:r>
      <w:r w:rsidRPr="00372A5A">
        <w:rPr>
          <w:rFonts w:ascii="Times New Roman" w:hAnsi="Times New Roman"/>
          <w:i/>
          <w:sz w:val="24"/>
        </w:rPr>
        <w:t xml:space="preserve">Coombe v Carter </w:t>
      </w:r>
      <w:r w:rsidRPr="00372A5A">
        <w:rPr>
          <w:rFonts w:ascii="Times New Roman" w:hAnsi="Times New Roman"/>
          <w:sz w:val="24"/>
        </w:rPr>
        <w:t>(1887) 36 Ch D 348 at 355 per Bowen LJ.</w:t>
      </w:r>
    </w:p>
  </w:footnote>
  <w:footnote w:id="70">
    <w:p w14:paraId="059DFED7"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Western Australian Bank v Royal Insurance Co</w:t>
      </w:r>
      <w:r w:rsidRPr="00372A5A">
        <w:rPr>
          <w:rFonts w:ascii="Times New Roman" w:hAnsi="Times New Roman"/>
          <w:sz w:val="24"/>
        </w:rPr>
        <w:t xml:space="preserve"> (1908) 5 CLR 533 at 554 per Griffith CJ.</w:t>
      </w:r>
    </w:p>
  </w:footnote>
  <w:footnote w:id="71">
    <w:p w14:paraId="194643B7"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 xml:space="preserve">Spoor v Price </w:t>
      </w:r>
      <w:r w:rsidRPr="00372A5A">
        <w:rPr>
          <w:rFonts w:ascii="Times New Roman" w:hAnsi="Times New Roman"/>
          <w:sz w:val="24"/>
        </w:rPr>
        <w:t>[2019] QSC 53 at [51]-[54].</w:t>
      </w:r>
    </w:p>
  </w:footnote>
  <w:footnote w:id="72">
    <w:p w14:paraId="37A09381"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Electricity Generation Corporation v Woodside Energy Ltd</w:t>
      </w:r>
      <w:r w:rsidRPr="00372A5A">
        <w:rPr>
          <w:rFonts w:ascii="Times New Roman" w:hAnsi="Times New Roman"/>
          <w:sz w:val="24"/>
        </w:rPr>
        <w:t xml:space="preserve"> (2014) 251 CLR 640 at 660 [44] per French CJ, Hayne, Crennan and Kiefel JJ.</w:t>
      </w:r>
    </w:p>
  </w:footnote>
  <w:footnote w:id="73">
    <w:p w14:paraId="26479568"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iCs/>
          <w:sz w:val="24"/>
        </w:rPr>
        <w:t xml:space="preserve">Metropolitan Gas Co v Federated Gas Employees' Industrial Union </w:t>
      </w:r>
      <w:r w:rsidRPr="00372A5A">
        <w:rPr>
          <w:rFonts w:ascii="Times New Roman" w:hAnsi="Times New Roman"/>
          <w:sz w:val="24"/>
        </w:rPr>
        <w:t>(1925) 35 CLR 449 at 455 per Isaacs and Rich JJ</w:t>
      </w:r>
      <w:r w:rsidRPr="00372A5A">
        <w:rPr>
          <w:rFonts w:ascii="Times New Roman" w:hAnsi="Times New Roman"/>
          <w:iCs/>
          <w:sz w:val="24"/>
        </w:rPr>
        <w:t>;</w:t>
      </w:r>
      <w:r w:rsidRPr="00372A5A">
        <w:rPr>
          <w:rFonts w:ascii="Times New Roman" w:hAnsi="Times New Roman"/>
          <w:i/>
          <w:iCs/>
          <w:sz w:val="24"/>
        </w:rPr>
        <w:t xml:space="preserve"> Chapmans Ltd v Australian Stock Exchange Ltd </w:t>
      </w:r>
      <w:r w:rsidRPr="00372A5A">
        <w:rPr>
          <w:rFonts w:ascii="Times New Roman" w:hAnsi="Times New Roman"/>
          <w:sz w:val="24"/>
        </w:rPr>
        <w:t>(1996) 67 FCR 402 at 411 per Lockhart and Hill JJ.</w:t>
      </w:r>
    </w:p>
  </w:footnote>
  <w:footnote w:id="74">
    <w:p w14:paraId="233B6C95"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Electricity Generation Corporation v Woodside Energy Ltd</w:t>
      </w:r>
      <w:r w:rsidRPr="00372A5A">
        <w:rPr>
          <w:rFonts w:ascii="Times New Roman" w:hAnsi="Times New Roman"/>
          <w:sz w:val="24"/>
        </w:rPr>
        <w:t xml:space="preserve"> (2014) 251 CLR 640 at 656 [35] per French CJ, Hayne, Crennan and Kiefel JJ, citing </w:t>
      </w:r>
      <w:r w:rsidRPr="00372A5A">
        <w:rPr>
          <w:rFonts w:ascii="Times New Roman" w:hAnsi="Times New Roman"/>
          <w:i/>
          <w:sz w:val="24"/>
        </w:rPr>
        <w:t>McCann v Switzerland Insurance Australia Ltd</w:t>
      </w:r>
      <w:r w:rsidRPr="00372A5A">
        <w:rPr>
          <w:rFonts w:ascii="Times New Roman" w:hAnsi="Times New Roman"/>
          <w:sz w:val="24"/>
        </w:rPr>
        <w:t xml:space="preserve"> (2000) 203 CLR 579 at 589 [22] per Gleeson CJ, </w:t>
      </w:r>
      <w:r w:rsidRPr="00372A5A">
        <w:rPr>
          <w:rFonts w:ascii="Times New Roman" w:hAnsi="Times New Roman"/>
          <w:i/>
          <w:sz w:val="24"/>
        </w:rPr>
        <w:t>Pacific Carriers Ltd v BNP Paribas</w:t>
      </w:r>
      <w:r w:rsidRPr="00372A5A">
        <w:rPr>
          <w:rFonts w:ascii="Times New Roman" w:hAnsi="Times New Roman"/>
          <w:sz w:val="24"/>
        </w:rPr>
        <w:t xml:space="preserve"> (2004) 218 CLR 451 at 462 [22] per Gleeson CJ, Gummow, Hayne, Callinan and Heydon JJ and </w:t>
      </w:r>
      <w:r w:rsidRPr="00372A5A">
        <w:rPr>
          <w:rFonts w:ascii="Times New Roman" w:hAnsi="Times New Roman"/>
          <w:i/>
          <w:sz w:val="24"/>
        </w:rPr>
        <w:t>International Air Transport Association v Ansett Australia Holdings Ltd</w:t>
      </w:r>
      <w:r w:rsidRPr="00372A5A">
        <w:rPr>
          <w:rFonts w:ascii="Times New Roman" w:hAnsi="Times New Roman"/>
          <w:sz w:val="24"/>
        </w:rPr>
        <w:t xml:space="preserve"> (2008) 234 CLR 151 at 160 [8] per Gleeson CJ. See further </w:t>
      </w:r>
      <w:r w:rsidRPr="00372A5A">
        <w:rPr>
          <w:rFonts w:ascii="Times New Roman" w:hAnsi="Times New Roman"/>
          <w:i/>
          <w:sz w:val="24"/>
        </w:rPr>
        <w:t>Maggbury Pty Ltd v Hafele Australia Pty Ltd</w:t>
      </w:r>
      <w:r w:rsidRPr="00372A5A">
        <w:rPr>
          <w:rFonts w:ascii="Times New Roman" w:hAnsi="Times New Roman"/>
          <w:sz w:val="24"/>
        </w:rPr>
        <w:t xml:space="preserve"> (2001) 210 CLR 181 at 188 [11] per Gleeson CJ, Gummow and Hayne JJ, citing </w:t>
      </w:r>
      <w:r w:rsidRPr="00372A5A">
        <w:rPr>
          <w:rFonts w:ascii="Times New Roman" w:hAnsi="Times New Roman"/>
          <w:i/>
          <w:sz w:val="24"/>
        </w:rPr>
        <w:t>Investors Compensation Scheme Ltd v West Bromwich Building Society</w:t>
      </w:r>
      <w:r w:rsidRPr="00372A5A">
        <w:rPr>
          <w:rFonts w:ascii="Times New Roman" w:hAnsi="Times New Roman"/>
          <w:sz w:val="24"/>
        </w:rPr>
        <w:t xml:space="preserve"> [1998] 1 WLR 896 at 912 per Lord Hoffmann (Lords Goff, Hope and Clyde agreeing); [1998] 1 All ER 98 at 114. See also </w:t>
      </w:r>
      <w:r w:rsidRPr="00372A5A">
        <w:rPr>
          <w:rFonts w:ascii="Times New Roman" w:hAnsi="Times New Roman"/>
          <w:i/>
          <w:sz w:val="24"/>
        </w:rPr>
        <w:t>Homburg Houtimport BV v Agrosin Private Ltd</w:t>
      </w:r>
      <w:r w:rsidRPr="00372A5A">
        <w:rPr>
          <w:rFonts w:ascii="Times New Roman" w:hAnsi="Times New Roman"/>
          <w:sz w:val="24"/>
        </w:rPr>
        <w:t xml:space="preserve"> [2004] 1 AC 715 at 737 [10] per Lord Bingham.</w:t>
      </w:r>
    </w:p>
  </w:footnote>
  <w:footnote w:id="75">
    <w:p w14:paraId="39C153A4" w14:textId="77777777" w:rsidR="008447C0" w:rsidRPr="00372A5A" w:rsidRDefault="008447C0" w:rsidP="00372A5A">
      <w:pPr>
        <w:pStyle w:val="FootnoteText"/>
        <w:spacing w:line="280" w:lineRule="exact"/>
        <w:ind w:right="0"/>
        <w:jc w:val="both"/>
        <w:rPr>
          <w:rFonts w:ascii="Times New Roman" w:hAnsi="Times New Roman"/>
          <w:i/>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Electricity Generation Corporation v Woodside Energy Ltd</w:t>
      </w:r>
      <w:r w:rsidRPr="00372A5A">
        <w:rPr>
          <w:rFonts w:ascii="Times New Roman" w:hAnsi="Times New Roman"/>
          <w:sz w:val="24"/>
        </w:rPr>
        <w:t xml:space="preserve"> (2014) 251 CLR 640 at 656-657 [35] per French CJ, Hayne, Crennan and Kiefel JJ, citing </w:t>
      </w:r>
      <w:r w:rsidRPr="00372A5A">
        <w:rPr>
          <w:rFonts w:ascii="Times New Roman" w:hAnsi="Times New Roman"/>
          <w:i/>
          <w:sz w:val="24"/>
        </w:rPr>
        <w:t>Pacific Carriers Ltd v BNP Paribas</w:t>
      </w:r>
      <w:r w:rsidRPr="00372A5A">
        <w:rPr>
          <w:rFonts w:ascii="Times New Roman" w:hAnsi="Times New Roman"/>
          <w:sz w:val="24"/>
        </w:rPr>
        <w:t xml:space="preserve"> (2004) 218 CLR 451 at 461-462 [22] per Gleeson CJ, Gummow, Hayne, Callinan and Heydon JJ, </w:t>
      </w:r>
      <w:r w:rsidRPr="00372A5A">
        <w:rPr>
          <w:rFonts w:ascii="Times New Roman" w:hAnsi="Times New Roman"/>
          <w:i/>
          <w:sz w:val="24"/>
        </w:rPr>
        <w:t xml:space="preserve">Toll (FGCT) Pty Ltd v </w:t>
      </w:r>
      <w:r w:rsidRPr="00372A5A">
        <w:rPr>
          <w:rFonts w:ascii="Times New Roman" w:hAnsi="Times New Roman"/>
          <w:i/>
          <w:sz w:val="24"/>
        </w:rPr>
        <w:t>Alphapharm Pty Ltd</w:t>
      </w:r>
      <w:r w:rsidRPr="00372A5A">
        <w:rPr>
          <w:rFonts w:ascii="Times New Roman" w:hAnsi="Times New Roman"/>
          <w:sz w:val="24"/>
        </w:rPr>
        <w:t xml:space="preserve"> (2004) 219 CLR 165 at 179 [40] per Gleeson CJ, Gummow, Hayne, Callinan and Heydon JJ, </w:t>
      </w:r>
      <w:r w:rsidRPr="00372A5A">
        <w:rPr>
          <w:rFonts w:ascii="Times New Roman" w:hAnsi="Times New Roman"/>
          <w:i/>
          <w:sz w:val="24"/>
        </w:rPr>
        <w:t>International Air Transport Association v Ansett Australia Holdings Ltd</w:t>
      </w:r>
      <w:r w:rsidRPr="00372A5A">
        <w:rPr>
          <w:rFonts w:ascii="Times New Roman" w:hAnsi="Times New Roman"/>
          <w:sz w:val="24"/>
        </w:rPr>
        <w:t xml:space="preserve"> (2008) 234 CLR 151 at 160 [8] per Gleeson CJ, 174 [53]</w:t>
      </w:r>
      <w:r w:rsidRPr="00372A5A">
        <w:rPr>
          <w:rFonts w:ascii="Times New Roman" w:hAnsi="Times New Roman"/>
          <w:i/>
          <w:sz w:val="24"/>
        </w:rPr>
        <w:t xml:space="preserve"> </w:t>
      </w:r>
      <w:r w:rsidRPr="00372A5A">
        <w:rPr>
          <w:rFonts w:ascii="Times New Roman" w:hAnsi="Times New Roman"/>
          <w:sz w:val="24"/>
        </w:rPr>
        <w:t xml:space="preserve">per Gummow, Hayne, Heydon, Crennan and Kiefel JJ and </w:t>
      </w:r>
      <w:r w:rsidRPr="00372A5A">
        <w:rPr>
          <w:rFonts w:ascii="Times New Roman" w:hAnsi="Times New Roman"/>
          <w:i/>
          <w:sz w:val="24"/>
        </w:rPr>
        <w:t>Byrnes v Kendle</w:t>
      </w:r>
      <w:r w:rsidRPr="00372A5A">
        <w:rPr>
          <w:rFonts w:ascii="Times New Roman" w:hAnsi="Times New Roman"/>
          <w:sz w:val="24"/>
        </w:rPr>
        <w:t xml:space="preserve"> (2011) 243</w:t>
      </w:r>
      <w:r w:rsidRPr="00372A5A">
        <w:rPr>
          <w:rFonts w:ascii="Times New Roman" w:hAnsi="Times New Roman"/>
          <w:i/>
          <w:sz w:val="24"/>
        </w:rPr>
        <w:t xml:space="preserve"> </w:t>
      </w:r>
      <w:r w:rsidRPr="00372A5A">
        <w:rPr>
          <w:rFonts w:ascii="Times New Roman" w:hAnsi="Times New Roman"/>
          <w:sz w:val="24"/>
        </w:rPr>
        <w:t xml:space="preserve">CLR 253 at 284 [98] per Heydon and Crennan JJ. See also </w:t>
      </w:r>
      <w:r w:rsidRPr="00372A5A">
        <w:rPr>
          <w:rFonts w:ascii="Times New Roman" w:hAnsi="Times New Roman"/>
          <w:i/>
          <w:sz w:val="24"/>
        </w:rPr>
        <w:t>Charter Reinsurance Co Ltd v Fagan</w:t>
      </w:r>
      <w:r w:rsidRPr="00372A5A">
        <w:rPr>
          <w:rFonts w:ascii="Times New Roman" w:hAnsi="Times New Roman"/>
          <w:sz w:val="24"/>
        </w:rPr>
        <w:t xml:space="preserve"> [1997] AC 313 at 326, 350; </w:t>
      </w:r>
      <w:r w:rsidRPr="00372A5A">
        <w:rPr>
          <w:rFonts w:ascii="Times New Roman" w:hAnsi="Times New Roman"/>
          <w:i/>
          <w:sz w:val="24"/>
        </w:rPr>
        <w:t>Rainy Sky SA v Kookmin Bank</w:t>
      </w:r>
      <w:r w:rsidRPr="00372A5A">
        <w:rPr>
          <w:rFonts w:ascii="Times New Roman" w:hAnsi="Times New Roman"/>
          <w:sz w:val="24"/>
        </w:rPr>
        <w:t xml:space="preserve"> [2011]</w:t>
      </w:r>
      <w:r w:rsidRPr="00372A5A">
        <w:rPr>
          <w:rFonts w:ascii="Times New Roman" w:hAnsi="Times New Roman"/>
          <w:i/>
          <w:sz w:val="24"/>
        </w:rPr>
        <w:t xml:space="preserve"> </w:t>
      </w:r>
      <w:r w:rsidRPr="00372A5A">
        <w:rPr>
          <w:rFonts w:ascii="Times New Roman" w:hAnsi="Times New Roman"/>
          <w:sz w:val="24"/>
        </w:rPr>
        <w:t xml:space="preserve">1 WLR 2900 at 2906-2907 [14]; [2012] 1 All ER 1137 at 1144. </w:t>
      </w:r>
    </w:p>
  </w:footnote>
  <w:footnote w:id="76">
    <w:p w14:paraId="48B2874E"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 xml:space="preserve">Spoor v Price </w:t>
      </w:r>
      <w:r w:rsidRPr="00372A5A">
        <w:rPr>
          <w:rFonts w:ascii="Times New Roman" w:hAnsi="Times New Roman"/>
          <w:sz w:val="24"/>
        </w:rPr>
        <w:t>(2019) 3 QR 176 at 192 [62].</w:t>
      </w:r>
    </w:p>
  </w:footnote>
  <w:footnote w:id="77">
    <w:p w14:paraId="03FD952E"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Electricity Generation Corporation v Woodside Energy Ltd</w:t>
      </w:r>
      <w:r w:rsidRPr="00372A5A">
        <w:rPr>
          <w:rFonts w:ascii="Times New Roman" w:hAnsi="Times New Roman"/>
          <w:sz w:val="24"/>
        </w:rPr>
        <w:t xml:space="preserve"> (2014) 251 CLR 640 at 657 [35] per French CJ, Hayne, Crennan and Kiefel JJ, quoting </w:t>
      </w:r>
      <w:r w:rsidRPr="00372A5A">
        <w:rPr>
          <w:rFonts w:ascii="Times New Roman" w:hAnsi="Times New Roman"/>
          <w:i/>
          <w:iCs/>
          <w:sz w:val="24"/>
        </w:rPr>
        <w:t xml:space="preserve">Zhu v Treasurer of New South Wales </w:t>
      </w:r>
      <w:r w:rsidRPr="00372A5A">
        <w:rPr>
          <w:rFonts w:ascii="Times New Roman" w:hAnsi="Times New Roman"/>
          <w:sz w:val="24"/>
        </w:rPr>
        <w:t xml:space="preserve">(2004) 218 CLR 530 at 559 [82] per Gleeson CJ, Gummow, Kirby, Callinan and Heydon JJ. See also </w:t>
      </w:r>
      <w:r w:rsidRPr="00372A5A">
        <w:rPr>
          <w:rFonts w:ascii="Times New Roman" w:hAnsi="Times New Roman"/>
          <w:i/>
          <w:iCs/>
          <w:sz w:val="24"/>
        </w:rPr>
        <w:t>Gollin &amp; Co Ltd v Karenlee</w:t>
      </w:r>
      <w:r w:rsidRPr="00372A5A">
        <w:rPr>
          <w:rFonts w:ascii="Times New Roman" w:hAnsi="Times New Roman"/>
          <w:sz w:val="24"/>
        </w:rPr>
        <w:t xml:space="preserve"> </w:t>
      </w:r>
      <w:r w:rsidRPr="00372A5A">
        <w:rPr>
          <w:rFonts w:ascii="Times New Roman" w:hAnsi="Times New Roman"/>
          <w:i/>
          <w:iCs/>
          <w:sz w:val="24"/>
        </w:rPr>
        <w:t xml:space="preserve">Nominees Pty Ltd </w:t>
      </w:r>
      <w:r w:rsidRPr="00372A5A">
        <w:rPr>
          <w:rFonts w:ascii="Times New Roman" w:hAnsi="Times New Roman"/>
          <w:sz w:val="24"/>
        </w:rPr>
        <w:t>(1983) 153 CLR 455 at 464 per Mason, Murphy, Brennan, Deane and Dawson JJ.</w:t>
      </w:r>
    </w:p>
  </w:footnote>
  <w:footnote w:id="78">
    <w:p w14:paraId="3250B105"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Western Australian Bank v Royal Insurance Co</w:t>
      </w:r>
      <w:r w:rsidRPr="00372A5A">
        <w:rPr>
          <w:rFonts w:ascii="Times New Roman" w:hAnsi="Times New Roman"/>
          <w:sz w:val="24"/>
        </w:rPr>
        <w:t xml:space="preserve"> (1908) 5 CLR 533 at 554 per Griffith CJ.</w:t>
      </w:r>
    </w:p>
  </w:footnote>
  <w:footnote w:id="79">
    <w:p w14:paraId="5CA3E634"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University of Wales v London College of Business Ltd</w:t>
      </w:r>
      <w:r w:rsidRPr="00372A5A">
        <w:rPr>
          <w:rFonts w:ascii="Times New Roman" w:hAnsi="Times New Roman"/>
          <w:sz w:val="24"/>
        </w:rPr>
        <w:t xml:space="preserve"> [2015] EWHC 1280 (QB) at [105] per Judge Keyser QC, quoting </w:t>
      </w:r>
      <w:r w:rsidRPr="00372A5A">
        <w:rPr>
          <w:rFonts w:ascii="Times New Roman" w:hAnsi="Times New Roman"/>
          <w:i/>
          <w:sz w:val="24"/>
        </w:rPr>
        <w:t>Whitecap Leisure Ltd v John H Rundle Ltd</w:t>
      </w:r>
      <w:r w:rsidRPr="00372A5A">
        <w:rPr>
          <w:rFonts w:ascii="Times New Roman" w:hAnsi="Times New Roman"/>
          <w:sz w:val="24"/>
        </w:rPr>
        <w:t xml:space="preserve"> [2008] 2 Lloyd's Rep 216 at 223 [20] per Moore-Bick LJ.</w:t>
      </w:r>
    </w:p>
  </w:footnote>
  <w:footnote w:id="80">
    <w:p w14:paraId="16C34D7B"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 xml:space="preserve">Taylor v Corporation of St Helens </w:t>
      </w:r>
      <w:r w:rsidRPr="00372A5A">
        <w:rPr>
          <w:rFonts w:ascii="Times New Roman" w:hAnsi="Times New Roman"/>
          <w:sz w:val="24"/>
        </w:rPr>
        <w:t>(1877) 6 Ch D 264 at 270</w:t>
      </w:r>
      <w:r w:rsidRPr="00372A5A">
        <w:rPr>
          <w:rFonts w:ascii="Times New Roman" w:hAnsi="Times New Roman"/>
          <w:sz w:val="24"/>
        </w:rPr>
        <w:noBreakHyphen/>
        <w:t>271.</w:t>
      </w:r>
    </w:p>
  </w:footnote>
  <w:footnote w:id="81">
    <w:p w14:paraId="5D80336F"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 xml:space="preserve">Taylor v Corporation of St Helens </w:t>
      </w:r>
      <w:r w:rsidRPr="00372A5A">
        <w:rPr>
          <w:rFonts w:ascii="Times New Roman" w:hAnsi="Times New Roman"/>
          <w:sz w:val="24"/>
        </w:rPr>
        <w:t>(1877) 6 Ch D 264 at 271.</w:t>
      </w:r>
    </w:p>
  </w:footnote>
  <w:footnote w:id="82">
    <w:p w14:paraId="1A421BAB"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Deane v City Bank of Sydney</w:t>
      </w:r>
      <w:r w:rsidRPr="00372A5A">
        <w:rPr>
          <w:rFonts w:ascii="Times New Roman" w:hAnsi="Times New Roman"/>
          <w:sz w:val="24"/>
        </w:rPr>
        <w:t xml:space="preserve"> (1904) 2 CLR 198 at 209 per Griffith CJ, Barton and O'Connor JJ.</w:t>
      </w:r>
    </w:p>
  </w:footnote>
  <w:footnote w:id="83">
    <w:p w14:paraId="752C29A3"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Mount Bruce Mining Pty Ltd v Wright Prospecting Pty Ltd</w:t>
      </w:r>
      <w:r w:rsidRPr="00372A5A">
        <w:rPr>
          <w:rFonts w:ascii="Times New Roman" w:hAnsi="Times New Roman"/>
          <w:sz w:val="24"/>
        </w:rPr>
        <w:t xml:space="preserve"> (2015) 256 CLR 104 at 116 [46]</w:t>
      </w:r>
      <w:r w:rsidRPr="00372A5A">
        <w:rPr>
          <w:rFonts w:ascii="Times New Roman" w:hAnsi="Times New Roman"/>
          <w:sz w:val="24"/>
        </w:rPr>
        <w:noBreakHyphen/>
        <w:t>[47] per French CJ, Nettle and Gordon JJ.</w:t>
      </w:r>
    </w:p>
  </w:footnote>
  <w:footnote w:id="84">
    <w:p w14:paraId="3A464D19"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 xml:space="preserve">Brisbane City Council v Amos </w:t>
      </w:r>
      <w:r w:rsidRPr="00372A5A">
        <w:rPr>
          <w:rFonts w:ascii="Times New Roman" w:hAnsi="Times New Roman"/>
          <w:sz w:val="24"/>
        </w:rPr>
        <w:t>(2019) 266 CLR 593 at 598 [4]</w:t>
      </w:r>
      <w:r w:rsidRPr="00372A5A">
        <w:rPr>
          <w:rFonts w:ascii="Times New Roman" w:hAnsi="Times New Roman"/>
          <w:sz w:val="24"/>
        </w:rPr>
        <w:noBreakHyphen/>
        <w:t>[5] per Kiefel CJ and Edelman J, 615 [46] per Gageler J, 615 [48] per Keane J, 617 [54]-[55] per Nettle J.</w:t>
      </w:r>
    </w:p>
  </w:footnote>
  <w:footnote w:id="85">
    <w:p w14:paraId="36088DBA"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 xml:space="preserve">Hirtler v Hirtler </w:t>
      </w:r>
      <w:r w:rsidRPr="00372A5A">
        <w:rPr>
          <w:rFonts w:ascii="Times New Roman" w:hAnsi="Times New Roman"/>
          <w:sz w:val="24"/>
        </w:rPr>
        <w:t xml:space="preserve">(1977) 566 P 2d 1231. </w:t>
      </w:r>
    </w:p>
  </w:footnote>
  <w:footnote w:id="86">
    <w:p w14:paraId="0131E3A7"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 xml:space="preserve">Haggerty v Williams </w:t>
      </w:r>
      <w:r w:rsidRPr="00372A5A">
        <w:rPr>
          <w:rFonts w:ascii="Times New Roman" w:hAnsi="Times New Roman"/>
          <w:sz w:val="24"/>
        </w:rPr>
        <w:t xml:space="preserve">(2004) 855 A 2d 264. </w:t>
      </w:r>
    </w:p>
  </w:footnote>
  <w:footnote w:id="87">
    <w:p w14:paraId="71F7314A"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 xml:space="preserve">Spoor v Price </w:t>
      </w:r>
      <w:r w:rsidRPr="00372A5A">
        <w:rPr>
          <w:rFonts w:ascii="Times New Roman" w:hAnsi="Times New Roman"/>
          <w:sz w:val="24"/>
        </w:rPr>
        <w:t>(2019) 3 QR 176 at 186 [30]-[32].</w:t>
      </w:r>
    </w:p>
  </w:footnote>
  <w:footnote w:id="88">
    <w:p w14:paraId="332AE9DB"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 xml:space="preserve">Spoor v Price </w:t>
      </w:r>
      <w:r w:rsidRPr="00372A5A">
        <w:rPr>
          <w:rFonts w:ascii="Times New Roman" w:hAnsi="Times New Roman"/>
          <w:sz w:val="24"/>
        </w:rPr>
        <w:t xml:space="preserve">(2019) 3 QR 176 at 189 [43]. </w:t>
      </w:r>
    </w:p>
  </w:footnote>
  <w:footnote w:id="89">
    <w:p w14:paraId="105A5340"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 xml:space="preserve">Spoor v Price </w:t>
      </w:r>
      <w:r w:rsidRPr="00372A5A">
        <w:rPr>
          <w:rFonts w:ascii="Times New Roman" w:hAnsi="Times New Roman"/>
          <w:sz w:val="24"/>
        </w:rPr>
        <w:t>(2019) 3 QR 176 at 187-188 [35]-[36], [38]</w:t>
      </w:r>
      <w:r w:rsidRPr="00372A5A">
        <w:rPr>
          <w:rFonts w:ascii="Times New Roman" w:hAnsi="Times New Roman"/>
          <w:sz w:val="24"/>
        </w:rPr>
        <w:noBreakHyphen/>
        <w:t xml:space="preserve">[39], quoting </w:t>
      </w:r>
      <w:r w:rsidRPr="00372A5A">
        <w:rPr>
          <w:rFonts w:ascii="Times New Roman" w:hAnsi="Times New Roman"/>
          <w:i/>
          <w:sz w:val="24"/>
        </w:rPr>
        <w:t xml:space="preserve">The Commonwealth v </w:t>
      </w:r>
      <w:r w:rsidRPr="00372A5A">
        <w:rPr>
          <w:rFonts w:ascii="Times New Roman" w:hAnsi="Times New Roman"/>
          <w:i/>
          <w:sz w:val="24"/>
        </w:rPr>
        <w:t>Verwayen</w:t>
      </w:r>
      <w:r w:rsidRPr="00372A5A">
        <w:rPr>
          <w:rFonts w:ascii="Times New Roman" w:hAnsi="Times New Roman"/>
          <w:b/>
          <w:i/>
          <w:sz w:val="24"/>
        </w:rPr>
        <w:t xml:space="preserve"> </w:t>
      </w:r>
      <w:r w:rsidRPr="00372A5A">
        <w:rPr>
          <w:rFonts w:ascii="Times New Roman" w:hAnsi="Times New Roman"/>
          <w:sz w:val="24"/>
        </w:rPr>
        <w:t>(1990) 170 CLR 394 at 404</w:t>
      </w:r>
      <w:r w:rsidRPr="00372A5A">
        <w:rPr>
          <w:rFonts w:ascii="Times New Roman" w:hAnsi="Times New Roman"/>
          <w:sz w:val="24"/>
        </w:rPr>
        <w:noBreakHyphen/>
        <w:t>406 per Mason CJ, 426 per Brennan J.</w:t>
      </w:r>
    </w:p>
  </w:footnote>
  <w:footnote w:id="90">
    <w:p w14:paraId="743865CF"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 xml:space="preserve">The Commonwealth v </w:t>
      </w:r>
      <w:r w:rsidRPr="00372A5A">
        <w:rPr>
          <w:rFonts w:ascii="Times New Roman" w:hAnsi="Times New Roman"/>
          <w:i/>
          <w:sz w:val="24"/>
        </w:rPr>
        <w:t xml:space="preserve">Verwayen </w:t>
      </w:r>
      <w:r w:rsidRPr="00372A5A">
        <w:rPr>
          <w:rFonts w:ascii="Times New Roman" w:hAnsi="Times New Roman"/>
          <w:sz w:val="24"/>
        </w:rPr>
        <w:t xml:space="preserve">(1990) 170 CLR 394 at 405, citing </w:t>
      </w:r>
      <w:r w:rsidRPr="00372A5A">
        <w:rPr>
          <w:rFonts w:ascii="Times New Roman" w:hAnsi="Times New Roman"/>
          <w:i/>
          <w:sz w:val="24"/>
        </w:rPr>
        <w:t>Admiralty Commissioners v Valverda (Owners)</w:t>
      </w:r>
      <w:r w:rsidRPr="00372A5A">
        <w:rPr>
          <w:rFonts w:ascii="Times New Roman" w:hAnsi="Times New Roman"/>
          <w:sz w:val="24"/>
        </w:rPr>
        <w:t xml:space="preserve"> [1938] AC 173 at 185 per Lord Wright.</w:t>
      </w:r>
    </w:p>
  </w:footnote>
  <w:footnote w:id="91">
    <w:p w14:paraId="32A6B2CE"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 xml:space="preserve">The Commonwealth v </w:t>
      </w:r>
      <w:r w:rsidRPr="00372A5A">
        <w:rPr>
          <w:rFonts w:ascii="Times New Roman" w:hAnsi="Times New Roman"/>
          <w:i/>
          <w:sz w:val="24"/>
        </w:rPr>
        <w:t xml:space="preserve">Verwayen </w:t>
      </w:r>
      <w:r w:rsidRPr="00372A5A">
        <w:rPr>
          <w:rFonts w:ascii="Times New Roman" w:hAnsi="Times New Roman"/>
          <w:sz w:val="24"/>
        </w:rPr>
        <w:t xml:space="preserve">(1990) 170 CLR 394 at 405, citing </w:t>
      </w:r>
      <w:r w:rsidRPr="00372A5A">
        <w:rPr>
          <w:rFonts w:ascii="Times New Roman" w:hAnsi="Times New Roman"/>
          <w:i/>
          <w:sz w:val="24"/>
        </w:rPr>
        <w:t xml:space="preserve">Brown v The Queen </w:t>
      </w:r>
      <w:r w:rsidRPr="00372A5A">
        <w:rPr>
          <w:rFonts w:ascii="Times New Roman" w:hAnsi="Times New Roman"/>
          <w:sz w:val="24"/>
        </w:rPr>
        <w:t>(1986) 160 CLR 171 at 208 per Dawson J.</w:t>
      </w:r>
    </w:p>
  </w:footnote>
  <w:footnote w:id="92">
    <w:p w14:paraId="4026655F"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 xml:space="preserve">Spoor v Price </w:t>
      </w:r>
      <w:r w:rsidRPr="00372A5A">
        <w:rPr>
          <w:rFonts w:ascii="Times New Roman" w:hAnsi="Times New Roman"/>
          <w:sz w:val="24"/>
        </w:rPr>
        <w:t>(2019) 3 QR 176 at 188 [36].</w:t>
      </w:r>
    </w:p>
  </w:footnote>
  <w:footnote w:id="93">
    <w:p w14:paraId="1C0BD3DE" w14:textId="77777777" w:rsidR="008447C0" w:rsidRPr="00372A5A" w:rsidRDefault="008447C0" w:rsidP="00372A5A">
      <w:pPr>
        <w:pStyle w:val="FootnoteText"/>
        <w:spacing w:line="280" w:lineRule="exact"/>
        <w:ind w:right="0"/>
        <w:jc w:val="both"/>
        <w:rPr>
          <w:rFonts w:ascii="Times New Roman" w:hAnsi="Times New Roman"/>
          <w:i/>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t xml:space="preserve">(2012) 247 CLR 129 at 143-144 [46]. </w:t>
      </w:r>
    </w:p>
  </w:footnote>
  <w:footnote w:id="94">
    <w:p w14:paraId="0CCBA3C6"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t>(1969) 121 CLR 432 at 456.</w:t>
      </w:r>
    </w:p>
  </w:footnote>
  <w:footnote w:id="95">
    <w:p w14:paraId="7B569846"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Caltex Oil (Australia) Pty Ltd v Best</w:t>
      </w:r>
      <w:r w:rsidRPr="00372A5A">
        <w:rPr>
          <w:rFonts w:ascii="Times New Roman" w:hAnsi="Times New Roman"/>
          <w:sz w:val="24"/>
        </w:rPr>
        <w:t xml:space="preserve"> (1990) 170 CLR 516 at 522 per Mason CJ, Gaudron and McHugh JJ (Dawson J agreeing); </w:t>
      </w:r>
      <w:r w:rsidRPr="00372A5A">
        <w:rPr>
          <w:rFonts w:ascii="Times New Roman" w:hAnsi="Times New Roman"/>
          <w:i/>
          <w:sz w:val="24"/>
        </w:rPr>
        <w:t>Fitzgerald v F J Leonhardt Pty Ltd</w:t>
      </w:r>
      <w:r w:rsidRPr="00372A5A">
        <w:rPr>
          <w:rFonts w:ascii="Times New Roman" w:hAnsi="Times New Roman"/>
          <w:sz w:val="24"/>
        </w:rPr>
        <w:t xml:space="preserve"> (1997) 189 CLR 215 at 227 per McHugh and Gummow JJ; </w:t>
      </w:r>
      <w:r w:rsidRPr="00372A5A">
        <w:rPr>
          <w:rFonts w:ascii="Times New Roman" w:hAnsi="Times New Roman"/>
          <w:i/>
          <w:sz w:val="24"/>
        </w:rPr>
        <w:t>International Air Transport Association v Ansett Australia Holdings Ltd</w:t>
      </w:r>
      <w:r w:rsidRPr="00372A5A">
        <w:rPr>
          <w:rFonts w:ascii="Times New Roman" w:hAnsi="Times New Roman"/>
          <w:sz w:val="24"/>
        </w:rPr>
        <w:t xml:space="preserve"> (2008) 234 CLR 151 at 179 [71] per Gummow, Hayne, Heydon, Crennan and Kiefel JJ;</w:t>
      </w:r>
      <w:r w:rsidRPr="00372A5A">
        <w:rPr>
          <w:rFonts w:ascii="Times New Roman" w:hAnsi="Times New Roman"/>
          <w:i/>
          <w:sz w:val="24"/>
        </w:rPr>
        <w:t xml:space="preserve"> Miller v Miller</w:t>
      </w:r>
      <w:r w:rsidRPr="00372A5A">
        <w:rPr>
          <w:rFonts w:ascii="Times New Roman" w:hAnsi="Times New Roman"/>
          <w:sz w:val="24"/>
        </w:rPr>
        <w:t xml:space="preserve"> (2011) 242 CLR 446 at 457-458 [25] per French CJ, Gummow, Hayne, Crennan, Kiefel and Bell JJ; </w:t>
      </w:r>
      <w:r w:rsidRPr="00372A5A">
        <w:rPr>
          <w:rFonts w:ascii="Times New Roman" w:hAnsi="Times New Roman"/>
          <w:i/>
          <w:sz w:val="24"/>
        </w:rPr>
        <w:t>Equuscorp Pty Ltd v Haxton</w:t>
      </w:r>
      <w:r w:rsidRPr="00372A5A">
        <w:rPr>
          <w:rFonts w:ascii="Times New Roman" w:hAnsi="Times New Roman"/>
          <w:sz w:val="24"/>
        </w:rPr>
        <w:t xml:space="preserve"> (2012) 246 CLR 498 at 513 [23] per French CJ, Crennan and Kiefel JJ.</w:t>
      </w:r>
    </w:p>
  </w:footnote>
  <w:footnote w:id="96">
    <w:p w14:paraId="441CC238"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 xml:space="preserve">The Commonwealth v </w:t>
      </w:r>
      <w:r w:rsidRPr="00372A5A">
        <w:rPr>
          <w:rFonts w:ascii="Times New Roman" w:hAnsi="Times New Roman"/>
          <w:i/>
          <w:sz w:val="24"/>
        </w:rPr>
        <w:t xml:space="preserve">Verwayen </w:t>
      </w:r>
      <w:r w:rsidRPr="00372A5A">
        <w:rPr>
          <w:rFonts w:ascii="Times New Roman" w:hAnsi="Times New Roman"/>
          <w:sz w:val="24"/>
        </w:rPr>
        <w:t>(1990) 170 CLR 394 at 405 per Mason CJ.</w:t>
      </w:r>
    </w:p>
  </w:footnote>
  <w:footnote w:id="97">
    <w:p w14:paraId="1E53C3E0"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 xml:space="preserve">Brisbane City Council v Amos </w:t>
      </w:r>
      <w:r w:rsidRPr="00372A5A">
        <w:rPr>
          <w:rFonts w:ascii="Times New Roman" w:hAnsi="Times New Roman"/>
          <w:sz w:val="24"/>
        </w:rPr>
        <w:t>(2019) 266 CLR 593 at 599 [7] per Kiefel CJ and Edelman J.</w:t>
      </w:r>
    </w:p>
  </w:footnote>
  <w:footnote w:id="98">
    <w:p w14:paraId="0E8E2093"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t xml:space="preserve">The Court in </w:t>
      </w:r>
      <w:r w:rsidRPr="00372A5A">
        <w:rPr>
          <w:rFonts w:ascii="Times New Roman" w:hAnsi="Times New Roman"/>
          <w:i/>
          <w:sz w:val="24"/>
        </w:rPr>
        <w:t xml:space="preserve">Verwayen </w:t>
      </w:r>
      <w:r w:rsidRPr="00372A5A">
        <w:rPr>
          <w:rFonts w:ascii="Times New Roman" w:hAnsi="Times New Roman"/>
          <w:sz w:val="24"/>
        </w:rPr>
        <w:t xml:space="preserve">was concerned with the </w:t>
      </w:r>
      <w:r w:rsidRPr="00372A5A">
        <w:rPr>
          <w:rFonts w:ascii="Times New Roman" w:hAnsi="Times New Roman"/>
          <w:i/>
          <w:sz w:val="24"/>
        </w:rPr>
        <w:t>Limitation of Actions Act 1958</w:t>
      </w:r>
      <w:r w:rsidRPr="00372A5A">
        <w:rPr>
          <w:rFonts w:ascii="Times New Roman" w:hAnsi="Times New Roman"/>
          <w:sz w:val="24"/>
        </w:rPr>
        <w:t xml:space="preserve"> (Vic).</w:t>
      </w:r>
    </w:p>
  </w:footnote>
  <w:footnote w:id="99">
    <w:p w14:paraId="7D8463B7"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 xml:space="preserve">The Commonwealth v </w:t>
      </w:r>
      <w:r w:rsidRPr="00372A5A">
        <w:rPr>
          <w:rFonts w:ascii="Times New Roman" w:hAnsi="Times New Roman"/>
          <w:i/>
          <w:sz w:val="24"/>
        </w:rPr>
        <w:t xml:space="preserve">Verwayen </w:t>
      </w:r>
      <w:r w:rsidRPr="00372A5A">
        <w:rPr>
          <w:rFonts w:ascii="Times New Roman" w:hAnsi="Times New Roman"/>
          <w:sz w:val="24"/>
        </w:rPr>
        <w:t>(1990) 170 CLR 394 at 405</w:t>
      </w:r>
      <w:r w:rsidRPr="00372A5A">
        <w:rPr>
          <w:rFonts w:ascii="Times New Roman" w:hAnsi="Times New Roman"/>
          <w:sz w:val="24"/>
        </w:rPr>
        <w:noBreakHyphen/>
        <w:t>406.</w:t>
      </w:r>
    </w:p>
  </w:footnote>
  <w:footnote w:id="100">
    <w:p w14:paraId="5AF26C26"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 xml:space="preserve">The Commonwealth v </w:t>
      </w:r>
      <w:r w:rsidRPr="00372A5A">
        <w:rPr>
          <w:rFonts w:ascii="Times New Roman" w:hAnsi="Times New Roman"/>
          <w:i/>
          <w:sz w:val="24"/>
        </w:rPr>
        <w:t xml:space="preserve">Verwayen </w:t>
      </w:r>
      <w:r w:rsidRPr="00372A5A">
        <w:rPr>
          <w:rFonts w:ascii="Times New Roman" w:hAnsi="Times New Roman"/>
          <w:sz w:val="24"/>
        </w:rPr>
        <w:t>(1990) 170 CLR 394 at 426.</w:t>
      </w:r>
    </w:p>
  </w:footnote>
  <w:footnote w:id="101">
    <w:p w14:paraId="212BD3A2"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 xml:space="preserve">Spoor v Price </w:t>
      </w:r>
      <w:r w:rsidRPr="00372A5A">
        <w:rPr>
          <w:rFonts w:ascii="Times New Roman" w:hAnsi="Times New Roman"/>
          <w:sz w:val="24"/>
        </w:rPr>
        <w:t>(2019) 3 QR 176 at 188</w:t>
      </w:r>
      <w:r w:rsidRPr="00372A5A">
        <w:rPr>
          <w:rFonts w:ascii="Times New Roman" w:hAnsi="Times New Roman"/>
          <w:sz w:val="24"/>
        </w:rPr>
        <w:noBreakHyphen/>
        <w:t>189 [40].</w:t>
      </w:r>
    </w:p>
  </w:footnote>
  <w:footnote w:id="102">
    <w:p w14:paraId="2962C1EC"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t xml:space="preserve">Citing </w:t>
      </w:r>
      <w:r w:rsidRPr="00372A5A">
        <w:rPr>
          <w:rFonts w:ascii="Times New Roman" w:hAnsi="Times New Roman"/>
          <w:i/>
          <w:sz w:val="24"/>
        </w:rPr>
        <w:t>Equitable Life Assurance of the United States v Bogie</w:t>
      </w:r>
      <w:r w:rsidRPr="00372A5A">
        <w:rPr>
          <w:rFonts w:ascii="Times New Roman" w:hAnsi="Times New Roman"/>
          <w:sz w:val="24"/>
        </w:rPr>
        <w:t xml:space="preserve"> (1905) 3 CLR 878 at 893 per Griffith CJ, 897 per Barton J.</w:t>
      </w:r>
    </w:p>
  </w:footnote>
  <w:footnote w:id="103">
    <w:p w14:paraId="4CB64CEE"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t xml:space="preserve">Citing </w:t>
      </w:r>
      <w:r w:rsidRPr="00372A5A">
        <w:rPr>
          <w:rFonts w:ascii="Times New Roman" w:hAnsi="Times New Roman"/>
          <w:i/>
          <w:sz w:val="24"/>
        </w:rPr>
        <w:t>Johnson v Moreton</w:t>
      </w:r>
      <w:r w:rsidRPr="00372A5A">
        <w:rPr>
          <w:rFonts w:ascii="Times New Roman" w:hAnsi="Times New Roman"/>
          <w:sz w:val="24"/>
        </w:rPr>
        <w:t xml:space="preserve"> [1980] AC 37 at 58 per Lord </w:t>
      </w:r>
      <w:r w:rsidRPr="00372A5A">
        <w:rPr>
          <w:rFonts w:ascii="Times New Roman" w:hAnsi="Times New Roman"/>
          <w:sz w:val="24"/>
        </w:rPr>
        <w:t>Hailsham.</w:t>
      </w:r>
    </w:p>
  </w:footnote>
  <w:footnote w:id="104">
    <w:p w14:paraId="08B22A45"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t xml:space="preserve">Citing </w:t>
      </w:r>
      <w:r w:rsidRPr="00372A5A">
        <w:rPr>
          <w:rFonts w:ascii="Times New Roman" w:hAnsi="Times New Roman"/>
          <w:i/>
          <w:sz w:val="24"/>
        </w:rPr>
        <w:t xml:space="preserve">Graham v Ingleby </w:t>
      </w:r>
      <w:r w:rsidRPr="00372A5A">
        <w:rPr>
          <w:rFonts w:ascii="Times New Roman" w:hAnsi="Times New Roman"/>
          <w:sz w:val="24"/>
        </w:rPr>
        <w:t xml:space="preserve">(1848) 1 </w:t>
      </w:r>
      <w:r w:rsidRPr="00372A5A">
        <w:rPr>
          <w:rFonts w:ascii="Times New Roman" w:hAnsi="Times New Roman"/>
          <w:sz w:val="24"/>
        </w:rPr>
        <w:t>Exch 651 at 657 per Alderson B [154 ER 277 at 279].</w:t>
      </w:r>
    </w:p>
  </w:footnote>
  <w:footnote w:id="105">
    <w:p w14:paraId="360C4A72"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t xml:space="preserve">Citing </w:t>
      </w:r>
      <w:r w:rsidRPr="00372A5A">
        <w:rPr>
          <w:rFonts w:ascii="Times New Roman" w:hAnsi="Times New Roman"/>
          <w:i/>
          <w:sz w:val="24"/>
        </w:rPr>
        <w:t xml:space="preserve">Johnson v Moreton </w:t>
      </w:r>
      <w:r w:rsidRPr="00372A5A">
        <w:rPr>
          <w:rFonts w:ascii="Times New Roman" w:hAnsi="Times New Roman"/>
          <w:sz w:val="24"/>
        </w:rPr>
        <w:t>[1980] AC 37 at 66 per Lord Simon.</w:t>
      </w:r>
    </w:p>
  </w:footnote>
  <w:footnote w:id="106">
    <w:p w14:paraId="1090C5CB"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t>(1996) 186 CLR 541 at 552-553.</w:t>
      </w:r>
    </w:p>
  </w:footnote>
  <w:footnote w:id="107">
    <w:p w14:paraId="1D00B013"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 xml:space="preserve">Jones v </w:t>
      </w:r>
      <w:r w:rsidRPr="00372A5A">
        <w:rPr>
          <w:rFonts w:ascii="Times New Roman" w:hAnsi="Times New Roman"/>
          <w:i/>
          <w:sz w:val="24"/>
        </w:rPr>
        <w:t>Bellgrove Properties Ltd</w:t>
      </w:r>
      <w:r w:rsidRPr="00372A5A">
        <w:rPr>
          <w:rFonts w:ascii="Times New Roman" w:hAnsi="Times New Roman"/>
          <w:sz w:val="24"/>
        </w:rPr>
        <w:t xml:space="preserve"> [1949] 2 KB 700 at 704 per Lord Goddard CJ.</w:t>
      </w:r>
    </w:p>
  </w:footnote>
  <w:footnote w:id="108">
    <w:p w14:paraId="3E6F8CA3"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R B Policies at Lloyd's v Butler</w:t>
      </w:r>
      <w:r w:rsidRPr="00372A5A">
        <w:rPr>
          <w:rFonts w:ascii="Times New Roman" w:hAnsi="Times New Roman"/>
          <w:sz w:val="24"/>
        </w:rPr>
        <w:t xml:space="preserve"> [1950] 1 KB 76 at 81-82 per </w:t>
      </w:r>
      <w:r w:rsidRPr="00372A5A">
        <w:rPr>
          <w:rFonts w:ascii="Times New Roman" w:hAnsi="Times New Roman"/>
          <w:sz w:val="24"/>
        </w:rPr>
        <w:t>Streatfeild J.</w:t>
      </w:r>
    </w:p>
  </w:footnote>
  <w:footnote w:id="109">
    <w:p w14:paraId="58732AD8"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t xml:space="preserve">New South Wales Law Reform Commission, </w:t>
      </w:r>
      <w:r w:rsidRPr="00372A5A">
        <w:rPr>
          <w:rFonts w:ascii="Times New Roman" w:hAnsi="Times New Roman"/>
          <w:i/>
          <w:sz w:val="24"/>
        </w:rPr>
        <w:t>Limitation of Actions for Personal Injury Claims</w:t>
      </w:r>
      <w:r w:rsidRPr="00372A5A">
        <w:rPr>
          <w:rFonts w:ascii="Times New Roman" w:hAnsi="Times New Roman"/>
          <w:sz w:val="24"/>
        </w:rPr>
        <w:t xml:space="preserve">, LRC 50 (1986) at 3; Law Reform Commission of Western Australia, </w:t>
      </w:r>
      <w:r w:rsidRPr="00372A5A">
        <w:rPr>
          <w:rFonts w:ascii="Times New Roman" w:hAnsi="Times New Roman"/>
          <w:i/>
          <w:sz w:val="24"/>
        </w:rPr>
        <w:t>Discussion Paper on Limitation and Notice of Actions</w:t>
      </w:r>
      <w:r w:rsidRPr="00372A5A">
        <w:rPr>
          <w:rFonts w:ascii="Times New Roman" w:hAnsi="Times New Roman"/>
          <w:sz w:val="24"/>
        </w:rPr>
        <w:t>, Project No 36 Part II (1992) at 11.</w:t>
      </w:r>
    </w:p>
  </w:footnote>
  <w:footnote w:id="110">
    <w:p w14:paraId="553F944F"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t xml:space="preserve">New South Wales Law Reform Commission, </w:t>
      </w:r>
      <w:r w:rsidRPr="00372A5A">
        <w:rPr>
          <w:rFonts w:ascii="Times New Roman" w:hAnsi="Times New Roman"/>
          <w:i/>
          <w:sz w:val="24"/>
        </w:rPr>
        <w:t>Limitation of Actions for Personal Injury Claims</w:t>
      </w:r>
      <w:r w:rsidRPr="00372A5A">
        <w:rPr>
          <w:rFonts w:ascii="Times New Roman" w:hAnsi="Times New Roman"/>
          <w:sz w:val="24"/>
        </w:rPr>
        <w:t xml:space="preserve">, LRC 50 (1986) at 3; Law Reform Commission of Western Australia, </w:t>
      </w:r>
      <w:r w:rsidRPr="00372A5A">
        <w:rPr>
          <w:rFonts w:ascii="Times New Roman" w:hAnsi="Times New Roman"/>
          <w:i/>
          <w:sz w:val="24"/>
        </w:rPr>
        <w:t>Discussion Paper on Limitation and Notice of Actions</w:t>
      </w:r>
      <w:r w:rsidRPr="00372A5A">
        <w:rPr>
          <w:rFonts w:ascii="Times New Roman" w:hAnsi="Times New Roman"/>
          <w:sz w:val="24"/>
        </w:rPr>
        <w:t>, Project No 36 Part II (1992) at 11.</w:t>
      </w:r>
    </w:p>
  </w:footnote>
  <w:footnote w:id="111">
    <w:p w14:paraId="03296D80" w14:textId="77777777" w:rsidR="008447C0" w:rsidRPr="00372A5A" w:rsidRDefault="008447C0" w:rsidP="00372A5A">
      <w:pPr>
        <w:pStyle w:val="FootnoteText"/>
        <w:spacing w:line="280" w:lineRule="exact"/>
        <w:ind w:right="0"/>
        <w:jc w:val="both"/>
        <w:rPr>
          <w:rFonts w:ascii="Times New Roman" w:hAnsi="Times New Roman"/>
          <w:i/>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 xml:space="preserve">Brisbane City Council v Amos </w:t>
      </w:r>
      <w:r w:rsidRPr="00372A5A">
        <w:rPr>
          <w:rFonts w:ascii="Times New Roman" w:hAnsi="Times New Roman"/>
          <w:sz w:val="24"/>
        </w:rPr>
        <w:t xml:space="preserve">(2019) 266 CLR 593 at 616 [49] per Keane J, citing </w:t>
      </w:r>
      <w:r w:rsidRPr="00372A5A">
        <w:rPr>
          <w:rFonts w:ascii="Times New Roman" w:hAnsi="Times New Roman"/>
          <w:i/>
          <w:sz w:val="24"/>
        </w:rPr>
        <w:t>Courtenay v Williams</w:t>
      </w:r>
      <w:r w:rsidRPr="00372A5A">
        <w:rPr>
          <w:rFonts w:ascii="Times New Roman" w:hAnsi="Times New Roman"/>
          <w:sz w:val="24"/>
        </w:rPr>
        <w:t xml:space="preserve"> (1844) 3 Hare 539 at 551-552 per Wigram V-C [67 ER 494 at 499</w:t>
      </w:r>
      <w:r w:rsidRPr="00372A5A">
        <w:rPr>
          <w:rFonts w:ascii="Times New Roman" w:hAnsi="Times New Roman"/>
          <w:sz w:val="24"/>
        </w:rPr>
        <w:noBreakHyphen/>
        <w:t xml:space="preserve">500], </w:t>
      </w:r>
      <w:r w:rsidRPr="00372A5A">
        <w:rPr>
          <w:rFonts w:ascii="Times New Roman" w:hAnsi="Times New Roman"/>
          <w:i/>
          <w:sz w:val="24"/>
        </w:rPr>
        <w:t xml:space="preserve">Dawkins v Lord Penrhyn </w:t>
      </w:r>
      <w:r w:rsidRPr="00372A5A">
        <w:rPr>
          <w:rFonts w:ascii="Times New Roman" w:hAnsi="Times New Roman"/>
          <w:sz w:val="24"/>
        </w:rPr>
        <w:t>(1878) 4 App Cas 51 at 58</w:t>
      </w:r>
      <w:r w:rsidRPr="00372A5A">
        <w:rPr>
          <w:rFonts w:ascii="Times New Roman" w:hAnsi="Times New Roman"/>
          <w:sz w:val="24"/>
        </w:rPr>
        <w:noBreakHyphen/>
        <w:t xml:space="preserve">59 per Earl Cairns LC, </w:t>
      </w:r>
      <w:r w:rsidRPr="00372A5A">
        <w:rPr>
          <w:rFonts w:ascii="Times New Roman" w:hAnsi="Times New Roman"/>
          <w:i/>
          <w:sz w:val="24"/>
        </w:rPr>
        <w:t xml:space="preserve">Ketteman v Hansel Properties Ltd </w:t>
      </w:r>
      <w:r w:rsidRPr="00372A5A">
        <w:rPr>
          <w:rFonts w:ascii="Times New Roman" w:hAnsi="Times New Roman"/>
          <w:sz w:val="24"/>
        </w:rPr>
        <w:t xml:space="preserve">[1987] AC 189 at 219 per Lord Griffiths and </w:t>
      </w:r>
      <w:r w:rsidRPr="00372A5A">
        <w:rPr>
          <w:rFonts w:ascii="Times New Roman" w:hAnsi="Times New Roman"/>
          <w:i/>
          <w:sz w:val="24"/>
        </w:rPr>
        <w:t>The Commonwealth v Verwayen</w:t>
      </w:r>
      <w:r w:rsidRPr="00372A5A">
        <w:rPr>
          <w:rFonts w:ascii="Times New Roman" w:hAnsi="Times New Roman"/>
          <w:sz w:val="24"/>
        </w:rPr>
        <w:t xml:space="preserve"> (1990) 170 CLR 394 at</w:t>
      </w:r>
      <w:r w:rsidRPr="00372A5A">
        <w:rPr>
          <w:rFonts w:ascii="Times New Roman" w:hAnsi="Times New Roman"/>
          <w:i/>
          <w:sz w:val="24"/>
        </w:rPr>
        <w:t xml:space="preserve"> </w:t>
      </w:r>
      <w:r w:rsidRPr="00372A5A">
        <w:rPr>
          <w:rFonts w:ascii="Times New Roman" w:hAnsi="Times New Roman"/>
          <w:sz w:val="24"/>
        </w:rPr>
        <w:t>405 per Mason CJ, 473-474 per Toohey J.</w:t>
      </w:r>
    </w:p>
  </w:footnote>
  <w:footnote w:id="112">
    <w:p w14:paraId="675A6FF6"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Thursby v Warren</w:t>
      </w:r>
      <w:r w:rsidRPr="00372A5A">
        <w:rPr>
          <w:rFonts w:ascii="Times New Roman" w:hAnsi="Times New Roman"/>
          <w:sz w:val="24"/>
        </w:rPr>
        <w:t xml:space="preserve"> (1628) Cro Car 159 [79 ER 738]. </w:t>
      </w:r>
    </w:p>
  </w:footnote>
  <w:footnote w:id="113">
    <w:p w14:paraId="13860D82"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t>[1971] AC 850 at 881 (emphasis added).</w:t>
      </w:r>
    </w:p>
  </w:footnote>
  <w:footnote w:id="114">
    <w:p w14:paraId="18C0F63E"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sz w:val="24"/>
        </w:rPr>
        <w:t xml:space="preserve">cf </w:t>
      </w:r>
      <w:r w:rsidRPr="00372A5A">
        <w:rPr>
          <w:rFonts w:ascii="Times New Roman" w:hAnsi="Times New Roman"/>
          <w:i/>
          <w:sz w:val="24"/>
        </w:rPr>
        <w:t>Graham v Ingelby</w:t>
      </w:r>
      <w:r w:rsidRPr="00372A5A">
        <w:rPr>
          <w:rFonts w:ascii="Times New Roman" w:hAnsi="Times New Roman"/>
          <w:sz w:val="24"/>
        </w:rPr>
        <w:t xml:space="preserve"> (1848) 1 Exch 651 at 655 per Pollock CB [154 ER 277 at 278-279], quoted in </w:t>
      </w:r>
      <w:r w:rsidRPr="00372A5A">
        <w:rPr>
          <w:rFonts w:ascii="Times New Roman" w:hAnsi="Times New Roman"/>
          <w:i/>
          <w:sz w:val="24"/>
        </w:rPr>
        <w:t xml:space="preserve">Kammins Ballrooms Co Ltd v Zenith Investments (Torquay) Ltd </w:t>
      </w:r>
      <w:r w:rsidRPr="00372A5A">
        <w:rPr>
          <w:rFonts w:ascii="Times New Roman" w:hAnsi="Times New Roman"/>
          <w:sz w:val="24"/>
        </w:rPr>
        <w:t>[1971] AC 850 at 876-877 per Lord Pearson.</w:t>
      </w:r>
    </w:p>
  </w:footnote>
  <w:footnote w:id="115">
    <w:p w14:paraId="3DB35CF9"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t>(1842) 11 LJ Ch 102.</w:t>
      </w:r>
    </w:p>
  </w:footnote>
  <w:footnote w:id="116">
    <w:p w14:paraId="25029BFE"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 xml:space="preserve">Lade v Trill </w:t>
      </w:r>
      <w:r w:rsidRPr="00372A5A">
        <w:rPr>
          <w:rFonts w:ascii="Times New Roman" w:hAnsi="Times New Roman"/>
          <w:sz w:val="24"/>
        </w:rPr>
        <w:t>(1842) 11 LJ Ch 102 at 103.</w:t>
      </w:r>
    </w:p>
  </w:footnote>
  <w:footnote w:id="117">
    <w:p w14:paraId="70272973"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t>[1900] 2 QB 240.</w:t>
      </w:r>
    </w:p>
  </w:footnote>
  <w:footnote w:id="118">
    <w:p w14:paraId="296E1A3D"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Wright v John Bagnall &amp; Sons Ltd</w:t>
      </w:r>
      <w:r w:rsidRPr="00372A5A">
        <w:rPr>
          <w:rFonts w:ascii="Times New Roman" w:hAnsi="Times New Roman"/>
          <w:sz w:val="24"/>
        </w:rPr>
        <w:t xml:space="preserve"> [1900] 2 QB 240 at 244</w:t>
      </w:r>
      <w:r w:rsidRPr="00372A5A">
        <w:rPr>
          <w:rFonts w:ascii="Times New Roman" w:hAnsi="Times New Roman"/>
          <w:sz w:val="24"/>
        </w:rPr>
        <w:noBreakHyphen/>
        <w:t>245.</w:t>
      </w:r>
    </w:p>
  </w:footnote>
  <w:footnote w:id="119">
    <w:p w14:paraId="7FF15A91"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Wright v John Bagnall &amp; Sons Ltd</w:t>
      </w:r>
      <w:r w:rsidRPr="00372A5A">
        <w:rPr>
          <w:rFonts w:ascii="Times New Roman" w:hAnsi="Times New Roman"/>
          <w:sz w:val="24"/>
        </w:rPr>
        <w:t xml:space="preserve"> [1900] 2 QB 240 at 245. </w:t>
      </w:r>
    </w:p>
  </w:footnote>
  <w:footnote w:id="120">
    <w:p w14:paraId="692C66A8"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Wright v John Bagnall &amp; Sons Ltd</w:t>
      </w:r>
      <w:r w:rsidRPr="00372A5A">
        <w:rPr>
          <w:rFonts w:ascii="Times New Roman" w:hAnsi="Times New Roman"/>
          <w:sz w:val="24"/>
        </w:rPr>
        <w:t xml:space="preserve"> [1900] 2 QB 240 at 244.</w:t>
      </w:r>
    </w:p>
  </w:footnote>
  <w:footnote w:id="121">
    <w:p w14:paraId="676B3024"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Wright v John Bagnall &amp; Sons Ltd</w:t>
      </w:r>
      <w:r w:rsidRPr="00372A5A">
        <w:rPr>
          <w:rFonts w:ascii="Times New Roman" w:hAnsi="Times New Roman"/>
          <w:sz w:val="24"/>
        </w:rPr>
        <w:t xml:space="preserve"> [1900] 2 QB 240 at 245.</w:t>
      </w:r>
    </w:p>
  </w:footnote>
  <w:footnote w:id="122">
    <w:p w14:paraId="1622D19D"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t>[1944] KB 44.</w:t>
      </w:r>
    </w:p>
  </w:footnote>
  <w:footnote w:id="123">
    <w:p w14:paraId="50D0232A"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Lubovsky v Snelling</w:t>
      </w:r>
      <w:r w:rsidRPr="00372A5A">
        <w:rPr>
          <w:rFonts w:ascii="Times New Roman" w:hAnsi="Times New Roman"/>
          <w:sz w:val="24"/>
        </w:rPr>
        <w:t xml:space="preserve"> [1944] KB 44 at 46-48.</w:t>
      </w:r>
    </w:p>
  </w:footnote>
  <w:footnote w:id="124">
    <w:p w14:paraId="5BE1E5C3"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Lubovsky v Snelling</w:t>
      </w:r>
      <w:r w:rsidRPr="00372A5A">
        <w:rPr>
          <w:rFonts w:ascii="Times New Roman" w:hAnsi="Times New Roman"/>
          <w:sz w:val="24"/>
        </w:rPr>
        <w:t xml:space="preserve"> [1944] KB 44 at 46.</w:t>
      </w:r>
    </w:p>
  </w:footnote>
  <w:footnote w:id="125">
    <w:p w14:paraId="04384C13"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Lubovsky v Snelling</w:t>
      </w:r>
      <w:r w:rsidRPr="00372A5A">
        <w:rPr>
          <w:rFonts w:ascii="Times New Roman" w:hAnsi="Times New Roman"/>
          <w:sz w:val="24"/>
        </w:rPr>
        <w:t xml:space="preserve"> [1944] KB 44 at 46.</w:t>
      </w:r>
    </w:p>
  </w:footnote>
  <w:footnote w:id="126">
    <w:p w14:paraId="7ECB2D65"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Lubovsky v Snelling</w:t>
      </w:r>
      <w:r w:rsidRPr="00372A5A">
        <w:rPr>
          <w:rFonts w:ascii="Times New Roman" w:hAnsi="Times New Roman"/>
          <w:sz w:val="24"/>
        </w:rPr>
        <w:t xml:space="preserve"> [1944] KB 44 at 47.</w:t>
      </w:r>
    </w:p>
  </w:footnote>
  <w:footnote w:id="127">
    <w:p w14:paraId="53997A3F"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t>(1962) 108 CLR 471 at 488.</w:t>
      </w:r>
    </w:p>
  </w:footnote>
  <w:footnote w:id="128">
    <w:p w14:paraId="41F394C9"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t>(1922) 31 CLR 76.</w:t>
      </w:r>
    </w:p>
  </w:footnote>
  <w:footnote w:id="129">
    <w:p w14:paraId="389FAAF4"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t>[1957] 1 Lloyd's Rep 396 at 400.</w:t>
      </w:r>
    </w:p>
  </w:footnote>
  <w:footnote w:id="130">
    <w:p w14:paraId="606E1480"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Printing and Numerical Registering Company v Sampson</w:t>
      </w:r>
      <w:r w:rsidRPr="00372A5A">
        <w:rPr>
          <w:rFonts w:ascii="Times New Roman" w:hAnsi="Times New Roman"/>
          <w:sz w:val="24"/>
        </w:rPr>
        <w:t xml:space="preserve"> (1875) LR 19 Eq 462 at 465.</w:t>
      </w:r>
    </w:p>
  </w:footnote>
  <w:footnote w:id="131">
    <w:p w14:paraId="7A1565BD"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t xml:space="preserve">(2005) 224 CLR 656 at 669 [32] per Gleeson CJ, Gummow, Kirby, Hayne, Callinan and Heydon JJ, cited and approved in </w:t>
      </w:r>
      <w:r w:rsidRPr="00372A5A">
        <w:rPr>
          <w:rFonts w:ascii="Times New Roman" w:hAnsi="Times New Roman"/>
          <w:i/>
          <w:sz w:val="24"/>
        </w:rPr>
        <w:t>Paciocco v Australia &amp; New Zealand Banking Group Ltd</w:t>
      </w:r>
      <w:r w:rsidRPr="00372A5A">
        <w:rPr>
          <w:rFonts w:ascii="Times New Roman" w:hAnsi="Times New Roman"/>
          <w:sz w:val="24"/>
        </w:rPr>
        <w:t xml:space="preserve"> (2016) 258 CLR 525 at 553 [54] per Kiefel J, 578 [156] per Gageler J, 604 [250] per Keane J.</w:t>
      </w:r>
    </w:p>
  </w:footnote>
  <w:footnote w:id="132">
    <w:p w14:paraId="21ECEB70"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t>[1997] AC 430 at 453.</w:t>
      </w:r>
    </w:p>
  </w:footnote>
  <w:footnote w:id="133">
    <w:p w14:paraId="1910F132"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t>(2009) 239 CLR 175 at 212 [95] per Gummow, Hayne, Crennan, Kiefel and Bell JJ.</w:t>
      </w:r>
    </w:p>
  </w:footnote>
  <w:footnote w:id="134">
    <w:p w14:paraId="3A01C5E9"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 xml:space="preserve">Blackmore v </w:t>
      </w:r>
      <w:r w:rsidRPr="00372A5A">
        <w:rPr>
          <w:rFonts w:ascii="Times New Roman" w:hAnsi="Times New Roman"/>
          <w:i/>
          <w:sz w:val="24"/>
        </w:rPr>
        <w:t>Tidderley</w:t>
      </w:r>
      <w:r w:rsidRPr="00372A5A">
        <w:rPr>
          <w:rFonts w:ascii="Times New Roman" w:hAnsi="Times New Roman"/>
          <w:sz w:val="24"/>
        </w:rPr>
        <w:t xml:space="preserve"> (1704) 2 Ld Raym 1099 at 1100 per Holt CJ [92 ER 228 at 228]; </w:t>
      </w:r>
      <w:r w:rsidRPr="00372A5A">
        <w:rPr>
          <w:rFonts w:ascii="Times New Roman" w:hAnsi="Times New Roman"/>
          <w:i/>
          <w:sz w:val="24"/>
        </w:rPr>
        <w:t>Williams v Jones</w:t>
      </w:r>
      <w:r w:rsidRPr="00372A5A">
        <w:rPr>
          <w:rFonts w:ascii="Times New Roman" w:hAnsi="Times New Roman"/>
          <w:sz w:val="24"/>
        </w:rPr>
        <w:t xml:space="preserve"> (1811) 13 East 439 at 449 per Lord Ellenborough CJ [104 ER 441 at 445]. </w:t>
      </w:r>
    </w:p>
  </w:footnote>
  <w:footnote w:id="135">
    <w:p w14:paraId="71123EB4"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 xml:space="preserve">Port of Melbourne Authority v </w:t>
      </w:r>
      <w:r w:rsidRPr="00372A5A">
        <w:rPr>
          <w:rFonts w:ascii="Times New Roman" w:hAnsi="Times New Roman"/>
          <w:i/>
          <w:sz w:val="24"/>
        </w:rPr>
        <w:t>Anshun Pty Ltd</w:t>
      </w:r>
      <w:r w:rsidRPr="00372A5A">
        <w:rPr>
          <w:rFonts w:ascii="Times New Roman" w:hAnsi="Times New Roman"/>
          <w:sz w:val="24"/>
        </w:rPr>
        <w:t xml:space="preserve"> (1981) 147 CLR 589 at 602</w:t>
      </w:r>
      <w:r w:rsidRPr="00372A5A">
        <w:rPr>
          <w:rFonts w:ascii="Times New Roman" w:hAnsi="Times New Roman"/>
          <w:sz w:val="24"/>
        </w:rPr>
        <w:noBreakHyphen/>
        <w:t>603 per Gibbs CJ, Mason and Aickin JJ.</w:t>
      </w:r>
    </w:p>
  </w:footnote>
  <w:footnote w:id="136">
    <w:p w14:paraId="63FC6F08"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t>(1849) 7 Moo PC 85 [13 ER 811].</w:t>
      </w:r>
    </w:p>
  </w:footnote>
  <w:footnote w:id="137">
    <w:p w14:paraId="663C789F"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 xml:space="preserve">The East India Company v </w:t>
      </w:r>
      <w:r w:rsidRPr="00372A5A">
        <w:rPr>
          <w:rFonts w:ascii="Times New Roman" w:hAnsi="Times New Roman"/>
          <w:i/>
          <w:sz w:val="24"/>
        </w:rPr>
        <w:t>Oditchurn Paul</w:t>
      </w:r>
      <w:r w:rsidRPr="00372A5A">
        <w:rPr>
          <w:rFonts w:ascii="Times New Roman" w:hAnsi="Times New Roman"/>
          <w:sz w:val="24"/>
        </w:rPr>
        <w:t xml:space="preserve"> (1849) 7 Moo PC 85 at 111-112 [13 ER 811 at 821-822].</w:t>
      </w:r>
    </w:p>
  </w:footnote>
  <w:footnote w:id="138">
    <w:p w14:paraId="38EC4920"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t>Comprised of Lords Langdale and Campbell, the Rt Hon Dr Lushington and the Rt Hon T Pemberton Leigh.</w:t>
      </w:r>
    </w:p>
  </w:footnote>
  <w:footnote w:id="139">
    <w:p w14:paraId="5BBE108A"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 xml:space="preserve">The East India Company v </w:t>
      </w:r>
      <w:r w:rsidRPr="00372A5A">
        <w:rPr>
          <w:rFonts w:ascii="Times New Roman" w:hAnsi="Times New Roman"/>
          <w:i/>
          <w:sz w:val="24"/>
        </w:rPr>
        <w:t>Oditchurn Paul</w:t>
      </w:r>
      <w:r w:rsidRPr="00372A5A">
        <w:rPr>
          <w:rFonts w:ascii="Times New Roman" w:hAnsi="Times New Roman"/>
          <w:sz w:val="24"/>
        </w:rPr>
        <w:t xml:space="preserve"> (1849) 7 Moo PC 85 at 112 [13 ER 811 at 821-822].</w:t>
      </w:r>
    </w:p>
  </w:footnote>
  <w:footnote w:id="140">
    <w:p w14:paraId="258D55A7"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t xml:space="preserve">[1986] 1 </w:t>
      </w:r>
      <w:r w:rsidRPr="00372A5A">
        <w:rPr>
          <w:rFonts w:ascii="Times New Roman" w:hAnsi="Times New Roman"/>
          <w:sz w:val="24"/>
        </w:rPr>
        <w:t>Qd R 431.</w:t>
      </w:r>
    </w:p>
  </w:footnote>
  <w:footnote w:id="141">
    <w:p w14:paraId="3A1BA123"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Newton, Bellamy and Wolfe v State Government Insurance Office (Qld)</w:t>
      </w:r>
      <w:r w:rsidRPr="00372A5A">
        <w:rPr>
          <w:rFonts w:ascii="Times New Roman" w:hAnsi="Times New Roman"/>
          <w:sz w:val="24"/>
        </w:rPr>
        <w:t xml:space="preserve"> [1986] 1 </w:t>
      </w:r>
      <w:r w:rsidRPr="00372A5A">
        <w:rPr>
          <w:rFonts w:ascii="Times New Roman" w:hAnsi="Times New Roman"/>
          <w:sz w:val="24"/>
        </w:rPr>
        <w:t>Qd R 431 at 437 per Andrews A-CJ and Derrington J, 443-445 per McPherson J.</w:t>
      </w:r>
    </w:p>
  </w:footnote>
  <w:footnote w:id="142">
    <w:p w14:paraId="5101A1C4"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Newton, Bellamy and Wolfe v State Government Insurance Office (Qld)</w:t>
      </w:r>
      <w:r w:rsidRPr="00372A5A">
        <w:rPr>
          <w:rFonts w:ascii="Times New Roman" w:hAnsi="Times New Roman"/>
          <w:sz w:val="24"/>
        </w:rPr>
        <w:t xml:space="preserve"> [1986]</w:t>
      </w:r>
      <w:r w:rsidRPr="00372A5A" w:rsidDel="004B2823">
        <w:rPr>
          <w:rFonts w:ascii="Times New Roman" w:hAnsi="Times New Roman"/>
          <w:sz w:val="24"/>
        </w:rPr>
        <w:t xml:space="preserve"> </w:t>
      </w:r>
      <w:r w:rsidRPr="00372A5A">
        <w:rPr>
          <w:rFonts w:ascii="Times New Roman" w:hAnsi="Times New Roman"/>
          <w:sz w:val="24"/>
        </w:rPr>
        <w:t xml:space="preserve">1 </w:t>
      </w:r>
      <w:r w:rsidRPr="00372A5A">
        <w:rPr>
          <w:rFonts w:ascii="Times New Roman" w:hAnsi="Times New Roman"/>
          <w:sz w:val="24"/>
        </w:rPr>
        <w:t>Qd R 431 at 445-446.</w:t>
      </w:r>
    </w:p>
  </w:footnote>
  <w:footnote w:id="143">
    <w:p w14:paraId="46A7C52D"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t xml:space="preserve">The respondents' plea was ostensibly based on an estoppel arising from cl 24. However, as noted by the primary judge, the case below was conducted on the basis that the respondents relied upon that clause as effecting a contracting out of the </w:t>
      </w:r>
      <w:r w:rsidRPr="00372A5A">
        <w:rPr>
          <w:rFonts w:ascii="Times New Roman" w:hAnsi="Times New Roman"/>
          <w:i/>
          <w:sz w:val="24"/>
        </w:rPr>
        <w:t>Limitation Act</w:t>
      </w:r>
      <w:r w:rsidRPr="00372A5A">
        <w:rPr>
          <w:rFonts w:ascii="Times New Roman" w:hAnsi="Times New Roman"/>
          <w:sz w:val="24"/>
        </w:rPr>
        <w:t xml:space="preserve">: </w:t>
      </w:r>
      <w:r w:rsidRPr="00372A5A">
        <w:rPr>
          <w:rFonts w:ascii="Times New Roman" w:hAnsi="Times New Roman"/>
          <w:i/>
          <w:sz w:val="24"/>
        </w:rPr>
        <w:t xml:space="preserve">Spoor v Price </w:t>
      </w:r>
      <w:r w:rsidRPr="00372A5A">
        <w:rPr>
          <w:rFonts w:ascii="Times New Roman" w:hAnsi="Times New Roman"/>
          <w:sz w:val="24"/>
        </w:rPr>
        <w:t>[2019] QSC 53 at [20]-[21].</w:t>
      </w:r>
    </w:p>
  </w:footnote>
  <w:footnote w:id="144">
    <w:p w14:paraId="2D443B8C"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t xml:space="preserve">See </w:t>
      </w:r>
      <w:r w:rsidRPr="00372A5A">
        <w:rPr>
          <w:rFonts w:ascii="Times New Roman" w:hAnsi="Times New Roman"/>
          <w:sz w:val="24"/>
        </w:rPr>
        <w:t xml:space="preserve">Bosanquet and Marchant, </w:t>
      </w:r>
      <w:r w:rsidRPr="00372A5A">
        <w:rPr>
          <w:rFonts w:ascii="Times New Roman" w:hAnsi="Times New Roman"/>
          <w:i/>
          <w:iCs/>
          <w:color w:val="000000"/>
          <w:sz w:val="24"/>
          <w:bdr w:val="none" w:sz="0" w:space="0" w:color="auto" w:frame="1"/>
          <w:shd w:val="clear" w:color="auto" w:fill="FFFFFF"/>
        </w:rPr>
        <w:t>A Practical Treatise on the Statutes of Limitations in England and Ireland</w:t>
      </w:r>
      <w:r w:rsidRPr="00372A5A">
        <w:rPr>
          <w:rFonts w:ascii="Times New Roman" w:hAnsi="Times New Roman"/>
          <w:iCs/>
          <w:color w:val="000000"/>
          <w:sz w:val="24"/>
          <w:bdr w:val="none" w:sz="0" w:space="0" w:color="auto" w:frame="1"/>
          <w:shd w:val="clear" w:color="auto" w:fill="FFFFFF"/>
        </w:rPr>
        <w:t xml:space="preserve">, 2nd ed </w:t>
      </w:r>
      <w:r w:rsidRPr="00372A5A">
        <w:rPr>
          <w:rFonts w:ascii="Times New Roman" w:hAnsi="Times New Roman"/>
          <w:color w:val="000000"/>
          <w:sz w:val="24"/>
          <w:bdr w:val="none" w:sz="0" w:space="0" w:color="auto" w:frame="1"/>
          <w:shd w:val="clear" w:color="auto" w:fill="FFFFFF"/>
        </w:rPr>
        <w:t>(1893)</w:t>
      </w:r>
      <w:r w:rsidRPr="00372A5A">
        <w:rPr>
          <w:rFonts w:ascii="Times New Roman" w:hAnsi="Times New Roman"/>
          <w:sz w:val="24"/>
        </w:rPr>
        <w:t xml:space="preserve"> at 94-95.</w:t>
      </w:r>
    </w:p>
  </w:footnote>
  <w:footnote w:id="145">
    <w:p w14:paraId="2DAD286D"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 xml:space="preserve">Spoor v Price </w:t>
      </w:r>
      <w:r w:rsidRPr="00372A5A">
        <w:rPr>
          <w:rFonts w:ascii="Times New Roman" w:hAnsi="Times New Roman"/>
          <w:sz w:val="24"/>
        </w:rPr>
        <w:t>(2019) 3 QR 176 at 193</w:t>
      </w:r>
      <w:r w:rsidRPr="00372A5A">
        <w:rPr>
          <w:rFonts w:ascii="Times New Roman" w:hAnsi="Times New Roman"/>
          <w:sz w:val="24"/>
        </w:rPr>
        <w:noBreakHyphen/>
        <w:t>194 [74]-[76].</w:t>
      </w:r>
    </w:p>
  </w:footnote>
  <w:footnote w:id="146">
    <w:p w14:paraId="66F4AAC6"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 xml:space="preserve">Spoor v Price </w:t>
      </w:r>
      <w:r w:rsidRPr="00372A5A">
        <w:rPr>
          <w:rFonts w:ascii="Times New Roman" w:hAnsi="Times New Roman"/>
          <w:sz w:val="24"/>
        </w:rPr>
        <w:t>(2019) 3 QR 176 at 194 [75].</w:t>
      </w:r>
    </w:p>
  </w:footnote>
  <w:footnote w:id="147">
    <w:p w14:paraId="53484B37"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 xml:space="preserve">Spoor v Price </w:t>
      </w:r>
      <w:r w:rsidRPr="00372A5A">
        <w:rPr>
          <w:rFonts w:ascii="Times New Roman" w:hAnsi="Times New Roman"/>
          <w:sz w:val="24"/>
        </w:rPr>
        <w:t>(2019) 3 QR 176 at 194 [76].</w:t>
      </w:r>
    </w:p>
  </w:footnote>
  <w:footnote w:id="148">
    <w:p w14:paraId="177A5C4B"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t>[2006] Ch 79 at 102 [69(a)].</w:t>
      </w:r>
    </w:p>
  </w:footnote>
  <w:footnote w:id="149">
    <w:p w14:paraId="4C335E85"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Beaulane Properties Ltd v Palmer</w:t>
      </w:r>
      <w:r w:rsidRPr="00372A5A">
        <w:rPr>
          <w:rFonts w:ascii="Times New Roman" w:hAnsi="Times New Roman"/>
          <w:sz w:val="24"/>
        </w:rPr>
        <w:t xml:space="preserve"> [2006] Ch 79 at 102 [69(a)</w:t>
      </w:r>
      <w:r w:rsidRPr="00372A5A">
        <w:rPr>
          <w:rFonts w:ascii="Times New Roman" w:hAnsi="Times New Roman"/>
          <w:sz w:val="24"/>
        </w:rPr>
        <w:noBreakHyphen/>
        <w:t>(b)].</w:t>
      </w:r>
    </w:p>
  </w:footnote>
  <w:footnote w:id="150">
    <w:p w14:paraId="69BDF3C6"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Beaulane Properties Ltd v Palmer</w:t>
      </w:r>
      <w:r w:rsidRPr="00372A5A">
        <w:rPr>
          <w:rFonts w:ascii="Times New Roman" w:hAnsi="Times New Roman"/>
          <w:sz w:val="24"/>
        </w:rPr>
        <w:t xml:space="preserve"> [2006] Ch 79 at 102 [69(d)].</w:t>
      </w:r>
    </w:p>
  </w:footnote>
  <w:footnote w:id="151">
    <w:p w14:paraId="373DDC81"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iCs/>
          <w:sz w:val="24"/>
        </w:rPr>
        <w:t xml:space="preserve">Miscamble v Phillips and </w:t>
      </w:r>
      <w:r w:rsidRPr="00372A5A">
        <w:rPr>
          <w:rFonts w:ascii="Times New Roman" w:hAnsi="Times New Roman"/>
          <w:i/>
          <w:iCs/>
          <w:sz w:val="24"/>
        </w:rPr>
        <w:t>Hoeflich</w:t>
      </w:r>
      <w:r w:rsidRPr="00372A5A">
        <w:rPr>
          <w:rFonts w:ascii="Times New Roman" w:hAnsi="Times New Roman"/>
          <w:sz w:val="24"/>
        </w:rPr>
        <w:t xml:space="preserve"> [1936] St R Qd 136 at 149 per R J Douglas and Webb JJ. The law was changed by the </w:t>
      </w:r>
      <w:r w:rsidRPr="00372A5A">
        <w:rPr>
          <w:rFonts w:ascii="Times New Roman" w:hAnsi="Times New Roman"/>
          <w:i/>
          <w:sz w:val="24"/>
        </w:rPr>
        <w:t>Real Property Acts Amendment Act 1952</w:t>
      </w:r>
      <w:r w:rsidRPr="00372A5A">
        <w:rPr>
          <w:rFonts w:ascii="Times New Roman" w:hAnsi="Times New Roman"/>
          <w:sz w:val="24"/>
        </w:rPr>
        <w:t xml:space="preserve"> (Qld); see now s 185(1)(d) of the </w:t>
      </w:r>
      <w:r w:rsidRPr="00372A5A">
        <w:rPr>
          <w:rFonts w:ascii="Times New Roman" w:hAnsi="Times New Roman"/>
          <w:i/>
          <w:sz w:val="24"/>
        </w:rPr>
        <w:t>Land Title Act</w:t>
      </w:r>
      <w:r w:rsidRPr="00372A5A">
        <w:rPr>
          <w:rFonts w:ascii="Times New Roman" w:hAnsi="Times New Roman"/>
          <w:sz w:val="24"/>
        </w:rPr>
        <w:t xml:space="preserve"> </w:t>
      </w:r>
      <w:r w:rsidRPr="00372A5A">
        <w:rPr>
          <w:rFonts w:ascii="Times New Roman" w:hAnsi="Times New Roman"/>
          <w:i/>
          <w:sz w:val="24"/>
        </w:rPr>
        <w:t>1994</w:t>
      </w:r>
      <w:r w:rsidRPr="00372A5A">
        <w:rPr>
          <w:rFonts w:ascii="Times New Roman" w:hAnsi="Times New Roman"/>
          <w:sz w:val="24"/>
        </w:rPr>
        <w:t xml:space="preserve"> (Qld).</w:t>
      </w:r>
    </w:p>
  </w:footnote>
  <w:footnote w:id="152">
    <w:p w14:paraId="5B411814"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t>Division 5 sets out a process whereby an adverse possessor can apply for registered title over the relevant land with the result that the registered interest of the dispossessed owner of that land is cancelled.</w:t>
      </w:r>
    </w:p>
  </w:footnote>
  <w:footnote w:id="153">
    <w:p w14:paraId="6B45A196"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t>[1963] AC 510.</w:t>
      </w:r>
    </w:p>
  </w:footnote>
  <w:footnote w:id="154">
    <w:p w14:paraId="6954EE07"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Style w:val="Emphasis1"/>
          <w:rFonts w:ascii="Times New Roman" w:hAnsi="Times New Roman"/>
          <w:i/>
          <w:iCs/>
          <w:color w:val="000000"/>
          <w:sz w:val="24"/>
          <w:bdr w:val="none" w:sz="0" w:space="0" w:color="auto" w:frame="1"/>
          <w:shd w:val="clear" w:color="auto" w:fill="FFFFFF"/>
        </w:rPr>
        <w:t>Fairweather v St Marylebone Property Co Ltd</w:t>
      </w:r>
      <w:r w:rsidRPr="00372A5A">
        <w:rPr>
          <w:rFonts w:ascii="Times New Roman" w:hAnsi="Times New Roman"/>
          <w:color w:val="000000"/>
          <w:sz w:val="24"/>
          <w:shd w:val="clear" w:color="auto" w:fill="FFFFFF"/>
        </w:rPr>
        <w:t> </w:t>
      </w:r>
      <w:r w:rsidRPr="00372A5A">
        <w:rPr>
          <w:rFonts w:ascii="Times New Roman" w:hAnsi="Times New Roman"/>
          <w:sz w:val="24"/>
        </w:rPr>
        <w:t>[1963] AC 510 at 539.</w:t>
      </w:r>
    </w:p>
  </w:footnote>
  <w:footnote w:id="155">
    <w:p w14:paraId="7A3C6A2A"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 xml:space="preserve">Santley v Wilde </w:t>
      </w:r>
      <w:r w:rsidRPr="00372A5A">
        <w:rPr>
          <w:rFonts w:ascii="Times New Roman" w:hAnsi="Times New Roman"/>
          <w:sz w:val="24"/>
        </w:rPr>
        <w:t xml:space="preserve">[1899] 2 Ch 474 at 474 per Lindley MR, cited in </w:t>
      </w:r>
      <w:r w:rsidRPr="00372A5A">
        <w:rPr>
          <w:rFonts w:ascii="Times New Roman" w:hAnsi="Times New Roman"/>
          <w:i/>
          <w:sz w:val="24"/>
        </w:rPr>
        <w:t xml:space="preserve">Cambridge Credit Corporation Ltd v Lombard Australia Ltd </w:t>
      </w:r>
      <w:r w:rsidRPr="00372A5A">
        <w:rPr>
          <w:rFonts w:ascii="Times New Roman" w:hAnsi="Times New Roman"/>
          <w:sz w:val="24"/>
        </w:rPr>
        <w:t>(1977) 136 CLR 608 at 615 per Barwick CJ, Mason and Jacobs JJ.</w:t>
      </w:r>
    </w:p>
  </w:footnote>
  <w:footnote w:id="156">
    <w:p w14:paraId="7AC1D579"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Swanston Mortgage Pty Ltd v Trepan Investments Pty Ltd</w:t>
      </w:r>
      <w:r w:rsidRPr="00372A5A">
        <w:rPr>
          <w:rFonts w:ascii="Times New Roman" w:hAnsi="Times New Roman"/>
          <w:sz w:val="24"/>
        </w:rPr>
        <w:t xml:space="preserve"> [1994] 1 VR 672 at 674 per Brooking J (</w:t>
      </w:r>
      <w:r w:rsidRPr="00372A5A">
        <w:rPr>
          <w:rFonts w:ascii="Times New Roman" w:hAnsi="Times New Roman"/>
          <w:sz w:val="24"/>
        </w:rPr>
        <w:t>Southwell and Teague JJ agreeing).</w:t>
      </w:r>
    </w:p>
  </w:footnote>
  <w:footnote w:id="157">
    <w:p w14:paraId="79278BD9"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English Scottish and Australian Bank Ltd v Phillips</w:t>
      </w:r>
      <w:r w:rsidRPr="00372A5A">
        <w:rPr>
          <w:rFonts w:ascii="Times New Roman" w:hAnsi="Times New Roman"/>
          <w:sz w:val="24"/>
        </w:rPr>
        <w:t xml:space="preserve"> (1937) 57 CLR 302 at 321 per Dixon, Evatt and McTiernan JJ.</w:t>
      </w:r>
    </w:p>
  </w:footnote>
  <w:footnote w:id="158">
    <w:p w14:paraId="7D2CFEA3"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t xml:space="preserve">Section 19 of the </w:t>
      </w:r>
      <w:r w:rsidRPr="00372A5A">
        <w:rPr>
          <w:rFonts w:ascii="Times New Roman" w:hAnsi="Times New Roman"/>
          <w:i/>
          <w:sz w:val="24"/>
        </w:rPr>
        <w:t>Limitation Act</w:t>
      </w:r>
      <w:r w:rsidRPr="00372A5A">
        <w:rPr>
          <w:rFonts w:ascii="Times New Roman" w:hAnsi="Times New Roman"/>
          <w:sz w:val="24"/>
        </w:rPr>
        <w:t xml:space="preserve">; see also </w:t>
      </w:r>
      <w:r w:rsidRPr="00372A5A">
        <w:rPr>
          <w:rFonts w:ascii="Times New Roman" w:hAnsi="Times New Roman"/>
          <w:i/>
          <w:sz w:val="24"/>
        </w:rPr>
        <w:t xml:space="preserve">Cameron v </w:t>
      </w:r>
      <w:r w:rsidRPr="00372A5A">
        <w:rPr>
          <w:rFonts w:ascii="Times New Roman" w:hAnsi="Times New Roman"/>
          <w:i/>
          <w:sz w:val="24"/>
        </w:rPr>
        <w:t>Blau</w:t>
      </w:r>
      <w:r w:rsidRPr="00372A5A">
        <w:rPr>
          <w:rFonts w:ascii="Times New Roman" w:hAnsi="Times New Roman"/>
          <w:sz w:val="24"/>
        </w:rPr>
        <w:t xml:space="preserve"> [1963] Qd R 421 at 425 per Gibbs J (Mansfield CJ and Jeffriess J agreeing).</w:t>
      </w:r>
    </w:p>
  </w:footnote>
  <w:footnote w:id="159">
    <w:p w14:paraId="4231A854"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t>(2019) 266 CLR 593 at 615</w:t>
      </w:r>
      <w:r w:rsidRPr="00372A5A">
        <w:rPr>
          <w:rFonts w:ascii="Times New Roman" w:hAnsi="Times New Roman"/>
          <w:sz w:val="24"/>
        </w:rPr>
        <w:noBreakHyphen/>
        <w:t>616 [49] (footnotes omitted).</w:t>
      </w:r>
    </w:p>
  </w:footnote>
  <w:footnote w:id="160">
    <w:p w14:paraId="061374C3"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Pedersen v Young</w:t>
      </w:r>
      <w:r w:rsidRPr="00372A5A">
        <w:rPr>
          <w:rFonts w:ascii="Times New Roman" w:hAnsi="Times New Roman"/>
          <w:sz w:val="24"/>
        </w:rPr>
        <w:t xml:space="preserve"> (1964) 110 CLR 162 at 166 per </w:t>
      </w:r>
      <w:r w:rsidRPr="00372A5A">
        <w:rPr>
          <w:rFonts w:ascii="Times New Roman" w:hAnsi="Times New Roman"/>
          <w:sz w:val="24"/>
        </w:rPr>
        <w:t>Kitto J, 166</w:t>
      </w:r>
      <w:r w:rsidRPr="00372A5A">
        <w:rPr>
          <w:rFonts w:ascii="Times New Roman" w:hAnsi="Times New Roman"/>
          <w:sz w:val="24"/>
        </w:rPr>
        <w:noBreakHyphen/>
        <w:t>167 per Menzies J.</w:t>
      </w:r>
    </w:p>
  </w:footnote>
  <w:footnote w:id="161">
    <w:p w14:paraId="337312F0"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McKain v R W Miller &amp; Co (SA) Pty Ltd</w:t>
      </w:r>
      <w:r w:rsidRPr="00372A5A">
        <w:rPr>
          <w:rFonts w:ascii="Times New Roman" w:hAnsi="Times New Roman"/>
          <w:sz w:val="24"/>
        </w:rPr>
        <w:t xml:space="preserve"> (1991) 174 CLR 1 at 18</w:t>
      </w:r>
      <w:r w:rsidRPr="00372A5A">
        <w:rPr>
          <w:rFonts w:ascii="Times New Roman" w:hAnsi="Times New Roman"/>
          <w:sz w:val="24"/>
        </w:rPr>
        <w:noBreakHyphen/>
        <w:t>19 per Mason CJ.</w:t>
      </w:r>
    </w:p>
  </w:footnote>
  <w:footnote w:id="162">
    <w:p w14:paraId="60AA6092"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Fonts w:ascii="Times New Roman" w:hAnsi="Times New Roman"/>
          <w:i/>
          <w:sz w:val="24"/>
        </w:rPr>
        <w:t>Australian Iron &amp; Steel Ltd v Hoogland</w:t>
      </w:r>
      <w:r w:rsidRPr="00372A5A">
        <w:rPr>
          <w:rFonts w:ascii="Times New Roman" w:hAnsi="Times New Roman"/>
          <w:sz w:val="24"/>
        </w:rPr>
        <w:t xml:space="preserve"> (1962) 108 CLR 471 at 488 per Windeyer J.</w:t>
      </w:r>
    </w:p>
  </w:footnote>
  <w:footnote w:id="163">
    <w:p w14:paraId="0347A3A6" w14:textId="77777777" w:rsidR="008447C0" w:rsidRPr="00372A5A" w:rsidRDefault="008447C0" w:rsidP="00372A5A">
      <w:pPr>
        <w:pStyle w:val="FootnoteText"/>
        <w:spacing w:line="280" w:lineRule="exact"/>
        <w:ind w:right="0"/>
        <w:jc w:val="both"/>
        <w:rPr>
          <w:rFonts w:ascii="Times New Roman" w:hAnsi="Times New Roman"/>
          <w:sz w:val="24"/>
        </w:rPr>
      </w:pPr>
      <w:r w:rsidRPr="00372A5A">
        <w:rPr>
          <w:rStyle w:val="FootnoteReference"/>
          <w:rFonts w:ascii="Times New Roman" w:hAnsi="Times New Roman"/>
          <w:sz w:val="22"/>
          <w:vertAlign w:val="baseline"/>
        </w:rPr>
        <w:footnoteRef/>
      </w:r>
      <w:r w:rsidRPr="00372A5A">
        <w:rPr>
          <w:rFonts w:ascii="Times New Roman" w:hAnsi="Times New Roman"/>
          <w:sz w:val="24"/>
        </w:rPr>
        <w:t xml:space="preserve"> </w:t>
      </w:r>
      <w:r w:rsidRPr="00372A5A">
        <w:rPr>
          <w:rFonts w:ascii="Times New Roman" w:hAnsi="Times New Roman"/>
          <w:sz w:val="24"/>
        </w:rPr>
        <w:tab/>
      </w:r>
      <w:r w:rsidRPr="00372A5A">
        <w:rPr>
          <w:rStyle w:val="Emphasis1"/>
          <w:rFonts w:ascii="Times New Roman" w:hAnsi="Times New Roman"/>
          <w:i/>
          <w:iCs/>
          <w:color w:val="000000"/>
          <w:sz w:val="24"/>
          <w:bdr w:val="none" w:sz="0" w:space="0" w:color="auto" w:frame="1"/>
          <w:shd w:val="clear" w:color="auto" w:fill="FFFFFF"/>
        </w:rPr>
        <w:t>Fairweather v St Marylebone Property Co Ltd</w:t>
      </w:r>
      <w:r w:rsidRPr="00372A5A">
        <w:rPr>
          <w:rFonts w:ascii="Times New Roman" w:hAnsi="Times New Roman"/>
          <w:color w:val="000000"/>
          <w:sz w:val="24"/>
          <w:shd w:val="clear" w:color="auto" w:fill="FFFFFF"/>
        </w:rPr>
        <w:t> </w:t>
      </w:r>
      <w:r w:rsidRPr="00372A5A">
        <w:rPr>
          <w:rFonts w:ascii="Times New Roman" w:hAnsi="Times New Roman"/>
          <w:sz w:val="24"/>
        </w:rPr>
        <w:t>[1963] AC 510 at 539.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2B687" w14:textId="77777777" w:rsidR="00333D58" w:rsidRPr="00824BE3" w:rsidRDefault="00333D58" w:rsidP="00824BE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CC47" w14:textId="77777777" w:rsidR="00372A5A" w:rsidRDefault="008447C0" w:rsidP="00372A5A">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1F72A9BF" w14:textId="77777777" w:rsidR="00372A5A" w:rsidRDefault="005A777D" w:rsidP="00372A5A">
    <w:pPr>
      <w:pStyle w:val="Header"/>
      <w:tabs>
        <w:tab w:val="clear" w:pos="4153"/>
        <w:tab w:val="clear" w:pos="8306"/>
        <w:tab w:val="right" w:pos="1304"/>
      </w:tabs>
      <w:spacing w:line="280" w:lineRule="exact"/>
      <w:ind w:firstLine="0"/>
      <w:rPr>
        <w:rFonts w:ascii="Times New Roman" w:hAnsi="Times New Roman"/>
        <w:i/>
        <w:sz w:val="22"/>
      </w:rPr>
    </w:pPr>
  </w:p>
  <w:p w14:paraId="0CE6C8CD" w14:textId="77777777" w:rsidR="00372A5A" w:rsidRDefault="008447C0" w:rsidP="00372A5A">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CB20DBC" w14:textId="77777777" w:rsidR="00372A5A" w:rsidRPr="00372A5A" w:rsidRDefault="005A777D" w:rsidP="00372A5A">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948BE" w14:textId="77777777" w:rsidR="00372A5A" w:rsidRDefault="008447C0" w:rsidP="00372A5A">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78C87683" w14:textId="77777777" w:rsidR="00372A5A" w:rsidRDefault="005A777D" w:rsidP="00372A5A">
    <w:pPr>
      <w:pStyle w:val="Header"/>
      <w:tabs>
        <w:tab w:val="clear" w:pos="4153"/>
        <w:tab w:val="clear" w:pos="8306"/>
        <w:tab w:val="left" w:pos="7200"/>
        <w:tab w:val="right" w:pos="8504"/>
      </w:tabs>
      <w:spacing w:line="280" w:lineRule="exact"/>
      <w:jc w:val="right"/>
      <w:rPr>
        <w:rFonts w:ascii="Times New Roman" w:hAnsi="Times New Roman"/>
        <w:i/>
        <w:sz w:val="22"/>
      </w:rPr>
    </w:pPr>
  </w:p>
  <w:p w14:paraId="3D778975" w14:textId="77777777" w:rsidR="00372A5A" w:rsidRDefault="008447C0" w:rsidP="00372A5A">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DE12FBC" w14:textId="77777777" w:rsidR="00372A5A" w:rsidRPr="00372A5A" w:rsidRDefault="005A777D" w:rsidP="00372A5A">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EBCB8" w14:textId="77777777" w:rsidR="00372A5A" w:rsidRDefault="005A777D" w:rsidP="00372A5A">
    <w:pPr>
      <w:pStyle w:val="Header"/>
      <w:tabs>
        <w:tab w:val="clear" w:pos="4153"/>
        <w:tab w:val="clear" w:pos="8306"/>
        <w:tab w:val="center" w:pos="1134"/>
      </w:tabs>
      <w:spacing w:line="280" w:lineRule="exact"/>
      <w:ind w:firstLine="0"/>
      <w:rPr>
        <w:rFonts w:ascii="Times New Roman" w:hAnsi="Times New Roman"/>
        <w:i/>
        <w:sz w:val="22"/>
      </w:rPr>
    </w:pPr>
  </w:p>
  <w:p w14:paraId="213AD708" w14:textId="77777777" w:rsidR="00372A5A" w:rsidRDefault="005A777D" w:rsidP="00372A5A">
    <w:pPr>
      <w:pStyle w:val="Header"/>
      <w:tabs>
        <w:tab w:val="clear" w:pos="4153"/>
        <w:tab w:val="clear" w:pos="8306"/>
        <w:tab w:val="center" w:pos="1134"/>
      </w:tabs>
      <w:spacing w:line="280" w:lineRule="exact"/>
      <w:ind w:firstLine="0"/>
      <w:rPr>
        <w:rFonts w:ascii="Times New Roman" w:hAnsi="Times New Roman"/>
        <w:i/>
        <w:sz w:val="22"/>
      </w:rPr>
    </w:pPr>
  </w:p>
  <w:p w14:paraId="69580EDE" w14:textId="77777777" w:rsidR="00372A5A" w:rsidRDefault="005A777D" w:rsidP="00372A5A">
    <w:pPr>
      <w:pStyle w:val="Header"/>
      <w:tabs>
        <w:tab w:val="clear" w:pos="4153"/>
        <w:tab w:val="clear" w:pos="8306"/>
        <w:tab w:val="center" w:pos="1134"/>
      </w:tabs>
      <w:spacing w:line="280" w:lineRule="exact"/>
      <w:ind w:firstLine="0"/>
      <w:rPr>
        <w:rFonts w:ascii="Times New Roman" w:hAnsi="Times New Roman"/>
        <w:i/>
        <w:sz w:val="22"/>
      </w:rPr>
    </w:pPr>
  </w:p>
  <w:p w14:paraId="723F46FE" w14:textId="77777777" w:rsidR="00DE5CDA" w:rsidRPr="00372A5A" w:rsidRDefault="005A777D" w:rsidP="00372A5A">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FD3FD" w14:textId="77777777" w:rsidR="008447C0" w:rsidRPr="00372A5A" w:rsidRDefault="008447C0" w:rsidP="00372A5A">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44B74" w14:textId="0DC8C2DD" w:rsidR="00333D58" w:rsidRPr="00824BE3" w:rsidRDefault="00824BE3" w:rsidP="00824BE3">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2A5F2" w14:textId="0A039358" w:rsidR="00F17CDF" w:rsidRPr="00824BE3" w:rsidRDefault="00F17CDF" w:rsidP="00824B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6F8A2" w14:textId="77777777" w:rsidR="00824BE3" w:rsidRPr="00333D58" w:rsidRDefault="00824BE3" w:rsidP="00333D58">
    <w:pPr>
      <w:pStyle w:val="Header"/>
      <w:tabs>
        <w:tab w:val="clear" w:pos="4153"/>
        <w:tab w:val="clear" w:pos="8306"/>
        <w:tab w:val="right" w:pos="1304"/>
      </w:tabs>
      <w:spacing w:line="280" w:lineRule="exact"/>
      <w:ind w:firstLine="0"/>
      <w:rPr>
        <w:rFonts w:ascii="Times New Roman" w:hAnsi="Times New Roman"/>
        <w:i/>
        <w:sz w:val="22"/>
      </w:rPr>
    </w:pPr>
    <w:r w:rsidRPr="00333D58">
      <w:rPr>
        <w:rFonts w:ascii="Times New Roman" w:hAnsi="Times New Roman"/>
        <w:i/>
        <w:sz w:val="22"/>
      </w:rPr>
      <w:t>Kiefel</w:t>
    </w:r>
    <w:r w:rsidRPr="00333D58">
      <w:rPr>
        <w:rFonts w:ascii="Times New Roman" w:hAnsi="Times New Roman"/>
        <w:i/>
        <w:sz w:val="22"/>
      </w:rPr>
      <w:tab/>
      <w:t>CJ</w:t>
    </w:r>
  </w:p>
  <w:p w14:paraId="74FD3504" w14:textId="77777777" w:rsidR="00824BE3" w:rsidRDefault="00824BE3" w:rsidP="00333D58">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30E7D650" w14:textId="77777777" w:rsidR="00824BE3" w:rsidRDefault="00824BE3" w:rsidP="00333D58">
    <w:pPr>
      <w:pStyle w:val="Header"/>
      <w:tabs>
        <w:tab w:val="clear" w:pos="4153"/>
        <w:tab w:val="clear" w:pos="8306"/>
        <w:tab w:val="right" w:pos="1304"/>
      </w:tabs>
      <w:spacing w:line="280" w:lineRule="exact"/>
      <w:ind w:firstLine="0"/>
      <w:rPr>
        <w:rFonts w:ascii="Times New Roman" w:hAnsi="Times New Roman"/>
        <w:i/>
        <w:sz w:val="22"/>
      </w:rPr>
    </w:pPr>
  </w:p>
  <w:p w14:paraId="49157847" w14:textId="77777777" w:rsidR="00824BE3" w:rsidRDefault="00824BE3" w:rsidP="00333D58">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7B424FE" w14:textId="77777777" w:rsidR="00824BE3" w:rsidRPr="00333D58" w:rsidRDefault="00824BE3" w:rsidP="00333D58">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06AED" w14:textId="77777777" w:rsidR="00824BE3" w:rsidRPr="00333D58" w:rsidRDefault="00824BE3" w:rsidP="00333D58">
    <w:pPr>
      <w:pStyle w:val="Header"/>
      <w:tabs>
        <w:tab w:val="clear" w:pos="4153"/>
        <w:tab w:val="clear" w:pos="8306"/>
        <w:tab w:val="left" w:pos="7200"/>
        <w:tab w:val="right" w:pos="8504"/>
      </w:tabs>
      <w:spacing w:line="280" w:lineRule="exact"/>
      <w:jc w:val="right"/>
      <w:rPr>
        <w:rFonts w:ascii="Times New Roman" w:hAnsi="Times New Roman"/>
        <w:i/>
        <w:sz w:val="22"/>
      </w:rPr>
    </w:pPr>
    <w:r w:rsidRPr="00333D58">
      <w:rPr>
        <w:rFonts w:ascii="Times New Roman" w:hAnsi="Times New Roman"/>
        <w:i/>
        <w:sz w:val="22"/>
      </w:rPr>
      <w:tab/>
      <w:t>Kiefel</w:t>
    </w:r>
    <w:r w:rsidRPr="00333D58">
      <w:rPr>
        <w:rFonts w:ascii="Times New Roman" w:hAnsi="Times New Roman"/>
        <w:i/>
        <w:sz w:val="22"/>
      </w:rPr>
      <w:tab/>
      <w:t>CJ</w:t>
    </w:r>
  </w:p>
  <w:p w14:paraId="2E4313F0" w14:textId="77777777" w:rsidR="00824BE3" w:rsidRDefault="00824BE3" w:rsidP="00333D58">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5E60B22E" w14:textId="77777777" w:rsidR="00824BE3" w:rsidRDefault="00824BE3" w:rsidP="00333D58">
    <w:pPr>
      <w:pStyle w:val="Header"/>
      <w:tabs>
        <w:tab w:val="clear" w:pos="4153"/>
        <w:tab w:val="clear" w:pos="8306"/>
        <w:tab w:val="left" w:pos="7200"/>
        <w:tab w:val="right" w:pos="8504"/>
      </w:tabs>
      <w:spacing w:line="280" w:lineRule="exact"/>
      <w:jc w:val="right"/>
      <w:rPr>
        <w:rFonts w:ascii="Times New Roman" w:hAnsi="Times New Roman"/>
        <w:i/>
        <w:sz w:val="22"/>
      </w:rPr>
    </w:pPr>
  </w:p>
  <w:p w14:paraId="3EA0804D" w14:textId="77777777" w:rsidR="00824BE3" w:rsidRDefault="00824BE3" w:rsidP="00333D58">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E66F1E6" w14:textId="77777777" w:rsidR="00824BE3" w:rsidRPr="00333D58" w:rsidRDefault="00824BE3" w:rsidP="00333D58">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10B03" w14:textId="77777777" w:rsidR="00824BE3" w:rsidRDefault="00824BE3" w:rsidP="00333D58">
    <w:pPr>
      <w:pStyle w:val="Header"/>
      <w:tabs>
        <w:tab w:val="clear" w:pos="4153"/>
        <w:tab w:val="clear" w:pos="8306"/>
        <w:tab w:val="center" w:pos="1134"/>
      </w:tabs>
      <w:spacing w:line="280" w:lineRule="exact"/>
      <w:ind w:firstLine="0"/>
      <w:rPr>
        <w:rFonts w:ascii="Times New Roman" w:hAnsi="Times New Roman"/>
        <w:i/>
        <w:sz w:val="22"/>
      </w:rPr>
    </w:pPr>
  </w:p>
  <w:p w14:paraId="34804C3B" w14:textId="77777777" w:rsidR="00824BE3" w:rsidRDefault="00824BE3" w:rsidP="00333D58">
    <w:pPr>
      <w:pStyle w:val="Header"/>
      <w:tabs>
        <w:tab w:val="clear" w:pos="4153"/>
        <w:tab w:val="clear" w:pos="8306"/>
        <w:tab w:val="center" w:pos="1134"/>
      </w:tabs>
      <w:spacing w:line="280" w:lineRule="exact"/>
      <w:ind w:firstLine="0"/>
      <w:rPr>
        <w:rFonts w:ascii="Times New Roman" w:hAnsi="Times New Roman"/>
        <w:i/>
        <w:sz w:val="22"/>
      </w:rPr>
    </w:pPr>
  </w:p>
  <w:p w14:paraId="38F93A9E" w14:textId="77777777" w:rsidR="00824BE3" w:rsidRDefault="00824BE3" w:rsidP="00333D58">
    <w:pPr>
      <w:pStyle w:val="Header"/>
      <w:tabs>
        <w:tab w:val="clear" w:pos="4153"/>
        <w:tab w:val="clear" w:pos="8306"/>
        <w:tab w:val="center" w:pos="1134"/>
      </w:tabs>
      <w:spacing w:line="280" w:lineRule="exact"/>
      <w:ind w:firstLine="0"/>
      <w:rPr>
        <w:rFonts w:ascii="Times New Roman" w:hAnsi="Times New Roman"/>
        <w:i/>
        <w:sz w:val="22"/>
      </w:rPr>
    </w:pPr>
  </w:p>
  <w:p w14:paraId="4C4A884E" w14:textId="77777777" w:rsidR="00824BE3" w:rsidRDefault="00824BE3" w:rsidP="00333D58">
    <w:pPr>
      <w:pStyle w:val="Header"/>
      <w:tabs>
        <w:tab w:val="clear" w:pos="4153"/>
        <w:tab w:val="clear" w:pos="8306"/>
        <w:tab w:val="center" w:pos="1134"/>
      </w:tabs>
      <w:spacing w:line="280" w:lineRule="exact"/>
      <w:ind w:firstLine="0"/>
      <w:rPr>
        <w:rFonts w:ascii="Times New Roman" w:hAnsi="Times New Roman"/>
        <w:i/>
        <w:sz w:val="22"/>
      </w:rPr>
    </w:pPr>
  </w:p>
  <w:p w14:paraId="625BE80F" w14:textId="77777777" w:rsidR="00824BE3" w:rsidRPr="00333D58" w:rsidRDefault="00824BE3" w:rsidP="00333D58">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0C0BD" w14:textId="77777777" w:rsidR="00BD791C" w:rsidRPr="00BD791C" w:rsidRDefault="008447C0" w:rsidP="00BD791C">
    <w:pPr>
      <w:pStyle w:val="Header"/>
      <w:tabs>
        <w:tab w:val="clear" w:pos="4153"/>
        <w:tab w:val="clear" w:pos="8306"/>
        <w:tab w:val="right" w:pos="1304"/>
      </w:tabs>
      <w:spacing w:line="280" w:lineRule="exact"/>
      <w:ind w:firstLine="0"/>
      <w:rPr>
        <w:rFonts w:ascii="Times New Roman" w:hAnsi="Times New Roman"/>
        <w:i/>
        <w:sz w:val="22"/>
      </w:rPr>
    </w:pPr>
    <w:r w:rsidRPr="00BD791C">
      <w:rPr>
        <w:rFonts w:ascii="Times New Roman" w:hAnsi="Times New Roman"/>
        <w:i/>
        <w:sz w:val="22"/>
      </w:rPr>
      <w:t>Gageler</w:t>
    </w:r>
    <w:r w:rsidRPr="00BD791C">
      <w:rPr>
        <w:rFonts w:ascii="Times New Roman" w:hAnsi="Times New Roman"/>
        <w:i/>
        <w:sz w:val="22"/>
      </w:rPr>
      <w:tab/>
      <w:t>J</w:t>
    </w:r>
  </w:p>
  <w:p w14:paraId="133EF651" w14:textId="77777777" w:rsidR="00BD791C" w:rsidRDefault="008447C0" w:rsidP="00BD791C">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Gordon</w:t>
    </w:r>
    <w:r>
      <w:rPr>
        <w:rFonts w:ascii="Times New Roman" w:hAnsi="Times New Roman"/>
        <w:i/>
        <w:sz w:val="22"/>
      </w:rPr>
      <w:tab/>
      <w:t>J</w:t>
    </w:r>
  </w:p>
  <w:p w14:paraId="717C4B61" w14:textId="77777777" w:rsidR="00BD791C" w:rsidRDefault="005A777D" w:rsidP="00BD791C">
    <w:pPr>
      <w:pStyle w:val="Header"/>
      <w:tabs>
        <w:tab w:val="clear" w:pos="4153"/>
        <w:tab w:val="clear" w:pos="8306"/>
        <w:tab w:val="right" w:pos="1304"/>
      </w:tabs>
      <w:spacing w:line="280" w:lineRule="exact"/>
      <w:ind w:firstLine="0"/>
      <w:rPr>
        <w:rFonts w:ascii="Times New Roman" w:hAnsi="Times New Roman"/>
        <w:i/>
        <w:sz w:val="22"/>
      </w:rPr>
    </w:pPr>
  </w:p>
  <w:p w14:paraId="4864ACCB" w14:textId="77777777" w:rsidR="00BD791C" w:rsidRDefault="008447C0" w:rsidP="00BD791C">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945B898" w14:textId="77777777" w:rsidR="00BD791C" w:rsidRPr="00BD791C" w:rsidRDefault="005A777D" w:rsidP="00BD791C">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DA6C5" w14:textId="77777777" w:rsidR="00BD791C" w:rsidRPr="00BD791C" w:rsidRDefault="008447C0" w:rsidP="00BD791C">
    <w:pPr>
      <w:pStyle w:val="Header"/>
      <w:tabs>
        <w:tab w:val="clear" w:pos="4153"/>
        <w:tab w:val="clear" w:pos="8306"/>
        <w:tab w:val="left" w:pos="7200"/>
        <w:tab w:val="right" w:pos="8504"/>
      </w:tabs>
      <w:spacing w:line="280" w:lineRule="exact"/>
      <w:jc w:val="right"/>
      <w:rPr>
        <w:rFonts w:ascii="Times New Roman" w:hAnsi="Times New Roman"/>
        <w:i/>
        <w:sz w:val="22"/>
      </w:rPr>
    </w:pPr>
    <w:r w:rsidRPr="00BD791C">
      <w:rPr>
        <w:rFonts w:ascii="Times New Roman" w:hAnsi="Times New Roman"/>
        <w:i/>
        <w:sz w:val="22"/>
      </w:rPr>
      <w:tab/>
      <w:t>Gageler</w:t>
    </w:r>
    <w:r w:rsidRPr="00BD791C">
      <w:rPr>
        <w:rFonts w:ascii="Times New Roman" w:hAnsi="Times New Roman"/>
        <w:i/>
        <w:sz w:val="22"/>
      </w:rPr>
      <w:tab/>
      <w:t>J</w:t>
    </w:r>
  </w:p>
  <w:p w14:paraId="1EA39B33" w14:textId="77777777" w:rsidR="00BD791C" w:rsidRDefault="008447C0" w:rsidP="00BD791C">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Gordon</w:t>
    </w:r>
    <w:r>
      <w:rPr>
        <w:rFonts w:ascii="Times New Roman" w:hAnsi="Times New Roman"/>
        <w:i/>
        <w:sz w:val="22"/>
      </w:rPr>
      <w:tab/>
      <w:t>J</w:t>
    </w:r>
  </w:p>
  <w:p w14:paraId="0585BFE2" w14:textId="77777777" w:rsidR="00BD791C" w:rsidRDefault="005A777D" w:rsidP="00BD791C">
    <w:pPr>
      <w:pStyle w:val="Header"/>
      <w:tabs>
        <w:tab w:val="clear" w:pos="4153"/>
        <w:tab w:val="clear" w:pos="8306"/>
        <w:tab w:val="left" w:pos="7200"/>
        <w:tab w:val="right" w:pos="8504"/>
      </w:tabs>
      <w:spacing w:line="280" w:lineRule="exact"/>
      <w:jc w:val="right"/>
      <w:rPr>
        <w:rFonts w:ascii="Times New Roman" w:hAnsi="Times New Roman"/>
        <w:i/>
        <w:sz w:val="22"/>
      </w:rPr>
    </w:pPr>
  </w:p>
  <w:p w14:paraId="771EF819" w14:textId="77777777" w:rsidR="00BD791C" w:rsidRDefault="008447C0" w:rsidP="00BD791C">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A20BD5B" w14:textId="77777777" w:rsidR="00BD791C" w:rsidRPr="00BD791C" w:rsidRDefault="005A777D" w:rsidP="00BD791C">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D3BF7" w14:textId="77777777" w:rsidR="00BD791C" w:rsidRDefault="005A777D" w:rsidP="00BD791C">
    <w:pPr>
      <w:pStyle w:val="Header"/>
      <w:tabs>
        <w:tab w:val="clear" w:pos="4153"/>
        <w:tab w:val="clear" w:pos="8306"/>
        <w:tab w:val="center" w:pos="1134"/>
      </w:tabs>
      <w:spacing w:line="280" w:lineRule="exact"/>
      <w:ind w:firstLine="0"/>
      <w:rPr>
        <w:rFonts w:ascii="Times New Roman" w:hAnsi="Times New Roman"/>
        <w:i/>
        <w:sz w:val="22"/>
      </w:rPr>
    </w:pPr>
  </w:p>
  <w:p w14:paraId="37525BA2" w14:textId="77777777" w:rsidR="00BD791C" w:rsidRDefault="005A777D" w:rsidP="00BD791C">
    <w:pPr>
      <w:pStyle w:val="Header"/>
      <w:tabs>
        <w:tab w:val="clear" w:pos="4153"/>
        <w:tab w:val="clear" w:pos="8306"/>
        <w:tab w:val="center" w:pos="1134"/>
      </w:tabs>
      <w:spacing w:line="280" w:lineRule="exact"/>
      <w:ind w:firstLine="0"/>
      <w:rPr>
        <w:rFonts w:ascii="Times New Roman" w:hAnsi="Times New Roman"/>
        <w:i/>
        <w:sz w:val="22"/>
      </w:rPr>
    </w:pPr>
  </w:p>
  <w:p w14:paraId="6D9214B7" w14:textId="77777777" w:rsidR="00BD791C" w:rsidRDefault="005A777D" w:rsidP="00BD791C">
    <w:pPr>
      <w:pStyle w:val="Header"/>
      <w:tabs>
        <w:tab w:val="clear" w:pos="4153"/>
        <w:tab w:val="clear" w:pos="8306"/>
        <w:tab w:val="center" w:pos="1134"/>
      </w:tabs>
      <w:spacing w:line="280" w:lineRule="exact"/>
      <w:ind w:firstLine="0"/>
      <w:rPr>
        <w:rFonts w:ascii="Times New Roman" w:hAnsi="Times New Roman"/>
        <w:i/>
        <w:sz w:val="22"/>
      </w:rPr>
    </w:pPr>
  </w:p>
  <w:p w14:paraId="18319988" w14:textId="77777777" w:rsidR="00BD791C" w:rsidRDefault="005A777D" w:rsidP="00BD791C">
    <w:pPr>
      <w:pStyle w:val="Header"/>
      <w:tabs>
        <w:tab w:val="clear" w:pos="4153"/>
        <w:tab w:val="clear" w:pos="8306"/>
        <w:tab w:val="center" w:pos="1134"/>
      </w:tabs>
      <w:spacing w:line="280" w:lineRule="exact"/>
      <w:ind w:firstLine="0"/>
      <w:rPr>
        <w:rFonts w:ascii="Times New Roman" w:hAnsi="Times New Roman"/>
        <w:i/>
        <w:sz w:val="22"/>
      </w:rPr>
    </w:pPr>
  </w:p>
  <w:p w14:paraId="41DBC35C" w14:textId="77777777" w:rsidR="0087408F" w:rsidRPr="00BD791C" w:rsidRDefault="005A777D" w:rsidP="00BD791C">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7"/>
  </w:num>
  <w:num w:numId="4">
    <w:abstractNumId w:val="13"/>
  </w:num>
  <w:num w:numId="5">
    <w:abstractNumId w:val="16"/>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9A"/>
    <w:rsid w:val="000003FD"/>
    <w:rsid w:val="00002069"/>
    <w:rsid w:val="00002CE6"/>
    <w:rsid w:val="00002EDF"/>
    <w:rsid w:val="0000316A"/>
    <w:rsid w:val="00003D4B"/>
    <w:rsid w:val="000049B7"/>
    <w:rsid w:val="00004BD9"/>
    <w:rsid w:val="000109A1"/>
    <w:rsid w:val="00010DAD"/>
    <w:rsid w:val="0001155D"/>
    <w:rsid w:val="00011FFB"/>
    <w:rsid w:val="000131EC"/>
    <w:rsid w:val="000138BF"/>
    <w:rsid w:val="00014B34"/>
    <w:rsid w:val="00015504"/>
    <w:rsid w:val="00016869"/>
    <w:rsid w:val="000168C9"/>
    <w:rsid w:val="00016C20"/>
    <w:rsid w:val="00016DBB"/>
    <w:rsid w:val="00017144"/>
    <w:rsid w:val="00021E03"/>
    <w:rsid w:val="000250AF"/>
    <w:rsid w:val="00025490"/>
    <w:rsid w:val="0002561E"/>
    <w:rsid w:val="00026368"/>
    <w:rsid w:val="00026430"/>
    <w:rsid w:val="000268E1"/>
    <w:rsid w:val="000302B2"/>
    <w:rsid w:val="000307BD"/>
    <w:rsid w:val="00030844"/>
    <w:rsid w:val="00030E45"/>
    <w:rsid w:val="000313F2"/>
    <w:rsid w:val="00031F72"/>
    <w:rsid w:val="00032E77"/>
    <w:rsid w:val="00034BAA"/>
    <w:rsid w:val="0003575A"/>
    <w:rsid w:val="000360EB"/>
    <w:rsid w:val="00036FC9"/>
    <w:rsid w:val="00037A5F"/>
    <w:rsid w:val="00037D87"/>
    <w:rsid w:val="00037FB5"/>
    <w:rsid w:val="0004036D"/>
    <w:rsid w:val="000410A7"/>
    <w:rsid w:val="00041F09"/>
    <w:rsid w:val="000426AD"/>
    <w:rsid w:val="00042CE7"/>
    <w:rsid w:val="00042E28"/>
    <w:rsid w:val="00043D2C"/>
    <w:rsid w:val="00043F4A"/>
    <w:rsid w:val="000443B4"/>
    <w:rsid w:val="00044EC6"/>
    <w:rsid w:val="00044F8E"/>
    <w:rsid w:val="000460AA"/>
    <w:rsid w:val="00046812"/>
    <w:rsid w:val="0004728B"/>
    <w:rsid w:val="00050ACF"/>
    <w:rsid w:val="00050C89"/>
    <w:rsid w:val="00050DA2"/>
    <w:rsid w:val="00051FF1"/>
    <w:rsid w:val="00052328"/>
    <w:rsid w:val="0005255B"/>
    <w:rsid w:val="00054EFE"/>
    <w:rsid w:val="000555D9"/>
    <w:rsid w:val="00055ACD"/>
    <w:rsid w:val="00056230"/>
    <w:rsid w:val="00056F27"/>
    <w:rsid w:val="000573AF"/>
    <w:rsid w:val="00057613"/>
    <w:rsid w:val="00061609"/>
    <w:rsid w:val="0006169E"/>
    <w:rsid w:val="000626FD"/>
    <w:rsid w:val="000627F5"/>
    <w:rsid w:val="00062C20"/>
    <w:rsid w:val="00063602"/>
    <w:rsid w:val="00064009"/>
    <w:rsid w:val="0006432B"/>
    <w:rsid w:val="000650A1"/>
    <w:rsid w:val="000653D4"/>
    <w:rsid w:val="00065A3B"/>
    <w:rsid w:val="00065B96"/>
    <w:rsid w:val="000660FD"/>
    <w:rsid w:val="00066EBB"/>
    <w:rsid w:val="000677ED"/>
    <w:rsid w:val="00067C8E"/>
    <w:rsid w:val="00070B8B"/>
    <w:rsid w:val="000714D6"/>
    <w:rsid w:val="00071C35"/>
    <w:rsid w:val="000728C2"/>
    <w:rsid w:val="00073695"/>
    <w:rsid w:val="00074391"/>
    <w:rsid w:val="0007457E"/>
    <w:rsid w:val="00075F50"/>
    <w:rsid w:val="000770CE"/>
    <w:rsid w:val="000775C0"/>
    <w:rsid w:val="00080396"/>
    <w:rsid w:val="00080A41"/>
    <w:rsid w:val="00080B7B"/>
    <w:rsid w:val="00080D77"/>
    <w:rsid w:val="0008175E"/>
    <w:rsid w:val="00081DEB"/>
    <w:rsid w:val="000821EF"/>
    <w:rsid w:val="0008339B"/>
    <w:rsid w:val="0008435D"/>
    <w:rsid w:val="00084828"/>
    <w:rsid w:val="0008558C"/>
    <w:rsid w:val="00085F13"/>
    <w:rsid w:val="0008695E"/>
    <w:rsid w:val="000872BB"/>
    <w:rsid w:val="000875A3"/>
    <w:rsid w:val="00090587"/>
    <w:rsid w:val="0009109B"/>
    <w:rsid w:val="00091998"/>
    <w:rsid w:val="00093326"/>
    <w:rsid w:val="0009499E"/>
    <w:rsid w:val="000953CE"/>
    <w:rsid w:val="0009733B"/>
    <w:rsid w:val="00097683"/>
    <w:rsid w:val="00097DAF"/>
    <w:rsid w:val="000A0776"/>
    <w:rsid w:val="000A1B71"/>
    <w:rsid w:val="000A2133"/>
    <w:rsid w:val="000A21D8"/>
    <w:rsid w:val="000A23A4"/>
    <w:rsid w:val="000A2673"/>
    <w:rsid w:val="000A28D4"/>
    <w:rsid w:val="000A2EB4"/>
    <w:rsid w:val="000A374E"/>
    <w:rsid w:val="000A3DA3"/>
    <w:rsid w:val="000A5300"/>
    <w:rsid w:val="000A548B"/>
    <w:rsid w:val="000A5665"/>
    <w:rsid w:val="000A5696"/>
    <w:rsid w:val="000A63C6"/>
    <w:rsid w:val="000A6B87"/>
    <w:rsid w:val="000A6C88"/>
    <w:rsid w:val="000A6EE2"/>
    <w:rsid w:val="000B0076"/>
    <w:rsid w:val="000B35FF"/>
    <w:rsid w:val="000B3D31"/>
    <w:rsid w:val="000B4630"/>
    <w:rsid w:val="000B497F"/>
    <w:rsid w:val="000B62A6"/>
    <w:rsid w:val="000B710D"/>
    <w:rsid w:val="000B7558"/>
    <w:rsid w:val="000B7FE7"/>
    <w:rsid w:val="000C04DC"/>
    <w:rsid w:val="000C0D98"/>
    <w:rsid w:val="000C2484"/>
    <w:rsid w:val="000C259B"/>
    <w:rsid w:val="000C2BDA"/>
    <w:rsid w:val="000C3212"/>
    <w:rsid w:val="000C336A"/>
    <w:rsid w:val="000C388C"/>
    <w:rsid w:val="000C3A92"/>
    <w:rsid w:val="000C4A34"/>
    <w:rsid w:val="000C4CD5"/>
    <w:rsid w:val="000C5CA6"/>
    <w:rsid w:val="000C799C"/>
    <w:rsid w:val="000C7CEB"/>
    <w:rsid w:val="000D1000"/>
    <w:rsid w:val="000D12E1"/>
    <w:rsid w:val="000D1ABE"/>
    <w:rsid w:val="000D25E6"/>
    <w:rsid w:val="000D27C1"/>
    <w:rsid w:val="000D28D5"/>
    <w:rsid w:val="000D4055"/>
    <w:rsid w:val="000D59E4"/>
    <w:rsid w:val="000D66CF"/>
    <w:rsid w:val="000D779D"/>
    <w:rsid w:val="000D7B85"/>
    <w:rsid w:val="000E3C82"/>
    <w:rsid w:val="000E65EC"/>
    <w:rsid w:val="000E65F7"/>
    <w:rsid w:val="000E6B47"/>
    <w:rsid w:val="000E70EA"/>
    <w:rsid w:val="000F0DC9"/>
    <w:rsid w:val="000F1345"/>
    <w:rsid w:val="000F1FCF"/>
    <w:rsid w:val="000F3CDE"/>
    <w:rsid w:val="000F4839"/>
    <w:rsid w:val="000F514C"/>
    <w:rsid w:val="000F54E2"/>
    <w:rsid w:val="000F605C"/>
    <w:rsid w:val="000F711A"/>
    <w:rsid w:val="000F783E"/>
    <w:rsid w:val="001001B9"/>
    <w:rsid w:val="00100A4D"/>
    <w:rsid w:val="00102254"/>
    <w:rsid w:val="001040DD"/>
    <w:rsid w:val="00104520"/>
    <w:rsid w:val="0010702C"/>
    <w:rsid w:val="00107B0C"/>
    <w:rsid w:val="00110970"/>
    <w:rsid w:val="001113C9"/>
    <w:rsid w:val="00111568"/>
    <w:rsid w:val="001115DD"/>
    <w:rsid w:val="001120C0"/>
    <w:rsid w:val="0011327E"/>
    <w:rsid w:val="00113364"/>
    <w:rsid w:val="001150BF"/>
    <w:rsid w:val="00115EB0"/>
    <w:rsid w:val="001168F2"/>
    <w:rsid w:val="00116DEB"/>
    <w:rsid w:val="00120088"/>
    <w:rsid w:val="00120207"/>
    <w:rsid w:val="001212FD"/>
    <w:rsid w:val="0012227D"/>
    <w:rsid w:val="00123C1B"/>
    <w:rsid w:val="001249B5"/>
    <w:rsid w:val="00125CA4"/>
    <w:rsid w:val="00125D1B"/>
    <w:rsid w:val="00125E3C"/>
    <w:rsid w:val="0013146F"/>
    <w:rsid w:val="00132E8A"/>
    <w:rsid w:val="00133BAC"/>
    <w:rsid w:val="00133E7E"/>
    <w:rsid w:val="001344CD"/>
    <w:rsid w:val="0013456F"/>
    <w:rsid w:val="00134B8F"/>
    <w:rsid w:val="00135C78"/>
    <w:rsid w:val="00135F36"/>
    <w:rsid w:val="00137DA9"/>
    <w:rsid w:val="00140CAF"/>
    <w:rsid w:val="001411C0"/>
    <w:rsid w:val="00141C95"/>
    <w:rsid w:val="00142072"/>
    <w:rsid w:val="00142F27"/>
    <w:rsid w:val="001431DE"/>
    <w:rsid w:val="00143FCB"/>
    <w:rsid w:val="001450EC"/>
    <w:rsid w:val="00145627"/>
    <w:rsid w:val="00146A41"/>
    <w:rsid w:val="00146C5E"/>
    <w:rsid w:val="0014718E"/>
    <w:rsid w:val="00151679"/>
    <w:rsid w:val="00152380"/>
    <w:rsid w:val="00152C2B"/>
    <w:rsid w:val="0015318E"/>
    <w:rsid w:val="00155C67"/>
    <w:rsid w:val="00155F6C"/>
    <w:rsid w:val="00160290"/>
    <w:rsid w:val="0016089B"/>
    <w:rsid w:val="00160D0B"/>
    <w:rsid w:val="00160E29"/>
    <w:rsid w:val="001613EE"/>
    <w:rsid w:val="0016185E"/>
    <w:rsid w:val="001624D2"/>
    <w:rsid w:val="00162DDF"/>
    <w:rsid w:val="00163173"/>
    <w:rsid w:val="00163793"/>
    <w:rsid w:val="00163D92"/>
    <w:rsid w:val="00164144"/>
    <w:rsid w:val="00166696"/>
    <w:rsid w:val="00171BF5"/>
    <w:rsid w:val="00172069"/>
    <w:rsid w:val="0017258B"/>
    <w:rsid w:val="00172ADE"/>
    <w:rsid w:val="00173E96"/>
    <w:rsid w:val="00174500"/>
    <w:rsid w:val="00174D1C"/>
    <w:rsid w:val="00175703"/>
    <w:rsid w:val="001758DE"/>
    <w:rsid w:val="00176157"/>
    <w:rsid w:val="00176C05"/>
    <w:rsid w:val="00176D25"/>
    <w:rsid w:val="00181F5E"/>
    <w:rsid w:val="00182134"/>
    <w:rsid w:val="0018342E"/>
    <w:rsid w:val="00183593"/>
    <w:rsid w:val="001840C2"/>
    <w:rsid w:val="00184B46"/>
    <w:rsid w:val="00184C81"/>
    <w:rsid w:val="00185027"/>
    <w:rsid w:val="00185939"/>
    <w:rsid w:val="00186337"/>
    <w:rsid w:val="0018633C"/>
    <w:rsid w:val="001876F6"/>
    <w:rsid w:val="00191E23"/>
    <w:rsid w:val="0019228D"/>
    <w:rsid w:val="00195059"/>
    <w:rsid w:val="001953B1"/>
    <w:rsid w:val="001963C0"/>
    <w:rsid w:val="001977D0"/>
    <w:rsid w:val="00197956"/>
    <w:rsid w:val="001A03F8"/>
    <w:rsid w:val="001A13AB"/>
    <w:rsid w:val="001A17ED"/>
    <w:rsid w:val="001A4182"/>
    <w:rsid w:val="001A446E"/>
    <w:rsid w:val="001A6EA9"/>
    <w:rsid w:val="001A7B5E"/>
    <w:rsid w:val="001B0498"/>
    <w:rsid w:val="001B17A8"/>
    <w:rsid w:val="001B1BE5"/>
    <w:rsid w:val="001B2B79"/>
    <w:rsid w:val="001B46E5"/>
    <w:rsid w:val="001B58B7"/>
    <w:rsid w:val="001B5AD7"/>
    <w:rsid w:val="001B63C6"/>
    <w:rsid w:val="001C1C94"/>
    <w:rsid w:val="001C2927"/>
    <w:rsid w:val="001C3BF4"/>
    <w:rsid w:val="001C48D4"/>
    <w:rsid w:val="001C4CCD"/>
    <w:rsid w:val="001C59A1"/>
    <w:rsid w:val="001C6248"/>
    <w:rsid w:val="001C7C93"/>
    <w:rsid w:val="001C7E81"/>
    <w:rsid w:val="001D0FB6"/>
    <w:rsid w:val="001D18C5"/>
    <w:rsid w:val="001D260B"/>
    <w:rsid w:val="001D2890"/>
    <w:rsid w:val="001D31D1"/>
    <w:rsid w:val="001D36CD"/>
    <w:rsid w:val="001D4F49"/>
    <w:rsid w:val="001D6270"/>
    <w:rsid w:val="001D6E5F"/>
    <w:rsid w:val="001D77AB"/>
    <w:rsid w:val="001D7982"/>
    <w:rsid w:val="001E0461"/>
    <w:rsid w:val="001E1BAB"/>
    <w:rsid w:val="001E1D3D"/>
    <w:rsid w:val="001E2A89"/>
    <w:rsid w:val="001E303F"/>
    <w:rsid w:val="001E47D1"/>
    <w:rsid w:val="001E48E0"/>
    <w:rsid w:val="001E4C8C"/>
    <w:rsid w:val="001E516D"/>
    <w:rsid w:val="001E6766"/>
    <w:rsid w:val="001E6A64"/>
    <w:rsid w:val="001E6FC7"/>
    <w:rsid w:val="001E75C5"/>
    <w:rsid w:val="001F0B00"/>
    <w:rsid w:val="001F183A"/>
    <w:rsid w:val="001F1F40"/>
    <w:rsid w:val="001F25A1"/>
    <w:rsid w:val="001F3F2A"/>
    <w:rsid w:val="001F4F3D"/>
    <w:rsid w:val="001F6093"/>
    <w:rsid w:val="001F69C2"/>
    <w:rsid w:val="001F715D"/>
    <w:rsid w:val="001F7B3C"/>
    <w:rsid w:val="001F7F4F"/>
    <w:rsid w:val="00202E28"/>
    <w:rsid w:val="0020349B"/>
    <w:rsid w:val="00203C66"/>
    <w:rsid w:val="00204883"/>
    <w:rsid w:val="002048D1"/>
    <w:rsid w:val="00205186"/>
    <w:rsid w:val="00205961"/>
    <w:rsid w:val="00206CAD"/>
    <w:rsid w:val="002079CB"/>
    <w:rsid w:val="0021072E"/>
    <w:rsid w:val="0021096E"/>
    <w:rsid w:val="00210DE8"/>
    <w:rsid w:val="00210E93"/>
    <w:rsid w:val="002119B4"/>
    <w:rsid w:val="00211D73"/>
    <w:rsid w:val="002128B0"/>
    <w:rsid w:val="00212A3E"/>
    <w:rsid w:val="00212B4D"/>
    <w:rsid w:val="00212BBC"/>
    <w:rsid w:val="00214BF2"/>
    <w:rsid w:val="00215A7F"/>
    <w:rsid w:val="00215AE6"/>
    <w:rsid w:val="00215ED6"/>
    <w:rsid w:val="00216522"/>
    <w:rsid w:val="00216AEC"/>
    <w:rsid w:val="0021712D"/>
    <w:rsid w:val="002174A3"/>
    <w:rsid w:val="002177EF"/>
    <w:rsid w:val="00217CA0"/>
    <w:rsid w:val="00220407"/>
    <w:rsid w:val="002207A2"/>
    <w:rsid w:val="00220814"/>
    <w:rsid w:val="00221D19"/>
    <w:rsid w:val="002238C2"/>
    <w:rsid w:val="00224B8A"/>
    <w:rsid w:val="00225D01"/>
    <w:rsid w:val="002265F7"/>
    <w:rsid w:val="0022666B"/>
    <w:rsid w:val="00226D33"/>
    <w:rsid w:val="002272A9"/>
    <w:rsid w:val="0022734D"/>
    <w:rsid w:val="00227893"/>
    <w:rsid w:val="00227FB3"/>
    <w:rsid w:val="0023064F"/>
    <w:rsid w:val="00230709"/>
    <w:rsid w:val="0023106F"/>
    <w:rsid w:val="002312CC"/>
    <w:rsid w:val="00231A3C"/>
    <w:rsid w:val="00233C54"/>
    <w:rsid w:val="0023447F"/>
    <w:rsid w:val="002350B3"/>
    <w:rsid w:val="0023688B"/>
    <w:rsid w:val="00236EDB"/>
    <w:rsid w:val="002370EC"/>
    <w:rsid w:val="0023733E"/>
    <w:rsid w:val="00237487"/>
    <w:rsid w:val="0023798E"/>
    <w:rsid w:val="002405E7"/>
    <w:rsid w:val="002426FE"/>
    <w:rsid w:val="00242BB7"/>
    <w:rsid w:val="00242EE4"/>
    <w:rsid w:val="002435D3"/>
    <w:rsid w:val="00243FE2"/>
    <w:rsid w:val="0024462E"/>
    <w:rsid w:val="00246E8D"/>
    <w:rsid w:val="00247100"/>
    <w:rsid w:val="002474FA"/>
    <w:rsid w:val="00247D1E"/>
    <w:rsid w:val="002503AF"/>
    <w:rsid w:val="00250A63"/>
    <w:rsid w:val="00251DFC"/>
    <w:rsid w:val="002521AC"/>
    <w:rsid w:val="00253493"/>
    <w:rsid w:val="0025365B"/>
    <w:rsid w:val="00254C1A"/>
    <w:rsid w:val="00256136"/>
    <w:rsid w:val="00256C1B"/>
    <w:rsid w:val="00256FBA"/>
    <w:rsid w:val="002574D2"/>
    <w:rsid w:val="00257AFB"/>
    <w:rsid w:val="00257F0C"/>
    <w:rsid w:val="002610C0"/>
    <w:rsid w:val="00262394"/>
    <w:rsid w:val="0026293D"/>
    <w:rsid w:val="00263426"/>
    <w:rsid w:val="00264FF5"/>
    <w:rsid w:val="00265783"/>
    <w:rsid w:val="00265982"/>
    <w:rsid w:val="00265E10"/>
    <w:rsid w:val="00270154"/>
    <w:rsid w:val="00271F70"/>
    <w:rsid w:val="00273B8C"/>
    <w:rsid w:val="00273CFE"/>
    <w:rsid w:val="0027408B"/>
    <w:rsid w:val="002740DA"/>
    <w:rsid w:val="002748E3"/>
    <w:rsid w:val="00275E77"/>
    <w:rsid w:val="00275EC3"/>
    <w:rsid w:val="00276B56"/>
    <w:rsid w:val="00280F46"/>
    <w:rsid w:val="002819FD"/>
    <w:rsid w:val="002835FF"/>
    <w:rsid w:val="00284423"/>
    <w:rsid w:val="0028583A"/>
    <w:rsid w:val="00287368"/>
    <w:rsid w:val="00287873"/>
    <w:rsid w:val="00287AF6"/>
    <w:rsid w:val="002909CC"/>
    <w:rsid w:val="002916CC"/>
    <w:rsid w:val="0029278C"/>
    <w:rsid w:val="00292E65"/>
    <w:rsid w:val="00292EC8"/>
    <w:rsid w:val="00293BB7"/>
    <w:rsid w:val="002941FA"/>
    <w:rsid w:val="002943DF"/>
    <w:rsid w:val="00294C1A"/>
    <w:rsid w:val="0029504E"/>
    <w:rsid w:val="0029697C"/>
    <w:rsid w:val="0029771B"/>
    <w:rsid w:val="002979F1"/>
    <w:rsid w:val="002A13E1"/>
    <w:rsid w:val="002A2AD5"/>
    <w:rsid w:val="002A2D89"/>
    <w:rsid w:val="002A3248"/>
    <w:rsid w:val="002A3599"/>
    <w:rsid w:val="002A37DC"/>
    <w:rsid w:val="002A62D6"/>
    <w:rsid w:val="002A6AB3"/>
    <w:rsid w:val="002A7578"/>
    <w:rsid w:val="002B0846"/>
    <w:rsid w:val="002B1304"/>
    <w:rsid w:val="002B2497"/>
    <w:rsid w:val="002B2CD5"/>
    <w:rsid w:val="002B2E46"/>
    <w:rsid w:val="002B4BCD"/>
    <w:rsid w:val="002B6448"/>
    <w:rsid w:val="002B7A84"/>
    <w:rsid w:val="002B7CA6"/>
    <w:rsid w:val="002B7CFA"/>
    <w:rsid w:val="002C1DBB"/>
    <w:rsid w:val="002C2429"/>
    <w:rsid w:val="002C56E7"/>
    <w:rsid w:val="002C5981"/>
    <w:rsid w:val="002C75B9"/>
    <w:rsid w:val="002D0410"/>
    <w:rsid w:val="002D0899"/>
    <w:rsid w:val="002D0944"/>
    <w:rsid w:val="002D1707"/>
    <w:rsid w:val="002D17E2"/>
    <w:rsid w:val="002D3F5B"/>
    <w:rsid w:val="002D4765"/>
    <w:rsid w:val="002D7608"/>
    <w:rsid w:val="002E0EC8"/>
    <w:rsid w:val="002E1EE0"/>
    <w:rsid w:val="002E2148"/>
    <w:rsid w:val="002E278F"/>
    <w:rsid w:val="002E2C7D"/>
    <w:rsid w:val="002E36DD"/>
    <w:rsid w:val="002E395C"/>
    <w:rsid w:val="002E3B4D"/>
    <w:rsid w:val="002E4CA8"/>
    <w:rsid w:val="002E4F47"/>
    <w:rsid w:val="002E5FD4"/>
    <w:rsid w:val="002E61AF"/>
    <w:rsid w:val="002F0022"/>
    <w:rsid w:val="002F0522"/>
    <w:rsid w:val="002F0734"/>
    <w:rsid w:val="002F1799"/>
    <w:rsid w:val="002F1D27"/>
    <w:rsid w:val="002F3B23"/>
    <w:rsid w:val="002F4D3E"/>
    <w:rsid w:val="002F52D5"/>
    <w:rsid w:val="002F6254"/>
    <w:rsid w:val="002F7324"/>
    <w:rsid w:val="002F76DD"/>
    <w:rsid w:val="00300696"/>
    <w:rsid w:val="00300A1B"/>
    <w:rsid w:val="00301082"/>
    <w:rsid w:val="00301975"/>
    <w:rsid w:val="00301F15"/>
    <w:rsid w:val="003050EE"/>
    <w:rsid w:val="0030542C"/>
    <w:rsid w:val="00305CA7"/>
    <w:rsid w:val="003068BE"/>
    <w:rsid w:val="00310418"/>
    <w:rsid w:val="003105F0"/>
    <w:rsid w:val="003114A7"/>
    <w:rsid w:val="003116C6"/>
    <w:rsid w:val="00311A86"/>
    <w:rsid w:val="00312FFC"/>
    <w:rsid w:val="003134E7"/>
    <w:rsid w:val="003135D8"/>
    <w:rsid w:val="00313FE4"/>
    <w:rsid w:val="0031487B"/>
    <w:rsid w:val="00314EA5"/>
    <w:rsid w:val="003150BF"/>
    <w:rsid w:val="003150CE"/>
    <w:rsid w:val="00315E92"/>
    <w:rsid w:val="00316C2C"/>
    <w:rsid w:val="00316CA9"/>
    <w:rsid w:val="003175C0"/>
    <w:rsid w:val="003178CF"/>
    <w:rsid w:val="00317D9A"/>
    <w:rsid w:val="003214CD"/>
    <w:rsid w:val="00321B4E"/>
    <w:rsid w:val="00323B9E"/>
    <w:rsid w:val="003240D2"/>
    <w:rsid w:val="0032747E"/>
    <w:rsid w:val="00330804"/>
    <w:rsid w:val="00330F88"/>
    <w:rsid w:val="0033149C"/>
    <w:rsid w:val="00331F3E"/>
    <w:rsid w:val="003329E8"/>
    <w:rsid w:val="003331D2"/>
    <w:rsid w:val="00333D58"/>
    <w:rsid w:val="00334A6B"/>
    <w:rsid w:val="003366B2"/>
    <w:rsid w:val="00340066"/>
    <w:rsid w:val="003402E9"/>
    <w:rsid w:val="003403ED"/>
    <w:rsid w:val="00341375"/>
    <w:rsid w:val="00341BED"/>
    <w:rsid w:val="0034266B"/>
    <w:rsid w:val="0034288B"/>
    <w:rsid w:val="0034332B"/>
    <w:rsid w:val="003442BF"/>
    <w:rsid w:val="0034558B"/>
    <w:rsid w:val="0034681C"/>
    <w:rsid w:val="00350BAC"/>
    <w:rsid w:val="0035175B"/>
    <w:rsid w:val="003517E9"/>
    <w:rsid w:val="00351B32"/>
    <w:rsid w:val="00352BC9"/>
    <w:rsid w:val="00353A8A"/>
    <w:rsid w:val="00353A9F"/>
    <w:rsid w:val="00355732"/>
    <w:rsid w:val="00356B1D"/>
    <w:rsid w:val="00357FBE"/>
    <w:rsid w:val="0036001A"/>
    <w:rsid w:val="003600A8"/>
    <w:rsid w:val="00362B26"/>
    <w:rsid w:val="00364E4A"/>
    <w:rsid w:val="00365241"/>
    <w:rsid w:val="0036574B"/>
    <w:rsid w:val="00366524"/>
    <w:rsid w:val="00371963"/>
    <w:rsid w:val="00371E08"/>
    <w:rsid w:val="00372A80"/>
    <w:rsid w:val="00373BC3"/>
    <w:rsid w:val="00373C43"/>
    <w:rsid w:val="00373E58"/>
    <w:rsid w:val="00374CEB"/>
    <w:rsid w:val="003758B0"/>
    <w:rsid w:val="00376073"/>
    <w:rsid w:val="00376535"/>
    <w:rsid w:val="003769D8"/>
    <w:rsid w:val="00376DB2"/>
    <w:rsid w:val="00377452"/>
    <w:rsid w:val="003775F0"/>
    <w:rsid w:val="00381223"/>
    <w:rsid w:val="00381849"/>
    <w:rsid w:val="00381EE3"/>
    <w:rsid w:val="003823A0"/>
    <w:rsid w:val="00382F83"/>
    <w:rsid w:val="003848CF"/>
    <w:rsid w:val="00384F36"/>
    <w:rsid w:val="00385271"/>
    <w:rsid w:val="00385A43"/>
    <w:rsid w:val="00385C75"/>
    <w:rsid w:val="00385F2A"/>
    <w:rsid w:val="00386282"/>
    <w:rsid w:val="00386C30"/>
    <w:rsid w:val="00390189"/>
    <w:rsid w:val="0039226E"/>
    <w:rsid w:val="0039239E"/>
    <w:rsid w:val="00392C83"/>
    <w:rsid w:val="00392CC8"/>
    <w:rsid w:val="003956C0"/>
    <w:rsid w:val="00396416"/>
    <w:rsid w:val="00396D01"/>
    <w:rsid w:val="003978B2"/>
    <w:rsid w:val="003A02B1"/>
    <w:rsid w:val="003A10F2"/>
    <w:rsid w:val="003A16A7"/>
    <w:rsid w:val="003A17BE"/>
    <w:rsid w:val="003A2017"/>
    <w:rsid w:val="003A48CC"/>
    <w:rsid w:val="003A60A9"/>
    <w:rsid w:val="003A72EF"/>
    <w:rsid w:val="003B0669"/>
    <w:rsid w:val="003B1275"/>
    <w:rsid w:val="003B2377"/>
    <w:rsid w:val="003B46BC"/>
    <w:rsid w:val="003B4EED"/>
    <w:rsid w:val="003B6407"/>
    <w:rsid w:val="003B6B2C"/>
    <w:rsid w:val="003B71F1"/>
    <w:rsid w:val="003B780B"/>
    <w:rsid w:val="003C048E"/>
    <w:rsid w:val="003C0E31"/>
    <w:rsid w:val="003C1EAF"/>
    <w:rsid w:val="003C266A"/>
    <w:rsid w:val="003C2B61"/>
    <w:rsid w:val="003C35A9"/>
    <w:rsid w:val="003C4079"/>
    <w:rsid w:val="003C511E"/>
    <w:rsid w:val="003C602A"/>
    <w:rsid w:val="003C6F22"/>
    <w:rsid w:val="003D0DF2"/>
    <w:rsid w:val="003D1759"/>
    <w:rsid w:val="003D1896"/>
    <w:rsid w:val="003D1CE6"/>
    <w:rsid w:val="003D27E5"/>
    <w:rsid w:val="003D34EE"/>
    <w:rsid w:val="003D36CC"/>
    <w:rsid w:val="003D38FC"/>
    <w:rsid w:val="003D3B14"/>
    <w:rsid w:val="003D40DA"/>
    <w:rsid w:val="003D437C"/>
    <w:rsid w:val="003D629F"/>
    <w:rsid w:val="003D62F7"/>
    <w:rsid w:val="003D7D22"/>
    <w:rsid w:val="003E0215"/>
    <w:rsid w:val="003E1035"/>
    <w:rsid w:val="003E111D"/>
    <w:rsid w:val="003E1198"/>
    <w:rsid w:val="003E17F2"/>
    <w:rsid w:val="003E19F7"/>
    <w:rsid w:val="003E1EB2"/>
    <w:rsid w:val="003E31B1"/>
    <w:rsid w:val="003E492C"/>
    <w:rsid w:val="003E5C81"/>
    <w:rsid w:val="003E5FC1"/>
    <w:rsid w:val="003E6AD5"/>
    <w:rsid w:val="003E6E73"/>
    <w:rsid w:val="003E710D"/>
    <w:rsid w:val="003E762E"/>
    <w:rsid w:val="003E7A9C"/>
    <w:rsid w:val="003F128F"/>
    <w:rsid w:val="003F1F86"/>
    <w:rsid w:val="003F310E"/>
    <w:rsid w:val="003F328F"/>
    <w:rsid w:val="003F35CA"/>
    <w:rsid w:val="003F41CC"/>
    <w:rsid w:val="003F4AE4"/>
    <w:rsid w:val="003F531A"/>
    <w:rsid w:val="003F5A4A"/>
    <w:rsid w:val="003F7747"/>
    <w:rsid w:val="003F7908"/>
    <w:rsid w:val="003F7C9E"/>
    <w:rsid w:val="00401414"/>
    <w:rsid w:val="004024CF"/>
    <w:rsid w:val="004025E8"/>
    <w:rsid w:val="0040260C"/>
    <w:rsid w:val="00402768"/>
    <w:rsid w:val="0040295C"/>
    <w:rsid w:val="00402B15"/>
    <w:rsid w:val="00402BB4"/>
    <w:rsid w:val="00402F9A"/>
    <w:rsid w:val="004031B6"/>
    <w:rsid w:val="00403D18"/>
    <w:rsid w:val="00404C36"/>
    <w:rsid w:val="00406F38"/>
    <w:rsid w:val="00407D8E"/>
    <w:rsid w:val="004104C8"/>
    <w:rsid w:val="004107CA"/>
    <w:rsid w:val="00410E57"/>
    <w:rsid w:val="004111BC"/>
    <w:rsid w:val="004114CB"/>
    <w:rsid w:val="00411530"/>
    <w:rsid w:val="00411B60"/>
    <w:rsid w:val="004125F4"/>
    <w:rsid w:val="004126D4"/>
    <w:rsid w:val="00412EE4"/>
    <w:rsid w:val="004141B5"/>
    <w:rsid w:val="00414703"/>
    <w:rsid w:val="00414811"/>
    <w:rsid w:val="00414951"/>
    <w:rsid w:val="00415D2B"/>
    <w:rsid w:val="00416C0A"/>
    <w:rsid w:val="00421941"/>
    <w:rsid w:val="00422F47"/>
    <w:rsid w:val="00423FCB"/>
    <w:rsid w:val="00424123"/>
    <w:rsid w:val="0042466B"/>
    <w:rsid w:val="00424739"/>
    <w:rsid w:val="00424D52"/>
    <w:rsid w:val="00424DE2"/>
    <w:rsid w:val="00430420"/>
    <w:rsid w:val="0043132D"/>
    <w:rsid w:val="00431727"/>
    <w:rsid w:val="00431E64"/>
    <w:rsid w:val="004321D3"/>
    <w:rsid w:val="00432528"/>
    <w:rsid w:val="00432836"/>
    <w:rsid w:val="00432E09"/>
    <w:rsid w:val="004366DB"/>
    <w:rsid w:val="00436F3B"/>
    <w:rsid w:val="004373D1"/>
    <w:rsid w:val="0043778D"/>
    <w:rsid w:val="00437CEC"/>
    <w:rsid w:val="00440B89"/>
    <w:rsid w:val="004421DA"/>
    <w:rsid w:val="00443713"/>
    <w:rsid w:val="00444F1A"/>
    <w:rsid w:val="004454C2"/>
    <w:rsid w:val="004462C7"/>
    <w:rsid w:val="00447347"/>
    <w:rsid w:val="00447C35"/>
    <w:rsid w:val="00447F33"/>
    <w:rsid w:val="00450A27"/>
    <w:rsid w:val="00450AEB"/>
    <w:rsid w:val="00451EC2"/>
    <w:rsid w:val="004530A1"/>
    <w:rsid w:val="00455992"/>
    <w:rsid w:val="004567BD"/>
    <w:rsid w:val="00457E58"/>
    <w:rsid w:val="00461ACD"/>
    <w:rsid w:val="004629C7"/>
    <w:rsid w:val="00462E9C"/>
    <w:rsid w:val="00463357"/>
    <w:rsid w:val="00463A04"/>
    <w:rsid w:val="00464370"/>
    <w:rsid w:val="00465255"/>
    <w:rsid w:val="00467337"/>
    <w:rsid w:val="0046781E"/>
    <w:rsid w:val="00467C08"/>
    <w:rsid w:val="00467CEA"/>
    <w:rsid w:val="00470FAD"/>
    <w:rsid w:val="00471520"/>
    <w:rsid w:val="00471DAD"/>
    <w:rsid w:val="004726EF"/>
    <w:rsid w:val="00473718"/>
    <w:rsid w:val="0047374B"/>
    <w:rsid w:val="00473869"/>
    <w:rsid w:val="00473FBA"/>
    <w:rsid w:val="0047410E"/>
    <w:rsid w:val="00474110"/>
    <w:rsid w:val="00476A19"/>
    <w:rsid w:val="00477150"/>
    <w:rsid w:val="0047730C"/>
    <w:rsid w:val="0047774D"/>
    <w:rsid w:val="0048054A"/>
    <w:rsid w:val="00480573"/>
    <w:rsid w:val="00481703"/>
    <w:rsid w:val="0048180F"/>
    <w:rsid w:val="004818E8"/>
    <w:rsid w:val="00481D2F"/>
    <w:rsid w:val="00482F67"/>
    <w:rsid w:val="00483006"/>
    <w:rsid w:val="0048322A"/>
    <w:rsid w:val="0048345B"/>
    <w:rsid w:val="00483B0F"/>
    <w:rsid w:val="004842E2"/>
    <w:rsid w:val="00484915"/>
    <w:rsid w:val="00485961"/>
    <w:rsid w:val="004860E2"/>
    <w:rsid w:val="00487387"/>
    <w:rsid w:val="00490A1D"/>
    <w:rsid w:val="00490D09"/>
    <w:rsid w:val="004912AC"/>
    <w:rsid w:val="00491392"/>
    <w:rsid w:val="004919FD"/>
    <w:rsid w:val="0049234E"/>
    <w:rsid w:val="00493ACA"/>
    <w:rsid w:val="00493D8C"/>
    <w:rsid w:val="00494C06"/>
    <w:rsid w:val="0049671D"/>
    <w:rsid w:val="004A0C72"/>
    <w:rsid w:val="004A0E6F"/>
    <w:rsid w:val="004A132C"/>
    <w:rsid w:val="004A1577"/>
    <w:rsid w:val="004A3D88"/>
    <w:rsid w:val="004A40C2"/>
    <w:rsid w:val="004A4328"/>
    <w:rsid w:val="004A65E9"/>
    <w:rsid w:val="004A6E62"/>
    <w:rsid w:val="004A7B4A"/>
    <w:rsid w:val="004B1D71"/>
    <w:rsid w:val="004B26D9"/>
    <w:rsid w:val="004B2956"/>
    <w:rsid w:val="004B2C5E"/>
    <w:rsid w:val="004B3669"/>
    <w:rsid w:val="004B410B"/>
    <w:rsid w:val="004B450C"/>
    <w:rsid w:val="004B4A5C"/>
    <w:rsid w:val="004B5617"/>
    <w:rsid w:val="004B714A"/>
    <w:rsid w:val="004B774B"/>
    <w:rsid w:val="004B78DC"/>
    <w:rsid w:val="004C1D85"/>
    <w:rsid w:val="004C3C38"/>
    <w:rsid w:val="004C454D"/>
    <w:rsid w:val="004C4629"/>
    <w:rsid w:val="004C4B71"/>
    <w:rsid w:val="004D087E"/>
    <w:rsid w:val="004D19DB"/>
    <w:rsid w:val="004D1E88"/>
    <w:rsid w:val="004D28A1"/>
    <w:rsid w:val="004D3A75"/>
    <w:rsid w:val="004D3CD7"/>
    <w:rsid w:val="004D3DE5"/>
    <w:rsid w:val="004D58DE"/>
    <w:rsid w:val="004D63E2"/>
    <w:rsid w:val="004D6C81"/>
    <w:rsid w:val="004D72C5"/>
    <w:rsid w:val="004E1D75"/>
    <w:rsid w:val="004E23D7"/>
    <w:rsid w:val="004E29E8"/>
    <w:rsid w:val="004E3F30"/>
    <w:rsid w:val="004E4568"/>
    <w:rsid w:val="004E46F8"/>
    <w:rsid w:val="004E4A29"/>
    <w:rsid w:val="004E4B7E"/>
    <w:rsid w:val="004E4CC0"/>
    <w:rsid w:val="004E50C8"/>
    <w:rsid w:val="004E5B1F"/>
    <w:rsid w:val="004E6463"/>
    <w:rsid w:val="004E653E"/>
    <w:rsid w:val="004E65F5"/>
    <w:rsid w:val="004E7636"/>
    <w:rsid w:val="004E79E3"/>
    <w:rsid w:val="004E7C48"/>
    <w:rsid w:val="004F01C4"/>
    <w:rsid w:val="004F064C"/>
    <w:rsid w:val="004F1443"/>
    <w:rsid w:val="004F198F"/>
    <w:rsid w:val="004F2D77"/>
    <w:rsid w:val="004F32C1"/>
    <w:rsid w:val="004F3E28"/>
    <w:rsid w:val="004F3E34"/>
    <w:rsid w:val="004F621F"/>
    <w:rsid w:val="004F6682"/>
    <w:rsid w:val="004F71FA"/>
    <w:rsid w:val="005021AC"/>
    <w:rsid w:val="0050242C"/>
    <w:rsid w:val="00502EAE"/>
    <w:rsid w:val="00503A1B"/>
    <w:rsid w:val="0050423E"/>
    <w:rsid w:val="0050500F"/>
    <w:rsid w:val="00505279"/>
    <w:rsid w:val="00505FD0"/>
    <w:rsid w:val="005063E1"/>
    <w:rsid w:val="00506971"/>
    <w:rsid w:val="00506DEF"/>
    <w:rsid w:val="00507C49"/>
    <w:rsid w:val="00507CC5"/>
    <w:rsid w:val="005101F9"/>
    <w:rsid w:val="0051115E"/>
    <w:rsid w:val="00511F83"/>
    <w:rsid w:val="0051393C"/>
    <w:rsid w:val="0051435A"/>
    <w:rsid w:val="00515BA6"/>
    <w:rsid w:val="00516377"/>
    <w:rsid w:val="00516B69"/>
    <w:rsid w:val="00516BBB"/>
    <w:rsid w:val="005170F8"/>
    <w:rsid w:val="00517445"/>
    <w:rsid w:val="005205EA"/>
    <w:rsid w:val="00520998"/>
    <w:rsid w:val="0052361A"/>
    <w:rsid w:val="00523E83"/>
    <w:rsid w:val="005248BB"/>
    <w:rsid w:val="0052534F"/>
    <w:rsid w:val="005255F6"/>
    <w:rsid w:val="00525BD0"/>
    <w:rsid w:val="005265F8"/>
    <w:rsid w:val="005308A5"/>
    <w:rsid w:val="005314E9"/>
    <w:rsid w:val="00531723"/>
    <w:rsid w:val="0053275E"/>
    <w:rsid w:val="00532C19"/>
    <w:rsid w:val="0053324F"/>
    <w:rsid w:val="00533ED6"/>
    <w:rsid w:val="00534922"/>
    <w:rsid w:val="00536911"/>
    <w:rsid w:val="00537903"/>
    <w:rsid w:val="00541075"/>
    <w:rsid w:val="00541EF9"/>
    <w:rsid w:val="005423BB"/>
    <w:rsid w:val="00542524"/>
    <w:rsid w:val="00543151"/>
    <w:rsid w:val="005431CF"/>
    <w:rsid w:val="00543D0A"/>
    <w:rsid w:val="00544498"/>
    <w:rsid w:val="00544547"/>
    <w:rsid w:val="00544FF1"/>
    <w:rsid w:val="005454F3"/>
    <w:rsid w:val="005455E5"/>
    <w:rsid w:val="0054681B"/>
    <w:rsid w:val="0054763C"/>
    <w:rsid w:val="0054779A"/>
    <w:rsid w:val="00547BA1"/>
    <w:rsid w:val="00551199"/>
    <w:rsid w:val="00552564"/>
    <w:rsid w:val="005530A2"/>
    <w:rsid w:val="00556101"/>
    <w:rsid w:val="00556904"/>
    <w:rsid w:val="00556AB9"/>
    <w:rsid w:val="00557CB1"/>
    <w:rsid w:val="0056091E"/>
    <w:rsid w:val="005610ED"/>
    <w:rsid w:val="00561371"/>
    <w:rsid w:val="0056172D"/>
    <w:rsid w:val="00561D7D"/>
    <w:rsid w:val="00561DD9"/>
    <w:rsid w:val="00561EBD"/>
    <w:rsid w:val="0056290A"/>
    <w:rsid w:val="00562E28"/>
    <w:rsid w:val="005635F3"/>
    <w:rsid w:val="00563BC8"/>
    <w:rsid w:val="00563DA8"/>
    <w:rsid w:val="0056411C"/>
    <w:rsid w:val="00565B4C"/>
    <w:rsid w:val="005663FF"/>
    <w:rsid w:val="005677E5"/>
    <w:rsid w:val="005701D2"/>
    <w:rsid w:val="00570D24"/>
    <w:rsid w:val="005710F6"/>
    <w:rsid w:val="005713DB"/>
    <w:rsid w:val="005733B4"/>
    <w:rsid w:val="00573A54"/>
    <w:rsid w:val="00574C1A"/>
    <w:rsid w:val="00574E57"/>
    <w:rsid w:val="00577D8C"/>
    <w:rsid w:val="0058088D"/>
    <w:rsid w:val="00580EEB"/>
    <w:rsid w:val="00580FCF"/>
    <w:rsid w:val="00581D30"/>
    <w:rsid w:val="00583673"/>
    <w:rsid w:val="00583D08"/>
    <w:rsid w:val="005862F0"/>
    <w:rsid w:val="00586B13"/>
    <w:rsid w:val="00587BE7"/>
    <w:rsid w:val="00587CBC"/>
    <w:rsid w:val="00587E67"/>
    <w:rsid w:val="005904E6"/>
    <w:rsid w:val="005905B1"/>
    <w:rsid w:val="00593519"/>
    <w:rsid w:val="00595DF1"/>
    <w:rsid w:val="00596524"/>
    <w:rsid w:val="00597D35"/>
    <w:rsid w:val="005A1511"/>
    <w:rsid w:val="005A3589"/>
    <w:rsid w:val="005A3B5F"/>
    <w:rsid w:val="005A4A36"/>
    <w:rsid w:val="005A65C9"/>
    <w:rsid w:val="005A6D6D"/>
    <w:rsid w:val="005A717E"/>
    <w:rsid w:val="005A7264"/>
    <w:rsid w:val="005A777D"/>
    <w:rsid w:val="005B0450"/>
    <w:rsid w:val="005B1601"/>
    <w:rsid w:val="005B23D3"/>
    <w:rsid w:val="005B388F"/>
    <w:rsid w:val="005B38AF"/>
    <w:rsid w:val="005B3AA9"/>
    <w:rsid w:val="005B4CFC"/>
    <w:rsid w:val="005B58B0"/>
    <w:rsid w:val="005B75D6"/>
    <w:rsid w:val="005C0298"/>
    <w:rsid w:val="005C0769"/>
    <w:rsid w:val="005C0D97"/>
    <w:rsid w:val="005C12A3"/>
    <w:rsid w:val="005C360A"/>
    <w:rsid w:val="005C3618"/>
    <w:rsid w:val="005C388C"/>
    <w:rsid w:val="005C3E76"/>
    <w:rsid w:val="005C5445"/>
    <w:rsid w:val="005C66FF"/>
    <w:rsid w:val="005C7A2A"/>
    <w:rsid w:val="005D1C2D"/>
    <w:rsid w:val="005D221C"/>
    <w:rsid w:val="005D2542"/>
    <w:rsid w:val="005D25BE"/>
    <w:rsid w:val="005D2A43"/>
    <w:rsid w:val="005D37FD"/>
    <w:rsid w:val="005D4774"/>
    <w:rsid w:val="005D6CF7"/>
    <w:rsid w:val="005D6EA0"/>
    <w:rsid w:val="005D77DE"/>
    <w:rsid w:val="005E05DA"/>
    <w:rsid w:val="005E062E"/>
    <w:rsid w:val="005E0D57"/>
    <w:rsid w:val="005E145C"/>
    <w:rsid w:val="005E2C8C"/>
    <w:rsid w:val="005E4336"/>
    <w:rsid w:val="005E5E46"/>
    <w:rsid w:val="005E7B36"/>
    <w:rsid w:val="005F02E6"/>
    <w:rsid w:val="005F10F1"/>
    <w:rsid w:val="005F1911"/>
    <w:rsid w:val="005F2CBA"/>
    <w:rsid w:val="005F2D6B"/>
    <w:rsid w:val="005F3216"/>
    <w:rsid w:val="005F4DFE"/>
    <w:rsid w:val="005F4EF9"/>
    <w:rsid w:val="0060009B"/>
    <w:rsid w:val="006015AE"/>
    <w:rsid w:val="006017B1"/>
    <w:rsid w:val="00601E4D"/>
    <w:rsid w:val="00602CBB"/>
    <w:rsid w:val="00604C66"/>
    <w:rsid w:val="00605D57"/>
    <w:rsid w:val="0060685F"/>
    <w:rsid w:val="00607066"/>
    <w:rsid w:val="00607197"/>
    <w:rsid w:val="00607A16"/>
    <w:rsid w:val="006104C3"/>
    <w:rsid w:val="006109F8"/>
    <w:rsid w:val="00610E28"/>
    <w:rsid w:val="0061142E"/>
    <w:rsid w:val="00612272"/>
    <w:rsid w:val="00612471"/>
    <w:rsid w:val="00613773"/>
    <w:rsid w:val="00613EDF"/>
    <w:rsid w:val="00613FFD"/>
    <w:rsid w:val="006144F9"/>
    <w:rsid w:val="0061456D"/>
    <w:rsid w:val="006147EA"/>
    <w:rsid w:val="00614953"/>
    <w:rsid w:val="00616263"/>
    <w:rsid w:val="00617E10"/>
    <w:rsid w:val="00620907"/>
    <w:rsid w:val="006214C6"/>
    <w:rsid w:val="00621E9E"/>
    <w:rsid w:val="00621F58"/>
    <w:rsid w:val="00622123"/>
    <w:rsid w:val="0062229F"/>
    <w:rsid w:val="00623075"/>
    <w:rsid w:val="006230CA"/>
    <w:rsid w:val="00623301"/>
    <w:rsid w:val="00623910"/>
    <w:rsid w:val="00623BAD"/>
    <w:rsid w:val="00624110"/>
    <w:rsid w:val="00624964"/>
    <w:rsid w:val="00624A27"/>
    <w:rsid w:val="00624D74"/>
    <w:rsid w:val="00626ED1"/>
    <w:rsid w:val="0062716D"/>
    <w:rsid w:val="00627AF2"/>
    <w:rsid w:val="00630506"/>
    <w:rsid w:val="006306E1"/>
    <w:rsid w:val="00631F2F"/>
    <w:rsid w:val="00632F94"/>
    <w:rsid w:val="00634114"/>
    <w:rsid w:val="006350AD"/>
    <w:rsid w:val="00635C45"/>
    <w:rsid w:val="0063632F"/>
    <w:rsid w:val="0063679C"/>
    <w:rsid w:val="00636ACF"/>
    <w:rsid w:val="00637EE4"/>
    <w:rsid w:val="00640404"/>
    <w:rsid w:val="00641068"/>
    <w:rsid w:val="0064168B"/>
    <w:rsid w:val="00641E74"/>
    <w:rsid w:val="006420AD"/>
    <w:rsid w:val="00642635"/>
    <w:rsid w:val="00643E9F"/>
    <w:rsid w:val="006441F6"/>
    <w:rsid w:val="006442D6"/>
    <w:rsid w:val="006452CD"/>
    <w:rsid w:val="006460A1"/>
    <w:rsid w:val="006463BF"/>
    <w:rsid w:val="0064695C"/>
    <w:rsid w:val="006469FF"/>
    <w:rsid w:val="00646ABD"/>
    <w:rsid w:val="006476ED"/>
    <w:rsid w:val="00650C56"/>
    <w:rsid w:val="00650E0B"/>
    <w:rsid w:val="0065175D"/>
    <w:rsid w:val="00651773"/>
    <w:rsid w:val="0065179B"/>
    <w:rsid w:val="00652858"/>
    <w:rsid w:val="0065343C"/>
    <w:rsid w:val="00653B42"/>
    <w:rsid w:val="006546C5"/>
    <w:rsid w:val="006548BA"/>
    <w:rsid w:val="006558DC"/>
    <w:rsid w:val="006563CE"/>
    <w:rsid w:val="00656B27"/>
    <w:rsid w:val="00657DD2"/>
    <w:rsid w:val="00657F8B"/>
    <w:rsid w:val="00660196"/>
    <w:rsid w:val="00660401"/>
    <w:rsid w:val="00660B48"/>
    <w:rsid w:val="006618FC"/>
    <w:rsid w:val="006622C5"/>
    <w:rsid w:val="00663D00"/>
    <w:rsid w:val="00663E7F"/>
    <w:rsid w:val="00663E86"/>
    <w:rsid w:val="00666A4C"/>
    <w:rsid w:val="00666BD1"/>
    <w:rsid w:val="00667980"/>
    <w:rsid w:val="00670190"/>
    <w:rsid w:val="00671118"/>
    <w:rsid w:val="00671B7E"/>
    <w:rsid w:val="00672142"/>
    <w:rsid w:val="0067288C"/>
    <w:rsid w:val="006744AB"/>
    <w:rsid w:val="0067538E"/>
    <w:rsid w:val="00675F84"/>
    <w:rsid w:val="006767BC"/>
    <w:rsid w:val="00677D45"/>
    <w:rsid w:val="00681AC2"/>
    <w:rsid w:val="00681D75"/>
    <w:rsid w:val="0068213D"/>
    <w:rsid w:val="0068242E"/>
    <w:rsid w:val="0068408B"/>
    <w:rsid w:val="00684A19"/>
    <w:rsid w:val="00684BAF"/>
    <w:rsid w:val="00685D9F"/>
    <w:rsid w:val="006876C1"/>
    <w:rsid w:val="00687721"/>
    <w:rsid w:val="006916E4"/>
    <w:rsid w:val="006922DC"/>
    <w:rsid w:val="00692AC5"/>
    <w:rsid w:val="0069412F"/>
    <w:rsid w:val="00694B47"/>
    <w:rsid w:val="00695155"/>
    <w:rsid w:val="00696250"/>
    <w:rsid w:val="006965AF"/>
    <w:rsid w:val="00696C2D"/>
    <w:rsid w:val="00696EBB"/>
    <w:rsid w:val="006A1F10"/>
    <w:rsid w:val="006A207D"/>
    <w:rsid w:val="006A21B1"/>
    <w:rsid w:val="006A2C97"/>
    <w:rsid w:val="006A4D4E"/>
    <w:rsid w:val="006A59C8"/>
    <w:rsid w:val="006A7007"/>
    <w:rsid w:val="006B0EBE"/>
    <w:rsid w:val="006B1031"/>
    <w:rsid w:val="006B14F4"/>
    <w:rsid w:val="006B1A18"/>
    <w:rsid w:val="006B2C3A"/>
    <w:rsid w:val="006B5343"/>
    <w:rsid w:val="006B5588"/>
    <w:rsid w:val="006B62D0"/>
    <w:rsid w:val="006B630A"/>
    <w:rsid w:val="006B676E"/>
    <w:rsid w:val="006B6DB6"/>
    <w:rsid w:val="006B7AC0"/>
    <w:rsid w:val="006B7F98"/>
    <w:rsid w:val="006C07FB"/>
    <w:rsid w:val="006C1577"/>
    <w:rsid w:val="006C18FF"/>
    <w:rsid w:val="006C2C12"/>
    <w:rsid w:val="006C3BDA"/>
    <w:rsid w:val="006C3C91"/>
    <w:rsid w:val="006C4B8D"/>
    <w:rsid w:val="006C5ACD"/>
    <w:rsid w:val="006C6300"/>
    <w:rsid w:val="006C7287"/>
    <w:rsid w:val="006D0C3D"/>
    <w:rsid w:val="006D1544"/>
    <w:rsid w:val="006D29E8"/>
    <w:rsid w:val="006D354B"/>
    <w:rsid w:val="006D36B7"/>
    <w:rsid w:val="006D3A49"/>
    <w:rsid w:val="006D41E7"/>
    <w:rsid w:val="006D4E84"/>
    <w:rsid w:val="006E032D"/>
    <w:rsid w:val="006E0BA8"/>
    <w:rsid w:val="006E16F1"/>
    <w:rsid w:val="006E334E"/>
    <w:rsid w:val="006E359B"/>
    <w:rsid w:val="006E590F"/>
    <w:rsid w:val="006E5CC5"/>
    <w:rsid w:val="006E75BF"/>
    <w:rsid w:val="006E7786"/>
    <w:rsid w:val="006F09B5"/>
    <w:rsid w:val="006F10C2"/>
    <w:rsid w:val="006F1349"/>
    <w:rsid w:val="006F201F"/>
    <w:rsid w:val="006F2C03"/>
    <w:rsid w:val="006F3F0D"/>
    <w:rsid w:val="006F48B3"/>
    <w:rsid w:val="006F48B8"/>
    <w:rsid w:val="006F4936"/>
    <w:rsid w:val="006F4B38"/>
    <w:rsid w:val="006F553C"/>
    <w:rsid w:val="006F5924"/>
    <w:rsid w:val="006F615E"/>
    <w:rsid w:val="006F6258"/>
    <w:rsid w:val="006F65E1"/>
    <w:rsid w:val="006F7085"/>
    <w:rsid w:val="006F79D6"/>
    <w:rsid w:val="006F7F8E"/>
    <w:rsid w:val="0070014F"/>
    <w:rsid w:val="00700A13"/>
    <w:rsid w:val="00700A3F"/>
    <w:rsid w:val="007013CF"/>
    <w:rsid w:val="00701552"/>
    <w:rsid w:val="00701907"/>
    <w:rsid w:val="0070220B"/>
    <w:rsid w:val="0070266A"/>
    <w:rsid w:val="00702BB8"/>
    <w:rsid w:val="00703634"/>
    <w:rsid w:val="00704943"/>
    <w:rsid w:val="00704CA3"/>
    <w:rsid w:val="00704FDE"/>
    <w:rsid w:val="00705448"/>
    <w:rsid w:val="007056C9"/>
    <w:rsid w:val="00705ACE"/>
    <w:rsid w:val="00706FFB"/>
    <w:rsid w:val="007072C1"/>
    <w:rsid w:val="007073E8"/>
    <w:rsid w:val="007079E6"/>
    <w:rsid w:val="0071205D"/>
    <w:rsid w:val="007122EC"/>
    <w:rsid w:val="0071446A"/>
    <w:rsid w:val="00714504"/>
    <w:rsid w:val="00714BE7"/>
    <w:rsid w:val="007161EF"/>
    <w:rsid w:val="007162F0"/>
    <w:rsid w:val="00716A93"/>
    <w:rsid w:val="0071742A"/>
    <w:rsid w:val="00720431"/>
    <w:rsid w:val="00721130"/>
    <w:rsid w:val="00721D1D"/>
    <w:rsid w:val="007224CC"/>
    <w:rsid w:val="007237E2"/>
    <w:rsid w:val="0072525B"/>
    <w:rsid w:val="00725BBB"/>
    <w:rsid w:val="00726045"/>
    <w:rsid w:val="00730E8F"/>
    <w:rsid w:val="00731278"/>
    <w:rsid w:val="00731D48"/>
    <w:rsid w:val="0073320D"/>
    <w:rsid w:val="007338DA"/>
    <w:rsid w:val="00733C61"/>
    <w:rsid w:val="00734484"/>
    <w:rsid w:val="00736ADC"/>
    <w:rsid w:val="00741D1D"/>
    <w:rsid w:val="00742076"/>
    <w:rsid w:val="007441D4"/>
    <w:rsid w:val="00744A49"/>
    <w:rsid w:val="00744ED2"/>
    <w:rsid w:val="00745136"/>
    <w:rsid w:val="00745A15"/>
    <w:rsid w:val="00745A88"/>
    <w:rsid w:val="00745DD2"/>
    <w:rsid w:val="00747746"/>
    <w:rsid w:val="00751059"/>
    <w:rsid w:val="0075130D"/>
    <w:rsid w:val="00751354"/>
    <w:rsid w:val="00751DB1"/>
    <w:rsid w:val="00756909"/>
    <w:rsid w:val="00756A8E"/>
    <w:rsid w:val="007571A2"/>
    <w:rsid w:val="007571E0"/>
    <w:rsid w:val="00760D10"/>
    <w:rsid w:val="00762108"/>
    <w:rsid w:val="00763233"/>
    <w:rsid w:val="0076437D"/>
    <w:rsid w:val="0076613C"/>
    <w:rsid w:val="0077053F"/>
    <w:rsid w:val="00770759"/>
    <w:rsid w:val="00770E38"/>
    <w:rsid w:val="007719A4"/>
    <w:rsid w:val="00772339"/>
    <w:rsid w:val="00772A8D"/>
    <w:rsid w:val="0077410C"/>
    <w:rsid w:val="007751DE"/>
    <w:rsid w:val="00776A06"/>
    <w:rsid w:val="00777F57"/>
    <w:rsid w:val="0078133D"/>
    <w:rsid w:val="00781E34"/>
    <w:rsid w:val="007827A5"/>
    <w:rsid w:val="00782E68"/>
    <w:rsid w:val="0078351D"/>
    <w:rsid w:val="00785785"/>
    <w:rsid w:val="007903EC"/>
    <w:rsid w:val="00791DED"/>
    <w:rsid w:val="00792AA8"/>
    <w:rsid w:val="00793AAE"/>
    <w:rsid w:val="00794972"/>
    <w:rsid w:val="007952AA"/>
    <w:rsid w:val="0079677B"/>
    <w:rsid w:val="00796EE7"/>
    <w:rsid w:val="00797022"/>
    <w:rsid w:val="00797B54"/>
    <w:rsid w:val="007A1066"/>
    <w:rsid w:val="007A1487"/>
    <w:rsid w:val="007A16AF"/>
    <w:rsid w:val="007A267A"/>
    <w:rsid w:val="007A3ABE"/>
    <w:rsid w:val="007A4CB0"/>
    <w:rsid w:val="007A4E3D"/>
    <w:rsid w:val="007A5166"/>
    <w:rsid w:val="007A5B52"/>
    <w:rsid w:val="007A5DC9"/>
    <w:rsid w:val="007A611E"/>
    <w:rsid w:val="007A62C3"/>
    <w:rsid w:val="007A7109"/>
    <w:rsid w:val="007A739B"/>
    <w:rsid w:val="007B4102"/>
    <w:rsid w:val="007B5895"/>
    <w:rsid w:val="007B630C"/>
    <w:rsid w:val="007B651A"/>
    <w:rsid w:val="007B6648"/>
    <w:rsid w:val="007B6669"/>
    <w:rsid w:val="007B671E"/>
    <w:rsid w:val="007B7499"/>
    <w:rsid w:val="007B7FC6"/>
    <w:rsid w:val="007C29BC"/>
    <w:rsid w:val="007C311B"/>
    <w:rsid w:val="007C492A"/>
    <w:rsid w:val="007C506B"/>
    <w:rsid w:val="007C5BB0"/>
    <w:rsid w:val="007D0986"/>
    <w:rsid w:val="007D1B3E"/>
    <w:rsid w:val="007D2BBD"/>
    <w:rsid w:val="007D2FC1"/>
    <w:rsid w:val="007D3CA7"/>
    <w:rsid w:val="007D5105"/>
    <w:rsid w:val="007D593E"/>
    <w:rsid w:val="007D59A7"/>
    <w:rsid w:val="007D613E"/>
    <w:rsid w:val="007D698B"/>
    <w:rsid w:val="007D7381"/>
    <w:rsid w:val="007D7BB6"/>
    <w:rsid w:val="007E1331"/>
    <w:rsid w:val="007E15CF"/>
    <w:rsid w:val="007E1733"/>
    <w:rsid w:val="007E25E8"/>
    <w:rsid w:val="007E291A"/>
    <w:rsid w:val="007E2D10"/>
    <w:rsid w:val="007E3B00"/>
    <w:rsid w:val="007E50B9"/>
    <w:rsid w:val="007E5D35"/>
    <w:rsid w:val="007E7F47"/>
    <w:rsid w:val="007F046D"/>
    <w:rsid w:val="007F1E4F"/>
    <w:rsid w:val="007F23C7"/>
    <w:rsid w:val="007F297E"/>
    <w:rsid w:val="007F52A6"/>
    <w:rsid w:val="007F5789"/>
    <w:rsid w:val="007F5928"/>
    <w:rsid w:val="007F68DA"/>
    <w:rsid w:val="007F7281"/>
    <w:rsid w:val="007F731C"/>
    <w:rsid w:val="008004E7"/>
    <w:rsid w:val="00800BA9"/>
    <w:rsid w:val="00801036"/>
    <w:rsid w:val="0080136B"/>
    <w:rsid w:val="008013E9"/>
    <w:rsid w:val="00801A26"/>
    <w:rsid w:val="0080276C"/>
    <w:rsid w:val="008060C8"/>
    <w:rsid w:val="008067C1"/>
    <w:rsid w:val="00807E7F"/>
    <w:rsid w:val="00807F76"/>
    <w:rsid w:val="008101DC"/>
    <w:rsid w:val="00810723"/>
    <w:rsid w:val="00810F5C"/>
    <w:rsid w:val="00811C8E"/>
    <w:rsid w:val="00812120"/>
    <w:rsid w:val="008124C7"/>
    <w:rsid w:val="00812723"/>
    <w:rsid w:val="00812CBD"/>
    <w:rsid w:val="00812D79"/>
    <w:rsid w:val="0081364B"/>
    <w:rsid w:val="00813B53"/>
    <w:rsid w:val="008140A0"/>
    <w:rsid w:val="00814A6A"/>
    <w:rsid w:val="00814E46"/>
    <w:rsid w:val="00814ED4"/>
    <w:rsid w:val="008152E3"/>
    <w:rsid w:val="0081557C"/>
    <w:rsid w:val="008159B1"/>
    <w:rsid w:val="008165C4"/>
    <w:rsid w:val="00816F7C"/>
    <w:rsid w:val="0081757B"/>
    <w:rsid w:val="00820282"/>
    <w:rsid w:val="0082117F"/>
    <w:rsid w:val="008219EC"/>
    <w:rsid w:val="00823266"/>
    <w:rsid w:val="0082338C"/>
    <w:rsid w:val="00823CCF"/>
    <w:rsid w:val="00823CD7"/>
    <w:rsid w:val="00824BE3"/>
    <w:rsid w:val="0082619C"/>
    <w:rsid w:val="008269F8"/>
    <w:rsid w:val="0082710B"/>
    <w:rsid w:val="00827155"/>
    <w:rsid w:val="008278AE"/>
    <w:rsid w:val="0083019C"/>
    <w:rsid w:val="00831A0D"/>
    <w:rsid w:val="00832E25"/>
    <w:rsid w:val="0083379C"/>
    <w:rsid w:val="008358F0"/>
    <w:rsid w:val="00836AD2"/>
    <w:rsid w:val="0083740D"/>
    <w:rsid w:val="008375CC"/>
    <w:rsid w:val="0084032D"/>
    <w:rsid w:val="00840EE0"/>
    <w:rsid w:val="008415CC"/>
    <w:rsid w:val="008420DB"/>
    <w:rsid w:val="00842862"/>
    <w:rsid w:val="00843600"/>
    <w:rsid w:val="008447C0"/>
    <w:rsid w:val="00844F94"/>
    <w:rsid w:val="00845199"/>
    <w:rsid w:val="008463E2"/>
    <w:rsid w:val="00847213"/>
    <w:rsid w:val="00847DFE"/>
    <w:rsid w:val="00851111"/>
    <w:rsid w:val="0085137C"/>
    <w:rsid w:val="00851502"/>
    <w:rsid w:val="00851C2A"/>
    <w:rsid w:val="008525CF"/>
    <w:rsid w:val="008542CC"/>
    <w:rsid w:val="0085574E"/>
    <w:rsid w:val="008601E7"/>
    <w:rsid w:val="00860923"/>
    <w:rsid w:val="00860973"/>
    <w:rsid w:val="00860B77"/>
    <w:rsid w:val="0086183E"/>
    <w:rsid w:val="008620CA"/>
    <w:rsid w:val="00863CE1"/>
    <w:rsid w:val="0086401C"/>
    <w:rsid w:val="00864814"/>
    <w:rsid w:val="008648B5"/>
    <w:rsid w:val="0086565F"/>
    <w:rsid w:val="008656BC"/>
    <w:rsid w:val="00865C4A"/>
    <w:rsid w:val="0086641A"/>
    <w:rsid w:val="00867470"/>
    <w:rsid w:val="00867A49"/>
    <w:rsid w:val="00867F68"/>
    <w:rsid w:val="00870446"/>
    <w:rsid w:val="008737D3"/>
    <w:rsid w:val="0087386A"/>
    <w:rsid w:val="008741C6"/>
    <w:rsid w:val="00876716"/>
    <w:rsid w:val="00876D36"/>
    <w:rsid w:val="00877CBF"/>
    <w:rsid w:val="0088006D"/>
    <w:rsid w:val="00880B0A"/>
    <w:rsid w:val="0088184D"/>
    <w:rsid w:val="00882D0E"/>
    <w:rsid w:val="00882D53"/>
    <w:rsid w:val="00883437"/>
    <w:rsid w:val="008834C5"/>
    <w:rsid w:val="00883C24"/>
    <w:rsid w:val="00883E0D"/>
    <w:rsid w:val="0088404D"/>
    <w:rsid w:val="00884BD9"/>
    <w:rsid w:val="00884CF5"/>
    <w:rsid w:val="008853F8"/>
    <w:rsid w:val="00887C38"/>
    <w:rsid w:val="0089254E"/>
    <w:rsid w:val="00894240"/>
    <w:rsid w:val="0089480E"/>
    <w:rsid w:val="008953BD"/>
    <w:rsid w:val="0089561E"/>
    <w:rsid w:val="00896D75"/>
    <w:rsid w:val="008975FD"/>
    <w:rsid w:val="008A136C"/>
    <w:rsid w:val="008A2789"/>
    <w:rsid w:val="008A27AC"/>
    <w:rsid w:val="008A34FB"/>
    <w:rsid w:val="008A3BA9"/>
    <w:rsid w:val="008A4020"/>
    <w:rsid w:val="008A4628"/>
    <w:rsid w:val="008A47B0"/>
    <w:rsid w:val="008A4BFF"/>
    <w:rsid w:val="008A71BB"/>
    <w:rsid w:val="008A7CEE"/>
    <w:rsid w:val="008A7DD6"/>
    <w:rsid w:val="008B02A0"/>
    <w:rsid w:val="008B044F"/>
    <w:rsid w:val="008B17E8"/>
    <w:rsid w:val="008B22DF"/>
    <w:rsid w:val="008B3C28"/>
    <w:rsid w:val="008B447A"/>
    <w:rsid w:val="008B47CB"/>
    <w:rsid w:val="008B4F68"/>
    <w:rsid w:val="008B6A6C"/>
    <w:rsid w:val="008C0A6D"/>
    <w:rsid w:val="008C15BB"/>
    <w:rsid w:val="008C1AFE"/>
    <w:rsid w:val="008C28E5"/>
    <w:rsid w:val="008C3E46"/>
    <w:rsid w:val="008C4618"/>
    <w:rsid w:val="008C4E5F"/>
    <w:rsid w:val="008C6562"/>
    <w:rsid w:val="008C6C82"/>
    <w:rsid w:val="008C7409"/>
    <w:rsid w:val="008D15F7"/>
    <w:rsid w:val="008D1FDE"/>
    <w:rsid w:val="008D351D"/>
    <w:rsid w:val="008D43F5"/>
    <w:rsid w:val="008D6F7A"/>
    <w:rsid w:val="008D76E1"/>
    <w:rsid w:val="008E1935"/>
    <w:rsid w:val="008E1C45"/>
    <w:rsid w:val="008E242E"/>
    <w:rsid w:val="008E2577"/>
    <w:rsid w:val="008E279B"/>
    <w:rsid w:val="008E2B43"/>
    <w:rsid w:val="008E5154"/>
    <w:rsid w:val="008E647B"/>
    <w:rsid w:val="008E6DFA"/>
    <w:rsid w:val="008E7197"/>
    <w:rsid w:val="008E7B61"/>
    <w:rsid w:val="008F0711"/>
    <w:rsid w:val="008F109A"/>
    <w:rsid w:val="008F218F"/>
    <w:rsid w:val="008F22CB"/>
    <w:rsid w:val="008F24C6"/>
    <w:rsid w:val="008F36F2"/>
    <w:rsid w:val="008F3AE2"/>
    <w:rsid w:val="008F6221"/>
    <w:rsid w:val="008F722B"/>
    <w:rsid w:val="008F777B"/>
    <w:rsid w:val="008F7CCE"/>
    <w:rsid w:val="0090037F"/>
    <w:rsid w:val="009010D8"/>
    <w:rsid w:val="00901EA6"/>
    <w:rsid w:val="0090232A"/>
    <w:rsid w:val="00903615"/>
    <w:rsid w:val="009057EF"/>
    <w:rsid w:val="009064E2"/>
    <w:rsid w:val="009077C7"/>
    <w:rsid w:val="009109D3"/>
    <w:rsid w:val="00910F84"/>
    <w:rsid w:val="0091220E"/>
    <w:rsid w:val="00914070"/>
    <w:rsid w:val="00914300"/>
    <w:rsid w:val="009144A9"/>
    <w:rsid w:val="0091465A"/>
    <w:rsid w:val="00914D2C"/>
    <w:rsid w:val="00914F94"/>
    <w:rsid w:val="00915558"/>
    <w:rsid w:val="009176B6"/>
    <w:rsid w:val="009176F3"/>
    <w:rsid w:val="00920216"/>
    <w:rsid w:val="00920463"/>
    <w:rsid w:val="009231E5"/>
    <w:rsid w:val="009233EE"/>
    <w:rsid w:val="009238C7"/>
    <w:rsid w:val="00923D68"/>
    <w:rsid w:val="009245CA"/>
    <w:rsid w:val="0092593F"/>
    <w:rsid w:val="00925EA9"/>
    <w:rsid w:val="009267A8"/>
    <w:rsid w:val="009269F1"/>
    <w:rsid w:val="00926E4D"/>
    <w:rsid w:val="00927B69"/>
    <w:rsid w:val="00927C60"/>
    <w:rsid w:val="00930B12"/>
    <w:rsid w:val="00932ACC"/>
    <w:rsid w:val="00933094"/>
    <w:rsid w:val="0093352D"/>
    <w:rsid w:val="00934551"/>
    <w:rsid w:val="0093639D"/>
    <w:rsid w:val="00936BA8"/>
    <w:rsid w:val="00936BD2"/>
    <w:rsid w:val="009376FF"/>
    <w:rsid w:val="00940185"/>
    <w:rsid w:val="0094070D"/>
    <w:rsid w:val="00940BCD"/>
    <w:rsid w:val="00941279"/>
    <w:rsid w:val="00942281"/>
    <w:rsid w:val="00943570"/>
    <w:rsid w:val="00943A66"/>
    <w:rsid w:val="009447F7"/>
    <w:rsid w:val="00944CC7"/>
    <w:rsid w:val="00944E2F"/>
    <w:rsid w:val="00945974"/>
    <w:rsid w:val="009462D5"/>
    <w:rsid w:val="0094637E"/>
    <w:rsid w:val="00946545"/>
    <w:rsid w:val="009468A5"/>
    <w:rsid w:val="009471A3"/>
    <w:rsid w:val="009521F8"/>
    <w:rsid w:val="0095288E"/>
    <w:rsid w:val="0095359A"/>
    <w:rsid w:val="00953AA1"/>
    <w:rsid w:val="00953DDB"/>
    <w:rsid w:val="0095456C"/>
    <w:rsid w:val="009547B3"/>
    <w:rsid w:val="00954B78"/>
    <w:rsid w:val="00954E8F"/>
    <w:rsid w:val="00956905"/>
    <w:rsid w:val="00957A03"/>
    <w:rsid w:val="00960160"/>
    <w:rsid w:val="00961291"/>
    <w:rsid w:val="009614C6"/>
    <w:rsid w:val="009626B8"/>
    <w:rsid w:val="00962BFB"/>
    <w:rsid w:val="00962E1C"/>
    <w:rsid w:val="0096349D"/>
    <w:rsid w:val="00964954"/>
    <w:rsid w:val="00964D3B"/>
    <w:rsid w:val="00964E15"/>
    <w:rsid w:val="009650F7"/>
    <w:rsid w:val="00966DEC"/>
    <w:rsid w:val="00972375"/>
    <w:rsid w:val="00974F95"/>
    <w:rsid w:val="0097673B"/>
    <w:rsid w:val="00980338"/>
    <w:rsid w:val="00982DAC"/>
    <w:rsid w:val="009830FD"/>
    <w:rsid w:val="00985DBC"/>
    <w:rsid w:val="00986B9B"/>
    <w:rsid w:val="00987B96"/>
    <w:rsid w:val="00987C7D"/>
    <w:rsid w:val="00987CBD"/>
    <w:rsid w:val="00990380"/>
    <w:rsid w:val="00991918"/>
    <w:rsid w:val="009921DB"/>
    <w:rsid w:val="00992347"/>
    <w:rsid w:val="00993A9E"/>
    <w:rsid w:val="009940EF"/>
    <w:rsid w:val="00994A8D"/>
    <w:rsid w:val="00994D06"/>
    <w:rsid w:val="00995430"/>
    <w:rsid w:val="00995E2D"/>
    <w:rsid w:val="00996089"/>
    <w:rsid w:val="0099699A"/>
    <w:rsid w:val="00996E75"/>
    <w:rsid w:val="009973E7"/>
    <w:rsid w:val="00997CF0"/>
    <w:rsid w:val="009A01E0"/>
    <w:rsid w:val="009A093F"/>
    <w:rsid w:val="009A0BBC"/>
    <w:rsid w:val="009A123D"/>
    <w:rsid w:val="009A25D1"/>
    <w:rsid w:val="009A2AA2"/>
    <w:rsid w:val="009A2C3A"/>
    <w:rsid w:val="009A3497"/>
    <w:rsid w:val="009A48E1"/>
    <w:rsid w:val="009A5060"/>
    <w:rsid w:val="009A5AFD"/>
    <w:rsid w:val="009A63C3"/>
    <w:rsid w:val="009A6EFD"/>
    <w:rsid w:val="009A7120"/>
    <w:rsid w:val="009A7D46"/>
    <w:rsid w:val="009B0DD2"/>
    <w:rsid w:val="009B1069"/>
    <w:rsid w:val="009B1AE7"/>
    <w:rsid w:val="009B1B18"/>
    <w:rsid w:val="009B2422"/>
    <w:rsid w:val="009B2467"/>
    <w:rsid w:val="009B250E"/>
    <w:rsid w:val="009B39DC"/>
    <w:rsid w:val="009B4C56"/>
    <w:rsid w:val="009B57A9"/>
    <w:rsid w:val="009B5EEC"/>
    <w:rsid w:val="009B61E7"/>
    <w:rsid w:val="009B7A51"/>
    <w:rsid w:val="009C1624"/>
    <w:rsid w:val="009C175E"/>
    <w:rsid w:val="009C308B"/>
    <w:rsid w:val="009C3DD4"/>
    <w:rsid w:val="009C42C0"/>
    <w:rsid w:val="009C4624"/>
    <w:rsid w:val="009C476F"/>
    <w:rsid w:val="009C47AF"/>
    <w:rsid w:val="009C5609"/>
    <w:rsid w:val="009C6D87"/>
    <w:rsid w:val="009C6E72"/>
    <w:rsid w:val="009D0B6E"/>
    <w:rsid w:val="009D1793"/>
    <w:rsid w:val="009D184E"/>
    <w:rsid w:val="009D33FD"/>
    <w:rsid w:val="009D3C3F"/>
    <w:rsid w:val="009D4B28"/>
    <w:rsid w:val="009D4D67"/>
    <w:rsid w:val="009D635B"/>
    <w:rsid w:val="009D66DC"/>
    <w:rsid w:val="009D6772"/>
    <w:rsid w:val="009D7F6F"/>
    <w:rsid w:val="009E0393"/>
    <w:rsid w:val="009E07D3"/>
    <w:rsid w:val="009E10A4"/>
    <w:rsid w:val="009E1248"/>
    <w:rsid w:val="009E1A36"/>
    <w:rsid w:val="009E30FD"/>
    <w:rsid w:val="009E36FA"/>
    <w:rsid w:val="009E3B56"/>
    <w:rsid w:val="009E3F39"/>
    <w:rsid w:val="009F06F2"/>
    <w:rsid w:val="009F201F"/>
    <w:rsid w:val="009F4443"/>
    <w:rsid w:val="009F4750"/>
    <w:rsid w:val="009F50CA"/>
    <w:rsid w:val="009F5A44"/>
    <w:rsid w:val="009F635E"/>
    <w:rsid w:val="00A024C0"/>
    <w:rsid w:val="00A02C5D"/>
    <w:rsid w:val="00A02D6F"/>
    <w:rsid w:val="00A02EE4"/>
    <w:rsid w:val="00A03769"/>
    <w:rsid w:val="00A03900"/>
    <w:rsid w:val="00A04B76"/>
    <w:rsid w:val="00A06C0D"/>
    <w:rsid w:val="00A07536"/>
    <w:rsid w:val="00A11323"/>
    <w:rsid w:val="00A11721"/>
    <w:rsid w:val="00A11D35"/>
    <w:rsid w:val="00A11F41"/>
    <w:rsid w:val="00A139A8"/>
    <w:rsid w:val="00A13E53"/>
    <w:rsid w:val="00A140D3"/>
    <w:rsid w:val="00A1446B"/>
    <w:rsid w:val="00A14BB5"/>
    <w:rsid w:val="00A167F2"/>
    <w:rsid w:val="00A179E5"/>
    <w:rsid w:val="00A17EFE"/>
    <w:rsid w:val="00A20C78"/>
    <w:rsid w:val="00A212E6"/>
    <w:rsid w:val="00A218F8"/>
    <w:rsid w:val="00A22139"/>
    <w:rsid w:val="00A23128"/>
    <w:rsid w:val="00A2312E"/>
    <w:rsid w:val="00A24323"/>
    <w:rsid w:val="00A2512C"/>
    <w:rsid w:val="00A2515B"/>
    <w:rsid w:val="00A2588E"/>
    <w:rsid w:val="00A26EDF"/>
    <w:rsid w:val="00A27A19"/>
    <w:rsid w:val="00A31414"/>
    <w:rsid w:val="00A318C2"/>
    <w:rsid w:val="00A31E49"/>
    <w:rsid w:val="00A3259F"/>
    <w:rsid w:val="00A337D2"/>
    <w:rsid w:val="00A34789"/>
    <w:rsid w:val="00A34ABD"/>
    <w:rsid w:val="00A34EE3"/>
    <w:rsid w:val="00A359BA"/>
    <w:rsid w:val="00A35B35"/>
    <w:rsid w:val="00A3630E"/>
    <w:rsid w:val="00A367A3"/>
    <w:rsid w:val="00A3761E"/>
    <w:rsid w:val="00A37BB8"/>
    <w:rsid w:val="00A405A3"/>
    <w:rsid w:val="00A41249"/>
    <w:rsid w:val="00A41FF8"/>
    <w:rsid w:val="00A42378"/>
    <w:rsid w:val="00A42D87"/>
    <w:rsid w:val="00A43FE8"/>
    <w:rsid w:val="00A447F9"/>
    <w:rsid w:val="00A44BD3"/>
    <w:rsid w:val="00A4521D"/>
    <w:rsid w:val="00A467D8"/>
    <w:rsid w:val="00A46D6F"/>
    <w:rsid w:val="00A50211"/>
    <w:rsid w:val="00A50220"/>
    <w:rsid w:val="00A50C67"/>
    <w:rsid w:val="00A51DA9"/>
    <w:rsid w:val="00A51F0A"/>
    <w:rsid w:val="00A52807"/>
    <w:rsid w:val="00A53FFC"/>
    <w:rsid w:val="00A54EF2"/>
    <w:rsid w:val="00A55139"/>
    <w:rsid w:val="00A557E6"/>
    <w:rsid w:val="00A55D48"/>
    <w:rsid w:val="00A56165"/>
    <w:rsid w:val="00A5616C"/>
    <w:rsid w:val="00A56D17"/>
    <w:rsid w:val="00A57092"/>
    <w:rsid w:val="00A5740D"/>
    <w:rsid w:val="00A57BEB"/>
    <w:rsid w:val="00A57FB9"/>
    <w:rsid w:val="00A612FC"/>
    <w:rsid w:val="00A61673"/>
    <w:rsid w:val="00A63A4D"/>
    <w:rsid w:val="00A63CA9"/>
    <w:rsid w:val="00A64926"/>
    <w:rsid w:val="00A665CF"/>
    <w:rsid w:val="00A677F4"/>
    <w:rsid w:val="00A67CA7"/>
    <w:rsid w:val="00A7252A"/>
    <w:rsid w:val="00A72C8E"/>
    <w:rsid w:val="00A73989"/>
    <w:rsid w:val="00A739D3"/>
    <w:rsid w:val="00A744D3"/>
    <w:rsid w:val="00A74D4F"/>
    <w:rsid w:val="00A7730E"/>
    <w:rsid w:val="00A7752F"/>
    <w:rsid w:val="00A80386"/>
    <w:rsid w:val="00A83791"/>
    <w:rsid w:val="00A8467D"/>
    <w:rsid w:val="00A84E67"/>
    <w:rsid w:val="00A8565B"/>
    <w:rsid w:val="00A859F4"/>
    <w:rsid w:val="00A85C35"/>
    <w:rsid w:val="00A874E4"/>
    <w:rsid w:val="00A879F5"/>
    <w:rsid w:val="00A87B5A"/>
    <w:rsid w:val="00A90138"/>
    <w:rsid w:val="00A91383"/>
    <w:rsid w:val="00A92061"/>
    <w:rsid w:val="00A92379"/>
    <w:rsid w:val="00A92FAC"/>
    <w:rsid w:val="00A94249"/>
    <w:rsid w:val="00A944B1"/>
    <w:rsid w:val="00A94914"/>
    <w:rsid w:val="00A94BC9"/>
    <w:rsid w:val="00A959BC"/>
    <w:rsid w:val="00A97995"/>
    <w:rsid w:val="00AA02CC"/>
    <w:rsid w:val="00AA12E9"/>
    <w:rsid w:val="00AA1BCD"/>
    <w:rsid w:val="00AA3C60"/>
    <w:rsid w:val="00AA4AA8"/>
    <w:rsid w:val="00AA51D2"/>
    <w:rsid w:val="00AA632D"/>
    <w:rsid w:val="00AA71DD"/>
    <w:rsid w:val="00AB101C"/>
    <w:rsid w:val="00AB1EA3"/>
    <w:rsid w:val="00AB21EA"/>
    <w:rsid w:val="00AB2A4B"/>
    <w:rsid w:val="00AB2FF4"/>
    <w:rsid w:val="00AB30FD"/>
    <w:rsid w:val="00AB3855"/>
    <w:rsid w:val="00AB5F9C"/>
    <w:rsid w:val="00AB7CB5"/>
    <w:rsid w:val="00AC0048"/>
    <w:rsid w:val="00AC0166"/>
    <w:rsid w:val="00AC0A8D"/>
    <w:rsid w:val="00AC0DC7"/>
    <w:rsid w:val="00AC1AD6"/>
    <w:rsid w:val="00AC1DBB"/>
    <w:rsid w:val="00AC1EA3"/>
    <w:rsid w:val="00AC2103"/>
    <w:rsid w:val="00AC5A3F"/>
    <w:rsid w:val="00AC693A"/>
    <w:rsid w:val="00AC7B85"/>
    <w:rsid w:val="00AD10F2"/>
    <w:rsid w:val="00AD26B7"/>
    <w:rsid w:val="00AD37E2"/>
    <w:rsid w:val="00AD3E95"/>
    <w:rsid w:val="00AD4576"/>
    <w:rsid w:val="00AD4ADA"/>
    <w:rsid w:val="00AD4AFB"/>
    <w:rsid w:val="00AD5F6D"/>
    <w:rsid w:val="00AD64DF"/>
    <w:rsid w:val="00AD68B0"/>
    <w:rsid w:val="00AD72A7"/>
    <w:rsid w:val="00AE029E"/>
    <w:rsid w:val="00AE08EA"/>
    <w:rsid w:val="00AE1025"/>
    <w:rsid w:val="00AE15EE"/>
    <w:rsid w:val="00AE1E46"/>
    <w:rsid w:val="00AE25C8"/>
    <w:rsid w:val="00AE3F03"/>
    <w:rsid w:val="00AE5552"/>
    <w:rsid w:val="00AE5B38"/>
    <w:rsid w:val="00AE5F2F"/>
    <w:rsid w:val="00AE64F0"/>
    <w:rsid w:val="00AE6F10"/>
    <w:rsid w:val="00AE78A6"/>
    <w:rsid w:val="00AF050B"/>
    <w:rsid w:val="00AF07F6"/>
    <w:rsid w:val="00AF23C8"/>
    <w:rsid w:val="00AF2745"/>
    <w:rsid w:val="00AF2AE2"/>
    <w:rsid w:val="00AF50A1"/>
    <w:rsid w:val="00AF5185"/>
    <w:rsid w:val="00AF5B11"/>
    <w:rsid w:val="00B001BB"/>
    <w:rsid w:val="00B0170A"/>
    <w:rsid w:val="00B01C37"/>
    <w:rsid w:val="00B01E19"/>
    <w:rsid w:val="00B0377E"/>
    <w:rsid w:val="00B050ED"/>
    <w:rsid w:val="00B05E0C"/>
    <w:rsid w:val="00B06026"/>
    <w:rsid w:val="00B06A20"/>
    <w:rsid w:val="00B06DE0"/>
    <w:rsid w:val="00B07BA9"/>
    <w:rsid w:val="00B10055"/>
    <w:rsid w:val="00B1141E"/>
    <w:rsid w:val="00B1278B"/>
    <w:rsid w:val="00B12BDE"/>
    <w:rsid w:val="00B13131"/>
    <w:rsid w:val="00B17295"/>
    <w:rsid w:val="00B201CF"/>
    <w:rsid w:val="00B20CBD"/>
    <w:rsid w:val="00B2114B"/>
    <w:rsid w:val="00B215F5"/>
    <w:rsid w:val="00B219EE"/>
    <w:rsid w:val="00B21CEC"/>
    <w:rsid w:val="00B22C77"/>
    <w:rsid w:val="00B23899"/>
    <w:rsid w:val="00B24721"/>
    <w:rsid w:val="00B254FA"/>
    <w:rsid w:val="00B267A9"/>
    <w:rsid w:val="00B27A54"/>
    <w:rsid w:val="00B30783"/>
    <w:rsid w:val="00B307CB"/>
    <w:rsid w:val="00B31240"/>
    <w:rsid w:val="00B31AFA"/>
    <w:rsid w:val="00B31B35"/>
    <w:rsid w:val="00B3347C"/>
    <w:rsid w:val="00B3465B"/>
    <w:rsid w:val="00B37899"/>
    <w:rsid w:val="00B37F64"/>
    <w:rsid w:val="00B41C62"/>
    <w:rsid w:val="00B41F0F"/>
    <w:rsid w:val="00B423A1"/>
    <w:rsid w:val="00B42560"/>
    <w:rsid w:val="00B42706"/>
    <w:rsid w:val="00B42EBB"/>
    <w:rsid w:val="00B439D3"/>
    <w:rsid w:val="00B455AA"/>
    <w:rsid w:val="00B45778"/>
    <w:rsid w:val="00B457A1"/>
    <w:rsid w:val="00B45A94"/>
    <w:rsid w:val="00B4630F"/>
    <w:rsid w:val="00B464B1"/>
    <w:rsid w:val="00B47A4A"/>
    <w:rsid w:val="00B47B99"/>
    <w:rsid w:val="00B506F2"/>
    <w:rsid w:val="00B50EB4"/>
    <w:rsid w:val="00B510E3"/>
    <w:rsid w:val="00B512FD"/>
    <w:rsid w:val="00B516B3"/>
    <w:rsid w:val="00B521AC"/>
    <w:rsid w:val="00B52702"/>
    <w:rsid w:val="00B5278B"/>
    <w:rsid w:val="00B54972"/>
    <w:rsid w:val="00B5498D"/>
    <w:rsid w:val="00B54FF8"/>
    <w:rsid w:val="00B5501D"/>
    <w:rsid w:val="00B60C6E"/>
    <w:rsid w:val="00B6151E"/>
    <w:rsid w:val="00B62788"/>
    <w:rsid w:val="00B64735"/>
    <w:rsid w:val="00B64962"/>
    <w:rsid w:val="00B6542D"/>
    <w:rsid w:val="00B66BBB"/>
    <w:rsid w:val="00B676EC"/>
    <w:rsid w:val="00B7016C"/>
    <w:rsid w:val="00B7039B"/>
    <w:rsid w:val="00B70C2C"/>
    <w:rsid w:val="00B72472"/>
    <w:rsid w:val="00B745C1"/>
    <w:rsid w:val="00B74D1E"/>
    <w:rsid w:val="00B75323"/>
    <w:rsid w:val="00B75359"/>
    <w:rsid w:val="00B7677B"/>
    <w:rsid w:val="00B76A18"/>
    <w:rsid w:val="00B7728C"/>
    <w:rsid w:val="00B772B6"/>
    <w:rsid w:val="00B77CF0"/>
    <w:rsid w:val="00B77DF8"/>
    <w:rsid w:val="00B800C2"/>
    <w:rsid w:val="00B81894"/>
    <w:rsid w:val="00B837D7"/>
    <w:rsid w:val="00B8484C"/>
    <w:rsid w:val="00B84C6C"/>
    <w:rsid w:val="00B85298"/>
    <w:rsid w:val="00B8599E"/>
    <w:rsid w:val="00B86498"/>
    <w:rsid w:val="00B869BC"/>
    <w:rsid w:val="00B87D3B"/>
    <w:rsid w:val="00B90F09"/>
    <w:rsid w:val="00B91495"/>
    <w:rsid w:val="00B92687"/>
    <w:rsid w:val="00B936BB"/>
    <w:rsid w:val="00B94248"/>
    <w:rsid w:val="00B942A1"/>
    <w:rsid w:val="00B94A08"/>
    <w:rsid w:val="00B94B4F"/>
    <w:rsid w:val="00B976F6"/>
    <w:rsid w:val="00BA1959"/>
    <w:rsid w:val="00BA2024"/>
    <w:rsid w:val="00BA33C2"/>
    <w:rsid w:val="00BA3E96"/>
    <w:rsid w:val="00BA3FAD"/>
    <w:rsid w:val="00BA4D80"/>
    <w:rsid w:val="00BA5A8D"/>
    <w:rsid w:val="00BA5DD1"/>
    <w:rsid w:val="00BA5F41"/>
    <w:rsid w:val="00BA70D6"/>
    <w:rsid w:val="00BA7385"/>
    <w:rsid w:val="00BB0E6B"/>
    <w:rsid w:val="00BB13C4"/>
    <w:rsid w:val="00BB183D"/>
    <w:rsid w:val="00BB187C"/>
    <w:rsid w:val="00BB1A65"/>
    <w:rsid w:val="00BB1B12"/>
    <w:rsid w:val="00BB1DF7"/>
    <w:rsid w:val="00BB296B"/>
    <w:rsid w:val="00BB3622"/>
    <w:rsid w:val="00BB382B"/>
    <w:rsid w:val="00BB55B0"/>
    <w:rsid w:val="00BB682C"/>
    <w:rsid w:val="00BB76E0"/>
    <w:rsid w:val="00BB7CA9"/>
    <w:rsid w:val="00BC046B"/>
    <w:rsid w:val="00BC157F"/>
    <w:rsid w:val="00BC236B"/>
    <w:rsid w:val="00BC2BB4"/>
    <w:rsid w:val="00BC3336"/>
    <w:rsid w:val="00BC3F64"/>
    <w:rsid w:val="00BC4179"/>
    <w:rsid w:val="00BC4FF1"/>
    <w:rsid w:val="00BC65D9"/>
    <w:rsid w:val="00BC6692"/>
    <w:rsid w:val="00BC66EB"/>
    <w:rsid w:val="00BC69A0"/>
    <w:rsid w:val="00BC74E1"/>
    <w:rsid w:val="00BC7606"/>
    <w:rsid w:val="00BC7C52"/>
    <w:rsid w:val="00BD0CF6"/>
    <w:rsid w:val="00BD1471"/>
    <w:rsid w:val="00BD14C5"/>
    <w:rsid w:val="00BD196A"/>
    <w:rsid w:val="00BD2081"/>
    <w:rsid w:val="00BD2311"/>
    <w:rsid w:val="00BD319E"/>
    <w:rsid w:val="00BD5364"/>
    <w:rsid w:val="00BD5680"/>
    <w:rsid w:val="00BD5C4D"/>
    <w:rsid w:val="00BD6262"/>
    <w:rsid w:val="00BD7ACD"/>
    <w:rsid w:val="00BE18B0"/>
    <w:rsid w:val="00BE20B4"/>
    <w:rsid w:val="00BE31AE"/>
    <w:rsid w:val="00BE3DD5"/>
    <w:rsid w:val="00BE44F4"/>
    <w:rsid w:val="00BE4C48"/>
    <w:rsid w:val="00BE5B38"/>
    <w:rsid w:val="00BE5D77"/>
    <w:rsid w:val="00BE61C1"/>
    <w:rsid w:val="00BE6494"/>
    <w:rsid w:val="00BE64AF"/>
    <w:rsid w:val="00BE6717"/>
    <w:rsid w:val="00BE6E24"/>
    <w:rsid w:val="00BE72A5"/>
    <w:rsid w:val="00BF0031"/>
    <w:rsid w:val="00BF0381"/>
    <w:rsid w:val="00BF13E5"/>
    <w:rsid w:val="00BF25A7"/>
    <w:rsid w:val="00BF41A2"/>
    <w:rsid w:val="00BF6162"/>
    <w:rsid w:val="00BF6615"/>
    <w:rsid w:val="00BF6E7B"/>
    <w:rsid w:val="00C01021"/>
    <w:rsid w:val="00C0141F"/>
    <w:rsid w:val="00C0171D"/>
    <w:rsid w:val="00C0311C"/>
    <w:rsid w:val="00C0368B"/>
    <w:rsid w:val="00C0393F"/>
    <w:rsid w:val="00C03D7C"/>
    <w:rsid w:val="00C048AF"/>
    <w:rsid w:val="00C05FDB"/>
    <w:rsid w:val="00C077E0"/>
    <w:rsid w:val="00C07DE6"/>
    <w:rsid w:val="00C119F8"/>
    <w:rsid w:val="00C154B5"/>
    <w:rsid w:val="00C15E32"/>
    <w:rsid w:val="00C17872"/>
    <w:rsid w:val="00C203B3"/>
    <w:rsid w:val="00C205E9"/>
    <w:rsid w:val="00C212FC"/>
    <w:rsid w:val="00C23107"/>
    <w:rsid w:val="00C23F48"/>
    <w:rsid w:val="00C2421F"/>
    <w:rsid w:val="00C262BD"/>
    <w:rsid w:val="00C310C2"/>
    <w:rsid w:val="00C3273E"/>
    <w:rsid w:val="00C329C9"/>
    <w:rsid w:val="00C32BFE"/>
    <w:rsid w:val="00C33329"/>
    <w:rsid w:val="00C33345"/>
    <w:rsid w:val="00C352BA"/>
    <w:rsid w:val="00C36281"/>
    <w:rsid w:val="00C362E2"/>
    <w:rsid w:val="00C364FB"/>
    <w:rsid w:val="00C36525"/>
    <w:rsid w:val="00C36EA2"/>
    <w:rsid w:val="00C37BEC"/>
    <w:rsid w:val="00C402AB"/>
    <w:rsid w:val="00C405D2"/>
    <w:rsid w:val="00C40E53"/>
    <w:rsid w:val="00C40EB3"/>
    <w:rsid w:val="00C41BD9"/>
    <w:rsid w:val="00C41E1D"/>
    <w:rsid w:val="00C434FD"/>
    <w:rsid w:val="00C4374A"/>
    <w:rsid w:val="00C44778"/>
    <w:rsid w:val="00C44FF6"/>
    <w:rsid w:val="00C46918"/>
    <w:rsid w:val="00C4699C"/>
    <w:rsid w:val="00C471B9"/>
    <w:rsid w:val="00C472BE"/>
    <w:rsid w:val="00C47AC7"/>
    <w:rsid w:val="00C5143D"/>
    <w:rsid w:val="00C5192E"/>
    <w:rsid w:val="00C52DE6"/>
    <w:rsid w:val="00C5308D"/>
    <w:rsid w:val="00C546EC"/>
    <w:rsid w:val="00C54B93"/>
    <w:rsid w:val="00C56C36"/>
    <w:rsid w:val="00C6016B"/>
    <w:rsid w:val="00C604E1"/>
    <w:rsid w:val="00C616FE"/>
    <w:rsid w:val="00C618B0"/>
    <w:rsid w:val="00C61CD5"/>
    <w:rsid w:val="00C634A7"/>
    <w:rsid w:val="00C636FC"/>
    <w:rsid w:val="00C638D7"/>
    <w:rsid w:val="00C638DF"/>
    <w:rsid w:val="00C6447F"/>
    <w:rsid w:val="00C64719"/>
    <w:rsid w:val="00C64720"/>
    <w:rsid w:val="00C64822"/>
    <w:rsid w:val="00C6517F"/>
    <w:rsid w:val="00C65190"/>
    <w:rsid w:val="00C659A5"/>
    <w:rsid w:val="00C65CC9"/>
    <w:rsid w:val="00C66F8A"/>
    <w:rsid w:val="00C673AC"/>
    <w:rsid w:val="00C67BA6"/>
    <w:rsid w:val="00C70DA3"/>
    <w:rsid w:val="00C716E7"/>
    <w:rsid w:val="00C71920"/>
    <w:rsid w:val="00C72A63"/>
    <w:rsid w:val="00C7370E"/>
    <w:rsid w:val="00C7376C"/>
    <w:rsid w:val="00C74D53"/>
    <w:rsid w:val="00C74E6A"/>
    <w:rsid w:val="00C77A6E"/>
    <w:rsid w:val="00C80903"/>
    <w:rsid w:val="00C80AE4"/>
    <w:rsid w:val="00C810EC"/>
    <w:rsid w:val="00C81156"/>
    <w:rsid w:val="00C816A2"/>
    <w:rsid w:val="00C84BAF"/>
    <w:rsid w:val="00C857F1"/>
    <w:rsid w:val="00C871C4"/>
    <w:rsid w:val="00C8760A"/>
    <w:rsid w:val="00C876CD"/>
    <w:rsid w:val="00C8771B"/>
    <w:rsid w:val="00C90414"/>
    <w:rsid w:val="00C904E5"/>
    <w:rsid w:val="00C90732"/>
    <w:rsid w:val="00C90C3F"/>
    <w:rsid w:val="00C918FD"/>
    <w:rsid w:val="00C925DB"/>
    <w:rsid w:val="00C934CC"/>
    <w:rsid w:val="00C9483E"/>
    <w:rsid w:val="00C94A27"/>
    <w:rsid w:val="00C94B30"/>
    <w:rsid w:val="00CA0FE3"/>
    <w:rsid w:val="00CA1130"/>
    <w:rsid w:val="00CA29DE"/>
    <w:rsid w:val="00CA3497"/>
    <w:rsid w:val="00CA415F"/>
    <w:rsid w:val="00CA5B40"/>
    <w:rsid w:val="00CA5EA7"/>
    <w:rsid w:val="00CA68DE"/>
    <w:rsid w:val="00CA7157"/>
    <w:rsid w:val="00CA7C01"/>
    <w:rsid w:val="00CB026C"/>
    <w:rsid w:val="00CB13A4"/>
    <w:rsid w:val="00CB1B46"/>
    <w:rsid w:val="00CB1EAE"/>
    <w:rsid w:val="00CB27E4"/>
    <w:rsid w:val="00CB2C14"/>
    <w:rsid w:val="00CB3357"/>
    <w:rsid w:val="00CB44A4"/>
    <w:rsid w:val="00CB44F2"/>
    <w:rsid w:val="00CB55CC"/>
    <w:rsid w:val="00CB5A49"/>
    <w:rsid w:val="00CB5C15"/>
    <w:rsid w:val="00CB5CC5"/>
    <w:rsid w:val="00CB6685"/>
    <w:rsid w:val="00CB678B"/>
    <w:rsid w:val="00CB6D40"/>
    <w:rsid w:val="00CB7D72"/>
    <w:rsid w:val="00CC0293"/>
    <w:rsid w:val="00CC1228"/>
    <w:rsid w:val="00CC1A21"/>
    <w:rsid w:val="00CC1DD0"/>
    <w:rsid w:val="00CC26D8"/>
    <w:rsid w:val="00CC2E01"/>
    <w:rsid w:val="00CC2E6C"/>
    <w:rsid w:val="00CC31BC"/>
    <w:rsid w:val="00CC36A2"/>
    <w:rsid w:val="00CC3F62"/>
    <w:rsid w:val="00CC5820"/>
    <w:rsid w:val="00CC6358"/>
    <w:rsid w:val="00CC66DE"/>
    <w:rsid w:val="00CC68FD"/>
    <w:rsid w:val="00CC7096"/>
    <w:rsid w:val="00CC7C0C"/>
    <w:rsid w:val="00CC7F2E"/>
    <w:rsid w:val="00CD0A27"/>
    <w:rsid w:val="00CD116D"/>
    <w:rsid w:val="00CD1201"/>
    <w:rsid w:val="00CD1DD6"/>
    <w:rsid w:val="00CD2180"/>
    <w:rsid w:val="00CD220D"/>
    <w:rsid w:val="00CD44BD"/>
    <w:rsid w:val="00CD4A40"/>
    <w:rsid w:val="00CD4EF7"/>
    <w:rsid w:val="00CD6FBA"/>
    <w:rsid w:val="00CD75E3"/>
    <w:rsid w:val="00CE21A0"/>
    <w:rsid w:val="00CE2627"/>
    <w:rsid w:val="00CE275B"/>
    <w:rsid w:val="00CE2EB2"/>
    <w:rsid w:val="00CE3D8C"/>
    <w:rsid w:val="00CE482D"/>
    <w:rsid w:val="00CE525D"/>
    <w:rsid w:val="00CE5B2F"/>
    <w:rsid w:val="00CE5C99"/>
    <w:rsid w:val="00CE5D9A"/>
    <w:rsid w:val="00CE6F74"/>
    <w:rsid w:val="00CE72C5"/>
    <w:rsid w:val="00CE7E2F"/>
    <w:rsid w:val="00CF10A7"/>
    <w:rsid w:val="00CF23EE"/>
    <w:rsid w:val="00CF46C5"/>
    <w:rsid w:val="00CF5350"/>
    <w:rsid w:val="00CF5E02"/>
    <w:rsid w:val="00D0277E"/>
    <w:rsid w:val="00D0425C"/>
    <w:rsid w:val="00D0551C"/>
    <w:rsid w:val="00D057B1"/>
    <w:rsid w:val="00D0766A"/>
    <w:rsid w:val="00D0783A"/>
    <w:rsid w:val="00D11357"/>
    <w:rsid w:val="00D11D17"/>
    <w:rsid w:val="00D124FD"/>
    <w:rsid w:val="00D126F7"/>
    <w:rsid w:val="00D129F5"/>
    <w:rsid w:val="00D12ED9"/>
    <w:rsid w:val="00D131DA"/>
    <w:rsid w:val="00D13B51"/>
    <w:rsid w:val="00D14141"/>
    <w:rsid w:val="00D141DD"/>
    <w:rsid w:val="00D1494A"/>
    <w:rsid w:val="00D15414"/>
    <w:rsid w:val="00D2082A"/>
    <w:rsid w:val="00D20C5B"/>
    <w:rsid w:val="00D21407"/>
    <w:rsid w:val="00D21887"/>
    <w:rsid w:val="00D225B5"/>
    <w:rsid w:val="00D22E93"/>
    <w:rsid w:val="00D235C5"/>
    <w:rsid w:val="00D23E52"/>
    <w:rsid w:val="00D240A3"/>
    <w:rsid w:val="00D2578C"/>
    <w:rsid w:val="00D266DE"/>
    <w:rsid w:val="00D27B70"/>
    <w:rsid w:val="00D27F5A"/>
    <w:rsid w:val="00D30333"/>
    <w:rsid w:val="00D312A0"/>
    <w:rsid w:val="00D31689"/>
    <w:rsid w:val="00D329AE"/>
    <w:rsid w:val="00D355E8"/>
    <w:rsid w:val="00D3603E"/>
    <w:rsid w:val="00D41A3F"/>
    <w:rsid w:val="00D41B0E"/>
    <w:rsid w:val="00D439A1"/>
    <w:rsid w:val="00D43DD6"/>
    <w:rsid w:val="00D44292"/>
    <w:rsid w:val="00D51C2C"/>
    <w:rsid w:val="00D54017"/>
    <w:rsid w:val="00D55422"/>
    <w:rsid w:val="00D5545A"/>
    <w:rsid w:val="00D55A36"/>
    <w:rsid w:val="00D5627B"/>
    <w:rsid w:val="00D5689A"/>
    <w:rsid w:val="00D57072"/>
    <w:rsid w:val="00D5762E"/>
    <w:rsid w:val="00D61249"/>
    <w:rsid w:val="00D61AE5"/>
    <w:rsid w:val="00D62A30"/>
    <w:rsid w:val="00D638BA"/>
    <w:rsid w:val="00D6444E"/>
    <w:rsid w:val="00D64636"/>
    <w:rsid w:val="00D646B0"/>
    <w:rsid w:val="00D64E69"/>
    <w:rsid w:val="00D668E4"/>
    <w:rsid w:val="00D66AF0"/>
    <w:rsid w:val="00D67466"/>
    <w:rsid w:val="00D67CF6"/>
    <w:rsid w:val="00D7047B"/>
    <w:rsid w:val="00D710F8"/>
    <w:rsid w:val="00D729A9"/>
    <w:rsid w:val="00D72A7C"/>
    <w:rsid w:val="00D73906"/>
    <w:rsid w:val="00D73AA8"/>
    <w:rsid w:val="00D741F4"/>
    <w:rsid w:val="00D74B9E"/>
    <w:rsid w:val="00D74C9C"/>
    <w:rsid w:val="00D74FEC"/>
    <w:rsid w:val="00D75505"/>
    <w:rsid w:val="00D75716"/>
    <w:rsid w:val="00D757F6"/>
    <w:rsid w:val="00D76142"/>
    <w:rsid w:val="00D76695"/>
    <w:rsid w:val="00D76BA2"/>
    <w:rsid w:val="00D7709B"/>
    <w:rsid w:val="00D77DAB"/>
    <w:rsid w:val="00D80678"/>
    <w:rsid w:val="00D81375"/>
    <w:rsid w:val="00D81BE5"/>
    <w:rsid w:val="00D8228F"/>
    <w:rsid w:val="00D83CB1"/>
    <w:rsid w:val="00D83E61"/>
    <w:rsid w:val="00D859F0"/>
    <w:rsid w:val="00D85CD8"/>
    <w:rsid w:val="00D862DA"/>
    <w:rsid w:val="00D8640C"/>
    <w:rsid w:val="00D86456"/>
    <w:rsid w:val="00D86FB7"/>
    <w:rsid w:val="00D870BD"/>
    <w:rsid w:val="00D9060E"/>
    <w:rsid w:val="00D90E49"/>
    <w:rsid w:val="00D90ED8"/>
    <w:rsid w:val="00D91E00"/>
    <w:rsid w:val="00D93D27"/>
    <w:rsid w:val="00D9526E"/>
    <w:rsid w:val="00D962D6"/>
    <w:rsid w:val="00D975A7"/>
    <w:rsid w:val="00D97D11"/>
    <w:rsid w:val="00D97E19"/>
    <w:rsid w:val="00DA00BE"/>
    <w:rsid w:val="00DA01BE"/>
    <w:rsid w:val="00DA01D6"/>
    <w:rsid w:val="00DA0E4C"/>
    <w:rsid w:val="00DA1450"/>
    <w:rsid w:val="00DA3D7B"/>
    <w:rsid w:val="00DA503E"/>
    <w:rsid w:val="00DA5A66"/>
    <w:rsid w:val="00DA6721"/>
    <w:rsid w:val="00DA690E"/>
    <w:rsid w:val="00DA6AA5"/>
    <w:rsid w:val="00DA6AF7"/>
    <w:rsid w:val="00DA7189"/>
    <w:rsid w:val="00DA7370"/>
    <w:rsid w:val="00DA7638"/>
    <w:rsid w:val="00DA7FBB"/>
    <w:rsid w:val="00DB1190"/>
    <w:rsid w:val="00DB1890"/>
    <w:rsid w:val="00DB39FB"/>
    <w:rsid w:val="00DB3C6B"/>
    <w:rsid w:val="00DB4590"/>
    <w:rsid w:val="00DB4594"/>
    <w:rsid w:val="00DB4AA3"/>
    <w:rsid w:val="00DB5D96"/>
    <w:rsid w:val="00DB6701"/>
    <w:rsid w:val="00DB68FF"/>
    <w:rsid w:val="00DB7230"/>
    <w:rsid w:val="00DC21DA"/>
    <w:rsid w:val="00DC3137"/>
    <w:rsid w:val="00DC32BA"/>
    <w:rsid w:val="00DC5877"/>
    <w:rsid w:val="00DC5F60"/>
    <w:rsid w:val="00DC5FD8"/>
    <w:rsid w:val="00DC640E"/>
    <w:rsid w:val="00DC6D44"/>
    <w:rsid w:val="00DC755F"/>
    <w:rsid w:val="00DD00F4"/>
    <w:rsid w:val="00DD0EB8"/>
    <w:rsid w:val="00DD3ADA"/>
    <w:rsid w:val="00DD3F70"/>
    <w:rsid w:val="00DD62D9"/>
    <w:rsid w:val="00DD6537"/>
    <w:rsid w:val="00DD6667"/>
    <w:rsid w:val="00DD6BA4"/>
    <w:rsid w:val="00DD6EBD"/>
    <w:rsid w:val="00DD74A2"/>
    <w:rsid w:val="00DE10FA"/>
    <w:rsid w:val="00DE35BF"/>
    <w:rsid w:val="00DE383B"/>
    <w:rsid w:val="00DE4276"/>
    <w:rsid w:val="00DE49BE"/>
    <w:rsid w:val="00DE649F"/>
    <w:rsid w:val="00DE6576"/>
    <w:rsid w:val="00DE73C9"/>
    <w:rsid w:val="00DF0692"/>
    <w:rsid w:val="00DF362F"/>
    <w:rsid w:val="00DF3768"/>
    <w:rsid w:val="00DF37C2"/>
    <w:rsid w:val="00DF3E1E"/>
    <w:rsid w:val="00DF4614"/>
    <w:rsid w:val="00DF5630"/>
    <w:rsid w:val="00DF5BEF"/>
    <w:rsid w:val="00DF6D10"/>
    <w:rsid w:val="00DF7B25"/>
    <w:rsid w:val="00DF7BB5"/>
    <w:rsid w:val="00DF7BD7"/>
    <w:rsid w:val="00E00B67"/>
    <w:rsid w:val="00E020F4"/>
    <w:rsid w:val="00E02E6E"/>
    <w:rsid w:val="00E037BD"/>
    <w:rsid w:val="00E04529"/>
    <w:rsid w:val="00E0487F"/>
    <w:rsid w:val="00E059A7"/>
    <w:rsid w:val="00E06723"/>
    <w:rsid w:val="00E12046"/>
    <w:rsid w:val="00E130BE"/>
    <w:rsid w:val="00E134F1"/>
    <w:rsid w:val="00E135A1"/>
    <w:rsid w:val="00E13D34"/>
    <w:rsid w:val="00E13D74"/>
    <w:rsid w:val="00E1496E"/>
    <w:rsid w:val="00E15468"/>
    <w:rsid w:val="00E15B6A"/>
    <w:rsid w:val="00E15C9A"/>
    <w:rsid w:val="00E1666B"/>
    <w:rsid w:val="00E16ADB"/>
    <w:rsid w:val="00E16EF1"/>
    <w:rsid w:val="00E17256"/>
    <w:rsid w:val="00E174C7"/>
    <w:rsid w:val="00E177A0"/>
    <w:rsid w:val="00E17F63"/>
    <w:rsid w:val="00E20BA1"/>
    <w:rsid w:val="00E22D22"/>
    <w:rsid w:val="00E258E0"/>
    <w:rsid w:val="00E25A9A"/>
    <w:rsid w:val="00E277C0"/>
    <w:rsid w:val="00E30449"/>
    <w:rsid w:val="00E30574"/>
    <w:rsid w:val="00E3070F"/>
    <w:rsid w:val="00E3216E"/>
    <w:rsid w:val="00E32D85"/>
    <w:rsid w:val="00E35DB3"/>
    <w:rsid w:val="00E37B77"/>
    <w:rsid w:val="00E37BDC"/>
    <w:rsid w:val="00E37F2E"/>
    <w:rsid w:val="00E411E5"/>
    <w:rsid w:val="00E430AB"/>
    <w:rsid w:val="00E43C06"/>
    <w:rsid w:val="00E43F13"/>
    <w:rsid w:val="00E4420A"/>
    <w:rsid w:val="00E449B1"/>
    <w:rsid w:val="00E47B31"/>
    <w:rsid w:val="00E501F7"/>
    <w:rsid w:val="00E5082D"/>
    <w:rsid w:val="00E52616"/>
    <w:rsid w:val="00E52FAA"/>
    <w:rsid w:val="00E53C42"/>
    <w:rsid w:val="00E5409E"/>
    <w:rsid w:val="00E557B4"/>
    <w:rsid w:val="00E55A56"/>
    <w:rsid w:val="00E5689E"/>
    <w:rsid w:val="00E56AD2"/>
    <w:rsid w:val="00E56B8A"/>
    <w:rsid w:val="00E574A9"/>
    <w:rsid w:val="00E60256"/>
    <w:rsid w:val="00E6027C"/>
    <w:rsid w:val="00E6038E"/>
    <w:rsid w:val="00E61355"/>
    <w:rsid w:val="00E613BC"/>
    <w:rsid w:val="00E61F1E"/>
    <w:rsid w:val="00E62890"/>
    <w:rsid w:val="00E64C9B"/>
    <w:rsid w:val="00E65A7C"/>
    <w:rsid w:val="00E65B78"/>
    <w:rsid w:val="00E6650B"/>
    <w:rsid w:val="00E66861"/>
    <w:rsid w:val="00E66E21"/>
    <w:rsid w:val="00E67063"/>
    <w:rsid w:val="00E70600"/>
    <w:rsid w:val="00E70F38"/>
    <w:rsid w:val="00E710FC"/>
    <w:rsid w:val="00E71915"/>
    <w:rsid w:val="00E7192C"/>
    <w:rsid w:val="00E71A86"/>
    <w:rsid w:val="00E752B8"/>
    <w:rsid w:val="00E76AD9"/>
    <w:rsid w:val="00E80916"/>
    <w:rsid w:val="00E840DF"/>
    <w:rsid w:val="00E843AC"/>
    <w:rsid w:val="00E84C5D"/>
    <w:rsid w:val="00E8560F"/>
    <w:rsid w:val="00E8683A"/>
    <w:rsid w:val="00E8780A"/>
    <w:rsid w:val="00E92397"/>
    <w:rsid w:val="00E93209"/>
    <w:rsid w:val="00E93599"/>
    <w:rsid w:val="00E941C0"/>
    <w:rsid w:val="00E957FC"/>
    <w:rsid w:val="00E9587D"/>
    <w:rsid w:val="00E97501"/>
    <w:rsid w:val="00EA0289"/>
    <w:rsid w:val="00EA061D"/>
    <w:rsid w:val="00EA087A"/>
    <w:rsid w:val="00EA0D43"/>
    <w:rsid w:val="00EA3B64"/>
    <w:rsid w:val="00EA3D49"/>
    <w:rsid w:val="00EA5B22"/>
    <w:rsid w:val="00EA629E"/>
    <w:rsid w:val="00EA716C"/>
    <w:rsid w:val="00EB11D1"/>
    <w:rsid w:val="00EB181B"/>
    <w:rsid w:val="00EB1CA4"/>
    <w:rsid w:val="00EB2DEA"/>
    <w:rsid w:val="00EB5694"/>
    <w:rsid w:val="00EB6B63"/>
    <w:rsid w:val="00EB78F0"/>
    <w:rsid w:val="00EC1144"/>
    <w:rsid w:val="00EC1688"/>
    <w:rsid w:val="00EC20D4"/>
    <w:rsid w:val="00EC341C"/>
    <w:rsid w:val="00EC4A64"/>
    <w:rsid w:val="00ED07D5"/>
    <w:rsid w:val="00ED0AB8"/>
    <w:rsid w:val="00ED0F1F"/>
    <w:rsid w:val="00ED1396"/>
    <w:rsid w:val="00ED1657"/>
    <w:rsid w:val="00ED5637"/>
    <w:rsid w:val="00ED6618"/>
    <w:rsid w:val="00ED69AB"/>
    <w:rsid w:val="00ED7472"/>
    <w:rsid w:val="00ED7888"/>
    <w:rsid w:val="00ED7FD6"/>
    <w:rsid w:val="00EE485B"/>
    <w:rsid w:val="00EE533E"/>
    <w:rsid w:val="00EE5978"/>
    <w:rsid w:val="00EE71C9"/>
    <w:rsid w:val="00EE7273"/>
    <w:rsid w:val="00EF2825"/>
    <w:rsid w:val="00EF29AE"/>
    <w:rsid w:val="00EF352D"/>
    <w:rsid w:val="00EF3F3F"/>
    <w:rsid w:val="00EF43A0"/>
    <w:rsid w:val="00EF4AEE"/>
    <w:rsid w:val="00EF4B20"/>
    <w:rsid w:val="00EF66E7"/>
    <w:rsid w:val="00EF6E0D"/>
    <w:rsid w:val="00EF6E41"/>
    <w:rsid w:val="00EF7B08"/>
    <w:rsid w:val="00F001FD"/>
    <w:rsid w:val="00F0229F"/>
    <w:rsid w:val="00F02C26"/>
    <w:rsid w:val="00F03F3B"/>
    <w:rsid w:val="00F04076"/>
    <w:rsid w:val="00F0486A"/>
    <w:rsid w:val="00F06E50"/>
    <w:rsid w:val="00F07468"/>
    <w:rsid w:val="00F07A3C"/>
    <w:rsid w:val="00F07B6E"/>
    <w:rsid w:val="00F10CBE"/>
    <w:rsid w:val="00F11BFD"/>
    <w:rsid w:val="00F11D4A"/>
    <w:rsid w:val="00F11DDC"/>
    <w:rsid w:val="00F1302B"/>
    <w:rsid w:val="00F13F76"/>
    <w:rsid w:val="00F14513"/>
    <w:rsid w:val="00F14B85"/>
    <w:rsid w:val="00F15D0E"/>
    <w:rsid w:val="00F16D0A"/>
    <w:rsid w:val="00F16DFA"/>
    <w:rsid w:val="00F17CDF"/>
    <w:rsid w:val="00F205B4"/>
    <w:rsid w:val="00F20C56"/>
    <w:rsid w:val="00F20D94"/>
    <w:rsid w:val="00F2176B"/>
    <w:rsid w:val="00F22861"/>
    <w:rsid w:val="00F22D82"/>
    <w:rsid w:val="00F23045"/>
    <w:rsid w:val="00F234F8"/>
    <w:rsid w:val="00F239DD"/>
    <w:rsid w:val="00F23A4E"/>
    <w:rsid w:val="00F23A8E"/>
    <w:rsid w:val="00F245D9"/>
    <w:rsid w:val="00F24F38"/>
    <w:rsid w:val="00F26721"/>
    <w:rsid w:val="00F26D40"/>
    <w:rsid w:val="00F27451"/>
    <w:rsid w:val="00F313DC"/>
    <w:rsid w:val="00F323CA"/>
    <w:rsid w:val="00F340B6"/>
    <w:rsid w:val="00F35250"/>
    <w:rsid w:val="00F361B7"/>
    <w:rsid w:val="00F366D4"/>
    <w:rsid w:val="00F36BDF"/>
    <w:rsid w:val="00F402D3"/>
    <w:rsid w:val="00F406A9"/>
    <w:rsid w:val="00F40BAE"/>
    <w:rsid w:val="00F41EB8"/>
    <w:rsid w:val="00F420A6"/>
    <w:rsid w:val="00F42A04"/>
    <w:rsid w:val="00F437A1"/>
    <w:rsid w:val="00F44436"/>
    <w:rsid w:val="00F45ADC"/>
    <w:rsid w:val="00F47C2F"/>
    <w:rsid w:val="00F503F7"/>
    <w:rsid w:val="00F50ADE"/>
    <w:rsid w:val="00F51737"/>
    <w:rsid w:val="00F52F93"/>
    <w:rsid w:val="00F52F9A"/>
    <w:rsid w:val="00F531ED"/>
    <w:rsid w:val="00F5448F"/>
    <w:rsid w:val="00F54608"/>
    <w:rsid w:val="00F552F2"/>
    <w:rsid w:val="00F558A5"/>
    <w:rsid w:val="00F55E52"/>
    <w:rsid w:val="00F57EF0"/>
    <w:rsid w:val="00F604AD"/>
    <w:rsid w:val="00F604E2"/>
    <w:rsid w:val="00F627E2"/>
    <w:rsid w:val="00F641B1"/>
    <w:rsid w:val="00F668C4"/>
    <w:rsid w:val="00F66DFC"/>
    <w:rsid w:val="00F672D0"/>
    <w:rsid w:val="00F70476"/>
    <w:rsid w:val="00F71418"/>
    <w:rsid w:val="00F71520"/>
    <w:rsid w:val="00F725D1"/>
    <w:rsid w:val="00F7462E"/>
    <w:rsid w:val="00F755B2"/>
    <w:rsid w:val="00F757B8"/>
    <w:rsid w:val="00F7590F"/>
    <w:rsid w:val="00F75FE2"/>
    <w:rsid w:val="00F7657A"/>
    <w:rsid w:val="00F772CC"/>
    <w:rsid w:val="00F779BF"/>
    <w:rsid w:val="00F81340"/>
    <w:rsid w:val="00F813EB"/>
    <w:rsid w:val="00F84017"/>
    <w:rsid w:val="00F852A2"/>
    <w:rsid w:val="00F85517"/>
    <w:rsid w:val="00F8569E"/>
    <w:rsid w:val="00F85A14"/>
    <w:rsid w:val="00F86B62"/>
    <w:rsid w:val="00F87D7B"/>
    <w:rsid w:val="00F87E55"/>
    <w:rsid w:val="00F90EB0"/>
    <w:rsid w:val="00F9137E"/>
    <w:rsid w:val="00F913C6"/>
    <w:rsid w:val="00F91E3E"/>
    <w:rsid w:val="00F92115"/>
    <w:rsid w:val="00F9376F"/>
    <w:rsid w:val="00F93C50"/>
    <w:rsid w:val="00F94656"/>
    <w:rsid w:val="00F94864"/>
    <w:rsid w:val="00F95BDD"/>
    <w:rsid w:val="00F96ED0"/>
    <w:rsid w:val="00F97BCB"/>
    <w:rsid w:val="00FA02EE"/>
    <w:rsid w:val="00FA33A6"/>
    <w:rsid w:val="00FA3C1E"/>
    <w:rsid w:val="00FA4646"/>
    <w:rsid w:val="00FA52B6"/>
    <w:rsid w:val="00FA55A1"/>
    <w:rsid w:val="00FA57C4"/>
    <w:rsid w:val="00FA5A17"/>
    <w:rsid w:val="00FA5AB5"/>
    <w:rsid w:val="00FA6C79"/>
    <w:rsid w:val="00FA7B80"/>
    <w:rsid w:val="00FB0B18"/>
    <w:rsid w:val="00FB0B85"/>
    <w:rsid w:val="00FB24BE"/>
    <w:rsid w:val="00FB2ACA"/>
    <w:rsid w:val="00FB31BE"/>
    <w:rsid w:val="00FB3ABA"/>
    <w:rsid w:val="00FB4294"/>
    <w:rsid w:val="00FB58D2"/>
    <w:rsid w:val="00FB673E"/>
    <w:rsid w:val="00FB68DB"/>
    <w:rsid w:val="00FB72E9"/>
    <w:rsid w:val="00FB753B"/>
    <w:rsid w:val="00FB77D2"/>
    <w:rsid w:val="00FB7A28"/>
    <w:rsid w:val="00FC048F"/>
    <w:rsid w:val="00FC3D57"/>
    <w:rsid w:val="00FC3EB4"/>
    <w:rsid w:val="00FC51B8"/>
    <w:rsid w:val="00FC5FD1"/>
    <w:rsid w:val="00FC6A59"/>
    <w:rsid w:val="00FC6C2D"/>
    <w:rsid w:val="00FC6C6F"/>
    <w:rsid w:val="00FC780A"/>
    <w:rsid w:val="00FC7E97"/>
    <w:rsid w:val="00FD0AB4"/>
    <w:rsid w:val="00FD16AB"/>
    <w:rsid w:val="00FD218F"/>
    <w:rsid w:val="00FD2E3A"/>
    <w:rsid w:val="00FD38DC"/>
    <w:rsid w:val="00FD5931"/>
    <w:rsid w:val="00FD6212"/>
    <w:rsid w:val="00FD6457"/>
    <w:rsid w:val="00FD755E"/>
    <w:rsid w:val="00FD7CD3"/>
    <w:rsid w:val="00FE17DC"/>
    <w:rsid w:val="00FE274B"/>
    <w:rsid w:val="00FE44C5"/>
    <w:rsid w:val="00FE4F14"/>
    <w:rsid w:val="00FE5D55"/>
    <w:rsid w:val="00FE6606"/>
    <w:rsid w:val="00FE6737"/>
    <w:rsid w:val="00FE6FA2"/>
    <w:rsid w:val="00FE7A92"/>
    <w:rsid w:val="00FF0EB0"/>
    <w:rsid w:val="00FF1021"/>
    <w:rsid w:val="00FF116A"/>
    <w:rsid w:val="00FF141F"/>
    <w:rsid w:val="00FF3A2E"/>
    <w:rsid w:val="00FF406D"/>
    <w:rsid w:val="00FF4564"/>
    <w:rsid w:val="00FF5035"/>
    <w:rsid w:val="00FF5485"/>
    <w:rsid w:val="00FF5CE3"/>
    <w:rsid w:val="00FF5F60"/>
    <w:rsid w:val="00FF60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D9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797B54"/>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CommentReference">
    <w:name w:val="annotation reference"/>
    <w:basedOn w:val="DefaultParagraphFont"/>
    <w:uiPriority w:val="99"/>
    <w:semiHidden/>
    <w:unhideWhenUsed/>
    <w:locked/>
    <w:rsid w:val="00FB3ABA"/>
    <w:rPr>
      <w:sz w:val="16"/>
      <w:szCs w:val="16"/>
    </w:rPr>
  </w:style>
  <w:style w:type="paragraph" w:styleId="CommentText">
    <w:name w:val="annotation text"/>
    <w:basedOn w:val="Normal"/>
    <w:link w:val="CommentTextChar"/>
    <w:uiPriority w:val="99"/>
    <w:unhideWhenUsed/>
    <w:locked/>
    <w:rsid w:val="00FB3ABA"/>
    <w:pPr>
      <w:spacing w:line="240" w:lineRule="auto"/>
    </w:pPr>
    <w:rPr>
      <w:sz w:val="20"/>
      <w:szCs w:val="20"/>
    </w:rPr>
  </w:style>
  <w:style w:type="character" w:customStyle="1" w:styleId="CommentTextChar">
    <w:name w:val="Comment Text Char"/>
    <w:basedOn w:val="DefaultParagraphFont"/>
    <w:link w:val="CommentText"/>
    <w:uiPriority w:val="99"/>
    <w:rsid w:val="00FB3ABA"/>
    <w:rPr>
      <w:sz w:val="20"/>
      <w:szCs w:val="20"/>
    </w:rPr>
  </w:style>
  <w:style w:type="paragraph" w:styleId="CommentSubject">
    <w:name w:val="annotation subject"/>
    <w:basedOn w:val="CommentText"/>
    <w:next w:val="CommentText"/>
    <w:link w:val="CommentSubjectChar"/>
    <w:uiPriority w:val="99"/>
    <w:semiHidden/>
    <w:unhideWhenUsed/>
    <w:locked/>
    <w:rsid w:val="00FB3ABA"/>
    <w:rPr>
      <w:b/>
      <w:bCs/>
    </w:rPr>
  </w:style>
  <w:style w:type="character" w:customStyle="1" w:styleId="CommentSubjectChar">
    <w:name w:val="Comment Subject Char"/>
    <w:basedOn w:val="CommentTextChar"/>
    <w:link w:val="CommentSubject"/>
    <w:uiPriority w:val="99"/>
    <w:semiHidden/>
    <w:rsid w:val="00FB3ABA"/>
    <w:rPr>
      <w:b/>
      <w:bCs/>
      <w:sz w:val="20"/>
      <w:szCs w:val="20"/>
    </w:rPr>
  </w:style>
  <w:style w:type="paragraph" w:styleId="Revision">
    <w:name w:val="Revision"/>
    <w:hidden/>
    <w:uiPriority w:val="99"/>
    <w:semiHidden/>
    <w:rsid w:val="005101F9"/>
  </w:style>
  <w:style w:type="character" w:customStyle="1" w:styleId="FootnoteTextChar">
    <w:name w:val="Footnote Text Char"/>
    <w:link w:val="FootnoteText"/>
    <w:uiPriority w:val="99"/>
    <w:rsid w:val="008447C0"/>
  </w:style>
  <w:style w:type="character" w:styleId="Hyperlink">
    <w:name w:val="Hyperlink"/>
    <w:basedOn w:val="DefaultParagraphFont"/>
    <w:uiPriority w:val="99"/>
    <w:unhideWhenUsed/>
    <w:locked/>
    <w:rsid w:val="008447C0"/>
    <w:rPr>
      <w:color w:val="0000FF" w:themeColor="hyperlink"/>
      <w:u w:val="single"/>
    </w:rPr>
  </w:style>
  <w:style w:type="character" w:customStyle="1" w:styleId="Emphasis1">
    <w:name w:val="Emphasis1"/>
    <w:basedOn w:val="DefaultParagraphFont"/>
    <w:rsid w:val="008447C0"/>
  </w:style>
  <w:style w:type="paragraph" w:customStyle="1" w:styleId="Body">
    <w:name w:val="Body"/>
    <w:basedOn w:val="Normal"/>
    <w:qFormat/>
    <w:rsid w:val="00824BE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824BE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824BE3"/>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824BE3"/>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824BE3"/>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824BE3"/>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CBC31-AE26-46C4-B9A5-5D70881A01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55D248-6489-49A9-9B70-7CE8CE70F890}">
  <ds:schemaRefs>
    <ds:schemaRef ds:uri="http://schemas.microsoft.com/sharepoint/v3/contenttype/forms"/>
  </ds:schemaRefs>
</ds:datastoreItem>
</file>

<file path=customXml/itemProps3.xml><?xml version="1.0" encoding="utf-8"?>
<ds:datastoreItem xmlns:ds="http://schemas.openxmlformats.org/officeDocument/2006/customXml" ds:itemID="{0253E183-299E-43F3-8E27-8E3692E19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8D7194-6919-417C-A907-3B96E0BBD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47</Pages>
  <Words>12055</Words>
  <Characters>68716</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2021-06-18T05:37:00Z</dcterms:created>
  <dcterms:modified xsi:type="dcterms:W3CDTF">2021-06-18T06:29:00Z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5">
    <vt:lpwstr>EDELMAN J 05</vt:lpwstr>
  </property>
  <property fmtid="{D5CDD505-2E9C-101B-9397-08002B2CF9AE}" pid="3" name="Judge03">
    <vt:lpwstr>KEANE J 03</vt:lpwstr>
  </property>
  <property fmtid="{D5CDD505-2E9C-101B-9397-08002B2CF9AE}" pid="4" name="ContentTypeId">
    <vt:lpwstr>0x0101001F32D2EC4F8DE44A8C0C478B82839881</vt:lpwstr>
  </property>
  <property fmtid="{D5CDD505-2E9C-101B-9397-08002B2CF9AE}" pid="5" name="Judge06">
    <vt:lpwstr>STEWARD J 06</vt:lpwstr>
  </property>
  <property fmtid="{D5CDD505-2E9C-101B-9397-08002B2CF9AE}" pid="6" name="Judge01">
    <vt:lpwstr>KIEFEL CJ 01</vt:lpwstr>
  </property>
  <property fmtid="{D5CDD505-2E9C-101B-9397-08002B2CF9AE}" pid="7" name="Judge04">
    <vt:lpwstr>GORDON J 04</vt:lpwstr>
  </property>
  <property fmtid="{D5CDD505-2E9C-101B-9397-08002B2CF9AE}" pid="8" name="Judge07">
    <vt:lpwstr>GLEESON J 07</vt:lpwstr>
  </property>
  <property fmtid="{D5CDD505-2E9C-101B-9397-08002B2CF9AE}" pid="9" name="Judge02">
    <vt:lpwstr>GAGELER J 02</vt:lpwstr>
  </property>
</Properties>
</file>