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39495" w14:textId="77777777" w:rsidR="009A0B37" w:rsidRPr="00704FF8" w:rsidRDefault="009A0B37" w:rsidP="00704FF8">
      <w:pPr>
        <w:pStyle w:val="OrdersTopLine"/>
      </w:pPr>
      <w:bookmarkStart w:id="0" w:name="_GoBack"/>
      <w:bookmarkEnd w:id="0"/>
      <w:r w:rsidRPr="00704FF8">
        <w:t>HIGH COURT OF AUSTRALIA</w:t>
      </w:r>
    </w:p>
    <w:p w14:paraId="71E7E274" w14:textId="77777777" w:rsidR="009A0B37" w:rsidRPr="00704FF8" w:rsidRDefault="009A0B37" w:rsidP="00704FF8">
      <w:pPr>
        <w:pStyle w:val="OrderCentre"/>
      </w:pPr>
    </w:p>
    <w:p w14:paraId="67E78389" w14:textId="77777777" w:rsidR="009A0B37" w:rsidRPr="004F053C" w:rsidRDefault="009A0B37" w:rsidP="00704FF8">
      <w:pPr>
        <w:pStyle w:val="OrderCentre"/>
        <w:rPr>
          <w:sz w:val="24"/>
          <w:szCs w:val="24"/>
        </w:rPr>
      </w:pPr>
      <w:r w:rsidRPr="004F053C">
        <w:rPr>
          <w:sz w:val="24"/>
          <w:szCs w:val="24"/>
        </w:rPr>
        <w:t>KIEFEL CJ,</w:t>
      </w:r>
    </w:p>
    <w:p w14:paraId="37AE014D" w14:textId="77777777" w:rsidR="009A0B37" w:rsidRPr="004F053C" w:rsidRDefault="009A0B37" w:rsidP="00704FF8">
      <w:pPr>
        <w:pStyle w:val="OrderCentre"/>
        <w:rPr>
          <w:sz w:val="24"/>
          <w:szCs w:val="24"/>
        </w:rPr>
      </w:pPr>
      <w:r w:rsidRPr="004F053C">
        <w:rPr>
          <w:sz w:val="24"/>
          <w:szCs w:val="24"/>
        </w:rPr>
        <w:t>GAGELER, KEANE, GORDON, EDELMAN, STEWARD AND GLEESON JJ</w:t>
      </w:r>
    </w:p>
    <w:p w14:paraId="2974BB58" w14:textId="77777777" w:rsidR="009A0B37" w:rsidRPr="00427F3A" w:rsidRDefault="009A0B37" w:rsidP="00EE5374">
      <w:pPr>
        <w:pStyle w:val="Centre"/>
        <w:rPr>
          <w:lang w:val="en-AU"/>
        </w:rPr>
      </w:pPr>
    </w:p>
    <w:p w14:paraId="7E43E6AC" w14:textId="77777777" w:rsidR="009A0B37" w:rsidRPr="00704FF8" w:rsidRDefault="009A0B37" w:rsidP="00704FF8">
      <w:pPr>
        <w:pStyle w:val="OrdersCenteredBorder"/>
      </w:pPr>
    </w:p>
    <w:p w14:paraId="0DF54E2C" w14:textId="77777777" w:rsidR="009A0B37" w:rsidRPr="00704FF8" w:rsidRDefault="009A0B37" w:rsidP="0032341F">
      <w:pPr>
        <w:pStyle w:val="OrdersBodyHeading"/>
      </w:pPr>
    </w:p>
    <w:p w14:paraId="16C4A0DD" w14:textId="77777777" w:rsidR="009A0B37" w:rsidRDefault="009A0B37" w:rsidP="009362E8">
      <w:pPr>
        <w:pStyle w:val="OrdersPartyName"/>
        <w:ind w:right="-1"/>
      </w:pPr>
      <w:r w:rsidRPr="00CF3FEB">
        <w:t>DIRECTOR OF PUBLIC PROSECUTIONS</w:t>
      </w:r>
    </w:p>
    <w:p w14:paraId="105BFE94" w14:textId="77777777" w:rsidR="009A0B37" w:rsidRPr="0032341F" w:rsidRDefault="009A0B37" w:rsidP="009362E8">
      <w:pPr>
        <w:pStyle w:val="OrdersPartyName"/>
        <w:ind w:right="-1"/>
      </w:pPr>
      <w:r w:rsidRPr="00CF3FEB">
        <w:t>REFERENCE NO 1 OF 2019</w:t>
      </w:r>
    </w:p>
    <w:p w14:paraId="34422166" w14:textId="77777777" w:rsidR="009A0B37" w:rsidRPr="00427F3A" w:rsidRDefault="009A0B37" w:rsidP="00AF0A5E">
      <w:pPr>
        <w:pStyle w:val="BodyHeading"/>
      </w:pPr>
    </w:p>
    <w:p w14:paraId="68081148" w14:textId="77777777" w:rsidR="009A0B37" w:rsidRPr="00427F3A" w:rsidRDefault="009A0B37" w:rsidP="00BE0A6C">
      <w:pPr>
        <w:pStyle w:val="BodyHeading"/>
      </w:pPr>
    </w:p>
    <w:p w14:paraId="188BDF16" w14:textId="77777777" w:rsidR="009A0B37" w:rsidRPr="00427F3A" w:rsidRDefault="009A0B37" w:rsidP="00EE5374">
      <w:pPr>
        <w:pStyle w:val="CentreItalics"/>
      </w:pPr>
      <w:r w:rsidRPr="007D4F25">
        <w:t>Director of Public Prosecutions Reference No 1 of 2019</w:t>
      </w:r>
    </w:p>
    <w:p w14:paraId="48F9FFFF" w14:textId="77777777" w:rsidR="009A0B37" w:rsidRPr="00427F3A" w:rsidRDefault="009A0B37" w:rsidP="00E90E4F">
      <w:pPr>
        <w:pStyle w:val="OrdersCentre"/>
      </w:pPr>
      <w:r>
        <w:t>[2021</w:t>
      </w:r>
      <w:r w:rsidRPr="00427F3A">
        <w:t xml:space="preserve">] HCA </w:t>
      </w:r>
      <w:r>
        <w:t>26</w:t>
      </w:r>
    </w:p>
    <w:p w14:paraId="39DEAB89" w14:textId="77777777" w:rsidR="009A0B37" w:rsidRDefault="009A0B37" w:rsidP="00E90E4F">
      <w:pPr>
        <w:pStyle w:val="OrdersCentreItalics"/>
      </w:pPr>
      <w:r>
        <w:t xml:space="preserve">Date of Hearing: </w:t>
      </w:r>
      <w:r w:rsidRPr="007D4F25">
        <w:t>14 May 2021</w:t>
      </w:r>
    </w:p>
    <w:p w14:paraId="2E676EB4" w14:textId="77777777" w:rsidR="009A0B37" w:rsidRPr="00427F3A" w:rsidRDefault="009A0B37" w:rsidP="00E90E4F">
      <w:pPr>
        <w:pStyle w:val="OrdersCentreItalics"/>
      </w:pPr>
      <w:r>
        <w:t>Date of Judgment: 1 September 2021</w:t>
      </w:r>
    </w:p>
    <w:p w14:paraId="510EB140" w14:textId="77777777" w:rsidR="009A0B37" w:rsidRDefault="009A0B37" w:rsidP="00E90E4F">
      <w:pPr>
        <w:pStyle w:val="OrdersCentre"/>
      </w:pPr>
      <w:r w:rsidRPr="0014781F">
        <w:t>M131/2020</w:t>
      </w:r>
    </w:p>
    <w:p w14:paraId="3BB2D77E" w14:textId="77777777" w:rsidR="009A0B37" w:rsidRPr="00427F3A" w:rsidRDefault="009A0B37" w:rsidP="00E90E4F">
      <w:pPr>
        <w:pStyle w:val="OrdersCentre"/>
      </w:pPr>
    </w:p>
    <w:p w14:paraId="5701BE2F" w14:textId="77777777" w:rsidR="009A0B37" w:rsidRPr="00BE0A6C" w:rsidRDefault="009A0B37" w:rsidP="00E90E4F">
      <w:pPr>
        <w:pStyle w:val="OrderCentreBold"/>
      </w:pPr>
      <w:r w:rsidRPr="00BE0A6C">
        <w:t>ORDER</w:t>
      </w:r>
    </w:p>
    <w:p w14:paraId="78EA00DD" w14:textId="77777777" w:rsidR="009A0B37" w:rsidRPr="00427F3A" w:rsidRDefault="009A0B37" w:rsidP="00736C52">
      <w:pPr>
        <w:pStyle w:val="Centre"/>
        <w:rPr>
          <w:lang w:val="en-AU"/>
        </w:rPr>
      </w:pPr>
    </w:p>
    <w:p w14:paraId="44301ECA" w14:textId="77777777" w:rsidR="009A0B37" w:rsidRDefault="009A0B37" w:rsidP="00D96DB1">
      <w:pPr>
        <w:pStyle w:val="OrdersText"/>
      </w:pPr>
      <w:r>
        <w:t>1.</w:t>
      </w:r>
      <w:r>
        <w:tab/>
        <w:t xml:space="preserve">Appeal dismissed.  </w:t>
      </w:r>
    </w:p>
    <w:p w14:paraId="0519F2A5" w14:textId="77777777" w:rsidR="009A0B37" w:rsidRDefault="009A0B37" w:rsidP="00D96DB1">
      <w:pPr>
        <w:pStyle w:val="OrdersText"/>
      </w:pPr>
    </w:p>
    <w:p w14:paraId="4F7E4D73" w14:textId="77777777" w:rsidR="009A0B37" w:rsidRDefault="009A0B37" w:rsidP="00D96DB1">
      <w:pPr>
        <w:pStyle w:val="OrdersText"/>
      </w:pPr>
      <w:r>
        <w:t xml:space="preserve">2. </w:t>
      </w:r>
      <w:r>
        <w:tab/>
        <w:t xml:space="preserve">The Director of Public Prosecutions (Vic) pay the acquitted person's reasonable costs. </w:t>
      </w:r>
    </w:p>
    <w:p w14:paraId="3B6E26BE" w14:textId="77777777" w:rsidR="009A0B37" w:rsidRDefault="009A0B37" w:rsidP="00EE5374">
      <w:pPr>
        <w:pStyle w:val="Body"/>
      </w:pPr>
    </w:p>
    <w:p w14:paraId="0BD12B6E" w14:textId="77777777" w:rsidR="009A0B37" w:rsidRPr="00427F3A" w:rsidRDefault="009A0B37" w:rsidP="00EE5374">
      <w:pPr>
        <w:pStyle w:val="Body"/>
      </w:pPr>
    </w:p>
    <w:p w14:paraId="727BDDB8" w14:textId="77777777" w:rsidR="009A0B37" w:rsidRPr="00427F3A" w:rsidRDefault="009A0B37" w:rsidP="0032341F">
      <w:pPr>
        <w:pStyle w:val="OrdersBody"/>
      </w:pPr>
      <w:r w:rsidRPr="00427F3A">
        <w:t xml:space="preserve">On appeal from the </w:t>
      </w:r>
      <w:r w:rsidRPr="00CF3FEB">
        <w:t>Supreme Court of Victoria</w:t>
      </w:r>
    </w:p>
    <w:p w14:paraId="14F5D5FB" w14:textId="77777777" w:rsidR="009A0B37" w:rsidRDefault="009A0B37" w:rsidP="00EE5374">
      <w:pPr>
        <w:pStyle w:val="Body"/>
      </w:pPr>
    </w:p>
    <w:p w14:paraId="361EB4A8" w14:textId="77777777" w:rsidR="009A0B37" w:rsidRPr="00427F3A" w:rsidRDefault="009A0B37" w:rsidP="00EE5374">
      <w:pPr>
        <w:pStyle w:val="Body"/>
      </w:pPr>
    </w:p>
    <w:p w14:paraId="53056CE4" w14:textId="77777777" w:rsidR="009A0B37" w:rsidRPr="00427F3A" w:rsidRDefault="009A0B37" w:rsidP="00E90E4F">
      <w:pPr>
        <w:pStyle w:val="OrdersBodyHeading"/>
      </w:pPr>
      <w:r w:rsidRPr="00427F3A">
        <w:t>Representation</w:t>
      </w:r>
    </w:p>
    <w:p w14:paraId="122F5B32" w14:textId="77777777" w:rsidR="009A0B37" w:rsidRDefault="009A0B37" w:rsidP="00EE5374">
      <w:pPr>
        <w:pStyle w:val="Body"/>
      </w:pPr>
    </w:p>
    <w:p w14:paraId="3DCA4403" w14:textId="77777777" w:rsidR="009A0B37" w:rsidRPr="00EC798B" w:rsidRDefault="009A0B37" w:rsidP="00E90E4F">
      <w:pPr>
        <w:pStyle w:val="OrdersBody"/>
      </w:pPr>
      <w:r w:rsidRPr="00EC798B">
        <w:t>B F Kissane QC with J C J McWilliams for the appellant (instructed by Office of Public Prosecutions (Vic))</w:t>
      </w:r>
    </w:p>
    <w:p w14:paraId="139FFF6F" w14:textId="77777777" w:rsidR="009A0B37" w:rsidRPr="00EC798B" w:rsidRDefault="009A0B37" w:rsidP="001B3C97">
      <w:pPr>
        <w:pStyle w:val="Body"/>
      </w:pPr>
    </w:p>
    <w:p w14:paraId="7C16FEB7" w14:textId="77777777" w:rsidR="009A0B37" w:rsidRPr="00EC798B" w:rsidRDefault="009A0B37" w:rsidP="00E90E4F">
      <w:pPr>
        <w:pStyle w:val="OrdersBody"/>
      </w:pPr>
      <w:r w:rsidRPr="00EC798B">
        <w:t xml:space="preserve">D A Dann QC with C T </w:t>
      </w:r>
      <w:proofErr w:type="spellStart"/>
      <w:r w:rsidRPr="00EC798B">
        <w:t>Carr</w:t>
      </w:r>
      <w:proofErr w:type="spellEnd"/>
      <w:r w:rsidRPr="00EC798B">
        <w:t xml:space="preserve"> SC for the acquitted person (instructed by C.</w:t>
      </w:r>
      <w:r>
        <w:t> </w:t>
      </w:r>
      <w:r w:rsidRPr="00EC798B">
        <w:t>Marshall &amp; Associates)</w:t>
      </w:r>
    </w:p>
    <w:p w14:paraId="1936B7EE" w14:textId="77777777" w:rsidR="009A0B37" w:rsidRPr="00EC798B" w:rsidRDefault="009A0B37" w:rsidP="00A01277">
      <w:pPr>
        <w:pStyle w:val="Body"/>
      </w:pPr>
    </w:p>
    <w:p w14:paraId="633AEC44" w14:textId="77777777" w:rsidR="009A0B37" w:rsidRDefault="009A0B37" w:rsidP="00A01277">
      <w:pPr>
        <w:pStyle w:val="Body"/>
      </w:pPr>
    </w:p>
    <w:p w14:paraId="6686DF7E" w14:textId="77777777" w:rsidR="009A0B37" w:rsidRDefault="009A0B37" w:rsidP="00EE5374">
      <w:pPr>
        <w:pStyle w:val="Body"/>
      </w:pPr>
    </w:p>
    <w:p w14:paraId="5F38C91A" w14:textId="77777777" w:rsidR="009A0B37" w:rsidRPr="00427F3A" w:rsidRDefault="009A0B37" w:rsidP="00EE5374">
      <w:pPr>
        <w:pStyle w:val="Body"/>
      </w:pPr>
    </w:p>
    <w:p w14:paraId="2087CC9B" w14:textId="77777777" w:rsidR="009A0B37" w:rsidRPr="00427F3A" w:rsidRDefault="009A0B37" w:rsidP="00F9713B">
      <w:pPr>
        <w:pStyle w:val="Notice"/>
        <w:rPr>
          <w:lang w:val="en-AU"/>
        </w:rPr>
      </w:pPr>
      <w:r w:rsidRPr="00427F3A">
        <w:rPr>
          <w:lang w:val="en-AU"/>
        </w:rPr>
        <w:t>Notice:  This copy of the Court's Reasons for Judgment is subject to formal revision prior to publication in the Commonwealth Law Reports.</w:t>
      </w:r>
    </w:p>
    <w:p w14:paraId="6AD9557D" w14:textId="14C107D7" w:rsidR="009A0B37" w:rsidRDefault="009A0B3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53E404D" w14:textId="77777777" w:rsidR="00B119AA" w:rsidRDefault="009A0B3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119AA" w:rsidSect="009A0B3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DE27703" w14:textId="77777777" w:rsidR="00B119AA" w:rsidRPr="00054C14" w:rsidRDefault="00B119AA" w:rsidP="00DE6B38">
      <w:pPr>
        <w:pStyle w:val="CatchwordsBold"/>
      </w:pPr>
      <w:r w:rsidRPr="00054C14">
        <w:lastRenderedPageBreak/>
        <w:t>CATCHWORDS</w:t>
      </w:r>
    </w:p>
    <w:p w14:paraId="53FCA0F4" w14:textId="77777777" w:rsidR="00B119AA" w:rsidRPr="00054C14" w:rsidRDefault="00B119AA" w:rsidP="00DE6B38">
      <w:pPr>
        <w:pStyle w:val="CatchwordsBold"/>
      </w:pPr>
    </w:p>
    <w:p w14:paraId="1DB79BF1" w14:textId="77777777" w:rsidR="00B119AA" w:rsidRDefault="00B119AA" w:rsidP="00DE6B38">
      <w:pPr>
        <w:pStyle w:val="CatchwordsBold"/>
      </w:pPr>
      <w:r>
        <w:t>Director of Public Prosecutions Reference No 1 of 2019</w:t>
      </w:r>
    </w:p>
    <w:p w14:paraId="27E62439" w14:textId="77777777" w:rsidR="00B119AA" w:rsidRDefault="00B119AA" w:rsidP="00DE6B38">
      <w:pPr>
        <w:pStyle w:val="CatchwordsBold"/>
      </w:pPr>
    </w:p>
    <w:p w14:paraId="430876F9" w14:textId="2D3A3492" w:rsidR="00B119AA" w:rsidRPr="00774AD1" w:rsidRDefault="00B119AA" w:rsidP="00DE6B38">
      <w:pPr>
        <w:pStyle w:val="CatchwordsText"/>
      </w:pPr>
      <w:r>
        <w:t>Criminal law</w:t>
      </w:r>
      <w:r w:rsidRPr="007318A6">
        <w:t xml:space="preserve"> –</w:t>
      </w:r>
      <w:r>
        <w:t xml:space="preserve"> Recklessness </w:t>
      </w:r>
      <w:r w:rsidRPr="007318A6">
        <w:t>–</w:t>
      </w:r>
      <w:r>
        <w:t xml:space="preserve"> Where s 17 of </w:t>
      </w:r>
      <w:r>
        <w:rPr>
          <w:i/>
        </w:rPr>
        <w:t xml:space="preserve">Crimes Act 1958 </w:t>
      </w:r>
      <w:r>
        <w:t xml:space="preserve">(Vic) provides that person who, without lawful excuse, recklessly causes serious injury is guilty of indictable offence – Where Court of Appeal of Supreme Court of Victoria in </w:t>
      </w:r>
      <w:r>
        <w:rPr>
          <w:i/>
        </w:rPr>
        <w:t>R v Campbell</w:t>
      </w:r>
      <w:r>
        <w:t xml:space="preserve"> [1997] 2 VR 585 held that recklessness means person foresaw that serious injury </w:t>
      </w:r>
      <w:r>
        <w:rPr>
          <w:i/>
        </w:rPr>
        <w:t>probably</w:t>
      </w:r>
      <w:r>
        <w:t xml:space="preserve"> will result from act or omission – Where </w:t>
      </w:r>
      <w:r>
        <w:rPr>
          <w:i/>
        </w:rPr>
        <w:t>Crimes</w:t>
      </w:r>
      <w:r>
        <w:t xml:space="preserve"> </w:t>
      </w:r>
      <w:r>
        <w:rPr>
          <w:i/>
        </w:rPr>
        <w:t>Act</w:t>
      </w:r>
      <w:r>
        <w:t xml:space="preserve"> amended following </w:t>
      </w:r>
      <w:r>
        <w:rPr>
          <w:i/>
        </w:rPr>
        <w:t xml:space="preserve">Campbell </w:t>
      </w:r>
      <w:r>
        <w:t>with significant, substantive and direct effect on s 17</w:t>
      </w:r>
      <w:r w:rsidR="00DE6B38">
        <w:t> </w:t>
      </w:r>
      <w:r>
        <w:t xml:space="preserve">– Where High Court cast doubt on correctness of </w:t>
      </w:r>
      <w:r>
        <w:rPr>
          <w:i/>
        </w:rPr>
        <w:t>Campbell</w:t>
      </w:r>
      <w:r>
        <w:t xml:space="preserve"> in </w:t>
      </w:r>
      <w:r>
        <w:rPr>
          <w:i/>
        </w:rPr>
        <w:t>Aubrey v The Queen</w:t>
      </w:r>
      <w:r>
        <w:t xml:space="preserve"> (2017) 260 CLR 305 – Where accused charged with recklessly causing serious injury under s 17 of </w:t>
      </w:r>
      <w:r>
        <w:rPr>
          <w:i/>
        </w:rPr>
        <w:t>Crimes Act</w:t>
      </w:r>
      <w:r>
        <w:t xml:space="preserve"> – Where trial judge directed jury in relation to recklessness consistently with </w:t>
      </w:r>
      <w:r>
        <w:rPr>
          <w:i/>
        </w:rPr>
        <w:t>Campbell</w:t>
      </w:r>
      <w:r>
        <w:t xml:space="preserve"> – Where accused acquitted – Where Director of Public Prosecutions (Vic) referred correctness of </w:t>
      </w:r>
      <w:r>
        <w:rPr>
          <w:i/>
        </w:rPr>
        <w:t>Campbell</w:t>
      </w:r>
      <w:r>
        <w:t xml:space="preserve"> as point of law to Court of Appeal – Whether Parliament left meaning of recklessness in s 17 of </w:t>
      </w:r>
      <w:r>
        <w:rPr>
          <w:i/>
        </w:rPr>
        <w:t>Crimes Act</w:t>
      </w:r>
      <w:r>
        <w:t xml:space="preserve"> to courts – Whether recklessness in s 17 of </w:t>
      </w:r>
      <w:r>
        <w:rPr>
          <w:i/>
        </w:rPr>
        <w:t>Crimes Act</w:t>
      </w:r>
      <w:r>
        <w:t xml:space="preserve"> has meaning stated in </w:t>
      </w:r>
      <w:r>
        <w:rPr>
          <w:i/>
        </w:rPr>
        <w:t>Campbell</w:t>
      </w:r>
      <w:r>
        <w:t>.</w:t>
      </w:r>
    </w:p>
    <w:p w14:paraId="36C9073F" w14:textId="77777777" w:rsidR="00B119AA" w:rsidRDefault="00B119AA" w:rsidP="00DE6B38">
      <w:pPr>
        <w:pStyle w:val="CatchwordsText"/>
      </w:pPr>
    </w:p>
    <w:p w14:paraId="5927DF17" w14:textId="77777777" w:rsidR="00B119AA" w:rsidRDefault="00B119AA" w:rsidP="00DE6B38">
      <w:pPr>
        <w:pStyle w:val="CatchwordsText"/>
      </w:pPr>
      <w:r w:rsidRPr="00294DEA">
        <w:t>Words and phrases –</w:t>
      </w:r>
      <w:r>
        <w:t xml:space="preserve"> "culpability and criminality", "elements of the existing offences", "expert review of the law", "extensive consultation with key stakeholders", "foresight of possibility", "foresight of probability", "gross violence offences", "injury", "maximum penalty", "offences against the person other than murder", "recklessness", "re-enactment presumption", "serious injury", "specialised and politically sensitive fields", "temporal proximity".</w:t>
      </w:r>
    </w:p>
    <w:p w14:paraId="69A66213" w14:textId="77777777" w:rsidR="00B119AA" w:rsidRDefault="00B119AA" w:rsidP="00DE6B38">
      <w:pPr>
        <w:pStyle w:val="CatchwordsText"/>
        <w:rPr>
          <w:i/>
        </w:rPr>
      </w:pPr>
    </w:p>
    <w:p w14:paraId="2F0D623F" w14:textId="77777777" w:rsidR="00B119AA" w:rsidRDefault="00B119AA" w:rsidP="00DE6B38">
      <w:pPr>
        <w:pStyle w:val="CatchwordsText"/>
        <w:rPr>
          <w:i/>
        </w:rPr>
      </w:pPr>
      <w:r>
        <w:rPr>
          <w:i/>
        </w:rPr>
        <w:t xml:space="preserve">Crimes Act 1958 </w:t>
      </w:r>
      <w:r>
        <w:t>(Vic), s 17.</w:t>
      </w:r>
    </w:p>
    <w:p w14:paraId="2F7EE195" w14:textId="77777777" w:rsidR="00B119AA" w:rsidRPr="00350C23" w:rsidRDefault="00B119AA" w:rsidP="00B119AA">
      <w:pPr>
        <w:spacing w:line="240" w:lineRule="auto"/>
        <w:ind w:right="0" w:firstLine="0"/>
        <w:jc w:val="both"/>
        <w:rPr>
          <w:rFonts w:ascii="Times New Roman" w:hAnsi="Times New Roman"/>
        </w:rPr>
      </w:pPr>
    </w:p>
    <w:p w14:paraId="4C56790E" w14:textId="440169A2" w:rsidR="009A0B37" w:rsidRDefault="009A0B37" w:rsidP="00B119A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4824F41" w14:textId="31A0CAAD" w:rsidR="00B119AA" w:rsidRDefault="00B119A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08C1582" w14:textId="1921DAB8" w:rsidR="00B119AA" w:rsidRDefault="00B119A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2D08B0E" w14:textId="77777777" w:rsidR="009A0B37" w:rsidRDefault="009A0B37" w:rsidP="004F542A">
      <w:pPr>
        <w:pStyle w:val="FixListStyle"/>
        <w:tabs>
          <w:tab w:val="clear" w:pos="720"/>
          <w:tab w:val="left" w:pos="0"/>
        </w:tabs>
        <w:spacing w:after="260" w:line="280" w:lineRule="exact"/>
        <w:ind w:right="0"/>
        <w:jc w:val="both"/>
        <w:rPr>
          <w:rFonts w:ascii="Times New Roman" w:hAnsi="Times New Roman"/>
        </w:rPr>
        <w:sectPr w:rsidR="009A0B37" w:rsidSect="00B119AA">
          <w:pgSz w:w="11907" w:h="16839" w:code="9"/>
          <w:pgMar w:top="1440" w:right="1701" w:bottom="1984" w:left="1701" w:header="720" w:footer="720" w:gutter="0"/>
          <w:pgNumType w:start="1"/>
          <w:cols w:space="720"/>
          <w:titlePg/>
          <w:docGrid w:linePitch="354"/>
        </w:sectPr>
      </w:pPr>
    </w:p>
    <w:p w14:paraId="0D5FA213" w14:textId="7072454C" w:rsidR="00A07961" w:rsidRPr="004F542A" w:rsidRDefault="004F542A" w:rsidP="004F542A">
      <w:pPr>
        <w:pStyle w:val="FixListStyle"/>
        <w:tabs>
          <w:tab w:val="clear" w:pos="720"/>
          <w:tab w:val="left" w:pos="0"/>
        </w:tabs>
        <w:spacing w:after="260" w:line="280" w:lineRule="exact"/>
        <w:ind w:right="0"/>
        <w:jc w:val="both"/>
        <w:rPr>
          <w:rFonts w:ascii="Times New Roman" w:hAnsi="Times New Roman"/>
        </w:rPr>
      </w:pPr>
      <w:r w:rsidRPr="004F542A">
        <w:rPr>
          <w:rFonts w:ascii="Times New Roman" w:hAnsi="Times New Roman"/>
        </w:rPr>
        <w:lastRenderedPageBreak/>
        <w:t xml:space="preserve">KIEFEL CJ, KEANE AND GLEESON JJ.   </w:t>
      </w:r>
      <w:r w:rsidR="008577FD" w:rsidRPr="004F542A">
        <w:rPr>
          <w:rFonts w:ascii="Times New Roman" w:hAnsi="Times New Roman"/>
        </w:rPr>
        <w:t xml:space="preserve">In </w:t>
      </w:r>
      <w:r w:rsidR="008577FD" w:rsidRPr="004F542A">
        <w:rPr>
          <w:rFonts w:ascii="Times New Roman" w:hAnsi="Times New Roman"/>
          <w:i/>
        </w:rPr>
        <w:t>Aubrey v The Queen</w:t>
      </w:r>
      <w:r w:rsidR="008577FD" w:rsidRPr="004F542A">
        <w:rPr>
          <w:rStyle w:val="FootnoteReference"/>
          <w:rFonts w:ascii="Times New Roman" w:hAnsi="Times New Roman"/>
          <w:sz w:val="24"/>
        </w:rPr>
        <w:footnoteReference w:id="2"/>
      </w:r>
      <w:r w:rsidR="008577FD" w:rsidRPr="004F542A">
        <w:rPr>
          <w:rFonts w:ascii="Times New Roman" w:hAnsi="Times New Roman"/>
        </w:rPr>
        <w:t xml:space="preserve">, this Court </w:t>
      </w:r>
      <w:r w:rsidR="00A07961" w:rsidRPr="004F542A">
        <w:rPr>
          <w:rFonts w:ascii="Times New Roman" w:hAnsi="Times New Roman"/>
        </w:rPr>
        <w:t xml:space="preserve">confirmed that the degree of recklessness required for the statutory offence of maliciously inflicting grievous bodily harm </w:t>
      </w:r>
      <w:r w:rsidR="00702E50" w:rsidRPr="004F542A">
        <w:rPr>
          <w:rFonts w:ascii="Times New Roman" w:hAnsi="Times New Roman"/>
        </w:rPr>
        <w:t xml:space="preserve">in New South Wales </w:t>
      </w:r>
      <w:r w:rsidR="00A07961" w:rsidRPr="004F542A">
        <w:rPr>
          <w:rFonts w:ascii="Times New Roman" w:hAnsi="Times New Roman"/>
        </w:rPr>
        <w:t xml:space="preserve">was </w:t>
      </w:r>
      <w:r w:rsidR="00DE1077" w:rsidRPr="004F542A">
        <w:rPr>
          <w:rFonts w:ascii="Times New Roman" w:hAnsi="Times New Roman"/>
        </w:rPr>
        <w:t xml:space="preserve">foresight of the </w:t>
      </w:r>
      <w:r w:rsidR="00DE1077" w:rsidRPr="004F542A">
        <w:rPr>
          <w:rFonts w:ascii="Times New Roman" w:hAnsi="Times New Roman"/>
          <w:i/>
        </w:rPr>
        <w:t>possibility</w:t>
      </w:r>
      <w:r w:rsidR="00DE1077" w:rsidRPr="004F542A">
        <w:rPr>
          <w:rFonts w:ascii="Times New Roman" w:hAnsi="Times New Roman"/>
        </w:rPr>
        <w:t xml:space="preserve"> of harm, not the </w:t>
      </w:r>
      <w:r w:rsidR="00DE1077" w:rsidRPr="004F542A">
        <w:rPr>
          <w:rFonts w:ascii="Times New Roman" w:hAnsi="Times New Roman"/>
          <w:i/>
        </w:rPr>
        <w:t>probability</w:t>
      </w:r>
      <w:r w:rsidR="00DE1077" w:rsidRPr="004F542A">
        <w:rPr>
          <w:rFonts w:ascii="Times New Roman" w:hAnsi="Times New Roman"/>
        </w:rPr>
        <w:t xml:space="preserve"> of harm. Foresight that death or grievous bodily harm is a </w:t>
      </w:r>
      <w:r w:rsidR="00DE1077" w:rsidRPr="004F542A">
        <w:rPr>
          <w:rFonts w:ascii="Times New Roman" w:hAnsi="Times New Roman"/>
          <w:i/>
        </w:rPr>
        <w:t>probable</w:t>
      </w:r>
      <w:r w:rsidR="00DE1077" w:rsidRPr="004F542A">
        <w:rPr>
          <w:rFonts w:ascii="Times New Roman" w:hAnsi="Times New Roman"/>
        </w:rPr>
        <w:t xml:space="preserve"> consequence is the test for</w:t>
      </w:r>
      <w:r w:rsidR="005E7F57" w:rsidRPr="004F542A">
        <w:rPr>
          <w:rFonts w:ascii="Times New Roman" w:hAnsi="Times New Roman"/>
        </w:rPr>
        <w:t xml:space="preserve"> common law</w:t>
      </w:r>
      <w:r w:rsidR="00DE1077" w:rsidRPr="004F542A">
        <w:rPr>
          <w:rFonts w:ascii="Times New Roman" w:hAnsi="Times New Roman"/>
        </w:rPr>
        <w:t xml:space="preserve"> murder, as this Court held in </w:t>
      </w:r>
      <w:r w:rsidR="00DE1077" w:rsidRPr="004F542A">
        <w:rPr>
          <w:rFonts w:ascii="Times New Roman" w:hAnsi="Times New Roman"/>
          <w:i/>
        </w:rPr>
        <w:t>R v Crabbe</w:t>
      </w:r>
      <w:r w:rsidR="001F41DD" w:rsidRPr="004F542A">
        <w:rPr>
          <w:rStyle w:val="FootnoteReference"/>
          <w:rFonts w:ascii="Times New Roman" w:hAnsi="Times New Roman"/>
          <w:sz w:val="24"/>
        </w:rPr>
        <w:footnoteReference w:id="3"/>
      </w:r>
      <w:r w:rsidR="001F41DD" w:rsidRPr="004F542A">
        <w:rPr>
          <w:rFonts w:ascii="Times New Roman" w:hAnsi="Times New Roman"/>
        </w:rPr>
        <w:t xml:space="preserve">. The reason for the higher test in the case of common law murder, the Court explained in </w:t>
      </w:r>
      <w:r w:rsidR="001F41DD" w:rsidRPr="004F542A">
        <w:rPr>
          <w:rFonts w:ascii="Times New Roman" w:hAnsi="Times New Roman"/>
          <w:i/>
        </w:rPr>
        <w:t>Crabbe</w:t>
      </w:r>
      <w:r w:rsidR="009A5CC0" w:rsidRPr="004F542A">
        <w:rPr>
          <w:rStyle w:val="FootnoteReference"/>
          <w:rFonts w:ascii="Times New Roman" w:hAnsi="Times New Roman"/>
          <w:sz w:val="24"/>
        </w:rPr>
        <w:footnoteReference w:id="4"/>
      </w:r>
      <w:r w:rsidR="009A5CC0" w:rsidRPr="004F542A">
        <w:rPr>
          <w:rFonts w:ascii="Times New Roman" w:hAnsi="Times New Roman"/>
        </w:rPr>
        <w:t xml:space="preserve">, </w:t>
      </w:r>
      <w:r w:rsidR="008B2299" w:rsidRPr="004F542A">
        <w:rPr>
          <w:rFonts w:ascii="Times New Roman" w:hAnsi="Times New Roman"/>
        </w:rPr>
        <w:t xml:space="preserve">is </w:t>
      </w:r>
      <w:r w:rsidR="009A5CC0" w:rsidRPr="004F542A">
        <w:rPr>
          <w:rFonts w:ascii="Times New Roman" w:hAnsi="Times New Roman"/>
        </w:rPr>
        <w:t xml:space="preserve">the near moral equivalence of intention to kill or cause grievous </w:t>
      </w:r>
      <w:r w:rsidR="00211917" w:rsidRPr="004F542A">
        <w:rPr>
          <w:rFonts w:ascii="Times New Roman" w:hAnsi="Times New Roman"/>
        </w:rPr>
        <w:t>bodily harm and the foresight of the probability of death</w:t>
      </w:r>
      <w:r w:rsidR="009829C9" w:rsidRPr="004F542A">
        <w:rPr>
          <w:rFonts w:ascii="Times New Roman" w:hAnsi="Times New Roman"/>
        </w:rPr>
        <w:t xml:space="preserve"> or grievous bodily harm</w:t>
      </w:r>
      <w:r w:rsidR="00211917" w:rsidRPr="004F542A">
        <w:rPr>
          <w:rFonts w:ascii="Times New Roman" w:hAnsi="Times New Roman"/>
        </w:rPr>
        <w:t>.</w:t>
      </w:r>
      <w:r w:rsidR="008B2299" w:rsidRPr="004F542A">
        <w:rPr>
          <w:rFonts w:ascii="Times New Roman" w:hAnsi="Times New Roman"/>
        </w:rPr>
        <w:t xml:space="preserve"> That rationale does not apply to offences other than murder.</w:t>
      </w:r>
    </w:p>
    <w:p w14:paraId="13685D3A" w14:textId="382A58DF" w:rsidR="00A51826" w:rsidRPr="004F542A" w:rsidRDefault="00211917" w:rsidP="004F542A">
      <w:pPr>
        <w:pStyle w:val="FixListStyle"/>
        <w:spacing w:after="260" w:line="280" w:lineRule="exact"/>
        <w:ind w:right="0"/>
        <w:jc w:val="both"/>
        <w:rPr>
          <w:rFonts w:ascii="Times New Roman" w:hAnsi="Times New Roman"/>
        </w:rPr>
      </w:pPr>
      <w:r w:rsidRPr="004F542A">
        <w:rPr>
          <w:rFonts w:ascii="Times New Roman" w:hAnsi="Times New Roman"/>
        </w:rPr>
        <w:tab/>
      </w:r>
      <w:r w:rsidR="00A51826" w:rsidRPr="004F542A">
        <w:rPr>
          <w:rFonts w:ascii="Times New Roman" w:hAnsi="Times New Roman"/>
        </w:rPr>
        <w:t xml:space="preserve">That foresight of the possibility of harm was the correct standard </w:t>
      </w:r>
      <w:r w:rsidR="00930164" w:rsidRPr="004F542A">
        <w:rPr>
          <w:rFonts w:ascii="Times New Roman" w:hAnsi="Times New Roman"/>
        </w:rPr>
        <w:t xml:space="preserve">of recklessness </w:t>
      </w:r>
      <w:r w:rsidR="00A51826" w:rsidRPr="004F542A">
        <w:rPr>
          <w:rFonts w:ascii="Times New Roman" w:hAnsi="Times New Roman"/>
        </w:rPr>
        <w:t xml:space="preserve">to apply to </w:t>
      </w:r>
      <w:r w:rsidR="00700042" w:rsidRPr="004F542A">
        <w:rPr>
          <w:rFonts w:ascii="Times New Roman" w:hAnsi="Times New Roman"/>
        </w:rPr>
        <w:t xml:space="preserve">statutory </w:t>
      </w:r>
      <w:r w:rsidR="00A51826" w:rsidRPr="004F542A">
        <w:rPr>
          <w:rFonts w:ascii="Times New Roman" w:hAnsi="Times New Roman"/>
        </w:rPr>
        <w:t xml:space="preserve">offences </w:t>
      </w:r>
      <w:r w:rsidR="00700042" w:rsidRPr="004F542A">
        <w:rPr>
          <w:rFonts w:ascii="Times New Roman" w:hAnsi="Times New Roman"/>
        </w:rPr>
        <w:t>other than murder</w:t>
      </w:r>
      <w:r w:rsidR="007330D2" w:rsidRPr="004F542A">
        <w:rPr>
          <w:rFonts w:ascii="Times New Roman" w:hAnsi="Times New Roman"/>
        </w:rPr>
        <w:t xml:space="preserve"> was the view taken in England and generally in Australia, in 1985</w:t>
      </w:r>
      <w:r w:rsidR="007330D2" w:rsidRPr="004F542A">
        <w:rPr>
          <w:rStyle w:val="FootnoteReference"/>
          <w:rFonts w:ascii="Times New Roman" w:hAnsi="Times New Roman"/>
          <w:sz w:val="24"/>
        </w:rPr>
        <w:footnoteReference w:id="5"/>
      </w:r>
      <w:r w:rsidR="00337D1F" w:rsidRPr="004F542A">
        <w:rPr>
          <w:rFonts w:ascii="Times New Roman" w:hAnsi="Times New Roman"/>
        </w:rPr>
        <w:t xml:space="preserve">. In </w:t>
      </w:r>
      <w:r w:rsidR="00337D1F" w:rsidRPr="004F542A">
        <w:rPr>
          <w:rFonts w:ascii="Times New Roman" w:hAnsi="Times New Roman"/>
          <w:i/>
        </w:rPr>
        <w:t>Aubrey</w:t>
      </w:r>
      <w:r w:rsidR="00337D1F" w:rsidRPr="004F542A">
        <w:rPr>
          <w:rStyle w:val="FootnoteReference"/>
          <w:rFonts w:ascii="Times New Roman" w:hAnsi="Times New Roman"/>
          <w:sz w:val="24"/>
        </w:rPr>
        <w:footnoteReference w:id="6"/>
      </w:r>
      <w:r w:rsidR="00337D1F" w:rsidRPr="004F542A">
        <w:rPr>
          <w:rFonts w:ascii="Times New Roman" w:hAnsi="Times New Roman"/>
        </w:rPr>
        <w:t xml:space="preserve"> it was observed that nothing said in </w:t>
      </w:r>
      <w:r w:rsidR="00337D1F" w:rsidRPr="004F542A">
        <w:rPr>
          <w:rFonts w:ascii="Times New Roman" w:hAnsi="Times New Roman"/>
          <w:i/>
        </w:rPr>
        <w:t>Crabbe</w:t>
      </w:r>
      <w:r w:rsidR="00337D1F" w:rsidRPr="004F542A">
        <w:rPr>
          <w:rFonts w:ascii="Times New Roman" w:hAnsi="Times New Roman"/>
        </w:rPr>
        <w:t xml:space="preserve"> altered or required any change to that approach. Statutory</w:t>
      </w:r>
      <w:r w:rsidR="00D975E3" w:rsidRPr="004F542A" w:rsidDel="004A2E3A">
        <w:rPr>
          <w:rFonts w:ascii="Times New Roman" w:hAnsi="Times New Roman"/>
        </w:rPr>
        <w:t xml:space="preserve"> </w:t>
      </w:r>
      <w:r w:rsidR="004A2E3A" w:rsidRPr="004F542A">
        <w:rPr>
          <w:rFonts w:ascii="Times New Roman" w:hAnsi="Times New Roman"/>
        </w:rPr>
        <w:t xml:space="preserve">provisions </w:t>
      </w:r>
      <w:r w:rsidR="00D975E3" w:rsidRPr="004F542A">
        <w:rPr>
          <w:rFonts w:ascii="Times New Roman" w:hAnsi="Times New Roman"/>
        </w:rPr>
        <w:t xml:space="preserve">which involved recklessness in offences of that kind had consistently been construed to require foresight of the possibility of </w:t>
      </w:r>
      <w:r w:rsidR="001467A2" w:rsidRPr="004F542A">
        <w:rPr>
          <w:rFonts w:ascii="Times New Roman" w:hAnsi="Times New Roman"/>
        </w:rPr>
        <w:t>harm</w:t>
      </w:r>
      <w:r w:rsidR="001467A2" w:rsidRPr="004F542A">
        <w:rPr>
          <w:rStyle w:val="FootnoteReference"/>
          <w:rFonts w:ascii="Times New Roman" w:hAnsi="Times New Roman"/>
          <w:sz w:val="24"/>
        </w:rPr>
        <w:footnoteReference w:id="7"/>
      </w:r>
      <w:r w:rsidR="005309B5" w:rsidRPr="004F542A">
        <w:rPr>
          <w:rFonts w:ascii="Times New Roman" w:hAnsi="Times New Roman"/>
        </w:rPr>
        <w:t>.</w:t>
      </w:r>
    </w:p>
    <w:p w14:paraId="71664C15" w14:textId="1B587373" w:rsidR="00DD6FA6" w:rsidRPr="004F542A" w:rsidRDefault="005309B5" w:rsidP="004F542A">
      <w:pPr>
        <w:pStyle w:val="FixListStyle"/>
        <w:spacing w:after="260" w:line="280" w:lineRule="exact"/>
        <w:ind w:right="0"/>
        <w:jc w:val="both"/>
        <w:rPr>
          <w:rFonts w:ascii="Times New Roman" w:hAnsi="Times New Roman"/>
        </w:rPr>
      </w:pPr>
      <w:r w:rsidRPr="004F542A">
        <w:rPr>
          <w:rFonts w:ascii="Times New Roman" w:hAnsi="Times New Roman"/>
        </w:rPr>
        <w:tab/>
      </w:r>
      <w:r w:rsidR="00AE270C" w:rsidRPr="004F542A">
        <w:rPr>
          <w:rFonts w:ascii="Times New Roman" w:hAnsi="Times New Roman"/>
        </w:rPr>
        <w:t xml:space="preserve">An </w:t>
      </w:r>
      <w:r w:rsidRPr="004F542A">
        <w:rPr>
          <w:rFonts w:ascii="Times New Roman" w:hAnsi="Times New Roman"/>
        </w:rPr>
        <w:t xml:space="preserve">exception </w:t>
      </w:r>
      <w:r w:rsidR="00FE170F" w:rsidRPr="004F542A">
        <w:rPr>
          <w:rFonts w:ascii="Times New Roman" w:hAnsi="Times New Roman"/>
        </w:rPr>
        <w:t xml:space="preserve">identified in </w:t>
      </w:r>
      <w:r w:rsidR="00FE170F" w:rsidRPr="004F542A">
        <w:rPr>
          <w:rFonts w:ascii="Times New Roman" w:hAnsi="Times New Roman"/>
          <w:i/>
        </w:rPr>
        <w:t>Aubrey</w:t>
      </w:r>
      <w:r w:rsidR="00FE170F" w:rsidRPr="004F542A">
        <w:rPr>
          <w:rStyle w:val="FootnoteReference"/>
          <w:rFonts w:ascii="Times New Roman" w:hAnsi="Times New Roman"/>
          <w:sz w:val="24"/>
        </w:rPr>
        <w:footnoteReference w:id="8"/>
      </w:r>
      <w:r w:rsidR="00035707" w:rsidRPr="004F542A">
        <w:rPr>
          <w:rFonts w:ascii="Times New Roman" w:hAnsi="Times New Roman"/>
        </w:rPr>
        <w:t xml:space="preserve"> to that approach was the decision of the Victorian Court of Appeal in </w:t>
      </w:r>
      <w:r w:rsidR="00035707" w:rsidRPr="004F542A">
        <w:rPr>
          <w:rFonts w:ascii="Times New Roman" w:hAnsi="Times New Roman"/>
          <w:i/>
        </w:rPr>
        <w:t>R v Campbell</w:t>
      </w:r>
      <w:r w:rsidR="0039482A" w:rsidRPr="004F542A">
        <w:rPr>
          <w:rStyle w:val="FootnoteReference"/>
          <w:rFonts w:ascii="Times New Roman" w:hAnsi="Times New Roman"/>
          <w:sz w:val="24"/>
        </w:rPr>
        <w:footnoteReference w:id="9"/>
      </w:r>
      <w:r w:rsidR="0039482A" w:rsidRPr="004F542A">
        <w:rPr>
          <w:rFonts w:ascii="Times New Roman" w:hAnsi="Times New Roman"/>
        </w:rPr>
        <w:t xml:space="preserve">, in </w:t>
      </w:r>
      <w:r w:rsidR="00F862B1" w:rsidRPr="004F542A">
        <w:rPr>
          <w:rFonts w:ascii="Times New Roman" w:hAnsi="Times New Roman"/>
        </w:rPr>
        <w:t>1995</w:t>
      </w:r>
      <w:r w:rsidR="0039482A" w:rsidRPr="004F542A">
        <w:rPr>
          <w:rFonts w:ascii="Times New Roman" w:hAnsi="Times New Roman"/>
        </w:rPr>
        <w:t xml:space="preserve">. That decision concerned s 17 of the </w:t>
      </w:r>
      <w:r w:rsidR="0039482A" w:rsidRPr="004F542A">
        <w:rPr>
          <w:rFonts w:ascii="Times New Roman" w:hAnsi="Times New Roman"/>
          <w:i/>
        </w:rPr>
        <w:t>Crimes Act 1958</w:t>
      </w:r>
      <w:r w:rsidR="0039482A" w:rsidRPr="004F542A">
        <w:rPr>
          <w:rFonts w:ascii="Times New Roman" w:hAnsi="Times New Roman"/>
        </w:rPr>
        <w:t xml:space="preserve"> (Vic), </w:t>
      </w:r>
      <w:r w:rsidR="00DD6FA6" w:rsidRPr="004F542A">
        <w:rPr>
          <w:rFonts w:ascii="Times New Roman" w:hAnsi="Times New Roman"/>
        </w:rPr>
        <w:t xml:space="preserve">which </w:t>
      </w:r>
      <w:r w:rsidR="001052C0" w:rsidRPr="004F542A">
        <w:rPr>
          <w:rFonts w:ascii="Times New Roman" w:hAnsi="Times New Roman"/>
        </w:rPr>
        <w:t xml:space="preserve">came </w:t>
      </w:r>
      <w:r w:rsidR="00DD6FA6" w:rsidRPr="004F542A">
        <w:rPr>
          <w:rFonts w:ascii="Times New Roman" w:hAnsi="Times New Roman"/>
        </w:rPr>
        <w:t>into force in 1986</w:t>
      </w:r>
      <w:r w:rsidR="00266367" w:rsidRPr="004F542A">
        <w:rPr>
          <w:rStyle w:val="FootnoteReference"/>
          <w:rFonts w:ascii="Times New Roman" w:hAnsi="Times New Roman"/>
          <w:sz w:val="24"/>
        </w:rPr>
        <w:footnoteReference w:id="10"/>
      </w:r>
      <w:r w:rsidR="00DD6FA6" w:rsidRPr="004F542A">
        <w:rPr>
          <w:rFonts w:ascii="Times New Roman" w:hAnsi="Times New Roman"/>
        </w:rPr>
        <w:t xml:space="preserve"> and provided for the offence of recklessly causing serious injury. "Recklessly" was not defined.</w:t>
      </w:r>
      <w:r w:rsidR="00934972" w:rsidRPr="004F542A">
        <w:rPr>
          <w:rFonts w:ascii="Times New Roman" w:hAnsi="Times New Roman"/>
        </w:rPr>
        <w:t xml:space="preserve"> The </w:t>
      </w:r>
      <w:r w:rsidR="00934972" w:rsidRPr="004F542A">
        <w:rPr>
          <w:rFonts w:ascii="Times New Roman" w:hAnsi="Times New Roman"/>
        </w:rPr>
        <w:lastRenderedPageBreak/>
        <w:t xml:space="preserve">Court of Appeal applied the standard of </w:t>
      </w:r>
      <w:r w:rsidR="00B57AAA" w:rsidRPr="004F542A">
        <w:rPr>
          <w:rFonts w:ascii="Times New Roman" w:hAnsi="Times New Roman"/>
        </w:rPr>
        <w:t xml:space="preserve">recklessness as requiring </w:t>
      </w:r>
      <w:r w:rsidR="00934972" w:rsidRPr="004F542A">
        <w:rPr>
          <w:rFonts w:ascii="Times New Roman" w:hAnsi="Times New Roman"/>
        </w:rPr>
        <w:t>foresight of the probability of harm. In so doing</w:t>
      </w:r>
      <w:r w:rsidR="00210057" w:rsidRPr="004F542A">
        <w:rPr>
          <w:rFonts w:ascii="Times New Roman" w:hAnsi="Times New Roman"/>
        </w:rPr>
        <w:t>,</w:t>
      </w:r>
      <w:r w:rsidR="00934972" w:rsidRPr="004F542A">
        <w:rPr>
          <w:rFonts w:ascii="Times New Roman" w:hAnsi="Times New Roman"/>
        </w:rPr>
        <w:t xml:space="preserve"> it overturned a line of authority in that State</w:t>
      </w:r>
      <w:r w:rsidR="00934972" w:rsidRPr="004F542A">
        <w:rPr>
          <w:rStyle w:val="FootnoteReference"/>
          <w:rFonts w:ascii="Times New Roman" w:hAnsi="Times New Roman"/>
          <w:sz w:val="24"/>
        </w:rPr>
        <w:footnoteReference w:id="11"/>
      </w:r>
      <w:r w:rsidR="00934972" w:rsidRPr="004F542A">
        <w:rPr>
          <w:rFonts w:ascii="Times New Roman" w:hAnsi="Times New Roman"/>
        </w:rPr>
        <w:t xml:space="preserve"> which had consistently dealt with the test for recklessness in the way which had been generally accepted before </w:t>
      </w:r>
      <w:r w:rsidR="00934972" w:rsidRPr="004F542A">
        <w:rPr>
          <w:rFonts w:ascii="Times New Roman" w:hAnsi="Times New Roman"/>
          <w:i/>
        </w:rPr>
        <w:t>Crabbe</w:t>
      </w:r>
      <w:r w:rsidR="00934972" w:rsidRPr="004F542A">
        <w:rPr>
          <w:rFonts w:ascii="Times New Roman" w:hAnsi="Times New Roman"/>
        </w:rPr>
        <w:t>.</w:t>
      </w:r>
    </w:p>
    <w:p w14:paraId="64CB3CA9" w14:textId="37593B5A" w:rsidR="008E7D66" w:rsidRPr="004F542A" w:rsidRDefault="00344A9E" w:rsidP="004F542A">
      <w:pPr>
        <w:pStyle w:val="FixListStyle"/>
        <w:spacing w:after="260" w:line="280" w:lineRule="exact"/>
        <w:ind w:right="0"/>
        <w:jc w:val="both"/>
        <w:rPr>
          <w:rFonts w:ascii="Times New Roman" w:hAnsi="Times New Roman"/>
        </w:rPr>
      </w:pPr>
      <w:r w:rsidRPr="004F542A">
        <w:rPr>
          <w:rFonts w:ascii="Times New Roman" w:hAnsi="Times New Roman"/>
        </w:rPr>
        <w:tab/>
      </w:r>
      <w:r w:rsidR="005830EC" w:rsidRPr="004F542A">
        <w:rPr>
          <w:rFonts w:ascii="Times New Roman" w:hAnsi="Times New Roman"/>
        </w:rPr>
        <w:t xml:space="preserve">The </w:t>
      </w:r>
      <w:r w:rsidR="00C64D92" w:rsidRPr="004F542A">
        <w:rPr>
          <w:rFonts w:ascii="Times New Roman" w:hAnsi="Times New Roman"/>
        </w:rPr>
        <w:t xml:space="preserve">Court </w:t>
      </w:r>
      <w:r w:rsidR="005830EC" w:rsidRPr="004F542A">
        <w:rPr>
          <w:rFonts w:ascii="Times New Roman" w:hAnsi="Times New Roman"/>
        </w:rPr>
        <w:t xml:space="preserve">of Appeal </w:t>
      </w:r>
      <w:r w:rsidR="00C64D92" w:rsidRPr="004F542A">
        <w:rPr>
          <w:rFonts w:ascii="Times New Roman" w:hAnsi="Times New Roman"/>
        </w:rPr>
        <w:t xml:space="preserve">in </w:t>
      </w:r>
      <w:r w:rsidR="00C64D92" w:rsidRPr="004F542A">
        <w:rPr>
          <w:rFonts w:ascii="Times New Roman" w:hAnsi="Times New Roman"/>
          <w:i/>
        </w:rPr>
        <w:t>Campbell</w:t>
      </w:r>
      <w:r w:rsidR="00C64D92" w:rsidRPr="004F542A">
        <w:rPr>
          <w:rFonts w:ascii="Times New Roman" w:hAnsi="Times New Roman"/>
        </w:rPr>
        <w:t xml:space="preserve"> reasoned</w:t>
      </w:r>
      <w:r w:rsidR="00C64D92" w:rsidRPr="004F542A">
        <w:rPr>
          <w:rStyle w:val="FootnoteReference"/>
          <w:rFonts w:ascii="Times New Roman" w:hAnsi="Times New Roman"/>
          <w:sz w:val="24"/>
        </w:rPr>
        <w:footnoteReference w:id="12"/>
      </w:r>
      <w:r w:rsidR="00431B91" w:rsidRPr="004F542A">
        <w:rPr>
          <w:rFonts w:ascii="Times New Roman" w:hAnsi="Times New Roman"/>
        </w:rPr>
        <w:t xml:space="preserve"> that</w:t>
      </w:r>
      <w:r w:rsidR="00C870C2" w:rsidRPr="004F542A">
        <w:rPr>
          <w:rFonts w:ascii="Times New Roman" w:hAnsi="Times New Roman"/>
        </w:rPr>
        <w:t>,</w:t>
      </w:r>
      <w:r w:rsidR="00431B91" w:rsidRPr="004F542A">
        <w:rPr>
          <w:rFonts w:ascii="Times New Roman" w:hAnsi="Times New Roman"/>
        </w:rPr>
        <w:t xml:space="preserve"> </w:t>
      </w:r>
      <w:r w:rsidR="00AB034A" w:rsidRPr="004F542A">
        <w:rPr>
          <w:rFonts w:ascii="Times New Roman" w:hAnsi="Times New Roman"/>
        </w:rPr>
        <w:t xml:space="preserve">whilst </w:t>
      </w:r>
      <w:r w:rsidR="00AB034A" w:rsidRPr="004F542A">
        <w:rPr>
          <w:rFonts w:ascii="Times New Roman" w:hAnsi="Times New Roman"/>
          <w:i/>
        </w:rPr>
        <w:t>Crabbe</w:t>
      </w:r>
      <w:r w:rsidR="00AB034A" w:rsidRPr="004F542A">
        <w:rPr>
          <w:rFonts w:ascii="Times New Roman" w:hAnsi="Times New Roman"/>
        </w:rPr>
        <w:t xml:space="preserve"> concerned murder, the same principles are relevant to the offence under s 17. An earlier decision of the Court of </w:t>
      </w:r>
      <w:r w:rsidR="00702CA4" w:rsidRPr="004F542A">
        <w:rPr>
          <w:rFonts w:ascii="Times New Roman" w:hAnsi="Times New Roman"/>
        </w:rPr>
        <w:t xml:space="preserve">Criminal </w:t>
      </w:r>
      <w:r w:rsidR="00AB034A" w:rsidRPr="004F542A">
        <w:rPr>
          <w:rFonts w:ascii="Times New Roman" w:hAnsi="Times New Roman"/>
        </w:rPr>
        <w:t xml:space="preserve">Appeal, </w:t>
      </w:r>
      <w:r w:rsidR="00AB034A" w:rsidRPr="004F542A">
        <w:rPr>
          <w:rFonts w:ascii="Times New Roman" w:hAnsi="Times New Roman"/>
          <w:i/>
        </w:rPr>
        <w:t>R v Nuri</w:t>
      </w:r>
      <w:r w:rsidR="00AB034A" w:rsidRPr="004F542A">
        <w:rPr>
          <w:rStyle w:val="FootnoteReference"/>
          <w:rFonts w:ascii="Times New Roman" w:hAnsi="Times New Roman"/>
          <w:sz w:val="24"/>
        </w:rPr>
        <w:footnoteReference w:id="13"/>
      </w:r>
      <w:r w:rsidR="00E55ED0" w:rsidRPr="004F542A">
        <w:rPr>
          <w:rFonts w:ascii="Times New Roman" w:hAnsi="Times New Roman"/>
        </w:rPr>
        <w:t>, had applied a test of</w:t>
      </w:r>
      <w:r w:rsidR="006C67DC" w:rsidRPr="004F542A">
        <w:rPr>
          <w:rFonts w:ascii="Times New Roman" w:hAnsi="Times New Roman"/>
        </w:rPr>
        <w:t xml:space="preserve"> </w:t>
      </w:r>
      <w:r w:rsidR="00E55ED0" w:rsidRPr="004F542A">
        <w:rPr>
          <w:rFonts w:ascii="Times New Roman" w:hAnsi="Times New Roman"/>
        </w:rPr>
        <w:t xml:space="preserve">probability </w:t>
      </w:r>
      <w:r w:rsidR="001052C0" w:rsidRPr="004F542A">
        <w:rPr>
          <w:rFonts w:ascii="Times New Roman" w:hAnsi="Times New Roman"/>
        </w:rPr>
        <w:t>to the offence of reckless</w:t>
      </w:r>
      <w:r w:rsidR="00E77F64" w:rsidRPr="004F542A">
        <w:rPr>
          <w:rFonts w:ascii="Times New Roman" w:hAnsi="Times New Roman"/>
        </w:rPr>
        <w:t>ly engaging in</w:t>
      </w:r>
      <w:r w:rsidR="001052C0" w:rsidRPr="004F542A">
        <w:rPr>
          <w:rFonts w:ascii="Times New Roman" w:hAnsi="Times New Roman"/>
        </w:rPr>
        <w:t xml:space="preserve"> conduct endangering life under s 22 of the </w:t>
      </w:r>
      <w:r w:rsidR="001052C0" w:rsidRPr="004F542A">
        <w:rPr>
          <w:rFonts w:ascii="Times New Roman" w:hAnsi="Times New Roman"/>
          <w:i/>
        </w:rPr>
        <w:t>Crime</w:t>
      </w:r>
      <w:r w:rsidR="00F26224" w:rsidRPr="004F542A">
        <w:rPr>
          <w:rFonts w:ascii="Times New Roman" w:hAnsi="Times New Roman"/>
          <w:i/>
        </w:rPr>
        <w:t>s</w:t>
      </w:r>
      <w:r w:rsidR="001052C0" w:rsidRPr="004F542A">
        <w:rPr>
          <w:rFonts w:ascii="Times New Roman" w:hAnsi="Times New Roman"/>
          <w:i/>
        </w:rPr>
        <w:t xml:space="preserve"> Act</w:t>
      </w:r>
      <w:r w:rsidR="001052C0" w:rsidRPr="004F542A">
        <w:rPr>
          <w:rFonts w:ascii="Times New Roman" w:hAnsi="Times New Roman"/>
        </w:rPr>
        <w:t xml:space="preserve">. </w:t>
      </w:r>
      <w:r w:rsidR="00E55ED0" w:rsidRPr="004F542A">
        <w:rPr>
          <w:rFonts w:ascii="Times New Roman" w:hAnsi="Times New Roman"/>
        </w:rPr>
        <w:t xml:space="preserve">The Court in </w:t>
      </w:r>
      <w:r w:rsidR="00E55ED0" w:rsidRPr="004F542A">
        <w:rPr>
          <w:rFonts w:ascii="Times New Roman" w:hAnsi="Times New Roman"/>
          <w:i/>
        </w:rPr>
        <w:t>Campbell</w:t>
      </w:r>
      <w:r w:rsidR="00E55ED0" w:rsidRPr="004F542A">
        <w:rPr>
          <w:rFonts w:ascii="Times New Roman" w:hAnsi="Times New Roman"/>
        </w:rPr>
        <w:t xml:space="preserve"> held that all relevant sections in </w:t>
      </w:r>
      <w:r w:rsidR="00D7243B" w:rsidRPr="004F542A">
        <w:rPr>
          <w:rFonts w:ascii="Times New Roman" w:hAnsi="Times New Roman"/>
        </w:rPr>
        <w:t xml:space="preserve">this </w:t>
      </w:r>
      <w:r w:rsidR="00E55ED0" w:rsidRPr="004F542A">
        <w:rPr>
          <w:rFonts w:ascii="Times New Roman" w:hAnsi="Times New Roman"/>
        </w:rPr>
        <w:t xml:space="preserve">group </w:t>
      </w:r>
      <w:r w:rsidR="00D7243B" w:rsidRPr="004F542A">
        <w:rPr>
          <w:rFonts w:ascii="Times New Roman" w:hAnsi="Times New Roman"/>
        </w:rPr>
        <w:t>of</w:t>
      </w:r>
      <w:r w:rsidR="000A3EEE" w:rsidRPr="004F542A">
        <w:rPr>
          <w:rFonts w:ascii="Times New Roman" w:hAnsi="Times New Roman"/>
        </w:rPr>
        <w:t xml:space="preserve"> sections in</w:t>
      </w:r>
      <w:r w:rsidR="00D7243B" w:rsidRPr="004F542A">
        <w:rPr>
          <w:rFonts w:ascii="Times New Roman" w:hAnsi="Times New Roman"/>
        </w:rPr>
        <w:t xml:space="preserve"> </w:t>
      </w:r>
      <w:r w:rsidR="00E55ED0" w:rsidRPr="004F542A">
        <w:rPr>
          <w:rFonts w:ascii="Times New Roman" w:hAnsi="Times New Roman"/>
        </w:rPr>
        <w:t>the Act</w:t>
      </w:r>
      <w:r w:rsidR="006916F8" w:rsidRPr="004F542A">
        <w:rPr>
          <w:rFonts w:ascii="Times New Roman" w:hAnsi="Times New Roman"/>
        </w:rPr>
        <w:t>, including s 17,</w:t>
      </w:r>
      <w:r w:rsidR="00E55ED0" w:rsidRPr="004F542A">
        <w:rPr>
          <w:rFonts w:ascii="Times New Roman" w:hAnsi="Times New Roman"/>
        </w:rPr>
        <w:t xml:space="preserve"> must apply the same test</w:t>
      </w:r>
      <w:r w:rsidR="00E55ED0" w:rsidRPr="004F542A">
        <w:rPr>
          <w:rStyle w:val="FootnoteReference"/>
          <w:rFonts w:ascii="Times New Roman" w:hAnsi="Times New Roman"/>
          <w:sz w:val="24"/>
        </w:rPr>
        <w:footnoteReference w:id="14"/>
      </w:r>
      <w:r w:rsidR="001B31F3" w:rsidRPr="004F542A">
        <w:rPr>
          <w:rFonts w:ascii="Times New Roman" w:hAnsi="Times New Roman"/>
        </w:rPr>
        <w:t>.</w:t>
      </w:r>
    </w:p>
    <w:p w14:paraId="0E2D0071" w14:textId="2B2FC2AA" w:rsidR="00513C42" w:rsidRPr="004F542A" w:rsidRDefault="00513C42" w:rsidP="004F542A">
      <w:pPr>
        <w:pStyle w:val="FixListStyle"/>
        <w:spacing w:after="260" w:line="280" w:lineRule="exact"/>
        <w:ind w:right="0"/>
        <w:jc w:val="both"/>
        <w:rPr>
          <w:rFonts w:ascii="Times New Roman" w:hAnsi="Times New Roman"/>
        </w:rPr>
      </w:pPr>
      <w:r w:rsidRPr="004F542A">
        <w:rPr>
          <w:rFonts w:ascii="Times New Roman" w:hAnsi="Times New Roman"/>
        </w:rPr>
        <w:tab/>
      </w:r>
      <w:r w:rsidR="00112798" w:rsidRPr="004F542A">
        <w:rPr>
          <w:rFonts w:ascii="Times New Roman" w:hAnsi="Times New Roman"/>
          <w:i/>
        </w:rPr>
        <w:t>Aubrey</w:t>
      </w:r>
      <w:r w:rsidR="00A85744" w:rsidRPr="004F542A">
        <w:rPr>
          <w:rStyle w:val="FootnoteReference"/>
          <w:rFonts w:ascii="Times New Roman" w:hAnsi="Times New Roman"/>
          <w:sz w:val="24"/>
        </w:rPr>
        <w:footnoteReference w:id="15"/>
      </w:r>
      <w:r w:rsidR="00112798" w:rsidRPr="004F542A">
        <w:rPr>
          <w:rFonts w:ascii="Times New Roman" w:hAnsi="Times New Roman"/>
        </w:rPr>
        <w:t xml:space="preserve"> was concerned with the offence of malicious</w:t>
      </w:r>
      <w:r w:rsidR="001841A8" w:rsidRPr="004F542A">
        <w:rPr>
          <w:rFonts w:ascii="Times New Roman" w:hAnsi="Times New Roman"/>
        </w:rPr>
        <w:t>ly</w:t>
      </w:r>
      <w:r w:rsidR="00112798" w:rsidRPr="004F542A">
        <w:rPr>
          <w:rFonts w:ascii="Times New Roman" w:hAnsi="Times New Roman"/>
        </w:rPr>
        <w:t xml:space="preserve"> </w:t>
      </w:r>
      <w:r w:rsidR="001841A8" w:rsidRPr="004F542A">
        <w:rPr>
          <w:rFonts w:ascii="Times New Roman" w:hAnsi="Times New Roman"/>
        </w:rPr>
        <w:t>inflicting</w:t>
      </w:r>
      <w:r w:rsidR="00112798" w:rsidRPr="004F542A" w:rsidDel="001841A8">
        <w:rPr>
          <w:rFonts w:ascii="Times New Roman" w:hAnsi="Times New Roman"/>
        </w:rPr>
        <w:t xml:space="preserve"> </w:t>
      </w:r>
      <w:r w:rsidR="00112798" w:rsidRPr="004F542A">
        <w:rPr>
          <w:rFonts w:ascii="Times New Roman" w:hAnsi="Times New Roman"/>
        </w:rPr>
        <w:t xml:space="preserve">grievous bodily harm in s 35(1)(b) of the </w:t>
      </w:r>
      <w:r w:rsidR="00112798" w:rsidRPr="004F542A">
        <w:rPr>
          <w:rFonts w:ascii="Times New Roman" w:hAnsi="Times New Roman"/>
          <w:i/>
        </w:rPr>
        <w:t>Crimes Act 1900</w:t>
      </w:r>
      <w:r w:rsidR="00112798" w:rsidRPr="004F542A">
        <w:rPr>
          <w:rFonts w:ascii="Times New Roman" w:hAnsi="Times New Roman"/>
        </w:rPr>
        <w:t xml:space="preserve"> (NSW) where "maliciously" was defined</w:t>
      </w:r>
      <w:r w:rsidR="00D360BC" w:rsidRPr="004F542A">
        <w:rPr>
          <w:rFonts w:ascii="Times New Roman" w:hAnsi="Times New Roman"/>
        </w:rPr>
        <w:t xml:space="preserve"> in s 5</w:t>
      </w:r>
      <w:r w:rsidR="00112798" w:rsidRPr="004F542A">
        <w:rPr>
          <w:rFonts w:ascii="Times New Roman" w:hAnsi="Times New Roman"/>
        </w:rPr>
        <w:t xml:space="preserve"> to include "recklessly". The New South Wales Court of Criminal Appeal in </w:t>
      </w:r>
      <w:r w:rsidR="00112798" w:rsidRPr="004F542A">
        <w:rPr>
          <w:rFonts w:ascii="Times New Roman" w:hAnsi="Times New Roman"/>
          <w:i/>
        </w:rPr>
        <w:t>R v Coleman</w:t>
      </w:r>
      <w:r w:rsidR="00112798" w:rsidRPr="004F542A">
        <w:rPr>
          <w:rStyle w:val="FootnoteReference"/>
          <w:rFonts w:ascii="Times New Roman" w:hAnsi="Times New Roman"/>
          <w:sz w:val="24"/>
        </w:rPr>
        <w:footnoteReference w:id="16"/>
      </w:r>
      <w:r w:rsidR="006F2E70" w:rsidRPr="004F542A">
        <w:rPr>
          <w:rFonts w:ascii="Times New Roman" w:hAnsi="Times New Roman"/>
        </w:rPr>
        <w:t xml:space="preserve"> </w:t>
      </w:r>
      <w:r w:rsidR="005830EC" w:rsidRPr="004F542A">
        <w:rPr>
          <w:rFonts w:ascii="Times New Roman" w:hAnsi="Times New Roman"/>
        </w:rPr>
        <w:t xml:space="preserve">had </w:t>
      </w:r>
      <w:r w:rsidR="006F2E70" w:rsidRPr="004F542A">
        <w:rPr>
          <w:rFonts w:ascii="Times New Roman" w:hAnsi="Times New Roman"/>
        </w:rPr>
        <w:t xml:space="preserve">rejected the reasoning </w:t>
      </w:r>
      <w:r w:rsidR="00FC4F49" w:rsidRPr="004F542A">
        <w:rPr>
          <w:rFonts w:ascii="Times New Roman" w:hAnsi="Times New Roman"/>
        </w:rPr>
        <w:t xml:space="preserve">later </w:t>
      </w:r>
      <w:r w:rsidR="00440B5A" w:rsidRPr="004F542A">
        <w:rPr>
          <w:rFonts w:ascii="Times New Roman" w:hAnsi="Times New Roman"/>
        </w:rPr>
        <w:t>adopted</w:t>
      </w:r>
      <w:r w:rsidR="00A700CE" w:rsidRPr="004F542A">
        <w:rPr>
          <w:rFonts w:ascii="Times New Roman" w:hAnsi="Times New Roman"/>
        </w:rPr>
        <w:t xml:space="preserve"> </w:t>
      </w:r>
      <w:r w:rsidR="006F2E70" w:rsidRPr="004F542A">
        <w:rPr>
          <w:rFonts w:ascii="Times New Roman" w:hAnsi="Times New Roman"/>
        </w:rPr>
        <w:t xml:space="preserve">in </w:t>
      </w:r>
      <w:r w:rsidR="006F2E70" w:rsidRPr="004F542A">
        <w:rPr>
          <w:rFonts w:ascii="Times New Roman" w:hAnsi="Times New Roman"/>
          <w:i/>
        </w:rPr>
        <w:t>Campbell</w:t>
      </w:r>
      <w:r w:rsidR="006F2E70" w:rsidRPr="004F542A">
        <w:rPr>
          <w:rFonts w:ascii="Times New Roman" w:hAnsi="Times New Roman"/>
        </w:rPr>
        <w:t xml:space="preserve"> and </w:t>
      </w:r>
      <w:r w:rsidR="00FC4F49" w:rsidRPr="004F542A">
        <w:rPr>
          <w:rFonts w:ascii="Times New Roman" w:hAnsi="Times New Roman"/>
        </w:rPr>
        <w:t xml:space="preserve">instead </w:t>
      </w:r>
      <w:r w:rsidR="006F2E70" w:rsidRPr="004F542A">
        <w:rPr>
          <w:rFonts w:ascii="Times New Roman" w:hAnsi="Times New Roman"/>
        </w:rPr>
        <w:t>applied the test of foresight of the possibility of harm. This Court held that it was correct to do so</w:t>
      </w:r>
      <w:r w:rsidR="00FA0489" w:rsidRPr="004F542A">
        <w:rPr>
          <w:rStyle w:val="FootnoteReference"/>
          <w:rFonts w:ascii="Times New Roman" w:hAnsi="Times New Roman"/>
          <w:sz w:val="24"/>
        </w:rPr>
        <w:footnoteReference w:id="17"/>
      </w:r>
      <w:r w:rsidR="006F2E70" w:rsidRPr="004F542A">
        <w:rPr>
          <w:rFonts w:ascii="Times New Roman" w:hAnsi="Times New Roman"/>
        </w:rPr>
        <w:t>.</w:t>
      </w:r>
    </w:p>
    <w:p w14:paraId="608D5A2E" w14:textId="2B51C072" w:rsidR="00092FCE" w:rsidRPr="004F542A" w:rsidRDefault="00092FCE" w:rsidP="004F542A">
      <w:pPr>
        <w:pStyle w:val="HeadingL1"/>
        <w:spacing w:after="260" w:line="280" w:lineRule="exact"/>
        <w:ind w:right="0"/>
        <w:jc w:val="both"/>
        <w:rPr>
          <w:rFonts w:ascii="Times New Roman" w:hAnsi="Times New Roman"/>
        </w:rPr>
      </w:pPr>
      <w:r w:rsidRPr="004F542A">
        <w:rPr>
          <w:rFonts w:ascii="Times New Roman" w:hAnsi="Times New Roman"/>
        </w:rPr>
        <w:t xml:space="preserve">The </w:t>
      </w:r>
      <w:r w:rsidR="00FC413A" w:rsidRPr="004F542A">
        <w:rPr>
          <w:rFonts w:ascii="Times New Roman" w:hAnsi="Times New Roman"/>
        </w:rPr>
        <w:t>r</w:t>
      </w:r>
      <w:r w:rsidRPr="004F542A">
        <w:rPr>
          <w:rFonts w:ascii="Times New Roman" w:hAnsi="Times New Roman"/>
        </w:rPr>
        <w:t>eference and the Court of Appeal</w:t>
      </w:r>
    </w:p>
    <w:p w14:paraId="4DB40050" w14:textId="0171E40B" w:rsidR="006F2E70" w:rsidRPr="004F542A" w:rsidRDefault="006F2E70" w:rsidP="004F542A">
      <w:pPr>
        <w:pStyle w:val="FixListStyle"/>
        <w:spacing w:after="260" w:line="280" w:lineRule="exact"/>
        <w:ind w:right="0"/>
        <w:jc w:val="both"/>
        <w:rPr>
          <w:rFonts w:ascii="Times New Roman" w:hAnsi="Times New Roman"/>
        </w:rPr>
      </w:pPr>
      <w:r w:rsidRPr="004F542A">
        <w:rPr>
          <w:rFonts w:ascii="Times New Roman" w:hAnsi="Times New Roman"/>
        </w:rPr>
        <w:tab/>
      </w:r>
      <w:r w:rsidR="00092FCE" w:rsidRPr="004F542A">
        <w:rPr>
          <w:rFonts w:ascii="Times New Roman" w:hAnsi="Times New Roman"/>
        </w:rPr>
        <w:t xml:space="preserve">This matter comes to this Court because the </w:t>
      </w:r>
      <w:r w:rsidR="005830EC" w:rsidRPr="004F542A">
        <w:rPr>
          <w:rFonts w:ascii="Times New Roman" w:hAnsi="Times New Roman"/>
        </w:rPr>
        <w:t>D</w:t>
      </w:r>
      <w:r w:rsidRPr="004F542A">
        <w:rPr>
          <w:rFonts w:ascii="Times New Roman" w:hAnsi="Times New Roman"/>
        </w:rPr>
        <w:t xml:space="preserve">irector of Public Prosecutions for Victoria referred the correctness of the decision in </w:t>
      </w:r>
      <w:r w:rsidRPr="004F542A">
        <w:rPr>
          <w:rFonts w:ascii="Times New Roman" w:hAnsi="Times New Roman"/>
          <w:i/>
        </w:rPr>
        <w:t>Campbell</w:t>
      </w:r>
      <w:r w:rsidRPr="004F542A">
        <w:rPr>
          <w:rFonts w:ascii="Times New Roman" w:hAnsi="Times New Roman"/>
        </w:rPr>
        <w:t xml:space="preserve"> as a point of </w:t>
      </w:r>
      <w:r w:rsidR="00133B82" w:rsidRPr="004F542A">
        <w:rPr>
          <w:rFonts w:ascii="Times New Roman" w:hAnsi="Times New Roman"/>
        </w:rPr>
        <w:t xml:space="preserve">law for the opinion of the </w:t>
      </w:r>
      <w:r w:rsidR="005830EC" w:rsidRPr="004F542A">
        <w:rPr>
          <w:rFonts w:ascii="Times New Roman" w:hAnsi="Times New Roman"/>
        </w:rPr>
        <w:t xml:space="preserve">Victorian </w:t>
      </w:r>
      <w:r w:rsidR="00133B82" w:rsidRPr="004F542A">
        <w:rPr>
          <w:rFonts w:ascii="Times New Roman" w:hAnsi="Times New Roman"/>
        </w:rPr>
        <w:t>Court of Appeal</w:t>
      </w:r>
      <w:r w:rsidR="00133B82" w:rsidRPr="004F542A">
        <w:rPr>
          <w:rStyle w:val="FootnoteReference"/>
          <w:rFonts w:ascii="Times New Roman" w:hAnsi="Times New Roman"/>
          <w:sz w:val="24"/>
        </w:rPr>
        <w:footnoteReference w:id="18"/>
      </w:r>
      <w:r w:rsidR="00133B82" w:rsidRPr="004F542A">
        <w:rPr>
          <w:rFonts w:ascii="Times New Roman" w:hAnsi="Times New Roman"/>
        </w:rPr>
        <w:t xml:space="preserve">. The background to the reference </w:t>
      </w:r>
      <w:r w:rsidR="00C379A8" w:rsidRPr="004F542A">
        <w:rPr>
          <w:rFonts w:ascii="Times New Roman" w:hAnsi="Times New Roman"/>
        </w:rPr>
        <w:t xml:space="preserve">was </w:t>
      </w:r>
      <w:r w:rsidR="00B20094" w:rsidRPr="004F542A">
        <w:rPr>
          <w:rFonts w:ascii="Times New Roman" w:hAnsi="Times New Roman"/>
        </w:rPr>
        <w:t xml:space="preserve">proceedings in the County Court of Victoria </w:t>
      </w:r>
      <w:r w:rsidR="0040496D" w:rsidRPr="004F542A">
        <w:rPr>
          <w:rFonts w:ascii="Times New Roman" w:hAnsi="Times New Roman"/>
        </w:rPr>
        <w:t xml:space="preserve">involving a charge brought </w:t>
      </w:r>
      <w:r w:rsidR="00B20094" w:rsidRPr="004F542A">
        <w:rPr>
          <w:rFonts w:ascii="Times New Roman" w:hAnsi="Times New Roman"/>
        </w:rPr>
        <w:t xml:space="preserve">under </w:t>
      </w:r>
      <w:r w:rsidR="00B20094" w:rsidRPr="004F542A">
        <w:rPr>
          <w:rFonts w:ascii="Times New Roman" w:hAnsi="Times New Roman"/>
        </w:rPr>
        <w:lastRenderedPageBreak/>
        <w:t xml:space="preserve">s 17 of the </w:t>
      </w:r>
      <w:r w:rsidR="00B20094" w:rsidRPr="004F542A">
        <w:rPr>
          <w:rFonts w:ascii="Times New Roman" w:hAnsi="Times New Roman"/>
          <w:i/>
        </w:rPr>
        <w:t>Crimes Act</w:t>
      </w:r>
      <w:r w:rsidR="00B20094" w:rsidRPr="004F542A">
        <w:rPr>
          <w:rFonts w:ascii="Times New Roman" w:hAnsi="Times New Roman"/>
        </w:rPr>
        <w:t xml:space="preserve"> where the trial judge declined to </w:t>
      </w:r>
      <w:r w:rsidR="0040496D" w:rsidRPr="004F542A">
        <w:rPr>
          <w:rFonts w:ascii="Times New Roman" w:hAnsi="Times New Roman"/>
        </w:rPr>
        <w:t xml:space="preserve">direct </w:t>
      </w:r>
      <w:r w:rsidR="00B20094" w:rsidRPr="004F542A">
        <w:rPr>
          <w:rFonts w:ascii="Times New Roman" w:hAnsi="Times New Roman"/>
        </w:rPr>
        <w:t xml:space="preserve">the jury in accordance with </w:t>
      </w:r>
      <w:r w:rsidR="00B20094" w:rsidRPr="004F542A">
        <w:rPr>
          <w:rFonts w:ascii="Times New Roman" w:hAnsi="Times New Roman"/>
          <w:i/>
        </w:rPr>
        <w:t>Aubrey</w:t>
      </w:r>
      <w:r w:rsidR="00E74E68" w:rsidRPr="004F542A">
        <w:rPr>
          <w:rFonts w:ascii="Times New Roman" w:hAnsi="Times New Roman"/>
        </w:rPr>
        <w:t xml:space="preserve">, considering himself bound </w:t>
      </w:r>
      <w:r w:rsidR="007822E3" w:rsidRPr="004F542A">
        <w:rPr>
          <w:rFonts w:ascii="Times New Roman" w:hAnsi="Times New Roman"/>
          <w:iCs/>
        </w:rPr>
        <w:t>to follow</w:t>
      </w:r>
      <w:r w:rsidR="00E74E68" w:rsidRPr="004F542A">
        <w:rPr>
          <w:rFonts w:ascii="Times New Roman" w:hAnsi="Times New Roman"/>
        </w:rPr>
        <w:t xml:space="preserve"> </w:t>
      </w:r>
      <w:r w:rsidR="00E74E68" w:rsidRPr="004F542A">
        <w:rPr>
          <w:rFonts w:ascii="Times New Roman" w:hAnsi="Times New Roman"/>
          <w:i/>
        </w:rPr>
        <w:t>Campbell</w:t>
      </w:r>
      <w:r w:rsidR="00AE563F" w:rsidRPr="004F542A">
        <w:rPr>
          <w:rFonts w:ascii="Times New Roman" w:hAnsi="Times New Roman"/>
        </w:rPr>
        <w:t>.</w:t>
      </w:r>
      <w:r w:rsidR="00B20094" w:rsidRPr="004F542A" w:rsidDel="00AE563F">
        <w:rPr>
          <w:rFonts w:ascii="Times New Roman" w:hAnsi="Times New Roman"/>
        </w:rPr>
        <w:t xml:space="preserve"> </w:t>
      </w:r>
      <w:r w:rsidR="00AE563F" w:rsidRPr="004F542A">
        <w:rPr>
          <w:rFonts w:ascii="Times New Roman" w:hAnsi="Times New Roman"/>
        </w:rPr>
        <w:t xml:space="preserve">The </w:t>
      </w:r>
      <w:r w:rsidR="00B20094" w:rsidRPr="004F542A">
        <w:rPr>
          <w:rFonts w:ascii="Times New Roman" w:hAnsi="Times New Roman"/>
        </w:rPr>
        <w:t>accused was acquitted.</w:t>
      </w:r>
    </w:p>
    <w:p w14:paraId="4E17EF55" w14:textId="09462E86" w:rsidR="00F6426F" w:rsidRPr="004F542A" w:rsidRDefault="00B20094" w:rsidP="004F542A">
      <w:pPr>
        <w:pStyle w:val="FixListStyle"/>
        <w:spacing w:after="260" w:line="280" w:lineRule="exact"/>
        <w:ind w:right="0"/>
        <w:jc w:val="both"/>
        <w:rPr>
          <w:rFonts w:ascii="Times New Roman" w:hAnsi="Times New Roman"/>
        </w:rPr>
      </w:pPr>
      <w:r w:rsidRPr="004F542A">
        <w:rPr>
          <w:rFonts w:ascii="Times New Roman" w:hAnsi="Times New Roman"/>
        </w:rPr>
        <w:tab/>
      </w:r>
      <w:r w:rsidR="00354BF1" w:rsidRPr="004F542A">
        <w:rPr>
          <w:rFonts w:ascii="Times New Roman" w:hAnsi="Times New Roman"/>
        </w:rPr>
        <w:t xml:space="preserve">There can be no doubt that the decision in </w:t>
      </w:r>
      <w:r w:rsidR="00354BF1" w:rsidRPr="004F542A">
        <w:rPr>
          <w:rFonts w:ascii="Times New Roman" w:hAnsi="Times New Roman"/>
          <w:i/>
        </w:rPr>
        <w:t>Campbell</w:t>
      </w:r>
      <w:r w:rsidR="00354BF1" w:rsidRPr="004F542A">
        <w:rPr>
          <w:rFonts w:ascii="Times New Roman" w:hAnsi="Times New Roman"/>
        </w:rPr>
        <w:t xml:space="preserve"> is wrong</w:t>
      </w:r>
      <w:r w:rsidR="001B31F3" w:rsidRPr="004F542A">
        <w:rPr>
          <w:rFonts w:ascii="Times New Roman" w:hAnsi="Times New Roman"/>
        </w:rPr>
        <w:t xml:space="preserve">. </w:t>
      </w:r>
      <w:r w:rsidR="00092FCE" w:rsidRPr="004F542A">
        <w:rPr>
          <w:rFonts w:ascii="Times New Roman" w:hAnsi="Times New Roman"/>
        </w:rPr>
        <w:t xml:space="preserve">The question of its correctness was not </w:t>
      </w:r>
      <w:r w:rsidR="00EC3910" w:rsidRPr="004F542A">
        <w:rPr>
          <w:rFonts w:ascii="Times New Roman" w:hAnsi="Times New Roman"/>
        </w:rPr>
        <w:t xml:space="preserve">answered </w:t>
      </w:r>
      <w:r w:rsidR="00092FCE" w:rsidRPr="004F542A">
        <w:rPr>
          <w:rFonts w:ascii="Times New Roman" w:hAnsi="Times New Roman"/>
        </w:rPr>
        <w:t>in the joint judgment in the Court of Appeal</w:t>
      </w:r>
      <w:r w:rsidR="00092FCE" w:rsidRPr="004F542A">
        <w:rPr>
          <w:rStyle w:val="FootnoteReference"/>
          <w:rFonts w:ascii="Times New Roman" w:hAnsi="Times New Roman"/>
          <w:sz w:val="24"/>
        </w:rPr>
        <w:footnoteReference w:id="19"/>
      </w:r>
      <w:r w:rsidR="00F6426F" w:rsidRPr="004F542A">
        <w:rPr>
          <w:rFonts w:ascii="Times New Roman" w:hAnsi="Times New Roman"/>
        </w:rPr>
        <w:t>.</w:t>
      </w:r>
      <w:r w:rsidR="005258DC" w:rsidRPr="004F542A">
        <w:rPr>
          <w:rFonts w:ascii="Times New Roman" w:hAnsi="Times New Roman"/>
        </w:rPr>
        <w:t xml:space="preserve"> </w:t>
      </w:r>
      <w:r w:rsidR="008630A5" w:rsidRPr="004F542A">
        <w:rPr>
          <w:rFonts w:ascii="Times New Roman" w:hAnsi="Times New Roman"/>
        </w:rPr>
        <w:t>It was not considered necessary to do so because</w:t>
      </w:r>
      <w:r w:rsidR="00443802" w:rsidRPr="004F542A">
        <w:rPr>
          <w:rFonts w:ascii="Times New Roman" w:hAnsi="Times New Roman"/>
        </w:rPr>
        <w:t>,</w:t>
      </w:r>
      <w:r w:rsidR="008630A5" w:rsidRPr="004F542A">
        <w:rPr>
          <w:rFonts w:ascii="Times New Roman" w:hAnsi="Times New Roman"/>
        </w:rPr>
        <w:t xml:space="preserve"> even if </w:t>
      </w:r>
      <w:r w:rsidR="008630A5" w:rsidRPr="004F542A">
        <w:rPr>
          <w:rFonts w:ascii="Times New Roman" w:hAnsi="Times New Roman"/>
          <w:i/>
        </w:rPr>
        <w:t>Campbell</w:t>
      </w:r>
      <w:r w:rsidR="008630A5" w:rsidRPr="004F542A">
        <w:rPr>
          <w:rFonts w:ascii="Times New Roman" w:hAnsi="Times New Roman"/>
        </w:rPr>
        <w:t xml:space="preserve"> </w:t>
      </w:r>
      <w:r w:rsidR="00EF5633" w:rsidRPr="004F542A">
        <w:rPr>
          <w:rFonts w:ascii="Times New Roman" w:hAnsi="Times New Roman"/>
        </w:rPr>
        <w:t>were "plainly wrong"</w:t>
      </w:r>
      <w:r w:rsidR="00443802" w:rsidRPr="004F542A">
        <w:rPr>
          <w:rFonts w:ascii="Times New Roman" w:hAnsi="Times New Roman"/>
        </w:rPr>
        <w:t>,</w:t>
      </w:r>
      <w:r w:rsidR="00EF5633" w:rsidRPr="004F542A">
        <w:rPr>
          <w:rFonts w:ascii="Times New Roman" w:hAnsi="Times New Roman"/>
        </w:rPr>
        <w:t xml:space="preserve"> there were</w:t>
      </w:r>
      <w:r w:rsidR="00272CEF" w:rsidRPr="004F542A">
        <w:rPr>
          <w:rFonts w:ascii="Times New Roman" w:hAnsi="Times New Roman"/>
        </w:rPr>
        <w:t xml:space="preserve"> said to be</w:t>
      </w:r>
      <w:r w:rsidR="00EF5633" w:rsidRPr="004F542A">
        <w:rPr>
          <w:rFonts w:ascii="Times New Roman" w:hAnsi="Times New Roman"/>
        </w:rPr>
        <w:t xml:space="preserve"> "powerful reasons" for the Court not to apply the test stated in </w:t>
      </w:r>
      <w:r w:rsidR="00EF5633" w:rsidRPr="004F542A">
        <w:rPr>
          <w:rFonts w:ascii="Times New Roman" w:hAnsi="Times New Roman"/>
          <w:i/>
        </w:rPr>
        <w:t>Aubrey</w:t>
      </w:r>
      <w:r w:rsidR="00EF5633" w:rsidRPr="004F542A">
        <w:rPr>
          <w:rFonts w:ascii="Times New Roman" w:hAnsi="Times New Roman"/>
        </w:rPr>
        <w:t>. Those reasons essentially arose from the "re-enactment presumption" which applies to the interpretation of statutes</w:t>
      </w:r>
      <w:r w:rsidR="00EF5633" w:rsidRPr="004F542A">
        <w:rPr>
          <w:rStyle w:val="FootnoteReference"/>
          <w:rFonts w:ascii="Times New Roman" w:hAnsi="Times New Roman"/>
          <w:sz w:val="24"/>
        </w:rPr>
        <w:footnoteReference w:id="20"/>
      </w:r>
      <w:r w:rsidR="00EF5633" w:rsidRPr="004F542A">
        <w:rPr>
          <w:rFonts w:ascii="Times New Roman" w:hAnsi="Times New Roman"/>
        </w:rPr>
        <w:t>.</w:t>
      </w:r>
      <w:r w:rsidR="004D7B7A" w:rsidRPr="004F542A">
        <w:rPr>
          <w:rFonts w:ascii="Times New Roman" w:hAnsi="Times New Roman"/>
        </w:rPr>
        <w:t xml:space="preserve"> </w:t>
      </w:r>
    </w:p>
    <w:p w14:paraId="7D2D7D8A" w14:textId="50033462" w:rsidR="00F6426F" w:rsidRPr="004F542A" w:rsidRDefault="00F6426F" w:rsidP="004F542A">
      <w:pPr>
        <w:pStyle w:val="FixListStyle"/>
        <w:spacing w:after="260" w:line="280" w:lineRule="exact"/>
        <w:ind w:right="0"/>
        <w:jc w:val="both"/>
        <w:rPr>
          <w:rFonts w:ascii="Times New Roman" w:hAnsi="Times New Roman"/>
        </w:rPr>
      </w:pPr>
      <w:r w:rsidRPr="004F542A">
        <w:rPr>
          <w:rFonts w:ascii="Times New Roman" w:hAnsi="Times New Roman"/>
        </w:rPr>
        <w:tab/>
      </w:r>
      <w:r w:rsidR="00B30C5C" w:rsidRPr="004F542A">
        <w:rPr>
          <w:rFonts w:ascii="Times New Roman" w:hAnsi="Times New Roman"/>
        </w:rPr>
        <w:t>In the joint judgment it was said</w:t>
      </w:r>
      <w:r w:rsidR="00B30C5C" w:rsidRPr="004F542A">
        <w:rPr>
          <w:rStyle w:val="FootnoteReference"/>
          <w:rFonts w:ascii="Times New Roman" w:hAnsi="Times New Roman"/>
          <w:sz w:val="24"/>
        </w:rPr>
        <w:footnoteReference w:id="21"/>
      </w:r>
      <w:r w:rsidR="00B30C5C" w:rsidRPr="004F542A">
        <w:rPr>
          <w:rFonts w:ascii="Times New Roman" w:hAnsi="Times New Roman"/>
        </w:rPr>
        <w:t xml:space="preserve"> that the legislature had successively "endorse</w:t>
      </w:r>
      <w:r w:rsidR="009B6FBA" w:rsidRPr="004F542A">
        <w:rPr>
          <w:rFonts w:ascii="Times New Roman" w:hAnsi="Times New Roman"/>
        </w:rPr>
        <w:t>[</w:t>
      </w:r>
      <w:r w:rsidR="00B30C5C" w:rsidRPr="004F542A">
        <w:rPr>
          <w:rFonts w:ascii="Times New Roman" w:hAnsi="Times New Roman"/>
        </w:rPr>
        <w:t>d</w:t>
      </w:r>
      <w:r w:rsidR="009B6FBA" w:rsidRPr="004F542A">
        <w:rPr>
          <w:rFonts w:ascii="Times New Roman" w:hAnsi="Times New Roman"/>
        </w:rPr>
        <w:t>]</w:t>
      </w:r>
      <w:r w:rsidR="00B30C5C" w:rsidRPr="004F542A">
        <w:rPr>
          <w:rFonts w:ascii="Times New Roman" w:hAnsi="Times New Roman"/>
        </w:rPr>
        <w:t xml:space="preserve">" the decision in </w:t>
      </w:r>
      <w:r w:rsidR="00B30C5C" w:rsidRPr="004F542A">
        <w:rPr>
          <w:rFonts w:ascii="Times New Roman" w:hAnsi="Times New Roman"/>
          <w:i/>
        </w:rPr>
        <w:t>Campbell</w:t>
      </w:r>
      <w:r w:rsidR="00B30C5C" w:rsidRPr="004F542A">
        <w:rPr>
          <w:rFonts w:ascii="Times New Roman" w:hAnsi="Times New Roman"/>
        </w:rPr>
        <w:t xml:space="preserve"> </w:t>
      </w:r>
      <w:r w:rsidR="000F6105" w:rsidRPr="004F542A">
        <w:rPr>
          <w:rFonts w:ascii="Times New Roman" w:hAnsi="Times New Roman"/>
        </w:rPr>
        <w:t xml:space="preserve">in legislative amendments it had made since that decision. Parliament having "repeatedly approved" that decision, </w:t>
      </w:r>
      <w:r w:rsidR="001B62AD" w:rsidRPr="004F542A">
        <w:rPr>
          <w:rFonts w:ascii="Times New Roman" w:hAnsi="Times New Roman"/>
        </w:rPr>
        <w:t>any change to the test there stated is a matter for Parliament, their Honours held</w:t>
      </w:r>
      <w:r w:rsidR="001B62AD" w:rsidRPr="004F542A">
        <w:rPr>
          <w:rStyle w:val="FootnoteReference"/>
          <w:rFonts w:ascii="Times New Roman" w:hAnsi="Times New Roman"/>
          <w:sz w:val="24"/>
        </w:rPr>
        <w:footnoteReference w:id="22"/>
      </w:r>
      <w:r w:rsidR="001B62AD" w:rsidRPr="004F542A">
        <w:rPr>
          <w:rFonts w:ascii="Times New Roman" w:hAnsi="Times New Roman"/>
        </w:rPr>
        <w:t>.</w:t>
      </w:r>
    </w:p>
    <w:p w14:paraId="26964AB1" w14:textId="2EB345FD" w:rsidR="001B62AD" w:rsidRPr="004F542A" w:rsidRDefault="001B62AD" w:rsidP="004F542A">
      <w:pPr>
        <w:pStyle w:val="FixListStyle"/>
        <w:spacing w:after="260" w:line="280" w:lineRule="exact"/>
        <w:ind w:right="0"/>
        <w:jc w:val="both"/>
        <w:rPr>
          <w:rFonts w:ascii="Times New Roman" w:hAnsi="Times New Roman"/>
        </w:rPr>
      </w:pPr>
      <w:r w:rsidRPr="004F542A">
        <w:rPr>
          <w:rFonts w:ascii="Times New Roman" w:hAnsi="Times New Roman"/>
        </w:rPr>
        <w:tab/>
        <w:t>The Court of Appeal</w:t>
      </w:r>
      <w:r w:rsidR="00B44B2B" w:rsidRPr="004F542A">
        <w:rPr>
          <w:rFonts w:ascii="Times New Roman" w:hAnsi="Times New Roman"/>
        </w:rPr>
        <w:t xml:space="preserve"> gave as the answer to the reference that:</w:t>
      </w:r>
    </w:p>
    <w:p w14:paraId="2135259C" w14:textId="77777777" w:rsidR="004F542A" w:rsidRDefault="00B44B2B" w:rsidP="004F542A">
      <w:pPr>
        <w:pStyle w:val="leftright"/>
        <w:spacing w:before="0" w:after="260" w:line="280" w:lineRule="exact"/>
        <w:ind w:right="0"/>
        <w:jc w:val="both"/>
        <w:rPr>
          <w:rFonts w:ascii="Times New Roman" w:hAnsi="Times New Roman"/>
        </w:rPr>
      </w:pPr>
      <w:r w:rsidRPr="004F542A">
        <w:rPr>
          <w:rFonts w:ascii="Times New Roman" w:hAnsi="Times New Roman"/>
        </w:rPr>
        <w:t xml:space="preserve">"Unless and until it is altered by legislation, the meaning of </w:t>
      </w:r>
      <w:r w:rsidR="00B7542D" w:rsidRPr="004F542A">
        <w:rPr>
          <w:rFonts w:ascii="Times New Roman" w:hAnsi="Times New Roman"/>
        </w:rPr>
        <w:t>'</w:t>
      </w:r>
      <w:r w:rsidRPr="004F542A">
        <w:rPr>
          <w:rFonts w:ascii="Times New Roman" w:hAnsi="Times New Roman"/>
        </w:rPr>
        <w:t>recklessly</w:t>
      </w:r>
      <w:r w:rsidR="00B7542D" w:rsidRPr="004F542A">
        <w:rPr>
          <w:rFonts w:ascii="Times New Roman" w:hAnsi="Times New Roman"/>
        </w:rPr>
        <w:t>'</w:t>
      </w:r>
      <w:r w:rsidRPr="004F542A">
        <w:rPr>
          <w:rFonts w:ascii="Times New Roman" w:hAnsi="Times New Roman"/>
        </w:rPr>
        <w:t xml:space="preserve"> in s 17 of the </w:t>
      </w:r>
      <w:r w:rsidRPr="004F542A">
        <w:rPr>
          <w:rFonts w:ascii="Times New Roman" w:hAnsi="Times New Roman"/>
          <w:i/>
        </w:rPr>
        <w:t>Crimes Act 1958</w:t>
      </w:r>
      <w:r w:rsidRPr="004F542A">
        <w:rPr>
          <w:rFonts w:ascii="Times New Roman" w:hAnsi="Times New Roman"/>
        </w:rPr>
        <w:t xml:space="preserve"> is that stated by the Court of Appeal in </w:t>
      </w:r>
      <w:r w:rsidR="00075D22" w:rsidRPr="004F542A" w:rsidDel="006C06CB">
        <w:rPr>
          <w:rFonts w:ascii="Times New Roman" w:hAnsi="Times New Roman"/>
        </w:rPr>
        <w:t>[</w:t>
      </w:r>
      <w:r w:rsidR="00075D22" w:rsidRPr="004F542A">
        <w:rPr>
          <w:rFonts w:ascii="Times New Roman" w:hAnsi="Times New Roman"/>
          <w:i/>
        </w:rPr>
        <w:t>Campbell</w:t>
      </w:r>
      <w:r w:rsidR="00075D22" w:rsidRPr="004F542A" w:rsidDel="006C06CB">
        <w:rPr>
          <w:rFonts w:ascii="Times New Roman" w:hAnsi="Times New Roman"/>
        </w:rPr>
        <w:t>]</w:t>
      </w:r>
      <w:r w:rsidR="00075D22" w:rsidRPr="004F542A">
        <w:rPr>
          <w:rFonts w:ascii="Times New Roman" w:hAnsi="Times New Roman"/>
        </w:rPr>
        <w:t>."</w:t>
      </w:r>
    </w:p>
    <w:p w14:paraId="0A82B4EC" w14:textId="280349DB" w:rsidR="00075D22" w:rsidRPr="004F542A" w:rsidRDefault="00075D22" w:rsidP="004F542A">
      <w:pPr>
        <w:pStyle w:val="HeadingL1"/>
        <w:spacing w:after="260" w:line="280" w:lineRule="exact"/>
        <w:ind w:right="0"/>
        <w:jc w:val="both"/>
        <w:rPr>
          <w:rFonts w:ascii="Times New Roman" w:hAnsi="Times New Roman"/>
        </w:rPr>
      </w:pPr>
      <w:r w:rsidRPr="004F542A">
        <w:rPr>
          <w:rFonts w:ascii="Times New Roman" w:hAnsi="Times New Roman"/>
        </w:rPr>
        <w:t xml:space="preserve">Re-enactment, presumption </w:t>
      </w:r>
      <w:r w:rsidR="00B20F60" w:rsidRPr="004F542A">
        <w:rPr>
          <w:rFonts w:ascii="Times New Roman" w:hAnsi="Times New Roman"/>
        </w:rPr>
        <w:t xml:space="preserve">and </w:t>
      </w:r>
      <w:r w:rsidRPr="004F542A">
        <w:rPr>
          <w:rFonts w:ascii="Times New Roman" w:hAnsi="Times New Roman"/>
        </w:rPr>
        <w:t>inference</w:t>
      </w:r>
    </w:p>
    <w:p w14:paraId="087E8A67" w14:textId="560963F8" w:rsidR="00443C84" w:rsidRPr="004F542A" w:rsidRDefault="008F50C8"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In </w:t>
      </w:r>
      <w:r w:rsidR="00C94ECC" w:rsidRPr="004F542A">
        <w:rPr>
          <w:rFonts w:ascii="Times New Roman" w:hAnsi="Times New Roman"/>
          <w:i/>
        </w:rPr>
        <w:t xml:space="preserve">Re </w:t>
      </w:r>
      <w:r w:rsidRPr="004F542A">
        <w:rPr>
          <w:rFonts w:ascii="Times New Roman" w:hAnsi="Times New Roman"/>
          <w:i/>
        </w:rPr>
        <w:t xml:space="preserve">Alcan Australia Ltd; </w:t>
      </w:r>
      <w:r w:rsidR="001A3BAC" w:rsidRPr="004F542A">
        <w:rPr>
          <w:rFonts w:ascii="Times New Roman" w:hAnsi="Times New Roman"/>
          <w:i/>
        </w:rPr>
        <w:t>E</w:t>
      </w:r>
      <w:r w:rsidRPr="004F542A">
        <w:rPr>
          <w:rFonts w:ascii="Times New Roman" w:hAnsi="Times New Roman"/>
          <w:i/>
        </w:rPr>
        <w:t xml:space="preserve">x </w:t>
      </w:r>
      <w:proofErr w:type="spellStart"/>
      <w:r w:rsidRPr="004F542A">
        <w:rPr>
          <w:rFonts w:ascii="Times New Roman" w:hAnsi="Times New Roman"/>
          <w:i/>
        </w:rPr>
        <w:t>parte</w:t>
      </w:r>
      <w:proofErr w:type="spellEnd"/>
      <w:r w:rsidRPr="004F542A">
        <w:rPr>
          <w:rFonts w:ascii="Times New Roman" w:hAnsi="Times New Roman"/>
          <w:i/>
        </w:rPr>
        <w:t xml:space="preserve"> Federation of Industrial</w:t>
      </w:r>
      <w:r w:rsidR="00955508" w:rsidRPr="004F542A">
        <w:rPr>
          <w:rFonts w:ascii="Times New Roman" w:hAnsi="Times New Roman"/>
          <w:i/>
        </w:rPr>
        <w:t>,</w:t>
      </w:r>
      <w:r w:rsidRPr="004F542A">
        <w:rPr>
          <w:rFonts w:ascii="Times New Roman" w:hAnsi="Times New Roman"/>
          <w:i/>
        </w:rPr>
        <w:t xml:space="preserve"> Manufacturing </w:t>
      </w:r>
      <w:r w:rsidR="00C26254" w:rsidRPr="004F542A">
        <w:rPr>
          <w:rFonts w:ascii="Times New Roman" w:hAnsi="Times New Roman"/>
          <w:i/>
        </w:rPr>
        <w:t>and</w:t>
      </w:r>
      <w:r w:rsidRPr="004F542A">
        <w:rPr>
          <w:rFonts w:ascii="Times New Roman" w:hAnsi="Times New Roman"/>
          <w:i/>
        </w:rPr>
        <w:t xml:space="preserve"> Engineering Employees</w:t>
      </w:r>
      <w:r w:rsidRPr="004F542A">
        <w:rPr>
          <w:rStyle w:val="FootnoteReference"/>
          <w:rFonts w:ascii="Times New Roman" w:hAnsi="Times New Roman"/>
          <w:sz w:val="24"/>
        </w:rPr>
        <w:footnoteReference w:id="23"/>
      </w:r>
      <w:r w:rsidR="00790969" w:rsidRPr="004F542A">
        <w:rPr>
          <w:rFonts w:ascii="Times New Roman" w:hAnsi="Times New Roman"/>
        </w:rPr>
        <w:t xml:space="preserve"> this Court said that there is </w:t>
      </w:r>
      <w:r w:rsidR="004D7B7A" w:rsidRPr="004F542A">
        <w:rPr>
          <w:rFonts w:ascii="Times New Roman" w:hAnsi="Times New Roman"/>
        </w:rPr>
        <w:t xml:space="preserve">abundant </w:t>
      </w:r>
      <w:r w:rsidR="00790969" w:rsidRPr="004F542A">
        <w:rPr>
          <w:rFonts w:ascii="Times New Roman" w:hAnsi="Times New Roman"/>
        </w:rPr>
        <w:t xml:space="preserve">authority "for the proposition that where the Parliament repeats words which have been judicially construed, it is taken to have intended the words to bear the </w:t>
      </w:r>
      <w:r w:rsidR="00790969" w:rsidRPr="004F542A">
        <w:rPr>
          <w:rFonts w:ascii="Times New Roman" w:hAnsi="Times New Roman"/>
        </w:rPr>
        <w:lastRenderedPageBreak/>
        <w:t xml:space="preserve">meaning already </w:t>
      </w:r>
      <w:r w:rsidR="00CC0E16" w:rsidRPr="004F542A">
        <w:rPr>
          <w:rFonts w:ascii="Times New Roman" w:hAnsi="Times New Roman"/>
        </w:rPr>
        <w:t>'</w:t>
      </w:r>
      <w:r w:rsidR="00790969" w:rsidRPr="004F542A">
        <w:rPr>
          <w:rFonts w:ascii="Times New Roman" w:hAnsi="Times New Roman"/>
        </w:rPr>
        <w:t>judicially attributed to [them]</w:t>
      </w:r>
      <w:r w:rsidR="00CC0E16" w:rsidRPr="004F542A">
        <w:rPr>
          <w:rFonts w:ascii="Times New Roman" w:hAnsi="Times New Roman"/>
        </w:rPr>
        <w:t>'</w:t>
      </w:r>
      <w:r w:rsidR="00790969" w:rsidRPr="004F542A">
        <w:rPr>
          <w:rFonts w:ascii="Times New Roman" w:hAnsi="Times New Roman"/>
        </w:rPr>
        <w:t xml:space="preserve">". </w:t>
      </w:r>
      <w:r w:rsidR="00293612" w:rsidRPr="004F542A">
        <w:rPr>
          <w:rFonts w:ascii="Times New Roman" w:hAnsi="Times New Roman"/>
        </w:rPr>
        <w:t xml:space="preserve">The Court stated the proposition in </w:t>
      </w:r>
      <w:r w:rsidR="00694997" w:rsidRPr="004F542A">
        <w:rPr>
          <w:rFonts w:ascii="Times New Roman" w:hAnsi="Times New Roman"/>
        </w:rPr>
        <w:t>short form</w:t>
      </w:r>
      <w:r w:rsidR="00293612" w:rsidRPr="004F542A">
        <w:rPr>
          <w:rFonts w:ascii="Times New Roman" w:hAnsi="Times New Roman"/>
        </w:rPr>
        <w:t>, no doubt because its application was so clear in that case. In</w:t>
      </w:r>
      <w:r w:rsidR="00293612" w:rsidRPr="004F542A" w:rsidDel="00DB043B">
        <w:rPr>
          <w:rFonts w:ascii="Times New Roman" w:hAnsi="Times New Roman"/>
        </w:rPr>
        <w:t xml:space="preserve"> </w:t>
      </w:r>
      <w:r w:rsidR="00DB043B" w:rsidRPr="004F542A">
        <w:rPr>
          <w:rFonts w:ascii="Times New Roman" w:hAnsi="Times New Roman"/>
        </w:rPr>
        <w:t xml:space="preserve">a </w:t>
      </w:r>
      <w:r w:rsidR="00293612" w:rsidRPr="004F542A">
        <w:rPr>
          <w:rFonts w:ascii="Times New Roman" w:hAnsi="Times New Roman"/>
        </w:rPr>
        <w:t xml:space="preserve">case to which it referred, </w:t>
      </w:r>
      <w:r w:rsidR="00547682" w:rsidRPr="004F542A">
        <w:rPr>
          <w:rFonts w:ascii="Times New Roman" w:hAnsi="Times New Roman"/>
          <w:i/>
        </w:rPr>
        <w:t xml:space="preserve">Barras v Aberdeen Steam Trawling </w:t>
      </w:r>
      <w:r w:rsidR="00DB1413" w:rsidRPr="004F542A">
        <w:rPr>
          <w:rFonts w:ascii="Times New Roman" w:hAnsi="Times New Roman"/>
          <w:i/>
        </w:rPr>
        <w:t xml:space="preserve">and </w:t>
      </w:r>
      <w:r w:rsidR="00547682" w:rsidRPr="004F542A">
        <w:rPr>
          <w:rFonts w:ascii="Times New Roman" w:hAnsi="Times New Roman"/>
          <w:i/>
        </w:rPr>
        <w:t>Fishing Co</w:t>
      </w:r>
      <w:r w:rsidR="00547682" w:rsidRPr="004F542A">
        <w:rPr>
          <w:rStyle w:val="FootnoteReference"/>
          <w:rFonts w:ascii="Times New Roman" w:hAnsi="Times New Roman"/>
          <w:sz w:val="24"/>
        </w:rPr>
        <w:footnoteReference w:id="24"/>
      </w:r>
      <w:r w:rsidR="000927FE" w:rsidRPr="004F542A">
        <w:rPr>
          <w:rFonts w:ascii="Times New Roman" w:hAnsi="Times New Roman"/>
        </w:rPr>
        <w:t>,</w:t>
      </w:r>
      <w:r w:rsidR="00EB4CEA" w:rsidRPr="004F542A">
        <w:rPr>
          <w:rFonts w:ascii="Times New Roman" w:hAnsi="Times New Roman"/>
        </w:rPr>
        <w:t xml:space="preserve"> </w:t>
      </w:r>
      <w:r w:rsidR="00894F3D" w:rsidRPr="004F542A">
        <w:rPr>
          <w:rFonts w:ascii="Times New Roman" w:hAnsi="Times New Roman"/>
        </w:rPr>
        <w:t xml:space="preserve">this principle of statutory construction </w:t>
      </w:r>
      <w:r w:rsidR="00424EEB" w:rsidRPr="004F542A">
        <w:rPr>
          <w:rFonts w:ascii="Times New Roman" w:hAnsi="Times New Roman"/>
        </w:rPr>
        <w:t xml:space="preserve">was </w:t>
      </w:r>
      <w:r w:rsidR="00894F3D" w:rsidRPr="004F542A">
        <w:rPr>
          <w:rFonts w:ascii="Times New Roman" w:hAnsi="Times New Roman"/>
        </w:rPr>
        <w:t xml:space="preserve">said to apply where a word of doubtful meaning has </w:t>
      </w:r>
      <w:r w:rsidR="004D7B7A" w:rsidRPr="004F542A">
        <w:rPr>
          <w:rFonts w:ascii="Times New Roman" w:hAnsi="Times New Roman"/>
        </w:rPr>
        <w:t>received</w:t>
      </w:r>
      <w:r w:rsidR="00894F3D" w:rsidRPr="004F542A">
        <w:rPr>
          <w:rFonts w:ascii="Times New Roman" w:hAnsi="Times New Roman"/>
        </w:rPr>
        <w:t xml:space="preserve"> a clear judicial interpretation and the subsequent statute incorporates the same word or phrase in a similar context.</w:t>
      </w:r>
    </w:p>
    <w:p w14:paraId="7DC21C32" w14:textId="69B73E13" w:rsidR="003F0BBA" w:rsidRPr="004F542A" w:rsidRDefault="00A32E6C" w:rsidP="004F542A">
      <w:pPr>
        <w:pStyle w:val="FixListStyle"/>
        <w:spacing w:after="260" w:line="280" w:lineRule="exact"/>
        <w:ind w:right="0"/>
        <w:jc w:val="both"/>
        <w:rPr>
          <w:rFonts w:ascii="Times New Roman" w:hAnsi="Times New Roman"/>
        </w:rPr>
      </w:pPr>
      <w:r w:rsidRPr="004F542A">
        <w:rPr>
          <w:rFonts w:ascii="Times New Roman" w:hAnsi="Times New Roman"/>
        </w:rPr>
        <w:tab/>
        <w:t>It has been said that the presumption should not be relied upon to perpetuate an erroneous construction of a statutory provision</w:t>
      </w:r>
      <w:r w:rsidRPr="004F542A">
        <w:rPr>
          <w:rStyle w:val="FootnoteReference"/>
          <w:rFonts w:ascii="Times New Roman" w:hAnsi="Times New Roman"/>
          <w:sz w:val="24"/>
        </w:rPr>
        <w:footnoteReference w:id="25"/>
      </w:r>
      <w:r w:rsidRPr="004F542A">
        <w:rPr>
          <w:rFonts w:ascii="Times New Roman" w:hAnsi="Times New Roman"/>
        </w:rPr>
        <w:t xml:space="preserve">. </w:t>
      </w:r>
      <w:r w:rsidR="003F0BBA" w:rsidRPr="004F542A">
        <w:rPr>
          <w:rFonts w:ascii="Times New Roman" w:hAnsi="Times New Roman"/>
        </w:rPr>
        <w:t xml:space="preserve">It is notable that in </w:t>
      </w:r>
      <w:r w:rsidR="003F0BBA" w:rsidRPr="004F542A">
        <w:rPr>
          <w:rFonts w:ascii="Times New Roman" w:hAnsi="Times New Roman"/>
          <w:i/>
        </w:rPr>
        <w:t>Alcan</w:t>
      </w:r>
      <w:r w:rsidR="003F0BBA" w:rsidRPr="004F542A">
        <w:rPr>
          <w:rFonts w:ascii="Times New Roman" w:hAnsi="Times New Roman"/>
        </w:rPr>
        <w:t xml:space="preserve"> the reason why </w:t>
      </w:r>
      <w:r w:rsidR="00FD788D" w:rsidRPr="004F542A">
        <w:rPr>
          <w:rFonts w:ascii="Times New Roman" w:hAnsi="Times New Roman"/>
        </w:rPr>
        <w:t xml:space="preserve">the presumption </w:t>
      </w:r>
      <w:r w:rsidR="005C4605" w:rsidRPr="004F542A">
        <w:rPr>
          <w:rFonts w:ascii="Times New Roman" w:hAnsi="Times New Roman"/>
        </w:rPr>
        <w:t xml:space="preserve">was </w:t>
      </w:r>
      <w:r w:rsidR="00FD788D" w:rsidRPr="004F542A">
        <w:rPr>
          <w:rFonts w:ascii="Times New Roman" w:hAnsi="Times New Roman"/>
        </w:rPr>
        <w:t xml:space="preserve">applied </w:t>
      </w:r>
      <w:r w:rsidR="003F0BBA" w:rsidRPr="004F542A">
        <w:rPr>
          <w:rFonts w:ascii="Times New Roman" w:hAnsi="Times New Roman"/>
        </w:rPr>
        <w:t xml:space="preserve">was not only </w:t>
      </w:r>
      <w:r w:rsidR="00182AEC" w:rsidRPr="004F542A">
        <w:rPr>
          <w:rFonts w:ascii="Times New Roman" w:hAnsi="Times New Roman"/>
        </w:rPr>
        <w:t xml:space="preserve">that </w:t>
      </w:r>
      <w:r w:rsidR="003F0BBA" w:rsidRPr="004F542A">
        <w:rPr>
          <w:rFonts w:ascii="Times New Roman" w:hAnsi="Times New Roman"/>
        </w:rPr>
        <w:t xml:space="preserve">the Parliament had re-enacted </w:t>
      </w:r>
      <w:r w:rsidR="00081E4A" w:rsidRPr="004F542A">
        <w:rPr>
          <w:rFonts w:ascii="Times New Roman" w:hAnsi="Times New Roman"/>
        </w:rPr>
        <w:t>the provision in almost identical terms with those which had been considered</w:t>
      </w:r>
      <w:r w:rsidR="00182AEC" w:rsidRPr="004F542A">
        <w:rPr>
          <w:rFonts w:ascii="Times New Roman" w:hAnsi="Times New Roman"/>
        </w:rPr>
        <w:t>;</w:t>
      </w:r>
      <w:r w:rsidR="00081E4A" w:rsidRPr="004F542A">
        <w:rPr>
          <w:rFonts w:ascii="Times New Roman" w:hAnsi="Times New Roman"/>
        </w:rPr>
        <w:t xml:space="preserve"> the decision</w:t>
      </w:r>
      <w:r w:rsidR="00EB37CF" w:rsidRPr="004F542A">
        <w:rPr>
          <w:rFonts w:ascii="Times New Roman" w:hAnsi="Times New Roman"/>
        </w:rPr>
        <w:t xml:space="preserve"> construing the similar provision</w:t>
      </w:r>
      <w:r w:rsidR="00081E4A" w:rsidRPr="004F542A">
        <w:rPr>
          <w:rFonts w:ascii="Times New Roman" w:hAnsi="Times New Roman"/>
        </w:rPr>
        <w:t xml:space="preserve"> had </w:t>
      </w:r>
      <w:r w:rsidR="00FD788D" w:rsidRPr="004F542A">
        <w:rPr>
          <w:rFonts w:ascii="Times New Roman" w:hAnsi="Times New Roman"/>
        </w:rPr>
        <w:t xml:space="preserve">also </w:t>
      </w:r>
      <w:r w:rsidR="00081E4A" w:rsidRPr="004F542A">
        <w:rPr>
          <w:rFonts w:ascii="Times New Roman" w:hAnsi="Times New Roman"/>
        </w:rPr>
        <w:t>been accepted in a number of later cases as correct</w:t>
      </w:r>
      <w:r w:rsidR="00547A05" w:rsidRPr="004F542A">
        <w:rPr>
          <w:rFonts w:ascii="Times New Roman" w:hAnsi="Times New Roman"/>
        </w:rPr>
        <w:t>ly applying the relevant principle</w:t>
      </w:r>
      <w:r w:rsidR="00081E4A" w:rsidRPr="004F542A">
        <w:rPr>
          <w:rFonts w:ascii="Times New Roman" w:hAnsi="Times New Roman"/>
        </w:rPr>
        <w:t xml:space="preserve"> and there was no reason to think that it was in any way affected by error</w:t>
      </w:r>
      <w:r w:rsidR="00081E4A" w:rsidRPr="004F542A">
        <w:rPr>
          <w:rStyle w:val="FootnoteReference"/>
          <w:rFonts w:ascii="Times New Roman" w:hAnsi="Times New Roman"/>
          <w:sz w:val="24"/>
        </w:rPr>
        <w:footnoteReference w:id="26"/>
      </w:r>
      <w:r w:rsidR="0054254B" w:rsidRPr="004F542A">
        <w:rPr>
          <w:rFonts w:ascii="Times New Roman" w:hAnsi="Times New Roman"/>
        </w:rPr>
        <w:t>.</w:t>
      </w:r>
    </w:p>
    <w:p w14:paraId="195AD751" w14:textId="35D55FDB" w:rsidR="00FD788D" w:rsidRPr="004F542A" w:rsidRDefault="00FD788D"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It is the duty of appellate courts, </w:t>
      </w:r>
      <w:r w:rsidR="00697588" w:rsidRPr="004F542A">
        <w:rPr>
          <w:rFonts w:ascii="Times New Roman" w:hAnsi="Times New Roman"/>
        </w:rPr>
        <w:t xml:space="preserve">and </w:t>
      </w:r>
      <w:r w:rsidRPr="004F542A">
        <w:rPr>
          <w:rFonts w:ascii="Times New Roman" w:hAnsi="Times New Roman"/>
        </w:rPr>
        <w:t>this Court in particular, to correct error. It wou</w:t>
      </w:r>
      <w:r w:rsidR="000022A7" w:rsidRPr="004F542A">
        <w:rPr>
          <w:rFonts w:ascii="Times New Roman" w:hAnsi="Times New Roman"/>
        </w:rPr>
        <w:t>l</w:t>
      </w:r>
      <w:r w:rsidRPr="004F542A">
        <w:rPr>
          <w:rFonts w:ascii="Times New Roman" w:hAnsi="Times New Roman"/>
        </w:rPr>
        <w:t xml:space="preserve">d seem to follow that the </w:t>
      </w:r>
      <w:r w:rsidR="007D7C26" w:rsidRPr="004F542A">
        <w:rPr>
          <w:rFonts w:ascii="Times New Roman" w:hAnsi="Times New Roman"/>
        </w:rPr>
        <w:t xml:space="preserve">terms of the </w:t>
      </w:r>
      <w:r w:rsidRPr="004F542A">
        <w:rPr>
          <w:rFonts w:ascii="Times New Roman" w:hAnsi="Times New Roman"/>
        </w:rPr>
        <w:t>re</w:t>
      </w:r>
      <w:r w:rsidR="007D7C26" w:rsidRPr="004F542A">
        <w:rPr>
          <w:rFonts w:ascii="Times New Roman" w:hAnsi="Times New Roman"/>
        </w:rPr>
        <w:noBreakHyphen/>
      </w:r>
      <w:r w:rsidRPr="004F542A">
        <w:rPr>
          <w:rFonts w:ascii="Times New Roman" w:hAnsi="Times New Roman"/>
        </w:rPr>
        <w:t>enactment</w:t>
      </w:r>
      <w:r w:rsidR="000022A7" w:rsidRPr="004F542A">
        <w:rPr>
          <w:rFonts w:ascii="Times New Roman" w:hAnsi="Times New Roman"/>
        </w:rPr>
        <w:t>, the circumstances surrounding it</w:t>
      </w:r>
      <w:r w:rsidR="007D7C26" w:rsidRPr="004F542A">
        <w:rPr>
          <w:rFonts w:ascii="Times New Roman" w:hAnsi="Times New Roman"/>
        </w:rPr>
        <w:t>,</w:t>
      </w:r>
      <w:r w:rsidR="000022A7" w:rsidRPr="004F542A">
        <w:rPr>
          <w:rFonts w:ascii="Times New Roman" w:hAnsi="Times New Roman"/>
        </w:rPr>
        <w:t xml:space="preserve"> or the context in which it is made must be such that the adoption by the legislature </w:t>
      </w:r>
      <w:r w:rsidR="00102996" w:rsidRPr="004F542A">
        <w:rPr>
          <w:rFonts w:ascii="Times New Roman" w:hAnsi="Times New Roman"/>
        </w:rPr>
        <w:t xml:space="preserve">of the meaning assigned by the courts to the statutory term in question is tolerably clear. There have been cases, such as </w:t>
      </w:r>
      <w:r w:rsidR="00102996" w:rsidRPr="004F542A">
        <w:rPr>
          <w:rFonts w:ascii="Times New Roman" w:hAnsi="Times New Roman"/>
          <w:i/>
        </w:rPr>
        <w:t>Alcan</w:t>
      </w:r>
      <w:r w:rsidR="00936D84" w:rsidRPr="004F542A">
        <w:rPr>
          <w:rStyle w:val="FootnoteReference"/>
          <w:rFonts w:ascii="Times New Roman" w:hAnsi="Times New Roman"/>
          <w:sz w:val="24"/>
        </w:rPr>
        <w:footnoteReference w:id="27"/>
      </w:r>
      <w:r w:rsidR="00FE0687" w:rsidRPr="004F542A">
        <w:rPr>
          <w:rFonts w:ascii="Times New Roman" w:hAnsi="Times New Roman"/>
        </w:rPr>
        <w:t xml:space="preserve"> and</w:t>
      </w:r>
      <w:r w:rsidR="00FE0687" w:rsidRPr="004F542A">
        <w:rPr>
          <w:rFonts w:ascii="Times New Roman" w:hAnsi="Times New Roman"/>
          <w:i/>
        </w:rPr>
        <w:t xml:space="preserve"> </w:t>
      </w:r>
      <w:r w:rsidR="00102996" w:rsidRPr="004F542A">
        <w:rPr>
          <w:rFonts w:ascii="Times New Roman" w:hAnsi="Times New Roman"/>
          <w:i/>
        </w:rPr>
        <w:t>Electrolux</w:t>
      </w:r>
      <w:r w:rsidR="00B92892" w:rsidRPr="004F542A">
        <w:rPr>
          <w:rFonts w:ascii="Times New Roman" w:hAnsi="Times New Roman"/>
          <w:i/>
        </w:rPr>
        <w:t xml:space="preserve"> Home Products Pty </w:t>
      </w:r>
      <w:r w:rsidR="00D50817" w:rsidRPr="004F542A">
        <w:rPr>
          <w:rFonts w:ascii="Times New Roman" w:hAnsi="Times New Roman"/>
          <w:i/>
        </w:rPr>
        <w:t xml:space="preserve">Ltd </w:t>
      </w:r>
      <w:r w:rsidR="00B92892" w:rsidRPr="004F542A">
        <w:rPr>
          <w:rFonts w:ascii="Times New Roman" w:hAnsi="Times New Roman"/>
          <w:i/>
        </w:rPr>
        <w:t>v Australian Workers</w:t>
      </w:r>
      <w:r w:rsidR="00936D84" w:rsidRPr="004F542A">
        <w:rPr>
          <w:rFonts w:ascii="Times New Roman" w:hAnsi="Times New Roman"/>
          <w:i/>
        </w:rPr>
        <w:t>'</w:t>
      </w:r>
      <w:r w:rsidR="00B92892" w:rsidRPr="004F542A">
        <w:rPr>
          <w:rFonts w:ascii="Times New Roman" w:hAnsi="Times New Roman"/>
          <w:i/>
        </w:rPr>
        <w:t xml:space="preserve"> Union</w:t>
      </w:r>
      <w:r w:rsidR="004545D2" w:rsidRPr="004F542A">
        <w:rPr>
          <w:rStyle w:val="FootnoteReference"/>
          <w:rFonts w:ascii="Times New Roman" w:hAnsi="Times New Roman"/>
          <w:sz w:val="24"/>
        </w:rPr>
        <w:footnoteReference w:id="28"/>
      </w:r>
      <w:r w:rsidR="00FE0687" w:rsidRPr="004F542A">
        <w:rPr>
          <w:rFonts w:ascii="Times New Roman" w:hAnsi="Times New Roman"/>
        </w:rPr>
        <w:t>, where</w:t>
      </w:r>
      <w:r w:rsidR="00FE0687" w:rsidRPr="004F542A">
        <w:rPr>
          <w:rFonts w:ascii="Times New Roman" w:hAnsi="Times New Roman"/>
          <w:i/>
        </w:rPr>
        <w:t xml:space="preserve"> </w:t>
      </w:r>
      <w:r w:rsidR="006B6FC9" w:rsidRPr="004F542A">
        <w:rPr>
          <w:rFonts w:ascii="Times New Roman" w:hAnsi="Times New Roman"/>
        </w:rPr>
        <w:t xml:space="preserve">the courts have been able to conclude that there has been a clear case of </w:t>
      </w:r>
      <w:r w:rsidR="007D7C26" w:rsidRPr="004F542A">
        <w:rPr>
          <w:rFonts w:ascii="Times New Roman" w:hAnsi="Times New Roman"/>
        </w:rPr>
        <w:t>legislative adoption</w:t>
      </w:r>
      <w:r w:rsidR="006B6FC9" w:rsidRPr="004F542A">
        <w:rPr>
          <w:rFonts w:ascii="Times New Roman" w:hAnsi="Times New Roman"/>
        </w:rPr>
        <w:t>.</w:t>
      </w:r>
    </w:p>
    <w:p w14:paraId="591A807E" w14:textId="065D95F3" w:rsidR="006B6FC9" w:rsidRPr="004F542A" w:rsidRDefault="006B6FC9"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The question </w:t>
      </w:r>
      <w:r w:rsidR="007D7C26" w:rsidRPr="004F542A">
        <w:rPr>
          <w:rFonts w:ascii="Times New Roman" w:hAnsi="Times New Roman"/>
        </w:rPr>
        <w:t xml:space="preserve">which </w:t>
      </w:r>
      <w:r w:rsidRPr="004F542A">
        <w:rPr>
          <w:rFonts w:ascii="Times New Roman" w:hAnsi="Times New Roman"/>
        </w:rPr>
        <w:t xml:space="preserve">may </w:t>
      </w:r>
      <w:r w:rsidR="007D7C26" w:rsidRPr="004F542A">
        <w:rPr>
          <w:rFonts w:ascii="Times New Roman" w:hAnsi="Times New Roman"/>
        </w:rPr>
        <w:t xml:space="preserve">be seen </w:t>
      </w:r>
      <w:r w:rsidRPr="004F542A">
        <w:rPr>
          <w:rFonts w:ascii="Times New Roman" w:hAnsi="Times New Roman"/>
        </w:rPr>
        <w:t>to arise in the cases i</w:t>
      </w:r>
      <w:r w:rsidR="007D7C26" w:rsidRPr="004F542A">
        <w:rPr>
          <w:rFonts w:ascii="Times New Roman" w:hAnsi="Times New Roman"/>
        </w:rPr>
        <w:t>s</w:t>
      </w:r>
      <w:r w:rsidRPr="004F542A">
        <w:rPr>
          <w:rFonts w:ascii="Times New Roman" w:hAnsi="Times New Roman"/>
        </w:rPr>
        <w:t xml:space="preserve"> whether more </w:t>
      </w:r>
      <w:r w:rsidR="007D7C26" w:rsidRPr="004F542A">
        <w:rPr>
          <w:rFonts w:ascii="Times New Roman" w:hAnsi="Times New Roman"/>
        </w:rPr>
        <w:t xml:space="preserve">is required for the presumption </w:t>
      </w:r>
      <w:r w:rsidRPr="004F542A">
        <w:rPr>
          <w:rFonts w:ascii="Times New Roman" w:hAnsi="Times New Roman"/>
        </w:rPr>
        <w:t xml:space="preserve">than the repetition of the words in a similar context in a subsequent statute. </w:t>
      </w:r>
      <w:r w:rsidR="00410D3C" w:rsidRPr="004F542A">
        <w:rPr>
          <w:rFonts w:ascii="Times New Roman" w:hAnsi="Times New Roman"/>
        </w:rPr>
        <w:t xml:space="preserve">The "presumption" has been described as a "valuable </w:t>
      </w:r>
      <w:r w:rsidR="00410D3C" w:rsidRPr="004F542A">
        <w:rPr>
          <w:rFonts w:ascii="Times New Roman" w:hAnsi="Times New Roman"/>
        </w:rPr>
        <w:lastRenderedPageBreak/>
        <w:t>presumption</w:t>
      </w:r>
      <w:r w:rsidRPr="004F542A">
        <w:rPr>
          <w:rFonts w:ascii="Times New Roman" w:hAnsi="Times New Roman"/>
        </w:rPr>
        <w:t>"</w:t>
      </w:r>
      <w:r w:rsidRPr="004F542A">
        <w:rPr>
          <w:rStyle w:val="FootnoteReference"/>
          <w:rFonts w:ascii="Times New Roman" w:hAnsi="Times New Roman"/>
          <w:sz w:val="24"/>
        </w:rPr>
        <w:footnoteReference w:id="29"/>
      </w:r>
      <w:r w:rsidR="00DF5FAE" w:rsidRPr="004F542A">
        <w:rPr>
          <w:rFonts w:ascii="Times New Roman" w:hAnsi="Times New Roman"/>
        </w:rPr>
        <w:t xml:space="preserve"> and a "pres</w:t>
      </w:r>
      <w:r w:rsidR="005C4A67" w:rsidRPr="004F542A">
        <w:rPr>
          <w:rFonts w:ascii="Times New Roman" w:hAnsi="Times New Roman"/>
        </w:rPr>
        <w:t>umption of no great weight"</w:t>
      </w:r>
      <w:r w:rsidR="005C4A67" w:rsidRPr="004F542A">
        <w:rPr>
          <w:rStyle w:val="FootnoteReference"/>
          <w:rFonts w:ascii="Times New Roman" w:hAnsi="Times New Roman"/>
          <w:sz w:val="24"/>
        </w:rPr>
        <w:footnoteReference w:id="30"/>
      </w:r>
      <w:r w:rsidR="002A5E34" w:rsidRPr="004F542A">
        <w:rPr>
          <w:rFonts w:ascii="Times New Roman" w:hAnsi="Times New Roman"/>
        </w:rPr>
        <w:t xml:space="preserve">. Much </w:t>
      </w:r>
      <w:r w:rsidR="008119EC" w:rsidRPr="004F542A">
        <w:rPr>
          <w:rFonts w:ascii="Times New Roman" w:hAnsi="Times New Roman"/>
        </w:rPr>
        <w:t xml:space="preserve">may </w:t>
      </w:r>
      <w:r w:rsidR="002A5E34" w:rsidRPr="004F542A">
        <w:rPr>
          <w:rFonts w:ascii="Times New Roman" w:hAnsi="Times New Roman"/>
        </w:rPr>
        <w:t>depend on other factors, such as legislative history</w:t>
      </w:r>
      <w:r w:rsidR="002A5E34" w:rsidRPr="004F542A">
        <w:rPr>
          <w:rStyle w:val="FootnoteReference"/>
          <w:rFonts w:ascii="Times New Roman" w:hAnsi="Times New Roman"/>
          <w:sz w:val="24"/>
        </w:rPr>
        <w:footnoteReference w:id="31"/>
      </w:r>
      <w:r w:rsidR="0085079B" w:rsidRPr="004F542A">
        <w:rPr>
          <w:rFonts w:ascii="Times New Roman" w:hAnsi="Times New Roman"/>
        </w:rPr>
        <w:t>.</w:t>
      </w:r>
    </w:p>
    <w:p w14:paraId="78F03DA0" w14:textId="71746B74" w:rsidR="0085079B" w:rsidRPr="004F542A" w:rsidRDefault="0085079B" w:rsidP="004F542A">
      <w:pPr>
        <w:pStyle w:val="FixListStyle"/>
        <w:spacing w:after="260" w:line="280" w:lineRule="exact"/>
        <w:ind w:right="0"/>
        <w:jc w:val="both"/>
        <w:rPr>
          <w:rFonts w:ascii="Times New Roman" w:hAnsi="Times New Roman"/>
        </w:rPr>
      </w:pPr>
      <w:r w:rsidRPr="004F542A">
        <w:rPr>
          <w:rFonts w:ascii="Times New Roman" w:hAnsi="Times New Roman"/>
        </w:rPr>
        <w:tab/>
        <w:t>Dixon </w:t>
      </w:r>
      <w:r w:rsidR="00FE4A20" w:rsidRPr="004F542A">
        <w:rPr>
          <w:rFonts w:ascii="Times New Roman" w:hAnsi="Times New Roman"/>
        </w:rPr>
        <w:t>C</w:t>
      </w:r>
      <w:r w:rsidRPr="004F542A">
        <w:rPr>
          <w:rFonts w:ascii="Times New Roman" w:hAnsi="Times New Roman"/>
        </w:rPr>
        <w:t xml:space="preserve">J in </w:t>
      </w:r>
      <w:r w:rsidR="00985C71" w:rsidRPr="004F542A">
        <w:rPr>
          <w:rFonts w:ascii="Times New Roman" w:hAnsi="Times New Roman"/>
          <w:i/>
        </w:rPr>
        <w:t>R</w:t>
      </w:r>
      <w:r w:rsidRPr="004F542A">
        <w:rPr>
          <w:rFonts w:ascii="Times New Roman" w:hAnsi="Times New Roman"/>
          <w:i/>
        </w:rPr>
        <w:t xml:space="preserve"> v </w:t>
      </w:r>
      <w:proofErr w:type="spellStart"/>
      <w:r w:rsidRPr="004F542A">
        <w:rPr>
          <w:rFonts w:ascii="Times New Roman" w:hAnsi="Times New Roman"/>
          <w:i/>
        </w:rPr>
        <w:t>Rey</w:t>
      </w:r>
      <w:r w:rsidR="004B1EE8" w:rsidRPr="004F542A">
        <w:rPr>
          <w:rFonts w:ascii="Times New Roman" w:hAnsi="Times New Roman"/>
          <w:i/>
        </w:rPr>
        <w:t>n</w:t>
      </w:r>
      <w:r w:rsidRPr="004F542A">
        <w:rPr>
          <w:rFonts w:ascii="Times New Roman" w:hAnsi="Times New Roman"/>
          <w:i/>
        </w:rPr>
        <w:t>houdt</w:t>
      </w:r>
      <w:proofErr w:type="spellEnd"/>
      <w:r w:rsidRPr="004F542A">
        <w:rPr>
          <w:rStyle w:val="FootnoteReference"/>
          <w:rFonts w:ascii="Times New Roman" w:hAnsi="Times New Roman"/>
          <w:sz w:val="24"/>
        </w:rPr>
        <w:footnoteReference w:id="32"/>
      </w:r>
      <w:r w:rsidR="00192E64" w:rsidRPr="004F542A">
        <w:rPr>
          <w:rFonts w:ascii="Times New Roman" w:hAnsi="Times New Roman"/>
        </w:rPr>
        <w:t xml:space="preserve"> said that it was "quite artificial" to take the mere repetition in legislation of a provision which has been judicially considered as legislative approval of that decision. </w:t>
      </w:r>
      <w:r w:rsidR="005062DF" w:rsidRPr="004F542A">
        <w:rPr>
          <w:rFonts w:ascii="Times New Roman" w:hAnsi="Times New Roman"/>
        </w:rPr>
        <w:t xml:space="preserve">If that </w:t>
      </w:r>
      <w:r w:rsidR="00192E64" w:rsidRPr="004F542A">
        <w:rPr>
          <w:rFonts w:ascii="Times New Roman" w:hAnsi="Times New Roman"/>
        </w:rPr>
        <w:t xml:space="preserve">is so, </w:t>
      </w:r>
      <w:r w:rsidR="005062DF" w:rsidRPr="004F542A">
        <w:rPr>
          <w:rFonts w:ascii="Times New Roman" w:hAnsi="Times New Roman"/>
        </w:rPr>
        <w:t>mere legislative inaction must surely be problematic</w:t>
      </w:r>
      <w:r w:rsidR="005062DF" w:rsidRPr="004F542A">
        <w:rPr>
          <w:rStyle w:val="FootnoteReference"/>
          <w:rFonts w:ascii="Times New Roman" w:hAnsi="Times New Roman"/>
          <w:sz w:val="24"/>
        </w:rPr>
        <w:footnoteReference w:id="33"/>
      </w:r>
      <w:r w:rsidR="00CF6007" w:rsidRPr="004F542A">
        <w:rPr>
          <w:rFonts w:ascii="Times New Roman" w:hAnsi="Times New Roman"/>
        </w:rPr>
        <w:t>. In such a circums</w:t>
      </w:r>
      <w:r w:rsidR="005D7533" w:rsidRPr="004F542A">
        <w:rPr>
          <w:rFonts w:ascii="Times New Roman" w:hAnsi="Times New Roman"/>
        </w:rPr>
        <w:t>t</w:t>
      </w:r>
      <w:r w:rsidR="00CF6007" w:rsidRPr="004F542A">
        <w:rPr>
          <w:rFonts w:ascii="Times New Roman" w:hAnsi="Times New Roman"/>
        </w:rPr>
        <w:t xml:space="preserve">ance the presumption would not seem to arise. In </w:t>
      </w:r>
      <w:r w:rsidR="00CF6007" w:rsidRPr="004F542A">
        <w:rPr>
          <w:rFonts w:ascii="Times New Roman" w:hAnsi="Times New Roman"/>
          <w:i/>
        </w:rPr>
        <w:t>Flaherty v Girgis</w:t>
      </w:r>
      <w:r w:rsidR="00CF6007" w:rsidRPr="004F542A">
        <w:rPr>
          <w:rStyle w:val="FootnoteReference"/>
          <w:rFonts w:ascii="Times New Roman" w:hAnsi="Times New Roman"/>
          <w:sz w:val="24"/>
        </w:rPr>
        <w:footnoteReference w:id="34"/>
      </w:r>
      <w:r w:rsidR="005D7533" w:rsidRPr="004F542A">
        <w:rPr>
          <w:rFonts w:ascii="Times New Roman" w:hAnsi="Times New Roman"/>
        </w:rPr>
        <w:t>, Mason A</w:t>
      </w:r>
      <w:r w:rsidR="00C6010D" w:rsidRPr="004F542A">
        <w:rPr>
          <w:rFonts w:ascii="Times New Roman" w:hAnsi="Times New Roman"/>
        </w:rPr>
        <w:t>-</w:t>
      </w:r>
      <w:r w:rsidR="005D7533" w:rsidRPr="004F542A">
        <w:rPr>
          <w:rFonts w:ascii="Times New Roman" w:hAnsi="Times New Roman"/>
        </w:rPr>
        <w:t>CJ, Wilson and Dawson JJ said that mere amendment of a statute not involving any re</w:t>
      </w:r>
      <w:r w:rsidR="005D7533" w:rsidRPr="004F542A">
        <w:rPr>
          <w:rFonts w:ascii="Times New Roman" w:hAnsi="Times New Roman"/>
        </w:rPr>
        <w:noBreakHyphen/>
        <w:t xml:space="preserve">enactment </w:t>
      </w:r>
      <w:r w:rsidR="00B62137" w:rsidRPr="004F542A">
        <w:rPr>
          <w:rFonts w:ascii="Times New Roman" w:hAnsi="Times New Roman"/>
        </w:rPr>
        <w:t xml:space="preserve">of the words in question </w:t>
      </w:r>
      <w:r w:rsidR="00571D83" w:rsidRPr="004F542A">
        <w:rPr>
          <w:rFonts w:ascii="Times New Roman" w:hAnsi="Times New Roman"/>
        </w:rPr>
        <w:t xml:space="preserve">could </w:t>
      </w:r>
      <w:r w:rsidR="00B62137" w:rsidRPr="004F542A">
        <w:rPr>
          <w:rFonts w:ascii="Times New Roman" w:hAnsi="Times New Roman"/>
        </w:rPr>
        <w:t>seldom be taken as approval. Even re</w:t>
      </w:r>
      <w:r w:rsidR="00B62137" w:rsidRPr="004F542A">
        <w:rPr>
          <w:rFonts w:ascii="Times New Roman" w:hAnsi="Times New Roman"/>
        </w:rPr>
        <w:noBreakHyphen/>
        <w:t>enactment of the words in circumstances not involving any reconsideration of their meaning will not do so.</w:t>
      </w:r>
    </w:p>
    <w:p w14:paraId="1303514B" w14:textId="3AE65A37" w:rsidR="00B62137" w:rsidRPr="004F542A" w:rsidRDefault="00B62137" w:rsidP="004F542A">
      <w:pPr>
        <w:pStyle w:val="FixListStyle"/>
        <w:spacing w:after="260" w:line="280" w:lineRule="exact"/>
        <w:ind w:right="0"/>
        <w:jc w:val="both"/>
        <w:rPr>
          <w:rFonts w:ascii="Times New Roman" w:hAnsi="Times New Roman"/>
        </w:rPr>
      </w:pPr>
      <w:r w:rsidRPr="004F542A">
        <w:rPr>
          <w:rFonts w:ascii="Times New Roman" w:hAnsi="Times New Roman"/>
        </w:rPr>
        <w:tab/>
      </w:r>
      <w:r w:rsidR="0090043D" w:rsidRPr="004F542A">
        <w:rPr>
          <w:rFonts w:ascii="Times New Roman" w:hAnsi="Times New Roman"/>
        </w:rPr>
        <w:t xml:space="preserve">In </w:t>
      </w:r>
      <w:r w:rsidR="0090043D" w:rsidRPr="004F542A">
        <w:rPr>
          <w:rFonts w:ascii="Times New Roman" w:hAnsi="Times New Roman"/>
          <w:i/>
        </w:rPr>
        <w:t>Flaherty v Girgis</w:t>
      </w:r>
      <w:r w:rsidR="0090043D" w:rsidRPr="004F542A">
        <w:rPr>
          <w:rStyle w:val="FootnoteReference"/>
          <w:rFonts w:ascii="Times New Roman" w:hAnsi="Times New Roman"/>
          <w:sz w:val="24"/>
        </w:rPr>
        <w:footnoteReference w:id="35"/>
      </w:r>
      <w:r w:rsidR="00F60B75" w:rsidRPr="004F542A">
        <w:rPr>
          <w:rFonts w:ascii="Times New Roman" w:hAnsi="Times New Roman"/>
        </w:rPr>
        <w:t>, their Honours spoke of this pri</w:t>
      </w:r>
      <w:r w:rsidR="00A4386E" w:rsidRPr="004F542A">
        <w:rPr>
          <w:rFonts w:ascii="Times New Roman" w:hAnsi="Times New Roman"/>
        </w:rPr>
        <w:t>n</w:t>
      </w:r>
      <w:r w:rsidR="00F60B75" w:rsidRPr="004F542A">
        <w:rPr>
          <w:rFonts w:ascii="Times New Roman" w:hAnsi="Times New Roman"/>
        </w:rPr>
        <w:t xml:space="preserve">ciple of interpretation as involving </w:t>
      </w:r>
      <w:r w:rsidR="00A4386E" w:rsidRPr="004F542A">
        <w:rPr>
          <w:rFonts w:ascii="Times New Roman" w:hAnsi="Times New Roman"/>
        </w:rPr>
        <w:t xml:space="preserve">the drawing of an inference </w:t>
      </w:r>
      <w:r w:rsidR="00E800A5" w:rsidRPr="004F542A">
        <w:rPr>
          <w:rFonts w:ascii="Times New Roman" w:hAnsi="Times New Roman"/>
        </w:rPr>
        <w:t>as to parliamentary approval, which i</w:t>
      </w:r>
      <w:r w:rsidR="00BD19D8" w:rsidRPr="004F542A">
        <w:rPr>
          <w:rFonts w:ascii="Times New Roman" w:hAnsi="Times New Roman"/>
        </w:rPr>
        <w:t xml:space="preserve">n </w:t>
      </w:r>
      <w:r w:rsidR="00E800A5" w:rsidRPr="004F542A">
        <w:rPr>
          <w:rFonts w:ascii="Times New Roman" w:hAnsi="Times New Roman"/>
        </w:rPr>
        <w:t>some cases may be difficult:</w:t>
      </w:r>
    </w:p>
    <w:p w14:paraId="0C7D2300" w14:textId="77777777" w:rsidR="004F542A" w:rsidRDefault="00D67DDE" w:rsidP="004F542A">
      <w:pPr>
        <w:pStyle w:val="leftright"/>
        <w:spacing w:before="0" w:after="260" w:line="280" w:lineRule="exact"/>
        <w:ind w:right="0"/>
        <w:jc w:val="both"/>
        <w:rPr>
          <w:rFonts w:ascii="Times New Roman" w:hAnsi="Times New Roman"/>
        </w:rPr>
      </w:pPr>
      <w:r w:rsidRPr="004F542A">
        <w:rPr>
          <w:rFonts w:ascii="Times New Roman" w:hAnsi="Times New Roman"/>
        </w:rPr>
        <w:t xml:space="preserve">"Whilst it is true that, </w:t>
      </w:r>
      <w:r w:rsidR="002C26CE" w:rsidRPr="004F542A">
        <w:rPr>
          <w:rFonts w:ascii="Times New Roman" w:hAnsi="Times New Roman"/>
        </w:rPr>
        <w:t>where</w:t>
      </w:r>
      <w:r w:rsidRPr="004F542A">
        <w:rPr>
          <w:rFonts w:ascii="Times New Roman" w:hAnsi="Times New Roman"/>
        </w:rPr>
        <w:t xml:space="preserve"> an inference can be drawn from the terms in which subsequent legislation has been passed that </w:t>
      </w:r>
      <w:r w:rsidR="008E12D8" w:rsidRPr="004F542A">
        <w:rPr>
          <w:rFonts w:ascii="Times New Roman" w:hAnsi="Times New Roman"/>
        </w:rPr>
        <w:t>P</w:t>
      </w:r>
      <w:r w:rsidRPr="004F542A">
        <w:rPr>
          <w:rFonts w:ascii="Times New Roman" w:hAnsi="Times New Roman"/>
        </w:rPr>
        <w:t xml:space="preserve">arliament itself </w:t>
      </w:r>
      <w:r w:rsidR="008E12D8" w:rsidRPr="004F542A">
        <w:rPr>
          <w:rFonts w:ascii="Times New Roman" w:hAnsi="Times New Roman"/>
        </w:rPr>
        <w:t xml:space="preserve">has </w:t>
      </w:r>
      <w:r w:rsidRPr="004F542A">
        <w:rPr>
          <w:rFonts w:ascii="Times New Roman" w:hAnsi="Times New Roman"/>
        </w:rPr>
        <w:t xml:space="preserve">approved of a particular judicial interpretation of words in an earlier statute, </w:t>
      </w:r>
      <w:r w:rsidRPr="004F542A">
        <w:rPr>
          <w:rFonts w:ascii="Times New Roman" w:hAnsi="Times New Roman"/>
        </w:rPr>
        <w:lastRenderedPageBreak/>
        <w:t xml:space="preserve">a </w:t>
      </w:r>
      <w:r w:rsidR="008E12D8" w:rsidRPr="004F542A">
        <w:rPr>
          <w:rFonts w:ascii="Times New Roman" w:hAnsi="Times New Roman"/>
        </w:rPr>
        <w:t>c</w:t>
      </w:r>
      <w:r w:rsidRPr="004F542A">
        <w:rPr>
          <w:rFonts w:ascii="Times New Roman" w:hAnsi="Times New Roman"/>
        </w:rPr>
        <w:t xml:space="preserve">ourt should adhere to that interpretation, the difficulty is </w:t>
      </w:r>
      <w:r w:rsidR="00C21769" w:rsidRPr="004F542A">
        <w:rPr>
          <w:rFonts w:ascii="Times New Roman" w:hAnsi="Times New Roman"/>
        </w:rPr>
        <w:t>in</w:t>
      </w:r>
      <w:r w:rsidRPr="004F542A">
        <w:rPr>
          <w:rFonts w:ascii="Times New Roman" w:hAnsi="Times New Roman"/>
        </w:rPr>
        <w:t xml:space="preserve"> discerning the existence of parliamentary approval"</w:t>
      </w:r>
      <w:r w:rsidR="0037480B" w:rsidRPr="004F542A">
        <w:rPr>
          <w:rFonts w:ascii="Times New Roman" w:hAnsi="Times New Roman"/>
        </w:rPr>
        <w:t>.</w:t>
      </w:r>
    </w:p>
    <w:p w14:paraId="200D5EE2" w14:textId="1977301A" w:rsidR="00C873A0" w:rsidRPr="004F542A" w:rsidRDefault="00520FE0" w:rsidP="004F542A">
      <w:pPr>
        <w:pStyle w:val="FixListStyle"/>
        <w:spacing w:after="260" w:line="280" w:lineRule="exact"/>
        <w:ind w:right="0"/>
        <w:jc w:val="both"/>
        <w:rPr>
          <w:rFonts w:ascii="Times New Roman" w:hAnsi="Times New Roman"/>
        </w:rPr>
      </w:pPr>
      <w:r w:rsidRPr="004F542A">
        <w:rPr>
          <w:rFonts w:ascii="Times New Roman" w:hAnsi="Times New Roman"/>
        </w:rPr>
        <w:tab/>
      </w:r>
      <w:r w:rsidR="00C873A0" w:rsidRPr="004F542A">
        <w:rPr>
          <w:rFonts w:ascii="Times New Roman" w:hAnsi="Times New Roman"/>
        </w:rPr>
        <w:t xml:space="preserve">In </w:t>
      </w:r>
      <w:r w:rsidR="00C873A0" w:rsidRPr="004F542A">
        <w:rPr>
          <w:rFonts w:ascii="Times New Roman" w:hAnsi="Times New Roman"/>
          <w:i/>
        </w:rPr>
        <w:t>Alcan</w:t>
      </w:r>
      <w:r w:rsidR="00C873A0" w:rsidRPr="004F542A">
        <w:rPr>
          <w:rFonts w:ascii="Times New Roman" w:hAnsi="Times New Roman"/>
        </w:rPr>
        <w:t xml:space="preserve"> it was said</w:t>
      </w:r>
      <w:r w:rsidR="00C873A0" w:rsidRPr="004F542A">
        <w:rPr>
          <w:rStyle w:val="FootnoteReference"/>
          <w:rFonts w:ascii="Times New Roman" w:hAnsi="Times New Roman"/>
          <w:sz w:val="24"/>
        </w:rPr>
        <w:footnoteReference w:id="36"/>
      </w:r>
      <w:r w:rsidR="00C7066F" w:rsidRPr="004F542A">
        <w:rPr>
          <w:rFonts w:ascii="Times New Roman" w:hAnsi="Times New Roman"/>
        </w:rPr>
        <w:t xml:space="preserve"> that consideration of the legislative history of a statute may strengthen the presumption. It might also be said that it may enable an inference of parliamentary </w:t>
      </w:r>
      <w:r w:rsidR="00FD4036" w:rsidRPr="004F542A">
        <w:rPr>
          <w:rFonts w:ascii="Times New Roman" w:hAnsi="Times New Roman"/>
        </w:rPr>
        <w:t xml:space="preserve">adoption more readily to be drawn. </w:t>
      </w:r>
      <w:r w:rsidR="00850416" w:rsidRPr="004F542A">
        <w:rPr>
          <w:rFonts w:ascii="Times New Roman" w:hAnsi="Times New Roman"/>
        </w:rPr>
        <w:t xml:space="preserve">There are other factors which might be </w:t>
      </w:r>
      <w:proofErr w:type="gramStart"/>
      <w:r w:rsidR="00850416" w:rsidRPr="004F542A">
        <w:rPr>
          <w:rFonts w:ascii="Times New Roman" w:hAnsi="Times New Roman"/>
        </w:rPr>
        <w:t>taken into account</w:t>
      </w:r>
      <w:proofErr w:type="gramEnd"/>
      <w:r w:rsidR="00850416" w:rsidRPr="004F542A">
        <w:rPr>
          <w:rFonts w:ascii="Times New Roman" w:hAnsi="Times New Roman"/>
        </w:rPr>
        <w:t xml:space="preserve">. </w:t>
      </w:r>
      <w:r w:rsidR="00FD4036" w:rsidRPr="004F542A">
        <w:rPr>
          <w:rFonts w:ascii="Times New Roman" w:hAnsi="Times New Roman"/>
        </w:rPr>
        <w:t xml:space="preserve">The likelihood that the legislature intended to adopt a previous judicial interpretation may be greater </w:t>
      </w:r>
      <w:r w:rsidR="009D7364" w:rsidRPr="004F542A">
        <w:rPr>
          <w:rFonts w:ascii="Times New Roman" w:hAnsi="Times New Roman"/>
        </w:rPr>
        <w:t>when the earlier decision is settled or well</w:t>
      </w:r>
      <w:r w:rsidR="009D7364" w:rsidRPr="004F542A">
        <w:rPr>
          <w:rFonts w:ascii="Times New Roman" w:hAnsi="Times New Roman"/>
        </w:rPr>
        <w:noBreakHyphen/>
        <w:t>recognised</w:t>
      </w:r>
      <w:r w:rsidR="009D7364" w:rsidRPr="004F542A">
        <w:rPr>
          <w:rStyle w:val="FootnoteReference"/>
          <w:rFonts w:ascii="Times New Roman" w:hAnsi="Times New Roman"/>
          <w:sz w:val="24"/>
        </w:rPr>
        <w:footnoteReference w:id="37"/>
      </w:r>
      <w:r w:rsidR="00354394" w:rsidRPr="004F542A">
        <w:rPr>
          <w:rFonts w:ascii="Times New Roman" w:hAnsi="Times New Roman"/>
        </w:rPr>
        <w:t>. T</w:t>
      </w:r>
      <w:r w:rsidR="002A311A" w:rsidRPr="004F542A">
        <w:rPr>
          <w:rFonts w:ascii="Times New Roman" w:hAnsi="Times New Roman"/>
        </w:rPr>
        <w:t>h</w:t>
      </w:r>
      <w:r w:rsidR="00354394" w:rsidRPr="004F542A">
        <w:rPr>
          <w:rFonts w:ascii="Times New Roman" w:hAnsi="Times New Roman"/>
        </w:rPr>
        <w:t xml:space="preserve">e principle has been said to have greater force in specialised </w:t>
      </w:r>
      <w:r w:rsidR="00567DFC" w:rsidRPr="004F542A">
        <w:rPr>
          <w:rFonts w:ascii="Times New Roman" w:hAnsi="Times New Roman"/>
        </w:rPr>
        <w:t xml:space="preserve">and </w:t>
      </w:r>
      <w:r w:rsidR="00354394" w:rsidRPr="004F542A">
        <w:rPr>
          <w:rFonts w:ascii="Times New Roman" w:hAnsi="Times New Roman"/>
        </w:rPr>
        <w:t>technical fields</w:t>
      </w:r>
      <w:r w:rsidR="002A311A" w:rsidRPr="004F542A">
        <w:rPr>
          <w:rFonts w:ascii="Times New Roman" w:hAnsi="Times New Roman"/>
        </w:rPr>
        <w:t xml:space="preserve"> </w:t>
      </w:r>
      <w:r w:rsidR="00354394" w:rsidRPr="004F542A">
        <w:rPr>
          <w:rFonts w:ascii="Times New Roman" w:hAnsi="Times New Roman"/>
        </w:rPr>
        <w:t>of the law</w:t>
      </w:r>
      <w:r w:rsidR="00415EFA" w:rsidRPr="004F542A">
        <w:rPr>
          <w:rFonts w:ascii="Times New Roman" w:hAnsi="Times New Roman"/>
        </w:rPr>
        <w:t>,</w:t>
      </w:r>
      <w:r w:rsidR="00354394" w:rsidRPr="004F542A">
        <w:rPr>
          <w:rFonts w:ascii="Times New Roman" w:hAnsi="Times New Roman"/>
        </w:rPr>
        <w:t xml:space="preserve"> where legislation is often </w:t>
      </w:r>
      <w:proofErr w:type="gramStart"/>
      <w:r w:rsidR="00354394" w:rsidRPr="004F542A">
        <w:rPr>
          <w:rFonts w:ascii="Times New Roman" w:hAnsi="Times New Roman"/>
        </w:rPr>
        <w:t>amended</w:t>
      </w:r>
      <w:proofErr w:type="gramEnd"/>
      <w:r w:rsidR="00354394" w:rsidRPr="004F542A">
        <w:rPr>
          <w:rFonts w:ascii="Times New Roman" w:hAnsi="Times New Roman"/>
        </w:rPr>
        <w:t xml:space="preserve"> and judicial decisions carefu</w:t>
      </w:r>
      <w:r w:rsidR="002A311A" w:rsidRPr="004F542A">
        <w:rPr>
          <w:rFonts w:ascii="Times New Roman" w:hAnsi="Times New Roman"/>
        </w:rPr>
        <w:t>l</w:t>
      </w:r>
      <w:r w:rsidR="00354394" w:rsidRPr="004F542A">
        <w:rPr>
          <w:rFonts w:ascii="Times New Roman" w:hAnsi="Times New Roman"/>
        </w:rPr>
        <w:t xml:space="preserve">ly </w:t>
      </w:r>
      <w:r w:rsidR="002A311A" w:rsidRPr="004F542A">
        <w:rPr>
          <w:rFonts w:ascii="Times New Roman" w:hAnsi="Times New Roman"/>
        </w:rPr>
        <w:t>scrutinised by those responsible for amendments</w:t>
      </w:r>
      <w:r w:rsidR="007B1A08" w:rsidRPr="004F542A">
        <w:rPr>
          <w:rStyle w:val="FootnoteReference"/>
          <w:rFonts w:ascii="Times New Roman" w:hAnsi="Times New Roman"/>
          <w:sz w:val="24"/>
        </w:rPr>
        <w:footnoteReference w:id="38"/>
      </w:r>
      <w:r w:rsidR="007B1A08" w:rsidRPr="004F542A">
        <w:rPr>
          <w:rFonts w:ascii="Times New Roman" w:hAnsi="Times New Roman"/>
        </w:rPr>
        <w:t>.</w:t>
      </w:r>
    </w:p>
    <w:p w14:paraId="5A159305" w14:textId="2527035E" w:rsidR="00843F34" w:rsidRPr="004F542A" w:rsidRDefault="007B1A08" w:rsidP="004F542A">
      <w:pPr>
        <w:pStyle w:val="FixListStyle"/>
        <w:spacing w:after="260" w:line="280" w:lineRule="exact"/>
        <w:ind w:right="0"/>
        <w:jc w:val="both"/>
        <w:rPr>
          <w:rFonts w:ascii="Times New Roman" w:hAnsi="Times New Roman"/>
        </w:rPr>
      </w:pPr>
      <w:r w:rsidRPr="004F542A">
        <w:rPr>
          <w:rFonts w:ascii="Times New Roman" w:hAnsi="Times New Roman"/>
        </w:rPr>
        <w:tab/>
      </w:r>
      <w:r w:rsidR="00A64803" w:rsidRPr="004F542A">
        <w:rPr>
          <w:rFonts w:ascii="Times New Roman" w:hAnsi="Times New Roman"/>
        </w:rPr>
        <w:t xml:space="preserve">Whatever factors may be necessary to permit </w:t>
      </w:r>
      <w:r w:rsidR="007A794B" w:rsidRPr="004F542A">
        <w:rPr>
          <w:rFonts w:ascii="Times New Roman" w:hAnsi="Times New Roman"/>
        </w:rPr>
        <w:t>with some certainty</w:t>
      </w:r>
      <w:r w:rsidR="00A64803" w:rsidRPr="004F542A">
        <w:rPr>
          <w:rFonts w:ascii="Times New Roman" w:hAnsi="Times New Roman"/>
        </w:rPr>
        <w:t xml:space="preserve"> a conclusion that the legislature has adopted or approved a previous judicial meaning assigned to a word or phrase, it is important to recall that the process in which the presumption is applied is one of statutory construction of the subsequent provision. The presumption is a principle of interpre</w:t>
      </w:r>
      <w:r w:rsidR="007F2518" w:rsidRPr="004F542A">
        <w:rPr>
          <w:rFonts w:ascii="Times New Roman" w:hAnsi="Times New Roman"/>
        </w:rPr>
        <w:t>t</w:t>
      </w:r>
      <w:r w:rsidR="00A64803" w:rsidRPr="004F542A">
        <w:rPr>
          <w:rFonts w:ascii="Times New Roman" w:hAnsi="Times New Roman"/>
        </w:rPr>
        <w:t>ation.</w:t>
      </w:r>
    </w:p>
    <w:p w14:paraId="3E6107F1" w14:textId="009B59D5" w:rsidR="00EC7093" w:rsidRPr="004F542A" w:rsidRDefault="003118BF" w:rsidP="004F542A">
      <w:pPr>
        <w:pStyle w:val="HeadingL1"/>
        <w:spacing w:after="260" w:line="280" w:lineRule="exact"/>
        <w:ind w:right="0"/>
        <w:jc w:val="both"/>
        <w:rPr>
          <w:rFonts w:ascii="Times New Roman" w:hAnsi="Times New Roman"/>
        </w:rPr>
      </w:pPr>
      <w:r w:rsidRPr="004F542A">
        <w:rPr>
          <w:rFonts w:ascii="Times New Roman" w:hAnsi="Times New Roman"/>
        </w:rPr>
        <w:t>The legislative amendments</w:t>
      </w:r>
    </w:p>
    <w:p w14:paraId="58701FF7" w14:textId="2E7E9171" w:rsidR="00D94DD7" w:rsidRPr="004F542A" w:rsidRDefault="003118BF" w:rsidP="004F542A">
      <w:pPr>
        <w:pStyle w:val="FixListStyle"/>
        <w:spacing w:after="260" w:line="280" w:lineRule="exact"/>
        <w:ind w:right="0"/>
        <w:jc w:val="both"/>
        <w:rPr>
          <w:rFonts w:ascii="Times New Roman" w:hAnsi="Times New Roman"/>
        </w:rPr>
      </w:pPr>
      <w:r w:rsidRPr="004F542A">
        <w:rPr>
          <w:rFonts w:ascii="Times New Roman" w:hAnsi="Times New Roman"/>
        </w:rPr>
        <w:tab/>
        <w:t>There</w:t>
      </w:r>
      <w:r w:rsidR="00637E2D" w:rsidRPr="004F542A">
        <w:rPr>
          <w:rFonts w:ascii="Times New Roman" w:hAnsi="Times New Roman"/>
        </w:rPr>
        <w:t xml:space="preserve"> </w:t>
      </w:r>
      <w:r w:rsidR="00D94DD7" w:rsidRPr="004F542A">
        <w:rPr>
          <w:rFonts w:ascii="Times New Roman" w:hAnsi="Times New Roman"/>
        </w:rPr>
        <w:t xml:space="preserve">were two amendments on which the joint judgment principally relied in concluding that the legislature had adopted the meaning in </w:t>
      </w:r>
      <w:r w:rsidR="00D94DD7" w:rsidRPr="004F542A">
        <w:rPr>
          <w:rFonts w:ascii="Times New Roman" w:hAnsi="Times New Roman"/>
          <w:i/>
        </w:rPr>
        <w:t>Campbell</w:t>
      </w:r>
      <w:r w:rsidR="00D94DD7" w:rsidRPr="004F542A">
        <w:rPr>
          <w:rFonts w:ascii="Times New Roman" w:hAnsi="Times New Roman"/>
        </w:rPr>
        <w:t>. The first, in 1997, effected changes to the maximum sentences for certain offences, including s 17; the second, in 2013, created new offences involving gross violence.</w:t>
      </w:r>
    </w:p>
    <w:p w14:paraId="608731E0" w14:textId="77777777" w:rsidR="00D94DD7" w:rsidRPr="004F542A" w:rsidRDefault="00D94DD7" w:rsidP="004F542A">
      <w:pPr>
        <w:pStyle w:val="HeadingL2"/>
        <w:spacing w:after="260" w:line="280" w:lineRule="exact"/>
        <w:ind w:right="0"/>
        <w:jc w:val="both"/>
        <w:rPr>
          <w:rFonts w:ascii="Times New Roman" w:hAnsi="Times New Roman"/>
        </w:rPr>
      </w:pPr>
      <w:r w:rsidRPr="004F542A">
        <w:rPr>
          <w:rFonts w:ascii="Times New Roman" w:hAnsi="Times New Roman"/>
        </w:rPr>
        <w:t>The 1997 amendments</w:t>
      </w:r>
    </w:p>
    <w:p w14:paraId="3D9154D6" w14:textId="71A61921"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In 1997 the </w:t>
      </w:r>
      <w:r w:rsidRPr="004F542A">
        <w:rPr>
          <w:rFonts w:ascii="Times New Roman" w:hAnsi="Times New Roman"/>
          <w:i/>
        </w:rPr>
        <w:t>Sentencing and Other Acts (Amendment) Act 1997</w:t>
      </w:r>
      <w:r w:rsidRPr="004F542A">
        <w:rPr>
          <w:rFonts w:ascii="Times New Roman" w:hAnsi="Times New Roman"/>
        </w:rPr>
        <w:t xml:space="preserve"> (Vic)</w:t>
      </w:r>
      <w:r w:rsidR="005B0F40" w:rsidRPr="004F542A">
        <w:rPr>
          <w:rFonts w:ascii="Times New Roman" w:hAnsi="Times New Roman"/>
        </w:rPr>
        <w:t xml:space="preserve"> (</w:t>
      </w:r>
      <w:r w:rsidR="00FD7080" w:rsidRPr="004F542A">
        <w:rPr>
          <w:rFonts w:ascii="Times New Roman" w:hAnsi="Times New Roman"/>
        </w:rPr>
        <w:t>"</w:t>
      </w:r>
      <w:r w:rsidR="005B0F40" w:rsidRPr="004F542A">
        <w:rPr>
          <w:rFonts w:ascii="Times New Roman" w:hAnsi="Times New Roman"/>
        </w:rPr>
        <w:t>the Amending Act")</w:t>
      </w:r>
      <w:r w:rsidRPr="004F542A">
        <w:rPr>
          <w:rFonts w:ascii="Times New Roman" w:hAnsi="Times New Roman"/>
        </w:rPr>
        <w:t xml:space="preserve"> altered the maximum penalties for </w:t>
      </w:r>
      <w:proofErr w:type="gramStart"/>
      <w:r w:rsidRPr="004F542A">
        <w:rPr>
          <w:rFonts w:ascii="Times New Roman" w:hAnsi="Times New Roman"/>
        </w:rPr>
        <w:t>a large number of</w:t>
      </w:r>
      <w:proofErr w:type="gramEnd"/>
      <w:r w:rsidRPr="004F542A">
        <w:rPr>
          <w:rFonts w:ascii="Times New Roman" w:hAnsi="Times New Roman"/>
        </w:rPr>
        <w:t xml:space="preserve"> offences. </w:t>
      </w:r>
      <w:r w:rsidRPr="004F542A">
        <w:rPr>
          <w:rFonts w:ascii="Times New Roman" w:hAnsi="Times New Roman"/>
        </w:rPr>
        <w:lastRenderedPageBreak/>
        <w:t>As was pointed out in the joint judgment in the Court of Appeal</w:t>
      </w:r>
      <w:r w:rsidRPr="004F542A">
        <w:rPr>
          <w:rStyle w:val="FootnoteReference"/>
          <w:rFonts w:ascii="Times New Roman" w:hAnsi="Times New Roman"/>
          <w:sz w:val="24"/>
        </w:rPr>
        <w:footnoteReference w:id="39"/>
      </w:r>
      <w:r w:rsidRPr="004F542A">
        <w:rPr>
          <w:rFonts w:ascii="Times New Roman" w:hAnsi="Times New Roman"/>
        </w:rPr>
        <w:t>, the changes included the penalties for the "causing injury" offences</w:t>
      </w:r>
      <w:r w:rsidRPr="004F542A">
        <w:rPr>
          <w:rStyle w:val="FootnoteReference"/>
          <w:rFonts w:ascii="Times New Roman" w:hAnsi="Times New Roman"/>
          <w:sz w:val="24"/>
        </w:rPr>
        <w:footnoteReference w:id="40"/>
      </w:r>
      <w:r w:rsidRPr="004F542A">
        <w:rPr>
          <w:rFonts w:ascii="Times New Roman" w:hAnsi="Times New Roman"/>
        </w:rPr>
        <w:t>. The maximum for intentionally causing serious injury (s 16) was increased from 12.5 to 20 years; for recklessly causing serious injury (s 17) from 10 to 15 years; and for intentionally causing injury (s 18) from 7.5 to 10 years.</w:t>
      </w:r>
    </w:p>
    <w:p w14:paraId="0B707641" w14:textId="13895042"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The penalty for the s 17 offence (and for ss 16 and 18) appears </w:t>
      </w:r>
      <w:r w:rsidR="00DB2CEC" w:rsidRPr="004F542A">
        <w:rPr>
          <w:rFonts w:ascii="Times New Roman" w:hAnsi="Times New Roman"/>
        </w:rPr>
        <w:t>at the foot</w:t>
      </w:r>
      <w:r w:rsidRPr="004F542A">
        <w:rPr>
          <w:rFonts w:ascii="Times New Roman" w:hAnsi="Times New Roman"/>
        </w:rPr>
        <w:t xml:space="preserve"> </w:t>
      </w:r>
      <w:r w:rsidR="00DB2CEC" w:rsidRPr="004F542A">
        <w:rPr>
          <w:rFonts w:ascii="Times New Roman" w:hAnsi="Times New Roman"/>
        </w:rPr>
        <w:t>of</w:t>
      </w:r>
      <w:r w:rsidRPr="004F542A">
        <w:rPr>
          <w:rFonts w:ascii="Times New Roman" w:hAnsi="Times New Roman"/>
        </w:rPr>
        <w:t xml:space="preserve"> the section. The alteration of the penalty </w:t>
      </w:r>
      <w:r w:rsidR="0077254F" w:rsidRPr="004F542A">
        <w:rPr>
          <w:rFonts w:ascii="Times New Roman" w:hAnsi="Times New Roman"/>
        </w:rPr>
        <w:t xml:space="preserve">for </w:t>
      </w:r>
      <w:r w:rsidRPr="004F542A">
        <w:rPr>
          <w:rFonts w:ascii="Times New Roman" w:hAnsi="Times New Roman"/>
        </w:rPr>
        <w:t xml:space="preserve">the s 17 offence, and two unrelated offences, was </w:t>
      </w:r>
      <w:proofErr w:type="gramStart"/>
      <w:r w:rsidRPr="004F542A">
        <w:rPr>
          <w:rFonts w:ascii="Times New Roman" w:hAnsi="Times New Roman"/>
        </w:rPr>
        <w:t>effected</w:t>
      </w:r>
      <w:proofErr w:type="gramEnd"/>
      <w:r w:rsidRPr="004F542A">
        <w:rPr>
          <w:rFonts w:ascii="Times New Roman" w:hAnsi="Times New Roman"/>
        </w:rPr>
        <w:t xml:space="preserve"> by providing in a schedule to the </w:t>
      </w:r>
      <w:r w:rsidR="00047F79" w:rsidRPr="004F542A">
        <w:rPr>
          <w:rFonts w:ascii="Times New Roman" w:hAnsi="Times New Roman"/>
        </w:rPr>
        <w:t>A</w:t>
      </w:r>
      <w:r w:rsidRPr="004F542A">
        <w:rPr>
          <w:rFonts w:ascii="Times New Roman" w:hAnsi="Times New Roman"/>
        </w:rPr>
        <w:t>mending Act that:</w:t>
      </w:r>
    </w:p>
    <w:p w14:paraId="7E19DD0A" w14:textId="77777777" w:rsidR="004F542A" w:rsidRDefault="00D94DD7" w:rsidP="004F542A">
      <w:pPr>
        <w:pStyle w:val="LeftrightHanging"/>
        <w:spacing w:before="0" w:after="260" w:line="280" w:lineRule="exact"/>
        <w:ind w:right="0"/>
        <w:jc w:val="both"/>
        <w:rPr>
          <w:rFonts w:ascii="Times New Roman" w:hAnsi="Times New Roman"/>
        </w:rPr>
      </w:pPr>
      <w:r w:rsidRPr="004F542A">
        <w:rPr>
          <w:rFonts w:ascii="Times New Roman" w:hAnsi="Times New Roman"/>
        </w:rPr>
        <w:t>"11.</w:t>
      </w:r>
      <w:r w:rsidRPr="004F542A">
        <w:rPr>
          <w:rFonts w:ascii="Times New Roman" w:hAnsi="Times New Roman"/>
        </w:rPr>
        <w:tab/>
        <w:t xml:space="preserve">In sections 17, 25 and 27, for the penalty set out at the foot of the section </w:t>
      </w:r>
      <w:r w:rsidRPr="004F542A">
        <w:rPr>
          <w:rFonts w:ascii="Times New Roman" w:hAnsi="Times New Roman"/>
          <w:b/>
        </w:rPr>
        <w:t>substitute</w:t>
      </w:r>
      <w:r w:rsidRPr="004F542A">
        <w:rPr>
          <w:rFonts w:ascii="Times New Roman" w:hAnsi="Times New Roman"/>
        </w:rPr>
        <w:t xml:space="preserve"> </w:t>
      </w:r>
      <w:r w:rsidR="007F2875" w:rsidRPr="004F542A">
        <w:rPr>
          <w:rFonts w:ascii="Times New Roman" w:hAnsi="Times New Roman"/>
        </w:rPr>
        <w:t>'</w:t>
      </w:r>
      <w:r w:rsidRPr="004F542A">
        <w:rPr>
          <w:rFonts w:ascii="Times New Roman" w:hAnsi="Times New Roman"/>
        </w:rPr>
        <w:t>Penalty</w:t>
      </w:r>
      <w:r w:rsidR="002029EC" w:rsidRPr="004F542A">
        <w:rPr>
          <w:rFonts w:ascii="Times New Roman" w:hAnsi="Times New Roman"/>
        </w:rPr>
        <w:t>:</w:t>
      </w:r>
      <w:r w:rsidRPr="004F542A">
        <w:rPr>
          <w:rFonts w:ascii="Times New Roman" w:hAnsi="Times New Roman"/>
        </w:rPr>
        <w:t xml:space="preserve"> </w:t>
      </w:r>
      <w:r w:rsidR="002029EC" w:rsidRPr="004F542A">
        <w:rPr>
          <w:rFonts w:ascii="Times New Roman" w:hAnsi="Times New Roman"/>
        </w:rPr>
        <w:t>L</w:t>
      </w:r>
      <w:r w:rsidRPr="004F542A">
        <w:rPr>
          <w:rFonts w:ascii="Times New Roman" w:hAnsi="Times New Roman"/>
        </w:rPr>
        <w:t>evel 4 imprisonment (15 years maximum)</w:t>
      </w:r>
      <w:r w:rsidR="007F2875" w:rsidRPr="004F542A">
        <w:rPr>
          <w:rFonts w:ascii="Times New Roman" w:hAnsi="Times New Roman"/>
        </w:rPr>
        <w:t>.'</w:t>
      </w:r>
      <w:r w:rsidRPr="004F542A">
        <w:rPr>
          <w:rFonts w:ascii="Times New Roman" w:hAnsi="Times New Roman"/>
        </w:rPr>
        <w:t>."</w:t>
      </w:r>
    </w:p>
    <w:p w14:paraId="7FE2B3B4" w14:textId="27157AEF"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No part of the body of s 17, including the word "recklessly"</w:t>
      </w:r>
      <w:r w:rsidR="001C0059" w:rsidRPr="004F542A">
        <w:rPr>
          <w:rFonts w:ascii="Times New Roman" w:hAnsi="Times New Roman"/>
        </w:rPr>
        <w:t>,</w:t>
      </w:r>
      <w:r w:rsidRPr="004F542A">
        <w:rPr>
          <w:rFonts w:ascii="Times New Roman" w:hAnsi="Times New Roman"/>
        </w:rPr>
        <w:t xml:space="preserve"> was enacted as part of the amending provision.</w:t>
      </w:r>
    </w:p>
    <w:p w14:paraId="3714F9ED" w14:textId="77777777"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The joint judgment</w:t>
      </w:r>
      <w:r w:rsidRPr="004F542A">
        <w:rPr>
          <w:rStyle w:val="FootnoteReference"/>
          <w:rFonts w:ascii="Times New Roman" w:hAnsi="Times New Roman"/>
          <w:sz w:val="24"/>
        </w:rPr>
        <w:footnoteReference w:id="41"/>
      </w:r>
      <w:r w:rsidRPr="004F542A">
        <w:rPr>
          <w:rFonts w:ascii="Times New Roman" w:hAnsi="Times New Roman"/>
        </w:rPr>
        <w:t xml:space="preserve"> gave as the explanation for the increase in s 17 the following:</w:t>
      </w:r>
    </w:p>
    <w:p w14:paraId="71C413AA" w14:textId="77777777" w:rsidR="004F542A" w:rsidRDefault="00D94DD7" w:rsidP="004F542A">
      <w:pPr>
        <w:pStyle w:val="leftright"/>
        <w:spacing w:before="0" w:after="260" w:line="280" w:lineRule="exact"/>
        <w:ind w:right="0"/>
        <w:jc w:val="both"/>
        <w:rPr>
          <w:rFonts w:ascii="Times New Roman" w:hAnsi="Times New Roman"/>
        </w:rPr>
      </w:pPr>
      <w:r w:rsidRPr="004F542A">
        <w:rPr>
          <w:rFonts w:ascii="Times New Roman" w:hAnsi="Times New Roman"/>
        </w:rPr>
        <w:t xml:space="preserve">"the decision to increase the maximum for recklessly causing </w:t>
      </w:r>
      <w:r w:rsidR="00720B84" w:rsidRPr="004F542A">
        <w:rPr>
          <w:rFonts w:ascii="Times New Roman" w:hAnsi="Times New Roman"/>
        </w:rPr>
        <w:t xml:space="preserve">serious </w:t>
      </w:r>
      <w:r w:rsidRPr="004F542A">
        <w:rPr>
          <w:rFonts w:ascii="Times New Roman" w:hAnsi="Times New Roman"/>
        </w:rPr>
        <w:t>injury by 50</w:t>
      </w:r>
      <w:r w:rsidR="00504148" w:rsidRPr="004F542A">
        <w:rPr>
          <w:rFonts w:ascii="Times New Roman" w:hAnsi="Times New Roman"/>
        </w:rPr>
        <w:t>%</w:t>
      </w:r>
      <w:r w:rsidRPr="004F542A">
        <w:rPr>
          <w:rFonts w:ascii="Times New Roman" w:hAnsi="Times New Roman"/>
        </w:rPr>
        <w:t xml:space="preserve"> can only be understood on the basis that the legislature was aware of, and accepted, the </w:t>
      </w:r>
      <w:r w:rsidRPr="004F542A">
        <w:rPr>
          <w:rFonts w:ascii="Times New Roman" w:hAnsi="Times New Roman"/>
          <w:i/>
        </w:rPr>
        <w:t>Campbell</w:t>
      </w:r>
      <w:r w:rsidRPr="004F542A">
        <w:rPr>
          <w:rFonts w:ascii="Times New Roman" w:hAnsi="Times New Roman"/>
        </w:rPr>
        <w:t xml:space="preserve"> interpretation. That is, the increased maximum was seen to be both necessary and appropriate given the high degree of culpability involved in the causing of serious injury in circumstances where the offender was aware of the probability that serious injury would result and proceeded nonetheless. </w:t>
      </w:r>
      <w:r w:rsidR="00E30C95" w:rsidRPr="004F542A">
        <w:rPr>
          <w:rFonts w:ascii="Times New Roman" w:hAnsi="Times New Roman"/>
        </w:rPr>
        <w:t xml:space="preserve">This </w:t>
      </w:r>
      <w:r w:rsidRPr="004F542A">
        <w:rPr>
          <w:rFonts w:ascii="Times New Roman" w:hAnsi="Times New Roman"/>
        </w:rPr>
        <w:t xml:space="preserve">was, in effect, a re-enactment of s 17 </w:t>
      </w:r>
      <w:r w:rsidR="00F14F07" w:rsidRPr="004F542A">
        <w:rPr>
          <w:rFonts w:ascii="Times New Roman" w:hAnsi="Times New Roman"/>
        </w:rPr>
        <w:t>–</w:t>
      </w:r>
      <w:r w:rsidRPr="004F542A">
        <w:rPr>
          <w:rFonts w:ascii="Times New Roman" w:hAnsi="Times New Roman"/>
        </w:rPr>
        <w:t xml:space="preserve"> with a higher maximum </w:t>
      </w:r>
      <w:r w:rsidR="00F14F07" w:rsidRPr="004F542A">
        <w:rPr>
          <w:rFonts w:ascii="Times New Roman" w:hAnsi="Times New Roman"/>
        </w:rPr>
        <w:t>–</w:t>
      </w:r>
      <w:r w:rsidR="00072422" w:rsidRPr="004F542A">
        <w:rPr>
          <w:rFonts w:ascii="Times New Roman" w:hAnsi="Times New Roman"/>
        </w:rPr>
        <w:t xml:space="preserve"> </w:t>
      </w:r>
      <w:proofErr w:type="gramStart"/>
      <w:r w:rsidRPr="004F542A">
        <w:rPr>
          <w:rFonts w:ascii="Times New Roman" w:hAnsi="Times New Roman"/>
        </w:rPr>
        <w:t>on the basis of</w:t>
      </w:r>
      <w:proofErr w:type="gramEnd"/>
      <w:r w:rsidRPr="004F542A">
        <w:rPr>
          <w:rFonts w:ascii="Times New Roman" w:hAnsi="Times New Roman"/>
        </w:rPr>
        <w:t xml:space="preserve"> the interpretation adopted in </w:t>
      </w:r>
      <w:r w:rsidRPr="004F542A">
        <w:rPr>
          <w:rFonts w:ascii="Times New Roman" w:hAnsi="Times New Roman"/>
          <w:i/>
        </w:rPr>
        <w:t>Campbell</w:t>
      </w:r>
      <w:r w:rsidRPr="004F542A">
        <w:rPr>
          <w:rFonts w:ascii="Times New Roman" w:hAnsi="Times New Roman"/>
        </w:rPr>
        <w:t>."</w:t>
      </w:r>
    </w:p>
    <w:p w14:paraId="2659F04E" w14:textId="3DF16BDF"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The assumption made in the joint judgment as to legislative intention finds no support from the secondary materials relating to the </w:t>
      </w:r>
      <w:r w:rsidR="00335650" w:rsidRPr="004F542A">
        <w:rPr>
          <w:rFonts w:ascii="Times New Roman" w:hAnsi="Times New Roman"/>
        </w:rPr>
        <w:t>A</w:t>
      </w:r>
      <w:r w:rsidRPr="004F542A">
        <w:rPr>
          <w:rFonts w:ascii="Times New Roman" w:hAnsi="Times New Roman"/>
        </w:rPr>
        <w:t xml:space="preserve">mending Act. To the contrary, in the Second Reading Speech to the Bill which led to the 1997 </w:t>
      </w:r>
      <w:r w:rsidRPr="004F542A">
        <w:rPr>
          <w:rFonts w:ascii="Times New Roman" w:hAnsi="Times New Roman"/>
        </w:rPr>
        <w:lastRenderedPageBreak/>
        <w:t>amendments</w:t>
      </w:r>
      <w:r w:rsidRPr="004F542A">
        <w:rPr>
          <w:rStyle w:val="FootnoteReference"/>
          <w:rFonts w:ascii="Times New Roman" w:hAnsi="Times New Roman"/>
          <w:sz w:val="24"/>
        </w:rPr>
        <w:footnoteReference w:id="42"/>
      </w:r>
      <w:r w:rsidRPr="004F542A">
        <w:rPr>
          <w:rFonts w:ascii="Times New Roman" w:hAnsi="Times New Roman"/>
        </w:rPr>
        <w:t xml:space="preserve"> it was explained that a wide</w:t>
      </w:r>
      <w:r w:rsidRPr="004F542A">
        <w:rPr>
          <w:rFonts w:ascii="Times New Roman" w:hAnsi="Times New Roman"/>
        </w:rPr>
        <w:noBreakHyphen/>
        <w:t>ranging revision of maximum sentences involving numerous offences was undertaken by the Victorian government because of perceived public concern about the level of sentences imposed by the courts in Victoria</w:t>
      </w:r>
      <w:r w:rsidR="00D85E6A" w:rsidRPr="004F542A">
        <w:rPr>
          <w:rFonts w:ascii="Times New Roman" w:hAnsi="Times New Roman"/>
        </w:rPr>
        <w:t xml:space="preserve"> for certain </w:t>
      </w:r>
      <w:r w:rsidR="002F0F30" w:rsidRPr="004F542A">
        <w:rPr>
          <w:rFonts w:ascii="Times New Roman" w:hAnsi="Times New Roman"/>
        </w:rPr>
        <w:t xml:space="preserve">serious </w:t>
      </w:r>
      <w:r w:rsidR="00D85E6A" w:rsidRPr="004F542A">
        <w:rPr>
          <w:rFonts w:ascii="Times New Roman" w:hAnsi="Times New Roman"/>
        </w:rPr>
        <w:t>offences</w:t>
      </w:r>
      <w:r w:rsidRPr="004F542A">
        <w:rPr>
          <w:rFonts w:ascii="Times New Roman" w:hAnsi="Times New Roman"/>
        </w:rPr>
        <w:t>. The general concern was that higher sentences should be imposed for</w:t>
      </w:r>
      <w:r w:rsidR="005117BD" w:rsidRPr="004F542A">
        <w:rPr>
          <w:rFonts w:ascii="Times New Roman" w:hAnsi="Times New Roman"/>
        </w:rPr>
        <w:t xml:space="preserve"> offences</w:t>
      </w:r>
      <w:r w:rsidR="00D40441" w:rsidRPr="004F542A">
        <w:rPr>
          <w:rFonts w:ascii="Times New Roman" w:hAnsi="Times New Roman"/>
        </w:rPr>
        <w:t xml:space="preserve"> of that kind</w:t>
      </w:r>
      <w:r w:rsidR="005117BD" w:rsidRPr="004F542A">
        <w:rPr>
          <w:rFonts w:ascii="Times New Roman" w:hAnsi="Times New Roman"/>
        </w:rPr>
        <w:t>, including</w:t>
      </w:r>
      <w:r w:rsidRPr="004F542A">
        <w:rPr>
          <w:rFonts w:ascii="Times New Roman" w:hAnsi="Times New Roman"/>
        </w:rPr>
        <w:t xml:space="preserve"> offences against the person. In the Second Reading Speech it was said:</w:t>
      </w:r>
    </w:p>
    <w:p w14:paraId="0DAA09B2" w14:textId="77777777" w:rsidR="004F542A" w:rsidRDefault="00D94DD7" w:rsidP="004F542A">
      <w:pPr>
        <w:pStyle w:val="leftright"/>
        <w:spacing w:before="0" w:after="260" w:line="280" w:lineRule="exact"/>
        <w:ind w:right="0"/>
        <w:jc w:val="both"/>
        <w:rPr>
          <w:rFonts w:ascii="Times New Roman" w:hAnsi="Times New Roman"/>
        </w:rPr>
      </w:pPr>
      <w:r w:rsidRPr="004F542A">
        <w:rPr>
          <w:rFonts w:ascii="Times New Roman" w:hAnsi="Times New Roman"/>
        </w:rPr>
        <w:t>"This wide</w:t>
      </w:r>
      <w:r w:rsidR="00AB7C63" w:rsidRPr="004F542A">
        <w:rPr>
          <w:rFonts w:ascii="Times New Roman" w:hAnsi="Times New Roman"/>
        </w:rPr>
        <w:t>-</w:t>
      </w:r>
      <w:r w:rsidRPr="004F542A">
        <w:rPr>
          <w:rFonts w:ascii="Times New Roman" w:hAnsi="Times New Roman"/>
        </w:rPr>
        <w:t>ranging process of consultation was designed to find out where the sentencing system was failing. A key aim was to identify ways to ensure that</w:t>
      </w:r>
      <w:r w:rsidR="009E1CB3" w:rsidRPr="004F542A">
        <w:rPr>
          <w:rFonts w:ascii="Times New Roman" w:hAnsi="Times New Roman"/>
        </w:rPr>
        <w:t xml:space="preserve"> the</w:t>
      </w:r>
      <w:r w:rsidRPr="004F542A">
        <w:rPr>
          <w:rFonts w:ascii="Times New Roman" w:hAnsi="Times New Roman"/>
        </w:rPr>
        <w:t xml:space="preserve"> courts pass sentences which reflect community expectations. The community has clearly indicated dissatisfaction with sentencing levels for certain serious offences; this bill will address these concerns </w:t>
      </w:r>
      <w:proofErr w:type="gramStart"/>
      <w:r w:rsidRPr="004F542A">
        <w:rPr>
          <w:rFonts w:ascii="Times New Roman" w:hAnsi="Times New Roman"/>
        </w:rPr>
        <w:t>so as to</w:t>
      </w:r>
      <w:proofErr w:type="gramEnd"/>
      <w:r w:rsidRPr="004F542A">
        <w:rPr>
          <w:rFonts w:ascii="Times New Roman" w:hAnsi="Times New Roman"/>
        </w:rPr>
        <w:t xml:space="preserve"> restore the faith and confidence of the public in the criminal justice system."</w:t>
      </w:r>
    </w:p>
    <w:p w14:paraId="52E94F28" w14:textId="62C72A2E"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There is nothing to suggest that in making the increases to the maximum penalty for many offences the legislature turned its mind to </w:t>
      </w:r>
      <w:r w:rsidRPr="004F542A">
        <w:rPr>
          <w:rFonts w:ascii="Times New Roman" w:hAnsi="Times New Roman"/>
          <w:i/>
        </w:rPr>
        <w:t>Campbell</w:t>
      </w:r>
      <w:r w:rsidRPr="004F542A">
        <w:rPr>
          <w:rFonts w:ascii="Times New Roman" w:hAnsi="Times New Roman"/>
        </w:rPr>
        <w:t xml:space="preserve">. The amending </w:t>
      </w:r>
      <w:r w:rsidR="00A344DF" w:rsidRPr="004F542A">
        <w:rPr>
          <w:rFonts w:ascii="Times New Roman" w:hAnsi="Times New Roman"/>
        </w:rPr>
        <w:t xml:space="preserve">provision </w:t>
      </w:r>
      <w:r w:rsidR="00A15A8D" w:rsidRPr="004F542A">
        <w:rPr>
          <w:rFonts w:ascii="Times New Roman" w:hAnsi="Times New Roman"/>
        </w:rPr>
        <w:t xml:space="preserve">itself </w:t>
      </w:r>
      <w:r w:rsidRPr="004F542A">
        <w:rPr>
          <w:rFonts w:ascii="Times New Roman" w:hAnsi="Times New Roman"/>
        </w:rPr>
        <w:t>makes no reference to the word "recklessly" or to the s 17 offence more generally. It is not to be overlooked that the presumption is one of interpretation which arises when the legislature enacts the same term or phrase which has been judicially considered. Here</w:t>
      </w:r>
      <w:r w:rsidR="00CA21D5" w:rsidRPr="004F542A">
        <w:rPr>
          <w:rFonts w:ascii="Times New Roman" w:hAnsi="Times New Roman"/>
        </w:rPr>
        <w:t>,</w:t>
      </w:r>
      <w:r w:rsidRPr="004F542A">
        <w:rPr>
          <w:rFonts w:ascii="Times New Roman" w:hAnsi="Times New Roman"/>
        </w:rPr>
        <w:t xml:space="preserve"> the alteration made to the </w:t>
      </w:r>
      <w:r w:rsidR="00974962" w:rsidRPr="004F542A">
        <w:rPr>
          <w:rFonts w:ascii="Times New Roman" w:hAnsi="Times New Roman"/>
        </w:rPr>
        <w:t xml:space="preserve">penalty at the foot of </w:t>
      </w:r>
      <w:r w:rsidR="00CA21D5" w:rsidRPr="004F542A">
        <w:rPr>
          <w:rFonts w:ascii="Times New Roman" w:hAnsi="Times New Roman"/>
        </w:rPr>
        <w:t>s 17</w:t>
      </w:r>
      <w:r w:rsidR="00974962" w:rsidRPr="004F542A">
        <w:rPr>
          <w:rFonts w:ascii="Times New Roman" w:hAnsi="Times New Roman"/>
        </w:rPr>
        <w:t xml:space="preserve">, </w:t>
      </w:r>
      <w:r w:rsidRPr="004F542A">
        <w:rPr>
          <w:rFonts w:ascii="Times New Roman" w:hAnsi="Times New Roman"/>
        </w:rPr>
        <w:t>together with the explanation provided for it</w:t>
      </w:r>
      <w:r w:rsidR="00CA21D5" w:rsidRPr="004F542A">
        <w:rPr>
          <w:rFonts w:ascii="Times New Roman" w:hAnsi="Times New Roman"/>
        </w:rPr>
        <w:t>,</w:t>
      </w:r>
      <w:r w:rsidRPr="004F542A">
        <w:rPr>
          <w:rFonts w:ascii="Times New Roman" w:hAnsi="Times New Roman"/>
        </w:rPr>
        <w:t xml:space="preserve"> would seem to provide no occasion for the operation of the presumption.</w:t>
      </w:r>
    </w:p>
    <w:p w14:paraId="5B8E8407" w14:textId="77777777" w:rsidR="00D94DD7" w:rsidRPr="004F542A" w:rsidRDefault="00D94DD7" w:rsidP="004F542A">
      <w:pPr>
        <w:pStyle w:val="HeadingL2"/>
        <w:spacing w:after="260" w:line="280" w:lineRule="exact"/>
        <w:ind w:right="0"/>
        <w:jc w:val="both"/>
        <w:rPr>
          <w:rFonts w:ascii="Times New Roman" w:hAnsi="Times New Roman"/>
        </w:rPr>
      </w:pPr>
      <w:r w:rsidRPr="004F542A">
        <w:rPr>
          <w:rFonts w:ascii="Times New Roman" w:hAnsi="Times New Roman"/>
        </w:rPr>
        <w:t>The 2013 amendments</w:t>
      </w:r>
    </w:p>
    <w:p w14:paraId="056BD9DD" w14:textId="2B57BC21"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The </w:t>
      </w:r>
      <w:r w:rsidRPr="004F542A">
        <w:rPr>
          <w:rFonts w:ascii="Times New Roman" w:hAnsi="Times New Roman"/>
          <w:i/>
        </w:rPr>
        <w:t>Crimes Amendment (Gross Violence Offences) Act 2013</w:t>
      </w:r>
      <w:r w:rsidRPr="004F542A">
        <w:rPr>
          <w:rFonts w:ascii="Times New Roman" w:hAnsi="Times New Roman"/>
        </w:rPr>
        <w:t xml:space="preserve"> (Vic) introduced offences of intentionally and recklessly causing serious injury "in circumstances of gross violence" into the </w:t>
      </w:r>
      <w:r w:rsidRPr="004F542A">
        <w:rPr>
          <w:rFonts w:ascii="Times New Roman" w:hAnsi="Times New Roman"/>
          <w:i/>
        </w:rPr>
        <w:t>Crimes Act</w:t>
      </w:r>
      <w:r w:rsidRPr="004F542A">
        <w:rPr>
          <w:rFonts w:ascii="Times New Roman" w:hAnsi="Times New Roman"/>
        </w:rPr>
        <w:t xml:space="preserve">. The new offences appeared as ss 15A and 15B, the latter dealing with causing serious injury "recklessly". It may be observed that while the word "recklessly" was enacted in the </w:t>
      </w:r>
      <w:proofErr w:type="spellStart"/>
      <w:r w:rsidRPr="004F542A">
        <w:rPr>
          <w:rFonts w:ascii="Times New Roman" w:hAnsi="Times New Roman"/>
        </w:rPr>
        <w:t>new s</w:t>
      </w:r>
      <w:proofErr w:type="spellEnd"/>
      <w:r w:rsidRPr="004F542A">
        <w:rPr>
          <w:rFonts w:ascii="Times New Roman" w:hAnsi="Times New Roman"/>
        </w:rPr>
        <w:t xml:space="preserve"> 15B the legislature did so in a different context, in connection with the creation of a new offence. The focus of the legislature is likely to have been on matters arising with respect to that offence. </w:t>
      </w:r>
      <w:proofErr w:type="gramStart"/>
      <w:r w:rsidRPr="004F542A">
        <w:rPr>
          <w:rFonts w:ascii="Times New Roman" w:hAnsi="Times New Roman"/>
        </w:rPr>
        <w:t>Certainly</w:t>
      </w:r>
      <w:proofErr w:type="gramEnd"/>
      <w:r w:rsidRPr="004F542A">
        <w:rPr>
          <w:rFonts w:ascii="Times New Roman" w:hAnsi="Times New Roman"/>
        </w:rPr>
        <w:t xml:space="preserve"> there is nothing said in Parliament during the</w:t>
      </w:r>
      <w:r w:rsidRPr="004F542A" w:rsidDel="00EB1818">
        <w:rPr>
          <w:rFonts w:ascii="Times New Roman" w:hAnsi="Times New Roman"/>
        </w:rPr>
        <w:t xml:space="preserve"> </w:t>
      </w:r>
      <w:r w:rsidR="0075080F" w:rsidRPr="004F542A">
        <w:rPr>
          <w:rFonts w:ascii="Times New Roman" w:hAnsi="Times New Roman"/>
        </w:rPr>
        <w:t>second</w:t>
      </w:r>
      <w:r w:rsidR="00EB1818" w:rsidRPr="004F542A">
        <w:rPr>
          <w:rFonts w:ascii="Times New Roman" w:hAnsi="Times New Roman"/>
        </w:rPr>
        <w:t xml:space="preserve"> </w:t>
      </w:r>
      <w:r w:rsidR="0075080F" w:rsidRPr="004F542A">
        <w:rPr>
          <w:rFonts w:ascii="Times New Roman" w:hAnsi="Times New Roman"/>
        </w:rPr>
        <w:t>reading</w:t>
      </w:r>
      <w:r w:rsidR="00EB1818" w:rsidRPr="004F542A">
        <w:rPr>
          <w:rFonts w:ascii="Times New Roman" w:hAnsi="Times New Roman"/>
        </w:rPr>
        <w:t xml:space="preserve"> </w:t>
      </w:r>
      <w:r w:rsidRPr="004F542A">
        <w:rPr>
          <w:rFonts w:ascii="Times New Roman" w:hAnsi="Times New Roman"/>
        </w:rPr>
        <w:t xml:space="preserve">of the Bill or in </w:t>
      </w:r>
      <w:r w:rsidR="00843D5D" w:rsidRPr="004F542A">
        <w:rPr>
          <w:rFonts w:ascii="Times New Roman" w:hAnsi="Times New Roman"/>
        </w:rPr>
        <w:t xml:space="preserve">the </w:t>
      </w:r>
      <w:r w:rsidRPr="004F542A">
        <w:rPr>
          <w:rFonts w:ascii="Times New Roman" w:hAnsi="Times New Roman"/>
        </w:rPr>
        <w:t>Explanatory Memorandum which directs attention to what the legislature may have taken to be the meaning of "</w:t>
      </w:r>
      <w:r w:rsidR="008A5B0A" w:rsidRPr="004F542A">
        <w:rPr>
          <w:rFonts w:ascii="Times New Roman" w:hAnsi="Times New Roman"/>
        </w:rPr>
        <w:t>recklessly</w:t>
      </w:r>
      <w:r w:rsidRPr="004F542A">
        <w:rPr>
          <w:rFonts w:ascii="Times New Roman" w:hAnsi="Times New Roman"/>
        </w:rPr>
        <w:t>". There is no legislative history to assist the drawing of such an inference.</w:t>
      </w:r>
    </w:p>
    <w:p w14:paraId="1591942E" w14:textId="4C964540"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lastRenderedPageBreak/>
        <w:tab/>
        <w:t>The joint judgment's finding</w:t>
      </w:r>
      <w:r w:rsidR="00310FC0" w:rsidRPr="004F542A">
        <w:rPr>
          <w:rStyle w:val="FootnoteReference"/>
          <w:rFonts w:ascii="Times New Roman" w:hAnsi="Times New Roman"/>
          <w:sz w:val="24"/>
        </w:rPr>
        <w:footnoteReference w:id="43"/>
      </w:r>
      <w:r w:rsidRPr="004F542A">
        <w:rPr>
          <w:rFonts w:ascii="Times New Roman" w:hAnsi="Times New Roman"/>
        </w:rPr>
        <w:t xml:space="preserve">, that the decision in </w:t>
      </w:r>
      <w:r w:rsidRPr="004F542A">
        <w:rPr>
          <w:rFonts w:ascii="Times New Roman" w:hAnsi="Times New Roman"/>
          <w:i/>
        </w:rPr>
        <w:t>Campbell</w:t>
      </w:r>
      <w:r w:rsidRPr="004F542A">
        <w:rPr>
          <w:rFonts w:ascii="Times New Roman" w:hAnsi="Times New Roman"/>
        </w:rPr>
        <w:t xml:space="preserve"> may be seen to have been adopted in s 15B, relies upon the Report of the Sentencing Advisory Council, "Statutory Minimum Sentences for Gross Violence Offences"</w:t>
      </w:r>
      <w:r w:rsidRPr="004F542A">
        <w:rPr>
          <w:rStyle w:val="FootnoteReference"/>
          <w:rFonts w:ascii="Times New Roman" w:hAnsi="Times New Roman"/>
          <w:sz w:val="24"/>
        </w:rPr>
        <w:footnoteReference w:id="44"/>
      </w:r>
      <w:r w:rsidR="005649CF" w:rsidRPr="004F542A">
        <w:rPr>
          <w:rFonts w:ascii="Times New Roman" w:hAnsi="Times New Roman"/>
        </w:rPr>
        <w:t>,</w:t>
      </w:r>
      <w:r w:rsidRPr="004F542A">
        <w:rPr>
          <w:rFonts w:ascii="Times New Roman" w:hAnsi="Times New Roman"/>
        </w:rPr>
        <w:t xml:space="preserve"> and </w:t>
      </w:r>
      <w:proofErr w:type="gramStart"/>
      <w:r w:rsidRPr="004F542A">
        <w:rPr>
          <w:rFonts w:ascii="Times New Roman" w:hAnsi="Times New Roman"/>
        </w:rPr>
        <w:t>in particular the</w:t>
      </w:r>
      <w:proofErr w:type="gramEnd"/>
      <w:r w:rsidRPr="004F542A">
        <w:rPr>
          <w:rFonts w:ascii="Times New Roman" w:hAnsi="Times New Roman"/>
        </w:rPr>
        <w:t xml:space="preserve"> statement in it</w:t>
      </w:r>
      <w:r w:rsidRPr="004F542A">
        <w:rPr>
          <w:rStyle w:val="FootnoteReference"/>
          <w:rFonts w:ascii="Times New Roman" w:hAnsi="Times New Roman"/>
          <w:sz w:val="24"/>
        </w:rPr>
        <w:footnoteReference w:id="45"/>
      </w:r>
      <w:r w:rsidRPr="004F542A">
        <w:rPr>
          <w:rFonts w:ascii="Times New Roman" w:hAnsi="Times New Roman"/>
        </w:rPr>
        <w:t>, with respect to the offence in s 17, that:</w:t>
      </w:r>
    </w:p>
    <w:p w14:paraId="6F0438DB" w14:textId="77777777" w:rsidR="004F542A" w:rsidRDefault="00D94DD7" w:rsidP="004F542A">
      <w:pPr>
        <w:pStyle w:val="leftright"/>
        <w:spacing w:before="0" w:after="260" w:line="280" w:lineRule="exact"/>
        <w:ind w:right="0"/>
        <w:jc w:val="both"/>
        <w:rPr>
          <w:rFonts w:ascii="Times New Roman" w:hAnsi="Times New Roman"/>
        </w:rPr>
      </w:pPr>
      <w:r w:rsidRPr="004F542A">
        <w:rPr>
          <w:rFonts w:ascii="Times New Roman" w:hAnsi="Times New Roman"/>
        </w:rPr>
        <w:t>"</w:t>
      </w:r>
      <w:r w:rsidR="0088424B" w:rsidRPr="004F542A">
        <w:rPr>
          <w:rFonts w:ascii="Times New Roman" w:hAnsi="Times New Roman"/>
        </w:rPr>
        <w:t>[t]</w:t>
      </w:r>
      <w:r w:rsidRPr="004F542A">
        <w:rPr>
          <w:rFonts w:ascii="Times New Roman" w:hAnsi="Times New Roman"/>
        </w:rPr>
        <w:t xml:space="preserve">he element of </w:t>
      </w:r>
      <w:r w:rsidR="00133D43" w:rsidRPr="004F542A">
        <w:rPr>
          <w:rFonts w:ascii="Times New Roman" w:hAnsi="Times New Roman"/>
        </w:rPr>
        <w:t>'</w:t>
      </w:r>
      <w:r w:rsidRPr="004F542A">
        <w:rPr>
          <w:rFonts w:ascii="Times New Roman" w:hAnsi="Times New Roman"/>
        </w:rPr>
        <w:t>recklessness</w:t>
      </w:r>
      <w:r w:rsidR="00133D43" w:rsidRPr="004F542A">
        <w:rPr>
          <w:rFonts w:ascii="Times New Roman" w:hAnsi="Times New Roman"/>
        </w:rPr>
        <w:t>'</w:t>
      </w:r>
      <w:r w:rsidRPr="004F542A">
        <w:rPr>
          <w:rFonts w:ascii="Times New Roman" w:hAnsi="Times New Roman"/>
        </w:rPr>
        <w:t xml:space="preserve"> will be satisfied for </w:t>
      </w:r>
      <w:r w:rsidR="004D60DD" w:rsidRPr="004F542A">
        <w:rPr>
          <w:rFonts w:ascii="Times New Roman" w:hAnsi="Times New Roman"/>
        </w:rPr>
        <w:t>this offence</w:t>
      </w:r>
      <w:r w:rsidRPr="004F542A">
        <w:rPr>
          <w:rFonts w:ascii="Times New Roman" w:hAnsi="Times New Roman"/>
        </w:rPr>
        <w:t xml:space="preserve"> if the prosecution proves beyond reasonable doubt that the accused foresaw that his or her actions would probably cause serious injury and that he or she was indifferent as to whether or not serious injury would actually result"</w:t>
      </w:r>
    </w:p>
    <w:p w14:paraId="7119231F" w14:textId="09B7E621" w:rsidR="00D94DD7" w:rsidRPr="004F542A" w:rsidRDefault="00D94DD7" w:rsidP="004F542A">
      <w:pPr>
        <w:pStyle w:val="NormalBody"/>
        <w:spacing w:after="260" w:line="280" w:lineRule="exact"/>
        <w:ind w:right="0"/>
        <w:jc w:val="both"/>
        <w:rPr>
          <w:rFonts w:ascii="Times New Roman" w:hAnsi="Times New Roman"/>
        </w:rPr>
      </w:pPr>
      <w:r w:rsidRPr="004F542A">
        <w:rPr>
          <w:rFonts w:ascii="Times New Roman" w:hAnsi="Times New Roman"/>
        </w:rPr>
        <w:t xml:space="preserve">and the fact that the passage contains a footnote to </w:t>
      </w:r>
      <w:r w:rsidRPr="004F542A">
        <w:rPr>
          <w:rFonts w:ascii="Times New Roman" w:hAnsi="Times New Roman"/>
          <w:i/>
        </w:rPr>
        <w:t>Nuri</w:t>
      </w:r>
      <w:r w:rsidR="00804BE8" w:rsidRPr="004F542A">
        <w:rPr>
          <w:rStyle w:val="FootnoteReference"/>
          <w:rFonts w:ascii="Times New Roman" w:hAnsi="Times New Roman"/>
          <w:sz w:val="24"/>
        </w:rPr>
        <w:footnoteReference w:id="46"/>
      </w:r>
      <w:r w:rsidRPr="004F542A">
        <w:rPr>
          <w:rFonts w:ascii="Times New Roman" w:hAnsi="Times New Roman"/>
        </w:rPr>
        <w:t>.</w:t>
      </w:r>
    </w:p>
    <w:p w14:paraId="6C654562" w14:textId="710FAD7A"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In the Second Reading Speech</w:t>
      </w:r>
      <w:r w:rsidRPr="004F542A">
        <w:rPr>
          <w:rStyle w:val="FootnoteReference"/>
          <w:rFonts w:ascii="Times New Roman" w:hAnsi="Times New Roman"/>
          <w:sz w:val="24"/>
        </w:rPr>
        <w:footnoteReference w:id="47"/>
      </w:r>
      <w:r w:rsidRPr="004F542A">
        <w:rPr>
          <w:rFonts w:ascii="Times New Roman" w:hAnsi="Times New Roman"/>
        </w:rPr>
        <w:t xml:space="preserve">, all that is </w:t>
      </w:r>
      <w:r w:rsidR="009233EF" w:rsidRPr="004F542A">
        <w:rPr>
          <w:rFonts w:ascii="Times New Roman" w:hAnsi="Times New Roman"/>
        </w:rPr>
        <w:t xml:space="preserve">relevantly </w:t>
      </w:r>
      <w:r w:rsidRPr="004F542A">
        <w:rPr>
          <w:rFonts w:ascii="Times New Roman" w:hAnsi="Times New Roman"/>
        </w:rPr>
        <w:t>said concerning the Report is that consideration had been given to it and</w:t>
      </w:r>
      <w:r w:rsidR="00A21A62" w:rsidRPr="004F542A">
        <w:rPr>
          <w:rFonts w:ascii="Times New Roman" w:hAnsi="Times New Roman"/>
        </w:rPr>
        <w:t xml:space="preserve"> that</w:t>
      </w:r>
      <w:r w:rsidRPr="004F542A">
        <w:rPr>
          <w:rFonts w:ascii="Times New Roman" w:hAnsi="Times New Roman"/>
        </w:rPr>
        <w:t xml:space="preserve"> many</w:t>
      </w:r>
      <w:r w:rsidR="003E23A7" w:rsidRPr="004F542A">
        <w:rPr>
          <w:rFonts w:ascii="Times New Roman" w:hAnsi="Times New Roman"/>
        </w:rPr>
        <w:t>, but not all,</w:t>
      </w:r>
      <w:r w:rsidRPr="004F542A">
        <w:rPr>
          <w:rFonts w:ascii="Times New Roman" w:hAnsi="Times New Roman"/>
        </w:rPr>
        <w:t xml:space="preserve"> of its recommendations were adopted. This is not a strong basis for an inference of legislative adoption of the </w:t>
      </w:r>
      <w:proofErr w:type="gramStart"/>
      <w:r w:rsidRPr="004F542A">
        <w:rPr>
          <w:rFonts w:ascii="Times New Roman" w:hAnsi="Times New Roman"/>
        </w:rPr>
        <w:t>particular passage</w:t>
      </w:r>
      <w:proofErr w:type="gramEnd"/>
      <w:r w:rsidRPr="004F542A">
        <w:rPr>
          <w:rFonts w:ascii="Times New Roman" w:hAnsi="Times New Roman"/>
        </w:rPr>
        <w:t>.</w:t>
      </w:r>
    </w:p>
    <w:p w14:paraId="0423BAD0" w14:textId="2A0ADFB9"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There are other features of the Report which make it an unreliable basis for an inference as to the intention of the legislature. If an inference is to be drawn on the basis that the attention of the legislature, or those drafting, was given to every aspect of the Report, it would need to take account of </w:t>
      </w:r>
      <w:r w:rsidR="008B5F9A" w:rsidRPr="004F542A">
        <w:rPr>
          <w:rFonts w:ascii="Times New Roman" w:hAnsi="Times New Roman"/>
        </w:rPr>
        <w:t xml:space="preserve">a </w:t>
      </w:r>
      <w:r w:rsidRPr="004F542A">
        <w:rPr>
          <w:rFonts w:ascii="Times New Roman" w:hAnsi="Times New Roman"/>
        </w:rPr>
        <w:t xml:space="preserve">later statement concerning the offences of intentionally causing serious injury and recklessly causing serious injury. In stating what the Crown must prove concerning recklessness it is said that the standard to be applied is foresight of the </w:t>
      </w:r>
      <w:r w:rsidRPr="004F542A">
        <w:rPr>
          <w:rFonts w:ascii="Times New Roman" w:hAnsi="Times New Roman"/>
          <w:i/>
        </w:rPr>
        <w:t>possibility</w:t>
      </w:r>
      <w:r w:rsidRPr="004F542A">
        <w:rPr>
          <w:rFonts w:ascii="Times New Roman" w:hAnsi="Times New Roman"/>
        </w:rPr>
        <w:t xml:space="preserve"> of serious injury</w:t>
      </w:r>
      <w:r w:rsidR="00E81796" w:rsidRPr="004F542A">
        <w:rPr>
          <w:rStyle w:val="FootnoteReference"/>
          <w:rFonts w:ascii="Times New Roman" w:hAnsi="Times New Roman"/>
          <w:sz w:val="24"/>
        </w:rPr>
        <w:footnoteReference w:id="48"/>
      </w:r>
      <w:r w:rsidRPr="004F542A">
        <w:rPr>
          <w:rFonts w:ascii="Times New Roman" w:hAnsi="Times New Roman"/>
        </w:rPr>
        <w:t>:</w:t>
      </w:r>
    </w:p>
    <w:p w14:paraId="28F778BA" w14:textId="77777777" w:rsidR="004F542A" w:rsidRDefault="00D94DD7" w:rsidP="004F542A">
      <w:pPr>
        <w:pStyle w:val="leftright"/>
        <w:spacing w:before="0" w:after="260" w:line="280" w:lineRule="exact"/>
        <w:ind w:right="0"/>
        <w:jc w:val="both"/>
        <w:rPr>
          <w:rFonts w:ascii="Times New Roman" w:hAnsi="Times New Roman"/>
        </w:rPr>
      </w:pPr>
      <w:r w:rsidRPr="004F542A">
        <w:rPr>
          <w:rFonts w:ascii="Times New Roman" w:hAnsi="Times New Roman"/>
        </w:rPr>
        <w:lastRenderedPageBreak/>
        <w:t>"To be guilty of recklessly causing serious injury, the offender must have intended to commit the act or acts that caused the injury</w:t>
      </w:r>
      <w:r w:rsidR="00942EAA" w:rsidRPr="004F542A">
        <w:rPr>
          <w:rFonts w:ascii="Times New Roman" w:hAnsi="Times New Roman"/>
        </w:rPr>
        <w:t>,</w:t>
      </w:r>
      <w:r w:rsidRPr="004F542A">
        <w:rPr>
          <w:rFonts w:ascii="Times New Roman" w:hAnsi="Times New Roman"/>
        </w:rPr>
        <w:t xml:space="preserve"> </w:t>
      </w:r>
      <w:r w:rsidRPr="004F542A">
        <w:rPr>
          <w:rFonts w:ascii="Times New Roman" w:hAnsi="Times New Roman"/>
          <w:i/>
        </w:rPr>
        <w:t>and foresaw that those actions could cause serious injury</w:t>
      </w:r>
      <w:r w:rsidR="008015B8" w:rsidRPr="004F542A">
        <w:rPr>
          <w:rFonts w:ascii="Times New Roman" w:hAnsi="Times New Roman"/>
        </w:rPr>
        <w:t>, but was indifferent as to whether or not serious injury would actually result</w:t>
      </w:r>
      <w:r w:rsidR="00FD3D53" w:rsidRPr="004F542A">
        <w:rPr>
          <w:rFonts w:ascii="Times New Roman" w:hAnsi="Times New Roman"/>
        </w:rPr>
        <w:t>.</w:t>
      </w:r>
      <w:r w:rsidRPr="004F542A">
        <w:rPr>
          <w:rFonts w:ascii="Times New Roman" w:hAnsi="Times New Roman"/>
        </w:rPr>
        <w:t xml:space="preserve">" (emphasis added) </w:t>
      </w:r>
    </w:p>
    <w:p w14:paraId="51B8494B" w14:textId="4F486FD7"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The concerns of the Victorian Parliament might be thought more accurately to be reflected in the Terms of Reference given to the Sentencing Advisory Council</w:t>
      </w:r>
      <w:r w:rsidR="00B81250" w:rsidRPr="004F542A">
        <w:rPr>
          <w:rStyle w:val="FootnoteReference"/>
          <w:rFonts w:ascii="Times New Roman" w:hAnsi="Times New Roman"/>
          <w:sz w:val="24"/>
        </w:rPr>
        <w:footnoteReference w:id="49"/>
      </w:r>
      <w:r w:rsidRPr="004F542A">
        <w:rPr>
          <w:rFonts w:ascii="Times New Roman" w:hAnsi="Times New Roman"/>
        </w:rPr>
        <w:t>. The Attorney</w:t>
      </w:r>
      <w:r w:rsidRPr="004F542A">
        <w:rPr>
          <w:rFonts w:ascii="Times New Roman" w:hAnsi="Times New Roman"/>
        </w:rPr>
        <w:noBreakHyphen/>
        <w:t xml:space="preserve">General sought advice on the introduction of statutory minimum sentences for the offences of intentionally causing </w:t>
      </w:r>
      <w:r w:rsidR="003F0D62" w:rsidRPr="004F542A">
        <w:rPr>
          <w:rFonts w:ascii="Times New Roman" w:hAnsi="Times New Roman"/>
        </w:rPr>
        <w:t xml:space="preserve">serious </w:t>
      </w:r>
      <w:r w:rsidRPr="004F542A">
        <w:rPr>
          <w:rFonts w:ascii="Times New Roman" w:hAnsi="Times New Roman"/>
        </w:rPr>
        <w:t>injury</w:t>
      </w:r>
      <w:r w:rsidR="00FA0CDA" w:rsidRPr="004F542A">
        <w:rPr>
          <w:rFonts w:ascii="Times New Roman" w:hAnsi="Times New Roman"/>
        </w:rPr>
        <w:t xml:space="preserve"> and recklessly causing serious injury,</w:t>
      </w:r>
      <w:r w:rsidRPr="004F542A">
        <w:rPr>
          <w:rFonts w:ascii="Times New Roman" w:hAnsi="Times New Roman"/>
        </w:rPr>
        <w:t xml:space="preserve"> when those offences are committed in circumstance</w:t>
      </w:r>
      <w:r w:rsidR="00BA7E23" w:rsidRPr="004F542A">
        <w:rPr>
          <w:rFonts w:ascii="Times New Roman" w:hAnsi="Times New Roman"/>
        </w:rPr>
        <w:t>s</w:t>
      </w:r>
      <w:r w:rsidRPr="004F542A">
        <w:rPr>
          <w:rFonts w:ascii="Times New Roman" w:hAnsi="Times New Roman"/>
        </w:rPr>
        <w:t xml:space="preserve"> of gross violence. More particularly, the terms of reference sought advice "on the way in which a minimum four-year non</w:t>
      </w:r>
      <w:r w:rsidRPr="004F542A">
        <w:rPr>
          <w:rFonts w:ascii="Times New Roman" w:hAnsi="Times New Roman"/>
        </w:rPr>
        <w:noBreakHyphen/>
        <w:t>parole period for adults</w:t>
      </w:r>
      <w:r w:rsidR="00354A85" w:rsidRPr="004F542A">
        <w:rPr>
          <w:rFonts w:ascii="Times New Roman" w:hAnsi="Times New Roman"/>
        </w:rPr>
        <w:t>,</w:t>
      </w:r>
      <w:r w:rsidRPr="004F542A">
        <w:rPr>
          <w:rFonts w:ascii="Times New Roman" w:hAnsi="Times New Roman"/>
        </w:rPr>
        <w:t xml:space="preserve"> and a minimum period in detention of two years for children aged 16 or 17</w:t>
      </w:r>
      <w:r w:rsidR="00354A85" w:rsidRPr="004F542A">
        <w:rPr>
          <w:rFonts w:ascii="Times New Roman" w:hAnsi="Times New Roman"/>
        </w:rPr>
        <w:t>,</w:t>
      </w:r>
      <w:r w:rsidRPr="004F542A">
        <w:rPr>
          <w:rFonts w:ascii="Times New Roman" w:hAnsi="Times New Roman"/>
        </w:rPr>
        <w:t xml:space="preserve"> might operate".</w:t>
      </w:r>
    </w:p>
    <w:p w14:paraId="25E09B90" w14:textId="2FB1EE3F"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The Council was not asked to consider the merits of the proposed scheme. The Council was advised </w:t>
      </w:r>
      <w:r w:rsidR="00715D2C" w:rsidRPr="004F542A">
        <w:rPr>
          <w:rFonts w:ascii="Times New Roman" w:hAnsi="Times New Roman"/>
        </w:rPr>
        <w:t>by the Attorney-General</w:t>
      </w:r>
      <w:r w:rsidR="00DF6C79" w:rsidRPr="004F542A">
        <w:rPr>
          <w:rFonts w:ascii="Times New Roman" w:hAnsi="Times New Roman"/>
        </w:rPr>
        <w:t xml:space="preserve"> </w:t>
      </w:r>
      <w:r w:rsidRPr="004F542A">
        <w:rPr>
          <w:rFonts w:ascii="Times New Roman" w:hAnsi="Times New Roman"/>
        </w:rPr>
        <w:t xml:space="preserve">what the circumstances constituting gross violence were to be. In short summary, </w:t>
      </w:r>
      <w:r w:rsidR="00715D2C" w:rsidRPr="004F542A">
        <w:rPr>
          <w:rFonts w:ascii="Times New Roman" w:hAnsi="Times New Roman"/>
        </w:rPr>
        <w:t xml:space="preserve">the Council </w:t>
      </w:r>
      <w:r w:rsidRPr="004F542A">
        <w:rPr>
          <w:rFonts w:ascii="Times New Roman" w:hAnsi="Times New Roman"/>
        </w:rPr>
        <w:t xml:space="preserve">was asked to advise on how </w:t>
      </w:r>
      <w:r w:rsidR="00EE0ECC" w:rsidRPr="004F542A">
        <w:rPr>
          <w:rFonts w:ascii="Times New Roman" w:hAnsi="Times New Roman"/>
        </w:rPr>
        <w:t>exceptional</w:t>
      </w:r>
      <w:r w:rsidR="00304228" w:rsidRPr="004F542A">
        <w:rPr>
          <w:rFonts w:ascii="Times New Roman" w:hAnsi="Times New Roman"/>
        </w:rPr>
        <w:t xml:space="preserve"> </w:t>
      </w:r>
      <w:r w:rsidRPr="004F542A">
        <w:rPr>
          <w:rFonts w:ascii="Times New Roman" w:hAnsi="Times New Roman"/>
        </w:rPr>
        <w:t xml:space="preserve">circumstances </w:t>
      </w:r>
      <w:r w:rsidR="003E26B0" w:rsidRPr="004F542A">
        <w:rPr>
          <w:rFonts w:ascii="Times New Roman" w:hAnsi="Times New Roman"/>
        </w:rPr>
        <w:t>in which</w:t>
      </w:r>
      <w:r w:rsidR="00B13305" w:rsidRPr="004F542A">
        <w:rPr>
          <w:rFonts w:ascii="Times New Roman" w:hAnsi="Times New Roman"/>
        </w:rPr>
        <w:t xml:space="preserve"> a court </w:t>
      </w:r>
      <w:r w:rsidR="00FB7007" w:rsidRPr="004F542A">
        <w:rPr>
          <w:rFonts w:ascii="Times New Roman" w:hAnsi="Times New Roman"/>
        </w:rPr>
        <w:t>may</w:t>
      </w:r>
      <w:r w:rsidR="00B13305" w:rsidRPr="004F542A">
        <w:rPr>
          <w:rFonts w:ascii="Times New Roman" w:hAnsi="Times New Roman"/>
        </w:rPr>
        <w:t xml:space="preserve"> sentence below the </w:t>
      </w:r>
      <w:r w:rsidR="004446A6" w:rsidRPr="004F542A">
        <w:rPr>
          <w:rFonts w:ascii="Times New Roman" w:hAnsi="Times New Roman"/>
        </w:rPr>
        <w:t xml:space="preserve">statutory </w:t>
      </w:r>
      <w:r w:rsidR="00B13305" w:rsidRPr="004F542A">
        <w:rPr>
          <w:rFonts w:ascii="Times New Roman" w:hAnsi="Times New Roman"/>
        </w:rPr>
        <w:t xml:space="preserve">minimum </w:t>
      </w:r>
      <w:r w:rsidRPr="004F542A">
        <w:rPr>
          <w:rFonts w:ascii="Times New Roman" w:hAnsi="Times New Roman"/>
        </w:rPr>
        <w:t>could best be specified; how factors making an offence one of gross violence could best be specified; the effects of recommendations by the Council on sentencing levels and the numbers of persons serving custodial sentences; and any other matters the Council considered relevant.</w:t>
      </w:r>
    </w:p>
    <w:p w14:paraId="34BCAA92" w14:textId="77777777" w:rsidR="00D94DD7" w:rsidRPr="004F542A" w:rsidRDefault="00D94DD7" w:rsidP="004F542A">
      <w:pPr>
        <w:pStyle w:val="HeadingL1"/>
        <w:spacing w:after="260" w:line="280" w:lineRule="exact"/>
        <w:ind w:right="0"/>
        <w:jc w:val="both"/>
        <w:rPr>
          <w:rFonts w:ascii="Times New Roman" w:hAnsi="Times New Roman"/>
        </w:rPr>
      </w:pPr>
      <w:r w:rsidRPr="004F542A">
        <w:rPr>
          <w:rFonts w:ascii="Times New Roman" w:hAnsi="Times New Roman"/>
        </w:rPr>
        <w:t>Conclusion: error should be corrected</w:t>
      </w:r>
    </w:p>
    <w:p w14:paraId="44E872EA" w14:textId="2AEB255E"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It cannot be concluded that</w:t>
      </w:r>
      <w:r w:rsidR="00017665" w:rsidRPr="004F542A">
        <w:rPr>
          <w:rFonts w:ascii="Times New Roman" w:hAnsi="Times New Roman"/>
        </w:rPr>
        <w:t>,</w:t>
      </w:r>
      <w:r w:rsidRPr="004F542A">
        <w:rPr>
          <w:rFonts w:ascii="Times New Roman" w:hAnsi="Times New Roman"/>
        </w:rPr>
        <w:t xml:space="preserve"> subsequent to </w:t>
      </w:r>
      <w:r w:rsidRPr="004F542A">
        <w:rPr>
          <w:rFonts w:ascii="Times New Roman" w:hAnsi="Times New Roman"/>
          <w:i/>
        </w:rPr>
        <w:t>Campbell</w:t>
      </w:r>
      <w:r w:rsidR="00017665" w:rsidRPr="004F542A">
        <w:rPr>
          <w:rFonts w:ascii="Times New Roman" w:hAnsi="Times New Roman"/>
        </w:rPr>
        <w:t>,</w:t>
      </w:r>
      <w:r w:rsidRPr="004F542A">
        <w:rPr>
          <w:rFonts w:ascii="Times New Roman" w:hAnsi="Times New Roman"/>
        </w:rPr>
        <w:t xml:space="preserve"> the Victorian Parliament adopted the meaning of "</w:t>
      </w:r>
      <w:r w:rsidR="00167A0F" w:rsidRPr="004F542A">
        <w:rPr>
          <w:rFonts w:ascii="Times New Roman" w:hAnsi="Times New Roman"/>
        </w:rPr>
        <w:t>recklessly</w:t>
      </w:r>
      <w:r w:rsidRPr="004F542A">
        <w:rPr>
          <w:rFonts w:ascii="Times New Roman" w:hAnsi="Times New Roman"/>
        </w:rPr>
        <w:t xml:space="preserve">" given in </w:t>
      </w:r>
      <w:r w:rsidRPr="004F542A">
        <w:rPr>
          <w:rFonts w:ascii="Times New Roman" w:hAnsi="Times New Roman"/>
          <w:i/>
        </w:rPr>
        <w:t>Campbell</w:t>
      </w:r>
      <w:r w:rsidRPr="004F542A">
        <w:rPr>
          <w:rFonts w:ascii="Times New Roman" w:hAnsi="Times New Roman"/>
        </w:rPr>
        <w:t xml:space="preserve"> by reference to the two amending statutes relied upon in the joint judgment. The Court of Appeal made wrong assumptions about the legislature's thinking concerning the 1997 amendments. In truth</w:t>
      </w:r>
      <w:r w:rsidR="00541A1F" w:rsidRPr="004F542A">
        <w:rPr>
          <w:rFonts w:ascii="Times New Roman" w:hAnsi="Times New Roman"/>
        </w:rPr>
        <w:t>,</w:t>
      </w:r>
      <w:r w:rsidRPr="004F542A">
        <w:rPr>
          <w:rFonts w:ascii="Times New Roman" w:hAnsi="Times New Roman"/>
        </w:rPr>
        <w:t xml:space="preserve"> no occasion for the application of the principle of construction arose. There is nothing beyond the mere repetition of the word "recklessly" in the 2013 amendments to support the application of the principle. That fact alone is insufficiently clear to warrant an inference of legislative approval and there are no other factors which support</w:t>
      </w:r>
      <w:r w:rsidRPr="004F542A" w:rsidDel="00EF50F7">
        <w:rPr>
          <w:rFonts w:ascii="Times New Roman" w:hAnsi="Times New Roman"/>
        </w:rPr>
        <w:t xml:space="preserve"> </w:t>
      </w:r>
      <w:r w:rsidR="00EF50F7" w:rsidRPr="004F542A">
        <w:rPr>
          <w:rFonts w:ascii="Times New Roman" w:hAnsi="Times New Roman"/>
        </w:rPr>
        <w:t xml:space="preserve">such </w:t>
      </w:r>
      <w:r w:rsidR="005D2FE2" w:rsidRPr="004F542A">
        <w:rPr>
          <w:rFonts w:ascii="Times New Roman" w:hAnsi="Times New Roman"/>
        </w:rPr>
        <w:t>an inference</w:t>
      </w:r>
      <w:r w:rsidRPr="004F542A">
        <w:rPr>
          <w:rFonts w:ascii="Times New Roman" w:hAnsi="Times New Roman"/>
        </w:rPr>
        <w:t>.</w:t>
      </w:r>
    </w:p>
    <w:p w14:paraId="248D469D" w14:textId="29437B53"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lastRenderedPageBreak/>
        <w:tab/>
        <w:t>It is not possible to characterise the broad subject of criminal justice as one of a "specialised and politically sensitive field"</w:t>
      </w:r>
      <w:r w:rsidRPr="004F542A">
        <w:rPr>
          <w:rStyle w:val="FootnoteReference"/>
          <w:rFonts w:ascii="Times New Roman" w:hAnsi="Times New Roman"/>
          <w:sz w:val="24"/>
        </w:rPr>
        <w:footnoteReference w:id="50"/>
      </w:r>
      <w:r w:rsidRPr="004F542A">
        <w:rPr>
          <w:rFonts w:ascii="Times New Roman" w:hAnsi="Times New Roman"/>
        </w:rPr>
        <w:t>, such as industrial relations and taxation</w:t>
      </w:r>
      <w:r w:rsidRPr="004F542A">
        <w:rPr>
          <w:rStyle w:val="FootnoteReference"/>
          <w:rFonts w:ascii="Times New Roman" w:hAnsi="Times New Roman"/>
          <w:sz w:val="24"/>
        </w:rPr>
        <w:footnoteReference w:id="51"/>
      </w:r>
      <w:r w:rsidRPr="004F542A">
        <w:rPr>
          <w:rFonts w:ascii="Times New Roman" w:hAnsi="Times New Roman"/>
        </w:rPr>
        <w:t xml:space="preserve">, to permit an inference to be drawn that the drafters must be taken to be aware of </w:t>
      </w:r>
      <w:r w:rsidR="00984B82" w:rsidRPr="004F542A">
        <w:rPr>
          <w:rFonts w:ascii="Times New Roman" w:hAnsi="Times New Roman"/>
        </w:rPr>
        <w:t xml:space="preserve">a </w:t>
      </w:r>
      <w:proofErr w:type="gramStart"/>
      <w:r w:rsidR="00984B82" w:rsidRPr="004F542A">
        <w:rPr>
          <w:rFonts w:ascii="Times New Roman" w:hAnsi="Times New Roman"/>
        </w:rPr>
        <w:t>particular judicial</w:t>
      </w:r>
      <w:proofErr w:type="gramEnd"/>
      <w:r w:rsidR="00984B82" w:rsidRPr="004F542A">
        <w:rPr>
          <w:rFonts w:ascii="Times New Roman" w:hAnsi="Times New Roman"/>
        </w:rPr>
        <w:t xml:space="preserve"> interpretation of </w:t>
      </w:r>
      <w:r w:rsidRPr="004F542A">
        <w:rPr>
          <w:rFonts w:ascii="Times New Roman" w:hAnsi="Times New Roman"/>
        </w:rPr>
        <w:t>the word "reckless</w:t>
      </w:r>
      <w:r w:rsidR="00AF4324" w:rsidRPr="004F542A">
        <w:rPr>
          <w:rFonts w:ascii="Times New Roman" w:hAnsi="Times New Roman"/>
        </w:rPr>
        <w:t>ly</w:t>
      </w:r>
      <w:r w:rsidRPr="004F542A">
        <w:rPr>
          <w:rFonts w:ascii="Times New Roman" w:hAnsi="Times New Roman"/>
        </w:rPr>
        <w:t>". It is more likely they were concerned with other issues relating to the new offences, as the Terms of Reference suggest. Otherwise one is left to speculate.</w:t>
      </w:r>
    </w:p>
    <w:p w14:paraId="5ADAB313" w14:textId="103F45D2"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If the Parliament is taken to be aware of judicial decisions on the topic, it must also be taken to be aware that </w:t>
      </w:r>
      <w:r w:rsidRPr="004F542A">
        <w:rPr>
          <w:rFonts w:ascii="Times New Roman" w:hAnsi="Times New Roman"/>
          <w:i/>
        </w:rPr>
        <w:t>Campbell</w:t>
      </w:r>
      <w:r w:rsidRPr="004F542A">
        <w:rPr>
          <w:rFonts w:ascii="Times New Roman" w:hAnsi="Times New Roman"/>
        </w:rPr>
        <w:t xml:space="preserve"> overturned a line of authority in Victoria to the contrary, as the Court of Appeal itself said in that case</w:t>
      </w:r>
      <w:r w:rsidR="005B60BC" w:rsidRPr="004F542A">
        <w:rPr>
          <w:rStyle w:val="FootnoteReference"/>
          <w:rFonts w:ascii="Times New Roman" w:hAnsi="Times New Roman"/>
          <w:sz w:val="24"/>
        </w:rPr>
        <w:footnoteReference w:id="52"/>
      </w:r>
      <w:r w:rsidRPr="004F542A">
        <w:rPr>
          <w:rFonts w:ascii="Times New Roman" w:hAnsi="Times New Roman"/>
        </w:rPr>
        <w:t>; that the view</w:t>
      </w:r>
      <w:r w:rsidR="009E63F9" w:rsidRPr="004F542A">
        <w:rPr>
          <w:rFonts w:ascii="Times New Roman" w:hAnsi="Times New Roman"/>
        </w:rPr>
        <w:t xml:space="preserve"> generally</w:t>
      </w:r>
      <w:r w:rsidRPr="004F542A">
        <w:rPr>
          <w:rFonts w:ascii="Times New Roman" w:hAnsi="Times New Roman"/>
        </w:rPr>
        <w:t xml:space="preserve"> </w:t>
      </w:r>
      <w:r w:rsidR="00FF451D" w:rsidRPr="004F542A">
        <w:rPr>
          <w:rFonts w:ascii="Times New Roman" w:hAnsi="Times New Roman"/>
        </w:rPr>
        <w:t xml:space="preserve">in Australia </w:t>
      </w:r>
      <w:r w:rsidRPr="004F542A">
        <w:rPr>
          <w:rFonts w:ascii="Times New Roman" w:hAnsi="Times New Roman"/>
        </w:rPr>
        <w:t xml:space="preserve">as to the standard of foresight at the time </w:t>
      </w:r>
      <w:r w:rsidR="00FF451D" w:rsidRPr="004F542A">
        <w:rPr>
          <w:rFonts w:ascii="Times New Roman" w:hAnsi="Times New Roman"/>
        </w:rPr>
        <w:t xml:space="preserve">of </w:t>
      </w:r>
      <w:r w:rsidR="00FF451D" w:rsidRPr="004F542A">
        <w:rPr>
          <w:rFonts w:ascii="Times New Roman" w:hAnsi="Times New Roman"/>
          <w:i/>
        </w:rPr>
        <w:t>Crabbe</w:t>
      </w:r>
      <w:r w:rsidRPr="004F542A">
        <w:rPr>
          <w:rFonts w:ascii="Times New Roman" w:hAnsi="Times New Roman"/>
          <w:i/>
        </w:rPr>
        <w:t xml:space="preserve"> </w:t>
      </w:r>
      <w:r w:rsidRPr="004F542A">
        <w:rPr>
          <w:rFonts w:ascii="Times New Roman" w:hAnsi="Times New Roman"/>
        </w:rPr>
        <w:t>was consistent with the cases overturned; and that the Court of Criminal Appeal of New South Wales had applied that standard with respect to a similar offence in 1990</w:t>
      </w:r>
      <w:r w:rsidRPr="004F542A">
        <w:rPr>
          <w:rStyle w:val="FootnoteReference"/>
          <w:rFonts w:ascii="Times New Roman" w:hAnsi="Times New Roman"/>
          <w:sz w:val="24"/>
        </w:rPr>
        <w:footnoteReference w:id="53"/>
      </w:r>
      <w:r w:rsidRPr="004F542A">
        <w:rPr>
          <w:rFonts w:ascii="Times New Roman" w:hAnsi="Times New Roman"/>
        </w:rPr>
        <w:t xml:space="preserve">, prior to </w:t>
      </w:r>
      <w:r w:rsidRPr="004F542A">
        <w:rPr>
          <w:rFonts w:ascii="Times New Roman" w:hAnsi="Times New Roman"/>
          <w:i/>
        </w:rPr>
        <w:t>Campbell</w:t>
      </w:r>
      <w:r w:rsidRPr="004F542A">
        <w:rPr>
          <w:rFonts w:ascii="Times New Roman" w:hAnsi="Times New Roman"/>
        </w:rPr>
        <w:t>, and that that position had been maintained</w:t>
      </w:r>
      <w:r w:rsidRPr="004F542A">
        <w:rPr>
          <w:rStyle w:val="FootnoteReference"/>
          <w:rFonts w:ascii="Times New Roman" w:hAnsi="Times New Roman"/>
          <w:sz w:val="24"/>
        </w:rPr>
        <w:footnoteReference w:id="54"/>
      </w:r>
      <w:r w:rsidRPr="004F542A">
        <w:rPr>
          <w:rFonts w:ascii="Times New Roman" w:hAnsi="Times New Roman"/>
        </w:rPr>
        <w:t>.</w:t>
      </w:r>
    </w:p>
    <w:p w14:paraId="1314C908" w14:textId="02829CA5"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The mere passage of time since </w:t>
      </w:r>
      <w:r w:rsidRPr="004F542A">
        <w:rPr>
          <w:rFonts w:ascii="Times New Roman" w:hAnsi="Times New Roman"/>
          <w:i/>
        </w:rPr>
        <w:t>Campbell</w:t>
      </w:r>
      <w:r w:rsidRPr="004F542A">
        <w:rPr>
          <w:rFonts w:ascii="Times New Roman" w:hAnsi="Times New Roman"/>
        </w:rPr>
        <w:t xml:space="preserve"> was decided in 1995 does not provide support for the application of the principle of construction. The inaction of the legislature is not a firm basis for the application of the principle. It may equally be consistent with leaving any correction of a</w:t>
      </w:r>
      <w:r w:rsidR="00190E4C" w:rsidRPr="004F542A">
        <w:rPr>
          <w:rFonts w:ascii="Times New Roman" w:hAnsi="Times New Roman"/>
        </w:rPr>
        <w:t>n interpretation of a</w:t>
      </w:r>
      <w:r w:rsidRPr="004F542A">
        <w:rPr>
          <w:rFonts w:ascii="Times New Roman" w:hAnsi="Times New Roman"/>
        </w:rPr>
        <w:t xml:space="preserve"> term to the courts, as is often the case. Correcting the decision in </w:t>
      </w:r>
      <w:r w:rsidRPr="004F542A">
        <w:rPr>
          <w:rFonts w:ascii="Times New Roman" w:hAnsi="Times New Roman"/>
          <w:i/>
        </w:rPr>
        <w:t>Campbell</w:t>
      </w:r>
      <w:r w:rsidRPr="004F542A">
        <w:rPr>
          <w:rFonts w:ascii="Times New Roman" w:hAnsi="Times New Roman"/>
        </w:rPr>
        <w:t xml:space="preserve"> would not be productive of substantial injustice. The criminal justice system in Victoria </w:t>
      </w:r>
      <w:proofErr w:type="gramStart"/>
      <w:r w:rsidRPr="004F542A">
        <w:rPr>
          <w:rFonts w:ascii="Times New Roman" w:hAnsi="Times New Roman"/>
        </w:rPr>
        <w:t>is able to</w:t>
      </w:r>
      <w:proofErr w:type="gramEnd"/>
      <w:r w:rsidRPr="004F542A">
        <w:rPr>
          <w:rFonts w:ascii="Times New Roman" w:hAnsi="Times New Roman"/>
        </w:rPr>
        <w:t xml:space="preserve"> adapt to the correction. It did so when </w:t>
      </w:r>
      <w:r w:rsidRPr="004F542A">
        <w:rPr>
          <w:rFonts w:ascii="Times New Roman" w:hAnsi="Times New Roman"/>
          <w:i/>
        </w:rPr>
        <w:t>Campbell</w:t>
      </w:r>
      <w:r w:rsidRPr="004F542A">
        <w:rPr>
          <w:rFonts w:ascii="Times New Roman" w:hAnsi="Times New Roman"/>
        </w:rPr>
        <w:t xml:space="preserve"> overturned a line of authority dating back some 30 or more years. Those who have stood trial since </w:t>
      </w:r>
      <w:r w:rsidRPr="004F542A">
        <w:rPr>
          <w:rFonts w:ascii="Times New Roman" w:hAnsi="Times New Roman"/>
          <w:i/>
        </w:rPr>
        <w:t>Campbell</w:t>
      </w:r>
      <w:r w:rsidRPr="004F542A">
        <w:rPr>
          <w:rFonts w:ascii="Times New Roman" w:hAnsi="Times New Roman"/>
        </w:rPr>
        <w:t xml:space="preserve"> have not suffered. They have benefitted from the prosecution being required to prove the necessary mental element to a much higher standard. For those who have not yet been tried of an offence under s 17</w:t>
      </w:r>
      <w:r w:rsidR="002748DA" w:rsidRPr="004F542A">
        <w:rPr>
          <w:rFonts w:ascii="Times New Roman" w:hAnsi="Times New Roman"/>
        </w:rPr>
        <w:t>,</w:t>
      </w:r>
      <w:r w:rsidRPr="004F542A">
        <w:rPr>
          <w:rFonts w:ascii="Times New Roman" w:hAnsi="Times New Roman"/>
        </w:rPr>
        <w:t xml:space="preserve"> and to whom the lesser standard will apply, it is difficult to accept that their conduct is likely to have been based on an understanding that in causing serious injury they would not have to face trial on the basis of their foresight of the possibility of such harm.</w:t>
      </w:r>
      <w:r w:rsidR="00DE0063" w:rsidRPr="004F542A">
        <w:rPr>
          <w:rFonts w:ascii="Times New Roman" w:hAnsi="Times New Roman"/>
        </w:rPr>
        <w:t xml:space="preserve"> In any event</w:t>
      </w:r>
      <w:r w:rsidR="00E91E72" w:rsidRPr="004F542A">
        <w:rPr>
          <w:rFonts w:ascii="Times New Roman" w:hAnsi="Times New Roman"/>
        </w:rPr>
        <w:t>,</w:t>
      </w:r>
      <w:r w:rsidR="00DE0063" w:rsidRPr="004F542A">
        <w:rPr>
          <w:rFonts w:ascii="Times New Roman" w:hAnsi="Times New Roman"/>
        </w:rPr>
        <w:t xml:space="preserve"> whilst injustice or inconvenience is an important factor to be </w:t>
      </w:r>
      <w:proofErr w:type="gramStart"/>
      <w:r w:rsidR="00DE0063" w:rsidRPr="004F542A">
        <w:rPr>
          <w:rFonts w:ascii="Times New Roman" w:hAnsi="Times New Roman"/>
        </w:rPr>
        <w:t>taken into account</w:t>
      </w:r>
      <w:proofErr w:type="gramEnd"/>
      <w:r w:rsidR="00DE0063" w:rsidRPr="004F542A">
        <w:rPr>
          <w:rFonts w:ascii="Times New Roman" w:hAnsi="Times New Roman"/>
        </w:rPr>
        <w:t xml:space="preserve">, there is </w:t>
      </w:r>
      <w:r w:rsidR="00DE0063" w:rsidRPr="004F542A">
        <w:rPr>
          <w:rFonts w:ascii="Times New Roman" w:hAnsi="Times New Roman"/>
        </w:rPr>
        <w:lastRenderedPageBreak/>
        <w:t xml:space="preserve">no support to be found in principle or authority </w:t>
      </w:r>
      <w:r w:rsidR="001A3FD3" w:rsidRPr="004F542A">
        <w:rPr>
          <w:rFonts w:ascii="Times New Roman" w:hAnsi="Times New Roman"/>
        </w:rPr>
        <w:t xml:space="preserve">for the proposition that </w:t>
      </w:r>
      <w:r w:rsidR="00E073BF" w:rsidRPr="004F542A">
        <w:rPr>
          <w:rFonts w:ascii="Times New Roman" w:hAnsi="Times New Roman"/>
        </w:rPr>
        <w:t>a</w:t>
      </w:r>
      <w:r w:rsidR="00BF64D5" w:rsidRPr="004F542A">
        <w:rPr>
          <w:rFonts w:ascii="Times New Roman" w:hAnsi="Times New Roman"/>
        </w:rPr>
        <w:t xml:space="preserve"> court should persist with a manifestly incorrect interpretation on those grounds</w:t>
      </w:r>
      <w:r w:rsidR="009E08C9" w:rsidRPr="004F542A">
        <w:rPr>
          <w:rStyle w:val="FootnoteReference"/>
          <w:rFonts w:ascii="Times New Roman" w:hAnsi="Times New Roman"/>
          <w:sz w:val="24"/>
        </w:rPr>
        <w:footnoteReference w:id="55"/>
      </w:r>
      <w:r w:rsidR="00BF64D5" w:rsidRPr="004F542A">
        <w:rPr>
          <w:rFonts w:ascii="Times New Roman" w:hAnsi="Times New Roman"/>
        </w:rPr>
        <w:t>.</w:t>
      </w:r>
    </w:p>
    <w:p w14:paraId="1F70E551" w14:textId="77777777" w:rsidR="00D94DD7" w:rsidRPr="004F542A" w:rsidRDefault="00D94DD7" w:rsidP="004F542A">
      <w:pPr>
        <w:pStyle w:val="HeadingL1"/>
        <w:spacing w:after="260" w:line="280" w:lineRule="exact"/>
        <w:ind w:right="0"/>
        <w:jc w:val="both"/>
        <w:rPr>
          <w:rFonts w:ascii="Times New Roman" w:hAnsi="Times New Roman"/>
        </w:rPr>
      </w:pPr>
      <w:r w:rsidRPr="004F542A">
        <w:rPr>
          <w:rFonts w:ascii="Times New Roman" w:hAnsi="Times New Roman"/>
        </w:rPr>
        <w:t>Orders</w:t>
      </w:r>
    </w:p>
    <w:p w14:paraId="491A0AC0" w14:textId="3F033D34" w:rsidR="00D94DD7" w:rsidRPr="004F542A" w:rsidRDefault="00D94DD7" w:rsidP="004F542A">
      <w:pPr>
        <w:pStyle w:val="FixListStyle"/>
        <w:spacing w:after="260" w:line="280" w:lineRule="exact"/>
        <w:ind w:right="0"/>
        <w:jc w:val="both"/>
        <w:rPr>
          <w:rFonts w:ascii="Times New Roman" w:hAnsi="Times New Roman"/>
        </w:rPr>
      </w:pPr>
      <w:r w:rsidRPr="004F542A">
        <w:rPr>
          <w:rFonts w:ascii="Times New Roman" w:hAnsi="Times New Roman"/>
        </w:rPr>
        <w:tab/>
        <w:t xml:space="preserve">The appeal should be </w:t>
      </w:r>
      <w:proofErr w:type="gramStart"/>
      <w:r w:rsidRPr="004F542A">
        <w:rPr>
          <w:rFonts w:ascii="Times New Roman" w:hAnsi="Times New Roman"/>
        </w:rPr>
        <w:t>allowed</w:t>
      </w:r>
      <w:proofErr w:type="gramEnd"/>
      <w:r w:rsidRPr="004F542A">
        <w:rPr>
          <w:rFonts w:ascii="Times New Roman" w:hAnsi="Times New Roman"/>
        </w:rPr>
        <w:t xml:space="preserve"> and the opinion of the Court of Appeal given in Order 1 made on 2 July 2020 set aside. In lieu </w:t>
      </w:r>
      <w:r w:rsidR="00E91E72" w:rsidRPr="004F542A">
        <w:rPr>
          <w:rFonts w:ascii="Times New Roman" w:hAnsi="Times New Roman"/>
        </w:rPr>
        <w:t>there</w:t>
      </w:r>
      <w:r w:rsidRPr="004F542A">
        <w:rPr>
          <w:rFonts w:ascii="Times New Roman" w:hAnsi="Times New Roman"/>
        </w:rPr>
        <w:t>of</w:t>
      </w:r>
      <w:r w:rsidR="00CF6F5F" w:rsidRPr="004F542A">
        <w:rPr>
          <w:rFonts w:ascii="Times New Roman" w:hAnsi="Times New Roman"/>
        </w:rPr>
        <w:t>,</w:t>
      </w:r>
      <w:r w:rsidRPr="004F542A">
        <w:rPr>
          <w:rFonts w:ascii="Times New Roman" w:hAnsi="Times New Roman"/>
        </w:rPr>
        <w:t xml:space="preserve"> the point of law raised for opinion should be answered:</w:t>
      </w:r>
    </w:p>
    <w:p w14:paraId="5D1A0DDC" w14:textId="77777777" w:rsidR="00D14D89" w:rsidRDefault="00D94DD7" w:rsidP="004F542A">
      <w:pPr>
        <w:pStyle w:val="leftright"/>
        <w:spacing w:before="0" w:after="260" w:line="280" w:lineRule="exact"/>
        <w:ind w:right="0"/>
        <w:jc w:val="both"/>
        <w:rPr>
          <w:rFonts w:ascii="Times New Roman" w:hAnsi="Times New Roman"/>
        </w:rPr>
      </w:pPr>
      <w:r w:rsidRPr="004F542A">
        <w:rPr>
          <w:rFonts w:ascii="Times New Roman" w:hAnsi="Times New Roman"/>
        </w:rPr>
        <w:t xml:space="preserve">The meaning of "recklessly" in the offence </w:t>
      </w:r>
      <w:r w:rsidR="00E10764" w:rsidRPr="004F542A">
        <w:rPr>
          <w:rFonts w:ascii="Times New Roman" w:hAnsi="Times New Roman"/>
        </w:rPr>
        <w:t xml:space="preserve">of recklessly </w:t>
      </w:r>
      <w:r w:rsidRPr="004F542A">
        <w:rPr>
          <w:rFonts w:ascii="Times New Roman" w:hAnsi="Times New Roman"/>
        </w:rPr>
        <w:t>causing serious injury</w:t>
      </w:r>
      <w:r w:rsidR="00E10764" w:rsidRPr="004F542A">
        <w:rPr>
          <w:rFonts w:ascii="Times New Roman" w:hAnsi="Times New Roman"/>
        </w:rPr>
        <w:t xml:space="preserve"> (</w:t>
      </w:r>
      <w:r w:rsidR="00377E7B" w:rsidRPr="004F542A">
        <w:rPr>
          <w:rFonts w:ascii="Times New Roman" w:hAnsi="Times New Roman"/>
        </w:rPr>
        <w:t xml:space="preserve">s 17 of the </w:t>
      </w:r>
      <w:r w:rsidR="00377E7B" w:rsidRPr="004F542A">
        <w:rPr>
          <w:rFonts w:ascii="Times New Roman" w:hAnsi="Times New Roman"/>
          <w:i/>
        </w:rPr>
        <w:t xml:space="preserve">Crimes Act 1958 </w:t>
      </w:r>
      <w:r w:rsidR="00377E7B" w:rsidRPr="004F542A">
        <w:rPr>
          <w:rFonts w:ascii="Times New Roman" w:hAnsi="Times New Roman"/>
        </w:rPr>
        <w:t>(Vic)</w:t>
      </w:r>
      <w:r w:rsidR="00E10764" w:rsidRPr="004F542A">
        <w:rPr>
          <w:rFonts w:ascii="Times New Roman" w:hAnsi="Times New Roman"/>
        </w:rPr>
        <w:t>)</w:t>
      </w:r>
      <w:r w:rsidRPr="004F542A">
        <w:rPr>
          <w:rFonts w:ascii="Times New Roman" w:hAnsi="Times New Roman"/>
        </w:rPr>
        <w:t xml:space="preserve"> is not as stated in </w:t>
      </w:r>
      <w:r w:rsidRPr="004F542A">
        <w:rPr>
          <w:rFonts w:ascii="Times New Roman" w:hAnsi="Times New Roman"/>
          <w:i/>
        </w:rPr>
        <w:t>R v Campbell</w:t>
      </w:r>
      <w:r w:rsidRPr="004F542A">
        <w:rPr>
          <w:rFonts w:ascii="Times New Roman" w:hAnsi="Times New Roman"/>
        </w:rPr>
        <w:t xml:space="preserve"> </w:t>
      </w:r>
      <w:r w:rsidR="006B3BE4" w:rsidRPr="004F542A">
        <w:rPr>
          <w:rFonts w:ascii="Times New Roman" w:hAnsi="Times New Roman"/>
        </w:rPr>
        <w:t>[</w:t>
      </w:r>
      <w:r w:rsidRPr="004F542A">
        <w:rPr>
          <w:rFonts w:ascii="Times New Roman" w:hAnsi="Times New Roman"/>
        </w:rPr>
        <w:t>199</w:t>
      </w:r>
      <w:r w:rsidR="006B3BE4" w:rsidRPr="004F542A">
        <w:rPr>
          <w:rFonts w:ascii="Times New Roman" w:hAnsi="Times New Roman"/>
        </w:rPr>
        <w:t>7]</w:t>
      </w:r>
      <w:r w:rsidRPr="004F542A">
        <w:rPr>
          <w:rFonts w:ascii="Times New Roman" w:hAnsi="Times New Roman"/>
        </w:rPr>
        <w:t xml:space="preserve"> 2 VR 585. It requires that an accused had foresight of the possibility of </w:t>
      </w:r>
      <w:r w:rsidR="00004521" w:rsidRPr="004F542A">
        <w:rPr>
          <w:rFonts w:ascii="Times New Roman" w:hAnsi="Times New Roman"/>
        </w:rPr>
        <w:t>relevant consequences</w:t>
      </w:r>
      <w:r w:rsidRPr="004F542A">
        <w:rPr>
          <w:rFonts w:ascii="Times New Roman" w:hAnsi="Times New Roman"/>
        </w:rPr>
        <w:t xml:space="preserve"> and </w:t>
      </w:r>
      <w:r w:rsidR="0038172E" w:rsidRPr="004F542A">
        <w:rPr>
          <w:rFonts w:ascii="Times New Roman" w:hAnsi="Times New Roman"/>
        </w:rPr>
        <w:t xml:space="preserve">proceeded </w:t>
      </w:r>
      <w:r w:rsidRPr="004F542A" w:rsidDel="0038172E">
        <w:rPr>
          <w:rFonts w:ascii="Times New Roman" w:hAnsi="Times New Roman"/>
        </w:rPr>
        <w:t>nevertheless</w:t>
      </w:r>
      <w:r w:rsidRPr="004F542A">
        <w:rPr>
          <w:rFonts w:ascii="Times New Roman" w:hAnsi="Times New Roman"/>
        </w:rPr>
        <w:t>.</w:t>
      </w:r>
    </w:p>
    <w:p w14:paraId="349A3DF0" w14:textId="77777777" w:rsidR="00D14D89" w:rsidRDefault="00D14D89" w:rsidP="004F542A">
      <w:pPr>
        <w:pStyle w:val="leftright"/>
        <w:spacing w:before="0" w:after="260" w:line="280" w:lineRule="exact"/>
        <w:ind w:right="0"/>
        <w:jc w:val="both"/>
        <w:rPr>
          <w:rFonts w:ascii="Times New Roman" w:hAnsi="Times New Roman"/>
        </w:rPr>
        <w:sectPr w:rsidR="00D14D89" w:rsidSect="009A0B3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B31451A" w14:textId="77777777" w:rsidR="00D14D89" w:rsidRPr="00635770" w:rsidRDefault="00D14D89" w:rsidP="00D14D89">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635770">
        <w:rPr>
          <w:rFonts w:ascii="Times New Roman" w:hAnsi="Times New Roman"/>
        </w:rPr>
        <w:lastRenderedPageBreak/>
        <w:t xml:space="preserve">GAGELER, GORDON AND STEWARD JJ.   Section 17 of the </w:t>
      </w:r>
      <w:r w:rsidRPr="00635770">
        <w:rPr>
          <w:rFonts w:ascii="Times New Roman" w:hAnsi="Times New Roman"/>
          <w:i/>
        </w:rPr>
        <w:t>Crimes Act 1958</w:t>
      </w:r>
      <w:r w:rsidRPr="00635770">
        <w:rPr>
          <w:rFonts w:ascii="Times New Roman" w:hAnsi="Times New Roman"/>
        </w:rPr>
        <w:t xml:space="preserve"> (Vic), which came into force in March 1986</w:t>
      </w:r>
      <w:r w:rsidRPr="00635770">
        <w:rPr>
          <w:rStyle w:val="FootnoteReference"/>
          <w:rFonts w:ascii="Times New Roman" w:hAnsi="Times New Roman"/>
          <w:sz w:val="24"/>
        </w:rPr>
        <w:footnoteReference w:id="56"/>
      </w:r>
      <w:r w:rsidRPr="00635770">
        <w:rPr>
          <w:rFonts w:ascii="Times New Roman" w:hAnsi="Times New Roman"/>
        </w:rPr>
        <w:t xml:space="preserve">, provides that "[a] person who, without lawful excuse, recklessly causes serious injury to another person is guilty of an indictable offence". </w:t>
      </w:r>
    </w:p>
    <w:p w14:paraId="7C34B29C"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hAnsi="Times New Roman"/>
        </w:rPr>
      </w:pPr>
      <w:r w:rsidRPr="00635770">
        <w:rPr>
          <w:rFonts w:ascii="Times New Roman" w:hAnsi="Times New Roman"/>
        </w:rPr>
        <w:tab/>
        <w:t xml:space="preserve">In 1995, in </w:t>
      </w:r>
      <w:r w:rsidRPr="00635770">
        <w:rPr>
          <w:rFonts w:ascii="Times New Roman" w:hAnsi="Times New Roman"/>
          <w:i/>
        </w:rPr>
        <w:t>R v Campbell</w:t>
      </w:r>
      <w:r w:rsidRPr="00635770">
        <w:rPr>
          <w:rStyle w:val="FootnoteReference"/>
          <w:rFonts w:ascii="Times New Roman" w:hAnsi="Times New Roman"/>
          <w:sz w:val="24"/>
        </w:rPr>
        <w:footnoteReference w:id="57"/>
      </w:r>
      <w:r w:rsidRPr="00635770">
        <w:rPr>
          <w:rFonts w:ascii="Times New Roman" w:hAnsi="Times New Roman"/>
        </w:rPr>
        <w:t xml:space="preserve">, the Court of Appeal of the Supreme Court of Victoria, invoking what was described as "[t]he spirit" of the decision of this Court in </w:t>
      </w:r>
      <w:r w:rsidRPr="00635770">
        <w:rPr>
          <w:rFonts w:ascii="Times New Roman" w:hAnsi="Times New Roman"/>
          <w:i/>
        </w:rPr>
        <w:t>R v Crabbe</w:t>
      </w:r>
      <w:r w:rsidRPr="00635770">
        <w:rPr>
          <w:rStyle w:val="FootnoteReference"/>
          <w:rFonts w:ascii="Times New Roman" w:hAnsi="Times New Roman"/>
          <w:sz w:val="24"/>
        </w:rPr>
        <w:footnoteReference w:id="58"/>
      </w:r>
      <w:r w:rsidRPr="00635770">
        <w:rPr>
          <w:rFonts w:ascii="Times New Roman" w:hAnsi="Times New Roman"/>
        </w:rPr>
        <w:t xml:space="preserve"> and following an earlier decision of the Full Court of the Supreme Court of Victoria in </w:t>
      </w:r>
      <w:r w:rsidRPr="00635770">
        <w:rPr>
          <w:rFonts w:ascii="Times New Roman" w:hAnsi="Times New Roman"/>
          <w:i/>
        </w:rPr>
        <w:t>R v Nuri</w:t>
      </w:r>
      <w:r w:rsidRPr="00635770">
        <w:rPr>
          <w:rStyle w:val="FootnoteReference"/>
          <w:rFonts w:ascii="Times New Roman" w:hAnsi="Times New Roman"/>
          <w:sz w:val="24"/>
        </w:rPr>
        <w:footnoteReference w:id="59"/>
      </w:r>
      <w:r w:rsidRPr="00635770">
        <w:rPr>
          <w:rFonts w:ascii="Times New Roman" w:hAnsi="Times New Roman"/>
        </w:rPr>
        <w:t xml:space="preserve">, held that in order for a person to be convicted of recklessly causing serious injury under s 17 of the </w:t>
      </w:r>
      <w:r w:rsidRPr="00635770">
        <w:rPr>
          <w:rFonts w:ascii="Times New Roman" w:hAnsi="Times New Roman"/>
          <w:i/>
        </w:rPr>
        <w:t>Crimes Act</w:t>
      </w:r>
      <w:r w:rsidRPr="00635770">
        <w:rPr>
          <w:rFonts w:ascii="Times New Roman" w:hAnsi="Times New Roman"/>
        </w:rPr>
        <w:t xml:space="preserve">, the prosecution must establish that the person foresaw that serious injury </w:t>
      </w:r>
      <w:r w:rsidRPr="00635770">
        <w:rPr>
          <w:rFonts w:ascii="Times New Roman" w:hAnsi="Times New Roman"/>
          <w:i/>
        </w:rPr>
        <w:t xml:space="preserve">probably </w:t>
      </w:r>
      <w:r w:rsidRPr="00635770">
        <w:rPr>
          <w:rFonts w:ascii="Times New Roman" w:hAnsi="Times New Roman"/>
        </w:rPr>
        <w:t>would result from the act or omission which in fact caused the serious injury</w:t>
      </w:r>
      <w:r w:rsidRPr="00635770">
        <w:rPr>
          <w:rStyle w:val="FootnoteReference"/>
          <w:rFonts w:ascii="Times New Roman" w:hAnsi="Times New Roman"/>
          <w:sz w:val="24"/>
        </w:rPr>
        <w:footnoteReference w:id="60"/>
      </w:r>
      <w:r w:rsidRPr="00635770">
        <w:rPr>
          <w:rFonts w:ascii="Times New Roman" w:hAnsi="Times New Roman"/>
        </w:rPr>
        <w:t>.</w:t>
      </w:r>
      <w:r w:rsidRPr="00635770">
        <w:rPr>
          <w:rFonts w:ascii="Times New Roman" w:hAnsi="Times New Roman"/>
          <w:i/>
        </w:rPr>
        <w:t xml:space="preserve"> </w:t>
      </w:r>
      <w:r w:rsidRPr="00635770">
        <w:rPr>
          <w:rFonts w:ascii="Times New Roman" w:hAnsi="Times New Roman"/>
        </w:rPr>
        <w:t>In reaching that decision, the Court of Appeal declined to follow a line of previous authority</w:t>
      </w:r>
      <w:r w:rsidRPr="00635770">
        <w:rPr>
          <w:rStyle w:val="FootnoteReference"/>
          <w:rFonts w:ascii="Times New Roman" w:hAnsi="Times New Roman"/>
          <w:sz w:val="24"/>
        </w:rPr>
        <w:footnoteReference w:id="61"/>
      </w:r>
      <w:r w:rsidRPr="00635770">
        <w:rPr>
          <w:rFonts w:ascii="Times New Roman" w:hAnsi="Times New Roman"/>
        </w:rPr>
        <w:t xml:space="preserve"> which</w:t>
      </w:r>
      <w:r>
        <w:rPr>
          <w:rFonts w:ascii="Times New Roman" w:hAnsi="Times New Roman"/>
        </w:rPr>
        <w:t> </w:t>
      </w:r>
      <w:r w:rsidRPr="00635770">
        <w:rPr>
          <w:rFonts w:ascii="Times New Roman" w:hAnsi="Times New Roman"/>
        </w:rPr>
        <w:t xml:space="preserve">held that it was </w:t>
      </w:r>
      <w:proofErr w:type="gramStart"/>
      <w:r w:rsidRPr="00635770">
        <w:rPr>
          <w:rFonts w:ascii="Times New Roman" w:hAnsi="Times New Roman"/>
        </w:rPr>
        <w:t>sufficient</w:t>
      </w:r>
      <w:proofErr w:type="gramEnd"/>
      <w:r w:rsidRPr="00635770">
        <w:rPr>
          <w:rFonts w:ascii="Times New Roman" w:hAnsi="Times New Roman"/>
        </w:rPr>
        <w:t xml:space="preserve"> to establish the mental element of the offences of unlawful and malicious wounding or unlawful and malicious infliction of grievous bodily harm to demonstrate foresight of the </w:t>
      </w:r>
      <w:r w:rsidRPr="00635770">
        <w:rPr>
          <w:rFonts w:ascii="Times New Roman" w:hAnsi="Times New Roman"/>
          <w:i/>
        </w:rPr>
        <w:t>possibility</w:t>
      </w:r>
      <w:r w:rsidRPr="00635770">
        <w:rPr>
          <w:rFonts w:ascii="Times New Roman" w:hAnsi="Times New Roman"/>
        </w:rPr>
        <w:t xml:space="preserve"> of harm. </w:t>
      </w:r>
    </w:p>
    <w:p w14:paraId="0CB50568"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hAnsi="Times New Roman"/>
        </w:rPr>
      </w:pPr>
      <w:r w:rsidRPr="00635770">
        <w:rPr>
          <w:rFonts w:ascii="Times New Roman" w:hAnsi="Times New Roman"/>
          <w:i/>
        </w:rPr>
        <w:tab/>
      </w:r>
      <w:r w:rsidRPr="00635770">
        <w:rPr>
          <w:rFonts w:ascii="Times New Roman" w:hAnsi="Times New Roman"/>
        </w:rPr>
        <w:t xml:space="preserve">In 2017, in </w:t>
      </w:r>
      <w:r w:rsidRPr="00635770">
        <w:rPr>
          <w:rFonts w:ascii="Times New Roman" w:hAnsi="Times New Roman"/>
          <w:i/>
        </w:rPr>
        <w:t>Aubrey v The Queen</w:t>
      </w:r>
      <w:r w:rsidRPr="00635770">
        <w:rPr>
          <w:rStyle w:val="FootnoteReference"/>
          <w:rFonts w:ascii="Times New Roman" w:hAnsi="Times New Roman"/>
          <w:sz w:val="24"/>
        </w:rPr>
        <w:footnoteReference w:id="62"/>
      </w:r>
      <w:r w:rsidRPr="00635770">
        <w:rPr>
          <w:rFonts w:ascii="Times New Roman" w:hAnsi="Times New Roman"/>
        </w:rPr>
        <w:t xml:space="preserve">, in addressing "recklessness" for the purposes of the offence of maliciously inflicting grievous bodily harm under s 35(1)(b) of the </w:t>
      </w:r>
      <w:r w:rsidRPr="00635770">
        <w:rPr>
          <w:rFonts w:ascii="Times New Roman" w:hAnsi="Times New Roman"/>
          <w:i/>
        </w:rPr>
        <w:t xml:space="preserve">Crimes Act 1900 </w:t>
      </w:r>
      <w:r w:rsidRPr="00635770">
        <w:rPr>
          <w:rFonts w:ascii="Times New Roman" w:hAnsi="Times New Roman"/>
        </w:rPr>
        <w:t xml:space="preserve">(NSW), this Court cast doubt on the correctness of </w:t>
      </w:r>
      <w:r w:rsidRPr="00635770">
        <w:rPr>
          <w:rFonts w:ascii="Times New Roman" w:hAnsi="Times New Roman"/>
          <w:i/>
        </w:rPr>
        <w:t xml:space="preserve">Campbell </w:t>
      </w:r>
      <w:r w:rsidRPr="00635770">
        <w:rPr>
          <w:rFonts w:ascii="Times New Roman" w:hAnsi="Times New Roman"/>
        </w:rPr>
        <w:t xml:space="preserve">and noted, in particular, that nothing said in </w:t>
      </w:r>
      <w:r w:rsidRPr="00635770">
        <w:rPr>
          <w:rFonts w:ascii="Times New Roman" w:hAnsi="Times New Roman"/>
          <w:i/>
        </w:rPr>
        <w:t xml:space="preserve">Crabbe </w:t>
      </w:r>
      <w:r w:rsidRPr="00635770">
        <w:rPr>
          <w:rFonts w:ascii="Times New Roman" w:hAnsi="Times New Roman"/>
        </w:rPr>
        <w:t xml:space="preserve">in relation to the degree of recklessness necessary to establish offences against the person other than murder required any shift from foresight of </w:t>
      </w:r>
      <w:r w:rsidRPr="00635770">
        <w:rPr>
          <w:rFonts w:ascii="Times New Roman" w:hAnsi="Times New Roman"/>
          <w:i/>
        </w:rPr>
        <w:t>possibility</w:t>
      </w:r>
      <w:r w:rsidRPr="00635770">
        <w:rPr>
          <w:rFonts w:ascii="Times New Roman" w:hAnsi="Times New Roman"/>
        </w:rPr>
        <w:t xml:space="preserve"> to foresight of </w:t>
      </w:r>
      <w:r w:rsidRPr="00635770">
        <w:rPr>
          <w:rFonts w:ascii="Times New Roman" w:hAnsi="Times New Roman"/>
          <w:i/>
        </w:rPr>
        <w:t>probability</w:t>
      </w:r>
      <w:r w:rsidRPr="00635770">
        <w:rPr>
          <w:rFonts w:ascii="Times New Roman" w:hAnsi="Times New Roman"/>
        </w:rPr>
        <w:t xml:space="preserve"> of harm. This Court nevertheless recognised that "[t]he requirements in States </w:t>
      </w:r>
      <w:r w:rsidRPr="00635770">
        <w:rPr>
          <w:rFonts w:ascii="Times New Roman" w:hAnsi="Times New Roman"/>
        </w:rPr>
        <w:lastRenderedPageBreak/>
        <w:t>other than New South Wales may vary according to the terms of each State's legislation"</w:t>
      </w:r>
      <w:r w:rsidRPr="00635770">
        <w:rPr>
          <w:rStyle w:val="FootnoteReference"/>
          <w:rFonts w:ascii="Times New Roman" w:hAnsi="Times New Roman"/>
          <w:sz w:val="24"/>
        </w:rPr>
        <w:footnoteReference w:id="63"/>
      </w:r>
      <w:r w:rsidRPr="00635770">
        <w:rPr>
          <w:rFonts w:ascii="Times New Roman" w:hAnsi="Times New Roman"/>
        </w:rPr>
        <w:t xml:space="preserve">. </w:t>
      </w:r>
    </w:p>
    <w:p w14:paraId="179D2EA4"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hAnsi="Times New Roman"/>
        </w:rPr>
      </w:pPr>
      <w:r w:rsidRPr="00635770">
        <w:rPr>
          <w:rFonts w:ascii="Times New Roman" w:hAnsi="Times New Roman"/>
        </w:rPr>
        <w:tab/>
        <w:t xml:space="preserve">This case concerns the present correctness of </w:t>
      </w:r>
      <w:r w:rsidRPr="00635770">
        <w:rPr>
          <w:rFonts w:ascii="Times New Roman" w:hAnsi="Times New Roman"/>
          <w:i/>
        </w:rPr>
        <w:t>Campbell</w:t>
      </w:r>
      <w:r w:rsidRPr="00635770">
        <w:rPr>
          <w:rFonts w:ascii="Times New Roman" w:hAnsi="Times New Roman"/>
        </w:rPr>
        <w:t xml:space="preserve">. It arises in this way. In February 2017, an accused was relevantly charged under s 17 of the </w:t>
      </w:r>
      <w:r w:rsidRPr="00635770">
        <w:rPr>
          <w:rFonts w:ascii="Times New Roman" w:hAnsi="Times New Roman"/>
          <w:i/>
        </w:rPr>
        <w:t>Crimes Act</w:t>
      </w:r>
      <w:r w:rsidRPr="00635770">
        <w:rPr>
          <w:rFonts w:ascii="Times New Roman" w:hAnsi="Times New Roman"/>
        </w:rPr>
        <w:t xml:space="preserve"> with recklessly causing serious injury to a man who fell to the ground and suffered serious injury to the skull and brain. In August 2019, the accused was tried before a jury in the County Court of Victoria.</w:t>
      </w:r>
      <w:r w:rsidRPr="00635770">
        <w:rPr>
          <w:rFonts w:ascii="Times New Roman" w:hAnsi="Times New Roman"/>
          <w:i/>
        </w:rPr>
        <w:t xml:space="preserve"> </w:t>
      </w:r>
      <w:r w:rsidRPr="00635770">
        <w:rPr>
          <w:rFonts w:ascii="Times New Roman" w:hAnsi="Times New Roman"/>
        </w:rPr>
        <w:t xml:space="preserve">The trial judge declined the invitation of the Director of Public Prosecutions ("the DPP") to charge the jury in relation to the mental element of recklessness in accordance with </w:t>
      </w:r>
      <w:r w:rsidRPr="00635770">
        <w:rPr>
          <w:rFonts w:ascii="Times New Roman" w:hAnsi="Times New Roman"/>
          <w:i/>
        </w:rPr>
        <w:t xml:space="preserve">Aubrey </w:t>
      </w:r>
      <w:r w:rsidRPr="00635770">
        <w:rPr>
          <w:rFonts w:ascii="Times New Roman" w:hAnsi="Times New Roman"/>
        </w:rPr>
        <w:t xml:space="preserve">and, instead, directed the jury consistently with </w:t>
      </w:r>
      <w:r w:rsidRPr="00635770">
        <w:rPr>
          <w:rFonts w:ascii="Times New Roman" w:hAnsi="Times New Roman"/>
          <w:i/>
        </w:rPr>
        <w:t>Campbell</w:t>
      </w:r>
      <w:r w:rsidRPr="00635770">
        <w:rPr>
          <w:rFonts w:ascii="Times New Roman" w:hAnsi="Times New Roman"/>
        </w:rPr>
        <w:t>. The accused was acquitted by the jury.</w:t>
      </w:r>
    </w:p>
    <w:p w14:paraId="0413047A"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hAnsi="Times New Roman"/>
        </w:rPr>
      </w:pPr>
      <w:r w:rsidRPr="00635770">
        <w:rPr>
          <w:rFonts w:ascii="Times New Roman" w:hAnsi="Times New Roman"/>
        </w:rPr>
        <w:tab/>
        <w:t xml:space="preserve">The DPP referred the correctness of the decision in </w:t>
      </w:r>
      <w:r w:rsidRPr="00635770">
        <w:rPr>
          <w:rFonts w:ascii="Times New Roman" w:hAnsi="Times New Roman"/>
          <w:i/>
        </w:rPr>
        <w:t>Campbell</w:t>
      </w:r>
      <w:r w:rsidRPr="00635770">
        <w:rPr>
          <w:rFonts w:ascii="Times New Roman" w:hAnsi="Times New Roman"/>
        </w:rPr>
        <w:t>, as a point of law, to the Court of Appeal for its opinion</w:t>
      </w:r>
      <w:r w:rsidRPr="00635770">
        <w:rPr>
          <w:rStyle w:val="FootnoteReference"/>
          <w:rFonts w:ascii="Times New Roman" w:hAnsi="Times New Roman"/>
          <w:sz w:val="24"/>
        </w:rPr>
        <w:footnoteReference w:id="64"/>
      </w:r>
      <w:r w:rsidRPr="00635770">
        <w:rPr>
          <w:rFonts w:ascii="Times New Roman" w:hAnsi="Times New Roman"/>
        </w:rPr>
        <w:t>. The DPP submitted that, consistent</w:t>
      </w:r>
      <w:r>
        <w:rPr>
          <w:rFonts w:ascii="Times New Roman" w:hAnsi="Times New Roman"/>
        </w:rPr>
        <w:t> </w:t>
      </w:r>
      <w:r w:rsidRPr="00635770">
        <w:rPr>
          <w:rFonts w:ascii="Times New Roman" w:hAnsi="Times New Roman"/>
        </w:rPr>
        <w:t xml:space="preserve">with this Court's decision in </w:t>
      </w:r>
      <w:r w:rsidRPr="00635770">
        <w:rPr>
          <w:rFonts w:ascii="Times New Roman" w:hAnsi="Times New Roman"/>
          <w:i/>
        </w:rPr>
        <w:t>Aubrey</w:t>
      </w:r>
      <w:r w:rsidRPr="00635770">
        <w:rPr>
          <w:rFonts w:ascii="Times New Roman" w:hAnsi="Times New Roman"/>
        </w:rPr>
        <w:t>, the correct interpretation of recklessness</w:t>
      </w:r>
      <w:r w:rsidRPr="00635770">
        <w:rPr>
          <w:rFonts w:ascii="Times New Roman" w:hAnsi="Times New Roman"/>
          <w:i/>
        </w:rPr>
        <w:t xml:space="preserve"> </w:t>
      </w:r>
      <w:r w:rsidRPr="00635770">
        <w:rPr>
          <w:rFonts w:ascii="Times New Roman" w:hAnsi="Times New Roman"/>
        </w:rPr>
        <w:t>for offences against the person other than murder (and</w:t>
      </w:r>
      <w:proofErr w:type="gramStart"/>
      <w:r w:rsidRPr="00635770">
        <w:rPr>
          <w:rFonts w:ascii="Times New Roman" w:hAnsi="Times New Roman"/>
        </w:rPr>
        <w:t>, in particular, the</w:t>
      </w:r>
      <w:proofErr w:type="gramEnd"/>
      <w:r w:rsidRPr="00635770">
        <w:rPr>
          <w:rFonts w:ascii="Times New Roman" w:hAnsi="Times New Roman"/>
        </w:rPr>
        <w:t xml:space="preserve"> offence of recklessly causing serious injury under s 17 of the </w:t>
      </w:r>
      <w:r w:rsidRPr="00635770">
        <w:rPr>
          <w:rFonts w:ascii="Times New Roman" w:hAnsi="Times New Roman"/>
          <w:i/>
        </w:rPr>
        <w:t>Crimes Act</w:t>
      </w:r>
      <w:r w:rsidRPr="00635770">
        <w:rPr>
          <w:rFonts w:ascii="Times New Roman" w:hAnsi="Times New Roman"/>
        </w:rPr>
        <w:t xml:space="preserve">) is that an accused had foresight of the </w:t>
      </w:r>
      <w:r w:rsidRPr="00635770">
        <w:rPr>
          <w:rFonts w:ascii="Times New Roman" w:hAnsi="Times New Roman"/>
          <w:i/>
        </w:rPr>
        <w:t>possibility</w:t>
      </w:r>
      <w:r w:rsidRPr="00635770">
        <w:rPr>
          <w:rFonts w:ascii="Times New Roman" w:hAnsi="Times New Roman"/>
        </w:rPr>
        <w:t xml:space="preserve"> of the relevant consequences and proceeded nevertheless. The acquitted person, who appeared by counsel</w:t>
      </w:r>
      <w:r w:rsidRPr="00635770">
        <w:rPr>
          <w:rStyle w:val="FootnoteReference"/>
          <w:rFonts w:ascii="Times New Roman" w:hAnsi="Times New Roman"/>
          <w:sz w:val="24"/>
        </w:rPr>
        <w:footnoteReference w:id="65"/>
      </w:r>
      <w:r w:rsidRPr="00635770">
        <w:rPr>
          <w:rFonts w:ascii="Times New Roman" w:hAnsi="Times New Roman"/>
        </w:rPr>
        <w:t xml:space="preserve">, submitted that the decision in </w:t>
      </w:r>
      <w:r w:rsidRPr="00635770">
        <w:rPr>
          <w:rFonts w:ascii="Times New Roman" w:hAnsi="Times New Roman"/>
          <w:i/>
        </w:rPr>
        <w:t xml:space="preserve">Campbell </w:t>
      </w:r>
      <w:r w:rsidRPr="00635770">
        <w:rPr>
          <w:rFonts w:ascii="Times New Roman" w:hAnsi="Times New Roman"/>
        </w:rPr>
        <w:t>should remain the law in Victoria. The Court of Appeal (Maxwell P, Priest, Kaye, McLeish and Emerton JJA) unanimously answered the point of law that "[u]</w:t>
      </w:r>
      <w:proofErr w:type="spellStart"/>
      <w:r w:rsidRPr="00635770">
        <w:rPr>
          <w:rFonts w:ascii="Times New Roman" w:hAnsi="Times New Roman"/>
        </w:rPr>
        <w:t>nless</w:t>
      </w:r>
      <w:proofErr w:type="spellEnd"/>
      <w:r w:rsidRPr="00635770">
        <w:rPr>
          <w:rFonts w:ascii="Times New Roman" w:hAnsi="Times New Roman"/>
        </w:rPr>
        <w:t xml:space="preserve"> and until it is altered by legislation, the meaning of 'recklessly' in s 17 of the </w:t>
      </w:r>
      <w:r w:rsidRPr="00635770">
        <w:rPr>
          <w:rFonts w:ascii="Times New Roman" w:hAnsi="Times New Roman"/>
          <w:i/>
        </w:rPr>
        <w:t xml:space="preserve">Crimes Act </w:t>
      </w:r>
      <w:r w:rsidRPr="00635770">
        <w:rPr>
          <w:rFonts w:ascii="Times New Roman" w:hAnsi="Times New Roman"/>
        </w:rPr>
        <w:t xml:space="preserve">... is that stated by the Court of Appeal in ... </w:t>
      </w:r>
      <w:r w:rsidRPr="00635770">
        <w:rPr>
          <w:rFonts w:ascii="Times New Roman" w:hAnsi="Times New Roman"/>
          <w:i/>
        </w:rPr>
        <w:t>Campbell</w:t>
      </w:r>
      <w:r w:rsidRPr="00635770">
        <w:rPr>
          <w:rFonts w:ascii="Times New Roman" w:hAnsi="Times New Roman"/>
        </w:rPr>
        <w:t>".</w:t>
      </w:r>
    </w:p>
    <w:p w14:paraId="689F66F4"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hAnsi="Times New Roman"/>
        </w:rPr>
      </w:pPr>
      <w:r w:rsidRPr="00635770">
        <w:rPr>
          <w:rFonts w:ascii="Times New Roman" w:hAnsi="Times New Roman"/>
        </w:rPr>
        <w:tab/>
        <w:t xml:space="preserve">By special leave to appeal, the DPP </w:t>
      </w:r>
      <w:proofErr w:type="gramStart"/>
      <w:r w:rsidRPr="00635770">
        <w:rPr>
          <w:rFonts w:ascii="Times New Roman" w:hAnsi="Times New Roman"/>
        </w:rPr>
        <w:t>sought to have</w:t>
      </w:r>
      <w:proofErr w:type="gramEnd"/>
      <w:r w:rsidRPr="00635770">
        <w:rPr>
          <w:rFonts w:ascii="Times New Roman" w:hAnsi="Times New Roman"/>
        </w:rPr>
        <w:t xml:space="preserve"> this Court reconsider </w:t>
      </w:r>
      <w:r w:rsidRPr="00635770">
        <w:rPr>
          <w:rFonts w:ascii="Times New Roman" w:hAnsi="Times New Roman"/>
          <w:i/>
        </w:rPr>
        <w:t>Campbell</w:t>
      </w:r>
      <w:r w:rsidRPr="00635770">
        <w:rPr>
          <w:rFonts w:ascii="Times New Roman" w:hAnsi="Times New Roman"/>
        </w:rPr>
        <w:t xml:space="preserve">. As these reasons will explain, the point of law was answered correctly by the Court of Appeal. </w:t>
      </w:r>
    </w:p>
    <w:p w14:paraId="463D860B" w14:textId="77777777" w:rsidR="00D14D89" w:rsidRPr="00635770" w:rsidRDefault="00D14D89" w:rsidP="00635770">
      <w:pPr>
        <w:pStyle w:val="HeadingL1"/>
        <w:spacing w:after="260" w:line="280" w:lineRule="exact"/>
        <w:ind w:right="0"/>
        <w:jc w:val="both"/>
        <w:rPr>
          <w:rFonts w:ascii="Times New Roman" w:hAnsi="Times New Roman"/>
          <w:i/>
        </w:rPr>
      </w:pPr>
      <w:r w:rsidRPr="00635770">
        <w:rPr>
          <w:rFonts w:ascii="Times New Roman" w:hAnsi="Times New Roman"/>
        </w:rPr>
        <w:t xml:space="preserve">Section 17 of the </w:t>
      </w:r>
      <w:r w:rsidRPr="00635770">
        <w:rPr>
          <w:rFonts w:ascii="Times New Roman" w:hAnsi="Times New Roman"/>
          <w:i/>
        </w:rPr>
        <w:t>Crimes Act</w:t>
      </w:r>
    </w:p>
    <w:p w14:paraId="414C20F3"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hAnsi="Times New Roman"/>
        </w:rPr>
        <w:tab/>
      </w:r>
      <w:r w:rsidRPr="00635770">
        <w:rPr>
          <w:rFonts w:ascii="Times New Roman" w:eastAsia="Calibri" w:hAnsi="Times New Roman"/>
        </w:rPr>
        <w:t xml:space="preserve">As has been observed, s 17 of the </w:t>
      </w:r>
      <w:r w:rsidRPr="00635770">
        <w:rPr>
          <w:rFonts w:ascii="Times New Roman" w:eastAsia="Calibri" w:hAnsi="Times New Roman"/>
          <w:i/>
        </w:rPr>
        <w:t xml:space="preserve">Crimes Act </w:t>
      </w:r>
      <w:r w:rsidRPr="00635770">
        <w:rPr>
          <w:rFonts w:ascii="Times New Roman" w:hAnsi="Times New Roman"/>
        </w:rPr>
        <w:t xml:space="preserve">came into force in March 1986. It was one of three new offences introduced into the </w:t>
      </w:r>
      <w:r w:rsidRPr="00635770">
        <w:rPr>
          <w:rFonts w:ascii="Times New Roman" w:hAnsi="Times New Roman"/>
          <w:i/>
        </w:rPr>
        <w:t>Crimes Act</w:t>
      </w:r>
      <w:r w:rsidRPr="00635770">
        <w:rPr>
          <w:rStyle w:val="FootnoteReference"/>
          <w:rFonts w:ascii="Times New Roman" w:hAnsi="Times New Roman"/>
          <w:sz w:val="24"/>
        </w:rPr>
        <w:footnoteReference w:id="66"/>
      </w:r>
      <w:r w:rsidRPr="00635770">
        <w:rPr>
          <w:rFonts w:ascii="Times New Roman" w:hAnsi="Times New Roman"/>
        </w:rPr>
        <w:t xml:space="preserve"> – </w:t>
      </w:r>
      <w:r w:rsidRPr="00635770">
        <w:rPr>
          <w:rFonts w:ascii="Times New Roman" w:hAnsi="Times New Roman"/>
        </w:rPr>
        <w:lastRenderedPageBreak/>
        <w:t>causing</w:t>
      </w:r>
      <w:r>
        <w:rPr>
          <w:rFonts w:ascii="Times New Roman" w:hAnsi="Times New Roman"/>
        </w:rPr>
        <w:t> </w:t>
      </w:r>
      <w:r w:rsidRPr="00635770">
        <w:rPr>
          <w:rFonts w:ascii="Times New Roman" w:hAnsi="Times New Roman"/>
        </w:rPr>
        <w:t>serious injury intentionally</w:t>
      </w:r>
      <w:r w:rsidRPr="00635770">
        <w:rPr>
          <w:rStyle w:val="FootnoteReference"/>
          <w:rFonts w:ascii="Times New Roman" w:hAnsi="Times New Roman"/>
          <w:sz w:val="24"/>
        </w:rPr>
        <w:footnoteReference w:id="67"/>
      </w:r>
      <w:r w:rsidRPr="00635770">
        <w:rPr>
          <w:rFonts w:ascii="Times New Roman" w:hAnsi="Times New Roman"/>
        </w:rPr>
        <w:t>, causing serious injury recklessly</w:t>
      </w:r>
      <w:r w:rsidRPr="00635770">
        <w:rPr>
          <w:rStyle w:val="FootnoteReference"/>
          <w:rFonts w:ascii="Times New Roman" w:hAnsi="Times New Roman"/>
          <w:sz w:val="24"/>
        </w:rPr>
        <w:footnoteReference w:id="68"/>
      </w:r>
      <w:r w:rsidRPr="00635770">
        <w:rPr>
          <w:rFonts w:ascii="Times New Roman" w:hAnsi="Times New Roman"/>
        </w:rPr>
        <w:t xml:space="preserve"> and</w:t>
      </w:r>
      <w:r>
        <w:rPr>
          <w:rFonts w:ascii="Times New Roman" w:hAnsi="Times New Roman"/>
        </w:rPr>
        <w:t> </w:t>
      </w:r>
      <w:r w:rsidRPr="00635770">
        <w:rPr>
          <w:rFonts w:ascii="Times New Roman" w:hAnsi="Times New Roman"/>
        </w:rPr>
        <w:t>causing injury either intentionally or recklessly</w:t>
      </w:r>
      <w:r w:rsidRPr="00635770">
        <w:rPr>
          <w:rStyle w:val="FootnoteReference"/>
          <w:rFonts w:ascii="Times New Roman" w:hAnsi="Times New Roman"/>
          <w:sz w:val="24"/>
        </w:rPr>
        <w:footnoteReference w:id="69"/>
      </w:r>
      <w:r w:rsidRPr="00635770">
        <w:rPr>
          <w:rFonts w:ascii="Times New Roman" w:hAnsi="Times New Roman"/>
        </w:rPr>
        <w:t xml:space="preserve"> –</w:t>
      </w:r>
      <w:r w:rsidRPr="00635770">
        <w:rPr>
          <w:rFonts w:ascii="Times New Roman" w:hAnsi="Times New Roman"/>
          <w:i/>
        </w:rPr>
        <w:t xml:space="preserve"> </w:t>
      </w:r>
      <w:r w:rsidRPr="00635770">
        <w:rPr>
          <w:rFonts w:ascii="Times New Roman" w:hAnsi="Times New Roman"/>
        </w:rPr>
        <w:t>based on the fourteenth report of the Criminal Law Revision Committee of England and Wales, published</w:t>
      </w:r>
      <w:r>
        <w:rPr>
          <w:rFonts w:ascii="Times New Roman" w:hAnsi="Times New Roman"/>
        </w:rPr>
        <w:t> </w:t>
      </w:r>
      <w:r w:rsidRPr="00635770">
        <w:rPr>
          <w:rFonts w:ascii="Times New Roman" w:hAnsi="Times New Roman"/>
        </w:rPr>
        <w:t>in 1980</w:t>
      </w:r>
      <w:r w:rsidRPr="00635770">
        <w:rPr>
          <w:rStyle w:val="FootnoteReference"/>
          <w:rFonts w:ascii="Times New Roman" w:hAnsi="Times New Roman"/>
          <w:sz w:val="24"/>
        </w:rPr>
        <w:footnoteReference w:id="70"/>
      </w:r>
      <w:r w:rsidRPr="00635770">
        <w:rPr>
          <w:rFonts w:ascii="Times New Roman" w:hAnsi="Times New Roman"/>
        </w:rPr>
        <w:t>. The Committee had warned that there was not unanimity as to the meaning of recklessness in the criminal law</w:t>
      </w:r>
      <w:r w:rsidRPr="00635770">
        <w:rPr>
          <w:rStyle w:val="FootnoteReference"/>
          <w:rFonts w:ascii="Times New Roman" w:hAnsi="Times New Roman"/>
          <w:sz w:val="24"/>
        </w:rPr>
        <w:footnoteReference w:id="71"/>
      </w:r>
      <w:r w:rsidRPr="00635770">
        <w:rPr>
          <w:rFonts w:ascii="Times New Roman" w:hAnsi="Times New Roman"/>
        </w:rPr>
        <w:t xml:space="preserve"> and that failure to define the term would result in a period of uncertainty until defined by the courts</w:t>
      </w:r>
      <w:r w:rsidRPr="00635770">
        <w:rPr>
          <w:rStyle w:val="FootnoteReference"/>
          <w:rFonts w:ascii="Times New Roman" w:hAnsi="Times New Roman"/>
          <w:sz w:val="24"/>
        </w:rPr>
        <w:footnoteReference w:id="72"/>
      </w:r>
      <w:r w:rsidRPr="00635770">
        <w:rPr>
          <w:rFonts w:ascii="Times New Roman" w:hAnsi="Times New Roman"/>
        </w:rPr>
        <w:t>. The</w:t>
      </w:r>
      <w:r>
        <w:rPr>
          <w:rFonts w:ascii="Times New Roman" w:hAnsi="Times New Roman"/>
        </w:rPr>
        <w:t> </w:t>
      </w:r>
      <w:r w:rsidRPr="00635770">
        <w:rPr>
          <w:rFonts w:ascii="Times New Roman" w:hAnsi="Times New Roman"/>
        </w:rPr>
        <w:t>Victorian Parliament chose not to define "recklessly". That task fell to the Full</w:t>
      </w:r>
      <w:r>
        <w:rPr>
          <w:rFonts w:ascii="Times New Roman" w:hAnsi="Times New Roman"/>
        </w:rPr>
        <w:t> </w:t>
      </w:r>
      <w:r w:rsidRPr="00635770">
        <w:rPr>
          <w:rFonts w:ascii="Times New Roman" w:hAnsi="Times New Roman"/>
        </w:rPr>
        <w:t>Court in 1989 in</w:t>
      </w:r>
      <w:r w:rsidRPr="00635770" w:rsidDel="000C0D55">
        <w:rPr>
          <w:rFonts w:ascii="Times New Roman" w:hAnsi="Times New Roman"/>
        </w:rPr>
        <w:t xml:space="preserve"> </w:t>
      </w:r>
      <w:r w:rsidRPr="00635770">
        <w:rPr>
          <w:rFonts w:ascii="Times New Roman" w:hAnsi="Times New Roman"/>
          <w:i/>
        </w:rPr>
        <w:t>Nuri</w:t>
      </w:r>
      <w:r w:rsidRPr="00635770">
        <w:rPr>
          <w:rFonts w:ascii="Times New Roman" w:hAnsi="Times New Roman"/>
        </w:rPr>
        <w:t xml:space="preserve"> when the Court stated that "conduct is relevantly reckless if there is foresight on the part of an accused of the probable consequences of his actions and he displays indifference as to whether or not those consequences occur"</w:t>
      </w:r>
      <w:r w:rsidRPr="00635770">
        <w:rPr>
          <w:rStyle w:val="FootnoteReference"/>
          <w:rFonts w:ascii="Times New Roman" w:hAnsi="Times New Roman"/>
          <w:sz w:val="24"/>
        </w:rPr>
        <w:footnoteReference w:id="73"/>
      </w:r>
      <w:r w:rsidRPr="00635770">
        <w:rPr>
          <w:rFonts w:ascii="Times New Roman" w:hAnsi="Times New Roman"/>
        </w:rPr>
        <w:t>. That</w:t>
      </w:r>
      <w:r>
        <w:rPr>
          <w:rFonts w:ascii="Times New Roman" w:hAnsi="Times New Roman"/>
        </w:rPr>
        <w:t> </w:t>
      </w:r>
      <w:r w:rsidRPr="00635770">
        <w:rPr>
          <w:rFonts w:ascii="Times New Roman" w:hAnsi="Times New Roman"/>
        </w:rPr>
        <w:t xml:space="preserve">meaning of recklessness was then adopted and applied in </w:t>
      </w:r>
      <w:r w:rsidRPr="00635770">
        <w:rPr>
          <w:rFonts w:ascii="Times New Roman" w:hAnsi="Times New Roman"/>
          <w:i/>
        </w:rPr>
        <w:t>Campbell</w:t>
      </w:r>
      <w:r w:rsidRPr="00635770">
        <w:rPr>
          <w:rFonts w:ascii="Times New Roman" w:hAnsi="Times New Roman"/>
        </w:rPr>
        <w:t xml:space="preserve"> in 1995 when the Court of Appeal stated that "the appropriate test to apply" for</w:t>
      </w:r>
      <w:r>
        <w:rPr>
          <w:rFonts w:ascii="Times New Roman" w:hAnsi="Times New Roman"/>
        </w:rPr>
        <w:t> </w:t>
      </w:r>
      <w:r w:rsidRPr="00635770">
        <w:rPr>
          <w:rFonts w:ascii="Times New Roman" w:hAnsi="Times New Roman"/>
        </w:rPr>
        <w:t xml:space="preserve">recklessness in s 17 of the </w:t>
      </w:r>
      <w:r w:rsidRPr="00635770">
        <w:rPr>
          <w:rFonts w:ascii="Times New Roman" w:hAnsi="Times New Roman"/>
          <w:i/>
        </w:rPr>
        <w:t xml:space="preserve">Crimes Act </w:t>
      </w:r>
      <w:r w:rsidRPr="00635770">
        <w:rPr>
          <w:rFonts w:ascii="Times New Roman" w:hAnsi="Times New Roman"/>
        </w:rPr>
        <w:t xml:space="preserve">"is that it is possession of foresight that injury </w:t>
      </w:r>
      <w:r w:rsidRPr="00635770">
        <w:rPr>
          <w:rFonts w:ascii="Times New Roman" w:hAnsi="Times New Roman"/>
          <w:i/>
        </w:rPr>
        <w:t>probably</w:t>
      </w:r>
      <w:r w:rsidRPr="00635770">
        <w:rPr>
          <w:rFonts w:ascii="Times New Roman" w:hAnsi="Times New Roman"/>
        </w:rPr>
        <w:t xml:space="preserve"> will result that must be proved"</w:t>
      </w:r>
      <w:r w:rsidRPr="00635770">
        <w:rPr>
          <w:rStyle w:val="FootnoteReference"/>
          <w:rFonts w:ascii="Times New Roman" w:hAnsi="Times New Roman"/>
          <w:sz w:val="24"/>
        </w:rPr>
        <w:footnoteReference w:id="74"/>
      </w:r>
      <w:r w:rsidRPr="00635770">
        <w:rPr>
          <w:rFonts w:ascii="Times New Roman" w:hAnsi="Times New Roman"/>
        </w:rPr>
        <w:t>. That position has stood since 1989 in Victoria</w:t>
      </w:r>
      <w:r w:rsidRPr="00635770">
        <w:rPr>
          <w:rStyle w:val="FootnoteReference"/>
          <w:rFonts w:ascii="Times New Roman" w:hAnsi="Times New Roman"/>
          <w:sz w:val="24"/>
        </w:rPr>
        <w:footnoteReference w:id="75"/>
      </w:r>
      <w:r w:rsidRPr="00635770">
        <w:rPr>
          <w:rFonts w:ascii="Times New Roman" w:hAnsi="Times New Roman"/>
        </w:rPr>
        <w:t xml:space="preserve">. </w:t>
      </w:r>
    </w:p>
    <w:p w14:paraId="2098D2A9"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hAnsi="Times New Roman"/>
        </w:rPr>
        <w:lastRenderedPageBreak/>
        <w:tab/>
        <w:t xml:space="preserve">Following the Court of Appeal's decision in </w:t>
      </w:r>
      <w:r w:rsidRPr="00635770">
        <w:rPr>
          <w:rFonts w:ascii="Times New Roman" w:hAnsi="Times New Roman"/>
          <w:i/>
        </w:rPr>
        <w:t>Campbell</w:t>
      </w:r>
      <w:r w:rsidRPr="00635770">
        <w:rPr>
          <w:rFonts w:ascii="Times New Roman" w:hAnsi="Times New Roman"/>
        </w:rPr>
        <w:t xml:space="preserve">, two relevant enactments </w:t>
      </w:r>
      <w:r w:rsidRPr="00635770">
        <w:rPr>
          <w:rFonts w:ascii="Times New Roman" w:eastAsia="Calibri" w:hAnsi="Times New Roman"/>
        </w:rPr>
        <w:t xml:space="preserve">were passed which directly concerned s 17 of the </w:t>
      </w:r>
      <w:r w:rsidRPr="00635770">
        <w:rPr>
          <w:rFonts w:ascii="Times New Roman" w:eastAsia="Calibri" w:hAnsi="Times New Roman"/>
          <w:i/>
        </w:rPr>
        <w:t>Crimes Act</w:t>
      </w:r>
      <w:r w:rsidRPr="00635770">
        <w:rPr>
          <w:rFonts w:ascii="Times New Roman" w:hAnsi="Times New Roman"/>
        </w:rPr>
        <w:t xml:space="preserve"> – </w:t>
      </w:r>
      <w:r w:rsidRPr="00635770">
        <w:rPr>
          <w:rFonts w:ascii="Times New Roman" w:eastAsia="Calibri" w:hAnsi="Times New Roman"/>
        </w:rPr>
        <w:t>the </w:t>
      </w:r>
      <w:r w:rsidRPr="00635770">
        <w:rPr>
          <w:rFonts w:ascii="Times New Roman" w:eastAsia="Calibri" w:hAnsi="Times New Roman"/>
          <w:i/>
        </w:rPr>
        <w:t xml:space="preserve">Sentencing and Other Acts (Amendment) Act 1997 </w:t>
      </w:r>
      <w:r w:rsidRPr="00635770">
        <w:rPr>
          <w:rFonts w:ascii="Times New Roman" w:eastAsia="Calibri" w:hAnsi="Times New Roman"/>
        </w:rPr>
        <w:t xml:space="preserve">(Vic) ("the 1997 amendments") and the </w:t>
      </w:r>
      <w:r w:rsidRPr="00635770">
        <w:rPr>
          <w:rFonts w:ascii="Times New Roman" w:eastAsia="Calibri" w:hAnsi="Times New Roman"/>
          <w:i/>
        </w:rPr>
        <w:t xml:space="preserve">Crimes Amendment (Gross Violence Offences) Act 2013 </w:t>
      </w:r>
      <w:r w:rsidRPr="00635770">
        <w:rPr>
          <w:rFonts w:ascii="Times New Roman" w:eastAsia="Calibri" w:hAnsi="Times New Roman"/>
        </w:rPr>
        <w:t xml:space="preserve">(Vic) ("the 2013 amendments"). </w:t>
      </w:r>
    </w:p>
    <w:p w14:paraId="21D662B5" w14:textId="77777777" w:rsidR="00D14D89" w:rsidRPr="00635770" w:rsidRDefault="00D14D89" w:rsidP="00635770">
      <w:pPr>
        <w:pStyle w:val="HeadingL2"/>
        <w:spacing w:after="260" w:line="280" w:lineRule="exact"/>
        <w:ind w:right="0"/>
        <w:jc w:val="both"/>
        <w:rPr>
          <w:rFonts w:ascii="Times New Roman" w:eastAsia="Calibri" w:hAnsi="Times New Roman"/>
        </w:rPr>
      </w:pPr>
      <w:r w:rsidRPr="00635770">
        <w:rPr>
          <w:rFonts w:ascii="Times New Roman" w:eastAsia="Calibri" w:hAnsi="Times New Roman"/>
        </w:rPr>
        <w:t>1997 amendments</w:t>
      </w:r>
    </w:p>
    <w:p w14:paraId="38956DE8"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The 1997 amendments increased the maximum penalty for recklessly </w:t>
      </w:r>
      <w:r w:rsidRPr="00635770">
        <w:rPr>
          <w:rFonts w:ascii="Times New Roman" w:hAnsi="Times New Roman"/>
        </w:rPr>
        <w:t>causing</w:t>
      </w:r>
      <w:r w:rsidRPr="00635770">
        <w:rPr>
          <w:rFonts w:ascii="Times New Roman" w:eastAsia="Calibri" w:hAnsi="Times New Roman"/>
        </w:rPr>
        <w:t xml:space="preserve"> serious injury in s 17 of the </w:t>
      </w:r>
      <w:r w:rsidRPr="00635770">
        <w:rPr>
          <w:rFonts w:ascii="Times New Roman" w:eastAsia="Calibri" w:hAnsi="Times New Roman"/>
          <w:i/>
        </w:rPr>
        <w:t>Crimes Act</w:t>
      </w:r>
      <w:r w:rsidRPr="00635770">
        <w:rPr>
          <w:rFonts w:ascii="Times New Roman" w:eastAsia="Calibri" w:hAnsi="Times New Roman"/>
        </w:rPr>
        <w:t xml:space="preserve"> to 15 years' imprisonment, an</w:t>
      </w:r>
      <w:r>
        <w:rPr>
          <w:rFonts w:ascii="Times New Roman" w:eastAsia="Calibri" w:hAnsi="Times New Roman"/>
        </w:rPr>
        <w:t> </w:t>
      </w:r>
      <w:r w:rsidRPr="00635770">
        <w:rPr>
          <w:rFonts w:ascii="Times New Roman" w:eastAsia="Calibri" w:hAnsi="Times New Roman"/>
        </w:rPr>
        <w:t>increase of 50 per cent</w:t>
      </w:r>
      <w:r w:rsidRPr="00635770">
        <w:rPr>
          <w:rStyle w:val="FootnoteReference"/>
          <w:rFonts w:ascii="Times New Roman" w:eastAsia="Calibri" w:hAnsi="Times New Roman"/>
          <w:sz w:val="24"/>
        </w:rPr>
        <w:footnoteReference w:id="76"/>
      </w:r>
      <w:r w:rsidRPr="00635770">
        <w:rPr>
          <w:rFonts w:ascii="Times New Roman" w:eastAsia="Calibri" w:hAnsi="Times New Roman"/>
        </w:rPr>
        <w:t>. Fifteen years' imprisonment remains the maximum penalty for the offence</w:t>
      </w:r>
      <w:r w:rsidRPr="00635770">
        <w:rPr>
          <w:rStyle w:val="FootnoteReference"/>
          <w:rFonts w:ascii="Times New Roman" w:eastAsia="Calibri" w:hAnsi="Times New Roman"/>
          <w:sz w:val="24"/>
        </w:rPr>
        <w:footnoteReference w:id="77"/>
      </w:r>
      <w:r w:rsidRPr="00635770">
        <w:rPr>
          <w:rFonts w:ascii="Times New Roman" w:eastAsia="Calibri" w:hAnsi="Times New Roman"/>
        </w:rPr>
        <w:t>. The purpose of the amendments, informed by a "wide</w:t>
      </w:r>
      <w:r w:rsidRPr="00635770">
        <w:rPr>
          <w:rFonts w:ascii="Times New Roman" w:eastAsia="Calibri" w:hAnsi="Times New Roman"/>
        </w:rPr>
        <w:noBreakHyphen/>
        <w:t>ranging process of consultation", was to "identify ways to ensure that the courts pass sentences which reflect community expectations"</w:t>
      </w:r>
      <w:r w:rsidRPr="00635770">
        <w:rPr>
          <w:rStyle w:val="FootnoteReference"/>
          <w:rFonts w:ascii="Times New Roman" w:eastAsia="Calibri" w:hAnsi="Times New Roman"/>
          <w:sz w:val="24"/>
        </w:rPr>
        <w:footnoteReference w:id="78"/>
      </w:r>
      <w:r w:rsidRPr="00635770">
        <w:rPr>
          <w:rFonts w:ascii="Times New Roman" w:eastAsia="Calibri" w:hAnsi="Times New Roman"/>
        </w:rPr>
        <w:t>. The amendments followed a "year</w:t>
      </w:r>
      <w:r w:rsidRPr="00635770">
        <w:rPr>
          <w:rFonts w:ascii="Times New Roman" w:eastAsia="Calibri" w:hAnsi="Times New Roman"/>
        </w:rPr>
        <w:noBreakHyphen/>
        <w:t>long review process"</w:t>
      </w:r>
      <w:r w:rsidRPr="00635770">
        <w:rPr>
          <w:rStyle w:val="FootnoteReference"/>
          <w:rFonts w:ascii="Times New Roman" w:eastAsia="Calibri" w:hAnsi="Times New Roman"/>
          <w:sz w:val="24"/>
        </w:rPr>
        <w:footnoteReference w:id="79"/>
      </w:r>
      <w:r w:rsidRPr="00635770">
        <w:rPr>
          <w:rFonts w:ascii="Times New Roman" w:eastAsia="Calibri" w:hAnsi="Times New Roman"/>
        </w:rPr>
        <w:t xml:space="preserve"> including "a Crown Prosecutor interview[</w:t>
      </w:r>
      <w:proofErr w:type="spellStart"/>
      <w:r w:rsidRPr="00635770">
        <w:rPr>
          <w:rFonts w:ascii="Times New Roman" w:eastAsia="Calibri" w:hAnsi="Times New Roman"/>
        </w:rPr>
        <w:t>ing</w:t>
      </w:r>
      <w:proofErr w:type="spellEnd"/>
      <w:r w:rsidRPr="00635770">
        <w:rPr>
          <w:rFonts w:ascii="Times New Roman" w:eastAsia="Calibri" w:hAnsi="Times New Roman"/>
        </w:rPr>
        <w:t>] over 100 judges, magistrates and other key stakeholders in the criminal justice system to identify problems and solutions to technical defects in the operation of the [</w:t>
      </w:r>
      <w:r w:rsidRPr="00635770">
        <w:rPr>
          <w:rFonts w:ascii="Times New Roman" w:eastAsia="Calibri" w:hAnsi="Times New Roman"/>
          <w:i/>
        </w:rPr>
        <w:t xml:space="preserve">Sentencing Act 1991 </w:t>
      </w:r>
      <w:r w:rsidRPr="00635770">
        <w:rPr>
          <w:rFonts w:ascii="Times New Roman" w:eastAsia="Calibri" w:hAnsi="Times New Roman"/>
        </w:rPr>
        <w:t>(Vic)]"</w:t>
      </w:r>
      <w:r w:rsidRPr="00635770">
        <w:rPr>
          <w:rStyle w:val="FootnoteReference"/>
          <w:rFonts w:ascii="Times New Roman" w:eastAsia="Calibri" w:hAnsi="Times New Roman"/>
          <w:sz w:val="24"/>
        </w:rPr>
        <w:footnoteReference w:id="80"/>
      </w:r>
      <w:r w:rsidRPr="00635770">
        <w:rPr>
          <w:rFonts w:ascii="Times New Roman" w:eastAsia="Calibri" w:hAnsi="Times New Roman"/>
        </w:rPr>
        <w:t>. As the plurality in the Court of Appeal in the present case stated</w:t>
      </w:r>
      <w:r w:rsidRPr="00635770">
        <w:rPr>
          <w:rStyle w:val="FootnoteReference"/>
          <w:rFonts w:ascii="Times New Roman" w:eastAsia="Calibri" w:hAnsi="Times New Roman"/>
          <w:sz w:val="24"/>
        </w:rPr>
        <w:footnoteReference w:id="81"/>
      </w:r>
      <w:r w:rsidRPr="00635770">
        <w:rPr>
          <w:rFonts w:ascii="Times New Roman" w:eastAsia="Calibri" w:hAnsi="Times New Roman"/>
        </w:rPr>
        <w:t>:</w:t>
      </w:r>
    </w:p>
    <w:p w14:paraId="57A620F1" w14:textId="77777777" w:rsidR="00D14D89" w:rsidRDefault="00D14D89" w:rsidP="00635770">
      <w:pPr>
        <w:pStyle w:val="leftright"/>
        <w:spacing w:before="0" w:after="260" w:line="280" w:lineRule="exact"/>
        <w:ind w:right="0"/>
        <w:jc w:val="both"/>
        <w:rPr>
          <w:rFonts w:ascii="Times New Roman" w:eastAsia="Calibri" w:hAnsi="Times New Roman"/>
        </w:rPr>
      </w:pPr>
      <w:r w:rsidRPr="00635770">
        <w:rPr>
          <w:rFonts w:ascii="Times New Roman" w:eastAsia="Calibri" w:hAnsi="Times New Roman"/>
        </w:rPr>
        <w:lastRenderedPageBreak/>
        <w:t xml:space="preserve">"[T]he decision to increase the maximum for recklessly causing serious injury by 50% can only be understood on the basis that the legislature was aware of, and accepted, the </w:t>
      </w:r>
      <w:r w:rsidRPr="00635770">
        <w:rPr>
          <w:rFonts w:ascii="Times New Roman" w:eastAsia="Calibri" w:hAnsi="Times New Roman"/>
          <w:i/>
        </w:rPr>
        <w:t>Campbell</w:t>
      </w:r>
      <w:r w:rsidRPr="00635770">
        <w:rPr>
          <w:rFonts w:ascii="Times New Roman" w:eastAsia="Calibri" w:hAnsi="Times New Roman"/>
        </w:rPr>
        <w:t xml:space="preserve"> interpretation. That is, the increased maximum was seen to be both necessary and appropriate given the high degree of culpability involved in the causing of serious injury in circumstances where the offender was aware of the probability that serious injury would result and proceeded nonetheless. This was, in effect, a</w:t>
      </w:r>
      <w:r>
        <w:rPr>
          <w:rFonts w:ascii="Times New Roman" w:eastAsia="Calibri" w:hAnsi="Times New Roman"/>
        </w:rPr>
        <w:t> </w:t>
      </w:r>
      <w:r w:rsidRPr="00635770">
        <w:rPr>
          <w:rFonts w:ascii="Times New Roman" w:eastAsia="Calibri" w:hAnsi="Times New Roman"/>
        </w:rPr>
        <w:t>re</w:t>
      </w:r>
      <w:r w:rsidRPr="00635770">
        <w:rPr>
          <w:rFonts w:ascii="Times New Roman" w:eastAsia="Calibri" w:hAnsi="Times New Roman"/>
        </w:rPr>
        <w:noBreakHyphen/>
        <w:t xml:space="preserve">enactment of s 17 – with a higher maximum – </w:t>
      </w:r>
      <w:proofErr w:type="gramStart"/>
      <w:r w:rsidRPr="00635770">
        <w:rPr>
          <w:rFonts w:ascii="Times New Roman" w:eastAsia="Calibri" w:hAnsi="Times New Roman"/>
        </w:rPr>
        <w:t>on the basis of</w:t>
      </w:r>
      <w:proofErr w:type="gramEnd"/>
      <w:r w:rsidRPr="00635770">
        <w:rPr>
          <w:rFonts w:ascii="Times New Roman" w:eastAsia="Calibri" w:hAnsi="Times New Roman"/>
        </w:rPr>
        <w:t xml:space="preserve"> the interpretation adopted in </w:t>
      </w:r>
      <w:r w:rsidRPr="00635770">
        <w:rPr>
          <w:rFonts w:ascii="Times New Roman" w:eastAsia="Calibri" w:hAnsi="Times New Roman"/>
          <w:i/>
        </w:rPr>
        <w:t>Campbell</w:t>
      </w:r>
      <w:r w:rsidRPr="00635770">
        <w:rPr>
          <w:rFonts w:ascii="Times New Roman" w:eastAsia="Calibri" w:hAnsi="Times New Roman"/>
        </w:rPr>
        <w:t>."</w:t>
      </w:r>
    </w:p>
    <w:p w14:paraId="1B4A9837" w14:textId="77777777" w:rsidR="00D14D89" w:rsidRPr="00635770" w:rsidRDefault="00D14D89" w:rsidP="00635770">
      <w:pPr>
        <w:pStyle w:val="HeadingL2"/>
        <w:spacing w:after="260" w:line="280" w:lineRule="exact"/>
        <w:ind w:right="0"/>
        <w:jc w:val="both"/>
        <w:rPr>
          <w:rFonts w:ascii="Times New Roman" w:eastAsia="Calibri" w:hAnsi="Times New Roman"/>
        </w:rPr>
      </w:pPr>
      <w:r w:rsidRPr="00635770">
        <w:rPr>
          <w:rFonts w:ascii="Times New Roman" w:eastAsia="Calibri" w:hAnsi="Times New Roman"/>
        </w:rPr>
        <w:t>2013 amendments</w:t>
      </w:r>
    </w:p>
    <w:p w14:paraId="17BE4795"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Sixteen years later, the 2013 amendments effected three separate but interrelated changes to the criminal law – two amendments to the </w:t>
      </w:r>
      <w:r w:rsidRPr="00635770">
        <w:rPr>
          <w:rFonts w:ascii="Times New Roman" w:eastAsia="Calibri" w:hAnsi="Times New Roman"/>
          <w:i/>
        </w:rPr>
        <w:t>Crimes Act</w:t>
      </w:r>
      <w:r w:rsidRPr="00635770">
        <w:rPr>
          <w:rFonts w:ascii="Times New Roman" w:eastAsia="Calibri" w:hAnsi="Times New Roman"/>
        </w:rPr>
        <w:t xml:space="preserve"> and an amendment to the </w:t>
      </w:r>
      <w:r w:rsidRPr="00635770">
        <w:rPr>
          <w:rFonts w:ascii="Times New Roman" w:eastAsia="Calibri" w:hAnsi="Times New Roman"/>
          <w:i/>
        </w:rPr>
        <w:t>Sentencing Act</w:t>
      </w:r>
      <w:r w:rsidRPr="00635770">
        <w:rPr>
          <w:rFonts w:ascii="Times New Roman" w:eastAsia="Calibri" w:hAnsi="Times New Roman"/>
        </w:rPr>
        <w:t xml:space="preserve">. For present purposes, it is </w:t>
      </w:r>
      <w:proofErr w:type="gramStart"/>
      <w:r w:rsidRPr="00635770">
        <w:rPr>
          <w:rFonts w:ascii="Times New Roman" w:eastAsia="Calibri" w:hAnsi="Times New Roman"/>
        </w:rPr>
        <w:t>sufficient</w:t>
      </w:r>
      <w:proofErr w:type="gramEnd"/>
      <w:r w:rsidRPr="00635770">
        <w:rPr>
          <w:rFonts w:ascii="Times New Roman" w:eastAsia="Calibri" w:hAnsi="Times New Roman"/>
        </w:rPr>
        <w:t xml:space="preserve"> to focus on the amendments to the </w:t>
      </w:r>
      <w:r w:rsidRPr="00635770">
        <w:rPr>
          <w:rFonts w:ascii="Times New Roman" w:eastAsia="Calibri" w:hAnsi="Times New Roman"/>
          <w:i/>
        </w:rPr>
        <w:t xml:space="preserve">Crimes Act </w:t>
      </w:r>
      <w:r w:rsidRPr="00635770">
        <w:rPr>
          <w:rFonts w:ascii="Times New Roman" w:eastAsia="Calibri" w:hAnsi="Times New Roman"/>
        </w:rPr>
        <w:t xml:space="preserve">– which, again, can only be "understood on the basis that the legislature was aware of, and accepted, the </w:t>
      </w:r>
      <w:r w:rsidRPr="00635770">
        <w:rPr>
          <w:rFonts w:ascii="Times New Roman" w:eastAsia="Calibri" w:hAnsi="Times New Roman"/>
          <w:i/>
        </w:rPr>
        <w:t>Campbell</w:t>
      </w:r>
      <w:r w:rsidRPr="00635770">
        <w:rPr>
          <w:rFonts w:ascii="Times New Roman" w:eastAsia="Calibri" w:hAnsi="Times New Roman"/>
        </w:rPr>
        <w:t xml:space="preserve"> interpretation"</w:t>
      </w:r>
      <w:r w:rsidRPr="00635770">
        <w:rPr>
          <w:rStyle w:val="FootnoteReference"/>
          <w:rFonts w:ascii="Times New Roman" w:eastAsia="Calibri" w:hAnsi="Times New Roman"/>
          <w:sz w:val="24"/>
        </w:rPr>
        <w:footnoteReference w:id="82"/>
      </w:r>
      <w:r w:rsidRPr="00635770">
        <w:rPr>
          <w:rFonts w:ascii="Times New Roman" w:eastAsia="Calibri" w:hAnsi="Times New Roman"/>
        </w:rPr>
        <w:t>.</w:t>
      </w:r>
    </w:p>
    <w:p w14:paraId="79CCCB2F"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First, the definitions of "injury" and "serious injury" applicable to all relevant non-fatal offences, including s 17 of the </w:t>
      </w:r>
      <w:r w:rsidRPr="00635770">
        <w:rPr>
          <w:rFonts w:ascii="Times New Roman" w:eastAsia="Calibri" w:hAnsi="Times New Roman"/>
          <w:i/>
        </w:rPr>
        <w:t>Crimes Act</w:t>
      </w:r>
      <w:r w:rsidRPr="00635770">
        <w:rPr>
          <w:rFonts w:ascii="Times New Roman" w:eastAsia="Calibri" w:hAnsi="Times New Roman"/>
        </w:rPr>
        <w:t>, were revised</w:t>
      </w:r>
      <w:r w:rsidRPr="00635770">
        <w:rPr>
          <w:rStyle w:val="FootnoteReference"/>
          <w:rFonts w:ascii="Times New Roman" w:eastAsia="Calibri" w:hAnsi="Times New Roman"/>
          <w:sz w:val="24"/>
        </w:rPr>
        <w:footnoteReference w:id="83"/>
      </w:r>
      <w:r w:rsidRPr="00635770">
        <w:rPr>
          <w:rFonts w:ascii="Times New Roman" w:eastAsia="Calibri" w:hAnsi="Times New Roman"/>
        </w:rPr>
        <w:t>. This</w:t>
      </w:r>
      <w:r>
        <w:rPr>
          <w:rFonts w:ascii="Times New Roman" w:eastAsia="Calibri" w:hAnsi="Times New Roman"/>
        </w:rPr>
        <w:t> </w:t>
      </w:r>
      <w:r w:rsidRPr="00635770">
        <w:rPr>
          <w:rFonts w:ascii="Times New Roman" w:eastAsia="Calibri" w:hAnsi="Times New Roman"/>
        </w:rPr>
        <w:t>amendment was "derive[d] from work on possible reforms to fatal and non</w:t>
      </w:r>
      <w:r>
        <w:rPr>
          <w:rFonts w:ascii="Times New Roman" w:eastAsia="Calibri" w:hAnsi="Times New Roman"/>
        </w:rPr>
        <w:noBreakHyphen/>
      </w:r>
      <w:r w:rsidRPr="00635770">
        <w:rPr>
          <w:rFonts w:ascii="Times New Roman" w:eastAsia="Calibri" w:hAnsi="Times New Roman"/>
        </w:rPr>
        <w:t>fatal offences that the Department of Justice [had] been undertaking for some time"</w:t>
      </w:r>
      <w:r w:rsidRPr="00635770">
        <w:rPr>
          <w:rStyle w:val="FootnoteReference"/>
          <w:rFonts w:ascii="Times New Roman" w:eastAsia="Calibri" w:hAnsi="Times New Roman"/>
          <w:sz w:val="24"/>
        </w:rPr>
        <w:footnoteReference w:id="84"/>
      </w:r>
      <w:r w:rsidRPr="00635770">
        <w:rPr>
          <w:rFonts w:ascii="Times New Roman" w:eastAsia="Calibri" w:hAnsi="Times New Roman"/>
        </w:rPr>
        <w:t xml:space="preserve">. In the second reading speech, the Attorney-General explained that the amendments were necessary because of the then existing "very low threshold for offences involving serious injury", which had meant that cases which should have been charged as causing injury and heard and determined in the Magistrates' Court of Victoria were instead charged as causing serious injury and heard in the </w:t>
      </w:r>
      <w:r w:rsidRPr="00635770">
        <w:rPr>
          <w:rFonts w:ascii="Times New Roman" w:eastAsia="Calibri" w:hAnsi="Times New Roman"/>
        </w:rPr>
        <w:lastRenderedPageBreak/>
        <w:t>County</w:t>
      </w:r>
      <w:r>
        <w:rPr>
          <w:rFonts w:ascii="Times New Roman" w:eastAsia="Calibri" w:hAnsi="Times New Roman"/>
        </w:rPr>
        <w:t> </w:t>
      </w:r>
      <w:r w:rsidRPr="00635770">
        <w:rPr>
          <w:rFonts w:ascii="Times New Roman" w:eastAsia="Calibri" w:hAnsi="Times New Roman"/>
        </w:rPr>
        <w:t>Court</w:t>
      </w:r>
      <w:r w:rsidRPr="00635770">
        <w:rPr>
          <w:rStyle w:val="FootnoteReference"/>
          <w:rFonts w:ascii="Times New Roman" w:eastAsia="Calibri" w:hAnsi="Times New Roman"/>
          <w:sz w:val="24"/>
        </w:rPr>
        <w:footnoteReference w:id="85"/>
      </w:r>
      <w:r w:rsidRPr="00635770">
        <w:rPr>
          <w:rFonts w:ascii="Times New Roman" w:eastAsia="Calibri" w:hAnsi="Times New Roman"/>
        </w:rPr>
        <w:t>. The new and "higher threshold for serious injury" was to "make it easier for prosecutors to determine the appropriate offence to charge"</w:t>
      </w:r>
      <w:r w:rsidRPr="00635770">
        <w:rPr>
          <w:rStyle w:val="FootnoteReference"/>
          <w:rFonts w:ascii="Times New Roman" w:eastAsia="Calibri" w:hAnsi="Times New Roman"/>
          <w:sz w:val="24"/>
        </w:rPr>
        <w:footnoteReference w:id="86"/>
      </w:r>
      <w:r w:rsidRPr="00635770">
        <w:rPr>
          <w:rFonts w:ascii="Times New Roman" w:eastAsia="Calibri" w:hAnsi="Times New Roman"/>
        </w:rPr>
        <w:t xml:space="preserve">. </w:t>
      </w:r>
    </w:p>
    <w:p w14:paraId="409BC2C9"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Second, the 2013 amendments inserted new "gross violence" offences – ss 15A and 15B of the </w:t>
      </w:r>
      <w:r w:rsidRPr="00635770">
        <w:rPr>
          <w:rFonts w:ascii="Times New Roman" w:eastAsia="Calibri" w:hAnsi="Times New Roman"/>
          <w:i/>
        </w:rPr>
        <w:t>Crimes Act</w:t>
      </w:r>
      <w:r w:rsidRPr="00635770">
        <w:rPr>
          <w:rStyle w:val="FootnoteReference"/>
          <w:rFonts w:ascii="Times New Roman" w:eastAsia="Calibri" w:hAnsi="Times New Roman"/>
          <w:sz w:val="24"/>
        </w:rPr>
        <w:footnoteReference w:id="87"/>
      </w:r>
      <w:r w:rsidRPr="00635770">
        <w:rPr>
          <w:rFonts w:ascii="Times New Roman" w:eastAsia="Calibri" w:hAnsi="Times New Roman"/>
        </w:rPr>
        <w:t>. The insertion of these new aggravated forms of the existing causing serious injury offences (ss 16 and 17 respectively) was</w:t>
      </w:r>
      <w:r>
        <w:rPr>
          <w:rFonts w:ascii="Times New Roman" w:eastAsia="Calibri" w:hAnsi="Times New Roman"/>
        </w:rPr>
        <w:t> </w:t>
      </w:r>
      <w:r w:rsidRPr="00635770">
        <w:rPr>
          <w:rFonts w:ascii="Times New Roman" w:eastAsia="Calibri" w:hAnsi="Times New Roman"/>
        </w:rPr>
        <w:t>significant. As the Explanatory</w:t>
      </w:r>
      <w:r w:rsidRPr="00635770" w:rsidDel="00AF32EB">
        <w:rPr>
          <w:rFonts w:ascii="Times New Roman" w:eastAsia="Calibri" w:hAnsi="Times New Roman"/>
        </w:rPr>
        <w:t xml:space="preserve"> </w:t>
      </w:r>
      <w:r w:rsidRPr="00635770">
        <w:rPr>
          <w:rFonts w:ascii="Times New Roman" w:eastAsia="Calibri" w:hAnsi="Times New Roman"/>
        </w:rPr>
        <w:t>Memorandum to the amending Bill said</w:t>
      </w:r>
      <w:r w:rsidRPr="00635770">
        <w:rPr>
          <w:rStyle w:val="FootnoteReference"/>
          <w:rFonts w:ascii="Times New Roman" w:eastAsia="Calibri" w:hAnsi="Times New Roman"/>
          <w:sz w:val="24"/>
        </w:rPr>
        <w:footnoteReference w:id="88"/>
      </w:r>
      <w:r w:rsidRPr="00635770">
        <w:rPr>
          <w:rFonts w:ascii="Times New Roman" w:eastAsia="Calibri" w:hAnsi="Times New Roman"/>
        </w:rPr>
        <w:t>:</w:t>
      </w:r>
    </w:p>
    <w:p w14:paraId="328C6479" w14:textId="77777777" w:rsidR="00D14D89" w:rsidRPr="00635770" w:rsidRDefault="00D14D89" w:rsidP="00635770">
      <w:pPr>
        <w:pStyle w:val="leftright"/>
        <w:spacing w:before="0" w:after="260" w:line="280" w:lineRule="exact"/>
        <w:ind w:right="0"/>
        <w:jc w:val="both"/>
        <w:rPr>
          <w:rFonts w:ascii="Times New Roman" w:eastAsia="Calibri" w:hAnsi="Times New Roman"/>
        </w:rPr>
      </w:pPr>
      <w:r w:rsidRPr="00635770">
        <w:rPr>
          <w:rFonts w:ascii="Times New Roman" w:eastAsia="Calibri" w:hAnsi="Times New Roman"/>
        </w:rPr>
        <w:t xml:space="preserve">"New section 15B introduces the new offence of causing serious injury recklessly in circumstances of gross violence, without lawful excuse. The maximum penalty for the offence is level 4 imprisonment (15 years maximum). </w:t>
      </w:r>
      <w:r w:rsidRPr="00635770">
        <w:rPr>
          <w:rFonts w:ascii="Times New Roman" w:eastAsia="Calibri" w:hAnsi="Times New Roman"/>
          <w:i/>
        </w:rPr>
        <w:t>The new offence has the same maximum penalty as the offence of causing serious injury recklessly</w:t>
      </w:r>
      <w:r w:rsidRPr="00635770">
        <w:rPr>
          <w:rFonts w:ascii="Times New Roman" w:eastAsia="Calibri" w:hAnsi="Times New Roman"/>
        </w:rPr>
        <w:t xml:space="preserve"> (section 17 of the </w:t>
      </w:r>
      <w:r w:rsidRPr="00635770">
        <w:rPr>
          <w:rFonts w:ascii="Times New Roman" w:eastAsia="Calibri" w:hAnsi="Times New Roman"/>
          <w:b/>
        </w:rPr>
        <w:t>Crimes Act 1958</w:t>
      </w:r>
      <w:r w:rsidRPr="00635770">
        <w:rPr>
          <w:rFonts w:ascii="Times New Roman" w:eastAsia="Calibri" w:hAnsi="Times New Roman"/>
        </w:rPr>
        <w:t xml:space="preserve">). </w:t>
      </w:r>
    </w:p>
    <w:p w14:paraId="4EF74C6C" w14:textId="77777777" w:rsidR="00D14D89" w:rsidRPr="00635770" w:rsidRDefault="00D14D89" w:rsidP="00635770">
      <w:pPr>
        <w:pStyle w:val="leftright"/>
        <w:spacing w:before="0" w:after="260" w:line="280" w:lineRule="exact"/>
        <w:ind w:right="0"/>
        <w:jc w:val="both"/>
        <w:rPr>
          <w:rFonts w:ascii="Times New Roman" w:eastAsia="Calibri" w:hAnsi="Times New Roman"/>
        </w:rPr>
      </w:pPr>
      <w:r w:rsidRPr="00635770">
        <w:rPr>
          <w:rFonts w:ascii="Times New Roman" w:eastAsia="Calibri" w:hAnsi="Times New Roman"/>
          <w:i/>
        </w:rPr>
        <w:t xml:space="preserve">The new gross violence offences are intended to be a subset of the serious injury offences category </w:t>
      </w:r>
      <w:r w:rsidRPr="00635770">
        <w:rPr>
          <w:rFonts w:ascii="Times New Roman" w:eastAsia="Calibri" w:hAnsi="Times New Roman"/>
        </w:rPr>
        <w:t xml:space="preserve">under Subdivision (4) of Division 1 of Part I of the </w:t>
      </w:r>
      <w:r w:rsidRPr="00635770">
        <w:rPr>
          <w:rFonts w:ascii="Times New Roman" w:eastAsia="Calibri" w:hAnsi="Times New Roman"/>
          <w:b/>
        </w:rPr>
        <w:t>Crimes Act 1958</w:t>
      </w:r>
      <w:r w:rsidRPr="00635770">
        <w:rPr>
          <w:rFonts w:ascii="Times New Roman" w:eastAsia="Calibri" w:hAnsi="Times New Roman"/>
        </w:rPr>
        <w:t>. The new offences identify circumstances of offending that involve a particularly high level of harm and culpability. Adult</w:t>
      </w:r>
      <w:r>
        <w:rPr>
          <w:rFonts w:ascii="Times New Roman" w:eastAsia="Calibri" w:hAnsi="Times New Roman"/>
        </w:rPr>
        <w:t> </w:t>
      </w:r>
      <w:r w:rsidRPr="00635770">
        <w:rPr>
          <w:rFonts w:ascii="Times New Roman" w:eastAsia="Calibri" w:hAnsi="Times New Roman"/>
        </w:rPr>
        <w:t>offenders who are found guilty of one of the new gross violence offences are liable to be sentenced to a statutory minimum sentence of a term of imprisonment with a non-parole period of at least four years.</w:t>
      </w:r>
    </w:p>
    <w:p w14:paraId="003BBC9B" w14:textId="77777777" w:rsidR="00D14D89" w:rsidRDefault="00D14D89" w:rsidP="00635770">
      <w:pPr>
        <w:pStyle w:val="leftright"/>
        <w:spacing w:before="0" w:after="260" w:line="280" w:lineRule="exact"/>
        <w:ind w:right="0"/>
        <w:jc w:val="both"/>
        <w:rPr>
          <w:rFonts w:ascii="Times New Roman" w:eastAsia="Calibri" w:hAnsi="Times New Roman"/>
        </w:rPr>
      </w:pPr>
      <w:r w:rsidRPr="00635770">
        <w:rPr>
          <w:rFonts w:ascii="Times New Roman" w:eastAsia="Calibri" w:hAnsi="Times New Roman"/>
          <w:i/>
        </w:rPr>
        <w:t>There may be serious injury cases that involve a high level of harm and culpability but do not occur in the prescribed circumstances of gross violence. These cases will continue to be dealt with under the existing causing serious injury offences</w:t>
      </w:r>
      <w:r w:rsidRPr="00635770">
        <w:rPr>
          <w:rFonts w:ascii="Times New Roman" w:eastAsia="Calibri" w:hAnsi="Times New Roman"/>
        </w:rPr>
        <w:t>." (emphasis added)</w:t>
      </w:r>
    </w:p>
    <w:p w14:paraId="0EBF32F8"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The elements of the new gross violence offences were intended to, and did, "use the elements of the existing offences of causing serious injury intentionally </w:t>
      </w:r>
      <w:r w:rsidRPr="00635770">
        <w:rPr>
          <w:rFonts w:ascii="Times New Roman" w:eastAsia="Calibri" w:hAnsi="Times New Roman"/>
        </w:rPr>
        <w:lastRenderedPageBreak/>
        <w:t xml:space="preserve">or recklessly under sections 16 and 17 of the </w:t>
      </w:r>
      <w:r w:rsidRPr="00635770">
        <w:rPr>
          <w:rFonts w:ascii="Times New Roman" w:eastAsia="Calibri" w:hAnsi="Times New Roman"/>
          <w:b/>
        </w:rPr>
        <w:t>Crimes Act</w:t>
      </w:r>
      <w:r w:rsidRPr="00635770">
        <w:rPr>
          <w:rFonts w:ascii="Times New Roman" w:eastAsia="Calibri" w:hAnsi="Times New Roman"/>
        </w:rPr>
        <w:t>"</w:t>
      </w:r>
      <w:r w:rsidRPr="00635770">
        <w:rPr>
          <w:rStyle w:val="FootnoteReference"/>
          <w:rFonts w:ascii="Times New Roman" w:eastAsia="Calibri" w:hAnsi="Times New Roman"/>
          <w:sz w:val="24"/>
        </w:rPr>
        <w:footnoteReference w:id="89"/>
      </w:r>
      <w:r w:rsidRPr="00635770">
        <w:rPr>
          <w:rFonts w:ascii="Times New Roman" w:eastAsia="Calibri" w:hAnsi="Times New Roman"/>
        </w:rPr>
        <w:t>, which (for s 17, at</w:t>
      </w:r>
      <w:r>
        <w:rPr>
          <w:rFonts w:ascii="Times New Roman" w:eastAsia="Calibri" w:hAnsi="Times New Roman"/>
        </w:rPr>
        <w:t> </w:t>
      </w:r>
      <w:r w:rsidRPr="00635770">
        <w:rPr>
          <w:rFonts w:ascii="Times New Roman" w:eastAsia="Calibri" w:hAnsi="Times New Roman"/>
        </w:rPr>
        <w:t>least) included the element of recklessness. In the second reading speech, the</w:t>
      </w:r>
      <w:r>
        <w:rPr>
          <w:rFonts w:ascii="Times New Roman" w:eastAsia="Calibri" w:hAnsi="Times New Roman"/>
        </w:rPr>
        <w:t> </w:t>
      </w:r>
      <w:r w:rsidRPr="00635770">
        <w:rPr>
          <w:rFonts w:ascii="Times New Roman" w:eastAsia="Calibri" w:hAnsi="Times New Roman"/>
        </w:rPr>
        <w:t xml:space="preserve">Attorney-General reinforced that "[t]he </w:t>
      </w:r>
      <w:proofErr w:type="spellStart"/>
      <w:r w:rsidRPr="00635770">
        <w:rPr>
          <w:rFonts w:ascii="Times New Roman" w:eastAsia="Calibri" w:hAnsi="Times New Roman"/>
        </w:rPr>
        <w:t>new</w:t>
      </w:r>
      <w:proofErr w:type="spellEnd"/>
      <w:r w:rsidRPr="00635770">
        <w:rPr>
          <w:rFonts w:ascii="Times New Roman" w:eastAsia="Calibri" w:hAnsi="Times New Roman"/>
        </w:rPr>
        <w:t xml:space="preserve"> gross violence offences [were] intended to capture a subset of the serious injury offences cases, namely those that involve a particularly high level of harm and culpability" and, not insignificantly, that "</w:t>
      </w:r>
      <w:r w:rsidRPr="00635770">
        <w:rPr>
          <w:rFonts w:ascii="Times New Roman" w:eastAsia="Calibri" w:hAnsi="Times New Roman"/>
          <w:i/>
        </w:rPr>
        <w:t>[</w:t>
      </w:r>
      <w:proofErr w:type="spellStart"/>
      <w:r w:rsidRPr="00635770">
        <w:rPr>
          <w:rFonts w:ascii="Times New Roman" w:eastAsia="Calibri" w:hAnsi="Times New Roman"/>
          <w:i/>
        </w:rPr>
        <w:t>i</w:t>
      </w:r>
      <w:proofErr w:type="spellEnd"/>
      <w:r w:rsidRPr="00635770">
        <w:rPr>
          <w:rFonts w:ascii="Times New Roman" w:eastAsia="Calibri" w:hAnsi="Times New Roman"/>
          <w:i/>
        </w:rPr>
        <w:t>]n addition to the usual elements of causing serious injury offences</w:t>
      </w:r>
      <w:r w:rsidRPr="00635770">
        <w:rPr>
          <w:rFonts w:ascii="Times New Roman" w:eastAsia="Calibri" w:hAnsi="Times New Roman"/>
        </w:rPr>
        <w:t>, the</w:t>
      </w:r>
      <w:r>
        <w:rPr>
          <w:rFonts w:ascii="Times New Roman" w:eastAsia="Calibri" w:hAnsi="Times New Roman"/>
        </w:rPr>
        <w:t> </w:t>
      </w:r>
      <w:r w:rsidRPr="00635770">
        <w:rPr>
          <w:rFonts w:ascii="Times New Roman" w:eastAsia="Calibri" w:hAnsi="Times New Roman"/>
        </w:rPr>
        <w:t>prosecution must prove that the offence occurred in one of the listed circumstances of gross violence"</w:t>
      </w:r>
      <w:r w:rsidRPr="00635770">
        <w:rPr>
          <w:rStyle w:val="FootnoteReference"/>
          <w:rFonts w:ascii="Times New Roman" w:eastAsia="Calibri" w:hAnsi="Times New Roman"/>
          <w:sz w:val="24"/>
        </w:rPr>
        <w:footnoteReference w:id="90"/>
      </w:r>
      <w:r w:rsidRPr="00635770">
        <w:rPr>
          <w:rFonts w:ascii="Times New Roman" w:eastAsia="Calibri" w:hAnsi="Times New Roman"/>
        </w:rPr>
        <w:t xml:space="preserve"> (emphasis added). </w:t>
      </w:r>
    </w:p>
    <w:p w14:paraId="58131176"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In introducing these reforms, the government stated that it had sought advice from, and "carefully considered" a report of, the Sentencing Advisory Council ("the SAC")</w:t>
      </w:r>
      <w:r w:rsidRPr="00635770">
        <w:rPr>
          <w:rStyle w:val="FootnoteReference"/>
          <w:rFonts w:ascii="Times New Roman" w:eastAsia="Calibri" w:hAnsi="Times New Roman"/>
          <w:sz w:val="24"/>
        </w:rPr>
        <w:footnoteReference w:id="91"/>
      </w:r>
      <w:r w:rsidRPr="00635770">
        <w:rPr>
          <w:rFonts w:ascii="Times New Roman" w:eastAsia="Calibri" w:hAnsi="Times New Roman"/>
        </w:rPr>
        <w:t>. The SAC report was prepared in consultation "with a wide variety of criminal justice, governmental and non-governmental stakeholders" and</w:t>
      </w:r>
      <w:r>
        <w:rPr>
          <w:rFonts w:ascii="Times New Roman" w:eastAsia="Calibri" w:hAnsi="Times New Roman"/>
        </w:rPr>
        <w:t> </w:t>
      </w:r>
      <w:r w:rsidRPr="00635770">
        <w:rPr>
          <w:rFonts w:ascii="Times New Roman" w:eastAsia="Calibri" w:hAnsi="Times New Roman"/>
        </w:rPr>
        <w:t>with the benefit of extensive submissions</w:t>
      </w:r>
      <w:r w:rsidRPr="00635770">
        <w:rPr>
          <w:rStyle w:val="FootnoteReference"/>
          <w:rFonts w:ascii="Times New Roman" w:eastAsia="Calibri" w:hAnsi="Times New Roman"/>
          <w:sz w:val="24"/>
        </w:rPr>
        <w:footnoteReference w:id="92"/>
      </w:r>
      <w:r w:rsidRPr="00635770">
        <w:rPr>
          <w:rFonts w:ascii="Times New Roman" w:eastAsia="Calibri" w:hAnsi="Times New Roman"/>
        </w:rPr>
        <w:t>. The government adopted many of the SAC's recommendations</w:t>
      </w:r>
      <w:r w:rsidRPr="00635770">
        <w:rPr>
          <w:rStyle w:val="FootnoteReference"/>
          <w:rFonts w:ascii="Times New Roman" w:eastAsia="Calibri" w:hAnsi="Times New Roman"/>
          <w:sz w:val="24"/>
        </w:rPr>
        <w:footnoteReference w:id="93"/>
      </w:r>
      <w:r w:rsidRPr="00635770">
        <w:rPr>
          <w:rFonts w:ascii="Times New Roman" w:eastAsia="Calibri" w:hAnsi="Times New Roman"/>
        </w:rPr>
        <w:t xml:space="preserve">. The elements of the existing offences were addressed in the SAC report and, in relation to s 17 of the </w:t>
      </w:r>
      <w:r w:rsidRPr="00635770">
        <w:rPr>
          <w:rFonts w:ascii="Times New Roman" w:eastAsia="Calibri" w:hAnsi="Times New Roman"/>
          <w:i/>
        </w:rPr>
        <w:t>Crimes Act</w:t>
      </w:r>
      <w:r w:rsidRPr="00635770">
        <w:rPr>
          <w:rFonts w:ascii="Times New Roman" w:eastAsia="Calibri" w:hAnsi="Times New Roman"/>
        </w:rPr>
        <w:t>, it said</w:t>
      </w:r>
      <w:r w:rsidRPr="00635770">
        <w:rPr>
          <w:rStyle w:val="FootnoteReference"/>
          <w:rFonts w:ascii="Times New Roman" w:eastAsia="Calibri" w:hAnsi="Times New Roman"/>
          <w:sz w:val="24"/>
        </w:rPr>
        <w:footnoteReference w:id="94"/>
      </w:r>
      <w:r w:rsidRPr="00635770">
        <w:rPr>
          <w:rFonts w:ascii="Times New Roman" w:eastAsia="Calibri" w:hAnsi="Times New Roman"/>
        </w:rPr>
        <w:t xml:space="preserve">: </w:t>
      </w:r>
    </w:p>
    <w:p w14:paraId="6E91BB01" w14:textId="77777777" w:rsidR="00D14D89" w:rsidRDefault="00D14D89" w:rsidP="00635770">
      <w:pPr>
        <w:pStyle w:val="leftright"/>
        <w:spacing w:before="0" w:after="260" w:line="280" w:lineRule="exact"/>
        <w:ind w:right="0"/>
        <w:jc w:val="both"/>
        <w:rPr>
          <w:rFonts w:ascii="Times New Roman" w:eastAsia="Calibri" w:hAnsi="Times New Roman"/>
        </w:rPr>
      </w:pPr>
      <w:r w:rsidRPr="00635770">
        <w:rPr>
          <w:rFonts w:ascii="Times New Roman" w:eastAsia="Calibri" w:hAnsi="Times New Roman"/>
        </w:rPr>
        <w:t xml:space="preserve">"The element of 'recklessness' will be satisfied for this offence if the prosecution proves beyond reasonable doubt that the accused foresaw that his or her actions would probably cause serious injury and that he or she </w:t>
      </w:r>
      <w:r w:rsidRPr="00635770">
        <w:rPr>
          <w:rFonts w:ascii="Times New Roman" w:eastAsia="Calibri" w:hAnsi="Times New Roman"/>
        </w:rPr>
        <w:lastRenderedPageBreak/>
        <w:t>was indifferent as to whether or not serious injury would actually result</w:t>
      </w:r>
      <w:r w:rsidRPr="00635770" w:rsidDel="00B05DC2">
        <w:rPr>
          <w:rFonts w:ascii="Times New Roman" w:eastAsia="Calibri" w:hAnsi="Times New Roman"/>
        </w:rPr>
        <w:t xml:space="preserve"> </w:t>
      </w:r>
      <w:r w:rsidRPr="00635770">
        <w:rPr>
          <w:rFonts w:ascii="Times New Roman" w:eastAsia="Calibri" w:hAnsi="Times New Roman"/>
        </w:rPr>
        <w:t>[</w:t>
      </w:r>
      <w:r w:rsidRPr="00635770">
        <w:rPr>
          <w:rFonts w:ascii="Times New Roman" w:eastAsia="Calibri" w:hAnsi="Times New Roman"/>
          <w:i/>
        </w:rPr>
        <w:t>R</w:t>
      </w:r>
      <w:r>
        <w:rPr>
          <w:rFonts w:ascii="Times New Roman" w:eastAsia="Calibri" w:hAnsi="Times New Roman"/>
          <w:i/>
        </w:rPr>
        <w:t> </w:t>
      </w:r>
      <w:r w:rsidRPr="00635770">
        <w:rPr>
          <w:rFonts w:ascii="Times New Roman" w:eastAsia="Calibri" w:hAnsi="Times New Roman"/>
          <w:i/>
        </w:rPr>
        <w:t>v</w:t>
      </w:r>
      <w:r>
        <w:rPr>
          <w:rFonts w:ascii="Times New Roman" w:eastAsia="Calibri" w:hAnsi="Times New Roman"/>
          <w:i/>
        </w:rPr>
        <w:t> </w:t>
      </w:r>
      <w:r w:rsidRPr="00635770" w:rsidDel="001A3A3D">
        <w:rPr>
          <w:rFonts w:ascii="Times New Roman" w:eastAsia="Calibri" w:hAnsi="Times New Roman"/>
          <w:i/>
        </w:rPr>
        <w:t>Nuri</w:t>
      </w:r>
      <w:r w:rsidRPr="00635770" w:rsidDel="001A3A3D">
        <w:rPr>
          <w:rFonts w:ascii="Times New Roman" w:eastAsia="Calibri" w:hAnsi="Times New Roman"/>
        </w:rPr>
        <w:t xml:space="preserve"> [1990] VR 641 </w:t>
      </w:r>
      <w:r w:rsidRPr="00635770">
        <w:rPr>
          <w:rFonts w:ascii="Times New Roman" w:eastAsia="Calibri" w:hAnsi="Times New Roman"/>
        </w:rPr>
        <w:t xml:space="preserve">at </w:t>
      </w:r>
      <w:r w:rsidRPr="00635770" w:rsidDel="001A3A3D">
        <w:rPr>
          <w:rFonts w:ascii="Times New Roman" w:eastAsia="Calibri" w:hAnsi="Times New Roman"/>
        </w:rPr>
        <w:t>643]</w:t>
      </w:r>
      <w:r w:rsidRPr="00635770">
        <w:rPr>
          <w:rFonts w:ascii="Times New Roman" w:eastAsia="Calibri" w:hAnsi="Times New Roman"/>
        </w:rPr>
        <w:t>."</w:t>
      </w:r>
    </w:p>
    <w:p w14:paraId="67C0114B"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As has been observed, the 2013 amendments could only be understood on the basis that the legislature was aware of, and accepted, the </w:t>
      </w:r>
      <w:r w:rsidRPr="00635770">
        <w:rPr>
          <w:rFonts w:ascii="Times New Roman" w:eastAsia="Calibri" w:hAnsi="Times New Roman"/>
          <w:i/>
        </w:rPr>
        <w:t xml:space="preserve">Nuri </w:t>
      </w:r>
      <w:r w:rsidRPr="00635770">
        <w:rPr>
          <w:rFonts w:ascii="Times New Roman" w:eastAsia="Calibri" w:hAnsi="Times New Roman"/>
        </w:rPr>
        <w:t xml:space="preserve">(and thus the </w:t>
      </w:r>
      <w:r w:rsidRPr="00635770">
        <w:rPr>
          <w:rFonts w:ascii="Times New Roman" w:eastAsia="Calibri" w:hAnsi="Times New Roman"/>
          <w:i/>
        </w:rPr>
        <w:t>Campbell</w:t>
      </w:r>
      <w:r w:rsidRPr="00635770">
        <w:rPr>
          <w:rFonts w:ascii="Times New Roman" w:eastAsia="Calibri" w:hAnsi="Times New Roman"/>
        </w:rPr>
        <w:t>)</w:t>
      </w:r>
      <w:r w:rsidRPr="00635770">
        <w:rPr>
          <w:rFonts w:ascii="Times New Roman" w:eastAsia="Calibri" w:hAnsi="Times New Roman"/>
          <w:i/>
        </w:rPr>
        <w:t xml:space="preserve"> </w:t>
      </w:r>
      <w:r w:rsidRPr="00635770">
        <w:rPr>
          <w:rFonts w:ascii="Times New Roman" w:eastAsia="Calibri" w:hAnsi="Times New Roman"/>
        </w:rPr>
        <w:t>interpretation for the mental element of recklessness. The extrinsic materials expressly state that to be so</w:t>
      </w:r>
      <w:r w:rsidRPr="00635770">
        <w:rPr>
          <w:rStyle w:val="FootnoteReference"/>
          <w:rFonts w:ascii="Times New Roman" w:eastAsia="Calibri" w:hAnsi="Times New Roman"/>
          <w:sz w:val="24"/>
        </w:rPr>
        <w:footnoteReference w:id="95"/>
      </w:r>
      <w:r w:rsidRPr="00635770">
        <w:rPr>
          <w:rFonts w:ascii="Times New Roman" w:eastAsia="Calibri" w:hAnsi="Times New Roman"/>
        </w:rPr>
        <w:t xml:space="preserve">. </w:t>
      </w:r>
      <w:r w:rsidRPr="00635770">
        <w:rPr>
          <w:rFonts w:ascii="Times New Roman" w:hAnsi="Times New Roman"/>
        </w:rPr>
        <w:t>A word or phrase, such as "recklessness", is presumed to have the same meaning at least when it is used in cognate or related provisions of an Act</w:t>
      </w:r>
      <w:r w:rsidRPr="00635770">
        <w:rPr>
          <w:rStyle w:val="FootnoteReference"/>
          <w:rFonts w:ascii="Times New Roman" w:hAnsi="Times New Roman"/>
          <w:iCs/>
          <w:sz w:val="24"/>
        </w:rPr>
        <w:footnoteReference w:id="96"/>
      </w:r>
      <w:r w:rsidRPr="00635770">
        <w:rPr>
          <w:rFonts w:ascii="Times New Roman" w:hAnsi="Times New Roman"/>
        </w:rPr>
        <w:t>. That presumption has particular relevance and force where</w:t>
      </w:r>
      <w:r w:rsidRPr="00635770">
        <w:rPr>
          <w:rFonts w:ascii="Times New Roman" w:eastAsia="Calibri" w:hAnsi="Times New Roman"/>
        </w:rPr>
        <w:t>,</w:t>
      </w:r>
      <w:r w:rsidRPr="00635770">
        <w:rPr>
          <w:rFonts w:ascii="Times New Roman" w:eastAsia="Calibri" w:hAnsi="Times New Roman"/>
          <w:i/>
        </w:rPr>
        <w:t xml:space="preserve"> </w:t>
      </w:r>
      <w:r w:rsidRPr="00635770">
        <w:rPr>
          <w:rFonts w:ascii="Times New Roman" w:eastAsia="Calibri" w:hAnsi="Times New Roman"/>
        </w:rPr>
        <w:t>consistent with a recommendation in the SAC report</w:t>
      </w:r>
      <w:r w:rsidRPr="00635770">
        <w:rPr>
          <w:rStyle w:val="FootnoteReference"/>
          <w:rFonts w:ascii="Times New Roman" w:eastAsia="Calibri" w:hAnsi="Times New Roman"/>
          <w:sz w:val="24"/>
        </w:rPr>
        <w:footnoteReference w:id="97"/>
      </w:r>
      <w:r w:rsidRPr="00635770">
        <w:rPr>
          <w:rFonts w:ascii="Times New Roman" w:eastAsia="Calibri" w:hAnsi="Times New Roman"/>
        </w:rPr>
        <w:t xml:space="preserve">, </w:t>
      </w:r>
      <w:r w:rsidRPr="00635770">
        <w:rPr>
          <w:rFonts w:ascii="Times New Roman" w:hAnsi="Times New Roman"/>
        </w:rPr>
        <w:t xml:space="preserve">the new gross violence offence introduced in 2013, s 15B, picked up the existing elements of the s 17 offence, and added </w:t>
      </w:r>
      <w:r w:rsidRPr="00635770">
        <w:rPr>
          <w:rFonts w:ascii="Times New Roman" w:hAnsi="Times New Roman"/>
          <w:i/>
          <w:iCs/>
        </w:rPr>
        <w:t>only</w:t>
      </w:r>
      <w:r w:rsidRPr="00635770">
        <w:rPr>
          <w:rFonts w:ascii="Times New Roman" w:hAnsi="Times New Roman"/>
        </w:rPr>
        <w:t xml:space="preserve"> the gross violence element, so that s 17 was expressly made, and remains, the alternative verdict to s 15B</w:t>
      </w:r>
      <w:r w:rsidRPr="00635770">
        <w:rPr>
          <w:rStyle w:val="FootnoteReference"/>
          <w:rFonts w:ascii="Times New Roman" w:eastAsia="Calibri" w:hAnsi="Times New Roman"/>
          <w:sz w:val="24"/>
        </w:rPr>
        <w:footnoteReference w:id="98"/>
      </w:r>
      <w:r w:rsidRPr="00635770">
        <w:rPr>
          <w:rFonts w:ascii="Times New Roman" w:eastAsia="Calibri" w:hAnsi="Times New Roman"/>
        </w:rPr>
        <w:t>. In addressing the 2013 amendments, Parliament was required to, and did, consider the nature and extent of the culpability and criminality of the existing offences – ss 16 and 17 – in</w:t>
      </w:r>
      <w:r>
        <w:rPr>
          <w:rFonts w:ascii="Times New Roman" w:eastAsia="Calibri" w:hAnsi="Times New Roman"/>
        </w:rPr>
        <w:t> </w:t>
      </w:r>
      <w:r w:rsidRPr="00635770">
        <w:rPr>
          <w:rFonts w:ascii="Times New Roman" w:eastAsia="Calibri" w:hAnsi="Times New Roman"/>
        </w:rPr>
        <w:t xml:space="preserve">creating the more serious offences of gross violence. For s 17 and, therefore, s 15B, the mental element of recklessness was identified and said to be that stated in </w:t>
      </w:r>
      <w:r w:rsidRPr="00635770">
        <w:rPr>
          <w:rFonts w:ascii="Times New Roman" w:eastAsia="Calibri" w:hAnsi="Times New Roman"/>
          <w:i/>
        </w:rPr>
        <w:t>Nuri</w:t>
      </w:r>
      <w:r w:rsidRPr="00635770">
        <w:rPr>
          <w:rFonts w:ascii="Times New Roman" w:eastAsia="Calibri" w:hAnsi="Times New Roman"/>
        </w:rPr>
        <w:t xml:space="preserve"> and then in </w:t>
      </w:r>
      <w:r w:rsidRPr="00635770">
        <w:rPr>
          <w:rFonts w:ascii="Times New Roman" w:eastAsia="Calibri" w:hAnsi="Times New Roman"/>
          <w:i/>
        </w:rPr>
        <w:t>Campbell</w:t>
      </w:r>
      <w:r w:rsidRPr="00635770">
        <w:rPr>
          <w:rFonts w:ascii="Times New Roman" w:eastAsia="Calibri" w:hAnsi="Times New Roman"/>
        </w:rPr>
        <w:t xml:space="preserve">. </w:t>
      </w:r>
    </w:p>
    <w:p w14:paraId="4E6454DE" w14:textId="77777777" w:rsidR="00D14D89" w:rsidRPr="00635770" w:rsidRDefault="00D14D89" w:rsidP="00635770">
      <w:pPr>
        <w:pStyle w:val="HeadingL1"/>
        <w:spacing w:after="260" w:line="280" w:lineRule="exact"/>
        <w:ind w:right="0"/>
        <w:jc w:val="both"/>
        <w:rPr>
          <w:rFonts w:ascii="Times New Roman" w:hAnsi="Times New Roman"/>
        </w:rPr>
      </w:pPr>
      <w:r w:rsidRPr="00635770">
        <w:rPr>
          <w:rFonts w:ascii="Times New Roman" w:hAnsi="Times New Roman"/>
        </w:rPr>
        <w:t>Re</w:t>
      </w:r>
      <w:r w:rsidRPr="00635770">
        <w:rPr>
          <w:rFonts w:ascii="Times New Roman" w:hAnsi="Times New Roman"/>
        </w:rPr>
        <w:noBreakHyphen/>
        <w:t>enactment presumption</w:t>
      </w:r>
    </w:p>
    <w:p w14:paraId="7A18B4B1"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hAnsi="Times New Roman"/>
        </w:rPr>
        <w:tab/>
        <w:t>W</w:t>
      </w:r>
      <w:r w:rsidRPr="00635770">
        <w:rPr>
          <w:rFonts w:ascii="Times New Roman" w:eastAsia="Calibri" w:hAnsi="Times New Roman"/>
        </w:rPr>
        <w:t xml:space="preserve">here Parliament repeats </w:t>
      </w:r>
      <w:proofErr w:type="gramStart"/>
      <w:r w:rsidRPr="00635770">
        <w:rPr>
          <w:rFonts w:ascii="Times New Roman" w:eastAsia="Calibri" w:hAnsi="Times New Roman"/>
        </w:rPr>
        <w:t>words</w:t>
      </w:r>
      <w:proofErr w:type="gramEnd"/>
      <w:r w:rsidRPr="00635770">
        <w:rPr>
          <w:rFonts w:ascii="Times New Roman" w:eastAsia="Calibri" w:hAnsi="Times New Roman"/>
        </w:rPr>
        <w:t xml:space="preserve"> which have been judicially </w:t>
      </w:r>
      <w:r w:rsidRPr="00635770">
        <w:rPr>
          <w:rFonts w:ascii="Times New Roman" w:hAnsi="Times New Roman"/>
        </w:rPr>
        <w:t>construed</w:t>
      </w:r>
      <w:r w:rsidRPr="00635770">
        <w:rPr>
          <w:rFonts w:ascii="Times New Roman" w:eastAsia="Calibri" w:hAnsi="Times New Roman"/>
        </w:rPr>
        <w:t>, it</w:t>
      </w:r>
      <w:r>
        <w:rPr>
          <w:rFonts w:ascii="Times New Roman" w:eastAsia="Calibri" w:hAnsi="Times New Roman"/>
        </w:rPr>
        <w:t> </w:t>
      </w:r>
      <w:r w:rsidRPr="00635770">
        <w:rPr>
          <w:rFonts w:ascii="Times New Roman" w:eastAsia="Calibri" w:hAnsi="Times New Roman"/>
        </w:rPr>
        <w:t>can be taken to have intended the words to bear the meaning already judicially attributed to them</w:t>
      </w:r>
      <w:r w:rsidRPr="00635770">
        <w:rPr>
          <w:rStyle w:val="FootnoteReference"/>
          <w:rFonts w:ascii="Times New Roman" w:eastAsia="Calibri" w:hAnsi="Times New Roman"/>
          <w:sz w:val="24"/>
        </w:rPr>
        <w:footnoteReference w:id="99"/>
      </w:r>
      <w:r w:rsidRPr="00635770">
        <w:rPr>
          <w:rFonts w:ascii="Times New Roman" w:eastAsia="Calibri" w:hAnsi="Times New Roman"/>
        </w:rPr>
        <w:t>. The so</w:t>
      </w:r>
      <w:r w:rsidRPr="00635770">
        <w:rPr>
          <w:rFonts w:ascii="Times New Roman" w:eastAsia="Calibri" w:hAnsi="Times New Roman"/>
        </w:rPr>
        <w:noBreakHyphen/>
        <w:t>called "re</w:t>
      </w:r>
      <w:r w:rsidRPr="00635770">
        <w:rPr>
          <w:rFonts w:ascii="Times New Roman" w:eastAsia="Calibri" w:hAnsi="Times New Roman"/>
        </w:rPr>
        <w:noBreakHyphen/>
        <w:t xml:space="preserve">enactment presumption" has a long </w:t>
      </w:r>
      <w:r w:rsidRPr="00635770">
        <w:rPr>
          <w:rFonts w:ascii="Times New Roman" w:eastAsia="Calibri" w:hAnsi="Times New Roman"/>
        </w:rPr>
        <w:lastRenderedPageBreak/>
        <w:t>history</w:t>
      </w:r>
      <w:r w:rsidRPr="00635770">
        <w:rPr>
          <w:rStyle w:val="FootnoteReference"/>
          <w:rFonts w:ascii="Times New Roman" w:eastAsia="Calibri" w:hAnsi="Times New Roman"/>
          <w:sz w:val="24"/>
        </w:rPr>
        <w:footnoteReference w:id="100"/>
      </w:r>
      <w:r w:rsidRPr="00635770">
        <w:rPr>
          <w:rFonts w:ascii="Times New Roman" w:eastAsia="Calibri" w:hAnsi="Times New Roman"/>
        </w:rPr>
        <w:t>, though its application has become more discerning as "parliamentary</w:t>
      </w:r>
      <w:r>
        <w:rPr>
          <w:rFonts w:ascii="Times New Roman" w:eastAsia="Calibri" w:hAnsi="Times New Roman"/>
        </w:rPr>
        <w:t> </w:t>
      </w:r>
      <w:r w:rsidRPr="00635770">
        <w:rPr>
          <w:rFonts w:ascii="Times New Roman" w:eastAsia="Calibri" w:hAnsi="Times New Roman"/>
        </w:rPr>
        <w:t>processes [have become] more exposed to examination by the courts"</w:t>
      </w:r>
      <w:r w:rsidRPr="00635770">
        <w:rPr>
          <w:rStyle w:val="FootnoteReference"/>
          <w:rFonts w:ascii="Times New Roman" w:eastAsia="Calibri" w:hAnsi="Times New Roman"/>
          <w:sz w:val="24"/>
        </w:rPr>
        <w:footnoteReference w:id="101"/>
      </w:r>
      <w:r w:rsidRPr="00635770">
        <w:rPr>
          <w:rFonts w:ascii="Times New Roman" w:eastAsia="Calibri" w:hAnsi="Times New Roman"/>
        </w:rPr>
        <w:t>. Applied to a consolidating statute enacted in a legislative context in which periodical consolidation is practised, for example, the presumption can be "quite artificial"</w:t>
      </w:r>
      <w:r w:rsidRPr="00635770">
        <w:rPr>
          <w:rStyle w:val="FootnoteReference"/>
          <w:rFonts w:ascii="Times New Roman" w:eastAsia="Calibri" w:hAnsi="Times New Roman"/>
          <w:sz w:val="24"/>
        </w:rPr>
        <w:footnoteReference w:id="102"/>
      </w:r>
      <w:r w:rsidRPr="00635770">
        <w:rPr>
          <w:rFonts w:ascii="Times New Roman" w:eastAsia="Calibri" w:hAnsi="Times New Roman"/>
        </w:rPr>
        <w:t>. In specialised and politically sensitive fields, where legislation is often amended and judicial decisions carefully scrutinised by those responsible for amendments, in contrast the presumption can have "real force"</w:t>
      </w:r>
      <w:r w:rsidRPr="00635770">
        <w:rPr>
          <w:rStyle w:val="FootnoteReference"/>
          <w:rFonts w:ascii="Times New Roman" w:eastAsia="Calibri" w:hAnsi="Times New Roman"/>
          <w:sz w:val="24"/>
        </w:rPr>
        <w:footnoteReference w:id="103"/>
      </w:r>
      <w:r w:rsidRPr="00635770">
        <w:rPr>
          <w:rFonts w:ascii="Times New Roman" w:eastAsia="Calibri" w:hAnsi="Times New Roman"/>
        </w:rPr>
        <w:t>. In such areas, it is "no fiction" to attribute to the designated Minister and Department and, through them, Parliament, knowledge of court decisions dealing with their portfolio</w:t>
      </w:r>
      <w:r w:rsidRPr="00635770">
        <w:rPr>
          <w:rStyle w:val="FootnoteReference"/>
          <w:rFonts w:ascii="Times New Roman" w:eastAsia="Calibri" w:hAnsi="Times New Roman"/>
          <w:sz w:val="24"/>
        </w:rPr>
        <w:footnoteReference w:id="104"/>
      </w:r>
      <w:r w:rsidRPr="00635770">
        <w:rPr>
          <w:rFonts w:ascii="Times New Roman" w:eastAsia="Calibri" w:hAnsi="Times New Roman"/>
        </w:rPr>
        <w:t>. Even outside specialised and politically sensitive fields, the</w:t>
      </w:r>
      <w:r>
        <w:rPr>
          <w:rFonts w:ascii="Times New Roman" w:eastAsia="Calibri" w:hAnsi="Times New Roman"/>
        </w:rPr>
        <w:t> </w:t>
      </w:r>
      <w:r w:rsidRPr="00635770">
        <w:rPr>
          <w:rFonts w:ascii="Times New Roman" w:eastAsia="Calibri" w:hAnsi="Times New Roman"/>
        </w:rPr>
        <w:t xml:space="preserve">presumption may be applicable because the legislative history shows an awareness by Parliament of a </w:t>
      </w:r>
      <w:proofErr w:type="gramStart"/>
      <w:r w:rsidRPr="00635770">
        <w:rPr>
          <w:rFonts w:ascii="Times New Roman" w:eastAsia="Calibri" w:hAnsi="Times New Roman"/>
        </w:rPr>
        <w:t>particular judicial</w:t>
      </w:r>
      <w:proofErr w:type="gramEnd"/>
      <w:r w:rsidRPr="00635770">
        <w:rPr>
          <w:rFonts w:ascii="Times New Roman" w:eastAsia="Calibri" w:hAnsi="Times New Roman"/>
        </w:rPr>
        <w:t xml:space="preserve"> interpretation. That</w:t>
      </w:r>
      <w:r>
        <w:rPr>
          <w:rFonts w:ascii="Times New Roman" w:eastAsia="Calibri" w:hAnsi="Times New Roman"/>
        </w:rPr>
        <w:t> </w:t>
      </w:r>
      <w:r w:rsidRPr="00635770">
        <w:rPr>
          <w:rFonts w:ascii="Times New Roman" w:eastAsia="Calibri" w:hAnsi="Times New Roman"/>
        </w:rPr>
        <w:t>awareness may be indicated by a specific legislative response that "followed</w:t>
      </w:r>
      <w:r>
        <w:rPr>
          <w:rFonts w:ascii="Times New Roman" w:eastAsia="Calibri" w:hAnsi="Times New Roman"/>
        </w:rPr>
        <w:t> </w:t>
      </w:r>
      <w:r w:rsidRPr="00635770">
        <w:rPr>
          <w:rFonts w:ascii="Times New Roman" w:eastAsia="Calibri" w:hAnsi="Times New Roman"/>
        </w:rPr>
        <w:t>upon an expert review of the law and presumably the case law"</w:t>
      </w:r>
      <w:r w:rsidRPr="00635770">
        <w:rPr>
          <w:rStyle w:val="FootnoteReference"/>
          <w:rFonts w:ascii="Times New Roman" w:eastAsia="Calibri" w:hAnsi="Times New Roman"/>
          <w:sz w:val="24"/>
        </w:rPr>
        <w:footnoteReference w:id="105"/>
      </w:r>
      <w:r w:rsidRPr="00635770">
        <w:rPr>
          <w:rFonts w:ascii="Times New Roman" w:eastAsia="Calibri" w:hAnsi="Times New Roman"/>
        </w:rPr>
        <w:t xml:space="preserve"> including reports of law reform commissions</w:t>
      </w:r>
      <w:r w:rsidRPr="00635770">
        <w:rPr>
          <w:rStyle w:val="FootnoteReference"/>
          <w:rFonts w:ascii="Times New Roman" w:eastAsia="Calibri" w:hAnsi="Times New Roman"/>
          <w:sz w:val="24"/>
        </w:rPr>
        <w:footnoteReference w:id="106"/>
      </w:r>
      <w:r w:rsidRPr="00635770">
        <w:rPr>
          <w:rFonts w:ascii="Times New Roman" w:eastAsia="Calibri" w:hAnsi="Times New Roman"/>
        </w:rPr>
        <w:t xml:space="preserve"> and subject</w:t>
      </w:r>
      <w:r w:rsidRPr="00635770">
        <w:rPr>
          <w:rFonts w:ascii="Times New Roman" w:eastAsia="Calibri" w:hAnsi="Times New Roman"/>
        </w:rPr>
        <w:noBreakHyphen/>
        <w:t xml:space="preserve">specific advisory </w:t>
      </w:r>
      <w:r w:rsidRPr="00635770">
        <w:rPr>
          <w:rFonts w:ascii="Times New Roman" w:eastAsia="Calibri" w:hAnsi="Times New Roman"/>
        </w:rPr>
        <w:lastRenderedPageBreak/>
        <w:t>committees</w:t>
      </w:r>
      <w:r w:rsidRPr="00635770">
        <w:rPr>
          <w:rStyle w:val="FootnoteReference"/>
          <w:rFonts w:ascii="Times New Roman" w:eastAsia="Calibri" w:hAnsi="Times New Roman"/>
          <w:sz w:val="24"/>
        </w:rPr>
        <w:footnoteReference w:id="107"/>
      </w:r>
      <w:r w:rsidRPr="00635770">
        <w:rPr>
          <w:rFonts w:ascii="Times New Roman" w:eastAsia="Calibri" w:hAnsi="Times New Roman"/>
        </w:rPr>
        <w:t>. Temporal proximity between a decision and an enactment may also be relevant</w:t>
      </w:r>
      <w:r w:rsidRPr="00635770">
        <w:rPr>
          <w:rStyle w:val="FootnoteReference"/>
          <w:rFonts w:ascii="Times New Roman" w:eastAsia="Calibri" w:hAnsi="Times New Roman"/>
          <w:sz w:val="24"/>
        </w:rPr>
        <w:footnoteReference w:id="108"/>
      </w:r>
      <w:r w:rsidRPr="00635770">
        <w:rPr>
          <w:rFonts w:ascii="Times New Roman" w:eastAsia="Calibri" w:hAnsi="Times New Roman"/>
        </w:rPr>
        <w:t>. Express reference to a particular judicial decision in the parliamentary debates at the time of enactment may assist</w:t>
      </w:r>
      <w:r w:rsidRPr="00635770">
        <w:rPr>
          <w:rStyle w:val="FootnoteReference"/>
          <w:rFonts w:ascii="Times New Roman" w:eastAsia="Calibri" w:hAnsi="Times New Roman"/>
          <w:sz w:val="24"/>
        </w:rPr>
        <w:footnoteReference w:id="109"/>
      </w:r>
      <w:r w:rsidRPr="00635770">
        <w:rPr>
          <w:rFonts w:ascii="Times New Roman" w:eastAsia="Calibri" w:hAnsi="Times New Roman"/>
        </w:rPr>
        <w:t>, although the presumption can apply despite the absence of explicit parliamentary reference to the decision in question</w:t>
      </w:r>
      <w:r w:rsidRPr="00635770">
        <w:rPr>
          <w:rStyle w:val="FootnoteReference"/>
          <w:rFonts w:ascii="Times New Roman" w:eastAsia="Calibri" w:hAnsi="Times New Roman"/>
          <w:sz w:val="24"/>
        </w:rPr>
        <w:footnoteReference w:id="110"/>
      </w:r>
      <w:r w:rsidRPr="00635770">
        <w:rPr>
          <w:rFonts w:ascii="Times New Roman" w:eastAsia="Calibri" w:hAnsi="Times New Roman"/>
        </w:rPr>
        <w:t xml:space="preserve">. </w:t>
      </w:r>
    </w:p>
    <w:p w14:paraId="20D8E7A8"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Inevitably, </w:t>
      </w:r>
      <w:r w:rsidRPr="00635770">
        <w:rPr>
          <w:rFonts w:ascii="Times New Roman" w:hAnsi="Times New Roman"/>
        </w:rPr>
        <w:t>the</w:t>
      </w:r>
      <w:r w:rsidRPr="00635770">
        <w:rPr>
          <w:rFonts w:ascii="Times New Roman" w:eastAsia="Calibri" w:hAnsi="Times New Roman"/>
        </w:rPr>
        <w:t xml:space="preserve"> application of the presumption in any case will turn on its own circumstances having regard to the history of the specific statute under consideration and, in this appeal, that is s 17 of the </w:t>
      </w:r>
      <w:r w:rsidRPr="00635770">
        <w:rPr>
          <w:rFonts w:ascii="Times New Roman" w:eastAsia="Calibri" w:hAnsi="Times New Roman"/>
          <w:i/>
        </w:rPr>
        <w:t>Crimes Act</w:t>
      </w:r>
      <w:r w:rsidRPr="00635770">
        <w:rPr>
          <w:rFonts w:ascii="Times New Roman" w:eastAsia="Calibri" w:hAnsi="Times New Roman"/>
        </w:rPr>
        <w:t xml:space="preserve">. </w:t>
      </w:r>
    </w:p>
    <w:p w14:paraId="3C3BED86" w14:textId="77777777" w:rsidR="00D14D89" w:rsidRPr="00635770" w:rsidRDefault="00D14D89" w:rsidP="00635770">
      <w:pPr>
        <w:pStyle w:val="HeadingL1"/>
        <w:spacing w:after="260" w:line="280" w:lineRule="exact"/>
        <w:ind w:right="0"/>
        <w:jc w:val="both"/>
        <w:rPr>
          <w:rFonts w:ascii="Times New Roman" w:eastAsia="Calibri" w:hAnsi="Times New Roman"/>
          <w:i/>
        </w:rPr>
      </w:pPr>
      <w:r w:rsidRPr="00635770">
        <w:rPr>
          <w:rFonts w:ascii="Times New Roman" w:eastAsia="Calibri" w:hAnsi="Times New Roman"/>
        </w:rPr>
        <w:t>Re</w:t>
      </w:r>
      <w:r w:rsidRPr="00635770">
        <w:rPr>
          <w:rFonts w:ascii="Times New Roman" w:eastAsia="Calibri" w:hAnsi="Times New Roman"/>
        </w:rPr>
        <w:noBreakHyphen/>
        <w:t xml:space="preserve">enactment presumption and s 17 of the </w:t>
      </w:r>
      <w:r w:rsidRPr="00635770">
        <w:rPr>
          <w:rFonts w:ascii="Times New Roman" w:eastAsia="Calibri" w:hAnsi="Times New Roman"/>
          <w:i/>
        </w:rPr>
        <w:t>Crimes Act</w:t>
      </w:r>
    </w:p>
    <w:p w14:paraId="6214112F"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The 1997 and 2013 amendments were significant, substantive and direct. The 1997 amendments increased by 50 per cent the maximum penalty which could be imposed for a contravention of s 17</w:t>
      </w:r>
      <w:r w:rsidRPr="00635770">
        <w:rPr>
          <w:rStyle w:val="FootnoteReference"/>
          <w:rFonts w:ascii="Times New Roman" w:eastAsia="Calibri" w:hAnsi="Times New Roman"/>
          <w:sz w:val="24"/>
        </w:rPr>
        <w:footnoteReference w:id="111"/>
      </w:r>
      <w:r w:rsidRPr="00635770">
        <w:rPr>
          <w:rFonts w:ascii="Times New Roman" w:eastAsia="Calibri" w:hAnsi="Times New Roman"/>
        </w:rPr>
        <w:t>. And, insofar as the 2013 amendments changed the meaning of "serious injury"</w:t>
      </w:r>
      <w:r w:rsidRPr="00635770">
        <w:rPr>
          <w:rStyle w:val="FootnoteReference"/>
          <w:rFonts w:ascii="Times New Roman" w:eastAsia="Calibri" w:hAnsi="Times New Roman"/>
          <w:sz w:val="24"/>
        </w:rPr>
        <w:footnoteReference w:id="112"/>
      </w:r>
      <w:r w:rsidRPr="00635770">
        <w:rPr>
          <w:rFonts w:ascii="Times New Roman" w:eastAsia="Calibri" w:hAnsi="Times New Roman"/>
        </w:rPr>
        <w:t>, that altered the scope of liability created by s 17. Plainly, these amendments were not a "[m]ere amendment of a statute not involving any re-enactment of the words in question" or a "re-enactment of the words in circumstances not involving any reconsideration of their meaning"</w:t>
      </w:r>
      <w:r w:rsidRPr="00635770">
        <w:rPr>
          <w:rStyle w:val="FootnoteReference"/>
          <w:rFonts w:ascii="Times New Roman" w:eastAsia="Calibri" w:hAnsi="Times New Roman"/>
          <w:sz w:val="24"/>
        </w:rPr>
        <w:footnoteReference w:id="113"/>
      </w:r>
      <w:r w:rsidRPr="00635770">
        <w:rPr>
          <w:rFonts w:ascii="Times New Roman" w:eastAsia="Calibri" w:hAnsi="Times New Roman"/>
        </w:rPr>
        <w:t>.</w:t>
      </w:r>
    </w:p>
    <w:p w14:paraId="36E41A4E"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lastRenderedPageBreak/>
        <w:tab/>
        <w:t xml:space="preserve">As has been observed, temporal proximity between a judicial interpretation and subsequent enactment may be significant. The 1997 amendments were made just two years after </w:t>
      </w:r>
      <w:r w:rsidRPr="00635770">
        <w:rPr>
          <w:rFonts w:ascii="Times New Roman" w:eastAsia="Calibri" w:hAnsi="Times New Roman"/>
          <w:i/>
        </w:rPr>
        <w:t>Campbell</w:t>
      </w:r>
      <w:r w:rsidRPr="00635770">
        <w:rPr>
          <w:rFonts w:ascii="Times New Roman" w:eastAsia="Calibri" w:hAnsi="Times New Roman"/>
        </w:rPr>
        <w:t xml:space="preserve"> was decided. And while the 2013 amendments were made many years after the decision of the Court of Appeal in </w:t>
      </w:r>
      <w:r w:rsidRPr="00635770">
        <w:rPr>
          <w:rFonts w:ascii="Times New Roman" w:eastAsia="Calibri" w:hAnsi="Times New Roman"/>
          <w:i/>
        </w:rPr>
        <w:t>Campbell</w:t>
      </w:r>
      <w:r w:rsidRPr="00635770">
        <w:rPr>
          <w:rFonts w:ascii="Times New Roman" w:eastAsia="Calibri" w:hAnsi="Times New Roman"/>
        </w:rPr>
        <w:t>, many</w:t>
      </w:r>
      <w:r>
        <w:rPr>
          <w:rFonts w:ascii="Times New Roman" w:eastAsia="Calibri" w:hAnsi="Times New Roman"/>
        </w:rPr>
        <w:t> </w:t>
      </w:r>
      <w:r w:rsidRPr="00635770">
        <w:rPr>
          <w:rFonts w:ascii="Times New Roman" w:eastAsia="Calibri" w:hAnsi="Times New Roman"/>
        </w:rPr>
        <w:t xml:space="preserve">subsequent decisions of the Court of Appeal which applied </w:t>
      </w:r>
      <w:r w:rsidRPr="00635770">
        <w:rPr>
          <w:rFonts w:ascii="Times New Roman" w:eastAsia="Calibri" w:hAnsi="Times New Roman"/>
          <w:i/>
        </w:rPr>
        <w:t>Campbell</w:t>
      </w:r>
      <w:r w:rsidRPr="00635770">
        <w:rPr>
          <w:rFonts w:ascii="Times New Roman" w:eastAsia="Calibri" w:hAnsi="Times New Roman"/>
        </w:rPr>
        <w:t xml:space="preserve"> were decided contemporaneously with those amendments</w:t>
      </w:r>
      <w:r w:rsidRPr="00635770">
        <w:rPr>
          <w:rStyle w:val="FootnoteReference"/>
          <w:rFonts w:ascii="Times New Roman" w:eastAsia="Calibri" w:hAnsi="Times New Roman"/>
          <w:sz w:val="24"/>
        </w:rPr>
        <w:footnoteReference w:id="114"/>
      </w:r>
      <w:r w:rsidRPr="00635770">
        <w:rPr>
          <w:rFonts w:ascii="Times New Roman" w:eastAsia="Calibri" w:hAnsi="Times New Roman"/>
        </w:rPr>
        <w:t>.</w:t>
      </w:r>
    </w:p>
    <w:p w14:paraId="67D20131"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The 1997 and 2013 amendments also followed expert reviews and extensive consultation with key stakeholders in the criminal justice system</w:t>
      </w:r>
      <w:r w:rsidRPr="00635770">
        <w:rPr>
          <w:rStyle w:val="FootnoteReference"/>
          <w:rFonts w:ascii="Times New Roman" w:eastAsia="Calibri" w:hAnsi="Times New Roman"/>
          <w:sz w:val="24"/>
        </w:rPr>
        <w:footnoteReference w:id="115"/>
      </w:r>
      <w:r w:rsidRPr="00635770">
        <w:rPr>
          <w:rFonts w:ascii="Times New Roman" w:eastAsia="Calibri" w:hAnsi="Times New Roman"/>
        </w:rPr>
        <w:t>. Contrary to a submission made by the DPP, the fact that those reviews were not carried out by law reform commissions does not detract from their significance or context</w:t>
      </w:r>
      <w:r w:rsidRPr="00635770">
        <w:rPr>
          <w:rStyle w:val="FootnoteReference"/>
          <w:rFonts w:ascii="Times New Roman" w:eastAsia="Calibri" w:hAnsi="Times New Roman"/>
          <w:sz w:val="24"/>
        </w:rPr>
        <w:footnoteReference w:id="116"/>
      </w:r>
      <w:r w:rsidRPr="00635770">
        <w:rPr>
          <w:rFonts w:ascii="Times New Roman" w:eastAsia="Calibri" w:hAnsi="Times New Roman"/>
        </w:rPr>
        <w:t xml:space="preserve">. Criminal law is and had by 1997 become in Victoria a "specialised and politically sensitive field" in the sense contemplated in </w:t>
      </w:r>
      <w:r w:rsidRPr="00635770">
        <w:rPr>
          <w:rFonts w:ascii="Times New Roman" w:eastAsia="Calibri" w:hAnsi="Times New Roman"/>
          <w:i/>
        </w:rPr>
        <w:t>Electrolux Home Products Pty Ltd v Australian Workers' Union</w:t>
      </w:r>
      <w:r w:rsidRPr="00635770">
        <w:rPr>
          <w:rStyle w:val="FootnoteReference"/>
          <w:rFonts w:ascii="Times New Roman" w:eastAsia="Calibri" w:hAnsi="Times New Roman"/>
          <w:sz w:val="24"/>
        </w:rPr>
        <w:footnoteReference w:id="117"/>
      </w:r>
      <w:r w:rsidRPr="00635770">
        <w:rPr>
          <w:rFonts w:ascii="Times New Roman" w:eastAsia="Calibri" w:hAnsi="Times New Roman"/>
        </w:rPr>
        <w:t>. Criminal law has a "designated Minister" (the Attorney-General) and a "designated ... Department of State" (the Department of Justice)</w:t>
      </w:r>
      <w:r w:rsidRPr="00635770">
        <w:rPr>
          <w:rStyle w:val="FootnoteReference"/>
          <w:rFonts w:ascii="Times New Roman" w:eastAsia="Calibri" w:hAnsi="Times New Roman"/>
          <w:sz w:val="24"/>
        </w:rPr>
        <w:footnoteReference w:id="118"/>
      </w:r>
      <w:r w:rsidRPr="00635770">
        <w:rPr>
          <w:rFonts w:ascii="Times New Roman" w:eastAsia="Calibri" w:hAnsi="Times New Roman"/>
        </w:rPr>
        <w:t>. It is "no fiction" to attribute to the Attorney</w:t>
      </w:r>
      <w:r w:rsidRPr="00635770">
        <w:rPr>
          <w:rFonts w:ascii="Times New Roman" w:eastAsia="Calibri" w:hAnsi="Times New Roman"/>
        </w:rPr>
        <w:noBreakHyphen/>
        <w:t>General and the Department and, through them, Parliament, knowledge of decisions dealing with their portfolio, especially where, as here, the reviews were undertaken at the request of the Attorney</w:t>
      </w:r>
      <w:r w:rsidRPr="00635770">
        <w:rPr>
          <w:rFonts w:ascii="Times New Roman" w:eastAsia="Calibri" w:hAnsi="Times New Roman"/>
        </w:rPr>
        <w:noBreakHyphen/>
        <w:t>General</w:t>
      </w:r>
      <w:r w:rsidRPr="00635770">
        <w:rPr>
          <w:rStyle w:val="FootnoteReference"/>
          <w:rFonts w:ascii="Times New Roman" w:eastAsia="Calibri" w:hAnsi="Times New Roman"/>
          <w:sz w:val="24"/>
        </w:rPr>
        <w:footnoteReference w:id="119"/>
      </w:r>
      <w:r w:rsidRPr="00635770">
        <w:rPr>
          <w:rFonts w:ascii="Times New Roman" w:eastAsia="Calibri" w:hAnsi="Times New Roman"/>
        </w:rPr>
        <w:t xml:space="preserve">. </w:t>
      </w:r>
    </w:p>
    <w:p w14:paraId="7E84B35A"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The application of the re-enactment presumption does not </w:t>
      </w:r>
      <w:r w:rsidRPr="00635770">
        <w:rPr>
          <w:rFonts w:ascii="Times New Roman" w:eastAsia="Calibri" w:hAnsi="Times New Roman"/>
          <w:i/>
        </w:rPr>
        <w:t>depend</w:t>
      </w:r>
      <w:r w:rsidRPr="00635770">
        <w:rPr>
          <w:rFonts w:ascii="Times New Roman" w:eastAsia="Calibri" w:hAnsi="Times New Roman"/>
        </w:rPr>
        <w:t xml:space="preserve"> on expert reviews or specific legislative amendments directed towards the precise issue </w:t>
      </w:r>
      <w:r w:rsidRPr="00635770">
        <w:rPr>
          <w:rFonts w:ascii="Times New Roman" w:eastAsia="Calibri" w:hAnsi="Times New Roman"/>
        </w:rPr>
        <w:sym w:font="Symbol" w:char="F02D"/>
      </w:r>
      <w:r w:rsidRPr="00635770">
        <w:rPr>
          <w:rFonts w:ascii="Times New Roman" w:eastAsia="Calibri" w:hAnsi="Times New Roman"/>
        </w:rPr>
        <w:t xml:space="preserve"> </w:t>
      </w:r>
      <w:r w:rsidRPr="00635770">
        <w:rPr>
          <w:rFonts w:ascii="Times New Roman" w:eastAsia="Calibri" w:hAnsi="Times New Roman"/>
        </w:rPr>
        <w:lastRenderedPageBreak/>
        <w:t>the</w:t>
      </w:r>
      <w:r>
        <w:rPr>
          <w:rFonts w:ascii="Times New Roman" w:eastAsia="Calibri" w:hAnsi="Times New Roman"/>
        </w:rPr>
        <w:t> </w:t>
      </w:r>
      <w:r w:rsidRPr="00635770">
        <w:rPr>
          <w:rFonts w:ascii="Times New Roman" w:eastAsia="Calibri" w:hAnsi="Times New Roman"/>
        </w:rPr>
        <w:t>meaning of recklessness in s 17</w:t>
      </w:r>
      <w:r w:rsidRPr="00635770">
        <w:rPr>
          <w:rStyle w:val="FootnoteReference"/>
          <w:rFonts w:ascii="Times New Roman" w:eastAsia="Calibri" w:hAnsi="Times New Roman"/>
          <w:sz w:val="24"/>
        </w:rPr>
        <w:footnoteReference w:id="120"/>
      </w:r>
      <w:r w:rsidRPr="00635770">
        <w:rPr>
          <w:rFonts w:ascii="Times New Roman" w:eastAsia="Calibri" w:hAnsi="Times New Roman"/>
        </w:rPr>
        <w:t xml:space="preserve">. However, adopting and adapting what was said in </w:t>
      </w:r>
      <w:r w:rsidRPr="00635770">
        <w:rPr>
          <w:rFonts w:ascii="Times New Roman" w:eastAsia="Calibri" w:hAnsi="Times New Roman"/>
          <w:i/>
        </w:rPr>
        <w:t>Fortress Credit Corporation (Australia) II Pty Ltd v Fletcher</w:t>
      </w:r>
      <w:r w:rsidRPr="00635770">
        <w:rPr>
          <w:rFonts w:ascii="Times New Roman" w:eastAsia="Calibri" w:hAnsi="Times New Roman"/>
        </w:rPr>
        <w:t xml:space="preserve">, it is difficult to imagine that the decisions in </w:t>
      </w:r>
      <w:r w:rsidRPr="00635770">
        <w:rPr>
          <w:rFonts w:ascii="Times New Roman" w:eastAsia="Calibri" w:hAnsi="Times New Roman"/>
          <w:i/>
        </w:rPr>
        <w:t xml:space="preserve">Nuri </w:t>
      </w:r>
      <w:r w:rsidRPr="00635770">
        <w:rPr>
          <w:rFonts w:ascii="Times New Roman" w:eastAsia="Calibri" w:hAnsi="Times New Roman"/>
        </w:rPr>
        <w:t xml:space="preserve">and </w:t>
      </w:r>
      <w:r w:rsidRPr="00635770">
        <w:rPr>
          <w:rFonts w:ascii="Times New Roman" w:eastAsia="Calibri" w:hAnsi="Times New Roman"/>
          <w:i/>
        </w:rPr>
        <w:t>Campbell</w:t>
      </w:r>
      <w:r w:rsidRPr="00635770">
        <w:rPr>
          <w:rFonts w:ascii="Times New Roman" w:eastAsia="Calibri" w:hAnsi="Times New Roman"/>
        </w:rPr>
        <w:t xml:space="preserve"> – cases concerning the meaning of recklessness – were not known to those involved in the field as interpretive decisions of considerable significance</w:t>
      </w:r>
      <w:r w:rsidRPr="00635770">
        <w:rPr>
          <w:rStyle w:val="FootnoteReference"/>
          <w:rFonts w:ascii="Times New Roman" w:eastAsia="Calibri" w:hAnsi="Times New Roman"/>
          <w:sz w:val="24"/>
        </w:rPr>
        <w:footnoteReference w:id="121"/>
      </w:r>
      <w:r w:rsidRPr="00635770">
        <w:rPr>
          <w:rFonts w:ascii="Times New Roman" w:eastAsia="Calibri" w:hAnsi="Times New Roman"/>
        </w:rPr>
        <w:t>. This is especially so given</w:t>
      </w:r>
      <w:r w:rsidRPr="00635770" w:rsidDel="00676A36">
        <w:rPr>
          <w:rFonts w:ascii="Times New Roman" w:eastAsia="Calibri" w:hAnsi="Times New Roman"/>
        </w:rPr>
        <w:t xml:space="preserve"> </w:t>
      </w:r>
      <w:r w:rsidRPr="00635770">
        <w:rPr>
          <w:rFonts w:ascii="Times New Roman" w:eastAsia="Calibri" w:hAnsi="Times New Roman"/>
        </w:rPr>
        <w:t xml:space="preserve">that the amending enactments significantly and directly altered the nature and extent of the criminality and culpability of a contravention of s 17 of the </w:t>
      </w:r>
      <w:r w:rsidRPr="00635770">
        <w:rPr>
          <w:rFonts w:ascii="Times New Roman" w:eastAsia="Calibri" w:hAnsi="Times New Roman"/>
          <w:i/>
        </w:rPr>
        <w:t>Crimes Act</w:t>
      </w:r>
      <w:r w:rsidRPr="00635770">
        <w:rPr>
          <w:rFonts w:ascii="Times New Roman" w:eastAsia="Calibri" w:hAnsi="Times New Roman"/>
        </w:rPr>
        <w:t xml:space="preserve">. In relation to the 2013 amendments, the SAC report </w:t>
      </w:r>
      <w:r w:rsidRPr="00635770">
        <w:rPr>
          <w:rFonts w:ascii="Times New Roman" w:eastAsia="Calibri" w:hAnsi="Times New Roman"/>
          <w:i/>
        </w:rPr>
        <w:t xml:space="preserve">did </w:t>
      </w:r>
      <w:r w:rsidRPr="00635770">
        <w:rPr>
          <w:rFonts w:ascii="Times New Roman" w:eastAsia="Calibri" w:hAnsi="Times New Roman"/>
        </w:rPr>
        <w:t xml:space="preserve">expressly identify the meaning of recklessness by reference to the decision in </w:t>
      </w:r>
      <w:r w:rsidRPr="00635770">
        <w:rPr>
          <w:rFonts w:ascii="Times New Roman" w:eastAsia="Calibri" w:hAnsi="Times New Roman"/>
          <w:i/>
        </w:rPr>
        <w:t>Nuri</w:t>
      </w:r>
      <w:r w:rsidRPr="00635770">
        <w:rPr>
          <w:rFonts w:ascii="Times New Roman" w:eastAsia="Calibri" w:hAnsi="Times New Roman"/>
        </w:rPr>
        <w:t xml:space="preserve"> (which </w:t>
      </w:r>
      <w:r w:rsidRPr="00635770">
        <w:rPr>
          <w:rFonts w:ascii="Times New Roman" w:eastAsia="Calibri" w:hAnsi="Times New Roman"/>
          <w:i/>
        </w:rPr>
        <w:t>Campbell</w:t>
      </w:r>
      <w:r w:rsidRPr="00635770">
        <w:rPr>
          <w:rFonts w:ascii="Times New Roman" w:eastAsia="Calibri" w:hAnsi="Times New Roman"/>
        </w:rPr>
        <w:t xml:space="preserve"> followed)</w:t>
      </w:r>
      <w:r w:rsidRPr="00635770">
        <w:rPr>
          <w:rStyle w:val="FootnoteReference"/>
          <w:rFonts w:ascii="Times New Roman" w:eastAsia="Calibri" w:hAnsi="Times New Roman"/>
          <w:sz w:val="24"/>
        </w:rPr>
        <w:footnoteReference w:id="122"/>
      </w:r>
      <w:r w:rsidRPr="00635770">
        <w:rPr>
          <w:rFonts w:ascii="Times New Roman" w:eastAsia="Calibri" w:hAnsi="Times New Roman"/>
        </w:rPr>
        <w:t xml:space="preserve">. </w:t>
      </w:r>
    </w:p>
    <w:p w14:paraId="43E17BE1"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The </w:t>
      </w:r>
      <w:r w:rsidRPr="00635770" w:rsidDel="00F34785">
        <w:rPr>
          <w:rFonts w:ascii="Times New Roman" w:eastAsia="Calibri" w:hAnsi="Times New Roman"/>
        </w:rPr>
        <w:t>identified</w:t>
      </w:r>
      <w:r w:rsidRPr="00635770">
        <w:rPr>
          <w:rFonts w:ascii="Times New Roman" w:eastAsia="Calibri" w:hAnsi="Times New Roman"/>
        </w:rPr>
        <w:t xml:space="preserve"> error in </w:t>
      </w:r>
      <w:r w:rsidRPr="00635770">
        <w:rPr>
          <w:rFonts w:ascii="Times New Roman" w:eastAsia="Calibri" w:hAnsi="Times New Roman"/>
          <w:i/>
        </w:rPr>
        <w:t>Campbell</w:t>
      </w:r>
      <w:r w:rsidRPr="00635770">
        <w:rPr>
          <w:rFonts w:ascii="Times New Roman" w:eastAsia="Calibri" w:hAnsi="Times New Roman"/>
        </w:rPr>
        <w:t xml:space="preserve"> </w:t>
      </w:r>
      <w:r w:rsidRPr="00635770">
        <w:rPr>
          <w:rFonts w:ascii="Times New Roman" w:eastAsia="Calibri" w:hAnsi="Times New Roman"/>
        </w:rPr>
        <w:sym w:font="Symbol" w:char="F02D"/>
      </w:r>
      <w:r w:rsidRPr="00635770">
        <w:rPr>
          <w:rFonts w:ascii="Times New Roman" w:eastAsia="Calibri" w:hAnsi="Times New Roman"/>
        </w:rPr>
        <w:t xml:space="preserve"> the adoption of a construction of the element of </w:t>
      </w:r>
      <w:r w:rsidRPr="00635770">
        <w:rPr>
          <w:rFonts w:ascii="Times New Roman" w:hAnsi="Times New Roman"/>
        </w:rPr>
        <w:t>recklessness</w:t>
      </w:r>
      <w:r w:rsidRPr="00635770">
        <w:rPr>
          <w:rFonts w:ascii="Times New Roman" w:hAnsi="Times New Roman"/>
          <w:i/>
        </w:rPr>
        <w:t xml:space="preserve"> </w:t>
      </w:r>
      <w:r w:rsidRPr="00635770">
        <w:rPr>
          <w:rFonts w:ascii="Times New Roman" w:hAnsi="Times New Roman"/>
        </w:rPr>
        <w:t xml:space="preserve">for the offence of recklessly causing serious injury under s 17 of the </w:t>
      </w:r>
      <w:r w:rsidRPr="00635770">
        <w:rPr>
          <w:rFonts w:ascii="Times New Roman" w:hAnsi="Times New Roman"/>
          <w:i/>
        </w:rPr>
        <w:t>Crimes Act</w:t>
      </w:r>
      <w:r w:rsidRPr="00635770">
        <w:rPr>
          <w:rFonts w:ascii="Times New Roman" w:hAnsi="Times New Roman"/>
        </w:rPr>
        <w:t xml:space="preserve"> that an accused must have foresight of the </w:t>
      </w:r>
      <w:r w:rsidRPr="00635770">
        <w:rPr>
          <w:rFonts w:ascii="Times New Roman" w:hAnsi="Times New Roman"/>
          <w:i/>
        </w:rPr>
        <w:t xml:space="preserve">probability </w:t>
      </w:r>
      <w:r w:rsidRPr="00635770">
        <w:rPr>
          <w:rFonts w:ascii="Times New Roman" w:hAnsi="Times New Roman"/>
        </w:rPr>
        <w:t xml:space="preserve">and not the </w:t>
      </w:r>
      <w:r w:rsidRPr="00635770">
        <w:rPr>
          <w:rFonts w:ascii="Times New Roman" w:hAnsi="Times New Roman"/>
          <w:i/>
        </w:rPr>
        <w:t>possibility</w:t>
      </w:r>
      <w:r w:rsidRPr="00635770">
        <w:rPr>
          <w:rFonts w:ascii="Times New Roman" w:hAnsi="Times New Roman"/>
        </w:rPr>
        <w:t xml:space="preserve"> of relevant consequences</w:t>
      </w:r>
      <w:r w:rsidRPr="00635770">
        <w:rPr>
          <w:rFonts w:ascii="Times New Roman" w:hAnsi="Times New Roman"/>
          <w:b/>
        </w:rPr>
        <w:t xml:space="preserve"> </w:t>
      </w:r>
      <w:r w:rsidRPr="00635770">
        <w:rPr>
          <w:rFonts w:ascii="Times New Roman" w:hAnsi="Times New Roman"/>
        </w:rPr>
        <w:sym w:font="Symbol" w:char="F02D"/>
      </w:r>
      <w:r w:rsidRPr="00635770">
        <w:rPr>
          <w:rFonts w:ascii="Times New Roman" w:hAnsi="Times New Roman"/>
        </w:rPr>
        <w:t xml:space="preserve"> is not insignificant. If the meaning of a statute is wrong, it should be corrected. The difference here is that even if, when s 17 was enacted, the mental element of recklessness, consistent with </w:t>
      </w:r>
      <w:r w:rsidRPr="00635770">
        <w:rPr>
          <w:rFonts w:ascii="Times New Roman" w:hAnsi="Times New Roman"/>
          <w:i/>
        </w:rPr>
        <w:t>Crabbe</w:t>
      </w:r>
      <w:r w:rsidRPr="00635770">
        <w:rPr>
          <w:rFonts w:ascii="Times New Roman" w:hAnsi="Times New Roman"/>
        </w:rPr>
        <w:t xml:space="preserve">, should have </w:t>
      </w:r>
      <w:r w:rsidRPr="00635770" w:rsidDel="00314177">
        <w:rPr>
          <w:rFonts w:ascii="Times New Roman" w:hAnsi="Times New Roman"/>
        </w:rPr>
        <w:t xml:space="preserve">been </w:t>
      </w:r>
      <w:r w:rsidRPr="00635770">
        <w:rPr>
          <w:rFonts w:ascii="Times New Roman" w:hAnsi="Times New Roman"/>
        </w:rPr>
        <w:t xml:space="preserve">interpreted as the </w:t>
      </w:r>
      <w:r w:rsidRPr="00635770">
        <w:rPr>
          <w:rFonts w:ascii="Times New Roman" w:hAnsi="Times New Roman"/>
          <w:i/>
        </w:rPr>
        <w:t>possibility</w:t>
      </w:r>
      <w:r w:rsidRPr="00635770">
        <w:rPr>
          <w:rFonts w:ascii="Times New Roman" w:hAnsi="Times New Roman"/>
        </w:rPr>
        <w:t xml:space="preserve"> and not </w:t>
      </w:r>
      <w:r w:rsidRPr="00635770">
        <w:rPr>
          <w:rFonts w:ascii="Times New Roman" w:hAnsi="Times New Roman"/>
          <w:i/>
        </w:rPr>
        <w:t>probability</w:t>
      </w:r>
      <w:r w:rsidRPr="00635770">
        <w:rPr>
          <w:rFonts w:ascii="Times New Roman" w:hAnsi="Times New Roman"/>
        </w:rPr>
        <w:t xml:space="preserve"> of relevant consequences, the 1997 and 2013 amendments were based on the nature and extent of the criminality and culpability of a contravention of s 17 as stated in </w:t>
      </w:r>
      <w:r w:rsidRPr="00635770">
        <w:rPr>
          <w:rFonts w:ascii="Times New Roman" w:hAnsi="Times New Roman"/>
          <w:i/>
        </w:rPr>
        <w:t xml:space="preserve">Campbell </w:t>
      </w:r>
      <w:r w:rsidRPr="00635770">
        <w:rPr>
          <w:rFonts w:ascii="Times New Roman" w:hAnsi="Times New Roman"/>
        </w:rPr>
        <w:t xml:space="preserve">(which followed </w:t>
      </w:r>
      <w:r w:rsidRPr="00635770">
        <w:rPr>
          <w:rFonts w:ascii="Times New Roman" w:hAnsi="Times New Roman"/>
          <w:i/>
        </w:rPr>
        <w:t>Nuri</w:t>
      </w:r>
      <w:r w:rsidRPr="00635770">
        <w:rPr>
          <w:rFonts w:ascii="Times New Roman" w:hAnsi="Times New Roman"/>
        </w:rPr>
        <w:t xml:space="preserve">), not </w:t>
      </w:r>
      <w:r w:rsidRPr="00635770">
        <w:rPr>
          <w:rFonts w:ascii="Times New Roman" w:hAnsi="Times New Roman"/>
          <w:i/>
        </w:rPr>
        <w:t>Crabbe</w:t>
      </w:r>
      <w:r w:rsidRPr="00635770">
        <w:rPr>
          <w:rFonts w:ascii="Times New Roman" w:hAnsi="Times New Roman"/>
        </w:rPr>
        <w:t>. Those amendments, and the basis for those amendments, cannot be put to one side.</w:t>
      </w:r>
    </w:p>
    <w:p w14:paraId="3C5A4E11" w14:textId="77777777"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hAnsi="Times New Roman"/>
        </w:rPr>
        <w:tab/>
      </w:r>
      <w:r w:rsidRPr="00635770">
        <w:rPr>
          <w:rFonts w:ascii="Times New Roman" w:eastAsia="Calibri" w:hAnsi="Times New Roman"/>
        </w:rPr>
        <w:t xml:space="preserve">The DPP's reliance on a policy preference for consistency in the meaning of like provisions in different States as a reason for this Court to alter the meaning of s 17 of the </w:t>
      </w:r>
      <w:r w:rsidRPr="00635770">
        <w:rPr>
          <w:rFonts w:ascii="Times New Roman" w:eastAsia="Calibri" w:hAnsi="Times New Roman"/>
          <w:i/>
        </w:rPr>
        <w:t xml:space="preserve">Crimes Act </w:t>
      </w:r>
      <w:r w:rsidRPr="00635770">
        <w:rPr>
          <w:rFonts w:ascii="Times New Roman" w:eastAsia="Calibri" w:hAnsi="Times New Roman"/>
        </w:rPr>
        <w:t>is misplaced. The maximum penalty for committing the s 17 offence in Victoria is 15 years' imprisonment, while the maximum penalty for the equivalent New South Wales offence is currently ten years' imprisonment</w:t>
      </w:r>
      <w:r w:rsidRPr="00635770">
        <w:rPr>
          <w:rStyle w:val="FootnoteReference"/>
          <w:rFonts w:ascii="Times New Roman" w:eastAsia="Calibri" w:hAnsi="Times New Roman"/>
          <w:sz w:val="24"/>
        </w:rPr>
        <w:footnoteReference w:id="123"/>
      </w:r>
      <w:r w:rsidRPr="00635770">
        <w:rPr>
          <w:rFonts w:ascii="Times New Roman" w:eastAsia="Calibri" w:hAnsi="Times New Roman"/>
        </w:rPr>
        <w:t xml:space="preserve">. Each State has taken a different view on the criminality to be ascribed to the conduct. </w:t>
      </w:r>
    </w:p>
    <w:p w14:paraId="6F71A828" w14:textId="5020B306" w:rsidR="00D14D89" w:rsidRPr="00635770" w:rsidRDefault="00D14D89" w:rsidP="00D14D89">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Other considerations reinforce the conclusion that the foresight of probability test in </w:t>
      </w:r>
      <w:r w:rsidRPr="00635770">
        <w:rPr>
          <w:rFonts w:ascii="Times New Roman" w:eastAsia="Calibri" w:hAnsi="Times New Roman"/>
          <w:i/>
        </w:rPr>
        <w:t xml:space="preserve">Campbell </w:t>
      </w:r>
      <w:r w:rsidRPr="00635770">
        <w:rPr>
          <w:rFonts w:ascii="Times New Roman" w:eastAsia="Calibri" w:hAnsi="Times New Roman"/>
        </w:rPr>
        <w:t xml:space="preserve">should stand unless addressed by the legislature in </w:t>
      </w:r>
      <w:r w:rsidRPr="00635770">
        <w:rPr>
          <w:rFonts w:ascii="Times New Roman" w:eastAsia="Calibri" w:hAnsi="Times New Roman"/>
        </w:rPr>
        <w:lastRenderedPageBreak/>
        <w:t xml:space="preserve">Victoria. </w:t>
      </w:r>
      <w:r w:rsidRPr="00635770">
        <w:rPr>
          <w:rFonts w:ascii="Times New Roman" w:eastAsia="Calibri" w:hAnsi="Times New Roman"/>
          <w:i/>
        </w:rPr>
        <w:t>Campbell</w:t>
      </w:r>
      <w:r w:rsidRPr="00635770">
        <w:rPr>
          <w:rFonts w:ascii="Times New Roman" w:eastAsia="Calibri" w:hAnsi="Times New Roman"/>
        </w:rPr>
        <w:t xml:space="preserve"> was decided in 1995, more than 25 years ago, and since that date it has been consistently followed in Victoria</w:t>
      </w:r>
      <w:r w:rsidRPr="00635770">
        <w:rPr>
          <w:rStyle w:val="FootnoteReference"/>
          <w:rFonts w:ascii="Times New Roman" w:eastAsia="Calibri" w:hAnsi="Times New Roman"/>
          <w:sz w:val="24"/>
        </w:rPr>
        <w:footnoteReference w:id="124"/>
      </w:r>
      <w:r w:rsidRPr="00635770">
        <w:rPr>
          <w:rFonts w:ascii="Times New Roman" w:eastAsia="Calibri" w:hAnsi="Times New Roman"/>
        </w:rPr>
        <w:t>. This Court is reluctant to depart from long</w:t>
      </w:r>
      <w:r w:rsidRPr="00635770">
        <w:rPr>
          <w:rFonts w:ascii="Times New Roman" w:eastAsia="Calibri" w:hAnsi="Times New Roman"/>
        </w:rPr>
        <w:noBreakHyphen/>
        <w:t>standing decisions of State courts upon the construction of State statutes, particularly where those decisions have been acted on in such a way as to affect rights</w:t>
      </w:r>
      <w:r w:rsidRPr="00635770">
        <w:rPr>
          <w:rStyle w:val="FootnoteReference"/>
          <w:rFonts w:ascii="Times New Roman" w:eastAsia="Calibri" w:hAnsi="Times New Roman"/>
          <w:sz w:val="24"/>
        </w:rPr>
        <w:footnoteReference w:id="125"/>
      </w:r>
      <w:r w:rsidRPr="00635770">
        <w:rPr>
          <w:rFonts w:ascii="Times New Roman" w:eastAsia="Calibri" w:hAnsi="Times New Roman"/>
        </w:rPr>
        <w:t>. That is especially so here, where unfairness would follow if the meaning of recklessness was changed retrospectively by this Court</w:t>
      </w:r>
      <w:r w:rsidRPr="00635770">
        <w:rPr>
          <w:rStyle w:val="FootnoteReference"/>
          <w:rFonts w:ascii="Times New Roman" w:eastAsia="Calibri" w:hAnsi="Times New Roman"/>
          <w:sz w:val="24"/>
        </w:rPr>
        <w:footnoteReference w:id="126"/>
      </w:r>
      <w:r w:rsidRPr="00635770">
        <w:rPr>
          <w:rFonts w:ascii="Times New Roman" w:eastAsia="Calibri" w:hAnsi="Times New Roman"/>
        </w:rPr>
        <w:t xml:space="preserve"> with the result that potentially criminal conduct which occurred before this Court's decision</w:t>
      </w:r>
      <w:r w:rsidR="00D43D31">
        <w:rPr>
          <w:rFonts w:ascii="Times New Roman" w:eastAsia="Calibri" w:hAnsi="Times New Roman"/>
        </w:rPr>
        <w:t> </w:t>
      </w:r>
      <w:r w:rsidRPr="00635770">
        <w:rPr>
          <w:rFonts w:ascii="Times New Roman" w:eastAsia="Calibri" w:hAnsi="Times New Roman"/>
        </w:rPr>
        <w:t>– if</w:t>
      </w:r>
      <w:r w:rsidR="00F51E83">
        <w:rPr>
          <w:rFonts w:ascii="Times New Roman" w:eastAsia="Calibri" w:hAnsi="Times New Roman"/>
        </w:rPr>
        <w:t xml:space="preserve"> </w:t>
      </w:r>
      <w:r w:rsidRPr="00635770">
        <w:rPr>
          <w:rFonts w:ascii="Times New Roman" w:eastAsia="Calibri" w:hAnsi="Times New Roman"/>
        </w:rPr>
        <w:t>that conduct has not yet been charged, or if it has been charged but not tried – would attract the lower standard of recklessness contended for by the</w:t>
      </w:r>
      <w:r w:rsidR="00760048">
        <w:rPr>
          <w:rFonts w:ascii="Times New Roman" w:eastAsia="Calibri" w:hAnsi="Times New Roman"/>
        </w:rPr>
        <w:t> </w:t>
      </w:r>
      <w:r w:rsidRPr="00635770">
        <w:rPr>
          <w:rFonts w:ascii="Times New Roman" w:eastAsia="Calibri" w:hAnsi="Times New Roman"/>
        </w:rPr>
        <w:t>DPP and where the DPP conceded that the decision of this Court on s 17 of the</w:t>
      </w:r>
      <w:r w:rsidR="00760048">
        <w:rPr>
          <w:rFonts w:ascii="Times New Roman" w:eastAsia="Calibri" w:hAnsi="Times New Roman"/>
        </w:rPr>
        <w:t> </w:t>
      </w:r>
      <w:r w:rsidRPr="00635770">
        <w:rPr>
          <w:rFonts w:ascii="Times New Roman" w:eastAsia="Calibri" w:hAnsi="Times New Roman"/>
          <w:i/>
        </w:rPr>
        <w:t>Crimes Act</w:t>
      </w:r>
      <w:r w:rsidRPr="00635770">
        <w:rPr>
          <w:rFonts w:ascii="Times New Roman" w:eastAsia="Calibri" w:hAnsi="Times New Roman"/>
        </w:rPr>
        <w:t xml:space="preserve"> would have a "flow</w:t>
      </w:r>
      <w:r w:rsidRPr="00635770">
        <w:rPr>
          <w:rFonts w:ascii="Times New Roman" w:eastAsia="Calibri" w:hAnsi="Times New Roman"/>
        </w:rPr>
        <w:noBreakHyphen/>
        <w:t xml:space="preserve">on effect" for other offence provisions in Victoria. </w:t>
      </w:r>
    </w:p>
    <w:p w14:paraId="764CF965" w14:textId="77777777" w:rsidR="00D14D89" w:rsidRPr="00635770" w:rsidRDefault="00D14D89" w:rsidP="00635770">
      <w:pPr>
        <w:pStyle w:val="HeadingL1"/>
        <w:spacing w:after="260" w:line="280" w:lineRule="exact"/>
        <w:ind w:right="0"/>
        <w:jc w:val="both"/>
        <w:rPr>
          <w:rFonts w:ascii="Times New Roman" w:eastAsia="Calibri" w:hAnsi="Times New Roman"/>
        </w:rPr>
      </w:pPr>
      <w:r w:rsidRPr="00635770">
        <w:rPr>
          <w:rFonts w:ascii="Times New Roman" w:eastAsia="Calibri" w:hAnsi="Times New Roman"/>
        </w:rPr>
        <w:t>Conclusion and orders</w:t>
      </w:r>
    </w:p>
    <w:p w14:paraId="40FB1C26" w14:textId="77777777" w:rsidR="004933DB" w:rsidRDefault="00D14D89" w:rsidP="004F542A">
      <w:pPr>
        <w:pStyle w:val="FixListStyle"/>
        <w:numPr>
          <w:ilvl w:val="0"/>
          <w:numId w:val="18"/>
        </w:numPr>
        <w:spacing w:after="260" w:line="280" w:lineRule="exact"/>
        <w:ind w:left="0" w:right="0" w:hanging="720"/>
        <w:jc w:val="both"/>
        <w:rPr>
          <w:rFonts w:ascii="Times New Roman" w:eastAsia="Calibri" w:hAnsi="Times New Roman"/>
        </w:rPr>
      </w:pPr>
      <w:r w:rsidRPr="00635770">
        <w:rPr>
          <w:rFonts w:ascii="Times New Roman" w:eastAsia="Calibri" w:hAnsi="Times New Roman"/>
        </w:rPr>
        <w:tab/>
        <w:t xml:space="preserve">The appeal should be dismissed. There will also be an order, as the DPP sought, that it </w:t>
      </w:r>
      <w:proofErr w:type="gramStart"/>
      <w:r w:rsidRPr="00635770">
        <w:rPr>
          <w:rFonts w:ascii="Times New Roman" w:eastAsia="Calibri" w:hAnsi="Times New Roman"/>
        </w:rPr>
        <w:t>pay</w:t>
      </w:r>
      <w:proofErr w:type="gramEnd"/>
      <w:r w:rsidRPr="00635770">
        <w:rPr>
          <w:rFonts w:ascii="Times New Roman" w:eastAsia="Calibri" w:hAnsi="Times New Roman"/>
        </w:rPr>
        <w:t xml:space="preserve"> the acquitted person's reasonable costs. </w:t>
      </w:r>
    </w:p>
    <w:p w14:paraId="7B8D46D0" w14:textId="77777777" w:rsidR="004933DB" w:rsidRDefault="004933DB" w:rsidP="004F542A">
      <w:pPr>
        <w:pStyle w:val="FixListStyle"/>
        <w:numPr>
          <w:ilvl w:val="0"/>
          <w:numId w:val="18"/>
        </w:numPr>
        <w:spacing w:after="260" w:line="280" w:lineRule="exact"/>
        <w:ind w:left="0" w:right="0" w:hanging="720"/>
        <w:jc w:val="both"/>
        <w:rPr>
          <w:rFonts w:ascii="Times New Roman" w:eastAsia="Calibri" w:hAnsi="Times New Roman"/>
        </w:rPr>
        <w:sectPr w:rsidR="004933DB" w:rsidSect="002238BD">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74AB20A" w14:textId="77777777" w:rsidR="004933DB" w:rsidRPr="00F22259" w:rsidRDefault="004933DB" w:rsidP="00F22259">
      <w:pPr>
        <w:pStyle w:val="NormalBody"/>
        <w:tabs>
          <w:tab w:val="clear" w:pos="720"/>
          <w:tab w:val="left" w:pos="0"/>
        </w:tabs>
        <w:spacing w:after="260" w:line="280" w:lineRule="exact"/>
        <w:ind w:right="0"/>
        <w:jc w:val="both"/>
        <w:rPr>
          <w:rFonts w:ascii="Times New Roman" w:hAnsi="Times New Roman"/>
        </w:rPr>
      </w:pPr>
      <w:r w:rsidRPr="00F22259">
        <w:rPr>
          <w:rFonts w:ascii="Times New Roman" w:hAnsi="Times New Roman"/>
        </w:rPr>
        <w:lastRenderedPageBreak/>
        <w:t xml:space="preserve">EDELMAN J.   </w:t>
      </w:r>
    </w:p>
    <w:p w14:paraId="079D24AB" w14:textId="77777777" w:rsidR="004933DB" w:rsidRPr="00F22259" w:rsidRDefault="004933DB" w:rsidP="00F22259">
      <w:pPr>
        <w:pStyle w:val="HeadingL1"/>
        <w:spacing w:after="260" w:line="280" w:lineRule="exact"/>
        <w:ind w:right="0"/>
        <w:jc w:val="both"/>
        <w:rPr>
          <w:rFonts w:ascii="Times New Roman" w:hAnsi="Times New Roman"/>
        </w:rPr>
      </w:pPr>
      <w:r w:rsidRPr="00F22259">
        <w:rPr>
          <w:rFonts w:ascii="Times New Roman" w:hAnsi="Times New Roman"/>
        </w:rPr>
        <w:t>Introduction</w:t>
      </w:r>
    </w:p>
    <w:p w14:paraId="3294717D"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This appeal is from a decision of the Court of Appeal of the Supreme Court of Victoria</w:t>
      </w:r>
      <w:r w:rsidRPr="00F22259">
        <w:rPr>
          <w:rStyle w:val="FootnoteReference"/>
          <w:rFonts w:ascii="Times New Roman" w:hAnsi="Times New Roman"/>
          <w:sz w:val="24"/>
        </w:rPr>
        <w:footnoteReference w:id="127"/>
      </w:r>
      <w:r w:rsidRPr="00F22259">
        <w:rPr>
          <w:rFonts w:ascii="Times New Roman" w:hAnsi="Times New Roman"/>
        </w:rPr>
        <w:t xml:space="preserve"> on a reference brought by the Director of Public Prosecutions</w:t>
      </w:r>
      <w:r w:rsidRPr="00F22259">
        <w:rPr>
          <w:rStyle w:val="FootnoteReference"/>
          <w:rFonts w:ascii="Times New Roman" w:hAnsi="Times New Roman"/>
          <w:sz w:val="24"/>
        </w:rPr>
        <w:footnoteReference w:id="128"/>
      </w:r>
      <w:r w:rsidRPr="00F22259">
        <w:rPr>
          <w:rFonts w:ascii="Times New Roman" w:hAnsi="Times New Roman"/>
        </w:rPr>
        <w:t xml:space="preserve"> following an acquittal of the accused person. The Court of Appeal considered the meaning of recklessness in s 17 of the </w:t>
      </w:r>
      <w:r w:rsidRPr="00F22259">
        <w:rPr>
          <w:rFonts w:ascii="Times New Roman" w:hAnsi="Times New Roman"/>
          <w:i/>
          <w:iCs/>
        </w:rPr>
        <w:t xml:space="preserve">Crimes Act </w:t>
      </w:r>
      <w:r w:rsidRPr="00F22259">
        <w:rPr>
          <w:rFonts w:ascii="Times New Roman" w:hAnsi="Times New Roman"/>
          <w:i/>
        </w:rPr>
        <w:t>1958</w:t>
      </w:r>
      <w:r w:rsidRPr="00F22259">
        <w:rPr>
          <w:rFonts w:ascii="Times New Roman" w:hAnsi="Times New Roman"/>
        </w:rPr>
        <w:t xml:space="preserve"> (Vic). The offence in s 17 is committed where a person, "without lawful excuse, recklessly causes serious injury to another person". The Court of Appeal held that the courts of Victoria should not follow the approach unanimously taken by this Court in </w:t>
      </w:r>
      <w:r w:rsidRPr="00F22259">
        <w:rPr>
          <w:rFonts w:ascii="Times New Roman" w:hAnsi="Times New Roman"/>
          <w:i/>
        </w:rPr>
        <w:t>Aubrey v The Queen</w:t>
      </w:r>
      <w:r w:rsidRPr="00F22259">
        <w:rPr>
          <w:rStyle w:val="FootnoteReference"/>
          <w:rFonts w:ascii="Times New Roman" w:hAnsi="Times New Roman"/>
          <w:sz w:val="24"/>
        </w:rPr>
        <w:footnoteReference w:id="129"/>
      </w:r>
      <w:r w:rsidRPr="00F22259">
        <w:rPr>
          <w:rFonts w:ascii="Times New Roman" w:hAnsi="Times New Roman"/>
          <w:i/>
          <w:iCs/>
        </w:rPr>
        <w:t xml:space="preserve"> </w:t>
      </w:r>
      <w:r w:rsidRPr="00F22259">
        <w:rPr>
          <w:rFonts w:ascii="Times New Roman" w:hAnsi="Times New Roman"/>
        </w:rPr>
        <w:t xml:space="preserve">to the meaning of "recklessness" in a differently worded New South Wales provision. Instead, it was held that the courts of Victoria should continue to follow the decision of the Court of Appeal of the Supreme Court of Victoria in 1995 in </w:t>
      </w:r>
      <w:r w:rsidRPr="00F22259">
        <w:rPr>
          <w:rFonts w:ascii="Times New Roman" w:hAnsi="Times New Roman"/>
          <w:i/>
          <w:iCs/>
        </w:rPr>
        <w:t>R v Campbell</w:t>
      </w:r>
      <w:r w:rsidRPr="00F22259">
        <w:rPr>
          <w:rStyle w:val="FootnoteReference"/>
          <w:rFonts w:ascii="Times New Roman" w:hAnsi="Times New Roman"/>
          <w:sz w:val="24"/>
        </w:rPr>
        <w:footnoteReference w:id="130"/>
      </w:r>
      <w:r w:rsidRPr="00F22259">
        <w:rPr>
          <w:rFonts w:ascii="Times New Roman" w:hAnsi="Times New Roman"/>
        </w:rPr>
        <w:t>.</w:t>
      </w:r>
    </w:p>
    <w:p w14:paraId="03D29930"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The appeal to this Court raises two important questions. The first is the meaning that Parliament intended for the word "recklessly" when s 17 of the </w:t>
      </w:r>
      <w:r w:rsidRPr="00F22259">
        <w:rPr>
          <w:rFonts w:ascii="Times New Roman" w:hAnsi="Times New Roman"/>
          <w:i/>
          <w:iCs/>
        </w:rPr>
        <w:t>Crimes Act</w:t>
      </w:r>
      <w:r w:rsidRPr="00F22259">
        <w:rPr>
          <w:rFonts w:ascii="Times New Roman" w:hAnsi="Times New Roman"/>
        </w:rPr>
        <w:t xml:space="preserve"> was introduced by the </w:t>
      </w:r>
      <w:r w:rsidRPr="00F22259">
        <w:rPr>
          <w:rFonts w:ascii="Times New Roman" w:hAnsi="Times New Roman"/>
          <w:i/>
          <w:iCs/>
        </w:rPr>
        <w:t>Crimes (Amendment) Act 1985</w:t>
      </w:r>
      <w:r w:rsidRPr="00F22259">
        <w:rPr>
          <w:rFonts w:ascii="Times New Roman" w:hAnsi="Times New Roman"/>
          <w:iCs/>
        </w:rPr>
        <w:t> </w:t>
      </w:r>
      <w:r w:rsidRPr="00F22259">
        <w:rPr>
          <w:rFonts w:ascii="Times New Roman" w:hAnsi="Times New Roman"/>
        </w:rPr>
        <w:t>(Vic)</w:t>
      </w:r>
      <w:r w:rsidRPr="00F22259">
        <w:rPr>
          <w:rStyle w:val="FootnoteReference"/>
          <w:rFonts w:ascii="Times New Roman" w:hAnsi="Times New Roman"/>
          <w:sz w:val="24"/>
        </w:rPr>
        <w:footnoteReference w:id="131"/>
      </w:r>
      <w:r w:rsidRPr="00F22259">
        <w:rPr>
          <w:rFonts w:ascii="Times New Roman" w:hAnsi="Times New Roman"/>
        </w:rPr>
        <w:t xml:space="preserve">. </w:t>
      </w:r>
      <w:proofErr w:type="gramStart"/>
      <w:r w:rsidRPr="00F22259">
        <w:rPr>
          <w:rFonts w:ascii="Times New Roman" w:hAnsi="Times New Roman"/>
        </w:rPr>
        <w:t>In light of</w:t>
      </w:r>
      <w:proofErr w:type="gramEnd"/>
      <w:r w:rsidRPr="00F22259">
        <w:rPr>
          <w:rFonts w:ascii="Times New Roman" w:hAnsi="Times New Roman"/>
        </w:rPr>
        <w:t xml:space="preserve"> the answer to the first question, the second question is whether this Court should give s 17 the meaning given to the concept of recklessness in </w:t>
      </w:r>
      <w:r w:rsidRPr="00F22259">
        <w:rPr>
          <w:rFonts w:ascii="Times New Roman" w:hAnsi="Times New Roman"/>
          <w:i/>
          <w:iCs/>
        </w:rPr>
        <w:t xml:space="preserve">Aubrey </w:t>
      </w:r>
      <w:r w:rsidRPr="00F22259">
        <w:rPr>
          <w:rFonts w:ascii="Times New Roman" w:hAnsi="Times New Roman"/>
        </w:rPr>
        <w:t xml:space="preserve">or the meaning given in </w:t>
      </w:r>
      <w:r w:rsidRPr="00F22259">
        <w:rPr>
          <w:rFonts w:ascii="Times New Roman" w:hAnsi="Times New Roman"/>
          <w:i/>
          <w:iCs/>
        </w:rPr>
        <w:t>Campbell</w:t>
      </w:r>
      <w:r w:rsidRPr="00F22259">
        <w:rPr>
          <w:rFonts w:ascii="Times New Roman" w:hAnsi="Times New Roman"/>
          <w:iCs/>
        </w:rPr>
        <w:t>.</w:t>
      </w:r>
    </w:p>
    <w:p w14:paraId="414B7292"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The answer to the first question is that Parliament is best understood to have intended to leave the essential meaning and development of the concept of recklessness in s 17 to the judiciary. Parliament had eschewed the strong call to define the concept of recklessness, preferring simply to refer to the developing judicial concept of recklessness by which "in the absence of a contrary indication in the statute, the statute speaks continuously to the present, and picks up the case law as it stands from time to time"</w:t>
      </w:r>
      <w:r w:rsidRPr="00F22259">
        <w:rPr>
          <w:rStyle w:val="FootnoteReference"/>
          <w:rFonts w:ascii="Times New Roman" w:hAnsi="Times New Roman"/>
          <w:sz w:val="24"/>
        </w:rPr>
        <w:footnoteReference w:id="132"/>
      </w:r>
      <w:r w:rsidRPr="00F22259">
        <w:rPr>
          <w:rFonts w:ascii="Times New Roman" w:hAnsi="Times New Roman"/>
        </w:rPr>
        <w:t xml:space="preserve">. The intention of Parliament was therefore </w:t>
      </w:r>
      <w:r w:rsidRPr="00F22259">
        <w:rPr>
          <w:rFonts w:ascii="Times New Roman" w:hAnsi="Times New Roman"/>
        </w:rPr>
        <w:lastRenderedPageBreak/>
        <w:t>that the law as to the meaning of recklessness be developed and incrementally clarified in the manner of the common law</w:t>
      </w:r>
      <w:r w:rsidRPr="00F22259">
        <w:rPr>
          <w:rStyle w:val="FootnoteReference"/>
          <w:rFonts w:ascii="Times New Roman" w:hAnsi="Times New Roman"/>
          <w:sz w:val="24"/>
        </w:rPr>
        <w:footnoteReference w:id="133"/>
      </w:r>
      <w:r w:rsidRPr="00F22259">
        <w:rPr>
          <w:rFonts w:ascii="Times New Roman" w:hAnsi="Times New Roman"/>
        </w:rPr>
        <w:t>.</w:t>
      </w:r>
    </w:p>
    <w:p w14:paraId="0677245C"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As to the second question, if the meaning of recklessness in s 17 were able to be developed in an unconstrained manner then, since s 17 concerns an offence of causing serious injury, the developed meaning given by all members of this Court in </w:t>
      </w:r>
      <w:r w:rsidRPr="00F22259">
        <w:rPr>
          <w:rFonts w:ascii="Times New Roman" w:hAnsi="Times New Roman"/>
          <w:i/>
          <w:iCs/>
        </w:rPr>
        <w:t>Aubrey</w:t>
      </w:r>
      <w:r w:rsidRPr="00F22259">
        <w:rPr>
          <w:rFonts w:ascii="Times New Roman" w:hAnsi="Times New Roman"/>
        </w:rPr>
        <w:t xml:space="preserve"> would require recklessness in s 17 to mean: (</w:t>
      </w:r>
      <w:proofErr w:type="spellStart"/>
      <w:r w:rsidRPr="00F22259">
        <w:rPr>
          <w:rFonts w:ascii="Times New Roman" w:hAnsi="Times New Roman"/>
        </w:rPr>
        <w:t>i</w:t>
      </w:r>
      <w:proofErr w:type="spellEnd"/>
      <w:r w:rsidRPr="00F22259">
        <w:rPr>
          <w:rFonts w:ascii="Times New Roman" w:hAnsi="Times New Roman"/>
        </w:rPr>
        <w:t>) that the accused person foresaw the possibility of harm</w:t>
      </w:r>
      <w:r w:rsidRPr="00F22259">
        <w:rPr>
          <w:rStyle w:val="FootnoteReference"/>
          <w:rFonts w:ascii="Times New Roman" w:hAnsi="Times New Roman"/>
          <w:sz w:val="24"/>
        </w:rPr>
        <w:footnoteReference w:id="134"/>
      </w:r>
      <w:r w:rsidRPr="00F22259">
        <w:rPr>
          <w:rFonts w:ascii="Times New Roman" w:hAnsi="Times New Roman"/>
        </w:rPr>
        <w:t xml:space="preserve"> but proceeded nonetheless to take that risk; and (ii) that, although expressed in various ways in </w:t>
      </w:r>
      <w:r w:rsidRPr="00F22259">
        <w:rPr>
          <w:rFonts w:ascii="Times New Roman" w:hAnsi="Times New Roman"/>
          <w:i/>
          <w:iCs/>
        </w:rPr>
        <w:t>Aubrey</w:t>
      </w:r>
      <w:r w:rsidRPr="00F22259">
        <w:rPr>
          <w:rFonts w:ascii="Times New Roman" w:hAnsi="Times New Roman"/>
        </w:rPr>
        <w:t>,</w:t>
      </w:r>
      <w:r w:rsidRPr="00F22259">
        <w:rPr>
          <w:rFonts w:ascii="Times New Roman" w:hAnsi="Times New Roman"/>
          <w:i/>
          <w:iCs/>
        </w:rPr>
        <w:t xml:space="preserve"> </w:t>
      </w:r>
      <w:r w:rsidRPr="00F22259">
        <w:rPr>
          <w:rFonts w:ascii="Times New Roman" w:hAnsi="Times New Roman"/>
        </w:rPr>
        <w:t xml:space="preserve">the risk was unreasonable in the circumstances known to the accused. To follow the decision in </w:t>
      </w:r>
      <w:r w:rsidRPr="00F22259">
        <w:rPr>
          <w:rFonts w:ascii="Times New Roman" w:hAnsi="Times New Roman"/>
          <w:i/>
          <w:iCs/>
        </w:rPr>
        <w:t>Aubrey</w:t>
      </w:r>
      <w:r w:rsidRPr="00F22259">
        <w:rPr>
          <w:rFonts w:ascii="Times New Roman" w:hAnsi="Times New Roman"/>
        </w:rPr>
        <w:t xml:space="preserve"> would have the salutary effect of overruling </w:t>
      </w:r>
      <w:r w:rsidRPr="00F22259">
        <w:rPr>
          <w:rFonts w:ascii="Times New Roman" w:hAnsi="Times New Roman"/>
          <w:i/>
          <w:iCs/>
        </w:rPr>
        <w:t xml:space="preserve">Campbell </w:t>
      </w:r>
      <w:r w:rsidRPr="00F22259">
        <w:rPr>
          <w:rFonts w:ascii="Times New Roman" w:hAnsi="Times New Roman"/>
        </w:rPr>
        <w:t>in circumstances in which: (</w:t>
      </w:r>
      <w:proofErr w:type="spellStart"/>
      <w:r w:rsidRPr="00F22259">
        <w:rPr>
          <w:rFonts w:ascii="Times New Roman" w:hAnsi="Times New Roman"/>
        </w:rPr>
        <w:t>i</w:t>
      </w:r>
      <w:proofErr w:type="spellEnd"/>
      <w:r w:rsidRPr="00F22259">
        <w:rPr>
          <w:rFonts w:ascii="Times New Roman" w:hAnsi="Times New Roman"/>
        </w:rPr>
        <w:t xml:space="preserve">) the result in </w:t>
      </w:r>
      <w:r w:rsidRPr="00F22259">
        <w:rPr>
          <w:rFonts w:ascii="Times New Roman" w:hAnsi="Times New Roman"/>
          <w:i/>
        </w:rPr>
        <w:t>Campbell</w:t>
      </w:r>
      <w:r w:rsidRPr="00F22259">
        <w:rPr>
          <w:rFonts w:ascii="Times New Roman" w:hAnsi="Times New Roman"/>
        </w:rPr>
        <w:t xml:space="preserve"> is wrong; (ii) the result is arguably inconsistent with an approach that might have been expected at the time the provision was enacted; (iii) the result is likely to be inconsistent with the approach taken in other States; and (iv) the result is inconsistent with the approach that should be taken to other Victorian offences apart from murder and, possibly, endangerment of life offences.</w:t>
      </w:r>
    </w:p>
    <w:p w14:paraId="23BA7E51"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I have, however, and not without considerable hesitation, reached the conclusion that recklessness in s 17 nevertheless should not bear the developed judicial meaning given to recklessness in </w:t>
      </w:r>
      <w:r w:rsidRPr="00F22259">
        <w:rPr>
          <w:rFonts w:ascii="Times New Roman" w:hAnsi="Times New Roman"/>
          <w:i/>
          <w:iCs/>
        </w:rPr>
        <w:t>Aubrey</w:t>
      </w:r>
      <w:r w:rsidRPr="00F22259">
        <w:rPr>
          <w:rFonts w:ascii="Times New Roman" w:hAnsi="Times New Roman"/>
        </w:rPr>
        <w:t xml:space="preserve">. Instead, the interpretation to be given to recklessness in s 17 should be that of the Court of Appeal in 1995 in </w:t>
      </w:r>
      <w:r w:rsidRPr="00F22259">
        <w:rPr>
          <w:rFonts w:ascii="Times New Roman" w:hAnsi="Times New Roman"/>
          <w:i/>
          <w:iCs/>
        </w:rPr>
        <w:t>Campbell</w:t>
      </w:r>
      <w:r w:rsidRPr="00F22259">
        <w:rPr>
          <w:rStyle w:val="FootnoteReference"/>
          <w:rFonts w:ascii="Times New Roman" w:hAnsi="Times New Roman"/>
          <w:sz w:val="24"/>
        </w:rPr>
        <w:footnoteReference w:id="135"/>
      </w:r>
      <w:r w:rsidRPr="00F22259">
        <w:rPr>
          <w:rFonts w:ascii="Times New Roman" w:hAnsi="Times New Roman"/>
        </w:rPr>
        <w:t>. This is not a case where this Court is applying an essential meaning intended by Parliament in an unexpected way to new or different circumstances or practices</w:t>
      </w:r>
      <w:r w:rsidRPr="00F22259">
        <w:rPr>
          <w:rStyle w:val="FootnoteReference"/>
          <w:rFonts w:ascii="Times New Roman" w:hAnsi="Times New Roman"/>
          <w:sz w:val="24"/>
        </w:rPr>
        <w:footnoteReference w:id="136"/>
      </w:r>
      <w:r w:rsidRPr="00F22259">
        <w:rPr>
          <w:rFonts w:ascii="Times New Roman" w:hAnsi="Times New Roman"/>
        </w:rPr>
        <w:t xml:space="preserve">. Nor is it a case where this Court is applying the essential meaning intended by Parliament in an unexpected way </w:t>
      </w:r>
      <w:proofErr w:type="gramStart"/>
      <w:r w:rsidRPr="00F22259">
        <w:rPr>
          <w:rFonts w:ascii="Times New Roman" w:hAnsi="Times New Roman"/>
        </w:rPr>
        <w:t>in light of</w:t>
      </w:r>
      <w:proofErr w:type="gramEnd"/>
      <w:r w:rsidRPr="00F22259">
        <w:rPr>
          <w:rFonts w:ascii="Times New Roman" w:hAnsi="Times New Roman"/>
        </w:rPr>
        <w:t xml:space="preserve"> a different understanding of facts and circumstances</w:t>
      </w:r>
      <w:r w:rsidRPr="00F22259">
        <w:rPr>
          <w:rStyle w:val="FootnoteReference"/>
          <w:rFonts w:ascii="Times New Roman" w:hAnsi="Times New Roman"/>
          <w:sz w:val="24"/>
        </w:rPr>
        <w:footnoteReference w:id="137"/>
      </w:r>
      <w:r w:rsidRPr="00F22259">
        <w:rPr>
          <w:rFonts w:ascii="Times New Roman" w:hAnsi="Times New Roman"/>
        </w:rPr>
        <w:t xml:space="preserve">. Rather, in circumstances where the essential meaning of "recklessly" in s 17 was left to judicial development, this conclusion involves a judicial application, albeit an application that involves some </w:t>
      </w:r>
      <w:r w:rsidRPr="00F22259">
        <w:rPr>
          <w:rFonts w:ascii="Times New Roman" w:hAnsi="Times New Roman"/>
        </w:rPr>
        <w:lastRenderedPageBreak/>
        <w:t xml:space="preserve">inconsistency and lack of principle, which is necessary to preserve the fabric of the law </w:t>
      </w:r>
      <w:proofErr w:type="gramStart"/>
      <w:r w:rsidRPr="00F22259">
        <w:rPr>
          <w:rFonts w:ascii="Times New Roman" w:hAnsi="Times New Roman"/>
        </w:rPr>
        <w:t>in light of</w:t>
      </w:r>
      <w:proofErr w:type="gramEnd"/>
      <w:r w:rsidRPr="00F22259">
        <w:rPr>
          <w:rFonts w:ascii="Times New Roman" w:hAnsi="Times New Roman"/>
        </w:rPr>
        <w:t xml:space="preserve"> subsequent judicial decisions and statutory changes.</w:t>
      </w:r>
    </w:p>
    <w:p w14:paraId="448CB94D"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There are three significant constraining factors, explained in detail in the reasons below, which lead to this unusual conclusion on the second question. First, although the approach in </w:t>
      </w:r>
      <w:r w:rsidRPr="00F22259">
        <w:rPr>
          <w:rFonts w:ascii="Times New Roman" w:hAnsi="Times New Roman"/>
          <w:i/>
          <w:iCs/>
        </w:rPr>
        <w:t xml:space="preserve">Aubrey </w:t>
      </w:r>
      <w:r w:rsidRPr="00F22259">
        <w:rPr>
          <w:rFonts w:ascii="Times New Roman" w:hAnsi="Times New Roman"/>
        </w:rPr>
        <w:t xml:space="preserve">is more principled, prior to the decision in </w:t>
      </w:r>
      <w:r w:rsidRPr="00F22259">
        <w:rPr>
          <w:rFonts w:ascii="Times New Roman" w:hAnsi="Times New Roman"/>
          <w:i/>
          <w:iCs/>
        </w:rPr>
        <w:t xml:space="preserve">Aubrey </w:t>
      </w:r>
      <w:r w:rsidRPr="00F22259">
        <w:rPr>
          <w:rFonts w:ascii="Times New Roman" w:hAnsi="Times New Roman"/>
        </w:rPr>
        <w:t xml:space="preserve">the decision in </w:t>
      </w:r>
      <w:r w:rsidRPr="00F22259">
        <w:rPr>
          <w:rFonts w:ascii="Times New Roman" w:hAnsi="Times New Roman"/>
          <w:i/>
          <w:iCs/>
        </w:rPr>
        <w:t xml:space="preserve">Campbell </w:t>
      </w:r>
      <w:r w:rsidRPr="00F22259">
        <w:rPr>
          <w:rFonts w:ascii="Times New Roman" w:hAnsi="Times New Roman"/>
        </w:rPr>
        <w:t>could not have been thought to be plainly wrong. The difference is not as stark as might first appear between (</w:t>
      </w:r>
      <w:proofErr w:type="spellStart"/>
      <w:r w:rsidRPr="00F22259">
        <w:rPr>
          <w:rFonts w:ascii="Times New Roman" w:hAnsi="Times New Roman"/>
        </w:rPr>
        <w:t>i</w:t>
      </w:r>
      <w:proofErr w:type="spellEnd"/>
      <w:r w:rsidRPr="00F22259">
        <w:rPr>
          <w:rFonts w:ascii="Times New Roman" w:hAnsi="Times New Roman"/>
        </w:rPr>
        <w:t xml:space="preserve">) the judicial meaning given to recklessness in </w:t>
      </w:r>
      <w:r w:rsidRPr="00F22259">
        <w:rPr>
          <w:rFonts w:ascii="Times New Roman" w:hAnsi="Times New Roman"/>
          <w:i/>
          <w:iCs/>
        </w:rPr>
        <w:t>Aubrey</w:t>
      </w:r>
      <w:r w:rsidRPr="00F22259">
        <w:rPr>
          <w:rFonts w:ascii="Times New Roman" w:hAnsi="Times New Roman"/>
        </w:rPr>
        <w:t xml:space="preserve">, and (ii) the judicial meaning given to recklessness in </w:t>
      </w:r>
      <w:r w:rsidRPr="00F22259">
        <w:rPr>
          <w:rFonts w:ascii="Times New Roman" w:hAnsi="Times New Roman"/>
          <w:i/>
          <w:iCs/>
        </w:rPr>
        <w:t>Campbell</w:t>
      </w:r>
      <w:r w:rsidRPr="00F22259">
        <w:rPr>
          <w:rFonts w:ascii="Times New Roman" w:hAnsi="Times New Roman"/>
        </w:rPr>
        <w:t xml:space="preserve">. In effect, </w:t>
      </w:r>
      <w:r w:rsidRPr="00F22259">
        <w:rPr>
          <w:rFonts w:ascii="Times New Roman" w:hAnsi="Times New Roman"/>
          <w:i/>
          <w:iCs/>
        </w:rPr>
        <w:t>Campbell</w:t>
      </w:r>
      <w:r w:rsidRPr="00F22259">
        <w:rPr>
          <w:rFonts w:ascii="Times New Roman" w:hAnsi="Times New Roman"/>
          <w:iCs/>
        </w:rPr>
        <w:t xml:space="preserve"> </w:t>
      </w:r>
      <w:r w:rsidRPr="00F22259">
        <w:rPr>
          <w:rFonts w:ascii="Times New Roman" w:hAnsi="Times New Roman"/>
        </w:rPr>
        <w:t xml:space="preserve">aligns the meaning of recklessness in cases of offences involving the causing of serious injury with the meaning of recklessness in offences involving murder or, possibly, endangerment of life. Secondly, the decision in </w:t>
      </w:r>
      <w:r w:rsidRPr="00F22259">
        <w:rPr>
          <w:rFonts w:ascii="Times New Roman" w:hAnsi="Times New Roman"/>
          <w:i/>
          <w:iCs/>
        </w:rPr>
        <w:t xml:space="preserve">Campbell </w:t>
      </w:r>
      <w:r w:rsidRPr="00F22259">
        <w:rPr>
          <w:rFonts w:ascii="Times New Roman" w:hAnsi="Times New Roman"/>
        </w:rPr>
        <w:t xml:space="preserve">has formed part of the background for amendments to the penalties and related provisions in the </w:t>
      </w:r>
      <w:r w:rsidRPr="00F22259">
        <w:rPr>
          <w:rFonts w:ascii="Times New Roman" w:hAnsi="Times New Roman"/>
          <w:i/>
          <w:iCs/>
        </w:rPr>
        <w:t>Crimes Act</w:t>
      </w:r>
      <w:r w:rsidRPr="00F22259">
        <w:rPr>
          <w:rFonts w:ascii="Times New Roman" w:hAnsi="Times New Roman"/>
        </w:rPr>
        <w:t>. Although this is not a case where a provision – in this case, s 17 – has been subsequently amended or re</w:t>
      </w:r>
      <w:r w:rsidRPr="00F22259">
        <w:rPr>
          <w:rFonts w:ascii="Times New Roman" w:hAnsi="Times New Roman"/>
        </w:rPr>
        <w:noBreakHyphen/>
        <w:t>enacted with an intention to give the provision a particular meaning</w:t>
      </w:r>
      <w:r w:rsidRPr="00F22259">
        <w:rPr>
          <w:rStyle w:val="FootnoteReference"/>
          <w:rFonts w:ascii="Times New Roman" w:hAnsi="Times New Roman"/>
          <w:sz w:val="24"/>
        </w:rPr>
        <w:footnoteReference w:id="138"/>
      </w:r>
      <w:r w:rsidRPr="00F22259">
        <w:rPr>
          <w:rFonts w:ascii="Times New Roman" w:hAnsi="Times New Roman"/>
        </w:rPr>
        <w:t xml:space="preserve">, the judicial development of the meaning of recklessness cannot ignore the subsequent amendment of provisions of the </w:t>
      </w:r>
      <w:r w:rsidRPr="00F22259">
        <w:rPr>
          <w:rFonts w:ascii="Times New Roman" w:hAnsi="Times New Roman"/>
          <w:i/>
          <w:iCs/>
        </w:rPr>
        <w:t>Crimes Act</w:t>
      </w:r>
      <w:r w:rsidRPr="00F22259">
        <w:rPr>
          <w:rFonts w:ascii="Times New Roman" w:hAnsi="Times New Roman"/>
        </w:rPr>
        <w:t xml:space="preserve"> against the background of the judicially determined meaning in </w:t>
      </w:r>
      <w:r w:rsidRPr="00F22259">
        <w:rPr>
          <w:rFonts w:ascii="Times New Roman" w:hAnsi="Times New Roman"/>
          <w:i/>
          <w:iCs/>
        </w:rPr>
        <w:t>Campbell</w:t>
      </w:r>
      <w:r w:rsidRPr="00F22259">
        <w:rPr>
          <w:rFonts w:ascii="Times New Roman" w:hAnsi="Times New Roman"/>
        </w:rPr>
        <w:t xml:space="preserve">. Thirdly, the judicial meaning of recklessness in </w:t>
      </w:r>
      <w:r w:rsidRPr="00F22259">
        <w:rPr>
          <w:rFonts w:ascii="Times New Roman" w:hAnsi="Times New Roman"/>
          <w:i/>
          <w:iCs/>
        </w:rPr>
        <w:t xml:space="preserve">Campbell </w:t>
      </w:r>
      <w:r w:rsidRPr="00F22259">
        <w:rPr>
          <w:rFonts w:ascii="Times New Roman" w:hAnsi="Times New Roman"/>
        </w:rPr>
        <w:t>has been adopted in the courts of Victoria for 26 years without any obvious inconvenience. There could be real unfairness in the imposition of a new judicial interpretation which, in effect, would retroactively criminalise uncharged or untried conduct over that long period.</w:t>
      </w:r>
    </w:p>
    <w:p w14:paraId="65AD8A93" w14:textId="77777777" w:rsidR="004933DB" w:rsidRPr="00F22259" w:rsidRDefault="004933DB" w:rsidP="00F22259">
      <w:pPr>
        <w:pStyle w:val="HeadingL1"/>
        <w:spacing w:after="260" w:line="280" w:lineRule="exact"/>
        <w:ind w:right="0"/>
        <w:jc w:val="both"/>
        <w:rPr>
          <w:rFonts w:ascii="Times New Roman" w:hAnsi="Times New Roman"/>
        </w:rPr>
      </w:pPr>
      <w:r w:rsidRPr="00F22259">
        <w:rPr>
          <w:rFonts w:ascii="Times New Roman" w:hAnsi="Times New Roman"/>
        </w:rPr>
        <w:t>Section 17 and the principled meaning of recklessness</w:t>
      </w:r>
    </w:p>
    <w:p w14:paraId="4DAA0DCE" w14:textId="77777777" w:rsidR="004933DB" w:rsidRPr="00F22259" w:rsidRDefault="004933DB" w:rsidP="00F22259">
      <w:pPr>
        <w:pStyle w:val="HeadingL2"/>
        <w:spacing w:after="260" w:line="280" w:lineRule="exact"/>
        <w:ind w:right="0"/>
        <w:jc w:val="both"/>
        <w:rPr>
          <w:rFonts w:ascii="Times New Roman" w:hAnsi="Times New Roman"/>
          <w:iCs/>
        </w:rPr>
      </w:pPr>
      <w:r w:rsidRPr="00F22259">
        <w:rPr>
          <w:rFonts w:ascii="Times New Roman" w:hAnsi="Times New Roman"/>
        </w:rPr>
        <w:t>The developed meanings of recklessness</w:t>
      </w:r>
    </w:p>
    <w:p w14:paraId="0FE080F7"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In </w:t>
      </w:r>
      <w:r w:rsidRPr="00F22259">
        <w:rPr>
          <w:rFonts w:ascii="Times New Roman" w:hAnsi="Times New Roman"/>
          <w:i/>
          <w:iCs/>
        </w:rPr>
        <w:t>Aubrey</w:t>
      </w:r>
      <w:r w:rsidRPr="00F22259">
        <w:rPr>
          <w:rStyle w:val="FootnoteReference"/>
          <w:rFonts w:ascii="Times New Roman" w:hAnsi="Times New Roman"/>
          <w:sz w:val="24"/>
        </w:rPr>
        <w:footnoteReference w:id="139"/>
      </w:r>
      <w:r w:rsidRPr="00F22259">
        <w:rPr>
          <w:rFonts w:ascii="Times New Roman" w:hAnsi="Times New Roman"/>
        </w:rPr>
        <w:t xml:space="preserve">, one issue was the meaning of an "act ... done recklessly" within the definition of "maliciously" in s 5 of the </w:t>
      </w:r>
      <w:r w:rsidRPr="00F22259">
        <w:rPr>
          <w:rFonts w:ascii="Times New Roman" w:hAnsi="Times New Roman"/>
          <w:i/>
          <w:iCs/>
        </w:rPr>
        <w:t>Crimes Act 1900</w:t>
      </w:r>
      <w:r w:rsidRPr="00F22259">
        <w:rPr>
          <w:rFonts w:ascii="Times New Roman" w:hAnsi="Times New Roman"/>
          <w:iCs/>
        </w:rPr>
        <w:t> </w:t>
      </w:r>
      <w:r w:rsidRPr="00F22259">
        <w:rPr>
          <w:rFonts w:ascii="Times New Roman" w:hAnsi="Times New Roman"/>
        </w:rPr>
        <w:t>(NSW). In the joint judgment of Kiefel CJ, Keane, Nettle and Edelman JJ</w:t>
      </w:r>
      <w:r w:rsidRPr="00F22259">
        <w:rPr>
          <w:rStyle w:val="FootnoteReference"/>
          <w:rFonts w:ascii="Times New Roman" w:hAnsi="Times New Roman"/>
          <w:sz w:val="24"/>
        </w:rPr>
        <w:footnoteReference w:id="140"/>
      </w:r>
      <w:r w:rsidRPr="00F22259">
        <w:rPr>
          <w:rFonts w:ascii="Times New Roman" w:hAnsi="Times New Roman"/>
        </w:rPr>
        <w:t>, with whom Bell J agreed on this point</w:t>
      </w:r>
      <w:r w:rsidRPr="00F22259">
        <w:rPr>
          <w:rStyle w:val="FootnoteReference"/>
          <w:rFonts w:ascii="Times New Roman" w:hAnsi="Times New Roman"/>
          <w:sz w:val="24"/>
        </w:rPr>
        <w:footnoteReference w:id="141"/>
      </w:r>
      <w:r w:rsidRPr="00F22259">
        <w:rPr>
          <w:rFonts w:ascii="Times New Roman" w:hAnsi="Times New Roman"/>
        </w:rPr>
        <w:t xml:space="preserve">, it was observed that, since at least 1883, the notion of recklessness had been judicially developed to embrace "foreseeing the possibility </w:t>
      </w:r>
      <w:r w:rsidRPr="00F22259">
        <w:rPr>
          <w:rFonts w:ascii="Times New Roman" w:hAnsi="Times New Roman"/>
        </w:rPr>
        <w:lastRenderedPageBreak/>
        <w:t>of consequences and proceeding nonetheless"</w:t>
      </w:r>
      <w:r w:rsidRPr="00F22259">
        <w:rPr>
          <w:rStyle w:val="FootnoteReference"/>
          <w:rFonts w:ascii="Times New Roman" w:hAnsi="Times New Roman"/>
          <w:sz w:val="24"/>
        </w:rPr>
        <w:footnoteReference w:id="142"/>
      </w:r>
      <w:r w:rsidRPr="00F22259">
        <w:rPr>
          <w:rFonts w:ascii="Times New Roman" w:hAnsi="Times New Roman"/>
        </w:rPr>
        <w:t>. The joint judgment explained that this aspect of the usual judicially applied meaning of "recklessness" had been a long</w:t>
      </w:r>
      <w:r w:rsidRPr="00F22259">
        <w:rPr>
          <w:rFonts w:ascii="Times New Roman" w:hAnsi="Times New Roman"/>
        </w:rPr>
        <w:noBreakHyphen/>
        <w:t>standing position in Victoria</w:t>
      </w:r>
      <w:r w:rsidRPr="00F22259">
        <w:rPr>
          <w:rStyle w:val="FootnoteReference"/>
          <w:rFonts w:ascii="Times New Roman" w:hAnsi="Times New Roman"/>
          <w:sz w:val="24"/>
        </w:rPr>
        <w:footnoteReference w:id="143"/>
      </w:r>
      <w:r w:rsidRPr="00F22259">
        <w:rPr>
          <w:rFonts w:ascii="Times New Roman" w:hAnsi="Times New Roman"/>
        </w:rPr>
        <w:t>.</w:t>
      </w:r>
    </w:p>
    <w:p w14:paraId="32C03123"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But this was not the only meaning of recklessness. An exception to this judicially applied meaning, recognised by this Court in </w:t>
      </w:r>
      <w:r w:rsidRPr="00F22259">
        <w:rPr>
          <w:rFonts w:ascii="Times New Roman" w:hAnsi="Times New Roman"/>
          <w:i/>
          <w:iCs/>
        </w:rPr>
        <w:t>Aubrey</w:t>
      </w:r>
      <w:r w:rsidRPr="00F22259">
        <w:rPr>
          <w:rFonts w:ascii="Times New Roman" w:hAnsi="Times New Roman"/>
        </w:rPr>
        <w:t>,</w:t>
      </w:r>
      <w:r w:rsidRPr="00F22259">
        <w:rPr>
          <w:rFonts w:ascii="Times New Roman" w:hAnsi="Times New Roman"/>
          <w:i/>
          <w:iCs/>
        </w:rPr>
        <w:t xml:space="preserve"> </w:t>
      </w:r>
      <w:r w:rsidRPr="00F22259">
        <w:rPr>
          <w:rFonts w:ascii="Times New Roman" w:hAnsi="Times New Roman"/>
        </w:rPr>
        <w:t xml:space="preserve">is where recklessness is an element of the offence of common law murder or the offence contained in s 18 of the </w:t>
      </w:r>
      <w:r w:rsidRPr="00F22259">
        <w:rPr>
          <w:rFonts w:ascii="Times New Roman" w:hAnsi="Times New Roman"/>
          <w:i/>
          <w:iCs/>
        </w:rPr>
        <w:t>Crimes Act</w:t>
      </w:r>
      <w:r w:rsidRPr="00F22259">
        <w:rPr>
          <w:rFonts w:ascii="Times New Roman" w:hAnsi="Times New Roman"/>
        </w:rPr>
        <w:t xml:space="preserve"> </w:t>
      </w:r>
      <w:r w:rsidRPr="00F22259">
        <w:rPr>
          <w:rFonts w:ascii="Times New Roman" w:hAnsi="Times New Roman"/>
          <w:i/>
        </w:rPr>
        <w:t>1900 </w:t>
      </w:r>
      <w:r w:rsidRPr="00F22259">
        <w:rPr>
          <w:rFonts w:ascii="Times New Roman" w:hAnsi="Times New Roman"/>
        </w:rPr>
        <w:t>(NSW) requiring "reckless indifference to human life"</w:t>
      </w:r>
      <w:r w:rsidRPr="00F22259">
        <w:rPr>
          <w:rStyle w:val="FootnoteReference"/>
          <w:rFonts w:ascii="Times New Roman" w:hAnsi="Times New Roman"/>
          <w:sz w:val="24"/>
        </w:rPr>
        <w:footnoteReference w:id="144"/>
      </w:r>
      <w:r w:rsidRPr="00F22259">
        <w:rPr>
          <w:rFonts w:ascii="Times New Roman" w:hAnsi="Times New Roman"/>
          <w:iCs/>
        </w:rPr>
        <w:t>.</w:t>
      </w:r>
      <w:r w:rsidRPr="00F22259">
        <w:rPr>
          <w:rFonts w:ascii="Times New Roman" w:hAnsi="Times New Roman"/>
          <w:i/>
          <w:iCs/>
        </w:rPr>
        <w:t xml:space="preserve"> </w:t>
      </w:r>
      <w:r w:rsidRPr="00F22259">
        <w:rPr>
          <w:rFonts w:ascii="Times New Roman" w:hAnsi="Times New Roman"/>
        </w:rPr>
        <w:t xml:space="preserve">The joint judgment in </w:t>
      </w:r>
      <w:r w:rsidRPr="00F22259">
        <w:rPr>
          <w:rFonts w:ascii="Times New Roman" w:hAnsi="Times New Roman"/>
          <w:i/>
          <w:iCs/>
        </w:rPr>
        <w:t>Aubrey</w:t>
      </w:r>
      <w:r w:rsidRPr="00F22259">
        <w:rPr>
          <w:rStyle w:val="FootnoteReference"/>
          <w:rFonts w:ascii="Times New Roman" w:hAnsi="Times New Roman"/>
          <w:sz w:val="24"/>
        </w:rPr>
        <w:footnoteReference w:id="145"/>
      </w:r>
      <w:r w:rsidRPr="00F22259">
        <w:rPr>
          <w:rFonts w:ascii="Times New Roman" w:hAnsi="Times New Roman"/>
          <w:i/>
          <w:iCs/>
        </w:rPr>
        <w:t xml:space="preserve"> </w:t>
      </w:r>
      <w:r w:rsidRPr="00F22259">
        <w:rPr>
          <w:rFonts w:ascii="Times New Roman" w:hAnsi="Times New Roman"/>
        </w:rPr>
        <w:t xml:space="preserve">approved the reasoning of Hunt J in </w:t>
      </w:r>
      <w:r w:rsidRPr="00F22259">
        <w:rPr>
          <w:rFonts w:ascii="Times New Roman" w:hAnsi="Times New Roman"/>
          <w:i/>
        </w:rPr>
        <w:t>R v Coleman</w:t>
      </w:r>
      <w:r w:rsidRPr="00F22259">
        <w:rPr>
          <w:rStyle w:val="FootnoteReference"/>
          <w:rFonts w:ascii="Times New Roman" w:hAnsi="Times New Roman"/>
          <w:sz w:val="24"/>
        </w:rPr>
        <w:footnoteReference w:id="146"/>
      </w:r>
      <w:r w:rsidRPr="00F22259">
        <w:rPr>
          <w:rFonts w:ascii="Times New Roman" w:hAnsi="Times New Roman"/>
          <w:i/>
        </w:rPr>
        <w:t xml:space="preserve"> </w:t>
      </w:r>
      <w:r w:rsidRPr="00F22259">
        <w:rPr>
          <w:rFonts w:ascii="Times New Roman" w:hAnsi="Times New Roman"/>
          <w:iCs/>
        </w:rPr>
        <w:t xml:space="preserve">that the "contemplation by the accused of the </w:t>
      </w:r>
      <w:r w:rsidRPr="00F22259">
        <w:rPr>
          <w:rFonts w:ascii="Times New Roman" w:hAnsi="Times New Roman"/>
          <w:i/>
        </w:rPr>
        <w:t xml:space="preserve">probable </w:t>
      </w:r>
      <w:r w:rsidRPr="00F22259">
        <w:rPr>
          <w:rFonts w:ascii="Times New Roman" w:hAnsi="Times New Roman"/>
          <w:iCs/>
        </w:rPr>
        <w:t>consequence of death is required for murder because it has to be comparable with an intention to kill or to do grievous bodily harm".</w:t>
      </w:r>
    </w:p>
    <w:p w14:paraId="1229E867"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iCs/>
        </w:rPr>
        <w:tab/>
        <w:t xml:space="preserve">The difference between the meaning of recklessness for most </w:t>
      </w:r>
      <w:r w:rsidRPr="00F22259">
        <w:rPr>
          <w:rFonts w:ascii="Times New Roman" w:hAnsi="Times New Roman"/>
        </w:rPr>
        <w:t xml:space="preserve">offences </w:t>
      </w:r>
      <w:r w:rsidRPr="00F22259">
        <w:rPr>
          <w:rFonts w:ascii="Times New Roman" w:hAnsi="Times New Roman"/>
          <w:iCs/>
        </w:rPr>
        <w:t>(</w:t>
      </w:r>
      <w:r w:rsidRPr="00F22259">
        <w:rPr>
          <w:rFonts w:ascii="Times New Roman" w:hAnsi="Times New Roman"/>
        </w:rPr>
        <w:t xml:space="preserve">which focuses upon foresight of the </w:t>
      </w:r>
      <w:r w:rsidRPr="00F22259">
        <w:rPr>
          <w:rFonts w:ascii="Times New Roman" w:hAnsi="Times New Roman"/>
          <w:i/>
        </w:rPr>
        <w:t>possibility</w:t>
      </w:r>
      <w:r w:rsidRPr="00F22259">
        <w:rPr>
          <w:rFonts w:ascii="Times New Roman" w:hAnsi="Times New Roman"/>
        </w:rPr>
        <w:t xml:space="preserve"> of the consequences) and the meaning in the context of murder and, possibly, offences involving reckless indifference to human life (which focuses upon foresight of the </w:t>
      </w:r>
      <w:r w:rsidRPr="00F22259">
        <w:rPr>
          <w:rFonts w:ascii="Times New Roman" w:hAnsi="Times New Roman"/>
          <w:i/>
        </w:rPr>
        <w:t>probability</w:t>
      </w:r>
      <w:r w:rsidRPr="00F22259">
        <w:rPr>
          <w:rFonts w:ascii="Times New Roman" w:hAnsi="Times New Roman"/>
        </w:rPr>
        <w:t xml:space="preserve"> of the consequences) is not as stark as first appears. A further requirement has always been necessary before recklessness can be found on the test based upon foresight of the possibility of </w:t>
      </w:r>
      <w:r>
        <w:rPr>
          <w:rFonts w:ascii="Times New Roman" w:hAnsi="Times New Roman"/>
        </w:rPr>
        <w:t xml:space="preserve">the </w:t>
      </w:r>
      <w:r w:rsidRPr="00F22259">
        <w:rPr>
          <w:rFonts w:ascii="Times New Roman" w:hAnsi="Times New Roman"/>
        </w:rPr>
        <w:t>consequences, although in many cases no further direction to a jury as to this additional requirement will be needed. That further requirement is that the risk must be unreasonable in the circumstances known to the accused. As explained below, this further requirement is not wholly separate from assessments of the probability or possibility of the consequences. Hence, it was said in</w:t>
      </w:r>
      <w:r w:rsidRPr="00F22259" w:rsidDel="00DE1F54">
        <w:rPr>
          <w:rFonts w:ascii="Times New Roman" w:hAnsi="Times New Roman"/>
        </w:rPr>
        <w:t xml:space="preserve"> </w:t>
      </w:r>
      <w:r w:rsidRPr="00F22259">
        <w:rPr>
          <w:rFonts w:ascii="Times New Roman" w:hAnsi="Times New Roman"/>
        </w:rPr>
        <w:t xml:space="preserve">the joint judgment in </w:t>
      </w:r>
      <w:r w:rsidRPr="00F22259">
        <w:rPr>
          <w:rFonts w:ascii="Times New Roman" w:hAnsi="Times New Roman"/>
          <w:i/>
          <w:iCs/>
        </w:rPr>
        <w:t>Aubrey</w:t>
      </w:r>
      <w:r w:rsidRPr="00F22259">
        <w:rPr>
          <w:rStyle w:val="FootnoteReference"/>
          <w:rFonts w:ascii="Times New Roman" w:hAnsi="Times New Roman"/>
          <w:sz w:val="24"/>
        </w:rPr>
        <w:footnoteReference w:id="147"/>
      </w:r>
      <w:r w:rsidRPr="00F22259">
        <w:rPr>
          <w:rFonts w:ascii="Times New Roman" w:hAnsi="Times New Roman"/>
          <w:i/>
          <w:iCs/>
        </w:rPr>
        <w:t xml:space="preserve"> </w:t>
      </w:r>
      <w:r w:rsidRPr="00F22259">
        <w:rPr>
          <w:rFonts w:ascii="Times New Roman" w:hAnsi="Times New Roman"/>
        </w:rPr>
        <w:t>that "the reasonableness of an act and the degree of foresight of harm required to constitute recklessness in so acting are logically connected".</w:t>
      </w:r>
    </w:p>
    <w:p w14:paraId="6CC58557"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lastRenderedPageBreak/>
        <w:tab/>
        <w:t xml:space="preserve">In </w:t>
      </w:r>
      <w:r w:rsidRPr="00F22259">
        <w:rPr>
          <w:rFonts w:ascii="Times New Roman" w:hAnsi="Times New Roman"/>
          <w:i/>
          <w:iCs/>
        </w:rPr>
        <w:t>Aubrey</w:t>
      </w:r>
      <w:r w:rsidRPr="00F22259">
        <w:rPr>
          <w:rFonts w:ascii="Times New Roman" w:hAnsi="Times New Roman"/>
        </w:rPr>
        <w:t>, the joint judgment gave examples of situations which illustrate the need for recklessness to contain the further requirement – in addition to the requirement of foresight of the possibility of the relevant consequence – by reference to acts such as driving a motor car or playing a contact sport</w:t>
      </w:r>
      <w:r w:rsidRPr="00F22259">
        <w:rPr>
          <w:rStyle w:val="FootnoteReference"/>
          <w:rFonts w:ascii="Times New Roman" w:hAnsi="Times New Roman"/>
          <w:sz w:val="24"/>
        </w:rPr>
        <w:footnoteReference w:id="148"/>
      </w:r>
      <w:r w:rsidRPr="00F22259">
        <w:rPr>
          <w:rFonts w:ascii="Times New Roman" w:hAnsi="Times New Roman"/>
        </w:rPr>
        <w:t xml:space="preserve">. If recklessness </w:t>
      </w:r>
      <w:proofErr w:type="gramStart"/>
      <w:r w:rsidRPr="00F22259">
        <w:rPr>
          <w:rFonts w:ascii="Times New Roman" w:hAnsi="Times New Roman"/>
        </w:rPr>
        <w:t>required</w:t>
      </w:r>
      <w:proofErr w:type="gramEnd"/>
      <w:r w:rsidRPr="00F22259">
        <w:rPr>
          <w:rFonts w:ascii="Times New Roman" w:hAnsi="Times New Roman"/>
        </w:rPr>
        <w:t xml:space="preserve"> no more than mere foresight of the possibility of serious injury then any time a person drove a car or played a contact sport the person might be reckless. The joint judgment referred to the "social utility" of these acts and to the willingness of an accused to "run the risk", the notion of which was said to include the reasonableness of the act</w:t>
      </w:r>
      <w:r w:rsidRPr="00F22259">
        <w:rPr>
          <w:rStyle w:val="FootnoteReference"/>
          <w:rFonts w:ascii="Times New Roman" w:hAnsi="Times New Roman"/>
          <w:sz w:val="24"/>
        </w:rPr>
        <w:footnoteReference w:id="149"/>
      </w:r>
      <w:r w:rsidRPr="00F22259">
        <w:rPr>
          <w:rFonts w:ascii="Times New Roman" w:hAnsi="Times New Roman"/>
        </w:rPr>
        <w:t xml:space="preserve">. Ultimately, however, it was not necessary for this Court in </w:t>
      </w:r>
      <w:r w:rsidRPr="00F22259">
        <w:rPr>
          <w:rFonts w:ascii="Times New Roman" w:hAnsi="Times New Roman"/>
          <w:i/>
          <w:iCs/>
        </w:rPr>
        <w:t xml:space="preserve">Aubrey </w:t>
      </w:r>
      <w:r w:rsidRPr="00F22259">
        <w:rPr>
          <w:rFonts w:ascii="Times New Roman" w:hAnsi="Times New Roman"/>
        </w:rPr>
        <w:t>to consider how to articulate the further requirement because no jury direction to that effect was needed: "there was never any question of the jury proceeding on the basis of foresight only of a bare possibility of harm"</w:t>
      </w:r>
      <w:r w:rsidRPr="00F22259">
        <w:rPr>
          <w:rStyle w:val="FootnoteReference"/>
          <w:rFonts w:ascii="Times New Roman" w:hAnsi="Times New Roman"/>
          <w:sz w:val="24"/>
        </w:rPr>
        <w:footnoteReference w:id="150"/>
      </w:r>
      <w:r w:rsidRPr="00F22259">
        <w:rPr>
          <w:rFonts w:ascii="Times New Roman" w:hAnsi="Times New Roman"/>
        </w:rPr>
        <w:t>. Similarly, in this case it could not have been suggested that there was anything reasonable in the conduct by which serious injury was caused, which was alleged to be a kick by the acquitted person to the head of the victim.</w:t>
      </w:r>
    </w:p>
    <w:p w14:paraId="70995735"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In oral submissions in this Court, the appellant dealt with a different example, given by the English Law Commission</w:t>
      </w:r>
      <w:r w:rsidRPr="00F22259">
        <w:rPr>
          <w:rStyle w:val="FootnoteReference"/>
          <w:rFonts w:ascii="Times New Roman" w:hAnsi="Times New Roman"/>
          <w:sz w:val="24"/>
        </w:rPr>
        <w:footnoteReference w:id="151"/>
      </w:r>
      <w:r w:rsidRPr="00F22259">
        <w:rPr>
          <w:rFonts w:ascii="Times New Roman" w:hAnsi="Times New Roman"/>
        </w:rPr>
        <w:t>:</w:t>
      </w:r>
    </w:p>
    <w:p w14:paraId="45B38F27" w14:textId="77777777" w:rsidR="004933DB" w:rsidRDefault="004933DB" w:rsidP="00F22259">
      <w:pPr>
        <w:pStyle w:val="LeftrightafterHC"/>
        <w:spacing w:before="0" w:after="260" w:line="280" w:lineRule="exact"/>
        <w:ind w:right="0"/>
        <w:jc w:val="both"/>
        <w:rPr>
          <w:rFonts w:ascii="Times New Roman" w:hAnsi="Times New Roman"/>
        </w:rPr>
      </w:pPr>
      <w:r w:rsidRPr="00F22259">
        <w:rPr>
          <w:rFonts w:ascii="Times New Roman" w:hAnsi="Times New Roman"/>
        </w:rPr>
        <w:t>"A professional variety artist, with many years of accident-free experience of juggling, is performing before an audience with a dozen Indian clubs. He admits that he foresaw that in such a performance he might misjudge a throw and wound a spectator but, in view of his long experience and skill, he thought there was no more than a very remote risk of a spectator being so injured. He in fact misjudges a throw, as a result of which a spectator is wounded."</w:t>
      </w:r>
    </w:p>
    <w:p w14:paraId="1487B199" w14:textId="77777777" w:rsidR="004933DB" w:rsidRPr="00F22259" w:rsidRDefault="004933DB" w:rsidP="00F22259">
      <w:pPr>
        <w:pStyle w:val="NormalBody"/>
        <w:spacing w:after="260" w:line="280" w:lineRule="exact"/>
        <w:ind w:right="0"/>
        <w:jc w:val="both"/>
        <w:rPr>
          <w:rFonts w:ascii="Times New Roman" w:hAnsi="Times New Roman"/>
        </w:rPr>
      </w:pPr>
      <w:r w:rsidRPr="00F22259">
        <w:rPr>
          <w:rFonts w:ascii="Times New Roman" w:hAnsi="Times New Roman"/>
        </w:rPr>
        <w:t xml:space="preserve">The appellant correctly submitted that the juggler would not be reckless. Running the various threads in </w:t>
      </w:r>
      <w:r w:rsidRPr="00F22259">
        <w:rPr>
          <w:rFonts w:ascii="Times New Roman" w:hAnsi="Times New Roman"/>
          <w:i/>
          <w:iCs/>
        </w:rPr>
        <w:t xml:space="preserve">Aubrey </w:t>
      </w:r>
      <w:r w:rsidRPr="00F22259">
        <w:rPr>
          <w:rFonts w:ascii="Times New Roman" w:hAnsi="Times New Roman"/>
        </w:rPr>
        <w:t xml:space="preserve">together, the appellant equated the enquiry as to the "social utility" of juggling with the enquiry as to the reasonableness of the act in the circumstances known to the juggler, and with the enquiry as to whether the juggler had "run the risk". These various expressions, however, carry different connotations. The preferable formulation for the further requirement of </w:t>
      </w:r>
      <w:r w:rsidRPr="00F22259">
        <w:rPr>
          <w:rFonts w:ascii="Times New Roman" w:hAnsi="Times New Roman"/>
        </w:rPr>
        <w:lastRenderedPageBreak/>
        <w:t>recklessness, which has been adopted in England</w:t>
      </w:r>
      <w:r w:rsidRPr="00F22259">
        <w:rPr>
          <w:rStyle w:val="FootnoteReference"/>
          <w:rFonts w:ascii="Times New Roman" w:hAnsi="Times New Roman"/>
          <w:sz w:val="24"/>
        </w:rPr>
        <w:footnoteReference w:id="152"/>
      </w:r>
      <w:r w:rsidRPr="00F22259">
        <w:rPr>
          <w:rFonts w:ascii="Times New Roman" w:hAnsi="Times New Roman"/>
        </w:rPr>
        <w:t xml:space="preserve">, should be the unreasonableness of taking the risk in the circumstances known to the accused. As the joint judgment in </w:t>
      </w:r>
      <w:r w:rsidRPr="00F22259">
        <w:rPr>
          <w:rFonts w:ascii="Times New Roman" w:hAnsi="Times New Roman"/>
          <w:i/>
          <w:iCs/>
        </w:rPr>
        <w:t xml:space="preserve">Aubrey </w:t>
      </w:r>
      <w:r w:rsidRPr="00F22259">
        <w:rPr>
          <w:rFonts w:ascii="Times New Roman" w:hAnsi="Times New Roman"/>
        </w:rPr>
        <w:t>acknowledged, in cases where it becomes relevant (namely, where it was suggested to be reasonable to take the risk) it may be that "the kind of directions that are now given in England will prove to be of assistance"</w:t>
      </w:r>
      <w:r w:rsidRPr="00F22259">
        <w:rPr>
          <w:rStyle w:val="FootnoteReference"/>
          <w:rFonts w:ascii="Times New Roman" w:hAnsi="Times New Roman"/>
          <w:sz w:val="24"/>
        </w:rPr>
        <w:footnoteReference w:id="153"/>
      </w:r>
      <w:r w:rsidRPr="00F22259">
        <w:rPr>
          <w:rFonts w:ascii="Times New Roman" w:hAnsi="Times New Roman"/>
        </w:rPr>
        <w:t>.</w:t>
      </w:r>
    </w:p>
    <w:p w14:paraId="34B4F9AC"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The difficulty with the concept of social utility, apparently suggested by Glanville Williams</w:t>
      </w:r>
      <w:r w:rsidRPr="00F22259">
        <w:rPr>
          <w:rStyle w:val="FootnoteReference"/>
          <w:rFonts w:ascii="Times New Roman" w:hAnsi="Times New Roman"/>
          <w:sz w:val="24"/>
        </w:rPr>
        <w:footnoteReference w:id="154"/>
      </w:r>
      <w:r w:rsidRPr="00F22259">
        <w:rPr>
          <w:rFonts w:ascii="Times New Roman" w:hAnsi="Times New Roman"/>
        </w:rPr>
        <w:t xml:space="preserve"> and Professor Fitzgerald</w:t>
      </w:r>
      <w:r w:rsidRPr="00F22259">
        <w:rPr>
          <w:rStyle w:val="FootnoteReference"/>
          <w:rFonts w:ascii="Times New Roman" w:hAnsi="Times New Roman"/>
          <w:sz w:val="24"/>
        </w:rPr>
        <w:footnoteReference w:id="155"/>
      </w:r>
      <w:r w:rsidRPr="00F22259">
        <w:rPr>
          <w:rFonts w:ascii="Times New Roman" w:hAnsi="Times New Roman"/>
        </w:rPr>
        <w:t>, lies in its association with a Benthamite metric of overall welfare. But the sense in which it was used as a further requirement of recklessness was more closely aligned with an enquiry about the reasonableness of the risk in situations which are either normal or abnormal with the attendant considerations that apply to each. For instance, Glanville Williams said that "driving cars has social utility" and is "regarded as generally reasonable and as justifying the taking of some risks"</w:t>
      </w:r>
      <w:r w:rsidRPr="00F22259">
        <w:rPr>
          <w:rStyle w:val="FootnoteReference"/>
          <w:rFonts w:ascii="Times New Roman" w:hAnsi="Times New Roman"/>
          <w:sz w:val="24"/>
        </w:rPr>
        <w:footnoteReference w:id="156"/>
      </w:r>
      <w:r w:rsidRPr="00F22259">
        <w:rPr>
          <w:rFonts w:ascii="Times New Roman" w:hAnsi="Times New Roman"/>
        </w:rPr>
        <w:t xml:space="preserve">. Because the activity is one which is </w:t>
      </w:r>
      <w:r w:rsidRPr="00F22259">
        <w:rPr>
          <w:rFonts w:ascii="Times New Roman" w:hAnsi="Times New Roman"/>
          <w:iCs/>
        </w:rPr>
        <w:t>normal,</w:t>
      </w:r>
      <w:r w:rsidRPr="00F22259">
        <w:rPr>
          <w:rFonts w:ascii="Times New Roman" w:hAnsi="Times New Roman"/>
          <w:i/>
        </w:rPr>
        <w:t xml:space="preserve"> </w:t>
      </w:r>
      <w:r w:rsidRPr="00F22259">
        <w:rPr>
          <w:rFonts w:ascii="Times New Roman" w:hAnsi="Times New Roman"/>
        </w:rPr>
        <w:t>it is one in which society has accepted the reasonableness of the underlying risk</w:t>
      </w:r>
      <w:r w:rsidRPr="00F22259">
        <w:rPr>
          <w:rStyle w:val="FootnoteReference"/>
          <w:rFonts w:ascii="Times New Roman" w:hAnsi="Times New Roman"/>
          <w:sz w:val="24"/>
        </w:rPr>
        <w:footnoteReference w:id="157"/>
      </w:r>
      <w:r w:rsidRPr="00F22259">
        <w:rPr>
          <w:rFonts w:ascii="Times New Roman" w:hAnsi="Times New Roman"/>
        </w:rPr>
        <w:t xml:space="preserve">. The same reasonableness enquiry can extend to abnormal activities which Glanville Williams described as involving social utility, such as a field surgeon performing an urgent operation which requires them to run the risk of choosing an </w:t>
      </w:r>
      <w:proofErr w:type="spellStart"/>
      <w:r w:rsidRPr="00F22259">
        <w:rPr>
          <w:rFonts w:ascii="Times New Roman" w:hAnsi="Times New Roman"/>
        </w:rPr>
        <w:t>unsterilised</w:t>
      </w:r>
      <w:proofErr w:type="spellEnd"/>
      <w:r w:rsidRPr="00F22259">
        <w:rPr>
          <w:rFonts w:ascii="Times New Roman" w:hAnsi="Times New Roman"/>
        </w:rPr>
        <w:t xml:space="preserve"> scalpel</w:t>
      </w:r>
      <w:r w:rsidRPr="00F22259">
        <w:rPr>
          <w:rStyle w:val="FootnoteReference"/>
          <w:rFonts w:ascii="Times New Roman" w:hAnsi="Times New Roman"/>
          <w:sz w:val="24"/>
        </w:rPr>
        <w:footnoteReference w:id="158"/>
      </w:r>
      <w:r w:rsidRPr="00F22259">
        <w:rPr>
          <w:rFonts w:ascii="Times New Roman" w:hAnsi="Times New Roman"/>
        </w:rPr>
        <w:t>. Again, social utility is a label which conceals the real enquiry – the implicit reasonableness assessment – involving consideration of the "magnitude of the risk and the degree of the probability of its occurrence, along with the expense, difficulty and inconvenience of taking alleviating action and any other conflicting responsibilities which the defendant may have"</w:t>
      </w:r>
      <w:r w:rsidRPr="00F22259">
        <w:rPr>
          <w:rStyle w:val="FootnoteReference"/>
          <w:rFonts w:ascii="Times New Roman" w:hAnsi="Times New Roman"/>
          <w:sz w:val="24"/>
        </w:rPr>
        <w:footnoteReference w:id="159"/>
      </w:r>
      <w:r w:rsidRPr="00F22259">
        <w:rPr>
          <w:rFonts w:ascii="Times New Roman" w:hAnsi="Times New Roman"/>
        </w:rPr>
        <w:t>.</w:t>
      </w:r>
    </w:p>
    <w:p w14:paraId="1DDB1314"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lastRenderedPageBreak/>
        <w:tab/>
        <w:t>As to the language of whether the accused was willing to "run the risk" of causing the same kind of harm as that alleged</w:t>
      </w:r>
      <w:r w:rsidRPr="00F22259">
        <w:rPr>
          <w:rStyle w:val="FootnoteReference"/>
          <w:rFonts w:ascii="Times New Roman" w:hAnsi="Times New Roman"/>
          <w:sz w:val="24"/>
        </w:rPr>
        <w:footnoteReference w:id="160"/>
      </w:r>
      <w:r w:rsidRPr="00F22259">
        <w:rPr>
          <w:rFonts w:ascii="Times New Roman" w:hAnsi="Times New Roman"/>
        </w:rPr>
        <w:t>, this language was first suggested in later editions of Dr Kenny's work on criminal law</w:t>
      </w:r>
      <w:r w:rsidRPr="00F22259">
        <w:rPr>
          <w:rStyle w:val="FootnoteReference"/>
          <w:rFonts w:ascii="Times New Roman" w:hAnsi="Times New Roman"/>
          <w:sz w:val="24"/>
        </w:rPr>
        <w:footnoteReference w:id="161"/>
      </w:r>
      <w:r w:rsidRPr="00F22259">
        <w:rPr>
          <w:rFonts w:ascii="Times New Roman" w:hAnsi="Times New Roman"/>
        </w:rPr>
        <w:t>. It was followed by Glanville Williams</w:t>
      </w:r>
      <w:r w:rsidRPr="00F22259">
        <w:rPr>
          <w:rStyle w:val="FootnoteReference"/>
          <w:rFonts w:ascii="Times New Roman" w:hAnsi="Times New Roman"/>
          <w:sz w:val="24"/>
        </w:rPr>
        <w:footnoteReference w:id="162"/>
      </w:r>
      <w:r w:rsidRPr="00F22259">
        <w:rPr>
          <w:rFonts w:ascii="Times New Roman" w:hAnsi="Times New Roman"/>
        </w:rPr>
        <w:t xml:space="preserve">. The difficulty with that expression is that </w:t>
      </w:r>
      <w:r w:rsidRPr="00F22259">
        <w:rPr>
          <w:rFonts w:ascii="Times New Roman" w:hAnsi="Times New Roman"/>
          <w:i/>
        </w:rPr>
        <w:t>every</w:t>
      </w:r>
      <w:r w:rsidRPr="00F22259">
        <w:rPr>
          <w:rFonts w:ascii="Times New Roman" w:hAnsi="Times New Roman"/>
        </w:rPr>
        <w:t xml:space="preserve"> foreseen risk will be run when an accused person persists with the relevant conduct. And, as Glanville Williams recognised, almost every activity in society involves risks. In order to avoid running risks, he said, we "should have to abjure canned food, uncooked food, reheated food ... bath</w:t>
      </w:r>
      <w:r w:rsidRPr="00F22259">
        <w:rPr>
          <w:rFonts w:ascii="Times New Roman" w:hAnsi="Times New Roman"/>
        </w:rPr>
        <w:noBreakHyphen/>
        <w:t>tubs, gas fires, electric fires, coal fires, oil burners, stairs, lifts, machines of every kind"</w:t>
      </w:r>
      <w:r w:rsidRPr="00F22259">
        <w:rPr>
          <w:rStyle w:val="FootnoteReference"/>
          <w:rFonts w:ascii="Times New Roman" w:hAnsi="Times New Roman"/>
          <w:sz w:val="24"/>
        </w:rPr>
        <w:footnoteReference w:id="163"/>
      </w:r>
      <w:r w:rsidRPr="00F22259">
        <w:rPr>
          <w:rFonts w:ascii="Times New Roman" w:hAnsi="Times New Roman"/>
        </w:rPr>
        <w:t>. In an earlier text he had said that "everyone who drives a car knows that a possible consequence is that he will kill a pedestrian, but a killing is not for that reason reckless"</w:t>
      </w:r>
      <w:r w:rsidRPr="00F22259">
        <w:rPr>
          <w:rStyle w:val="FootnoteReference"/>
          <w:rFonts w:ascii="Times New Roman" w:hAnsi="Times New Roman"/>
          <w:sz w:val="24"/>
        </w:rPr>
        <w:footnoteReference w:id="164"/>
      </w:r>
      <w:r w:rsidRPr="00F22259">
        <w:rPr>
          <w:rFonts w:ascii="Times New Roman" w:hAnsi="Times New Roman"/>
        </w:rPr>
        <w:t>.</w:t>
      </w:r>
    </w:p>
    <w:p w14:paraId="7877A6B3"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The language of "risk</w:t>
      </w:r>
      <w:r w:rsidRPr="00F22259">
        <w:rPr>
          <w:rFonts w:ascii="Times New Roman" w:hAnsi="Times New Roman"/>
        </w:rPr>
        <w:noBreakHyphen/>
        <w:t>taking", as Glanville Williams observed, is really only legally relevant when it "becomes an act of negligence (whether inadvertent negligence or recklessness)" and this occurs "only when it is unreasonable in the circumstances"</w:t>
      </w:r>
      <w:r w:rsidRPr="00F22259">
        <w:rPr>
          <w:rStyle w:val="FootnoteReference"/>
          <w:rFonts w:ascii="Times New Roman" w:hAnsi="Times New Roman"/>
          <w:sz w:val="24"/>
        </w:rPr>
        <w:footnoteReference w:id="165"/>
      </w:r>
      <w:r w:rsidRPr="00F22259">
        <w:rPr>
          <w:rFonts w:ascii="Times New Roman" w:hAnsi="Times New Roman"/>
        </w:rPr>
        <w:t xml:space="preserve">. Writing at around the same time, Professor Hart had spoken of recklessness as "wittingly flying in the face of a substantial, </w:t>
      </w:r>
      <w:r w:rsidRPr="00F22259">
        <w:rPr>
          <w:rFonts w:ascii="Times New Roman" w:hAnsi="Times New Roman"/>
          <w:i/>
        </w:rPr>
        <w:t xml:space="preserve">unjustified </w:t>
      </w:r>
      <w:r w:rsidRPr="00F22259">
        <w:rPr>
          <w:rFonts w:ascii="Times New Roman" w:hAnsi="Times New Roman"/>
        </w:rPr>
        <w:t>risk, or the conscious creation of such a risk"</w:t>
      </w:r>
      <w:r w:rsidRPr="00F22259">
        <w:rPr>
          <w:rStyle w:val="FootnoteReference"/>
          <w:rFonts w:ascii="Times New Roman" w:hAnsi="Times New Roman"/>
          <w:sz w:val="24"/>
        </w:rPr>
        <w:footnoteReference w:id="166"/>
      </w:r>
      <w:r w:rsidRPr="00F22259">
        <w:rPr>
          <w:rFonts w:ascii="Times New Roman" w:hAnsi="Times New Roman"/>
        </w:rPr>
        <w:t>. This notion of an "unjustifiable" or "unreasonable" risk was followed by the American Law Institute in its Model Penal Code</w:t>
      </w:r>
      <w:r w:rsidRPr="00F22259">
        <w:rPr>
          <w:rStyle w:val="FootnoteReference"/>
          <w:rFonts w:ascii="Times New Roman" w:hAnsi="Times New Roman"/>
          <w:sz w:val="24"/>
        </w:rPr>
        <w:footnoteReference w:id="167"/>
      </w:r>
      <w:r w:rsidRPr="00F22259">
        <w:rPr>
          <w:rFonts w:ascii="Times New Roman" w:hAnsi="Times New Roman"/>
        </w:rPr>
        <w:t xml:space="preserve">. And, in England in </w:t>
      </w:r>
      <w:r w:rsidRPr="00F22259">
        <w:rPr>
          <w:rFonts w:ascii="Times New Roman" w:hAnsi="Times New Roman"/>
          <w:i/>
        </w:rPr>
        <w:t>R v G</w:t>
      </w:r>
      <w:r w:rsidRPr="00F22259">
        <w:rPr>
          <w:rStyle w:val="FootnoteReference"/>
          <w:rFonts w:ascii="Times New Roman" w:hAnsi="Times New Roman"/>
          <w:sz w:val="24"/>
        </w:rPr>
        <w:footnoteReference w:id="168"/>
      </w:r>
      <w:r w:rsidRPr="00F22259">
        <w:rPr>
          <w:rFonts w:ascii="Times New Roman" w:hAnsi="Times New Roman"/>
        </w:rPr>
        <w:t xml:space="preserve">, Lord Bingham of Cornhill, with whom </w:t>
      </w:r>
      <w:r w:rsidRPr="00F22259">
        <w:rPr>
          <w:rFonts w:ascii="Times New Roman" w:hAnsi="Times New Roman"/>
        </w:rPr>
        <w:lastRenderedPageBreak/>
        <w:t xml:space="preserve">the other Lords of Appeal agreed, required that the risk taken was, in the circumstances known to the accused, </w:t>
      </w:r>
      <w:r w:rsidRPr="00F22259">
        <w:rPr>
          <w:rFonts w:ascii="Times New Roman" w:hAnsi="Times New Roman"/>
          <w:iCs/>
        </w:rPr>
        <w:t>unreasonable.</w:t>
      </w:r>
    </w:p>
    <w:p w14:paraId="21432953"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iCs/>
        </w:rPr>
        <w:tab/>
        <w:t>Once it is appreciated that recklessness always requires the taking of an unreasonable risk, then it can be seen that "[</w:t>
      </w:r>
      <w:proofErr w:type="spellStart"/>
      <w:r w:rsidRPr="00F22259">
        <w:rPr>
          <w:rFonts w:ascii="Times New Roman" w:hAnsi="Times New Roman"/>
          <w:iCs/>
        </w:rPr>
        <w:t>i</w:t>
      </w:r>
      <w:proofErr w:type="spellEnd"/>
      <w:r w:rsidRPr="00F22259">
        <w:rPr>
          <w:rFonts w:ascii="Times New Roman" w:hAnsi="Times New Roman"/>
          <w:iCs/>
        </w:rPr>
        <w:t>]f foresight of possibility is to suffice then the justification should be founded on the distinct basis that the nature of the risk does not warrant the taking of even slight chances"</w:t>
      </w:r>
      <w:r w:rsidRPr="00F22259">
        <w:rPr>
          <w:rStyle w:val="FootnoteReference"/>
          <w:rFonts w:ascii="Times New Roman" w:hAnsi="Times New Roman"/>
          <w:iCs/>
          <w:sz w:val="24"/>
        </w:rPr>
        <w:footnoteReference w:id="169"/>
      </w:r>
      <w:r w:rsidRPr="00F22259">
        <w:rPr>
          <w:rFonts w:ascii="Times New Roman" w:hAnsi="Times New Roman"/>
          <w:iCs/>
        </w:rPr>
        <w:t>. Other than such cases, the difference between foresight of possibility and foresight of probability can be much reduced by the additional element of unreasonableness.</w:t>
      </w:r>
    </w:p>
    <w:p w14:paraId="28951837" w14:textId="77777777" w:rsidR="004933DB" w:rsidRPr="00F22259" w:rsidRDefault="004933DB" w:rsidP="00F22259">
      <w:pPr>
        <w:pStyle w:val="HeadingL2"/>
        <w:spacing w:after="260" w:line="280" w:lineRule="exact"/>
        <w:ind w:right="0"/>
        <w:jc w:val="both"/>
        <w:rPr>
          <w:rFonts w:ascii="Times New Roman" w:hAnsi="Times New Roman"/>
        </w:rPr>
      </w:pPr>
      <w:r w:rsidRPr="00F22259">
        <w:rPr>
          <w:rFonts w:ascii="Times New Roman" w:hAnsi="Times New Roman"/>
        </w:rPr>
        <w:t>The introduction of s 17 in 1986</w:t>
      </w:r>
    </w:p>
    <w:p w14:paraId="7ACEBF42"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Although the background of judicial exposition of an expression can be a significant factor in ascertaining the meaning intended by Parliament, the importance of such judicial background should not be overstated</w:t>
      </w:r>
      <w:r w:rsidRPr="00F22259">
        <w:rPr>
          <w:rStyle w:val="FootnoteReference"/>
          <w:rFonts w:ascii="Times New Roman" w:hAnsi="Times New Roman"/>
          <w:sz w:val="24"/>
        </w:rPr>
        <w:footnoteReference w:id="170"/>
      </w:r>
      <w:r w:rsidRPr="00F22259">
        <w:rPr>
          <w:rFonts w:ascii="Times New Roman" w:hAnsi="Times New Roman"/>
        </w:rPr>
        <w:t xml:space="preserve">. The reasoning in </w:t>
      </w:r>
      <w:r w:rsidRPr="00F22259">
        <w:rPr>
          <w:rFonts w:ascii="Times New Roman" w:hAnsi="Times New Roman"/>
          <w:i/>
          <w:iCs/>
        </w:rPr>
        <w:t>Aubrey</w:t>
      </w:r>
      <w:r w:rsidRPr="00F22259">
        <w:rPr>
          <w:rFonts w:ascii="Times New Roman" w:hAnsi="Times New Roman"/>
        </w:rPr>
        <w:t xml:space="preserve"> establishes that, at the time s 17 of the </w:t>
      </w:r>
      <w:r w:rsidRPr="00F22259">
        <w:rPr>
          <w:rFonts w:ascii="Times New Roman" w:hAnsi="Times New Roman"/>
          <w:i/>
          <w:iCs/>
        </w:rPr>
        <w:t xml:space="preserve">Crimes Act </w:t>
      </w:r>
      <w:r w:rsidRPr="00F22259">
        <w:rPr>
          <w:rFonts w:ascii="Times New Roman" w:hAnsi="Times New Roman"/>
        </w:rPr>
        <w:t>was enacted, recklessness in relation to serious injuries other than death was generally thought to require foresight of the possibility of the injury rather than the probability of the injury. Section 17 commenced operation in 1986 against the background that, in the context of a test for malice in relation to serious injuries, the foresight of the possibility of the consequences had prevailed as a requirement for recklessness in Victoria for more than 20 years</w:t>
      </w:r>
      <w:r w:rsidRPr="00F22259">
        <w:rPr>
          <w:rStyle w:val="FootnoteReference"/>
          <w:rFonts w:ascii="Times New Roman" w:hAnsi="Times New Roman"/>
          <w:sz w:val="24"/>
        </w:rPr>
        <w:footnoteReference w:id="171"/>
      </w:r>
      <w:r w:rsidRPr="00F22259">
        <w:rPr>
          <w:rFonts w:ascii="Times New Roman" w:hAnsi="Times New Roman"/>
        </w:rPr>
        <w:t>.</w:t>
      </w:r>
    </w:p>
    <w:p w14:paraId="688C398A"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Nevertheless, the precise meaning of recklessness was not clear. As </w:t>
      </w:r>
      <w:proofErr w:type="spellStart"/>
      <w:r w:rsidRPr="00F22259">
        <w:rPr>
          <w:rFonts w:ascii="Times New Roman" w:hAnsi="Times New Roman"/>
        </w:rPr>
        <w:t>Gummow</w:t>
      </w:r>
      <w:proofErr w:type="spellEnd"/>
      <w:r w:rsidRPr="00F22259">
        <w:rPr>
          <w:rFonts w:ascii="Times New Roman" w:hAnsi="Times New Roman"/>
        </w:rPr>
        <w:t xml:space="preserve">, Hayne and </w:t>
      </w:r>
      <w:proofErr w:type="spellStart"/>
      <w:r w:rsidRPr="00F22259">
        <w:rPr>
          <w:rFonts w:ascii="Times New Roman" w:hAnsi="Times New Roman"/>
        </w:rPr>
        <w:t>Heydon</w:t>
      </w:r>
      <w:proofErr w:type="spellEnd"/>
      <w:r w:rsidRPr="00F22259">
        <w:rPr>
          <w:rFonts w:ascii="Times New Roman" w:hAnsi="Times New Roman"/>
        </w:rPr>
        <w:t xml:space="preserve"> JJ said in </w:t>
      </w:r>
      <w:proofErr w:type="spellStart"/>
      <w:r w:rsidRPr="00F22259">
        <w:rPr>
          <w:rFonts w:ascii="Times New Roman" w:hAnsi="Times New Roman"/>
          <w:i/>
        </w:rPr>
        <w:t>Banditt</w:t>
      </w:r>
      <w:proofErr w:type="spellEnd"/>
      <w:r w:rsidRPr="00F22259">
        <w:rPr>
          <w:rFonts w:ascii="Times New Roman" w:hAnsi="Times New Roman"/>
          <w:i/>
        </w:rPr>
        <w:t xml:space="preserve"> v The Queen</w:t>
      </w:r>
      <w:r w:rsidRPr="00F22259">
        <w:rPr>
          <w:rStyle w:val="FootnoteReference"/>
          <w:rFonts w:ascii="Times New Roman" w:hAnsi="Times New Roman"/>
          <w:sz w:val="24"/>
        </w:rPr>
        <w:footnoteReference w:id="172"/>
      </w:r>
      <w:r w:rsidRPr="00F22259">
        <w:rPr>
          <w:rFonts w:ascii="Times New Roman" w:hAnsi="Times New Roman"/>
        </w:rPr>
        <w:t>,</w:t>
      </w:r>
      <w:r w:rsidRPr="00F22259">
        <w:rPr>
          <w:rFonts w:ascii="Times New Roman" w:hAnsi="Times New Roman"/>
          <w:i/>
        </w:rPr>
        <w:t xml:space="preserve"> </w:t>
      </w:r>
      <w:r w:rsidRPr="00F22259">
        <w:rPr>
          <w:rFonts w:ascii="Times New Roman" w:hAnsi="Times New Roman"/>
        </w:rPr>
        <w:t xml:space="preserve">"[t]he </w:t>
      </w:r>
      <w:proofErr w:type="gramStart"/>
      <w:r w:rsidRPr="00F22259">
        <w:rPr>
          <w:rFonts w:ascii="Times New Roman" w:hAnsi="Times New Roman"/>
        </w:rPr>
        <w:t>term</w:t>
      </w:r>
      <w:proofErr w:type="gramEnd"/>
      <w:r w:rsidRPr="00F22259">
        <w:rPr>
          <w:rFonts w:ascii="Times New Roman" w:hAnsi="Times New Roman"/>
        </w:rPr>
        <w:t xml:space="preserve"> 'reckless' has various uses as a criterion of legal liability". A different meaning of recklessness had been espoused for at least a decade in the context of murder</w:t>
      </w:r>
      <w:r w:rsidRPr="00F22259">
        <w:rPr>
          <w:rStyle w:val="FootnoteReference"/>
          <w:rFonts w:ascii="Times New Roman" w:hAnsi="Times New Roman"/>
          <w:sz w:val="24"/>
        </w:rPr>
        <w:footnoteReference w:id="173"/>
      </w:r>
      <w:r w:rsidRPr="00F22259">
        <w:rPr>
          <w:rFonts w:ascii="Times New Roman" w:hAnsi="Times New Roman"/>
        </w:rPr>
        <w:t xml:space="preserve">, </w:t>
      </w:r>
      <w:r w:rsidRPr="00F22259">
        <w:rPr>
          <w:rFonts w:ascii="Times New Roman" w:hAnsi="Times New Roman"/>
        </w:rPr>
        <w:lastRenderedPageBreak/>
        <w:t>and was described as "settled law"</w:t>
      </w:r>
      <w:r w:rsidRPr="00F22259">
        <w:rPr>
          <w:rStyle w:val="FootnoteReference"/>
          <w:rFonts w:ascii="Times New Roman" w:hAnsi="Times New Roman"/>
          <w:sz w:val="24"/>
        </w:rPr>
        <w:footnoteReference w:id="174"/>
      </w:r>
      <w:r w:rsidRPr="00F22259">
        <w:rPr>
          <w:rFonts w:ascii="Times New Roman" w:hAnsi="Times New Roman"/>
        </w:rPr>
        <w:t xml:space="preserve"> the year before s 17 came into force. Further, the additional requirement – the unreasonableness of the accused taking the risk in the known circumstances – had not yet been clearly enunciated. And it</w:t>
      </w:r>
      <w:r w:rsidRPr="00F22259" w:rsidDel="00EC774A">
        <w:rPr>
          <w:rFonts w:ascii="Times New Roman" w:hAnsi="Times New Roman"/>
        </w:rPr>
        <w:t xml:space="preserve"> </w:t>
      </w:r>
      <w:r w:rsidRPr="00F22259">
        <w:rPr>
          <w:rFonts w:ascii="Times New Roman" w:hAnsi="Times New Roman"/>
        </w:rPr>
        <w:t>had been said of "malice", in which the Victorian approach to recklessness had been developed, that "[f]</w:t>
      </w:r>
      <w:proofErr w:type="spellStart"/>
      <w:r w:rsidRPr="00F22259">
        <w:rPr>
          <w:rFonts w:ascii="Times New Roman" w:hAnsi="Times New Roman"/>
        </w:rPr>
        <w:t>ew</w:t>
      </w:r>
      <w:proofErr w:type="spellEnd"/>
      <w:r w:rsidRPr="00F22259">
        <w:rPr>
          <w:rFonts w:ascii="Times New Roman" w:hAnsi="Times New Roman"/>
        </w:rPr>
        <w:t xml:space="preserve"> words have caused more trouble both at common law and in the interpretation of statutes"</w:t>
      </w:r>
      <w:r w:rsidRPr="00F22259">
        <w:rPr>
          <w:rStyle w:val="FootnoteReference"/>
          <w:rFonts w:ascii="Times New Roman" w:hAnsi="Times New Roman"/>
          <w:sz w:val="24"/>
        </w:rPr>
        <w:footnoteReference w:id="175"/>
      </w:r>
      <w:r w:rsidRPr="00F22259">
        <w:rPr>
          <w:rFonts w:ascii="Times New Roman" w:hAnsi="Times New Roman"/>
        </w:rPr>
        <w:t>.</w:t>
      </w:r>
    </w:p>
    <w:p w14:paraId="668858FE"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In the Second Reading Speech for the Bill that introduced s 17, the Attorney-General for Victoria said that the old sections concerned with malice were to be replaced with new ones. Although the Attorney</w:t>
      </w:r>
      <w:r w:rsidRPr="00F22259">
        <w:rPr>
          <w:rFonts w:ascii="Times New Roman" w:hAnsi="Times New Roman"/>
        </w:rPr>
        <w:noBreakHyphen/>
        <w:t>General said that the Bill was "not intended in any way to reduce the coverage of these serious offences"</w:t>
      </w:r>
      <w:r w:rsidRPr="00F22259">
        <w:rPr>
          <w:rStyle w:val="FootnoteReference"/>
          <w:rFonts w:ascii="Times New Roman" w:hAnsi="Times New Roman"/>
          <w:sz w:val="24"/>
        </w:rPr>
        <w:footnoteReference w:id="176"/>
      </w:r>
      <w:r w:rsidRPr="00F22259">
        <w:rPr>
          <w:rFonts w:ascii="Times New Roman" w:hAnsi="Times New Roman"/>
        </w:rPr>
        <w:t>, he also observed that many of the proposals in it had been based on the fourteenth report of the Criminal Law Revision Committee of England and Wales</w:t>
      </w:r>
      <w:r w:rsidRPr="00F22259">
        <w:rPr>
          <w:rStyle w:val="FootnoteReference"/>
          <w:rFonts w:ascii="Times New Roman" w:hAnsi="Times New Roman"/>
          <w:sz w:val="24"/>
        </w:rPr>
        <w:footnoteReference w:id="177"/>
      </w:r>
      <w:r w:rsidRPr="00F22259">
        <w:rPr>
          <w:rFonts w:ascii="Times New Roman" w:hAnsi="Times New Roman"/>
        </w:rPr>
        <w:t>. That report had observed that there was no unanimity as to the ordinary meaning of the word "recklessness" in the criminal law and that it would be "most unsatisfactory" to leave the term undefined since the courts would soon "find themselves bound to rule upon conflicting submissions by counsel"</w:t>
      </w:r>
      <w:r w:rsidRPr="00F22259">
        <w:rPr>
          <w:rStyle w:val="FootnoteReference"/>
          <w:rFonts w:ascii="Times New Roman" w:hAnsi="Times New Roman"/>
          <w:sz w:val="24"/>
        </w:rPr>
        <w:footnoteReference w:id="178"/>
      </w:r>
      <w:r w:rsidRPr="00F22259">
        <w:rPr>
          <w:rFonts w:ascii="Times New Roman" w:hAnsi="Times New Roman"/>
        </w:rPr>
        <w:t>. In other words, in the absence of legislative definition, the development of recklessness would be left to the courts. The legislative definition proposed by the Criminal Law Revision Committee was: (</w:t>
      </w:r>
      <w:proofErr w:type="spellStart"/>
      <w:r w:rsidRPr="00F22259">
        <w:rPr>
          <w:rFonts w:ascii="Times New Roman" w:hAnsi="Times New Roman"/>
        </w:rPr>
        <w:t>i</w:t>
      </w:r>
      <w:proofErr w:type="spellEnd"/>
      <w:r w:rsidRPr="00F22259">
        <w:rPr>
          <w:rFonts w:ascii="Times New Roman" w:hAnsi="Times New Roman"/>
        </w:rPr>
        <w:t>) that the accused foresaw that their act might cause the particular result; and (ii) that the risk of causing that result which they knew they were taking was, on an objective assessment, an unreasonable risk to take in the circumstances known to the accused</w:t>
      </w:r>
      <w:r w:rsidRPr="00F22259">
        <w:rPr>
          <w:rStyle w:val="FootnoteReference"/>
          <w:rFonts w:ascii="Times New Roman" w:hAnsi="Times New Roman"/>
          <w:sz w:val="24"/>
        </w:rPr>
        <w:footnoteReference w:id="179"/>
      </w:r>
      <w:r w:rsidRPr="00F22259">
        <w:rPr>
          <w:rFonts w:ascii="Times New Roman" w:hAnsi="Times New Roman"/>
        </w:rPr>
        <w:t>.</w:t>
      </w:r>
    </w:p>
    <w:p w14:paraId="17CAFDC4"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Against this background, the intention of the Victorian Parliament in enacting s 17 must have been to leave the development of the meaning of recklessness in that section to the courts from 1986 when the section commenced. </w:t>
      </w:r>
      <w:proofErr w:type="gramStart"/>
      <w:r w:rsidRPr="00F22259">
        <w:rPr>
          <w:rFonts w:ascii="Times New Roman" w:hAnsi="Times New Roman"/>
        </w:rPr>
        <w:lastRenderedPageBreak/>
        <w:t>Generally</w:t>
      </w:r>
      <w:proofErr w:type="gramEnd"/>
      <w:r w:rsidRPr="00F22259">
        <w:rPr>
          <w:rFonts w:ascii="Times New Roman" w:hAnsi="Times New Roman"/>
        </w:rPr>
        <w:t xml:space="preserve"> for the reasons given in </w:t>
      </w:r>
      <w:r w:rsidRPr="00F22259">
        <w:rPr>
          <w:rFonts w:ascii="Times New Roman" w:hAnsi="Times New Roman"/>
          <w:i/>
        </w:rPr>
        <w:t>Aubrey</w:t>
      </w:r>
      <w:r w:rsidRPr="00F22259">
        <w:rPr>
          <w:rFonts w:ascii="Times New Roman" w:hAnsi="Times New Roman"/>
          <w:i/>
          <w:iCs/>
        </w:rPr>
        <w:t xml:space="preserve"> </w:t>
      </w:r>
      <w:r w:rsidRPr="00F22259">
        <w:rPr>
          <w:rFonts w:ascii="Times New Roman" w:hAnsi="Times New Roman"/>
        </w:rPr>
        <w:t xml:space="preserve">in relation to the enactment by the New South Wales Parliament of s 5 of the </w:t>
      </w:r>
      <w:r w:rsidRPr="00F22259">
        <w:rPr>
          <w:rFonts w:ascii="Times New Roman" w:hAnsi="Times New Roman"/>
          <w:i/>
        </w:rPr>
        <w:t>Crimes Act 1900</w:t>
      </w:r>
      <w:r w:rsidRPr="00F22259">
        <w:rPr>
          <w:rFonts w:ascii="Times New Roman" w:hAnsi="Times New Roman"/>
        </w:rPr>
        <w:t> (NSW),</w:t>
      </w:r>
      <w:r w:rsidRPr="00F22259">
        <w:rPr>
          <w:rFonts w:ascii="Times New Roman" w:hAnsi="Times New Roman"/>
          <w:i/>
        </w:rPr>
        <w:t xml:space="preserve"> </w:t>
      </w:r>
      <w:r w:rsidRPr="00F22259">
        <w:rPr>
          <w:rFonts w:ascii="Times New Roman" w:hAnsi="Times New Roman"/>
        </w:rPr>
        <w:t>it might have been expected that the developed meaning of recklessness would require an accused person to have foresight of the possibility, not the probability,</w:t>
      </w:r>
      <w:r w:rsidRPr="00F22259">
        <w:rPr>
          <w:rFonts w:ascii="Times New Roman" w:hAnsi="Times New Roman"/>
          <w:i/>
        </w:rPr>
        <w:t xml:space="preserve"> </w:t>
      </w:r>
      <w:r w:rsidRPr="00F22259">
        <w:rPr>
          <w:rFonts w:ascii="Times New Roman" w:hAnsi="Times New Roman"/>
        </w:rPr>
        <w:t>of injury of that kind. Indeed, in the Second Reading Speech in the Legislative Assembly it was observed that</w:t>
      </w:r>
      <w:r w:rsidRPr="00F22259">
        <w:rPr>
          <w:rStyle w:val="FootnoteReference"/>
          <w:rFonts w:ascii="Times New Roman" w:hAnsi="Times New Roman"/>
          <w:sz w:val="24"/>
        </w:rPr>
        <w:footnoteReference w:id="180"/>
      </w:r>
      <w:r w:rsidRPr="00F22259">
        <w:rPr>
          <w:rFonts w:ascii="Times New Roman" w:hAnsi="Times New Roman"/>
        </w:rPr>
        <w:t>:</w:t>
      </w:r>
    </w:p>
    <w:p w14:paraId="6175F47C" w14:textId="77777777" w:rsidR="004933DB" w:rsidRDefault="004933DB" w:rsidP="00F22259">
      <w:pPr>
        <w:pStyle w:val="LeftrightafterHC"/>
        <w:spacing w:before="0" w:after="260" w:line="280" w:lineRule="exact"/>
        <w:ind w:right="0"/>
        <w:jc w:val="both"/>
        <w:rPr>
          <w:rFonts w:ascii="Times New Roman" w:hAnsi="Times New Roman"/>
        </w:rPr>
      </w:pPr>
      <w:r w:rsidRPr="00F22259">
        <w:rPr>
          <w:rFonts w:ascii="Times New Roman" w:hAnsi="Times New Roman"/>
        </w:rPr>
        <w:t xml:space="preserve">"where serious injury is inflicted there is a sufficient difference in moral turpitude – sufficient to justify distinct defences – between one who does so intentionally in the sense of desiring to cause serious injury and one who does so recklessly – aware that an injury </w:t>
      </w:r>
      <w:r w:rsidRPr="00F22259">
        <w:rPr>
          <w:rFonts w:ascii="Times New Roman" w:hAnsi="Times New Roman"/>
          <w:i/>
          <w:iCs/>
        </w:rPr>
        <w:t xml:space="preserve">might </w:t>
      </w:r>
      <w:r w:rsidRPr="00F22259">
        <w:rPr>
          <w:rFonts w:ascii="Times New Roman" w:hAnsi="Times New Roman"/>
        </w:rPr>
        <w:t>result to another but goes ahead anyway".</w:t>
      </w:r>
    </w:p>
    <w:p w14:paraId="0531204D"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If Parliament had taken the approach advocated by the Criminal Law Revision Committee and defined the meaning of recklessness as </w:t>
      </w:r>
      <w:proofErr w:type="gramStart"/>
      <w:r w:rsidRPr="00F22259">
        <w:rPr>
          <w:rFonts w:ascii="Times New Roman" w:hAnsi="Times New Roman"/>
        </w:rPr>
        <w:t>recommended</w:t>
      </w:r>
      <w:proofErr w:type="gramEnd"/>
      <w:r w:rsidRPr="00F22259">
        <w:rPr>
          <w:rFonts w:ascii="Times New Roman" w:hAnsi="Times New Roman"/>
        </w:rPr>
        <w:t xml:space="preserve"> then if the decision in </w:t>
      </w:r>
      <w:r w:rsidRPr="00F22259">
        <w:rPr>
          <w:rFonts w:ascii="Times New Roman" w:hAnsi="Times New Roman"/>
          <w:i/>
          <w:iCs/>
        </w:rPr>
        <w:t xml:space="preserve">Campbell </w:t>
      </w:r>
      <w:r w:rsidRPr="00F22259">
        <w:rPr>
          <w:rFonts w:ascii="Times New Roman" w:hAnsi="Times New Roman"/>
        </w:rPr>
        <w:t>had still been given it would have been plainly wrong and there could be little argument against overturning it. Even the usual considerations that require restraint in acceding to a challenge to a long</w:t>
      </w:r>
      <w:r w:rsidRPr="00F22259">
        <w:rPr>
          <w:rFonts w:ascii="Times New Roman" w:hAnsi="Times New Roman"/>
        </w:rPr>
        <w:noBreakHyphen/>
        <w:t>standing prior decision of this Court "cannot allow previous error to stand in the way of declaring the true intent of the statute" where the prior decision is "plainly erroneous"</w:t>
      </w:r>
      <w:r w:rsidRPr="00F22259">
        <w:rPr>
          <w:rStyle w:val="FootnoteReference"/>
          <w:rFonts w:ascii="Times New Roman" w:hAnsi="Times New Roman"/>
          <w:sz w:val="24"/>
        </w:rPr>
        <w:footnoteReference w:id="181"/>
      </w:r>
      <w:r w:rsidRPr="00F22259">
        <w:rPr>
          <w:rFonts w:ascii="Times New Roman" w:hAnsi="Times New Roman"/>
        </w:rPr>
        <w:t>. So too, a fortiori, where the prior long</w:t>
      </w:r>
      <w:r w:rsidRPr="00F22259">
        <w:rPr>
          <w:rFonts w:ascii="Times New Roman" w:hAnsi="Times New Roman"/>
        </w:rPr>
        <w:noBreakHyphen/>
        <w:t>standing decision is from a single judge or intermediate appellate court and is "clearly wrong"</w:t>
      </w:r>
      <w:r w:rsidRPr="00F22259">
        <w:rPr>
          <w:rStyle w:val="FootnoteReference"/>
          <w:rFonts w:ascii="Times New Roman" w:hAnsi="Times New Roman"/>
          <w:sz w:val="24"/>
        </w:rPr>
        <w:footnoteReference w:id="182"/>
      </w:r>
      <w:r w:rsidRPr="00F22259">
        <w:rPr>
          <w:rFonts w:ascii="Times New Roman" w:hAnsi="Times New Roman"/>
        </w:rPr>
        <w:t>. But where the essential meaning of a term or provision is intended by Parliament to be developed by the courts, the intention of Parliament is given effect by the development of the concept in the manner of the common law</w:t>
      </w:r>
      <w:r w:rsidRPr="00F22259">
        <w:rPr>
          <w:rStyle w:val="FootnoteReference"/>
          <w:rFonts w:ascii="Times New Roman" w:hAnsi="Times New Roman"/>
          <w:sz w:val="24"/>
        </w:rPr>
        <w:footnoteReference w:id="183"/>
      </w:r>
      <w:r w:rsidRPr="00F22259">
        <w:rPr>
          <w:rFonts w:ascii="Times New Roman" w:hAnsi="Times New Roman"/>
        </w:rPr>
        <w:t>:</w:t>
      </w:r>
    </w:p>
    <w:p w14:paraId="48B0E8FD" w14:textId="77777777" w:rsidR="004933DB" w:rsidRDefault="004933DB" w:rsidP="00F22259">
      <w:pPr>
        <w:pStyle w:val="LeftrightafterHC"/>
        <w:spacing w:before="0" w:after="260" w:line="280" w:lineRule="exact"/>
        <w:ind w:right="0"/>
        <w:jc w:val="both"/>
        <w:rPr>
          <w:rFonts w:ascii="Times New Roman" w:hAnsi="Times New Roman"/>
        </w:rPr>
      </w:pPr>
      <w:r w:rsidRPr="00F22259">
        <w:rPr>
          <w:rFonts w:ascii="Times New Roman" w:hAnsi="Times New Roman"/>
        </w:rPr>
        <w:t xml:space="preserve">"A statute can pick 'up as a criterion for its operation a body of the general law' and 'in the absence of a contrary indication in the statute, the statute speaks continuously to the present, and picks up the case law as it stands from time to time'. Generally, broadly expressed criteria can be expected to be given content as 'the technique of judicial interpretation [gives] content </w:t>
      </w:r>
      <w:r w:rsidRPr="00F22259">
        <w:rPr>
          <w:rFonts w:ascii="Times New Roman" w:hAnsi="Times New Roman"/>
        </w:rPr>
        <w:lastRenderedPageBreak/>
        <w:t>and more detailed meaning on a case to case basis. Rules and principles emerge which guide or direct courts in the application of the standard.'"</w:t>
      </w:r>
    </w:p>
    <w:p w14:paraId="45E70288" w14:textId="77777777" w:rsidR="004933DB" w:rsidRPr="00F22259" w:rsidRDefault="004933DB" w:rsidP="00F22259">
      <w:pPr>
        <w:pStyle w:val="NormalBody"/>
        <w:spacing w:after="260" w:line="280" w:lineRule="exact"/>
        <w:ind w:right="0"/>
        <w:jc w:val="both"/>
        <w:rPr>
          <w:rFonts w:ascii="Times New Roman" w:hAnsi="Times New Roman"/>
        </w:rPr>
      </w:pPr>
      <w:r w:rsidRPr="00F22259">
        <w:rPr>
          <w:rFonts w:ascii="Times New Roman" w:hAnsi="Times New Roman"/>
        </w:rPr>
        <w:t>Sometimes the judicial development of such statutory rules is simply described as "common law"</w:t>
      </w:r>
      <w:r w:rsidRPr="00F22259">
        <w:rPr>
          <w:rStyle w:val="FootnoteReference"/>
          <w:rFonts w:ascii="Times New Roman" w:hAnsi="Times New Roman"/>
          <w:sz w:val="24"/>
        </w:rPr>
        <w:footnoteReference w:id="184"/>
      </w:r>
      <w:r w:rsidRPr="00F22259">
        <w:rPr>
          <w:rFonts w:ascii="Times New Roman" w:hAnsi="Times New Roman"/>
        </w:rPr>
        <w:t xml:space="preserve">, even where "the relevant common law that is relied on </w:t>
      </w:r>
      <w:proofErr w:type="gramStart"/>
      <w:r w:rsidRPr="00F22259">
        <w:rPr>
          <w:rFonts w:ascii="Times New Roman" w:hAnsi="Times New Roman"/>
        </w:rPr>
        <w:t>may</w:t>
      </w:r>
      <w:proofErr w:type="gramEnd"/>
      <w:r w:rsidRPr="00F22259">
        <w:rPr>
          <w:rFonts w:ascii="Times New Roman" w:hAnsi="Times New Roman"/>
        </w:rPr>
        <w:t xml:space="preserve"> itself have a statutory basis"</w:t>
      </w:r>
      <w:r w:rsidRPr="00F22259">
        <w:rPr>
          <w:rStyle w:val="FootnoteReference"/>
          <w:rFonts w:ascii="Times New Roman" w:hAnsi="Times New Roman"/>
          <w:sz w:val="24"/>
        </w:rPr>
        <w:footnoteReference w:id="185"/>
      </w:r>
      <w:r w:rsidRPr="00F22259">
        <w:rPr>
          <w:rFonts w:ascii="Times New Roman" w:hAnsi="Times New Roman"/>
        </w:rPr>
        <w:t>. The description is not inapt because the "scope and purpose of the [term or provision] will expand, contract and diversify to follow the shifts in the common law"</w:t>
      </w:r>
      <w:r w:rsidRPr="00F22259">
        <w:rPr>
          <w:rStyle w:val="FootnoteReference"/>
          <w:rFonts w:ascii="Times New Roman" w:hAnsi="Times New Roman"/>
          <w:sz w:val="24"/>
        </w:rPr>
        <w:footnoteReference w:id="186"/>
      </w:r>
      <w:r w:rsidRPr="00F22259">
        <w:rPr>
          <w:rFonts w:ascii="Times New Roman" w:hAnsi="Times New Roman"/>
        </w:rPr>
        <w:t>.</w:t>
      </w:r>
    </w:p>
    <w:p w14:paraId="4A590654"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i/>
          <w:iCs/>
        </w:rPr>
        <w:tab/>
      </w:r>
      <w:r w:rsidRPr="00F22259">
        <w:rPr>
          <w:rFonts w:ascii="Times New Roman" w:hAnsi="Times New Roman"/>
        </w:rPr>
        <w:t>Just as a court is not confined by an originally expected application when applying the meaning intended by Parliament to new or different circumstances or practices</w:t>
      </w:r>
      <w:r w:rsidRPr="00F22259">
        <w:rPr>
          <w:rStyle w:val="FootnoteReference"/>
          <w:rFonts w:ascii="Times New Roman" w:hAnsi="Times New Roman"/>
          <w:sz w:val="24"/>
        </w:rPr>
        <w:footnoteReference w:id="187"/>
      </w:r>
      <w:r w:rsidRPr="00F22259">
        <w:rPr>
          <w:rFonts w:ascii="Times New Roman" w:hAnsi="Times New Roman"/>
        </w:rPr>
        <w:t xml:space="preserve"> or in light of a different understanding of facts and circumstances</w:t>
      </w:r>
      <w:r w:rsidRPr="00F22259">
        <w:rPr>
          <w:rStyle w:val="FootnoteReference"/>
          <w:rFonts w:ascii="Times New Roman" w:hAnsi="Times New Roman"/>
          <w:sz w:val="24"/>
        </w:rPr>
        <w:footnoteReference w:id="188"/>
      </w:r>
      <w:r w:rsidRPr="00F22259">
        <w:rPr>
          <w:rFonts w:ascii="Times New Roman" w:hAnsi="Times New Roman"/>
        </w:rPr>
        <w:t xml:space="preserve">, a court is also not confined by the expected application of the provision that was intended to be the subject of "common law" development, although that expectation can provide some anchor to the development of the meaning of the provision. Despite the likely expectations when Parliament passed the </w:t>
      </w:r>
      <w:r w:rsidRPr="00F22259">
        <w:rPr>
          <w:rFonts w:ascii="Times New Roman" w:hAnsi="Times New Roman"/>
          <w:i/>
          <w:iCs/>
        </w:rPr>
        <w:t>Crimes (Amendment) Act 1985</w:t>
      </w:r>
      <w:r w:rsidRPr="00F22259">
        <w:rPr>
          <w:rFonts w:ascii="Times New Roman" w:hAnsi="Times New Roman"/>
          <w:iCs/>
        </w:rPr>
        <w:t> </w:t>
      </w:r>
      <w:r w:rsidRPr="00F22259">
        <w:rPr>
          <w:rFonts w:ascii="Times New Roman" w:hAnsi="Times New Roman"/>
        </w:rPr>
        <w:t xml:space="preserve">(Vic) and despite the reasons of principle for overturning </w:t>
      </w:r>
      <w:r w:rsidRPr="00F22259">
        <w:rPr>
          <w:rFonts w:ascii="Times New Roman" w:hAnsi="Times New Roman"/>
          <w:i/>
          <w:iCs/>
        </w:rPr>
        <w:t>Campbell</w:t>
      </w:r>
      <w:r w:rsidRPr="00F22259">
        <w:rPr>
          <w:rFonts w:ascii="Times New Roman" w:hAnsi="Times New Roman"/>
          <w:iCs/>
        </w:rPr>
        <w:t>,</w:t>
      </w:r>
      <w:r w:rsidRPr="00F22259">
        <w:rPr>
          <w:rFonts w:ascii="Times New Roman" w:hAnsi="Times New Roman"/>
          <w:i/>
          <w:iCs/>
        </w:rPr>
        <w:t xml:space="preserve"> </w:t>
      </w:r>
      <w:r w:rsidRPr="00F22259">
        <w:rPr>
          <w:rFonts w:ascii="Times New Roman" w:hAnsi="Times New Roman"/>
        </w:rPr>
        <w:t xml:space="preserve">there are three reasons, in combination, why the result in </w:t>
      </w:r>
      <w:r w:rsidRPr="00F22259">
        <w:rPr>
          <w:rFonts w:ascii="Times New Roman" w:hAnsi="Times New Roman"/>
          <w:i/>
          <w:iCs/>
        </w:rPr>
        <w:t xml:space="preserve">Campbell </w:t>
      </w:r>
      <w:r w:rsidRPr="00F22259">
        <w:rPr>
          <w:rFonts w:ascii="Times New Roman" w:hAnsi="Times New Roman"/>
        </w:rPr>
        <w:t>should not be disturbed in the process of judicial development of the meaning of recklessness in s 17.</w:t>
      </w:r>
    </w:p>
    <w:p w14:paraId="5454A612" w14:textId="77777777" w:rsidR="004933DB" w:rsidRPr="00F22259" w:rsidRDefault="004933DB" w:rsidP="00F22259">
      <w:pPr>
        <w:pStyle w:val="HeadingL1"/>
        <w:spacing w:after="260" w:line="280" w:lineRule="exact"/>
        <w:ind w:right="0"/>
        <w:jc w:val="both"/>
        <w:rPr>
          <w:rFonts w:ascii="Times New Roman" w:hAnsi="Times New Roman"/>
          <w:iCs/>
        </w:rPr>
      </w:pPr>
      <w:r w:rsidRPr="00F22259">
        <w:rPr>
          <w:rFonts w:ascii="Times New Roman" w:hAnsi="Times New Roman"/>
        </w:rPr>
        <w:t xml:space="preserve">(1) The decision in </w:t>
      </w:r>
      <w:r w:rsidRPr="00F22259">
        <w:rPr>
          <w:rFonts w:ascii="Times New Roman" w:hAnsi="Times New Roman"/>
          <w:i/>
        </w:rPr>
        <w:t xml:space="preserve">Campbell </w:t>
      </w:r>
      <w:r w:rsidRPr="00F22259">
        <w:rPr>
          <w:rFonts w:ascii="Times New Roman" w:hAnsi="Times New Roman"/>
          <w:iCs/>
        </w:rPr>
        <w:t>was not plainly wrong</w:t>
      </w:r>
    </w:p>
    <w:p w14:paraId="4E73ED69" w14:textId="77777777" w:rsidR="004933DB" w:rsidRPr="00F22259" w:rsidRDefault="004933DB" w:rsidP="00F22259">
      <w:pPr>
        <w:pStyle w:val="HeadingL2"/>
        <w:spacing w:after="260" w:line="280" w:lineRule="exact"/>
        <w:ind w:right="0"/>
        <w:jc w:val="both"/>
        <w:rPr>
          <w:rFonts w:ascii="Times New Roman" w:hAnsi="Times New Roman"/>
        </w:rPr>
      </w:pPr>
      <w:r w:rsidRPr="00F22259">
        <w:rPr>
          <w:rFonts w:ascii="Times New Roman" w:hAnsi="Times New Roman"/>
        </w:rPr>
        <w:t>The decision in Campbell</w:t>
      </w:r>
    </w:p>
    <w:p w14:paraId="5067AC10"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The issue in </w:t>
      </w:r>
      <w:r w:rsidRPr="00F22259">
        <w:rPr>
          <w:rFonts w:ascii="Times New Roman" w:hAnsi="Times New Roman"/>
          <w:i/>
          <w:iCs/>
        </w:rPr>
        <w:t>Campbell</w:t>
      </w:r>
      <w:r w:rsidRPr="00F22259">
        <w:rPr>
          <w:rFonts w:ascii="Times New Roman" w:hAnsi="Times New Roman"/>
        </w:rPr>
        <w:t xml:space="preserve"> was whether the trial judge had erred in his directions to the jury concerning recklessness. The appellant had relevantly been charged with recklessly causing serious injury contrary to s 17 of the </w:t>
      </w:r>
      <w:r w:rsidRPr="00F22259">
        <w:rPr>
          <w:rFonts w:ascii="Times New Roman" w:hAnsi="Times New Roman"/>
          <w:i/>
          <w:iCs/>
        </w:rPr>
        <w:t>Crimes Ac</w:t>
      </w:r>
      <w:r w:rsidRPr="00F22259">
        <w:rPr>
          <w:rFonts w:ascii="Times New Roman" w:hAnsi="Times New Roman"/>
          <w:i/>
        </w:rPr>
        <w:t>t</w:t>
      </w:r>
      <w:r w:rsidRPr="00F22259">
        <w:rPr>
          <w:rFonts w:ascii="Times New Roman" w:hAnsi="Times New Roman"/>
        </w:rPr>
        <w:t xml:space="preserve">. The evidence was that the appellant's gun was discharged during an argument in which </w:t>
      </w:r>
      <w:r w:rsidRPr="00F22259">
        <w:rPr>
          <w:rFonts w:ascii="Times New Roman" w:hAnsi="Times New Roman"/>
        </w:rPr>
        <w:lastRenderedPageBreak/>
        <w:t>several bystanders had become involved. Serious injury was caused to one bystander. In his directions, the trial judge told the jury that the offence required the appellant to have fired the gun knowing that serious injury might occur and taking the risk of doing so.</w:t>
      </w:r>
    </w:p>
    <w:p w14:paraId="3440B043"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All the judges of the Court of Appeal held that the trial judge had erred in the part of his direction which only required knowledge that the serious injury </w:t>
      </w:r>
      <w:r w:rsidRPr="00F22259">
        <w:rPr>
          <w:rFonts w:ascii="Times New Roman" w:hAnsi="Times New Roman"/>
          <w:i/>
        </w:rPr>
        <w:t xml:space="preserve">might </w:t>
      </w:r>
      <w:r w:rsidRPr="00F22259">
        <w:rPr>
          <w:rFonts w:ascii="Times New Roman" w:hAnsi="Times New Roman"/>
        </w:rPr>
        <w:t>occur. In a joint judgment, Hayne JA and Crockett A</w:t>
      </w:r>
      <w:r w:rsidRPr="00F22259">
        <w:rPr>
          <w:rFonts w:ascii="Times New Roman" w:hAnsi="Times New Roman"/>
        </w:rPr>
        <w:noBreakHyphen/>
        <w:t xml:space="preserve">JA (with whom Phillips CJ relevantly agreed) held that the direction should have required that the jury could not convict unless the conclusion was reached that the accused had foresight that serious injury would </w:t>
      </w:r>
      <w:r w:rsidRPr="00F22259">
        <w:rPr>
          <w:rFonts w:ascii="Times New Roman" w:hAnsi="Times New Roman"/>
          <w:i/>
          <w:iCs/>
        </w:rPr>
        <w:t xml:space="preserve">probably </w:t>
      </w:r>
      <w:r w:rsidRPr="00F22259">
        <w:rPr>
          <w:rFonts w:ascii="Times New Roman" w:hAnsi="Times New Roman"/>
        </w:rPr>
        <w:t>occur, and that the direction using the word "might" had erroneously substituted a test of possibility for one of probability</w:t>
      </w:r>
      <w:r w:rsidRPr="00F22259">
        <w:rPr>
          <w:rStyle w:val="FootnoteReference"/>
          <w:rFonts w:ascii="Times New Roman" w:hAnsi="Times New Roman"/>
          <w:sz w:val="24"/>
        </w:rPr>
        <w:footnoteReference w:id="189"/>
      </w:r>
      <w:r w:rsidRPr="00F22259">
        <w:rPr>
          <w:rFonts w:ascii="Times New Roman" w:hAnsi="Times New Roman"/>
        </w:rPr>
        <w:t xml:space="preserve">. Their Honours relied upon the decisions in </w:t>
      </w:r>
      <w:r w:rsidRPr="00F22259">
        <w:rPr>
          <w:rFonts w:ascii="Times New Roman" w:hAnsi="Times New Roman"/>
          <w:i/>
          <w:iCs/>
        </w:rPr>
        <w:t>R v Crabbe</w:t>
      </w:r>
      <w:r w:rsidRPr="00F22259">
        <w:rPr>
          <w:rStyle w:val="FootnoteReference"/>
          <w:rFonts w:ascii="Times New Roman" w:hAnsi="Times New Roman"/>
          <w:sz w:val="24"/>
        </w:rPr>
        <w:footnoteReference w:id="190"/>
      </w:r>
      <w:r w:rsidRPr="00F22259">
        <w:rPr>
          <w:rFonts w:ascii="Times New Roman" w:hAnsi="Times New Roman"/>
        </w:rPr>
        <w:t xml:space="preserve"> and </w:t>
      </w:r>
      <w:r w:rsidRPr="00F22259">
        <w:rPr>
          <w:rFonts w:ascii="Times New Roman" w:hAnsi="Times New Roman"/>
          <w:i/>
          <w:iCs/>
        </w:rPr>
        <w:t>R v Nuri</w:t>
      </w:r>
      <w:r w:rsidRPr="00F22259">
        <w:rPr>
          <w:rStyle w:val="FootnoteReference"/>
          <w:rFonts w:ascii="Times New Roman" w:hAnsi="Times New Roman"/>
          <w:sz w:val="24"/>
        </w:rPr>
        <w:footnoteReference w:id="191"/>
      </w:r>
      <w:r w:rsidRPr="00F22259">
        <w:rPr>
          <w:rFonts w:ascii="Times New Roman" w:hAnsi="Times New Roman"/>
        </w:rPr>
        <w:t xml:space="preserve">. In effect, the decision in </w:t>
      </w:r>
      <w:r w:rsidRPr="00F22259">
        <w:rPr>
          <w:rFonts w:ascii="Times New Roman" w:hAnsi="Times New Roman"/>
          <w:i/>
          <w:iCs/>
        </w:rPr>
        <w:t xml:space="preserve">Campbell </w:t>
      </w:r>
      <w:r w:rsidRPr="00F22259">
        <w:rPr>
          <w:rFonts w:ascii="Times New Roman" w:hAnsi="Times New Roman"/>
        </w:rPr>
        <w:t xml:space="preserve">applied the exceptional meaning of recklessness – requiring foresight of the probability of serious injury – rather than that which, as this Court in </w:t>
      </w:r>
      <w:r w:rsidRPr="00F22259">
        <w:rPr>
          <w:rFonts w:ascii="Times New Roman" w:hAnsi="Times New Roman"/>
          <w:i/>
        </w:rPr>
        <w:t xml:space="preserve">Aubrey </w:t>
      </w:r>
      <w:r w:rsidRPr="00F22259">
        <w:rPr>
          <w:rFonts w:ascii="Times New Roman" w:hAnsi="Times New Roman"/>
        </w:rPr>
        <w:t xml:space="preserve">later explained, was the more widely understood meaning in Victoria and elsewhere in relation to an offence of that nature. By applying the reasoning in </w:t>
      </w:r>
      <w:proofErr w:type="gramStart"/>
      <w:r w:rsidRPr="00F22259">
        <w:rPr>
          <w:rFonts w:ascii="Times New Roman" w:hAnsi="Times New Roman"/>
          <w:i/>
          <w:iCs/>
        </w:rPr>
        <w:t>Aubrey</w:t>
      </w:r>
      <w:proofErr w:type="gramEnd"/>
      <w:r w:rsidRPr="00F22259">
        <w:rPr>
          <w:rFonts w:ascii="Times New Roman" w:hAnsi="Times New Roman"/>
          <w:i/>
          <w:iCs/>
        </w:rPr>
        <w:t xml:space="preserve"> </w:t>
      </w:r>
      <w:r w:rsidRPr="00F22259">
        <w:rPr>
          <w:rFonts w:ascii="Times New Roman" w:hAnsi="Times New Roman"/>
        </w:rPr>
        <w:t xml:space="preserve">it can be seen that the decision in </w:t>
      </w:r>
      <w:r w:rsidRPr="00F22259">
        <w:rPr>
          <w:rFonts w:ascii="Times New Roman" w:hAnsi="Times New Roman"/>
          <w:i/>
          <w:iCs/>
        </w:rPr>
        <w:t xml:space="preserve">Campbell </w:t>
      </w:r>
      <w:r w:rsidRPr="00F22259">
        <w:rPr>
          <w:rFonts w:ascii="Times New Roman" w:hAnsi="Times New Roman"/>
        </w:rPr>
        <w:t xml:space="preserve">was wrong. But prior to </w:t>
      </w:r>
      <w:r w:rsidRPr="00F22259">
        <w:rPr>
          <w:rFonts w:ascii="Times New Roman" w:hAnsi="Times New Roman"/>
          <w:i/>
          <w:iCs/>
        </w:rPr>
        <w:t>Aubrey</w:t>
      </w:r>
      <w:r w:rsidRPr="00F22259">
        <w:rPr>
          <w:rFonts w:ascii="Times New Roman" w:hAnsi="Times New Roman"/>
        </w:rPr>
        <w:t xml:space="preserve"> the decision in </w:t>
      </w:r>
      <w:r w:rsidRPr="00F22259">
        <w:rPr>
          <w:rFonts w:ascii="Times New Roman" w:hAnsi="Times New Roman"/>
          <w:i/>
          <w:iCs/>
        </w:rPr>
        <w:t xml:space="preserve">Campbell </w:t>
      </w:r>
      <w:r w:rsidRPr="00F22259">
        <w:rPr>
          <w:rFonts w:ascii="Times New Roman" w:hAnsi="Times New Roman"/>
        </w:rPr>
        <w:t xml:space="preserve">could not have been thought to have been plainly wrong, with the associated uncertainty that such thinking would have had for any reliance upon </w:t>
      </w:r>
      <w:r w:rsidRPr="00F22259">
        <w:rPr>
          <w:rFonts w:ascii="Times New Roman" w:hAnsi="Times New Roman"/>
          <w:i/>
          <w:iCs/>
        </w:rPr>
        <w:t>Campbell</w:t>
      </w:r>
      <w:r w:rsidRPr="00F22259">
        <w:rPr>
          <w:rFonts w:ascii="Times New Roman" w:hAnsi="Times New Roman"/>
        </w:rPr>
        <w:t xml:space="preserve"> by Parliament or the public.</w:t>
      </w:r>
    </w:p>
    <w:p w14:paraId="30B6DB00" w14:textId="77777777" w:rsidR="004933DB" w:rsidRPr="00F22259" w:rsidRDefault="004933DB" w:rsidP="00F22259">
      <w:pPr>
        <w:pStyle w:val="HeadingL2"/>
        <w:spacing w:after="260" w:line="280" w:lineRule="exact"/>
        <w:ind w:right="0"/>
        <w:jc w:val="both"/>
        <w:rPr>
          <w:rFonts w:ascii="Times New Roman" w:hAnsi="Times New Roman"/>
        </w:rPr>
      </w:pPr>
      <w:r w:rsidRPr="00F22259">
        <w:rPr>
          <w:rFonts w:ascii="Times New Roman" w:hAnsi="Times New Roman"/>
        </w:rPr>
        <w:t>Different meanings of recklessness</w:t>
      </w:r>
    </w:p>
    <w:p w14:paraId="71FC4E9D"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As explained above, as a matter of principle the approach to recklessness in the context of serious injury when s 17 was enacted, as now, should require foresight only of the possibility of serious injury rather than foresight of the probability of serious injury. Nevertheless, there is difficulty in concluding that this is a clear, correct meaning of recklessness in circumstances in which: (</w:t>
      </w:r>
      <w:proofErr w:type="spellStart"/>
      <w:r w:rsidRPr="00F22259">
        <w:rPr>
          <w:rFonts w:ascii="Times New Roman" w:hAnsi="Times New Roman"/>
        </w:rPr>
        <w:t>i</w:t>
      </w:r>
      <w:proofErr w:type="spellEnd"/>
      <w:r w:rsidRPr="00F22259">
        <w:rPr>
          <w:rFonts w:ascii="Times New Roman" w:hAnsi="Times New Roman"/>
        </w:rPr>
        <w:t>) the concept of recklessness was entangled historically with the concept of malice; (ii) recklessness bears a different meaning at least in the context of murder; (iii) there is uncertainty surrounding the manner of defining the additional requirement of unreasonableness before recklessness will be established; and (iv) the additional requirement of unreasonableness may have the effect in many cases of increasing the likelihood of the serious injury that must be foreseen.</w:t>
      </w:r>
    </w:p>
    <w:p w14:paraId="7760BF0A"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lastRenderedPageBreak/>
        <w:tab/>
        <w:t xml:space="preserve">Another development in the law prior to </w:t>
      </w:r>
      <w:r w:rsidRPr="00F22259">
        <w:rPr>
          <w:rFonts w:ascii="Times New Roman" w:hAnsi="Times New Roman"/>
          <w:i/>
          <w:iCs/>
        </w:rPr>
        <w:t>Campbell</w:t>
      </w:r>
      <w:r w:rsidRPr="00F22259">
        <w:rPr>
          <w:rFonts w:ascii="Times New Roman" w:hAnsi="Times New Roman"/>
          <w:iCs/>
        </w:rPr>
        <w:t xml:space="preserve"> further </w:t>
      </w:r>
      <w:r w:rsidRPr="00F22259">
        <w:rPr>
          <w:rFonts w:ascii="Times New Roman" w:hAnsi="Times New Roman"/>
        </w:rPr>
        <w:t xml:space="preserve">highlights this difficulty. Prior to the decision in </w:t>
      </w:r>
      <w:r w:rsidRPr="00F22259">
        <w:rPr>
          <w:rFonts w:ascii="Times New Roman" w:hAnsi="Times New Roman"/>
          <w:i/>
        </w:rPr>
        <w:t>Campbell</w:t>
      </w:r>
      <w:r w:rsidRPr="00F22259">
        <w:rPr>
          <w:rFonts w:ascii="Times New Roman" w:hAnsi="Times New Roman"/>
        </w:rPr>
        <w:t xml:space="preserve">, the decision in </w:t>
      </w:r>
      <w:r w:rsidRPr="00F22259">
        <w:rPr>
          <w:rFonts w:ascii="Times New Roman" w:hAnsi="Times New Roman"/>
          <w:i/>
        </w:rPr>
        <w:t>Nuri</w:t>
      </w:r>
      <w:r w:rsidRPr="00F22259">
        <w:rPr>
          <w:rFonts w:ascii="Times New Roman" w:hAnsi="Times New Roman"/>
        </w:rPr>
        <w:t xml:space="preserve"> extended the approach in Victoria to recklessness in relation to the element of "reckless indifference to human life" for the offence of murder to offences involving reckless endangerment of life generally.</w:t>
      </w:r>
      <w:r w:rsidRPr="00F22259">
        <w:rPr>
          <w:rFonts w:ascii="Times New Roman" w:hAnsi="Times New Roman"/>
          <w:i/>
        </w:rPr>
        <w:t xml:space="preserve"> Nuri</w:t>
      </w:r>
      <w:r w:rsidRPr="00F22259">
        <w:rPr>
          <w:rFonts w:ascii="Times New Roman" w:hAnsi="Times New Roman"/>
        </w:rPr>
        <w:t xml:space="preserve"> concerned the offence created by s 22 of the </w:t>
      </w:r>
      <w:r w:rsidRPr="00F22259">
        <w:rPr>
          <w:rFonts w:ascii="Times New Roman" w:hAnsi="Times New Roman"/>
          <w:i/>
        </w:rPr>
        <w:t>Crimes Act</w:t>
      </w:r>
      <w:r w:rsidRPr="00F22259">
        <w:rPr>
          <w:rFonts w:ascii="Times New Roman" w:hAnsi="Times New Roman"/>
        </w:rPr>
        <w:t xml:space="preserve"> of recklessly engaging in conduct that places or may place another person in danger of death. That general endangerment offence replaced </w:t>
      </w:r>
      <w:proofErr w:type="gramStart"/>
      <w:r w:rsidRPr="00F22259">
        <w:rPr>
          <w:rFonts w:ascii="Times New Roman" w:hAnsi="Times New Roman"/>
        </w:rPr>
        <w:t>a large number of</w:t>
      </w:r>
      <w:proofErr w:type="gramEnd"/>
      <w:r w:rsidRPr="00F22259">
        <w:rPr>
          <w:rFonts w:ascii="Times New Roman" w:hAnsi="Times New Roman"/>
        </w:rPr>
        <w:t xml:space="preserve"> disparate offences concerning life</w:t>
      </w:r>
      <w:r w:rsidRPr="00F22259">
        <w:rPr>
          <w:rFonts w:ascii="Times New Roman" w:hAnsi="Times New Roman"/>
        </w:rPr>
        <w:noBreakHyphen/>
        <w:t xml:space="preserve">endangering behaviour that were previously found in the </w:t>
      </w:r>
      <w:r w:rsidRPr="00F22259">
        <w:rPr>
          <w:rFonts w:ascii="Times New Roman" w:hAnsi="Times New Roman"/>
          <w:i/>
        </w:rPr>
        <w:t>Crimes Act</w:t>
      </w:r>
      <w:r w:rsidRPr="00F22259">
        <w:rPr>
          <w:rStyle w:val="FootnoteReference"/>
          <w:rFonts w:ascii="Times New Roman" w:hAnsi="Times New Roman"/>
          <w:sz w:val="24"/>
        </w:rPr>
        <w:footnoteReference w:id="192"/>
      </w:r>
      <w:r w:rsidRPr="00F22259">
        <w:rPr>
          <w:rFonts w:ascii="Times New Roman" w:hAnsi="Times New Roman"/>
        </w:rPr>
        <w:t xml:space="preserve">. The Court of Criminal Appeal said in </w:t>
      </w:r>
      <w:r w:rsidRPr="00F22259">
        <w:rPr>
          <w:rFonts w:ascii="Times New Roman" w:hAnsi="Times New Roman"/>
          <w:i/>
        </w:rPr>
        <w:t>Nuri</w:t>
      </w:r>
      <w:r w:rsidRPr="00F22259">
        <w:rPr>
          <w:rFonts w:ascii="Times New Roman" w:hAnsi="Times New Roman"/>
        </w:rPr>
        <w:t xml:space="preserve"> that the "expression 'recklessly' may not give rise to difficulty. It has for long been employed in statutory offences."</w:t>
      </w:r>
      <w:r w:rsidRPr="00F22259">
        <w:rPr>
          <w:rStyle w:val="FootnoteReference"/>
          <w:rFonts w:ascii="Times New Roman" w:hAnsi="Times New Roman"/>
          <w:sz w:val="24"/>
        </w:rPr>
        <w:footnoteReference w:id="193"/>
      </w:r>
      <w:r w:rsidRPr="00F22259">
        <w:rPr>
          <w:rFonts w:ascii="Times New Roman" w:hAnsi="Times New Roman"/>
        </w:rPr>
        <w:t xml:space="preserve"> There was no issue in dispute about the appropriate test for recklessness. It was assumed that the meaning of recklessness in the context of murder involving a reckless indifference to human life – which requires foresight by the accused of the probable consequences of their action – was the same in the context of reckless endangerment of human life.</w:t>
      </w:r>
    </w:p>
    <w:p w14:paraId="558DD2F3"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The decision in </w:t>
      </w:r>
      <w:r w:rsidRPr="00F22259">
        <w:rPr>
          <w:rFonts w:ascii="Times New Roman" w:hAnsi="Times New Roman"/>
          <w:i/>
          <w:iCs/>
        </w:rPr>
        <w:t xml:space="preserve">Nuri </w:t>
      </w:r>
      <w:r w:rsidRPr="00F22259">
        <w:rPr>
          <w:rFonts w:ascii="Times New Roman" w:hAnsi="Times New Roman"/>
        </w:rPr>
        <w:t xml:space="preserve">was not considered by this Court in </w:t>
      </w:r>
      <w:r w:rsidRPr="00F22259">
        <w:rPr>
          <w:rFonts w:ascii="Times New Roman" w:hAnsi="Times New Roman"/>
          <w:i/>
          <w:iCs/>
        </w:rPr>
        <w:t>Aubrey</w:t>
      </w:r>
      <w:r w:rsidRPr="00F22259">
        <w:rPr>
          <w:rFonts w:ascii="Times New Roman" w:hAnsi="Times New Roman"/>
        </w:rPr>
        <w:t>.</w:t>
      </w:r>
      <w:r w:rsidRPr="00F22259">
        <w:rPr>
          <w:rFonts w:ascii="Times New Roman" w:hAnsi="Times New Roman"/>
          <w:i/>
          <w:iCs/>
        </w:rPr>
        <w:t xml:space="preserve"> </w:t>
      </w:r>
      <w:r w:rsidRPr="00F22259">
        <w:rPr>
          <w:rFonts w:ascii="Times New Roman" w:hAnsi="Times New Roman"/>
        </w:rPr>
        <w:t xml:space="preserve">It is unnecessary in this case to consider whether the further contraction in </w:t>
      </w:r>
      <w:r w:rsidRPr="00F22259">
        <w:rPr>
          <w:rFonts w:ascii="Times New Roman" w:hAnsi="Times New Roman"/>
          <w:i/>
        </w:rPr>
        <w:t>Nuri</w:t>
      </w:r>
      <w:r w:rsidRPr="00F22259">
        <w:rPr>
          <w:rFonts w:ascii="Times New Roman" w:hAnsi="Times New Roman"/>
        </w:rPr>
        <w:t xml:space="preserve"> was correct. It suffices to say that </w:t>
      </w:r>
      <w:r w:rsidRPr="00F22259">
        <w:rPr>
          <w:rFonts w:ascii="Times New Roman" w:hAnsi="Times New Roman"/>
          <w:i/>
        </w:rPr>
        <w:t xml:space="preserve">Nuri </w:t>
      </w:r>
      <w:r w:rsidRPr="00F22259">
        <w:rPr>
          <w:rFonts w:ascii="Times New Roman" w:hAnsi="Times New Roman"/>
        </w:rPr>
        <w:t>is a further illustration of the difficulty of drawing sharp lines around the different meanings of recklessness.</w:t>
      </w:r>
    </w:p>
    <w:p w14:paraId="3CE298E8" w14:textId="77777777" w:rsidR="004933DB" w:rsidRPr="00F22259" w:rsidRDefault="004933DB" w:rsidP="00F22259">
      <w:pPr>
        <w:pStyle w:val="HeadingL2"/>
        <w:spacing w:after="260" w:line="280" w:lineRule="exact"/>
        <w:ind w:right="0"/>
        <w:jc w:val="both"/>
        <w:rPr>
          <w:rFonts w:ascii="Times New Roman" w:hAnsi="Times New Roman"/>
        </w:rPr>
      </w:pPr>
      <w:r w:rsidRPr="00F22259">
        <w:rPr>
          <w:rFonts w:ascii="Times New Roman" w:hAnsi="Times New Roman"/>
        </w:rPr>
        <w:t>The contraction effected by Campbell should not be overstated</w:t>
      </w:r>
    </w:p>
    <w:p w14:paraId="5C10D3F2"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In </w:t>
      </w:r>
      <w:proofErr w:type="spellStart"/>
      <w:r w:rsidRPr="00F22259">
        <w:rPr>
          <w:rFonts w:ascii="Times New Roman" w:hAnsi="Times New Roman"/>
          <w:i/>
          <w:iCs/>
        </w:rPr>
        <w:t>Annakin</w:t>
      </w:r>
      <w:proofErr w:type="spellEnd"/>
      <w:r w:rsidRPr="00F22259">
        <w:rPr>
          <w:rStyle w:val="FootnoteReference"/>
          <w:rFonts w:ascii="Times New Roman" w:hAnsi="Times New Roman"/>
          <w:sz w:val="24"/>
        </w:rPr>
        <w:footnoteReference w:id="194"/>
      </w:r>
      <w:r w:rsidRPr="00F22259">
        <w:rPr>
          <w:rFonts w:ascii="Times New Roman" w:hAnsi="Times New Roman"/>
        </w:rPr>
        <w:t xml:space="preserve">, the Court of Criminal Appeal of New South Wales correctly observed that "[t]he </w:t>
      </w:r>
      <w:proofErr w:type="gramStart"/>
      <w:r w:rsidRPr="00F22259">
        <w:rPr>
          <w:rFonts w:ascii="Times New Roman" w:hAnsi="Times New Roman"/>
        </w:rPr>
        <w:t>line</w:t>
      </w:r>
      <w:proofErr w:type="gramEnd"/>
      <w:r w:rsidRPr="00F22259">
        <w:rPr>
          <w:rFonts w:ascii="Times New Roman" w:hAnsi="Times New Roman"/>
        </w:rPr>
        <w:t xml:space="preserve"> of division between probability and possibility is not an exact line, but a probability inevitably in law expresses a higher degree of certainty". Once the additional factor of unreasonableness is recognised as part of the traditional test, the line becomes even further blurred between (</w:t>
      </w:r>
      <w:proofErr w:type="spellStart"/>
      <w:r w:rsidRPr="00F22259">
        <w:rPr>
          <w:rFonts w:ascii="Times New Roman" w:hAnsi="Times New Roman"/>
        </w:rPr>
        <w:t>i</w:t>
      </w:r>
      <w:proofErr w:type="spellEnd"/>
      <w:r w:rsidRPr="00F22259">
        <w:rPr>
          <w:rFonts w:ascii="Times New Roman" w:hAnsi="Times New Roman"/>
        </w:rPr>
        <w:t xml:space="preserve">) the traditional meaning of recklessness set out in </w:t>
      </w:r>
      <w:r w:rsidRPr="00F22259">
        <w:rPr>
          <w:rFonts w:ascii="Times New Roman" w:hAnsi="Times New Roman"/>
          <w:i/>
          <w:iCs/>
        </w:rPr>
        <w:t xml:space="preserve">Aubrey </w:t>
      </w:r>
      <w:r w:rsidRPr="00F22259">
        <w:rPr>
          <w:rFonts w:ascii="Times New Roman" w:hAnsi="Times New Roman"/>
        </w:rPr>
        <w:t>(including unreasonableness of the conduct) and (ii) the meaning in cases of murder and, perhaps, other cases involving reckless indifference to human life. Other things remaining equal, the lower the likelihood of serious injury, the less likely it is that an act will be unreasonable.</w:t>
      </w:r>
    </w:p>
    <w:p w14:paraId="0C9FD8B0"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Nevertheless, there will be cases in which the different meanings of recklessness might lead to different results. In such cases, the application of the meaning of recklessness adopted in </w:t>
      </w:r>
      <w:r w:rsidRPr="00F22259">
        <w:rPr>
          <w:rFonts w:ascii="Times New Roman" w:hAnsi="Times New Roman"/>
          <w:i/>
          <w:iCs/>
        </w:rPr>
        <w:t xml:space="preserve">Campbell </w:t>
      </w:r>
      <w:r w:rsidRPr="00F22259">
        <w:rPr>
          <w:rFonts w:ascii="Times New Roman" w:hAnsi="Times New Roman"/>
        </w:rPr>
        <w:t xml:space="preserve">might lead to surprising results. Suppose that an accused person strikes a pedestrian, causing serious injury, while driving without headlights at a high speed. If the driving occurred on a quiet </w:t>
      </w:r>
      <w:r w:rsidRPr="00F22259">
        <w:rPr>
          <w:rFonts w:ascii="Times New Roman" w:hAnsi="Times New Roman"/>
        </w:rPr>
        <w:lastRenderedPageBreak/>
        <w:t xml:space="preserve">country road at midnight, when it would not have been foreseen as probable that any person would be on the road, the accused might successfully defend a charge under s 17 of the </w:t>
      </w:r>
      <w:r w:rsidRPr="00F22259">
        <w:rPr>
          <w:rFonts w:ascii="Times New Roman" w:hAnsi="Times New Roman"/>
          <w:i/>
          <w:iCs/>
        </w:rPr>
        <w:t>Crimes Act</w:t>
      </w:r>
      <w:r w:rsidRPr="00F22259">
        <w:rPr>
          <w:rFonts w:ascii="Times New Roman" w:hAnsi="Times New Roman"/>
        </w:rPr>
        <w:t xml:space="preserve"> which alleged that the accused contemplated that serious injury to another was a probable consequence of their action. By contrast, the accused would be much more likely to be convicted in the same circumstances </w:t>
      </w:r>
      <w:proofErr w:type="gramStart"/>
      <w:r w:rsidRPr="00F22259">
        <w:rPr>
          <w:rFonts w:ascii="Times New Roman" w:hAnsi="Times New Roman"/>
        </w:rPr>
        <w:t>on the basis of</w:t>
      </w:r>
      <w:proofErr w:type="gramEnd"/>
      <w:r w:rsidRPr="00F22259">
        <w:rPr>
          <w:rFonts w:ascii="Times New Roman" w:hAnsi="Times New Roman"/>
        </w:rPr>
        <w:t xml:space="preserve"> proof by the prosecution that in engaging in the act, the unreasonableness of which would not be in question, the accused person contemplated that serious injury to another was a possibility</w:t>
      </w:r>
      <w:r w:rsidRPr="00F22259">
        <w:rPr>
          <w:rStyle w:val="FootnoteReference"/>
          <w:rFonts w:ascii="Times New Roman" w:hAnsi="Times New Roman"/>
          <w:sz w:val="24"/>
        </w:rPr>
        <w:footnoteReference w:id="195"/>
      </w:r>
      <w:r w:rsidRPr="00F22259">
        <w:rPr>
          <w:rFonts w:ascii="Times New Roman" w:hAnsi="Times New Roman"/>
        </w:rPr>
        <w:t>.</w:t>
      </w:r>
    </w:p>
    <w:p w14:paraId="6B488F62" w14:textId="77777777" w:rsidR="004933DB" w:rsidRPr="00F22259" w:rsidRDefault="004933DB" w:rsidP="00F22259">
      <w:pPr>
        <w:pStyle w:val="HeadingL1"/>
        <w:spacing w:after="260" w:line="280" w:lineRule="exact"/>
        <w:ind w:right="0"/>
        <w:jc w:val="both"/>
        <w:rPr>
          <w:rFonts w:ascii="Times New Roman" w:hAnsi="Times New Roman"/>
        </w:rPr>
      </w:pPr>
      <w:r w:rsidRPr="00F22259">
        <w:rPr>
          <w:rFonts w:ascii="Times New Roman" w:hAnsi="Times New Roman"/>
        </w:rPr>
        <w:t>(2) Legislative changes surrounding s 17</w:t>
      </w:r>
    </w:p>
    <w:p w14:paraId="59B18C53"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A heavy focus of the submissions on behalf of the acquitted person, and in the reasoning of the Court of Appeal, was the legislative changes made by the Victorian Parliament to the </w:t>
      </w:r>
      <w:r w:rsidRPr="00F22259">
        <w:rPr>
          <w:rFonts w:ascii="Times New Roman" w:hAnsi="Times New Roman"/>
          <w:i/>
          <w:iCs/>
        </w:rPr>
        <w:t xml:space="preserve">Crimes Act </w:t>
      </w:r>
      <w:r w:rsidRPr="00F22259">
        <w:rPr>
          <w:rFonts w:ascii="Times New Roman" w:hAnsi="Times New Roman"/>
        </w:rPr>
        <w:t xml:space="preserve">after the decision in </w:t>
      </w:r>
      <w:r w:rsidRPr="00F22259">
        <w:rPr>
          <w:rFonts w:ascii="Times New Roman" w:hAnsi="Times New Roman"/>
          <w:i/>
          <w:iCs/>
        </w:rPr>
        <w:t>Campbell</w:t>
      </w:r>
      <w:r w:rsidRPr="00F22259">
        <w:rPr>
          <w:rFonts w:ascii="Times New Roman" w:hAnsi="Times New Roman"/>
          <w:iCs/>
        </w:rPr>
        <w:t>.</w:t>
      </w:r>
      <w:r w:rsidRPr="00F22259">
        <w:rPr>
          <w:rFonts w:ascii="Times New Roman" w:hAnsi="Times New Roman"/>
          <w:i/>
          <w:iCs/>
        </w:rPr>
        <w:t xml:space="preserve"> </w:t>
      </w:r>
      <w:r w:rsidRPr="00F22259">
        <w:rPr>
          <w:rFonts w:ascii="Times New Roman" w:hAnsi="Times New Roman"/>
        </w:rPr>
        <w:t>Two sets of amendments are relevant.</w:t>
      </w:r>
    </w:p>
    <w:p w14:paraId="0B613162"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The first set of amendments, in 1997, two years after the decision in </w:t>
      </w:r>
      <w:r w:rsidRPr="00F22259">
        <w:rPr>
          <w:rFonts w:ascii="Times New Roman" w:hAnsi="Times New Roman"/>
          <w:i/>
          <w:iCs/>
        </w:rPr>
        <w:t>Campbell</w:t>
      </w:r>
      <w:r w:rsidRPr="00F22259">
        <w:rPr>
          <w:rFonts w:ascii="Times New Roman" w:hAnsi="Times New Roman"/>
        </w:rPr>
        <w:t xml:space="preserve">, was contained in the </w:t>
      </w:r>
      <w:r w:rsidRPr="00F22259">
        <w:rPr>
          <w:rFonts w:ascii="Times New Roman" w:hAnsi="Times New Roman"/>
          <w:i/>
          <w:iCs/>
        </w:rPr>
        <w:t>Sentencing and Other Acts (Amendment) Act 1997</w:t>
      </w:r>
      <w:r w:rsidRPr="00F22259">
        <w:rPr>
          <w:rFonts w:ascii="Times New Roman" w:hAnsi="Times New Roman"/>
          <w:iCs/>
        </w:rPr>
        <w:t> </w:t>
      </w:r>
      <w:r w:rsidRPr="00F22259">
        <w:rPr>
          <w:rFonts w:ascii="Times New Roman" w:hAnsi="Times New Roman"/>
        </w:rPr>
        <w:t xml:space="preserve">(Vic). Those amendments made changes to the penalties in large swathes of criminal legislation, including at least 60 changes to the </w:t>
      </w:r>
      <w:r w:rsidRPr="00F22259">
        <w:rPr>
          <w:rFonts w:ascii="Times New Roman" w:hAnsi="Times New Roman"/>
          <w:i/>
          <w:iCs/>
        </w:rPr>
        <w:t xml:space="preserve">Crimes Act </w:t>
      </w:r>
      <w:r w:rsidRPr="00F22259">
        <w:rPr>
          <w:rFonts w:ascii="Times New Roman" w:hAnsi="Times New Roman"/>
        </w:rPr>
        <w:t>alone</w:t>
      </w:r>
      <w:r w:rsidRPr="00F22259">
        <w:rPr>
          <w:rFonts w:ascii="Times New Roman" w:hAnsi="Times New Roman"/>
          <w:iCs/>
        </w:rPr>
        <w:t>.</w:t>
      </w:r>
      <w:r w:rsidRPr="00F22259">
        <w:rPr>
          <w:rFonts w:ascii="Times New Roman" w:hAnsi="Times New Roman"/>
          <w:i/>
          <w:iCs/>
        </w:rPr>
        <w:t xml:space="preserve"> </w:t>
      </w:r>
      <w:r w:rsidRPr="00F22259">
        <w:rPr>
          <w:rFonts w:ascii="Times New Roman" w:hAnsi="Times New Roman"/>
        </w:rPr>
        <w:t xml:space="preserve">The changes to the </w:t>
      </w:r>
      <w:r w:rsidRPr="00F22259">
        <w:rPr>
          <w:rFonts w:ascii="Times New Roman" w:hAnsi="Times New Roman"/>
          <w:i/>
          <w:iCs/>
        </w:rPr>
        <w:t>Crimes Act</w:t>
      </w:r>
      <w:r w:rsidRPr="00F22259">
        <w:rPr>
          <w:rFonts w:ascii="Times New Roman" w:hAnsi="Times New Roman"/>
        </w:rPr>
        <w:t xml:space="preserve"> included increasing the maximum penalty for the s 17 offence from ten years' imprisonment to 15 years' imprisonment</w:t>
      </w:r>
      <w:r w:rsidRPr="00F22259">
        <w:rPr>
          <w:rStyle w:val="FootnoteReference"/>
          <w:rFonts w:ascii="Times New Roman" w:hAnsi="Times New Roman"/>
          <w:sz w:val="24"/>
        </w:rPr>
        <w:footnoteReference w:id="196"/>
      </w:r>
      <w:r w:rsidRPr="00F22259">
        <w:rPr>
          <w:rFonts w:ascii="Times New Roman" w:hAnsi="Times New Roman"/>
        </w:rPr>
        <w:t>.</w:t>
      </w:r>
    </w:p>
    <w:p w14:paraId="2AB03F4A"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As senior counsel for the acquitted person submitted, the 1997 amendments followed an extensive review by a Crown Prosecutor. Prosecutions under s 17 were a large part of the work of the criminal division of the County Court of Victoria and the Crown Prosecutor interviewed over 100 judges, magistrates, and other stakeholders</w:t>
      </w:r>
      <w:r w:rsidRPr="00F22259">
        <w:rPr>
          <w:rStyle w:val="FootnoteReference"/>
          <w:rFonts w:ascii="Times New Roman" w:hAnsi="Times New Roman"/>
          <w:sz w:val="24"/>
        </w:rPr>
        <w:footnoteReference w:id="197"/>
      </w:r>
      <w:r w:rsidRPr="00F22259">
        <w:rPr>
          <w:rFonts w:ascii="Times New Roman" w:hAnsi="Times New Roman"/>
        </w:rPr>
        <w:t xml:space="preserve">. The resulting increase in penalties was not wholly independent of the decision in </w:t>
      </w:r>
      <w:r w:rsidRPr="00F22259">
        <w:rPr>
          <w:rFonts w:ascii="Times New Roman" w:hAnsi="Times New Roman"/>
          <w:i/>
          <w:iCs/>
        </w:rPr>
        <w:t>Campbell</w:t>
      </w:r>
      <w:r w:rsidRPr="00F22259">
        <w:rPr>
          <w:rFonts w:ascii="Times New Roman" w:hAnsi="Times New Roman"/>
          <w:iCs/>
        </w:rPr>
        <w:t>,</w:t>
      </w:r>
      <w:r w:rsidRPr="00F22259">
        <w:rPr>
          <w:rFonts w:ascii="Times New Roman" w:hAnsi="Times New Roman"/>
        </w:rPr>
        <w:t xml:space="preserve"> since the requirement from that decision of foresight of a probability of injury necessarily meant that the offending was, at least to some degree, more serious than would have been the case if the foresight required had only been of a possibility of injury.</w:t>
      </w:r>
    </w:p>
    <w:p w14:paraId="4678C6AF"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i/>
          <w:iCs/>
        </w:rPr>
        <w:tab/>
      </w:r>
      <w:r w:rsidRPr="00F22259">
        <w:rPr>
          <w:rFonts w:ascii="Times New Roman" w:hAnsi="Times New Roman"/>
        </w:rPr>
        <w:t>The legislative changes did not involve repeal and re</w:t>
      </w:r>
      <w:r w:rsidRPr="00F22259">
        <w:rPr>
          <w:rFonts w:ascii="Times New Roman" w:hAnsi="Times New Roman"/>
        </w:rPr>
        <w:noBreakHyphen/>
        <w:t xml:space="preserve">enactment of s 17 of the </w:t>
      </w:r>
      <w:r w:rsidRPr="00F22259">
        <w:rPr>
          <w:rFonts w:ascii="Times New Roman" w:hAnsi="Times New Roman"/>
          <w:i/>
          <w:iCs/>
        </w:rPr>
        <w:t xml:space="preserve">Crimes Act </w:t>
      </w:r>
      <w:r w:rsidRPr="00F22259">
        <w:rPr>
          <w:rFonts w:ascii="Times New Roman" w:hAnsi="Times New Roman"/>
        </w:rPr>
        <w:t xml:space="preserve">with a new meaning to be attributed to s 17. But in circumstances where the intention of Parliament in originally enacting s 17 was to leave the development of recklessness to the courts, and since the statutory maximum </w:t>
      </w:r>
      <w:r w:rsidRPr="00F22259">
        <w:rPr>
          <w:rFonts w:ascii="Times New Roman" w:hAnsi="Times New Roman"/>
        </w:rPr>
        <w:lastRenderedPageBreak/>
        <w:t xml:space="preserve">sentence is context for interpretation of the meaning of s 17, the argument that s 17 should bear the meaning attributed to it in </w:t>
      </w:r>
      <w:r w:rsidRPr="00F22259">
        <w:rPr>
          <w:rFonts w:ascii="Times New Roman" w:hAnsi="Times New Roman"/>
          <w:i/>
          <w:iCs/>
        </w:rPr>
        <w:t xml:space="preserve">Campbell </w:t>
      </w:r>
      <w:r w:rsidRPr="00F22259">
        <w:rPr>
          <w:rFonts w:ascii="Times New Roman" w:hAnsi="Times New Roman"/>
        </w:rPr>
        <w:t>became stronger in 1997. Just as the "effect of [an] amending Act may be to alter the meaning which remaining provisions of the amended Act bore before the amendment"</w:t>
      </w:r>
      <w:r w:rsidRPr="00F22259">
        <w:rPr>
          <w:rStyle w:val="FootnoteReference"/>
          <w:rFonts w:ascii="Times New Roman" w:hAnsi="Times New Roman"/>
          <w:sz w:val="24"/>
        </w:rPr>
        <w:footnoteReference w:id="198"/>
      </w:r>
      <w:r w:rsidRPr="00F22259">
        <w:rPr>
          <w:rFonts w:ascii="Times New Roman" w:hAnsi="Times New Roman"/>
        </w:rPr>
        <w:t>, so too an amending Act can constrain or alter the development of an open</w:t>
      </w:r>
      <w:r w:rsidRPr="00F22259">
        <w:rPr>
          <w:rFonts w:ascii="Times New Roman" w:hAnsi="Times New Roman"/>
        </w:rPr>
        <w:noBreakHyphen/>
        <w:t>textured statutory concept.</w:t>
      </w:r>
    </w:p>
    <w:p w14:paraId="226B0862"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The second set of amendments occurred in 2013 by the </w:t>
      </w:r>
      <w:r w:rsidRPr="00F22259">
        <w:rPr>
          <w:rFonts w:ascii="Times New Roman" w:hAnsi="Times New Roman"/>
          <w:i/>
          <w:iCs/>
        </w:rPr>
        <w:t>Crimes Amendment (Gross Violence Offences) Act 2013 </w:t>
      </w:r>
      <w:r w:rsidRPr="00F22259">
        <w:rPr>
          <w:rFonts w:ascii="Times New Roman" w:hAnsi="Times New Roman"/>
        </w:rPr>
        <w:t xml:space="preserve">(Vic). The relevant changes made to the </w:t>
      </w:r>
      <w:r w:rsidRPr="00F22259">
        <w:rPr>
          <w:rFonts w:ascii="Times New Roman" w:hAnsi="Times New Roman"/>
          <w:i/>
          <w:iCs/>
        </w:rPr>
        <w:t xml:space="preserve">Crimes Act </w:t>
      </w:r>
      <w:r w:rsidRPr="00F22259">
        <w:rPr>
          <w:rFonts w:ascii="Times New Roman" w:hAnsi="Times New Roman"/>
        </w:rPr>
        <w:t>were to replace the definition of "serious injury" for offences, including s 17, and to insert new offences of "gross violence", including an aggravated form of the s 17 offence which involved gross violence</w:t>
      </w:r>
      <w:r w:rsidRPr="00F22259">
        <w:rPr>
          <w:rStyle w:val="FootnoteReference"/>
          <w:rFonts w:ascii="Times New Roman" w:hAnsi="Times New Roman"/>
          <w:sz w:val="24"/>
        </w:rPr>
        <w:footnoteReference w:id="199"/>
      </w:r>
      <w:r w:rsidRPr="00F22259">
        <w:rPr>
          <w:rFonts w:ascii="Times New Roman" w:hAnsi="Times New Roman"/>
        </w:rPr>
        <w:t>. The reason for the replacement of the definition of "serious injury" was said to be that the relevant offences were engaged at "a very low threshold"</w:t>
      </w:r>
      <w:r w:rsidRPr="00F22259">
        <w:rPr>
          <w:rStyle w:val="FootnoteReference"/>
          <w:rFonts w:ascii="Times New Roman" w:hAnsi="Times New Roman"/>
          <w:sz w:val="24"/>
        </w:rPr>
        <w:footnoteReference w:id="200"/>
      </w:r>
      <w:r w:rsidRPr="00F22259">
        <w:rPr>
          <w:rFonts w:ascii="Times New Roman" w:hAnsi="Times New Roman"/>
        </w:rPr>
        <w:t xml:space="preserve">. In other words, even with the higher threshold in </w:t>
      </w:r>
      <w:r w:rsidRPr="00F22259">
        <w:rPr>
          <w:rFonts w:ascii="Times New Roman" w:hAnsi="Times New Roman"/>
          <w:i/>
          <w:iCs/>
        </w:rPr>
        <w:t>Campbell</w:t>
      </w:r>
      <w:r w:rsidRPr="00F22259">
        <w:rPr>
          <w:rFonts w:ascii="Times New Roman" w:hAnsi="Times New Roman"/>
        </w:rPr>
        <w:t xml:space="preserve"> of foresight of </w:t>
      </w:r>
      <w:r w:rsidRPr="00F22259">
        <w:rPr>
          <w:rFonts w:ascii="Times New Roman" w:hAnsi="Times New Roman"/>
          <w:i/>
          <w:iCs/>
        </w:rPr>
        <w:t>probability</w:t>
      </w:r>
      <w:r w:rsidRPr="00F22259">
        <w:rPr>
          <w:rFonts w:ascii="Times New Roman" w:hAnsi="Times New Roman"/>
        </w:rPr>
        <w:t xml:space="preserve"> of injury, the offences were still seen as engaged at a low threshold. But the extent to which the 2013 amendments should constrain the further development of recklessness from the decision in </w:t>
      </w:r>
      <w:r w:rsidRPr="00F22259">
        <w:rPr>
          <w:rFonts w:ascii="Times New Roman" w:hAnsi="Times New Roman"/>
          <w:i/>
          <w:iCs/>
        </w:rPr>
        <w:t xml:space="preserve">Campbell </w:t>
      </w:r>
      <w:r w:rsidRPr="00F22259">
        <w:rPr>
          <w:rFonts w:ascii="Times New Roman" w:hAnsi="Times New Roman"/>
        </w:rPr>
        <w:t xml:space="preserve">depends upon whether </w:t>
      </w:r>
      <w:r w:rsidRPr="00F22259">
        <w:rPr>
          <w:rFonts w:ascii="Times New Roman" w:hAnsi="Times New Roman"/>
          <w:i/>
          <w:iCs/>
        </w:rPr>
        <w:t xml:space="preserve">Campbell </w:t>
      </w:r>
      <w:r w:rsidRPr="00F22259">
        <w:rPr>
          <w:rFonts w:ascii="Times New Roman" w:hAnsi="Times New Roman"/>
        </w:rPr>
        <w:t>could be taken to have been considered by Parliament in enacting the 2013 amendments.</w:t>
      </w:r>
    </w:p>
    <w:p w14:paraId="7F2D6526"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On the one hand, it might be said that the 2013 amendments should not substantially constrain the development of the meaning of recklessness in s 17 because, at the time of the 2013 amendments, the correctness of the decision in </w:t>
      </w:r>
      <w:r w:rsidRPr="00F22259">
        <w:rPr>
          <w:rFonts w:ascii="Times New Roman" w:hAnsi="Times New Roman"/>
          <w:i/>
          <w:iCs/>
        </w:rPr>
        <w:t xml:space="preserve">Campbell </w:t>
      </w:r>
      <w:r w:rsidRPr="00F22259">
        <w:rPr>
          <w:rFonts w:ascii="Times New Roman" w:hAnsi="Times New Roman"/>
        </w:rPr>
        <w:t>had been called into question</w:t>
      </w:r>
      <w:r w:rsidRPr="00F22259">
        <w:rPr>
          <w:rFonts w:ascii="Times New Roman" w:hAnsi="Times New Roman"/>
          <w:iCs/>
        </w:rPr>
        <w:t>.</w:t>
      </w:r>
      <w:r w:rsidRPr="00F22259">
        <w:rPr>
          <w:rFonts w:ascii="Times New Roman" w:hAnsi="Times New Roman"/>
          <w:i/>
          <w:iCs/>
        </w:rPr>
        <w:t xml:space="preserve"> </w:t>
      </w:r>
      <w:r w:rsidRPr="00F22259">
        <w:rPr>
          <w:rFonts w:ascii="Times New Roman" w:hAnsi="Times New Roman"/>
        </w:rPr>
        <w:t xml:space="preserve">In </w:t>
      </w:r>
      <w:r w:rsidRPr="00F22259">
        <w:rPr>
          <w:rFonts w:ascii="Times New Roman" w:hAnsi="Times New Roman"/>
          <w:i/>
          <w:iCs/>
        </w:rPr>
        <w:t>Blackwell v The Queen</w:t>
      </w:r>
      <w:r w:rsidRPr="00F22259">
        <w:rPr>
          <w:rStyle w:val="FootnoteReference"/>
          <w:rFonts w:ascii="Times New Roman" w:hAnsi="Times New Roman"/>
          <w:sz w:val="24"/>
        </w:rPr>
        <w:footnoteReference w:id="201"/>
      </w:r>
      <w:r w:rsidRPr="00F22259">
        <w:rPr>
          <w:rFonts w:ascii="Times New Roman" w:hAnsi="Times New Roman"/>
        </w:rPr>
        <w:t xml:space="preserve">, the Court of Criminal Appeal of the Supreme Court of New South Wales had declined to follow </w:t>
      </w:r>
      <w:r w:rsidRPr="00F22259">
        <w:rPr>
          <w:rFonts w:ascii="Times New Roman" w:hAnsi="Times New Roman"/>
          <w:i/>
          <w:iCs/>
        </w:rPr>
        <w:t>Campbell</w:t>
      </w:r>
      <w:r w:rsidRPr="00F22259">
        <w:rPr>
          <w:rFonts w:ascii="Times New Roman" w:hAnsi="Times New Roman"/>
          <w:iCs/>
        </w:rPr>
        <w:t>.</w:t>
      </w:r>
      <w:r w:rsidRPr="00F22259">
        <w:rPr>
          <w:rFonts w:ascii="Times New Roman" w:hAnsi="Times New Roman"/>
          <w:i/>
          <w:iCs/>
        </w:rPr>
        <w:t xml:space="preserve"> </w:t>
      </w:r>
      <w:r w:rsidRPr="00F22259">
        <w:rPr>
          <w:rFonts w:ascii="Times New Roman" w:hAnsi="Times New Roman"/>
        </w:rPr>
        <w:t>Beazley JA (with whom James J agreed) relied in part upon the different legislative history of the New South Wales offence</w:t>
      </w:r>
      <w:r w:rsidRPr="00F22259">
        <w:rPr>
          <w:rStyle w:val="FootnoteReference"/>
          <w:rFonts w:ascii="Times New Roman" w:hAnsi="Times New Roman"/>
          <w:sz w:val="24"/>
        </w:rPr>
        <w:footnoteReference w:id="202"/>
      </w:r>
      <w:r w:rsidRPr="00F22259">
        <w:rPr>
          <w:rFonts w:ascii="Times New Roman" w:hAnsi="Times New Roman"/>
        </w:rPr>
        <w:t xml:space="preserve">, which then concerned malice rather than recklessness. But her Honour added that the decision in </w:t>
      </w:r>
      <w:r w:rsidRPr="00F22259">
        <w:rPr>
          <w:rFonts w:ascii="Times New Roman" w:hAnsi="Times New Roman"/>
          <w:i/>
          <w:iCs/>
        </w:rPr>
        <w:t>Campbell</w:t>
      </w:r>
      <w:r w:rsidRPr="00F22259">
        <w:rPr>
          <w:rFonts w:ascii="Times New Roman" w:hAnsi="Times New Roman"/>
        </w:rPr>
        <w:t xml:space="preserve"> was "inconsistent with authority in the High Court, New South Wales and in England"</w:t>
      </w:r>
      <w:r w:rsidRPr="00F22259">
        <w:rPr>
          <w:rStyle w:val="FootnoteReference"/>
          <w:rFonts w:ascii="Times New Roman" w:hAnsi="Times New Roman"/>
          <w:sz w:val="24"/>
        </w:rPr>
        <w:footnoteReference w:id="203"/>
      </w:r>
      <w:r w:rsidRPr="00F22259">
        <w:rPr>
          <w:rFonts w:ascii="Times New Roman" w:hAnsi="Times New Roman"/>
        </w:rPr>
        <w:t xml:space="preserve">. The decision of the High Court to which her Honour had </w:t>
      </w:r>
      <w:r w:rsidRPr="00F22259">
        <w:rPr>
          <w:rFonts w:ascii="Times New Roman" w:hAnsi="Times New Roman"/>
        </w:rPr>
        <w:lastRenderedPageBreak/>
        <w:t xml:space="preserve">referred was the decision in </w:t>
      </w:r>
      <w:proofErr w:type="spellStart"/>
      <w:r w:rsidRPr="00F22259">
        <w:rPr>
          <w:rFonts w:ascii="Times New Roman" w:hAnsi="Times New Roman"/>
          <w:i/>
          <w:iCs/>
        </w:rPr>
        <w:t>Banditt</w:t>
      </w:r>
      <w:proofErr w:type="spellEnd"/>
      <w:r w:rsidRPr="00F22259">
        <w:rPr>
          <w:rStyle w:val="FootnoteReference"/>
          <w:rFonts w:ascii="Times New Roman" w:hAnsi="Times New Roman"/>
          <w:sz w:val="24"/>
        </w:rPr>
        <w:footnoteReference w:id="204"/>
      </w:r>
      <w:r w:rsidRPr="00F22259">
        <w:rPr>
          <w:rFonts w:ascii="Times New Roman" w:hAnsi="Times New Roman"/>
          <w:iCs/>
        </w:rPr>
        <w:t>,</w:t>
      </w:r>
      <w:r w:rsidRPr="00F22259">
        <w:rPr>
          <w:rFonts w:ascii="Times New Roman" w:hAnsi="Times New Roman"/>
          <w:i/>
          <w:iCs/>
        </w:rPr>
        <w:t xml:space="preserve"> </w:t>
      </w:r>
      <w:r w:rsidRPr="00F22259">
        <w:rPr>
          <w:rFonts w:ascii="Times New Roman" w:hAnsi="Times New Roman"/>
        </w:rPr>
        <w:t xml:space="preserve">where, in the context of considering the meaning of recklessness as to consent to sexual intercourse in s 61R(1) of the </w:t>
      </w:r>
      <w:r w:rsidRPr="00F22259">
        <w:rPr>
          <w:rFonts w:ascii="Times New Roman" w:hAnsi="Times New Roman"/>
          <w:i/>
          <w:iCs/>
        </w:rPr>
        <w:t>Crimes Act 1900</w:t>
      </w:r>
      <w:r w:rsidRPr="00F22259">
        <w:rPr>
          <w:rFonts w:ascii="Times New Roman" w:hAnsi="Times New Roman"/>
          <w:iCs/>
        </w:rPr>
        <w:t> </w:t>
      </w:r>
      <w:r w:rsidRPr="00F22259">
        <w:rPr>
          <w:rFonts w:ascii="Times New Roman" w:hAnsi="Times New Roman"/>
        </w:rPr>
        <w:t xml:space="preserve">(NSW), </w:t>
      </w:r>
      <w:proofErr w:type="spellStart"/>
      <w:r w:rsidRPr="00F22259">
        <w:rPr>
          <w:rFonts w:ascii="Times New Roman" w:hAnsi="Times New Roman"/>
        </w:rPr>
        <w:t>Gummow</w:t>
      </w:r>
      <w:proofErr w:type="spellEnd"/>
      <w:r w:rsidRPr="00F22259">
        <w:rPr>
          <w:rFonts w:ascii="Times New Roman" w:hAnsi="Times New Roman"/>
        </w:rPr>
        <w:t xml:space="preserve">, Hayne and </w:t>
      </w:r>
      <w:proofErr w:type="spellStart"/>
      <w:r w:rsidRPr="00F22259">
        <w:rPr>
          <w:rFonts w:ascii="Times New Roman" w:hAnsi="Times New Roman"/>
        </w:rPr>
        <w:t>Heydon</w:t>
      </w:r>
      <w:proofErr w:type="spellEnd"/>
      <w:r w:rsidRPr="00F22259">
        <w:rPr>
          <w:rFonts w:ascii="Times New Roman" w:hAnsi="Times New Roman"/>
        </w:rPr>
        <w:t> JJ quoted from Sir John Smith with approval: "If D is aware that there is any possibility that P is not consenting and proceeds to have intercourse, he does so recklessly."</w:t>
      </w:r>
    </w:p>
    <w:p w14:paraId="0B8E62F0"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On the other hand, none of the extrinsic materials concerning the 2013 amendments referred to any of these </w:t>
      </w:r>
      <w:proofErr w:type="gramStart"/>
      <w:r w:rsidRPr="00F22259">
        <w:rPr>
          <w:rFonts w:ascii="Times New Roman" w:hAnsi="Times New Roman"/>
        </w:rPr>
        <w:t>decisions, or</w:t>
      </w:r>
      <w:proofErr w:type="gramEnd"/>
      <w:r w:rsidRPr="00F22259">
        <w:rPr>
          <w:rFonts w:ascii="Times New Roman" w:hAnsi="Times New Roman"/>
        </w:rPr>
        <w:t xml:space="preserve"> expressed any doubts about the correctness of the decision in </w:t>
      </w:r>
      <w:r w:rsidRPr="00F22259">
        <w:rPr>
          <w:rFonts w:ascii="Times New Roman" w:hAnsi="Times New Roman"/>
          <w:i/>
          <w:iCs/>
        </w:rPr>
        <w:t>Campbell</w:t>
      </w:r>
      <w:r w:rsidRPr="00F22259">
        <w:rPr>
          <w:rFonts w:ascii="Times New Roman" w:hAnsi="Times New Roman"/>
          <w:iCs/>
        </w:rPr>
        <w:t>.</w:t>
      </w:r>
      <w:r w:rsidRPr="00F22259">
        <w:rPr>
          <w:rFonts w:ascii="Times New Roman" w:hAnsi="Times New Roman"/>
          <w:i/>
          <w:iCs/>
        </w:rPr>
        <w:t xml:space="preserve"> </w:t>
      </w:r>
      <w:r w:rsidRPr="00F22259">
        <w:rPr>
          <w:rFonts w:ascii="Times New Roman" w:hAnsi="Times New Roman"/>
        </w:rPr>
        <w:t>The existing legal position was considered by the Attorney-General for Victoria, who said in his Second Reading Speech that the government had "carefully considered" a report of the Sentencing Advisory Council</w:t>
      </w:r>
      <w:r w:rsidRPr="00F22259">
        <w:rPr>
          <w:rStyle w:val="FootnoteReference"/>
          <w:rFonts w:ascii="Times New Roman" w:hAnsi="Times New Roman"/>
          <w:sz w:val="24"/>
        </w:rPr>
        <w:footnoteReference w:id="205"/>
      </w:r>
      <w:r w:rsidRPr="00F22259">
        <w:rPr>
          <w:rFonts w:ascii="Times New Roman" w:hAnsi="Times New Roman"/>
        </w:rPr>
        <w:t xml:space="preserve"> and that it had "adopted many of" the Council's recommendations</w:t>
      </w:r>
      <w:r w:rsidRPr="00F22259">
        <w:rPr>
          <w:rStyle w:val="FootnoteReference"/>
          <w:rFonts w:ascii="Times New Roman" w:hAnsi="Times New Roman"/>
          <w:sz w:val="24"/>
        </w:rPr>
        <w:footnoteReference w:id="206"/>
      </w:r>
      <w:r w:rsidRPr="00F22259">
        <w:rPr>
          <w:rFonts w:ascii="Times New Roman" w:hAnsi="Times New Roman"/>
        </w:rPr>
        <w:t xml:space="preserve">. That report had said of s 17, with a footnote to </w:t>
      </w:r>
      <w:r w:rsidRPr="00F22259">
        <w:rPr>
          <w:rFonts w:ascii="Times New Roman" w:hAnsi="Times New Roman"/>
          <w:i/>
          <w:iCs/>
        </w:rPr>
        <w:t>Nuri</w:t>
      </w:r>
      <w:r w:rsidRPr="00F22259">
        <w:rPr>
          <w:rStyle w:val="FootnoteReference"/>
          <w:rFonts w:ascii="Times New Roman" w:hAnsi="Times New Roman"/>
          <w:iCs/>
          <w:sz w:val="24"/>
        </w:rPr>
        <w:footnoteReference w:id="207"/>
      </w:r>
      <w:r w:rsidRPr="00F22259">
        <w:rPr>
          <w:rFonts w:ascii="Times New Roman" w:hAnsi="Times New Roman"/>
        </w:rPr>
        <w:t>, that the element of recklessness will be satisfied by proof that "the accused foresaw that his or her actions would probably cause serious injury and that he or she was indifferent as to whether or not serious injury would actually result"</w:t>
      </w:r>
      <w:r w:rsidRPr="00F22259">
        <w:rPr>
          <w:rStyle w:val="FootnoteReference"/>
          <w:rFonts w:ascii="Times New Roman" w:hAnsi="Times New Roman"/>
          <w:sz w:val="24"/>
        </w:rPr>
        <w:footnoteReference w:id="208"/>
      </w:r>
      <w:r w:rsidRPr="00F22259">
        <w:rPr>
          <w:rFonts w:ascii="Times New Roman" w:hAnsi="Times New Roman"/>
        </w:rPr>
        <w:t>. On balance, the 2013 amendments are a source for some constraint in the development of the meaning of recklessness. Together with the 1997 amendments, however, that constraint becomes significant.</w:t>
      </w:r>
    </w:p>
    <w:p w14:paraId="707635AD" w14:textId="77777777" w:rsidR="004933DB" w:rsidRPr="00F22259" w:rsidRDefault="004933DB" w:rsidP="00F22259">
      <w:pPr>
        <w:pStyle w:val="HeadingL1"/>
        <w:spacing w:after="260" w:line="280" w:lineRule="exact"/>
        <w:ind w:right="0"/>
        <w:jc w:val="both"/>
        <w:rPr>
          <w:rFonts w:ascii="Times New Roman" w:hAnsi="Times New Roman"/>
        </w:rPr>
      </w:pPr>
      <w:r w:rsidRPr="00F22259">
        <w:rPr>
          <w:rFonts w:ascii="Times New Roman" w:hAnsi="Times New Roman"/>
        </w:rPr>
        <w:t xml:space="preserve">(3) Unfairness in departing from </w:t>
      </w:r>
      <w:r w:rsidRPr="00F22259">
        <w:rPr>
          <w:rFonts w:ascii="Times New Roman" w:hAnsi="Times New Roman"/>
          <w:i/>
          <w:iCs/>
        </w:rPr>
        <w:t>Campbell</w:t>
      </w:r>
    </w:p>
    <w:p w14:paraId="01F6194D"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The final reason that militates against overruling the decision in </w:t>
      </w:r>
      <w:r w:rsidRPr="00F22259">
        <w:rPr>
          <w:rFonts w:ascii="Times New Roman" w:hAnsi="Times New Roman"/>
          <w:i/>
          <w:iCs/>
        </w:rPr>
        <w:t>Campbell</w:t>
      </w:r>
      <w:r w:rsidRPr="00F22259">
        <w:rPr>
          <w:rFonts w:ascii="Times New Roman" w:hAnsi="Times New Roman"/>
          <w:iCs/>
        </w:rPr>
        <w:t xml:space="preserve"> </w:t>
      </w:r>
      <w:r w:rsidRPr="00F22259">
        <w:rPr>
          <w:rFonts w:ascii="Times New Roman" w:hAnsi="Times New Roman"/>
        </w:rPr>
        <w:t xml:space="preserve">is the unfairness that would result from doing so. In </w:t>
      </w:r>
      <w:proofErr w:type="spellStart"/>
      <w:r w:rsidRPr="00F22259">
        <w:rPr>
          <w:rFonts w:ascii="Times New Roman" w:hAnsi="Times New Roman"/>
          <w:i/>
          <w:iCs/>
        </w:rPr>
        <w:t>Babaniaris</w:t>
      </w:r>
      <w:proofErr w:type="spellEnd"/>
      <w:r w:rsidRPr="00F22259">
        <w:rPr>
          <w:rFonts w:ascii="Times New Roman" w:hAnsi="Times New Roman"/>
          <w:i/>
          <w:iCs/>
        </w:rPr>
        <w:t xml:space="preserve"> v </w:t>
      </w:r>
      <w:proofErr w:type="spellStart"/>
      <w:r w:rsidRPr="00F22259">
        <w:rPr>
          <w:rFonts w:ascii="Times New Roman" w:hAnsi="Times New Roman"/>
          <w:i/>
          <w:iCs/>
        </w:rPr>
        <w:t>Lutony</w:t>
      </w:r>
      <w:proofErr w:type="spellEnd"/>
      <w:r w:rsidRPr="00F22259">
        <w:rPr>
          <w:rFonts w:ascii="Times New Roman" w:hAnsi="Times New Roman"/>
          <w:i/>
          <w:iCs/>
        </w:rPr>
        <w:t xml:space="preserve"> Fashions Pty Ltd</w:t>
      </w:r>
      <w:r w:rsidRPr="00F22259">
        <w:rPr>
          <w:rStyle w:val="FootnoteReference"/>
          <w:rFonts w:ascii="Times New Roman" w:hAnsi="Times New Roman"/>
          <w:sz w:val="24"/>
        </w:rPr>
        <w:footnoteReference w:id="209"/>
      </w:r>
      <w:r w:rsidRPr="00F22259">
        <w:rPr>
          <w:rFonts w:ascii="Times New Roman" w:hAnsi="Times New Roman"/>
        </w:rPr>
        <w:t xml:space="preserve">, Mason J referred to the strong authority for the view that a decision of long standing should not lightly be disturbed. Those considerations apply, </w:t>
      </w:r>
      <w:proofErr w:type="gramStart"/>
      <w:r w:rsidRPr="00F22259">
        <w:rPr>
          <w:rFonts w:ascii="Times New Roman" w:hAnsi="Times New Roman"/>
        </w:rPr>
        <w:t>a fortiori</w:t>
      </w:r>
      <w:proofErr w:type="gramEnd"/>
      <w:r w:rsidRPr="00F22259">
        <w:rPr>
          <w:rFonts w:ascii="Times New Roman" w:hAnsi="Times New Roman"/>
        </w:rPr>
        <w:t xml:space="preserve">, to criminal law cases. The "retroactive removal of an actual freedom coupled with the gravity of consequences that may accompany a breach of the </w:t>
      </w:r>
      <w:r w:rsidRPr="00F22259">
        <w:rPr>
          <w:rFonts w:ascii="Times New Roman" w:hAnsi="Times New Roman"/>
        </w:rPr>
        <w:lastRenderedPageBreak/>
        <w:t>criminal law" has been described as a "particularly acute example of infraction by the state of individual liberty"</w:t>
      </w:r>
      <w:r w:rsidRPr="00F22259">
        <w:rPr>
          <w:rStyle w:val="FootnoteReference"/>
          <w:rFonts w:ascii="Times New Roman" w:hAnsi="Times New Roman"/>
          <w:sz w:val="24"/>
        </w:rPr>
        <w:footnoteReference w:id="210"/>
      </w:r>
      <w:r w:rsidRPr="00F22259">
        <w:rPr>
          <w:rFonts w:ascii="Times New Roman" w:hAnsi="Times New Roman"/>
        </w:rPr>
        <w:t>.</w:t>
      </w:r>
    </w:p>
    <w:p w14:paraId="59353E5E"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The unfairness concern enunciated by Mason J was qualified by the "countervailing </w:t>
      </w:r>
      <w:proofErr w:type="gramStart"/>
      <w:r w:rsidRPr="00F22259">
        <w:rPr>
          <w:rFonts w:ascii="Times New Roman" w:hAnsi="Times New Roman"/>
        </w:rPr>
        <w:t>consideration[</w:t>
      </w:r>
      <w:proofErr w:type="gramEnd"/>
      <w:r w:rsidRPr="00F22259">
        <w:rPr>
          <w:rFonts w:ascii="Times New Roman" w:hAnsi="Times New Roman"/>
        </w:rPr>
        <w:t>]" in the case of statutory interpretation that if an appellate court "is convinced that a previous interpretation is plainly erroneous then it cannot allow previous error to stand in the way of declaring the true intent of the statute"</w:t>
      </w:r>
      <w:r w:rsidRPr="00F22259">
        <w:rPr>
          <w:rStyle w:val="FootnoteReference"/>
          <w:rFonts w:ascii="Times New Roman" w:hAnsi="Times New Roman"/>
          <w:sz w:val="24"/>
        </w:rPr>
        <w:footnoteReference w:id="211"/>
      </w:r>
      <w:r w:rsidRPr="00F22259">
        <w:rPr>
          <w:rFonts w:ascii="Times New Roman" w:hAnsi="Times New Roman"/>
        </w:rPr>
        <w:t xml:space="preserve">. But, as explained above, this is not a case where Parliament intended that recklessness bear any </w:t>
      </w:r>
      <w:proofErr w:type="gramStart"/>
      <w:r w:rsidRPr="00F22259">
        <w:rPr>
          <w:rFonts w:ascii="Times New Roman" w:hAnsi="Times New Roman"/>
        </w:rPr>
        <w:t>particular essential</w:t>
      </w:r>
      <w:proofErr w:type="gramEnd"/>
      <w:r w:rsidRPr="00F22259">
        <w:rPr>
          <w:rFonts w:ascii="Times New Roman" w:hAnsi="Times New Roman"/>
        </w:rPr>
        <w:t xml:space="preserve"> meaning. That meaning was left to judicial development. Further, </w:t>
      </w:r>
      <w:proofErr w:type="gramStart"/>
      <w:r w:rsidRPr="00F22259">
        <w:rPr>
          <w:rFonts w:ascii="Times New Roman" w:hAnsi="Times New Roman"/>
        </w:rPr>
        <w:t>for the reasons that</w:t>
      </w:r>
      <w:proofErr w:type="gramEnd"/>
      <w:r w:rsidRPr="00F22259">
        <w:rPr>
          <w:rFonts w:ascii="Times New Roman" w:hAnsi="Times New Roman"/>
        </w:rPr>
        <w:t xml:space="preserve"> I have given in sections (1) and (2), the decision in </w:t>
      </w:r>
      <w:r w:rsidRPr="00F22259">
        <w:rPr>
          <w:rFonts w:ascii="Times New Roman" w:hAnsi="Times New Roman"/>
          <w:i/>
        </w:rPr>
        <w:t xml:space="preserve">Campbell </w:t>
      </w:r>
      <w:r w:rsidRPr="00F22259">
        <w:rPr>
          <w:rFonts w:ascii="Times New Roman" w:hAnsi="Times New Roman"/>
        </w:rPr>
        <w:t>was not plainly erroneous in 1995 and was certainly not plainly erroneous by the time of the 2013 amendments.</w:t>
      </w:r>
    </w:p>
    <w:p w14:paraId="6AA67A1C"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There was no suggestion in any of the extrinsic materials surrounding the 1997 or 2013 amendments that the meaning given to recklessness in </w:t>
      </w:r>
      <w:r w:rsidRPr="00F22259">
        <w:rPr>
          <w:rFonts w:ascii="Times New Roman" w:hAnsi="Times New Roman"/>
          <w:i/>
          <w:iCs/>
        </w:rPr>
        <w:t>Campbell</w:t>
      </w:r>
      <w:r w:rsidRPr="00F22259">
        <w:rPr>
          <w:rFonts w:ascii="Times New Roman" w:hAnsi="Times New Roman"/>
          <w:iCs/>
        </w:rPr>
        <w:t xml:space="preserve"> </w:t>
      </w:r>
      <w:r w:rsidRPr="00F22259">
        <w:rPr>
          <w:rFonts w:ascii="Times New Roman" w:hAnsi="Times New Roman"/>
        </w:rPr>
        <w:t xml:space="preserve">had caused any difficulty in directions to juries. By contrast, if </w:t>
      </w:r>
      <w:r w:rsidRPr="00F22259">
        <w:rPr>
          <w:rFonts w:ascii="Times New Roman" w:hAnsi="Times New Roman"/>
          <w:i/>
          <w:iCs/>
        </w:rPr>
        <w:t>Campbell</w:t>
      </w:r>
      <w:r w:rsidRPr="00F22259">
        <w:rPr>
          <w:rFonts w:ascii="Times New Roman" w:hAnsi="Times New Roman"/>
          <w:iCs/>
        </w:rPr>
        <w:t xml:space="preserve"> </w:t>
      </w:r>
      <w:r w:rsidRPr="00F22259">
        <w:rPr>
          <w:rFonts w:ascii="Times New Roman" w:hAnsi="Times New Roman"/>
        </w:rPr>
        <w:t>were overturned, it would mean that for 26 years in Victoria anyone who had acted unreasonably with a foresight of the possibility, but not the probability, of serious injury would retroactively be guilty of an offence.</w:t>
      </w:r>
    </w:p>
    <w:p w14:paraId="0FA76C7A" w14:textId="77777777" w:rsidR="004933DB" w:rsidRPr="00F22259" w:rsidRDefault="004933DB" w:rsidP="00F22259">
      <w:pPr>
        <w:pStyle w:val="HeadingL1"/>
        <w:spacing w:after="260" w:line="280" w:lineRule="exact"/>
        <w:ind w:right="0"/>
        <w:jc w:val="both"/>
        <w:rPr>
          <w:rFonts w:ascii="Times New Roman" w:hAnsi="Times New Roman"/>
        </w:rPr>
      </w:pPr>
      <w:r w:rsidRPr="00F22259">
        <w:rPr>
          <w:rFonts w:ascii="Times New Roman" w:hAnsi="Times New Roman"/>
        </w:rPr>
        <w:t>Conclusion</w:t>
      </w:r>
    </w:p>
    <w:p w14:paraId="24F931CE"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The Court of Appeal answered the point of law referred to it as follows:</w:t>
      </w:r>
    </w:p>
    <w:p w14:paraId="06F86922" w14:textId="77777777" w:rsidR="004933DB" w:rsidRDefault="004933DB" w:rsidP="00F22259">
      <w:pPr>
        <w:pStyle w:val="LeftrightafterHC"/>
        <w:spacing w:before="0" w:after="260" w:line="280" w:lineRule="exact"/>
        <w:ind w:right="0"/>
        <w:jc w:val="both"/>
        <w:rPr>
          <w:rFonts w:ascii="Times New Roman" w:hAnsi="Times New Roman"/>
        </w:rPr>
      </w:pPr>
      <w:r w:rsidRPr="00F22259">
        <w:rPr>
          <w:rFonts w:ascii="Times New Roman" w:hAnsi="Times New Roman"/>
        </w:rPr>
        <w:t xml:space="preserve">"Unless and until it is altered by legislation, the meaning of 'recklessly' in s 17 of the </w:t>
      </w:r>
      <w:r w:rsidRPr="00F22259">
        <w:rPr>
          <w:rFonts w:ascii="Times New Roman" w:hAnsi="Times New Roman"/>
          <w:i/>
          <w:iCs/>
        </w:rPr>
        <w:t xml:space="preserve">Crimes Act 1958 </w:t>
      </w:r>
      <w:r w:rsidRPr="00F22259">
        <w:rPr>
          <w:rFonts w:ascii="Times New Roman" w:hAnsi="Times New Roman"/>
        </w:rPr>
        <w:t xml:space="preserve">is that stated by the Court of Appeal in </w:t>
      </w:r>
      <w:r w:rsidRPr="00F22259">
        <w:rPr>
          <w:rFonts w:ascii="Times New Roman" w:hAnsi="Times New Roman"/>
          <w:i/>
          <w:iCs/>
        </w:rPr>
        <w:t xml:space="preserve">R v Campbell </w:t>
      </w:r>
      <w:r w:rsidRPr="00F22259">
        <w:rPr>
          <w:rFonts w:ascii="Times New Roman" w:hAnsi="Times New Roman"/>
        </w:rPr>
        <w:t>[1997] 2 VR 585."</w:t>
      </w:r>
    </w:p>
    <w:p w14:paraId="02E5E0CC" w14:textId="77777777" w:rsidR="004933DB" w:rsidRPr="00F22259" w:rsidRDefault="004933DB" w:rsidP="00F22259">
      <w:pPr>
        <w:pStyle w:val="NormalBody"/>
        <w:spacing w:after="260" w:line="280" w:lineRule="exact"/>
        <w:ind w:right="0"/>
        <w:jc w:val="both"/>
        <w:rPr>
          <w:rFonts w:ascii="Times New Roman" w:hAnsi="Times New Roman"/>
          <w:i/>
          <w:iCs/>
        </w:rPr>
      </w:pPr>
      <w:r w:rsidRPr="00F22259">
        <w:rPr>
          <w:rFonts w:ascii="Times New Roman" w:hAnsi="Times New Roman"/>
        </w:rPr>
        <w:t xml:space="preserve">That answer was correct. The combination of the three reasons discussed above entrenched the meaning of recklessness taken in </w:t>
      </w:r>
      <w:r w:rsidRPr="00F22259">
        <w:rPr>
          <w:rFonts w:ascii="Times New Roman" w:hAnsi="Times New Roman"/>
          <w:i/>
          <w:iCs/>
        </w:rPr>
        <w:t xml:space="preserve">Campbell </w:t>
      </w:r>
      <w:r w:rsidRPr="00F22259">
        <w:rPr>
          <w:rFonts w:ascii="Times New Roman" w:hAnsi="Times New Roman"/>
        </w:rPr>
        <w:t xml:space="preserve">to the offence under s 17 of the </w:t>
      </w:r>
      <w:r w:rsidRPr="00F22259">
        <w:rPr>
          <w:rFonts w:ascii="Times New Roman" w:hAnsi="Times New Roman"/>
          <w:i/>
          <w:iCs/>
        </w:rPr>
        <w:t>Crimes Act</w:t>
      </w:r>
      <w:r w:rsidRPr="00F22259">
        <w:rPr>
          <w:rFonts w:ascii="Times New Roman" w:hAnsi="Times New Roman"/>
        </w:rPr>
        <w:t>.</w:t>
      </w:r>
    </w:p>
    <w:p w14:paraId="47EDA25D" w14:textId="77777777" w:rsidR="004933DB" w:rsidRPr="00F22259"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It may be that the same result is also required for the alternative offence in s 15B, inserted in 2013</w:t>
      </w:r>
      <w:r w:rsidRPr="00F22259">
        <w:rPr>
          <w:rStyle w:val="FootnoteReference"/>
          <w:rFonts w:ascii="Times New Roman" w:hAnsi="Times New Roman"/>
          <w:sz w:val="24"/>
        </w:rPr>
        <w:footnoteReference w:id="212"/>
      </w:r>
      <w:r w:rsidRPr="00F22259">
        <w:rPr>
          <w:rFonts w:ascii="Times New Roman" w:hAnsi="Times New Roman"/>
        </w:rPr>
        <w:t>, and possibly for offences such as recklessly engaging in conduct that places or may place another person in danger of death</w:t>
      </w:r>
      <w:r w:rsidRPr="00F22259">
        <w:rPr>
          <w:rStyle w:val="FootnoteReference"/>
          <w:rFonts w:ascii="Times New Roman" w:hAnsi="Times New Roman"/>
          <w:sz w:val="24"/>
        </w:rPr>
        <w:footnoteReference w:id="213"/>
      </w:r>
      <w:r w:rsidRPr="00F22259">
        <w:rPr>
          <w:rFonts w:ascii="Times New Roman" w:hAnsi="Times New Roman"/>
        </w:rPr>
        <w:t xml:space="preserve">. But the error in </w:t>
      </w:r>
      <w:r w:rsidRPr="00F22259">
        <w:rPr>
          <w:rFonts w:ascii="Times New Roman" w:hAnsi="Times New Roman"/>
          <w:i/>
          <w:iCs/>
        </w:rPr>
        <w:t>Campbell</w:t>
      </w:r>
      <w:r w:rsidRPr="00F22259">
        <w:rPr>
          <w:rFonts w:ascii="Times New Roman" w:hAnsi="Times New Roman"/>
          <w:iCs/>
        </w:rPr>
        <w:t xml:space="preserve"> </w:t>
      </w:r>
      <w:r w:rsidRPr="00F22259">
        <w:rPr>
          <w:rFonts w:ascii="Times New Roman" w:hAnsi="Times New Roman"/>
        </w:rPr>
        <w:t xml:space="preserve">in relation to s 17 has not necessarily entrenched this meaning </w:t>
      </w:r>
      <w:r w:rsidRPr="00F22259">
        <w:rPr>
          <w:rFonts w:ascii="Times New Roman" w:hAnsi="Times New Roman"/>
        </w:rPr>
        <w:lastRenderedPageBreak/>
        <w:t xml:space="preserve">of recklessness for all other offences in the </w:t>
      </w:r>
      <w:r w:rsidRPr="00F22259">
        <w:rPr>
          <w:rFonts w:ascii="Times New Roman" w:hAnsi="Times New Roman"/>
          <w:i/>
          <w:iCs/>
        </w:rPr>
        <w:t>Crimes Act</w:t>
      </w:r>
      <w:r w:rsidRPr="00F22259">
        <w:rPr>
          <w:rFonts w:ascii="Times New Roman" w:hAnsi="Times New Roman"/>
          <w:iCs/>
        </w:rPr>
        <w:t>.</w:t>
      </w:r>
      <w:r w:rsidRPr="00F22259">
        <w:rPr>
          <w:rFonts w:ascii="Times New Roman" w:hAnsi="Times New Roman"/>
          <w:i/>
          <w:iCs/>
        </w:rPr>
        <w:t xml:space="preserve"> </w:t>
      </w:r>
      <w:r w:rsidRPr="00F22259">
        <w:rPr>
          <w:rFonts w:ascii="Times New Roman" w:hAnsi="Times New Roman"/>
        </w:rPr>
        <w:t xml:space="preserve">Without more, it is unlikely that the </w:t>
      </w:r>
      <w:r w:rsidRPr="00F22259">
        <w:rPr>
          <w:rFonts w:ascii="Times New Roman" w:hAnsi="Times New Roman"/>
          <w:i/>
          <w:iCs/>
        </w:rPr>
        <w:t>Campbell</w:t>
      </w:r>
      <w:r w:rsidRPr="00F22259">
        <w:rPr>
          <w:rFonts w:ascii="Times New Roman" w:hAnsi="Times New Roman"/>
          <w:iCs/>
        </w:rPr>
        <w:t xml:space="preserve"> decision will require</w:t>
      </w:r>
      <w:r w:rsidRPr="00F22259">
        <w:rPr>
          <w:rFonts w:ascii="Times New Roman" w:hAnsi="Times New Roman"/>
        </w:rPr>
        <w:t xml:space="preserve"> identical elements of other offences to be treated differently the moment that a person steps across the border between New South Wales and Victoria. For instance, there are numerous offences involving recklessness where the laws of New South Wales and Victoria were enacted in nearly identical terms and thus plainly by reference to each other with the need for coherent operation: being reckless as to whether something is proceeds of crime</w:t>
      </w:r>
      <w:r w:rsidRPr="00F22259">
        <w:rPr>
          <w:rStyle w:val="FootnoteReference"/>
          <w:rFonts w:ascii="Times New Roman" w:hAnsi="Times New Roman"/>
          <w:sz w:val="24"/>
        </w:rPr>
        <w:footnoteReference w:id="214"/>
      </w:r>
      <w:r w:rsidRPr="00F22259">
        <w:rPr>
          <w:rFonts w:ascii="Times New Roman" w:hAnsi="Times New Roman"/>
        </w:rPr>
        <w:t>; being reckless as to whether conduct corrupts a betting outcome of an event</w:t>
      </w:r>
      <w:r w:rsidRPr="00F22259">
        <w:rPr>
          <w:rStyle w:val="FootnoteReference"/>
          <w:rFonts w:ascii="Times New Roman" w:hAnsi="Times New Roman"/>
          <w:sz w:val="24"/>
        </w:rPr>
        <w:footnoteReference w:id="215"/>
      </w:r>
      <w:r w:rsidRPr="00F22259">
        <w:rPr>
          <w:rFonts w:ascii="Times New Roman" w:hAnsi="Times New Roman"/>
        </w:rPr>
        <w:t>; being reckless as to the spread of fire to vegetation</w:t>
      </w:r>
      <w:r w:rsidRPr="00F22259">
        <w:rPr>
          <w:rStyle w:val="FootnoteReference"/>
          <w:rFonts w:ascii="Times New Roman" w:hAnsi="Times New Roman"/>
          <w:sz w:val="24"/>
        </w:rPr>
        <w:footnoteReference w:id="216"/>
      </w:r>
      <w:r w:rsidRPr="00F22259">
        <w:rPr>
          <w:rFonts w:ascii="Times New Roman" w:hAnsi="Times New Roman"/>
        </w:rPr>
        <w:t>; and being reckless as to any impairment of access to, or the reliability, security or operation of, any data held in a computer</w:t>
      </w:r>
      <w:r w:rsidRPr="00F22259">
        <w:rPr>
          <w:rStyle w:val="FootnoteReference"/>
          <w:rFonts w:ascii="Times New Roman" w:hAnsi="Times New Roman"/>
          <w:sz w:val="24"/>
        </w:rPr>
        <w:footnoteReference w:id="217"/>
      </w:r>
      <w:r w:rsidRPr="00F22259">
        <w:rPr>
          <w:rFonts w:ascii="Times New Roman" w:hAnsi="Times New Roman"/>
        </w:rPr>
        <w:t>.</w:t>
      </w:r>
    </w:p>
    <w:p w14:paraId="5FE440AF" w14:textId="7BFEE5B3" w:rsidR="007F4448" w:rsidRPr="004933DB" w:rsidRDefault="004933DB" w:rsidP="004933DB">
      <w:pPr>
        <w:pStyle w:val="FixListStyle"/>
        <w:numPr>
          <w:ilvl w:val="0"/>
          <w:numId w:val="18"/>
        </w:numPr>
        <w:spacing w:after="260" w:line="280" w:lineRule="exact"/>
        <w:ind w:left="0" w:right="0" w:hanging="720"/>
        <w:jc w:val="both"/>
        <w:rPr>
          <w:rFonts w:ascii="Times New Roman" w:hAnsi="Times New Roman"/>
        </w:rPr>
      </w:pPr>
      <w:r w:rsidRPr="00F22259">
        <w:rPr>
          <w:rFonts w:ascii="Times New Roman" w:hAnsi="Times New Roman"/>
        </w:rPr>
        <w:tab/>
        <w:t xml:space="preserve">Even in the application of the </w:t>
      </w:r>
      <w:r w:rsidRPr="00F22259">
        <w:rPr>
          <w:rFonts w:ascii="Times New Roman" w:hAnsi="Times New Roman"/>
          <w:i/>
          <w:iCs/>
        </w:rPr>
        <w:t xml:space="preserve">Campbell </w:t>
      </w:r>
      <w:r w:rsidRPr="00F22259">
        <w:rPr>
          <w:rFonts w:ascii="Times New Roman" w:hAnsi="Times New Roman"/>
        </w:rPr>
        <w:t xml:space="preserve">decision to s 17 in this confined way, the decision of </w:t>
      </w:r>
      <w:proofErr w:type="gramStart"/>
      <w:r w:rsidRPr="00F22259">
        <w:rPr>
          <w:rFonts w:ascii="Times New Roman" w:hAnsi="Times New Roman"/>
        </w:rPr>
        <w:t>a majority of</w:t>
      </w:r>
      <w:proofErr w:type="gramEnd"/>
      <w:r w:rsidRPr="00F22259">
        <w:rPr>
          <w:rFonts w:ascii="Times New Roman" w:hAnsi="Times New Roman"/>
        </w:rPr>
        <w:t xml:space="preserve"> this Court in this case (including myself) has some unattractive consequences. First, it creates incoherence in the application of the same statutory concept across different Australian States. The s 17 offence of recklessly causing serious injury to another person will be subject to a more onerous test for recklessness than the offence in New South Wales requiring that a person is "reckless as to causing actual bodily harm"</w:t>
      </w:r>
      <w:r w:rsidRPr="00F22259">
        <w:rPr>
          <w:rStyle w:val="FootnoteReference"/>
          <w:rFonts w:ascii="Times New Roman" w:hAnsi="Times New Roman"/>
          <w:sz w:val="24"/>
        </w:rPr>
        <w:footnoteReference w:id="218"/>
      </w:r>
      <w:r w:rsidRPr="00F22259">
        <w:rPr>
          <w:rFonts w:ascii="Times New Roman" w:hAnsi="Times New Roman"/>
        </w:rPr>
        <w:t>. Secondly, in exceptional cases, the application of the Victorian approach could lead to surprising results</w:t>
      </w:r>
      <w:r w:rsidRPr="00F22259">
        <w:rPr>
          <w:rStyle w:val="FootnoteReference"/>
          <w:rFonts w:ascii="Times New Roman" w:hAnsi="Times New Roman"/>
          <w:sz w:val="24"/>
        </w:rPr>
        <w:footnoteReference w:id="219"/>
      </w:r>
      <w:r w:rsidRPr="00F22259">
        <w:rPr>
          <w:rFonts w:ascii="Times New Roman" w:hAnsi="Times New Roman"/>
        </w:rPr>
        <w:t>. But, for the three reasons explained above, any development of the meaning of recklessness to address these consequences is a matter for Parliament. The development of the law by the exercise of legislative power, in its usual prospective operation and as a product usually of careful policy consideration, is not constrained in the same way as judicial power.</w:t>
      </w:r>
    </w:p>
    <w:sectPr w:rsidR="007F4448" w:rsidRPr="004933DB" w:rsidSect="00BF0B16">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D5FDD" w14:textId="77777777" w:rsidR="0030179D" w:rsidRDefault="0030179D">
      <w:pPr>
        <w:spacing w:line="240" w:lineRule="auto"/>
      </w:pPr>
      <w:r>
        <w:separator/>
      </w:r>
    </w:p>
  </w:endnote>
  <w:endnote w:type="continuationSeparator" w:id="0">
    <w:p w14:paraId="6EFE1FC0" w14:textId="77777777" w:rsidR="0030179D" w:rsidRDefault="0030179D">
      <w:pPr>
        <w:spacing w:line="240" w:lineRule="auto"/>
      </w:pPr>
      <w:r>
        <w:continuationSeparator/>
      </w:r>
    </w:p>
  </w:endnote>
  <w:endnote w:type="continuationNotice" w:id="1">
    <w:p w14:paraId="0D8A070C" w14:textId="77777777" w:rsidR="0030179D" w:rsidRDefault="003017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CDD5" w14:textId="77777777" w:rsidR="009A0B37" w:rsidRDefault="009A0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6E5C" w14:textId="77777777" w:rsidR="009A0B37" w:rsidRDefault="009A0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CA6C" w14:textId="77777777" w:rsidR="009A0B37" w:rsidRDefault="009A0B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2488" w14:textId="77777777" w:rsidR="009A0B37" w:rsidRDefault="009A0B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CACD" w14:textId="77777777" w:rsidR="009A0B37" w:rsidRDefault="009A0B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8D9D" w14:textId="77777777" w:rsidR="009A0B37" w:rsidRDefault="009A0B3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3B16" w14:textId="77777777" w:rsidR="00F22259" w:rsidRDefault="00B35D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302E" w14:textId="77777777" w:rsidR="00F22259" w:rsidRDefault="00B35DD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D031" w14:textId="77777777" w:rsidR="00F22259" w:rsidRDefault="00B35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2C87" w14:textId="77777777" w:rsidR="0030179D" w:rsidRPr="004F542A" w:rsidRDefault="0030179D" w:rsidP="004F542A">
      <w:pPr>
        <w:pStyle w:val="Footer"/>
        <w:spacing w:before="120" w:after="20"/>
        <w:ind w:right="0"/>
        <w:rPr>
          <w:rFonts w:ascii="Times New Roman" w:hAnsi="Times New Roman"/>
        </w:rPr>
      </w:pPr>
      <w:r>
        <w:continuationSeparator/>
      </w:r>
    </w:p>
  </w:footnote>
  <w:footnote w:type="continuationSeparator" w:id="0">
    <w:p w14:paraId="76C384E3" w14:textId="77777777" w:rsidR="0030179D" w:rsidRPr="004F542A" w:rsidRDefault="0030179D" w:rsidP="004F542A">
      <w:pPr>
        <w:pStyle w:val="Footer"/>
        <w:spacing w:before="120" w:after="20"/>
        <w:ind w:right="0"/>
        <w:rPr>
          <w:rFonts w:ascii="Times New Roman" w:hAnsi="Times New Roman"/>
        </w:rPr>
      </w:pPr>
      <w:r w:rsidRPr="004F542A">
        <w:rPr>
          <w:rFonts w:ascii="Times New Roman" w:hAnsi="Times New Roman"/>
        </w:rPr>
        <w:continuationSeparator/>
      </w:r>
    </w:p>
  </w:footnote>
  <w:footnote w:type="continuationNotice" w:id="1">
    <w:p w14:paraId="08BE35F9" w14:textId="77777777" w:rsidR="0030179D" w:rsidRPr="002238BD" w:rsidRDefault="0030179D">
      <w:pPr>
        <w:jc w:val="right"/>
        <w:rPr>
          <w:rFonts w:ascii="Times New Roman" w:hAnsi="Times New Roman"/>
          <w:sz w:val="24"/>
        </w:rPr>
      </w:pPr>
    </w:p>
  </w:footnote>
  <w:footnote w:id="2">
    <w:p w14:paraId="5F026056" w14:textId="051AD757" w:rsidR="008577FD" w:rsidRPr="004F542A" w:rsidRDefault="008577FD"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t>(2017) 260 CLR 305 at 327-329</w:t>
      </w:r>
      <w:r w:rsidR="00C778B1" w:rsidRPr="004F542A">
        <w:rPr>
          <w:rFonts w:ascii="Times New Roman" w:hAnsi="Times New Roman"/>
          <w:sz w:val="24"/>
        </w:rPr>
        <w:t xml:space="preserve"> [43]-[47]</w:t>
      </w:r>
      <w:r w:rsidRPr="004F542A">
        <w:rPr>
          <w:rFonts w:ascii="Times New Roman" w:hAnsi="Times New Roman"/>
          <w:sz w:val="24"/>
        </w:rPr>
        <w:t>.</w:t>
      </w:r>
    </w:p>
  </w:footnote>
  <w:footnote w:id="3">
    <w:p w14:paraId="251CB91E" w14:textId="0153CEA9" w:rsidR="001F41DD" w:rsidRPr="004F542A" w:rsidRDefault="001F41DD"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t>(1985) 156 CLR 464.</w:t>
      </w:r>
    </w:p>
  </w:footnote>
  <w:footnote w:id="4">
    <w:p w14:paraId="64803A98" w14:textId="3FE8D572" w:rsidR="009A5CC0" w:rsidRPr="004F542A" w:rsidRDefault="009A5CC0"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491893" w:rsidRPr="004F542A">
        <w:rPr>
          <w:rFonts w:ascii="Times New Roman" w:hAnsi="Times New Roman"/>
          <w:sz w:val="24"/>
        </w:rPr>
        <w:t xml:space="preserve">(1985) 156 CLR 464 </w:t>
      </w:r>
      <w:r w:rsidRPr="004F542A">
        <w:rPr>
          <w:rFonts w:ascii="Times New Roman" w:hAnsi="Times New Roman"/>
          <w:sz w:val="24"/>
        </w:rPr>
        <w:t>at 469.</w:t>
      </w:r>
    </w:p>
  </w:footnote>
  <w:footnote w:id="5">
    <w:p w14:paraId="186E0B12" w14:textId="35A04CE6" w:rsidR="007330D2" w:rsidRPr="004F542A" w:rsidRDefault="007330D2"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BE4380" w:rsidRPr="004F542A">
        <w:rPr>
          <w:rFonts w:ascii="Times New Roman" w:hAnsi="Times New Roman"/>
          <w:i/>
          <w:sz w:val="24"/>
        </w:rPr>
        <w:t>Aubrey v The Queen</w:t>
      </w:r>
      <w:r w:rsidR="00BE4380" w:rsidRPr="004F542A">
        <w:rPr>
          <w:rFonts w:ascii="Times New Roman" w:hAnsi="Times New Roman"/>
          <w:sz w:val="24"/>
        </w:rPr>
        <w:t xml:space="preserve"> (2017) 260 CLR 305 at </w:t>
      </w:r>
      <w:r w:rsidR="00BE4380" w:rsidRPr="004F542A" w:rsidDel="008A7CB0">
        <w:rPr>
          <w:rFonts w:ascii="Times New Roman" w:hAnsi="Times New Roman"/>
          <w:sz w:val="24"/>
        </w:rPr>
        <w:t xml:space="preserve">329 </w:t>
      </w:r>
      <w:r w:rsidR="00370E8C" w:rsidRPr="004F542A">
        <w:rPr>
          <w:rFonts w:ascii="Times New Roman" w:hAnsi="Times New Roman"/>
          <w:sz w:val="24"/>
        </w:rPr>
        <w:t>[46].</w:t>
      </w:r>
    </w:p>
  </w:footnote>
  <w:footnote w:id="6">
    <w:p w14:paraId="32009403" w14:textId="0DC67BBE" w:rsidR="00337D1F" w:rsidRPr="004F542A" w:rsidRDefault="00337D1F"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6720DB" w:rsidRPr="004F542A">
        <w:rPr>
          <w:rFonts w:ascii="Times New Roman" w:hAnsi="Times New Roman"/>
          <w:sz w:val="24"/>
        </w:rPr>
        <w:t xml:space="preserve">(2017) 260 CLR 305 </w:t>
      </w:r>
      <w:r w:rsidRPr="004F542A">
        <w:rPr>
          <w:rFonts w:ascii="Times New Roman" w:hAnsi="Times New Roman"/>
          <w:sz w:val="24"/>
        </w:rPr>
        <w:t xml:space="preserve">at </w:t>
      </w:r>
      <w:r w:rsidR="006720DB" w:rsidRPr="004F542A">
        <w:rPr>
          <w:rFonts w:ascii="Times New Roman" w:hAnsi="Times New Roman"/>
          <w:sz w:val="24"/>
        </w:rPr>
        <w:t xml:space="preserve">329 </w:t>
      </w:r>
      <w:r w:rsidRPr="004F542A">
        <w:rPr>
          <w:rFonts w:ascii="Times New Roman" w:hAnsi="Times New Roman"/>
          <w:sz w:val="24"/>
        </w:rPr>
        <w:t>[46].</w:t>
      </w:r>
    </w:p>
  </w:footnote>
  <w:footnote w:id="7">
    <w:p w14:paraId="7E60288B" w14:textId="2D29C657" w:rsidR="001467A2" w:rsidRPr="004F542A" w:rsidRDefault="001467A2"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Pr="004F542A">
        <w:rPr>
          <w:rFonts w:ascii="Times New Roman" w:hAnsi="Times New Roman"/>
          <w:i/>
          <w:sz w:val="24"/>
        </w:rPr>
        <w:t>Aubrey v The Queen</w:t>
      </w:r>
      <w:r w:rsidRPr="004F542A">
        <w:rPr>
          <w:rFonts w:ascii="Times New Roman" w:hAnsi="Times New Roman"/>
          <w:sz w:val="24"/>
        </w:rPr>
        <w:t xml:space="preserve"> (2017) 260 CLR 305 at </w:t>
      </w:r>
      <w:r w:rsidR="003E2C65" w:rsidRPr="004F542A">
        <w:rPr>
          <w:rFonts w:ascii="Times New Roman" w:hAnsi="Times New Roman"/>
          <w:sz w:val="24"/>
        </w:rPr>
        <w:t xml:space="preserve">327-328 </w:t>
      </w:r>
      <w:r w:rsidRPr="004F542A">
        <w:rPr>
          <w:rFonts w:ascii="Times New Roman" w:hAnsi="Times New Roman"/>
          <w:sz w:val="24"/>
        </w:rPr>
        <w:t>[</w:t>
      </w:r>
      <w:r w:rsidR="00FE7296" w:rsidRPr="004F542A">
        <w:rPr>
          <w:rFonts w:ascii="Times New Roman" w:hAnsi="Times New Roman"/>
          <w:sz w:val="24"/>
        </w:rPr>
        <w:t>44</w:t>
      </w:r>
      <w:r w:rsidRPr="004F542A">
        <w:rPr>
          <w:rFonts w:ascii="Times New Roman" w:hAnsi="Times New Roman"/>
          <w:sz w:val="24"/>
        </w:rPr>
        <w:t>]</w:t>
      </w:r>
      <w:r w:rsidR="00361467" w:rsidRPr="004F542A">
        <w:rPr>
          <w:rFonts w:ascii="Times New Roman" w:hAnsi="Times New Roman"/>
          <w:sz w:val="24"/>
        </w:rPr>
        <w:t>, referring to by way of example</w:t>
      </w:r>
      <w:r w:rsidR="00361467" w:rsidRPr="004F542A">
        <w:rPr>
          <w:rFonts w:ascii="Times New Roman" w:hAnsi="Times New Roman"/>
          <w:i/>
          <w:sz w:val="24"/>
        </w:rPr>
        <w:t xml:space="preserve"> R v Smyth </w:t>
      </w:r>
      <w:r w:rsidR="00361467" w:rsidRPr="004F542A">
        <w:rPr>
          <w:rFonts w:ascii="Times New Roman" w:hAnsi="Times New Roman"/>
          <w:sz w:val="24"/>
        </w:rPr>
        <w:t xml:space="preserve">[1963] VR 737 at 738-739; </w:t>
      </w:r>
      <w:r w:rsidR="00361467" w:rsidRPr="004F542A">
        <w:rPr>
          <w:rFonts w:ascii="Times New Roman" w:hAnsi="Times New Roman"/>
          <w:i/>
          <w:sz w:val="24"/>
        </w:rPr>
        <w:t>R v Kane</w:t>
      </w:r>
      <w:r w:rsidR="00361467" w:rsidRPr="004F542A">
        <w:rPr>
          <w:rFonts w:ascii="Times New Roman" w:hAnsi="Times New Roman"/>
          <w:sz w:val="24"/>
        </w:rPr>
        <w:t xml:space="preserve"> [1974] VR 759 at 760; </w:t>
      </w:r>
      <w:r w:rsidR="00361467" w:rsidRPr="004F542A">
        <w:rPr>
          <w:rFonts w:ascii="Times New Roman" w:hAnsi="Times New Roman"/>
          <w:i/>
          <w:sz w:val="24"/>
        </w:rPr>
        <w:t>R v Lovett</w:t>
      </w:r>
      <w:r w:rsidR="00361467" w:rsidRPr="004F542A">
        <w:rPr>
          <w:rFonts w:ascii="Times New Roman" w:hAnsi="Times New Roman"/>
          <w:sz w:val="24"/>
        </w:rPr>
        <w:t xml:space="preserve"> [1975] VR 488 at 493. </w:t>
      </w:r>
    </w:p>
  </w:footnote>
  <w:footnote w:id="8">
    <w:p w14:paraId="4B769CD7" w14:textId="73B443CB" w:rsidR="00FE170F" w:rsidRPr="004F542A" w:rsidRDefault="00FE170F"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CA7595" w:rsidRPr="004F542A">
        <w:rPr>
          <w:rFonts w:ascii="Times New Roman" w:hAnsi="Times New Roman"/>
          <w:sz w:val="24"/>
        </w:rPr>
        <w:t xml:space="preserve">(2017) 260 CLR 305 </w:t>
      </w:r>
      <w:r w:rsidR="00035707" w:rsidRPr="004F542A">
        <w:rPr>
          <w:rFonts w:ascii="Times New Roman" w:hAnsi="Times New Roman"/>
          <w:sz w:val="24"/>
        </w:rPr>
        <w:t>at 328 [44]</w:t>
      </w:r>
      <w:r w:rsidR="00EF5FEA" w:rsidRPr="004F542A">
        <w:rPr>
          <w:rFonts w:ascii="Times New Roman" w:hAnsi="Times New Roman"/>
          <w:sz w:val="24"/>
        </w:rPr>
        <w:t>-</w:t>
      </w:r>
      <w:r w:rsidR="00035707" w:rsidRPr="004F542A">
        <w:rPr>
          <w:rFonts w:ascii="Times New Roman" w:hAnsi="Times New Roman"/>
          <w:sz w:val="24"/>
        </w:rPr>
        <w:t>[45].</w:t>
      </w:r>
    </w:p>
  </w:footnote>
  <w:footnote w:id="9">
    <w:p w14:paraId="0F5A1D46" w14:textId="32ABE953" w:rsidR="0039482A" w:rsidRPr="004F542A" w:rsidRDefault="0039482A"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8D163E" w:rsidRPr="004F542A">
        <w:rPr>
          <w:rFonts w:ascii="Times New Roman" w:hAnsi="Times New Roman"/>
          <w:sz w:val="24"/>
        </w:rPr>
        <w:t>[</w:t>
      </w:r>
      <w:r w:rsidRPr="004F542A">
        <w:rPr>
          <w:rFonts w:ascii="Times New Roman" w:hAnsi="Times New Roman"/>
          <w:sz w:val="24"/>
        </w:rPr>
        <w:t>1997</w:t>
      </w:r>
      <w:r w:rsidR="008D163E" w:rsidRPr="004F542A">
        <w:rPr>
          <w:rFonts w:ascii="Times New Roman" w:hAnsi="Times New Roman"/>
          <w:sz w:val="24"/>
        </w:rPr>
        <w:t>]</w:t>
      </w:r>
      <w:r w:rsidRPr="004F542A">
        <w:rPr>
          <w:rFonts w:ascii="Times New Roman" w:hAnsi="Times New Roman"/>
          <w:sz w:val="24"/>
        </w:rPr>
        <w:t xml:space="preserve"> 2 VR 585.</w:t>
      </w:r>
    </w:p>
  </w:footnote>
  <w:footnote w:id="10">
    <w:p w14:paraId="21C0723A" w14:textId="3FCF9812" w:rsidR="00266367" w:rsidRPr="004F542A" w:rsidRDefault="0026636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F47FC1" w:rsidRPr="004F542A">
        <w:rPr>
          <w:rFonts w:ascii="Times New Roman" w:hAnsi="Times New Roman"/>
          <w:i/>
          <w:sz w:val="24"/>
        </w:rPr>
        <w:t xml:space="preserve">Crimes </w:t>
      </w:r>
      <w:r w:rsidR="003D0056" w:rsidRPr="004F542A">
        <w:rPr>
          <w:rFonts w:ascii="Times New Roman" w:hAnsi="Times New Roman"/>
          <w:i/>
          <w:sz w:val="24"/>
        </w:rPr>
        <w:t xml:space="preserve">(Amendment) Act 1985 </w:t>
      </w:r>
      <w:r w:rsidR="003D0056" w:rsidRPr="004F542A">
        <w:rPr>
          <w:rFonts w:ascii="Times New Roman" w:hAnsi="Times New Roman"/>
          <w:sz w:val="24"/>
        </w:rPr>
        <w:t>(Vic)</w:t>
      </w:r>
      <w:r w:rsidR="002D5CA7" w:rsidRPr="004F542A">
        <w:rPr>
          <w:rFonts w:ascii="Times New Roman" w:hAnsi="Times New Roman"/>
          <w:sz w:val="24"/>
        </w:rPr>
        <w:t xml:space="preserve">. </w:t>
      </w:r>
    </w:p>
  </w:footnote>
  <w:footnote w:id="11">
    <w:p w14:paraId="777EBB25" w14:textId="0DB3F9F5" w:rsidR="00934972" w:rsidRPr="004F542A" w:rsidRDefault="00934972"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Pr="004F542A">
        <w:rPr>
          <w:rFonts w:ascii="Times New Roman" w:hAnsi="Times New Roman"/>
          <w:i/>
          <w:sz w:val="24"/>
        </w:rPr>
        <w:t>R v Smyth</w:t>
      </w:r>
      <w:r w:rsidR="008C419F" w:rsidRPr="004F542A">
        <w:rPr>
          <w:rFonts w:ascii="Times New Roman" w:hAnsi="Times New Roman"/>
          <w:i/>
          <w:sz w:val="24"/>
        </w:rPr>
        <w:t xml:space="preserve"> </w:t>
      </w:r>
      <w:r w:rsidR="003B7CF2" w:rsidRPr="004F542A">
        <w:rPr>
          <w:rFonts w:ascii="Times New Roman" w:hAnsi="Times New Roman"/>
          <w:sz w:val="24"/>
        </w:rPr>
        <w:t>[</w:t>
      </w:r>
      <w:r w:rsidRPr="004F542A">
        <w:rPr>
          <w:rFonts w:ascii="Times New Roman" w:hAnsi="Times New Roman"/>
          <w:sz w:val="24"/>
        </w:rPr>
        <w:t>1963</w:t>
      </w:r>
      <w:r w:rsidR="003B7CF2" w:rsidRPr="004F542A">
        <w:rPr>
          <w:rFonts w:ascii="Times New Roman" w:hAnsi="Times New Roman"/>
          <w:sz w:val="24"/>
        </w:rPr>
        <w:t>]</w:t>
      </w:r>
      <w:r w:rsidRPr="004F542A">
        <w:rPr>
          <w:rFonts w:ascii="Times New Roman" w:hAnsi="Times New Roman"/>
          <w:sz w:val="24"/>
        </w:rPr>
        <w:t xml:space="preserve"> VR 737</w:t>
      </w:r>
      <w:r w:rsidR="00A543F1" w:rsidRPr="004F542A">
        <w:rPr>
          <w:rFonts w:ascii="Times New Roman" w:hAnsi="Times New Roman"/>
          <w:sz w:val="24"/>
        </w:rPr>
        <w:t xml:space="preserve"> at 738-739</w:t>
      </w:r>
      <w:r w:rsidRPr="004F542A">
        <w:rPr>
          <w:rFonts w:ascii="Times New Roman" w:hAnsi="Times New Roman"/>
          <w:sz w:val="24"/>
        </w:rPr>
        <w:t xml:space="preserve">; </w:t>
      </w:r>
      <w:r w:rsidRPr="004F542A">
        <w:rPr>
          <w:rFonts w:ascii="Times New Roman" w:hAnsi="Times New Roman"/>
          <w:i/>
          <w:sz w:val="24"/>
        </w:rPr>
        <w:t>R v Kane</w:t>
      </w:r>
      <w:r w:rsidRPr="004F542A">
        <w:rPr>
          <w:rFonts w:ascii="Times New Roman" w:hAnsi="Times New Roman"/>
          <w:sz w:val="24"/>
        </w:rPr>
        <w:t xml:space="preserve"> </w:t>
      </w:r>
      <w:r w:rsidR="00873CC6" w:rsidRPr="004F542A">
        <w:rPr>
          <w:rFonts w:ascii="Times New Roman" w:hAnsi="Times New Roman"/>
          <w:sz w:val="24"/>
        </w:rPr>
        <w:t>[</w:t>
      </w:r>
      <w:r w:rsidRPr="004F542A">
        <w:rPr>
          <w:rFonts w:ascii="Times New Roman" w:hAnsi="Times New Roman"/>
          <w:sz w:val="24"/>
        </w:rPr>
        <w:t>1974</w:t>
      </w:r>
      <w:r w:rsidR="00873CC6" w:rsidRPr="004F542A">
        <w:rPr>
          <w:rFonts w:ascii="Times New Roman" w:hAnsi="Times New Roman"/>
          <w:sz w:val="24"/>
        </w:rPr>
        <w:t>]</w:t>
      </w:r>
      <w:r w:rsidRPr="004F542A">
        <w:rPr>
          <w:rFonts w:ascii="Times New Roman" w:hAnsi="Times New Roman"/>
          <w:sz w:val="24"/>
        </w:rPr>
        <w:t xml:space="preserve"> VR 759</w:t>
      </w:r>
      <w:r w:rsidR="00A543F1" w:rsidRPr="004F542A">
        <w:rPr>
          <w:rFonts w:ascii="Times New Roman" w:hAnsi="Times New Roman"/>
          <w:sz w:val="24"/>
        </w:rPr>
        <w:t xml:space="preserve"> at 760</w:t>
      </w:r>
      <w:r w:rsidRPr="004F542A">
        <w:rPr>
          <w:rFonts w:ascii="Times New Roman" w:hAnsi="Times New Roman"/>
          <w:sz w:val="24"/>
        </w:rPr>
        <w:t xml:space="preserve">; </w:t>
      </w:r>
      <w:r w:rsidRPr="004F542A">
        <w:rPr>
          <w:rFonts w:ascii="Times New Roman" w:hAnsi="Times New Roman"/>
          <w:i/>
          <w:sz w:val="24"/>
        </w:rPr>
        <w:t>R v Lovett</w:t>
      </w:r>
      <w:r w:rsidRPr="004F542A">
        <w:rPr>
          <w:rFonts w:ascii="Times New Roman" w:hAnsi="Times New Roman"/>
          <w:sz w:val="24"/>
        </w:rPr>
        <w:t xml:space="preserve"> </w:t>
      </w:r>
      <w:r w:rsidR="00873CC6" w:rsidRPr="004F542A">
        <w:rPr>
          <w:rFonts w:ascii="Times New Roman" w:hAnsi="Times New Roman"/>
          <w:sz w:val="24"/>
        </w:rPr>
        <w:t>[</w:t>
      </w:r>
      <w:r w:rsidRPr="004F542A">
        <w:rPr>
          <w:rFonts w:ascii="Times New Roman" w:hAnsi="Times New Roman"/>
          <w:sz w:val="24"/>
        </w:rPr>
        <w:t>1975</w:t>
      </w:r>
      <w:r w:rsidR="00873CC6" w:rsidRPr="004F542A">
        <w:rPr>
          <w:rFonts w:ascii="Times New Roman" w:hAnsi="Times New Roman"/>
          <w:sz w:val="24"/>
        </w:rPr>
        <w:t>]</w:t>
      </w:r>
      <w:r w:rsidRPr="004F542A">
        <w:rPr>
          <w:rFonts w:ascii="Times New Roman" w:hAnsi="Times New Roman"/>
          <w:sz w:val="24"/>
        </w:rPr>
        <w:t xml:space="preserve"> VR 488</w:t>
      </w:r>
      <w:r w:rsidR="00A543F1" w:rsidRPr="004F542A">
        <w:rPr>
          <w:rFonts w:ascii="Times New Roman" w:hAnsi="Times New Roman"/>
          <w:sz w:val="24"/>
        </w:rPr>
        <w:t xml:space="preserve"> at 493</w:t>
      </w:r>
      <w:r w:rsidRPr="004F542A">
        <w:rPr>
          <w:rFonts w:ascii="Times New Roman" w:hAnsi="Times New Roman"/>
          <w:sz w:val="24"/>
        </w:rPr>
        <w:t>.</w:t>
      </w:r>
    </w:p>
  </w:footnote>
  <w:footnote w:id="12">
    <w:p w14:paraId="5BF65E42" w14:textId="37EB83C2" w:rsidR="00C64D92" w:rsidRPr="004F542A" w:rsidRDefault="00C64D92"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73085C" w:rsidRPr="004F542A">
        <w:rPr>
          <w:rFonts w:ascii="Times New Roman" w:hAnsi="Times New Roman"/>
          <w:sz w:val="24"/>
        </w:rPr>
        <w:t xml:space="preserve">[1997] 2 VR 585 </w:t>
      </w:r>
      <w:r w:rsidRPr="004F542A">
        <w:rPr>
          <w:rFonts w:ascii="Times New Roman" w:hAnsi="Times New Roman"/>
          <w:sz w:val="24"/>
        </w:rPr>
        <w:t>at 592-593.</w:t>
      </w:r>
    </w:p>
  </w:footnote>
  <w:footnote w:id="13">
    <w:p w14:paraId="0E9973DE" w14:textId="4703F1D0" w:rsidR="00AB034A" w:rsidRPr="004F542A" w:rsidRDefault="00AB034A"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CD1131" w:rsidRPr="004F542A">
        <w:rPr>
          <w:rFonts w:ascii="Times New Roman" w:hAnsi="Times New Roman"/>
          <w:sz w:val="24"/>
        </w:rPr>
        <w:t>[</w:t>
      </w:r>
      <w:r w:rsidR="00E55ED0" w:rsidRPr="004F542A">
        <w:rPr>
          <w:rFonts w:ascii="Times New Roman" w:hAnsi="Times New Roman"/>
          <w:sz w:val="24"/>
        </w:rPr>
        <w:t>1990</w:t>
      </w:r>
      <w:r w:rsidR="00CD1131" w:rsidRPr="004F542A">
        <w:rPr>
          <w:rFonts w:ascii="Times New Roman" w:hAnsi="Times New Roman"/>
          <w:sz w:val="24"/>
        </w:rPr>
        <w:t xml:space="preserve">] </w:t>
      </w:r>
      <w:r w:rsidR="00E55ED0" w:rsidRPr="004F542A">
        <w:rPr>
          <w:rFonts w:ascii="Times New Roman" w:hAnsi="Times New Roman"/>
          <w:sz w:val="24"/>
        </w:rPr>
        <w:t>VR 641</w:t>
      </w:r>
      <w:r w:rsidR="00BA2C05" w:rsidRPr="004F542A">
        <w:rPr>
          <w:rFonts w:ascii="Times New Roman" w:hAnsi="Times New Roman"/>
          <w:sz w:val="24"/>
        </w:rPr>
        <w:t xml:space="preserve"> at 643</w:t>
      </w:r>
      <w:r w:rsidR="00E55ED0" w:rsidRPr="004F542A">
        <w:rPr>
          <w:rFonts w:ascii="Times New Roman" w:hAnsi="Times New Roman"/>
          <w:sz w:val="24"/>
        </w:rPr>
        <w:t>.</w:t>
      </w:r>
    </w:p>
  </w:footnote>
  <w:footnote w:id="14">
    <w:p w14:paraId="549EE751" w14:textId="0DBD36C3" w:rsidR="00E55ED0" w:rsidRPr="004F542A" w:rsidRDefault="00E55ED0"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3918E8" w:rsidRPr="004F542A">
        <w:rPr>
          <w:rFonts w:ascii="Times New Roman" w:hAnsi="Times New Roman"/>
          <w:sz w:val="24"/>
        </w:rPr>
        <w:t xml:space="preserve">[1997] 2 VR 585 </w:t>
      </w:r>
      <w:r w:rsidR="001B31F3" w:rsidRPr="004F542A">
        <w:rPr>
          <w:rFonts w:ascii="Times New Roman" w:hAnsi="Times New Roman"/>
          <w:sz w:val="24"/>
        </w:rPr>
        <w:t>at 593.</w:t>
      </w:r>
    </w:p>
  </w:footnote>
  <w:footnote w:id="15">
    <w:p w14:paraId="52D36A61" w14:textId="553EA91B" w:rsidR="00A85744" w:rsidRPr="004F542A" w:rsidRDefault="00A85744"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t>(2017) 260 CLR 30</w:t>
      </w:r>
      <w:r w:rsidR="001C5B85" w:rsidRPr="004F542A">
        <w:rPr>
          <w:rFonts w:ascii="Times New Roman" w:hAnsi="Times New Roman"/>
          <w:sz w:val="24"/>
        </w:rPr>
        <w:t>5</w:t>
      </w:r>
      <w:r w:rsidRPr="004F542A">
        <w:rPr>
          <w:rFonts w:ascii="Times New Roman" w:hAnsi="Times New Roman"/>
          <w:sz w:val="24"/>
        </w:rPr>
        <w:t xml:space="preserve">. </w:t>
      </w:r>
    </w:p>
  </w:footnote>
  <w:footnote w:id="16">
    <w:p w14:paraId="14E6464F" w14:textId="7E64397F" w:rsidR="00112798" w:rsidRPr="004F542A" w:rsidRDefault="00112798"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6F2E70" w:rsidRPr="004F542A">
        <w:rPr>
          <w:rFonts w:ascii="Times New Roman" w:hAnsi="Times New Roman"/>
          <w:sz w:val="24"/>
        </w:rPr>
        <w:t>(1990) 19 NSWLR 467</w:t>
      </w:r>
      <w:r w:rsidR="008E7D25" w:rsidRPr="004F542A">
        <w:rPr>
          <w:rFonts w:ascii="Times New Roman" w:hAnsi="Times New Roman"/>
          <w:sz w:val="24"/>
        </w:rPr>
        <w:t xml:space="preserve"> at 47</w:t>
      </w:r>
      <w:r w:rsidR="00C75486" w:rsidRPr="004F542A">
        <w:rPr>
          <w:rFonts w:ascii="Times New Roman" w:hAnsi="Times New Roman"/>
          <w:sz w:val="24"/>
        </w:rPr>
        <w:t>5</w:t>
      </w:r>
      <w:r w:rsidR="008E7D25" w:rsidRPr="004F542A">
        <w:rPr>
          <w:rFonts w:ascii="Times New Roman" w:hAnsi="Times New Roman"/>
          <w:sz w:val="24"/>
        </w:rPr>
        <w:t>-476</w:t>
      </w:r>
      <w:r w:rsidR="006F2E70" w:rsidRPr="004F542A">
        <w:rPr>
          <w:rFonts w:ascii="Times New Roman" w:hAnsi="Times New Roman"/>
          <w:sz w:val="24"/>
        </w:rPr>
        <w:t>.</w:t>
      </w:r>
    </w:p>
  </w:footnote>
  <w:footnote w:id="17">
    <w:p w14:paraId="35EBCFFC" w14:textId="1A09C1FC" w:rsidR="00FA0489" w:rsidRPr="004F542A" w:rsidRDefault="00FA0489"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78258B" w:rsidRPr="004F542A">
        <w:rPr>
          <w:rFonts w:ascii="Times New Roman" w:hAnsi="Times New Roman"/>
          <w:sz w:val="24"/>
        </w:rPr>
        <w:t>(2017) 260 CLR 305 at</w:t>
      </w:r>
      <w:r w:rsidR="00E309FD" w:rsidRPr="004F542A">
        <w:rPr>
          <w:rFonts w:ascii="Times New Roman" w:hAnsi="Times New Roman"/>
          <w:sz w:val="24"/>
        </w:rPr>
        <w:t xml:space="preserve"> 329 [47]. </w:t>
      </w:r>
    </w:p>
  </w:footnote>
  <w:footnote w:id="18">
    <w:p w14:paraId="191E0812" w14:textId="7AE5EB00" w:rsidR="00133B82" w:rsidRPr="004F542A" w:rsidRDefault="00133B82"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Pr="004F542A">
        <w:rPr>
          <w:rFonts w:ascii="Times New Roman" w:hAnsi="Times New Roman"/>
          <w:i/>
          <w:sz w:val="24"/>
        </w:rPr>
        <w:t>Criminal Procedure Act 2009</w:t>
      </w:r>
      <w:r w:rsidRPr="004F542A">
        <w:rPr>
          <w:rFonts w:ascii="Times New Roman" w:hAnsi="Times New Roman"/>
          <w:sz w:val="24"/>
        </w:rPr>
        <w:t xml:space="preserve"> (Vic), s 308(1) and (2).</w:t>
      </w:r>
    </w:p>
  </w:footnote>
  <w:footnote w:id="19">
    <w:p w14:paraId="612E72CA" w14:textId="16DC1775" w:rsidR="00092FCE" w:rsidRPr="004F542A" w:rsidRDefault="00092FCE" w:rsidP="004F542A">
      <w:pPr>
        <w:pStyle w:val="FootnoteText"/>
        <w:spacing w:line="280" w:lineRule="exact"/>
        <w:ind w:right="0"/>
        <w:jc w:val="both"/>
        <w:rPr>
          <w:rFonts w:ascii="Times New Roman" w:hAnsi="Times New Roman"/>
          <w:i/>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C50C1D" w:rsidRPr="004F542A">
        <w:rPr>
          <w:rFonts w:ascii="Times New Roman" w:hAnsi="Times New Roman"/>
          <w:i/>
          <w:sz w:val="24"/>
        </w:rPr>
        <w:t xml:space="preserve">Director of Public Prosecutions Reference </w:t>
      </w:r>
      <w:r w:rsidR="00BA2F12" w:rsidRPr="004F542A">
        <w:rPr>
          <w:rFonts w:ascii="Times New Roman" w:hAnsi="Times New Roman"/>
          <w:i/>
          <w:sz w:val="24"/>
        </w:rPr>
        <w:t>(</w:t>
      </w:r>
      <w:r w:rsidR="00C50C1D" w:rsidRPr="004F542A">
        <w:rPr>
          <w:rFonts w:ascii="Times New Roman" w:hAnsi="Times New Roman"/>
          <w:i/>
          <w:sz w:val="24"/>
        </w:rPr>
        <w:t>No</w:t>
      </w:r>
      <w:r w:rsidR="003E2F0C" w:rsidRPr="004F542A">
        <w:rPr>
          <w:rFonts w:ascii="Times New Roman" w:hAnsi="Times New Roman"/>
          <w:i/>
          <w:sz w:val="24"/>
        </w:rPr>
        <w:t xml:space="preserve"> </w:t>
      </w:r>
      <w:r w:rsidR="00C50C1D" w:rsidRPr="004F542A">
        <w:rPr>
          <w:rFonts w:ascii="Times New Roman" w:hAnsi="Times New Roman"/>
          <w:i/>
          <w:sz w:val="24"/>
        </w:rPr>
        <w:t>1 of 2019</w:t>
      </w:r>
      <w:r w:rsidR="00BA2F12" w:rsidRPr="004F542A">
        <w:rPr>
          <w:rFonts w:ascii="Times New Roman" w:hAnsi="Times New Roman"/>
          <w:i/>
          <w:sz w:val="24"/>
        </w:rPr>
        <w:t>)</w:t>
      </w:r>
      <w:r w:rsidR="00C50C1D" w:rsidRPr="004F542A">
        <w:rPr>
          <w:rFonts w:ascii="Times New Roman" w:hAnsi="Times New Roman"/>
          <w:i/>
          <w:sz w:val="24"/>
        </w:rPr>
        <w:t xml:space="preserve"> </w:t>
      </w:r>
      <w:r w:rsidR="00BA2F12" w:rsidRPr="004F542A">
        <w:rPr>
          <w:rFonts w:ascii="Times New Roman" w:hAnsi="Times New Roman"/>
          <w:sz w:val="24"/>
        </w:rPr>
        <w:t>(2020)</w:t>
      </w:r>
      <w:r w:rsidR="00E8302A" w:rsidRPr="004F542A">
        <w:rPr>
          <w:rFonts w:ascii="Times New Roman" w:hAnsi="Times New Roman"/>
          <w:sz w:val="24"/>
        </w:rPr>
        <w:t xml:space="preserve"> 284 A C</w:t>
      </w:r>
      <w:r w:rsidR="00BA4B4C" w:rsidRPr="004F542A">
        <w:rPr>
          <w:rFonts w:ascii="Times New Roman" w:hAnsi="Times New Roman"/>
          <w:sz w:val="24"/>
        </w:rPr>
        <w:t>r</w:t>
      </w:r>
      <w:r w:rsidR="00E8302A" w:rsidRPr="004F542A">
        <w:rPr>
          <w:rFonts w:ascii="Times New Roman" w:hAnsi="Times New Roman"/>
          <w:sz w:val="24"/>
        </w:rPr>
        <w:t>im R 19</w:t>
      </w:r>
      <w:r w:rsidR="00C50C1D" w:rsidRPr="004F542A">
        <w:rPr>
          <w:rFonts w:ascii="Times New Roman" w:hAnsi="Times New Roman"/>
          <w:sz w:val="24"/>
        </w:rPr>
        <w:t xml:space="preserve"> </w:t>
      </w:r>
      <w:r w:rsidR="00204933" w:rsidRPr="004F542A">
        <w:rPr>
          <w:rFonts w:ascii="Times New Roman" w:hAnsi="Times New Roman"/>
          <w:sz w:val="24"/>
        </w:rPr>
        <w:t>at</w:t>
      </w:r>
      <w:r w:rsidR="00E8302A" w:rsidRPr="004F542A">
        <w:rPr>
          <w:rFonts w:ascii="Times New Roman" w:hAnsi="Times New Roman"/>
          <w:sz w:val="24"/>
        </w:rPr>
        <w:t xml:space="preserve"> 25</w:t>
      </w:r>
      <w:r w:rsidR="00204933" w:rsidRPr="004F542A">
        <w:rPr>
          <w:rFonts w:ascii="Times New Roman" w:hAnsi="Times New Roman"/>
          <w:sz w:val="24"/>
        </w:rPr>
        <w:t xml:space="preserve"> </w:t>
      </w:r>
      <w:r w:rsidR="001D33DA" w:rsidRPr="004F542A">
        <w:rPr>
          <w:rFonts w:ascii="Times New Roman" w:hAnsi="Times New Roman"/>
          <w:sz w:val="24"/>
        </w:rPr>
        <w:t xml:space="preserve">[17] </w:t>
      </w:r>
      <w:r w:rsidR="00C50C1D" w:rsidRPr="004F542A">
        <w:rPr>
          <w:rFonts w:ascii="Times New Roman" w:hAnsi="Times New Roman"/>
          <w:sz w:val="24"/>
        </w:rPr>
        <w:t>per Maxwell P, McLeish and Emerton JJA.</w:t>
      </w:r>
    </w:p>
  </w:footnote>
  <w:footnote w:id="20">
    <w:p w14:paraId="0EB49B81" w14:textId="0ADE4B2E" w:rsidR="00EF5633" w:rsidRPr="004F542A" w:rsidRDefault="00EF5633"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A43FFA" w:rsidRPr="004F542A" w:rsidDel="00615973">
        <w:rPr>
          <w:rFonts w:ascii="Times New Roman" w:hAnsi="Times New Roman"/>
          <w:i/>
          <w:sz w:val="24"/>
        </w:rPr>
        <w:t xml:space="preserve">Director of Public Prosecutions Reference </w:t>
      </w:r>
      <w:r w:rsidR="00BA4B4C" w:rsidRPr="004F542A">
        <w:rPr>
          <w:rFonts w:ascii="Times New Roman" w:hAnsi="Times New Roman"/>
          <w:i/>
          <w:sz w:val="24"/>
        </w:rPr>
        <w:t>(</w:t>
      </w:r>
      <w:r w:rsidR="00A43FFA" w:rsidRPr="004F542A" w:rsidDel="00615973">
        <w:rPr>
          <w:rFonts w:ascii="Times New Roman" w:hAnsi="Times New Roman"/>
          <w:i/>
          <w:sz w:val="24"/>
        </w:rPr>
        <w:t>No</w:t>
      </w:r>
      <w:r w:rsidR="003E2F0C" w:rsidRPr="004F542A" w:rsidDel="00615973">
        <w:rPr>
          <w:rFonts w:ascii="Times New Roman" w:hAnsi="Times New Roman"/>
          <w:i/>
          <w:sz w:val="24"/>
        </w:rPr>
        <w:t xml:space="preserve"> </w:t>
      </w:r>
      <w:r w:rsidR="00A43FFA" w:rsidRPr="004F542A" w:rsidDel="00615973">
        <w:rPr>
          <w:rFonts w:ascii="Times New Roman" w:hAnsi="Times New Roman"/>
          <w:i/>
          <w:sz w:val="24"/>
        </w:rPr>
        <w:t>1 of 2019</w:t>
      </w:r>
      <w:r w:rsidR="00BA4B4C" w:rsidRPr="004F542A">
        <w:rPr>
          <w:rFonts w:ascii="Times New Roman" w:hAnsi="Times New Roman"/>
          <w:i/>
          <w:sz w:val="24"/>
        </w:rPr>
        <w:t>)</w:t>
      </w:r>
      <w:r w:rsidR="00A43FFA" w:rsidRPr="004F542A">
        <w:rPr>
          <w:rFonts w:ascii="Times New Roman" w:hAnsi="Times New Roman"/>
          <w:i/>
          <w:sz w:val="24"/>
        </w:rPr>
        <w:t xml:space="preserve"> </w:t>
      </w:r>
      <w:r w:rsidR="00BA4B4C" w:rsidRPr="004F542A">
        <w:rPr>
          <w:rFonts w:ascii="Times New Roman" w:hAnsi="Times New Roman"/>
          <w:sz w:val="24"/>
        </w:rPr>
        <w:t>(2020) 284 A Crim R 19</w:t>
      </w:r>
      <w:r w:rsidR="00A43FFA" w:rsidRPr="004F542A">
        <w:rPr>
          <w:rFonts w:ascii="Times New Roman" w:hAnsi="Times New Roman"/>
          <w:sz w:val="24"/>
        </w:rPr>
        <w:t xml:space="preserve"> </w:t>
      </w:r>
      <w:r w:rsidRPr="004F542A">
        <w:rPr>
          <w:rFonts w:ascii="Times New Roman" w:hAnsi="Times New Roman"/>
          <w:sz w:val="24"/>
        </w:rPr>
        <w:t>at</w:t>
      </w:r>
      <w:r w:rsidR="00BA4B4C" w:rsidRPr="004F542A">
        <w:rPr>
          <w:rFonts w:ascii="Times New Roman" w:hAnsi="Times New Roman"/>
          <w:sz w:val="24"/>
        </w:rPr>
        <w:t xml:space="preserve"> 25</w:t>
      </w:r>
      <w:r w:rsidRPr="004F542A">
        <w:rPr>
          <w:rFonts w:ascii="Times New Roman" w:hAnsi="Times New Roman"/>
          <w:sz w:val="24"/>
        </w:rPr>
        <w:t xml:space="preserve"> [18]</w:t>
      </w:r>
      <w:r w:rsidR="006332C5" w:rsidRPr="004F542A">
        <w:rPr>
          <w:rFonts w:ascii="Times New Roman" w:hAnsi="Times New Roman"/>
          <w:sz w:val="24"/>
        </w:rPr>
        <w:t xml:space="preserve"> per Maxwell P, McLeish and Emerton JJA</w:t>
      </w:r>
      <w:r w:rsidRPr="004F542A">
        <w:rPr>
          <w:rFonts w:ascii="Times New Roman" w:hAnsi="Times New Roman"/>
          <w:sz w:val="24"/>
        </w:rPr>
        <w:t>.</w:t>
      </w:r>
    </w:p>
  </w:footnote>
  <w:footnote w:id="21">
    <w:p w14:paraId="7F5417F8" w14:textId="72515923" w:rsidR="00B30C5C" w:rsidRPr="004F542A" w:rsidRDefault="00B30C5C"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1A275B" w:rsidRPr="004F542A" w:rsidDel="00615973">
        <w:rPr>
          <w:rFonts w:ascii="Times New Roman" w:hAnsi="Times New Roman"/>
          <w:i/>
          <w:sz w:val="24"/>
        </w:rPr>
        <w:t xml:space="preserve">Director of Public Prosecutions Reference </w:t>
      </w:r>
      <w:r w:rsidR="000727C5" w:rsidRPr="004F542A">
        <w:rPr>
          <w:rFonts w:ascii="Times New Roman" w:hAnsi="Times New Roman"/>
          <w:i/>
          <w:sz w:val="24"/>
        </w:rPr>
        <w:t>(</w:t>
      </w:r>
      <w:r w:rsidR="001A275B" w:rsidRPr="004F542A" w:rsidDel="00615973">
        <w:rPr>
          <w:rFonts w:ascii="Times New Roman" w:hAnsi="Times New Roman"/>
          <w:i/>
          <w:sz w:val="24"/>
        </w:rPr>
        <w:t>No</w:t>
      </w:r>
      <w:r w:rsidR="003E2F0C" w:rsidRPr="004F542A" w:rsidDel="00615973">
        <w:rPr>
          <w:rFonts w:ascii="Times New Roman" w:hAnsi="Times New Roman"/>
          <w:i/>
          <w:sz w:val="24"/>
        </w:rPr>
        <w:t xml:space="preserve"> </w:t>
      </w:r>
      <w:r w:rsidR="001A275B" w:rsidRPr="004F542A" w:rsidDel="00615973">
        <w:rPr>
          <w:rFonts w:ascii="Times New Roman" w:hAnsi="Times New Roman"/>
          <w:i/>
          <w:sz w:val="24"/>
        </w:rPr>
        <w:t>1 of 2019</w:t>
      </w:r>
      <w:r w:rsidR="000727C5" w:rsidRPr="004F542A">
        <w:rPr>
          <w:rFonts w:ascii="Times New Roman" w:hAnsi="Times New Roman"/>
          <w:i/>
          <w:sz w:val="24"/>
        </w:rPr>
        <w:t>)</w:t>
      </w:r>
      <w:r w:rsidR="001A275B" w:rsidRPr="004F542A" w:rsidDel="00615973">
        <w:rPr>
          <w:rFonts w:ascii="Times New Roman" w:hAnsi="Times New Roman"/>
          <w:i/>
          <w:sz w:val="24"/>
        </w:rPr>
        <w:t xml:space="preserve"> </w:t>
      </w:r>
      <w:r w:rsidR="000727C5" w:rsidRPr="004F542A">
        <w:rPr>
          <w:rFonts w:ascii="Times New Roman" w:hAnsi="Times New Roman"/>
          <w:sz w:val="24"/>
        </w:rPr>
        <w:t xml:space="preserve">(2020) 284 A Crim R 19 </w:t>
      </w:r>
      <w:r w:rsidRPr="004F542A">
        <w:rPr>
          <w:rFonts w:ascii="Times New Roman" w:hAnsi="Times New Roman"/>
          <w:sz w:val="24"/>
        </w:rPr>
        <w:t>at</w:t>
      </w:r>
      <w:r w:rsidR="000727C5" w:rsidRPr="004F542A">
        <w:rPr>
          <w:rFonts w:ascii="Times New Roman" w:hAnsi="Times New Roman"/>
          <w:sz w:val="24"/>
        </w:rPr>
        <w:t xml:space="preserve"> 27</w:t>
      </w:r>
      <w:r w:rsidRPr="004F542A">
        <w:rPr>
          <w:rFonts w:ascii="Times New Roman" w:hAnsi="Times New Roman"/>
          <w:sz w:val="24"/>
        </w:rPr>
        <w:t xml:space="preserve"> [29]</w:t>
      </w:r>
      <w:r w:rsidR="00A74FFF" w:rsidRPr="004F542A">
        <w:rPr>
          <w:rFonts w:ascii="Times New Roman" w:hAnsi="Times New Roman"/>
          <w:sz w:val="24"/>
        </w:rPr>
        <w:t xml:space="preserve"> per Maxwell P, McLeish and Emerton JJA</w:t>
      </w:r>
      <w:r w:rsidRPr="004F542A">
        <w:rPr>
          <w:rFonts w:ascii="Times New Roman" w:hAnsi="Times New Roman"/>
          <w:sz w:val="24"/>
        </w:rPr>
        <w:t>.</w:t>
      </w:r>
    </w:p>
  </w:footnote>
  <w:footnote w:id="22">
    <w:p w14:paraId="2F9A8832" w14:textId="5A5F7528" w:rsidR="001B62AD" w:rsidRPr="004F542A" w:rsidRDefault="001B62AD"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8B4E6A" w:rsidRPr="004F542A" w:rsidDel="00615973">
        <w:rPr>
          <w:rFonts w:ascii="Times New Roman" w:hAnsi="Times New Roman"/>
          <w:i/>
          <w:sz w:val="24"/>
        </w:rPr>
        <w:t xml:space="preserve">Director of Public Prosecutions Reference </w:t>
      </w:r>
      <w:r w:rsidR="00836EBD" w:rsidRPr="004F542A">
        <w:rPr>
          <w:rFonts w:ascii="Times New Roman" w:hAnsi="Times New Roman"/>
          <w:i/>
          <w:sz w:val="24"/>
        </w:rPr>
        <w:t>(</w:t>
      </w:r>
      <w:r w:rsidR="008B4E6A" w:rsidRPr="004F542A" w:rsidDel="00615973">
        <w:rPr>
          <w:rFonts w:ascii="Times New Roman" w:hAnsi="Times New Roman"/>
          <w:i/>
          <w:sz w:val="24"/>
        </w:rPr>
        <w:t>No</w:t>
      </w:r>
      <w:r w:rsidR="003E2F0C" w:rsidRPr="004F542A" w:rsidDel="00615973">
        <w:rPr>
          <w:rFonts w:ascii="Times New Roman" w:hAnsi="Times New Roman"/>
          <w:i/>
          <w:sz w:val="24"/>
        </w:rPr>
        <w:t xml:space="preserve"> </w:t>
      </w:r>
      <w:r w:rsidR="008B4E6A" w:rsidRPr="004F542A" w:rsidDel="00615973">
        <w:rPr>
          <w:rFonts w:ascii="Times New Roman" w:hAnsi="Times New Roman"/>
          <w:i/>
          <w:sz w:val="24"/>
        </w:rPr>
        <w:t>1 of 2019</w:t>
      </w:r>
      <w:r w:rsidR="00836EBD" w:rsidRPr="004F542A">
        <w:rPr>
          <w:rFonts w:ascii="Times New Roman" w:hAnsi="Times New Roman"/>
          <w:i/>
          <w:sz w:val="24"/>
        </w:rPr>
        <w:t>)</w:t>
      </w:r>
      <w:r w:rsidR="008B4E6A" w:rsidRPr="004F542A">
        <w:rPr>
          <w:rFonts w:ascii="Times New Roman" w:hAnsi="Times New Roman"/>
          <w:i/>
          <w:sz w:val="24"/>
        </w:rPr>
        <w:t xml:space="preserve"> </w:t>
      </w:r>
      <w:r w:rsidR="00836EBD" w:rsidRPr="004F542A">
        <w:rPr>
          <w:rFonts w:ascii="Times New Roman" w:hAnsi="Times New Roman"/>
          <w:sz w:val="24"/>
        </w:rPr>
        <w:t>(2020) 284 A Crim R 19</w:t>
      </w:r>
      <w:r w:rsidR="008B4E6A" w:rsidRPr="004F542A">
        <w:rPr>
          <w:rFonts w:ascii="Times New Roman" w:hAnsi="Times New Roman"/>
          <w:sz w:val="24"/>
        </w:rPr>
        <w:t xml:space="preserve"> </w:t>
      </w:r>
      <w:r w:rsidRPr="004F542A">
        <w:rPr>
          <w:rFonts w:ascii="Times New Roman" w:hAnsi="Times New Roman"/>
          <w:sz w:val="24"/>
        </w:rPr>
        <w:t xml:space="preserve">at </w:t>
      </w:r>
      <w:r w:rsidR="00836EBD" w:rsidRPr="004F542A">
        <w:rPr>
          <w:rFonts w:ascii="Times New Roman" w:hAnsi="Times New Roman"/>
          <w:sz w:val="24"/>
        </w:rPr>
        <w:t xml:space="preserve">27 </w:t>
      </w:r>
      <w:r w:rsidRPr="004F542A">
        <w:rPr>
          <w:rFonts w:ascii="Times New Roman" w:hAnsi="Times New Roman"/>
          <w:sz w:val="24"/>
        </w:rPr>
        <w:t>[29]</w:t>
      </w:r>
      <w:r w:rsidR="0055297B" w:rsidRPr="004F542A">
        <w:rPr>
          <w:rFonts w:ascii="Times New Roman" w:hAnsi="Times New Roman"/>
          <w:sz w:val="24"/>
        </w:rPr>
        <w:t>,</w:t>
      </w:r>
      <w:r w:rsidR="00836EBD" w:rsidRPr="004F542A">
        <w:rPr>
          <w:rFonts w:ascii="Times New Roman" w:hAnsi="Times New Roman"/>
          <w:sz w:val="24"/>
        </w:rPr>
        <w:t xml:space="preserve"> 32 </w:t>
      </w:r>
      <w:r w:rsidRPr="004F542A">
        <w:rPr>
          <w:rFonts w:ascii="Times New Roman" w:hAnsi="Times New Roman"/>
          <w:sz w:val="24"/>
        </w:rPr>
        <w:t>[51].</w:t>
      </w:r>
    </w:p>
  </w:footnote>
  <w:footnote w:id="23">
    <w:p w14:paraId="78FF6AC1" w14:textId="1B1E78C5" w:rsidR="008F50C8" w:rsidRPr="004F542A" w:rsidRDefault="008F50C8"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t>(1994) 181 CLR 96 at 106.</w:t>
      </w:r>
    </w:p>
  </w:footnote>
  <w:footnote w:id="24">
    <w:p w14:paraId="7FF6C2B0" w14:textId="3D2E3D47" w:rsidR="00547682" w:rsidRPr="004F542A" w:rsidRDefault="00547682"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A14E9F" w:rsidRPr="004F542A">
        <w:rPr>
          <w:rFonts w:ascii="Times New Roman" w:hAnsi="Times New Roman"/>
          <w:sz w:val="24"/>
        </w:rPr>
        <w:t>[</w:t>
      </w:r>
      <w:r w:rsidR="00EB4CEA" w:rsidRPr="004F542A">
        <w:rPr>
          <w:rFonts w:ascii="Times New Roman" w:hAnsi="Times New Roman"/>
          <w:sz w:val="24"/>
        </w:rPr>
        <w:t>1933</w:t>
      </w:r>
      <w:r w:rsidR="00A14E9F" w:rsidRPr="004F542A">
        <w:rPr>
          <w:rFonts w:ascii="Times New Roman" w:hAnsi="Times New Roman"/>
          <w:sz w:val="24"/>
        </w:rPr>
        <w:t>]</w:t>
      </w:r>
      <w:r w:rsidR="00EB4CEA" w:rsidRPr="004F542A">
        <w:rPr>
          <w:rFonts w:ascii="Times New Roman" w:hAnsi="Times New Roman"/>
          <w:sz w:val="24"/>
        </w:rPr>
        <w:t xml:space="preserve"> AC 402</w:t>
      </w:r>
      <w:r w:rsidR="00B365B6" w:rsidRPr="004F542A">
        <w:rPr>
          <w:rFonts w:ascii="Times New Roman" w:hAnsi="Times New Roman"/>
          <w:sz w:val="24"/>
        </w:rPr>
        <w:t xml:space="preserve"> at 411</w:t>
      </w:r>
      <w:r w:rsidR="00EB4CEA" w:rsidRPr="004F542A">
        <w:rPr>
          <w:rFonts w:ascii="Times New Roman" w:hAnsi="Times New Roman"/>
          <w:sz w:val="24"/>
        </w:rPr>
        <w:t>.</w:t>
      </w:r>
    </w:p>
  </w:footnote>
  <w:footnote w:id="25">
    <w:p w14:paraId="5513DA45" w14:textId="3F7F3809" w:rsidR="00A32E6C" w:rsidRPr="004F542A" w:rsidRDefault="00A32E6C"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Pr="004F542A">
        <w:rPr>
          <w:rFonts w:ascii="Times New Roman" w:hAnsi="Times New Roman"/>
          <w:i/>
          <w:sz w:val="24"/>
        </w:rPr>
        <w:t xml:space="preserve">Salvation Army (Victoria) Property Trust v </w:t>
      </w:r>
      <w:r w:rsidR="009D0F45" w:rsidRPr="004F542A">
        <w:rPr>
          <w:rFonts w:ascii="Times New Roman" w:hAnsi="Times New Roman"/>
          <w:i/>
          <w:sz w:val="24"/>
        </w:rPr>
        <w:t>F</w:t>
      </w:r>
      <w:r w:rsidRPr="004F542A">
        <w:rPr>
          <w:rFonts w:ascii="Times New Roman" w:hAnsi="Times New Roman"/>
          <w:i/>
          <w:sz w:val="24"/>
        </w:rPr>
        <w:t>ern Tree Gully Corporation</w:t>
      </w:r>
      <w:r w:rsidRPr="004F542A">
        <w:rPr>
          <w:rFonts w:ascii="Times New Roman" w:hAnsi="Times New Roman"/>
          <w:sz w:val="24"/>
        </w:rPr>
        <w:t xml:space="preserve"> (1952) 85 CLR 159 at 174.</w:t>
      </w:r>
    </w:p>
  </w:footnote>
  <w:footnote w:id="26">
    <w:p w14:paraId="3EA46197" w14:textId="16B0FDDE" w:rsidR="00081E4A" w:rsidRPr="004F542A" w:rsidRDefault="00081E4A"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926CE5" w:rsidRPr="004F542A">
        <w:rPr>
          <w:rFonts w:ascii="Times New Roman" w:hAnsi="Times New Roman"/>
          <w:i/>
          <w:sz w:val="24"/>
        </w:rPr>
        <w:t xml:space="preserve">Re </w:t>
      </w:r>
      <w:r w:rsidR="00930533" w:rsidRPr="004F542A">
        <w:rPr>
          <w:rFonts w:ascii="Times New Roman" w:hAnsi="Times New Roman"/>
          <w:i/>
          <w:sz w:val="24"/>
        </w:rPr>
        <w:t xml:space="preserve">Alcan Australia Ltd; </w:t>
      </w:r>
      <w:r w:rsidR="00216FD9" w:rsidRPr="004F542A">
        <w:rPr>
          <w:rFonts w:ascii="Times New Roman" w:hAnsi="Times New Roman"/>
          <w:i/>
          <w:sz w:val="24"/>
        </w:rPr>
        <w:t>E</w:t>
      </w:r>
      <w:r w:rsidR="00930533" w:rsidRPr="004F542A">
        <w:rPr>
          <w:rFonts w:ascii="Times New Roman" w:hAnsi="Times New Roman"/>
          <w:i/>
          <w:sz w:val="24"/>
        </w:rPr>
        <w:t xml:space="preserve">x </w:t>
      </w:r>
      <w:proofErr w:type="spellStart"/>
      <w:r w:rsidR="00930533" w:rsidRPr="004F542A">
        <w:rPr>
          <w:rFonts w:ascii="Times New Roman" w:hAnsi="Times New Roman"/>
          <w:i/>
          <w:sz w:val="24"/>
        </w:rPr>
        <w:t>parte</w:t>
      </w:r>
      <w:proofErr w:type="spellEnd"/>
      <w:r w:rsidR="00930533" w:rsidRPr="004F542A">
        <w:rPr>
          <w:rFonts w:ascii="Times New Roman" w:hAnsi="Times New Roman"/>
          <w:i/>
          <w:sz w:val="24"/>
        </w:rPr>
        <w:t xml:space="preserve"> Federation of Industrial</w:t>
      </w:r>
      <w:r w:rsidR="00346388" w:rsidRPr="004F542A">
        <w:rPr>
          <w:rFonts w:ascii="Times New Roman" w:hAnsi="Times New Roman"/>
          <w:i/>
          <w:sz w:val="24"/>
        </w:rPr>
        <w:t>,</w:t>
      </w:r>
      <w:r w:rsidR="00930533" w:rsidRPr="004F542A">
        <w:rPr>
          <w:rFonts w:ascii="Times New Roman" w:hAnsi="Times New Roman"/>
          <w:i/>
          <w:sz w:val="24"/>
        </w:rPr>
        <w:t xml:space="preserve"> Manufacturing </w:t>
      </w:r>
      <w:r w:rsidR="00216FD9" w:rsidRPr="004F542A">
        <w:rPr>
          <w:rFonts w:ascii="Times New Roman" w:hAnsi="Times New Roman"/>
          <w:i/>
          <w:sz w:val="24"/>
        </w:rPr>
        <w:t>and</w:t>
      </w:r>
      <w:r w:rsidR="00930533" w:rsidRPr="004F542A">
        <w:rPr>
          <w:rFonts w:ascii="Times New Roman" w:hAnsi="Times New Roman"/>
          <w:i/>
          <w:sz w:val="24"/>
        </w:rPr>
        <w:t xml:space="preserve"> Engineering Employees </w:t>
      </w:r>
      <w:r w:rsidR="00930533" w:rsidRPr="004F542A">
        <w:rPr>
          <w:rFonts w:ascii="Times New Roman" w:hAnsi="Times New Roman"/>
          <w:sz w:val="24"/>
        </w:rPr>
        <w:t xml:space="preserve">(1994) 181 CLR 96 </w:t>
      </w:r>
      <w:r w:rsidR="006D41D4" w:rsidRPr="004F542A">
        <w:rPr>
          <w:rFonts w:ascii="Times New Roman" w:hAnsi="Times New Roman"/>
          <w:sz w:val="24"/>
        </w:rPr>
        <w:t xml:space="preserve">at 106-107; see also </w:t>
      </w:r>
      <w:r w:rsidR="00A32865" w:rsidRPr="004F542A">
        <w:rPr>
          <w:rFonts w:ascii="Times New Roman" w:hAnsi="Times New Roman"/>
          <w:i/>
          <w:sz w:val="24"/>
        </w:rPr>
        <w:t xml:space="preserve">Electrolux Home Products Pty </w:t>
      </w:r>
      <w:r w:rsidR="00346388" w:rsidRPr="004F542A">
        <w:rPr>
          <w:rFonts w:ascii="Times New Roman" w:hAnsi="Times New Roman"/>
          <w:i/>
          <w:sz w:val="24"/>
        </w:rPr>
        <w:t xml:space="preserve">Ltd </w:t>
      </w:r>
      <w:r w:rsidR="00A32865" w:rsidRPr="004F542A">
        <w:rPr>
          <w:rFonts w:ascii="Times New Roman" w:hAnsi="Times New Roman"/>
          <w:i/>
          <w:sz w:val="24"/>
        </w:rPr>
        <w:t xml:space="preserve">v </w:t>
      </w:r>
      <w:r w:rsidR="004D0809" w:rsidRPr="004F542A">
        <w:rPr>
          <w:rFonts w:ascii="Times New Roman" w:hAnsi="Times New Roman"/>
          <w:i/>
          <w:sz w:val="24"/>
        </w:rPr>
        <w:t>Australian Workers' Union</w:t>
      </w:r>
      <w:r w:rsidR="004D0809" w:rsidRPr="004F542A">
        <w:rPr>
          <w:rFonts w:ascii="Times New Roman" w:hAnsi="Times New Roman"/>
          <w:sz w:val="24"/>
        </w:rPr>
        <w:t xml:space="preserve"> </w:t>
      </w:r>
      <w:r w:rsidR="00A32865" w:rsidRPr="004F542A">
        <w:rPr>
          <w:rFonts w:ascii="Times New Roman" w:hAnsi="Times New Roman"/>
          <w:sz w:val="24"/>
        </w:rPr>
        <w:t>(2004) 221 CLR 309</w:t>
      </w:r>
      <w:r w:rsidR="00D825D6" w:rsidRPr="004F542A">
        <w:rPr>
          <w:rFonts w:ascii="Times New Roman" w:hAnsi="Times New Roman"/>
          <w:sz w:val="24"/>
        </w:rPr>
        <w:t xml:space="preserve"> at </w:t>
      </w:r>
      <w:r w:rsidR="00923B7E" w:rsidRPr="004F542A">
        <w:rPr>
          <w:rFonts w:ascii="Times New Roman" w:hAnsi="Times New Roman"/>
          <w:sz w:val="24"/>
        </w:rPr>
        <w:t>323-</w:t>
      </w:r>
      <w:r w:rsidR="004774EE" w:rsidRPr="004F542A">
        <w:rPr>
          <w:rFonts w:ascii="Times New Roman" w:hAnsi="Times New Roman"/>
          <w:sz w:val="24"/>
        </w:rPr>
        <w:t>325 [7]-</w:t>
      </w:r>
      <w:r w:rsidR="00D825D6" w:rsidRPr="004F542A" w:rsidDel="00923B7E">
        <w:rPr>
          <w:rFonts w:ascii="Times New Roman" w:hAnsi="Times New Roman"/>
          <w:sz w:val="24"/>
        </w:rPr>
        <w:t>[</w:t>
      </w:r>
      <w:r w:rsidR="00F47ED7" w:rsidRPr="004F542A">
        <w:rPr>
          <w:rFonts w:ascii="Times New Roman" w:hAnsi="Times New Roman"/>
          <w:sz w:val="24"/>
        </w:rPr>
        <w:t>8]</w:t>
      </w:r>
      <w:r w:rsidR="008A158B" w:rsidRPr="004F542A" w:rsidDel="008A158B">
        <w:rPr>
          <w:rFonts w:ascii="Times New Roman" w:hAnsi="Times New Roman"/>
          <w:sz w:val="24"/>
        </w:rPr>
        <w:t xml:space="preserve"> </w:t>
      </w:r>
      <w:r w:rsidR="00D825D6" w:rsidRPr="004F542A">
        <w:rPr>
          <w:rFonts w:ascii="Times New Roman" w:hAnsi="Times New Roman"/>
          <w:sz w:val="24"/>
        </w:rPr>
        <w:t>per Gleeson CJ</w:t>
      </w:r>
      <w:r w:rsidR="00346388" w:rsidRPr="004F542A">
        <w:rPr>
          <w:rFonts w:ascii="Times New Roman" w:hAnsi="Times New Roman"/>
          <w:sz w:val="24"/>
        </w:rPr>
        <w:t>,</w:t>
      </w:r>
      <w:r w:rsidR="00D825D6" w:rsidRPr="004F542A">
        <w:rPr>
          <w:rFonts w:ascii="Times New Roman" w:hAnsi="Times New Roman"/>
          <w:sz w:val="24"/>
        </w:rPr>
        <w:t xml:space="preserve"> 339-34</w:t>
      </w:r>
      <w:r w:rsidR="000811DE" w:rsidRPr="004F542A">
        <w:rPr>
          <w:rFonts w:ascii="Times New Roman" w:hAnsi="Times New Roman"/>
          <w:sz w:val="24"/>
        </w:rPr>
        <w:t>1</w:t>
      </w:r>
      <w:r w:rsidR="00D825D6" w:rsidRPr="004F542A">
        <w:rPr>
          <w:rFonts w:ascii="Times New Roman" w:hAnsi="Times New Roman"/>
          <w:sz w:val="24"/>
        </w:rPr>
        <w:t xml:space="preserve"> </w:t>
      </w:r>
      <w:r w:rsidR="00045420" w:rsidRPr="004F542A">
        <w:rPr>
          <w:rFonts w:ascii="Times New Roman" w:hAnsi="Times New Roman"/>
          <w:sz w:val="24"/>
        </w:rPr>
        <w:t>[61]</w:t>
      </w:r>
      <w:r w:rsidR="000219A0" w:rsidRPr="004F542A">
        <w:rPr>
          <w:rFonts w:ascii="Times New Roman" w:hAnsi="Times New Roman"/>
          <w:sz w:val="24"/>
        </w:rPr>
        <w:t>-</w:t>
      </w:r>
      <w:r w:rsidR="00FB1EAC" w:rsidRPr="004F542A">
        <w:rPr>
          <w:rFonts w:ascii="Times New Roman" w:hAnsi="Times New Roman"/>
          <w:sz w:val="24"/>
        </w:rPr>
        <w:t>[62]</w:t>
      </w:r>
      <w:r w:rsidR="000354B9" w:rsidRPr="004F542A">
        <w:rPr>
          <w:rFonts w:ascii="Times New Roman" w:hAnsi="Times New Roman"/>
          <w:sz w:val="24"/>
        </w:rPr>
        <w:t xml:space="preserve"> </w:t>
      </w:r>
      <w:r w:rsidR="00D825D6" w:rsidRPr="004F542A">
        <w:rPr>
          <w:rFonts w:ascii="Times New Roman" w:hAnsi="Times New Roman"/>
          <w:sz w:val="24"/>
        </w:rPr>
        <w:t>per McHugh J</w:t>
      </w:r>
      <w:r w:rsidR="00346388" w:rsidRPr="004F542A">
        <w:rPr>
          <w:rFonts w:ascii="Times New Roman" w:hAnsi="Times New Roman"/>
          <w:sz w:val="24"/>
        </w:rPr>
        <w:t>,</w:t>
      </w:r>
      <w:r w:rsidR="00D825D6" w:rsidRPr="004F542A">
        <w:rPr>
          <w:rFonts w:ascii="Times New Roman" w:hAnsi="Times New Roman"/>
          <w:sz w:val="24"/>
        </w:rPr>
        <w:t xml:space="preserve"> 370</w:t>
      </w:r>
      <w:r w:rsidR="00C43F46" w:rsidRPr="004F542A">
        <w:rPr>
          <w:rFonts w:ascii="Times New Roman" w:hAnsi="Times New Roman"/>
          <w:sz w:val="24"/>
        </w:rPr>
        <w:t>-371</w:t>
      </w:r>
      <w:r w:rsidR="008C46E1" w:rsidRPr="004F542A">
        <w:rPr>
          <w:rFonts w:ascii="Times New Roman" w:hAnsi="Times New Roman"/>
          <w:sz w:val="24"/>
        </w:rPr>
        <w:t xml:space="preserve"> </w:t>
      </w:r>
      <w:r w:rsidR="000A54AA" w:rsidRPr="004F542A">
        <w:rPr>
          <w:rFonts w:ascii="Times New Roman" w:hAnsi="Times New Roman"/>
          <w:sz w:val="24"/>
        </w:rPr>
        <w:t>[160]-</w:t>
      </w:r>
      <w:r w:rsidR="00555F0E" w:rsidRPr="004F542A">
        <w:rPr>
          <w:rFonts w:ascii="Times New Roman" w:hAnsi="Times New Roman"/>
          <w:sz w:val="24"/>
        </w:rPr>
        <w:t>[162</w:t>
      </w:r>
      <w:r w:rsidR="00045420" w:rsidRPr="004F542A">
        <w:rPr>
          <w:rFonts w:ascii="Times New Roman" w:hAnsi="Times New Roman"/>
          <w:sz w:val="24"/>
        </w:rPr>
        <w:t>]</w:t>
      </w:r>
      <w:r w:rsidR="00D825D6" w:rsidRPr="004F542A">
        <w:rPr>
          <w:rFonts w:ascii="Times New Roman" w:hAnsi="Times New Roman"/>
          <w:sz w:val="24"/>
        </w:rPr>
        <w:t xml:space="preserve"> per </w:t>
      </w:r>
      <w:proofErr w:type="spellStart"/>
      <w:r w:rsidR="00D825D6" w:rsidRPr="004F542A">
        <w:rPr>
          <w:rFonts w:ascii="Times New Roman" w:hAnsi="Times New Roman"/>
          <w:sz w:val="24"/>
        </w:rPr>
        <w:t>Gummow</w:t>
      </w:r>
      <w:proofErr w:type="spellEnd"/>
      <w:r w:rsidR="00D825D6" w:rsidRPr="004F542A">
        <w:rPr>
          <w:rFonts w:ascii="Times New Roman" w:hAnsi="Times New Roman"/>
          <w:sz w:val="24"/>
        </w:rPr>
        <w:t xml:space="preserve">, Hayne and </w:t>
      </w:r>
      <w:proofErr w:type="spellStart"/>
      <w:r w:rsidR="00D825D6" w:rsidRPr="004F542A">
        <w:rPr>
          <w:rFonts w:ascii="Times New Roman" w:hAnsi="Times New Roman"/>
          <w:sz w:val="24"/>
        </w:rPr>
        <w:t>Heydon</w:t>
      </w:r>
      <w:proofErr w:type="spellEnd"/>
      <w:r w:rsidR="00D825D6" w:rsidRPr="004F542A">
        <w:rPr>
          <w:rFonts w:ascii="Times New Roman" w:hAnsi="Times New Roman"/>
          <w:sz w:val="24"/>
        </w:rPr>
        <w:t> JJ</w:t>
      </w:r>
      <w:r w:rsidR="00A32865" w:rsidRPr="004F542A">
        <w:rPr>
          <w:rFonts w:ascii="Times New Roman" w:hAnsi="Times New Roman"/>
          <w:sz w:val="24"/>
        </w:rPr>
        <w:t>.</w:t>
      </w:r>
    </w:p>
  </w:footnote>
  <w:footnote w:id="27">
    <w:p w14:paraId="12D4DDB5" w14:textId="225A8B41" w:rsidR="00936D84" w:rsidRPr="004F542A" w:rsidRDefault="00936D84"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t xml:space="preserve">(1994) 181 CLR 96. </w:t>
      </w:r>
    </w:p>
  </w:footnote>
  <w:footnote w:id="28">
    <w:p w14:paraId="386CDC31" w14:textId="54998B79" w:rsidR="004545D2" w:rsidRPr="004F542A" w:rsidRDefault="004545D2"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t xml:space="preserve">(2004) 221 CLR 309; see also </w:t>
      </w:r>
      <w:r w:rsidRPr="004F542A">
        <w:rPr>
          <w:rFonts w:ascii="Times New Roman" w:hAnsi="Times New Roman"/>
          <w:i/>
          <w:sz w:val="24"/>
        </w:rPr>
        <w:t xml:space="preserve">Vella v Commissioner of Police (NSW) </w:t>
      </w:r>
      <w:r w:rsidRPr="004F542A">
        <w:rPr>
          <w:rFonts w:ascii="Times New Roman" w:hAnsi="Times New Roman"/>
          <w:sz w:val="24"/>
        </w:rPr>
        <w:t>(2019) 93 ALJR 1236 at 1243-1244 [19]</w:t>
      </w:r>
      <w:r w:rsidR="0013585F" w:rsidRPr="004F542A">
        <w:rPr>
          <w:rFonts w:ascii="Times New Roman" w:hAnsi="Times New Roman"/>
          <w:sz w:val="24"/>
        </w:rPr>
        <w:t>; 374 ALR 1 at 7</w:t>
      </w:r>
      <w:r w:rsidRPr="004F542A">
        <w:rPr>
          <w:rFonts w:ascii="Times New Roman" w:hAnsi="Times New Roman"/>
          <w:sz w:val="24"/>
        </w:rPr>
        <w:t>.</w:t>
      </w:r>
    </w:p>
  </w:footnote>
  <w:footnote w:id="29">
    <w:p w14:paraId="571F8732" w14:textId="27C95994" w:rsidR="006B6FC9" w:rsidRPr="004F542A" w:rsidRDefault="006B6FC9"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DF5FAE" w:rsidRPr="004F542A">
        <w:rPr>
          <w:rFonts w:ascii="Times New Roman" w:hAnsi="Times New Roman"/>
          <w:i/>
          <w:sz w:val="24"/>
        </w:rPr>
        <w:t xml:space="preserve">Salvation Army (Victoria) Property Trust v </w:t>
      </w:r>
      <w:r w:rsidR="0015757E" w:rsidRPr="004F542A">
        <w:rPr>
          <w:rFonts w:ascii="Times New Roman" w:hAnsi="Times New Roman"/>
          <w:i/>
          <w:sz w:val="24"/>
        </w:rPr>
        <w:t>F</w:t>
      </w:r>
      <w:r w:rsidR="00DF5FAE" w:rsidRPr="004F542A">
        <w:rPr>
          <w:rFonts w:ascii="Times New Roman" w:hAnsi="Times New Roman"/>
          <w:i/>
          <w:sz w:val="24"/>
        </w:rPr>
        <w:t>ern Tree Gully Corporation</w:t>
      </w:r>
      <w:r w:rsidR="00DF5FAE" w:rsidRPr="004F542A">
        <w:rPr>
          <w:rFonts w:ascii="Times New Roman" w:hAnsi="Times New Roman"/>
          <w:sz w:val="24"/>
        </w:rPr>
        <w:t xml:space="preserve"> (1952) 85 CLR 159</w:t>
      </w:r>
      <w:r w:rsidR="00D3104C" w:rsidRPr="004F542A">
        <w:rPr>
          <w:rFonts w:ascii="Times New Roman" w:hAnsi="Times New Roman"/>
          <w:sz w:val="24"/>
        </w:rPr>
        <w:t xml:space="preserve"> </w:t>
      </w:r>
      <w:r w:rsidR="00E151A2" w:rsidRPr="004F542A">
        <w:rPr>
          <w:rFonts w:ascii="Times New Roman" w:hAnsi="Times New Roman"/>
          <w:sz w:val="24"/>
        </w:rPr>
        <w:t>at</w:t>
      </w:r>
      <w:r w:rsidR="0044254E" w:rsidRPr="004F542A">
        <w:rPr>
          <w:rFonts w:ascii="Times New Roman" w:hAnsi="Times New Roman"/>
          <w:sz w:val="24"/>
        </w:rPr>
        <w:t xml:space="preserve"> 174</w:t>
      </w:r>
      <w:r w:rsidR="00DF5FAE" w:rsidRPr="004F542A">
        <w:rPr>
          <w:rFonts w:ascii="Times New Roman" w:hAnsi="Times New Roman"/>
          <w:sz w:val="24"/>
        </w:rPr>
        <w:t>.</w:t>
      </w:r>
    </w:p>
  </w:footnote>
  <w:footnote w:id="30">
    <w:p w14:paraId="3857BE6C" w14:textId="79FB1D0A" w:rsidR="005C4A67" w:rsidRPr="004F542A" w:rsidRDefault="005C4A6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2A5E34" w:rsidRPr="004F542A">
        <w:rPr>
          <w:rFonts w:ascii="Times New Roman" w:hAnsi="Times New Roman"/>
          <w:i/>
          <w:sz w:val="24"/>
        </w:rPr>
        <w:t>Flaherty v Girgis</w:t>
      </w:r>
      <w:r w:rsidR="002A5E34" w:rsidRPr="004F542A">
        <w:rPr>
          <w:rFonts w:ascii="Times New Roman" w:hAnsi="Times New Roman"/>
          <w:sz w:val="24"/>
        </w:rPr>
        <w:t xml:space="preserve"> (1987) 162 CLR 574 at 594 per Mason A</w:t>
      </w:r>
      <w:r w:rsidR="008D6CFA" w:rsidRPr="004F542A">
        <w:rPr>
          <w:rFonts w:ascii="Times New Roman" w:hAnsi="Times New Roman"/>
          <w:sz w:val="24"/>
        </w:rPr>
        <w:t>-</w:t>
      </w:r>
      <w:r w:rsidR="002A5E34" w:rsidRPr="004F542A">
        <w:rPr>
          <w:rFonts w:ascii="Times New Roman" w:hAnsi="Times New Roman"/>
          <w:sz w:val="24"/>
        </w:rPr>
        <w:t>CJ, Wilson and Dawson JJ.</w:t>
      </w:r>
    </w:p>
  </w:footnote>
  <w:footnote w:id="31">
    <w:p w14:paraId="6B0633EC" w14:textId="3195FA73" w:rsidR="002A5E34" w:rsidRPr="004F542A" w:rsidRDefault="002A5E34"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3E31EF" w:rsidRPr="004F542A">
        <w:rPr>
          <w:rFonts w:ascii="Times New Roman" w:hAnsi="Times New Roman"/>
          <w:i/>
          <w:sz w:val="24"/>
        </w:rPr>
        <w:t xml:space="preserve">Re </w:t>
      </w:r>
      <w:r w:rsidR="0085079B" w:rsidRPr="004F542A">
        <w:rPr>
          <w:rFonts w:ascii="Times New Roman" w:hAnsi="Times New Roman"/>
          <w:i/>
          <w:sz w:val="24"/>
        </w:rPr>
        <w:t xml:space="preserve">Alcan Australia Ltd; </w:t>
      </w:r>
      <w:r w:rsidR="00184698" w:rsidRPr="004F542A">
        <w:rPr>
          <w:rFonts w:ascii="Times New Roman" w:hAnsi="Times New Roman"/>
          <w:i/>
          <w:sz w:val="24"/>
        </w:rPr>
        <w:t>E</w:t>
      </w:r>
      <w:r w:rsidR="0085079B" w:rsidRPr="004F542A">
        <w:rPr>
          <w:rFonts w:ascii="Times New Roman" w:hAnsi="Times New Roman"/>
          <w:i/>
          <w:sz w:val="24"/>
        </w:rPr>
        <w:t xml:space="preserve">x </w:t>
      </w:r>
      <w:proofErr w:type="spellStart"/>
      <w:r w:rsidR="0085079B" w:rsidRPr="004F542A">
        <w:rPr>
          <w:rFonts w:ascii="Times New Roman" w:hAnsi="Times New Roman"/>
          <w:i/>
          <w:sz w:val="24"/>
        </w:rPr>
        <w:t>parte</w:t>
      </w:r>
      <w:proofErr w:type="spellEnd"/>
      <w:r w:rsidR="0085079B" w:rsidRPr="004F542A">
        <w:rPr>
          <w:rFonts w:ascii="Times New Roman" w:hAnsi="Times New Roman"/>
          <w:i/>
          <w:sz w:val="24"/>
        </w:rPr>
        <w:t xml:space="preserve"> Federation of Industrial</w:t>
      </w:r>
      <w:r w:rsidR="008D6CFA" w:rsidRPr="004F542A">
        <w:rPr>
          <w:rFonts w:ascii="Times New Roman" w:hAnsi="Times New Roman"/>
          <w:i/>
          <w:sz w:val="24"/>
        </w:rPr>
        <w:t>,</w:t>
      </w:r>
      <w:r w:rsidR="0085079B" w:rsidRPr="004F542A">
        <w:rPr>
          <w:rFonts w:ascii="Times New Roman" w:hAnsi="Times New Roman"/>
          <w:i/>
          <w:sz w:val="24"/>
        </w:rPr>
        <w:t xml:space="preserve"> Manufacturing </w:t>
      </w:r>
      <w:r w:rsidR="00184698" w:rsidRPr="004F542A">
        <w:rPr>
          <w:rFonts w:ascii="Times New Roman" w:hAnsi="Times New Roman"/>
          <w:i/>
          <w:sz w:val="24"/>
        </w:rPr>
        <w:t xml:space="preserve">and </w:t>
      </w:r>
      <w:r w:rsidR="0085079B" w:rsidRPr="004F542A">
        <w:rPr>
          <w:rFonts w:ascii="Times New Roman" w:hAnsi="Times New Roman"/>
          <w:i/>
          <w:sz w:val="24"/>
        </w:rPr>
        <w:t xml:space="preserve">Engineering Employees </w:t>
      </w:r>
      <w:r w:rsidR="0085079B" w:rsidRPr="004F542A">
        <w:rPr>
          <w:rFonts w:ascii="Times New Roman" w:hAnsi="Times New Roman"/>
          <w:sz w:val="24"/>
        </w:rPr>
        <w:t xml:space="preserve">(1994) 181 CLR 96 at 106-107; </w:t>
      </w:r>
      <w:r w:rsidR="0085079B" w:rsidRPr="004F542A">
        <w:rPr>
          <w:rFonts w:ascii="Times New Roman" w:hAnsi="Times New Roman"/>
          <w:i/>
          <w:sz w:val="24"/>
        </w:rPr>
        <w:t xml:space="preserve">Fortress Credit Corporation (Australia) </w:t>
      </w:r>
      <w:r w:rsidR="00D13F82" w:rsidRPr="004F542A">
        <w:rPr>
          <w:rFonts w:ascii="Times New Roman" w:hAnsi="Times New Roman"/>
          <w:i/>
          <w:sz w:val="24"/>
        </w:rPr>
        <w:t>II</w:t>
      </w:r>
      <w:r w:rsidR="0085079B" w:rsidRPr="004F542A">
        <w:rPr>
          <w:rFonts w:ascii="Times New Roman" w:hAnsi="Times New Roman"/>
          <w:i/>
          <w:sz w:val="24"/>
        </w:rPr>
        <w:t xml:space="preserve"> Pty Ltd v Fletcher</w:t>
      </w:r>
      <w:r w:rsidR="0085079B" w:rsidRPr="004F542A">
        <w:rPr>
          <w:rFonts w:ascii="Times New Roman" w:hAnsi="Times New Roman"/>
          <w:sz w:val="24"/>
        </w:rPr>
        <w:t xml:space="preserve"> (2015) 254 CLR 489 at 503 [16].</w:t>
      </w:r>
    </w:p>
  </w:footnote>
  <w:footnote w:id="32">
    <w:p w14:paraId="3E2763F9" w14:textId="57548FE9" w:rsidR="0085079B" w:rsidRPr="004F542A" w:rsidRDefault="0085079B"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5E0A9D" w:rsidRPr="004F542A">
        <w:rPr>
          <w:rFonts w:ascii="Times New Roman" w:hAnsi="Times New Roman"/>
          <w:sz w:val="24"/>
        </w:rPr>
        <w:t xml:space="preserve">(1962) 107 CLR 381 </w:t>
      </w:r>
      <w:r w:rsidR="00E760F8" w:rsidRPr="004F542A">
        <w:rPr>
          <w:rFonts w:ascii="Times New Roman" w:hAnsi="Times New Roman"/>
          <w:sz w:val="24"/>
        </w:rPr>
        <w:t xml:space="preserve">at 388; see also </w:t>
      </w:r>
      <w:r w:rsidR="00E760F8" w:rsidRPr="004F542A">
        <w:rPr>
          <w:rFonts w:ascii="Times New Roman" w:hAnsi="Times New Roman"/>
          <w:i/>
          <w:sz w:val="24"/>
        </w:rPr>
        <w:t>Salvation Army (Victoria) Property Trust v Fern Tree Gully Corporation</w:t>
      </w:r>
      <w:r w:rsidR="00E760F8" w:rsidRPr="004F542A">
        <w:rPr>
          <w:rFonts w:ascii="Times New Roman" w:hAnsi="Times New Roman"/>
          <w:sz w:val="24"/>
        </w:rPr>
        <w:t xml:space="preserve"> (1952) 85 CLR 159</w:t>
      </w:r>
      <w:r w:rsidR="004808BA" w:rsidRPr="004F542A">
        <w:rPr>
          <w:rFonts w:ascii="Times New Roman" w:hAnsi="Times New Roman"/>
          <w:sz w:val="24"/>
        </w:rPr>
        <w:t xml:space="preserve"> at</w:t>
      </w:r>
      <w:r w:rsidR="00E760F8" w:rsidRPr="004F542A">
        <w:rPr>
          <w:rFonts w:ascii="Times New Roman" w:hAnsi="Times New Roman"/>
          <w:sz w:val="24"/>
        </w:rPr>
        <w:t xml:space="preserve"> 174.</w:t>
      </w:r>
    </w:p>
  </w:footnote>
  <w:footnote w:id="33">
    <w:p w14:paraId="2324619E" w14:textId="11DCCAEE" w:rsidR="005062DF" w:rsidRPr="004F542A" w:rsidRDefault="005062DF"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proofErr w:type="spellStart"/>
      <w:r w:rsidR="00673E6F" w:rsidRPr="004F542A">
        <w:rPr>
          <w:rFonts w:ascii="Times New Roman" w:hAnsi="Times New Roman"/>
          <w:i/>
          <w:sz w:val="24"/>
        </w:rPr>
        <w:t>Bennion</w:t>
      </w:r>
      <w:proofErr w:type="spellEnd"/>
      <w:r w:rsidR="00673E6F" w:rsidRPr="004F542A">
        <w:rPr>
          <w:rFonts w:ascii="Times New Roman" w:hAnsi="Times New Roman"/>
          <w:i/>
          <w:sz w:val="24"/>
        </w:rPr>
        <w:t>, Bailey and Norbury on Statutory Interpretation</w:t>
      </w:r>
      <w:r w:rsidR="00673E6F" w:rsidRPr="004F542A">
        <w:rPr>
          <w:rFonts w:ascii="Times New Roman" w:hAnsi="Times New Roman"/>
          <w:sz w:val="24"/>
        </w:rPr>
        <w:t>,</w:t>
      </w:r>
      <w:r w:rsidR="00673E6F" w:rsidRPr="004F542A">
        <w:rPr>
          <w:rFonts w:ascii="Times New Roman" w:hAnsi="Times New Roman"/>
          <w:i/>
          <w:sz w:val="24"/>
        </w:rPr>
        <w:t xml:space="preserve"> </w:t>
      </w:r>
      <w:r w:rsidR="00673E6F" w:rsidRPr="004F542A">
        <w:rPr>
          <w:rFonts w:ascii="Times New Roman" w:hAnsi="Times New Roman"/>
          <w:sz w:val="24"/>
        </w:rPr>
        <w:t xml:space="preserve">8th ed (2020) </w:t>
      </w:r>
      <w:r w:rsidR="007A0C5D" w:rsidRPr="004F542A">
        <w:rPr>
          <w:rFonts w:ascii="Times New Roman" w:hAnsi="Times New Roman"/>
          <w:sz w:val="24"/>
        </w:rPr>
        <w:t>at 720 [24.6].</w:t>
      </w:r>
    </w:p>
  </w:footnote>
  <w:footnote w:id="34">
    <w:p w14:paraId="2D225C95" w14:textId="0EA5F63F" w:rsidR="00CF6007" w:rsidRPr="004F542A" w:rsidRDefault="00CF600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5D7533" w:rsidRPr="004F542A">
        <w:rPr>
          <w:rFonts w:ascii="Times New Roman" w:hAnsi="Times New Roman"/>
          <w:sz w:val="24"/>
        </w:rPr>
        <w:t>(1987) 162 CLR 574 at 594</w:t>
      </w:r>
      <w:r w:rsidR="005D7533" w:rsidRPr="004F542A">
        <w:rPr>
          <w:rFonts w:ascii="Times New Roman" w:hAnsi="Times New Roman"/>
          <w:i/>
          <w:sz w:val="24"/>
        </w:rPr>
        <w:t>.</w:t>
      </w:r>
    </w:p>
  </w:footnote>
  <w:footnote w:id="35">
    <w:p w14:paraId="451DDAFD" w14:textId="0FB8733E" w:rsidR="0090043D" w:rsidRPr="004F542A" w:rsidRDefault="0090043D"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F60B75" w:rsidRPr="004F542A">
        <w:rPr>
          <w:rFonts w:ascii="Times New Roman" w:hAnsi="Times New Roman"/>
          <w:sz w:val="24"/>
        </w:rPr>
        <w:t xml:space="preserve">(1987) 162 CLR 574 at 594; see also </w:t>
      </w:r>
      <w:r w:rsidR="00F60B75" w:rsidRPr="004F542A" w:rsidDel="0010587D">
        <w:rPr>
          <w:rFonts w:ascii="Times New Roman" w:hAnsi="Times New Roman"/>
          <w:i/>
          <w:sz w:val="24"/>
        </w:rPr>
        <w:t xml:space="preserve">R </w:t>
      </w:r>
      <w:r w:rsidR="0010587D" w:rsidRPr="004F542A">
        <w:rPr>
          <w:rFonts w:ascii="Times New Roman" w:hAnsi="Times New Roman"/>
          <w:i/>
          <w:sz w:val="24"/>
        </w:rPr>
        <w:t>(N</w:t>
      </w:r>
      <w:r w:rsidR="00EF086B" w:rsidRPr="004F542A">
        <w:rPr>
          <w:rFonts w:ascii="Times New Roman" w:hAnsi="Times New Roman"/>
          <w:i/>
          <w:sz w:val="24"/>
        </w:rPr>
        <w:t xml:space="preserve">) v Lewisham London Borough Council </w:t>
      </w:r>
      <w:r w:rsidR="00D52281" w:rsidRPr="004F542A">
        <w:rPr>
          <w:rFonts w:ascii="Times New Roman" w:hAnsi="Times New Roman"/>
          <w:sz w:val="24"/>
        </w:rPr>
        <w:t>[</w:t>
      </w:r>
      <w:r w:rsidR="00C35C3F" w:rsidRPr="004F542A">
        <w:rPr>
          <w:rFonts w:ascii="Times New Roman" w:hAnsi="Times New Roman"/>
          <w:sz w:val="24"/>
        </w:rPr>
        <w:t xml:space="preserve">2015] AC 1259 at </w:t>
      </w:r>
      <w:r w:rsidR="00F85098" w:rsidRPr="004F542A">
        <w:rPr>
          <w:rFonts w:ascii="Times New Roman" w:hAnsi="Times New Roman"/>
          <w:sz w:val="24"/>
        </w:rPr>
        <w:t xml:space="preserve">1304 </w:t>
      </w:r>
      <w:r w:rsidR="00C35C3F" w:rsidRPr="004F542A">
        <w:rPr>
          <w:rFonts w:ascii="Times New Roman" w:hAnsi="Times New Roman"/>
          <w:sz w:val="24"/>
        </w:rPr>
        <w:t>[53]</w:t>
      </w:r>
      <w:r w:rsidR="00F85098" w:rsidRPr="004F542A">
        <w:rPr>
          <w:rFonts w:ascii="Times New Roman" w:hAnsi="Times New Roman"/>
          <w:sz w:val="24"/>
        </w:rPr>
        <w:t xml:space="preserve"> per Lord Hodge JSC</w:t>
      </w:r>
      <w:r w:rsidR="00A90AD1" w:rsidRPr="004F542A">
        <w:rPr>
          <w:rFonts w:ascii="Times New Roman" w:hAnsi="Times New Roman"/>
          <w:sz w:val="24"/>
        </w:rPr>
        <w:t>;</w:t>
      </w:r>
      <w:r w:rsidR="00F60B75" w:rsidRPr="004F542A">
        <w:rPr>
          <w:rFonts w:ascii="Times New Roman" w:hAnsi="Times New Roman"/>
          <w:i/>
          <w:sz w:val="24"/>
        </w:rPr>
        <w:t xml:space="preserve"> </w:t>
      </w:r>
      <w:proofErr w:type="spellStart"/>
      <w:r w:rsidR="00577AE3" w:rsidRPr="004F542A">
        <w:rPr>
          <w:rFonts w:ascii="Times New Roman" w:hAnsi="Times New Roman"/>
          <w:i/>
          <w:sz w:val="24"/>
        </w:rPr>
        <w:t>Bennion</w:t>
      </w:r>
      <w:proofErr w:type="spellEnd"/>
      <w:r w:rsidR="00335EAF" w:rsidRPr="004F542A">
        <w:rPr>
          <w:rFonts w:ascii="Times New Roman" w:hAnsi="Times New Roman"/>
          <w:i/>
          <w:sz w:val="24"/>
        </w:rPr>
        <w:t>, Bailey and Norbury on Statutory Interpretation</w:t>
      </w:r>
      <w:r w:rsidR="008B675C" w:rsidRPr="004F542A">
        <w:rPr>
          <w:rFonts w:ascii="Times New Roman" w:hAnsi="Times New Roman"/>
          <w:sz w:val="24"/>
        </w:rPr>
        <w:t>,</w:t>
      </w:r>
      <w:r w:rsidR="008B675C" w:rsidRPr="004F542A">
        <w:rPr>
          <w:rFonts w:ascii="Times New Roman" w:hAnsi="Times New Roman"/>
          <w:i/>
          <w:sz w:val="24"/>
        </w:rPr>
        <w:t xml:space="preserve"> </w:t>
      </w:r>
      <w:r w:rsidR="008B675C" w:rsidRPr="004F542A">
        <w:rPr>
          <w:rFonts w:ascii="Times New Roman" w:hAnsi="Times New Roman"/>
          <w:sz w:val="24"/>
        </w:rPr>
        <w:t>8th ed (2020)</w:t>
      </w:r>
      <w:r w:rsidR="00577AE3" w:rsidRPr="004F542A">
        <w:rPr>
          <w:rFonts w:ascii="Times New Roman" w:hAnsi="Times New Roman"/>
          <w:i/>
          <w:sz w:val="24"/>
        </w:rPr>
        <w:t xml:space="preserve"> </w:t>
      </w:r>
      <w:r w:rsidR="00577AE3" w:rsidRPr="004F542A">
        <w:rPr>
          <w:rFonts w:ascii="Times New Roman" w:hAnsi="Times New Roman"/>
          <w:sz w:val="24"/>
        </w:rPr>
        <w:t>at</w:t>
      </w:r>
      <w:r w:rsidR="00F60B75" w:rsidRPr="004F542A">
        <w:rPr>
          <w:rFonts w:ascii="Times New Roman" w:hAnsi="Times New Roman"/>
          <w:sz w:val="24"/>
        </w:rPr>
        <w:t xml:space="preserve"> 719</w:t>
      </w:r>
      <w:r w:rsidR="003B7D28" w:rsidRPr="004F542A">
        <w:rPr>
          <w:rFonts w:ascii="Times New Roman" w:hAnsi="Times New Roman"/>
          <w:sz w:val="24"/>
        </w:rPr>
        <w:t xml:space="preserve"> [24.6]</w:t>
      </w:r>
      <w:r w:rsidR="00F60B75" w:rsidRPr="004F542A">
        <w:rPr>
          <w:rFonts w:ascii="Times New Roman" w:hAnsi="Times New Roman"/>
          <w:i/>
          <w:sz w:val="24"/>
        </w:rPr>
        <w:t>.</w:t>
      </w:r>
    </w:p>
  </w:footnote>
  <w:footnote w:id="36">
    <w:p w14:paraId="0EF80DAF" w14:textId="4158D77B" w:rsidR="00C873A0" w:rsidRPr="004F542A" w:rsidRDefault="00C873A0"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E67C52" w:rsidRPr="004F542A">
        <w:rPr>
          <w:rFonts w:ascii="Times New Roman" w:hAnsi="Times New Roman"/>
          <w:sz w:val="24"/>
        </w:rPr>
        <w:t xml:space="preserve">(1994) 181 CLR 96 </w:t>
      </w:r>
      <w:r w:rsidRPr="004F542A">
        <w:rPr>
          <w:rFonts w:ascii="Times New Roman" w:hAnsi="Times New Roman"/>
          <w:sz w:val="24"/>
        </w:rPr>
        <w:t>at 106-107.</w:t>
      </w:r>
    </w:p>
  </w:footnote>
  <w:footnote w:id="37">
    <w:p w14:paraId="3170A293" w14:textId="0A9C3E77" w:rsidR="009D7364" w:rsidRPr="004F542A" w:rsidRDefault="009D7364"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054CC2" w:rsidRPr="004F542A">
        <w:rPr>
          <w:rFonts w:ascii="Times New Roman" w:hAnsi="Times New Roman"/>
          <w:i/>
          <w:sz w:val="24"/>
        </w:rPr>
        <w:t xml:space="preserve">Barras v Aberdeen Steam Trawling and Fishing Co Ltd </w:t>
      </w:r>
      <w:r w:rsidR="00680977" w:rsidRPr="004F542A">
        <w:rPr>
          <w:rFonts w:ascii="Times New Roman" w:hAnsi="Times New Roman"/>
          <w:sz w:val="24"/>
        </w:rPr>
        <w:t>[</w:t>
      </w:r>
      <w:r w:rsidR="00054CC2" w:rsidRPr="004F542A">
        <w:rPr>
          <w:rFonts w:ascii="Times New Roman" w:hAnsi="Times New Roman"/>
          <w:sz w:val="24"/>
        </w:rPr>
        <w:t>1933</w:t>
      </w:r>
      <w:r w:rsidR="00680977" w:rsidRPr="004F542A">
        <w:rPr>
          <w:rFonts w:ascii="Times New Roman" w:hAnsi="Times New Roman"/>
          <w:sz w:val="24"/>
        </w:rPr>
        <w:t>]</w:t>
      </w:r>
      <w:r w:rsidR="00054CC2" w:rsidRPr="004F542A">
        <w:rPr>
          <w:rFonts w:ascii="Times New Roman" w:hAnsi="Times New Roman"/>
          <w:sz w:val="24"/>
        </w:rPr>
        <w:t xml:space="preserve"> AC 402 </w:t>
      </w:r>
      <w:r w:rsidR="005430F2" w:rsidRPr="004F542A">
        <w:rPr>
          <w:rFonts w:ascii="Times New Roman" w:hAnsi="Times New Roman"/>
          <w:sz w:val="24"/>
        </w:rPr>
        <w:t xml:space="preserve">at 447; </w:t>
      </w:r>
      <w:proofErr w:type="spellStart"/>
      <w:r w:rsidR="003B7D28" w:rsidRPr="004F542A">
        <w:rPr>
          <w:rFonts w:ascii="Times New Roman" w:hAnsi="Times New Roman"/>
          <w:i/>
          <w:sz w:val="24"/>
        </w:rPr>
        <w:t>Bennion</w:t>
      </w:r>
      <w:proofErr w:type="spellEnd"/>
      <w:r w:rsidR="003B7D28" w:rsidRPr="004F542A">
        <w:rPr>
          <w:rFonts w:ascii="Times New Roman" w:hAnsi="Times New Roman"/>
          <w:i/>
          <w:sz w:val="24"/>
        </w:rPr>
        <w:t>, Bailey and Norbury on Statutory Interpretation</w:t>
      </w:r>
      <w:r w:rsidR="003B7D28" w:rsidRPr="004F542A">
        <w:rPr>
          <w:rFonts w:ascii="Times New Roman" w:hAnsi="Times New Roman"/>
          <w:sz w:val="24"/>
        </w:rPr>
        <w:t>,</w:t>
      </w:r>
      <w:r w:rsidR="003B7D28" w:rsidRPr="004F542A">
        <w:rPr>
          <w:rFonts w:ascii="Times New Roman" w:hAnsi="Times New Roman"/>
          <w:i/>
          <w:sz w:val="24"/>
        </w:rPr>
        <w:t xml:space="preserve"> </w:t>
      </w:r>
      <w:r w:rsidR="003B7D28" w:rsidRPr="004F542A">
        <w:rPr>
          <w:rFonts w:ascii="Times New Roman" w:hAnsi="Times New Roman"/>
          <w:sz w:val="24"/>
        </w:rPr>
        <w:t>8th ed (2020)</w:t>
      </w:r>
      <w:r w:rsidR="003B7D28" w:rsidRPr="004F542A">
        <w:rPr>
          <w:rFonts w:ascii="Times New Roman" w:hAnsi="Times New Roman"/>
          <w:i/>
          <w:sz w:val="24"/>
        </w:rPr>
        <w:t xml:space="preserve"> </w:t>
      </w:r>
      <w:r w:rsidR="003B7D28" w:rsidRPr="004F542A">
        <w:rPr>
          <w:rFonts w:ascii="Times New Roman" w:hAnsi="Times New Roman"/>
          <w:sz w:val="24"/>
        </w:rPr>
        <w:t>at 720 [24.6]</w:t>
      </w:r>
      <w:r w:rsidR="00354394" w:rsidRPr="004F542A">
        <w:rPr>
          <w:rFonts w:ascii="Times New Roman" w:hAnsi="Times New Roman"/>
          <w:sz w:val="24"/>
        </w:rPr>
        <w:t>.</w:t>
      </w:r>
    </w:p>
  </w:footnote>
  <w:footnote w:id="38">
    <w:p w14:paraId="5FD5A5BF" w14:textId="429CB304" w:rsidR="007B1A08" w:rsidRPr="004F542A" w:rsidRDefault="007B1A08" w:rsidP="004F542A">
      <w:pPr>
        <w:pStyle w:val="FootnoteText"/>
        <w:spacing w:line="280" w:lineRule="exact"/>
        <w:ind w:right="0"/>
        <w:jc w:val="both"/>
        <w:rPr>
          <w:rFonts w:ascii="Times New Roman" w:hAnsi="Times New Roman"/>
          <w:sz w:val="24"/>
          <w:highlight w:val="cyan"/>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F2372C" w:rsidRPr="004F542A">
        <w:rPr>
          <w:rFonts w:ascii="Times New Roman" w:hAnsi="Times New Roman"/>
          <w:i/>
          <w:sz w:val="24"/>
        </w:rPr>
        <w:t xml:space="preserve">Electrolux Home Products Pty </w:t>
      </w:r>
      <w:r w:rsidR="00680977" w:rsidRPr="004F542A">
        <w:rPr>
          <w:rFonts w:ascii="Times New Roman" w:hAnsi="Times New Roman"/>
          <w:i/>
          <w:sz w:val="24"/>
        </w:rPr>
        <w:t xml:space="preserve">Ltd </w:t>
      </w:r>
      <w:r w:rsidR="00F2372C" w:rsidRPr="004F542A">
        <w:rPr>
          <w:rFonts w:ascii="Times New Roman" w:hAnsi="Times New Roman"/>
          <w:i/>
          <w:sz w:val="24"/>
        </w:rPr>
        <w:t>v Australian Workers' Union</w:t>
      </w:r>
      <w:r w:rsidR="00F2372C" w:rsidRPr="004F542A">
        <w:rPr>
          <w:rFonts w:ascii="Times New Roman" w:hAnsi="Times New Roman"/>
          <w:sz w:val="24"/>
        </w:rPr>
        <w:t xml:space="preserve"> (2004) 221 CLR 309 at 346-347 [81]; </w:t>
      </w:r>
      <w:r w:rsidR="00F2372C" w:rsidRPr="004F542A">
        <w:rPr>
          <w:rFonts w:ascii="Times New Roman" w:hAnsi="Times New Roman"/>
          <w:i/>
          <w:sz w:val="24"/>
        </w:rPr>
        <w:t>Fortress Credit Corporation (Australia) II Pty Ltd v Fletcher</w:t>
      </w:r>
      <w:r w:rsidR="00F2372C" w:rsidRPr="004F542A">
        <w:rPr>
          <w:rFonts w:ascii="Times New Roman" w:hAnsi="Times New Roman"/>
          <w:sz w:val="24"/>
        </w:rPr>
        <w:t xml:space="preserve"> (2015) 254 CLR 489 at 502-503</w:t>
      </w:r>
      <w:r w:rsidR="00680977" w:rsidRPr="004F542A">
        <w:rPr>
          <w:rFonts w:ascii="Times New Roman" w:hAnsi="Times New Roman"/>
          <w:sz w:val="24"/>
        </w:rPr>
        <w:t xml:space="preserve"> </w:t>
      </w:r>
      <w:r w:rsidR="00F2372C" w:rsidRPr="004F542A">
        <w:rPr>
          <w:rFonts w:ascii="Times New Roman" w:hAnsi="Times New Roman"/>
          <w:sz w:val="24"/>
        </w:rPr>
        <w:t xml:space="preserve">[15]; </w:t>
      </w:r>
      <w:r w:rsidRPr="004F542A">
        <w:rPr>
          <w:rFonts w:ascii="Times New Roman" w:hAnsi="Times New Roman"/>
          <w:sz w:val="24"/>
        </w:rPr>
        <w:t xml:space="preserve">Herzfeld </w:t>
      </w:r>
      <w:r w:rsidR="00680977" w:rsidRPr="004F542A">
        <w:rPr>
          <w:rFonts w:ascii="Times New Roman" w:hAnsi="Times New Roman"/>
          <w:sz w:val="24"/>
        </w:rPr>
        <w:t xml:space="preserve">and </w:t>
      </w:r>
      <w:r w:rsidRPr="004F542A">
        <w:rPr>
          <w:rFonts w:ascii="Times New Roman" w:hAnsi="Times New Roman"/>
          <w:sz w:val="24"/>
        </w:rPr>
        <w:t xml:space="preserve">Prince, </w:t>
      </w:r>
      <w:r w:rsidRPr="004F542A">
        <w:rPr>
          <w:rFonts w:ascii="Times New Roman" w:hAnsi="Times New Roman"/>
          <w:i/>
          <w:sz w:val="24"/>
        </w:rPr>
        <w:t>Interpretation</w:t>
      </w:r>
      <w:r w:rsidR="00680977" w:rsidRPr="004F542A">
        <w:rPr>
          <w:rFonts w:ascii="Times New Roman" w:hAnsi="Times New Roman"/>
          <w:sz w:val="24"/>
        </w:rPr>
        <w:t>,</w:t>
      </w:r>
      <w:r w:rsidR="00680977" w:rsidRPr="004F542A">
        <w:rPr>
          <w:rFonts w:ascii="Times New Roman" w:hAnsi="Times New Roman"/>
          <w:i/>
          <w:sz w:val="24"/>
        </w:rPr>
        <w:t xml:space="preserve"> </w:t>
      </w:r>
      <w:r w:rsidR="00E265D5" w:rsidRPr="004F542A">
        <w:rPr>
          <w:rFonts w:ascii="Times New Roman" w:hAnsi="Times New Roman"/>
          <w:sz w:val="24"/>
        </w:rPr>
        <w:t xml:space="preserve">2nd ed </w:t>
      </w:r>
      <w:r w:rsidR="00483F21" w:rsidRPr="004F542A">
        <w:rPr>
          <w:rFonts w:ascii="Times New Roman" w:hAnsi="Times New Roman"/>
          <w:sz w:val="24"/>
        </w:rPr>
        <w:t>(2020) at </w:t>
      </w:r>
      <w:r w:rsidRPr="004F542A">
        <w:rPr>
          <w:rFonts w:ascii="Times New Roman" w:hAnsi="Times New Roman"/>
          <w:sz w:val="24"/>
        </w:rPr>
        <w:t xml:space="preserve">168 </w:t>
      </w:r>
      <w:r w:rsidR="00D31900" w:rsidRPr="004F542A">
        <w:rPr>
          <w:rFonts w:ascii="Times New Roman" w:hAnsi="Times New Roman"/>
          <w:sz w:val="24"/>
        </w:rPr>
        <w:t>[</w:t>
      </w:r>
      <w:r w:rsidRPr="004F542A">
        <w:rPr>
          <w:rFonts w:ascii="Times New Roman" w:hAnsi="Times New Roman"/>
          <w:sz w:val="24"/>
        </w:rPr>
        <w:t>8.60</w:t>
      </w:r>
      <w:r w:rsidR="00D31900" w:rsidRPr="004F542A">
        <w:rPr>
          <w:rFonts w:ascii="Times New Roman" w:hAnsi="Times New Roman"/>
          <w:sz w:val="24"/>
        </w:rPr>
        <w:t>]</w:t>
      </w:r>
      <w:r w:rsidRPr="004F542A">
        <w:rPr>
          <w:rFonts w:ascii="Times New Roman" w:hAnsi="Times New Roman"/>
          <w:i/>
          <w:sz w:val="24"/>
        </w:rPr>
        <w:t>.</w:t>
      </w:r>
    </w:p>
  </w:footnote>
  <w:footnote w:id="39">
    <w:p w14:paraId="39E70417" w14:textId="79AC505C"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CF1230" w:rsidRPr="004F542A">
        <w:rPr>
          <w:rFonts w:ascii="Times New Roman" w:hAnsi="Times New Roman"/>
          <w:i/>
          <w:sz w:val="24"/>
        </w:rPr>
        <w:t xml:space="preserve">Director of Public Prosecutions Reference </w:t>
      </w:r>
      <w:r w:rsidR="0086646F" w:rsidRPr="004F542A">
        <w:rPr>
          <w:rFonts w:ascii="Times New Roman" w:hAnsi="Times New Roman"/>
          <w:i/>
          <w:sz w:val="24"/>
        </w:rPr>
        <w:t>(</w:t>
      </w:r>
      <w:r w:rsidR="00CF1230" w:rsidRPr="004F542A">
        <w:rPr>
          <w:rFonts w:ascii="Times New Roman" w:hAnsi="Times New Roman"/>
          <w:i/>
          <w:sz w:val="24"/>
        </w:rPr>
        <w:t>No 1 of 2019</w:t>
      </w:r>
      <w:r w:rsidR="0086646F" w:rsidRPr="004F542A">
        <w:rPr>
          <w:rFonts w:ascii="Times New Roman" w:hAnsi="Times New Roman"/>
          <w:i/>
          <w:sz w:val="24"/>
        </w:rPr>
        <w:t>)</w:t>
      </w:r>
      <w:r w:rsidR="00CF1230" w:rsidRPr="004F542A">
        <w:rPr>
          <w:rFonts w:ascii="Times New Roman" w:hAnsi="Times New Roman"/>
          <w:i/>
          <w:sz w:val="24"/>
        </w:rPr>
        <w:t xml:space="preserve"> </w:t>
      </w:r>
      <w:r w:rsidR="0086646F" w:rsidRPr="004F542A">
        <w:rPr>
          <w:rFonts w:ascii="Times New Roman" w:hAnsi="Times New Roman"/>
          <w:sz w:val="24"/>
        </w:rPr>
        <w:t>(2020) 284 A Crim R 19</w:t>
      </w:r>
      <w:r w:rsidR="00CF1230" w:rsidRPr="004F542A">
        <w:rPr>
          <w:rFonts w:ascii="Times New Roman" w:hAnsi="Times New Roman"/>
          <w:sz w:val="24"/>
        </w:rPr>
        <w:t xml:space="preserve"> </w:t>
      </w:r>
      <w:r w:rsidRPr="004F542A">
        <w:rPr>
          <w:rFonts w:ascii="Times New Roman" w:hAnsi="Times New Roman"/>
          <w:sz w:val="24"/>
        </w:rPr>
        <w:t>at</w:t>
      </w:r>
      <w:r w:rsidR="0086646F" w:rsidRPr="004F542A">
        <w:rPr>
          <w:rFonts w:ascii="Times New Roman" w:hAnsi="Times New Roman"/>
          <w:sz w:val="24"/>
        </w:rPr>
        <w:t xml:space="preserve"> 25</w:t>
      </w:r>
      <w:r w:rsidRPr="004F542A">
        <w:rPr>
          <w:rFonts w:ascii="Times New Roman" w:hAnsi="Times New Roman"/>
          <w:sz w:val="24"/>
        </w:rPr>
        <w:t xml:space="preserve"> [20].</w:t>
      </w:r>
    </w:p>
  </w:footnote>
  <w:footnote w:id="40">
    <w:p w14:paraId="6E94C2D1" w14:textId="6293E2C3"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Pr="004F542A">
        <w:rPr>
          <w:rFonts w:ascii="Times New Roman" w:hAnsi="Times New Roman"/>
          <w:i/>
          <w:sz w:val="24"/>
        </w:rPr>
        <w:t xml:space="preserve">Sentencing </w:t>
      </w:r>
      <w:r w:rsidR="00E47FBF" w:rsidRPr="004F542A">
        <w:rPr>
          <w:rFonts w:ascii="Times New Roman" w:hAnsi="Times New Roman"/>
          <w:i/>
          <w:sz w:val="24"/>
        </w:rPr>
        <w:t>and Other Acts (Amendment) Act 1997</w:t>
      </w:r>
      <w:r w:rsidR="00E47FBF" w:rsidRPr="004F542A">
        <w:rPr>
          <w:rFonts w:ascii="Times New Roman" w:hAnsi="Times New Roman"/>
          <w:sz w:val="24"/>
        </w:rPr>
        <w:t xml:space="preserve"> (Vic)</w:t>
      </w:r>
      <w:r w:rsidRPr="004F542A">
        <w:rPr>
          <w:rFonts w:ascii="Times New Roman" w:hAnsi="Times New Roman"/>
          <w:sz w:val="24"/>
        </w:rPr>
        <w:t xml:space="preserve">, </w:t>
      </w:r>
      <w:r w:rsidR="008F5413" w:rsidRPr="004F542A">
        <w:rPr>
          <w:rFonts w:ascii="Times New Roman" w:hAnsi="Times New Roman"/>
          <w:sz w:val="24"/>
        </w:rPr>
        <w:t xml:space="preserve">s 60, </w:t>
      </w:r>
      <w:r w:rsidR="00A43A9E" w:rsidRPr="004F542A">
        <w:rPr>
          <w:rFonts w:ascii="Times New Roman" w:hAnsi="Times New Roman"/>
          <w:sz w:val="24"/>
        </w:rPr>
        <w:t>Sch </w:t>
      </w:r>
      <w:r w:rsidRPr="004F542A">
        <w:rPr>
          <w:rFonts w:ascii="Times New Roman" w:hAnsi="Times New Roman"/>
          <w:sz w:val="24"/>
        </w:rPr>
        <w:t xml:space="preserve">1 </w:t>
      </w:r>
      <w:r w:rsidR="00AE6444" w:rsidRPr="004F542A">
        <w:rPr>
          <w:rFonts w:ascii="Times New Roman" w:hAnsi="Times New Roman"/>
          <w:sz w:val="24"/>
        </w:rPr>
        <w:t>items </w:t>
      </w:r>
      <w:r w:rsidRPr="004F542A">
        <w:rPr>
          <w:rFonts w:ascii="Times New Roman" w:hAnsi="Times New Roman"/>
          <w:sz w:val="24"/>
        </w:rPr>
        <w:t>10-12.</w:t>
      </w:r>
    </w:p>
  </w:footnote>
  <w:footnote w:id="41">
    <w:p w14:paraId="5C02AB4F" w14:textId="6F86E207"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513527" w:rsidRPr="004F542A">
        <w:rPr>
          <w:rFonts w:ascii="Times New Roman" w:hAnsi="Times New Roman"/>
          <w:i/>
          <w:sz w:val="24"/>
        </w:rPr>
        <w:t xml:space="preserve">Director of Public Prosecutions Reference </w:t>
      </w:r>
      <w:r w:rsidR="00CD4B8B" w:rsidRPr="004F542A">
        <w:rPr>
          <w:rFonts w:ascii="Times New Roman" w:hAnsi="Times New Roman"/>
          <w:i/>
          <w:sz w:val="24"/>
        </w:rPr>
        <w:t>(</w:t>
      </w:r>
      <w:r w:rsidR="00513527" w:rsidRPr="004F542A">
        <w:rPr>
          <w:rFonts w:ascii="Times New Roman" w:hAnsi="Times New Roman"/>
          <w:i/>
          <w:sz w:val="24"/>
        </w:rPr>
        <w:t>No 1 of 2019</w:t>
      </w:r>
      <w:r w:rsidR="00CD4B8B" w:rsidRPr="004F542A">
        <w:rPr>
          <w:rFonts w:ascii="Times New Roman" w:hAnsi="Times New Roman"/>
          <w:i/>
          <w:sz w:val="24"/>
        </w:rPr>
        <w:t>)</w:t>
      </w:r>
      <w:r w:rsidR="00513527" w:rsidRPr="004F542A">
        <w:rPr>
          <w:rFonts w:ascii="Times New Roman" w:hAnsi="Times New Roman"/>
          <w:i/>
          <w:sz w:val="24"/>
        </w:rPr>
        <w:t xml:space="preserve"> </w:t>
      </w:r>
      <w:r w:rsidR="00CD4B8B" w:rsidRPr="004F542A">
        <w:rPr>
          <w:rFonts w:ascii="Times New Roman" w:hAnsi="Times New Roman"/>
          <w:sz w:val="24"/>
        </w:rPr>
        <w:t xml:space="preserve">(2020) 284 A Crim R 19 </w:t>
      </w:r>
      <w:r w:rsidRPr="004F542A">
        <w:rPr>
          <w:rFonts w:ascii="Times New Roman" w:hAnsi="Times New Roman"/>
          <w:sz w:val="24"/>
        </w:rPr>
        <w:t>at</w:t>
      </w:r>
      <w:r w:rsidR="00CD4B8B" w:rsidRPr="004F542A">
        <w:rPr>
          <w:rFonts w:ascii="Times New Roman" w:hAnsi="Times New Roman"/>
          <w:sz w:val="24"/>
        </w:rPr>
        <w:t xml:space="preserve"> 25-26</w:t>
      </w:r>
      <w:r w:rsidRPr="004F542A">
        <w:rPr>
          <w:rFonts w:ascii="Times New Roman" w:hAnsi="Times New Roman"/>
          <w:sz w:val="24"/>
        </w:rPr>
        <w:t xml:space="preserve"> [2</w:t>
      </w:r>
      <w:r w:rsidR="004B1E16" w:rsidRPr="004F542A">
        <w:rPr>
          <w:rFonts w:ascii="Times New Roman" w:hAnsi="Times New Roman"/>
          <w:sz w:val="24"/>
        </w:rPr>
        <w:t>1</w:t>
      </w:r>
      <w:r w:rsidRPr="004F542A">
        <w:rPr>
          <w:rFonts w:ascii="Times New Roman" w:hAnsi="Times New Roman"/>
          <w:sz w:val="24"/>
        </w:rPr>
        <w:t>].</w:t>
      </w:r>
    </w:p>
  </w:footnote>
  <w:footnote w:id="42">
    <w:p w14:paraId="6D72D861" w14:textId="1D2F0D16"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663BB7" w:rsidRPr="004F542A">
        <w:rPr>
          <w:rFonts w:ascii="Times New Roman" w:hAnsi="Times New Roman"/>
          <w:sz w:val="24"/>
        </w:rPr>
        <w:t xml:space="preserve">Victoria, </w:t>
      </w:r>
      <w:r w:rsidR="00056F8F" w:rsidRPr="004F542A">
        <w:rPr>
          <w:rFonts w:ascii="Times New Roman" w:hAnsi="Times New Roman"/>
          <w:sz w:val="24"/>
        </w:rPr>
        <w:t xml:space="preserve">Legislative Council, </w:t>
      </w:r>
      <w:r w:rsidR="009E6D61" w:rsidRPr="004F542A">
        <w:rPr>
          <w:rFonts w:ascii="Times New Roman" w:hAnsi="Times New Roman"/>
          <w:i/>
          <w:sz w:val="24"/>
        </w:rPr>
        <w:t xml:space="preserve">Parliamentary Debates </w:t>
      </w:r>
      <w:r w:rsidR="009E6D61" w:rsidRPr="004F542A">
        <w:rPr>
          <w:rFonts w:ascii="Times New Roman" w:hAnsi="Times New Roman"/>
          <w:sz w:val="24"/>
        </w:rPr>
        <w:t>(Hansard), 27 May 1997 at</w:t>
      </w:r>
      <w:r w:rsidRPr="004F542A">
        <w:rPr>
          <w:rFonts w:ascii="Times New Roman" w:hAnsi="Times New Roman"/>
          <w:sz w:val="24"/>
        </w:rPr>
        <w:t xml:space="preserve"> 1059.</w:t>
      </w:r>
    </w:p>
  </w:footnote>
  <w:footnote w:id="43">
    <w:p w14:paraId="7B99980A" w14:textId="478B4D9E" w:rsidR="00310FC0" w:rsidRPr="004F542A" w:rsidRDefault="00310FC0"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Pr="004F542A">
        <w:rPr>
          <w:rFonts w:ascii="Times New Roman" w:hAnsi="Times New Roman"/>
          <w:i/>
          <w:sz w:val="24"/>
        </w:rPr>
        <w:t xml:space="preserve">Director of Public Prosecutions Reference </w:t>
      </w:r>
      <w:r w:rsidR="006A6C9B" w:rsidRPr="004F542A">
        <w:rPr>
          <w:rFonts w:ascii="Times New Roman" w:hAnsi="Times New Roman"/>
          <w:i/>
          <w:sz w:val="24"/>
        </w:rPr>
        <w:t>(</w:t>
      </w:r>
      <w:r w:rsidRPr="004F542A">
        <w:rPr>
          <w:rFonts w:ascii="Times New Roman" w:hAnsi="Times New Roman"/>
          <w:i/>
          <w:sz w:val="24"/>
        </w:rPr>
        <w:t>No 1 of 2019</w:t>
      </w:r>
      <w:r w:rsidR="006A6C9B" w:rsidRPr="004F542A">
        <w:rPr>
          <w:rFonts w:ascii="Times New Roman" w:hAnsi="Times New Roman"/>
          <w:i/>
          <w:sz w:val="24"/>
        </w:rPr>
        <w:t>)</w:t>
      </w:r>
      <w:r w:rsidRPr="004F542A">
        <w:rPr>
          <w:rFonts w:ascii="Times New Roman" w:hAnsi="Times New Roman"/>
          <w:i/>
          <w:sz w:val="24"/>
        </w:rPr>
        <w:t xml:space="preserve"> </w:t>
      </w:r>
      <w:r w:rsidR="006A6C9B" w:rsidRPr="004F542A">
        <w:rPr>
          <w:rFonts w:ascii="Times New Roman" w:hAnsi="Times New Roman"/>
          <w:sz w:val="24"/>
        </w:rPr>
        <w:t xml:space="preserve">(2020) 284 A Crim R 19 </w:t>
      </w:r>
      <w:r w:rsidRPr="004F542A">
        <w:rPr>
          <w:rFonts w:ascii="Times New Roman" w:hAnsi="Times New Roman"/>
          <w:sz w:val="24"/>
        </w:rPr>
        <w:t>at</w:t>
      </w:r>
      <w:r w:rsidR="006A6C9B" w:rsidRPr="004F542A">
        <w:rPr>
          <w:rFonts w:ascii="Times New Roman" w:hAnsi="Times New Roman"/>
          <w:sz w:val="24"/>
        </w:rPr>
        <w:t xml:space="preserve"> 26</w:t>
      </w:r>
      <w:r w:rsidRPr="004F542A">
        <w:rPr>
          <w:rFonts w:ascii="Times New Roman" w:hAnsi="Times New Roman"/>
          <w:sz w:val="24"/>
        </w:rPr>
        <w:t xml:space="preserve"> [25]. </w:t>
      </w:r>
    </w:p>
  </w:footnote>
  <w:footnote w:id="44">
    <w:p w14:paraId="69E3E38B" w14:textId="3115B7DF"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F117F2" w:rsidRPr="004F542A">
        <w:rPr>
          <w:rFonts w:ascii="Times New Roman" w:hAnsi="Times New Roman"/>
          <w:sz w:val="24"/>
        </w:rPr>
        <w:t xml:space="preserve">Sentencing Advisory Council, </w:t>
      </w:r>
      <w:r w:rsidR="00F117F2" w:rsidRPr="004F542A">
        <w:rPr>
          <w:rFonts w:ascii="Times New Roman" w:hAnsi="Times New Roman"/>
          <w:i/>
          <w:sz w:val="24"/>
        </w:rPr>
        <w:t>Statutory Minimum Sentences for Gross Violence Offences</w:t>
      </w:r>
      <w:r w:rsidR="00F117F2" w:rsidRPr="004F542A">
        <w:rPr>
          <w:rFonts w:ascii="Times New Roman" w:hAnsi="Times New Roman"/>
          <w:sz w:val="24"/>
        </w:rPr>
        <w:t xml:space="preserve"> (2011).</w:t>
      </w:r>
    </w:p>
  </w:footnote>
  <w:footnote w:id="45">
    <w:p w14:paraId="669D3152" w14:textId="702518CC"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175A0D" w:rsidRPr="004F542A">
        <w:rPr>
          <w:rFonts w:ascii="Times New Roman" w:hAnsi="Times New Roman"/>
          <w:sz w:val="24"/>
        </w:rPr>
        <w:t xml:space="preserve">Sentencing Advisory Council, </w:t>
      </w:r>
      <w:r w:rsidR="00175A0D" w:rsidRPr="004F542A">
        <w:rPr>
          <w:rFonts w:ascii="Times New Roman" w:hAnsi="Times New Roman"/>
          <w:i/>
          <w:sz w:val="24"/>
        </w:rPr>
        <w:t>Statutory Minimum Sentences for Gross Violence Offences</w:t>
      </w:r>
      <w:r w:rsidR="00175A0D" w:rsidRPr="004F542A">
        <w:rPr>
          <w:rFonts w:ascii="Times New Roman" w:hAnsi="Times New Roman"/>
          <w:sz w:val="24"/>
        </w:rPr>
        <w:t xml:space="preserve"> (2011) </w:t>
      </w:r>
      <w:r w:rsidRPr="004F542A">
        <w:rPr>
          <w:rFonts w:ascii="Times New Roman" w:hAnsi="Times New Roman"/>
          <w:sz w:val="24"/>
        </w:rPr>
        <w:t xml:space="preserve">at </w:t>
      </w:r>
      <w:r w:rsidR="000C719A" w:rsidRPr="004F542A">
        <w:rPr>
          <w:rFonts w:ascii="Times New Roman" w:hAnsi="Times New Roman"/>
          <w:sz w:val="24"/>
        </w:rPr>
        <w:t>4 [</w:t>
      </w:r>
      <w:r w:rsidRPr="004F542A">
        <w:rPr>
          <w:rFonts w:ascii="Times New Roman" w:hAnsi="Times New Roman"/>
          <w:sz w:val="24"/>
        </w:rPr>
        <w:t>1.20</w:t>
      </w:r>
      <w:r w:rsidR="000C719A" w:rsidRPr="004F542A">
        <w:rPr>
          <w:rFonts w:ascii="Times New Roman" w:hAnsi="Times New Roman"/>
          <w:sz w:val="24"/>
        </w:rPr>
        <w:t>]</w:t>
      </w:r>
      <w:r w:rsidRPr="004F542A">
        <w:rPr>
          <w:rFonts w:ascii="Times New Roman" w:hAnsi="Times New Roman"/>
          <w:sz w:val="24"/>
        </w:rPr>
        <w:t>.</w:t>
      </w:r>
    </w:p>
  </w:footnote>
  <w:footnote w:id="46">
    <w:p w14:paraId="7B7E7AC9" w14:textId="77777777" w:rsidR="00804BE8" w:rsidRPr="004F542A" w:rsidRDefault="00804BE8"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FA0DB3" w:rsidRPr="004F542A">
        <w:rPr>
          <w:rFonts w:ascii="Times New Roman" w:hAnsi="Times New Roman"/>
          <w:sz w:val="24"/>
        </w:rPr>
        <w:t>[1990] VR 641</w:t>
      </w:r>
      <w:r w:rsidR="0086095B" w:rsidRPr="004F542A">
        <w:rPr>
          <w:rFonts w:ascii="Times New Roman" w:hAnsi="Times New Roman"/>
          <w:sz w:val="24"/>
        </w:rPr>
        <w:t xml:space="preserve"> at</w:t>
      </w:r>
      <w:r w:rsidR="00FA0DB3" w:rsidRPr="004F542A">
        <w:rPr>
          <w:rFonts w:ascii="Times New Roman" w:hAnsi="Times New Roman"/>
          <w:sz w:val="24"/>
        </w:rPr>
        <w:t xml:space="preserve"> 643. </w:t>
      </w:r>
    </w:p>
  </w:footnote>
  <w:footnote w:id="47">
    <w:p w14:paraId="377A1139" w14:textId="293BA64D"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C37D02" w:rsidRPr="004F542A">
        <w:rPr>
          <w:rFonts w:ascii="Times New Roman" w:hAnsi="Times New Roman"/>
          <w:sz w:val="24"/>
        </w:rPr>
        <w:t xml:space="preserve">Victoria, Legislative Assembly, </w:t>
      </w:r>
      <w:r w:rsidR="00C37D02" w:rsidRPr="004F542A">
        <w:rPr>
          <w:rFonts w:ascii="Times New Roman" w:hAnsi="Times New Roman"/>
          <w:i/>
          <w:sz w:val="24"/>
        </w:rPr>
        <w:t xml:space="preserve">Parliamentary Debates </w:t>
      </w:r>
      <w:r w:rsidR="00C37D02" w:rsidRPr="004F542A">
        <w:rPr>
          <w:rFonts w:ascii="Times New Roman" w:hAnsi="Times New Roman"/>
          <w:sz w:val="24"/>
        </w:rPr>
        <w:t>(Hansard)</w:t>
      </w:r>
      <w:r w:rsidR="00166F9C" w:rsidRPr="004F542A">
        <w:rPr>
          <w:rFonts w:ascii="Times New Roman" w:hAnsi="Times New Roman"/>
          <w:sz w:val="24"/>
        </w:rPr>
        <w:t>, 13 December 2012</w:t>
      </w:r>
      <w:r w:rsidR="001D4C01" w:rsidRPr="004F542A">
        <w:rPr>
          <w:rFonts w:ascii="Times New Roman" w:hAnsi="Times New Roman"/>
          <w:sz w:val="24"/>
        </w:rPr>
        <w:t xml:space="preserve"> at 5550</w:t>
      </w:r>
      <w:r w:rsidRPr="004F542A">
        <w:rPr>
          <w:rFonts w:ascii="Times New Roman" w:hAnsi="Times New Roman"/>
          <w:sz w:val="24"/>
        </w:rPr>
        <w:t>.</w:t>
      </w:r>
    </w:p>
  </w:footnote>
  <w:footnote w:id="48">
    <w:p w14:paraId="7E35827C" w14:textId="77777777" w:rsidR="00E81796" w:rsidRPr="004F542A" w:rsidRDefault="00E81796"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t xml:space="preserve">Sentencing Advisory Council, </w:t>
      </w:r>
      <w:r w:rsidRPr="004F542A">
        <w:rPr>
          <w:rFonts w:ascii="Times New Roman" w:hAnsi="Times New Roman"/>
          <w:i/>
          <w:sz w:val="24"/>
        </w:rPr>
        <w:t>Statutory Minimum Sentences for Gross Violence Offences</w:t>
      </w:r>
      <w:r w:rsidRPr="004F542A">
        <w:rPr>
          <w:rFonts w:ascii="Times New Roman" w:hAnsi="Times New Roman"/>
          <w:sz w:val="24"/>
        </w:rPr>
        <w:t xml:space="preserve"> (2011) at 47-48 [2.203].</w:t>
      </w:r>
    </w:p>
  </w:footnote>
  <w:footnote w:id="49">
    <w:p w14:paraId="3FDFB2AE" w14:textId="299E20AB" w:rsidR="00B81250" w:rsidRPr="004F542A" w:rsidRDefault="00B81250"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t xml:space="preserve">Sentencing Advisory Council, </w:t>
      </w:r>
      <w:r w:rsidRPr="004F542A">
        <w:rPr>
          <w:rFonts w:ascii="Times New Roman" w:hAnsi="Times New Roman"/>
          <w:i/>
          <w:sz w:val="24"/>
        </w:rPr>
        <w:t>Statutory Minimum Sentences for Gross Violence Offences</w:t>
      </w:r>
      <w:r w:rsidRPr="004F542A">
        <w:rPr>
          <w:rFonts w:ascii="Times New Roman" w:hAnsi="Times New Roman"/>
          <w:sz w:val="24"/>
        </w:rPr>
        <w:t xml:space="preserve"> (2011) at</w:t>
      </w:r>
      <w:r w:rsidR="006810D7" w:rsidRPr="004F542A">
        <w:rPr>
          <w:rFonts w:ascii="Times New Roman" w:hAnsi="Times New Roman"/>
          <w:sz w:val="24"/>
        </w:rPr>
        <w:t xml:space="preserve"> viii. </w:t>
      </w:r>
    </w:p>
  </w:footnote>
  <w:footnote w:id="50">
    <w:p w14:paraId="79FE46B8" w14:textId="462D87F4"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bookmarkStart w:id="1" w:name="_Hlk74066229"/>
      <w:r w:rsidRPr="004F542A">
        <w:rPr>
          <w:rFonts w:ascii="Times New Roman" w:hAnsi="Times New Roman"/>
          <w:i/>
          <w:sz w:val="24"/>
        </w:rPr>
        <w:t xml:space="preserve">Electrolux Home Products Pty </w:t>
      </w:r>
      <w:r w:rsidR="00E91E72" w:rsidRPr="004F542A">
        <w:rPr>
          <w:rFonts w:ascii="Times New Roman" w:hAnsi="Times New Roman"/>
          <w:i/>
          <w:sz w:val="24"/>
        </w:rPr>
        <w:t xml:space="preserve">Ltd </w:t>
      </w:r>
      <w:r w:rsidRPr="004F542A">
        <w:rPr>
          <w:rFonts w:ascii="Times New Roman" w:hAnsi="Times New Roman"/>
          <w:i/>
          <w:sz w:val="24"/>
        </w:rPr>
        <w:t xml:space="preserve">v </w:t>
      </w:r>
      <w:r w:rsidR="006340D8" w:rsidRPr="004F542A">
        <w:rPr>
          <w:rFonts w:ascii="Times New Roman" w:hAnsi="Times New Roman"/>
          <w:i/>
          <w:sz w:val="24"/>
        </w:rPr>
        <w:t>Australian Workers' Union</w:t>
      </w:r>
      <w:r w:rsidR="006340D8" w:rsidRPr="004F542A">
        <w:rPr>
          <w:rFonts w:ascii="Times New Roman" w:hAnsi="Times New Roman"/>
          <w:sz w:val="24"/>
        </w:rPr>
        <w:t xml:space="preserve"> </w:t>
      </w:r>
      <w:r w:rsidRPr="004F542A">
        <w:rPr>
          <w:rFonts w:ascii="Times New Roman" w:hAnsi="Times New Roman"/>
          <w:sz w:val="24"/>
        </w:rPr>
        <w:t>(2004) 221 CLR 309 at 346</w:t>
      </w:r>
      <w:r w:rsidR="007618C9" w:rsidRPr="004F542A">
        <w:rPr>
          <w:rFonts w:ascii="Times New Roman" w:hAnsi="Times New Roman"/>
          <w:sz w:val="24"/>
        </w:rPr>
        <w:t>-347 [81]</w:t>
      </w:r>
      <w:r w:rsidRPr="004F542A">
        <w:rPr>
          <w:rFonts w:ascii="Times New Roman" w:hAnsi="Times New Roman"/>
          <w:sz w:val="24"/>
        </w:rPr>
        <w:t xml:space="preserve">; </w:t>
      </w:r>
      <w:r w:rsidRPr="004F542A">
        <w:rPr>
          <w:rFonts w:ascii="Times New Roman" w:hAnsi="Times New Roman"/>
          <w:i/>
          <w:sz w:val="24"/>
        </w:rPr>
        <w:t>Fortress Credit Corporation (Australia)</w:t>
      </w:r>
      <w:r w:rsidR="0095253F" w:rsidRPr="004F542A">
        <w:rPr>
          <w:rFonts w:ascii="Times New Roman" w:hAnsi="Times New Roman"/>
          <w:i/>
          <w:sz w:val="24"/>
        </w:rPr>
        <w:t xml:space="preserve"> II</w:t>
      </w:r>
      <w:r w:rsidRPr="004F542A">
        <w:rPr>
          <w:rFonts w:ascii="Times New Roman" w:hAnsi="Times New Roman"/>
          <w:i/>
          <w:sz w:val="24"/>
        </w:rPr>
        <w:t xml:space="preserve"> Pty Ltd v Fletcher</w:t>
      </w:r>
      <w:r w:rsidRPr="004F542A">
        <w:rPr>
          <w:rFonts w:ascii="Times New Roman" w:hAnsi="Times New Roman"/>
          <w:sz w:val="24"/>
        </w:rPr>
        <w:t xml:space="preserve"> (2015) 254 CLR 489 at 502</w:t>
      </w:r>
      <w:r w:rsidR="00B4270C" w:rsidRPr="004F542A">
        <w:rPr>
          <w:rFonts w:ascii="Times New Roman" w:hAnsi="Times New Roman"/>
          <w:sz w:val="24"/>
        </w:rPr>
        <w:t>-503</w:t>
      </w:r>
      <w:r w:rsidR="0002473E" w:rsidRPr="004F542A">
        <w:rPr>
          <w:rFonts w:ascii="Times New Roman" w:hAnsi="Times New Roman"/>
          <w:sz w:val="24"/>
        </w:rPr>
        <w:t xml:space="preserve"> </w:t>
      </w:r>
      <w:r w:rsidRPr="004F542A">
        <w:rPr>
          <w:rFonts w:ascii="Times New Roman" w:hAnsi="Times New Roman"/>
          <w:sz w:val="24"/>
        </w:rPr>
        <w:t>[</w:t>
      </w:r>
      <w:r w:rsidR="00B4270C" w:rsidRPr="004F542A">
        <w:rPr>
          <w:rFonts w:ascii="Times New Roman" w:hAnsi="Times New Roman"/>
          <w:sz w:val="24"/>
        </w:rPr>
        <w:t>15</w:t>
      </w:r>
      <w:bookmarkEnd w:id="1"/>
      <w:r w:rsidRPr="004F542A">
        <w:rPr>
          <w:rFonts w:ascii="Times New Roman" w:hAnsi="Times New Roman"/>
          <w:sz w:val="24"/>
        </w:rPr>
        <w:t>].</w:t>
      </w:r>
    </w:p>
  </w:footnote>
  <w:footnote w:id="51">
    <w:p w14:paraId="2AEBFEF3" w14:textId="475C7C8B"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AC3FD0" w:rsidRPr="004F542A">
        <w:rPr>
          <w:rFonts w:ascii="Times New Roman" w:hAnsi="Times New Roman"/>
          <w:sz w:val="24"/>
        </w:rPr>
        <w:t xml:space="preserve">Herzfeld </w:t>
      </w:r>
      <w:r w:rsidR="00A47D19" w:rsidRPr="004F542A">
        <w:rPr>
          <w:rFonts w:ascii="Times New Roman" w:hAnsi="Times New Roman"/>
          <w:sz w:val="24"/>
        </w:rPr>
        <w:t>and</w:t>
      </w:r>
      <w:r w:rsidR="00AC3FD0" w:rsidRPr="004F542A">
        <w:rPr>
          <w:rFonts w:ascii="Times New Roman" w:hAnsi="Times New Roman"/>
          <w:sz w:val="24"/>
        </w:rPr>
        <w:t xml:space="preserve"> Prince, </w:t>
      </w:r>
      <w:r w:rsidR="00AC3FD0" w:rsidRPr="004F542A">
        <w:rPr>
          <w:rFonts w:ascii="Times New Roman" w:hAnsi="Times New Roman"/>
          <w:i/>
          <w:sz w:val="24"/>
        </w:rPr>
        <w:t>Interpretation</w:t>
      </w:r>
      <w:r w:rsidR="00AC3FD0" w:rsidRPr="004F542A">
        <w:rPr>
          <w:rFonts w:ascii="Times New Roman" w:hAnsi="Times New Roman"/>
          <w:sz w:val="24"/>
        </w:rPr>
        <w:t>, 2nd ed (2020)</w:t>
      </w:r>
      <w:r w:rsidR="00816227" w:rsidRPr="004F542A">
        <w:rPr>
          <w:rFonts w:ascii="Times New Roman" w:hAnsi="Times New Roman"/>
          <w:sz w:val="24"/>
        </w:rPr>
        <w:t xml:space="preserve"> </w:t>
      </w:r>
      <w:r w:rsidR="00AC3FD0" w:rsidRPr="004F542A">
        <w:rPr>
          <w:rFonts w:ascii="Times New Roman" w:hAnsi="Times New Roman"/>
          <w:sz w:val="24"/>
        </w:rPr>
        <w:t>at </w:t>
      </w:r>
      <w:r w:rsidRPr="004F542A">
        <w:rPr>
          <w:rFonts w:ascii="Times New Roman" w:hAnsi="Times New Roman"/>
          <w:sz w:val="24"/>
        </w:rPr>
        <w:t xml:space="preserve">168 </w:t>
      </w:r>
      <w:r w:rsidR="00AC3FD0" w:rsidRPr="004F542A">
        <w:rPr>
          <w:rFonts w:ascii="Times New Roman" w:hAnsi="Times New Roman"/>
          <w:sz w:val="24"/>
        </w:rPr>
        <w:t>[</w:t>
      </w:r>
      <w:r w:rsidRPr="004F542A">
        <w:rPr>
          <w:rFonts w:ascii="Times New Roman" w:hAnsi="Times New Roman"/>
          <w:sz w:val="24"/>
        </w:rPr>
        <w:t>8.60</w:t>
      </w:r>
      <w:r w:rsidR="00AC3FD0" w:rsidRPr="004F542A">
        <w:rPr>
          <w:rFonts w:ascii="Times New Roman" w:hAnsi="Times New Roman"/>
          <w:sz w:val="24"/>
        </w:rPr>
        <w:t>]</w:t>
      </w:r>
      <w:r w:rsidRPr="004F542A">
        <w:rPr>
          <w:rFonts w:ascii="Times New Roman" w:hAnsi="Times New Roman"/>
          <w:sz w:val="24"/>
        </w:rPr>
        <w:t>.</w:t>
      </w:r>
    </w:p>
  </w:footnote>
  <w:footnote w:id="52">
    <w:p w14:paraId="7E56BEC8" w14:textId="5B257648" w:rsidR="005B60BC" w:rsidRPr="004F542A" w:rsidRDefault="005B60BC"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006177F1" w:rsidRPr="004F542A">
        <w:rPr>
          <w:rFonts w:ascii="Times New Roman" w:hAnsi="Times New Roman"/>
          <w:sz w:val="24"/>
        </w:rPr>
        <w:t>[1997] 2 VR 585 at</w:t>
      </w:r>
      <w:r w:rsidR="00F23325" w:rsidRPr="004F542A">
        <w:rPr>
          <w:rFonts w:ascii="Times New Roman" w:hAnsi="Times New Roman"/>
          <w:sz w:val="24"/>
        </w:rPr>
        <w:t xml:space="preserve"> 593. </w:t>
      </w:r>
    </w:p>
  </w:footnote>
  <w:footnote w:id="53">
    <w:p w14:paraId="3AA07EBA" w14:textId="62BE04AC"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Pr="004F542A">
        <w:rPr>
          <w:rFonts w:ascii="Times New Roman" w:hAnsi="Times New Roman"/>
          <w:i/>
          <w:sz w:val="24"/>
        </w:rPr>
        <w:t>R v Coleman</w:t>
      </w:r>
      <w:r w:rsidR="00FF105A" w:rsidRPr="004F542A">
        <w:rPr>
          <w:rFonts w:ascii="Times New Roman" w:hAnsi="Times New Roman"/>
          <w:i/>
          <w:sz w:val="24"/>
        </w:rPr>
        <w:t xml:space="preserve"> </w:t>
      </w:r>
      <w:r w:rsidR="00FF105A" w:rsidRPr="004F542A">
        <w:rPr>
          <w:rFonts w:ascii="Times New Roman" w:hAnsi="Times New Roman"/>
          <w:sz w:val="24"/>
        </w:rPr>
        <w:t>(1990) 19 NSWLR 467</w:t>
      </w:r>
      <w:r w:rsidRPr="004F542A">
        <w:rPr>
          <w:rFonts w:ascii="Times New Roman" w:hAnsi="Times New Roman"/>
          <w:sz w:val="24"/>
        </w:rPr>
        <w:t>.</w:t>
      </w:r>
    </w:p>
  </w:footnote>
  <w:footnote w:id="54">
    <w:p w14:paraId="3A2A863A" w14:textId="77777777" w:rsidR="00D94DD7" w:rsidRPr="004F542A" w:rsidRDefault="00D94DD7"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r w:rsidRPr="004F542A">
        <w:rPr>
          <w:rFonts w:ascii="Times New Roman" w:hAnsi="Times New Roman"/>
          <w:i/>
          <w:sz w:val="24"/>
        </w:rPr>
        <w:t>Blackwell v The Queen</w:t>
      </w:r>
      <w:r w:rsidRPr="004F542A">
        <w:rPr>
          <w:rFonts w:ascii="Times New Roman" w:hAnsi="Times New Roman"/>
          <w:sz w:val="24"/>
        </w:rPr>
        <w:t xml:space="preserve"> (2011) 81 NSWLR 119.</w:t>
      </w:r>
    </w:p>
  </w:footnote>
  <w:footnote w:id="55">
    <w:p w14:paraId="1B371C68" w14:textId="77777777" w:rsidR="009E08C9" w:rsidRPr="004F542A" w:rsidRDefault="009E08C9" w:rsidP="004F542A">
      <w:pPr>
        <w:pStyle w:val="FootnoteText"/>
        <w:spacing w:line="280" w:lineRule="exact"/>
        <w:ind w:right="0"/>
        <w:jc w:val="both"/>
        <w:rPr>
          <w:rFonts w:ascii="Times New Roman" w:hAnsi="Times New Roman"/>
          <w:sz w:val="24"/>
        </w:rPr>
      </w:pPr>
      <w:r w:rsidRPr="004F542A">
        <w:rPr>
          <w:rStyle w:val="FootnoteReference"/>
          <w:rFonts w:ascii="Times New Roman" w:hAnsi="Times New Roman"/>
          <w:sz w:val="22"/>
          <w:vertAlign w:val="baseline"/>
        </w:rPr>
        <w:footnoteRef/>
      </w:r>
      <w:r w:rsidRPr="004F542A">
        <w:rPr>
          <w:rFonts w:ascii="Times New Roman" w:hAnsi="Times New Roman"/>
          <w:sz w:val="24"/>
        </w:rPr>
        <w:t xml:space="preserve"> </w:t>
      </w:r>
      <w:r w:rsidRPr="004F542A">
        <w:rPr>
          <w:rFonts w:ascii="Times New Roman" w:hAnsi="Times New Roman"/>
          <w:sz w:val="24"/>
        </w:rPr>
        <w:tab/>
      </w:r>
      <w:proofErr w:type="spellStart"/>
      <w:r w:rsidRPr="004F542A">
        <w:rPr>
          <w:rFonts w:ascii="Times New Roman" w:hAnsi="Times New Roman"/>
          <w:i/>
          <w:sz w:val="24"/>
        </w:rPr>
        <w:t>Babaniaris</w:t>
      </w:r>
      <w:proofErr w:type="spellEnd"/>
      <w:r w:rsidRPr="004F542A">
        <w:rPr>
          <w:rFonts w:ascii="Times New Roman" w:hAnsi="Times New Roman"/>
          <w:i/>
          <w:sz w:val="24"/>
        </w:rPr>
        <w:t xml:space="preserve"> v </w:t>
      </w:r>
      <w:proofErr w:type="spellStart"/>
      <w:r w:rsidRPr="004F542A">
        <w:rPr>
          <w:rFonts w:ascii="Times New Roman" w:hAnsi="Times New Roman"/>
          <w:i/>
          <w:sz w:val="24"/>
        </w:rPr>
        <w:t>Lutony</w:t>
      </w:r>
      <w:proofErr w:type="spellEnd"/>
      <w:r w:rsidRPr="004F542A">
        <w:rPr>
          <w:rFonts w:ascii="Times New Roman" w:hAnsi="Times New Roman"/>
          <w:i/>
          <w:sz w:val="24"/>
        </w:rPr>
        <w:t xml:space="preserve"> Fashions Pty Ltd </w:t>
      </w:r>
      <w:r w:rsidRPr="004F542A">
        <w:rPr>
          <w:rFonts w:ascii="Times New Roman" w:hAnsi="Times New Roman"/>
          <w:sz w:val="24"/>
        </w:rPr>
        <w:t>(1987) 163 CLR 1 at 13.</w:t>
      </w:r>
    </w:p>
  </w:footnote>
  <w:footnote w:id="56">
    <w:p w14:paraId="1B98E1E5"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ab/>
        <w:t xml:space="preserve">See </w:t>
      </w:r>
      <w:r w:rsidRPr="00635770">
        <w:rPr>
          <w:rFonts w:ascii="Times New Roman" w:hAnsi="Times New Roman"/>
          <w:i/>
          <w:sz w:val="24"/>
        </w:rPr>
        <w:t xml:space="preserve">Crimes (Amendment) Act 1985 </w:t>
      </w:r>
      <w:r w:rsidRPr="00635770">
        <w:rPr>
          <w:rFonts w:ascii="Times New Roman" w:hAnsi="Times New Roman"/>
          <w:sz w:val="24"/>
        </w:rPr>
        <w:t>(Vic), s 8.</w:t>
      </w:r>
    </w:p>
  </w:footnote>
  <w:footnote w:id="57">
    <w:p w14:paraId="531EC2F1"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[1997] 2 VR 585 at 593.</w:t>
      </w:r>
    </w:p>
  </w:footnote>
  <w:footnote w:id="58">
    <w:p w14:paraId="5E298399"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(1985) 156 CLR 464.</w:t>
      </w:r>
    </w:p>
  </w:footnote>
  <w:footnote w:id="59">
    <w:p w14:paraId="79AA5B92"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[1990] VR 641.</w:t>
      </w:r>
    </w:p>
  </w:footnote>
  <w:footnote w:id="60">
    <w:p w14:paraId="1787EBD3"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 xml:space="preserve">Campbell </w:t>
      </w:r>
      <w:r w:rsidRPr="00635770">
        <w:rPr>
          <w:rFonts w:ascii="Times New Roman" w:hAnsi="Times New Roman"/>
          <w:sz w:val="24"/>
        </w:rPr>
        <w:t>[1997] 2 VR 585 at 592-593.</w:t>
      </w:r>
    </w:p>
  </w:footnote>
  <w:footnote w:id="61">
    <w:p w14:paraId="546EB3D3"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 xml:space="preserve">R v Smyth </w:t>
      </w:r>
      <w:r w:rsidRPr="00635770">
        <w:rPr>
          <w:rFonts w:ascii="Times New Roman" w:hAnsi="Times New Roman"/>
          <w:sz w:val="24"/>
        </w:rPr>
        <w:t xml:space="preserve">[1963] VR 737; </w:t>
      </w:r>
      <w:r w:rsidRPr="00635770">
        <w:rPr>
          <w:rFonts w:ascii="Times New Roman" w:hAnsi="Times New Roman"/>
          <w:i/>
          <w:sz w:val="24"/>
        </w:rPr>
        <w:t>R v Kane</w:t>
      </w:r>
      <w:r w:rsidRPr="00635770">
        <w:rPr>
          <w:rFonts w:ascii="Times New Roman" w:hAnsi="Times New Roman"/>
          <w:sz w:val="24"/>
        </w:rPr>
        <w:t xml:space="preserve"> [1974] VR 759; </w:t>
      </w:r>
      <w:r w:rsidRPr="00635770">
        <w:rPr>
          <w:rFonts w:ascii="Times New Roman" w:hAnsi="Times New Roman"/>
          <w:i/>
          <w:sz w:val="24"/>
        </w:rPr>
        <w:t xml:space="preserve">R v Lovett </w:t>
      </w:r>
      <w:r w:rsidRPr="00635770">
        <w:rPr>
          <w:rFonts w:ascii="Times New Roman" w:hAnsi="Times New Roman"/>
          <w:sz w:val="24"/>
        </w:rPr>
        <w:t xml:space="preserve">[1975] VR 488. </w:t>
      </w:r>
    </w:p>
  </w:footnote>
  <w:footnote w:id="62">
    <w:p w14:paraId="35F58C01"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(2017) 260 CLR 305 at 328-329 [45]-[46].</w:t>
      </w:r>
    </w:p>
  </w:footnote>
  <w:footnote w:id="63">
    <w:p w14:paraId="2808E0DA"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 xml:space="preserve">Aubrey </w:t>
      </w:r>
      <w:r w:rsidRPr="00635770">
        <w:rPr>
          <w:rFonts w:ascii="Times New Roman" w:hAnsi="Times New Roman"/>
          <w:sz w:val="24"/>
        </w:rPr>
        <w:t>(2017) 260 CLR 305 at 329 [47].</w:t>
      </w:r>
    </w:p>
  </w:footnote>
  <w:footnote w:id="64">
    <w:p w14:paraId="77A6C08B"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Criminal Procedure Act 2009</w:t>
      </w:r>
      <w:r w:rsidRPr="00635770">
        <w:rPr>
          <w:rFonts w:ascii="Times New Roman" w:hAnsi="Times New Roman"/>
          <w:sz w:val="24"/>
        </w:rPr>
        <w:t xml:space="preserve"> (Vic), s 308(1) and (2).</w:t>
      </w:r>
    </w:p>
  </w:footnote>
  <w:footnote w:id="65">
    <w:p w14:paraId="53357AEC"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See </w:t>
      </w:r>
      <w:r w:rsidRPr="00635770">
        <w:rPr>
          <w:rFonts w:ascii="Times New Roman" w:hAnsi="Times New Roman"/>
          <w:i/>
          <w:sz w:val="24"/>
        </w:rPr>
        <w:t>Criminal Procedure Act</w:t>
      </w:r>
      <w:r w:rsidRPr="00635770">
        <w:rPr>
          <w:rFonts w:ascii="Times New Roman" w:hAnsi="Times New Roman"/>
          <w:sz w:val="24"/>
        </w:rPr>
        <w:t>, s 308(3).</w:t>
      </w:r>
    </w:p>
  </w:footnote>
  <w:footnote w:id="66">
    <w:p w14:paraId="45B99543"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Crimes (Amendment) Act</w:t>
      </w:r>
      <w:r w:rsidRPr="00635770">
        <w:rPr>
          <w:rFonts w:ascii="Times New Roman" w:hAnsi="Times New Roman"/>
          <w:sz w:val="24"/>
        </w:rPr>
        <w:t>, s 8.</w:t>
      </w:r>
    </w:p>
  </w:footnote>
  <w:footnote w:id="67">
    <w:p w14:paraId="7BA009E5"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Crimes Act</w:t>
      </w:r>
      <w:r w:rsidRPr="00635770">
        <w:rPr>
          <w:rFonts w:ascii="Times New Roman" w:hAnsi="Times New Roman"/>
          <w:sz w:val="24"/>
        </w:rPr>
        <w:t>, s 16.</w:t>
      </w:r>
    </w:p>
  </w:footnote>
  <w:footnote w:id="68">
    <w:p w14:paraId="45A89F3C"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Crimes Act</w:t>
      </w:r>
      <w:r w:rsidRPr="00635770">
        <w:rPr>
          <w:rFonts w:ascii="Times New Roman" w:hAnsi="Times New Roman"/>
          <w:sz w:val="24"/>
        </w:rPr>
        <w:t>, s 17.</w:t>
      </w:r>
    </w:p>
  </w:footnote>
  <w:footnote w:id="69">
    <w:p w14:paraId="70F1A32D"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Crimes Act</w:t>
      </w:r>
      <w:r w:rsidRPr="00635770">
        <w:rPr>
          <w:rFonts w:ascii="Times New Roman" w:hAnsi="Times New Roman"/>
          <w:sz w:val="24"/>
        </w:rPr>
        <w:t>, s 18.</w:t>
      </w:r>
    </w:p>
  </w:footnote>
  <w:footnote w:id="70">
    <w:p w14:paraId="010DE226"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Legislative Council, </w:t>
      </w:r>
      <w:r w:rsidRPr="00635770">
        <w:rPr>
          <w:rFonts w:ascii="Times New Roman" w:hAnsi="Times New Roman"/>
          <w:i/>
          <w:sz w:val="24"/>
        </w:rPr>
        <w:t xml:space="preserve">Parliamentary Debates </w:t>
      </w:r>
      <w:r w:rsidRPr="00635770">
        <w:rPr>
          <w:rFonts w:ascii="Times New Roman" w:hAnsi="Times New Roman"/>
          <w:sz w:val="24"/>
        </w:rPr>
        <w:t>(Hansard), 25 September 1985 at</w:t>
      </w:r>
      <w:r w:rsidRPr="00635770" w:rsidDel="004415E6">
        <w:rPr>
          <w:rFonts w:ascii="Times New Roman" w:hAnsi="Times New Roman"/>
          <w:sz w:val="24"/>
        </w:rPr>
        <w:t xml:space="preserve"> </w:t>
      </w:r>
      <w:r w:rsidRPr="00635770">
        <w:rPr>
          <w:rFonts w:ascii="Times New Roman" w:hAnsi="Times New Roman"/>
          <w:sz w:val="24"/>
        </w:rPr>
        <w:t>202.</w:t>
      </w:r>
    </w:p>
  </w:footnote>
  <w:footnote w:id="71">
    <w:p w14:paraId="0CA97565"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United Kingdom, Criminal Law Revision Committee, </w:t>
      </w:r>
      <w:r w:rsidRPr="00635770">
        <w:rPr>
          <w:rFonts w:ascii="Times New Roman" w:hAnsi="Times New Roman"/>
          <w:i/>
          <w:sz w:val="24"/>
        </w:rPr>
        <w:t>Fourteenth Report: Offences</w:t>
      </w:r>
      <w:r>
        <w:rPr>
          <w:rFonts w:ascii="Times New Roman" w:hAnsi="Times New Roman"/>
          <w:i/>
          <w:sz w:val="24"/>
        </w:rPr>
        <w:t> </w:t>
      </w:r>
      <w:r w:rsidRPr="00635770">
        <w:rPr>
          <w:rFonts w:ascii="Times New Roman" w:hAnsi="Times New Roman"/>
          <w:i/>
          <w:sz w:val="24"/>
        </w:rPr>
        <w:t>against the Person</w:t>
      </w:r>
      <w:r w:rsidRPr="00635770">
        <w:rPr>
          <w:rFonts w:ascii="Times New Roman" w:hAnsi="Times New Roman"/>
          <w:sz w:val="24"/>
        </w:rPr>
        <w:t xml:space="preserve"> (1980) at 3 [6].</w:t>
      </w:r>
      <w:r>
        <w:rPr>
          <w:rFonts w:ascii="Times New Roman" w:hAnsi="Times New Roman"/>
          <w:sz w:val="24"/>
        </w:rPr>
        <w:t xml:space="preserve"> </w:t>
      </w:r>
    </w:p>
  </w:footnote>
  <w:footnote w:id="72">
    <w:p w14:paraId="5C094FE6"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United Kingdom, Criminal Law Revision Committee, </w:t>
      </w:r>
      <w:r w:rsidRPr="00635770">
        <w:rPr>
          <w:rFonts w:ascii="Times New Roman" w:hAnsi="Times New Roman"/>
          <w:i/>
          <w:sz w:val="24"/>
        </w:rPr>
        <w:t>Fourteenth Report: Offences</w:t>
      </w:r>
      <w:r>
        <w:rPr>
          <w:rFonts w:ascii="Times New Roman" w:hAnsi="Times New Roman"/>
          <w:i/>
          <w:sz w:val="24"/>
        </w:rPr>
        <w:t> </w:t>
      </w:r>
      <w:r w:rsidRPr="00635770">
        <w:rPr>
          <w:rFonts w:ascii="Times New Roman" w:hAnsi="Times New Roman"/>
          <w:i/>
          <w:sz w:val="24"/>
        </w:rPr>
        <w:t>against the Person</w:t>
      </w:r>
      <w:r w:rsidRPr="00635770">
        <w:rPr>
          <w:rFonts w:ascii="Times New Roman" w:hAnsi="Times New Roman"/>
          <w:sz w:val="24"/>
        </w:rPr>
        <w:t xml:space="preserve"> (1980) at 3-6 [6]-[12], especially at 3-4 [7].</w:t>
      </w:r>
      <w:r>
        <w:rPr>
          <w:rFonts w:ascii="Times New Roman" w:hAnsi="Times New Roman"/>
          <w:sz w:val="24"/>
        </w:rPr>
        <w:t xml:space="preserve"> </w:t>
      </w:r>
    </w:p>
  </w:footnote>
  <w:footnote w:id="73">
    <w:p w14:paraId="6C4B1656"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[1990] VR 641 at 643, citing </w:t>
      </w:r>
      <w:r w:rsidRPr="00635770">
        <w:rPr>
          <w:rFonts w:ascii="Times New Roman" w:hAnsi="Times New Roman"/>
          <w:i/>
          <w:sz w:val="24"/>
        </w:rPr>
        <w:t xml:space="preserve">Crabbe </w:t>
      </w:r>
      <w:r w:rsidRPr="00635770">
        <w:rPr>
          <w:rFonts w:ascii="Times New Roman" w:hAnsi="Times New Roman"/>
          <w:sz w:val="24"/>
        </w:rPr>
        <w:t>(1985) 156 CLR 464.</w:t>
      </w:r>
    </w:p>
  </w:footnote>
  <w:footnote w:id="74">
    <w:p w14:paraId="17A4D96E"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[1997] 2 VR 585 at 592.</w:t>
      </w:r>
    </w:p>
  </w:footnote>
  <w:footnote w:id="75">
    <w:p w14:paraId="2A3611ED"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See, eg, </w:t>
      </w:r>
      <w:r w:rsidRPr="00635770">
        <w:rPr>
          <w:rFonts w:ascii="Times New Roman" w:hAnsi="Times New Roman"/>
          <w:i/>
          <w:sz w:val="24"/>
        </w:rPr>
        <w:t>R v Ruano</w:t>
      </w:r>
      <w:r w:rsidRPr="00635770">
        <w:rPr>
          <w:rFonts w:ascii="Times New Roman" w:hAnsi="Times New Roman"/>
          <w:sz w:val="24"/>
        </w:rPr>
        <w:t xml:space="preserve"> [1999] VSCA 54 at [8]; </w:t>
      </w:r>
      <w:r w:rsidRPr="00635770">
        <w:rPr>
          <w:rFonts w:ascii="Times New Roman" w:hAnsi="Times New Roman"/>
          <w:i/>
          <w:sz w:val="24"/>
        </w:rPr>
        <w:t>R v Le Broc</w:t>
      </w:r>
      <w:r w:rsidRPr="00635770">
        <w:rPr>
          <w:rFonts w:ascii="Times New Roman" w:hAnsi="Times New Roman"/>
          <w:sz w:val="24"/>
        </w:rPr>
        <w:t xml:space="preserve"> (2000) 2 VR 43 at 60 [56]; </w:t>
      </w:r>
      <w:r w:rsidRPr="00635770">
        <w:rPr>
          <w:rFonts w:ascii="Times New Roman" w:hAnsi="Times New Roman"/>
          <w:i/>
          <w:sz w:val="24"/>
        </w:rPr>
        <w:t>R v Kucma</w:t>
      </w:r>
      <w:r w:rsidRPr="00635770">
        <w:rPr>
          <w:rFonts w:ascii="Times New Roman" w:hAnsi="Times New Roman"/>
          <w:sz w:val="24"/>
        </w:rPr>
        <w:t xml:space="preserve"> (2005) 11 VR 472 at 474 [4], 482 [29]; </w:t>
      </w:r>
      <w:r w:rsidRPr="00635770">
        <w:rPr>
          <w:rFonts w:ascii="Times New Roman" w:hAnsi="Times New Roman"/>
          <w:i/>
          <w:sz w:val="24"/>
        </w:rPr>
        <w:t xml:space="preserve">R v Wilson </w:t>
      </w:r>
      <w:r w:rsidRPr="00635770">
        <w:rPr>
          <w:rFonts w:ascii="Times New Roman" w:hAnsi="Times New Roman"/>
          <w:sz w:val="24"/>
        </w:rPr>
        <w:t xml:space="preserve">[2005] VSCA 78 at [17]; </w:t>
      </w:r>
      <w:r w:rsidRPr="00635770">
        <w:rPr>
          <w:rFonts w:ascii="Times New Roman" w:hAnsi="Times New Roman"/>
          <w:i/>
          <w:sz w:val="24"/>
        </w:rPr>
        <w:t>R v Pota</w:t>
      </w:r>
      <w:r w:rsidRPr="00635770">
        <w:rPr>
          <w:rFonts w:ascii="Times New Roman" w:hAnsi="Times New Roman"/>
          <w:sz w:val="24"/>
        </w:rPr>
        <w:t xml:space="preserve"> [2007] VSCA 198 at [26]; </w:t>
      </w:r>
      <w:r w:rsidRPr="00635770">
        <w:rPr>
          <w:rFonts w:ascii="Times New Roman" w:hAnsi="Times New Roman"/>
          <w:i/>
          <w:sz w:val="24"/>
        </w:rPr>
        <w:t>R v Abdul</w:t>
      </w:r>
      <w:r w:rsidRPr="00635770">
        <w:rPr>
          <w:rFonts w:ascii="Times New Roman" w:hAnsi="Times New Roman"/>
          <w:i/>
          <w:sz w:val="24"/>
        </w:rPr>
        <w:noBreakHyphen/>
        <w:t>Rasool</w:t>
      </w:r>
      <w:r w:rsidRPr="00635770">
        <w:rPr>
          <w:rFonts w:ascii="Times New Roman" w:hAnsi="Times New Roman"/>
          <w:sz w:val="24"/>
        </w:rPr>
        <w:t xml:space="preserve"> (2008) 18 VR 586 at 603</w:t>
      </w:r>
      <w:r w:rsidRPr="00635770">
        <w:rPr>
          <w:rFonts w:ascii="Times New Roman" w:hAnsi="Times New Roman"/>
          <w:sz w:val="24"/>
        </w:rPr>
        <w:noBreakHyphen/>
        <w:t>604 [67]</w:t>
      </w:r>
      <w:r w:rsidRPr="00635770">
        <w:rPr>
          <w:rFonts w:ascii="Times New Roman" w:hAnsi="Times New Roman"/>
          <w:sz w:val="24"/>
        </w:rPr>
        <w:noBreakHyphen/>
        <w:t xml:space="preserve">[69]; </w:t>
      </w:r>
      <w:proofErr w:type="spellStart"/>
      <w:r w:rsidRPr="00635770">
        <w:rPr>
          <w:rFonts w:ascii="Times New Roman" w:hAnsi="Times New Roman"/>
          <w:i/>
          <w:sz w:val="24"/>
        </w:rPr>
        <w:t>Ignatova</w:t>
      </w:r>
      <w:proofErr w:type="spellEnd"/>
      <w:r w:rsidRPr="00635770">
        <w:rPr>
          <w:rFonts w:ascii="Times New Roman" w:hAnsi="Times New Roman"/>
          <w:i/>
          <w:sz w:val="24"/>
        </w:rPr>
        <w:t xml:space="preserve"> v The Queen</w:t>
      </w:r>
      <w:r w:rsidRPr="00635770">
        <w:rPr>
          <w:rFonts w:ascii="Times New Roman" w:hAnsi="Times New Roman"/>
          <w:sz w:val="24"/>
        </w:rPr>
        <w:t xml:space="preserve"> [2010] VSCA 263 at [36]</w:t>
      </w:r>
      <w:r w:rsidRPr="00635770">
        <w:rPr>
          <w:rFonts w:ascii="Times New Roman" w:hAnsi="Times New Roman"/>
          <w:sz w:val="24"/>
        </w:rPr>
        <w:noBreakHyphen/>
        <w:t xml:space="preserve">[37]; </w:t>
      </w:r>
      <w:r w:rsidRPr="00635770">
        <w:rPr>
          <w:rFonts w:ascii="Times New Roman" w:hAnsi="Times New Roman"/>
          <w:i/>
          <w:sz w:val="24"/>
        </w:rPr>
        <w:t>Paton v The Queen</w:t>
      </w:r>
      <w:r w:rsidRPr="00635770">
        <w:rPr>
          <w:rFonts w:ascii="Times New Roman" w:hAnsi="Times New Roman"/>
          <w:sz w:val="24"/>
        </w:rPr>
        <w:t xml:space="preserve"> [2011] VSCA 72 at [46]</w:t>
      </w:r>
      <w:r w:rsidRPr="00635770">
        <w:rPr>
          <w:rFonts w:ascii="Times New Roman" w:hAnsi="Times New Roman"/>
          <w:sz w:val="24"/>
        </w:rPr>
        <w:noBreakHyphen/>
        <w:t xml:space="preserve">[49], [68]; </w:t>
      </w:r>
      <w:r w:rsidRPr="00635770">
        <w:rPr>
          <w:rFonts w:ascii="Times New Roman" w:hAnsi="Times New Roman"/>
          <w:i/>
          <w:sz w:val="24"/>
        </w:rPr>
        <w:t>James v The Queen</w:t>
      </w:r>
      <w:r w:rsidRPr="00635770">
        <w:rPr>
          <w:rFonts w:ascii="Times New Roman" w:hAnsi="Times New Roman"/>
          <w:sz w:val="24"/>
        </w:rPr>
        <w:t xml:space="preserve"> (2013) 39 VR 149 at 179 [148]; </w:t>
      </w:r>
      <w:r w:rsidRPr="00635770">
        <w:rPr>
          <w:rFonts w:ascii="Times New Roman" w:hAnsi="Times New Roman"/>
          <w:i/>
          <w:sz w:val="24"/>
        </w:rPr>
        <w:t>Ejupi v The Queen</w:t>
      </w:r>
      <w:r w:rsidRPr="00635770">
        <w:rPr>
          <w:rFonts w:ascii="Times New Roman" w:hAnsi="Times New Roman"/>
          <w:sz w:val="24"/>
        </w:rPr>
        <w:t xml:space="preserve"> [2014] VSCA 2 at [34]; </w:t>
      </w:r>
      <w:r w:rsidRPr="00635770">
        <w:rPr>
          <w:rFonts w:ascii="Times New Roman" w:hAnsi="Times New Roman"/>
          <w:i/>
          <w:sz w:val="24"/>
        </w:rPr>
        <w:t>Phillips v The Queen</w:t>
      </w:r>
      <w:r w:rsidRPr="00635770">
        <w:rPr>
          <w:rFonts w:ascii="Times New Roman" w:hAnsi="Times New Roman"/>
          <w:sz w:val="24"/>
        </w:rPr>
        <w:t xml:space="preserve"> [2017] VSCA 313 at [43].</w:t>
      </w:r>
    </w:p>
  </w:footnote>
  <w:footnote w:id="76">
    <w:p w14:paraId="775A7714"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i/>
          <w:sz w:val="24"/>
        </w:rPr>
        <w:t>Sentencing and Other Acts (Amendment) Act</w:t>
      </w:r>
      <w:r w:rsidRPr="00635770">
        <w:rPr>
          <w:rFonts w:ascii="Times New Roman" w:eastAsia="Calibri" w:hAnsi="Times New Roman"/>
          <w:sz w:val="24"/>
        </w:rPr>
        <w:t>, Sch 1, item 11.</w:t>
      </w:r>
    </w:p>
  </w:footnote>
  <w:footnote w:id="77">
    <w:p w14:paraId="64972D21"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sz w:val="24"/>
        </w:rPr>
        <w:t>The 1997 amendments also increased the maximum penalty for intentionally causing serious injury to 20 years' imprisonment and for intentionally causing injury to ten years' imprisonment:</w:t>
      </w:r>
      <w:r>
        <w:rPr>
          <w:rFonts w:ascii="Times New Roman" w:eastAsia="Calibri" w:hAnsi="Times New Roman"/>
          <w:sz w:val="24"/>
        </w:rPr>
        <w:t xml:space="preserve"> </w:t>
      </w:r>
      <w:r w:rsidRPr="00635770">
        <w:rPr>
          <w:rFonts w:ascii="Times New Roman" w:hAnsi="Times New Roman"/>
          <w:i/>
          <w:sz w:val="24"/>
        </w:rPr>
        <w:t>Sentencing and Other Acts (Amendment) Act</w:t>
      </w:r>
      <w:r w:rsidRPr="00635770">
        <w:rPr>
          <w:rFonts w:ascii="Times New Roman" w:hAnsi="Times New Roman"/>
          <w:sz w:val="24"/>
        </w:rPr>
        <w:t>, Sch 1, items 10 and 12.</w:t>
      </w:r>
    </w:p>
  </w:footnote>
  <w:footnote w:id="78">
    <w:p w14:paraId="16AB365D"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Legislative Council, </w:t>
      </w:r>
      <w:r w:rsidRPr="00635770">
        <w:rPr>
          <w:rFonts w:ascii="Times New Roman" w:hAnsi="Times New Roman"/>
          <w:i/>
          <w:sz w:val="24"/>
        </w:rPr>
        <w:t>Parliamentary Debates</w:t>
      </w:r>
      <w:r w:rsidRPr="00635770">
        <w:rPr>
          <w:rFonts w:ascii="Times New Roman" w:hAnsi="Times New Roman"/>
          <w:sz w:val="24"/>
        </w:rPr>
        <w:t xml:space="preserve"> (Hansard), 27 May 1997 at 1059.</w:t>
      </w:r>
    </w:p>
  </w:footnote>
  <w:footnote w:id="79">
    <w:p w14:paraId="41514C6D"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Legislative Council, </w:t>
      </w:r>
      <w:r w:rsidRPr="00635770">
        <w:rPr>
          <w:rFonts w:ascii="Times New Roman" w:hAnsi="Times New Roman"/>
          <w:i/>
          <w:sz w:val="24"/>
        </w:rPr>
        <w:t>Parliamentary Debates</w:t>
      </w:r>
      <w:r w:rsidRPr="00635770">
        <w:rPr>
          <w:rFonts w:ascii="Times New Roman" w:hAnsi="Times New Roman"/>
          <w:sz w:val="24"/>
        </w:rPr>
        <w:t xml:space="preserve"> (Hansard), 27 May 1997 at 1058.</w:t>
      </w:r>
    </w:p>
  </w:footnote>
  <w:footnote w:id="80">
    <w:p w14:paraId="66EDC5BD"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Legislative Council, </w:t>
      </w:r>
      <w:r w:rsidRPr="00635770">
        <w:rPr>
          <w:rFonts w:ascii="Times New Roman" w:hAnsi="Times New Roman"/>
          <w:i/>
          <w:sz w:val="24"/>
        </w:rPr>
        <w:t>Parliamentary Debates</w:t>
      </w:r>
      <w:r w:rsidRPr="00635770">
        <w:rPr>
          <w:rFonts w:ascii="Times New Roman" w:hAnsi="Times New Roman"/>
          <w:sz w:val="24"/>
        </w:rPr>
        <w:t xml:space="preserve"> (Hansard), 27 May 1997 at 1058.</w:t>
      </w:r>
    </w:p>
  </w:footnote>
  <w:footnote w:id="81">
    <w:p w14:paraId="4AC7E330"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 xml:space="preserve">Director of Public Prosecutions Reference (No 1 of 2019) </w:t>
      </w:r>
      <w:r w:rsidRPr="00635770">
        <w:rPr>
          <w:rFonts w:ascii="Times New Roman" w:hAnsi="Times New Roman"/>
          <w:sz w:val="24"/>
        </w:rPr>
        <w:t>(2020) 284 A Crim R 19 at 25-26 [21].</w:t>
      </w:r>
    </w:p>
  </w:footnote>
  <w:footnote w:id="82">
    <w:p w14:paraId="7163881E"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 xml:space="preserve">Director of Public Prosecutions Reference (No 1 of 2019) </w:t>
      </w:r>
      <w:r w:rsidRPr="00635770">
        <w:rPr>
          <w:rFonts w:ascii="Times New Roman" w:hAnsi="Times New Roman"/>
          <w:sz w:val="24"/>
        </w:rPr>
        <w:t>(2020) 284 A Crim R 19</w:t>
      </w:r>
      <w:r w:rsidRPr="00635770">
        <w:rPr>
          <w:rFonts w:ascii="Times New Roman" w:hAnsi="Times New Roman"/>
          <w:i/>
          <w:sz w:val="24"/>
        </w:rPr>
        <w:t xml:space="preserve"> </w:t>
      </w:r>
      <w:r w:rsidRPr="00635770">
        <w:rPr>
          <w:rFonts w:ascii="Times New Roman" w:hAnsi="Times New Roman"/>
          <w:sz w:val="24"/>
        </w:rPr>
        <w:t>at 25 [21].</w:t>
      </w:r>
    </w:p>
  </w:footnote>
  <w:footnote w:id="83">
    <w:p w14:paraId="1269E561"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Crimes Amendment (Gross Violence Offences) Act</w:t>
      </w:r>
      <w:r w:rsidRPr="00635770">
        <w:rPr>
          <w:rFonts w:ascii="Times New Roman" w:hAnsi="Times New Roman"/>
          <w:sz w:val="24"/>
        </w:rPr>
        <w:t>, s 3.</w:t>
      </w:r>
    </w:p>
  </w:footnote>
  <w:footnote w:id="84">
    <w:p w14:paraId="03918518"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Legislative </w:t>
      </w:r>
      <w:r w:rsidRPr="00635770">
        <w:rPr>
          <w:rFonts w:ascii="Times New Roman" w:eastAsia="Calibri" w:hAnsi="Times New Roman"/>
          <w:sz w:val="24"/>
        </w:rPr>
        <w:t>Assembly</w:t>
      </w:r>
      <w:r w:rsidRPr="00635770">
        <w:rPr>
          <w:rFonts w:ascii="Times New Roman" w:hAnsi="Times New Roman"/>
          <w:sz w:val="24"/>
        </w:rPr>
        <w:t xml:space="preserve">, </w:t>
      </w:r>
      <w:r w:rsidRPr="00635770">
        <w:rPr>
          <w:rFonts w:ascii="Times New Roman" w:hAnsi="Times New Roman"/>
          <w:i/>
          <w:sz w:val="24"/>
        </w:rPr>
        <w:t>Parliamentary Debates</w:t>
      </w:r>
      <w:r w:rsidRPr="00635770">
        <w:rPr>
          <w:rFonts w:ascii="Times New Roman" w:hAnsi="Times New Roman"/>
          <w:sz w:val="24"/>
        </w:rPr>
        <w:t xml:space="preserve"> (Hansard), 13 December 2012 at 5550.</w:t>
      </w:r>
    </w:p>
  </w:footnote>
  <w:footnote w:id="85">
    <w:p w14:paraId="00ABAECF"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w:t>
      </w:r>
      <w:r w:rsidRPr="00635770">
        <w:rPr>
          <w:rFonts w:ascii="Times New Roman" w:eastAsia="Calibri" w:hAnsi="Times New Roman"/>
          <w:sz w:val="24"/>
        </w:rPr>
        <w:t>Legislative</w:t>
      </w:r>
      <w:r w:rsidRPr="00635770">
        <w:rPr>
          <w:rFonts w:ascii="Times New Roman" w:hAnsi="Times New Roman"/>
          <w:sz w:val="24"/>
        </w:rPr>
        <w:t xml:space="preserve"> Assembly, </w:t>
      </w:r>
      <w:r w:rsidRPr="00635770">
        <w:rPr>
          <w:rFonts w:ascii="Times New Roman" w:hAnsi="Times New Roman"/>
          <w:i/>
          <w:sz w:val="24"/>
        </w:rPr>
        <w:t>Parliamentary Debates</w:t>
      </w:r>
      <w:r w:rsidRPr="00635770">
        <w:rPr>
          <w:rFonts w:ascii="Times New Roman" w:hAnsi="Times New Roman"/>
          <w:sz w:val="24"/>
        </w:rPr>
        <w:t xml:space="preserve"> (Hansard), 13 December 2012 at 5550-5551.</w:t>
      </w:r>
    </w:p>
  </w:footnote>
  <w:footnote w:id="86">
    <w:p w14:paraId="555DDA71"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w:t>
      </w:r>
      <w:r w:rsidRPr="00635770">
        <w:rPr>
          <w:rFonts w:ascii="Times New Roman" w:eastAsia="Calibri" w:hAnsi="Times New Roman"/>
          <w:sz w:val="24"/>
        </w:rPr>
        <w:t>Legislative</w:t>
      </w:r>
      <w:r w:rsidRPr="00635770">
        <w:rPr>
          <w:rFonts w:ascii="Times New Roman" w:hAnsi="Times New Roman"/>
          <w:sz w:val="24"/>
        </w:rPr>
        <w:t xml:space="preserve"> Assembly, </w:t>
      </w:r>
      <w:r w:rsidRPr="00635770">
        <w:rPr>
          <w:rFonts w:ascii="Times New Roman" w:hAnsi="Times New Roman"/>
          <w:i/>
          <w:sz w:val="24"/>
        </w:rPr>
        <w:t>Parliamentary Debates</w:t>
      </w:r>
      <w:r w:rsidRPr="00635770">
        <w:rPr>
          <w:rFonts w:ascii="Times New Roman" w:hAnsi="Times New Roman"/>
          <w:sz w:val="24"/>
        </w:rPr>
        <w:t xml:space="preserve"> (Hansard), 13 December 2012 at 5551</w:t>
      </w:r>
      <w:r w:rsidRPr="00635770">
        <w:rPr>
          <w:rFonts w:ascii="Times New Roman" w:eastAsia="Calibri" w:hAnsi="Times New Roman"/>
          <w:sz w:val="24"/>
        </w:rPr>
        <w:t>.</w:t>
      </w:r>
      <w:r>
        <w:rPr>
          <w:rFonts w:ascii="Times New Roman" w:eastAsia="Calibri" w:hAnsi="Times New Roman"/>
          <w:sz w:val="24"/>
        </w:rPr>
        <w:t xml:space="preserve"> </w:t>
      </w:r>
    </w:p>
  </w:footnote>
  <w:footnote w:id="87">
    <w:p w14:paraId="0C921771"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Crimes Amendment (Gross Violence Offences) Act</w:t>
      </w:r>
      <w:r w:rsidRPr="00635770">
        <w:rPr>
          <w:rFonts w:ascii="Times New Roman" w:hAnsi="Times New Roman"/>
          <w:sz w:val="24"/>
        </w:rPr>
        <w:t>, s 4.</w:t>
      </w:r>
    </w:p>
  </w:footnote>
  <w:footnote w:id="88">
    <w:p w14:paraId="5B9A08B1"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w:t>
      </w:r>
      <w:r w:rsidRPr="00635770">
        <w:rPr>
          <w:rFonts w:ascii="Times New Roman" w:eastAsia="Calibri" w:hAnsi="Times New Roman"/>
          <w:sz w:val="24"/>
        </w:rPr>
        <w:t>Legislative</w:t>
      </w:r>
      <w:r w:rsidRPr="00635770">
        <w:rPr>
          <w:rFonts w:ascii="Times New Roman" w:hAnsi="Times New Roman"/>
          <w:sz w:val="24"/>
        </w:rPr>
        <w:t xml:space="preserve"> Assembly, </w:t>
      </w:r>
      <w:r w:rsidRPr="00635770">
        <w:rPr>
          <w:rFonts w:ascii="Times New Roman" w:eastAsia="Calibri" w:hAnsi="Times New Roman"/>
          <w:i/>
          <w:sz w:val="24"/>
        </w:rPr>
        <w:t>Crimes Amendment (Gross Violence Offences) Bill</w:t>
      </w:r>
      <w:r>
        <w:rPr>
          <w:rFonts w:ascii="Times New Roman" w:eastAsia="Calibri" w:hAnsi="Times New Roman"/>
          <w:i/>
          <w:sz w:val="24"/>
        </w:rPr>
        <w:t> </w:t>
      </w:r>
      <w:r w:rsidRPr="00635770">
        <w:rPr>
          <w:rFonts w:ascii="Times New Roman" w:eastAsia="Calibri" w:hAnsi="Times New Roman"/>
          <w:i/>
          <w:sz w:val="24"/>
        </w:rPr>
        <w:t>2012</w:t>
      </w:r>
      <w:r w:rsidRPr="00635770">
        <w:rPr>
          <w:rFonts w:ascii="Times New Roman" w:hAnsi="Times New Roman"/>
          <w:sz w:val="24"/>
        </w:rPr>
        <w:t>, Explanatory Memorandum at 4.</w:t>
      </w:r>
    </w:p>
  </w:footnote>
  <w:footnote w:id="89">
    <w:p w14:paraId="3F4C4272"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w:t>
      </w:r>
      <w:r w:rsidRPr="00635770">
        <w:rPr>
          <w:rFonts w:ascii="Times New Roman" w:eastAsia="Calibri" w:hAnsi="Times New Roman"/>
          <w:sz w:val="24"/>
        </w:rPr>
        <w:t>Legislative</w:t>
      </w:r>
      <w:r w:rsidRPr="00635770">
        <w:rPr>
          <w:rFonts w:ascii="Times New Roman" w:hAnsi="Times New Roman"/>
          <w:sz w:val="24"/>
        </w:rPr>
        <w:t xml:space="preserve"> Assembly, </w:t>
      </w:r>
      <w:r w:rsidRPr="00635770">
        <w:rPr>
          <w:rFonts w:ascii="Times New Roman" w:eastAsia="Calibri" w:hAnsi="Times New Roman"/>
          <w:i/>
          <w:sz w:val="24"/>
        </w:rPr>
        <w:t>Crimes Amendment (Gross Violence Offences) Bill</w:t>
      </w:r>
      <w:r>
        <w:rPr>
          <w:rFonts w:ascii="Times New Roman" w:eastAsia="Calibri" w:hAnsi="Times New Roman"/>
          <w:i/>
          <w:sz w:val="24"/>
        </w:rPr>
        <w:t> </w:t>
      </w:r>
      <w:r w:rsidRPr="00635770">
        <w:rPr>
          <w:rFonts w:ascii="Times New Roman" w:eastAsia="Calibri" w:hAnsi="Times New Roman"/>
          <w:i/>
          <w:sz w:val="24"/>
        </w:rPr>
        <w:t>2012</w:t>
      </w:r>
      <w:r w:rsidRPr="00635770">
        <w:rPr>
          <w:rFonts w:ascii="Times New Roman" w:hAnsi="Times New Roman"/>
          <w:sz w:val="24"/>
        </w:rPr>
        <w:t>, Explanatory Memorandum at 4.</w:t>
      </w:r>
    </w:p>
  </w:footnote>
  <w:footnote w:id="90">
    <w:p w14:paraId="6B9DE894"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w:t>
      </w:r>
      <w:r w:rsidRPr="00635770">
        <w:rPr>
          <w:rFonts w:ascii="Times New Roman" w:eastAsia="Calibri" w:hAnsi="Times New Roman"/>
          <w:sz w:val="24"/>
        </w:rPr>
        <w:t>Legislative</w:t>
      </w:r>
      <w:r w:rsidRPr="00635770">
        <w:rPr>
          <w:rFonts w:ascii="Times New Roman" w:hAnsi="Times New Roman"/>
          <w:sz w:val="24"/>
        </w:rPr>
        <w:t xml:space="preserve"> Assembly, </w:t>
      </w:r>
      <w:r w:rsidRPr="00635770">
        <w:rPr>
          <w:rFonts w:ascii="Times New Roman" w:hAnsi="Times New Roman"/>
          <w:i/>
          <w:sz w:val="24"/>
        </w:rPr>
        <w:t>Parliamentary Debates</w:t>
      </w:r>
      <w:r w:rsidRPr="00635770">
        <w:rPr>
          <w:rFonts w:ascii="Times New Roman" w:hAnsi="Times New Roman"/>
          <w:sz w:val="24"/>
        </w:rPr>
        <w:t xml:space="preserve"> (Hansard), 13 December 2012 at 5550.</w:t>
      </w:r>
    </w:p>
  </w:footnote>
  <w:footnote w:id="91">
    <w:p w14:paraId="23F05573"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ab/>
        <w:t xml:space="preserve">Victoria, </w:t>
      </w:r>
      <w:r w:rsidRPr="00635770">
        <w:rPr>
          <w:rFonts w:ascii="Times New Roman" w:eastAsia="Calibri" w:hAnsi="Times New Roman"/>
          <w:sz w:val="24"/>
        </w:rPr>
        <w:t>Legislative</w:t>
      </w:r>
      <w:r w:rsidRPr="00635770">
        <w:rPr>
          <w:rFonts w:ascii="Times New Roman" w:hAnsi="Times New Roman"/>
          <w:sz w:val="24"/>
        </w:rPr>
        <w:t xml:space="preserve"> Assembly, </w:t>
      </w:r>
      <w:r w:rsidRPr="00635770">
        <w:rPr>
          <w:rFonts w:ascii="Times New Roman" w:hAnsi="Times New Roman"/>
          <w:i/>
          <w:sz w:val="24"/>
        </w:rPr>
        <w:t>Parliamentary Debates</w:t>
      </w:r>
      <w:r w:rsidRPr="00635770">
        <w:rPr>
          <w:rFonts w:ascii="Times New Roman" w:hAnsi="Times New Roman"/>
          <w:sz w:val="24"/>
        </w:rPr>
        <w:t xml:space="preserve"> (Hansard), 13 December 2012 </w:t>
      </w:r>
      <w:r w:rsidRPr="00635770">
        <w:rPr>
          <w:rFonts w:ascii="Times New Roman" w:eastAsia="Calibri" w:hAnsi="Times New Roman"/>
          <w:sz w:val="24"/>
        </w:rPr>
        <w:t>at</w:t>
      </w:r>
      <w:r w:rsidRPr="00635770">
        <w:rPr>
          <w:rFonts w:ascii="Times New Roman" w:hAnsi="Times New Roman"/>
          <w:sz w:val="24"/>
        </w:rPr>
        <w:t xml:space="preserve"> </w:t>
      </w:r>
      <w:r w:rsidRPr="00635770">
        <w:rPr>
          <w:rFonts w:ascii="Times New Roman" w:eastAsia="Calibri" w:hAnsi="Times New Roman"/>
          <w:sz w:val="24"/>
        </w:rPr>
        <w:t xml:space="preserve">5550, referring to Sentencing Advisory Council, </w:t>
      </w:r>
      <w:r w:rsidRPr="00635770">
        <w:rPr>
          <w:rFonts w:ascii="Times New Roman" w:eastAsia="Calibri" w:hAnsi="Times New Roman"/>
          <w:i/>
          <w:sz w:val="24"/>
        </w:rPr>
        <w:t xml:space="preserve">Statutory Minimum Sentences for Gross Violence Offences </w:t>
      </w:r>
      <w:r w:rsidRPr="00635770">
        <w:rPr>
          <w:rFonts w:ascii="Times New Roman" w:eastAsia="Calibri" w:hAnsi="Times New Roman"/>
          <w:sz w:val="24"/>
        </w:rPr>
        <w:t>(2011).</w:t>
      </w:r>
      <w:r>
        <w:rPr>
          <w:rFonts w:ascii="Times New Roman" w:eastAsia="Calibri" w:hAnsi="Times New Roman"/>
          <w:sz w:val="24"/>
        </w:rPr>
        <w:t xml:space="preserve"> </w:t>
      </w:r>
      <w:r w:rsidRPr="00635770">
        <w:rPr>
          <w:rFonts w:ascii="Times New Roman" w:eastAsia="Calibri" w:hAnsi="Times New Roman"/>
          <w:sz w:val="24"/>
        </w:rPr>
        <w:t xml:space="preserve">See </w:t>
      </w:r>
      <w:r w:rsidRPr="00635770">
        <w:rPr>
          <w:rFonts w:ascii="Times New Roman" w:hAnsi="Times New Roman"/>
          <w:i/>
          <w:sz w:val="24"/>
        </w:rPr>
        <w:t>Sentencing Act</w:t>
      </w:r>
      <w:r w:rsidRPr="00635770">
        <w:rPr>
          <w:rFonts w:ascii="Times New Roman" w:hAnsi="Times New Roman"/>
          <w:sz w:val="24"/>
        </w:rPr>
        <w:t>, Pt 9A, especially ss 108B and 108C.</w:t>
      </w:r>
    </w:p>
  </w:footnote>
  <w:footnote w:id="92">
    <w:p w14:paraId="560AF4F8"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sz w:val="24"/>
        </w:rPr>
        <w:t xml:space="preserve">Sentencing Advisory Council, </w:t>
      </w:r>
      <w:r w:rsidRPr="00635770">
        <w:rPr>
          <w:rFonts w:ascii="Times New Roman" w:eastAsia="Calibri" w:hAnsi="Times New Roman"/>
          <w:i/>
          <w:sz w:val="24"/>
        </w:rPr>
        <w:t xml:space="preserve">Statutory Minimum Sentences for Gross Violence Offences </w:t>
      </w:r>
      <w:r w:rsidRPr="00635770">
        <w:rPr>
          <w:rFonts w:ascii="Times New Roman" w:eastAsia="Calibri" w:hAnsi="Times New Roman"/>
          <w:sz w:val="24"/>
        </w:rPr>
        <w:t xml:space="preserve">(2011) </w:t>
      </w:r>
      <w:r w:rsidRPr="00635770">
        <w:rPr>
          <w:rFonts w:ascii="Times New Roman" w:hAnsi="Times New Roman"/>
          <w:sz w:val="24"/>
        </w:rPr>
        <w:t>at</w:t>
      </w:r>
      <w:r w:rsidRPr="00635770">
        <w:rPr>
          <w:rFonts w:ascii="Times New Roman" w:eastAsia="Calibri" w:hAnsi="Times New Roman"/>
          <w:sz w:val="24"/>
        </w:rPr>
        <w:t xml:space="preserve"> vii.</w:t>
      </w:r>
    </w:p>
  </w:footnote>
  <w:footnote w:id="93">
    <w:p w14:paraId="7D649FE9"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w:t>
      </w:r>
      <w:r w:rsidRPr="00635770">
        <w:rPr>
          <w:rFonts w:ascii="Times New Roman" w:eastAsia="Calibri" w:hAnsi="Times New Roman"/>
          <w:sz w:val="24"/>
        </w:rPr>
        <w:t>Legislative</w:t>
      </w:r>
      <w:r w:rsidRPr="00635770">
        <w:rPr>
          <w:rFonts w:ascii="Times New Roman" w:hAnsi="Times New Roman"/>
          <w:sz w:val="24"/>
        </w:rPr>
        <w:t xml:space="preserve"> Assembly, </w:t>
      </w:r>
      <w:r w:rsidRPr="00635770">
        <w:rPr>
          <w:rFonts w:ascii="Times New Roman" w:hAnsi="Times New Roman"/>
          <w:i/>
          <w:sz w:val="24"/>
        </w:rPr>
        <w:t>Parliamentary Debates</w:t>
      </w:r>
      <w:r w:rsidRPr="00635770">
        <w:rPr>
          <w:rFonts w:ascii="Times New Roman" w:hAnsi="Times New Roman"/>
          <w:sz w:val="24"/>
        </w:rPr>
        <w:t xml:space="preserve"> (Hansard), 13 December 2012 </w:t>
      </w:r>
      <w:r w:rsidRPr="00635770">
        <w:rPr>
          <w:rFonts w:ascii="Times New Roman" w:eastAsia="Calibri" w:hAnsi="Times New Roman"/>
          <w:sz w:val="24"/>
        </w:rPr>
        <w:t>at</w:t>
      </w:r>
      <w:r w:rsidRPr="00635770">
        <w:rPr>
          <w:rFonts w:ascii="Times New Roman" w:hAnsi="Times New Roman"/>
          <w:sz w:val="24"/>
        </w:rPr>
        <w:t xml:space="preserve"> </w:t>
      </w:r>
      <w:r w:rsidRPr="00635770">
        <w:rPr>
          <w:rFonts w:ascii="Times New Roman" w:eastAsia="Calibri" w:hAnsi="Times New Roman"/>
          <w:sz w:val="24"/>
        </w:rPr>
        <w:t>5550.</w:t>
      </w:r>
    </w:p>
  </w:footnote>
  <w:footnote w:id="94">
    <w:p w14:paraId="1857BB56"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ab/>
      </w:r>
      <w:r w:rsidRPr="00635770">
        <w:rPr>
          <w:rFonts w:ascii="Times New Roman" w:eastAsia="Calibri" w:hAnsi="Times New Roman"/>
          <w:sz w:val="24"/>
        </w:rPr>
        <w:t xml:space="preserve">Sentencing Advisory Council, </w:t>
      </w:r>
      <w:r w:rsidRPr="00635770">
        <w:rPr>
          <w:rFonts w:ascii="Times New Roman" w:eastAsia="Calibri" w:hAnsi="Times New Roman"/>
          <w:i/>
          <w:sz w:val="24"/>
        </w:rPr>
        <w:t xml:space="preserve">Statutory Minimum Sentences for Gross Violence Offences </w:t>
      </w:r>
      <w:r w:rsidRPr="00635770">
        <w:rPr>
          <w:rFonts w:ascii="Times New Roman" w:eastAsia="Calibri" w:hAnsi="Times New Roman"/>
          <w:sz w:val="24"/>
        </w:rPr>
        <w:t>(2011) at 4 [1.20].</w:t>
      </w:r>
    </w:p>
  </w:footnote>
  <w:footnote w:id="95">
    <w:p w14:paraId="78BA984C"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 </w:t>
      </w:r>
      <w:r w:rsidRPr="00635770">
        <w:rPr>
          <w:rFonts w:ascii="Times New Roman" w:eastAsia="Calibri" w:hAnsi="Times New Roman"/>
          <w:sz w:val="24"/>
        </w:rPr>
        <w:t>Legislative</w:t>
      </w:r>
      <w:r w:rsidRPr="00635770">
        <w:rPr>
          <w:rFonts w:ascii="Times New Roman" w:hAnsi="Times New Roman"/>
          <w:sz w:val="24"/>
        </w:rPr>
        <w:t xml:space="preserve"> Assembly, </w:t>
      </w:r>
      <w:r w:rsidRPr="00635770">
        <w:rPr>
          <w:rFonts w:ascii="Times New Roman" w:hAnsi="Times New Roman"/>
          <w:i/>
          <w:sz w:val="24"/>
        </w:rPr>
        <w:t>Parliamentary Debates</w:t>
      </w:r>
      <w:r w:rsidRPr="00635770">
        <w:rPr>
          <w:rFonts w:ascii="Times New Roman" w:hAnsi="Times New Roman"/>
          <w:sz w:val="24"/>
        </w:rPr>
        <w:t xml:space="preserve"> (Hansard), 13 December 2012 </w:t>
      </w:r>
      <w:r w:rsidRPr="00635770">
        <w:rPr>
          <w:rFonts w:ascii="Times New Roman" w:eastAsia="Calibri" w:hAnsi="Times New Roman"/>
          <w:sz w:val="24"/>
        </w:rPr>
        <w:t>at</w:t>
      </w:r>
      <w:r w:rsidRPr="00635770">
        <w:rPr>
          <w:rFonts w:ascii="Times New Roman" w:hAnsi="Times New Roman"/>
          <w:sz w:val="24"/>
        </w:rPr>
        <w:t xml:space="preserve"> </w:t>
      </w:r>
      <w:r w:rsidRPr="00635770">
        <w:rPr>
          <w:rFonts w:ascii="Times New Roman" w:eastAsia="Calibri" w:hAnsi="Times New Roman"/>
          <w:sz w:val="24"/>
        </w:rPr>
        <w:t>5550.</w:t>
      </w:r>
      <w:r>
        <w:rPr>
          <w:rFonts w:ascii="Times New Roman" w:eastAsia="Calibri" w:hAnsi="Times New Roman"/>
          <w:sz w:val="24"/>
        </w:rPr>
        <w:t xml:space="preserve"> </w:t>
      </w:r>
      <w:r w:rsidRPr="00635770">
        <w:rPr>
          <w:rFonts w:ascii="Times New Roman" w:eastAsia="Calibri" w:hAnsi="Times New Roman"/>
          <w:sz w:val="24"/>
        </w:rPr>
        <w:t xml:space="preserve">See also Sentencing Advisory Council, </w:t>
      </w:r>
      <w:r w:rsidRPr="00635770">
        <w:rPr>
          <w:rFonts w:ascii="Times New Roman" w:eastAsia="Calibri" w:hAnsi="Times New Roman"/>
          <w:i/>
          <w:sz w:val="24"/>
        </w:rPr>
        <w:t xml:space="preserve">Statutory Minimum Sentences for Gross Violence Offences </w:t>
      </w:r>
      <w:r w:rsidRPr="00635770">
        <w:rPr>
          <w:rFonts w:ascii="Times New Roman" w:eastAsia="Calibri" w:hAnsi="Times New Roman"/>
          <w:sz w:val="24"/>
        </w:rPr>
        <w:t>(2011) at 4 [1.20]</w:t>
      </w:r>
      <w:r w:rsidRPr="00635770">
        <w:rPr>
          <w:rFonts w:ascii="Times New Roman" w:hAnsi="Times New Roman"/>
          <w:sz w:val="24"/>
        </w:rPr>
        <w:t>.</w:t>
      </w:r>
    </w:p>
  </w:footnote>
  <w:footnote w:id="96">
    <w:p w14:paraId="29719572"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See, </w:t>
      </w:r>
      <w:proofErr w:type="spellStart"/>
      <w:r w:rsidRPr="00635770">
        <w:rPr>
          <w:rFonts w:ascii="Times New Roman" w:hAnsi="Times New Roman"/>
          <w:sz w:val="24"/>
        </w:rPr>
        <w:t>eg</w:t>
      </w:r>
      <w:proofErr w:type="spellEnd"/>
      <w:r w:rsidRPr="00635770">
        <w:rPr>
          <w:rFonts w:ascii="Times New Roman" w:hAnsi="Times New Roman"/>
          <w:sz w:val="24"/>
        </w:rPr>
        <w:t xml:space="preserve">, </w:t>
      </w:r>
      <w:r w:rsidRPr="00635770">
        <w:rPr>
          <w:rFonts w:ascii="Times New Roman" w:hAnsi="Times New Roman"/>
          <w:i/>
          <w:sz w:val="24"/>
        </w:rPr>
        <w:t xml:space="preserve">Registrar of Titles (WA) v </w:t>
      </w:r>
      <w:proofErr w:type="spellStart"/>
      <w:r w:rsidRPr="00635770">
        <w:rPr>
          <w:rFonts w:ascii="Times New Roman" w:hAnsi="Times New Roman"/>
          <w:i/>
          <w:sz w:val="24"/>
        </w:rPr>
        <w:t>Franzon</w:t>
      </w:r>
      <w:proofErr w:type="spellEnd"/>
      <w:r w:rsidRPr="00635770">
        <w:rPr>
          <w:rFonts w:ascii="Times New Roman" w:hAnsi="Times New Roman"/>
          <w:i/>
          <w:sz w:val="24"/>
        </w:rPr>
        <w:t xml:space="preserve"> </w:t>
      </w:r>
      <w:r w:rsidRPr="00635770">
        <w:rPr>
          <w:rFonts w:ascii="Times New Roman" w:hAnsi="Times New Roman"/>
          <w:sz w:val="24"/>
        </w:rPr>
        <w:t>(1975) 132 CLR 611 at 618;</w:t>
      </w:r>
      <w:r w:rsidRPr="00635770">
        <w:rPr>
          <w:rFonts w:ascii="Times New Roman" w:hAnsi="Times New Roman"/>
          <w:i/>
          <w:sz w:val="24"/>
        </w:rPr>
        <w:t xml:space="preserve"> McGraw</w:t>
      </w:r>
      <w:r>
        <w:rPr>
          <w:rFonts w:ascii="Times New Roman" w:hAnsi="Times New Roman"/>
          <w:i/>
          <w:sz w:val="24"/>
        </w:rPr>
        <w:noBreakHyphen/>
      </w:r>
      <w:r w:rsidRPr="00635770">
        <w:rPr>
          <w:rFonts w:ascii="Times New Roman" w:hAnsi="Times New Roman"/>
          <w:i/>
          <w:sz w:val="24"/>
        </w:rPr>
        <w:t xml:space="preserve">Hinds (Aust) Pty Ltd v Smith </w:t>
      </w:r>
      <w:r w:rsidRPr="00635770">
        <w:rPr>
          <w:rFonts w:ascii="Times New Roman" w:hAnsi="Times New Roman"/>
          <w:sz w:val="24"/>
        </w:rPr>
        <w:t xml:space="preserve">(1979) 144 CLR 633 at 643; </w:t>
      </w:r>
      <w:r w:rsidRPr="00635770">
        <w:rPr>
          <w:rFonts w:ascii="Times New Roman" w:hAnsi="Times New Roman"/>
          <w:i/>
          <w:sz w:val="24"/>
        </w:rPr>
        <w:t>Federal</w:t>
      </w:r>
      <w:r>
        <w:rPr>
          <w:rFonts w:ascii="Times New Roman" w:hAnsi="Times New Roman"/>
          <w:i/>
          <w:sz w:val="24"/>
        </w:rPr>
        <w:t> </w:t>
      </w:r>
      <w:r w:rsidRPr="00635770">
        <w:rPr>
          <w:rFonts w:ascii="Times New Roman" w:hAnsi="Times New Roman"/>
          <w:i/>
          <w:sz w:val="24"/>
        </w:rPr>
        <w:t xml:space="preserve">Commissioner of Taxation v Australian Building Systems Pty Ltd (In </w:t>
      </w:r>
      <w:proofErr w:type="spellStart"/>
      <w:r w:rsidRPr="00635770">
        <w:rPr>
          <w:rFonts w:ascii="Times New Roman" w:hAnsi="Times New Roman"/>
          <w:i/>
          <w:sz w:val="24"/>
        </w:rPr>
        <w:t>liq</w:t>
      </w:r>
      <w:proofErr w:type="spellEnd"/>
      <w:r w:rsidRPr="00635770">
        <w:rPr>
          <w:rFonts w:ascii="Times New Roman" w:hAnsi="Times New Roman"/>
          <w:i/>
          <w:sz w:val="24"/>
        </w:rPr>
        <w:t xml:space="preserve">) </w:t>
      </w:r>
      <w:r w:rsidRPr="00635770">
        <w:rPr>
          <w:rFonts w:ascii="Times New Roman" w:hAnsi="Times New Roman"/>
          <w:sz w:val="24"/>
        </w:rPr>
        <w:t xml:space="preserve">(2015) 257 CLR 544 at 560 [27]; </w:t>
      </w:r>
      <w:r w:rsidRPr="00635770">
        <w:rPr>
          <w:rFonts w:ascii="Times New Roman" w:hAnsi="Times New Roman"/>
          <w:i/>
          <w:iCs/>
          <w:sz w:val="24"/>
        </w:rPr>
        <w:t>Regional Express Holdings Ltd v Australian Federation of Air Pilots</w:t>
      </w:r>
      <w:r w:rsidRPr="00635770">
        <w:rPr>
          <w:rFonts w:ascii="Times New Roman" w:hAnsi="Times New Roman"/>
          <w:sz w:val="24"/>
        </w:rPr>
        <w:t xml:space="preserve"> (2017) 262 CLR 456 at 466-467 [21].</w:t>
      </w:r>
    </w:p>
  </w:footnote>
  <w:footnote w:id="97">
    <w:p w14:paraId="057EF761"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sz w:val="24"/>
        </w:rPr>
        <w:t xml:space="preserve">Sentencing Advisory Council, </w:t>
      </w:r>
      <w:r w:rsidRPr="00635770">
        <w:rPr>
          <w:rFonts w:ascii="Times New Roman" w:eastAsia="Calibri" w:hAnsi="Times New Roman"/>
          <w:i/>
          <w:sz w:val="24"/>
        </w:rPr>
        <w:t xml:space="preserve">Statutory Minimum Sentences for Gross Violence Offences </w:t>
      </w:r>
      <w:r w:rsidRPr="00635770">
        <w:rPr>
          <w:rFonts w:ascii="Times New Roman" w:eastAsia="Calibri" w:hAnsi="Times New Roman"/>
          <w:sz w:val="24"/>
        </w:rPr>
        <w:t xml:space="preserve">(2011) at 19 </w:t>
      </w:r>
      <w:r w:rsidRPr="00635770">
        <w:rPr>
          <w:rFonts w:ascii="Times New Roman" w:hAnsi="Times New Roman"/>
          <w:sz w:val="24"/>
        </w:rPr>
        <w:t>[2.</w:t>
      </w:r>
      <w:r w:rsidRPr="00635770">
        <w:rPr>
          <w:rFonts w:ascii="Times New Roman" w:eastAsia="Calibri" w:hAnsi="Times New Roman"/>
          <w:sz w:val="24"/>
        </w:rPr>
        <w:t>25</w:t>
      </w:r>
      <w:r w:rsidRPr="00635770">
        <w:rPr>
          <w:rFonts w:ascii="Times New Roman" w:hAnsi="Times New Roman"/>
          <w:sz w:val="24"/>
        </w:rPr>
        <w:t>]-[2.26].</w:t>
      </w:r>
    </w:p>
  </w:footnote>
  <w:footnote w:id="98">
    <w:p w14:paraId="72E50A38"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Crimes Amendment (Gross Violence Offences) Act</w:t>
      </w:r>
      <w:r w:rsidRPr="00635770">
        <w:rPr>
          <w:rFonts w:ascii="Times New Roman" w:hAnsi="Times New Roman"/>
          <w:sz w:val="24"/>
        </w:rPr>
        <w:t>, s 5.</w:t>
      </w:r>
    </w:p>
  </w:footnote>
  <w:footnote w:id="99">
    <w:p w14:paraId="57C5F935"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 xml:space="preserve">Re Alcan Australia Ltd; Ex </w:t>
      </w:r>
      <w:proofErr w:type="spellStart"/>
      <w:r w:rsidRPr="00635770">
        <w:rPr>
          <w:rFonts w:ascii="Times New Roman" w:hAnsi="Times New Roman"/>
          <w:i/>
          <w:sz w:val="24"/>
        </w:rPr>
        <w:t>parte</w:t>
      </w:r>
      <w:proofErr w:type="spellEnd"/>
      <w:r w:rsidRPr="00635770">
        <w:rPr>
          <w:rFonts w:ascii="Times New Roman" w:hAnsi="Times New Roman"/>
          <w:i/>
          <w:sz w:val="24"/>
        </w:rPr>
        <w:t xml:space="preserve"> Federation of Industrial, Manufacturing and Engineering Employees</w:t>
      </w:r>
      <w:r w:rsidRPr="00635770">
        <w:rPr>
          <w:rFonts w:ascii="Times New Roman" w:hAnsi="Times New Roman"/>
          <w:sz w:val="24"/>
        </w:rPr>
        <w:t xml:space="preserve"> (1994) 181 CLR 96 at 106; </w:t>
      </w:r>
      <w:r w:rsidRPr="00635770">
        <w:rPr>
          <w:rFonts w:ascii="Times New Roman" w:eastAsia="Calibri" w:hAnsi="Times New Roman"/>
          <w:i/>
          <w:sz w:val="24"/>
        </w:rPr>
        <w:t xml:space="preserve">Electrolux Home Products Pty Ltd v Australian Workers' Union </w:t>
      </w:r>
      <w:r w:rsidRPr="00635770">
        <w:rPr>
          <w:rFonts w:ascii="Times New Roman" w:eastAsia="Calibri" w:hAnsi="Times New Roman"/>
          <w:sz w:val="24"/>
        </w:rPr>
        <w:t>(2004) 221 CLR 309 at</w:t>
      </w:r>
      <w:r w:rsidRPr="00635770">
        <w:rPr>
          <w:rFonts w:ascii="Times New Roman" w:eastAsia="Calibri" w:hAnsi="Times New Roman"/>
          <w:i/>
          <w:sz w:val="24"/>
        </w:rPr>
        <w:t xml:space="preserve"> </w:t>
      </w:r>
      <w:r w:rsidRPr="00635770">
        <w:rPr>
          <w:rFonts w:ascii="Times New Roman" w:eastAsia="Calibri" w:hAnsi="Times New Roman"/>
          <w:sz w:val="24"/>
        </w:rPr>
        <w:t>346-347 [81];</w:t>
      </w:r>
      <w:r w:rsidRPr="00635770">
        <w:rPr>
          <w:rFonts w:ascii="Times New Roman" w:eastAsia="Calibri" w:hAnsi="Times New Roman"/>
          <w:i/>
          <w:sz w:val="24"/>
        </w:rPr>
        <w:t xml:space="preserve"> Fortress</w:t>
      </w:r>
      <w:r>
        <w:rPr>
          <w:rFonts w:ascii="Times New Roman" w:eastAsia="Calibri" w:hAnsi="Times New Roman"/>
          <w:i/>
          <w:sz w:val="24"/>
        </w:rPr>
        <w:t> </w:t>
      </w:r>
      <w:r w:rsidRPr="00635770">
        <w:rPr>
          <w:rFonts w:ascii="Times New Roman" w:eastAsia="Calibri" w:hAnsi="Times New Roman"/>
          <w:i/>
          <w:sz w:val="24"/>
        </w:rPr>
        <w:t xml:space="preserve">Credit Corporation (Australia) II Pty Ltd v Fletcher </w:t>
      </w:r>
      <w:r w:rsidRPr="00635770">
        <w:rPr>
          <w:rFonts w:ascii="Times New Roman" w:eastAsia="Calibri" w:hAnsi="Times New Roman"/>
          <w:sz w:val="24"/>
        </w:rPr>
        <w:t xml:space="preserve">(2015) 254 CLR 489 at 502 [15]; </w:t>
      </w:r>
      <w:r w:rsidRPr="00635770">
        <w:rPr>
          <w:rFonts w:ascii="Times New Roman" w:eastAsia="Calibri" w:hAnsi="Times New Roman"/>
          <w:i/>
          <w:sz w:val="24"/>
        </w:rPr>
        <w:t xml:space="preserve">Brisbane City Council v Amos </w:t>
      </w:r>
      <w:r w:rsidRPr="00635770">
        <w:rPr>
          <w:rFonts w:ascii="Times New Roman" w:eastAsia="Calibri" w:hAnsi="Times New Roman"/>
          <w:sz w:val="24"/>
        </w:rPr>
        <w:t>(2019) 266 CLR 593 at 606 [24], 615</w:t>
      </w:r>
      <w:r>
        <w:rPr>
          <w:rFonts w:ascii="Times New Roman" w:eastAsia="Calibri" w:hAnsi="Times New Roman"/>
          <w:sz w:val="24"/>
        </w:rPr>
        <w:t> </w:t>
      </w:r>
      <w:r w:rsidRPr="00635770">
        <w:rPr>
          <w:rFonts w:ascii="Times New Roman" w:eastAsia="Calibri" w:hAnsi="Times New Roman"/>
          <w:sz w:val="24"/>
        </w:rPr>
        <w:t xml:space="preserve">[45], 615-616 [48]-[49], 617-618 [56]; </w:t>
      </w:r>
      <w:r w:rsidRPr="00635770">
        <w:rPr>
          <w:rFonts w:ascii="Times New Roman" w:eastAsia="Calibri" w:hAnsi="Times New Roman"/>
          <w:i/>
          <w:sz w:val="24"/>
        </w:rPr>
        <w:t>Vella</w:t>
      </w:r>
      <w:r w:rsidRPr="00635770">
        <w:rPr>
          <w:rFonts w:ascii="Times New Roman" w:eastAsia="Calibri" w:hAnsi="Times New Roman"/>
          <w:sz w:val="24"/>
        </w:rPr>
        <w:t xml:space="preserve"> </w:t>
      </w:r>
      <w:r w:rsidRPr="00635770">
        <w:rPr>
          <w:rFonts w:ascii="Times New Roman" w:eastAsia="Calibri" w:hAnsi="Times New Roman"/>
          <w:i/>
          <w:sz w:val="24"/>
        </w:rPr>
        <w:t>v Commissioner of Police (NSW)</w:t>
      </w:r>
      <w:r w:rsidRPr="00635770">
        <w:rPr>
          <w:rFonts w:ascii="Times New Roman" w:eastAsia="Calibri" w:hAnsi="Times New Roman"/>
          <w:sz w:val="24"/>
        </w:rPr>
        <w:t xml:space="preserve"> (2019) 93 ALJR 1236 at 1243</w:t>
      </w:r>
      <w:r w:rsidRPr="00635770">
        <w:rPr>
          <w:rFonts w:ascii="Times New Roman" w:eastAsia="Calibri" w:hAnsi="Times New Roman"/>
          <w:sz w:val="24"/>
        </w:rPr>
        <w:noBreakHyphen/>
        <w:t>1244 [18]-[19], 1250 [52]; 374 ALR 1 at 6-7, 15-16.</w:t>
      </w:r>
      <w:r>
        <w:rPr>
          <w:rFonts w:ascii="Times New Roman" w:eastAsia="Calibri" w:hAnsi="Times New Roman"/>
          <w:sz w:val="24"/>
        </w:rPr>
        <w:t xml:space="preserve"> </w:t>
      </w:r>
    </w:p>
  </w:footnote>
  <w:footnote w:id="100">
    <w:p w14:paraId="60F651A0"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S</w:t>
      </w:r>
      <w:r w:rsidRPr="00635770">
        <w:rPr>
          <w:rFonts w:ascii="Times New Roman" w:eastAsia="Calibri" w:hAnsi="Times New Roman"/>
          <w:sz w:val="24"/>
        </w:rPr>
        <w:t xml:space="preserve">ee, </w:t>
      </w:r>
      <w:proofErr w:type="spellStart"/>
      <w:r w:rsidRPr="00635770">
        <w:rPr>
          <w:rFonts w:ascii="Times New Roman" w:eastAsia="Calibri" w:hAnsi="Times New Roman"/>
          <w:sz w:val="24"/>
        </w:rPr>
        <w:t>eg</w:t>
      </w:r>
      <w:proofErr w:type="spellEnd"/>
      <w:r w:rsidRPr="00635770">
        <w:rPr>
          <w:rFonts w:ascii="Times New Roman" w:eastAsia="Calibri" w:hAnsi="Times New Roman"/>
          <w:sz w:val="24"/>
        </w:rPr>
        <w:t xml:space="preserve">, </w:t>
      </w:r>
      <w:r w:rsidRPr="00635770">
        <w:rPr>
          <w:rFonts w:ascii="Times New Roman" w:hAnsi="Times New Roman"/>
          <w:i/>
          <w:sz w:val="24"/>
        </w:rPr>
        <w:t xml:space="preserve">Ex </w:t>
      </w:r>
      <w:proofErr w:type="spellStart"/>
      <w:r w:rsidRPr="00635770">
        <w:rPr>
          <w:rFonts w:ascii="Times New Roman" w:hAnsi="Times New Roman"/>
          <w:i/>
          <w:sz w:val="24"/>
        </w:rPr>
        <w:t>parte</w:t>
      </w:r>
      <w:proofErr w:type="spellEnd"/>
      <w:r w:rsidRPr="00635770">
        <w:rPr>
          <w:rFonts w:ascii="Times New Roman" w:hAnsi="Times New Roman"/>
          <w:i/>
          <w:sz w:val="24"/>
        </w:rPr>
        <w:t xml:space="preserve"> Campbell; In re Cathcart </w:t>
      </w:r>
      <w:r w:rsidRPr="00635770">
        <w:rPr>
          <w:rFonts w:ascii="Times New Roman" w:hAnsi="Times New Roman"/>
          <w:sz w:val="24"/>
        </w:rPr>
        <w:t xml:space="preserve">(1870) LR 5 Ch App 703 at 706; </w:t>
      </w:r>
      <w:r w:rsidRPr="00635770">
        <w:rPr>
          <w:rFonts w:ascii="Times New Roman" w:hAnsi="Times New Roman"/>
          <w:i/>
          <w:sz w:val="24"/>
        </w:rPr>
        <w:t>Sargood</w:t>
      </w:r>
      <w:r>
        <w:rPr>
          <w:rFonts w:ascii="Times New Roman" w:hAnsi="Times New Roman"/>
          <w:i/>
          <w:sz w:val="24"/>
        </w:rPr>
        <w:t> </w:t>
      </w:r>
      <w:r w:rsidRPr="00635770">
        <w:rPr>
          <w:rFonts w:ascii="Times New Roman" w:hAnsi="Times New Roman"/>
          <w:i/>
          <w:sz w:val="24"/>
        </w:rPr>
        <w:t xml:space="preserve">Bros v The Commonwealth </w:t>
      </w:r>
      <w:r w:rsidRPr="00635770">
        <w:rPr>
          <w:rFonts w:ascii="Times New Roman" w:hAnsi="Times New Roman"/>
          <w:sz w:val="24"/>
        </w:rPr>
        <w:t xml:space="preserve">(1910) 11 CLR 258 at 272, 283, 305-306; </w:t>
      </w:r>
      <w:r w:rsidRPr="00635770">
        <w:rPr>
          <w:rFonts w:ascii="Times New Roman" w:hAnsi="Times New Roman"/>
          <w:i/>
          <w:sz w:val="24"/>
        </w:rPr>
        <w:t>Pillar</w:t>
      </w:r>
      <w:r>
        <w:rPr>
          <w:rFonts w:ascii="Times New Roman" w:hAnsi="Times New Roman"/>
          <w:i/>
          <w:sz w:val="24"/>
        </w:rPr>
        <w:t> </w:t>
      </w:r>
      <w:r w:rsidRPr="00635770">
        <w:rPr>
          <w:rFonts w:ascii="Times New Roman" w:hAnsi="Times New Roman"/>
          <w:i/>
          <w:sz w:val="24"/>
        </w:rPr>
        <w:t xml:space="preserve">v Arthur </w:t>
      </w:r>
      <w:r w:rsidRPr="00635770">
        <w:rPr>
          <w:rFonts w:ascii="Times New Roman" w:hAnsi="Times New Roman"/>
          <w:sz w:val="24"/>
        </w:rPr>
        <w:t xml:space="preserve">(1912) 15 CLR 18 at 22; </w:t>
      </w:r>
      <w:r w:rsidRPr="00635770">
        <w:rPr>
          <w:rFonts w:ascii="Times New Roman" w:hAnsi="Times New Roman"/>
          <w:i/>
          <w:sz w:val="24"/>
        </w:rPr>
        <w:t>Barras v Aberdeen Steam Trawling and Fishing Co</w:t>
      </w:r>
      <w:r w:rsidRPr="00635770">
        <w:rPr>
          <w:rFonts w:ascii="Times New Roman" w:hAnsi="Times New Roman"/>
          <w:sz w:val="24"/>
        </w:rPr>
        <w:t xml:space="preserve"> [1933] AC 402 at 412, 438, 442, 446; </w:t>
      </w:r>
      <w:r w:rsidRPr="00635770">
        <w:rPr>
          <w:rFonts w:ascii="Times New Roman" w:hAnsi="Times New Roman"/>
          <w:i/>
          <w:sz w:val="24"/>
        </w:rPr>
        <w:t xml:space="preserve">Platz v Osborne </w:t>
      </w:r>
      <w:r w:rsidRPr="00635770">
        <w:rPr>
          <w:rFonts w:ascii="Times New Roman" w:hAnsi="Times New Roman"/>
          <w:sz w:val="24"/>
        </w:rPr>
        <w:t>(1943) 68 CLR 133 at 141.</w:t>
      </w:r>
    </w:p>
  </w:footnote>
  <w:footnote w:id="101">
    <w:p w14:paraId="64A64C20"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 xml:space="preserve">Zickar v MHG Plastic Industries Pty Ltd </w:t>
      </w:r>
      <w:r w:rsidRPr="00635770">
        <w:rPr>
          <w:rFonts w:ascii="Times New Roman" w:hAnsi="Times New Roman"/>
          <w:sz w:val="24"/>
        </w:rPr>
        <w:t>(1996) 187 CLR 310 at 329.</w:t>
      </w:r>
    </w:p>
  </w:footnote>
  <w:footnote w:id="102">
    <w:p w14:paraId="5AC36222"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R v Reynhoudt</w:t>
      </w:r>
      <w:r w:rsidRPr="00635770">
        <w:rPr>
          <w:rFonts w:ascii="Times New Roman" w:hAnsi="Times New Roman"/>
          <w:sz w:val="24"/>
        </w:rPr>
        <w:t xml:space="preserve"> (1962) 107 CLR 381 at 388.</w:t>
      </w:r>
    </w:p>
  </w:footnote>
  <w:footnote w:id="103">
    <w:p w14:paraId="14988B85"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Herzfeld and Prince, </w:t>
      </w:r>
      <w:r w:rsidRPr="00635770">
        <w:rPr>
          <w:rFonts w:ascii="Times New Roman" w:hAnsi="Times New Roman"/>
          <w:i/>
          <w:sz w:val="24"/>
        </w:rPr>
        <w:t>Interpretation</w:t>
      </w:r>
      <w:r w:rsidRPr="00635770">
        <w:rPr>
          <w:rFonts w:ascii="Times New Roman" w:hAnsi="Times New Roman"/>
          <w:sz w:val="24"/>
        </w:rPr>
        <w:t>, 2nd ed (2020) at 168 [8.60].</w:t>
      </w:r>
      <w:r>
        <w:rPr>
          <w:rFonts w:ascii="Times New Roman" w:hAnsi="Times New Roman"/>
          <w:sz w:val="24"/>
        </w:rPr>
        <w:t xml:space="preserve"> </w:t>
      </w:r>
      <w:r w:rsidRPr="00635770">
        <w:rPr>
          <w:rFonts w:ascii="Times New Roman" w:hAnsi="Times New Roman"/>
          <w:sz w:val="24"/>
        </w:rPr>
        <w:t xml:space="preserve">See also </w:t>
      </w:r>
      <w:r w:rsidRPr="00635770">
        <w:rPr>
          <w:rFonts w:ascii="Times New Roman" w:eastAsia="Calibri" w:hAnsi="Times New Roman"/>
          <w:i/>
          <w:sz w:val="24"/>
        </w:rPr>
        <w:t xml:space="preserve">Fortress Credit </w:t>
      </w:r>
      <w:r w:rsidRPr="00635770">
        <w:rPr>
          <w:rFonts w:ascii="Times New Roman" w:eastAsia="Calibri" w:hAnsi="Times New Roman"/>
          <w:sz w:val="24"/>
        </w:rPr>
        <w:t xml:space="preserve">(2015) 254 CLR 489 at </w:t>
      </w:r>
      <w:r w:rsidRPr="00635770">
        <w:rPr>
          <w:rFonts w:ascii="Times New Roman" w:hAnsi="Times New Roman"/>
          <w:sz w:val="24"/>
        </w:rPr>
        <w:t>502</w:t>
      </w:r>
      <w:r w:rsidRPr="00635770">
        <w:rPr>
          <w:rFonts w:ascii="Times New Roman" w:eastAsia="Calibri" w:hAnsi="Times New Roman"/>
          <w:sz w:val="24"/>
        </w:rPr>
        <w:t xml:space="preserve"> [15], quoting </w:t>
      </w:r>
      <w:r w:rsidRPr="00635770">
        <w:rPr>
          <w:rFonts w:ascii="Times New Roman" w:eastAsia="Calibri" w:hAnsi="Times New Roman"/>
          <w:i/>
          <w:sz w:val="24"/>
        </w:rPr>
        <w:t xml:space="preserve">Electrolux </w:t>
      </w:r>
      <w:r w:rsidRPr="00635770">
        <w:rPr>
          <w:rFonts w:ascii="Times New Roman" w:eastAsia="Calibri" w:hAnsi="Times New Roman"/>
          <w:sz w:val="24"/>
        </w:rPr>
        <w:t>(2004) 221 CLR 309 at 346-347 [81].</w:t>
      </w:r>
      <w:r>
        <w:rPr>
          <w:rFonts w:ascii="Times New Roman" w:eastAsia="Calibri" w:hAnsi="Times New Roman"/>
          <w:sz w:val="24"/>
        </w:rPr>
        <w:t xml:space="preserve"> </w:t>
      </w:r>
    </w:p>
  </w:footnote>
  <w:footnote w:id="104">
    <w:p w14:paraId="3B2D26A3"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i/>
          <w:sz w:val="24"/>
        </w:rPr>
        <w:t xml:space="preserve">Fortress Credit </w:t>
      </w:r>
      <w:r w:rsidRPr="00635770">
        <w:rPr>
          <w:rFonts w:ascii="Times New Roman" w:eastAsia="Calibri" w:hAnsi="Times New Roman"/>
          <w:sz w:val="24"/>
        </w:rPr>
        <w:t xml:space="preserve">(2015) 254 CLR 489 at 502 [15], quoting </w:t>
      </w:r>
      <w:r w:rsidRPr="00635770">
        <w:rPr>
          <w:rFonts w:ascii="Times New Roman" w:eastAsia="Calibri" w:hAnsi="Times New Roman"/>
          <w:i/>
          <w:sz w:val="24"/>
        </w:rPr>
        <w:t xml:space="preserve">Electrolux </w:t>
      </w:r>
      <w:r w:rsidRPr="00635770">
        <w:rPr>
          <w:rFonts w:ascii="Times New Roman" w:eastAsia="Calibri" w:hAnsi="Times New Roman"/>
          <w:sz w:val="24"/>
        </w:rPr>
        <w:t>(2004) 221</w:t>
      </w:r>
      <w:r>
        <w:rPr>
          <w:rFonts w:ascii="Times New Roman" w:eastAsia="Calibri" w:hAnsi="Times New Roman"/>
          <w:sz w:val="24"/>
        </w:rPr>
        <w:t> </w:t>
      </w:r>
      <w:r w:rsidRPr="00635770">
        <w:rPr>
          <w:rFonts w:ascii="Times New Roman" w:eastAsia="Calibri" w:hAnsi="Times New Roman"/>
          <w:sz w:val="24"/>
        </w:rPr>
        <w:t>CLR 309 at 346-347 [81].</w:t>
      </w:r>
    </w:p>
  </w:footnote>
  <w:footnote w:id="105">
    <w:p w14:paraId="4E301354"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i/>
          <w:sz w:val="24"/>
        </w:rPr>
        <w:t xml:space="preserve">Fortress Credit </w:t>
      </w:r>
      <w:r w:rsidRPr="00635770">
        <w:rPr>
          <w:rFonts w:ascii="Times New Roman" w:eastAsia="Calibri" w:hAnsi="Times New Roman"/>
          <w:sz w:val="24"/>
        </w:rPr>
        <w:t>(2015) 254 CLR 489 at 503 [15</w:t>
      </w:r>
      <w:r w:rsidRPr="00635770" w:rsidDel="0027540D">
        <w:rPr>
          <w:rFonts w:ascii="Times New Roman" w:eastAsia="Calibri" w:hAnsi="Times New Roman"/>
          <w:sz w:val="24"/>
        </w:rPr>
        <w:t>]</w:t>
      </w:r>
      <w:r w:rsidRPr="00635770">
        <w:rPr>
          <w:rFonts w:ascii="Times New Roman" w:eastAsia="Calibri" w:hAnsi="Times New Roman"/>
          <w:sz w:val="24"/>
        </w:rPr>
        <w:t>.</w:t>
      </w:r>
    </w:p>
  </w:footnote>
  <w:footnote w:id="106">
    <w:p w14:paraId="25626EBC"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See, eg, </w:t>
      </w:r>
      <w:r w:rsidRPr="00635770">
        <w:rPr>
          <w:rFonts w:ascii="Times New Roman" w:hAnsi="Times New Roman"/>
          <w:i/>
          <w:sz w:val="24"/>
        </w:rPr>
        <w:t xml:space="preserve">Brisbane City Council </w:t>
      </w:r>
      <w:r w:rsidRPr="00635770">
        <w:rPr>
          <w:rFonts w:ascii="Times New Roman" w:hAnsi="Times New Roman"/>
          <w:sz w:val="24"/>
        </w:rPr>
        <w:t xml:space="preserve">(2019) 266 CLR 593 at 607-608 [25]-[26]; </w:t>
      </w:r>
      <w:proofErr w:type="spellStart"/>
      <w:r w:rsidRPr="00635770">
        <w:rPr>
          <w:rFonts w:ascii="Times New Roman" w:hAnsi="Times New Roman"/>
          <w:i/>
          <w:sz w:val="24"/>
        </w:rPr>
        <w:t>Jackmain</w:t>
      </w:r>
      <w:proofErr w:type="spellEnd"/>
      <w:r>
        <w:rPr>
          <w:rFonts w:ascii="Times New Roman" w:hAnsi="Times New Roman"/>
          <w:i/>
          <w:sz w:val="24"/>
        </w:rPr>
        <w:t> </w:t>
      </w:r>
      <w:r w:rsidRPr="00635770">
        <w:rPr>
          <w:rFonts w:ascii="Times New Roman" w:hAnsi="Times New Roman"/>
          <w:i/>
          <w:sz w:val="24"/>
        </w:rPr>
        <w:t xml:space="preserve">(a Pseudonym) v The Queen </w:t>
      </w:r>
      <w:r w:rsidRPr="00635770">
        <w:rPr>
          <w:rFonts w:ascii="Times New Roman" w:hAnsi="Times New Roman"/>
          <w:sz w:val="24"/>
        </w:rPr>
        <w:t>(2020) 102 NSWLR 847 at 888-889 [175].</w:t>
      </w:r>
    </w:p>
  </w:footnote>
  <w:footnote w:id="107">
    <w:p w14:paraId="4C3EE761"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See, </w:t>
      </w:r>
      <w:proofErr w:type="spellStart"/>
      <w:r w:rsidRPr="00635770">
        <w:rPr>
          <w:rFonts w:ascii="Times New Roman" w:hAnsi="Times New Roman"/>
          <w:sz w:val="24"/>
        </w:rPr>
        <w:t>eg</w:t>
      </w:r>
      <w:proofErr w:type="spellEnd"/>
      <w:r w:rsidRPr="00635770">
        <w:rPr>
          <w:rFonts w:ascii="Times New Roman" w:hAnsi="Times New Roman"/>
          <w:sz w:val="24"/>
        </w:rPr>
        <w:t xml:space="preserve">, </w:t>
      </w:r>
      <w:r w:rsidRPr="00635770">
        <w:rPr>
          <w:rFonts w:ascii="Times New Roman" w:hAnsi="Times New Roman"/>
          <w:i/>
          <w:sz w:val="24"/>
        </w:rPr>
        <w:t>Re Alcan</w:t>
      </w:r>
      <w:r w:rsidRPr="00635770" w:rsidDel="00D049B6">
        <w:rPr>
          <w:rFonts w:ascii="Times New Roman" w:hAnsi="Times New Roman"/>
          <w:sz w:val="24"/>
        </w:rPr>
        <w:t xml:space="preserve"> </w:t>
      </w:r>
      <w:r w:rsidRPr="00635770">
        <w:rPr>
          <w:rFonts w:ascii="Times New Roman" w:hAnsi="Times New Roman"/>
          <w:sz w:val="24"/>
        </w:rPr>
        <w:t xml:space="preserve">(1994) 181 CLR 96 at 107; </w:t>
      </w:r>
      <w:r w:rsidRPr="00635770">
        <w:rPr>
          <w:rFonts w:ascii="Times New Roman" w:eastAsia="Calibri" w:hAnsi="Times New Roman"/>
          <w:i/>
          <w:sz w:val="24"/>
        </w:rPr>
        <w:t xml:space="preserve">Fortress Credit </w:t>
      </w:r>
      <w:r w:rsidRPr="00635770">
        <w:rPr>
          <w:rFonts w:ascii="Times New Roman" w:eastAsia="Calibri" w:hAnsi="Times New Roman"/>
          <w:sz w:val="24"/>
        </w:rPr>
        <w:t xml:space="preserve">(2015) 254 CLR </w:t>
      </w:r>
      <w:r w:rsidRPr="00635770">
        <w:rPr>
          <w:rFonts w:ascii="Times New Roman" w:hAnsi="Times New Roman"/>
          <w:sz w:val="24"/>
        </w:rPr>
        <w:t>489</w:t>
      </w:r>
      <w:r w:rsidRPr="00635770">
        <w:rPr>
          <w:rFonts w:ascii="Times New Roman" w:eastAsia="Calibri" w:hAnsi="Times New Roman"/>
          <w:sz w:val="24"/>
        </w:rPr>
        <w:t xml:space="preserve"> at 503 [15]-[16].</w:t>
      </w:r>
    </w:p>
  </w:footnote>
  <w:footnote w:id="108">
    <w:p w14:paraId="243F6036"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i/>
          <w:sz w:val="24"/>
        </w:rPr>
        <w:t xml:space="preserve">Electrolux </w:t>
      </w:r>
      <w:r w:rsidRPr="00635770">
        <w:rPr>
          <w:rFonts w:ascii="Times New Roman" w:eastAsia="Calibri" w:hAnsi="Times New Roman"/>
          <w:sz w:val="24"/>
        </w:rPr>
        <w:t>(2004) 221 CLR 309 at</w:t>
      </w:r>
      <w:r w:rsidRPr="00635770" w:rsidDel="00BA7A23">
        <w:rPr>
          <w:rFonts w:ascii="Times New Roman" w:eastAsia="Calibri" w:hAnsi="Times New Roman"/>
          <w:sz w:val="24"/>
        </w:rPr>
        <w:t xml:space="preserve"> </w:t>
      </w:r>
      <w:r w:rsidRPr="00635770">
        <w:rPr>
          <w:rFonts w:ascii="Times New Roman" w:eastAsia="Calibri" w:hAnsi="Times New Roman"/>
          <w:sz w:val="24"/>
        </w:rPr>
        <w:t>324-325 [8], 346 [81], 370</w:t>
      </w:r>
      <w:r w:rsidRPr="00635770">
        <w:rPr>
          <w:rFonts w:ascii="Times New Roman" w:eastAsia="Calibri" w:hAnsi="Times New Roman"/>
          <w:sz w:val="24"/>
        </w:rPr>
        <w:noBreakHyphen/>
        <w:t>371 [</w:t>
      </w:r>
      <w:proofErr w:type="gramStart"/>
      <w:r w:rsidRPr="00635770">
        <w:rPr>
          <w:rFonts w:ascii="Times New Roman" w:eastAsia="Calibri" w:hAnsi="Times New Roman"/>
          <w:sz w:val="24"/>
        </w:rPr>
        <w:t>161]</w:t>
      </w:r>
      <w:r w:rsidRPr="00635770">
        <w:rPr>
          <w:rFonts w:ascii="Times New Roman" w:eastAsia="Calibri" w:hAnsi="Times New Roman"/>
          <w:sz w:val="24"/>
        </w:rPr>
        <w:noBreakHyphen/>
      </w:r>
      <w:proofErr w:type="gramEnd"/>
      <w:r w:rsidRPr="00635770">
        <w:rPr>
          <w:rFonts w:ascii="Times New Roman" w:eastAsia="Calibri" w:hAnsi="Times New Roman"/>
          <w:sz w:val="24"/>
        </w:rPr>
        <w:t>[162], 398</w:t>
      </w:r>
      <w:r>
        <w:rPr>
          <w:rFonts w:ascii="Times New Roman" w:eastAsia="Calibri" w:hAnsi="Times New Roman"/>
          <w:sz w:val="24"/>
        </w:rPr>
        <w:t> </w:t>
      </w:r>
      <w:r w:rsidRPr="00635770">
        <w:rPr>
          <w:rFonts w:ascii="Times New Roman" w:eastAsia="Calibri" w:hAnsi="Times New Roman"/>
          <w:sz w:val="24"/>
        </w:rPr>
        <w:t>[251].</w:t>
      </w:r>
      <w:r>
        <w:rPr>
          <w:rFonts w:ascii="Times New Roman" w:eastAsia="Calibri" w:hAnsi="Times New Roman"/>
          <w:sz w:val="24"/>
        </w:rPr>
        <w:t xml:space="preserve"> </w:t>
      </w:r>
      <w:r w:rsidRPr="00635770">
        <w:rPr>
          <w:rFonts w:ascii="Times New Roman" w:eastAsia="Calibri" w:hAnsi="Times New Roman"/>
          <w:sz w:val="24"/>
        </w:rPr>
        <w:t xml:space="preserve">See also </w:t>
      </w:r>
      <w:r w:rsidRPr="00635770">
        <w:rPr>
          <w:rFonts w:ascii="Times New Roman" w:eastAsia="Calibri" w:hAnsi="Times New Roman"/>
          <w:i/>
          <w:sz w:val="24"/>
        </w:rPr>
        <w:t>R v Commonwealth Court of Conciliation and Arbitration; Ex</w:t>
      </w:r>
      <w:r>
        <w:rPr>
          <w:rFonts w:ascii="Times New Roman" w:eastAsia="Calibri" w:hAnsi="Times New Roman"/>
          <w:i/>
          <w:sz w:val="24"/>
        </w:rPr>
        <w:t> </w:t>
      </w:r>
      <w:proofErr w:type="spellStart"/>
      <w:r w:rsidRPr="00635770">
        <w:rPr>
          <w:rFonts w:ascii="Times New Roman" w:eastAsia="Calibri" w:hAnsi="Times New Roman"/>
          <w:i/>
          <w:sz w:val="24"/>
        </w:rPr>
        <w:t>parte</w:t>
      </w:r>
      <w:proofErr w:type="spellEnd"/>
      <w:r w:rsidRPr="00635770">
        <w:rPr>
          <w:rFonts w:ascii="Times New Roman" w:eastAsia="Calibri" w:hAnsi="Times New Roman"/>
          <w:i/>
          <w:sz w:val="24"/>
        </w:rPr>
        <w:t xml:space="preserve"> Whybrow &amp; Co </w:t>
      </w:r>
      <w:r w:rsidRPr="00635770">
        <w:rPr>
          <w:rFonts w:ascii="Times New Roman" w:eastAsia="Calibri" w:hAnsi="Times New Roman"/>
          <w:sz w:val="24"/>
        </w:rPr>
        <w:t>(1910) 11 CLR 1 at 47.</w:t>
      </w:r>
    </w:p>
  </w:footnote>
  <w:footnote w:id="109">
    <w:p w14:paraId="2E5AC7A4"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i/>
          <w:sz w:val="24"/>
        </w:rPr>
        <w:t>Vella</w:t>
      </w:r>
      <w:r w:rsidRPr="00635770">
        <w:rPr>
          <w:rFonts w:ascii="Times New Roman" w:eastAsia="Calibri" w:hAnsi="Times New Roman"/>
          <w:sz w:val="24"/>
        </w:rPr>
        <w:t xml:space="preserve"> (2019) 93 ALJR 1236 at 1243-1244 [18]-[19], 1250 [52]; 374 ALR 1 at 6-7, 15-16.</w:t>
      </w:r>
    </w:p>
  </w:footnote>
  <w:footnote w:id="110">
    <w:p w14:paraId="6BA9B81D"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See, eg, </w:t>
      </w:r>
      <w:r w:rsidRPr="00635770">
        <w:rPr>
          <w:rFonts w:ascii="Times New Roman" w:hAnsi="Times New Roman"/>
          <w:i/>
          <w:sz w:val="24"/>
        </w:rPr>
        <w:t>Electrolux</w:t>
      </w:r>
      <w:r w:rsidRPr="00635770">
        <w:rPr>
          <w:rFonts w:ascii="Times New Roman" w:hAnsi="Times New Roman"/>
          <w:sz w:val="24"/>
        </w:rPr>
        <w:t xml:space="preserve"> (2004) 221 CLR 309 at 346-347 [81];</w:t>
      </w:r>
      <w:r w:rsidRPr="00635770">
        <w:rPr>
          <w:rFonts w:ascii="Times New Roman" w:eastAsia="Calibri" w:hAnsi="Times New Roman"/>
          <w:sz w:val="24"/>
        </w:rPr>
        <w:t xml:space="preserve"> </w:t>
      </w:r>
      <w:r w:rsidRPr="00635770">
        <w:rPr>
          <w:rFonts w:ascii="Times New Roman" w:eastAsia="Calibri" w:hAnsi="Times New Roman"/>
          <w:i/>
          <w:sz w:val="24"/>
        </w:rPr>
        <w:t xml:space="preserve">Fortress Credit </w:t>
      </w:r>
      <w:r w:rsidRPr="00635770">
        <w:rPr>
          <w:rFonts w:ascii="Times New Roman" w:eastAsia="Calibri" w:hAnsi="Times New Roman"/>
          <w:sz w:val="24"/>
        </w:rPr>
        <w:t xml:space="preserve">(2015) 254 CLR </w:t>
      </w:r>
      <w:r w:rsidRPr="00635770">
        <w:rPr>
          <w:rFonts w:ascii="Times New Roman" w:hAnsi="Times New Roman"/>
          <w:sz w:val="24"/>
        </w:rPr>
        <w:t>489</w:t>
      </w:r>
      <w:r w:rsidRPr="00635770">
        <w:rPr>
          <w:rFonts w:ascii="Times New Roman" w:eastAsia="Calibri" w:hAnsi="Times New Roman"/>
          <w:sz w:val="24"/>
        </w:rPr>
        <w:t xml:space="preserve"> at</w:t>
      </w:r>
      <w:r w:rsidRPr="00635770">
        <w:rPr>
          <w:rFonts w:ascii="Times New Roman" w:hAnsi="Times New Roman"/>
          <w:sz w:val="24"/>
        </w:rPr>
        <w:t xml:space="preserve"> 503 [16].</w:t>
      </w:r>
      <w:r>
        <w:rPr>
          <w:rFonts w:ascii="Times New Roman" w:hAnsi="Times New Roman"/>
          <w:sz w:val="24"/>
        </w:rPr>
        <w:t xml:space="preserve"> </w:t>
      </w:r>
      <w:r w:rsidRPr="00635770">
        <w:rPr>
          <w:rFonts w:ascii="Times New Roman" w:hAnsi="Times New Roman"/>
          <w:sz w:val="24"/>
        </w:rPr>
        <w:t xml:space="preserve">See also </w:t>
      </w:r>
      <w:r w:rsidRPr="00635770">
        <w:rPr>
          <w:rFonts w:ascii="Times New Roman" w:eastAsia="Calibri" w:hAnsi="Times New Roman"/>
          <w:sz w:val="24"/>
        </w:rPr>
        <w:t>Pearce</w:t>
      </w:r>
      <w:r w:rsidRPr="00635770">
        <w:rPr>
          <w:rFonts w:ascii="Times New Roman" w:hAnsi="Times New Roman"/>
          <w:sz w:val="24"/>
        </w:rPr>
        <w:t xml:space="preserve">, </w:t>
      </w:r>
      <w:r w:rsidRPr="00635770">
        <w:rPr>
          <w:rFonts w:ascii="Times New Roman" w:hAnsi="Times New Roman"/>
          <w:i/>
          <w:sz w:val="24"/>
        </w:rPr>
        <w:t>Statutory Interpretation in Australia</w:t>
      </w:r>
      <w:r w:rsidRPr="00635770">
        <w:rPr>
          <w:rFonts w:ascii="Times New Roman" w:hAnsi="Times New Roman"/>
          <w:sz w:val="24"/>
        </w:rPr>
        <w:t>, 9th</w:t>
      </w:r>
      <w:r>
        <w:rPr>
          <w:rFonts w:ascii="Times New Roman" w:hAnsi="Times New Roman"/>
          <w:sz w:val="24"/>
        </w:rPr>
        <w:t> </w:t>
      </w:r>
      <w:r w:rsidRPr="00635770">
        <w:rPr>
          <w:rFonts w:ascii="Times New Roman" w:hAnsi="Times New Roman"/>
          <w:sz w:val="24"/>
        </w:rPr>
        <w:t xml:space="preserve">ed (2019) at 127-128 [3.51]; </w:t>
      </w:r>
      <w:r w:rsidRPr="00635770">
        <w:rPr>
          <w:rFonts w:ascii="Times New Roman" w:eastAsia="Calibri" w:hAnsi="Times New Roman"/>
          <w:i/>
          <w:sz w:val="24"/>
        </w:rPr>
        <w:t xml:space="preserve">Zickar </w:t>
      </w:r>
      <w:r w:rsidRPr="00635770">
        <w:rPr>
          <w:rFonts w:ascii="Times New Roman" w:eastAsia="Calibri" w:hAnsi="Times New Roman"/>
          <w:sz w:val="24"/>
        </w:rPr>
        <w:t>(1996) 187 CLR 310 at 329, quoting</w:t>
      </w:r>
      <w:r>
        <w:rPr>
          <w:rFonts w:ascii="Times New Roman" w:eastAsia="Calibri" w:hAnsi="Times New Roman"/>
          <w:sz w:val="24"/>
        </w:rPr>
        <w:t> </w:t>
      </w:r>
      <w:r w:rsidRPr="00635770">
        <w:rPr>
          <w:rFonts w:ascii="Times New Roman" w:eastAsia="Calibri" w:hAnsi="Times New Roman"/>
          <w:i/>
          <w:sz w:val="24"/>
        </w:rPr>
        <w:t>Flaherty v Girgis</w:t>
      </w:r>
      <w:r w:rsidRPr="00635770">
        <w:rPr>
          <w:rFonts w:ascii="Times New Roman" w:eastAsia="Calibri" w:hAnsi="Times New Roman"/>
          <w:sz w:val="24"/>
        </w:rPr>
        <w:t xml:space="preserve"> (1987) 162 CLR 574 at 594.</w:t>
      </w:r>
      <w:r>
        <w:rPr>
          <w:rFonts w:ascii="Times New Roman" w:eastAsia="Calibri" w:hAnsi="Times New Roman"/>
          <w:sz w:val="24"/>
        </w:rPr>
        <w:t xml:space="preserve"> </w:t>
      </w:r>
    </w:p>
  </w:footnote>
  <w:footnote w:id="111">
    <w:p w14:paraId="6909330F"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i/>
          <w:sz w:val="24"/>
        </w:rPr>
        <w:t>Sentencing and Other Acts (Amendment) Act</w:t>
      </w:r>
      <w:r w:rsidRPr="00635770">
        <w:rPr>
          <w:rFonts w:ascii="Times New Roman" w:eastAsia="Calibri" w:hAnsi="Times New Roman"/>
          <w:sz w:val="24"/>
        </w:rPr>
        <w:t>, Sch 1, item 11.</w:t>
      </w:r>
    </w:p>
  </w:footnote>
  <w:footnote w:id="112">
    <w:p w14:paraId="20F8B07A"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Crimes Amendment (Gross Violence Offences) Act</w:t>
      </w:r>
      <w:r w:rsidRPr="00635770">
        <w:rPr>
          <w:rFonts w:ascii="Times New Roman" w:hAnsi="Times New Roman"/>
          <w:sz w:val="24"/>
        </w:rPr>
        <w:t>, s 3.</w:t>
      </w:r>
    </w:p>
  </w:footnote>
  <w:footnote w:id="113">
    <w:p w14:paraId="7F96EC9E"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i/>
          <w:sz w:val="24"/>
        </w:rPr>
        <w:t xml:space="preserve">Zickar </w:t>
      </w:r>
      <w:r w:rsidRPr="00635770">
        <w:rPr>
          <w:rFonts w:ascii="Times New Roman" w:eastAsia="Calibri" w:hAnsi="Times New Roman"/>
          <w:sz w:val="24"/>
        </w:rPr>
        <w:t xml:space="preserve">(1996) 187 CLR 310 at 329, </w:t>
      </w:r>
      <w:r w:rsidRPr="00635770">
        <w:rPr>
          <w:rFonts w:ascii="Times New Roman" w:hAnsi="Times New Roman"/>
          <w:sz w:val="24"/>
        </w:rPr>
        <w:t>quoting</w:t>
      </w:r>
      <w:r w:rsidRPr="00635770">
        <w:rPr>
          <w:rFonts w:ascii="Times New Roman" w:eastAsia="Calibri" w:hAnsi="Times New Roman"/>
          <w:sz w:val="24"/>
        </w:rPr>
        <w:t xml:space="preserve"> </w:t>
      </w:r>
      <w:r w:rsidRPr="00635770">
        <w:rPr>
          <w:rFonts w:ascii="Times New Roman" w:eastAsia="Calibri" w:hAnsi="Times New Roman"/>
          <w:i/>
          <w:sz w:val="24"/>
        </w:rPr>
        <w:t xml:space="preserve">Flaherty </w:t>
      </w:r>
      <w:r w:rsidRPr="00635770">
        <w:rPr>
          <w:rFonts w:ascii="Times New Roman" w:eastAsia="Calibri" w:hAnsi="Times New Roman"/>
          <w:sz w:val="24"/>
        </w:rPr>
        <w:t>(1987) 162 CLR 574 at 594.</w:t>
      </w:r>
    </w:p>
  </w:footnote>
  <w:footnote w:id="114">
    <w:p w14:paraId="5C00615B"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See </w:t>
      </w:r>
      <w:proofErr w:type="spellStart"/>
      <w:r w:rsidRPr="00635770">
        <w:rPr>
          <w:rFonts w:ascii="Times New Roman" w:hAnsi="Times New Roman"/>
          <w:sz w:val="24"/>
        </w:rPr>
        <w:t>fn</w:t>
      </w:r>
      <w:proofErr w:type="spellEnd"/>
      <w:r w:rsidRPr="00635770">
        <w:rPr>
          <w:rFonts w:ascii="Times New Roman" w:hAnsi="Times New Roman"/>
          <w:sz w:val="24"/>
        </w:rPr>
        <w:t xml:space="preserve"> </w:t>
      </w:r>
      <w:r>
        <w:rPr>
          <w:rFonts w:ascii="Times New Roman" w:hAnsi="Times New Roman"/>
          <w:sz w:val="24"/>
        </w:rPr>
        <w:t>74</w:t>
      </w:r>
      <w:r w:rsidRPr="00635770">
        <w:rPr>
          <w:rFonts w:ascii="Times New Roman" w:hAnsi="Times New Roman"/>
          <w:sz w:val="24"/>
        </w:rPr>
        <w:t xml:space="preserve"> above.</w:t>
      </w:r>
    </w:p>
  </w:footnote>
  <w:footnote w:id="115">
    <w:p w14:paraId="15A3D8EC"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See, eg, Victoria, Legislative Council, </w:t>
      </w:r>
      <w:r w:rsidRPr="00635770">
        <w:rPr>
          <w:rFonts w:ascii="Times New Roman" w:hAnsi="Times New Roman"/>
          <w:i/>
          <w:sz w:val="24"/>
        </w:rPr>
        <w:t xml:space="preserve">Parliamentary Debates </w:t>
      </w:r>
      <w:r w:rsidRPr="00635770">
        <w:rPr>
          <w:rFonts w:ascii="Times New Roman" w:hAnsi="Times New Roman"/>
          <w:sz w:val="24"/>
        </w:rPr>
        <w:t xml:space="preserve">(Hansard), 27 May 1997 at 1058; Sentencing Advisory Council, </w:t>
      </w:r>
      <w:r w:rsidRPr="00635770">
        <w:rPr>
          <w:rFonts w:ascii="Times New Roman" w:hAnsi="Times New Roman"/>
          <w:i/>
          <w:sz w:val="24"/>
        </w:rPr>
        <w:t>Statutory Minimum Sentences for Gross Violence Offences</w:t>
      </w:r>
      <w:r w:rsidRPr="00635770">
        <w:rPr>
          <w:rFonts w:ascii="Times New Roman" w:hAnsi="Times New Roman"/>
          <w:sz w:val="24"/>
        </w:rPr>
        <w:t xml:space="preserve"> (2011) at vii.</w:t>
      </w:r>
    </w:p>
  </w:footnote>
  <w:footnote w:id="116">
    <w:p w14:paraId="49C588AF"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Re Alcan</w:t>
      </w:r>
      <w:r w:rsidRPr="00635770">
        <w:rPr>
          <w:rFonts w:ascii="Times New Roman" w:hAnsi="Times New Roman"/>
          <w:sz w:val="24"/>
        </w:rPr>
        <w:t xml:space="preserve"> (1994) 181 CLR 96 at 107; </w:t>
      </w:r>
      <w:r w:rsidRPr="00635770">
        <w:rPr>
          <w:rFonts w:ascii="Times New Roman" w:eastAsia="Calibri" w:hAnsi="Times New Roman"/>
          <w:i/>
          <w:sz w:val="24"/>
        </w:rPr>
        <w:t xml:space="preserve">Fortress Credit </w:t>
      </w:r>
      <w:r w:rsidRPr="00635770">
        <w:rPr>
          <w:rFonts w:ascii="Times New Roman" w:eastAsia="Calibri" w:hAnsi="Times New Roman"/>
          <w:sz w:val="24"/>
        </w:rPr>
        <w:t>(2015) 254 CLR 489 at 503 [15]-[16].</w:t>
      </w:r>
    </w:p>
  </w:footnote>
  <w:footnote w:id="117">
    <w:p w14:paraId="3A198F32"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sz w:val="24"/>
        </w:rPr>
        <w:t xml:space="preserve">(2004) 221 CLR 309 at 346-347 [81], quoted in </w:t>
      </w:r>
      <w:r w:rsidRPr="00635770">
        <w:rPr>
          <w:rFonts w:ascii="Times New Roman" w:eastAsia="Calibri" w:hAnsi="Times New Roman"/>
          <w:i/>
          <w:sz w:val="24"/>
        </w:rPr>
        <w:t xml:space="preserve">Fortress Credit </w:t>
      </w:r>
      <w:r w:rsidRPr="00635770">
        <w:rPr>
          <w:rFonts w:ascii="Times New Roman" w:eastAsia="Calibri" w:hAnsi="Times New Roman"/>
          <w:sz w:val="24"/>
        </w:rPr>
        <w:t>(2015) 254 CLR 489 at 502 [15].</w:t>
      </w:r>
      <w:r>
        <w:rPr>
          <w:rFonts w:ascii="Times New Roman" w:eastAsia="Calibri" w:hAnsi="Times New Roman"/>
          <w:sz w:val="24"/>
        </w:rPr>
        <w:t xml:space="preserve"> </w:t>
      </w:r>
      <w:r w:rsidRPr="00635770">
        <w:rPr>
          <w:rFonts w:ascii="Times New Roman" w:eastAsia="Calibri" w:hAnsi="Times New Roman"/>
          <w:sz w:val="24"/>
        </w:rPr>
        <w:t xml:space="preserve">See also </w:t>
      </w:r>
      <w:proofErr w:type="spellStart"/>
      <w:r w:rsidRPr="00635770">
        <w:rPr>
          <w:rFonts w:ascii="Times New Roman" w:hAnsi="Times New Roman"/>
          <w:i/>
          <w:sz w:val="24"/>
        </w:rPr>
        <w:t>Jackmain</w:t>
      </w:r>
      <w:proofErr w:type="spellEnd"/>
      <w:r w:rsidRPr="00635770">
        <w:rPr>
          <w:rFonts w:ascii="Times New Roman" w:hAnsi="Times New Roman"/>
          <w:i/>
          <w:sz w:val="24"/>
        </w:rPr>
        <w:t xml:space="preserve"> </w:t>
      </w:r>
      <w:r w:rsidRPr="00635770">
        <w:rPr>
          <w:rFonts w:ascii="Times New Roman" w:hAnsi="Times New Roman"/>
          <w:sz w:val="24"/>
        </w:rPr>
        <w:t>(2020) 102 NSWLR 847 at 888-889 [175].</w:t>
      </w:r>
    </w:p>
  </w:footnote>
  <w:footnote w:id="118">
    <w:p w14:paraId="0197410B"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i/>
          <w:sz w:val="24"/>
        </w:rPr>
        <w:t xml:space="preserve">Electrolux </w:t>
      </w:r>
      <w:r w:rsidRPr="00635770">
        <w:rPr>
          <w:rFonts w:ascii="Times New Roman" w:eastAsia="Calibri" w:hAnsi="Times New Roman"/>
          <w:sz w:val="24"/>
        </w:rPr>
        <w:t>(2004) 221 CLR 309 at 347 [81].</w:t>
      </w:r>
    </w:p>
  </w:footnote>
  <w:footnote w:id="119">
    <w:p w14:paraId="22A6E83D"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Victorian Community Council Against Violence, </w:t>
      </w:r>
      <w:r w:rsidRPr="00635770">
        <w:rPr>
          <w:rFonts w:ascii="Times New Roman" w:hAnsi="Times New Roman"/>
          <w:i/>
          <w:sz w:val="24"/>
        </w:rPr>
        <w:t>Community Knowledge and Perceptions of Sentencing in Victoria:</w:t>
      </w:r>
      <w:r>
        <w:rPr>
          <w:rFonts w:ascii="Times New Roman" w:hAnsi="Times New Roman"/>
          <w:i/>
          <w:sz w:val="24"/>
        </w:rPr>
        <w:t xml:space="preserve"> </w:t>
      </w:r>
      <w:r w:rsidRPr="00635770">
        <w:rPr>
          <w:rFonts w:ascii="Times New Roman" w:hAnsi="Times New Roman"/>
          <w:i/>
          <w:sz w:val="24"/>
        </w:rPr>
        <w:t>A Report on the Findings of the Consultations</w:t>
      </w:r>
      <w:r w:rsidRPr="00635770">
        <w:rPr>
          <w:rFonts w:ascii="Times New Roman" w:hAnsi="Times New Roman"/>
          <w:sz w:val="24"/>
        </w:rPr>
        <w:t xml:space="preserve"> (1997) at viii-xv; </w:t>
      </w:r>
      <w:r w:rsidRPr="00635770">
        <w:rPr>
          <w:rFonts w:ascii="Times New Roman" w:eastAsia="Calibri" w:hAnsi="Times New Roman"/>
          <w:sz w:val="24"/>
        </w:rPr>
        <w:t xml:space="preserve">Sentencing Advisory Council, </w:t>
      </w:r>
      <w:r w:rsidRPr="00635770">
        <w:rPr>
          <w:rFonts w:ascii="Times New Roman" w:hAnsi="Times New Roman"/>
          <w:i/>
          <w:sz w:val="24"/>
        </w:rPr>
        <w:t>Statutory</w:t>
      </w:r>
      <w:r w:rsidRPr="00635770">
        <w:rPr>
          <w:rFonts w:ascii="Times New Roman" w:eastAsia="Calibri" w:hAnsi="Times New Roman"/>
          <w:i/>
          <w:sz w:val="24"/>
        </w:rPr>
        <w:t xml:space="preserve"> Minimum Sentences for Gross Violence Offences </w:t>
      </w:r>
      <w:r w:rsidRPr="00635770">
        <w:rPr>
          <w:rFonts w:ascii="Times New Roman" w:eastAsia="Calibri" w:hAnsi="Times New Roman"/>
          <w:sz w:val="24"/>
        </w:rPr>
        <w:t>(2011) at vii</w:t>
      </w:r>
      <w:r w:rsidRPr="00635770">
        <w:rPr>
          <w:rFonts w:ascii="Times New Roman" w:hAnsi="Times New Roman"/>
          <w:sz w:val="24"/>
        </w:rPr>
        <w:t>.</w:t>
      </w:r>
    </w:p>
  </w:footnote>
  <w:footnote w:id="120">
    <w:p w14:paraId="78282A33"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sz w:val="24"/>
        </w:rPr>
        <w:t xml:space="preserve">See, eg, </w:t>
      </w:r>
      <w:r w:rsidRPr="00635770">
        <w:rPr>
          <w:rFonts w:ascii="Times New Roman" w:hAnsi="Times New Roman"/>
          <w:i/>
          <w:sz w:val="24"/>
        </w:rPr>
        <w:t xml:space="preserve">Platz </w:t>
      </w:r>
      <w:r w:rsidRPr="00635770">
        <w:rPr>
          <w:rFonts w:ascii="Times New Roman" w:hAnsi="Times New Roman"/>
          <w:sz w:val="24"/>
        </w:rPr>
        <w:t>(1943) 68 CLR 133 at</w:t>
      </w:r>
      <w:r w:rsidRPr="00635770">
        <w:rPr>
          <w:rFonts w:ascii="Times New Roman" w:hAnsi="Times New Roman"/>
          <w:i/>
          <w:sz w:val="24"/>
        </w:rPr>
        <w:t xml:space="preserve"> </w:t>
      </w:r>
      <w:r w:rsidRPr="00635770">
        <w:rPr>
          <w:rFonts w:ascii="Times New Roman" w:hAnsi="Times New Roman"/>
          <w:sz w:val="24"/>
        </w:rPr>
        <w:t>145-146,</w:t>
      </w:r>
      <w:r w:rsidRPr="00635770">
        <w:rPr>
          <w:rFonts w:ascii="Times New Roman" w:hAnsi="Times New Roman"/>
          <w:i/>
          <w:sz w:val="24"/>
        </w:rPr>
        <w:t xml:space="preserve"> </w:t>
      </w:r>
      <w:r w:rsidRPr="00635770">
        <w:rPr>
          <w:rFonts w:ascii="Times New Roman" w:hAnsi="Times New Roman"/>
          <w:sz w:val="24"/>
        </w:rPr>
        <w:t xml:space="preserve">146-147; </w:t>
      </w:r>
      <w:r w:rsidRPr="00635770">
        <w:rPr>
          <w:rFonts w:ascii="Times New Roman" w:hAnsi="Times New Roman"/>
          <w:i/>
          <w:sz w:val="24"/>
        </w:rPr>
        <w:t xml:space="preserve">Thompson v Judge Byrne </w:t>
      </w:r>
      <w:r w:rsidRPr="00635770">
        <w:rPr>
          <w:rFonts w:ascii="Times New Roman" w:hAnsi="Times New Roman"/>
          <w:sz w:val="24"/>
        </w:rPr>
        <w:t>(1999) 196 CLR 141 at 157 [40]</w:t>
      </w:r>
      <w:r w:rsidRPr="00635770">
        <w:rPr>
          <w:rFonts w:ascii="Times New Roman" w:eastAsia="Calibri" w:hAnsi="Times New Roman"/>
          <w:sz w:val="24"/>
        </w:rPr>
        <w:t>.</w:t>
      </w:r>
    </w:p>
  </w:footnote>
  <w:footnote w:id="121">
    <w:p w14:paraId="37E7DB27"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sz w:val="24"/>
        </w:rPr>
        <w:t>(2015) 254 CLR 489 at 503 [16].</w:t>
      </w:r>
    </w:p>
  </w:footnote>
  <w:footnote w:id="122">
    <w:p w14:paraId="54CF49B3"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sz w:val="24"/>
        </w:rPr>
        <w:t xml:space="preserve">Sentencing Advisory Council, </w:t>
      </w:r>
      <w:r w:rsidRPr="00635770">
        <w:rPr>
          <w:rFonts w:ascii="Times New Roman" w:hAnsi="Times New Roman"/>
          <w:i/>
          <w:sz w:val="24"/>
        </w:rPr>
        <w:t>Statutory</w:t>
      </w:r>
      <w:r w:rsidRPr="00635770">
        <w:rPr>
          <w:rFonts w:ascii="Times New Roman" w:eastAsia="Calibri" w:hAnsi="Times New Roman"/>
          <w:i/>
          <w:sz w:val="24"/>
        </w:rPr>
        <w:t xml:space="preserve"> Minimum Sentences for Gross Violence Offences </w:t>
      </w:r>
      <w:r w:rsidRPr="00635770">
        <w:rPr>
          <w:rFonts w:ascii="Times New Roman" w:eastAsia="Calibri" w:hAnsi="Times New Roman"/>
          <w:sz w:val="24"/>
        </w:rPr>
        <w:t>(2011) at 4 [1.20].</w:t>
      </w:r>
    </w:p>
  </w:footnote>
  <w:footnote w:id="123">
    <w:p w14:paraId="2F4B2C66"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eastAsia="Calibri" w:hAnsi="Times New Roman"/>
          <w:i/>
          <w:sz w:val="24"/>
        </w:rPr>
        <w:t>Crimes Act 1900</w:t>
      </w:r>
      <w:r w:rsidRPr="00635770">
        <w:rPr>
          <w:rFonts w:ascii="Times New Roman" w:eastAsia="Calibri" w:hAnsi="Times New Roman"/>
          <w:sz w:val="24"/>
        </w:rPr>
        <w:t xml:space="preserve"> (NSW), s 35(2).</w:t>
      </w:r>
    </w:p>
  </w:footnote>
  <w:footnote w:id="124">
    <w:p w14:paraId="71F30CC2"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t xml:space="preserve">See </w:t>
      </w:r>
      <w:proofErr w:type="spellStart"/>
      <w:r w:rsidRPr="00635770">
        <w:rPr>
          <w:rFonts w:ascii="Times New Roman" w:hAnsi="Times New Roman"/>
          <w:sz w:val="24"/>
        </w:rPr>
        <w:t>fn</w:t>
      </w:r>
      <w:proofErr w:type="spellEnd"/>
      <w:r w:rsidRPr="00635770">
        <w:rPr>
          <w:rFonts w:ascii="Times New Roman" w:hAnsi="Times New Roman"/>
          <w:sz w:val="24"/>
        </w:rPr>
        <w:t xml:space="preserve"> </w:t>
      </w:r>
      <w:r>
        <w:rPr>
          <w:rFonts w:ascii="Times New Roman" w:hAnsi="Times New Roman"/>
          <w:sz w:val="24"/>
        </w:rPr>
        <w:t>74</w:t>
      </w:r>
      <w:r w:rsidRPr="00635770">
        <w:rPr>
          <w:rFonts w:ascii="Times New Roman" w:hAnsi="Times New Roman"/>
          <w:sz w:val="24"/>
        </w:rPr>
        <w:t xml:space="preserve"> above.</w:t>
      </w:r>
    </w:p>
  </w:footnote>
  <w:footnote w:id="125">
    <w:p w14:paraId="143D682A"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 xml:space="preserve">Babaniaris v Lutony Fashions Pty Ltd </w:t>
      </w:r>
      <w:r w:rsidRPr="00635770">
        <w:rPr>
          <w:rFonts w:ascii="Times New Roman" w:hAnsi="Times New Roman"/>
          <w:sz w:val="24"/>
        </w:rPr>
        <w:t>(1987) 163 CLR 1 at 13</w:t>
      </w:r>
      <w:r w:rsidRPr="00635770">
        <w:rPr>
          <w:rFonts w:ascii="Times New Roman" w:hAnsi="Times New Roman"/>
          <w:sz w:val="24"/>
        </w:rPr>
        <w:noBreakHyphen/>
        <w:t>14, 22-23</w:t>
      </w:r>
      <w:r w:rsidRPr="00635770">
        <w:rPr>
          <w:rFonts w:ascii="Times New Roman" w:eastAsia="Calibri" w:hAnsi="Times New Roman"/>
          <w:sz w:val="24"/>
        </w:rPr>
        <w:t>.</w:t>
      </w:r>
    </w:p>
  </w:footnote>
  <w:footnote w:id="126">
    <w:p w14:paraId="12D1C623" w14:textId="77777777" w:rsidR="00D14D89" w:rsidRPr="00635770" w:rsidRDefault="00D14D89" w:rsidP="00635770">
      <w:pPr>
        <w:pStyle w:val="FootnoteText"/>
        <w:spacing w:line="280" w:lineRule="exact"/>
        <w:ind w:right="0"/>
        <w:jc w:val="both"/>
        <w:rPr>
          <w:rFonts w:ascii="Times New Roman" w:hAnsi="Times New Roman"/>
          <w:sz w:val="24"/>
        </w:rPr>
      </w:pPr>
      <w:r w:rsidRPr="00635770">
        <w:rPr>
          <w:rStyle w:val="FootnoteReference"/>
          <w:rFonts w:ascii="Times New Roman" w:hAnsi="Times New Roman"/>
          <w:sz w:val="22"/>
          <w:vertAlign w:val="baseline"/>
        </w:rPr>
        <w:footnoteRef/>
      </w:r>
      <w:r w:rsidRPr="00635770">
        <w:rPr>
          <w:rFonts w:ascii="Times New Roman" w:hAnsi="Times New Roman"/>
          <w:sz w:val="24"/>
        </w:rPr>
        <w:t xml:space="preserve"> </w:t>
      </w:r>
      <w:r w:rsidRPr="00635770">
        <w:rPr>
          <w:rFonts w:ascii="Times New Roman" w:hAnsi="Times New Roman"/>
          <w:sz w:val="24"/>
        </w:rPr>
        <w:tab/>
      </w:r>
      <w:r w:rsidRPr="00635770">
        <w:rPr>
          <w:rFonts w:ascii="Times New Roman" w:hAnsi="Times New Roman"/>
          <w:i/>
          <w:sz w:val="24"/>
        </w:rPr>
        <w:t>Giannarelli v Wraith</w:t>
      </w:r>
      <w:r w:rsidRPr="00635770">
        <w:rPr>
          <w:rFonts w:ascii="Times New Roman" w:hAnsi="Times New Roman"/>
          <w:sz w:val="24"/>
        </w:rPr>
        <w:t xml:space="preserve"> (1988) </w:t>
      </w:r>
      <w:r w:rsidRPr="00635770">
        <w:rPr>
          <w:rFonts w:ascii="Times New Roman" w:eastAsia="Calibri" w:hAnsi="Times New Roman"/>
          <w:sz w:val="24"/>
        </w:rPr>
        <w:t>165</w:t>
      </w:r>
      <w:r w:rsidRPr="00635770">
        <w:rPr>
          <w:rFonts w:ascii="Times New Roman" w:hAnsi="Times New Roman"/>
          <w:sz w:val="24"/>
        </w:rPr>
        <w:t xml:space="preserve"> CLR 543 at 584-586; </w:t>
      </w:r>
      <w:r w:rsidRPr="00635770">
        <w:rPr>
          <w:rFonts w:ascii="Times New Roman" w:hAnsi="Times New Roman"/>
          <w:i/>
          <w:sz w:val="24"/>
        </w:rPr>
        <w:t>Kleinwort Benson Ltd v Lincoln City Council</w:t>
      </w:r>
      <w:r w:rsidRPr="00635770">
        <w:rPr>
          <w:rFonts w:ascii="Times New Roman" w:hAnsi="Times New Roman"/>
          <w:sz w:val="24"/>
        </w:rPr>
        <w:t xml:space="preserve"> [1999] 2 AC 349 at 358</w:t>
      </w:r>
      <w:r w:rsidRPr="00635770">
        <w:rPr>
          <w:rFonts w:ascii="Times New Roman" w:hAnsi="Times New Roman"/>
          <w:sz w:val="24"/>
        </w:rPr>
        <w:noBreakHyphen/>
        <w:t>359.</w:t>
      </w:r>
    </w:p>
  </w:footnote>
  <w:footnote w:id="127">
    <w:p w14:paraId="35C19B5A"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sz w:val="24"/>
        </w:rPr>
        <w:t>Director of Public Prosecutions Reference (No 1 of 2019)</w:t>
      </w:r>
      <w:r w:rsidRPr="00F22259">
        <w:rPr>
          <w:rFonts w:ascii="Times New Roman" w:hAnsi="Times New Roman"/>
          <w:sz w:val="24"/>
        </w:rPr>
        <w:t xml:space="preserve"> (2020) 284 A Crim R 19.</w:t>
      </w:r>
    </w:p>
  </w:footnote>
  <w:footnote w:id="128">
    <w:p w14:paraId="5F71A71C"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See </w:t>
      </w:r>
      <w:r w:rsidRPr="00F22259">
        <w:rPr>
          <w:rFonts w:ascii="Times New Roman" w:hAnsi="Times New Roman"/>
          <w:i/>
          <w:sz w:val="24"/>
        </w:rPr>
        <w:t>Criminal Procedure Act 2009</w:t>
      </w:r>
      <w:r w:rsidRPr="00F22259">
        <w:rPr>
          <w:rFonts w:ascii="Times New Roman" w:hAnsi="Times New Roman"/>
          <w:sz w:val="24"/>
        </w:rPr>
        <w:t> (Vic), s 308.</w:t>
      </w:r>
    </w:p>
  </w:footnote>
  <w:footnote w:id="129">
    <w:p w14:paraId="2624BEBB"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(2017) 260 CLR 305.</w:t>
      </w:r>
    </w:p>
  </w:footnote>
  <w:footnote w:id="130">
    <w:p w14:paraId="6AB5D270"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[1997] 2 VR 585.</w:t>
      </w:r>
    </w:p>
  </w:footnote>
  <w:footnote w:id="131">
    <w:p w14:paraId="5C570FF7"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Crimes (Amendment) Act 1985</w:t>
      </w:r>
      <w:r w:rsidRPr="00F22259">
        <w:rPr>
          <w:rFonts w:ascii="Times New Roman" w:hAnsi="Times New Roman"/>
          <w:iCs/>
          <w:sz w:val="24"/>
        </w:rPr>
        <w:t> </w:t>
      </w:r>
      <w:r w:rsidRPr="00F22259">
        <w:rPr>
          <w:rFonts w:ascii="Times New Roman" w:hAnsi="Times New Roman"/>
          <w:sz w:val="24"/>
        </w:rPr>
        <w:t>(Vic), s 8.</w:t>
      </w:r>
    </w:p>
  </w:footnote>
  <w:footnote w:id="132">
    <w:p w14:paraId="130C6B8C"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Aid/Watch Inc v Federal Commissioner of Taxation </w:t>
      </w:r>
      <w:r w:rsidRPr="00F22259">
        <w:rPr>
          <w:rFonts w:ascii="Times New Roman" w:hAnsi="Times New Roman"/>
          <w:sz w:val="24"/>
        </w:rPr>
        <w:t>(2010) 241 CLR 539 at 549 [23].</w:t>
      </w:r>
    </w:p>
  </w:footnote>
  <w:footnote w:id="133">
    <w:p w14:paraId="5E869427"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See, for instance, </w:t>
      </w:r>
      <w:r w:rsidRPr="00F22259">
        <w:rPr>
          <w:rFonts w:ascii="Times New Roman" w:hAnsi="Times New Roman"/>
          <w:i/>
          <w:iCs/>
          <w:sz w:val="24"/>
        </w:rPr>
        <w:t xml:space="preserve">Bell Lawyers Pty Ltd v </w:t>
      </w:r>
      <w:proofErr w:type="spellStart"/>
      <w:r w:rsidRPr="00F22259">
        <w:rPr>
          <w:rFonts w:ascii="Times New Roman" w:hAnsi="Times New Roman"/>
          <w:i/>
          <w:iCs/>
          <w:sz w:val="24"/>
        </w:rPr>
        <w:t>Pentelow</w:t>
      </w:r>
      <w:proofErr w:type="spellEnd"/>
      <w:r w:rsidRPr="00F22259">
        <w:rPr>
          <w:rFonts w:ascii="Times New Roman" w:hAnsi="Times New Roman"/>
          <w:i/>
          <w:iCs/>
          <w:sz w:val="24"/>
        </w:rPr>
        <w:t xml:space="preserve"> </w:t>
      </w:r>
      <w:r w:rsidRPr="00F22259">
        <w:rPr>
          <w:rFonts w:ascii="Times New Roman" w:hAnsi="Times New Roman"/>
          <w:sz w:val="24"/>
        </w:rPr>
        <w:t>(2019) 93 ALJR 1007 at 1021</w:t>
      </w:r>
      <w:r w:rsidRPr="00F22259">
        <w:rPr>
          <w:rFonts w:ascii="Times New Roman" w:hAnsi="Times New Roman"/>
          <w:sz w:val="24"/>
        </w:rPr>
        <w:noBreakHyphen/>
        <w:t>1022 [63], 1026 [82]-[83], 1028 [93]; 372 ALR 555 at 569</w:t>
      </w:r>
      <w:r w:rsidRPr="00F22259">
        <w:rPr>
          <w:rFonts w:ascii="Times New Roman" w:hAnsi="Times New Roman"/>
          <w:sz w:val="24"/>
        </w:rPr>
        <w:noBreakHyphen/>
        <w:t>570, 575</w:t>
      </w:r>
      <w:r w:rsidRPr="00F22259">
        <w:rPr>
          <w:rFonts w:ascii="Times New Roman" w:hAnsi="Times New Roman"/>
          <w:sz w:val="24"/>
        </w:rPr>
        <w:noBreakHyphen/>
        <w:t>576, 578.</w:t>
      </w:r>
    </w:p>
  </w:footnote>
  <w:footnote w:id="134">
    <w:p w14:paraId="6BEE8225"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There was no issue in </w:t>
      </w:r>
      <w:r w:rsidRPr="00F22259">
        <w:rPr>
          <w:rFonts w:ascii="Times New Roman" w:hAnsi="Times New Roman"/>
          <w:i/>
          <w:sz w:val="24"/>
        </w:rPr>
        <w:t>Aubrey</w:t>
      </w:r>
      <w:r w:rsidRPr="00F22259">
        <w:rPr>
          <w:rFonts w:ascii="Times New Roman" w:hAnsi="Times New Roman"/>
          <w:sz w:val="24"/>
        </w:rPr>
        <w:t xml:space="preserve">, nor in this case, concerning whether foresight of the possibility of harm requires foresight of harm generally or harm of the same kind that occurred: see </w:t>
      </w:r>
      <w:r w:rsidRPr="00F22259">
        <w:rPr>
          <w:rFonts w:ascii="Times New Roman" w:hAnsi="Times New Roman"/>
          <w:i/>
          <w:iCs/>
          <w:sz w:val="24"/>
        </w:rPr>
        <w:t xml:space="preserve">Vallance v The Queen </w:t>
      </w:r>
      <w:r w:rsidRPr="00F22259">
        <w:rPr>
          <w:rFonts w:ascii="Times New Roman" w:hAnsi="Times New Roman"/>
          <w:sz w:val="24"/>
        </w:rPr>
        <w:t>(1961) 108 CLR 56 at 59.</w:t>
      </w:r>
    </w:p>
  </w:footnote>
  <w:footnote w:id="135">
    <w:p w14:paraId="3803A773"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[1997] 2 VR 585.</w:t>
      </w:r>
    </w:p>
  </w:footnote>
  <w:footnote w:id="136">
    <w:p w14:paraId="7F3BB0BA" w14:textId="77777777" w:rsidR="004933DB" w:rsidRPr="00F22259" w:rsidRDefault="004933DB" w:rsidP="00F22259">
      <w:pPr>
        <w:pStyle w:val="FootnoteText"/>
        <w:spacing w:line="280" w:lineRule="exact"/>
        <w:ind w:right="0"/>
        <w:jc w:val="both"/>
        <w:rPr>
          <w:rFonts w:ascii="Times New Roman" w:hAnsi="Times New Roman"/>
          <w:i/>
          <w:iCs/>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See </w:t>
      </w:r>
      <w:r w:rsidRPr="00F22259">
        <w:rPr>
          <w:rFonts w:ascii="Times New Roman" w:hAnsi="Times New Roman"/>
          <w:i/>
          <w:iCs/>
          <w:sz w:val="24"/>
        </w:rPr>
        <w:t xml:space="preserve">R v A2 </w:t>
      </w:r>
      <w:r w:rsidRPr="00F22259">
        <w:rPr>
          <w:rFonts w:ascii="Times New Roman" w:hAnsi="Times New Roman"/>
          <w:sz w:val="24"/>
        </w:rPr>
        <w:t>(2019) 93 ALJR 1106 at 1141 [173]; 373 ALR 214 at 257.</w:t>
      </w:r>
    </w:p>
  </w:footnote>
  <w:footnote w:id="137">
    <w:p w14:paraId="2FF7DA7D"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See </w:t>
      </w:r>
      <w:r w:rsidRPr="00F22259">
        <w:rPr>
          <w:rFonts w:ascii="Times New Roman" w:hAnsi="Times New Roman"/>
          <w:i/>
          <w:iCs/>
          <w:sz w:val="24"/>
        </w:rPr>
        <w:t>Aubrey v The Queen</w:t>
      </w:r>
      <w:r w:rsidRPr="00F22259">
        <w:rPr>
          <w:rFonts w:ascii="Times New Roman" w:hAnsi="Times New Roman"/>
          <w:sz w:val="24"/>
        </w:rPr>
        <w:t xml:space="preserve"> (2017) 260 CLR 305 at 320 [24].</w:t>
      </w:r>
    </w:p>
  </w:footnote>
  <w:footnote w:id="138">
    <w:p w14:paraId="5285BE42"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Including a meaning that had been judicially attributed prior to the re-enactment. See </w:t>
      </w:r>
      <w:r w:rsidRPr="00F22259">
        <w:rPr>
          <w:rFonts w:ascii="Times New Roman" w:hAnsi="Times New Roman"/>
          <w:i/>
          <w:iCs/>
          <w:sz w:val="24"/>
        </w:rPr>
        <w:t xml:space="preserve">Re Alcan Australia Ltd; Ex </w:t>
      </w:r>
      <w:proofErr w:type="spellStart"/>
      <w:r w:rsidRPr="00F22259">
        <w:rPr>
          <w:rFonts w:ascii="Times New Roman" w:hAnsi="Times New Roman"/>
          <w:i/>
          <w:iCs/>
          <w:sz w:val="24"/>
        </w:rPr>
        <w:t>parte</w:t>
      </w:r>
      <w:proofErr w:type="spellEnd"/>
      <w:r w:rsidRPr="00F22259">
        <w:rPr>
          <w:rFonts w:ascii="Times New Roman" w:hAnsi="Times New Roman"/>
          <w:i/>
          <w:iCs/>
          <w:sz w:val="24"/>
        </w:rPr>
        <w:t xml:space="preserve"> Federation of Industrial, Manufacturing and Engineering Employees</w:t>
      </w:r>
      <w:r w:rsidRPr="00F22259">
        <w:rPr>
          <w:rFonts w:ascii="Times New Roman" w:hAnsi="Times New Roman"/>
          <w:sz w:val="24"/>
        </w:rPr>
        <w:t xml:space="preserve"> (1994) 181 CLR 96 at 106.</w:t>
      </w:r>
    </w:p>
  </w:footnote>
  <w:footnote w:id="139">
    <w:p w14:paraId="6FE0C370"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(2017) 260 CLR 305.</w:t>
      </w:r>
    </w:p>
  </w:footnote>
  <w:footnote w:id="140">
    <w:p w14:paraId="1CB69B3F"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(2017) 260 CLR 305 at 327</w:t>
      </w:r>
      <w:r w:rsidRPr="00F22259">
        <w:rPr>
          <w:rFonts w:ascii="Times New Roman" w:hAnsi="Times New Roman"/>
          <w:sz w:val="24"/>
        </w:rPr>
        <w:noBreakHyphen/>
        <w:t>328 [44].</w:t>
      </w:r>
    </w:p>
  </w:footnote>
  <w:footnote w:id="141">
    <w:p w14:paraId="246E8798"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(2017) 260 CLR 305 at 331 [53].</w:t>
      </w:r>
    </w:p>
  </w:footnote>
  <w:footnote w:id="142">
    <w:p w14:paraId="3F54A58A"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See Stephen and Oliver, </w:t>
      </w:r>
      <w:r w:rsidRPr="00F22259">
        <w:rPr>
          <w:rFonts w:ascii="Times New Roman" w:hAnsi="Times New Roman"/>
          <w:i/>
          <w:iCs/>
          <w:sz w:val="24"/>
        </w:rPr>
        <w:t>Criminal Law Manual Comprising the Criminal Law Amendment Act of 1883</w:t>
      </w:r>
      <w:r w:rsidRPr="00F22259">
        <w:rPr>
          <w:rFonts w:ascii="Times New Roman" w:hAnsi="Times New Roman"/>
          <w:iCs/>
          <w:sz w:val="24"/>
        </w:rPr>
        <w:t> </w:t>
      </w:r>
      <w:r w:rsidRPr="00F22259">
        <w:rPr>
          <w:rFonts w:ascii="Times New Roman" w:hAnsi="Times New Roman"/>
          <w:sz w:val="24"/>
        </w:rPr>
        <w:t xml:space="preserve">(1883) at 7. See also </w:t>
      </w:r>
      <w:r w:rsidRPr="00F22259">
        <w:rPr>
          <w:rFonts w:ascii="Times New Roman" w:hAnsi="Times New Roman"/>
          <w:i/>
          <w:iCs/>
          <w:sz w:val="24"/>
        </w:rPr>
        <w:t xml:space="preserve">R v Welch </w:t>
      </w:r>
      <w:r w:rsidRPr="00F22259">
        <w:rPr>
          <w:rFonts w:ascii="Times New Roman" w:hAnsi="Times New Roman"/>
          <w:sz w:val="24"/>
        </w:rPr>
        <w:t>(1875) 1 QBD 23.</w:t>
      </w:r>
    </w:p>
  </w:footnote>
  <w:footnote w:id="143">
    <w:p w14:paraId="2D5F7860"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(2017) 260 CLR 305 at 328 [44], citing </w:t>
      </w:r>
      <w:r w:rsidRPr="00F22259">
        <w:rPr>
          <w:rFonts w:ascii="Times New Roman" w:hAnsi="Times New Roman"/>
          <w:i/>
          <w:iCs/>
          <w:sz w:val="24"/>
        </w:rPr>
        <w:t xml:space="preserve">R v Smyth </w:t>
      </w:r>
      <w:r w:rsidRPr="00F22259">
        <w:rPr>
          <w:rFonts w:ascii="Times New Roman" w:hAnsi="Times New Roman"/>
          <w:sz w:val="24"/>
        </w:rPr>
        <w:t>[1963] VR 737 at 738</w:t>
      </w:r>
      <w:r w:rsidRPr="00F22259">
        <w:rPr>
          <w:rFonts w:ascii="Times New Roman" w:hAnsi="Times New Roman"/>
          <w:sz w:val="24"/>
        </w:rPr>
        <w:noBreakHyphen/>
        <w:t xml:space="preserve">739; </w:t>
      </w:r>
      <w:r w:rsidRPr="00F22259">
        <w:rPr>
          <w:rFonts w:ascii="Times New Roman" w:hAnsi="Times New Roman"/>
          <w:i/>
          <w:iCs/>
          <w:sz w:val="24"/>
        </w:rPr>
        <w:t xml:space="preserve">R v Kane </w:t>
      </w:r>
      <w:r w:rsidRPr="00F22259">
        <w:rPr>
          <w:rFonts w:ascii="Times New Roman" w:hAnsi="Times New Roman"/>
          <w:sz w:val="24"/>
        </w:rPr>
        <w:t xml:space="preserve">[1974] VR 759 at 760; </w:t>
      </w:r>
      <w:r w:rsidRPr="00F22259">
        <w:rPr>
          <w:rFonts w:ascii="Times New Roman" w:hAnsi="Times New Roman"/>
          <w:i/>
          <w:iCs/>
          <w:sz w:val="24"/>
        </w:rPr>
        <w:t xml:space="preserve">R v Lovett </w:t>
      </w:r>
      <w:r w:rsidRPr="00F22259">
        <w:rPr>
          <w:rFonts w:ascii="Times New Roman" w:hAnsi="Times New Roman"/>
          <w:sz w:val="24"/>
        </w:rPr>
        <w:t>[1975] VR 488 at 493.</w:t>
      </w:r>
    </w:p>
  </w:footnote>
  <w:footnote w:id="144">
    <w:p w14:paraId="4299BB2A"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(2017) 260 CLR 305 at 328-329 [45]-[46]. See </w:t>
      </w:r>
      <w:r w:rsidRPr="00F22259">
        <w:rPr>
          <w:rFonts w:ascii="Times New Roman" w:hAnsi="Times New Roman"/>
          <w:i/>
          <w:iCs/>
          <w:sz w:val="24"/>
        </w:rPr>
        <w:t xml:space="preserve">R v Crabbe </w:t>
      </w:r>
      <w:r w:rsidRPr="00F22259">
        <w:rPr>
          <w:rFonts w:ascii="Times New Roman" w:hAnsi="Times New Roman"/>
          <w:sz w:val="24"/>
        </w:rPr>
        <w:t xml:space="preserve">(1985) 156 CLR 464 at 469; </w:t>
      </w:r>
      <w:r w:rsidRPr="00F22259">
        <w:rPr>
          <w:rFonts w:ascii="Times New Roman" w:hAnsi="Times New Roman"/>
          <w:i/>
          <w:iCs/>
          <w:sz w:val="24"/>
        </w:rPr>
        <w:t xml:space="preserve">R v Coleman </w:t>
      </w:r>
      <w:r w:rsidRPr="00F22259">
        <w:rPr>
          <w:rFonts w:ascii="Times New Roman" w:hAnsi="Times New Roman"/>
          <w:sz w:val="24"/>
        </w:rPr>
        <w:t>(1990) 19 NSWLR 467 at 473</w:t>
      </w:r>
      <w:r w:rsidRPr="00F22259">
        <w:rPr>
          <w:rFonts w:ascii="Times New Roman" w:hAnsi="Times New Roman"/>
          <w:sz w:val="24"/>
        </w:rPr>
        <w:noBreakHyphen/>
        <w:t>475.</w:t>
      </w:r>
    </w:p>
  </w:footnote>
  <w:footnote w:id="145">
    <w:p w14:paraId="1EAE0E41"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(2017) 260 CLR 305 at 328</w:t>
      </w:r>
      <w:r w:rsidRPr="00F22259">
        <w:rPr>
          <w:rFonts w:ascii="Times New Roman" w:hAnsi="Times New Roman"/>
          <w:sz w:val="24"/>
        </w:rPr>
        <w:noBreakHyphen/>
        <w:t>329 [</w:t>
      </w:r>
      <w:proofErr w:type="gramStart"/>
      <w:r w:rsidRPr="00F22259">
        <w:rPr>
          <w:rFonts w:ascii="Times New Roman" w:hAnsi="Times New Roman"/>
          <w:sz w:val="24"/>
        </w:rPr>
        <w:t>46]</w:t>
      </w:r>
      <w:r w:rsidRPr="00F22259">
        <w:rPr>
          <w:rFonts w:ascii="Times New Roman" w:hAnsi="Times New Roman"/>
          <w:sz w:val="24"/>
        </w:rPr>
        <w:noBreakHyphen/>
      </w:r>
      <w:proofErr w:type="gramEnd"/>
      <w:r w:rsidRPr="00F22259">
        <w:rPr>
          <w:rFonts w:ascii="Times New Roman" w:hAnsi="Times New Roman"/>
          <w:sz w:val="24"/>
        </w:rPr>
        <w:t>[47].</w:t>
      </w:r>
    </w:p>
  </w:footnote>
  <w:footnote w:id="146">
    <w:p w14:paraId="16659ED8"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(1990) 19 NSWLR 467 at 476 (emphasis added).</w:t>
      </w:r>
    </w:p>
  </w:footnote>
  <w:footnote w:id="147">
    <w:p w14:paraId="538B8608"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(2017) 260 CLR 305 at 330 [49].</w:t>
      </w:r>
    </w:p>
  </w:footnote>
  <w:footnote w:id="148">
    <w:p w14:paraId="2AA1B846"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(2017) 260 CLR 305 at 330 [49].</w:t>
      </w:r>
    </w:p>
  </w:footnote>
  <w:footnote w:id="149">
    <w:p w14:paraId="19272754"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(2017) 260 CLR 305 at 330 [49].</w:t>
      </w:r>
    </w:p>
  </w:footnote>
  <w:footnote w:id="150">
    <w:p w14:paraId="0E1C8973"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(2017) 260 CLR 305 at 331 [51].</w:t>
      </w:r>
    </w:p>
  </w:footnote>
  <w:footnote w:id="151">
    <w:p w14:paraId="77D1C2A3"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The Law Commission, </w:t>
      </w:r>
      <w:r w:rsidRPr="00F22259">
        <w:rPr>
          <w:rFonts w:ascii="Times New Roman" w:hAnsi="Times New Roman"/>
          <w:i/>
          <w:iCs/>
          <w:sz w:val="24"/>
        </w:rPr>
        <w:t>Report on the Mental Element in Crime</w:t>
      </w:r>
      <w:r w:rsidRPr="00F22259">
        <w:rPr>
          <w:rFonts w:ascii="Times New Roman" w:hAnsi="Times New Roman"/>
          <w:iCs/>
          <w:sz w:val="24"/>
        </w:rPr>
        <w:t xml:space="preserve">, </w:t>
      </w:r>
      <w:r w:rsidRPr="00F22259">
        <w:rPr>
          <w:rFonts w:ascii="Times New Roman" w:hAnsi="Times New Roman"/>
          <w:sz w:val="24"/>
        </w:rPr>
        <w:t>Law Com No</w:t>
      </w:r>
      <w:r w:rsidRPr="00F22259">
        <w:rPr>
          <w:rFonts w:ascii="Times New Roman" w:hAnsi="Times New Roman"/>
          <w:iCs/>
          <w:sz w:val="24"/>
        </w:rPr>
        <w:t> 89</w:t>
      </w:r>
      <w:r w:rsidRPr="00F22259">
        <w:rPr>
          <w:rFonts w:ascii="Times New Roman" w:hAnsi="Times New Roman"/>
          <w:i/>
          <w:iCs/>
          <w:sz w:val="24"/>
        </w:rPr>
        <w:t xml:space="preserve"> </w:t>
      </w:r>
      <w:r w:rsidRPr="00F22259">
        <w:rPr>
          <w:rFonts w:ascii="Times New Roman" w:hAnsi="Times New Roman"/>
          <w:sz w:val="24"/>
        </w:rPr>
        <w:t>(1978) at 30-31 [57(c)].</w:t>
      </w:r>
    </w:p>
  </w:footnote>
  <w:footnote w:id="152">
    <w:p w14:paraId="4524DA74"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R v G </w:t>
      </w:r>
      <w:r w:rsidRPr="00F22259">
        <w:rPr>
          <w:rFonts w:ascii="Times New Roman" w:hAnsi="Times New Roman"/>
          <w:sz w:val="24"/>
        </w:rPr>
        <w:t>[2004] 1 AC 1034.</w:t>
      </w:r>
    </w:p>
  </w:footnote>
  <w:footnote w:id="153">
    <w:p w14:paraId="31DD7C11"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(2017) 260 CLR 305 at 331 [50].</w:t>
      </w:r>
    </w:p>
  </w:footnote>
  <w:footnote w:id="154">
    <w:p w14:paraId="18ED6F8B"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Williams, </w:t>
      </w:r>
      <w:r w:rsidRPr="00F22259">
        <w:rPr>
          <w:rFonts w:ascii="Times New Roman" w:hAnsi="Times New Roman"/>
          <w:i/>
          <w:sz w:val="24"/>
        </w:rPr>
        <w:t>Criminal Law: The General Part</w:t>
      </w:r>
      <w:r w:rsidRPr="00F22259">
        <w:rPr>
          <w:rFonts w:ascii="Times New Roman" w:hAnsi="Times New Roman"/>
          <w:sz w:val="24"/>
        </w:rPr>
        <w:t>, 2nd ed (1961) at 52.</w:t>
      </w:r>
    </w:p>
  </w:footnote>
  <w:footnote w:id="155">
    <w:p w14:paraId="67DCF964"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Fitzgerald, "Carelessness, Indifference and Recklessness: Two Replies" (1962) 25 </w:t>
      </w:r>
      <w:r w:rsidRPr="00F22259">
        <w:rPr>
          <w:rFonts w:ascii="Times New Roman" w:hAnsi="Times New Roman"/>
          <w:i/>
          <w:sz w:val="24"/>
        </w:rPr>
        <w:t>Modern Law Review</w:t>
      </w:r>
      <w:r w:rsidRPr="00F22259">
        <w:rPr>
          <w:rFonts w:ascii="Times New Roman" w:hAnsi="Times New Roman"/>
          <w:sz w:val="24"/>
        </w:rPr>
        <w:t xml:space="preserve"> 49 at 54-55.</w:t>
      </w:r>
    </w:p>
  </w:footnote>
  <w:footnote w:id="156">
    <w:p w14:paraId="23585FA0"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Williams, </w:t>
      </w:r>
      <w:r w:rsidRPr="00F22259">
        <w:rPr>
          <w:rFonts w:ascii="Times New Roman" w:hAnsi="Times New Roman"/>
          <w:i/>
          <w:sz w:val="24"/>
        </w:rPr>
        <w:t>Criminal Law: The General Part</w:t>
      </w:r>
      <w:r w:rsidRPr="00F22259">
        <w:rPr>
          <w:rFonts w:ascii="Times New Roman" w:hAnsi="Times New Roman"/>
          <w:sz w:val="24"/>
        </w:rPr>
        <w:t>, 2nd ed (1961) at 60.</w:t>
      </w:r>
    </w:p>
  </w:footnote>
  <w:footnote w:id="157">
    <w:p w14:paraId="10593EFD"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See Galligan, "Responsibility for Recklessness" (1978) 31 </w:t>
      </w:r>
      <w:r w:rsidRPr="00F22259">
        <w:rPr>
          <w:rFonts w:ascii="Times New Roman" w:hAnsi="Times New Roman"/>
          <w:i/>
          <w:sz w:val="24"/>
        </w:rPr>
        <w:t>Current Legal Problems</w:t>
      </w:r>
      <w:r w:rsidRPr="00F22259">
        <w:rPr>
          <w:rFonts w:ascii="Times New Roman" w:hAnsi="Times New Roman"/>
          <w:sz w:val="24"/>
        </w:rPr>
        <w:t xml:space="preserve"> 55 at 70.</w:t>
      </w:r>
    </w:p>
  </w:footnote>
  <w:footnote w:id="158">
    <w:p w14:paraId="4AD23CC9"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Williams, </w:t>
      </w:r>
      <w:r w:rsidRPr="00F22259">
        <w:rPr>
          <w:rFonts w:ascii="Times New Roman" w:hAnsi="Times New Roman"/>
          <w:i/>
          <w:sz w:val="24"/>
        </w:rPr>
        <w:t>Criminal Law: The General Part</w:t>
      </w:r>
      <w:r w:rsidRPr="00F22259">
        <w:rPr>
          <w:rFonts w:ascii="Times New Roman" w:hAnsi="Times New Roman"/>
          <w:sz w:val="24"/>
        </w:rPr>
        <w:t>, 2nd ed</w:t>
      </w:r>
      <w:r w:rsidRPr="00F22259">
        <w:rPr>
          <w:rFonts w:ascii="Times New Roman" w:hAnsi="Times New Roman"/>
          <w:i/>
          <w:sz w:val="24"/>
        </w:rPr>
        <w:t xml:space="preserve"> </w:t>
      </w:r>
      <w:r w:rsidRPr="00F22259">
        <w:rPr>
          <w:rFonts w:ascii="Times New Roman" w:hAnsi="Times New Roman"/>
          <w:sz w:val="24"/>
        </w:rPr>
        <w:t>(1961) at 61.</w:t>
      </w:r>
    </w:p>
  </w:footnote>
  <w:footnote w:id="159">
    <w:p w14:paraId="7E72D2CB"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sz w:val="24"/>
        </w:rPr>
        <w:t xml:space="preserve">Wyong Shire Council v Shirt </w:t>
      </w:r>
      <w:r w:rsidRPr="00F22259">
        <w:rPr>
          <w:rFonts w:ascii="Times New Roman" w:hAnsi="Times New Roman"/>
          <w:sz w:val="24"/>
        </w:rPr>
        <w:t>(1980) 146 CLR 40 at 47-48.</w:t>
      </w:r>
    </w:p>
  </w:footnote>
  <w:footnote w:id="160">
    <w:p w14:paraId="160DA58B"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proofErr w:type="spellStart"/>
      <w:r w:rsidRPr="00F22259">
        <w:rPr>
          <w:rFonts w:ascii="Times New Roman" w:hAnsi="Times New Roman"/>
          <w:i/>
          <w:sz w:val="24"/>
        </w:rPr>
        <w:t>Pemble</w:t>
      </w:r>
      <w:proofErr w:type="spellEnd"/>
      <w:r w:rsidRPr="00F22259">
        <w:rPr>
          <w:rFonts w:ascii="Times New Roman" w:hAnsi="Times New Roman"/>
          <w:i/>
          <w:sz w:val="24"/>
        </w:rPr>
        <w:t xml:space="preserve"> v The Queen </w:t>
      </w:r>
      <w:r w:rsidRPr="00F22259">
        <w:rPr>
          <w:rFonts w:ascii="Times New Roman" w:hAnsi="Times New Roman"/>
          <w:sz w:val="24"/>
        </w:rPr>
        <w:t xml:space="preserve">(1971) 124 CLR 107 at 119; </w:t>
      </w:r>
      <w:r w:rsidRPr="00F22259">
        <w:rPr>
          <w:rFonts w:ascii="Times New Roman" w:hAnsi="Times New Roman"/>
          <w:i/>
          <w:sz w:val="24"/>
        </w:rPr>
        <w:t xml:space="preserve">Stokes &amp; </w:t>
      </w:r>
      <w:proofErr w:type="spellStart"/>
      <w:r w:rsidRPr="00F22259">
        <w:rPr>
          <w:rFonts w:ascii="Times New Roman" w:hAnsi="Times New Roman"/>
          <w:i/>
          <w:sz w:val="24"/>
        </w:rPr>
        <w:t>Difford</w:t>
      </w:r>
      <w:proofErr w:type="spellEnd"/>
      <w:r w:rsidRPr="00F22259">
        <w:rPr>
          <w:rFonts w:ascii="Times New Roman" w:hAnsi="Times New Roman"/>
          <w:i/>
          <w:sz w:val="24"/>
        </w:rPr>
        <w:t xml:space="preserve"> </w:t>
      </w:r>
      <w:r w:rsidRPr="00F22259">
        <w:rPr>
          <w:rFonts w:ascii="Times New Roman" w:hAnsi="Times New Roman"/>
          <w:sz w:val="24"/>
        </w:rPr>
        <w:t xml:space="preserve">(1990) 51 A Crim R 25 at 40; </w:t>
      </w:r>
      <w:r w:rsidRPr="00F22259">
        <w:rPr>
          <w:rFonts w:ascii="Times New Roman" w:hAnsi="Times New Roman"/>
          <w:i/>
          <w:sz w:val="24"/>
        </w:rPr>
        <w:t xml:space="preserve">Miller v The Queen </w:t>
      </w:r>
      <w:r w:rsidRPr="00F22259">
        <w:rPr>
          <w:rFonts w:ascii="Times New Roman" w:hAnsi="Times New Roman"/>
          <w:sz w:val="24"/>
        </w:rPr>
        <w:t>(2016) 259 CLR 380 at 419</w:t>
      </w:r>
      <w:r w:rsidRPr="00F22259">
        <w:rPr>
          <w:rFonts w:ascii="Times New Roman" w:hAnsi="Times New Roman"/>
          <w:sz w:val="24"/>
        </w:rPr>
        <w:noBreakHyphen/>
        <w:t>420 [115].</w:t>
      </w:r>
    </w:p>
  </w:footnote>
  <w:footnote w:id="161">
    <w:p w14:paraId="24947946"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Turner, </w:t>
      </w:r>
      <w:r w:rsidRPr="00F22259">
        <w:rPr>
          <w:rFonts w:ascii="Times New Roman" w:hAnsi="Times New Roman"/>
          <w:i/>
          <w:iCs/>
          <w:sz w:val="24"/>
        </w:rPr>
        <w:t>Kenny's</w:t>
      </w:r>
      <w:r w:rsidRPr="00F22259">
        <w:rPr>
          <w:rFonts w:ascii="Times New Roman" w:hAnsi="Times New Roman"/>
          <w:sz w:val="24"/>
        </w:rPr>
        <w:t xml:space="preserve"> </w:t>
      </w:r>
      <w:r w:rsidRPr="00F22259">
        <w:rPr>
          <w:rFonts w:ascii="Times New Roman" w:hAnsi="Times New Roman"/>
          <w:i/>
          <w:sz w:val="24"/>
        </w:rPr>
        <w:t>Outlines of Criminal Law</w:t>
      </w:r>
      <w:r w:rsidRPr="00F22259">
        <w:rPr>
          <w:rFonts w:ascii="Times New Roman" w:hAnsi="Times New Roman"/>
          <w:iCs/>
          <w:sz w:val="24"/>
        </w:rPr>
        <w:t>, 16th ed</w:t>
      </w:r>
      <w:r w:rsidRPr="00F22259">
        <w:rPr>
          <w:rFonts w:ascii="Times New Roman" w:hAnsi="Times New Roman"/>
          <w:i/>
          <w:sz w:val="24"/>
        </w:rPr>
        <w:t xml:space="preserve"> </w:t>
      </w:r>
      <w:r w:rsidRPr="00F22259">
        <w:rPr>
          <w:rFonts w:ascii="Times New Roman" w:hAnsi="Times New Roman"/>
          <w:sz w:val="24"/>
        </w:rPr>
        <w:t>(1952) at 186. Dr Kenny was later the Downing Professor of the Laws of England.</w:t>
      </w:r>
    </w:p>
  </w:footnote>
  <w:footnote w:id="162">
    <w:p w14:paraId="6EFD399C"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Williams, </w:t>
      </w:r>
      <w:r w:rsidRPr="00F22259">
        <w:rPr>
          <w:rFonts w:ascii="Times New Roman" w:hAnsi="Times New Roman"/>
          <w:i/>
          <w:sz w:val="24"/>
        </w:rPr>
        <w:t>Criminal Law: The General Part</w:t>
      </w:r>
      <w:r w:rsidRPr="00F22259">
        <w:rPr>
          <w:rFonts w:ascii="Times New Roman" w:hAnsi="Times New Roman"/>
          <w:sz w:val="24"/>
        </w:rPr>
        <w:t>, 2nd ed</w:t>
      </w:r>
      <w:r w:rsidRPr="00F22259">
        <w:rPr>
          <w:rFonts w:ascii="Times New Roman" w:hAnsi="Times New Roman"/>
          <w:i/>
          <w:sz w:val="24"/>
        </w:rPr>
        <w:t xml:space="preserve"> </w:t>
      </w:r>
      <w:r w:rsidRPr="00F22259">
        <w:rPr>
          <w:rFonts w:ascii="Times New Roman" w:hAnsi="Times New Roman"/>
          <w:sz w:val="24"/>
        </w:rPr>
        <w:t>(1961) at 53.</w:t>
      </w:r>
    </w:p>
  </w:footnote>
  <w:footnote w:id="163">
    <w:p w14:paraId="039804F2"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Williams, </w:t>
      </w:r>
      <w:r w:rsidRPr="00F22259">
        <w:rPr>
          <w:rFonts w:ascii="Times New Roman" w:hAnsi="Times New Roman"/>
          <w:i/>
          <w:sz w:val="24"/>
        </w:rPr>
        <w:t>The Mental Element in Crime</w:t>
      </w:r>
      <w:r w:rsidRPr="00F22259">
        <w:rPr>
          <w:rFonts w:ascii="Times New Roman" w:hAnsi="Times New Roman"/>
          <w:sz w:val="24"/>
        </w:rPr>
        <w:t xml:space="preserve"> (1965)</w:t>
      </w:r>
      <w:r w:rsidRPr="00F22259">
        <w:rPr>
          <w:rFonts w:ascii="Times New Roman" w:hAnsi="Times New Roman"/>
          <w:i/>
          <w:sz w:val="24"/>
        </w:rPr>
        <w:t xml:space="preserve"> </w:t>
      </w:r>
      <w:r w:rsidRPr="00F22259">
        <w:rPr>
          <w:rFonts w:ascii="Times New Roman" w:hAnsi="Times New Roman"/>
          <w:sz w:val="24"/>
        </w:rPr>
        <w:t>at 30.</w:t>
      </w:r>
    </w:p>
  </w:footnote>
  <w:footnote w:id="164">
    <w:p w14:paraId="7A026159"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Williams, </w:t>
      </w:r>
      <w:r w:rsidRPr="00F22259">
        <w:rPr>
          <w:rFonts w:ascii="Times New Roman" w:hAnsi="Times New Roman"/>
          <w:i/>
          <w:sz w:val="24"/>
        </w:rPr>
        <w:t>Criminal Law: The General Part</w:t>
      </w:r>
      <w:r w:rsidRPr="00F22259">
        <w:rPr>
          <w:rFonts w:ascii="Times New Roman" w:hAnsi="Times New Roman"/>
          <w:sz w:val="24"/>
        </w:rPr>
        <w:t>, 2nd ed</w:t>
      </w:r>
      <w:r w:rsidRPr="00F22259">
        <w:rPr>
          <w:rFonts w:ascii="Times New Roman" w:hAnsi="Times New Roman"/>
          <w:i/>
          <w:sz w:val="24"/>
        </w:rPr>
        <w:t xml:space="preserve"> </w:t>
      </w:r>
      <w:r w:rsidRPr="00F22259">
        <w:rPr>
          <w:rFonts w:ascii="Times New Roman" w:hAnsi="Times New Roman"/>
          <w:sz w:val="24"/>
        </w:rPr>
        <w:t>(1961) at 60.</w:t>
      </w:r>
    </w:p>
  </w:footnote>
  <w:footnote w:id="165">
    <w:p w14:paraId="485D7E54"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Williams, </w:t>
      </w:r>
      <w:r w:rsidRPr="00F22259">
        <w:rPr>
          <w:rFonts w:ascii="Times New Roman" w:hAnsi="Times New Roman"/>
          <w:i/>
          <w:sz w:val="24"/>
        </w:rPr>
        <w:t>The Mental Element in Crime</w:t>
      </w:r>
      <w:r w:rsidRPr="00F22259">
        <w:rPr>
          <w:rFonts w:ascii="Times New Roman" w:hAnsi="Times New Roman"/>
          <w:sz w:val="24"/>
        </w:rPr>
        <w:t xml:space="preserve"> (1965) at 30.</w:t>
      </w:r>
    </w:p>
  </w:footnote>
  <w:footnote w:id="166">
    <w:p w14:paraId="45C4450A"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Hart, "Negligence, </w:t>
      </w:r>
      <w:r w:rsidRPr="00F22259">
        <w:rPr>
          <w:rFonts w:ascii="Times New Roman" w:hAnsi="Times New Roman"/>
          <w:i/>
          <w:sz w:val="24"/>
        </w:rPr>
        <w:t>Mens Rea</w:t>
      </w:r>
      <w:r w:rsidRPr="00F22259">
        <w:rPr>
          <w:rFonts w:ascii="Times New Roman" w:hAnsi="Times New Roman"/>
          <w:sz w:val="24"/>
        </w:rPr>
        <w:t xml:space="preserve"> and Criminal Responsibility", in </w:t>
      </w:r>
      <w:r w:rsidRPr="00F22259">
        <w:rPr>
          <w:rFonts w:ascii="Times New Roman" w:hAnsi="Times New Roman"/>
          <w:i/>
          <w:sz w:val="24"/>
        </w:rPr>
        <w:t xml:space="preserve">Punishment and Responsibility: Essays in the Philosophy of Law </w:t>
      </w:r>
      <w:r w:rsidRPr="00F22259">
        <w:rPr>
          <w:rFonts w:ascii="Times New Roman" w:hAnsi="Times New Roman"/>
          <w:sz w:val="24"/>
        </w:rPr>
        <w:t>(1968) 136 at 137 (emphasis added).</w:t>
      </w:r>
    </w:p>
  </w:footnote>
  <w:footnote w:id="167">
    <w:p w14:paraId="15997963"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American Law Institute, </w:t>
      </w:r>
      <w:r w:rsidRPr="00F22259">
        <w:rPr>
          <w:rFonts w:ascii="Times New Roman" w:hAnsi="Times New Roman"/>
          <w:i/>
          <w:sz w:val="24"/>
        </w:rPr>
        <w:t>Model Penal Code</w:t>
      </w:r>
      <w:r w:rsidRPr="00F22259">
        <w:rPr>
          <w:rFonts w:ascii="Times New Roman" w:hAnsi="Times New Roman"/>
          <w:sz w:val="24"/>
        </w:rPr>
        <w:t> (1962), §2.02(2).</w:t>
      </w:r>
    </w:p>
  </w:footnote>
  <w:footnote w:id="168">
    <w:p w14:paraId="3BD27BE5"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[2004] 1 AC 1034 at 1057 [41].</w:t>
      </w:r>
    </w:p>
  </w:footnote>
  <w:footnote w:id="169">
    <w:p w14:paraId="14E7CB1F"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proofErr w:type="spellStart"/>
      <w:r w:rsidRPr="00F22259">
        <w:rPr>
          <w:rFonts w:ascii="Times New Roman" w:hAnsi="Times New Roman"/>
          <w:sz w:val="24"/>
        </w:rPr>
        <w:t>Fisse</w:t>
      </w:r>
      <w:proofErr w:type="spellEnd"/>
      <w:r w:rsidRPr="00F22259">
        <w:rPr>
          <w:rFonts w:ascii="Times New Roman" w:hAnsi="Times New Roman"/>
          <w:sz w:val="24"/>
        </w:rPr>
        <w:t xml:space="preserve">, "Probability and the </w:t>
      </w:r>
      <w:proofErr w:type="spellStart"/>
      <w:r w:rsidRPr="00F22259">
        <w:rPr>
          <w:rFonts w:ascii="Times New Roman" w:hAnsi="Times New Roman"/>
          <w:sz w:val="24"/>
        </w:rPr>
        <w:t>Proudman</w:t>
      </w:r>
      <w:proofErr w:type="spellEnd"/>
      <w:r w:rsidRPr="00F22259">
        <w:rPr>
          <w:rFonts w:ascii="Times New Roman" w:hAnsi="Times New Roman"/>
          <w:sz w:val="24"/>
        </w:rPr>
        <w:t xml:space="preserve"> v </w:t>
      </w:r>
      <w:proofErr w:type="spellStart"/>
      <w:r w:rsidRPr="00F22259">
        <w:rPr>
          <w:rFonts w:ascii="Times New Roman" w:hAnsi="Times New Roman"/>
          <w:sz w:val="24"/>
        </w:rPr>
        <w:t>Dayman</w:t>
      </w:r>
      <w:proofErr w:type="spellEnd"/>
      <w:r w:rsidRPr="00F22259">
        <w:rPr>
          <w:rFonts w:ascii="Times New Roman" w:hAnsi="Times New Roman"/>
          <w:sz w:val="24"/>
        </w:rPr>
        <w:t xml:space="preserve"> Defence of Reasonable Mistaken Belief" (1974) 9 </w:t>
      </w:r>
      <w:r w:rsidRPr="00F22259">
        <w:rPr>
          <w:rFonts w:ascii="Times New Roman" w:hAnsi="Times New Roman"/>
          <w:i/>
          <w:iCs/>
          <w:sz w:val="24"/>
        </w:rPr>
        <w:t xml:space="preserve">Melbourne University Law Review </w:t>
      </w:r>
      <w:r w:rsidRPr="00F22259">
        <w:rPr>
          <w:rFonts w:ascii="Times New Roman" w:hAnsi="Times New Roman"/>
          <w:sz w:val="24"/>
        </w:rPr>
        <w:t>477 at 480.</w:t>
      </w:r>
    </w:p>
  </w:footnote>
  <w:footnote w:id="170">
    <w:p w14:paraId="1B683051"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See </w:t>
      </w:r>
      <w:r w:rsidRPr="00F22259">
        <w:rPr>
          <w:rFonts w:ascii="Times New Roman" w:hAnsi="Times New Roman"/>
          <w:i/>
          <w:sz w:val="24"/>
        </w:rPr>
        <w:t xml:space="preserve">Salvation Army (Victoria) Property Trust v Fern Tree Gully Corporation </w:t>
      </w:r>
      <w:r w:rsidRPr="00F22259">
        <w:rPr>
          <w:rFonts w:ascii="Times New Roman" w:hAnsi="Times New Roman"/>
          <w:sz w:val="24"/>
        </w:rPr>
        <w:t xml:space="preserve">(1952) 85 CLR 159 at 174; </w:t>
      </w:r>
      <w:r w:rsidRPr="00F22259">
        <w:rPr>
          <w:rFonts w:ascii="Times New Roman" w:hAnsi="Times New Roman"/>
          <w:i/>
          <w:iCs/>
          <w:sz w:val="24"/>
        </w:rPr>
        <w:t xml:space="preserve">R v </w:t>
      </w:r>
      <w:proofErr w:type="spellStart"/>
      <w:r w:rsidRPr="00F22259">
        <w:rPr>
          <w:rFonts w:ascii="Times New Roman" w:hAnsi="Times New Roman"/>
          <w:i/>
          <w:iCs/>
          <w:sz w:val="24"/>
        </w:rPr>
        <w:t>Rey</w:t>
      </w:r>
      <w:r w:rsidRPr="00F22259">
        <w:rPr>
          <w:rFonts w:ascii="Times New Roman" w:hAnsi="Times New Roman"/>
          <w:i/>
          <w:sz w:val="24"/>
        </w:rPr>
        <w:t>n</w:t>
      </w:r>
      <w:r w:rsidRPr="00F22259">
        <w:rPr>
          <w:rFonts w:ascii="Times New Roman" w:hAnsi="Times New Roman"/>
          <w:i/>
          <w:iCs/>
          <w:sz w:val="24"/>
        </w:rPr>
        <w:t>houdt</w:t>
      </w:r>
      <w:proofErr w:type="spellEnd"/>
      <w:r w:rsidRPr="00F22259">
        <w:rPr>
          <w:rFonts w:ascii="Times New Roman" w:hAnsi="Times New Roman"/>
          <w:i/>
          <w:iCs/>
          <w:sz w:val="24"/>
        </w:rPr>
        <w:t xml:space="preserve"> </w:t>
      </w:r>
      <w:r w:rsidRPr="00F22259">
        <w:rPr>
          <w:rFonts w:ascii="Times New Roman" w:hAnsi="Times New Roman"/>
          <w:sz w:val="24"/>
        </w:rPr>
        <w:t xml:space="preserve">(1962) 107 CLR 381 at 388; </w:t>
      </w:r>
      <w:r w:rsidRPr="00F22259">
        <w:rPr>
          <w:rFonts w:ascii="Times New Roman" w:hAnsi="Times New Roman"/>
          <w:i/>
          <w:iCs/>
          <w:sz w:val="24"/>
        </w:rPr>
        <w:t xml:space="preserve">Re Alcan Australia Ltd; Ex </w:t>
      </w:r>
      <w:proofErr w:type="spellStart"/>
      <w:r w:rsidRPr="00F22259">
        <w:rPr>
          <w:rFonts w:ascii="Times New Roman" w:hAnsi="Times New Roman"/>
          <w:i/>
          <w:iCs/>
          <w:sz w:val="24"/>
        </w:rPr>
        <w:t>parte</w:t>
      </w:r>
      <w:proofErr w:type="spellEnd"/>
      <w:r w:rsidRPr="00F22259">
        <w:rPr>
          <w:rFonts w:ascii="Times New Roman" w:hAnsi="Times New Roman"/>
          <w:i/>
          <w:iCs/>
          <w:sz w:val="24"/>
        </w:rPr>
        <w:t xml:space="preserve"> Federation of Industrial, Manufacturing and Engineering Employees</w:t>
      </w:r>
      <w:r w:rsidRPr="00F22259">
        <w:rPr>
          <w:rFonts w:ascii="Times New Roman" w:hAnsi="Times New Roman"/>
          <w:sz w:val="24"/>
        </w:rPr>
        <w:t xml:space="preserve"> (1994) 181 CLR 96 at 106</w:t>
      </w:r>
      <w:r w:rsidRPr="00F22259">
        <w:rPr>
          <w:rFonts w:ascii="Times New Roman" w:hAnsi="Times New Roman"/>
          <w:sz w:val="24"/>
        </w:rPr>
        <w:noBreakHyphen/>
        <w:t>107.</w:t>
      </w:r>
    </w:p>
  </w:footnote>
  <w:footnote w:id="171">
    <w:p w14:paraId="071254EB"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R v Smyth </w:t>
      </w:r>
      <w:r w:rsidRPr="00F22259">
        <w:rPr>
          <w:rFonts w:ascii="Times New Roman" w:hAnsi="Times New Roman"/>
          <w:sz w:val="24"/>
        </w:rPr>
        <w:t>[1963] VR 737 at 738-739.</w:t>
      </w:r>
    </w:p>
  </w:footnote>
  <w:footnote w:id="172">
    <w:p w14:paraId="65506567"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(2005) 224 CLR 262 at 265 [1].</w:t>
      </w:r>
    </w:p>
  </w:footnote>
  <w:footnote w:id="173">
    <w:p w14:paraId="584F1CCC"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R v </w:t>
      </w:r>
      <w:proofErr w:type="spellStart"/>
      <w:r w:rsidRPr="00F22259">
        <w:rPr>
          <w:rFonts w:ascii="Times New Roman" w:hAnsi="Times New Roman"/>
          <w:i/>
          <w:iCs/>
          <w:sz w:val="24"/>
        </w:rPr>
        <w:t>Hyam</w:t>
      </w:r>
      <w:proofErr w:type="spellEnd"/>
      <w:r w:rsidRPr="00F22259">
        <w:rPr>
          <w:rFonts w:ascii="Times New Roman" w:hAnsi="Times New Roman"/>
          <w:i/>
          <w:iCs/>
          <w:sz w:val="24"/>
        </w:rPr>
        <w:t xml:space="preserve"> </w:t>
      </w:r>
      <w:r w:rsidRPr="00F22259">
        <w:rPr>
          <w:rFonts w:ascii="Times New Roman" w:hAnsi="Times New Roman"/>
          <w:sz w:val="24"/>
        </w:rPr>
        <w:t xml:space="preserve">[1975] AC 55 at 82, 86. See also at 96; </w:t>
      </w:r>
      <w:r w:rsidRPr="00F22259">
        <w:rPr>
          <w:rFonts w:ascii="Times New Roman" w:hAnsi="Times New Roman"/>
          <w:i/>
          <w:iCs/>
          <w:sz w:val="24"/>
        </w:rPr>
        <w:t xml:space="preserve">La Fontaine v The Queen </w:t>
      </w:r>
      <w:r w:rsidRPr="00F22259">
        <w:rPr>
          <w:rFonts w:ascii="Times New Roman" w:hAnsi="Times New Roman"/>
          <w:sz w:val="24"/>
        </w:rPr>
        <w:t xml:space="preserve">(1976) 136 CLR 62 at 76-77. </w:t>
      </w:r>
    </w:p>
  </w:footnote>
  <w:footnote w:id="174">
    <w:p w14:paraId="6E10AC07"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R v Crabbe </w:t>
      </w:r>
      <w:r w:rsidRPr="00F22259">
        <w:rPr>
          <w:rFonts w:ascii="Times New Roman" w:hAnsi="Times New Roman"/>
          <w:sz w:val="24"/>
        </w:rPr>
        <w:t>(1985) 156 CLR 464 at 469-470.</w:t>
      </w:r>
    </w:p>
  </w:footnote>
  <w:footnote w:id="175">
    <w:p w14:paraId="10A4744B"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Vallance v The Queen </w:t>
      </w:r>
      <w:r w:rsidRPr="00F22259">
        <w:rPr>
          <w:rFonts w:ascii="Times New Roman" w:hAnsi="Times New Roman"/>
          <w:sz w:val="24"/>
        </w:rPr>
        <w:t>(1961) 108 CLR 56 at 59.</w:t>
      </w:r>
    </w:p>
  </w:footnote>
  <w:footnote w:id="176">
    <w:p w14:paraId="100E1C85"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Victoria, Legislative Council, </w:t>
      </w:r>
      <w:r w:rsidRPr="00F22259">
        <w:rPr>
          <w:rFonts w:ascii="Times New Roman" w:hAnsi="Times New Roman"/>
          <w:i/>
          <w:iCs/>
          <w:sz w:val="24"/>
        </w:rPr>
        <w:t xml:space="preserve">Parliamentary Debates </w:t>
      </w:r>
      <w:r w:rsidRPr="00F22259">
        <w:rPr>
          <w:rFonts w:ascii="Times New Roman" w:hAnsi="Times New Roman"/>
          <w:sz w:val="24"/>
        </w:rPr>
        <w:t>(Hansard), 25 September 1985 at 201.</w:t>
      </w:r>
    </w:p>
  </w:footnote>
  <w:footnote w:id="177">
    <w:p w14:paraId="0868C16F"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Victoria, Legislative Council, </w:t>
      </w:r>
      <w:r w:rsidRPr="00F22259">
        <w:rPr>
          <w:rFonts w:ascii="Times New Roman" w:hAnsi="Times New Roman"/>
          <w:i/>
          <w:iCs/>
          <w:sz w:val="24"/>
        </w:rPr>
        <w:t xml:space="preserve">Parliamentary Debates </w:t>
      </w:r>
      <w:r w:rsidRPr="00F22259">
        <w:rPr>
          <w:rFonts w:ascii="Times New Roman" w:hAnsi="Times New Roman"/>
          <w:sz w:val="24"/>
        </w:rPr>
        <w:t>(Hansard), 25 September 1985 at 202. See England and Wales, Criminal Law Revision Committee,</w:t>
      </w:r>
      <w:r w:rsidRPr="00F22259">
        <w:rPr>
          <w:rFonts w:ascii="Times New Roman" w:hAnsi="Times New Roman"/>
          <w:i/>
          <w:sz w:val="24"/>
        </w:rPr>
        <w:t xml:space="preserve"> Fourteenth Report: Offences against the Person</w:t>
      </w:r>
      <w:r w:rsidRPr="00F22259">
        <w:rPr>
          <w:rFonts w:ascii="Times New Roman" w:hAnsi="Times New Roman"/>
          <w:sz w:val="24"/>
        </w:rPr>
        <w:t xml:space="preserve"> (1980).</w:t>
      </w:r>
    </w:p>
  </w:footnote>
  <w:footnote w:id="178">
    <w:p w14:paraId="35D16BC2"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England and Wales, Criminal Law Revision Committee,</w:t>
      </w:r>
      <w:r w:rsidRPr="00F22259">
        <w:rPr>
          <w:rFonts w:ascii="Times New Roman" w:hAnsi="Times New Roman"/>
          <w:i/>
          <w:iCs/>
          <w:sz w:val="24"/>
        </w:rPr>
        <w:t xml:space="preserve"> Fourteenth Report: Offences against the Person</w:t>
      </w:r>
      <w:r w:rsidRPr="00F22259">
        <w:rPr>
          <w:rFonts w:ascii="Times New Roman" w:hAnsi="Times New Roman"/>
          <w:sz w:val="24"/>
        </w:rPr>
        <w:t xml:space="preserve"> (1980) at 3</w:t>
      </w:r>
      <w:r w:rsidRPr="00F22259">
        <w:rPr>
          <w:rFonts w:ascii="Times New Roman" w:hAnsi="Times New Roman"/>
          <w:sz w:val="24"/>
        </w:rPr>
        <w:noBreakHyphen/>
        <w:t>4 [</w:t>
      </w:r>
      <w:proofErr w:type="gramStart"/>
      <w:r w:rsidRPr="00F22259">
        <w:rPr>
          <w:rFonts w:ascii="Times New Roman" w:hAnsi="Times New Roman"/>
          <w:sz w:val="24"/>
        </w:rPr>
        <w:t>6]</w:t>
      </w:r>
      <w:r w:rsidRPr="00F22259">
        <w:rPr>
          <w:rFonts w:ascii="Times New Roman" w:hAnsi="Times New Roman"/>
          <w:sz w:val="24"/>
        </w:rPr>
        <w:noBreakHyphen/>
      </w:r>
      <w:proofErr w:type="gramEnd"/>
      <w:r w:rsidRPr="00F22259">
        <w:rPr>
          <w:rFonts w:ascii="Times New Roman" w:hAnsi="Times New Roman"/>
          <w:sz w:val="24"/>
        </w:rPr>
        <w:t>[7].</w:t>
      </w:r>
    </w:p>
  </w:footnote>
  <w:footnote w:id="179">
    <w:p w14:paraId="3E1FC04D"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England and Wales, Criminal Law Revision Committee,</w:t>
      </w:r>
      <w:r w:rsidRPr="00F22259">
        <w:rPr>
          <w:rFonts w:ascii="Times New Roman" w:hAnsi="Times New Roman"/>
          <w:i/>
          <w:iCs/>
          <w:sz w:val="24"/>
        </w:rPr>
        <w:t xml:space="preserve"> Fourteenth Report: Offences against the Person</w:t>
      </w:r>
      <w:r w:rsidRPr="00F22259">
        <w:rPr>
          <w:rFonts w:ascii="Times New Roman" w:hAnsi="Times New Roman"/>
          <w:sz w:val="24"/>
        </w:rPr>
        <w:t xml:space="preserve"> (1980) at 5 [12].</w:t>
      </w:r>
    </w:p>
  </w:footnote>
  <w:footnote w:id="180">
    <w:p w14:paraId="6321271B"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Victoria, Legislative Assembly, </w:t>
      </w:r>
      <w:r w:rsidRPr="00F22259">
        <w:rPr>
          <w:rFonts w:ascii="Times New Roman" w:hAnsi="Times New Roman"/>
          <w:i/>
          <w:iCs/>
          <w:sz w:val="24"/>
        </w:rPr>
        <w:t xml:space="preserve">Parliamentary Debates </w:t>
      </w:r>
      <w:r w:rsidRPr="00F22259">
        <w:rPr>
          <w:rFonts w:ascii="Times New Roman" w:hAnsi="Times New Roman"/>
          <w:sz w:val="24"/>
        </w:rPr>
        <w:t xml:space="preserve">(Hansard), 22 October 1985 at 1040 (emphasis added). See also Victoria, Legislative Council, </w:t>
      </w:r>
      <w:r w:rsidRPr="00F22259">
        <w:rPr>
          <w:rFonts w:ascii="Times New Roman" w:hAnsi="Times New Roman"/>
          <w:i/>
          <w:sz w:val="24"/>
        </w:rPr>
        <w:t xml:space="preserve">Parliamentary Debates </w:t>
      </w:r>
      <w:r w:rsidRPr="00F22259">
        <w:rPr>
          <w:rFonts w:ascii="Times New Roman" w:hAnsi="Times New Roman"/>
          <w:sz w:val="24"/>
        </w:rPr>
        <w:t>(Hansard), 25 September 1985 at 201.</w:t>
      </w:r>
    </w:p>
  </w:footnote>
  <w:footnote w:id="181">
    <w:p w14:paraId="09E62E8C" w14:textId="77777777" w:rsidR="004933DB" w:rsidRPr="00F22259" w:rsidRDefault="004933DB" w:rsidP="00F22259">
      <w:pPr>
        <w:pStyle w:val="FootnoteText"/>
        <w:spacing w:line="280" w:lineRule="exact"/>
        <w:ind w:right="0"/>
        <w:jc w:val="both"/>
        <w:rPr>
          <w:rFonts w:ascii="Times New Roman" w:hAnsi="Times New Roman"/>
          <w:i/>
          <w:iCs/>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John v Federal Commissioner of Taxation </w:t>
      </w:r>
      <w:r w:rsidRPr="00F22259">
        <w:rPr>
          <w:rFonts w:ascii="Times New Roman" w:hAnsi="Times New Roman"/>
          <w:sz w:val="24"/>
        </w:rPr>
        <w:t>(1989) 166 CLR 417 at 439</w:t>
      </w:r>
      <w:r w:rsidRPr="00F22259">
        <w:rPr>
          <w:rFonts w:ascii="Times New Roman" w:hAnsi="Times New Roman"/>
          <w:sz w:val="24"/>
        </w:rPr>
        <w:noBreakHyphen/>
        <w:t xml:space="preserve">440, referring to </w:t>
      </w:r>
      <w:proofErr w:type="spellStart"/>
      <w:r w:rsidRPr="00F22259">
        <w:rPr>
          <w:rFonts w:ascii="Times New Roman" w:hAnsi="Times New Roman"/>
          <w:i/>
          <w:iCs/>
          <w:sz w:val="24"/>
        </w:rPr>
        <w:t>Babaniaris</w:t>
      </w:r>
      <w:proofErr w:type="spellEnd"/>
      <w:r w:rsidRPr="00F22259">
        <w:rPr>
          <w:rFonts w:ascii="Times New Roman" w:hAnsi="Times New Roman"/>
          <w:i/>
          <w:iCs/>
          <w:sz w:val="24"/>
        </w:rPr>
        <w:t xml:space="preserve"> v </w:t>
      </w:r>
      <w:proofErr w:type="spellStart"/>
      <w:r w:rsidRPr="00F22259">
        <w:rPr>
          <w:rFonts w:ascii="Times New Roman" w:hAnsi="Times New Roman"/>
          <w:i/>
          <w:iCs/>
          <w:sz w:val="24"/>
        </w:rPr>
        <w:t>Lutony</w:t>
      </w:r>
      <w:proofErr w:type="spellEnd"/>
      <w:r w:rsidRPr="00F22259">
        <w:rPr>
          <w:rFonts w:ascii="Times New Roman" w:hAnsi="Times New Roman"/>
          <w:i/>
          <w:iCs/>
          <w:sz w:val="24"/>
        </w:rPr>
        <w:t xml:space="preserve"> Fashions Pty Ltd</w:t>
      </w:r>
      <w:r w:rsidRPr="00F22259">
        <w:rPr>
          <w:rFonts w:ascii="Times New Roman" w:hAnsi="Times New Roman"/>
          <w:sz w:val="24"/>
        </w:rPr>
        <w:t xml:space="preserve"> (1987) 163 CLR 1 at 13.</w:t>
      </w:r>
    </w:p>
  </w:footnote>
  <w:footnote w:id="182">
    <w:p w14:paraId="5E946E60"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Blair v Curran </w:t>
      </w:r>
      <w:r w:rsidRPr="00F22259">
        <w:rPr>
          <w:rFonts w:ascii="Times New Roman" w:hAnsi="Times New Roman"/>
          <w:sz w:val="24"/>
        </w:rPr>
        <w:t>(1939) 62 CLR 464 at 531.</w:t>
      </w:r>
    </w:p>
  </w:footnote>
  <w:footnote w:id="183">
    <w:p w14:paraId="7F5B3795"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Vella v Commissioner of Police (NSW) </w:t>
      </w:r>
      <w:r w:rsidRPr="00F22259">
        <w:rPr>
          <w:rFonts w:ascii="Times New Roman" w:hAnsi="Times New Roman"/>
          <w:sz w:val="24"/>
        </w:rPr>
        <w:t>(2019) 93 ALJR 1236 at 1259 [86]; 374 ALR 1 at 27 (footnotes omitted).</w:t>
      </w:r>
    </w:p>
  </w:footnote>
  <w:footnote w:id="184">
    <w:p w14:paraId="69703FBE"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Bell Lawyers Pty Ltd v </w:t>
      </w:r>
      <w:proofErr w:type="spellStart"/>
      <w:r w:rsidRPr="00F22259">
        <w:rPr>
          <w:rFonts w:ascii="Times New Roman" w:hAnsi="Times New Roman"/>
          <w:i/>
          <w:iCs/>
          <w:sz w:val="24"/>
        </w:rPr>
        <w:t>Pentelow</w:t>
      </w:r>
      <w:proofErr w:type="spellEnd"/>
      <w:r w:rsidRPr="00F22259">
        <w:rPr>
          <w:rFonts w:ascii="Times New Roman" w:hAnsi="Times New Roman"/>
          <w:i/>
          <w:iCs/>
          <w:sz w:val="24"/>
        </w:rPr>
        <w:t xml:space="preserve"> </w:t>
      </w:r>
      <w:r w:rsidRPr="00F22259">
        <w:rPr>
          <w:rFonts w:ascii="Times New Roman" w:hAnsi="Times New Roman"/>
          <w:sz w:val="24"/>
        </w:rPr>
        <w:t>(2019) 93 ALJR 1007 at 1021</w:t>
      </w:r>
      <w:r w:rsidRPr="00F22259">
        <w:rPr>
          <w:rFonts w:ascii="Times New Roman" w:hAnsi="Times New Roman"/>
          <w:sz w:val="24"/>
        </w:rPr>
        <w:noBreakHyphen/>
        <w:t>1022 [63], 1026 [</w:t>
      </w:r>
      <w:proofErr w:type="gramStart"/>
      <w:r w:rsidRPr="00F22259">
        <w:rPr>
          <w:rFonts w:ascii="Times New Roman" w:hAnsi="Times New Roman"/>
          <w:sz w:val="24"/>
        </w:rPr>
        <w:t>82]</w:t>
      </w:r>
      <w:r w:rsidRPr="00F22259">
        <w:rPr>
          <w:rFonts w:ascii="Times New Roman" w:hAnsi="Times New Roman"/>
          <w:sz w:val="24"/>
        </w:rPr>
        <w:noBreakHyphen/>
      </w:r>
      <w:proofErr w:type="gramEnd"/>
      <w:r w:rsidRPr="00F22259">
        <w:rPr>
          <w:rFonts w:ascii="Times New Roman" w:hAnsi="Times New Roman"/>
          <w:sz w:val="24"/>
        </w:rPr>
        <w:t>[83], 1028 [93]; 372 ALR 555 at 569</w:t>
      </w:r>
      <w:r w:rsidRPr="00F22259">
        <w:rPr>
          <w:rFonts w:ascii="Times New Roman" w:hAnsi="Times New Roman"/>
          <w:sz w:val="24"/>
        </w:rPr>
        <w:noBreakHyphen/>
        <w:t>570, 575</w:t>
      </w:r>
      <w:r w:rsidRPr="00F22259">
        <w:rPr>
          <w:rFonts w:ascii="Times New Roman" w:hAnsi="Times New Roman"/>
          <w:sz w:val="24"/>
        </w:rPr>
        <w:noBreakHyphen/>
        <w:t>576, 578. See also (2019) 93 ALJR 1007 at 1012</w:t>
      </w:r>
      <w:r w:rsidRPr="00F22259">
        <w:rPr>
          <w:rFonts w:ascii="Times New Roman" w:hAnsi="Times New Roman"/>
          <w:sz w:val="24"/>
        </w:rPr>
        <w:noBreakHyphen/>
        <w:t>1013 [</w:t>
      </w:r>
      <w:proofErr w:type="gramStart"/>
      <w:r w:rsidRPr="00F22259">
        <w:rPr>
          <w:rFonts w:ascii="Times New Roman" w:hAnsi="Times New Roman"/>
          <w:sz w:val="24"/>
        </w:rPr>
        <w:t>2]</w:t>
      </w:r>
      <w:r w:rsidRPr="00F22259">
        <w:rPr>
          <w:rFonts w:ascii="Times New Roman" w:hAnsi="Times New Roman"/>
          <w:sz w:val="24"/>
        </w:rPr>
        <w:noBreakHyphen/>
      </w:r>
      <w:proofErr w:type="gramEnd"/>
      <w:r w:rsidRPr="00F22259">
        <w:rPr>
          <w:rFonts w:ascii="Times New Roman" w:hAnsi="Times New Roman"/>
          <w:sz w:val="24"/>
        </w:rPr>
        <w:t>[3], 1014 [16], 1016 [26]</w:t>
      </w:r>
      <w:r w:rsidRPr="00F22259">
        <w:rPr>
          <w:rFonts w:ascii="Times New Roman" w:hAnsi="Times New Roman"/>
          <w:sz w:val="24"/>
        </w:rPr>
        <w:noBreakHyphen/>
        <w:t>[28], 1018 [39], 1019 [46], 1020 [53], [54]; 372 ALR 555 at 557, 559, 562, 565, 566, 567.</w:t>
      </w:r>
    </w:p>
  </w:footnote>
  <w:footnote w:id="185">
    <w:p w14:paraId="124A5C87"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Burrows, "The Relationship Between Common Law and Statute in the Law of Obligations" (2012) 128 </w:t>
      </w:r>
      <w:r w:rsidRPr="00F22259">
        <w:rPr>
          <w:rFonts w:ascii="Times New Roman" w:hAnsi="Times New Roman"/>
          <w:i/>
          <w:iCs/>
          <w:sz w:val="24"/>
        </w:rPr>
        <w:t xml:space="preserve">Law Quarterly Review </w:t>
      </w:r>
      <w:r w:rsidRPr="00F22259">
        <w:rPr>
          <w:rFonts w:ascii="Times New Roman" w:hAnsi="Times New Roman"/>
          <w:sz w:val="24"/>
        </w:rPr>
        <w:t>232 at 235.</w:t>
      </w:r>
    </w:p>
  </w:footnote>
  <w:footnote w:id="186">
    <w:p w14:paraId="49CC6E39"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proofErr w:type="spellStart"/>
      <w:r w:rsidRPr="00F22259">
        <w:rPr>
          <w:rFonts w:ascii="Times New Roman" w:hAnsi="Times New Roman"/>
          <w:sz w:val="24"/>
        </w:rPr>
        <w:t>Gummow</w:t>
      </w:r>
      <w:proofErr w:type="spellEnd"/>
      <w:r w:rsidRPr="00F22259">
        <w:rPr>
          <w:rFonts w:ascii="Times New Roman" w:hAnsi="Times New Roman"/>
          <w:sz w:val="24"/>
        </w:rPr>
        <w:t xml:space="preserve">, </w:t>
      </w:r>
      <w:r w:rsidRPr="00F22259">
        <w:rPr>
          <w:rFonts w:ascii="Times New Roman" w:hAnsi="Times New Roman"/>
          <w:i/>
          <w:sz w:val="24"/>
        </w:rPr>
        <w:t>Change and Continuity: Statute, Equity, and Federalism</w:t>
      </w:r>
      <w:r w:rsidRPr="00F22259">
        <w:rPr>
          <w:rFonts w:ascii="Times New Roman" w:hAnsi="Times New Roman"/>
          <w:sz w:val="24"/>
        </w:rPr>
        <w:t xml:space="preserve"> (Clarendon Law Lectures) (1999) at 7.</w:t>
      </w:r>
    </w:p>
  </w:footnote>
  <w:footnote w:id="187">
    <w:p w14:paraId="42AD6FFA" w14:textId="77777777" w:rsidR="004933DB" w:rsidRPr="00F22259" w:rsidRDefault="004933DB" w:rsidP="00F22259">
      <w:pPr>
        <w:pStyle w:val="FootnoteText"/>
        <w:spacing w:line="280" w:lineRule="exact"/>
        <w:ind w:right="0"/>
        <w:jc w:val="both"/>
        <w:rPr>
          <w:rFonts w:ascii="Times New Roman" w:hAnsi="Times New Roman"/>
          <w:i/>
          <w:iCs/>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See </w:t>
      </w:r>
      <w:r w:rsidRPr="00F22259">
        <w:rPr>
          <w:rFonts w:ascii="Times New Roman" w:hAnsi="Times New Roman"/>
          <w:i/>
          <w:iCs/>
          <w:sz w:val="24"/>
        </w:rPr>
        <w:t xml:space="preserve">R v A2 </w:t>
      </w:r>
      <w:r w:rsidRPr="00F22259">
        <w:rPr>
          <w:rFonts w:ascii="Times New Roman" w:hAnsi="Times New Roman"/>
          <w:sz w:val="24"/>
        </w:rPr>
        <w:t>(2019) 93 ALJR 1106 at 1141 [173]; 373 ALR 214 at 257.</w:t>
      </w:r>
    </w:p>
  </w:footnote>
  <w:footnote w:id="188">
    <w:p w14:paraId="12AD998C"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See </w:t>
      </w:r>
      <w:r w:rsidRPr="00F22259">
        <w:rPr>
          <w:rFonts w:ascii="Times New Roman" w:hAnsi="Times New Roman"/>
          <w:i/>
          <w:iCs/>
          <w:sz w:val="24"/>
        </w:rPr>
        <w:t>Aubrey v The Queen</w:t>
      </w:r>
      <w:r w:rsidRPr="00F22259">
        <w:rPr>
          <w:rFonts w:ascii="Times New Roman" w:hAnsi="Times New Roman"/>
          <w:sz w:val="24"/>
        </w:rPr>
        <w:t xml:space="preserve"> (2017) 260 CLR 305 at 320 [24].</w:t>
      </w:r>
    </w:p>
  </w:footnote>
  <w:footnote w:id="189">
    <w:p w14:paraId="28E84D87"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[1997] 2 VR 585 at 586, 592-593.</w:t>
      </w:r>
    </w:p>
  </w:footnote>
  <w:footnote w:id="190">
    <w:p w14:paraId="72F2FA53" w14:textId="77777777" w:rsidR="004933DB" w:rsidRPr="00F22259" w:rsidRDefault="004933DB" w:rsidP="00F22259">
      <w:pPr>
        <w:pStyle w:val="FootnoteText"/>
        <w:spacing w:line="280" w:lineRule="exact"/>
        <w:ind w:right="0"/>
        <w:jc w:val="both"/>
        <w:rPr>
          <w:rFonts w:ascii="Times New Roman" w:hAnsi="Times New Roman"/>
          <w:i/>
          <w:iCs/>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(1985) 156 CLR 464 at 469-470.</w:t>
      </w:r>
    </w:p>
  </w:footnote>
  <w:footnote w:id="191">
    <w:p w14:paraId="6E7A2A86"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[1990] VR 641 at 643.</w:t>
      </w:r>
    </w:p>
  </w:footnote>
  <w:footnote w:id="192">
    <w:p w14:paraId="5FBE57EE"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[1990] VR 641 at 643.</w:t>
      </w:r>
    </w:p>
  </w:footnote>
  <w:footnote w:id="193">
    <w:p w14:paraId="24402C0A"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[1990] VR 641 at 643.</w:t>
      </w:r>
    </w:p>
  </w:footnote>
  <w:footnote w:id="194">
    <w:p w14:paraId="4CE648A9"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(1988) 37 A Crim R 131 at 152.</w:t>
      </w:r>
    </w:p>
  </w:footnote>
  <w:footnote w:id="195">
    <w:p w14:paraId="397E4ABF"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See also the example in </w:t>
      </w:r>
      <w:r w:rsidRPr="00F22259">
        <w:rPr>
          <w:rFonts w:ascii="Times New Roman" w:hAnsi="Times New Roman"/>
          <w:i/>
          <w:iCs/>
          <w:sz w:val="24"/>
        </w:rPr>
        <w:t xml:space="preserve">Blackwell v The Queen </w:t>
      </w:r>
      <w:r w:rsidRPr="00F22259">
        <w:rPr>
          <w:rFonts w:ascii="Times New Roman" w:hAnsi="Times New Roman"/>
          <w:sz w:val="24"/>
        </w:rPr>
        <w:t>(2011) 81 NSWLR 119 at 146 [155].</w:t>
      </w:r>
    </w:p>
  </w:footnote>
  <w:footnote w:id="196">
    <w:p w14:paraId="3D064293"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Sentencing and Other Acts (Amendment) Act 1997</w:t>
      </w:r>
      <w:r w:rsidRPr="00F22259">
        <w:rPr>
          <w:rFonts w:ascii="Times New Roman" w:hAnsi="Times New Roman"/>
          <w:sz w:val="24"/>
        </w:rPr>
        <w:t> (Vic), Sch 1, item 11.</w:t>
      </w:r>
    </w:p>
  </w:footnote>
  <w:footnote w:id="197">
    <w:p w14:paraId="3434DC4B"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Victoria, Legislative Council, </w:t>
      </w:r>
      <w:r w:rsidRPr="00F22259">
        <w:rPr>
          <w:rFonts w:ascii="Times New Roman" w:hAnsi="Times New Roman"/>
          <w:i/>
          <w:iCs/>
          <w:sz w:val="24"/>
        </w:rPr>
        <w:t>Parliamentary Debates</w:t>
      </w:r>
      <w:r w:rsidRPr="00F22259">
        <w:rPr>
          <w:rFonts w:ascii="Times New Roman" w:hAnsi="Times New Roman"/>
          <w:sz w:val="24"/>
        </w:rPr>
        <w:t xml:space="preserve"> (Hansard), 27 May 1997 at 1058.</w:t>
      </w:r>
    </w:p>
  </w:footnote>
  <w:footnote w:id="198">
    <w:p w14:paraId="6AF3E962"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sz w:val="24"/>
        </w:rPr>
        <w:t xml:space="preserve">Commissioner of Stamps (SA) v Telegraph Investment Co Pty Ltd </w:t>
      </w:r>
      <w:r w:rsidRPr="00F22259">
        <w:rPr>
          <w:rFonts w:ascii="Times New Roman" w:hAnsi="Times New Roman"/>
          <w:sz w:val="24"/>
        </w:rPr>
        <w:t>(1995) 184 CLR 453 at 463. See also at 479.</w:t>
      </w:r>
    </w:p>
  </w:footnote>
  <w:footnote w:id="199">
    <w:p w14:paraId="2A4D4106"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sz w:val="24"/>
        </w:rPr>
        <w:t>Crimes Amendment (Gross Violence Offences) Act 2013</w:t>
      </w:r>
      <w:r w:rsidRPr="00F22259">
        <w:rPr>
          <w:rFonts w:ascii="Times New Roman" w:hAnsi="Times New Roman"/>
          <w:sz w:val="24"/>
        </w:rPr>
        <w:t> (Vic), ss 3, 4.</w:t>
      </w:r>
    </w:p>
  </w:footnote>
  <w:footnote w:id="200">
    <w:p w14:paraId="70C456B9"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Victoria, Legislative Assembly, </w:t>
      </w:r>
      <w:r w:rsidRPr="00F22259">
        <w:rPr>
          <w:rFonts w:ascii="Times New Roman" w:hAnsi="Times New Roman"/>
          <w:i/>
          <w:sz w:val="24"/>
        </w:rPr>
        <w:t>Parliamentary Debates</w:t>
      </w:r>
      <w:r w:rsidRPr="00F22259">
        <w:rPr>
          <w:rFonts w:ascii="Times New Roman" w:hAnsi="Times New Roman"/>
          <w:sz w:val="24"/>
        </w:rPr>
        <w:t xml:space="preserve"> (Hansard), 13 December 2012 at 5550.</w:t>
      </w:r>
    </w:p>
  </w:footnote>
  <w:footnote w:id="201">
    <w:p w14:paraId="373FE55A"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(2011) 81 NSWLR 119.</w:t>
      </w:r>
    </w:p>
  </w:footnote>
  <w:footnote w:id="202">
    <w:p w14:paraId="294E8823"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 xml:space="preserve">Crimes Act 1900 </w:t>
      </w:r>
      <w:r w:rsidRPr="00F22259">
        <w:rPr>
          <w:rFonts w:ascii="Times New Roman" w:hAnsi="Times New Roman"/>
          <w:sz w:val="24"/>
        </w:rPr>
        <w:t>(NSW), s 35 (as the provision then stood).</w:t>
      </w:r>
    </w:p>
  </w:footnote>
  <w:footnote w:id="203">
    <w:p w14:paraId="44C96368"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(2011) 81 NSWLR 119 at 134 [78].</w:t>
      </w:r>
    </w:p>
  </w:footnote>
  <w:footnote w:id="204">
    <w:p w14:paraId="7CF76B90"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(2005) 224 CLR 262 at 275 [35].</w:t>
      </w:r>
    </w:p>
  </w:footnote>
  <w:footnote w:id="205">
    <w:p w14:paraId="3AE66AE6"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Sentencing Advisory Council, </w:t>
      </w:r>
      <w:r w:rsidRPr="00F22259">
        <w:rPr>
          <w:rFonts w:ascii="Times New Roman" w:hAnsi="Times New Roman"/>
          <w:i/>
          <w:iCs/>
          <w:sz w:val="24"/>
        </w:rPr>
        <w:t>Statutory Minimum Sentences for Gross Violence Offences</w:t>
      </w:r>
      <w:r w:rsidRPr="00F22259">
        <w:rPr>
          <w:rFonts w:ascii="Times New Roman" w:hAnsi="Times New Roman"/>
          <w:sz w:val="24"/>
        </w:rPr>
        <w:t xml:space="preserve"> (2011).</w:t>
      </w:r>
    </w:p>
  </w:footnote>
  <w:footnote w:id="206">
    <w:p w14:paraId="349FCF80"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Victoria, Legislative Assembly, </w:t>
      </w:r>
      <w:r w:rsidRPr="00F22259">
        <w:rPr>
          <w:rFonts w:ascii="Times New Roman" w:hAnsi="Times New Roman"/>
          <w:i/>
          <w:sz w:val="24"/>
        </w:rPr>
        <w:t>Parliamentary Debates</w:t>
      </w:r>
      <w:r w:rsidRPr="00F22259">
        <w:rPr>
          <w:rFonts w:ascii="Times New Roman" w:hAnsi="Times New Roman"/>
          <w:sz w:val="24"/>
        </w:rPr>
        <w:t xml:space="preserve"> (Hansard), 13 December 2012 at 5550.</w:t>
      </w:r>
    </w:p>
  </w:footnote>
  <w:footnote w:id="207">
    <w:p w14:paraId="71E82216"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[1990] VR 641 at 643.</w:t>
      </w:r>
    </w:p>
  </w:footnote>
  <w:footnote w:id="208">
    <w:p w14:paraId="717095DC"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 xml:space="preserve">Sentencing Advisory Council, </w:t>
      </w:r>
      <w:r w:rsidRPr="00F22259">
        <w:rPr>
          <w:rFonts w:ascii="Times New Roman" w:hAnsi="Times New Roman"/>
          <w:i/>
          <w:iCs/>
          <w:sz w:val="24"/>
        </w:rPr>
        <w:t>Statutory Minimum Sentences for Gross Violence Offences</w:t>
      </w:r>
      <w:r w:rsidRPr="00F22259">
        <w:rPr>
          <w:rFonts w:ascii="Times New Roman" w:hAnsi="Times New Roman"/>
          <w:sz w:val="24"/>
        </w:rPr>
        <w:t xml:space="preserve"> (2011) at 4 [1.20].</w:t>
      </w:r>
    </w:p>
  </w:footnote>
  <w:footnote w:id="209">
    <w:p w14:paraId="0731FA1C"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(1987) 163 CLR 1 at 13.</w:t>
      </w:r>
    </w:p>
  </w:footnote>
  <w:footnote w:id="210">
    <w:p w14:paraId="2354A7EA"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proofErr w:type="spellStart"/>
      <w:r w:rsidRPr="00F22259">
        <w:rPr>
          <w:rFonts w:ascii="Times New Roman" w:hAnsi="Times New Roman"/>
          <w:sz w:val="24"/>
        </w:rPr>
        <w:t>Juratowitch</w:t>
      </w:r>
      <w:proofErr w:type="spellEnd"/>
      <w:r w:rsidRPr="00F22259">
        <w:rPr>
          <w:rFonts w:ascii="Times New Roman" w:hAnsi="Times New Roman"/>
          <w:sz w:val="24"/>
        </w:rPr>
        <w:t xml:space="preserve">, </w:t>
      </w:r>
      <w:r w:rsidRPr="00F22259">
        <w:rPr>
          <w:rFonts w:ascii="Times New Roman" w:hAnsi="Times New Roman"/>
          <w:i/>
          <w:iCs/>
          <w:sz w:val="24"/>
        </w:rPr>
        <w:t xml:space="preserve">Retroactivity and the Common Law </w:t>
      </w:r>
      <w:r w:rsidRPr="00F22259">
        <w:rPr>
          <w:rFonts w:ascii="Times New Roman" w:hAnsi="Times New Roman"/>
          <w:sz w:val="24"/>
        </w:rPr>
        <w:t>(2008) at 52.</w:t>
      </w:r>
    </w:p>
  </w:footnote>
  <w:footnote w:id="211">
    <w:p w14:paraId="01BA8824"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proofErr w:type="spellStart"/>
      <w:r w:rsidRPr="00F22259">
        <w:rPr>
          <w:rFonts w:ascii="Times New Roman" w:hAnsi="Times New Roman"/>
          <w:i/>
          <w:iCs/>
          <w:sz w:val="24"/>
        </w:rPr>
        <w:t>Babaniaris</w:t>
      </w:r>
      <w:proofErr w:type="spellEnd"/>
      <w:r w:rsidRPr="00F22259">
        <w:rPr>
          <w:rFonts w:ascii="Times New Roman" w:hAnsi="Times New Roman"/>
          <w:i/>
          <w:iCs/>
          <w:sz w:val="24"/>
        </w:rPr>
        <w:t xml:space="preserve"> v </w:t>
      </w:r>
      <w:proofErr w:type="spellStart"/>
      <w:r w:rsidRPr="00F22259">
        <w:rPr>
          <w:rFonts w:ascii="Times New Roman" w:hAnsi="Times New Roman"/>
          <w:i/>
          <w:iCs/>
          <w:sz w:val="24"/>
        </w:rPr>
        <w:t>Lutony</w:t>
      </w:r>
      <w:proofErr w:type="spellEnd"/>
      <w:r w:rsidRPr="00F22259">
        <w:rPr>
          <w:rFonts w:ascii="Times New Roman" w:hAnsi="Times New Roman"/>
          <w:i/>
          <w:iCs/>
          <w:sz w:val="24"/>
        </w:rPr>
        <w:t xml:space="preserve"> Fashions Pty Ltd</w:t>
      </w:r>
      <w:r w:rsidRPr="00F22259">
        <w:rPr>
          <w:rFonts w:ascii="Times New Roman" w:hAnsi="Times New Roman"/>
          <w:sz w:val="24"/>
        </w:rPr>
        <w:t xml:space="preserve"> (1987) 163 CLR 1 at 13.</w:t>
      </w:r>
    </w:p>
  </w:footnote>
  <w:footnote w:id="212">
    <w:p w14:paraId="6C056F2B"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Crimes Amendment (Gross Violence Offences) Act</w:t>
      </w:r>
      <w:r w:rsidRPr="00F22259">
        <w:rPr>
          <w:rFonts w:ascii="Times New Roman" w:hAnsi="Times New Roman"/>
          <w:sz w:val="24"/>
        </w:rPr>
        <w:t xml:space="preserve"> </w:t>
      </w:r>
      <w:r w:rsidRPr="00F22259">
        <w:rPr>
          <w:rFonts w:ascii="Times New Roman" w:hAnsi="Times New Roman"/>
          <w:i/>
          <w:iCs/>
          <w:sz w:val="24"/>
        </w:rPr>
        <w:t>2013</w:t>
      </w:r>
      <w:r w:rsidRPr="00F22259">
        <w:rPr>
          <w:rFonts w:ascii="Times New Roman" w:hAnsi="Times New Roman"/>
          <w:iCs/>
          <w:sz w:val="24"/>
        </w:rPr>
        <w:t> </w:t>
      </w:r>
      <w:r w:rsidRPr="00F22259">
        <w:rPr>
          <w:rFonts w:ascii="Times New Roman" w:hAnsi="Times New Roman"/>
          <w:sz w:val="24"/>
        </w:rPr>
        <w:t>(Vic), s 4.</w:t>
      </w:r>
    </w:p>
  </w:footnote>
  <w:footnote w:id="213">
    <w:p w14:paraId="2786B744"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Crimes Act 1958</w:t>
      </w:r>
      <w:r w:rsidRPr="00F22259">
        <w:rPr>
          <w:rFonts w:ascii="Times New Roman" w:hAnsi="Times New Roman"/>
          <w:iCs/>
          <w:sz w:val="24"/>
        </w:rPr>
        <w:t> </w:t>
      </w:r>
      <w:r w:rsidRPr="00F22259">
        <w:rPr>
          <w:rFonts w:ascii="Times New Roman" w:hAnsi="Times New Roman"/>
          <w:sz w:val="24"/>
        </w:rPr>
        <w:t>(Vic), s 22.</w:t>
      </w:r>
    </w:p>
  </w:footnote>
  <w:footnote w:id="214">
    <w:p w14:paraId="763172CF"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Crimes Act 1900</w:t>
      </w:r>
      <w:r w:rsidRPr="00F22259">
        <w:rPr>
          <w:rFonts w:ascii="Times New Roman" w:hAnsi="Times New Roman"/>
          <w:iCs/>
          <w:sz w:val="24"/>
        </w:rPr>
        <w:t> </w:t>
      </w:r>
      <w:r w:rsidRPr="00F22259">
        <w:rPr>
          <w:rFonts w:ascii="Times New Roman" w:hAnsi="Times New Roman"/>
          <w:sz w:val="24"/>
        </w:rPr>
        <w:t>(NSW), s 193</w:t>
      </w:r>
      <w:proofErr w:type="gramStart"/>
      <w:r w:rsidRPr="00F22259">
        <w:rPr>
          <w:rFonts w:ascii="Times New Roman" w:hAnsi="Times New Roman"/>
          <w:sz w:val="24"/>
        </w:rPr>
        <w:t>B(</w:t>
      </w:r>
      <w:proofErr w:type="gramEnd"/>
      <w:r w:rsidRPr="00F22259">
        <w:rPr>
          <w:rFonts w:ascii="Times New Roman" w:hAnsi="Times New Roman"/>
          <w:sz w:val="24"/>
        </w:rPr>
        <w:t xml:space="preserve">3); </w:t>
      </w:r>
      <w:r w:rsidRPr="00F22259">
        <w:rPr>
          <w:rFonts w:ascii="Times New Roman" w:hAnsi="Times New Roman"/>
          <w:i/>
          <w:iCs/>
          <w:sz w:val="24"/>
        </w:rPr>
        <w:t>Crimes Act 1958</w:t>
      </w:r>
      <w:r w:rsidRPr="00F22259">
        <w:rPr>
          <w:rFonts w:ascii="Times New Roman" w:hAnsi="Times New Roman"/>
          <w:iCs/>
          <w:sz w:val="24"/>
        </w:rPr>
        <w:t> (Vic)</w:t>
      </w:r>
      <w:r w:rsidRPr="00F22259">
        <w:rPr>
          <w:rFonts w:ascii="Times New Roman" w:hAnsi="Times New Roman"/>
          <w:sz w:val="24"/>
        </w:rPr>
        <w:t>, s 194(3).</w:t>
      </w:r>
    </w:p>
  </w:footnote>
  <w:footnote w:id="215">
    <w:p w14:paraId="620E577F"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Crimes Act 1900</w:t>
      </w:r>
      <w:r w:rsidRPr="00F22259">
        <w:rPr>
          <w:rFonts w:ascii="Times New Roman" w:hAnsi="Times New Roman"/>
          <w:iCs/>
          <w:sz w:val="24"/>
        </w:rPr>
        <w:t> </w:t>
      </w:r>
      <w:r w:rsidRPr="00F22259">
        <w:rPr>
          <w:rFonts w:ascii="Times New Roman" w:hAnsi="Times New Roman"/>
          <w:sz w:val="24"/>
        </w:rPr>
        <w:t xml:space="preserve">(NSW), s 193P(1)(a); </w:t>
      </w:r>
      <w:r w:rsidRPr="00F22259">
        <w:rPr>
          <w:rFonts w:ascii="Times New Roman" w:hAnsi="Times New Roman"/>
          <w:i/>
          <w:iCs/>
          <w:sz w:val="24"/>
        </w:rPr>
        <w:t>Crimes Act 1958</w:t>
      </w:r>
      <w:r w:rsidRPr="00F22259">
        <w:rPr>
          <w:rFonts w:ascii="Times New Roman" w:hAnsi="Times New Roman"/>
          <w:iCs/>
          <w:sz w:val="24"/>
        </w:rPr>
        <w:t> </w:t>
      </w:r>
      <w:r w:rsidRPr="00F22259">
        <w:rPr>
          <w:rFonts w:ascii="Times New Roman" w:hAnsi="Times New Roman"/>
          <w:sz w:val="24"/>
        </w:rPr>
        <w:t>(Vic), s 195E(1)(a).</w:t>
      </w:r>
    </w:p>
  </w:footnote>
  <w:footnote w:id="216">
    <w:p w14:paraId="5B3F9D58"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Crimes Act 1900</w:t>
      </w:r>
      <w:r w:rsidRPr="00F22259">
        <w:rPr>
          <w:rFonts w:ascii="Times New Roman" w:hAnsi="Times New Roman"/>
          <w:iCs/>
          <w:sz w:val="24"/>
        </w:rPr>
        <w:t> </w:t>
      </w:r>
      <w:r w:rsidRPr="00F22259">
        <w:rPr>
          <w:rFonts w:ascii="Times New Roman" w:hAnsi="Times New Roman"/>
          <w:sz w:val="24"/>
        </w:rPr>
        <w:t>(NSW), s 203E(1)(b);</w:t>
      </w:r>
      <w:r w:rsidRPr="00F22259">
        <w:rPr>
          <w:rFonts w:ascii="Times New Roman" w:hAnsi="Times New Roman"/>
          <w:i/>
          <w:iCs/>
          <w:sz w:val="24"/>
        </w:rPr>
        <w:t xml:space="preserve"> Crimes Act 1958</w:t>
      </w:r>
      <w:r w:rsidRPr="00F22259">
        <w:rPr>
          <w:rFonts w:ascii="Times New Roman" w:hAnsi="Times New Roman"/>
          <w:iCs/>
          <w:sz w:val="24"/>
        </w:rPr>
        <w:t> </w:t>
      </w:r>
      <w:r w:rsidRPr="00F22259">
        <w:rPr>
          <w:rFonts w:ascii="Times New Roman" w:hAnsi="Times New Roman"/>
          <w:sz w:val="24"/>
        </w:rPr>
        <w:t>(Vic), s 201A.</w:t>
      </w:r>
    </w:p>
  </w:footnote>
  <w:footnote w:id="217">
    <w:p w14:paraId="32841CA0"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Crimes Act 1900</w:t>
      </w:r>
      <w:r w:rsidRPr="00F22259">
        <w:rPr>
          <w:rFonts w:ascii="Times New Roman" w:hAnsi="Times New Roman"/>
          <w:iCs/>
          <w:sz w:val="24"/>
        </w:rPr>
        <w:t> </w:t>
      </w:r>
      <w:r w:rsidRPr="00F22259">
        <w:rPr>
          <w:rFonts w:ascii="Times New Roman" w:hAnsi="Times New Roman"/>
          <w:sz w:val="24"/>
        </w:rPr>
        <w:t xml:space="preserve">(NSW), s 308D(1)(c); </w:t>
      </w:r>
      <w:r w:rsidRPr="00F22259">
        <w:rPr>
          <w:rFonts w:ascii="Times New Roman" w:hAnsi="Times New Roman"/>
          <w:i/>
          <w:iCs/>
          <w:sz w:val="24"/>
        </w:rPr>
        <w:t>Crimes Act 1958</w:t>
      </w:r>
      <w:r w:rsidRPr="00F22259">
        <w:rPr>
          <w:rFonts w:ascii="Times New Roman" w:hAnsi="Times New Roman"/>
          <w:iCs/>
          <w:sz w:val="24"/>
        </w:rPr>
        <w:t> </w:t>
      </w:r>
      <w:r w:rsidRPr="00F22259">
        <w:rPr>
          <w:rFonts w:ascii="Times New Roman" w:hAnsi="Times New Roman"/>
          <w:sz w:val="24"/>
        </w:rPr>
        <w:t>(Vic), s 247C(c).</w:t>
      </w:r>
    </w:p>
  </w:footnote>
  <w:footnote w:id="218">
    <w:p w14:paraId="114AEFEF"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r>
      <w:r w:rsidRPr="00F22259">
        <w:rPr>
          <w:rFonts w:ascii="Times New Roman" w:hAnsi="Times New Roman"/>
          <w:i/>
          <w:iCs/>
          <w:sz w:val="24"/>
        </w:rPr>
        <w:t>Crimes Act 1900</w:t>
      </w:r>
      <w:r w:rsidRPr="00F22259">
        <w:rPr>
          <w:rFonts w:ascii="Times New Roman" w:hAnsi="Times New Roman"/>
          <w:iCs/>
          <w:sz w:val="24"/>
        </w:rPr>
        <w:t> </w:t>
      </w:r>
      <w:r w:rsidRPr="00F22259">
        <w:rPr>
          <w:rFonts w:ascii="Times New Roman" w:hAnsi="Times New Roman"/>
          <w:sz w:val="24"/>
        </w:rPr>
        <w:t>(NSW), s 35.</w:t>
      </w:r>
    </w:p>
  </w:footnote>
  <w:footnote w:id="219">
    <w:p w14:paraId="02E35415" w14:textId="77777777" w:rsidR="004933DB" w:rsidRPr="00F22259" w:rsidRDefault="004933DB" w:rsidP="00F22259">
      <w:pPr>
        <w:pStyle w:val="FootnoteText"/>
        <w:spacing w:line="280" w:lineRule="exact"/>
        <w:ind w:right="0"/>
        <w:jc w:val="both"/>
        <w:rPr>
          <w:rFonts w:ascii="Times New Roman" w:hAnsi="Times New Roman"/>
          <w:sz w:val="24"/>
        </w:rPr>
      </w:pPr>
      <w:r w:rsidRPr="00F22259">
        <w:rPr>
          <w:rStyle w:val="FootnoteReference"/>
          <w:rFonts w:ascii="Times New Roman" w:hAnsi="Times New Roman"/>
          <w:sz w:val="22"/>
          <w:vertAlign w:val="baseline"/>
        </w:rPr>
        <w:footnoteRef/>
      </w:r>
      <w:r w:rsidRPr="00F22259">
        <w:rPr>
          <w:rFonts w:ascii="Times New Roman" w:hAnsi="Times New Roman"/>
          <w:sz w:val="24"/>
        </w:rPr>
        <w:t xml:space="preserve"> </w:t>
      </w:r>
      <w:r w:rsidRPr="00F22259">
        <w:rPr>
          <w:rFonts w:ascii="Times New Roman" w:hAnsi="Times New Roman"/>
          <w:sz w:val="24"/>
        </w:rPr>
        <w:tab/>
        <w:t>See above at [</w:t>
      </w:r>
      <w:r>
        <w:rPr>
          <w:rFonts w:ascii="Times New Roman" w:hAnsi="Times New Roman"/>
          <w:sz w:val="24"/>
        </w:rPr>
        <w:t>8</w:t>
      </w:r>
      <w:r w:rsidRPr="00F22259">
        <w:rPr>
          <w:rFonts w:ascii="Times New Roman" w:hAnsi="Times New Roman"/>
          <w:sz w:val="24"/>
        </w:rPr>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24F6" w14:textId="77777777" w:rsidR="004F542A" w:rsidRPr="009A0B37" w:rsidRDefault="004F542A" w:rsidP="009A0B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5C34" w14:textId="77777777" w:rsidR="00F22259" w:rsidRDefault="00B35DDD" w:rsidP="00F2225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F67280A" w14:textId="77777777" w:rsidR="00F22259" w:rsidRDefault="00B35DDD" w:rsidP="00F22259">
    <w:pPr>
      <w:pStyle w:val="Header"/>
      <w:tabs>
        <w:tab w:val="clear" w:pos="4153"/>
        <w:tab w:val="clear" w:pos="8306"/>
        <w:tab w:val="right" w:pos="1304"/>
      </w:tabs>
      <w:spacing w:line="280" w:lineRule="exact"/>
      <w:ind w:firstLine="0"/>
      <w:rPr>
        <w:rFonts w:ascii="Times New Roman" w:hAnsi="Times New Roman"/>
        <w:i/>
        <w:sz w:val="22"/>
      </w:rPr>
    </w:pPr>
  </w:p>
  <w:p w14:paraId="0377B664" w14:textId="77777777" w:rsidR="00F22259" w:rsidRDefault="00B35DDD" w:rsidP="00F2225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29CDAFE" w14:textId="77777777" w:rsidR="00F22259" w:rsidRPr="00F22259" w:rsidRDefault="00B35DDD" w:rsidP="00F2225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E0660" w14:textId="77777777" w:rsidR="00F22259" w:rsidRDefault="00B35DDD" w:rsidP="00F2225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w:t>
    </w:r>
    <w:r>
      <w:rPr>
        <w:rFonts w:ascii="Times New Roman" w:hAnsi="Times New Roman"/>
        <w:i/>
        <w:sz w:val="22"/>
      </w:rPr>
      <w:t>lman</w:t>
    </w:r>
    <w:r>
      <w:rPr>
        <w:rFonts w:ascii="Times New Roman" w:hAnsi="Times New Roman"/>
        <w:i/>
        <w:sz w:val="22"/>
      </w:rPr>
      <w:tab/>
      <w:t>J</w:t>
    </w:r>
  </w:p>
  <w:p w14:paraId="11475463" w14:textId="77777777" w:rsidR="00F22259" w:rsidRDefault="00B35DDD" w:rsidP="00F22259">
    <w:pPr>
      <w:pStyle w:val="Header"/>
      <w:tabs>
        <w:tab w:val="clear" w:pos="4153"/>
        <w:tab w:val="clear" w:pos="8306"/>
        <w:tab w:val="left" w:pos="7200"/>
        <w:tab w:val="right" w:pos="8504"/>
      </w:tabs>
      <w:spacing w:line="280" w:lineRule="exact"/>
      <w:jc w:val="right"/>
      <w:rPr>
        <w:rFonts w:ascii="Times New Roman" w:hAnsi="Times New Roman"/>
        <w:i/>
        <w:sz w:val="22"/>
      </w:rPr>
    </w:pPr>
  </w:p>
  <w:p w14:paraId="787D26B0" w14:textId="77777777" w:rsidR="00F22259" w:rsidRDefault="00B35DDD" w:rsidP="00F2225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4422E23" w14:textId="77777777" w:rsidR="00F22259" w:rsidRPr="00F22259" w:rsidRDefault="00B35DDD" w:rsidP="00F2225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C3E8" w14:textId="77777777" w:rsidR="00F22259" w:rsidRDefault="00B35DDD" w:rsidP="00F22259">
    <w:pPr>
      <w:pStyle w:val="Header"/>
      <w:tabs>
        <w:tab w:val="clear" w:pos="4153"/>
        <w:tab w:val="clear" w:pos="8306"/>
        <w:tab w:val="center" w:pos="1134"/>
      </w:tabs>
      <w:spacing w:line="280" w:lineRule="exact"/>
      <w:ind w:firstLine="0"/>
      <w:rPr>
        <w:rFonts w:ascii="Times New Roman" w:hAnsi="Times New Roman"/>
        <w:i/>
        <w:sz w:val="22"/>
      </w:rPr>
    </w:pPr>
  </w:p>
  <w:p w14:paraId="575C7F4F" w14:textId="77777777" w:rsidR="00F22259" w:rsidRDefault="00B35DDD" w:rsidP="00F22259">
    <w:pPr>
      <w:pStyle w:val="Header"/>
      <w:tabs>
        <w:tab w:val="clear" w:pos="4153"/>
        <w:tab w:val="clear" w:pos="8306"/>
        <w:tab w:val="center" w:pos="1134"/>
      </w:tabs>
      <w:spacing w:line="280" w:lineRule="exact"/>
      <w:ind w:firstLine="0"/>
      <w:rPr>
        <w:rFonts w:ascii="Times New Roman" w:hAnsi="Times New Roman"/>
        <w:i/>
        <w:sz w:val="22"/>
      </w:rPr>
    </w:pPr>
  </w:p>
  <w:p w14:paraId="128CE659" w14:textId="77777777" w:rsidR="00F22259" w:rsidRDefault="00B35DDD" w:rsidP="00F22259">
    <w:pPr>
      <w:pStyle w:val="Header"/>
      <w:tabs>
        <w:tab w:val="clear" w:pos="4153"/>
        <w:tab w:val="clear" w:pos="8306"/>
        <w:tab w:val="center" w:pos="1134"/>
      </w:tabs>
      <w:spacing w:line="280" w:lineRule="exact"/>
      <w:ind w:firstLine="0"/>
      <w:rPr>
        <w:rFonts w:ascii="Times New Roman" w:hAnsi="Times New Roman"/>
        <w:i/>
        <w:sz w:val="22"/>
      </w:rPr>
    </w:pPr>
  </w:p>
  <w:p w14:paraId="426DA658" w14:textId="77777777" w:rsidR="00C231F7" w:rsidRPr="00F22259" w:rsidRDefault="00B35DDD" w:rsidP="00F22259">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2DC8" w14:textId="21347914" w:rsidR="004F542A" w:rsidRPr="009A0B37" w:rsidRDefault="009A0B37" w:rsidP="009A0B3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13B4" w14:textId="6E9D6A72" w:rsidR="001C1338" w:rsidRPr="009A0B37" w:rsidRDefault="001C1338" w:rsidP="009A0B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F36A" w14:textId="77777777" w:rsidR="009A0B37" w:rsidRPr="004F542A" w:rsidRDefault="009A0B37" w:rsidP="004F542A">
    <w:pPr>
      <w:pStyle w:val="Header"/>
      <w:tabs>
        <w:tab w:val="clear" w:pos="4153"/>
        <w:tab w:val="clear" w:pos="8306"/>
        <w:tab w:val="right" w:pos="1304"/>
      </w:tabs>
      <w:spacing w:line="280" w:lineRule="exact"/>
      <w:ind w:firstLine="0"/>
      <w:rPr>
        <w:rFonts w:ascii="Times New Roman" w:hAnsi="Times New Roman"/>
        <w:i/>
        <w:sz w:val="22"/>
      </w:rPr>
    </w:pPr>
    <w:r w:rsidRPr="004F542A">
      <w:rPr>
        <w:rFonts w:ascii="Times New Roman" w:hAnsi="Times New Roman"/>
        <w:i/>
        <w:sz w:val="22"/>
      </w:rPr>
      <w:t>Kiefel</w:t>
    </w:r>
    <w:r w:rsidRPr="004F542A">
      <w:rPr>
        <w:rFonts w:ascii="Times New Roman" w:hAnsi="Times New Roman"/>
        <w:i/>
        <w:sz w:val="22"/>
      </w:rPr>
      <w:tab/>
      <w:t>CJ</w:t>
    </w:r>
  </w:p>
  <w:p w14:paraId="7F641A7F" w14:textId="77777777" w:rsidR="009A0B37" w:rsidRPr="004F542A" w:rsidRDefault="009A0B37" w:rsidP="004F542A">
    <w:pPr>
      <w:pStyle w:val="Header"/>
      <w:tabs>
        <w:tab w:val="clear" w:pos="4153"/>
        <w:tab w:val="clear" w:pos="8306"/>
        <w:tab w:val="right" w:pos="1304"/>
      </w:tabs>
      <w:spacing w:line="280" w:lineRule="exact"/>
      <w:ind w:firstLine="0"/>
      <w:rPr>
        <w:rFonts w:ascii="Times New Roman" w:hAnsi="Times New Roman"/>
        <w:i/>
        <w:sz w:val="22"/>
      </w:rPr>
    </w:pPr>
    <w:r w:rsidRPr="004F542A">
      <w:rPr>
        <w:rFonts w:ascii="Times New Roman" w:hAnsi="Times New Roman"/>
        <w:i/>
        <w:sz w:val="22"/>
      </w:rPr>
      <w:t>Keane</w:t>
    </w:r>
    <w:r w:rsidRPr="004F542A">
      <w:rPr>
        <w:rFonts w:ascii="Times New Roman" w:hAnsi="Times New Roman"/>
        <w:i/>
        <w:sz w:val="22"/>
      </w:rPr>
      <w:tab/>
      <w:t>J</w:t>
    </w:r>
  </w:p>
  <w:p w14:paraId="3E59770B" w14:textId="77777777" w:rsidR="009A0B37" w:rsidRDefault="009A0B37" w:rsidP="004F542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938B30C" w14:textId="77777777" w:rsidR="009A0B37" w:rsidRDefault="009A0B37" w:rsidP="004F542A">
    <w:pPr>
      <w:pStyle w:val="Header"/>
      <w:tabs>
        <w:tab w:val="clear" w:pos="4153"/>
        <w:tab w:val="clear" w:pos="8306"/>
        <w:tab w:val="right" w:pos="1304"/>
      </w:tabs>
      <w:spacing w:line="280" w:lineRule="exact"/>
      <w:ind w:firstLine="0"/>
      <w:rPr>
        <w:rFonts w:ascii="Times New Roman" w:hAnsi="Times New Roman"/>
        <w:i/>
        <w:sz w:val="22"/>
      </w:rPr>
    </w:pPr>
  </w:p>
  <w:p w14:paraId="5F3982DD" w14:textId="77777777" w:rsidR="009A0B37" w:rsidRDefault="009A0B37" w:rsidP="004F542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C5E3845" w14:textId="77777777" w:rsidR="009A0B37" w:rsidRPr="004F542A" w:rsidRDefault="009A0B37" w:rsidP="004F542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362C" w14:textId="77777777" w:rsidR="009A0B37" w:rsidRPr="004F542A" w:rsidRDefault="009A0B37" w:rsidP="004F542A">
    <w:pPr>
      <w:pStyle w:val="Header"/>
      <w:tabs>
        <w:tab w:val="clear" w:pos="4153"/>
        <w:tab w:val="clear" w:pos="8306"/>
        <w:tab w:val="left" w:pos="7200"/>
        <w:tab w:val="right" w:pos="8504"/>
      </w:tabs>
      <w:spacing w:line="280" w:lineRule="exact"/>
      <w:jc w:val="right"/>
      <w:rPr>
        <w:rFonts w:ascii="Times New Roman" w:hAnsi="Times New Roman"/>
        <w:i/>
        <w:sz w:val="22"/>
      </w:rPr>
    </w:pPr>
    <w:r w:rsidRPr="004F542A">
      <w:rPr>
        <w:rFonts w:ascii="Times New Roman" w:hAnsi="Times New Roman"/>
        <w:i/>
        <w:sz w:val="22"/>
      </w:rPr>
      <w:tab/>
      <w:t>Kiefel</w:t>
    </w:r>
    <w:r w:rsidRPr="004F542A">
      <w:rPr>
        <w:rFonts w:ascii="Times New Roman" w:hAnsi="Times New Roman"/>
        <w:i/>
        <w:sz w:val="22"/>
      </w:rPr>
      <w:tab/>
      <w:t>CJ</w:t>
    </w:r>
  </w:p>
  <w:p w14:paraId="784824A6" w14:textId="77777777" w:rsidR="009A0B37" w:rsidRPr="004F542A" w:rsidRDefault="009A0B37" w:rsidP="004F542A">
    <w:pPr>
      <w:pStyle w:val="Header"/>
      <w:tabs>
        <w:tab w:val="clear" w:pos="4153"/>
        <w:tab w:val="clear" w:pos="8306"/>
        <w:tab w:val="left" w:pos="7200"/>
        <w:tab w:val="right" w:pos="8504"/>
      </w:tabs>
      <w:spacing w:line="280" w:lineRule="exact"/>
      <w:jc w:val="right"/>
      <w:rPr>
        <w:rFonts w:ascii="Times New Roman" w:hAnsi="Times New Roman"/>
        <w:i/>
        <w:sz w:val="22"/>
      </w:rPr>
    </w:pPr>
    <w:r w:rsidRPr="004F542A">
      <w:rPr>
        <w:rFonts w:ascii="Times New Roman" w:hAnsi="Times New Roman"/>
        <w:i/>
        <w:sz w:val="22"/>
      </w:rPr>
      <w:tab/>
      <w:t>Keane</w:t>
    </w:r>
    <w:r w:rsidRPr="004F542A">
      <w:rPr>
        <w:rFonts w:ascii="Times New Roman" w:hAnsi="Times New Roman"/>
        <w:i/>
        <w:sz w:val="22"/>
      </w:rPr>
      <w:tab/>
      <w:t>J</w:t>
    </w:r>
  </w:p>
  <w:p w14:paraId="02B2FF73" w14:textId="77777777" w:rsidR="009A0B37" w:rsidRDefault="009A0B37" w:rsidP="004F542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7FE9E18" w14:textId="77777777" w:rsidR="009A0B37" w:rsidRDefault="009A0B37" w:rsidP="004F542A">
    <w:pPr>
      <w:pStyle w:val="Header"/>
      <w:tabs>
        <w:tab w:val="clear" w:pos="4153"/>
        <w:tab w:val="clear" w:pos="8306"/>
        <w:tab w:val="left" w:pos="7200"/>
        <w:tab w:val="right" w:pos="8504"/>
      </w:tabs>
      <w:spacing w:line="280" w:lineRule="exact"/>
      <w:jc w:val="right"/>
      <w:rPr>
        <w:rFonts w:ascii="Times New Roman" w:hAnsi="Times New Roman"/>
        <w:i/>
        <w:sz w:val="22"/>
      </w:rPr>
    </w:pPr>
  </w:p>
  <w:p w14:paraId="6E03C4DA" w14:textId="77777777" w:rsidR="009A0B37" w:rsidRDefault="009A0B37" w:rsidP="004F542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1A3D0A4" w14:textId="77777777" w:rsidR="009A0B37" w:rsidRPr="004F542A" w:rsidRDefault="009A0B37" w:rsidP="004F542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96FD" w14:textId="77777777" w:rsidR="009A0B37" w:rsidRDefault="009A0B37" w:rsidP="004F542A">
    <w:pPr>
      <w:pStyle w:val="Header"/>
      <w:tabs>
        <w:tab w:val="clear" w:pos="4153"/>
        <w:tab w:val="clear" w:pos="8306"/>
        <w:tab w:val="center" w:pos="1134"/>
      </w:tabs>
      <w:spacing w:line="280" w:lineRule="exact"/>
      <w:ind w:firstLine="0"/>
      <w:rPr>
        <w:rFonts w:ascii="Times New Roman" w:hAnsi="Times New Roman"/>
        <w:i/>
        <w:sz w:val="22"/>
      </w:rPr>
    </w:pPr>
  </w:p>
  <w:p w14:paraId="38CB3F34" w14:textId="77777777" w:rsidR="009A0B37" w:rsidRDefault="009A0B37" w:rsidP="004F542A">
    <w:pPr>
      <w:pStyle w:val="Header"/>
      <w:tabs>
        <w:tab w:val="clear" w:pos="4153"/>
        <w:tab w:val="clear" w:pos="8306"/>
        <w:tab w:val="center" w:pos="1134"/>
      </w:tabs>
      <w:spacing w:line="280" w:lineRule="exact"/>
      <w:ind w:firstLine="0"/>
      <w:rPr>
        <w:rFonts w:ascii="Times New Roman" w:hAnsi="Times New Roman"/>
        <w:i/>
        <w:sz w:val="22"/>
      </w:rPr>
    </w:pPr>
  </w:p>
  <w:p w14:paraId="684478D1" w14:textId="77777777" w:rsidR="009A0B37" w:rsidRDefault="009A0B37" w:rsidP="004F542A">
    <w:pPr>
      <w:pStyle w:val="Header"/>
      <w:tabs>
        <w:tab w:val="clear" w:pos="4153"/>
        <w:tab w:val="clear" w:pos="8306"/>
        <w:tab w:val="center" w:pos="1134"/>
      </w:tabs>
      <w:spacing w:line="280" w:lineRule="exact"/>
      <w:ind w:firstLine="0"/>
      <w:rPr>
        <w:rFonts w:ascii="Times New Roman" w:hAnsi="Times New Roman"/>
        <w:i/>
        <w:sz w:val="22"/>
      </w:rPr>
    </w:pPr>
  </w:p>
  <w:p w14:paraId="25DBDC58" w14:textId="77777777" w:rsidR="009A0B37" w:rsidRDefault="009A0B37" w:rsidP="004F542A">
    <w:pPr>
      <w:pStyle w:val="Header"/>
      <w:tabs>
        <w:tab w:val="clear" w:pos="4153"/>
        <w:tab w:val="clear" w:pos="8306"/>
        <w:tab w:val="center" w:pos="1134"/>
      </w:tabs>
      <w:spacing w:line="280" w:lineRule="exact"/>
      <w:ind w:firstLine="0"/>
      <w:rPr>
        <w:rFonts w:ascii="Times New Roman" w:hAnsi="Times New Roman"/>
        <w:i/>
        <w:sz w:val="22"/>
      </w:rPr>
    </w:pPr>
  </w:p>
  <w:p w14:paraId="7EA0DD74" w14:textId="77777777" w:rsidR="009A0B37" w:rsidRDefault="009A0B37" w:rsidP="004F542A">
    <w:pPr>
      <w:pStyle w:val="Header"/>
      <w:tabs>
        <w:tab w:val="clear" w:pos="4153"/>
        <w:tab w:val="clear" w:pos="8306"/>
        <w:tab w:val="center" w:pos="1134"/>
      </w:tabs>
      <w:spacing w:line="280" w:lineRule="exact"/>
      <w:ind w:firstLine="0"/>
      <w:rPr>
        <w:rFonts w:ascii="Times New Roman" w:hAnsi="Times New Roman"/>
        <w:i/>
        <w:sz w:val="22"/>
      </w:rPr>
    </w:pPr>
  </w:p>
  <w:p w14:paraId="7C5CA1E6" w14:textId="77777777" w:rsidR="009A0B37" w:rsidRPr="004F542A" w:rsidRDefault="009A0B37" w:rsidP="004F542A">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ED02" w14:textId="77777777" w:rsidR="00635770" w:rsidRPr="00635770" w:rsidRDefault="00B35DDD" w:rsidP="00635770">
    <w:pPr>
      <w:pStyle w:val="Header"/>
      <w:tabs>
        <w:tab w:val="clear" w:pos="4153"/>
        <w:tab w:val="clear" w:pos="8306"/>
        <w:tab w:val="right" w:pos="1304"/>
      </w:tabs>
      <w:spacing w:line="280" w:lineRule="exact"/>
      <w:ind w:firstLine="0"/>
      <w:rPr>
        <w:rFonts w:ascii="Times New Roman" w:hAnsi="Times New Roman"/>
        <w:i/>
        <w:sz w:val="22"/>
      </w:rPr>
    </w:pPr>
    <w:proofErr w:type="spellStart"/>
    <w:r w:rsidRPr="00635770">
      <w:rPr>
        <w:rFonts w:ascii="Times New Roman" w:hAnsi="Times New Roman"/>
        <w:i/>
        <w:sz w:val="22"/>
      </w:rPr>
      <w:t>Gageler</w:t>
    </w:r>
    <w:proofErr w:type="spellEnd"/>
    <w:r w:rsidRPr="00635770">
      <w:rPr>
        <w:rFonts w:ascii="Times New Roman" w:hAnsi="Times New Roman"/>
        <w:i/>
        <w:sz w:val="22"/>
      </w:rPr>
      <w:tab/>
      <w:t>J</w:t>
    </w:r>
  </w:p>
  <w:p w14:paraId="7C53135B" w14:textId="77777777" w:rsidR="00635770" w:rsidRPr="00635770" w:rsidRDefault="00B35DDD" w:rsidP="00635770">
    <w:pPr>
      <w:pStyle w:val="Header"/>
      <w:tabs>
        <w:tab w:val="clear" w:pos="4153"/>
        <w:tab w:val="clear" w:pos="8306"/>
        <w:tab w:val="right" w:pos="1304"/>
      </w:tabs>
      <w:spacing w:line="280" w:lineRule="exact"/>
      <w:ind w:firstLine="0"/>
      <w:rPr>
        <w:rFonts w:ascii="Times New Roman" w:hAnsi="Times New Roman"/>
        <w:i/>
        <w:sz w:val="22"/>
      </w:rPr>
    </w:pPr>
    <w:r w:rsidRPr="00635770">
      <w:rPr>
        <w:rFonts w:ascii="Times New Roman" w:hAnsi="Times New Roman"/>
        <w:i/>
        <w:sz w:val="22"/>
      </w:rPr>
      <w:t>Gordon</w:t>
    </w:r>
    <w:r w:rsidRPr="00635770">
      <w:rPr>
        <w:rFonts w:ascii="Times New Roman" w:hAnsi="Times New Roman"/>
        <w:i/>
        <w:sz w:val="22"/>
      </w:rPr>
      <w:tab/>
      <w:t>J</w:t>
    </w:r>
  </w:p>
  <w:p w14:paraId="1A1A7BA7" w14:textId="77777777" w:rsidR="00635770" w:rsidRDefault="00B35DDD" w:rsidP="0063577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506773C" w14:textId="77777777" w:rsidR="00635770" w:rsidRDefault="00B35DDD" w:rsidP="00635770">
    <w:pPr>
      <w:pStyle w:val="Header"/>
      <w:tabs>
        <w:tab w:val="clear" w:pos="4153"/>
        <w:tab w:val="clear" w:pos="8306"/>
        <w:tab w:val="right" w:pos="1304"/>
      </w:tabs>
      <w:spacing w:line="280" w:lineRule="exact"/>
      <w:ind w:firstLine="0"/>
      <w:rPr>
        <w:rFonts w:ascii="Times New Roman" w:hAnsi="Times New Roman"/>
        <w:i/>
        <w:sz w:val="22"/>
      </w:rPr>
    </w:pPr>
  </w:p>
  <w:p w14:paraId="6418E9CC" w14:textId="77777777" w:rsidR="00635770" w:rsidRDefault="00B35DDD" w:rsidP="0063577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ACE2F5F" w14:textId="77777777" w:rsidR="00635770" w:rsidRPr="00635770" w:rsidRDefault="00B35DDD" w:rsidP="0063577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C3246" w14:textId="77777777" w:rsidR="00635770" w:rsidRPr="00635770" w:rsidRDefault="00B35DDD" w:rsidP="00635770">
    <w:pPr>
      <w:pStyle w:val="Header"/>
      <w:tabs>
        <w:tab w:val="clear" w:pos="4153"/>
        <w:tab w:val="clear" w:pos="8306"/>
        <w:tab w:val="left" w:pos="7200"/>
        <w:tab w:val="right" w:pos="8504"/>
      </w:tabs>
      <w:spacing w:line="280" w:lineRule="exact"/>
      <w:jc w:val="right"/>
      <w:rPr>
        <w:rFonts w:ascii="Times New Roman" w:hAnsi="Times New Roman"/>
        <w:i/>
        <w:sz w:val="22"/>
      </w:rPr>
    </w:pPr>
    <w:r w:rsidRPr="00635770">
      <w:rPr>
        <w:rFonts w:ascii="Times New Roman" w:hAnsi="Times New Roman"/>
        <w:i/>
        <w:sz w:val="22"/>
      </w:rPr>
      <w:tab/>
    </w:r>
    <w:proofErr w:type="spellStart"/>
    <w:r w:rsidRPr="00635770">
      <w:rPr>
        <w:rFonts w:ascii="Times New Roman" w:hAnsi="Times New Roman"/>
        <w:i/>
        <w:sz w:val="22"/>
      </w:rPr>
      <w:t>Gageler</w:t>
    </w:r>
    <w:proofErr w:type="spellEnd"/>
    <w:r w:rsidRPr="00635770">
      <w:rPr>
        <w:rFonts w:ascii="Times New Roman" w:hAnsi="Times New Roman"/>
        <w:i/>
        <w:sz w:val="22"/>
      </w:rPr>
      <w:tab/>
      <w:t>J</w:t>
    </w:r>
  </w:p>
  <w:p w14:paraId="40C19AAB" w14:textId="77777777" w:rsidR="00635770" w:rsidRPr="00635770" w:rsidRDefault="00B35DDD" w:rsidP="00635770">
    <w:pPr>
      <w:pStyle w:val="Header"/>
      <w:tabs>
        <w:tab w:val="clear" w:pos="4153"/>
        <w:tab w:val="clear" w:pos="8306"/>
        <w:tab w:val="left" w:pos="7200"/>
        <w:tab w:val="right" w:pos="8504"/>
      </w:tabs>
      <w:spacing w:line="280" w:lineRule="exact"/>
      <w:jc w:val="right"/>
      <w:rPr>
        <w:rFonts w:ascii="Times New Roman" w:hAnsi="Times New Roman"/>
        <w:i/>
        <w:sz w:val="22"/>
      </w:rPr>
    </w:pPr>
    <w:r w:rsidRPr="00635770">
      <w:rPr>
        <w:rFonts w:ascii="Times New Roman" w:hAnsi="Times New Roman"/>
        <w:i/>
        <w:sz w:val="22"/>
      </w:rPr>
      <w:tab/>
      <w:t>Gordon</w:t>
    </w:r>
    <w:r w:rsidRPr="00635770">
      <w:rPr>
        <w:rFonts w:ascii="Times New Roman" w:hAnsi="Times New Roman"/>
        <w:i/>
        <w:sz w:val="22"/>
      </w:rPr>
      <w:tab/>
      <w:t>J</w:t>
    </w:r>
  </w:p>
  <w:p w14:paraId="5E5779E5" w14:textId="77777777" w:rsidR="00635770" w:rsidRDefault="00B35DDD" w:rsidP="0063577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r>
      <w:rPr>
        <w:rFonts w:ascii="Times New Roman" w:hAnsi="Times New Roman"/>
        <w:i/>
        <w:sz w:val="22"/>
      </w:rPr>
      <w:t>Steward</w:t>
    </w:r>
    <w:r>
      <w:rPr>
        <w:rFonts w:ascii="Times New Roman" w:hAnsi="Times New Roman"/>
        <w:i/>
        <w:sz w:val="22"/>
      </w:rPr>
      <w:tab/>
      <w:t>J</w:t>
    </w:r>
  </w:p>
  <w:p w14:paraId="5CEC35FC" w14:textId="77777777" w:rsidR="00635770" w:rsidRDefault="00B35DDD" w:rsidP="00635770">
    <w:pPr>
      <w:pStyle w:val="Header"/>
      <w:tabs>
        <w:tab w:val="clear" w:pos="4153"/>
        <w:tab w:val="clear" w:pos="8306"/>
        <w:tab w:val="left" w:pos="7200"/>
        <w:tab w:val="right" w:pos="8504"/>
      </w:tabs>
      <w:spacing w:line="280" w:lineRule="exact"/>
      <w:jc w:val="right"/>
      <w:rPr>
        <w:rFonts w:ascii="Times New Roman" w:hAnsi="Times New Roman"/>
        <w:i/>
        <w:sz w:val="22"/>
      </w:rPr>
    </w:pPr>
  </w:p>
  <w:p w14:paraId="6CDFDEAF" w14:textId="77777777" w:rsidR="00635770" w:rsidRDefault="00B35DDD" w:rsidP="0063577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36ECD1E" w14:textId="77777777" w:rsidR="00635770" w:rsidRPr="00635770" w:rsidRDefault="00B35DDD" w:rsidP="0063577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EC16" w14:textId="77777777" w:rsidR="00635770" w:rsidRDefault="00B35DDD" w:rsidP="00635770">
    <w:pPr>
      <w:pStyle w:val="Header"/>
      <w:tabs>
        <w:tab w:val="clear" w:pos="4153"/>
        <w:tab w:val="clear" w:pos="8306"/>
        <w:tab w:val="center" w:pos="1134"/>
      </w:tabs>
      <w:spacing w:line="280" w:lineRule="exact"/>
      <w:ind w:firstLine="0"/>
      <w:rPr>
        <w:rFonts w:ascii="Times New Roman" w:hAnsi="Times New Roman"/>
        <w:i/>
        <w:sz w:val="22"/>
      </w:rPr>
    </w:pPr>
  </w:p>
  <w:p w14:paraId="5282E3C7" w14:textId="77777777" w:rsidR="00635770" w:rsidRDefault="00B35DDD" w:rsidP="00635770">
    <w:pPr>
      <w:pStyle w:val="Header"/>
      <w:tabs>
        <w:tab w:val="clear" w:pos="4153"/>
        <w:tab w:val="clear" w:pos="8306"/>
        <w:tab w:val="center" w:pos="1134"/>
      </w:tabs>
      <w:spacing w:line="280" w:lineRule="exact"/>
      <w:ind w:firstLine="0"/>
      <w:rPr>
        <w:rFonts w:ascii="Times New Roman" w:hAnsi="Times New Roman"/>
        <w:i/>
        <w:sz w:val="22"/>
      </w:rPr>
    </w:pPr>
  </w:p>
  <w:p w14:paraId="026936B1" w14:textId="77777777" w:rsidR="00635770" w:rsidRDefault="00B35DDD" w:rsidP="00635770">
    <w:pPr>
      <w:pStyle w:val="Header"/>
      <w:tabs>
        <w:tab w:val="clear" w:pos="4153"/>
        <w:tab w:val="clear" w:pos="8306"/>
        <w:tab w:val="center" w:pos="1134"/>
      </w:tabs>
      <w:spacing w:line="280" w:lineRule="exact"/>
      <w:ind w:firstLine="0"/>
      <w:rPr>
        <w:rFonts w:ascii="Times New Roman" w:hAnsi="Times New Roman"/>
        <w:i/>
        <w:sz w:val="22"/>
      </w:rPr>
    </w:pPr>
  </w:p>
  <w:p w14:paraId="1963DF46" w14:textId="77777777" w:rsidR="00635770" w:rsidRDefault="00B35DDD" w:rsidP="00635770">
    <w:pPr>
      <w:pStyle w:val="Header"/>
      <w:tabs>
        <w:tab w:val="clear" w:pos="4153"/>
        <w:tab w:val="clear" w:pos="8306"/>
        <w:tab w:val="center" w:pos="1134"/>
      </w:tabs>
      <w:spacing w:line="280" w:lineRule="exact"/>
      <w:ind w:firstLine="0"/>
      <w:rPr>
        <w:rFonts w:ascii="Times New Roman" w:hAnsi="Times New Roman"/>
        <w:i/>
        <w:sz w:val="22"/>
      </w:rPr>
    </w:pPr>
  </w:p>
  <w:p w14:paraId="27793209" w14:textId="77777777" w:rsidR="00635770" w:rsidRDefault="00B35DDD" w:rsidP="00635770">
    <w:pPr>
      <w:pStyle w:val="Header"/>
      <w:tabs>
        <w:tab w:val="clear" w:pos="4153"/>
        <w:tab w:val="clear" w:pos="8306"/>
        <w:tab w:val="center" w:pos="1134"/>
      </w:tabs>
      <w:spacing w:line="280" w:lineRule="exact"/>
      <w:ind w:firstLine="0"/>
      <w:rPr>
        <w:rFonts w:ascii="Times New Roman" w:hAnsi="Times New Roman"/>
        <w:i/>
        <w:sz w:val="22"/>
      </w:rPr>
    </w:pPr>
  </w:p>
  <w:p w14:paraId="6F815730" w14:textId="77777777" w:rsidR="00736A14" w:rsidRPr="00635770" w:rsidRDefault="00B35DDD" w:rsidP="0063577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2"/>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3E"/>
    <w:rsid w:val="0000020E"/>
    <w:rsid w:val="00001B3F"/>
    <w:rsid w:val="00002069"/>
    <w:rsid w:val="000022A7"/>
    <w:rsid w:val="0000246C"/>
    <w:rsid w:val="000026D7"/>
    <w:rsid w:val="000027C7"/>
    <w:rsid w:val="00002CE6"/>
    <w:rsid w:val="0000316A"/>
    <w:rsid w:val="00003A9C"/>
    <w:rsid w:val="00004521"/>
    <w:rsid w:val="0000456B"/>
    <w:rsid w:val="000049B7"/>
    <w:rsid w:val="0000566E"/>
    <w:rsid w:val="000071A2"/>
    <w:rsid w:val="00014B34"/>
    <w:rsid w:val="00015A0C"/>
    <w:rsid w:val="000168C9"/>
    <w:rsid w:val="00016C20"/>
    <w:rsid w:val="00016DBB"/>
    <w:rsid w:val="00016DF9"/>
    <w:rsid w:val="00017144"/>
    <w:rsid w:val="000174FC"/>
    <w:rsid w:val="00017665"/>
    <w:rsid w:val="0002056A"/>
    <w:rsid w:val="000219A0"/>
    <w:rsid w:val="00021AB3"/>
    <w:rsid w:val="000239A3"/>
    <w:rsid w:val="00023B9A"/>
    <w:rsid w:val="00024636"/>
    <w:rsid w:val="0002473E"/>
    <w:rsid w:val="000249C1"/>
    <w:rsid w:val="000250AF"/>
    <w:rsid w:val="00025490"/>
    <w:rsid w:val="00025605"/>
    <w:rsid w:val="0002561E"/>
    <w:rsid w:val="00026565"/>
    <w:rsid w:val="000266EB"/>
    <w:rsid w:val="000268E1"/>
    <w:rsid w:val="0002715A"/>
    <w:rsid w:val="000279FA"/>
    <w:rsid w:val="00030BEC"/>
    <w:rsid w:val="000312E9"/>
    <w:rsid w:val="000316E3"/>
    <w:rsid w:val="00032455"/>
    <w:rsid w:val="000332AC"/>
    <w:rsid w:val="00033325"/>
    <w:rsid w:val="00033E23"/>
    <w:rsid w:val="00034AB8"/>
    <w:rsid w:val="000354B9"/>
    <w:rsid w:val="000354FB"/>
    <w:rsid w:val="00035707"/>
    <w:rsid w:val="0003575A"/>
    <w:rsid w:val="000360EB"/>
    <w:rsid w:val="00036A7B"/>
    <w:rsid w:val="00037A5F"/>
    <w:rsid w:val="00037ADF"/>
    <w:rsid w:val="00037D87"/>
    <w:rsid w:val="000400C8"/>
    <w:rsid w:val="00040EF1"/>
    <w:rsid w:val="00040FE0"/>
    <w:rsid w:val="0004163B"/>
    <w:rsid w:val="000417CD"/>
    <w:rsid w:val="00041CF6"/>
    <w:rsid w:val="00043D2C"/>
    <w:rsid w:val="000446EA"/>
    <w:rsid w:val="00045420"/>
    <w:rsid w:val="00045767"/>
    <w:rsid w:val="00045A93"/>
    <w:rsid w:val="00046657"/>
    <w:rsid w:val="00046812"/>
    <w:rsid w:val="0004767F"/>
    <w:rsid w:val="00047D5F"/>
    <w:rsid w:val="00047F79"/>
    <w:rsid w:val="00050C7E"/>
    <w:rsid w:val="00053393"/>
    <w:rsid w:val="00053B2A"/>
    <w:rsid w:val="0005498A"/>
    <w:rsid w:val="00054CC2"/>
    <w:rsid w:val="00055ACD"/>
    <w:rsid w:val="00055FEF"/>
    <w:rsid w:val="00056F27"/>
    <w:rsid w:val="00056F8F"/>
    <w:rsid w:val="00056F93"/>
    <w:rsid w:val="000573AF"/>
    <w:rsid w:val="00057D7B"/>
    <w:rsid w:val="0006169E"/>
    <w:rsid w:val="000626FD"/>
    <w:rsid w:val="00062EA2"/>
    <w:rsid w:val="0006432B"/>
    <w:rsid w:val="00064A51"/>
    <w:rsid w:val="00064AE4"/>
    <w:rsid w:val="000653D4"/>
    <w:rsid w:val="00066C6C"/>
    <w:rsid w:val="00067629"/>
    <w:rsid w:val="0007028E"/>
    <w:rsid w:val="000709D1"/>
    <w:rsid w:val="00070E25"/>
    <w:rsid w:val="000713B1"/>
    <w:rsid w:val="00071C35"/>
    <w:rsid w:val="00071C5D"/>
    <w:rsid w:val="00072422"/>
    <w:rsid w:val="000727C5"/>
    <w:rsid w:val="000727EA"/>
    <w:rsid w:val="000743F1"/>
    <w:rsid w:val="000746E6"/>
    <w:rsid w:val="000754F5"/>
    <w:rsid w:val="00075D22"/>
    <w:rsid w:val="00075F50"/>
    <w:rsid w:val="00077B4D"/>
    <w:rsid w:val="000803A1"/>
    <w:rsid w:val="000809D3"/>
    <w:rsid w:val="00080D77"/>
    <w:rsid w:val="000811DE"/>
    <w:rsid w:val="00081695"/>
    <w:rsid w:val="00081E4A"/>
    <w:rsid w:val="00082C70"/>
    <w:rsid w:val="00082E75"/>
    <w:rsid w:val="00083870"/>
    <w:rsid w:val="0008435D"/>
    <w:rsid w:val="000851AA"/>
    <w:rsid w:val="0008558C"/>
    <w:rsid w:val="00085C2B"/>
    <w:rsid w:val="00085C3C"/>
    <w:rsid w:val="00085C7F"/>
    <w:rsid w:val="00085F13"/>
    <w:rsid w:val="000870AE"/>
    <w:rsid w:val="0008741B"/>
    <w:rsid w:val="00087629"/>
    <w:rsid w:val="00087924"/>
    <w:rsid w:val="00090A78"/>
    <w:rsid w:val="00091AE7"/>
    <w:rsid w:val="000927FE"/>
    <w:rsid w:val="00092FCE"/>
    <w:rsid w:val="00092FE3"/>
    <w:rsid w:val="000932E7"/>
    <w:rsid w:val="000935E9"/>
    <w:rsid w:val="00094B06"/>
    <w:rsid w:val="000965AB"/>
    <w:rsid w:val="00096993"/>
    <w:rsid w:val="000A0D57"/>
    <w:rsid w:val="000A0E15"/>
    <w:rsid w:val="000A142E"/>
    <w:rsid w:val="000A167B"/>
    <w:rsid w:val="000A28D4"/>
    <w:rsid w:val="000A2EB4"/>
    <w:rsid w:val="000A3DA3"/>
    <w:rsid w:val="000A3EEE"/>
    <w:rsid w:val="000A45F1"/>
    <w:rsid w:val="000A51A3"/>
    <w:rsid w:val="000A54AA"/>
    <w:rsid w:val="000A63C6"/>
    <w:rsid w:val="000A7B97"/>
    <w:rsid w:val="000B04A8"/>
    <w:rsid w:val="000B1C8C"/>
    <w:rsid w:val="000B2EBB"/>
    <w:rsid w:val="000B36C6"/>
    <w:rsid w:val="000B4630"/>
    <w:rsid w:val="000B497F"/>
    <w:rsid w:val="000B590E"/>
    <w:rsid w:val="000B64F7"/>
    <w:rsid w:val="000B6532"/>
    <w:rsid w:val="000B6B52"/>
    <w:rsid w:val="000B710D"/>
    <w:rsid w:val="000B72B9"/>
    <w:rsid w:val="000B7558"/>
    <w:rsid w:val="000C04DC"/>
    <w:rsid w:val="000C0D98"/>
    <w:rsid w:val="000C276F"/>
    <w:rsid w:val="000C2B55"/>
    <w:rsid w:val="000C2BDE"/>
    <w:rsid w:val="000C4836"/>
    <w:rsid w:val="000C4BAE"/>
    <w:rsid w:val="000C50D0"/>
    <w:rsid w:val="000C575A"/>
    <w:rsid w:val="000C719A"/>
    <w:rsid w:val="000D191D"/>
    <w:rsid w:val="000D1AB8"/>
    <w:rsid w:val="000D2080"/>
    <w:rsid w:val="000D25E6"/>
    <w:rsid w:val="000D2AF1"/>
    <w:rsid w:val="000D3143"/>
    <w:rsid w:val="000D32C4"/>
    <w:rsid w:val="000D3B3F"/>
    <w:rsid w:val="000D408F"/>
    <w:rsid w:val="000D4177"/>
    <w:rsid w:val="000D59FA"/>
    <w:rsid w:val="000D6022"/>
    <w:rsid w:val="000D678E"/>
    <w:rsid w:val="000D6CF2"/>
    <w:rsid w:val="000D70F1"/>
    <w:rsid w:val="000D7ECA"/>
    <w:rsid w:val="000E0E42"/>
    <w:rsid w:val="000E2530"/>
    <w:rsid w:val="000E2984"/>
    <w:rsid w:val="000E46F0"/>
    <w:rsid w:val="000E65F7"/>
    <w:rsid w:val="000F0286"/>
    <w:rsid w:val="000F0FA7"/>
    <w:rsid w:val="000F1345"/>
    <w:rsid w:val="000F2054"/>
    <w:rsid w:val="000F275B"/>
    <w:rsid w:val="000F308D"/>
    <w:rsid w:val="000F4B6F"/>
    <w:rsid w:val="000F4BE2"/>
    <w:rsid w:val="000F55B9"/>
    <w:rsid w:val="000F5EA4"/>
    <w:rsid w:val="000F6105"/>
    <w:rsid w:val="000F68D3"/>
    <w:rsid w:val="000F6A43"/>
    <w:rsid w:val="00100089"/>
    <w:rsid w:val="001001B9"/>
    <w:rsid w:val="00100C20"/>
    <w:rsid w:val="00100D2B"/>
    <w:rsid w:val="001012FF"/>
    <w:rsid w:val="00101BB1"/>
    <w:rsid w:val="00101E41"/>
    <w:rsid w:val="00102254"/>
    <w:rsid w:val="00102996"/>
    <w:rsid w:val="00102DA8"/>
    <w:rsid w:val="0010362C"/>
    <w:rsid w:val="00103771"/>
    <w:rsid w:val="00103951"/>
    <w:rsid w:val="001052C0"/>
    <w:rsid w:val="0010587D"/>
    <w:rsid w:val="0010701B"/>
    <w:rsid w:val="0010702C"/>
    <w:rsid w:val="00107608"/>
    <w:rsid w:val="00107E6E"/>
    <w:rsid w:val="001104BC"/>
    <w:rsid w:val="00110970"/>
    <w:rsid w:val="00111568"/>
    <w:rsid w:val="00111722"/>
    <w:rsid w:val="00111A8C"/>
    <w:rsid w:val="001120C0"/>
    <w:rsid w:val="001126C4"/>
    <w:rsid w:val="00112798"/>
    <w:rsid w:val="00113209"/>
    <w:rsid w:val="0011418E"/>
    <w:rsid w:val="00114B74"/>
    <w:rsid w:val="001150BF"/>
    <w:rsid w:val="00115EB0"/>
    <w:rsid w:val="001168F2"/>
    <w:rsid w:val="00120207"/>
    <w:rsid w:val="00120989"/>
    <w:rsid w:val="001216F1"/>
    <w:rsid w:val="00121927"/>
    <w:rsid w:val="00121E84"/>
    <w:rsid w:val="00122024"/>
    <w:rsid w:val="001238B6"/>
    <w:rsid w:val="00123C1B"/>
    <w:rsid w:val="001240E1"/>
    <w:rsid w:val="0012444F"/>
    <w:rsid w:val="00125E3C"/>
    <w:rsid w:val="00127862"/>
    <w:rsid w:val="00127C18"/>
    <w:rsid w:val="00131600"/>
    <w:rsid w:val="00131D88"/>
    <w:rsid w:val="0013280E"/>
    <w:rsid w:val="00133A7B"/>
    <w:rsid w:val="00133B82"/>
    <w:rsid w:val="00133D43"/>
    <w:rsid w:val="00133E7E"/>
    <w:rsid w:val="0013456F"/>
    <w:rsid w:val="001346DF"/>
    <w:rsid w:val="00135242"/>
    <w:rsid w:val="00135784"/>
    <w:rsid w:val="0013585F"/>
    <w:rsid w:val="001365FA"/>
    <w:rsid w:val="00136977"/>
    <w:rsid w:val="00137112"/>
    <w:rsid w:val="00137480"/>
    <w:rsid w:val="00137EC5"/>
    <w:rsid w:val="00140100"/>
    <w:rsid w:val="00140389"/>
    <w:rsid w:val="001404CE"/>
    <w:rsid w:val="00141F63"/>
    <w:rsid w:val="00142072"/>
    <w:rsid w:val="001433F2"/>
    <w:rsid w:val="00143FCB"/>
    <w:rsid w:val="001445AA"/>
    <w:rsid w:val="001449B8"/>
    <w:rsid w:val="00145627"/>
    <w:rsid w:val="001467A2"/>
    <w:rsid w:val="00146A41"/>
    <w:rsid w:val="00147313"/>
    <w:rsid w:val="00147E7A"/>
    <w:rsid w:val="00150605"/>
    <w:rsid w:val="00151162"/>
    <w:rsid w:val="00151679"/>
    <w:rsid w:val="00151D8D"/>
    <w:rsid w:val="00151DB8"/>
    <w:rsid w:val="00151E55"/>
    <w:rsid w:val="0015318E"/>
    <w:rsid w:val="00154274"/>
    <w:rsid w:val="00154F92"/>
    <w:rsid w:val="0015652E"/>
    <w:rsid w:val="001570B8"/>
    <w:rsid w:val="0015757E"/>
    <w:rsid w:val="00160DFC"/>
    <w:rsid w:val="00162625"/>
    <w:rsid w:val="00163D92"/>
    <w:rsid w:val="00164144"/>
    <w:rsid w:val="001643B5"/>
    <w:rsid w:val="00164613"/>
    <w:rsid w:val="00164C01"/>
    <w:rsid w:val="00165B52"/>
    <w:rsid w:val="00165EA9"/>
    <w:rsid w:val="001662B4"/>
    <w:rsid w:val="00166DC2"/>
    <w:rsid w:val="00166F9C"/>
    <w:rsid w:val="00167A0F"/>
    <w:rsid w:val="00167CD7"/>
    <w:rsid w:val="00171C20"/>
    <w:rsid w:val="00172ADE"/>
    <w:rsid w:val="00175703"/>
    <w:rsid w:val="001758DE"/>
    <w:rsid w:val="00175A0D"/>
    <w:rsid w:val="00176D25"/>
    <w:rsid w:val="0017707C"/>
    <w:rsid w:val="001770AC"/>
    <w:rsid w:val="001804D5"/>
    <w:rsid w:val="00180F5E"/>
    <w:rsid w:val="0018237A"/>
    <w:rsid w:val="00182AEC"/>
    <w:rsid w:val="001833ED"/>
    <w:rsid w:val="0018342E"/>
    <w:rsid w:val="001840C2"/>
    <w:rsid w:val="001841A8"/>
    <w:rsid w:val="00184698"/>
    <w:rsid w:val="001848D1"/>
    <w:rsid w:val="00184B46"/>
    <w:rsid w:val="00184C6D"/>
    <w:rsid w:val="00185939"/>
    <w:rsid w:val="0018666C"/>
    <w:rsid w:val="0018750A"/>
    <w:rsid w:val="001876F6"/>
    <w:rsid w:val="00187F1F"/>
    <w:rsid w:val="001901F8"/>
    <w:rsid w:val="00190E4C"/>
    <w:rsid w:val="00191E23"/>
    <w:rsid w:val="001923D6"/>
    <w:rsid w:val="00192E64"/>
    <w:rsid w:val="001953B1"/>
    <w:rsid w:val="00195EB7"/>
    <w:rsid w:val="001963C0"/>
    <w:rsid w:val="00197956"/>
    <w:rsid w:val="001A0776"/>
    <w:rsid w:val="001A0EF3"/>
    <w:rsid w:val="001A13B6"/>
    <w:rsid w:val="001A1C76"/>
    <w:rsid w:val="001A25D8"/>
    <w:rsid w:val="001A275B"/>
    <w:rsid w:val="001A2F52"/>
    <w:rsid w:val="001A3A5B"/>
    <w:rsid w:val="001A3BAC"/>
    <w:rsid w:val="001A3FD3"/>
    <w:rsid w:val="001A446E"/>
    <w:rsid w:val="001A5C2D"/>
    <w:rsid w:val="001A6623"/>
    <w:rsid w:val="001A71EC"/>
    <w:rsid w:val="001A7887"/>
    <w:rsid w:val="001B05D2"/>
    <w:rsid w:val="001B090C"/>
    <w:rsid w:val="001B0B7C"/>
    <w:rsid w:val="001B1142"/>
    <w:rsid w:val="001B1439"/>
    <w:rsid w:val="001B17A8"/>
    <w:rsid w:val="001B20F6"/>
    <w:rsid w:val="001B31F3"/>
    <w:rsid w:val="001B3CCE"/>
    <w:rsid w:val="001B43FE"/>
    <w:rsid w:val="001B469A"/>
    <w:rsid w:val="001B5B89"/>
    <w:rsid w:val="001B62AD"/>
    <w:rsid w:val="001B63C6"/>
    <w:rsid w:val="001B646C"/>
    <w:rsid w:val="001C0059"/>
    <w:rsid w:val="001C02DF"/>
    <w:rsid w:val="001C1338"/>
    <w:rsid w:val="001C188D"/>
    <w:rsid w:val="001C1EC4"/>
    <w:rsid w:val="001C31B1"/>
    <w:rsid w:val="001C48D4"/>
    <w:rsid w:val="001C5331"/>
    <w:rsid w:val="001C54DA"/>
    <w:rsid w:val="001C5B85"/>
    <w:rsid w:val="001C5F1C"/>
    <w:rsid w:val="001C7585"/>
    <w:rsid w:val="001C76AB"/>
    <w:rsid w:val="001C7C93"/>
    <w:rsid w:val="001C7D75"/>
    <w:rsid w:val="001D308D"/>
    <w:rsid w:val="001D33DA"/>
    <w:rsid w:val="001D36CD"/>
    <w:rsid w:val="001D4C01"/>
    <w:rsid w:val="001D4F49"/>
    <w:rsid w:val="001D65FF"/>
    <w:rsid w:val="001D74D1"/>
    <w:rsid w:val="001D7982"/>
    <w:rsid w:val="001D79F6"/>
    <w:rsid w:val="001D7AAA"/>
    <w:rsid w:val="001D7F6F"/>
    <w:rsid w:val="001E0188"/>
    <w:rsid w:val="001E0928"/>
    <w:rsid w:val="001E1223"/>
    <w:rsid w:val="001E1D3D"/>
    <w:rsid w:val="001E47D1"/>
    <w:rsid w:val="001E6A64"/>
    <w:rsid w:val="001E6CB9"/>
    <w:rsid w:val="001E7546"/>
    <w:rsid w:val="001E75C5"/>
    <w:rsid w:val="001F1488"/>
    <w:rsid w:val="001F156E"/>
    <w:rsid w:val="001F1D81"/>
    <w:rsid w:val="001F3F2A"/>
    <w:rsid w:val="001F4128"/>
    <w:rsid w:val="001F41DD"/>
    <w:rsid w:val="001F4704"/>
    <w:rsid w:val="001F4EDA"/>
    <w:rsid w:val="001F5886"/>
    <w:rsid w:val="001F69C2"/>
    <w:rsid w:val="001F773E"/>
    <w:rsid w:val="002013F5"/>
    <w:rsid w:val="002020EE"/>
    <w:rsid w:val="00202432"/>
    <w:rsid w:val="002029EC"/>
    <w:rsid w:val="00203C0A"/>
    <w:rsid w:val="00203D95"/>
    <w:rsid w:val="00204865"/>
    <w:rsid w:val="002048D1"/>
    <w:rsid w:val="00204933"/>
    <w:rsid w:val="00206957"/>
    <w:rsid w:val="0020750D"/>
    <w:rsid w:val="0020777D"/>
    <w:rsid w:val="002079CB"/>
    <w:rsid w:val="00210057"/>
    <w:rsid w:val="0021096E"/>
    <w:rsid w:val="00210AFC"/>
    <w:rsid w:val="00210DE8"/>
    <w:rsid w:val="00211917"/>
    <w:rsid w:val="00211D73"/>
    <w:rsid w:val="00211DA1"/>
    <w:rsid w:val="00212794"/>
    <w:rsid w:val="00212A3E"/>
    <w:rsid w:val="00214BF2"/>
    <w:rsid w:val="00215953"/>
    <w:rsid w:val="00215996"/>
    <w:rsid w:val="00215A7F"/>
    <w:rsid w:val="00216522"/>
    <w:rsid w:val="00216FD9"/>
    <w:rsid w:val="00220033"/>
    <w:rsid w:val="0022004D"/>
    <w:rsid w:val="002204EF"/>
    <w:rsid w:val="00221D19"/>
    <w:rsid w:val="002238BD"/>
    <w:rsid w:val="00225605"/>
    <w:rsid w:val="00225D2C"/>
    <w:rsid w:val="002260F9"/>
    <w:rsid w:val="0022666B"/>
    <w:rsid w:val="0022734D"/>
    <w:rsid w:val="00227D44"/>
    <w:rsid w:val="00227F2D"/>
    <w:rsid w:val="00231B89"/>
    <w:rsid w:val="00232834"/>
    <w:rsid w:val="00232D1B"/>
    <w:rsid w:val="00232E97"/>
    <w:rsid w:val="00232FC4"/>
    <w:rsid w:val="0023345C"/>
    <w:rsid w:val="0023447F"/>
    <w:rsid w:val="0023474D"/>
    <w:rsid w:val="00235038"/>
    <w:rsid w:val="002350B3"/>
    <w:rsid w:val="0023798E"/>
    <w:rsid w:val="002405DE"/>
    <w:rsid w:val="00240A5D"/>
    <w:rsid w:val="00242D29"/>
    <w:rsid w:val="00242EE4"/>
    <w:rsid w:val="002435B7"/>
    <w:rsid w:val="00243D64"/>
    <w:rsid w:val="00243D77"/>
    <w:rsid w:val="0024429F"/>
    <w:rsid w:val="0024462E"/>
    <w:rsid w:val="00246C36"/>
    <w:rsid w:val="002474FA"/>
    <w:rsid w:val="00247912"/>
    <w:rsid w:val="002509F2"/>
    <w:rsid w:val="00251BD8"/>
    <w:rsid w:val="00252532"/>
    <w:rsid w:val="002530BE"/>
    <w:rsid w:val="00253493"/>
    <w:rsid w:val="00254618"/>
    <w:rsid w:val="00255374"/>
    <w:rsid w:val="0025664E"/>
    <w:rsid w:val="00257AFB"/>
    <w:rsid w:val="002608C3"/>
    <w:rsid w:val="00262635"/>
    <w:rsid w:val="0026293D"/>
    <w:rsid w:val="00262D98"/>
    <w:rsid w:val="00264A52"/>
    <w:rsid w:val="00265460"/>
    <w:rsid w:val="00265982"/>
    <w:rsid w:val="00266367"/>
    <w:rsid w:val="00266784"/>
    <w:rsid w:val="002670C6"/>
    <w:rsid w:val="002671A8"/>
    <w:rsid w:val="002700C1"/>
    <w:rsid w:val="00270154"/>
    <w:rsid w:val="002703AF"/>
    <w:rsid w:val="00271F70"/>
    <w:rsid w:val="00272BB5"/>
    <w:rsid w:val="00272CEF"/>
    <w:rsid w:val="00273754"/>
    <w:rsid w:val="00273CC9"/>
    <w:rsid w:val="0027408B"/>
    <w:rsid w:val="002748DA"/>
    <w:rsid w:val="002749F1"/>
    <w:rsid w:val="00275D32"/>
    <w:rsid w:val="00276B56"/>
    <w:rsid w:val="00276CC3"/>
    <w:rsid w:val="00277529"/>
    <w:rsid w:val="00277B0C"/>
    <w:rsid w:val="00280755"/>
    <w:rsid w:val="00280F46"/>
    <w:rsid w:val="002819FD"/>
    <w:rsid w:val="00281A6F"/>
    <w:rsid w:val="002828E7"/>
    <w:rsid w:val="00282BBA"/>
    <w:rsid w:val="0028359C"/>
    <w:rsid w:val="00283757"/>
    <w:rsid w:val="00284AA7"/>
    <w:rsid w:val="002854B4"/>
    <w:rsid w:val="0028583A"/>
    <w:rsid w:val="00285B45"/>
    <w:rsid w:val="00287368"/>
    <w:rsid w:val="00287873"/>
    <w:rsid w:val="002916CC"/>
    <w:rsid w:val="00291D6A"/>
    <w:rsid w:val="002926DB"/>
    <w:rsid w:val="00292780"/>
    <w:rsid w:val="0029278C"/>
    <w:rsid w:val="00292E65"/>
    <w:rsid w:val="00293612"/>
    <w:rsid w:val="00293FB7"/>
    <w:rsid w:val="00295C36"/>
    <w:rsid w:val="00296107"/>
    <w:rsid w:val="00296162"/>
    <w:rsid w:val="002965F6"/>
    <w:rsid w:val="0029697C"/>
    <w:rsid w:val="002979F1"/>
    <w:rsid w:val="00297ACE"/>
    <w:rsid w:val="002A0257"/>
    <w:rsid w:val="002A13E1"/>
    <w:rsid w:val="002A1634"/>
    <w:rsid w:val="002A17A4"/>
    <w:rsid w:val="002A191D"/>
    <w:rsid w:val="002A2720"/>
    <w:rsid w:val="002A280D"/>
    <w:rsid w:val="002A2831"/>
    <w:rsid w:val="002A283A"/>
    <w:rsid w:val="002A311A"/>
    <w:rsid w:val="002A3248"/>
    <w:rsid w:val="002A4E9A"/>
    <w:rsid w:val="002A5E34"/>
    <w:rsid w:val="002A76FF"/>
    <w:rsid w:val="002B06D4"/>
    <w:rsid w:val="002B0846"/>
    <w:rsid w:val="002B1304"/>
    <w:rsid w:val="002B1C29"/>
    <w:rsid w:val="002B220A"/>
    <w:rsid w:val="002B5285"/>
    <w:rsid w:val="002B5B2F"/>
    <w:rsid w:val="002B6386"/>
    <w:rsid w:val="002B64D5"/>
    <w:rsid w:val="002B68D2"/>
    <w:rsid w:val="002B7A30"/>
    <w:rsid w:val="002B7F3E"/>
    <w:rsid w:val="002C01EA"/>
    <w:rsid w:val="002C058C"/>
    <w:rsid w:val="002C26CE"/>
    <w:rsid w:val="002C29E6"/>
    <w:rsid w:val="002C4E2B"/>
    <w:rsid w:val="002C5095"/>
    <w:rsid w:val="002C51D2"/>
    <w:rsid w:val="002C5774"/>
    <w:rsid w:val="002C5981"/>
    <w:rsid w:val="002D0410"/>
    <w:rsid w:val="002D055E"/>
    <w:rsid w:val="002D0899"/>
    <w:rsid w:val="002D1707"/>
    <w:rsid w:val="002D17E2"/>
    <w:rsid w:val="002D1E2B"/>
    <w:rsid w:val="002D3149"/>
    <w:rsid w:val="002D343D"/>
    <w:rsid w:val="002D3E79"/>
    <w:rsid w:val="002D3F5B"/>
    <w:rsid w:val="002D41A0"/>
    <w:rsid w:val="002D4223"/>
    <w:rsid w:val="002D4694"/>
    <w:rsid w:val="002D4D65"/>
    <w:rsid w:val="002D5C64"/>
    <w:rsid w:val="002D5CA7"/>
    <w:rsid w:val="002D654A"/>
    <w:rsid w:val="002D68D1"/>
    <w:rsid w:val="002E0E88"/>
    <w:rsid w:val="002E0EC8"/>
    <w:rsid w:val="002E1792"/>
    <w:rsid w:val="002E2030"/>
    <w:rsid w:val="002E278F"/>
    <w:rsid w:val="002E3230"/>
    <w:rsid w:val="002E3B4D"/>
    <w:rsid w:val="002E446A"/>
    <w:rsid w:val="002E4536"/>
    <w:rsid w:val="002E4EDD"/>
    <w:rsid w:val="002E5628"/>
    <w:rsid w:val="002E5CA8"/>
    <w:rsid w:val="002E6283"/>
    <w:rsid w:val="002E6BD7"/>
    <w:rsid w:val="002F0522"/>
    <w:rsid w:val="002F0734"/>
    <w:rsid w:val="002F0F30"/>
    <w:rsid w:val="002F27A0"/>
    <w:rsid w:val="002F29D7"/>
    <w:rsid w:val="002F493B"/>
    <w:rsid w:val="002F580F"/>
    <w:rsid w:val="002F5C81"/>
    <w:rsid w:val="002F6098"/>
    <w:rsid w:val="0030179D"/>
    <w:rsid w:val="00301975"/>
    <w:rsid w:val="00302173"/>
    <w:rsid w:val="00302D44"/>
    <w:rsid w:val="003039C4"/>
    <w:rsid w:val="00304228"/>
    <w:rsid w:val="0030542C"/>
    <w:rsid w:val="00307E03"/>
    <w:rsid w:val="00310418"/>
    <w:rsid w:val="00310FC0"/>
    <w:rsid w:val="003117FD"/>
    <w:rsid w:val="003118BF"/>
    <w:rsid w:val="00311CA1"/>
    <w:rsid w:val="00312A5D"/>
    <w:rsid w:val="00312FFC"/>
    <w:rsid w:val="00314D57"/>
    <w:rsid w:val="003150BF"/>
    <w:rsid w:val="003150CE"/>
    <w:rsid w:val="0031537E"/>
    <w:rsid w:val="00315E92"/>
    <w:rsid w:val="00321A2A"/>
    <w:rsid w:val="0032292F"/>
    <w:rsid w:val="003229C9"/>
    <w:rsid w:val="00322D02"/>
    <w:rsid w:val="003233E2"/>
    <w:rsid w:val="0032369E"/>
    <w:rsid w:val="00323B9E"/>
    <w:rsid w:val="00323D92"/>
    <w:rsid w:val="00323EC7"/>
    <w:rsid w:val="00324085"/>
    <w:rsid w:val="003242B8"/>
    <w:rsid w:val="00330804"/>
    <w:rsid w:val="00330A7D"/>
    <w:rsid w:val="00330D22"/>
    <w:rsid w:val="0033100F"/>
    <w:rsid w:val="00331696"/>
    <w:rsid w:val="0033259F"/>
    <w:rsid w:val="00332790"/>
    <w:rsid w:val="00333BE6"/>
    <w:rsid w:val="00334763"/>
    <w:rsid w:val="003349B9"/>
    <w:rsid w:val="00334A6B"/>
    <w:rsid w:val="00334C8A"/>
    <w:rsid w:val="00335650"/>
    <w:rsid w:val="00335EAF"/>
    <w:rsid w:val="003366B2"/>
    <w:rsid w:val="00337D1F"/>
    <w:rsid w:val="00337DF7"/>
    <w:rsid w:val="00340066"/>
    <w:rsid w:val="00340F46"/>
    <w:rsid w:val="003424BF"/>
    <w:rsid w:val="00342710"/>
    <w:rsid w:val="0034288B"/>
    <w:rsid w:val="0034332B"/>
    <w:rsid w:val="00343AC9"/>
    <w:rsid w:val="00344203"/>
    <w:rsid w:val="00344520"/>
    <w:rsid w:val="0034489B"/>
    <w:rsid w:val="00344A9E"/>
    <w:rsid w:val="00344AC6"/>
    <w:rsid w:val="00346388"/>
    <w:rsid w:val="0034681C"/>
    <w:rsid w:val="003501A5"/>
    <w:rsid w:val="00350D5F"/>
    <w:rsid w:val="00353583"/>
    <w:rsid w:val="003540D8"/>
    <w:rsid w:val="00354394"/>
    <w:rsid w:val="00354A85"/>
    <w:rsid w:val="00354BF1"/>
    <w:rsid w:val="00355648"/>
    <w:rsid w:val="003559D1"/>
    <w:rsid w:val="00356219"/>
    <w:rsid w:val="00356222"/>
    <w:rsid w:val="00357035"/>
    <w:rsid w:val="003600A8"/>
    <w:rsid w:val="00360B59"/>
    <w:rsid w:val="00361274"/>
    <w:rsid w:val="00361467"/>
    <w:rsid w:val="003615E5"/>
    <w:rsid w:val="00361C76"/>
    <w:rsid w:val="00363293"/>
    <w:rsid w:val="003636F1"/>
    <w:rsid w:val="00363D3C"/>
    <w:rsid w:val="003649A6"/>
    <w:rsid w:val="00364A0A"/>
    <w:rsid w:val="00365E35"/>
    <w:rsid w:val="00366524"/>
    <w:rsid w:val="003665CF"/>
    <w:rsid w:val="00366DD4"/>
    <w:rsid w:val="003701FF"/>
    <w:rsid w:val="0037087D"/>
    <w:rsid w:val="00370C2F"/>
    <w:rsid w:val="00370E8C"/>
    <w:rsid w:val="00371358"/>
    <w:rsid w:val="00371390"/>
    <w:rsid w:val="00371EC2"/>
    <w:rsid w:val="003730B6"/>
    <w:rsid w:val="00373471"/>
    <w:rsid w:val="00373B97"/>
    <w:rsid w:val="00373E58"/>
    <w:rsid w:val="00374086"/>
    <w:rsid w:val="0037480B"/>
    <w:rsid w:val="00374BF8"/>
    <w:rsid w:val="00374F21"/>
    <w:rsid w:val="003758C5"/>
    <w:rsid w:val="00375E5A"/>
    <w:rsid w:val="00376073"/>
    <w:rsid w:val="00377452"/>
    <w:rsid w:val="003778A1"/>
    <w:rsid w:val="00377E7B"/>
    <w:rsid w:val="003804FC"/>
    <w:rsid w:val="00380A3A"/>
    <w:rsid w:val="00381223"/>
    <w:rsid w:val="0038172E"/>
    <w:rsid w:val="00381849"/>
    <w:rsid w:val="003818D5"/>
    <w:rsid w:val="00381BBA"/>
    <w:rsid w:val="00381BFF"/>
    <w:rsid w:val="00381E5F"/>
    <w:rsid w:val="003823A0"/>
    <w:rsid w:val="00382B19"/>
    <w:rsid w:val="0038402B"/>
    <w:rsid w:val="003845A0"/>
    <w:rsid w:val="00384710"/>
    <w:rsid w:val="00384F36"/>
    <w:rsid w:val="00385271"/>
    <w:rsid w:val="00387178"/>
    <w:rsid w:val="00390992"/>
    <w:rsid w:val="003918E8"/>
    <w:rsid w:val="00391A41"/>
    <w:rsid w:val="0039226E"/>
    <w:rsid w:val="00392782"/>
    <w:rsid w:val="00392CC8"/>
    <w:rsid w:val="00394586"/>
    <w:rsid w:val="0039482A"/>
    <w:rsid w:val="003967B0"/>
    <w:rsid w:val="003A0021"/>
    <w:rsid w:val="003A14EC"/>
    <w:rsid w:val="003A1AC9"/>
    <w:rsid w:val="003A1E2F"/>
    <w:rsid w:val="003A1EB3"/>
    <w:rsid w:val="003A2017"/>
    <w:rsid w:val="003A48CC"/>
    <w:rsid w:val="003A5F92"/>
    <w:rsid w:val="003A6BA4"/>
    <w:rsid w:val="003A72EF"/>
    <w:rsid w:val="003B029C"/>
    <w:rsid w:val="003B07AC"/>
    <w:rsid w:val="003B0D65"/>
    <w:rsid w:val="003B10DC"/>
    <w:rsid w:val="003B1C81"/>
    <w:rsid w:val="003B2BA5"/>
    <w:rsid w:val="003B2E17"/>
    <w:rsid w:val="003B3E2F"/>
    <w:rsid w:val="003B401C"/>
    <w:rsid w:val="003B49FF"/>
    <w:rsid w:val="003B4EED"/>
    <w:rsid w:val="003B5C64"/>
    <w:rsid w:val="003B662D"/>
    <w:rsid w:val="003B6B2C"/>
    <w:rsid w:val="003B797F"/>
    <w:rsid w:val="003B7CF2"/>
    <w:rsid w:val="003B7D28"/>
    <w:rsid w:val="003C01B0"/>
    <w:rsid w:val="003C1699"/>
    <w:rsid w:val="003C1D74"/>
    <w:rsid w:val="003C2298"/>
    <w:rsid w:val="003C266A"/>
    <w:rsid w:val="003C28D3"/>
    <w:rsid w:val="003C2B4C"/>
    <w:rsid w:val="003C2C1F"/>
    <w:rsid w:val="003C2D0E"/>
    <w:rsid w:val="003C3E03"/>
    <w:rsid w:val="003C58F4"/>
    <w:rsid w:val="003C5E21"/>
    <w:rsid w:val="003C602A"/>
    <w:rsid w:val="003C6BC6"/>
    <w:rsid w:val="003C782B"/>
    <w:rsid w:val="003D0056"/>
    <w:rsid w:val="003D080B"/>
    <w:rsid w:val="003D08D0"/>
    <w:rsid w:val="003D1566"/>
    <w:rsid w:val="003D1759"/>
    <w:rsid w:val="003D1896"/>
    <w:rsid w:val="003D281F"/>
    <w:rsid w:val="003D2DA2"/>
    <w:rsid w:val="003D2FD1"/>
    <w:rsid w:val="003D3B14"/>
    <w:rsid w:val="003D41D4"/>
    <w:rsid w:val="003D628E"/>
    <w:rsid w:val="003D62F7"/>
    <w:rsid w:val="003D6315"/>
    <w:rsid w:val="003D64BE"/>
    <w:rsid w:val="003D6B61"/>
    <w:rsid w:val="003D6B97"/>
    <w:rsid w:val="003D6D7A"/>
    <w:rsid w:val="003D78CB"/>
    <w:rsid w:val="003E1035"/>
    <w:rsid w:val="003E173B"/>
    <w:rsid w:val="003E17F2"/>
    <w:rsid w:val="003E19F7"/>
    <w:rsid w:val="003E1EB2"/>
    <w:rsid w:val="003E23A7"/>
    <w:rsid w:val="003E26B0"/>
    <w:rsid w:val="003E2A09"/>
    <w:rsid w:val="003E2C65"/>
    <w:rsid w:val="003E2F0C"/>
    <w:rsid w:val="003E31EF"/>
    <w:rsid w:val="003E35BE"/>
    <w:rsid w:val="003E38E9"/>
    <w:rsid w:val="003E4406"/>
    <w:rsid w:val="003E467B"/>
    <w:rsid w:val="003E492C"/>
    <w:rsid w:val="003E4D19"/>
    <w:rsid w:val="003E6113"/>
    <w:rsid w:val="003E6AD0"/>
    <w:rsid w:val="003E6BDD"/>
    <w:rsid w:val="003E710D"/>
    <w:rsid w:val="003E77CF"/>
    <w:rsid w:val="003E77EA"/>
    <w:rsid w:val="003E7A9C"/>
    <w:rsid w:val="003E7CFE"/>
    <w:rsid w:val="003F041F"/>
    <w:rsid w:val="003F0BBA"/>
    <w:rsid w:val="003F0D62"/>
    <w:rsid w:val="003F1461"/>
    <w:rsid w:val="003F2860"/>
    <w:rsid w:val="003F328F"/>
    <w:rsid w:val="003F3337"/>
    <w:rsid w:val="003F46F1"/>
    <w:rsid w:val="003F48B7"/>
    <w:rsid w:val="003F531A"/>
    <w:rsid w:val="003F63C5"/>
    <w:rsid w:val="003F6CF6"/>
    <w:rsid w:val="003F6E27"/>
    <w:rsid w:val="003F7C9E"/>
    <w:rsid w:val="003F7E62"/>
    <w:rsid w:val="00400243"/>
    <w:rsid w:val="00401600"/>
    <w:rsid w:val="00402299"/>
    <w:rsid w:val="004025E8"/>
    <w:rsid w:val="00402768"/>
    <w:rsid w:val="0040324A"/>
    <w:rsid w:val="004033B9"/>
    <w:rsid w:val="00403425"/>
    <w:rsid w:val="004044FC"/>
    <w:rsid w:val="0040496D"/>
    <w:rsid w:val="00404C36"/>
    <w:rsid w:val="0040521D"/>
    <w:rsid w:val="00406F38"/>
    <w:rsid w:val="004079E7"/>
    <w:rsid w:val="004079EE"/>
    <w:rsid w:val="004107CA"/>
    <w:rsid w:val="00410D3C"/>
    <w:rsid w:val="004111BC"/>
    <w:rsid w:val="004114CB"/>
    <w:rsid w:val="004125F4"/>
    <w:rsid w:val="004126D4"/>
    <w:rsid w:val="00412F84"/>
    <w:rsid w:val="00413426"/>
    <w:rsid w:val="004138A0"/>
    <w:rsid w:val="00414524"/>
    <w:rsid w:val="00414703"/>
    <w:rsid w:val="00414B92"/>
    <w:rsid w:val="004156DC"/>
    <w:rsid w:val="00415D2B"/>
    <w:rsid w:val="00415EFA"/>
    <w:rsid w:val="00416C0A"/>
    <w:rsid w:val="00416DCC"/>
    <w:rsid w:val="00417385"/>
    <w:rsid w:val="00420AD5"/>
    <w:rsid w:val="00421941"/>
    <w:rsid w:val="00422994"/>
    <w:rsid w:val="004233A5"/>
    <w:rsid w:val="004239CF"/>
    <w:rsid w:val="00423D3B"/>
    <w:rsid w:val="00423FE4"/>
    <w:rsid w:val="00424DE2"/>
    <w:rsid w:val="00424EEB"/>
    <w:rsid w:val="00425355"/>
    <w:rsid w:val="00426B1C"/>
    <w:rsid w:val="00430C6F"/>
    <w:rsid w:val="00431087"/>
    <w:rsid w:val="00431B91"/>
    <w:rsid w:val="004324B5"/>
    <w:rsid w:val="00432528"/>
    <w:rsid w:val="00432545"/>
    <w:rsid w:val="00432746"/>
    <w:rsid w:val="00432836"/>
    <w:rsid w:val="00432C5F"/>
    <w:rsid w:val="004338C8"/>
    <w:rsid w:val="00434F7F"/>
    <w:rsid w:val="00435B10"/>
    <w:rsid w:val="00435FB5"/>
    <w:rsid w:val="004362F6"/>
    <w:rsid w:val="004373D1"/>
    <w:rsid w:val="0043778D"/>
    <w:rsid w:val="00440B5A"/>
    <w:rsid w:val="00440BCB"/>
    <w:rsid w:val="00441508"/>
    <w:rsid w:val="0044254E"/>
    <w:rsid w:val="00442F22"/>
    <w:rsid w:val="0044354E"/>
    <w:rsid w:val="00443802"/>
    <w:rsid w:val="00443C84"/>
    <w:rsid w:val="004446A6"/>
    <w:rsid w:val="004454C2"/>
    <w:rsid w:val="00447347"/>
    <w:rsid w:val="00447F33"/>
    <w:rsid w:val="00450A27"/>
    <w:rsid w:val="00451EC2"/>
    <w:rsid w:val="004520E7"/>
    <w:rsid w:val="004524E2"/>
    <w:rsid w:val="00453FAB"/>
    <w:rsid w:val="004545D2"/>
    <w:rsid w:val="00454DC0"/>
    <w:rsid w:val="00455180"/>
    <w:rsid w:val="00455664"/>
    <w:rsid w:val="0045574F"/>
    <w:rsid w:val="004605E0"/>
    <w:rsid w:val="00461F2F"/>
    <w:rsid w:val="00463357"/>
    <w:rsid w:val="00463475"/>
    <w:rsid w:val="00463A04"/>
    <w:rsid w:val="00465255"/>
    <w:rsid w:val="0047161E"/>
    <w:rsid w:val="00472668"/>
    <w:rsid w:val="00472C0B"/>
    <w:rsid w:val="00473718"/>
    <w:rsid w:val="00473869"/>
    <w:rsid w:val="0047410E"/>
    <w:rsid w:val="0047453F"/>
    <w:rsid w:val="0047522C"/>
    <w:rsid w:val="004756AB"/>
    <w:rsid w:val="00475C7A"/>
    <w:rsid w:val="004774EE"/>
    <w:rsid w:val="00477534"/>
    <w:rsid w:val="004775B6"/>
    <w:rsid w:val="0048054A"/>
    <w:rsid w:val="00480699"/>
    <w:rsid w:val="004808BA"/>
    <w:rsid w:val="004818E8"/>
    <w:rsid w:val="00481925"/>
    <w:rsid w:val="0048208B"/>
    <w:rsid w:val="00482F67"/>
    <w:rsid w:val="00483006"/>
    <w:rsid w:val="00483F21"/>
    <w:rsid w:val="00484111"/>
    <w:rsid w:val="00484915"/>
    <w:rsid w:val="004857D0"/>
    <w:rsid w:val="00485915"/>
    <w:rsid w:val="00485961"/>
    <w:rsid w:val="00486050"/>
    <w:rsid w:val="00486BCC"/>
    <w:rsid w:val="00487387"/>
    <w:rsid w:val="004902BF"/>
    <w:rsid w:val="0049075F"/>
    <w:rsid w:val="00491893"/>
    <w:rsid w:val="004919FD"/>
    <w:rsid w:val="00492085"/>
    <w:rsid w:val="004933DB"/>
    <w:rsid w:val="00493979"/>
    <w:rsid w:val="00494DA9"/>
    <w:rsid w:val="00495C07"/>
    <w:rsid w:val="00495EA8"/>
    <w:rsid w:val="0049647A"/>
    <w:rsid w:val="00497839"/>
    <w:rsid w:val="00497FEC"/>
    <w:rsid w:val="004A0755"/>
    <w:rsid w:val="004A0A6C"/>
    <w:rsid w:val="004A132C"/>
    <w:rsid w:val="004A1EFF"/>
    <w:rsid w:val="004A2E3A"/>
    <w:rsid w:val="004A3762"/>
    <w:rsid w:val="004A48F2"/>
    <w:rsid w:val="004A5599"/>
    <w:rsid w:val="004A5E83"/>
    <w:rsid w:val="004A6065"/>
    <w:rsid w:val="004A77D1"/>
    <w:rsid w:val="004A7D02"/>
    <w:rsid w:val="004B032D"/>
    <w:rsid w:val="004B09F7"/>
    <w:rsid w:val="004B0CFD"/>
    <w:rsid w:val="004B0F40"/>
    <w:rsid w:val="004B1E16"/>
    <w:rsid w:val="004B1EE8"/>
    <w:rsid w:val="004B26D9"/>
    <w:rsid w:val="004B2C5E"/>
    <w:rsid w:val="004B316A"/>
    <w:rsid w:val="004B3757"/>
    <w:rsid w:val="004B3A84"/>
    <w:rsid w:val="004B4FA0"/>
    <w:rsid w:val="004B53A8"/>
    <w:rsid w:val="004B571B"/>
    <w:rsid w:val="004B59C3"/>
    <w:rsid w:val="004B6113"/>
    <w:rsid w:val="004B619E"/>
    <w:rsid w:val="004B774B"/>
    <w:rsid w:val="004C2E46"/>
    <w:rsid w:val="004C4629"/>
    <w:rsid w:val="004C49AC"/>
    <w:rsid w:val="004C4B71"/>
    <w:rsid w:val="004C564E"/>
    <w:rsid w:val="004C580B"/>
    <w:rsid w:val="004C65E6"/>
    <w:rsid w:val="004C7EBF"/>
    <w:rsid w:val="004D0809"/>
    <w:rsid w:val="004D087E"/>
    <w:rsid w:val="004D0B03"/>
    <w:rsid w:val="004D0DCC"/>
    <w:rsid w:val="004D19DB"/>
    <w:rsid w:val="004D1E88"/>
    <w:rsid w:val="004D23AF"/>
    <w:rsid w:val="004D3CD7"/>
    <w:rsid w:val="004D3D3C"/>
    <w:rsid w:val="004D58DE"/>
    <w:rsid w:val="004D5D70"/>
    <w:rsid w:val="004D60DD"/>
    <w:rsid w:val="004D63E2"/>
    <w:rsid w:val="004D651C"/>
    <w:rsid w:val="004D7028"/>
    <w:rsid w:val="004D7B7A"/>
    <w:rsid w:val="004E0FB2"/>
    <w:rsid w:val="004E1F05"/>
    <w:rsid w:val="004E2C6F"/>
    <w:rsid w:val="004E2E99"/>
    <w:rsid w:val="004E358E"/>
    <w:rsid w:val="004E363A"/>
    <w:rsid w:val="004E3F30"/>
    <w:rsid w:val="004E46F8"/>
    <w:rsid w:val="004E50B0"/>
    <w:rsid w:val="004E50C8"/>
    <w:rsid w:val="004E653E"/>
    <w:rsid w:val="004E65F5"/>
    <w:rsid w:val="004E67D1"/>
    <w:rsid w:val="004E7082"/>
    <w:rsid w:val="004E7147"/>
    <w:rsid w:val="004E7E7A"/>
    <w:rsid w:val="004F15F0"/>
    <w:rsid w:val="004F2D77"/>
    <w:rsid w:val="004F3C79"/>
    <w:rsid w:val="004F3D39"/>
    <w:rsid w:val="004F3E28"/>
    <w:rsid w:val="004F4861"/>
    <w:rsid w:val="004F4F46"/>
    <w:rsid w:val="004F542A"/>
    <w:rsid w:val="004F5B6E"/>
    <w:rsid w:val="004F5BE9"/>
    <w:rsid w:val="004F621F"/>
    <w:rsid w:val="004F75D3"/>
    <w:rsid w:val="004F7FE5"/>
    <w:rsid w:val="00500616"/>
    <w:rsid w:val="00501994"/>
    <w:rsid w:val="00502C78"/>
    <w:rsid w:val="00502EAE"/>
    <w:rsid w:val="0050338F"/>
    <w:rsid w:val="00503A1B"/>
    <w:rsid w:val="00504148"/>
    <w:rsid w:val="0050500F"/>
    <w:rsid w:val="00505279"/>
    <w:rsid w:val="00505514"/>
    <w:rsid w:val="00505516"/>
    <w:rsid w:val="005062DF"/>
    <w:rsid w:val="005063E1"/>
    <w:rsid w:val="005077E7"/>
    <w:rsid w:val="00507A4E"/>
    <w:rsid w:val="00507B1F"/>
    <w:rsid w:val="00507B98"/>
    <w:rsid w:val="00507CC5"/>
    <w:rsid w:val="00507F37"/>
    <w:rsid w:val="00510EC4"/>
    <w:rsid w:val="005111D3"/>
    <w:rsid w:val="005117BD"/>
    <w:rsid w:val="00511ED0"/>
    <w:rsid w:val="00512128"/>
    <w:rsid w:val="00513527"/>
    <w:rsid w:val="00513A3F"/>
    <w:rsid w:val="00513C42"/>
    <w:rsid w:val="00514344"/>
    <w:rsid w:val="00515655"/>
    <w:rsid w:val="005165A4"/>
    <w:rsid w:val="00516BBB"/>
    <w:rsid w:val="00516BD2"/>
    <w:rsid w:val="00517136"/>
    <w:rsid w:val="005200FF"/>
    <w:rsid w:val="005204DA"/>
    <w:rsid w:val="00520FE0"/>
    <w:rsid w:val="00521B47"/>
    <w:rsid w:val="00521D87"/>
    <w:rsid w:val="00522312"/>
    <w:rsid w:val="00522502"/>
    <w:rsid w:val="00522877"/>
    <w:rsid w:val="00522A12"/>
    <w:rsid w:val="00523934"/>
    <w:rsid w:val="00523E83"/>
    <w:rsid w:val="005248BB"/>
    <w:rsid w:val="00524AEB"/>
    <w:rsid w:val="005258DC"/>
    <w:rsid w:val="00526B9C"/>
    <w:rsid w:val="00527098"/>
    <w:rsid w:val="00527E99"/>
    <w:rsid w:val="00530386"/>
    <w:rsid w:val="005307C3"/>
    <w:rsid w:val="005308A5"/>
    <w:rsid w:val="005309B5"/>
    <w:rsid w:val="00530E4D"/>
    <w:rsid w:val="005314E9"/>
    <w:rsid w:val="00531723"/>
    <w:rsid w:val="0053275E"/>
    <w:rsid w:val="0053324F"/>
    <w:rsid w:val="00533A5D"/>
    <w:rsid w:val="00535353"/>
    <w:rsid w:val="005368DE"/>
    <w:rsid w:val="00537565"/>
    <w:rsid w:val="00537F96"/>
    <w:rsid w:val="00540125"/>
    <w:rsid w:val="00541140"/>
    <w:rsid w:val="0054192B"/>
    <w:rsid w:val="00541A1F"/>
    <w:rsid w:val="00541EF9"/>
    <w:rsid w:val="005420EE"/>
    <w:rsid w:val="00542295"/>
    <w:rsid w:val="0054254B"/>
    <w:rsid w:val="005425A3"/>
    <w:rsid w:val="005430F2"/>
    <w:rsid w:val="005431CF"/>
    <w:rsid w:val="00543D0A"/>
    <w:rsid w:val="00543E0B"/>
    <w:rsid w:val="005449E8"/>
    <w:rsid w:val="0054532D"/>
    <w:rsid w:val="005454F3"/>
    <w:rsid w:val="005455E5"/>
    <w:rsid w:val="0054681B"/>
    <w:rsid w:val="00547682"/>
    <w:rsid w:val="0054779A"/>
    <w:rsid w:val="00547A05"/>
    <w:rsid w:val="00547BA1"/>
    <w:rsid w:val="005508CC"/>
    <w:rsid w:val="00550968"/>
    <w:rsid w:val="00550AE4"/>
    <w:rsid w:val="00552119"/>
    <w:rsid w:val="005524F5"/>
    <w:rsid w:val="0055290C"/>
    <w:rsid w:val="0055297B"/>
    <w:rsid w:val="00552FC4"/>
    <w:rsid w:val="0055322B"/>
    <w:rsid w:val="00553CB8"/>
    <w:rsid w:val="00555027"/>
    <w:rsid w:val="00555AAE"/>
    <w:rsid w:val="00555F0E"/>
    <w:rsid w:val="00556101"/>
    <w:rsid w:val="00557CB1"/>
    <w:rsid w:val="0056091E"/>
    <w:rsid w:val="005609A8"/>
    <w:rsid w:val="00560C1F"/>
    <w:rsid w:val="00561371"/>
    <w:rsid w:val="0056172D"/>
    <w:rsid w:val="00563206"/>
    <w:rsid w:val="005635F3"/>
    <w:rsid w:val="0056411C"/>
    <w:rsid w:val="0056414A"/>
    <w:rsid w:val="00564623"/>
    <w:rsid w:val="00564723"/>
    <w:rsid w:val="005649CF"/>
    <w:rsid w:val="00565598"/>
    <w:rsid w:val="005655EF"/>
    <w:rsid w:val="00565B4C"/>
    <w:rsid w:val="00566182"/>
    <w:rsid w:val="005663FF"/>
    <w:rsid w:val="005677E5"/>
    <w:rsid w:val="00567DFC"/>
    <w:rsid w:val="005702EE"/>
    <w:rsid w:val="00570861"/>
    <w:rsid w:val="00570D24"/>
    <w:rsid w:val="00570F0A"/>
    <w:rsid w:val="00571627"/>
    <w:rsid w:val="00571B1D"/>
    <w:rsid w:val="00571D83"/>
    <w:rsid w:val="00572B3E"/>
    <w:rsid w:val="005735B5"/>
    <w:rsid w:val="00574C1A"/>
    <w:rsid w:val="0057547D"/>
    <w:rsid w:val="005755FD"/>
    <w:rsid w:val="00576056"/>
    <w:rsid w:val="00577579"/>
    <w:rsid w:val="00577AE3"/>
    <w:rsid w:val="00577CCE"/>
    <w:rsid w:val="00580EEB"/>
    <w:rsid w:val="00580F1D"/>
    <w:rsid w:val="00580FCF"/>
    <w:rsid w:val="0058225C"/>
    <w:rsid w:val="0058272B"/>
    <w:rsid w:val="005828EC"/>
    <w:rsid w:val="00582C24"/>
    <w:rsid w:val="00582E1F"/>
    <w:rsid w:val="005830EC"/>
    <w:rsid w:val="00583280"/>
    <w:rsid w:val="00583673"/>
    <w:rsid w:val="00583D08"/>
    <w:rsid w:val="005846EA"/>
    <w:rsid w:val="0058636B"/>
    <w:rsid w:val="0058694B"/>
    <w:rsid w:val="00586B8C"/>
    <w:rsid w:val="0058769E"/>
    <w:rsid w:val="005879E5"/>
    <w:rsid w:val="00587BE7"/>
    <w:rsid w:val="00587CBC"/>
    <w:rsid w:val="005900CF"/>
    <w:rsid w:val="005946B9"/>
    <w:rsid w:val="00595723"/>
    <w:rsid w:val="00595DF1"/>
    <w:rsid w:val="00596461"/>
    <w:rsid w:val="00596524"/>
    <w:rsid w:val="00596740"/>
    <w:rsid w:val="00596CBD"/>
    <w:rsid w:val="00597D35"/>
    <w:rsid w:val="005A23AC"/>
    <w:rsid w:val="005A3B7A"/>
    <w:rsid w:val="005A4A36"/>
    <w:rsid w:val="005A4ACA"/>
    <w:rsid w:val="005A5643"/>
    <w:rsid w:val="005A62E2"/>
    <w:rsid w:val="005A6B3E"/>
    <w:rsid w:val="005A6D6D"/>
    <w:rsid w:val="005A7264"/>
    <w:rsid w:val="005A72B7"/>
    <w:rsid w:val="005A7323"/>
    <w:rsid w:val="005A78FB"/>
    <w:rsid w:val="005B0631"/>
    <w:rsid w:val="005B0F40"/>
    <w:rsid w:val="005B1601"/>
    <w:rsid w:val="005B2624"/>
    <w:rsid w:val="005B417D"/>
    <w:rsid w:val="005B4CFC"/>
    <w:rsid w:val="005B5523"/>
    <w:rsid w:val="005B57F4"/>
    <w:rsid w:val="005B58B0"/>
    <w:rsid w:val="005B60BC"/>
    <w:rsid w:val="005B69DE"/>
    <w:rsid w:val="005B7326"/>
    <w:rsid w:val="005C0298"/>
    <w:rsid w:val="005C0769"/>
    <w:rsid w:val="005C114A"/>
    <w:rsid w:val="005C15A2"/>
    <w:rsid w:val="005C1AAF"/>
    <w:rsid w:val="005C360A"/>
    <w:rsid w:val="005C4457"/>
    <w:rsid w:val="005C4605"/>
    <w:rsid w:val="005C4911"/>
    <w:rsid w:val="005C4A67"/>
    <w:rsid w:val="005C6883"/>
    <w:rsid w:val="005C756E"/>
    <w:rsid w:val="005C7801"/>
    <w:rsid w:val="005D0528"/>
    <w:rsid w:val="005D191A"/>
    <w:rsid w:val="005D221C"/>
    <w:rsid w:val="005D251B"/>
    <w:rsid w:val="005D2A43"/>
    <w:rsid w:val="005D2FE2"/>
    <w:rsid w:val="005D350B"/>
    <w:rsid w:val="005D5394"/>
    <w:rsid w:val="005D59A4"/>
    <w:rsid w:val="005D5B85"/>
    <w:rsid w:val="005D60E4"/>
    <w:rsid w:val="005D6EA0"/>
    <w:rsid w:val="005D6FA2"/>
    <w:rsid w:val="005D7533"/>
    <w:rsid w:val="005D7927"/>
    <w:rsid w:val="005D7BDF"/>
    <w:rsid w:val="005E079A"/>
    <w:rsid w:val="005E07DF"/>
    <w:rsid w:val="005E0A9D"/>
    <w:rsid w:val="005E12DB"/>
    <w:rsid w:val="005E1475"/>
    <w:rsid w:val="005E2908"/>
    <w:rsid w:val="005E2DB8"/>
    <w:rsid w:val="005E3280"/>
    <w:rsid w:val="005E5430"/>
    <w:rsid w:val="005E5EC7"/>
    <w:rsid w:val="005E61D9"/>
    <w:rsid w:val="005E64FD"/>
    <w:rsid w:val="005E6F38"/>
    <w:rsid w:val="005E72C9"/>
    <w:rsid w:val="005E743B"/>
    <w:rsid w:val="005E7B36"/>
    <w:rsid w:val="005E7F57"/>
    <w:rsid w:val="005F02E6"/>
    <w:rsid w:val="005F036A"/>
    <w:rsid w:val="005F10F1"/>
    <w:rsid w:val="005F1911"/>
    <w:rsid w:val="005F1F77"/>
    <w:rsid w:val="005F27F8"/>
    <w:rsid w:val="005F2CBA"/>
    <w:rsid w:val="005F3216"/>
    <w:rsid w:val="005F43E7"/>
    <w:rsid w:val="005F4DFE"/>
    <w:rsid w:val="005F4EF9"/>
    <w:rsid w:val="005F7640"/>
    <w:rsid w:val="005F7889"/>
    <w:rsid w:val="005F7CF8"/>
    <w:rsid w:val="00600624"/>
    <w:rsid w:val="00600D65"/>
    <w:rsid w:val="006015AE"/>
    <w:rsid w:val="006017B1"/>
    <w:rsid w:val="00603CAF"/>
    <w:rsid w:val="006040A3"/>
    <w:rsid w:val="00604581"/>
    <w:rsid w:val="00604631"/>
    <w:rsid w:val="00605ED4"/>
    <w:rsid w:val="006060C2"/>
    <w:rsid w:val="0060685F"/>
    <w:rsid w:val="00607066"/>
    <w:rsid w:val="00607197"/>
    <w:rsid w:val="00607A16"/>
    <w:rsid w:val="006109F8"/>
    <w:rsid w:val="00611240"/>
    <w:rsid w:val="00611E0F"/>
    <w:rsid w:val="006124B4"/>
    <w:rsid w:val="00612A1C"/>
    <w:rsid w:val="00612D62"/>
    <w:rsid w:val="00613A5A"/>
    <w:rsid w:val="006147EA"/>
    <w:rsid w:val="0061552D"/>
    <w:rsid w:val="00615973"/>
    <w:rsid w:val="00615D9C"/>
    <w:rsid w:val="006177F1"/>
    <w:rsid w:val="00620128"/>
    <w:rsid w:val="006205A6"/>
    <w:rsid w:val="00622521"/>
    <w:rsid w:val="00622F37"/>
    <w:rsid w:val="00623075"/>
    <w:rsid w:val="006238EF"/>
    <w:rsid w:val="00623910"/>
    <w:rsid w:val="006246F2"/>
    <w:rsid w:val="00624745"/>
    <w:rsid w:val="00624A27"/>
    <w:rsid w:val="00624D74"/>
    <w:rsid w:val="00625851"/>
    <w:rsid w:val="0062716D"/>
    <w:rsid w:val="00627AF2"/>
    <w:rsid w:val="006305D9"/>
    <w:rsid w:val="0063096D"/>
    <w:rsid w:val="00631BEE"/>
    <w:rsid w:val="00632F94"/>
    <w:rsid w:val="006332C5"/>
    <w:rsid w:val="00633661"/>
    <w:rsid w:val="006337B6"/>
    <w:rsid w:val="00633F67"/>
    <w:rsid w:val="006340D8"/>
    <w:rsid w:val="0063423E"/>
    <w:rsid w:val="00634263"/>
    <w:rsid w:val="00634D49"/>
    <w:rsid w:val="00634E5D"/>
    <w:rsid w:val="00634F4A"/>
    <w:rsid w:val="0063522F"/>
    <w:rsid w:val="00636076"/>
    <w:rsid w:val="0063632F"/>
    <w:rsid w:val="0063638F"/>
    <w:rsid w:val="006363CE"/>
    <w:rsid w:val="00636C1B"/>
    <w:rsid w:val="00637195"/>
    <w:rsid w:val="0063728E"/>
    <w:rsid w:val="00637998"/>
    <w:rsid w:val="00637B14"/>
    <w:rsid w:val="00637E2D"/>
    <w:rsid w:val="0064002D"/>
    <w:rsid w:val="00641B07"/>
    <w:rsid w:val="00641BAF"/>
    <w:rsid w:val="00644855"/>
    <w:rsid w:val="006452E3"/>
    <w:rsid w:val="0064713A"/>
    <w:rsid w:val="006471BE"/>
    <w:rsid w:val="00647997"/>
    <w:rsid w:val="00650C56"/>
    <w:rsid w:val="00651299"/>
    <w:rsid w:val="00651C96"/>
    <w:rsid w:val="00651EBA"/>
    <w:rsid w:val="006520D0"/>
    <w:rsid w:val="00652858"/>
    <w:rsid w:val="0065312F"/>
    <w:rsid w:val="00655318"/>
    <w:rsid w:val="006558DC"/>
    <w:rsid w:val="00655C1F"/>
    <w:rsid w:val="00656B27"/>
    <w:rsid w:val="00656E01"/>
    <w:rsid w:val="006576FA"/>
    <w:rsid w:val="00657F8B"/>
    <w:rsid w:val="00660401"/>
    <w:rsid w:val="006605DC"/>
    <w:rsid w:val="00660634"/>
    <w:rsid w:val="00660F54"/>
    <w:rsid w:val="006614B0"/>
    <w:rsid w:val="006618FC"/>
    <w:rsid w:val="00663BB7"/>
    <w:rsid w:val="00663D00"/>
    <w:rsid w:val="00663E86"/>
    <w:rsid w:val="00665549"/>
    <w:rsid w:val="00666719"/>
    <w:rsid w:val="006669AF"/>
    <w:rsid w:val="00666F05"/>
    <w:rsid w:val="00666FB6"/>
    <w:rsid w:val="00667E7F"/>
    <w:rsid w:val="006708CC"/>
    <w:rsid w:val="00671B7E"/>
    <w:rsid w:val="006720DB"/>
    <w:rsid w:val="00672A68"/>
    <w:rsid w:val="00673DB1"/>
    <w:rsid w:val="00673E6F"/>
    <w:rsid w:val="00674ABB"/>
    <w:rsid w:val="00675025"/>
    <w:rsid w:val="00675A1B"/>
    <w:rsid w:val="006767BC"/>
    <w:rsid w:val="0068043C"/>
    <w:rsid w:val="00680977"/>
    <w:rsid w:val="006810D7"/>
    <w:rsid w:val="00681B59"/>
    <w:rsid w:val="00681D75"/>
    <w:rsid w:val="0068242E"/>
    <w:rsid w:val="00683255"/>
    <w:rsid w:val="006837D8"/>
    <w:rsid w:val="00684409"/>
    <w:rsid w:val="006849DD"/>
    <w:rsid w:val="00684BAF"/>
    <w:rsid w:val="00685E11"/>
    <w:rsid w:val="0068646D"/>
    <w:rsid w:val="006865D4"/>
    <w:rsid w:val="006875A7"/>
    <w:rsid w:val="00687820"/>
    <w:rsid w:val="00690171"/>
    <w:rsid w:val="006916F8"/>
    <w:rsid w:val="00691FD6"/>
    <w:rsid w:val="0069213B"/>
    <w:rsid w:val="00693A0A"/>
    <w:rsid w:val="00694997"/>
    <w:rsid w:val="00695764"/>
    <w:rsid w:val="006964A4"/>
    <w:rsid w:val="00696784"/>
    <w:rsid w:val="00696EBB"/>
    <w:rsid w:val="00697588"/>
    <w:rsid w:val="00697C3C"/>
    <w:rsid w:val="006A1262"/>
    <w:rsid w:val="006A1F10"/>
    <w:rsid w:val="006A279A"/>
    <w:rsid w:val="006A3CAC"/>
    <w:rsid w:val="006A4BBA"/>
    <w:rsid w:val="006A4D4E"/>
    <w:rsid w:val="006A5211"/>
    <w:rsid w:val="006A6209"/>
    <w:rsid w:val="006A694F"/>
    <w:rsid w:val="006A6C9B"/>
    <w:rsid w:val="006A7287"/>
    <w:rsid w:val="006B00D8"/>
    <w:rsid w:val="006B04D5"/>
    <w:rsid w:val="006B3171"/>
    <w:rsid w:val="006B35AA"/>
    <w:rsid w:val="006B3BE4"/>
    <w:rsid w:val="006B49AE"/>
    <w:rsid w:val="006B576F"/>
    <w:rsid w:val="006B5D6B"/>
    <w:rsid w:val="006B630A"/>
    <w:rsid w:val="006B6403"/>
    <w:rsid w:val="006B6EDF"/>
    <w:rsid w:val="006B6FC9"/>
    <w:rsid w:val="006B7251"/>
    <w:rsid w:val="006B79A4"/>
    <w:rsid w:val="006B7B57"/>
    <w:rsid w:val="006B7DDE"/>
    <w:rsid w:val="006C06CB"/>
    <w:rsid w:val="006C06E4"/>
    <w:rsid w:val="006C1043"/>
    <w:rsid w:val="006C14CE"/>
    <w:rsid w:val="006C1577"/>
    <w:rsid w:val="006C174C"/>
    <w:rsid w:val="006C191C"/>
    <w:rsid w:val="006C4540"/>
    <w:rsid w:val="006C48A0"/>
    <w:rsid w:val="006C5636"/>
    <w:rsid w:val="006C5ACD"/>
    <w:rsid w:val="006C6300"/>
    <w:rsid w:val="006C66DE"/>
    <w:rsid w:val="006C67DC"/>
    <w:rsid w:val="006D1544"/>
    <w:rsid w:val="006D2E65"/>
    <w:rsid w:val="006D36B7"/>
    <w:rsid w:val="006D3A49"/>
    <w:rsid w:val="006D41D4"/>
    <w:rsid w:val="006D48D7"/>
    <w:rsid w:val="006D53AB"/>
    <w:rsid w:val="006D58AA"/>
    <w:rsid w:val="006D5D38"/>
    <w:rsid w:val="006D6337"/>
    <w:rsid w:val="006D77BE"/>
    <w:rsid w:val="006E16F1"/>
    <w:rsid w:val="006E1AAF"/>
    <w:rsid w:val="006E26CA"/>
    <w:rsid w:val="006E294B"/>
    <w:rsid w:val="006E2B1C"/>
    <w:rsid w:val="006E2FA7"/>
    <w:rsid w:val="006E359B"/>
    <w:rsid w:val="006E3D8D"/>
    <w:rsid w:val="006E4530"/>
    <w:rsid w:val="006E5DAA"/>
    <w:rsid w:val="006E5E93"/>
    <w:rsid w:val="006E6BDA"/>
    <w:rsid w:val="006E6E8A"/>
    <w:rsid w:val="006E70AD"/>
    <w:rsid w:val="006E75BF"/>
    <w:rsid w:val="006E7A80"/>
    <w:rsid w:val="006F052F"/>
    <w:rsid w:val="006F09B5"/>
    <w:rsid w:val="006F1213"/>
    <w:rsid w:val="006F1349"/>
    <w:rsid w:val="006F201F"/>
    <w:rsid w:val="006F2C03"/>
    <w:rsid w:val="006F2E70"/>
    <w:rsid w:val="006F3026"/>
    <w:rsid w:val="006F3059"/>
    <w:rsid w:val="006F3378"/>
    <w:rsid w:val="006F34FA"/>
    <w:rsid w:val="006F43CE"/>
    <w:rsid w:val="006F48B3"/>
    <w:rsid w:val="006F48B8"/>
    <w:rsid w:val="006F4E34"/>
    <w:rsid w:val="006F553C"/>
    <w:rsid w:val="006F5924"/>
    <w:rsid w:val="006F6258"/>
    <w:rsid w:val="006F65E1"/>
    <w:rsid w:val="006F6F90"/>
    <w:rsid w:val="006F7422"/>
    <w:rsid w:val="006F7DDD"/>
    <w:rsid w:val="006F7EE0"/>
    <w:rsid w:val="006F7F8E"/>
    <w:rsid w:val="00700042"/>
    <w:rsid w:val="00701552"/>
    <w:rsid w:val="0070158E"/>
    <w:rsid w:val="00701810"/>
    <w:rsid w:val="00701929"/>
    <w:rsid w:val="00702A8B"/>
    <w:rsid w:val="00702CA4"/>
    <w:rsid w:val="00702E50"/>
    <w:rsid w:val="00704FDE"/>
    <w:rsid w:val="00705448"/>
    <w:rsid w:val="0070597E"/>
    <w:rsid w:val="007078C4"/>
    <w:rsid w:val="00711A9B"/>
    <w:rsid w:val="007122EC"/>
    <w:rsid w:val="00712446"/>
    <w:rsid w:val="00714504"/>
    <w:rsid w:val="00715D2C"/>
    <w:rsid w:val="00715D4C"/>
    <w:rsid w:val="0071742A"/>
    <w:rsid w:val="00717685"/>
    <w:rsid w:val="00717BA6"/>
    <w:rsid w:val="00720B84"/>
    <w:rsid w:val="007219B9"/>
    <w:rsid w:val="00722E97"/>
    <w:rsid w:val="00723AB5"/>
    <w:rsid w:val="00723F58"/>
    <w:rsid w:val="00726162"/>
    <w:rsid w:val="0073085C"/>
    <w:rsid w:val="00730E8F"/>
    <w:rsid w:val="00731D48"/>
    <w:rsid w:val="007330D2"/>
    <w:rsid w:val="00733153"/>
    <w:rsid w:val="00733DA5"/>
    <w:rsid w:val="00733FEB"/>
    <w:rsid w:val="007340AB"/>
    <w:rsid w:val="00734484"/>
    <w:rsid w:val="0073451B"/>
    <w:rsid w:val="00735151"/>
    <w:rsid w:val="00735B5F"/>
    <w:rsid w:val="007365AA"/>
    <w:rsid w:val="007370E2"/>
    <w:rsid w:val="0073770B"/>
    <w:rsid w:val="0074022A"/>
    <w:rsid w:val="00741F35"/>
    <w:rsid w:val="00741FBC"/>
    <w:rsid w:val="00742076"/>
    <w:rsid w:val="007423C9"/>
    <w:rsid w:val="007438AA"/>
    <w:rsid w:val="00743B0C"/>
    <w:rsid w:val="0074440B"/>
    <w:rsid w:val="007446F0"/>
    <w:rsid w:val="0074509A"/>
    <w:rsid w:val="00745136"/>
    <w:rsid w:val="007458D2"/>
    <w:rsid w:val="0074594F"/>
    <w:rsid w:val="00745A15"/>
    <w:rsid w:val="00745DD2"/>
    <w:rsid w:val="00746A57"/>
    <w:rsid w:val="0075080F"/>
    <w:rsid w:val="007509F7"/>
    <w:rsid w:val="0075125D"/>
    <w:rsid w:val="00751354"/>
    <w:rsid w:val="007551DB"/>
    <w:rsid w:val="00756909"/>
    <w:rsid w:val="00756E3B"/>
    <w:rsid w:val="00760048"/>
    <w:rsid w:val="0076093C"/>
    <w:rsid w:val="00760D10"/>
    <w:rsid w:val="007618C9"/>
    <w:rsid w:val="00762108"/>
    <w:rsid w:val="00762886"/>
    <w:rsid w:val="00763387"/>
    <w:rsid w:val="007668AD"/>
    <w:rsid w:val="00766A55"/>
    <w:rsid w:val="007675D2"/>
    <w:rsid w:val="00770949"/>
    <w:rsid w:val="00770E38"/>
    <w:rsid w:val="00770F1F"/>
    <w:rsid w:val="00771953"/>
    <w:rsid w:val="0077254F"/>
    <w:rsid w:val="007732C6"/>
    <w:rsid w:val="007739CD"/>
    <w:rsid w:val="00773C20"/>
    <w:rsid w:val="00773D81"/>
    <w:rsid w:val="007751DE"/>
    <w:rsid w:val="00775501"/>
    <w:rsid w:val="00775CC4"/>
    <w:rsid w:val="00776354"/>
    <w:rsid w:val="00776AF3"/>
    <w:rsid w:val="0077792F"/>
    <w:rsid w:val="0078133D"/>
    <w:rsid w:val="0078191D"/>
    <w:rsid w:val="007819B5"/>
    <w:rsid w:val="00781C6B"/>
    <w:rsid w:val="00781E34"/>
    <w:rsid w:val="00781EC4"/>
    <w:rsid w:val="007822E3"/>
    <w:rsid w:val="0078258B"/>
    <w:rsid w:val="007825B6"/>
    <w:rsid w:val="00783297"/>
    <w:rsid w:val="007837B4"/>
    <w:rsid w:val="007841F2"/>
    <w:rsid w:val="00784454"/>
    <w:rsid w:val="007849D8"/>
    <w:rsid w:val="0078558F"/>
    <w:rsid w:val="00785785"/>
    <w:rsid w:val="00786B24"/>
    <w:rsid w:val="00790969"/>
    <w:rsid w:val="00791DED"/>
    <w:rsid w:val="0079230F"/>
    <w:rsid w:val="00792AA8"/>
    <w:rsid w:val="00792E29"/>
    <w:rsid w:val="00793997"/>
    <w:rsid w:val="00793AAE"/>
    <w:rsid w:val="00793BFC"/>
    <w:rsid w:val="00794972"/>
    <w:rsid w:val="00796504"/>
    <w:rsid w:val="007967D0"/>
    <w:rsid w:val="007968C3"/>
    <w:rsid w:val="00796EE7"/>
    <w:rsid w:val="00797022"/>
    <w:rsid w:val="007971FB"/>
    <w:rsid w:val="007977B7"/>
    <w:rsid w:val="007A02B1"/>
    <w:rsid w:val="007A0C5D"/>
    <w:rsid w:val="007A3ABE"/>
    <w:rsid w:val="007A4099"/>
    <w:rsid w:val="007A4245"/>
    <w:rsid w:val="007A43FD"/>
    <w:rsid w:val="007A489C"/>
    <w:rsid w:val="007A4CB0"/>
    <w:rsid w:val="007A5B4F"/>
    <w:rsid w:val="007A5B52"/>
    <w:rsid w:val="007A62C3"/>
    <w:rsid w:val="007A6D9C"/>
    <w:rsid w:val="007A794B"/>
    <w:rsid w:val="007B12EB"/>
    <w:rsid w:val="007B1A08"/>
    <w:rsid w:val="007B32EC"/>
    <w:rsid w:val="007B4102"/>
    <w:rsid w:val="007B4930"/>
    <w:rsid w:val="007B548B"/>
    <w:rsid w:val="007B651A"/>
    <w:rsid w:val="007B6648"/>
    <w:rsid w:val="007B6669"/>
    <w:rsid w:val="007B717B"/>
    <w:rsid w:val="007C0C88"/>
    <w:rsid w:val="007C15A4"/>
    <w:rsid w:val="007C2BD5"/>
    <w:rsid w:val="007C311B"/>
    <w:rsid w:val="007C36BC"/>
    <w:rsid w:val="007C3F76"/>
    <w:rsid w:val="007C506B"/>
    <w:rsid w:val="007C77D3"/>
    <w:rsid w:val="007C7C99"/>
    <w:rsid w:val="007D01FA"/>
    <w:rsid w:val="007D0986"/>
    <w:rsid w:val="007D18D6"/>
    <w:rsid w:val="007D479D"/>
    <w:rsid w:val="007D5178"/>
    <w:rsid w:val="007D59A7"/>
    <w:rsid w:val="007D5A37"/>
    <w:rsid w:val="007D642D"/>
    <w:rsid w:val="007D698B"/>
    <w:rsid w:val="007D6AB9"/>
    <w:rsid w:val="007D7963"/>
    <w:rsid w:val="007D7BB6"/>
    <w:rsid w:val="007D7C26"/>
    <w:rsid w:val="007E06C7"/>
    <w:rsid w:val="007E106C"/>
    <w:rsid w:val="007E178D"/>
    <w:rsid w:val="007E2C13"/>
    <w:rsid w:val="007E3230"/>
    <w:rsid w:val="007E3B54"/>
    <w:rsid w:val="007E5D15"/>
    <w:rsid w:val="007E5D35"/>
    <w:rsid w:val="007E65AA"/>
    <w:rsid w:val="007E7770"/>
    <w:rsid w:val="007F09B9"/>
    <w:rsid w:val="007F18C1"/>
    <w:rsid w:val="007F2518"/>
    <w:rsid w:val="007F2875"/>
    <w:rsid w:val="007F35FD"/>
    <w:rsid w:val="007F4448"/>
    <w:rsid w:val="007F52A6"/>
    <w:rsid w:val="007F5789"/>
    <w:rsid w:val="007F5A10"/>
    <w:rsid w:val="007F675F"/>
    <w:rsid w:val="007F68DA"/>
    <w:rsid w:val="007F6A64"/>
    <w:rsid w:val="007F7346"/>
    <w:rsid w:val="0080049D"/>
    <w:rsid w:val="008004E7"/>
    <w:rsid w:val="00801588"/>
    <w:rsid w:val="008015B8"/>
    <w:rsid w:val="00802421"/>
    <w:rsid w:val="00802694"/>
    <w:rsid w:val="0080276C"/>
    <w:rsid w:val="00802A11"/>
    <w:rsid w:val="00802F5B"/>
    <w:rsid w:val="00802F65"/>
    <w:rsid w:val="0080395B"/>
    <w:rsid w:val="00804BE8"/>
    <w:rsid w:val="00804EF9"/>
    <w:rsid w:val="008060C8"/>
    <w:rsid w:val="00806723"/>
    <w:rsid w:val="00810F3F"/>
    <w:rsid w:val="00810F5C"/>
    <w:rsid w:val="00810FC4"/>
    <w:rsid w:val="008119EC"/>
    <w:rsid w:val="00812723"/>
    <w:rsid w:val="0081305B"/>
    <w:rsid w:val="00813B1E"/>
    <w:rsid w:val="00813F75"/>
    <w:rsid w:val="00814A6A"/>
    <w:rsid w:val="00814ED4"/>
    <w:rsid w:val="008152E3"/>
    <w:rsid w:val="0081557C"/>
    <w:rsid w:val="008159B1"/>
    <w:rsid w:val="00816227"/>
    <w:rsid w:val="0081792F"/>
    <w:rsid w:val="00817989"/>
    <w:rsid w:val="00817A6D"/>
    <w:rsid w:val="00820282"/>
    <w:rsid w:val="00820584"/>
    <w:rsid w:val="00820CE3"/>
    <w:rsid w:val="0082117F"/>
    <w:rsid w:val="0082162B"/>
    <w:rsid w:val="00821824"/>
    <w:rsid w:val="00821DAE"/>
    <w:rsid w:val="00822507"/>
    <w:rsid w:val="00824030"/>
    <w:rsid w:val="00824680"/>
    <w:rsid w:val="00824C50"/>
    <w:rsid w:val="008251E5"/>
    <w:rsid w:val="00825851"/>
    <w:rsid w:val="00825A39"/>
    <w:rsid w:val="0082619C"/>
    <w:rsid w:val="00827C12"/>
    <w:rsid w:val="00830533"/>
    <w:rsid w:val="00831A0D"/>
    <w:rsid w:val="008337A3"/>
    <w:rsid w:val="008348DE"/>
    <w:rsid w:val="00834F92"/>
    <w:rsid w:val="008357E4"/>
    <w:rsid w:val="00836AD2"/>
    <w:rsid w:val="00836EBD"/>
    <w:rsid w:val="00836F61"/>
    <w:rsid w:val="008375CC"/>
    <w:rsid w:val="00837E62"/>
    <w:rsid w:val="008401FD"/>
    <w:rsid w:val="00840989"/>
    <w:rsid w:val="0084126B"/>
    <w:rsid w:val="008415CC"/>
    <w:rsid w:val="00842862"/>
    <w:rsid w:val="00843D5D"/>
    <w:rsid w:val="00843F34"/>
    <w:rsid w:val="008440C4"/>
    <w:rsid w:val="00845199"/>
    <w:rsid w:val="0084569B"/>
    <w:rsid w:val="008472A5"/>
    <w:rsid w:val="008477DC"/>
    <w:rsid w:val="00847DFE"/>
    <w:rsid w:val="00847F47"/>
    <w:rsid w:val="00850416"/>
    <w:rsid w:val="0085079B"/>
    <w:rsid w:val="00850C03"/>
    <w:rsid w:val="00851111"/>
    <w:rsid w:val="008525CF"/>
    <w:rsid w:val="00852D3D"/>
    <w:rsid w:val="00853AF0"/>
    <w:rsid w:val="008542CC"/>
    <w:rsid w:val="00855A58"/>
    <w:rsid w:val="0085628F"/>
    <w:rsid w:val="0085689C"/>
    <w:rsid w:val="008577FD"/>
    <w:rsid w:val="0086053E"/>
    <w:rsid w:val="00860855"/>
    <w:rsid w:val="0086095B"/>
    <w:rsid w:val="00860973"/>
    <w:rsid w:val="00860B77"/>
    <w:rsid w:val="0086183E"/>
    <w:rsid w:val="0086284A"/>
    <w:rsid w:val="00862FC1"/>
    <w:rsid w:val="008630A5"/>
    <w:rsid w:val="00863176"/>
    <w:rsid w:val="00863691"/>
    <w:rsid w:val="008648B5"/>
    <w:rsid w:val="00865474"/>
    <w:rsid w:val="0086641A"/>
    <w:rsid w:val="0086646F"/>
    <w:rsid w:val="0086649B"/>
    <w:rsid w:val="008678A1"/>
    <w:rsid w:val="00867F68"/>
    <w:rsid w:val="008705CB"/>
    <w:rsid w:val="008712AD"/>
    <w:rsid w:val="00871AA2"/>
    <w:rsid w:val="008730B6"/>
    <w:rsid w:val="008737D3"/>
    <w:rsid w:val="00873CC6"/>
    <w:rsid w:val="00873FFB"/>
    <w:rsid w:val="00874B24"/>
    <w:rsid w:val="00875CF3"/>
    <w:rsid w:val="00876887"/>
    <w:rsid w:val="00876918"/>
    <w:rsid w:val="008770E3"/>
    <w:rsid w:val="00877362"/>
    <w:rsid w:val="00877CBF"/>
    <w:rsid w:val="0088094B"/>
    <w:rsid w:val="00882D53"/>
    <w:rsid w:val="00882D96"/>
    <w:rsid w:val="00883437"/>
    <w:rsid w:val="008834C5"/>
    <w:rsid w:val="00883C24"/>
    <w:rsid w:val="0088424B"/>
    <w:rsid w:val="008849B9"/>
    <w:rsid w:val="00885288"/>
    <w:rsid w:val="008853F8"/>
    <w:rsid w:val="008857DB"/>
    <w:rsid w:val="00886077"/>
    <w:rsid w:val="008874BC"/>
    <w:rsid w:val="00887DD1"/>
    <w:rsid w:val="00891C10"/>
    <w:rsid w:val="00891D7B"/>
    <w:rsid w:val="008923E5"/>
    <w:rsid w:val="00892FD2"/>
    <w:rsid w:val="00893659"/>
    <w:rsid w:val="00894F3D"/>
    <w:rsid w:val="008953BD"/>
    <w:rsid w:val="0089778D"/>
    <w:rsid w:val="00897A59"/>
    <w:rsid w:val="00897DD8"/>
    <w:rsid w:val="008A158B"/>
    <w:rsid w:val="008A292F"/>
    <w:rsid w:val="008A4628"/>
    <w:rsid w:val="008A51DB"/>
    <w:rsid w:val="008A585C"/>
    <w:rsid w:val="008A5B0A"/>
    <w:rsid w:val="008A619E"/>
    <w:rsid w:val="008A6D6C"/>
    <w:rsid w:val="008A722F"/>
    <w:rsid w:val="008A7CB0"/>
    <w:rsid w:val="008B1A72"/>
    <w:rsid w:val="008B20E7"/>
    <w:rsid w:val="008B2299"/>
    <w:rsid w:val="008B2EAC"/>
    <w:rsid w:val="008B47CB"/>
    <w:rsid w:val="008B48AE"/>
    <w:rsid w:val="008B4E6A"/>
    <w:rsid w:val="008B54F4"/>
    <w:rsid w:val="008B5F9A"/>
    <w:rsid w:val="008B675C"/>
    <w:rsid w:val="008B676A"/>
    <w:rsid w:val="008B69C3"/>
    <w:rsid w:val="008B6A6C"/>
    <w:rsid w:val="008C15BB"/>
    <w:rsid w:val="008C1AAB"/>
    <w:rsid w:val="008C241A"/>
    <w:rsid w:val="008C28E5"/>
    <w:rsid w:val="008C3C68"/>
    <w:rsid w:val="008C419F"/>
    <w:rsid w:val="008C4458"/>
    <w:rsid w:val="008C46E1"/>
    <w:rsid w:val="008C4E5F"/>
    <w:rsid w:val="008C4ECE"/>
    <w:rsid w:val="008C57D4"/>
    <w:rsid w:val="008C6754"/>
    <w:rsid w:val="008C6771"/>
    <w:rsid w:val="008C6C82"/>
    <w:rsid w:val="008C7792"/>
    <w:rsid w:val="008D0B43"/>
    <w:rsid w:val="008D15F7"/>
    <w:rsid w:val="008D163E"/>
    <w:rsid w:val="008D1943"/>
    <w:rsid w:val="008D1BDC"/>
    <w:rsid w:val="008D1FDE"/>
    <w:rsid w:val="008D2CC4"/>
    <w:rsid w:val="008D3105"/>
    <w:rsid w:val="008D336D"/>
    <w:rsid w:val="008D351D"/>
    <w:rsid w:val="008D3E8F"/>
    <w:rsid w:val="008D4DBA"/>
    <w:rsid w:val="008D5E84"/>
    <w:rsid w:val="008D5F4F"/>
    <w:rsid w:val="008D6CFA"/>
    <w:rsid w:val="008D7021"/>
    <w:rsid w:val="008E12D8"/>
    <w:rsid w:val="008E1C45"/>
    <w:rsid w:val="008E22CC"/>
    <w:rsid w:val="008E242E"/>
    <w:rsid w:val="008E3473"/>
    <w:rsid w:val="008E54E6"/>
    <w:rsid w:val="008E625A"/>
    <w:rsid w:val="008E647B"/>
    <w:rsid w:val="008E79E9"/>
    <w:rsid w:val="008E7B61"/>
    <w:rsid w:val="008E7D25"/>
    <w:rsid w:val="008E7D66"/>
    <w:rsid w:val="008E7F32"/>
    <w:rsid w:val="008F0493"/>
    <w:rsid w:val="008F08DD"/>
    <w:rsid w:val="008F10C3"/>
    <w:rsid w:val="008F20C3"/>
    <w:rsid w:val="008F2361"/>
    <w:rsid w:val="008F2495"/>
    <w:rsid w:val="008F2A77"/>
    <w:rsid w:val="008F353C"/>
    <w:rsid w:val="008F3AE2"/>
    <w:rsid w:val="008F3C66"/>
    <w:rsid w:val="008F43E9"/>
    <w:rsid w:val="008F4C97"/>
    <w:rsid w:val="008F50C8"/>
    <w:rsid w:val="008F5413"/>
    <w:rsid w:val="008F5F61"/>
    <w:rsid w:val="008F6221"/>
    <w:rsid w:val="008F64B0"/>
    <w:rsid w:val="008F722B"/>
    <w:rsid w:val="008F777B"/>
    <w:rsid w:val="008F7B4B"/>
    <w:rsid w:val="008F7CCE"/>
    <w:rsid w:val="0090043D"/>
    <w:rsid w:val="009004F3"/>
    <w:rsid w:val="009006D1"/>
    <w:rsid w:val="00900EDB"/>
    <w:rsid w:val="00901BC5"/>
    <w:rsid w:val="00901DEE"/>
    <w:rsid w:val="00902000"/>
    <w:rsid w:val="009036D3"/>
    <w:rsid w:val="009046AD"/>
    <w:rsid w:val="00905E7D"/>
    <w:rsid w:val="00906353"/>
    <w:rsid w:val="009064E2"/>
    <w:rsid w:val="00906D58"/>
    <w:rsid w:val="009077C7"/>
    <w:rsid w:val="00910402"/>
    <w:rsid w:val="0091073B"/>
    <w:rsid w:val="0091220E"/>
    <w:rsid w:val="00912E29"/>
    <w:rsid w:val="009133DB"/>
    <w:rsid w:val="0091414F"/>
    <w:rsid w:val="009142C9"/>
    <w:rsid w:val="0091465A"/>
    <w:rsid w:val="009146B4"/>
    <w:rsid w:val="00914EFB"/>
    <w:rsid w:val="009155B9"/>
    <w:rsid w:val="00916DD9"/>
    <w:rsid w:val="00917D3D"/>
    <w:rsid w:val="00920216"/>
    <w:rsid w:val="00920463"/>
    <w:rsid w:val="00920622"/>
    <w:rsid w:val="009207D4"/>
    <w:rsid w:val="00922BEB"/>
    <w:rsid w:val="009231E5"/>
    <w:rsid w:val="009233AF"/>
    <w:rsid w:val="009233EF"/>
    <w:rsid w:val="009234D7"/>
    <w:rsid w:val="009238C7"/>
    <w:rsid w:val="00923B7E"/>
    <w:rsid w:val="00923D68"/>
    <w:rsid w:val="009245CA"/>
    <w:rsid w:val="0092465B"/>
    <w:rsid w:val="009248AB"/>
    <w:rsid w:val="00924A56"/>
    <w:rsid w:val="00926CE5"/>
    <w:rsid w:val="00926E4D"/>
    <w:rsid w:val="00927856"/>
    <w:rsid w:val="00927F66"/>
    <w:rsid w:val="00930164"/>
    <w:rsid w:val="00930507"/>
    <w:rsid w:val="00930533"/>
    <w:rsid w:val="009320AF"/>
    <w:rsid w:val="0093352D"/>
    <w:rsid w:val="00934972"/>
    <w:rsid w:val="00935427"/>
    <w:rsid w:val="0093554A"/>
    <w:rsid w:val="00936588"/>
    <w:rsid w:val="00936D84"/>
    <w:rsid w:val="00937525"/>
    <w:rsid w:val="00937663"/>
    <w:rsid w:val="009376FF"/>
    <w:rsid w:val="00940070"/>
    <w:rsid w:val="00940185"/>
    <w:rsid w:val="00940BCD"/>
    <w:rsid w:val="009411F2"/>
    <w:rsid w:val="00941279"/>
    <w:rsid w:val="0094139C"/>
    <w:rsid w:val="00942EAA"/>
    <w:rsid w:val="0094341E"/>
    <w:rsid w:val="00943BE2"/>
    <w:rsid w:val="00943C59"/>
    <w:rsid w:val="00943ED8"/>
    <w:rsid w:val="00944255"/>
    <w:rsid w:val="00945370"/>
    <w:rsid w:val="00945A18"/>
    <w:rsid w:val="00945A97"/>
    <w:rsid w:val="009462D5"/>
    <w:rsid w:val="009511A0"/>
    <w:rsid w:val="00951A35"/>
    <w:rsid w:val="00951DCB"/>
    <w:rsid w:val="00952061"/>
    <w:rsid w:val="009524E6"/>
    <w:rsid w:val="0095253F"/>
    <w:rsid w:val="00952EEE"/>
    <w:rsid w:val="0095439D"/>
    <w:rsid w:val="0095456C"/>
    <w:rsid w:val="009547B3"/>
    <w:rsid w:val="00955508"/>
    <w:rsid w:val="00956905"/>
    <w:rsid w:val="00956E1D"/>
    <w:rsid w:val="0095741F"/>
    <w:rsid w:val="009611B4"/>
    <w:rsid w:val="009614C6"/>
    <w:rsid w:val="009620E7"/>
    <w:rsid w:val="00962BFB"/>
    <w:rsid w:val="00962CE4"/>
    <w:rsid w:val="00962D3C"/>
    <w:rsid w:val="00962E1C"/>
    <w:rsid w:val="0096349D"/>
    <w:rsid w:val="00963AB6"/>
    <w:rsid w:val="0096438C"/>
    <w:rsid w:val="00964954"/>
    <w:rsid w:val="00964C1A"/>
    <w:rsid w:val="00965079"/>
    <w:rsid w:val="009659BD"/>
    <w:rsid w:val="00965ACA"/>
    <w:rsid w:val="00966567"/>
    <w:rsid w:val="00966D34"/>
    <w:rsid w:val="00966DA1"/>
    <w:rsid w:val="00966DEC"/>
    <w:rsid w:val="0096771C"/>
    <w:rsid w:val="00967FED"/>
    <w:rsid w:val="009704D8"/>
    <w:rsid w:val="00971A52"/>
    <w:rsid w:val="00972648"/>
    <w:rsid w:val="00973A74"/>
    <w:rsid w:val="00974962"/>
    <w:rsid w:val="00975E9B"/>
    <w:rsid w:val="009762A5"/>
    <w:rsid w:val="0097673B"/>
    <w:rsid w:val="00976D52"/>
    <w:rsid w:val="0097720C"/>
    <w:rsid w:val="0098196A"/>
    <w:rsid w:val="0098263C"/>
    <w:rsid w:val="0098283C"/>
    <w:rsid w:val="009829C9"/>
    <w:rsid w:val="009832B5"/>
    <w:rsid w:val="00983605"/>
    <w:rsid w:val="009837DC"/>
    <w:rsid w:val="00983919"/>
    <w:rsid w:val="009842EE"/>
    <w:rsid w:val="00984B82"/>
    <w:rsid w:val="0098541A"/>
    <w:rsid w:val="00985C71"/>
    <w:rsid w:val="00987C7D"/>
    <w:rsid w:val="00990380"/>
    <w:rsid w:val="0099086E"/>
    <w:rsid w:val="009921DB"/>
    <w:rsid w:val="009922CD"/>
    <w:rsid w:val="00992340"/>
    <w:rsid w:val="00993247"/>
    <w:rsid w:val="00993392"/>
    <w:rsid w:val="009935B9"/>
    <w:rsid w:val="009940EF"/>
    <w:rsid w:val="00994A8D"/>
    <w:rsid w:val="00994D06"/>
    <w:rsid w:val="009954DD"/>
    <w:rsid w:val="00995746"/>
    <w:rsid w:val="00995E75"/>
    <w:rsid w:val="0099634F"/>
    <w:rsid w:val="00997CF0"/>
    <w:rsid w:val="00997DBE"/>
    <w:rsid w:val="009A0B37"/>
    <w:rsid w:val="009A0BBC"/>
    <w:rsid w:val="009A0E84"/>
    <w:rsid w:val="009A3174"/>
    <w:rsid w:val="009A35D4"/>
    <w:rsid w:val="009A379A"/>
    <w:rsid w:val="009A3E20"/>
    <w:rsid w:val="009A49C4"/>
    <w:rsid w:val="009A55FC"/>
    <w:rsid w:val="009A5A63"/>
    <w:rsid w:val="009A5AFD"/>
    <w:rsid w:val="009A5C55"/>
    <w:rsid w:val="009A5CC0"/>
    <w:rsid w:val="009A5D94"/>
    <w:rsid w:val="009A6EFD"/>
    <w:rsid w:val="009A7AE5"/>
    <w:rsid w:val="009B091F"/>
    <w:rsid w:val="009B0A28"/>
    <w:rsid w:val="009B152A"/>
    <w:rsid w:val="009B1C3B"/>
    <w:rsid w:val="009B292E"/>
    <w:rsid w:val="009B3322"/>
    <w:rsid w:val="009B3327"/>
    <w:rsid w:val="009B39DC"/>
    <w:rsid w:val="009B4C2C"/>
    <w:rsid w:val="009B523C"/>
    <w:rsid w:val="009B61E7"/>
    <w:rsid w:val="009B681C"/>
    <w:rsid w:val="009B6FBA"/>
    <w:rsid w:val="009B77CA"/>
    <w:rsid w:val="009C1020"/>
    <w:rsid w:val="009C189A"/>
    <w:rsid w:val="009C2649"/>
    <w:rsid w:val="009C2E88"/>
    <w:rsid w:val="009C3B1F"/>
    <w:rsid w:val="009C3CF7"/>
    <w:rsid w:val="009C4055"/>
    <w:rsid w:val="009C40C7"/>
    <w:rsid w:val="009C5C32"/>
    <w:rsid w:val="009C62BB"/>
    <w:rsid w:val="009C64F7"/>
    <w:rsid w:val="009C6E1C"/>
    <w:rsid w:val="009C6E72"/>
    <w:rsid w:val="009C6FC7"/>
    <w:rsid w:val="009C7AB6"/>
    <w:rsid w:val="009C7DBB"/>
    <w:rsid w:val="009D0974"/>
    <w:rsid w:val="009D0F45"/>
    <w:rsid w:val="009D1522"/>
    <w:rsid w:val="009D2A41"/>
    <w:rsid w:val="009D30E3"/>
    <w:rsid w:val="009D32DB"/>
    <w:rsid w:val="009D3C3F"/>
    <w:rsid w:val="009D4D67"/>
    <w:rsid w:val="009D4F16"/>
    <w:rsid w:val="009D549A"/>
    <w:rsid w:val="009D560F"/>
    <w:rsid w:val="009D635B"/>
    <w:rsid w:val="009D66DC"/>
    <w:rsid w:val="009D7364"/>
    <w:rsid w:val="009D7458"/>
    <w:rsid w:val="009D7D44"/>
    <w:rsid w:val="009D7F6F"/>
    <w:rsid w:val="009E0393"/>
    <w:rsid w:val="009E07D3"/>
    <w:rsid w:val="009E07F7"/>
    <w:rsid w:val="009E08C9"/>
    <w:rsid w:val="009E1CB3"/>
    <w:rsid w:val="009E26A6"/>
    <w:rsid w:val="009E4EE6"/>
    <w:rsid w:val="009E5911"/>
    <w:rsid w:val="009E63F9"/>
    <w:rsid w:val="009E6D61"/>
    <w:rsid w:val="009E7AAE"/>
    <w:rsid w:val="009F06F2"/>
    <w:rsid w:val="009F0759"/>
    <w:rsid w:val="009F0D51"/>
    <w:rsid w:val="009F1059"/>
    <w:rsid w:val="009F122D"/>
    <w:rsid w:val="009F1280"/>
    <w:rsid w:val="009F635E"/>
    <w:rsid w:val="009F690A"/>
    <w:rsid w:val="009F6BB9"/>
    <w:rsid w:val="009F6F88"/>
    <w:rsid w:val="009F7105"/>
    <w:rsid w:val="00A00D28"/>
    <w:rsid w:val="00A013E9"/>
    <w:rsid w:val="00A02175"/>
    <w:rsid w:val="00A02449"/>
    <w:rsid w:val="00A02AA8"/>
    <w:rsid w:val="00A02C5D"/>
    <w:rsid w:val="00A034F8"/>
    <w:rsid w:val="00A038DD"/>
    <w:rsid w:val="00A041C8"/>
    <w:rsid w:val="00A067D1"/>
    <w:rsid w:val="00A06E78"/>
    <w:rsid w:val="00A070D5"/>
    <w:rsid w:val="00A07961"/>
    <w:rsid w:val="00A07A9F"/>
    <w:rsid w:val="00A102E3"/>
    <w:rsid w:val="00A1240A"/>
    <w:rsid w:val="00A12AD0"/>
    <w:rsid w:val="00A13055"/>
    <w:rsid w:val="00A13506"/>
    <w:rsid w:val="00A140D3"/>
    <w:rsid w:val="00A1446B"/>
    <w:rsid w:val="00A14CFD"/>
    <w:rsid w:val="00A14E17"/>
    <w:rsid w:val="00A14E9F"/>
    <w:rsid w:val="00A154B8"/>
    <w:rsid w:val="00A15A8D"/>
    <w:rsid w:val="00A16461"/>
    <w:rsid w:val="00A167F2"/>
    <w:rsid w:val="00A176E8"/>
    <w:rsid w:val="00A17EFE"/>
    <w:rsid w:val="00A20C78"/>
    <w:rsid w:val="00A21A62"/>
    <w:rsid w:val="00A21F03"/>
    <w:rsid w:val="00A227C2"/>
    <w:rsid w:val="00A2312E"/>
    <w:rsid w:val="00A2330D"/>
    <w:rsid w:val="00A23CA3"/>
    <w:rsid w:val="00A24323"/>
    <w:rsid w:val="00A24E2A"/>
    <w:rsid w:val="00A2512C"/>
    <w:rsid w:val="00A2515B"/>
    <w:rsid w:val="00A2588E"/>
    <w:rsid w:val="00A26EDF"/>
    <w:rsid w:val="00A30F60"/>
    <w:rsid w:val="00A3198F"/>
    <w:rsid w:val="00A319CE"/>
    <w:rsid w:val="00A32865"/>
    <w:rsid w:val="00A32E6C"/>
    <w:rsid w:val="00A335F3"/>
    <w:rsid w:val="00A344DF"/>
    <w:rsid w:val="00A34789"/>
    <w:rsid w:val="00A3486A"/>
    <w:rsid w:val="00A3496C"/>
    <w:rsid w:val="00A35AAF"/>
    <w:rsid w:val="00A35B7C"/>
    <w:rsid w:val="00A3630E"/>
    <w:rsid w:val="00A36DD6"/>
    <w:rsid w:val="00A36F0C"/>
    <w:rsid w:val="00A37BB8"/>
    <w:rsid w:val="00A4007D"/>
    <w:rsid w:val="00A41201"/>
    <w:rsid w:val="00A4135B"/>
    <w:rsid w:val="00A41FF8"/>
    <w:rsid w:val="00A42431"/>
    <w:rsid w:val="00A42D87"/>
    <w:rsid w:val="00A42D9D"/>
    <w:rsid w:val="00A43338"/>
    <w:rsid w:val="00A4386E"/>
    <w:rsid w:val="00A43A9E"/>
    <w:rsid w:val="00A43DAD"/>
    <w:rsid w:val="00A43E70"/>
    <w:rsid w:val="00A43FFA"/>
    <w:rsid w:val="00A4449F"/>
    <w:rsid w:val="00A44BD3"/>
    <w:rsid w:val="00A4521D"/>
    <w:rsid w:val="00A4579C"/>
    <w:rsid w:val="00A45C26"/>
    <w:rsid w:val="00A4654E"/>
    <w:rsid w:val="00A46D6F"/>
    <w:rsid w:val="00A47A63"/>
    <w:rsid w:val="00A47D19"/>
    <w:rsid w:val="00A50655"/>
    <w:rsid w:val="00A51554"/>
    <w:rsid w:val="00A51826"/>
    <w:rsid w:val="00A51F0A"/>
    <w:rsid w:val="00A5301E"/>
    <w:rsid w:val="00A53413"/>
    <w:rsid w:val="00A5353B"/>
    <w:rsid w:val="00A5384F"/>
    <w:rsid w:val="00A53959"/>
    <w:rsid w:val="00A54277"/>
    <w:rsid w:val="00A543F1"/>
    <w:rsid w:val="00A54DE9"/>
    <w:rsid w:val="00A54E7B"/>
    <w:rsid w:val="00A54EF2"/>
    <w:rsid w:val="00A54EF3"/>
    <w:rsid w:val="00A55D48"/>
    <w:rsid w:val="00A574AB"/>
    <w:rsid w:val="00A57BEB"/>
    <w:rsid w:val="00A57E48"/>
    <w:rsid w:val="00A60CB2"/>
    <w:rsid w:val="00A60CEA"/>
    <w:rsid w:val="00A61673"/>
    <w:rsid w:val="00A61DFF"/>
    <w:rsid w:val="00A6318E"/>
    <w:rsid w:val="00A64215"/>
    <w:rsid w:val="00A64803"/>
    <w:rsid w:val="00A64926"/>
    <w:rsid w:val="00A65263"/>
    <w:rsid w:val="00A652AE"/>
    <w:rsid w:val="00A655AF"/>
    <w:rsid w:val="00A66179"/>
    <w:rsid w:val="00A662B0"/>
    <w:rsid w:val="00A665CF"/>
    <w:rsid w:val="00A66724"/>
    <w:rsid w:val="00A67CA7"/>
    <w:rsid w:val="00A700CE"/>
    <w:rsid w:val="00A71D54"/>
    <w:rsid w:val="00A71E4B"/>
    <w:rsid w:val="00A732A8"/>
    <w:rsid w:val="00A73901"/>
    <w:rsid w:val="00A73989"/>
    <w:rsid w:val="00A73E1C"/>
    <w:rsid w:val="00A744B8"/>
    <w:rsid w:val="00A74FFF"/>
    <w:rsid w:val="00A76012"/>
    <w:rsid w:val="00A763A2"/>
    <w:rsid w:val="00A76869"/>
    <w:rsid w:val="00A7694C"/>
    <w:rsid w:val="00A76987"/>
    <w:rsid w:val="00A769F3"/>
    <w:rsid w:val="00A76E34"/>
    <w:rsid w:val="00A77253"/>
    <w:rsid w:val="00A7752F"/>
    <w:rsid w:val="00A7790B"/>
    <w:rsid w:val="00A80C38"/>
    <w:rsid w:val="00A81691"/>
    <w:rsid w:val="00A82E62"/>
    <w:rsid w:val="00A8337E"/>
    <w:rsid w:val="00A8451D"/>
    <w:rsid w:val="00A84B62"/>
    <w:rsid w:val="00A856AD"/>
    <w:rsid w:val="00A85744"/>
    <w:rsid w:val="00A85C35"/>
    <w:rsid w:val="00A874A4"/>
    <w:rsid w:val="00A87CD8"/>
    <w:rsid w:val="00A90AD1"/>
    <w:rsid w:val="00A90B0F"/>
    <w:rsid w:val="00A91059"/>
    <w:rsid w:val="00A910AF"/>
    <w:rsid w:val="00A91E83"/>
    <w:rsid w:val="00A91F76"/>
    <w:rsid w:val="00A92061"/>
    <w:rsid w:val="00A92998"/>
    <w:rsid w:val="00A93CEA"/>
    <w:rsid w:val="00A94249"/>
    <w:rsid w:val="00A94962"/>
    <w:rsid w:val="00A94BC9"/>
    <w:rsid w:val="00A959BC"/>
    <w:rsid w:val="00A9657D"/>
    <w:rsid w:val="00A96AA4"/>
    <w:rsid w:val="00A979E8"/>
    <w:rsid w:val="00AA03EA"/>
    <w:rsid w:val="00AA05E4"/>
    <w:rsid w:val="00AA126A"/>
    <w:rsid w:val="00AA16AC"/>
    <w:rsid w:val="00AA2335"/>
    <w:rsid w:val="00AA2731"/>
    <w:rsid w:val="00AA2BBC"/>
    <w:rsid w:val="00AA3801"/>
    <w:rsid w:val="00AA3C60"/>
    <w:rsid w:val="00AA547B"/>
    <w:rsid w:val="00AB034A"/>
    <w:rsid w:val="00AB1156"/>
    <w:rsid w:val="00AB1DD3"/>
    <w:rsid w:val="00AB2FF4"/>
    <w:rsid w:val="00AB55BF"/>
    <w:rsid w:val="00AB5C1D"/>
    <w:rsid w:val="00AB5F9C"/>
    <w:rsid w:val="00AB6345"/>
    <w:rsid w:val="00AB66AB"/>
    <w:rsid w:val="00AB694C"/>
    <w:rsid w:val="00AB7732"/>
    <w:rsid w:val="00AB7C63"/>
    <w:rsid w:val="00AC1105"/>
    <w:rsid w:val="00AC145A"/>
    <w:rsid w:val="00AC15ED"/>
    <w:rsid w:val="00AC1AD6"/>
    <w:rsid w:val="00AC31CE"/>
    <w:rsid w:val="00AC3C60"/>
    <w:rsid w:val="00AC3FD0"/>
    <w:rsid w:val="00AC431D"/>
    <w:rsid w:val="00AC4A93"/>
    <w:rsid w:val="00AD02C6"/>
    <w:rsid w:val="00AD060C"/>
    <w:rsid w:val="00AD0D72"/>
    <w:rsid w:val="00AD0EAF"/>
    <w:rsid w:val="00AD1290"/>
    <w:rsid w:val="00AD1D5D"/>
    <w:rsid w:val="00AD2215"/>
    <w:rsid w:val="00AD27C5"/>
    <w:rsid w:val="00AD37D4"/>
    <w:rsid w:val="00AD53E7"/>
    <w:rsid w:val="00AD64DF"/>
    <w:rsid w:val="00AD6EA0"/>
    <w:rsid w:val="00AD727A"/>
    <w:rsid w:val="00AD74D6"/>
    <w:rsid w:val="00AD7597"/>
    <w:rsid w:val="00AE001C"/>
    <w:rsid w:val="00AE1025"/>
    <w:rsid w:val="00AE1C48"/>
    <w:rsid w:val="00AE270C"/>
    <w:rsid w:val="00AE2843"/>
    <w:rsid w:val="00AE2DC3"/>
    <w:rsid w:val="00AE39CB"/>
    <w:rsid w:val="00AE3F03"/>
    <w:rsid w:val="00AE511C"/>
    <w:rsid w:val="00AE563F"/>
    <w:rsid w:val="00AE56E4"/>
    <w:rsid w:val="00AE5BB4"/>
    <w:rsid w:val="00AE6444"/>
    <w:rsid w:val="00AE64F0"/>
    <w:rsid w:val="00AE6F02"/>
    <w:rsid w:val="00AE7420"/>
    <w:rsid w:val="00AE75A4"/>
    <w:rsid w:val="00AE7CF0"/>
    <w:rsid w:val="00AF06CF"/>
    <w:rsid w:val="00AF23C8"/>
    <w:rsid w:val="00AF2AE2"/>
    <w:rsid w:val="00AF33ED"/>
    <w:rsid w:val="00AF4324"/>
    <w:rsid w:val="00AF4B6C"/>
    <w:rsid w:val="00AF5BE0"/>
    <w:rsid w:val="00AF6278"/>
    <w:rsid w:val="00AF6950"/>
    <w:rsid w:val="00AF724A"/>
    <w:rsid w:val="00AF7C5B"/>
    <w:rsid w:val="00B00647"/>
    <w:rsid w:val="00B016E4"/>
    <w:rsid w:val="00B01A46"/>
    <w:rsid w:val="00B022DC"/>
    <w:rsid w:val="00B02462"/>
    <w:rsid w:val="00B0377E"/>
    <w:rsid w:val="00B048EB"/>
    <w:rsid w:val="00B065CA"/>
    <w:rsid w:val="00B06836"/>
    <w:rsid w:val="00B07BA9"/>
    <w:rsid w:val="00B10055"/>
    <w:rsid w:val="00B1067B"/>
    <w:rsid w:val="00B1141E"/>
    <w:rsid w:val="00B119AA"/>
    <w:rsid w:val="00B11EDE"/>
    <w:rsid w:val="00B11FA9"/>
    <w:rsid w:val="00B1278B"/>
    <w:rsid w:val="00B12965"/>
    <w:rsid w:val="00B13305"/>
    <w:rsid w:val="00B13BA8"/>
    <w:rsid w:val="00B1441B"/>
    <w:rsid w:val="00B14A99"/>
    <w:rsid w:val="00B158B0"/>
    <w:rsid w:val="00B15F8A"/>
    <w:rsid w:val="00B17295"/>
    <w:rsid w:val="00B17AC7"/>
    <w:rsid w:val="00B20094"/>
    <w:rsid w:val="00B20F60"/>
    <w:rsid w:val="00B215F5"/>
    <w:rsid w:val="00B2198A"/>
    <w:rsid w:val="00B2202D"/>
    <w:rsid w:val="00B22279"/>
    <w:rsid w:val="00B2325D"/>
    <w:rsid w:val="00B23B51"/>
    <w:rsid w:val="00B23E14"/>
    <w:rsid w:val="00B24A87"/>
    <w:rsid w:val="00B24AAF"/>
    <w:rsid w:val="00B253F9"/>
    <w:rsid w:val="00B253FE"/>
    <w:rsid w:val="00B2580D"/>
    <w:rsid w:val="00B25CED"/>
    <w:rsid w:val="00B262A8"/>
    <w:rsid w:val="00B266BA"/>
    <w:rsid w:val="00B26A8B"/>
    <w:rsid w:val="00B27A54"/>
    <w:rsid w:val="00B27D6A"/>
    <w:rsid w:val="00B301A4"/>
    <w:rsid w:val="00B303BC"/>
    <w:rsid w:val="00B30783"/>
    <w:rsid w:val="00B30C5C"/>
    <w:rsid w:val="00B310AB"/>
    <w:rsid w:val="00B31FC4"/>
    <w:rsid w:val="00B34660"/>
    <w:rsid w:val="00B34786"/>
    <w:rsid w:val="00B34A5C"/>
    <w:rsid w:val="00B34EFF"/>
    <w:rsid w:val="00B355B5"/>
    <w:rsid w:val="00B35DDD"/>
    <w:rsid w:val="00B365B6"/>
    <w:rsid w:val="00B36C29"/>
    <w:rsid w:val="00B400DC"/>
    <w:rsid w:val="00B40C2E"/>
    <w:rsid w:val="00B41F0F"/>
    <w:rsid w:val="00B42560"/>
    <w:rsid w:val="00B4262C"/>
    <w:rsid w:val="00B4270C"/>
    <w:rsid w:val="00B43453"/>
    <w:rsid w:val="00B43694"/>
    <w:rsid w:val="00B43F94"/>
    <w:rsid w:val="00B44B2B"/>
    <w:rsid w:val="00B44B33"/>
    <w:rsid w:val="00B455AA"/>
    <w:rsid w:val="00B45778"/>
    <w:rsid w:val="00B457A1"/>
    <w:rsid w:val="00B45C80"/>
    <w:rsid w:val="00B45D43"/>
    <w:rsid w:val="00B4630F"/>
    <w:rsid w:val="00B464B1"/>
    <w:rsid w:val="00B46CC3"/>
    <w:rsid w:val="00B47A4A"/>
    <w:rsid w:val="00B47B99"/>
    <w:rsid w:val="00B47E16"/>
    <w:rsid w:val="00B506F2"/>
    <w:rsid w:val="00B510E3"/>
    <w:rsid w:val="00B521AC"/>
    <w:rsid w:val="00B52702"/>
    <w:rsid w:val="00B535C0"/>
    <w:rsid w:val="00B54441"/>
    <w:rsid w:val="00B5498D"/>
    <w:rsid w:val="00B5501D"/>
    <w:rsid w:val="00B555CE"/>
    <w:rsid w:val="00B55602"/>
    <w:rsid w:val="00B5590F"/>
    <w:rsid w:val="00B56AF6"/>
    <w:rsid w:val="00B57182"/>
    <w:rsid w:val="00B57850"/>
    <w:rsid w:val="00B57AAA"/>
    <w:rsid w:val="00B60AB2"/>
    <w:rsid w:val="00B60B23"/>
    <w:rsid w:val="00B6151E"/>
    <w:rsid w:val="00B61D63"/>
    <w:rsid w:val="00B62137"/>
    <w:rsid w:val="00B62CA3"/>
    <w:rsid w:val="00B63189"/>
    <w:rsid w:val="00B63341"/>
    <w:rsid w:val="00B63534"/>
    <w:rsid w:val="00B6463B"/>
    <w:rsid w:val="00B64962"/>
    <w:rsid w:val="00B64E7F"/>
    <w:rsid w:val="00B64FD6"/>
    <w:rsid w:val="00B66C44"/>
    <w:rsid w:val="00B66F37"/>
    <w:rsid w:val="00B676EC"/>
    <w:rsid w:val="00B7016C"/>
    <w:rsid w:val="00B7039B"/>
    <w:rsid w:val="00B731B1"/>
    <w:rsid w:val="00B733C7"/>
    <w:rsid w:val="00B736AC"/>
    <w:rsid w:val="00B7458B"/>
    <w:rsid w:val="00B74739"/>
    <w:rsid w:val="00B74B61"/>
    <w:rsid w:val="00B74D1E"/>
    <w:rsid w:val="00B7542D"/>
    <w:rsid w:val="00B76252"/>
    <w:rsid w:val="00B7674E"/>
    <w:rsid w:val="00B76A18"/>
    <w:rsid w:val="00B76EC6"/>
    <w:rsid w:val="00B800E6"/>
    <w:rsid w:val="00B80A25"/>
    <w:rsid w:val="00B80AAF"/>
    <w:rsid w:val="00B80B3B"/>
    <w:rsid w:val="00B80F08"/>
    <w:rsid w:val="00B81250"/>
    <w:rsid w:val="00B81551"/>
    <w:rsid w:val="00B81593"/>
    <w:rsid w:val="00B831B7"/>
    <w:rsid w:val="00B83B8D"/>
    <w:rsid w:val="00B84C6C"/>
    <w:rsid w:val="00B8579F"/>
    <w:rsid w:val="00B85987"/>
    <w:rsid w:val="00B85CAE"/>
    <w:rsid w:val="00B85E49"/>
    <w:rsid w:val="00B8647B"/>
    <w:rsid w:val="00B87B20"/>
    <w:rsid w:val="00B87EE9"/>
    <w:rsid w:val="00B90EBC"/>
    <w:rsid w:val="00B9102E"/>
    <w:rsid w:val="00B91593"/>
    <w:rsid w:val="00B91880"/>
    <w:rsid w:val="00B92299"/>
    <w:rsid w:val="00B924FE"/>
    <w:rsid w:val="00B92687"/>
    <w:rsid w:val="00B92892"/>
    <w:rsid w:val="00B94248"/>
    <w:rsid w:val="00B942A1"/>
    <w:rsid w:val="00B94A28"/>
    <w:rsid w:val="00B94B4F"/>
    <w:rsid w:val="00B950D4"/>
    <w:rsid w:val="00B95106"/>
    <w:rsid w:val="00B95221"/>
    <w:rsid w:val="00B96769"/>
    <w:rsid w:val="00B976F6"/>
    <w:rsid w:val="00B97B92"/>
    <w:rsid w:val="00BA0650"/>
    <w:rsid w:val="00BA07FC"/>
    <w:rsid w:val="00BA26B1"/>
    <w:rsid w:val="00BA2C05"/>
    <w:rsid w:val="00BA2F12"/>
    <w:rsid w:val="00BA44E8"/>
    <w:rsid w:val="00BA4B4C"/>
    <w:rsid w:val="00BA540B"/>
    <w:rsid w:val="00BA5706"/>
    <w:rsid w:val="00BA5D74"/>
    <w:rsid w:val="00BA5F41"/>
    <w:rsid w:val="00BA7385"/>
    <w:rsid w:val="00BA7D29"/>
    <w:rsid w:val="00BA7E23"/>
    <w:rsid w:val="00BB01CA"/>
    <w:rsid w:val="00BB187C"/>
    <w:rsid w:val="00BB265A"/>
    <w:rsid w:val="00BB28BD"/>
    <w:rsid w:val="00BB28F2"/>
    <w:rsid w:val="00BB296B"/>
    <w:rsid w:val="00BB32B3"/>
    <w:rsid w:val="00BB3622"/>
    <w:rsid w:val="00BB3F76"/>
    <w:rsid w:val="00BB4889"/>
    <w:rsid w:val="00BB5D55"/>
    <w:rsid w:val="00BB5ECA"/>
    <w:rsid w:val="00BB682C"/>
    <w:rsid w:val="00BB75C8"/>
    <w:rsid w:val="00BB7CA9"/>
    <w:rsid w:val="00BB7F60"/>
    <w:rsid w:val="00BC081B"/>
    <w:rsid w:val="00BC110A"/>
    <w:rsid w:val="00BC233A"/>
    <w:rsid w:val="00BC236B"/>
    <w:rsid w:val="00BC2BB4"/>
    <w:rsid w:val="00BC4103"/>
    <w:rsid w:val="00BC52BA"/>
    <w:rsid w:val="00BC65D9"/>
    <w:rsid w:val="00BC6A3B"/>
    <w:rsid w:val="00BC75A5"/>
    <w:rsid w:val="00BC77E5"/>
    <w:rsid w:val="00BC7C52"/>
    <w:rsid w:val="00BD0CF6"/>
    <w:rsid w:val="00BD0EDC"/>
    <w:rsid w:val="00BD1471"/>
    <w:rsid w:val="00BD14C5"/>
    <w:rsid w:val="00BD196A"/>
    <w:rsid w:val="00BD19D8"/>
    <w:rsid w:val="00BD1C71"/>
    <w:rsid w:val="00BD2081"/>
    <w:rsid w:val="00BD2311"/>
    <w:rsid w:val="00BD3C9E"/>
    <w:rsid w:val="00BD4A04"/>
    <w:rsid w:val="00BD5B9D"/>
    <w:rsid w:val="00BD6262"/>
    <w:rsid w:val="00BE06AF"/>
    <w:rsid w:val="00BE1485"/>
    <w:rsid w:val="00BE16AA"/>
    <w:rsid w:val="00BE16CD"/>
    <w:rsid w:val="00BE1C36"/>
    <w:rsid w:val="00BE2653"/>
    <w:rsid w:val="00BE3121"/>
    <w:rsid w:val="00BE35B6"/>
    <w:rsid w:val="00BE38AB"/>
    <w:rsid w:val="00BE4380"/>
    <w:rsid w:val="00BE4C48"/>
    <w:rsid w:val="00BE4E3D"/>
    <w:rsid w:val="00BE61C1"/>
    <w:rsid w:val="00BE64AF"/>
    <w:rsid w:val="00BE6717"/>
    <w:rsid w:val="00BE71C6"/>
    <w:rsid w:val="00BE7B58"/>
    <w:rsid w:val="00BF0381"/>
    <w:rsid w:val="00BF08DA"/>
    <w:rsid w:val="00BF1119"/>
    <w:rsid w:val="00BF201B"/>
    <w:rsid w:val="00BF2B39"/>
    <w:rsid w:val="00BF3DFF"/>
    <w:rsid w:val="00BF46EF"/>
    <w:rsid w:val="00BF4C51"/>
    <w:rsid w:val="00BF4D16"/>
    <w:rsid w:val="00BF57A7"/>
    <w:rsid w:val="00BF57EF"/>
    <w:rsid w:val="00BF5EB3"/>
    <w:rsid w:val="00BF64D5"/>
    <w:rsid w:val="00BF6E7B"/>
    <w:rsid w:val="00BF6F7C"/>
    <w:rsid w:val="00BF7DE0"/>
    <w:rsid w:val="00C001D0"/>
    <w:rsid w:val="00C00AD0"/>
    <w:rsid w:val="00C01021"/>
    <w:rsid w:val="00C0141F"/>
    <w:rsid w:val="00C01A48"/>
    <w:rsid w:val="00C023D3"/>
    <w:rsid w:val="00C02522"/>
    <w:rsid w:val="00C02CC2"/>
    <w:rsid w:val="00C03160"/>
    <w:rsid w:val="00C0373E"/>
    <w:rsid w:val="00C03DD9"/>
    <w:rsid w:val="00C048AF"/>
    <w:rsid w:val="00C05F9A"/>
    <w:rsid w:val="00C0751C"/>
    <w:rsid w:val="00C0762B"/>
    <w:rsid w:val="00C077E0"/>
    <w:rsid w:val="00C07DE6"/>
    <w:rsid w:val="00C07EB4"/>
    <w:rsid w:val="00C1172E"/>
    <w:rsid w:val="00C1246E"/>
    <w:rsid w:val="00C131C2"/>
    <w:rsid w:val="00C14A6B"/>
    <w:rsid w:val="00C14CA9"/>
    <w:rsid w:val="00C154B5"/>
    <w:rsid w:val="00C17872"/>
    <w:rsid w:val="00C202DB"/>
    <w:rsid w:val="00C205E9"/>
    <w:rsid w:val="00C20E92"/>
    <w:rsid w:val="00C212FC"/>
    <w:rsid w:val="00C216B6"/>
    <w:rsid w:val="00C21769"/>
    <w:rsid w:val="00C22AA4"/>
    <w:rsid w:val="00C23437"/>
    <w:rsid w:val="00C23F48"/>
    <w:rsid w:val="00C240B1"/>
    <w:rsid w:val="00C25155"/>
    <w:rsid w:val="00C253DA"/>
    <w:rsid w:val="00C257B0"/>
    <w:rsid w:val="00C25A62"/>
    <w:rsid w:val="00C25DF6"/>
    <w:rsid w:val="00C26254"/>
    <w:rsid w:val="00C262BD"/>
    <w:rsid w:val="00C26E30"/>
    <w:rsid w:val="00C27BB8"/>
    <w:rsid w:val="00C27F7C"/>
    <w:rsid w:val="00C301D0"/>
    <w:rsid w:val="00C310C2"/>
    <w:rsid w:val="00C319FB"/>
    <w:rsid w:val="00C3209E"/>
    <w:rsid w:val="00C32166"/>
    <w:rsid w:val="00C33480"/>
    <w:rsid w:val="00C33EEE"/>
    <w:rsid w:val="00C3471D"/>
    <w:rsid w:val="00C354AB"/>
    <w:rsid w:val="00C35C3F"/>
    <w:rsid w:val="00C362AD"/>
    <w:rsid w:val="00C36525"/>
    <w:rsid w:val="00C373D1"/>
    <w:rsid w:val="00C379A8"/>
    <w:rsid w:val="00C37D02"/>
    <w:rsid w:val="00C40935"/>
    <w:rsid w:val="00C40DD0"/>
    <w:rsid w:val="00C40EB3"/>
    <w:rsid w:val="00C4178A"/>
    <w:rsid w:val="00C41AD0"/>
    <w:rsid w:val="00C41BD9"/>
    <w:rsid w:val="00C434FD"/>
    <w:rsid w:val="00C43F46"/>
    <w:rsid w:val="00C443A5"/>
    <w:rsid w:val="00C44551"/>
    <w:rsid w:val="00C45365"/>
    <w:rsid w:val="00C45C69"/>
    <w:rsid w:val="00C47847"/>
    <w:rsid w:val="00C47AC7"/>
    <w:rsid w:val="00C50C1D"/>
    <w:rsid w:val="00C50FEA"/>
    <w:rsid w:val="00C5160E"/>
    <w:rsid w:val="00C5192E"/>
    <w:rsid w:val="00C52DE6"/>
    <w:rsid w:val="00C53713"/>
    <w:rsid w:val="00C56DA8"/>
    <w:rsid w:val="00C6010D"/>
    <w:rsid w:val="00C6016B"/>
    <w:rsid w:val="00C602C0"/>
    <w:rsid w:val="00C60C31"/>
    <w:rsid w:val="00C6306F"/>
    <w:rsid w:val="00C634A7"/>
    <w:rsid w:val="00C63829"/>
    <w:rsid w:val="00C638D7"/>
    <w:rsid w:val="00C638DF"/>
    <w:rsid w:val="00C63F44"/>
    <w:rsid w:val="00C64720"/>
    <w:rsid w:val="00C64D92"/>
    <w:rsid w:val="00C6517F"/>
    <w:rsid w:val="00C65B9B"/>
    <w:rsid w:val="00C66D59"/>
    <w:rsid w:val="00C67BA6"/>
    <w:rsid w:val="00C67C62"/>
    <w:rsid w:val="00C7066F"/>
    <w:rsid w:val="00C70938"/>
    <w:rsid w:val="00C70DA3"/>
    <w:rsid w:val="00C712BB"/>
    <w:rsid w:val="00C718B9"/>
    <w:rsid w:val="00C71920"/>
    <w:rsid w:val="00C72A63"/>
    <w:rsid w:val="00C74100"/>
    <w:rsid w:val="00C74997"/>
    <w:rsid w:val="00C74EBF"/>
    <w:rsid w:val="00C75486"/>
    <w:rsid w:val="00C757F7"/>
    <w:rsid w:val="00C76052"/>
    <w:rsid w:val="00C778B1"/>
    <w:rsid w:val="00C778DF"/>
    <w:rsid w:val="00C8040D"/>
    <w:rsid w:val="00C8071F"/>
    <w:rsid w:val="00C808B2"/>
    <w:rsid w:val="00C80AE4"/>
    <w:rsid w:val="00C80C00"/>
    <w:rsid w:val="00C80CE3"/>
    <w:rsid w:val="00C81008"/>
    <w:rsid w:val="00C820C1"/>
    <w:rsid w:val="00C8221D"/>
    <w:rsid w:val="00C83941"/>
    <w:rsid w:val="00C84A30"/>
    <w:rsid w:val="00C84BD2"/>
    <w:rsid w:val="00C850D9"/>
    <w:rsid w:val="00C857F1"/>
    <w:rsid w:val="00C866F6"/>
    <w:rsid w:val="00C870C2"/>
    <w:rsid w:val="00C871C4"/>
    <w:rsid w:val="00C873A0"/>
    <w:rsid w:val="00C8763F"/>
    <w:rsid w:val="00C9011D"/>
    <w:rsid w:val="00C90542"/>
    <w:rsid w:val="00C916C5"/>
    <w:rsid w:val="00C93DF1"/>
    <w:rsid w:val="00C93F4F"/>
    <w:rsid w:val="00C94B1D"/>
    <w:rsid w:val="00C94ECC"/>
    <w:rsid w:val="00C95152"/>
    <w:rsid w:val="00C9516D"/>
    <w:rsid w:val="00C955E2"/>
    <w:rsid w:val="00CA0F0E"/>
    <w:rsid w:val="00CA0F7D"/>
    <w:rsid w:val="00CA0FFC"/>
    <w:rsid w:val="00CA1130"/>
    <w:rsid w:val="00CA1C13"/>
    <w:rsid w:val="00CA1C6A"/>
    <w:rsid w:val="00CA21D5"/>
    <w:rsid w:val="00CA2B49"/>
    <w:rsid w:val="00CA415F"/>
    <w:rsid w:val="00CA5464"/>
    <w:rsid w:val="00CA5C12"/>
    <w:rsid w:val="00CA5DC2"/>
    <w:rsid w:val="00CA5EA7"/>
    <w:rsid w:val="00CA688C"/>
    <w:rsid w:val="00CA6C61"/>
    <w:rsid w:val="00CA741E"/>
    <w:rsid w:val="00CA7595"/>
    <w:rsid w:val="00CA75BD"/>
    <w:rsid w:val="00CA7C05"/>
    <w:rsid w:val="00CA7DC0"/>
    <w:rsid w:val="00CB026C"/>
    <w:rsid w:val="00CB0986"/>
    <w:rsid w:val="00CB1054"/>
    <w:rsid w:val="00CB1AAD"/>
    <w:rsid w:val="00CB22CE"/>
    <w:rsid w:val="00CB2C14"/>
    <w:rsid w:val="00CB2F12"/>
    <w:rsid w:val="00CB3B95"/>
    <w:rsid w:val="00CB490B"/>
    <w:rsid w:val="00CB497B"/>
    <w:rsid w:val="00CB5A49"/>
    <w:rsid w:val="00CB5C15"/>
    <w:rsid w:val="00CB6071"/>
    <w:rsid w:val="00CB672D"/>
    <w:rsid w:val="00CB678B"/>
    <w:rsid w:val="00CB7718"/>
    <w:rsid w:val="00CB7E89"/>
    <w:rsid w:val="00CC0E16"/>
    <w:rsid w:val="00CC1228"/>
    <w:rsid w:val="00CC1722"/>
    <w:rsid w:val="00CC1A21"/>
    <w:rsid w:val="00CC20A3"/>
    <w:rsid w:val="00CC35F2"/>
    <w:rsid w:val="00CC436C"/>
    <w:rsid w:val="00CC5E43"/>
    <w:rsid w:val="00CC66DE"/>
    <w:rsid w:val="00CC6F61"/>
    <w:rsid w:val="00CC77BD"/>
    <w:rsid w:val="00CC7C0C"/>
    <w:rsid w:val="00CD1131"/>
    <w:rsid w:val="00CD11E1"/>
    <w:rsid w:val="00CD17D6"/>
    <w:rsid w:val="00CD204A"/>
    <w:rsid w:val="00CD25DA"/>
    <w:rsid w:val="00CD2E4C"/>
    <w:rsid w:val="00CD2EF4"/>
    <w:rsid w:val="00CD4B8B"/>
    <w:rsid w:val="00CD5043"/>
    <w:rsid w:val="00CD5579"/>
    <w:rsid w:val="00CD59EC"/>
    <w:rsid w:val="00CD71E1"/>
    <w:rsid w:val="00CD75E3"/>
    <w:rsid w:val="00CD7C5D"/>
    <w:rsid w:val="00CE0265"/>
    <w:rsid w:val="00CE0394"/>
    <w:rsid w:val="00CE1111"/>
    <w:rsid w:val="00CE2627"/>
    <w:rsid w:val="00CE2EB2"/>
    <w:rsid w:val="00CE33DA"/>
    <w:rsid w:val="00CE33E6"/>
    <w:rsid w:val="00CE37DA"/>
    <w:rsid w:val="00CE3DEE"/>
    <w:rsid w:val="00CE46F3"/>
    <w:rsid w:val="00CE4704"/>
    <w:rsid w:val="00CE4BF2"/>
    <w:rsid w:val="00CE525D"/>
    <w:rsid w:val="00CE5C99"/>
    <w:rsid w:val="00CE61E6"/>
    <w:rsid w:val="00CE62AA"/>
    <w:rsid w:val="00CE6A2F"/>
    <w:rsid w:val="00CE75F6"/>
    <w:rsid w:val="00CE7D6F"/>
    <w:rsid w:val="00CF1230"/>
    <w:rsid w:val="00CF23EE"/>
    <w:rsid w:val="00CF42FB"/>
    <w:rsid w:val="00CF4687"/>
    <w:rsid w:val="00CF49FD"/>
    <w:rsid w:val="00CF56D0"/>
    <w:rsid w:val="00CF6007"/>
    <w:rsid w:val="00CF6F5F"/>
    <w:rsid w:val="00CF72F3"/>
    <w:rsid w:val="00CF7745"/>
    <w:rsid w:val="00CF7D4A"/>
    <w:rsid w:val="00D009DC"/>
    <w:rsid w:val="00D0380E"/>
    <w:rsid w:val="00D1044E"/>
    <w:rsid w:val="00D1053D"/>
    <w:rsid w:val="00D10B8C"/>
    <w:rsid w:val="00D11357"/>
    <w:rsid w:val="00D116D7"/>
    <w:rsid w:val="00D126F7"/>
    <w:rsid w:val="00D129F5"/>
    <w:rsid w:val="00D12ED9"/>
    <w:rsid w:val="00D13483"/>
    <w:rsid w:val="00D13582"/>
    <w:rsid w:val="00D13B20"/>
    <w:rsid w:val="00D13F82"/>
    <w:rsid w:val="00D141DD"/>
    <w:rsid w:val="00D1494A"/>
    <w:rsid w:val="00D14D89"/>
    <w:rsid w:val="00D16105"/>
    <w:rsid w:val="00D17AA8"/>
    <w:rsid w:val="00D201CA"/>
    <w:rsid w:val="00D21887"/>
    <w:rsid w:val="00D23058"/>
    <w:rsid w:val="00D2392B"/>
    <w:rsid w:val="00D24F8C"/>
    <w:rsid w:val="00D266DE"/>
    <w:rsid w:val="00D272C9"/>
    <w:rsid w:val="00D27F16"/>
    <w:rsid w:val="00D30E54"/>
    <w:rsid w:val="00D3104C"/>
    <w:rsid w:val="00D31689"/>
    <w:rsid w:val="00D31900"/>
    <w:rsid w:val="00D3296C"/>
    <w:rsid w:val="00D34C87"/>
    <w:rsid w:val="00D35169"/>
    <w:rsid w:val="00D35359"/>
    <w:rsid w:val="00D355E8"/>
    <w:rsid w:val="00D35643"/>
    <w:rsid w:val="00D35684"/>
    <w:rsid w:val="00D360BC"/>
    <w:rsid w:val="00D37E49"/>
    <w:rsid w:val="00D37FA5"/>
    <w:rsid w:val="00D40193"/>
    <w:rsid w:val="00D40345"/>
    <w:rsid w:val="00D40441"/>
    <w:rsid w:val="00D41B5E"/>
    <w:rsid w:val="00D41C94"/>
    <w:rsid w:val="00D42C3B"/>
    <w:rsid w:val="00D42E44"/>
    <w:rsid w:val="00D43D31"/>
    <w:rsid w:val="00D43DD6"/>
    <w:rsid w:val="00D442C3"/>
    <w:rsid w:val="00D47D49"/>
    <w:rsid w:val="00D50817"/>
    <w:rsid w:val="00D50AD8"/>
    <w:rsid w:val="00D51C2C"/>
    <w:rsid w:val="00D51CC8"/>
    <w:rsid w:val="00D52281"/>
    <w:rsid w:val="00D53C47"/>
    <w:rsid w:val="00D53DBA"/>
    <w:rsid w:val="00D54588"/>
    <w:rsid w:val="00D545B1"/>
    <w:rsid w:val="00D55644"/>
    <w:rsid w:val="00D55A36"/>
    <w:rsid w:val="00D55B90"/>
    <w:rsid w:val="00D55E6E"/>
    <w:rsid w:val="00D5689A"/>
    <w:rsid w:val="00D57072"/>
    <w:rsid w:val="00D61249"/>
    <w:rsid w:val="00D614DB"/>
    <w:rsid w:val="00D61AE5"/>
    <w:rsid w:val="00D61FFB"/>
    <w:rsid w:val="00D6323A"/>
    <w:rsid w:val="00D63762"/>
    <w:rsid w:val="00D63AA3"/>
    <w:rsid w:val="00D64636"/>
    <w:rsid w:val="00D64D42"/>
    <w:rsid w:val="00D658B5"/>
    <w:rsid w:val="00D668E4"/>
    <w:rsid w:val="00D673A3"/>
    <w:rsid w:val="00D67466"/>
    <w:rsid w:val="00D67944"/>
    <w:rsid w:val="00D67B1E"/>
    <w:rsid w:val="00D67CA8"/>
    <w:rsid w:val="00D67DDE"/>
    <w:rsid w:val="00D67F32"/>
    <w:rsid w:val="00D7047B"/>
    <w:rsid w:val="00D704AF"/>
    <w:rsid w:val="00D7243B"/>
    <w:rsid w:val="00D729A9"/>
    <w:rsid w:val="00D72CC5"/>
    <w:rsid w:val="00D72D48"/>
    <w:rsid w:val="00D741F4"/>
    <w:rsid w:val="00D74C08"/>
    <w:rsid w:val="00D74FEC"/>
    <w:rsid w:val="00D75505"/>
    <w:rsid w:val="00D756D4"/>
    <w:rsid w:val="00D7638E"/>
    <w:rsid w:val="00D76695"/>
    <w:rsid w:val="00D76F89"/>
    <w:rsid w:val="00D77803"/>
    <w:rsid w:val="00D77DAB"/>
    <w:rsid w:val="00D80ED4"/>
    <w:rsid w:val="00D8220A"/>
    <w:rsid w:val="00D8228F"/>
    <w:rsid w:val="00D825D6"/>
    <w:rsid w:val="00D82DA8"/>
    <w:rsid w:val="00D835E1"/>
    <w:rsid w:val="00D83663"/>
    <w:rsid w:val="00D83CB1"/>
    <w:rsid w:val="00D84E94"/>
    <w:rsid w:val="00D85E6A"/>
    <w:rsid w:val="00D862DA"/>
    <w:rsid w:val="00D8640C"/>
    <w:rsid w:val="00D86456"/>
    <w:rsid w:val="00D870BD"/>
    <w:rsid w:val="00D877E9"/>
    <w:rsid w:val="00D90ED8"/>
    <w:rsid w:val="00D91B44"/>
    <w:rsid w:val="00D92DBF"/>
    <w:rsid w:val="00D93485"/>
    <w:rsid w:val="00D9397D"/>
    <w:rsid w:val="00D93C05"/>
    <w:rsid w:val="00D94DD7"/>
    <w:rsid w:val="00D952EB"/>
    <w:rsid w:val="00D96604"/>
    <w:rsid w:val="00D975E3"/>
    <w:rsid w:val="00D97ABF"/>
    <w:rsid w:val="00DA0725"/>
    <w:rsid w:val="00DA0E6E"/>
    <w:rsid w:val="00DA123E"/>
    <w:rsid w:val="00DA1300"/>
    <w:rsid w:val="00DA180F"/>
    <w:rsid w:val="00DA20BA"/>
    <w:rsid w:val="00DA2290"/>
    <w:rsid w:val="00DA2AD7"/>
    <w:rsid w:val="00DA33DA"/>
    <w:rsid w:val="00DA3D7B"/>
    <w:rsid w:val="00DA4288"/>
    <w:rsid w:val="00DA4333"/>
    <w:rsid w:val="00DA4C17"/>
    <w:rsid w:val="00DA4DCB"/>
    <w:rsid w:val="00DA54D2"/>
    <w:rsid w:val="00DA6721"/>
    <w:rsid w:val="00DA7189"/>
    <w:rsid w:val="00DA7370"/>
    <w:rsid w:val="00DA7F89"/>
    <w:rsid w:val="00DB043B"/>
    <w:rsid w:val="00DB1014"/>
    <w:rsid w:val="00DB10DB"/>
    <w:rsid w:val="00DB1190"/>
    <w:rsid w:val="00DB1413"/>
    <w:rsid w:val="00DB22B6"/>
    <w:rsid w:val="00DB2CEC"/>
    <w:rsid w:val="00DB3B7B"/>
    <w:rsid w:val="00DB4594"/>
    <w:rsid w:val="00DB4AA3"/>
    <w:rsid w:val="00DB50B8"/>
    <w:rsid w:val="00DB51DF"/>
    <w:rsid w:val="00DB55AC"/>
    <w:rsid w:val="00DB5A6B"/>
    <w:rsid w:val="00DB5DC8"/>
    <w:rsid w:val="00DB6212"/>
    <w:rsid w:val="00DB638D"/>
    <w:rsid w:val="00DB6823"/>
    <w:rsid w:val="00DB68FF"/>
    <w:rsid w:val="00DB7230"/>
    <w:rsid w:val="00DC1A6E"/>
    <w:rsid w:val="00DC21DF"/>
    <w:rsid w:val="00DC32BA"/>
    <w:rsid w:val="00DC3A7B"/>
    <w:rsid w:val="00DC47D2"/>
    <w:rsid w:val="00DC4C84"/>
    <w:rsid w:val="00DC5AD4"/>
    <w:rsid w:val="00DC5FD8"/>
    <w:rsid w:val="00DC7AAE"/>
    <w:rsid w:val="00DD0C5E"/>
    <w:rsid w:val="00DD1D3E"/>
    <w:rsid w:val="00DD1D7E"/>
    <w:rsid w:val="00DD2091"/>
    <w:rsid w:val="00DD246B"/>
    <w:rsid w:val="00DD279C"/>
    <w:rsid w:val="00DD328E"/>
    <w:rsid w:val="00DD3393"/>
    <w:rsid w:val="00DD596F"/>
    <w:rsid w:val="00DD6537"/>
    <w:rsid w:val="00DD6667"/>
    <w:rsid w:val="00DD6FA6"/>
    <w:rsid w:val="00DD74A2"/>
    <w:rsid w:val="00DE0063"/>
    <w:rsid w:val="00DE0407"/>
    <w:rsid w:val="00DE1077"/>
    <w:rsid w:val="00DE14FA"/>
    <w:rsid w:val="00DE178D"/>
    <w:rsid w:val="00DE368C"/>
    <w:rsid w:val="00DE383B"/>
    <w:rsid w:val="00DE42F2"/>
    <w:rsid w:val="00DE49BE"/>
    <w:rsid w:val="00DE52E6"/>
    <w:rsid w:val="00DE5770"/>
    <w:rsid w:val="00DE61ED"/>
    <w:rsid w:val="00DE6576"/>
    <w:rsid w:val="00DE67E2"/>
    <w:rsid w:val="00DE6B38"/>
    <w:rsid w:val="00DE6D31"/>
    <w:rsid w:val="00DF08A5"/>
    <w:rsid w:val="00DF135A"/>
    <w:rsid w:val="00DF1B17"/>
    <w:rsid w:val="00DF27EF"/>
    <w:rsid w:val="00DF2F32"/>
    <w:rsid w:val="00DF3BDA"/>
    <w:rsid w:val="00DF412C"/>
    <w:rsid w:val="00DF4614"/>
    <w:rsid w:val="00DF4672"/>
    <w:rsid w:val="00DF4EB6"/>
    <w:rsid w:val="00DF5871"/>
    <w:rsid w:val="00DF5FAE"/>
    <w:rsid w:val="00DF6B28"/>
    <w:rsid w:val="00DF6B34"/>
    <w:rsid w:val="00DF6C79"/>
    <w:rsid w:val="00DF6D10"/>
    <w:rsid w:val="00DF7B25"/>
    <w:rsid w:val="00DF7B90"/>
    <w:rsid w:val="00E00913"/>
    <w:rsid w:val="00E00B67"/>
    <w:rsid w:val="00E00C08"/>
    <w:rsid w:val="00E01F94"/>
    <w:rsid w:val="00E02F91"/>
    <w:rsid w:val="00E041EA"/>
    <w:rsid w:val="00E051CD"/>
    <w:rsid w:val="00E0668C"/>
    <w:rsid w:val="00E06C00"/>
    <w:rsid w:val="00E07182"/>
    <w:rsid w:val="00E073BF"/>
    <w:rsid w:val="00E07A71"/>
    <w:rsid w:val="00E104E6"/>
    <w:rsid w:val="00E10764"/>
    <w:rsid w:val="00E10D1A"/>
    <w:rsid w:val="00E12CD3"/>
    <w:rsid w:val="00E12E0B"/>
    <w:rsid w:val="00E135A1"/>
    <w:rsid w:val="00E14149"/>
    <w:rsid w:val="00E1496E"/>
    <w:rsid w:val="00E1503A"/>
    <w:rsid w:val="00E151A2"/>
    <w:rsid w:val="00E15A29"/>
    <w:rsid w:val="00E15DEF"/>
    <w:rsid w:val="00E16EF1"/>
    <w:rsid w:val="00E1746C"/>
    <w:rsid w:val="00E177A0"/>
    <w:rsid w:val="00E17F63"/>
    <w:rsid w:val="00E204E4"/>
    <w:rsid w:val="00E20786"/>
    <w:rsid w:val="00E21978"/>
    <w:rsid w:val="00E21A5A"/>
    <w:rsid w:val="00E21FEF"/>
    <w:rsid w:val="00E24C17"/>
    <w:rsid w:val="00E265D5"/>
    <w:rsid w:val="00E2721B"/>
    <w:rsid w:val="00E27774"/>
    <w:rsid w:val="00E30658"/>
    <w:rsid w:val="00E309FD"/>
    <w:rsid w:val="00E30C95"/>
    <w:rsid w:val="00E316AB"/>
    <w:rsid w:val="00E324E1"/>
    <w:rsid w:val="00E329D3"/>
    <w:rsid w:val="00E357D1"/>
    <w:rsid w:val="00E35B23"/>
    <w:rsid w:val="00E40FE9"/>
    <w:rsid w:val="00E416D5"/>
    <w:rsid w:val="00E419E5"/>
    <w:rsid w:val="00E41AA0"/>
    <w:rsid w:val="00E4397B"/>
    <w:rsid w:val="00E43C06"/>
    <w:rsid w:val="00E449B1"/>
    <w:rsid w:val="00E4560E"/>
    <w:rsid w:val="00E45AE5"/>
    <w:rsid w:val="00E4690C"/>
    <w:rsid w:val="00E47B31"/>
    <w:rsid w:val="00E47FBF"/>
    <w:rsid w:val="00E501F7"/>
    <w:rsid w:val="00E5082D"/>
    <w:rsid w:val="00E5126D"/>
    <w:rsid w:val="00E51EBD"/>
    <w:rsid w:val="00E52A29"/>
    <w:rsid w:val="00E53EAC"/>
    <w:rsid w:val="00E54520"/>
    <w:rsid w:val="00E55002"/>
    <w:rsid w:val="00E554C5"/>
    <w:rsid w:val="00E55ED0"/>
    <w:rsid w:val="00E5610A"/>
    <w:rsid w:val="00E56E23"/>
    <w:rsid w:val="00E57235"/>
    <w:rsid w:val="00E574A9"/>
    <w:rsid w:val="00E57729"/>
    <w:rsid w:val="00E57DA8"/>
    <w:rsid w:val="00E60711"/>
    <w:rsid w:val="00E60C85"/>
    <w:rsid w:val="00E61355"/>
    <w:rsid w:val="00E613BC"/>
    <w:rsid w:val="00E61F1E"/>
    <w:rsid w:val="00E62086"/>
    <w:rsid w:val="00E63027"/>
    <w:rsid w:val="00E63214"/>
    <w:rsid w:val="00E634F8"/>
    <w:rsid w:val="00E63FBF"/>
    <w:rsid w:val="00E64527"/>
    <w:rsid w:val="00E646D0"/>
    <w:rsid w:val="00E64BB2"/>
    <w:rsid w:val="00E65D4C"/>
    <w:rsid w:val="00E66861"/>
    <w:rsid w:val="00E66E21"/>
    <w:rsid w:val="00E67063"/>
    <w:rsid w:val="00E67C52"/>
    <w:rsid w:val="00E70634"/>
    <w:rsid w:val="00E70F38"/>
    <w:rsid w:val="00E710FC"/>
    <w:rsid w:val="00E71371"/>
    <w:rsid w:val="00E71915"/>
    <w:rsid w:val="00E722FA"/>
    <w:rsid w:val="00E72CAD"/>
    <w:rsid w:val="00E7363D"/>
    <w:rsid w:val="00E74332"/>
    <w:rsid w:val="00E74336"/>
    <w:rsid w:val="00E74B18"/>
    <w:rsid w:val="00E74E68"/>
    <w:rsid w:val="00E75D36"/>
    <w:rsid w:val="00E760F8"/>
    <w:rsid w:val="00E76B51"/>
    <w:rsid w:val="00E7714E"/>
    <w:rsid w:val="00E77F64"/>
    <w:rsid w:val="00E80055"/>
    <w:rsid w:val="00E800A5"/>
    <w:rsid w:val="00E80916"/>
    <w:rsid w:val="00E80AF4"/>
    <w:rsid w:val="00E80F83"/>
    <w:rsid w:val="00E811F9"/>
    <w:rsid w:val="00E81640"/>
    <w:rsid w:val="00E81796"/>
    <w:rsid w:val="00E8302A"/>
    <w:rsid w:val="00E8378E"/>
    <w:rsid w:val="00E840DF"/>
    <w:rsid w:val="00E8560F"/>
    <w:rsid w:val="00E85E48"/>
    <w:rsid w:val="00E86BBE"/>
    <w:rsid w:val="00E8780A"/>
    <w:rsid w:val="00E909C4"/>
    <w:rsid w:val="00E90EEF"/>
    <w:rsid w:val="00E91A5A"/>
    <w:rsid w:val="00E91BD5"/>
    <w:rsid w:val="00E91E72"/>
    <w:rsid w:val="00E92C8E"/>
    <w:rsid w:val="00E938F1"/>
    <w:rsid w:val="00E946C0"/>
    <w:rsid w:val="00E94744"/>
    <w:rsid w:val="00E94E2B"/>
    <w:rsid w:val="00E95016"/>
    <w:rsid w:val="00E955E8"/>
    <w:rsid w:val="00E957FC"/>
    <w:rsid w:val="00E9650F"/>
    <w:rsid w:val="00E965D0"/>
    <w:rsid w:val="00E96D60"/>
    <w:rsid w:val="00E96E27"/>
    <w:rsid w:val="00EA0289"/>
    <w:rsid w:val="00EA1084"/>
    <w:rsid w:val="00EA17FA"/>
    <w:rsid w:val="00EA23BC"/>
    <w:rsid w:val="00EA2642"/>
    <w:rsid w:val="00EA2EA0"/>
    <w:rsid w:val="00EA67CD"/>
    <w:rsid w:val="00EA7002"/>
    <w:rsid w:val="00EA711F"/>
    <w:rsid w:val="00EA7ADD"/>
    <w:rsid w:val="00EA7FFC"/>
    <w:rsid w:val="00EB0398"/>
    <w:rsid w:val="00EB11D1"/>
    <w:rsid w:val="00EB1818"/>
    <w:rsid w:val="00EB181B"/>
    <w:rsid w:val="00EB1CA4"/>
    <w:rsid w:val="00EB2201"/>
    <w:rsid w:val="00EB2579"/>
    <w:rsid w:val="00EB2B1D"/>
    <w:rsid w:val="00EB2DEA"/>
    <w:rsid w:val="00EB2EA7"/>
    <w:rsid w:val="00EB37CF"/>
    <w:rsid w:val="00EB4CEA"/>
    <w:rsid w:val="00EB550B"/>
    <w:rsid w:val="00EB5956"/>
    <w:rsid w:val="00EB5E43"/>
    <w:rsid w:val="00EB60F3"/>
    <w:rsid w:val="00EB6540"/>
    <w:rsid w:val="00EB6A15"/>
    <w:rsid w:val="00EB6E0F"/>
    <w:rsid w:val="00EB6FBE"/>
    <w:rsid w:val="00EC0865"/>
    <w:rsid w:val="00EC1122"/>
    <w:rsid w:val="00EC1183"/>
    <w:rsid w:val="00EC1270"/>
    <w:rsid w:val="00EC187B"/>
    <w:rsid w:val="00EC1CFA"/>
    <w:rsid w:val="00EC2B3C"/>
    <w:rsid w:val="00EC341C"/>
    <w:rsid w:val="00EC3479"/>
    <w:rsid w:val="00EC3910"/>
    <w:rsid w:val="00EC3B0E"/>
    <w:rsid w:val="00EC7093"/>
    <w:rsid w:val="00ED1657"/>
    <w:rsid w:val="00ED1783"/>
    <w:rsid w:val="00ED208B"/>
    <w:rsid w:val="00ED260A"/>
    <w:rsid w:val="00ED28C3"/>
    <w:rsid w:val="00ED31CF"/>
    <w:rsid w:val="00ED353B"/>
    <w:rsid w:val="00ED3986"/>
    <w:rsid w:val="00ED43AC"/>
    <w:rsid w:val="00ED4ABA"/>
    <w:rsid w:val="00ED5637"/>
    <w:rsid w:val="00ED5CF7"/>
    <w:rsid w:val="00ED6618"/>
    <w:rsid w:val="00EE078A"/>
    <w:rsid w:val="00EE07DB"/>
    <w:rsid w:val="00EE0817"/>
    <w:rsid w:val="00EE0ECC"/>
    <w:rsid w:val="00EE1B21"/>
    <w:rsid w:val="00EE2B15"/>
    <w:rsid w:val="00EE2BE8"/>
    <w:rsid w:val="00EE3864"/>
    <w:rsid w:val="00EE3903"/>
    <w:rsid w:val="00EE3AD7"/>
    <w:rsid w:val="00EE4548"/>
    <w:rsid w:val="00EE5581"/>
    <w:rsid w:val="00EE5599"/>
    <w:rsid w:val="00EE61D4"/>
    <w:rsid w:val="00EE63CF"/>
    <w:rsid w:val="00EE71C9"/>
    <w:rsid w:val="00EE7322"/>
    <w:rsid w:val="00EE7609"/>
    <w:rsid w:val="00EE782D"/>
    <w:rsid w:val="00EF05D1"/>
    <w:rsid w:val="00EF086B"/>
    <w:rsid w:val="00EF0E94"/>
    <w:rsid w:val="00EF1D0F"/>
    <w:rsid w:val="00EF2C57"/>
    <w:rsid w:val="00EF2F62"/>
    <w:rsid w:val="00EF30BB"/>
    <w:rsid w:val="00EF352D"/>
    <w:rsid w:val="00EF4852"/>
    <w:rsid w:val="00EF4AEE"/>
    <w:rsid w:val="00EF50F7"/>
    <w:rsid w:val="00EF537F"/>
    <w:rsid w:val="00EF5633"/>
    <w:rsid w:val="00EF5E9C"/>
    <w:rsid w:val="00EF5FEA"/>
    <w:rsid w:val="00EF645B"/>
    <w:rsid w:val="00EF6E41"/>
    <w:rsid w:val="00EF7731"/>
    <w:rsid w:val="00F00E16"/>
    <w:rsid w:val="00F01051"/>
    <w:rsid w:val="00F018BF"/>
    <w:rsid w:val="00F029AC"/>
    <w:rsid w:val="00F034CB"/>
    <w:rsid w:val="00F03EFD"/>
    <w:rsid w:val="00F03F3B"/>
    <w:rsid w:val="00F04C01"/>
    <w:rsid w:val="00F0584D"/>
    <w:rsid w:val="00F05B2B"/>
    <w:rsid w:val="00F06422"/>
    <w:rsid w:val="00F064E2"/>
    <w:rsid w:val="00F070B5"/>
    <w:rsid w:val="00F07468"/>
    <w:rsid w:val="00F10C09"/>
    <w:rsid w:val="00F117F2"/>
    <w:rsid w:val="00F11DDC"/>
    <w:rsid w:val="00F128DD"/>
    <w:rsid w:val="00F1302B"/>
    <w:rsid w:val="00F1330D"/>
    <w:rsid w:val="00F13EA0"/>
    <w:rsid w:val="00F13F76"/>
    <w:rsid w:val="00F14F07"/>
    <w:rsid w:val="00F15243"/>
    <w:rsid w:val="00F15BE9"/>
    <w:rsid w:val="00F172CD"/>
    <w:rsid w:val="00F17432"/>
    <w:rsid w:val="00F179CA"/>
    <w:rsid w:val="00F20916"/>
    <w:rsid w:val="00F20999"/>
    <w:rsid w:val="00F210B0"/>
    <w:rsid w:val="00F2176B"/>
    <w:rsid w:val="00F22A8B"/>
    <w:rsid w:val="00F22D82"/>
    <w:rsid w:val="00F23325"/>
    <w:rsid w:val="00F23618"/>
    <w:rsid w:val="00F2372C"/>
    <w:rsid w:val="00F23A8E"/>
    <w:rsid w:val="00F23EF9"/>
    <w:rsid w:val="00F24A03"/>
    <w:rsid w:val="00F25B41"/>
    <w:rsid w:val="00F26224"/>
    <w:rsid w:val="00F26D40"/>
    <w:rsid w:val="00F27D69"/>
    <w:rsid w:val="00F31757"/>
    <w:rsid w:val="00F31DB4"/>
    <w:rsid w:val="00F322FD"/>
    <w:rsid w:val="00F32C74"/>
    <w:rsid w:val="00F3336F"/>
    <w:rsid w:val="00F340B6"/>
    <w:rsid w:val="00F34752"/>
    <w:rsid w:val="00F347D6"/>
    <w:rsid w:val="00F34E80"/>
    <w:rsid w:val="00F35F19"/>
    <w:rsid w:val="00F360DA"/>
    <w:rsid w:val="00F361B7"/>
    <w:rsid w:val="00F37644"/>
    <w:rsid w:val="00F4043E"/>
    <w:rsid w:val="00F4075D"/>
    <w:rsid w:val="00F40BAE"/>
    <w:rsid w:val="00F41090"/>
    <w:rsid w:val="00F415BA"/>
    <w:rsid w:val="00F43692"/>
    <w:rsid w:val="00F443CF"/>
    <w:rsid w:val="00F445DD"/>
    <w:rsid w:val="00F4500B"/>
    <w:rsid w:val="00F451DB"/>
    <w:rsid w:val="00F46FB3"/>
    <w:rsid w:val="00F47ED7"/>
    <w:rsid w:val="00F47FC1"/>
    <w:rsid w:val="00F51401"/>
    <w:rsid w:val="00F51B0B"/>
    <w:rsid w:val="00F51E83"/>
    <w:rsid w:val="00F526A9"/>
    <w:rsid w:val="00F52F93"/>
    <w:rsid w:val="00F530E7"/>
    <w:rsid w:val="00F531ED"/>
    <w:rsid w:val="00F54608"/>
    <w:rsid w:val="00F552F2"/>
    <w:rsid w:val="00F55D99"/>
    <w:rsid w:val="00F55E52"/>
    <w:rsid w:val="00F560A8"/>
    <w:rsid w:val="00F564B9"/>
    <w:rsid w:val="00F56CB9"/>
    <w:rsid w:val="00F57EF0"/>
    <w:rsid w:val="00F606D7"/>
    <w:rsid w:val="00F60B75"/>
    <w:rsid w:val="00F61346"/>
    <w:rsid w:val="00F6159F"/>
    <w:rsid w:val="00F61C85"/>
    <w:rsid w:val="00F627E2"/>
    <w:rsid w:val="00F639D6"/>
    <w:rsid w:val="00F6426F"/>
    <w:rsid w:val="00F66490"/>
    <w:rsid w:val="00F66DFC"/>
    <w:rsid w:val="00F678A4"/>
    <w:rsid w:val="00F67CB5"/>
    <w:rsid w:val="00F70E40"/>
    <w:rsid w:val="00F71520"/>
    <w:rsid w:val="00F7159B"/>
    <w:rsid w:val="00F72346"/>
    <w:rsid w:val="00F73738"/>
    <w:rsid w:val="00F742AD"/>
    <w:rsid w:val="00F751C4"/>
    <w:rsid w:val="00F7590F"/>
    <w:rsid w:val="00F75A38"/>
    <w:rsid w:val="00F75FE2"/>
    <w:rsid w:val="00F76F54"/>
    <w:rsid w:val="00F770DC"/>
    <w:rsid w:val="00F772CC"/>
    <w:rsid w:val="00F80070"/>
    <w:rsid w:val="00F80698"/>
    <w:rsid w:val="00F807B0"/>
    <w:rsid w:val="00F80E19"/>
    <w:rsid w:val="00F838A5"/>
    <w:rsid w:val="00F83EC0"/>
    <w:rsid w:val="00F84305"/>
    <w:rsid w:val="00F85098"/>
    <w:rsid w:val="00F850B7"/>
    <w:rsid w:val="00F8569E"/>
    <w:rsid w:val="00F85A14"/>
    <w:rsid w:val="00F85CA5"/>
    <w:rsid w:val="00F86265"/>
    <w:rsid w:val="00F862B1"/>
    <w:rsid w:val="00F867E5"/>
    <w:rsid w:val="00F869CB"/>
    <w:rsid w:val="00F86A25"/>
    <w:rsid w:val="00F90CCB"/>
    <w:rsid w:val="00F90EB0"/>
    <w:rsid w:val="00F913C6"/>
    <w:rsid w:val="00F927D2"/>
    <w:rsid w:val="00F930CB"/>
    <w:rsid w:val="00F94864"/>
    <w:rsid w:val="00F949B7"/>
    <w:rsid w:val="00F955A9"/>
    <w:rsid w:val="00F95BDD"/>
    <w:rsid w:val="00F96B3A"/>
    <w:rsid w:val="00F9736F"/>
    <w:rsid w:val="00FA02EE"/>
    <w:rsid w:val="00FA0489"/>
    <w:rsid w:val="00FA0A37"/>
    <w:rsid w:val="00FA0CDA"/>
    <w:rsid w:val="00FA0DB3"/>
    <w:rsid w:val="00FA2CE0"/>
    <w:rsid w:val="00FA2D0B"/>
    <w:rsid w:val="00FA2EE9"/>
    <w:rsid w:val="00FA33A6"/>
    <w:rsid w:val="00FA7940"/>
    <w:rsid w:val="00FA7955"/>
    <w:rsid w:val="00FA7B80"/>
    <w:rsid w:val="00FB00BB"/>
    <w:rsid w:val="00FB0B18"/>
    <w:rsid w:val="00FB0C6C"/>
    <w:rsid w:val="00FB1E0C"/>
    <w:rsid w:val="00FB1E52"/>
    <w:rsid w:val="00FB1EAC"/>
    <w:rsid w:val="00FB218D"/>
    <w:rsid w:val="00FB22C4"/>
    <w:rsid w:val="00FB2357"/>
    <w:rsid w:val="00FB25F0"/>
    <w:rsid w:val="00FB26AD"/>
    <w:rsid w:val="00FB2ACA"/>
    <w:rsid w:val="00FB673E"/>
    <w:rsid w:val="00FB6783"/>
    <w:rsid w:val="00FB7007"/>
    <w:rsid w:val="00FB71C4"/>
    <w:rsid w:val="00FB753B"/>
    <w:rsid w:val="00FB79AE"/>
    <w:rsid w:val="00FC0553"/>
    <w:rsid w:val="00FC101B"/>
    <w:rsid w:val="00FC1B8D"/>
    <w:rsid w:val="00FC1D1D"/>
    <w:rsid w:val="00FC212E"/>
    <w:rsid w:val="00FC3D57"/>
    <w:rsid w:val="00FC3EB4"/>
    <w:rsid w:val="00FC413A"/>
    <w:rsid w:val="00FC442D"/>
    <w:rsid w:val="00FC4F49"/>
    <w:rsid w:val="00FC51B8"/>
    <w:rsid w:val="00FC594E"/>
    <w:rsid w:val="00FC5FD1"/>
    <w:rsid w:val="00FC6088"/>
    <w:rsid w:val="00FC6628"/>
    <w:rsid w:val="00FC6C2D"/>
    <w:rsid w:val="00FC79E9"/>
    <w:rsid w:val="00FC7A2C"/>
    <w:rsid w:val="00FC7A89"/>
    <w:rsid w:val="00FC7F59"/>
    <w:rsid w:val="00FD1327"/>
    <w:rsid w:val="00FD16AB"/>
    <w:rsid w:val="00FD203F"/>
    <w:rsid w:val="00FD2E3A"/>
    <w:rsid w:val="00FD38DC"/>
    <w:rsid w:val="00FD3D53"/>
    <w:rsid w:val="00FD4036"/>
    <w:rsid w:val="00FD425D"/>
    <w:rsid w:val="00FD4957"/>
    <w:rsid w:val="00FD57F3"/>
    <w:rsid w:val="00FD583A"/>
    <w:rsid w:val="00FD5CF7"/>
    <w:rsid w:val="00FD63F8"/>
    <w:rsid w:val="00FD6457"/>
    <w:rsid w:val="00FD6BCA"/>
    <w:rsid w:val="00FD6C64"/>
    <w:rsid w:val="00FD6C74"/>
    <w:rsid w:val="00FD7080"/>
    <w:rsid w:val="00FD7121"/>
    <w:rsid w:val="00FD755E"/>
    <w:rsid w:val="00FD7880"/>
    <w:rsid w:val="00FD788D"/>
    <w:rsid w:val="00FD7CD3"/>
    <w:rsid w:val="00FE0687"/>
    <w:rsid w:val="00FE0C47"/>
    <w:rsid w:val="00FE170F"/>
    <w:rsid w:val="00FE2727"/>
    <w:rsid w:val="00FE2A4D"/>
    <w:rsid w:val="00FE38F9"/>
    <w:rsid w:val="00FE44C5"/>
    <w:rsid w:val="00FE4A20"/>
    <w:rsid w:val="00FE5756"/>
    <w:rsid w:val="00FE5ECE"/>
    <w:rsid w:val="00FE6104"/>
    <w:rsid w:val="00FE7296"/>
    <w:rsid w:val="00FE7A4A"/>
    <w:rsid w:val="00FE7C10"/>
    <w:rsid w:val="00FF1021"/>
    <w:rsid w:val="00FF105A"/>
    <w:rsid w:val="00FF141F"/>
    <w:rsid w:val="00FF205A"/>
    <w:rsid w:val="00FF2DE9"/>
    <w:rsid w:val="00FF31B5"/>
    <w:rsid w:val="00FF38DA"/>
    <w:rsid w:val="00FF406D"/>
    <w:rsid w:val="00FF451D"/>
    <w:rsid w:val="00FF4BD8"/>
    <w:rsid w:val="00FF5261"/>
    <w:rsid w:val="00FF5CE3"/>
    <w:rsid w:val="00FF6E60"/>
    <w:rsid w:val="00FF79F1"/>
    <w:rsid w:val="00FF7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9D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qFormat/>
    <w:locked/>
    <w:rsid w:val="00B976F6"/>
    <w:pPr>
      <w:spacing w:before="240" w:line="240" w:lineRule="exact"/>
      <w:ind w:left="720" w:right="794" w:firstLine="0"/>
    </w:pPr>
  </w:style>
  <w:style w:type="paragraph" w:styleId="FootnoteText">
    <w:name w:val="footnote text"/>
    <w:basedOn w:val="Normal"/>
    <w:link w:val="FootnoteTextChar"/>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qFormat/>
    <w:locked/>
    <w:rsid w:val="006E359B"/>
    <w:pPr>
      <w:numPr>
        <w:numId w:val="16"/>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651C96"/>
    <w:rPr>
      <w:sz w:val="16"/>
      <w:szCs w:val="16"/>
    </w:rPr>
  </w:style>
  <w:style w:type="paragraph" w:styleId="CommentText">
    <w:name w:val="annotation text"/>
    <w:basedOn w:val="Normal"/>
    <w:link w:val="CommentTextChar"/>
    <w:uiPriority w:val="99"/>
    <w:unhideWhenUsed/>
    <w:locked/>
    <w:rsid w:val="00651C96"/>
    <w:pPr>
      <w:spacing w:line="240" w:lineRule="auto"/>
    </w:pPr>
    <w:rPr>
      <w:sz w:val="20"/>
      <w:szCs w:val="20"/>
    </w:rPr>
  </w:style>
  <w:style w:type="character" w:customStyle="1" w:styleId="CommentTextChar">
    <w:name w:val="Comment Text Char"/>
    <w:basedOn w:val="DefaultParagraphFont"/>
    <w:link w:val="CommentText"/>
    <w:uiPriority w:val="99"/>
    <w:rsid w:val="00651C96"/>
    <w:rPr>
      <w:sz w:val="20"/>
      <w:szCs w:val="20"/>
    </w:rPr>
  </w:style>
  <w:style w:type="paragraph" w:styleId="CommentSubject">
    <w:name w:val="annotation subject"/>
    <w:basedOn w:val="CommentText"/>
    <w:next w:val="CommentText"/>
    <w:link w:val="CommentSubjectChar"/>
    <w:uiPriority w:val="99"/>
    <w:semiHidden/>
    <w:unhideWhenUsed/>
    <w:locked/>
    <w:rsid w:val="00651C96"/>
    <w:rPr>
      <w:b/>
      <w:bCs/>
    </w:rPr>
  </w:style>
  <w:style w:type="character" w:customStyle="1" w:styleId="CommentSubjectChar">
    <w:name w:val="Comment Subject Char"/>
    <w:basedOn w:val="CommentTextChar"/>
    <w:link w:val="CommentSubject"/>
    <w:uiPriority w:val="99"/>
    <w:semiHidden/>
    <w:rsid w:val="00651C96"/>
    <w:rPr>
      <w:b/>
      <w:bCs/>
      <w:sz w:val="20"/>
      <w:szCs w:val="20"/>
    </w:rPr>
  </w:style>
  <w:style w:type="character" w:customStyle="1" w:styleId="FootnoteTextChar">
    <w:name w:val="Footnote Text Char"/>
    <w:basedOn w:val="DefaultParagraphFont"/>
    <w:link w:val="FootnoteText"/>
    <w:rsid w:val="00D94DD7"/>
  </w:style>
  <w:style w:type="paragraph" w:styleId="NormalWeb">
    <w:name w:val="Normal (Web)"/>
    <w:basedOn w:val="Normal"/>
    <w:uiPriority w:val="99"/>
    <w:semiHidden/>
    <w:unhideWhenUsed/>
    <w:locked/>
    <w:rsid w:val="00F31757"/>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styleId="Revision">
    <w:name w:val="Revision"/>
    <w:hidden/>
    <w:uiPriority w:val="99"/>
    <w:semiHidden/>
    <w:rsid w:val="00F31757"/>
  </w:style>
  <w:style w:type="paragraph" w:customStyle="1" w:styleId="Default">
    <w:name w:val="Default"/>
    <w:rsid w:val="003E7CFE"/>
    <w:pPr>
      <w:autoSpaceDE w:val="0"/>
      <w:autoSpaceDN w:val="0"/>
      <w:adjustRightInd w:val="0"/>
    </w:pPr>
    <w:rPr>
      <w:rFonts w:ascii="Times New Roman" w:hAnsi="Times New Roman"/>
      <w:color w:val="000000"/>
      <w:sz w:val="24"/>
      <w:szCs w:val="24"/>
    </w:rPr>
  </w:style>
  <w:style w:type="paragraph" w:customStyle="1" w:styleId="HeadingMain">
    <w:name w:val="Heading Main"/>
    <w:basedOn w:val="NormalHC"/>
    <w:next w:val="NormalHC"/>
    <w:qFormat/>
    <w:rsid w:val="004933DB"/>
    <w:pPr>
      <w:keepNext/>
      <w:numPr>
        <w:numId w:val="0"/>
      </w:numPr>
      <w:outlineLvl w:val="2"/>
    </w:pPr>
    <w:rPr>
      <w:szCs w:val="20"/>
      <w:u w:val="single"/>
      <w:lang w:eastAsia="en-US"/>
    </w:rPr>
  </w:style>
  <w:style w:type="character" w:customStyle="1" w:styleId="Emphasis1">
    <w:name w:val="Emphasis1"/>
    <w:basedOn w:val="DefaultParagraphFont"/>
    <w:rsid w:val="004933DB"/>
  </w:style>
  <w:style w:type="character" w:styleId="Hyperlink">
    <w:name w:val="Hyperlink"/>
    <w:basedOn w:val="DefaultParagraphFont"/>
    <w:uiPriority w:val="99"/>
    <w:unhideWhenUsed/>
    <w:locked/>
    <w:rsid w:val="004933DB"/>
    <w:rPr>
      <w:color w:val="0000FF"/>
      <w:u w:val="single"/>
    </w:rPr>
  </w:style>
  <w:style w:type="character" w:styleId="PlaceholderText">
    <w:name w:val="Placeholder Text"/>
    <w:basedOn w:val="DefaultParagraphFont"/>
    <w:uiPriority w:val="99"/>
    <w:semiHidden/>
    <w:locked/>
    <w:rsid w:val="004933DB"/>
    <w:rPr>
      <w:color w:val="808080"/>
    </w:rPr>
  </w:style>
  <w:style w:type="character" w:customStyle="1" w:styleId="sup">
    <w:name w:val="sup"/>
    <w:basedOn w:val="DefaultParagraphFont"/>
    <w:rsid w:val="004933DB"/>
  </w:style>
  <w:style w:type="character" w:styleId="UnresolvedMention">
    <w:name w:val="Unresolved Mention"/>
    <w:basedOn w:val="DefaultParagraphFont"/>
    <w:uiPriority w:val="99"/>
    <w:semiHidden/>
    <w:unhideWhenUsed/>
    <w:rsid w:val="004933DB"/>
    <w:rPr>
      <w:color w:val="605E5C"/>
      <w:shd w:val="clear" w:color="auto" w:fill="E1DFDD"/>
    </w:rPr>
  </w:style>
  <w:style w:type="character" w:styleId="FollowedHyperlink">
    <w:name w:val="FollowedHyperlink"/>
    <w:basedOn w:val="DefaultParagraphFont"/>
    <w:uiPriority w:val="99"/>
    <w:semiHidden/>
    <w:unhideWhenUsed/>
    <w:locked/>
    <w:rsid w:val="004933DB"/>
    <w:rPr>
      <w:color w:val="800080" w:themeColor="followedHyperlink"/>
      <w:u w:val="single"/>
    </w:rPr>
  </w:style>
  <w:style w:type="paragraph" w:customStyle="1" w:styleId="Body">
    <w:name w:val="Body"/>
    <w:basedOn w:val="Normal"/>
    <w:qFormat/>
    <w:rsid w:val="009A0B3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9A0B3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9A0B3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9A0B3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9A0B3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9A0B37"/>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6221">
      <w:bodyDiv w:val="1"/>
      <w:marLeft w:val="0"/>
      <w:marRight w:val="0"/>
      <w:marTop w:val="0"/>
      <w:marBottom w:val="0"/>
      <w:divBdr>
        <w:top w:val="none" w:sz="0" w:space="0" w:color="auto"/>
        <w:left w:val="none" w:sz="0" w:space="0" w:color="auto"/>
        <w:bottom w:val="none" w:sz="0" w:space="0" w:color="auto"/>
        <w:right w:val="none" w:sz="0" w:space="0" w:color="auto"/>
      </w:divBdr>
    </w:div>
    <w:div w:id="1178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D140-1159-4F1A-9350-81AB71C2B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70757-F888-42C1-B718-E4B6F89CEC67}">
  <ds:schemaRefs>
    <ds:schemaRef ds:uri="http://schemas.microsoft.com/office/2006/documentManagement/types"/>
    <ds:schemaRef ds:uri="cbc5b7fd-636f-49ec-b8cc-eb8a3f2ba19e"/>
    <ds:schemaRef ds:uri="http://schemas.microsoft.com/office/2006/metadata/properti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3cc3f26d-d9cc-46f3-89c7-f1482de8c8f1"/>
  </ds:schemaRefs>
</ds:datastoreItem>
</file>

<file path=customXml/itemProps3.xml><?xml version="1.0" encoding="utf-8"?>
<ds:datastoreItem xmlns:ds="http://schemas.openxmlformats.org/officeDocument/2006/customXml" ds:itemID="{1E7D2239-CDF1-426D-BBC4-77F13E1B72D0}">
  <ds:schemaRefs>
    <ds:schemaRef ds:uri="http://schemas.microsoft.com/sharepoint/v3/contenttype/forms"/>
  </ds:schemaRefs>
</ds:datastoreItem>
</file>

<file path=customXml/itemProps4.xml><?xml version="1.0" encoding="utf-8"?>
<ds:datastoreItem xmlns:ds="http://schemas.openxmlformats.org/officeDocument/2006/customXml" ds:itemID="{07878CB1-41EC-47FE-BDE9-CDDA3967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47</Pages>
  <Words>11641</Words>
  <Characters>66356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2021-08-27T06:04:00Z</dcterms:created>
  <dcterms:modified xsi:type="dcterms:W3CDTF">2021-08-27T06:04:00Z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5">
    <vt:lpwstr>EDELMAN J 05</vt:lpwstr>
  </property>
  <property fmtid="{D5CDD505-2E9C-101B-9397-08002B2CF9AE}" pid="3" name="ContentTypeId">
    <vt:lpwstr>0x0101001F32D2EC4F8DE44A8C0C478B82839881</vt:lpwstr>
  </property>
  <property fmtid="{D5CDD505-2E9C-101B-9397-08002B2CF9AE}" pid="4" name="Judge03">
    <vt:lpwstr>KEANE J 03</vt:lpwstr>
  </property>
  <property fmtid="{D5CDD505-2E9C-101B-9397-08002B2CF9AE}" pid="5" name="Judge06">
    <vt:lpwstr>STEWARD J 06</vt:lpwstr>
  </property>
  <property fmtid="{D5CDD505-2E9C-101B-9397-08002B2CF9AE}" pid="6" name="Judge01">
    <vt:lpwstr>KIEFEL CJ 01</vt:lpwstr>
  </property>
  <property fmtid="{D5CDD505-2E9C-101B-9397-08002B2CF9AE}" pid="7" name="Judge04">
    <vt:lpwstr>GORDON J 04</vt:lpwstr>
  </property>
  <property fmtid="{D5CDD505-2E9C-101B-9397-08002B2CF9AE}" pid="8" name="Judge07">
    <vt:lpwstr>GLEESON J 07</vt:lpwstr>
  </property>
  <property fmtid="{D5CDD505-2E9C-101B-9397-08002B2CF9AE}" pid="9" name="Judge02">
    <vt:lpwstr>GAGELER J 02</vt:lpwstr>
  </property>
</Properties>
</file>