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EB50D" w14:textId="77777777" w:rsidR="001D318D" w:rsidRPr="00704FF8" w:rsidRDefault="001D318D" w:rsidP="00704FF8">
      <w:pPr>
        <w:pStyle w:val="OrdersTopLine"/>
      </w:pPr>
      <w:r w:rsidRPr="00704FF8">
        <w:t>HIGH COURT OF AUSTRALIA</w:t>
      </w:r>
    </w:p>
    <w:p w14:paraId="3F147DC1" w14:textId="77777777" w:rsidR="001D318D" w:rsidRPr="00704FF8" w:rsidRDefault="001D318D" w:rsidP="00704FF8">
      <w:pPr>
        <w:pStyle w:val="OrderCentre"/>
      </w:pPr>
    </w:p>
    <w:p w14:paraId="10291A46" w14:textId="77777777" w:rsidR="001D318D" w:rsidRPr="002A3D3E" w:rsidRDefault="001D318D" w:rsidP="00704FF8">
      <w:pPr>
        <w:pStyle w:val="OrderCentre"/>
        <w:rPr>
          <w:sz w:val="24"/>
          <w:szCs w:val="24"/>
        </w:rPr>
      </w:pPr>
      <w:r w:rsidRPr="002A3D3E">
        <w:rPr>
          <w:sz w:val="24"/>
          <w:szCs w:val="24"/>
        </w:rPr>
        <w:t>KIEFEL CJ,</w:t>
      </w:r>
    </w:p>
    <w:p w14:paraId="13E1BC02" w14:textId="77777777" w:rsidR="001D318D" w:rsidRPr="002A3D3E" w:rsidRDefault="001D318D" w:rsidP="00704FF8">
      <w:pPr>
        <w:pStyle w:val="OrderCentre"/>
        <w:rPr>
          <w:sz w:val="24"/>
          <w:szCs w:val="24"/>
        </w:rPr>
      </w:pPr>
      <w:r w:rsidRPr="002A3D3E">
        <w:rPr>
          <w:sz w:val="24"/>
          <w:szCs w:val="24"/>
        </w:rPr>
        <w:t>GAGELER, KEANE, GORDON, EDELMAN, STEWARD AND GLEESON JJ</w:t>
      </w:r>
    </w:p>
    <w:p w14:paraId="55F664A1" w14:textId="77777777" w:rsidR="001D318D" w:rsidRPr="00427F3A" w:rsidRDefault="001D318D" w:rsidP="00EE5374">
      <w:pPr>
        <w:pStyle w:val="Centre"/>
        <w:rPr>
          <w:lang w:val="en-AU"/>
        </w:rPr>
      </w:pPr>
    </w:p>
    <w:p w14:paraId="687F4E66" w14:textId="77777777" w:rsidR="001D318D" w:rsidRPr="00704FF8" w:rsidRDefault="001D318D" w:rsidP="00704FF8">
      <w:pPr>
        <w:pStyle w:val="OrdersCenteredBorder"/>
      </w:pPr>
    </w:p>
    <w:p w14:paraId="76EF9E0E" w14:textId="77777777" w:rsidR="001D318D" w:rsidRDefault="001D318D" w:rsidP="00E25BA0">
      <w:pPr>
        <w:pStyle w:val="OrdersPartyName"/>
        <w:ind w:right="-1"/>
        <w:rPr>
          <w:b/>
        </w:rPr>
      </w:pPr>
      <w:r w:rsidRPr="00E25BA0">
        <w:rPr>
          <w:b/>
        </w:rPr>
        <w:t>S236/2020</w:t>
      </w:r>
    </w:p>
    <w:p w14:paraId="618F7AB7" w14:textId="77777777" w:rsidR="001D318D" w:rsidRDefault="001D318D" w:rsidP="00E25BA0">
      <w:pPr>
        <w:pStyle w:val="OrdersPartyName"/>
        <w:ind w:right="-1"/>
      </w:pPr>
    </w:p>
    <w:p w14:paraId="5863B398" w14:textId="77777777" w:rsidR="001D318D" w:rsidRDefault="001D318D" w:rsidP="00E25BA0">
      <w:pPr>
        <w:pStyle w:val="OrdersPartyName"/>
        <w:ind w:right="-1"/>
      </w:pPr>
      <w:r w:rsidRPr="00E25BA0">
        <w:t>FAIRFAX MEDIA PUBLICATIONS PTY LTD</w:t>
      </w:r>
      <w:r>
        <w:tab/>
        <w:t>APPELLANT</w:t>
      </w:r>
    </w:p>
    <w:p w14:paraId="03EDA464" w14:textId="77777777" w:rsidR="001D318D" w:rsidRDefault="001D318D" w:rsidP="00E25BA0">
      <w:pPr>
        <w:pStyle w:val="OrdersPartyName"/>
        <w:ind w:right="-1"/>
      </w:pPr>
    </w:p>
    <w:p w14:paraId="4EC83F75" w14:textId="77777777" w:rsidR="001D318D" w:rsidRDefault="001D318D" w:rsidP="00E25BA0">
      <w:pPr>
        <w:pStyle w:val="OrdersPartyName"/>
        <w:ind w:right="-1"/>
      </w:pPr>
      <w:r>
        <w:t>AND</w:t>
      </w:r>
    </w:p>
    <w:p w14:paraId="73374F02" w14:textId="77777777" w:rsidR="001D318D" w:rsidRDefault="001D318D" w:rsidP="00E25BA0">
      <w:pPr>
        <w:pStyle w:val="OrdersPartyName"/>
        <w:ind w:right="-1"/>
      </w:pPr>
    </w:p>
    <w:p w14:paraId="2BDEE1F6" w14:textId="77777777" w:rsidR="001D318D" w:rsidRDefault="001D318D" w:rsidP="00E25BA0">
      <w:pPr>
        <w:pStyle w:val="OrdersPartyName"/>
        <w:ind w:right="-1"/>
        <w:jc w:val="left"/>
      </w:pPr>
      <w:r w:rsidRPr="00E25BA0">
        <w:t>DYLAN VOLLER</w:t>
      </w:r>
      <w:r>
        <w:tab/>
        <w:t>RESPONDENT</w:t>
      </w:r>
    </w:p>
    <w:p w14:paraId="208F52F1" w14:textId="77777777" w:rsidR="001D318D" w:rsidRDefault="001D318D" w:rsidP="00E25BA0">
      <w:pPr>
        <w:pStyle w:val="OrdersPartyName"/>
        <w:ind w:right="-1"/>
      </w:pPr>
    </w:p>
    <w:p w14:paraId="356DA059" w14:textId="77777777" w:rsidR="001D318D" w:rsidRDefault="001D318D" w:rsidP="00E25BA0">
      <w:pPr>
        <w:pStyle w:val="OrdersPartyName"/>
        <w:ind w:right="-1"/>
      </w:pPr>
    </w:p>
    <w:p w14:paraId="49AD4408" w14:textId="77777777" w:rsidR="001D318D" w:rsidRDefault="001D318D" w:rsidP="00E25BA0">
      <w:pPr>
        <w:pStyle w:val="OrdersPartyName"/>
        <w:ind w:right="-1"/>
        <w:rPr>
          <w:b/>
        </w:rPr>
      </w:pPr>
      <w:r w:rsidRPr="00E25BA0">
        <w:rPr>
          <w:b/>
        </w:rPr>
        <w:t>S237/2020</w:t>
      </w:r>
    </w:p>
    <w:p w14:paraId="1717CE9C" w14:textId="77777777" w:rsidR="001D318D" w:rsidRDefault="001D318D" w:rsidP="00E25BA0">
      <w:pPr>
        <w:pStyle w:val="OrdersPartyName"/>
        <w:ind w:right="-1"/>
      </w:pPr>
    </w:p>
    <w:p w14:paraId="075DF923" w14:textId="77777777" w:rsidR="001D318D" w:rsidRDefault="001D318D" w:rsidP="00E25BA0">
      <w:pPr>
        <w:pStyle w:val="OrdersPartyName"/>
        <w:ind w:right="-1"/>
      </w:pPr>
      <w:r w:rsidRPr="00E25BA0">
        <w:t>NATIONWIDE NEWS PTY LIMITED</w:t>
      </w:r>
      <w:r>
        <w:tab/>
        <w:t>APPELLANT</w:t>
      </w:r>
    </w:p>
    <w:p w14:paraId="3B2B6B9D" w14:textId="77777777" w:rsidR="001D318D" w:rsidRDefault="001D318D" w:rsidP="00E25BA0">
      <w:pPr>
        <w:pStyle w:val="OrdersPartyName"/>
        <w:ind w:right="-1"/>
      </w:pPr>
    </w:p>
    <w:p w14:paraId="0BCC2CD9" w14:textId="77777777" w:rsidR="001D318D" w:rsidRDefault="001D318D" w:rsidP="00E25BA0">
      <w:pPr>
        <w:pStyle w:val="OrdersPartyName"/>
        <w:ind w:right="-1"/>
      </w:pPr>
      <w:r>
        <w:t>AND</w:t>
      </w:r>
    </w:p>
    <w:p w14:paraId="32E126E6" w14:textId="77777777" w:rsidR="001D318D" w:rsidRDefault="001D318D" w:rsidP="00E25BA0">
      <w:pPr>
        <w:pStyle w:val="OrdersPartyName"/>
        <w:ind w:right="-1"/>
      </w:pPr>
    </w:p>
    <w:p w14:paraId="029E0386" w14:textId="77777777" w:rsidR="001D318D" w:rsidRDefault="001D318D" w:rsidP="00E25BA0">
      <w:pPr>
        <w:pStyle w:val="OrdersPartyName"/>
        <w:ind w:right="-1"/>
        <w:jc w:val="left"/>
      </w:pPr>
      <w:r w:rsidRPr="00E25BA0">
        <w:t>DYLAN VOLLER</w:t>
      </w:r>
      <w:r>
        <w:tab/>
        <w:t>RESPONDENT</w:t>
      </w:r>
    </w:p>
    <w:p w14:paraId="02F9E77A" w14:textId="77777777" w:rsidR="001D318D" w:rsidRDefault="001D318D" w:rsidP="00E25BA0">
      <w:pPr>
        <w:pStyle w:val="OrdersPartyName"/>
        <w:ind w:right="-1"/>
      </w:pPr>
    </w:p>
    <w:p w14:paraId="4831E4DA" w14:textId="77777777" w:rsidR="001D318D" w:rsidRDefault="001D318D" w:rsidP="00E25BA0">
      <w:pPr>
        <w:pStyle w:val="OrdersPartyName"/>
        <w:ind w:right="-1"/>
      </w:pPr>
    </w:p>
    <w:p w14:paraId="3D254C24" w14:textId="77777777" w:rsidR="001D318D" w:rsidRDefault="001D318D" w:rsidP="00E25BA0">
      <w:pPr>
        <w:pStyle w:val="OrdersPartyName"/>
        <w:ind w:right="-1"/>
        <w:rPr>
          <w:b/>
        </w:rPr>
      </w:pPr>
      <w:r w:rsidRPr="00E25BA0">
        <w:rPr>
          <w:b/>
        </w:rPr>
        <w:t>S238/2020</w:t>
      </w:r>
    </w:p>
    <w:p w14:paraId="5AE6E82E" w14:textId="77777777" w:rsidR="001D318D" w:rsidRDefault="001D318D" w:rsidP="00E25BA0">
      <w:pPr>
        <w:pStyle w:val="OrdersPartyName"/>
        <w:ind w:right="-1"/>
      </w:pPr>
    </w:p>
    <w:p w14:paraId="67660426" w14:textId="77777777" w:rsidR="001D318D" w:rsidRDefault="001D318D" w:rsidP="00E25BA0">
      <w:pPr>
        <w:pStyle w:val="OrdersPartyName"/>
        <w:ind w:right="-1"/>
      </w:pPr>
      <w:r w:rsidRPr="00E25BA0">
        <w:t>AUSTRALIAN NEWS CHANNEL PTY LTD</w:t>
      </w:r>
      <w:r>
        <w:tab/>
        <w:t>APPELLANT</w:t>
      </w:r>
    </w:p>
    <w:p w14:paraId="4FBA2508" w14:textId="77777777" w:rsidR="001D318D" w:rsidRDefault="001D318D" w:rsidP="00E25BA0">
      <w:pPr>
        <w:pStyle w:val="OrdersPartyName"/>
        <w:ind w:right="-1"/>
      </w:pPr>
    </w:p>
    <w:p w14:paraId="332B8E15" w14:textId="77777777" w:rsidR="001D318D" w:rsidRDefault="001D318D" w:rsidP="00E25BA0">
      <w:pPr>
        <w:pStyle w:val="OrdersPartyName"/>
        <w:ind w:right="-1"/>
      </w:pPr>
      <w:r>
        <w:t>AND</w:t>
      </w:r>
    </w:p>
    <w:p w14:paraId="28F67DDE" w14:textId="77777777" w:rsidR="001D318D" w:rsidRDefault="001D318D" w:rsidP="00E25BA0">
      <w:pPr>
        <w:pStyle w:val="OrdersPartyName"/>
        <w:ind w:right="-1"/>
      </w:pPr>
    </w:p>
    <w:p w14:paraId="13477702" w14:textId="77777777" w:rsidR="001D318D" w:rsidRDefault="001D318D" w:rsidP="00E25BA0">
      <w:pPr>
        <w:pStyle w:val="OrdersPartyName"/>
        <w:ind w:right="-1"/>
        <w:jc w:val="left"/>
      </w:pPr>
      <w:r w:rsidRPr="00E25BA0">
        <w:t>DYLAN VOLLER</w:t>
      </w:r>
      <w:r>
        <w:tab/>
        <w:t>RESPONDENT</w:t>
      </w:r>
    </w:p>
    <w:p w14:paraId="37AD3489" w14:textId="77777777" w:rsidR="001D318D" w:rsidRPr="00427F3A" w:rsidRDefault="001D318D" w:rsidP="00E25BA0">
      <w:pPr>
        <w:pStyle w:val="BodyHeading"/>
      </w:pPr>
    </w:p>
    <w:p w14:paraId="0AC53713" w14:textId="77777777" w:rsidR="001D318D" w:rsidRPr="00427F3A" w:rsidRDefault="001D318D" w:rsidP="00E25BA0">
      <w:pPr>
        <w:pStyle w:val="BodyHeading"/>
      </w:pPr>
    </w:p>
    <w:p w14:paraId="4ADE9C6F" w14:textId="77777777" w:rsidR="001D318D" w:rsidRDefault="001D318D" w:rsidP="00EE5374">
      <w:pPr>
        <w:pStyle w:val="CentreItalics"/>
      </w:pPr>
      <w:r w:rsidRPr="00E25BA0">
        <w:t>Fairfax Media Publications Pty Ltd v Voller</w:t>
      </w:r>
    </w:p>
    <w:p w14:paraId="59242191" w14:textId="77777777" w:rsidR="001D318D" w:rsidRDefault="001D318D" w:rsidP="00EE5374">
      <w:pPr>
        <w:pStyle w:val="CentreItalics"/>
      </w:pPr>
      <w:r w:rsidRPr="00E25BA0">
        <w:t>Nationwide News Pty Limited v Voller</w:t>
      </w:r>
    </w:p>
    <w:p w14:paraId="5A28B04F" w14:textId="77777777" w:rsidR="001D318D" w:rsidRPr="00427F3A" w:rsidRDefault="001D318D" w:rsidP="00EE5374">
      <w:pPr>
        <w:pStyle w:val="CentreItalics"/>
      </w:pPr>
      <w:r w:rsidRPr="00E25BA0">
        <w:t>Australian News Channel Pty Ltd v Voller</w:t>
      </w:r>
    </w:p>
    <w:p w14:paraId="6600B178" w14:textId="77777777" w:rsidR="001D318D" w:rsidRPr="00427F3A" w:rsidRDefault="001D318D" w:rsidP="00E90E4F">
      <w:pPr>
        <w:pStyle w:val="OrdersCentre"/>
      </w:pPr>
      <w:r>
        <w:t>[2021</w:t>
      </w:r>
      <w:r w:rsidRPr="00427F3A">
        <w:t xml:space="preserve">] HCA </w:t>
      </w:r>
      <w:r>
        <w:t>27</w:t>
      </w:r>
    </w:p>
    <w:p w14:paraId="43A54294" w14:textId="77777777" w:rsidR="001D318D" w:rsidRDefault="001D318D" w:rsidP="00E90E4F">
      <w:pPr>
        <w:pStyle w:val="OrdersCentreItalics"/>
      </w:pPr>
      <w:r>
        <w:t xml:space="preserve">Date of Hearing: </w:t>
      </w:r>
      <w:r w:rsidRPr="00E25BA0">
        <w:t>18 May 2021</w:t>
      </w:r>
    </w:p>
    <w:p w14:paraId="35F7F684" w14:textId="77777777" w:rsidR="001D318D" w:rsidRPr="00427F3A" w:rsidRDefault="001D318D" w:rsidP="00E90E4F">
      <w:pPr>
        <w:pStyle w:val="OrdersCentreItalics"/>
      </w:pPr>
      <w:r>
        <w:t>Date of Judgment: 8 September 2021</w:t>
      </w:r>
    </w:p>
    <w:p w14:paraId="04B8FC20" w14:textId="77777777" w:rsidR="001D318D" w:rsidRDefault="001D318D" w:rsidP="00E90E4F">
      <w:pPr>
        <w:pStyle w:val="OrdersCentre"/>
      </w:pPr>
      <w:r w:rsidRPr="00E25BA0">
        <w:t>S236/2020</w:t>
      </w:r>
      <w:r>
        <w:t xml:space="preserve">, </w:t>
      </w:r>
      <w:r w:rsidRPr="00E25BA0">
        <w:t>S237/2020</w:t>
      </w:r>
      <w:r>
        <w:t xml:space="preserve"> &amp; </w:t>
      </w:r>
      <w:r w:rsidRPr="00E25BA0">
        <w:t>S238/2020</w:t>
      </w:r>
    </w:p>
    <w:p w14:paraId="47AD06C1" w14:textId="3E4300DB" w:rsidR="001D318D" w:rsidRDefault="001D318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2B849CCA" w14:textId="197FB2F3" w:rsidR="001D318D" w:rsidRDefault="001D318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5300C548" w14:textId="77777777" w:rsidR="001D318D" w:rsidRPr="00427F3A" w:rsidRDefault="001D318D" w:rsidP="00E90E4F">
      <w:pPr>
        <w:pStyle w:val="OrdersCentre"/>
      </w:pPr>
    </w:p>
    <w:p w14:paraId="53E8FD9E" w14:textId="77777777" w:rsidR="001D318D" w:rsidRPr="00BE0A6C" w:rsidRDefault="001D318D" w:rsidP="00955414">
      <w:pPr>
        <w:pStyle w:val="OrderCentreBold"/>
        <w:keepNext/>
      </w:pPr>
      <w:r w:rsidRPr="00BE0A6C">
        <w:t>ORDER</w:t>
      </w:r>
    </w:p>
    <w:p w14:paraId="2C5678A2" w14:textId="77777777" w:rsidR="001D318D" w:rsidRPr="00427F3A" w:rsidRDefault="001D318D" w:rsidP="00955414">
      <w:pPr>
        <w:pStyle w:val="Centre"/>
        <w:keepNext/>
        <w:rPr>
          <w:lang w:val="en-AU"/>
        </w:rPr>
      </w:pPr>
    </w:p>
    <w:p w14:paraId="0C5E975A" w14:textId="77777777" w:rsidR="001D318D" w:rsidRDefault="001D318D" w:rsidP="00955414">
      <w:pPr>
        <w:pStyle w:val="OrdersText"/>
        <w:keepNext/>
      </w:pPr>
      <w:r>
        <w:t>In each matter:</w:t>
      </w:r>
    </w:p>
    <w:p w14:paraId="23E10986" w14:textId="77777777" w:rsidR="001D318D" w:rsidRDefault="001D318D" w:rsidP="00AD60F5">
      <w:pPr>
        <w:pStyle w:val="OrdersText"/>
        <w:keepNext/>
      </w:pPr>
    </w:p>
    <w:p w14:paraId="0B372B81" w14:textId="77777777" w:rsidR="001D318D" w:rsidRDefault="001D318D" w:rsidP="004A4F58">
      <w:pPr>
        <w:pStyle w:val="OrdersText"/>
      </w:pPr>
      <w:r>
        <w:t xml:space="preserve">Appeal dismissed with costs. </w:t>
      </w:r>
    </w:p>
    <w:p w14:paraId="5E8CB4D3" w14:textId="77777777" w:rsidR="001D318D" w:rsidRDefault="001D318D" w:rsidP="004A4F58">
      <w:pPr>
        <w:pStyle w:val="OrdersText"/>
      </w:pPr>
    </w:p>
    <w:p w14:paraId="5701EEFF" w14:textId="77777777" w:rsidR="001D318D" w:rsidRDefault="001D318D" w:rsidP="004A4F58">
      <w:pPr>
        <w:pStyle w:val="OrdersText"/>
      </w:pPr>
    </w:p>
    <w:p w14:paraId="003A9F82" w14:textId="77777777" w:rsidR="001D318D" w:rsidRPr="00427F3A" w:rsidRDefault="001D318D" w:rsidP="0032341F">
      <w:pPr>
        <w:pStyle w:val="OrdersBody"/>
      </w:pPr>
      <w:r w:rsidRPr="00427F3A">
        <w:t xml:space="preserve">On appeal from the </w:t>
      </w:r>
      <w:r w:rsidRPr="00E25BA0">
        <w:t>Supreme Court of New South Wales</w:t>
      </w:r>
    </w:p>
    <w:p w14:paraId="6405DCCC" w14:textId="77777777" w:rsidR="001D318D" w:rsidRDefault="001D318D" w:rsidP="00EE5374">
      <w:pPr>
        <w:pStyle w:val="Body"/>
      </w:pPr>
    </w:p>
    <w:p w14:paraId="4FF45C25" w14:textId="77777777" w:rsidR="001D318D" w:rsidRPr="00427F3A" w:rsidRDefault="001D318D" w:rsidP="00EE5374">
      <w:pPr>
        <w:pStyle w:val="Body"/>
      </w:pPr>
    </w:p>
    <w:p w14:paraId="6C7FDE17" w14:textId="77777777" w:rsidR="001D318D" w:rsidRPr="00F002F6" w:rsidRDefault="001D318D" w:rsidP="00E90E4F">
      <w:pPr>
        <w:pStyle w:val="OrdersBodyHeading"/>
      </w:pPr>
      <w:r w:rsidRPr="00F002F6">
        <w:t>Representation</w:t>
      </w:r>
    </w:p>
    <w:p w14:paraId="007812B8" w14:textId="77777777" w:rsidR="001D318D" w:rsidRPr="00F002F6" w:rsidRDefault="001D318D" w:rsidP="00EE5374">
      <w:pPr>
        <w:pStyle w:val="Body"/>
      </w:pPr>
    </w:p>
    <w:p w14:paraId="1972C1C9" w14:textId="77777777" w:rsidR="001D318D" w:rsidRPr="00F002F6" w:rsidRDefault="001D318D" w:rsidP="00E90E4F">
      <w:pPr>
        <w:pStyle w:val="OrdersBody"/>
      </w:pPr>
      <w:r w:rsidRPr="00F002F6">
        <w:t xml:space="preserve">N J Young QC </w:t>
      </w:r>
      <w:r>
        <w:t>and</w:t>
      </w:r>
      <w:r w:rsidRPr="00F002F6">
        <w:t xml:space="preserve"> P D Herzfeld SC </w:t>
      </w:r>
      <w:r>
        <w:t>with</w:t>
      </w:r>
      <w:r w:rsidRPr="00F002F6">
        <w:t xml:space="preserve"> L E Barnett for the appellant in each matter (instructed by Ashurst)</w:t>
      </w:r>
    </w:p>
    <w:p w14:paraId="6281048D" w14:textId="77777777" w:rsidR="001D318D" w:rsidRPr="00F002F6" w:rsidRDefault="001D318D" w:rsidP="001B3C97">
      <w:pPr>
        <w:pStyle w:val="Body"/>
      </w:pPr>
    </w:p>
    <w:p w14:paraId="0A9873F9" w14:textId="77777777" w:rsidR="001D318D" w:rsidRPr="00F002F6" w:rsidRDefault="001D318D" w:rsidP="00E90E4F">
      <w:pPr>
        <w:pStyle w:val="OrdersBody"/>
      </w:pPr>
      <w:r w:rsidRPr="00F002F6">
        <w:t>P W J Gray SC with R W Potter SC and L A R Goodchild for the respondent in each matter (instructed by O</w:t>
      </w:r>
      <w:r w:rsidRPr="00427F3A">
        <w:rPr>
          <w:lang w:val="en-AU"/>
        </w:rPr>
        <w:t>'</w:t>
      </w:r>
      <w:r w:rsidRPr="00F002F6">
        <w:t>Brien Criminal and Civil Solicitors)</w:t>
      </w:r>
    </w:p>
    <w:p w14:paraId="15A5D20E" w14:textId="77777777" w:rsidR="001D318D" w:rsidRPr="00F002F6" w:rsidRDefault="001D318D" w:rsidP="00A01277">
      <w:pPr>
        <w:pStyle w:val="Body"/>
      </w:pPr>
    </w:p>
    <w:p w14:paraId="15781837" w14:textId="77777777" w:rsidR="001D318D" w:rsidRDefault="001D318D" w:rsidP="00A01277">
      <w:pPr>
        <w:pStyle w:val="Body"/>
      </w:pPr>
    </w:p>
    <w:p w14:paraId="3B45A124" w14:textId="77777777" w:rsidR="001D318D" w:rsidRDefault="001D318D" w:rsidP="00A01277">
      <w:pPr>
        <w:pStyle w:val="Body"/>
      </w:pPr>
    </w:p>
    <w:p w14:paraId="7943AD87" w14:textId="77777777" w:rsidR="001D318D" w:rsidRDefault="001D318D" w:rsidP="00A01277">
      <w:pPr>
        <w:pStyle w:val="Body"/>
      </w:pPr>
    </w:p>
    <w:p w14:paraId="346510E0" w14:textId="77777777" w:rsidR="001D318D" w:rsidRDefault="001D318D" w:rsidP="00A01277">
      <w:pPr>
        <w:pStyle w:val="Body"/>
      </w:pPr>
    </w:p>
    <w:p w14:paraId="24452C88" w14:textId="77777777" w:rsidR="001D318D" w:rsidRDefault="001D318D" w:rsidP="00A01277">
      <w:pPr>
        <w:pStyle w:val="Body"/>
      </w:pPr>
    </w:p>
    <w:p w14:paraId="0CCA1801" w14:textId="77777777" w:rsidR="001D318D" w:rsidRDefault="001D318D" w:rsidP="00A01277">
      <w:pPr>
        <w:pStyle w:val="Body"/>
      </w:pPr>
    </w:p>
    <w:p w14:paraId="4007937D" w14:textId="77777777" w:rsidR="001D318D" w:rsidRDefault="001D318D" w:rsidP="00A01277">
      <w:pPr>
        <w:pStyle w:val="Body"/>
      </w:pPr>
    </w:p>
    <w:p w14:paraId="7DB1F3EE" w14:textId="77777777" w:rsidR="001D318D" w:rsidRDefault="001D318D" w:rsidP="00A01277">
      <w:pPr>
        <w:pStyle w:val="Body"/>
      </w:pPr>
    </w:p>
    <w:p w14:paraId="2EE7E347" w14:textId="77777777" w:rsidR="001D318D" w:rsidRDefault="001D318D" w:rsidP="00A01277">
      <w:pPr>
        <w:pStyle w:val="Body"/>
      </w:pPr>
    </w:p>
    <w:p w14:paraId="1106F157" w14:textId="77777777" w:rsidR="001D318D" w:rsidRDefault="001D318D" w:rsidP="00A01277">
      <w:pPr>
        <w:pStyle w:val="Body"/>
      </w:pPr>
    </w:p>
    <w:p w14:paraId="52654237" w14:textId="77777777" w:rsidR="001D318D" w:rsidRDefault="001D318D" w:rsidP="00A01277">
      <w:pPr>
        <w:pStyle w:val="Body"/>
      </w:pPr>
    </w:p>
    <w:p w14:paraId="11AA06E2" w14:textId="77777777" w:rsidR="001D318D" w:rsidRDefault="001D318D" w:rsidP="00A01277">
      <w:pPr>
        <w:pStyle w:val="Body"/>
      </w:pPr>
    </w:p>
    <w:p w14:paraId="42D6C9D8" w14:textId="77777777" w:rsidR="001D318D" w:rsidRDefault="001D318D" w:rsidP="00A01277">
      <w:pPr>
        <w:pStyle w:val="Body"/>
      </w:pPr>
    </w:p>
    <w:p w14:paraId="450A30B8" w14:textId="77777777" w:rsidR="001D318D" w:rsidRDefault="001D318D" w:rsidP="00A01277">
      <w:pPr>
        <w:pStyle w:val="Body"/>
      </w:pPr>
    </w:p>
    <w:p w14:paraId="32FBE719" w14:textId="77777777" w:rsidR="001D318D" w:rsidRDefault="001D318D" w:rsidP="00A01277">
      <w:pPr>
        <w:pStyle w:val="Body"/>
      </w:pPr>
    </w:p>
    <w:p w14:paraId="04DD8546" w14:textId="77777777" w:rsidR="001D318D" w:rsidRDefault="001D318D" w:rsidP="00A01277">
      <w:pPr>
        <w:pStyle w:val="Body"/>
      </w:pPr>
    </w:p>
    <w:p w14:paraId="414E8414" w14:textId="77777777" w:rsidR="001D318D" w:rsidRDefault="001D318D" w:rsidP="00A01277">
      <w:pPr>
        <w:pStyle w:val="Body"/>
      </w:pPr>
    </w:p>
    <w:p w14:paraId="7C2DCF33" w14:textId="77777777" w:rsidR="001D318D" w:rsidRDefault="001D318D" w:rsidP="00A01277">
      <w:pPr>
        <w:pStyle w:val="Body"/>
      </w:pPr>
    </w:p>
    <w:p w14:paraId="0472D2DD" w14:textId="77777777" w:rsidR="001D318D" w:rsidRDefault="001D318D" w:rsidP="00EE5374">
      <w:pPr>
        <w:pStyle w:val="Body"/>
      </w:pPr>
    </w:p>
    <w:p w14:paraId="44101B29" w14:textId="77777777" w:rsidR="001D318D" w:rsidRPr="00427F3A" w:rsidRDefault="001D318D" w:rsidP="00EE5374">
      <w:pPr>
        <w:pStyle w:val="Body"/>
      </w:pPr>
    </w:p>
    <w:p w14:paraId="38EEDA8C" w14:textId="77777777" w:rsidR="001D318D" w:rsidRPr="00427F3A" w:rsidRDefault="001D318D" w:rsidP="00F9713B">
      <w:pPr>
        <w:pStyle w:val="Notice"/>
        <w:rPr>
          <w:lang w:val="en-AU"/>
        </w:rPr>
      </w:pPr>
      <w:r w:rsidRPr="00427F3A">
        <w:rPr>
          <w:lang w:val="en-AU"/>
        </w:rPr>
        <w:t>Notice:  This copy of the Court's Reasons for Judgment is subject to formal revision prior to publication in the Commonwealth Law Reports.</w:t>
      </w:r>
    </w:p>
    <w:p w14:paraId="74E76C1C" w14:textId="38C5FEC5" w:rsidR="001D318D" w:rsidRDefault="001D318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6CC772F" w14:textId="77777777" w:rsidR="000826EE" w:rsidRDefault="001D318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826EE" w:rsidSect="001D318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46D5713" w14:textId="77777777" w:rsidR="000826EE" w:rsidRPr="007B6462" w:rsidRDefault="000826EE" w:rsidP="005A02C2">
      <w:pPr>
        <w:pStyle w:val="CatchwordsBold"/>
      </w:pPr>
      <w:r w:rsidRPr="007B6462">
        <w:lastRenderedPageBreak/>
        <w:t>CATCHWORDS</w:t>
      </w:r>
    </w:p>
    <w:p w14:paraId="11B22B47" w14:textId="77777777" w:rsidR="000826EE" w:rsidRPr="007B6462" w:rsidRDefault="000826EE" w:rsidP="005A02C2">
      <w:pPr>
        <w:pStyle w:val="CatchwordsBold"/>
      </w:pPr>
    </w:p>
    <w:p w14:paraId="7B32FF2F" w14:textId="77777777" w:rsidR="000826EE" w:rsidRPr="007B6462" w:rsidRDefault="000826EE" w:rsidP="005A02C2">
      <w:pPr>
        <w:pStyle w:val="CatchwordsBold"/>
      </w:pPr>
      <w:bookmarkStart w:id="0" w:name="CaseName"/>
      <w:r w:rsidRPr="007B6462">
        <w:t>Fairfax Media Publications Pty Ltd v Voller</w:t>
      </w:r>
    </w:p>
    <w:p w14:paraId="6E749759" w14:textId="77777777" w:rsidR="000826EE" w:rsidRPr="007B6462" w:rsidRDefault="000826EE" w:rsidP="005A02C2">
      <w:pPr>
        <w:pStyle w:val="CatchwordsBold"/>
      </w:pPr>
      <w:r w:rsidRPr="007B6462">
        <w:t xml:space="preserve">Nationwide News Pty </w:t>
      </w:r>
      <w:r>
        <w:t>Limited</w:t>
      </w:r>
      <w:r w:rsidRPr="007B6462">
        <w:t xml:space="preserve"> v Voller </w:t>
      </w:r>
    </w:p>
    <w:p w14:paraId="09DF131E" w14:textId="77777777" w:rsidR="000826EE" w:rsidRPr="007B6462" w:rsidRDefault="000826EE" w:rsidP="005A02C2">
      <w:pPr>
        <w:pStyle w:val="CatchwordsBold"/>
      </w:pPr>
      <w:r w:rsidRPr="007B6462">
        <w:t>Australian News Channel Pty Ltd v Voller</w:t>
      </w:r>
    </w:p>
    <w:bookmarkEnd w:id="0"/>
    <w:p w14:paraId="4DED1B06" w14:textId="77777777" w:rsidR="000826EE" w:rsidRPr="007B6462" w:rsidRDefault="000826EE" w:rsidP="005A02C2">
      <w:pPr>
        <w:pStyle w:val="CatchwordsText"/>
      </w:pPr>
    </w:p>
    <w:p w14:paraId="1C3286B4" w14:textId="77777777" w:rsidR="000826EE" w:rsidRPr="007B6462" w:rsidRDefault="000826EE" w:rsidP="005A02C2">
      <w:pPr>
        <w:pStyle w:val="CatchwordsText"/>
      </w:pPr>
      <w:r w:rsidRPr="007B6462">
        <w:t xml:space="preserve">Defamation – Publication – Where appellants were media companies – </w:t>
      </w:r>
      <w:r w:rsidRPr="007B6462">
        <w:rPr>
          <w:iCs/>
        </w:rPr>
        <w:t xml:space="preserve">Where each appellant created, operated and maintained public Facebook page – Where each appellant created posts on Facebook page hyperlinking to news stories referring to respondent – Where third-party Facebook users left "comments" on appellants' posts – Where comments alleged to be defamatory of respondent – Whether appellants </w:t>
      </w:r>
      <w:r>
        <w:rPr>
          <w:iCs/>
        </w:rPr>
        <w:t>"</w:t>
      </w:r>
      <w:r w:rsidRPr="007B6462">
        <w:rPr>
          <w:iCs/>
        </w:rPr>
        <w:t>publishers</w:t>
      </w:r>
      <w:r>
        <w:rPr>
          <w:iCs/>
        </w:rPr>
        <w:t>"</w:t>
      </w:r>
      <w:r w:rsidRPr="007B6462">
        <w:rPr>
          <w:iCs/>
        </w:rPr>
        <w:t xml:space="preserve"> of comments – Whether intention to communicate defamatory matter necessary for appellants to be publishers. </w:t>
      </w:r>
    </w:p>
    <w:p w14:paraId="596672D8" w14:textId="77777777" w:rsidR="000826EE" w:rsidRPr="007B6462" w:rsidRDefault="000826EE" w:rsidP="005A02C2">
      <w:pPr>
        <w:pStyle w:val="CatchwordsText"/>
      </w:pPr>
    </w:p>
    <w:p w14:paraId="4A509EF0" w14:textId="77777777" w:rsidR="000826EE" w:rsidRPr="007B6462" w:rsidRDefault="000826EE" w:rsidP="005A02C2">
      <w:pPr>
        <w:pStyle w:val="CatchwordsText"/>
      </w:pPr>
      <w:r w:rsidRPr="007B6462">
        <w:t>Words and phrases – "communication of defamatory matter to a third party", "defamation", "digital newspaper or broadcast", "encouraged and facilitated", "Facebook comments", "Facebook page", "innocent dissemination", "intention to publish defamatory matter", "internet platform providers", "participation", "participation in the process", "publication", "publisher", "rebuttable presumption of publication", "strict liability", "third party".</w:t>
      </w:r>
    </w:p>
    <w:p w14:paraId="11EE2832" w14:textId="77777777" w:rsidR="000826EE" w:rsidRPr="007B6462" w:rsidRDefault="000826EE" w:rsidP="005A02C2">
      <w:pPr>
        <w:pStyle w:val="CatchwordsText"/>
      </w:pPr>
    </w:p>
    <w:p w14:paraId="7888B2D1" w14:textId="77777777" w:rsidR="000826EE" w:rsidRPr="0097128D" w:rsidRDefault="000826EE" w:rsidP="005A02C2">
      <w:pPr>
        <w:pStyle w:val="CatchwordsText"/>
      </w:pPr>
      <w:r w:rsidRPr="007B6462">
        <w:rPr>
          <w:i/>
        </w:rPr>
        <w:t xml:space="preserve">Defamation Act 2005 </w:t>
      </w:r>
      <w:r w:rsidRPr="007B6462">
        <w:t>(NSW), s 7(2).</w:t>
      </w:r>
    </w:p>
    <w:p w14:paraId="1ECB9500" w14:textId="1EE5F3F3" w:rsidR="001D318D" w:rsidRDefault="001D318D" w:rsidP="005A02C2">
      <w:pPr>
        <w:pStyle w:val="CatchwordsText"/>
      </w:pPr>
    </w:p>
    <w:p w14:paraId="66D629E1" w14:textId="299F8EF2" w:rsidR="000826EE" w:rsidRDefault="000826E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93B9242" w14:textId="2D66DE98" w:rsidR="000826EE" w:rsidRDefault="000826E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E764748" w14:textId="77777777" w:rsidR="001D318D" w:rsidRDefault="001D318D" w:rsidP="006B5BB1">
      <w:pPr>
        <w:pStyle w:val="FixListStyle"/>
        <w:tabs>
          <w:tab w:val="clear" w:pos="720"/>
          <w:tab w:val="left" w:pos="0"/>
        </w:tabs>
        <w:spacing w:after="260" w:line="280" w:lineRule="exact"/>
        <w:ind w:right="0"/>
        <w:jc w:val="both"/>
        <w:rPr>
          <w:rFonts w:ascii="Times New Roman" w:hAnsi="Times New Roman"/>
        </w:rPr>
        <w:sectPr w:rsidR="001D318D" w:rsidSect="000826EE">
          <w:pgSz w:w="11907" w:h="16839" w:code="9"/>
          <w:pgMar w:top="1440" w:right="1701" w:bottom="1984" w:left="1701" w:header="720" w:footer="720" w:gutter="0"/>
          <w:pgNumType w:start="1"/>
          <w:cols w:space="720"/>
          <w:titlePg/>
          <w:docGrid w:linePitch="354"/>
        </w:sectPr>
      </w:pPr>
    </w:p>
    <w:p w14:paraId="6ABEA1DD" w14:textId="2C73E365" w:rsidR="00E94B91" w:rsidRPr="006B5BB1" w:rsidRDefault="006B5BB1" w:rsidP="006B5BB1">
      <w:pPr>
        <w:pStyle w:val="FixListStyle"/>
        <w:tabs>
          <w:tab w:val="clear" w:pos="720"/>
          <w:tab w:val="left" w:pos="0"/>
        </w:tabs>
        <w:spacing w:after="260" w:line="280" w:lineRule="exact"/>
        <w:ind w:right="0"/>
        <w:jc w:val="both"/>
        <w:rPr>
          <w:rFonts w:ascii="Times New Roman" w:hAnsi="Times New Roman"/>
        </w:rPr>
      </w:pPr>
      <w:r w:rsidRPr="006B5BB1">
        <w:rPr>
          <w:rFonts w:ascii="Times New Roman" w:hAnsi="Times New Roman"/>
        </w:rPr>
        <w:lastRenderedPageBreak/>
        <w:t xml:space="preserve">KIEFEL CJ, KEANE AND GLEESON JJ.   </w:t>
      </w:r>
      <w:r w:rsidR="00A10187" w:rsidRPr="006B5BB1">
        <w:rPr>
          <w:rFonts w:ascii="Times New Roman" w:hAnsi="Times New Roman"/>
        </w:rPr>
        <w:t xml:space="preserve">The appellants, Fairfax Media Publications Pty Ltd, Nationwide News Pty Limited and Australian News Channel Pty Ltd, publish newspapers which circulate in New South Wales </w:t>
      </w:r>
      <w:r w:rsidR="0005751F" w:rsidRPr="006B5BB1">
        <w:rPr>
          <w:rFonts w:ascii="Times New Roman" w:hAnsi="Times New Roman"/>
        </w:rPr>
        <w:t xml:space="preserve">or operate television stations, or both. They each maintain a public Facebook page on which they post </w:t>
      </w:r>
      <w:r w:rsidR="005E2E2F" w:rsidRPr="006B5BB1">
        <w:rPr>
          <w:rFonts w:ascii="Times New Roman" w:hAnsi="Times New Roman"/>
        </w:rPr>
        <w:t xml:space="preserve">content </w:t>
      </w:r>
      <w:r w:rsidR="0079554B" w:rsidRPr="006B5BB1">
        <w:rPr>
          <w:rFonts w:ascii="Times New Roman" w:hAnsi="Times New Roman"/>
        </w:rPr>
        <w:t>relating to</w:t>
      </w:r>
      <w:r w:rsidR="0005751F" w:rsidRPr="006B5BB1">
        <w:rPr>
          <w:rFonts w:ascii="Times New Roman" w:hAnsi="Times New Roman"/>
        </w:rPr>
        <w:t xml:space="preserve"> news </w:t>
      </w:r>
      <w:r w:rsidR="00823E70" w:rsidRPr="006B5BB1">
        <w:rPr>
          <w:rFonts w:ascii="Times New Roman" w:hAnsi="Times New Roman"/>
        </w:rPr>
        <w:t>stories</w:t>
      </w:r>
      <w:r w:rsidR="008C549E" w:rsidRPr="006B5BB1">
        <w:rPr>
          <w:rFonts w:ascii="Times New Roman" w:hAnsi="Times New Roman"/>
        </w:rPr>
        <w:t xml:space="preserve"> </w:t>
      </w:r>
      <w:r w:rsidR="0005751F" w:rsidRPr="006B5BB1">
        <w:rPr>
          <w:rFonts w:ascii="Times New Roman" w:hAnsi="Times New Roman"/>
        </w:rPr>
        <w:t xml:space="preserve">and provide </w:t>
      </w:r>
      <w:r w:rsidR="00823E70" w:rsidRPr="006B5BB1">
        <w:rPr>
          <w:rFonts w:ascii="Times New Roman" w:hAnsi="Times New Roman"/>
        </w:rPr>
        <w:t>hyper</w:t>
      </w:r>
      <w:r w:rsidR="0005751F" w:rsidRPr="006B5BB1">
        <w:rPr>
          <w:rFonts w:ascii="Times New Roman" w:hAnsi="Times New Roman"/>
        </w:rPr>
        <w:t>link</w:t>
      </w:r>
      <w:r w:rsidR="00823E70" w:rsidRPr="006B5BB1">
        <w:rPr>
          <w:rFonts w:ascii="Times New Roman" w:hAnsi="Times New Roman"/>
        </w:rPr>
        <w:t>s</w:t>
      </w:r>
      <w:r w:rsidR="0005751F" w:rsidRPr="006B5BB1">
        <w:rPr>
          <w:rFonts w:ascii="Times New Roman" w:hAnsi="Times New Roman"/>
        </w:rPr>
        <w:t xml:space="preserve"> to</w:t>
      </w:r>
      <w:r w:rsidR="009A00A9" w:rsidRPr="006B5BB1">
        <w:rPr>
          <w:rFonts w:ascii="Times New Roman" w:hAnsi="Times New Roman"/>
        </w:rPr>
        <w:t xml:space="preserve"> </w:t>
      </w:r>
      <w:r w:rsidR="00823E70" w:rsidRPr="006B5BB1">
        <w:rPr>
          <w:rFonts w:ascii="Times New Roman" w:hAnsi="Times New Roman"/>
        </w:rPr>
        <w:t>th</w:t>
      </w:r>
      <w:r w:rsidR="00761B86" w:rsidRPr="006B5BB1">
        <w:rPr>
          <w:rFonts w:ascii="Times New Roman" w:hAnsi="Times New Roman"/>
        </w:rPr>
        <w:t>ose stories</w:t>
      </w:r>
      <w:r w:rsidR="005F67A9" w:rsidRPr="006B5BB1">
        <w:rPr>
          <w:rFonts w:ascii="Times New Roman" w:hAnsi="Times New Roman"/>
        </w:rPr>
        <w:t xml:space="preserve"> on their websit</w:t>
      </w:r>
      <w:r w:rsidR="009A00A9" w:rsidRPr="006B5BB1">
        <w:rPr>
          <w:rFonts w:ascii="Times New Roman" w:hAnsi="Times New Roman"/>
        </w:rPr>
        <w:t>e</w:t>
      </w:r>
      <w:r w:rsidR="0005751F" w:rsidRPr="006B5BB1">
        <w:rPr>
          <w:rFonts w:ascii="Times New Roman" w:hAnsi="Times New Roman"/>
        </w:rPr>
        <w:t xml:space="preserve">. They invite comment on the </w:t>
      </w:r>
      <w:r w:rsidR="00D3047D" w:rsidRPr="006B5BB1">
        <w:rPr>
          <w:rFonts w:ascii="Times New Roman" w:hAnsi="Times New Roman"/>
        </w:rPr>
        <w:t xml:space="preserve">posted </w:t>
      </w:r>
      <w:r w:rsidR="00FA1609" w:rsidRPr="006B5BB1">
        <w:rPr>
          <w:rFonts w:ascii="Times New Roman" w:hAnsi="Times New Roman"/>
        </w:rPr>
        <w:t xml:space="preserve">content </w:t>
      </w:r>
      <w:r w:rsidR="002255BC" w:rsidRPr="006B5BB1">
        <w:rPr>
          <w:rFonts w:ascii="Times New Roman" w:hAnsi="Times New Roman"/>
        </w:rPr>
        <w:t>from members of the public who are Facebook users</w:t>
      </w:r>
      <w:r w:rsidR="0005751F" w:rsidRPr="006B5BB1">
        <w:rPr>
          <w:rFonts w:ascii="Times New Roman" w:hAnsi="Times New Roman"/>
        </w:rPr>
        <w:t xml:space="preserve">. </w:t>
      </w:r>
      <w:r w:rsidR="00FF30E7" w:rsidRPr="006B5BB1">
        <w:rPr>
          <w:rFonts w:ascii="Times New Roman" w:hAnsi="Times New Roman"/>
        </w:rPr>
        <w:t>C</w:t>
      </w:r>
      <w:r w:rsidR="0005751F" w:rsidRPr="006B5BB1">
        <w:rPr>
          <w:rFonts w:ascii="Times New Roman" w:hAnsi="Times New Roman"/>
        </w:rPr>
        <w:t xml:space="preserve">omments </w:t>
      </w:r>
      <w:r w:rsidR="00FF30E7" w:rsidRPr="006B5BB1">
        <w:rPr>
          <w:rFonts w:ascii="Times New Roman" w:hAnsi="Times New Roman"/>
        </w:rPr>
        <w:t xml:space="preserve">which are </w:t>
      </w:r>
      <w:r w:rsidR="00281B7B" w:rsidRPr="006B5BB1">
        <w:rPr>
          <w:rFonts w:ascii="Times New Roman" w:hAnsi="Times New Roman"/>
        </w:rPr>
        <w:t xml:space="preserve">made appear on the Facebook page and are </w:t>
      </w:r>
      <w:r w:rsidR="00502448" w:rsidRPr="006B5BB1">
        <w:rPr>
          <w:rFonts w:ascii="Times New Roman" w:hAnsi="Times New Roman"/>
        </w:rPr>
        <w:t xml:space="preserve">available to be seen by </w:t>
      </w:r>
      <w:r w:rsidR="009638E3" w:rsidRPr="006B5BB1">
        <w:rPr>
          <w:rFonts w:ascii="Times New Roman" w:hAnsi="Times New Roman"/>
        </w:rPr>
        <w:t xml:space="preserve">other </w:t>
      </w:r>
      <w:r w:rsidR="00502448" w:rsidRPr="006B5BB1">
        <w:rPr>
          <w:rFonts w:ascii="Times New Roman" w:hAnsi="Times New Roman"/>
        </w:rPr>
        <w:t>Facebook users.</w:t>
      </w:r>
    </w:p>
    <w:p w14:paraId="6890B774" w14:textId="5126701C" w:rsidR="00502448" w:rsidRPr="006B5BB1" w:rsidRDefault="00502448" w:rsidP="006B5BB1">
      <w:pPr>
        <w:pStyle w:val="FixListStyle"/>
        <w:spacing w:after="260" w:line="280" w:lineRule="exact"/>
        <w:ind w:right="0"/>
        <w:jc w:val="both"/>
        <w:rPr>
          <w:rFonts w:ascii="Times New Roman" w:hAnsi="Times New Roman"/>
        </w:rPr>
      </w:pPr>
      <w:r w:rsidRPr="006B5BB1">
        <w:rPr>
          <w:rFonts w:ascii="Times New Roman" w:hAnsi="Times New Roman"/>
        </w:rPr>
        <w:tab/>
        <w:t>In each of the three proceedings brought in the Supreme Court of New South Wales</w:t>
      </w:r>
      <w:r w:rsidR="0079554B" w:rsidRPr="006B5BB1">
        <w:rPr>
          <w:rFonts w:ascii="Times New Roman" w:hAnsi="Times New Roman"/>
        </w:rPr>
        <w:t>,</w:t>
      </w:r>
      <w:r w:rsidRPr="006B5BB1">
        <w:rPr>
          <w:rFonts w:ascii="Times New Roman" w:hAnsi="Times New Roman"/>
        </w:rPr>
        <w:t xml:space="preserve"> </w:t>
      </w:r>
      <w:r w:rsidR="00B04A8C" w:rsidRPr="006B5BB1">
        <w:rPr>
          <w:rFonts w:ascii="Times New Roman" w:hAnsi="Times New Roman"/>
        </w:rPr>
        <w:t xml:space="preserve">the respondent </w:t>
      </w:r>
      <w:r w:rsidRPr="006B5BB1">
        <w:rPr>
          <w:rFonts w:ascii="Times New Roman" w:hAnsi="Times New Roman"/>
        </w:rPr>
        <w:t xml:space="preserve">claimed that following </w:t>
      </w:r>
      <w:r w:rsidR="00F63274" w:rsidRPr="006B5BB1">
        <w:rPr>
          <w:rFonts w:ascii="Times New Roman" w:hAnsi="Times New Roman"/>
        </w:rPr>
        <w:t>the</w:t>
      </w:r>
      <w:r w:rsidR="00C018F3" w:rsidRPr="006B5BB1">
        <w:rPr>
          <w:rFonts w:ascii="Times New Roman" w:hAnsi="Times New Roman"/>
        </w:rPr>
        <w:t xml:space="preserve"> appellants</w:t>
      </w:r>
      <w:r w:rsidR="00F63274" w:rsidRPr="006B5BB1">
        <w:rPr>
          <w:rFonts w:ascii="Times New Roman" w:hAnsi="Times New Roman"/>
        </w:rPr>
        <w:t xml:space="preserve"> </w:t>
      </w:r>
      <w:r w:rsidR="0079554B" w:rsidRPr="006B5BB1">
        <w:rPr>
          <w:rFonts w:ascii="Times New Roman" w:hAnsi="Times New Roman"/>
        </w:rPr>
        <w:t>p</w:t>
      </w:r>
      <w:r w:rsidR="00844A4B" w:rsidRPr="006B5BB1">
        <w:rPr>
          <w:rFonts w:ascii="Times New Roman" w:hAnsi="Times New Roman"/>
        </w:rPr>
        <w:t>osting</w:t>
      </w:r>
      <w:r w:rsidR="00DD45BA" w:rsidRPr="006B5BB1">
        <w:rPr>
          <w:rFonts w:ascii="Times New Roman" w:hAnsi="Times New Roman"/>
        </w:rPr>
        <w:t xml:space="preserve"> </w:t>
      </w:r>
      <w:r w:rsidR="00844A4B" w:rsidRPr="006B5BB1">
        <w:rPr>
          <w:rFonts w:ascii="Times New Roman" w:hAnsi="Times New Roman"/>
        </w:rPr>
        <w:t xml:space="preserve">about particular news stories </w:t>
      </w:r>
      <w:r w:rsidR="001715A0" w:rsidRPr="006B5BB1">
        <w:rPr>
          <w:rFonts w:ascii="Times New Roman" w:hAnsi="Times New Roman"/>
        </w:rPr>
        <w:t xml:space="preserve">referring to </w:t>
      </w:r>
      <w:r w:rsidR="007863CE" w:rsidRPr="006B5BB1">
        <w:rPr>
          <w:rFonts w:ascii="Times New Roman" w:hAnsi="Times New Roman"/>
        </w:rPr>
        <w:t>him</w:t>
      </w:r>
      <w:r w:rsidR="00AB258A" w:rsidRPr="006B5BB1">
        <w:rPr>
          <w:rFonts w:ascii="Times New Roman" w:hAnsi="Times New Roman"/>
        </w:rPr>
        <w:t xml:space="preserve">, </w:t>
      </w:r>
      <w:r w:rsidR="001715A0" w:rsidRPr="006B5BB1">
        <w:rPr>
          <w:rFonts w:ascii="Times New Roman" w:hAnsi="Times New Roman"/>
        </w:rPr>
        <w:t xml:space="preserve">including posts </w:t>
      </w:r>
      <w:r w:rsidR="00AB258A" w:rsidRPr="006B5BB1">
        <w:rPr>
          <w:rFonts w:ascii="Times New Roman" w:hAnsi="Times New Roman"/>
        </w:rPr>
        <w:t>concerning his incarceration in a juvenile justice detention centre</w:t>
      </w:r>
      <w:r w:rsidR="008C70DD" w:rsidRPr="006B5BB1">
        <w:rPr>
          <w:rFonts w:ascii="Times New Roman" w:hAnsi="Times New Roman"/>
        </w:rPr>
        <w:t xml:space="preserve"> in the Northern Territory, a </w:t>
      </w:r>
      <w:r w:rsidR="00F57DA7" w:rsidRPr="006B5BB1">
        <w:rPr>
          <w:rFonts w:ascii="Times New Roman" w:hAnsi="Times New Roman"/>
        </w:rPr>
        <w:t>nu</w:t>
      </w:r>
      <w:r w:rsidR="008C70DD" w:rsidRPr="006B5BB1">
        <w:rPr>
          <w:rFonts w:ascii="Times New Roman" w:hAnsi="Times New Roman"/>
        </w:rPr>
        <w:t>mber of third</w:t>
      </w:r>
      <w:r w:rsidR="002811B3" w:rsidRPr="006B5BB1">
        <w:rPr>
          <w:rFonts w:ascii="Times New Roman" w:hAnsi="Times New Roman"/>
        </w:rPr>
        <w:t>-</w:t>
      </w:r>
      <w:r w:rsidR="008C70DD" w:rsidRPr="006B5BB1">
        <w:rPr>
          <w:rFonts w:ascii="Times New Roman" w:hAnsi="Times New Roman"/>
        </w:rPr>
        <w:t xml:space="preserve">party Facebook users responded with comments that were defamatory of him. He alleged </w:t>
      </w:r>
      <w:r w:rsidR="007E12F8" w:rsidRPr="006B5BB1">
        <w:rPr>
          <w:rFonts w:ascii="Times New Roman" w:hAnsi="Times New Roman"/>
        </w:rPr>
        <w:t xml:space="preserve">that the appellants </w:t>
      </w:r>
      <w:r w:rsidR="00364A11" w:rsidRPr="006B5BB1">
        <w:rPr>
          <w:rFonts w:ascii="Times New Roman" w:hAnsi="Times New Roman"/>
        </w:rPr>
        <w:t>we</w:t>
      </w:r>
      <w:r w:rsidR="007E12F8" w:rsidRPr="006B5BB1">
        <w:rPr>
          <w:rFonts w:ascii="Times New Roman" w:hAnsi="Times New Roman"/>
        </w:rPr>
        <w:t>re liable as the publisher</w:t>
      </w:r>
      <w:r w:rsidR="00364A11" w:rsidRPr="006B5BB1">
        <w:rPr>
          <w:rFonts w:ascii="Times New Roman" w:hAnsi="Times New Roman"/>
        </w:rPr>
        <w:t>s</w:t>
      </w:r>
      <w:r w:rsidR="007E12F8" w:rsidRPr="006B5BB1">
        <w:rPr>
          <w:rFonts w:ascii="Times New Roman" w:hAnsi="Times New Roman"/>
        </w:rPr>
        <w:t xml:space="preserve"> of those comments.</w:t>
      </w:r>
    </w:p>
    <w:p w14:paraId="74845362" w14:textId="220C1526" w:rsidR="007E12F8" w:rsidRPr="006B5BB1" w:rsidRDefault="007E12F8"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parties agreed to the terms of a question concerning the issue of publication. The </w:t>
      </w:r>
      <w:r w:rsidR="00FF30E7" w:rsidRPr="006B5BB1">
        <w:rPr>
          <w:rFonts w:ascii="Times New Roman" w:hAnsi="Times New Roman"/>
        </w:rPr>
        <w:t xml:space="preserve">Supreme </w:t>
      </w:r>
      <w:r w:rsidRPr="006B5BB1">
        <w:rPr>
          <w:rFonts w:ascii="Times New Roman" w:hAnsi="Times New Roman"/>
        </w:rPr>
        <w:t xml:space="preserve">Court ordered that the question be decided separately </w:t>
      </w:r>
      <w:r w:rsidR="00DE0727" w:rsidRPr="006B5BB1">
        <w:rPr>
          <w:rFonts w:ascii="Times New Roman" w:hAnsi="Times New Roman"/>
        </w:rPr>
        <w:t xml:space="preserve">from the balance of </w:t>
      </w:r>
      <w:r w:rsidRPr="006B5BB1">
        <w:rPr>
          <w:rFonts w:ascii="Times New Roman" w:hAnsi="Times New Roman"/>
        </w:rPr>
        <w:t>the proceedings</w:t>
      </w:r>
      <w:r w:rsidR="00F511D3" w:rsidRPr="006B5BB1">
        <w:rPr>
          <w:rStyle w:val="FootnoteReference"/>
          <w:rFonts w:ascii="Times New Roman" w:hAnsi="Times New Roman"/>
        </w:rPr>
        <w:footnoteReference w:id="2"/>
      </w:r>
      <w:r w:rsidR="00AE26A9" w:rsidRPr="006B5BB1">
        <w:rPr>
          <w:rFonts w:ascii="Times New Roman" w:hAnsi="Times New Roman"/>
        </w:rPr>
        <w:t>. The question was whether the respondent, the plaintiff in the proceedings</w:t>
      </w:r>
      <w:r w:rsidR="00F57DA7" w:rsidRPr="006B5BB1">
        <w:rPr>
          <w:rFonts w:ascii="Times New Roman" w:hAnsi="Times New Roman"/>
        </w:rPr>
        <w:t>,</w:t>
      </w:r>
      <w:r w:rsidR="00AE26A9" w:rsidRPr="006B5BB1">
        <w:rPr>
          <w:rFonts w:ascii="Times New Roman" w:hAnsi="Times New Roman"/>
        </w:rPr>
        <w:t xml:space="preserve"> "has established the publication element of the cause of action of defamation against the defendant</w:t>
      </w:r>
      <w:r w:rsidR="00D25D3F" w:rsidRPr="006B5BB1">
        <w:rPr>
          <w:rFonts w:ascii="Times New Roman" w:hAnsi="Times New Roman"/>
        </w:rPr>
        <w:t>[</w:t>
      </w:r>
      <w:r w:rsidR="00AE26A9" w:rsidRPr="006B5BB1">
        <w:rPr>
          <w:rFonts w:ascii="Times New Roman" w:hAnsi="Times New Roman"/>
        </w:rPr>
        <w:t>s</w:t>
      </w:r>
      <w:r w:rsidR="00D25D3F" w:rsidRPr="006B5BB1">
        <w:rPr>
          <w:rFonts w:ascii="Times New Roman" w:hAnsi="Times New Roman"/>
        </w:rPr>
        <w:t>]</w:t>
      </w:r>
      <w:r w:rsidR="00AE26A9" w:rsidRPr="006B5BB1">
        <w:rPr>
          <w:rFonts w:ascii="Times New Roman" w:hAnsi="Times New Roman"/>
        </w:rPr>
        <w:t xml:space="preserve"> in respect of each of the Facebook comments by </w:t>
      </w:r>
      <w:r w:rsidR="00D25D3F" w:rsidRPr="006B5BB1">
        <w:rPr>
          <w:rFonts w:ascii="Times New Roman" w:hAnsi="Times New Roman"/>
        </w:rPr>
        <w:t>third-</w:t>
      </w:r>
      <w:r w:rsidR="00AE26A9" w:rsidRPr="006B5BB1">
        <w:rPr>
          <w:rFonts w:ascii="Times New Roman" w:hAnsi="Times New Roman"/>
        </w:rPr>
        <w:t>party users"</w:t>
      </w:r>
      <w:r w:rsidR="00872CFE" w:rsidRPr="006B5BB1">
        <w:rPr>
          <w:rFonts w:ascii="Times New Roman" w:hAnsi="Times New Roman"/>
        </w:rPr>
        <w:t xml:space="preserve">. </w:t>
      </w:r>
      <w:r w:rsidR="00AE26A9" w:rsidRPr="006B5BB1">
        <w:rPr>
          <w:rFonts w:ascii="Times New Roman" w:hAnsi="Times New Roman"/>
        </w:rPr>
        <w:t xml:space="preserve">The </w:t>
      </w:r>
      <w:r w:rsidR="007267F8" w:rsidRPr="006B5BB1">
        <w:rPr>
          <w:rFonts w:ascii="Times New Roman" w:hAnsi="Times New Roman"/>
        </w:rPr>
        <w:t>appellants</w:t>
      </w:r>
      <w:r w:rsidR="00AE26A9" w:rsidRPr="006B5BB1">
        <w:rPr>
          <w:rFonts w:ascii="Times New Roman" w:hAnsi="Times New Roman"/>
        </w:rPr>
        <w:t xml:space="preserve"> </w:t>
      </w:r>
      <w:r w:rsidR="00574029" w:rsidRPr="006B5BB1">
        <w:rPr>
          <w:rFonts w:ascii="Times New Roman" w:hAnsi="Times New Roman"/>
        </w:rPr>
        <w:t xml:space="preserve">took the view </w:t>
      </w:r>
      <w:r w:rsidR="00AE26A9" w:rsidRPr="006B5BB1">
        <w:rPr>
          <w:rFonts w:ascii="Times New Roman" w:hAnsi="Times New Roman"/>
        </w:rPr>
        <w:t xml:space="preserve">that a negative answer </w:t>
      </w:r>
      <w:r w:rsidR="00E5433D" w:rsidRPr="006B5BB1">
        <w:rPr>
          <w:rFonts w:ascii="Times New Roman" w:hAnsi="Times New Roman"/>
        </w:rPr>
        <w:t>to the separate question would result in dismissal of the proceedings.</w:t>
      </w:r>
    </w:p>
    <w:p w14:paraId="37E462E3" w14:textId="4CA63F15" w:rsidR="00E5433D" w:rsidRPr="006B5BB1" w:rsidRDefault="00E5433D" w:rsidP="006B5BB1">
      <w:pPr>
        <w:pStyle w:val="FixListStyle"/>
        <w:spacing w:after="260" w:line="280" w:lineRule="exact"/>
        <w:ind w:right="0"/>
        <w:jc w:val="both"/>
        <w:rPr>
          <w:rFonts w:ascii="Times New Roman" w:hAnsi="Times New Roman"/>
        </w:rPr>
      </w:pPr>
      <w:r w:rsidRPr="006B5BB1">
        <w:rPr>
          <w:rFonts w:ascii="Times New Roman" w:hAnsi="Times New Roman"/>
        </w:rPr>
        <w:tab/>
        <w:t>The primary judge (Rothman J) answered the separate question in the affirmative</w:t>
      </w:r>
      <w:r w:rsidR="00F511D3" w:rsidRPr="006B5BB1">
        <w:rPr>
          <w:rStyle w:val="FootnoteReference"/>
          <w:rFonts w:ascii="Times New Roman" w:hAnsi="Times New Roman"/>
        </w:rPr>
        <w:footnoteReference w:id="3"/>
      </w:r>
      <w:r w:rsidRPr="006B5BB1">
        <w:rPr>
          <w:rFonts w:ascii="Times New Roman" w:hAnsi="Times New Roman"/>
        </w:rPr>
        <w:t>. Each of the appeals from that decision was dismissed</w:t>
      </w:r>
      <w:r w:rsidR="00F511D3" w:rsidRPr="006B5BB1">
        <w:rPr>
          <w:rStyle w:val="FootnoteReference"/>
          <w:rFonts w:ascii="Times New Roman" w:hAnsi="Times New Roman"/>
        </w:rPr>
        <w:footnoteReference w:id="4"/>
      </w:r>
      <w:r w:rsidRPr="006B5BB1">
        <w:rPr>
          <w:rFonts w:ascii="Times New Roman" w:hAnsi="Times New Roman"/>
        </w:rPr>
        <w:t>.</w:t>
      </w:r>
    </w:p>
    <w:p w14:paraId="2496016A" w14:textId="77777777" w:rsidR="00F511D3" w:rsidRPr="006B5BB1" w:rsidRDefault="00F511D3" w:rsidP="006B5BB1">
      <w:pPr>
        <w:pStyle w:val="HeadingL1"/>
        <w:spacing w:after="260" w:line="280" w:lineRule="exact"/>
        <w:ind w:right="0"/>
        <w:jc w:val="both"/>
        <w:rPr>
          <w:rFonts w:ascii="Times New Roman" w:hAnsi="Times New Roman"/>
        </w:rPr>
      </w:pPr>
      <w:r w:rsidRPr="006B5BB1">
        <w:rPr>
          <w:rFonts w:ascii="Times New Roman" w:hAnsi="Times New Roman"/>
        </w:rPr>
        <w:t>Background facts</w:t>
      </w:r>
    </w:p>
    <w:p w14:paraId="0D0E83AD" w14:textId="1B648578" w:rsidR="003C236F" w:rsidRPr="006B5BB1" w:rsidRDefault="00F07A58"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00E26C7D" w:rsidRPr="006B5BB1">
        <w:rPr>
          <w:rFonts w:ascii="Times New Roman" w:hAnsi="Times New Roman"/>
        </w:rPr>
        <w:t>T</w:t>
      </w:r>
      <w:r w:rsidR="003A2068" w:rsidRPr="006B5BB1">
        <w:rPr>
          <w:rFonts w:ascii="Times New Roman" w:hAnsi="Times New Roman"/>
        </w:rPr>
        <w:t xml:space="preserve">he appellants </w:t>
      </w:r>
      <w:r w:rsidR="00E26C7D" w:rsidRPr="006B5BB1">
        <w:rPr>
          <w:rFonts w:ascii="Times New Roman" w:hAnsi="Times New Roman"/>
        </w:rPr>
        <w:t xml:space="preserve">each </w:t>
      </w:r>
      <w:r w:rsidR="00D87CAD" w:rsidRPr="006B5BB1">
        <w:rPr>
          <w:rFonts w:ascii="Times New Roman" w:hAnsi="Times New Roman"/>
        </w:rPr>
        <w:t>maintain</w:t>
      </w:r>
      <w:r w:rsidR="00031F14" w:rsidRPr="006B5BB1">
        <w:rPr>
          <w:rFonts w:ascii="Times New Roman" w:hAnsi="Times New Roman"/>
        </w:rPr>
        <w:t xml:space="preserve"> </w:t>
      </w:r>
      <w:r w:rsidR="003A2068" w:rsidRPr="006B5BB1">
        <w:rPr>
          <w:rFonts w:ascii="Times New Roman" w:hAnsi="Times New Roman"/>
        </w:rPr>
        <w:t xml:space="preserve">a </w:t>
      </w:r>
      <w:r w:rsidR="003E04EF" w:rsidRPr="006B5BB1">
        <w:rPr>
          <w:rFonts w:ascii="Times New Roman" w:hAnsi="Times New Roman"/>
        </w:rPr>
        <w:t xml:space="preserve">public Facebook </w:t>
      </w:r>
      <w:r w:rsidR="00902D8A" w:rsidRPr="006B5BB1">
        <w:rPr>
          <w:rFonts w:ascii="Times New Roman" w:hAnsi="Times New Roman"/>
        </w:rPr>
        <w:t xml:space="preserve">page on terms </w:t>
      </w:r>
      <w:r w:rsidR="006845BB" w:rsidRPr="006B5BB1">
        <w:rPr>
          <w:rFonts w:ascii="Times New Roman" w:hAnsi="Times New Roman"/>
        </w:rPr>
        <w:t>of use</w:t>
      </w:r>
      <w:r w:rsidR="00902D8A" w:rsidRPr="006B5BB1">
        <w:rPr>
          <w:rFonts w:ascii="Times New Roman" w:hAnsi="Times New Roman"/>
        </w:rPr>
        <w:t xml:space="preserve"> agreed with Facebook. The page is used </w:t>
      </w:r>
      <w:r w:rsidR="00AC660C" w:rsidRPr="006B5BB1">
        <w:rPr>
          <w:rFonts w:ascii="Times New Roman" w:hAnsi="Times New Roman"/>
        </w:rPr>
        <w:t xml:space="preserve">by each appellant </w:t>
      </w:r>
      <w:r w:rsidR="00902D8A" w:rsidRPr="006B5BB1">
        <w:rPr>
          <w:rFonts w:ascii="Times New Roman" w:hAnsi="Times New Roman"/>
        </w:rPr>
        <w:t xml:space="preserve">to share content and connect with Facebook users. </w:t>
      </w:r>
      <w:r w:rsidR="00932326" w:rsidRPr="006B5BB1">
        <w:rPr>
          <w:rFonts w:ascii="Times New Roman" w:hAnsi="Times New Roman"/>
        </w:rPr>
        <w:t xml:space="preserve">The page </w:t>
      </w:r>
      <w:r w:rsidR="00902D8A" w:rsidRPr="006B5BB1">
        <w:rPr>
          <w:rFonts w:ascii="Times New Roman" w:hAnsi="Times New Roman"/>
        </w:rPr>
        <w:t xml:space="preserve">is publicly accessible to </w:t>
      </w:r>
      <w:r w:rsidRPr="006B5BB1">
        <w:rPr>
          <w:rFonts w:ascii="Times New Roman" w:hAnsi="Times New Roman"/>
        </w:rPr>
        <w:t>users</w:t>
      </w:r>
      <w:r w:rsidR="003151AD" w:rsidRPr="006B5BB1">
        <w:rPr>
          <w:rFonts w:ascii="Times New Roman" w:hAnsi="Times New Roman"/>
        </w:rPr>
        <w:t>,</w:t>
      </w:r>
      <w:r w:rsidRPr="006B5BB1">
        <w:rPr>
          <w:rFonts w:ascii="Times New Roman" w:hAnsi="Times New Roman"/>
        </w:rPr>
        <w:t xml:space="preserve"> who are able to view and comment on content posted to </w:t>
      </w:r>
      <w:r w:rsidR="002811B3" w:rsidRPr="006B5BB1">
        <w:rPr>
          <w:rFonts w:ascii="Times New Roman" w:hAnsi="Times New Roman"/>
        </w:rPr>
        <w:t>that page</w:t>
      </w:r>
      <w:r w:rsidRPr="006B5BB1">
        <w:rPr>
          <w:rFonts w:ascii="Times New Roman" w:hAnsi="Times New Roman"/>
        </w:rPr>
        <w:t>.</w:t>
      </w:r>
    </w:p>
    <w:p w14:paraId="7AD5CA42" w14:textId="5E935763" w:rsidR="00504512" w:rsidRPr="006B5BB1" w:rsidRDefault="00F07A58" w:rsidP="006B5BB1">
      <w:pPr>
        <w:pStyle w:val="FixListStyle"/>
        <w:spacing w:after="260" w:line="280" w:lineRule="exact"/>
        <w:ind w:right="0"/>
        <w:jc w:val="both"/>
        <w:rPr>
          <w:rFonts w:ascii="Times New Roman" w:hAnsi="Times New Roman"/>
        </w:rPr>
      </w:pPr>
      <w:r w:rsidRPr="006B5BB1">
        <w:rPr>
          <w:rFonts w:ascii="Times New Roman" w:hAnsi="Times New Roman"/>
        </w:rPr>
        <w:lastRenderedPageBreak/>
        <w:tab/>
        <w:t>The use</w:t>
      </w:r>
      <w:r w:rsidR="00504512" w:rsidRPr="006B5BB1">
        <w:rPr>
          <w:rFonts w:ascii="Times New Roman" w:hAnsi="Times New Roman"/>
        </w:rPr>
        <w:t xml:space="preserve"> by </w:t>
      </w:r>
      <w:r w:rsidR="00F37C2F" w:rsidRPr="006B5BB1">
        <w:rPr>
          <w:rFonts w:ascii="Times New Roman" w:hAnsi="Times New Roman"/>
        </w:rPr>
        <w:t xml:space="preserve">each </w:t>
      </w:r>
      <w:r w:rsidR="00504512" w:rsidRPr="006B5BB1">
        <w:rPr>
          <w:rFonts w:ascii="Times New Roman" w:hAnsi="Times New Roman"/>
        </w:rPr>
        <w:t>appellant of the</w:t>
      </w:r>
      <w:r w:rsidR="00A5519F" w:rsidRPr="006B5BB1">
        <w:rPr>
          <w:rFonts w:ascii="Times New Roman" w:hAnsi="Times New Roman"/>
        </w:rPr>
        <w:t>ir</w:t>
      </w:r>
      <w:r w:rsidR="00504512" w:rsidRPr="006B5BB1">
        <w:rPr>
          <w:rFonts w:ascii="Times New Roman" w:hAnsi="Times New Roman"/>
        </w:rPr>
        <w:t xml:space="preserve"> Facebook page usually involves the posting </w:t>
      </w:r>
      <w:r w:rsidR="00F43FF9" w:rsidRPr="006B5BB1">
        <w:rPr>
          <w:rFonts w:ascii="Times New Roman" w:hAnsi="Times New Roman"/>
        </w:rPr>
        <w:t xml:space="preserve">of </w:t>
      </w:r>
      <w:r w:rsidR="00672CAF" w:rsidRPr="006B5BB1">
        <w:rPr>
          <w:rFonts w:ascii="Times New Roman" w:hAnsi="Times New Roman"/>
        </w:rPr>
        <w:t>a hyperlink</w:t>
      </w:r>
      <w:r w:rsidR="00B470F4" w:rsidRPr="006B5BB1">
        <w:rPr>
          <w:rFonts w:ascii="Times New Roman" w:hAnsi="Times New Roman"/>
        </w:rPr>
        <w:t xml:space="preserve"> to a news </w:t>
      </w:r>
      <w:r w:rsidR="003972A4" w:rsidRPr="006B5BB1">
        <w:rPr>
          <w:rFonts w:ascii="Times New Roman" w:hAnsi="Times New Roman"/>
        </w:rPr>
        <w:t>story</w:t>
      </w:r>
      <w:r w:rsidR="00B470F4" w:rsidRPr="006B5BB1">
        <w:rPr>
          <w:rFonts w:ascii="Times New Roman" w:hAnsi="Times New Roman"/>
        </w:rPr>
        <w:t xml:space="preserve">, </w:t>
      </w:r>
      <w:r w:rsidR="009C6F17" w:rsidRPr="006B5BB1">
        <w:rPr>
          <w:rFonts w:ascii="Times New Roman" w:hAnsi="Times New Roman"/>
        </w:rPr>
        <w:t xml:space="preserve">with </w:t>
      </w:r>
      <w:r w:rsidR="00E26C7D" w:rsidRPr="006B5BB1">
        <w:rPr>
          <w:rFonts w:ascii="Times New Roman" w:hAnsi="Times New Roman"/>
        </w:rPr>
        <w:t xml:space="preserve">a </w:t>
      </w:r>
      <w:r w:rsidR="00F43FF9" w:rsidRPr="006B5BB1">
        <w:rPr>
          <w:rFonts w:ascii="Times New Roman" w:hAnsi="Times New Roman"/>
        </w:rPr>
        <w:t>headline</w:t>
      </w:r>
      <w:r w:rsidR="00B470F4" w:rsidRPr="006B5BB1">
        <w:rPr>
          <w:rFonts w:ascii="Times New Roman" w:hAnsi="Times New Roman"/>
        </w:rPr>
        <w:t xml:space="preserve">, </w:t>
      </w:r>
      <w:r w:rsidR="00D359A5" w:rsidRPr="006B5BB1">
        <w:rPr>
          <w:rFonts w:ascii="Times New Roman" w:hAnsi="Times New Roman"/>
        </w:rPr>
        <w:t>a comment</w:t>
      </w:r>
      <w:r w:rsidR="00F43FF9" w:rsidRPr="006B5BB1">
        <w:rPr>
          <w:rFonts w:ascii="Times New Roman" w:hAnsi="Times New Roman"/>
        </w:rPr>
        <w:t xml:space="preserve"> and an image</w:t>
      </w:r>
      <w:r w:rsidR="000134FC" w:rsidRPr="006B5BB1">
        <w:rPr>
          <w:rFonts w:ascii="Times New Roman" w:hAnsi="Times New Roman"/>
        </w:rPr>
        <w:t xml:space="preserve">. Clicking on the hyperlink takes the reader to the full </w:t>
      </w:r>
      <w:r w:rsidR="003972A4" w:rsidRPr="006B5BB1">
        <w:rPr>
          <w:rFonts w:ascii="Times New Roman" w:hAnsi="Times New Roman"/>
        </w:rPr>
        <w:t xml:space="preserve">story </w:t>
      </w:r>
      <w:r w:rsidR="000134FC" w:rsidRPr="006B5BB1">
        <w:rPr>
          <w:rFonts w:ascii="Times New Roman" w:hAnsi="Times New Roman"/>
        </w:rPr>
        <w:t xml:space="preserve">on </w:t>
      </w:r>
      <w:r w:rsidR="00342A52" w:rsidRPr="006B5BB1">
        <w:rPr>
          <w:rFonts w:ascii="Times New Roman" w:hAnsi="Times New Roman"/>
        </w:rPr>
        <w:t xml:space="preserve">an appellant's news </w:t>
      </w:r>
      <w:r w:rsidR="000134FC" w:rsidRPr="006B5BB1">
        <w:rPr>
          <w:rFonts w:ascii="Times New Roman" w:hAnsi="Times New Roman"/>
        </w:rPr>
        <w:t xml:space="preserve">website. Readers are </w:t>
      </w:r>
      <w:r w:rsidR="00342A52" w:rsidRPr="006B5BB1">
        <w:rPr>
          <w:rFonts w:ascii="Times New Roman" w:hAnsi="Times New Roman"/>
        </w:rPr>
        <w:t>invited</w:t>
      </w:r>
      <w:r w:rsidR="000134FC" w:rsidRPr="006B5BB1">
        <w:rPr>
          <w:rFonts w:ascii="Times New Roman" w:hAnsi="Times New Roman"/>
        </w:rPr>
        <w:t xml:space="preserve">, by options which </w:t>
      </w:r>
      <w:r w:rsidR="001C08B7" w:rsidRPr="006B5BB1">
        <w:rPr>
          <w:rFonts w:ascii="Times New Roman" w:hAnsi="Times New Roman"/>
        </w:rPr>
        <w:t xml:space="preserve">appear under the </w:t>
      </w:r>
      <w:r w:rsidR="006B076E" w:rsidRPr="006B5BB1">
        <w:rPr>
          <w:rFonts w:ascii="Times New Roman" w:hAnsi="Times New Roman"/>
        </w:rPr>
        <w:t>post</w:t>
      </w:r>
      <w:r w:rsidR="001C08B7" w:rsidRPr="006B5BB1">
        <w:rPr>
          <w:rFonts w:ascii="Times New Roman" w:hAnsi="Times New Roman"/>
        </w:rPr>
        <w:t>, to "Like"</w:t>
      </w:r>
      <w:r w:rsidR="00781029" w:rsidRPr="006B5BB1">
        <w:rPr>
          <w:rFonts w:ascii="Times New Roman" w:hAnsi="Times New Roman"/>
        </w:rPr>
        <w:t>,</w:t>
      </w:r>
      <w:r w:rsidR="001C08B7" w:rsidRPr="006B5BB1">
        <w:rPr>
          <w:rFonts w:ascii="Times New Roman" w:hAnsi="Times New Roman"/>
        </w:rPr>
        <w:t xml:space="preserve"> "Comment"</w:t>
      </w:r>
      <w:r w:rsidR="00781029" w:rsidRPr="006B5BB1">
        <w:rPr>
          <w:rFonts w:ascii="Times New Roman" w:hAnsi="Times New Roman"/>
        </w:rPr>
        <w:t xml:space="preserve"> on</w:t>
      </w:r>
      <w:r w:rsidR="001C08B7" w:rsidRPr="006B5BB1">
        <w:rPr>
          <w:rFonts w:ascii="Times New Roman" w:hAnsi="Times New Roman"/>
        </w:rPr>
        <w:t xml:space="preserve"> or "Share" the post. These options are standard features of a Facebook page</w:t>
      </w:r>
      <w:r w:rsidR="004100A0" w:rsidRPr="006B5BB1">
        <w:rPr>
          <w:rFonts w:ascii="Times New Roman" w:hAnsi="Times New Roman"/>
        </w:rPr>
        <w:t xml:space="preserve">. </w:t>
      </w:r>
      <w:r w:rsidR="00B54A83" w:rsidRPr="006B5BB1">
        <w:rPr>
          <w:rFonts w:ascii="Times New Roman" w:hAnsi="Times New Roman"/>
        </w:rPr>
        <w:t xml:space="preserve">Comments which are made </w:t>
      </w:r>
      <w:r w:rsidR="0071667F" w:rsidRPr="006B5BB1">
        <w:rPr>
          <w:rFonts w:ascii="Times New Roman" w:hAnsi="Times New Roman"/>
        </w:rPr>
        <w:t xml:space="preserve">by users </w:t>
      </w:r>
      <w:r w:rsidR="00B54A83" w:rsidRPr="006B5BB1">
        <w:rPr>
          <w:rFonts w:ascii="Times New Roman" w:hAnsi="Times New Roman"/>
        </w:rPr>
        <w:t>appear on the page and are available to be seen by all Facebook users who can see the page.</w:t>
      </w:r>
    </w:p>
    <w:p w14:paraId="7C231BA5" w14:textId="0D9DA46F" w:rsidR="000C4FE7" w:rsidRPr="006B5BB1" w:rsidRDefault="00B54A83"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00B24E0C" w:rsidRPr="006B5BB1">
        <w:rPr>
          <w:rFonts w:ascii="Times New Roman" w:hAnsi="Times New Roman"/>
        </w:rPr>
        <w:t xml:space="preserve">The Facebook page used by </w:t>
      </w:r>
      <w:r w:rsidR="008C3DB1" w:rsidRPr="006B5BB1">
        <w:rPr>
          <w:rFonts w:ascii="Times New Roman" w:hAnsi="Times New Roman"/>
        </w:rPr>
        <w:t xml:space="preserve">each </w:t>
      </w:r>
      <w:r w:rsidR="00B24E0C" w:rsidRPr="006B5BB1">
        <w:rPr>
          <w:rFonts w:ascii="Times New Roman" w:hAnsi="Times New Roman"/>
        </w:rPr>
        <w:t xml:space="preserve">appellant is managed by a Page administrator, the person </w:t>
      </w:r>
      <w:r w:rsidR="00817D9B" w:rsidRPr="006B5BB1">
        <w:rPr>
          <w:rFonts w:ascii="Times New Roman" w:hAnsi="Times New Roman"/>
        </w:rPr>
        <w:t xml:space="preserve">or persons </w:t>
      </w:r>
      <w:r w:rsidR="00B24E0C" w:rsidRPr="006B5BB1">
        <w:rPr>
          <w:rFonts w:ascii="Times New Roman" w:hAnsi="Times New Roman"/>
        </w:rPr>
        <w:t xml:space="preserve">authorised </w:t>
      </w:r>
      <w:r w:rsidR="001F1DCE" w:rsidRPr="006B5BB1">
        <w:rPr>
          <w:rFonts w:ascii="Times New Roman" w:hAnsi="Times New Roman"/>
        </w:rPr>
        <w:t xml:space="preserve">by </w:t>
      </w:r>
      <w:r w:rsidR="00C043CD" w:rsidRPr="006B5BB1">
        <w:rPr>
          <w:rFonts w:ascii="Times New Roman" w:hAnsi="Times New Roman"/>
        </w:rPr>
        <w:t>the</w:t>
      </w:r>
      <w:r w:rsidR="001F1DCE" w:rsidRPr="006B5BB1">
        <w:rPr>
          <w:rFonts w:ascii="Times New Roman" w:hAnsi="Times New Roman"/>
        </w:rPr>
        <w:t xml:space="preserve"> appellant </w:t>
      </w:r>
      <w:r w:rsidR="00B24E0C" w:rsidRPr="006B5BB1">
        <w:rPr>
          <w:rFonts w:ascii="Times New Roman" w:hAnsi="Times New Roman"/>
        </w:rPr>
        <w:t>to administer it in accordance with Facebook</w:t>
      </w:r>
      <w:r w:rsidR="00817D9B" w:rsidRPr="006B5BB1">
        <w:rPr>
          <w:rFonts w:ascii="Times New Roman" w:hAnsi="Times New Roman"/>
        </w:rPr>
        <w:t>'s</w:t>
      </w:r>
      <w:r w:rsidR="00B24E0C" w:rsidRPr="006B5BB1">
        <w:rPr>
          <w:rFonts w:ascii="Times New Roman" w:hAnsi="Times New Roman"/>
        </w:rPr>
        <w:t xml:space="preserve"> terms of use</w:t>
      </w:r>
      <w:r w:rsidR="004100A0" w:rsidRPr="006B5BB1">
        <w:rPr>
          <w:rFonts w:ascii="Times New Roman" w:hAnsi="Times New Roman"/>
        </w:rPr>
        <w:t xml:space="preserve">. </w:t>
      </w:r>
      <w:r w:rsidR="005810DC" w:rsidRPr="006B5BB1">
        <w:rPr>
          <w:rFonts w:ascii="Times New Roman" w:hAnsi="Times New Roman"/>
        </w:rPr>
        <w:t>There was evidence before the primary judge, which was largely uncontentious, that an administrator could prevent, or block</w:t>
      </w:r>
      <w:r w:rsidR="00817D9B" w:rsidRPr="006B5BB1">
        <w:rPr>
          <w:rFonts w:ascii="Times New Roman" w:hAnsi="Times New Roman"/>
        </w:rPr>
        <w:t>,</w:t>
      </w:r>
      <w:r w:rsidR="005810DC" w:rsidRPr="006B5BB1">
        <w:rPr>
          <w:rFonts w:ascii="Times New Roman" w:hAnsi="Times New Roman"/>
        </w:rPr>
        <w:t xml:space="preserve"> the posting of comments by third parties</w:t>
      </w:r>
      <w:r w:rsidR="002D386C" w:rsidRPr="006B5BB1">
        <w:rPr>
          <w:rFonts w:ascii="Times New Roman" w:hAnsi="Times New Roman"/>
        </w:rPr>
        <w:t xml:space="preserve"> through various means</w:t>
      </w:r>
      <w:r w:rsidR="005810DC" w:rsidRPr="006B5BB1">
        <w:rPr>
          <w:rFonts w:ascii="Times New Roman" w:hAnsi="Times New Roman"/>
        </w:rPr>
        <w:t xml:space="preserve">, although the Facebook platform did not allow all posts </w:t>
      </w:r>
      <w:r w:rsidR="00A40451" w:rsidRPr="006B5BB1">
        <w:rPr>
          <w:rFonts w:ascii="Times New Roman" w:hAnsi="Times New Roman"/>
        </w:rPr>
        <w:t xml:space="preserve">on </w:t>
      </w:r>
      <w:r w:rsidR="00752D8B" w:rsidRPr="006B5BB1">
        <w:rPr>
          <w:rFonts w:ascii="Times New Roman" w:hAnsi="Times New Roman"/>
        </w:rPr>
        <w:t>a public Facebook page to be blocked.</w:t>
      </w:r>
      <w:r w:rsidR="00817D9B" w:rsidRPr="006B5BB1">
        <w:rPr>
          <w:rFonts w:ascii="Times New Roman" w:hAnsi="Times New Roman"/>
        </w:rPr>
        <w:t xml:space="preserve"> </w:t>
      </w:r>
      <w:r w:rsidR="00752D8B" w:rsidRPr="006B5BB1">
        <w:rPr>
          <w:rFonts w:ascii="Times New Roman" w:hAnsi="Times New Roman"/>
        </w:rPr>
        <w:t xml:space="preserve">Individual comments could be deleted after </w:t>
      </w:r>
      <w:r w:rsidR="00202076" w:rsidRPr="006B5BB1">
        <w:rPr>
          <w:rFonts w:ascii="Times New Roman" w:hAnsi="Times New Roman"/>
        </w:rPr>
        <w:t>they were posted</w:t>
      </w:r>
      <w:r w:rsidR="00752D8B" w:rsidRPr="006B5BB1">
        <w:rPr>
          <w:rFonts w:ascii="Times New Roman" w:hAnsi="Times New Roman"/>
        </w:rPr>
        <w:t xml:space="preserve"> but this would not prevent publication</w:t>
      </w:r>
      <w:r w:rsidR="004100A0" w:rsidRPr="006B5BB1">
        <w:rPr>
          <w:rFonts w:ascii="Times New Roman" w:hAnsi="Times New Roman"/>
        </w:rPr>
        <w:t xml:space="preserve">. </w:t>
      </w:r>
      <w:r w:rsidR="000C4FE7" w:rsidRPr="006B5BB1">
        <w:rPr>
          <w:rFonts w:ascii="Times New Roman" w:hAnsi="Times New Roman"/>
        </w:rPr>
        <w:t xml:space="preserve">It </w:t>
      </w:r>
      <w:r w:rsidR="00A40451" w:rsidRPr="006B5BB1">
        <w:rPr>
          <w:rFonts w:ascii="Times New Roman" w:hAnsi="Times New Roman"/>
        </w:rPr>
        <w:t xml:space="preserve">was </w:t>
      </w:r>
      <w:r w:rsidR="000C4FE7" w:rsidRPr="006B5BB1">
        <w:rPr>
          <w:rFonts w:ascii="Times New Roman" w:hAnsi="Times New Roman"/>
        </w:rPr>
        <w:t>possible to "hide" most comments</w:t>
      </w:r>
      <w:r w:rsidR="00EA4476" w:rsidRPr="006B5BB1">
        <w:rPr>
          <w:rFonts w:ascii="Times New Roman" w:hAnsi="Times New Roman"/>
        </w:rPr>
        <w:t>,</w:t>
      </w:r>
      <w:r w:rsidR="006810CD" w:rsidRPr="006B5BB1">
        <w:rPr>
          <w:rFonts w:ascii="Times New Roman" w:hAnsi="Times New Roman"/>
        </w:rPr>
        <w:t xml:space="preserve"> through the application of a filter</w:t>
      </w:r>
      <w:r w:rsidR="00EA4476" w:rsidRPr="006B5BB1">
        <w:rPr>
          <w:rFonts w:ascii="Times New Roman" w:hAnsi="Times New Roman"/>
        </w:rPr>
        <w:t>,</w:t>
      </w:r>
      <w:r w:rsidR="000C4FE7" w:rsidRPr="006B5BB1">
        <w:rPr>
          <w:rFonts w:ascii="Times New Roman" w:hAnsi="Times New Roman"/>
        </w:rPr>
        <w:t xml:space="preserve"> which would prevent publication to all except the administrator</w:t>
      </w:r>
      <w:r w:rsidR="00EB7A0F" w:rsidRPr="006B5BB1">
        <w:rPr>
          <w:rFonts w:ascii="Times New Roman" w:hAnsi="Times New Roman"/>
        </w:rPr>
        <w:t>, the third-party user who posted the comment</w:t>
      </w:r>
      <w:r w:rsidR="000C4FE7" w:rsidRPr="006B5BB1">
        <w:rPr>
          <w:rFonts w:ascii="Times New Roman" w:hAnsi="Times New Roman"/>
        </w:rPr>
        <w:t xml:space="preserve"> and the</w:t>
      </w:r>
      <w:r w:rsidR="00EB7A0F" w:rsidRPr="006B5BB1">
        <w:rPr>
          <w:rFonts w:ascii="Times New Roman" w:hAnsi="Times New Roman"/>
        </w:rPr>
        <w:t>ir</w:t>
      </w:r>
      <w:r w:rsidR="000C4FE7" w:rsidRPr="006B5BB1">
        <w:rPr>
          <w:rFonts w:ascii="Times New Roman" w:hAnsi="Times New Roman"/>
        </w:rPr>
        <w:t xml:space="preserve"> Facebook "friends". </w:t>
      </w:r>
      <w:r w:rsidR="00EE0A5C" w:rsidRPr="006B5BB1">
        <w:rPr>
          <w:rFonts w:ascii="Times New Roman" w:hAnsi="Times New Roman"/>
        </w:rPr>
        <w:t xml:space="preserve">Hidden </w:t>
      </w:r>
      <w:r w:rsidR="000C4FE7" w:rsidRPr="006B5BB1">
        <w:rPr>
          <w:rFonts w:ascii="Times New Roman" w:hAnsi="Times New Roman"/>
        </w:rPr>
        <w:t>comments could then be individually assessed by an administrator</w:t>
      </w:r>
      <w:r w:rsidR="00F936C9" w:rsidRPr="006B5BB1">
        <w:rPr>
          <w:rFonts w:ascii="Times New Roman" w:hAnsi="Times New Roman"/>
        </w:rPr>
        <w:t>. If sufficient staff were allocated to perform this task</w:t>
      </w:r>
      <w:r w:rsidR="00AC54B5" w:rsidRPr="006B5BB1">
        <w:rPr>
          <w:rFonts w:ascii="Times New Roman" w:hAnsi="Times New Roman"/>
        </w:rPr>
        <w:t>,</w:t>
      </w:r>
      <w:r w:rsidR="00F936C9" w:rsidRPr="006B5BB1">
        <w:rPr>
          <w:rFonts w:ascii="Times New Roman" w:hAnsi="Times New Roman"/>
        </w:rPr>
        <w:t xml:space="preserve"> comments could be </w:t>
      </w:r>
      <w:r w:rsidR="00432EBF" w:rsidRPr="006B5BB1">
        <w:rPr>
          <w:rFonts w:ascii="Times New Roman" w:hAnsi="Times New Roman"/>
        </w:rPr>
        <w:t xml:space="preserve">monitored and </w:t>
      </w:r>
      <w:r w:rsidR="0066054B" w:rsidRPr="006B5BB1">
        <w:rPr>
          <w:rFonts w:ascii="Times New Roman" w:hAnsi="Times New Roman"/>
        </w:rPr>
        <w:t>un-</w:t>
      </w:r>
      <w:r w:rsidR="00432EBF" w:rsidRPr="006B5BB1">
        <w:rPr>
          <w:rFonts w:ascii="Times New Roman" w:hAnsi="Times New Roman"/>
        </w:rPr>
        <w:t xml:space="preserve">hidden </w:t>
      </w:r>
      <w:r w:rsidR="003705E2" w:rsidRPr="006B5BB1">
        <w:rPr>
          <w:rFonts w:ascii="Times New Roman" w:hAnsi="Times New Roman"/>
        </w:rPr>
        <w:t>if approved by an administrator</w:t>
      </w:r>
      <w:r w:rsidR="00432EBF" w:rsidRPr="006B5BB1">
        <w:rPr>
          <w:rFonts w:ascii="Times New Roman" w:hAnsi="Times New Roman"/>
        </w:rPr>
        <w:t>.</w:t>
      </w:r>
    </w:p>
    <w:p w14:paraId="64722DE3" w14:textId="60E4D57D" w:rsidR="00432EBF" w:rsidRPr="006B5BB1" w:rsidRDefault="00432EBF" w:rsidP="006B5BB1">
      <w:pPr>
        <w:pStyle w:val="FixListStyle"/>
        <w:spacing w:after="260" w:line="280" w:lineRule="exact"/>
        <w:ind w:right="0"/>
        <w:jc w:val="both"/>
        <w:rPr>
          <w:rFonts w:ascii="Times New Roman" w:hAnsi="Times New Roman"/>
        </w:rPr>
      </w:pPr>
      <w:r w:rsidRPr="006B5BB1">
        <w:rPr>
          <w:rFonts w:ascii="Times New Roman" w:hAnsi="Times New Roman"/>
        </w:rPr>
        <w:tab/>
        <w:t>The primary judge found</w:t>
      </w:r>
      <w:r w:rsidR="00817D9B" w:rsidRPr="006B5BB1">
        <w:rPr>
          <w:rFonts w:ascii="Times New Roman" w:hAnsi="Times New Roman"/>
        </w:rPr>
        <w:t>,</w:t>
      </w:r>
      <w:r w:rsidRPr="006B5BB1">
        <w:rPr>
          <w:rFonts w:ascii="Times New Roman" w:hAnsi="Times New Roman"/>
        </w:rPr>
        <w:t xml:space="preserve"> as might be </w:t>
      </w:r>
      <w:r w:rsidR="002B5E64" w:rsidRPr="006B5BB1">
        <w:rPr>
          <w:rFonts w:ascii="Times New Roman" w:hAnsi="Times New Roman"/>
        </w:rPr>
        <w:t>anticipated</w:t>
      </w:r>
      <w:r w:rsidRPr="006B5BB1">
        <w:rPr>
          <w:rFonts w:ascii="Times New Roman" w:hAnsi="Times New Roman"/>
        </w:rPr>
        <w:t xml:space="preserve">, that certain posts </w:t>
      </w:r>
      <w:r w:rsidR="006545AB" w:rsidRPr="006B5BB1">
        <w:rPr>
          <w:rFonts w:ascii="Times New Roman" w:hAnsi="Times New Roman"/>
        </w:rPr>
        <w:t xml:space="preserve">would </w:t>
      </w:r>
      <w:r w:rsidRPr="006B5BB1">
        <w:rPr>
          <w:rFonts w:ascii="Times New Roman" w:hAnsi="Times New Roman"/>
        </w:rPr>
        <w:t>be expected</w:t>
      </w:r>
      <w:r w:rsidR="004365B7" w:rsidRPr="006B5BB1">
        <w:rPr>
          <w:rFonts w:ascii="Times New Roman" w:hAnsi="Times New Roman"/>
        </w:rPr>
        <w:t xml:space="preserve"> to draw adverse comments about the person </w:t>
      </w:r>
      <w:r w:rsidR="005357BA" w:rsidRPr="006B5BB1">
        <w:rPr>
          <w:rFonts w:ascii="Times New Roman" w:hAnsi="Times New Roman"/>
        </w:rPr>
        <w:t xml:space="preserve">who was </w:t>
      </w:r>
      <w:r w:rsidR="004365B7" w:rsidRPr="006B5BB1">
        <w:rPr>
          <w:rFonts w:ascii="Times New Roman" w:hAnsi="Times New Roman"/>
        </w:rPr>
        <w:t xml:space="preserve">the subject of the news </w:t>
      </w:r>
      <w:r w:rsidR="00EA4476" w:rsidRPr="006B5BB1">
        <w:rPr>
          <w:rFonts w:ascii="Times New Roman" w:hAnsi="Times New Roman"/>
        </w:rPr>
        <w:t>story</w:t>
      </w:r>
      <w:r w:rsidR="004365B7" w:rsidRPr="006B5BB1">
        <w:rPr>
          <w:rFonts w:ascii="Times New Roman" w:hAnsi="Times New Roman"/>
        </w:rPr>
        <w:t xml:space="preserve">. It was not in dispute that the use of a Facebook page </w:t>
      </w:r>
      <w:r w:rsidR="00852546" w:rsidRPr="006B5BB1">
        <w:rPr>
          <w:rFonts w:ascii="Times New Roman" w:hAnsi="Times New Roman"/>
        </w:rPr>
        <w:t>encourages and facilitates visits by third</w:t>
      </w:r>
      <w:r w:rsidR="0031737C" w:rsidRPr="006B5BB1">
        <w:rPr>
          <w:rFonts w:ascii="Times New Roman" w:hAnsi="Times New Roman"/>
        </w:rPr>
        <w:t>-</w:t>
      </w:r>
      <w:r w:rsidR="00852546" w:rsidRPr="006B5BB1">
        <w:rPr>
          <w:rFonts w:ascii="Times New Roman" w:hAnsi="Times New Roman"/>
        </w:rPr>
        <w:t>party users to a media outlet's own website. The number of comments is an important aspect of the use of a public Facebook page</w:t>
      </w:r>
      <w:r w:rsidR="005E7BA2" w:rsidRPr="006B5BB1">
        <w:rPr>
          <w:rFonts w:ascii="Times New Roman" w:hAnsi="Times New Roman"/>
        </w:rPr>
        <w:t>, because</w:t>
      </w:r>
      <w:r w:rsidR="00852546" w:rsidRPr="006B5BB1">
        <w:rPr>
          <w:rFonts w:ascii="Times New Roman" w:hAnsi="Times New Roman"/>
        </w:rPr>
        <w:t xml:space="preserve"> </w:t>
      </w:r>
      <w:r w:rsidR="003478C9" w:rsidRPr="006B5BB1">
        <w:rPr>
          <w:rFonts w:ascii="Times New Roman" w:hAnsi="Times New Roman"/>
        </w:rPr>
        <w:t xml:space="preserve">comments </w:t>
      </w:r>
      <w:r w:rsidR="00852546" w:rsidRPr="006B5BB1">
        <w:rPr>
          <w:rFonts w:ascii="Times New Roman" w:hAnsi="Times New Roman"/>
        </w:rPr>
        <w:t xml:space="preserve">increase the profile and popularity of </w:t>
      </w:r>
      <w:r w:rsidR="00E5688C" w:rsidRPr="006B5BB1">
        <w:rPr>
          <w:rFonts w:ascii="Times New Roman" w:hAnsi="Times New Roman"/>
        </w:rPr>
        <w:t xml:space="preserve">the page, </w:t>
      </w:r>
      <w:r w:rsidR="00852546" w:rsidRPr="006B5BB1">
        <w:rPr>
          <w:rFonts w:ascii="Times New Roman" w:hAnsi="Times New Roman"/>
        </w:rPr>
        <w:t>which in turn increase</w:t>
      </w:r>
      <w:r w:rsidR="005E7BA2" w:rsidRPr="006B5BB1">
        <w:rPr>
          <w:rFonts w:ascii="Times New Roman" w:hAnsi="Times New Roman"/>
        </w:rPr>
        <w:t>s</w:t>
      </w:r>
      <w:r w:rsidR="00852546" w:rsidRPr="006B5BB1">
        <w:rPr>
          <w:rFonts w:ascii="Times New Roman" w:hAnsi="Times New Roman"/>
        </w:rPr>
        <w:t xml:space="preserve"> </w:t>
      </w:r>
      <w:r w:rsidR="006A1D52" w:rsidRPr="006B5BB1">
        <w:rPr>
          <w:rFonts w:ascii="Times New Roman" w:hAnsi="Times New Roman"/>
        </w:rPr>
        <w:t xml:space="preserve">the readership of the digital newspaper or broadcast, and </w:t>
      </w:r>
      <w:r w:rsidR="00852546" w:rsidRPr="006B5BB1">
        <w:rPr>
          <w:rFonts w:ascii="Times New Roman" w:hAnsi="Times New Roman"/>
        </w:rPr>
        <w:t>the revenue from advertising on both the page and the digital newspaper or broadcas</w:t>
      </w:r>
      <w:r w:rsidR="00B90252" w:rsidRPr="006B5BB1">
        <w:rPr>
          <w:rFonts w:ascii="Times New Roman" w:hAnsi="Times New Roman"/>
        </w:rPr>
        <w:t>t.</w:t>
      </w:r>
    </w:p>
    <w:p w14:paraId="04A991CA" w14:textId="77777777" w:rsidR="00F511D3" w:rsidRPr="006B5BB1" w:rsidRDefault="00F511D3" w:rsidP="006B5BB1">
      <w:pPr>
        <w:pStyle w:val="HeadingL1"/>
        <w:spacing w:after="260" w:line="280" w:lineRule="exact"/>
        <w:ind w:right="0"/>
        <w:jc w:val="both"/>
        <w:rPr>
          <w:rFonts w:ascii="Times New Roman" w:hAnsi="Times New Roman"/>
        </w:rPr>
      </w:pPr>
      <w:r w:rsidRPr="006B5BB1">
        <w:rPr>
          <w:rFonts w:ascii="Times New Roman" w:hAnsi="Times New Roman"/>
          <w:iCs/>
        </w:rPr>
        <w:t>The</w:t>
      </w:r>
      <w:r w:rsidRPr="006B5BB1">
        <w:rPr>
          <w:rFonts w:ascii="Times New Roman" w:hAnsi="Times New Roman"/>
          <w:i/>
        </w:rPr>
        <w:t xml:space="preserve"> Defamation Act 2005</w:t>
      </w:r>
      <w:r w:rsidRPr="006B5BB1">
        <w:rPr>
          <w:rFonts w:ascii="Times New Roman" w:hAnsi="Times New Roman"/>
        </w:rPr>
        <w:t xml:space="preserve"> (NSW)</w:t>
      </w:r>
    </w:p>
    <w:p w14:paraId="2A797F2C" w14:textId="095784EB" w:rsidR="00A02103" w:rsidRPr="006B5BB1" w:rsidRDefault="00A02103"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Section 6 of the </w:t>
      </w:r>
      <w:r w:rsidRPr="006B5BB1">
        <w:rPr>
          <w:rFonts w:ascii="Times New Roman" w:hAnsi="Times New Roman"/>
          <w:i/>
          <w:iCs/>
        </w:rPr>
        <w:t>Defamation Act 2005</w:t>
      </w:r>
      <w:r w:rsidRPr="006B5BB1">
        <w:rPr>
          <w:rFonts w:ascii="Times New Roman" w:hAnsi="Times New Roman"/>
        </w:rPr>
        <w:t xml:space="preserve"> (NSW) states the subject matter of the Act to </w:t>
      </w:r>
      <w:r w:rsidR="00411768" w:rsidRPr="006B5BB1">
        <w:rPr>
          <w:rFonts w:ascii="Times New Roman" w:hAnsi="Times New Roman"/>
        </w:rPr>
        <w:t xml:space="preserve">relate to </w:t>
      </w:r>
      <w:r w:rsidRPr="006B5BB1">
        <w:rPr>
          <w:rFonts w:ascii="Times New Roman" w:hAnsi="Times New Roman"/>
        </w:rPr>
        <w:t>"the tort of defamation at general law". It provides that the Act "does not affect the operation of the general law in relation to the tort of defamation except to the extent that this Act provides otherwise (whether expressly or by necessary implication</w:t>
      </w:r>
      <w:r w:rsidR="00AC1232" w:rsidRPr="006B5BB1">
        <w:rPr>
          <w:rFonts w:ascii="Times New Roman" w:hAnsi="Times New Roman"/>
        </w:rPr>
        <w:t>)</w:t>
      </w:r>
      <w:r w:rsidRPr="006B5BB1">
        <w:rPr>
          <w:rFonts w:ascii="Times New Roman" w:hAnsi="Times New Roman"/>
        </w:rPr>
        <w:t>".</w:t>
      </w:r>
    </w:p>
    <w:p w14:paraId="4DEFFEEB" w14:textId="731F09D9" w:rsidR="00755052" w:rsidRPr="006B5BB1" w:rsidRDefault="00755052" w:rsidP="006B5BB1">
      <w:pPr>
        <w:pStyle w:val="FixListStyle"/>
        <w:spacing w:after="260" w:line="280" w:lineRule="exact"/>
        <w:ind w:right="0"/>
        <w:jc w:val="both"/>
        <w:rPr>
          <w:rFonts w:ascii="Times New Roman" w:hAnsi="Times New Roman"/>
        </w:rPr>
      </w:pPr>
      <w:r w:rsidRPr="006B5BB1">
        <w:rPr>
          <w:rFonts w:ascii="Times New Roman" w:hAnsi="Times New Roman"/>
        </w:rPr>
        <w:lastRenderedPageBreak/>
        <w:tab/>
        <w:t>Provisions of the Act refer to the "publication of defamatory matter"</w:t>
      </w:r>
      <w:r w:rsidR="00F511D3" w:rsidRPr="006B5BB1">
        <w:rPr>
          <w:rStyle w:val="FootnoteReference"/>
          <w:rFonts w:ascii="Times New Roman" w:hAnsi="Times New Roman"/>
        </w:rPr>
        <w:footnoteReference w:id="5"/>
      </w:r>
      <w:r w:rsidRPr="006B5BB1">
        <w:rPr>
          <w:rFonts w:ascii="Times New Roman" w:hAnsi="Times New Roman"/>
        </w:rPr>
        <w:t xml:space="preserve">. "Matter" is </w:t>
      </w:r>
      <w:r w:rsidR="00042B57" w:rsidRPr="006B5BB1">
        <w:rPr>
          <w:rFonts w:ascii="Times New Roman" w:hAnsi="Times New Roman"/>
        </w:rPr>
        <w:t xml:space="preserve">relevantly </w:t>
      </w:r>
      <w:r w:rsidRPr="006B5BB1">
        <w:rPr>
          <w:rFonts w:ascii="Times New Roman" w:hAnsi="Times New Roman"/>
        </w:rPr>
        <w:t>defined</w:t>
      </w:r>
      <w:r w:rsidR="00F511D3" w:rsidRPr="006B5BB1">
        <w:rPr>
          <w:rStyle w:val="FootnoteReference"/>
          <w:rFonts w:ascii="Times New Roman" w:hAnsi="Times New Roman"/>
        </w:rPr>
        <w:footnoteReference w:id="6"/>
      </w:r>
      <w:r w:rsidRPr="006B5BB1">
        <w:rPr>
          <w:rFonts w:ascii="Times New Roman" w:hAnsi="Times New Roman"/>
        </w:rPr>
        <w:t xml:space="preserve"> to include an article, report or other thing communicated by means of a newspaper and a report or other thing communicated by means of television, </w:t>
      </w:r>
      <w:r w:rsidR="00042B57" w:rsidRPr="006B5BB1">
        <w:rPr>
          <w:rFonts w:ascii="Times New Roman" w:hAnsi="Times New Roman"/>
        </w:rPr>
        <w:t xml:space="preserve">the </w:t>
      </w:r>
      <w:r w:rsidRPr="006B5BB1">
        <w:rPr>
          <w:rFonts w:ascii="Times New Roman" w:hAnsi="Times New Roman"/>
        </w:rPr>
        <w:t>internet or any other form of electronic communication. The Act does not define what is meant by the "publication" of defamatory matter. Resort is necessary to the general law in that regard.</w:t>
      </w:r>
    </w:p>
    <w:p w14:paraId="1AD6A924" w14:textId="1873375B" w:rsidR="005E6F4A" w:rsidRPr="006B5BB1" w:rsidRDefault="005E6F4A"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w:t>
      </w:r>
      <w:r w:rsidRPr="006B5BB1">
        <w:rPr>
          <w:rFonts w:ascii="Times New Roman" w:hAnsi="Times New Roman"/>
          <w:i/>
        </w:rPr>
        <w:t>Defamation Act</w:t>
      </w:r>
      <w:r w:rsidRPr="006B5BB1">
        <w:rPr>
          <w:rFonts w:ascii="Times New Roman" w:hAnsi="Times New Roman"/>
        </w:rPr>
        <w:t xml:space="preserve"> makes provision, in s 32, for a defence of innocent dissemination. </w:t>
      </w:r>
      <w:r w:rsidR="00AC1232" w:rsidRPr="006B5BB1">
        <w:rPr>
          <w:rFonts w:ascii="Times New Roman" w:hAnsi="Times New Roman"/>
        </w:rPr>
        <w:t xml:space="preserve">A defence of this kind has its origins in the common law. </w:t>
      </w:r>
      <w:r w:rsidRPr="006B5BB1">
        <w:rPr>
          <w:rFonts w:ascii="Times New Roman" w:hAnsi="Times New Roman"/>
        </w:rPr>
        <w:t>No question as to the</w:t>
      </w:r>
      <w:r w:rsidR="00613769" w:rsidRPr="006B5BB1">
        <w:rPr>
          <w:rFonts w:ascii="Times New Roman" w:hAnsi="Times New Roman"/>
        </w:rPr>
        <w:t xml:space="preserve"> availability of the statutory defence arises with respect to the answer </w:t>
      </w:r>
      <w:r w:rsidR="00D553F8" w:rsidRPr="006B5BB1">
        <w:rPr>
          <w:rFonts w:ascii="Times New Roman" w:hAnsi="Times New Roman"/>
        </w:rPr>
        <w:t xml:space="preserve">to the </w:t>
      </w:r>
      <w:r w:rsidR="00250299" w:rsidRPr="006B5BB1">
        <w:rPr>
          <w:rFonts w:ascii="Times New Roman" w:hAnsi="Times New Roman"/>
        </w:rPr>
        <w:t xml:space="preserve">separate </w:t>
      </w:r>
      <w:r w:rsidR="00D553F8" w:rsidRPr="006B5BB1">
        <w:rPr>
          <w:rFonts w:ascii="Times New Roman" w:hAnsi="Times New Roman"/>
        </w:rPr>
        <w:t>question. Nevertheless</w:t>
      </w:r>
      <w:r w:rsidR="00453357" w:rsidRPr="006B5BB1">
        <w:rPr>
          <w:rFonts w:ascii="Times New Roman" w:hAnsi="Times New Roman"/>
        </w:rPr>
        <w:t>,</w:t>
      </w:r>
      <w:r w:rsidR="00D553F8" w:rsidRPr="006B5BB1">
        <w:rPr>
          <w:rFonts w:ascii="Times New Roman" w:hAnsi="Times New Roman"/>
        </w:rPr>
        <w:t xml:space="preserve"> the appellants refer to the cases which developed the defence</w:t>
      </w:r>
      <w:r w:rsidR="008D4C82" w:rsidRPr="006B5BB1">
        <w:rPr>
          <w:rFonts w:ascii="Times New Roman" w:hAnsi="Times New Roman"/>
        </w:rPr>
        <w:t xml:space="preserve"> at common law</w:t>
      </w:r>
      <w:r w:rsidR="00D553F8" w:rsidRPr="006B5BB1">
        <w:rPr>
          <w:rFonts w:ascii="Times New Roman" w:hAnsi="Times New Roman"/>
        </w:rPr>
        <w:t xml:space="preserve"> and later observations about those cases. </w:t>
      </w:r>
      <w:r w:rsidR="009C5264" w:rsidRPr="006B5BB1">
        <w:rPr>
          <w:rFonts w:ascii="Times New Roman" w:hAnsi="Times New Roman"/>
        </w:rPr>
        <w:t xml:space="preserve">The appellants </w:t>
      </w:r>
      <w:r w:rsidR="00D553F8" w:rsidRPr="006B5BB1">
        <w:rPr>
          <w:rFonts w:ascii="Times New Roman" w:hAnsi="Times New Roman"/>
        </w:rPr>
        <w:t xml:space="preserve">submit that </w:t>
      </w:r>
      <w:r w:rsidR="00A126D9" w:rsidRPr="006B5BB1">
        <w:rPr>
          <w:rFonts w:ascii="Times New Roman" w:hAnsi="Times New Roman"/>
        </w:rPr>
        <w:t xml:space="preserve">the cases </w:t>
      </w:r>
      <w:r w:rsidR="00D553F8" w:rsidRPr="006B5BB1">
        <w:rPr>
          <w:rFonts w:ascii="Times New Roman" w:hAnsi="Times New Roman"/>
        </w:rPr>
        <w:t>illuminate what it means to be a publisher.</w:t>
      </w:r>
    </w:p>
    <w:p w14:paraId="7B8D8EFA" w14:textId="77777777" w:rsidR="00F511D3" w:rsidRPr="006B5BB1" w:rsidRDefault="00F511D3" w:rsidP="006B5BB1">
      <w:pPr>
        <w:pStyle w:val="HeadingL1"/>
        <w:spacing w:after="260" w:line="280" w:lineRule="exact"/>
        <w:ind w:right="0"/>
        <w:jc w:val="both"/>
        <w:rPr>
          <w:rFonts w:ascii="Times New Roman" w:hAnsi="Times New Roman"/>
        </w:rPr>
      </w:pPr>
      <w:r w:rsidRPr="006B5BB1">
        <w:rPr>
          <w:rFonts w:ascii="Times New Roman" w:hAnsi="Times New Roman"/>
        </w:rPr>
        <w:t>The argument and decision below</w:t>
      </w:r>
    </w:p>
    <w:p w14:paraId="6023D8F7" w14:textId="52D5E063" w:rsidR="00EB4388" w:rsidRPr="006B5BB1" w:rsidRDefault="00835ECC"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appellants </w:t>
      </w:r>
      <w:r w:rsidR="00250132" w:rsidRPr="006B5BB1">
        <w:rPr>
          <w:rFonts w:ascii="Times New Roman" w:hAnsi="Times New Roman"/>
        </w:rPr>
        <w:t>argued their cases in the Court of Appeal on the basis that</w:t>
      </w:r>
      <w:r w:rsidR="001E43BD" w:rsidRPr="006B5BB1">
        <w:rPr>
          <w:rFonts w:ascii="Times New Roman" w:hAnsi="Times New Roman"/>
        </w:rPr>
        <w:t>,</w:t>
      </w:r>
      <w:r w:rsidR="00250132" w:rsidRPr="006B5BB1">
        <w:rPr>
          <w:rFonts w:ascii="Times New Roman" w:hAnsi="Times New Roman"/>
        </w:rPr>
        <w:t xml:space="preserve"> to be publishers</w:t>
      </w:r>
      <w:r w:rsidR="001E43BD" w:rsidRPr="006B5BB1">
        <w:rPr>
          <w:rFonts w:ascii="Times New Roman" w:hAnsi="Times New Roman"/>
        </w:rPr>
        <w:t>,</w:t>
      </w:r>
      <w:r w:rsidR="00250132" w:rsidRPr="006B5BB1">
        <w:rPr>
          <w:rFonts w:ascii="Times New Roman" w:hAnsi="Times New Roman"/>
        </w:rPr>
        <w:t xml:space="preserve"> they must have been instrumental </w:t>
      </w:r>
      <w:r w:rsidR="00E75F0E" w:rsidRPr="006B5BB1">
        <w:rPr>
          <w:rFonts w:ascii="Times New Roman" w:hAnsi="Times New Roman"/>
        </w:rPr>
        <w:t>to</w:t>
      </w:r>
      <w:r w:rsidR="00BB3899" w:rsidRPr="006B5BB1">
        <w:rPr>
          <w:rFonts w:ascii="Times New Roman" w:hAnsi="Times New Roman"/>
        </w:rPr>
        <w:t>,</w:t>
      </w:r>
      <w:r w:rsidR="00E75F0E" w:rsidRPr="006B5BB1">
        <w:rPr>
          <w:rFonts w:ascii="Times New Roman" w:hAnsi="Times New Roman"/>
        </w:rPr>
        <w:t xml:space="preserve"> </w:t>
      </w:r>
      <w:r w:rsidR="00250132" w:rsidRPr="006B5BB1">
        <w:rPr>
          <w:rFonts w:ascii="Times New Roman" w:hAnsi="Times New Roman"/>
        </w:rPr>
        <w:t>or a participant in</w:t>
      </w:r>
      <w:r w:rsidR="00BB3899" w:rsidRPr="006B5BB1">
        <w:rPr>
          <w:rFonts w:ascii="Times New Roman" w:hAnsi="Times New Roman"/>
        </w:rPr>
        <w:t>,</w:t>
      </w:r>
      <w:r w:rsidR="00250132" w:rsidRPr="006B5BB1">
        <w:rPr>
          <w:rFonts w:ascii="Times New Roman" w:hAnsi="Times New Roman"/>
        </w:rPr>
        <w:t xml:space="preserve"> the communication of the alleged defamatory matter. This was a correct approach and </w:t>
      </w:r>
      <w:r w:rsidR="00BF39BD" w:rsidRPr="006B5BB1">
        <w:rPr>
          <w:rFonts w:ascii="Times New Roman" w:hAnsi="Times New Roman"/>
        </w:rPr>
        <w:t xml:space="preserve">followed </w:t>
      </w:r>
      <w:r w:rsidR="00250132" w:rsidRPr="006B5BB1">
        <w:rPr>
          <w:rFonts w:ascii="Times New Roman" w:hAnsi="Times New Roman"/>
        </w:rPr>
        <w:t>the</w:t>
      </w:r>
      <w:r w:rsidR="00FC6635" w:rsidRPr="006B5BB1">
        <w:rPr>
          <w:rFonts w:ascii="Times New Roman" w:hAnsi="Times New Roman"/>
        </w:rPr>
        <w:t xml:space="preserve"> meaning of publication given in </w:t>
      </w:r>
      <w:r w:rsidR="00FC6635" w:rsidRPr="006B5BB1">
        <w:rPr>
          <w:rFonts w:ascii="Times New Roman" w:hAnsi="Times New Roman"/>
          <w:i/>
        </w:rPr>
        <w:t>Webb v Bloch</w:t>
      </w:r>
      <w:r w:rsidR="00F511D3" w:rsidRPr="006B5BB1">
        <w:rPr>
          <w:rStyle w:val="FootnoteReference"/>
          <w:rFonts w:ascii="Times New Roman" w:hAnsi="Times New Roman"/>
        </w:rPr>
        <w:footnoteReference w:id="7"/>
      </w:r>
      <w:r w:rsidR="00BF078A" w:rsidRPr="006B5BB1">
        <w:rPr>
          <w:rFonts w:ascii="Times New Roman" w:hAnsi="Times New Roman"/>
        </w:rPr>
        <w:t>, to which reference is made later in these reasons.</w:t>
      </w:r>
    </w:p>
    <w:p w14:paraId="75D14E02" w14:textId="1B4E0F35" w:rsidR="00A02103" w:rsidRPr="006B5BB1" w:rsidRDefault="00AF16AC"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00A02103" w:rsidRPr="006B5BB1">
        <w:rPr>
          <w:rFonts w:ascii="Times New Roman" w:hAnsi="Times New Roman"/>
        </w:rPr>
        <w:t xml:space="preserve">The </w:t>
      </w:r>
      <w:r w:rsidR="00BF078A" w:rsidRPr="006B5BB1">
        <w:rPr>
          <w:rFonts w:ascii="Times New Roman" w:hAnsi="Times New Roman"/>
        </w:rPr>
        <w:t xml:space="preserve">appellants </w:t>
      </w:r>
      <w:r w:rsidR="00A02103" w:rsidRPr="006B5BB1">
        <w:rPr>
          <w:rFonts w:ascii="Times New Roman" w:hAnsi="Times New Roman"/>
        </w:rPr>
        <w:t xml:space="preserve">argued that they did not make the defamatory </w:t>
      </w:r>
      <w:r w:rsidR="00AD589C" w:rsidRPr="006B5BB1">
        <w:rPr>
          <w:rFonts w:ascii="Times New Roman" w:hAnsi="Times New Roman"/>
        </w:rPr>
        <w:t xml:space="preserve">comments </w:t>
      </w:r>
      <w:r w:rsidR="00A02103" w:rsidRPr="006B5BB1">
        <w:rPr>
          <w:rFonts w:ascii="Times New Roman" w:hAnsi="Times New Roman"/>
        </w:rPr>
        <w:t>available to the public, did not participate in their publication and were not in any relevant sense instrumental in the</w:t>
      </w:r>
      <w:r w:rsidR="008866A2" w:rsidRPr="006B5BB1">
        <w:rPr>
          <w:rFonts w:ascii="Times New Roman" w:hAnsi="Times New Roman"/>
        </w:rPr>
        <w:t>ir</w:t>
      </w:r>
      <w:r w:rsidR="00A02103" w:rsidRPr="006B5BB1">
        <w:rPr>
          <w:rFonts w:ascii="Times New Roman" w:hAnsi="Times New Roman"/>
        </w:rPr>
        <w:t xml:space="preserve"> publication</w:t>
      </w:r>
      <w:r w:rsidR="00F511D3" w:rsidRPr="006B5BB1">
        <w:rPr>
          <w:rStyle w:val="FootnoteReference"/>
          <w:rFonts w:ascii="Times New Roman" w:hAnsi="Times New Roman"/>
        </w:rPr>
        <w:footnoteReference w:id="8"/>
      </w:r>
      <w:r w:rsidR="00BF078A" w:rsidRPr="006B5BB1">
        <w:rPr>
          <w:rFonts w:ascii="Times New Roman" w:hAnsi="Times New Roman"/>
        </w:rPr>
        <w:t>;</w:t>
      </w:r>
      <w:r w:rsidR="00A02103" w:rsidRPr="006B5BB1">
        <w:rPr>
          <w:rFonts w:ascii="Times New Roman" w:hAnsi="Times New Roman"/>
        </w:rPr>
        <w:t xml:space="preserve"> they merely administered a public Facebook page on which third parties published material. They submitted </w:t>
      </w:r>
      <w:r w:rsidR="00D56A0A" w:rsidRPr="006B5BB1">
        <w:rPr>
          <w:rFonts w:ascii="Times New Roman" w:hAnsi="Times New Roman"/>
        </w:rPr>
        <w:t xml:space="preserve">to the Court of Appeal </w:t>
      </w:r>
      <w:r w:rsidR="00A02103" w:rsidRPr="006B5BB1">
        <w:rPr>
          <w:rFonts w:ascii="Times New Roman" w:hAnsi="Times New Roman"/>
        </w:rPr>
        <w:t>that they were more closely equivalent to the supplier of paper to a newspaper owner or the supplier of a computer to an author.</w:t>
      </w:r>
    </w:p>
    <w:p w14:paraId="0D99D9B5" w14:textId="3A158BD3" w:rsidR="00191300" w:rsidRPr="006B5BB1" w:rsidRDefault="00AF16AC" w:rsidP="006B5BB1">
      <w:pPr>
        <w:pStyle w:val="FixListStyle"/>
        <w:spacing w:after="260" w:line="280" w:lineRule="exact"/>
        <w:ind w:right="0"/>
        <w:jc w:val="both"/>
        <w:rPr>
          <w:rFonts w:ascii="Times New Roman" w:hAnsi="Times New Roman"/>
        </w:rPr>
      </w:pPr>
      <w:r w:rsidRPr="006B5BB1">
        <w:rPr>
          <w:rFonts w:ascii="Times New Roman" w:hAnsi="Times New Roman"/>
        </w:rPr>
        <w:tab/>
        <w:t>Reliance was also placed by the appellants on ca</w:t>
      </w:r>
      <w:r w:rsidR="00751D2C" w:rsidRPr="006B5BB1">
        <w:rPr>
          <w:rFonts w:ascii="Times New Roman" w:hAnsi="Times New Roman"/>
        </w:rPr>
        <w:t>s</w:t>
      </w:r>
      <w:r w:rsidRPr="006B5BB1">
        <w:rPr>
          <w:rFonts w:ascii="Times New Roman" w:hAnsi="Times New Roman"/>
        </w:rPr>
        <w:t xml:space="preserve">es which involved actions </w:t>
      </w:r>
      <w:r w:rsidR="00751D2C" w:rsidRPr="006B5BB1">
        <w:rPr>
          <w:rFonts w:ascii="Times New Roman" w:hAnsi="Times New Roman"/>
        </w:rPr>
        <w:t>brought against</w:t>
      </w:r>
      <w:r w:rsidR="003D46AF" w:rsidRPr="006B5BB1">
        <w:rPr>
          <w:rFonts w:ascii="Times New Roman" w:hAnsi="Times New Roman"/>
        </w:rPr>
        <w:t xml:space="preserve"> owners or occupiers of premises in which unauthorised third </w:t>
      </w:r>
      <w:r w:rsidR="003D46AF" w:rsidRPr="006B5BB1">
        <w:rPr>
          <w:rFonts w:ascii="Times New Roman" w:hAnsi="Times New Roman"/>
        </w:rPr>
        <w:lastRenderedPageBreak/>
        <w:t xml:space="preserve">parties affixed defamatory statements on </w:t>
      </w:r>
      <w:r w:rsidR="008327A8" w:rsidRPr="006B5BB1">
        <w:rPr>
          <w:rFonts w:ascii="Times New Roman" w:hAnsi="Times New Roman"/>
        </w:rPr>
        <w:t>the wall of</w:t>
      </w:r>
      <w:r w:rsidR="003B1030" w:rsidRPr="006B5BB1">
        <w:rPr>
          <w:rFonts w:ascii="Times New Roman" w:hAnsi="Times New Roman"/>
        </w:rPr>
        <w:t xml:space="preserve"> </w:t>
      </w:r>
      <w:r w:rsidR="006B1D8F" w:rsidRPr="006B5BB1">
        <w:rPr>
          <w:rFonts w:ascii="Times New Roman" w:hAnsi="Times New Roman"/>
        </w:rPr>
        <w:t xml:space="preserve">a </w:t>
      </w:r>
      <w:r w:rsidR="003B1030" w:rsidRPr="006B5BB1">
        <w:rPr>
          <w:rFonts w:ascii="Times New Roman" w:hAnsi="Times New Roman"/>
        </w:rPr>
        <w:t>premises</w:t>
      </w:r>
      <w:r w:rsidR="00F511D3" w:rsidRPr="006B5BB1">
        <w:rPr>
          <w:rStyle w:val="FootnoteReference"/>
          <w:rFonts w:ascii="Times New Roman" w:hAnsi="Times New Roman"/>
        </w:rPr>
        <w:footnoteReference w:id="9"/>
      </w:r>
      <w:r w:rsidR="00E6032A" w:rsidRPr="006B5BB1">
        <w:rPr>
          <w:rFonts w:ascii="Times New Roman" w:hAnsi="Times New Roman"/>
        </w:rPr>
        <w:t xml:space="preserve"> or scrawled them as graffiti on the walls of </w:t>
      </w:r>
      <w:r w:rsidR="003B1030" w:rsidRPr="006B5BB1">
        <w:rPr>
          <w:rFonts w:ascii="Times New Roman" w:hAnsi="Times New Roman"/>
        </w:rPr>
        <w:t>a structure</w:t>
      </w:r>
      <w:r w:rsidR="00F511D3" w:rsidRPr="006B5BB1">
        <w:rPr>
          <w:rStyle w:val="FootnoteReference"/>
          <w:rFonts w:ascii="Times New Roman" w:hAnsi="Times New Roman"/>
        </w:rPr>
        <w:footnoteReference w:id="10"/>
      </w:r>
      <w:r w:rsidR="00AA44E6" w:rsidRPr="006B5BB1">
        <w:rPr>
          <w:rFonts w:ascii="Times New Roman" w:hAnsi="Times New Roman"/>
        </w:rPr>
        <w:t xml:space="preserve">. In </w:t>
      </w:r>
      <w:r w:rsidR="001971A8" w:rsidRPr="006B5BB1">
        <w:rPr>
          <w:rFonts w:ascii="Times New Roman" w:hAnsi="Times New Roman"/>
        </w:rPr>
        <w:t xml:space="preserve">cases of this kind the occupier has been regarded by the courts as a publisher </w:t>
      </w:r>
      <w:r w:rsidR="00EC37C2" w:rsidRPr="006B5BB1">
        <w:rPr>
          <w:rFonts w:ascii="Times New Roman" w:hAnsi="Times New Roman"/>
        </w:rPr>
        <w:t xml:space="preserve">only </w:t>
      </w:r>
      <w:r w:rsidR="001971A8" w:rsidRPr="006B5BB1">
        <w:rPr>
          <w:rFonts w:ascii="Times New Roman" w:hAnsi="Times New Roman"/>
        </w:rPr>
        <w:t>if</w:t>
      </w:r>
      <w:r w:rsidR="003B1030" w:rsidRPr="006B5BB1">
        <w:rPr>
          <w:rFonts w:ascii="Times New Roman" w:hAnsi="Times New Roman"/>
        </w:rPr>
        <w:t>,</w:t>
      </w:r>
      <w:r w:rsidR="001971A8" w:rsidRPr="006B5BB1">
        <w:rPr>
          <w:rFonts w:ascii="Times New Roman" w:hAnsi="Times New Roman"/>
        </w:rPr>
        <w:t xml:space="preserve"> after becoming aware of the statement</w:t>
      </w:r>
      <w:r w:rsidR="006132C7" w:rsidRPr="006B5BB1">
        <w:rPr>
          <w:rFonts w:ascii="Times New Roman" w:hAnsi="Times New Roman"/>
        </w:rPr>
        <w:t>s,</w:t>
      </w:r>
      <w:r w:rsidR="00BF1C5F" w:rsidRPr="006B5BB1">
        <w:rPr>
          <w:rFonts w:ascii="Times New Roman" w:hAnsi="Times New Roman"/>
        </w:rPr>
        <w:t xml:space="preserve"> the occupier allowed</w:t>
      </w:r>
      <w:r w:rsidR="006132C7" w:rsidRPr="006B5BB1">
        <w:rPr>
          <w:rFonts w:ascii="Times New Roman" w:hAnsi="Times New Roman"/>
        </w:rPr>
        <w:t xml:space="preserve"> </w:t>
      </w:r>
      <w:r w:rsidR="00EC37C2" w:rsidRPr="006B5BB1">
        <w:rPr>
          <w:rFonts w:ascii="Times New Roman" w:hAnsi="Times New Roman"/>
        </w:rPr>
        <w:t xml:space="preserve">them </w:t>
      </w:r>
      <w:r w:rsidR="006132C7" w:rsidRPr="006B5BB1">
        <w:rPr>
          <w:rFonts w:ascii="Times New Roman" w:hAnsi="Times New Roman"/>
        </w:rPr>
        <w:t>to remain in place</w:t>
      </w:r>
      <w:r w:rsidR="00F44776" w:rsidRPr="006B5BB1">
        <w:rPr>
          <w:rFonts w:ascii="Times New Roman" w:hAnsi="Times New Roman"/>
        </w:rPr>
        <w:t xml:space="preserve"> </w:t>
      </w:r>
      <w:r w:rsidR="00E8133C" w:rsidRPr="006B5BB1">
        <w:rPr>
          <w:rFonts w:ascii="Times New Roman" w:hAnsi="Times New Roman"/>
        </w:rPr>
        <w:t>and</w:t>
      </w:r>
      <w:r w:rsidR="007865C5" w:rsidRPr="006B5BB1">
        <w:rPr>
          <w:rFonts w:ascii="Times New Roman" w:hAnsi="Times New Roman"/>
        </w:rPr>
        <w:t xml:space="preserve"> the circumstances justif</w:t>
      </w:r>
      <w:r w:rsidR="00C42E4F" w:rsidRPr="006B5BB1">
        <w:rPr>
          <w:rFonts w:ascii="Times New Roman" w:hAnsi="Times New Roman"/>
        </w:rPr>
        <w:t>ied</w:t>
      </w:r>
      <w:r w:rsidR="007865C5" w:rsidRPr="006B5BB1">
        <w:rPr>
          <w:rFonts w:ascii="Times New Roman" w:hAnsi="Times New Roman"/>
        </w:rPr>
        <w:t xml:space="preserve"> an inference that</w:t>
      </w:r>
      <w:r w:rsidR="00E8133C" w:rsidRPr="006B5BB1">
        <w:rPr>
          <w:rFonts w:ascii="Times New Roman" w:hAnsi="Times New Roman"/>
        </w:rPr>
        <w:t xml:space="preserve"> </w:t>
      </w:r>
      <w:r w:rsidR="00894A98" w:rsidRPr="006B5BB1">
        <w:rPr>
          <w:rFonts w:ascii="Times New Roman" w:hAnsi="Times New Roman"/>
        </w:rPr>
        <w:t xml:space="preserve">they </w:t>
      </w:r>
      <w:r w:rsidR="00C42E4F" w:rsidRPr="006B5BB1">
        <w:rPr>
          <w:rFonts w:ascii="Times New Roman" w:hAnsi="Times New Roman"/>
        </w:rPr>
        <w:t>had</w:t>
      </w:r>
      <w:r w:rsidR="00421E18" w:rsidRPr="006B5BB1">
        <w:rPr>
          <w:rFonts w:ascii="Times New Roman" w:hAnsi="Times New Roman"/>
        </w:rPr>
        <w:t xml:space="preserve"> </w:t>
      </w:r>
      <w:r w:rsidR="00B560C6" w:rsidRPr="006B5BB1">
        <w:rPr>
          <w:rFonts w:ascii="Times New Roman" w:hAnsi="Times New Roman"/>
        </w:rPr>
        <w:t>accepted responsibility for</w:t>
      </w:r>
      <w:r w:rsidR="006132C7" w:rsidRPr="006B5BB1">
        <w:rPr>
          <w:rFonts w:ascii="Times New Roman" w:hAnsi="Times New Roman"/>
        </w:rPr>
        <w:t xml:space="preserve"> the continuing publication of the statement by adopting </w:t>
      </w:r>
      <w:r w:rsidR="004A5C91" w:rsidRPr="006B5BB1">
        <w:rPr>
          <w:rFonts w:ascii="Times New Roman" w:hAnsi="Times New Roman"/>
        </w:rPr>
        <w:t xml:space="preserve">or </w:t>
      </w:r>
      <w:r w:rsidR="00191300" w:rsidRPr="006B5BB1">
        <w:rPr>
          <w:rFonts w:ascii="Times New Roman" w:hAnsi="Times New Roman"/>
        </w:rPr>
        <w:t>r</w:t>
      </w:r>
      <w:r w:rsidR="004A5C91" w:rsidRPr="006B5BB1">
        <w:rPr>
          <w:rFonts w:ascii="Times New Roman" w:hAnsi="Times New Roman"/>
        </w:rPr>
        <w:t>atifying it</w:t>
      </w:r>
      <w:r w:rsidR="005354CD" w:rsidRPr="006B5BB1">
        <w:rPr>
          <w:rFonts w:ascii="Times New Roman" w:hAnsi="Times New Roman"/>
        </w:rPr>
        <w:t>.</w:t>
      </w:r>
    </w:p>
    <w:p w14:paraId="52B5B57F" w14:textId="06B5DDE4" w:rsidR="005354CD" w:rsidRPr="006B5BB1" w:rsidRDefault="005354CD" w:rsidP="006B5BB1">
      <w:pPr>
        <w:pStyle w:val="FixListStyle"/>
        <w:spacing w:after="260" w:line="280" w:lineRule="exact"/>
        <w:ind w:right="0"/>
        <w:jc w:val="both"/>
        <w:rPr>
          <w:rFonts w:ascii="Times New Roman" w:hAnsi="Times New Roman"/>
        </w:rPr>
      </w:pPr>
      <w:r w:rsidRPr="006B5BB1">
        <w:rPr>
          <w:rFonts w:ascii="Times New Roman" w:hAnsi="Times New Roman"/>
        </w:rPr>
        <w:tab/>
        <w:t>In a case to which reference was made in the judgments in the Court of Appeal</w:t>
      </w:r>
      <w:r w:rsidR="00F511D3" w:rsidRPr="006B5BB1">
        <w:rPr>
          <w:rStyle w:val="FootnoteReference"/>
          <w:rFonts w:ascii="Times New Roman" w:hAnsi="Times New Roman"/>
        </w:rPr>
        <w:footnoteReference w:id="11"/>
      </w:r>
      <w:r w:rsidR="00E1675E" w:rsidRPr="006B5BB1">
        <w:rPr>
          <w:rFonts w:ascii="Times New Roman" w:hAnsi="Times New Roman"/>
        </w:rPr>
        <w:t xml:space="preserve"> it had been held that internet platform provider</w:t>
      </w:r>
      <w:r w:rsidR="00E40842" w:rsidRPr="006B5BB1">
        <w:rPr>
          <w:rFonts w:ascii="Times New Roman" w:hAnsi="Times New Roman"/>
        </w:rPr>
        <w:t>s</w:t>
      </w:r>
      <w:r w:rsidR="00E1675E" w:rsidRPr="006B5BB1">
        <w:rPr>
          <w:rFonts w:ascii="Times New Roman" w:hAnsi="Times New Roman"/>
        </w:rPr>
        <w:t xml:space="preserve"> which hosted a discussion forum </w:t>
      </w:r>
      <w:r w:rsidR="00E40842" w:rsidRPr="006B5BB1">
        <w:rPr>
          <w:rFonts w:ascii="Times New Roman" w:hAnsi="Times New Roman"/>
        </w:rPr>
        <w:t xml:space="preserve">were </w:t>
      </w:r>
      <w:r w:rsidR="00E1675E" w:rsidRPr="006B5BB1">
        <w:rPr>
          <w:rFonts w:ascii="Times New Roman" w:hAnsi="Times New Roman"/>
        </w:rPr>
        <w:t>in a different position from the occupiers referred to in those cases. Unlike the occupiers</w:t>
      </w:r>
      <w:r w:rsidR="004273FC" w:rsidRPr="006B5BB1">
        <w:rPr>
          <w:rFonts w:ascii="Times New Roman" w:hAnsi="Times New Roman"/>
        </w:rPr>
        <w:t>,</w:t>
      </w:r>
      <w:r w:rsidR="00E1675E" w:rsidRPr="006B5BB1">
        <w:rPr>
          <w:rFonts w:ascii="Times New Roman" w:hAnsi="Times New Roman"/>
        </w:rPr>
        <w:t xml:space="preserve"> the </w:t>
      </w:r>
      <w:r w:rsidR="001B63CA" w:rsidRPr="006B5BB1">
        <w:rPr>
          <w:rFonts w:ascii="Times New Roman" w:hAnsi="Times New Roman"/>
        </w:rPr>
        <w:t>provider</w:t>
      </w:r>
      <w:r w:rsidR="00E40842" w:rsidRPr="006B5BB1">
        <w:rPr>
          <w:rFonts w:ascii="Times New Roman" w:hAnsi="Times New Roman"/>
        </w:rPr>
        <w:t>s</w:t>
      </w:r>
      <w:r w:rsidR="001B63CA" w:rsidRPr="006B5BB1">
        <w:rPr>
          <w:rFonts w:ascii="Times New Roman" w:hAnsi="Times New Roman"/>
        </w:rPr>
        <w:t xml:space="preserve"> </w:t>
      </w:r>
      <w:r w:rsidR="00E1675E" w:rsidRPr="006B5BB1">
        <w:rPr>
          <w:rFonts w:ascii="Times New Roman" w:hAnsi="Times New Roman"/>
        </w:rPr>
        <w:t xml:space="preserve">had encouraged and facilitated postings by members of the forum and were therefore </w:t>
      </w:r>
      <w:r w:rsidR="004273FC" w:rsidRPr="006B5BB1">
        <w:rPr>
          <w:rFonts w:ascii="Times New Roman" w:hAnsi="Times New Roman"/>
        </w:rPr>
        <w:t xml:space="preserve">held to be </w:t>
      </w:r>
      <w:r w:rsidR="00E1675E" w:rsidRPr="006B5BB1">
        <w:rPr>
          <w:rFonts w:ascii="Times New Roman" w:hAnsi="Times New Roman"/>
        </w:rPr>
        <w:t>participants in their publication</w:t>
      </w:r>
      <w:r w:rsidR="00323947" w:rsidRPr="006B5BB1">
        <w:rPr>
          <w:rFonts w:ascii="Times New Roman" w:hAnsi="Times New Roman"/>
        </w:rPr>
        <w:t xml:space="preserve"> from the outset</w:t>
      </w:r>
      <w:r w:rsidR="00F511D3" w:rsidRPr="006B5BB1">
        <w:rPr>
          <w:rStyle w:val="FootnoteReference"/>
          <w:rFonts w:ascii="Times New Roman" w:hAnsi="Times New Roman"/>
        </w:rPr>
        <w:footnoteReference w:id="12"/>
      </w:r>
      <w:r w:rsidR="00C5628A" w:rsidRPr="006B5BB1">
        <w:rPr>
          <w:rFonts w:ascii="Times New Roman" w:hAnsi="Times New Roman"/>
        </w:rPr>
        <w:t>.</w:t>
      </w:r>
    </w:p>
    <w:p w14:paraId="77C70D2E" w14:textId="6769FDBB" w:rsidR="00C5628A" w:rsidRPr="006B5BB1" w:rsidRDefault="00C5628A"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Basten JA accepted that the appellants </w:t>
      </w:r>
      <w:r w:rsidR="000C6D39" w:rsidRPr="006B5BB1">
        <w:rPr>
          <w:rFonts w:ascii="Times New Roman" w:hAnsi="Times New Roman"/>
        </w:rPr>
        <w:t>played no</w:t>
      </w:r>
      <w:r w:rsidRPr="006B5BB1">
        <w:rPr>
          <w:rFonts w:ascii="Times New Roman" w:hAnsi="Times New Roman"/>
        </w:rPr>
        <w:t xml:space="preserve"> </w:t>
      </w:r>
      <w:r w:rsidR="00661B31" w:rsidRPr="006B5BB1">
        <w:rPr>
          <w:rFonts w:ascii="Times New Roman" w:hAnsi="Times New Roman"/>
        </w:rPr>
        <w:t xml:space="preserve">such </w:t>
      </w:r>
      <w:r w:rsidRPr="006B5BB1">
        <w:rPr>
          <w:rFonts w:ascii="Times New Roman" w:hAnsi="Times New Roman"/>
        </w:rPr>
        <w:t>active role</w:t>
      </w:r>
      <w:r w:rsidR="00497E06" w:rsidRPr="006B5BB1">
        <w:rPr>
          <w:rFonts w:ascii="Times New Roman" w:hAnsi="Times New Roman"/>
        </w:rPr>
        <w:t>,</w:t>
      </w:r>
      <w:r w:rsidRPr="006B5BB1">
        <w:rPr>
          <w:rFonts w:ascii="Times New Roman" w:hAnsi="Times New Roman"/>
        </w:rPr>
        <w:t xml:space="preserve"> </w:t>
      </w:r>
      <w:r w:rsidR="002D0647" w:rsidRPr="006B5BB1">
        <w:rPr>
          <w:rFonts w:ascii="Times New Roman" w:hAnsi="Times New Roman"/>
        </w:rPr>
        <w:t>distinguish</w:t>
      </w:r>
      <w:r w:rsidR="00C763F0" w:rsidRPr="006B5BB1">
        <w:rPr>
          <w:rFonts w:ascii="Times New Roman" w:hAnsi="Times New Roman"/>
        </w:rPr>
        <w:t>ing them</w:t>
      </w:r>
      <w:r w:rsidR="00497E06" w:rsidRPr="006B5BB1">
        <w:rPr>
          <w:rFonts w:ascii="Times New Roman" w:hAnsi="Times New Roman"/>
        </w:rPr>
        <w:t xml:space="preserve"> from</w:t>
      </w:r>
      <w:r w:rsidRPr="006B5BB1">
        <w:rPr>
          <w:rFonts w:ascii="Times New Roman" w:hAnsi="Times New Roman"/>
        </w:rPr>
        <w:t xml:space="preserve"> the internet </w:t>
      </w:r>
      <w:r w:rsidR="002B7D39" w:rsidRPr="006B5BB1">
        <w:rPr>
          <w:rFonts w:ascii="Times New Roman" w:hAnsi="Times New Roman"/>
        </w:rPr>
        <w:t xml:space="preserve">platform </w:t>
      </w:r>
      <w:r w:rsidRPr="006B5BB1">
        <w:rPr>
          <w:rFonts w:ascii="Times New Roman" w:hAnsi="Times New Roman"/>
        </w:rPr>
        <w:t>provider</w:t>
      </w:r>
      <w:r w:rsidR="00E40842" w:rsidRPr="006B5BB1">
        <w:rPr>
          <w:rFonts w:ascii="Times New Roman" w:hAnsi="Times New Roman"/>
        </w:rPr>
        <w:t>s</w:t>
      </w:r>
      <w:r w:rsidR="00A22FA7" w:rsidRPr="006B5BB1">
        <w:rPr>
          <w:rFonts w:ascii="Times New Roman" w:hAnsi="Times New Roman"/>
        </w:rPr>
        <w:t xml:space="preserve"> in that case</w:t>
      </w:r>
      <w:r w:rsidRPr="006B5BB1">
        <w:rPr>
          <w:rFonts w:ascii="Times New Roman" w:hAnsi="Times New Roman"/>
        </w:rPr>
        <w:t>, but nevertheless considered the appellants to be publishers</w:t>
      </w:r>
      <w:r w:rsidR="00250299" w:rsidRPr="006B5BB1">
        <w:rPr>
          <w:rFonts w:ascii="Times New Roman" w:hAnsi="Times New Roman"/>
        </w:rPr>
        <w:t>,</w:t>
      </w:r>
      <w:r w:rsidR="00F40BFC" w:rsidRPr="006B5BB1">
        <w:rPr>
          <w:rFonts w:ascii="Times New Roman" w:hAnsi="Times New Roman"/>
        </w:rPr>
        <w:t xml:space="preserve"> as did Meagher JA and Simpson A</w:t>
      </w:r>
      <w:r w:rsidR="00250299" w:rsidRPr="006B5BB1">
        <w:rPr>
          <w:rFonts w:ascii="Times New Roman" w:hAnsi="Times New Roman"/>
        </w:rPr>
        <w:t>-</w:t>
      </w:r>
      <w:r w:rsidR="00F40BFC" w:rsidRPr="006B5BB1">
        <w:rPr>
          <w:rFonts w:ascii="Times New Roman" w:hAnsi="Times New Roman"/>
        </w:rPr>
        <w:t>JA</w:t>
      </w:r>
      <w:r w:rsidR="00F511D3" w:rsidRPr="006B5BB1">
        <w:rPr>
          <w:rStyle w:val="FootnoteReference"/>
          <w:rFonts w:ascii="Times New Roman" w:hAnsi="Times New Roman"/>
        </w:rPr>
        <w:footnoteReference w:id="13"/>
      </w:r>
      <w:r w:rsidR="004B40DE" w:rsidRPr="006B5BB1">
        <w:rPr>
          <w:rFonts w:ascii="Times New Roman" w:hAnsi="Times New Roman"/>
        </w:rPr>
        <w:t xml:space="preserve">. Each of </w:t>
      </w:r>
      <w:r w:rsidR="007576F1" w:rsidRPr="006B5BB1">
        <w:rPr>
          <w:rFonts w:ascii="Times New Roman" w:hAnsi="Times New Roman"/>
        </w:rPr>
        <w:t>their Honours pointed to the appellants having facilitated the making of comments by third parties</w:t>
      </w:r>
      <w:r w:rsidR="00CA76A5" w:rsidRPr="006B5BB1">
        <w:rPr>
          <w:rFonts w:ascii="Times New Roman" w:hAnsi="Times New Roman"/>
        </w:rPr>
        <w:t xml:space="preserve"> which then became available to others. Meagher JA and Simpson A</w:t>
      </w:r>
      <w:r w:rsidR="00250299" w:rsidRPr="006B5BB1">
        <w:rPr>
          <w:rFonts w:ascii="Times New Roman" w:hAnsi="Times New Roman"/>
        </w:rPr>
        <w:t>-</w:t>
      </w:r>
      <w:r w:rsidR="00CA76A5" w:rsidRPr="006B5BB1">
        <w:rPr>
          <w:rFonts w:ascii="Times New Roman" w:hAnsi="Times New Roman"/>
        </w:rPr>
        <w:t>JA po</w:t>
      </w:r>
      <w:r w:rsidR="00AC3100" w:rsidRPr="006B5BB1">
        <w:rPr>
          <w:rFonts w:ascii="Times New Roman" w:hAnsi="Times New Roman"/>
        </w:rPr>
        <w:t>i</w:t>
      </w:r>
      <w:r w:rsidR="00CA76A5" w:rsidRPr="006B5BB1">
        <w:rPr>
          <w:rFonts w:ascii="Times New Roman" w:hAnsi="Times New Roman"/>
        </w:rPr>
        <w:t>nted out that the appellants invited and encouraged comments from Facebook users</w:t>
      </w:r>
      <w:r w:rsidR="00A900B5" w:rsidRPr="006B5BB1">
        <w:rPr>
          <w:rFonts w:ascii="Times New Roman" w:hAnsi="Times New Roman"/>
        </w:rPr>
        <w:t xml:space="preserve"> and</w:t>
      </w:r>
      <w:r w:rsidR="00CA76A5" w:rsidRPr="006B5BB1">
        <w:rPr>
          <w:rFonts w:ascii="Times New Roman" w:hAnsi="Times New Roman"/>
        </w:rPr>
        <w:t xml:space="preserve"> provided the vehicle for publication to those who might avail themselves of it</w:t>
      </w:r>
      <w:r w:rsidR="00E53C51" w:rsidRPr="006B5BB1">
        <w:rPr>
          <w:rFonts w:ascii="Times New Roman" w:hAnsi="Times New Roman"/>
        </w:rPr>
        <w:t xml:space="preserve">. Their Honours upheld the primary judge's answer to the separate question, that the plaintiff </w:t>
      </w:r>
      <w:r w:rsidR="00C66FAD" w:rsidRPr="006B5BB1">
        <w:rPr>
          <w:rFonts w:ascii="Times New Roman" w:hAnsi="Times New Roman"/>
        </w:rPr>
        <w:t>had established th</w:t>
      </w:r>
      <w:r w:rsidR="00A900B5" w:rsidRPr="006B5BB1">
        <w:rPr>
          <w:rFonts w:ascii="Times New Roman" w:hAnsi="Times New Roman"/>
        </w:rPr>
        <w:t>e</w:t>
      </w:r>
      <w:r w:rsidR="00C66FAD" w:rsidRPr="006B5BB1">
        <w:rPr>
          <w:rFonts w:ascii="Times New Roman" w:hAnsi="Times New Roman"/>
        </w:rPr>
        <w:t xml:space="preserve"> element of publication.</w:t>
      </w:r>
    </w:p>
    <w:p w14:paraId="0B53F963" w14:textId="1558F624" w:rsidR="00C66FAD" w:rsidRPr="006B5BB1" w:rsidRDefault="00C66FAD"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00A900B5" w:rsidRPr="006B5BB1">
        <w:rPr>
          <w:rFonts w:ascii="Times New Roman" w:hAnsi="Times New Roman"/>
        </w:rPr>
        <w:t>After finding</w:t>
      </w:r>
      <w:r w:rsidR="00C52312" w:rsidRPr="006B5BB1">
        <w:rPr>
          <w:rFonts w:ascii="Times New Roman" w:hAnsi="Times New Roman"/>
        </w:rPr>
        <w:t xml:space="preserve"> the appellants were publishers</w:t>
      </w:r>
      <w:r w:rsidR="00A900B5" w:rsidRPr="006B5BB1">
        <w:rPr>
          <w:rFonts w:ascii="Times New Roman" w:hAnsi="Times New Roman"/>
        </w:rPr>
        <w:t>, t</w:t>
      </w:r>
      <w:r w:rsidRPr="006B5BB1">
        <w:rPr>
          <w:rFonts w:ascii="Times New Roman" w:hAnsi="Times New Roman"/>
        </w:rPr>
        <w:t xml:space="preserve">he primary judge </w:t>
      </w:r>
      <w:r w:rsidR="00265FAD" w:rsidRPr="006B5BB1">
        <w:rPr>
          <w:rFonts w:ascii="Times New Roman" w:hAnsi="Times New Roman"/>
        </w:rPr>
        <w:t xml:space="preserve">went on to consider aspects of the defence of innocent dissemination under s 32 of the </w:t>
      </w:r>
      <w:r w:rsidR="00265FAD" w:rsidRPr="006B5BB1">
        <w:rPr>
          <w:rFonts w:ascii="Times New Roman" w:hAnsi="Times New Roman"/>
          <w:i/>
        </w:rPr>
        <w:t>Defamation Act</w:t>
      </w:r>
      <w:r w:rsidR="00A900B5" w:rsidRPr="006B5BB1">
        <w:rPr>
          <w:rFonts w:ascii="Times New Roman" w:hAnsi="Times New Roman"/>
        </w:rPr>
        <w:t>.</w:t>
      </w:r>
      <w:r w:rsidR="00265FAD" w:rsidRPr="006B5BB1">
        <w:rPr>
          <w:rFonts w:ascii="Times New Roman" w:hAnsi="Times New Roman"/>
        </w:rPr>
        <w:t xml:space="preserve"> </w:t>
      </w:r>
      <w:r w:rsidR="00A900B5" w:rsidRPr="006B5BB1">
        <w:rPr>
          <w:rFonts w:ascii="Times New Roman" w:hAnsi="Times New Roman"/>
        </w:rPr>
        <w:t>B</w:t>
      </w:r>
      <w:r w:rsidR="00885202" w:rsidRPr="006B5BB1">
        <w:rPr>
          <w:rFonts w:ascii="Times New Roman" w:hAnsi="Times New Roman"/>
        </w:rPr>
        <w:t xml:space="preserve">ut as the appellants pointed out in the Court of Appeal, that issue did not arise in relation to the separate question. </w:t>
      </w:r>
      <w:r w:rsidR="000C3B91" w:rsidRPr="006B5BB1">
        <w:rPr>
          <w:rFonts w:ascii="Times New Roman" w:hAnsi="Times New Roman"/>
        </w:rPr>
        <w:t xml:space="preserve">There was some </w:t>
      </w:r>
      <w:r w:rsidR="00885202" w:rsidRPr="006B5BB1">
        <w:rPr>
          <w:rFonts w:ascii="Times New Roman" w:hAnsi="Times New Roman"/>
        </w:rPr>
        <w:t>discussion in the judgments in the Court of App</w:t>
      </w:r>
      <w:r w:rsidR="000C3B91" w:rsidRPr="006B5BB1">
        <w:rPr>
          <w:rFonts w:ascii="Times New Roman" w:hAnsi="Times New Roman"/>
        </w:rPr>
        <w:t>e</w:t>
      </w:r>
      <w:r w:rsidR="00885202" w:rsidRPr="006B5BB1">
        <w:rPr>
          <w:rFonts w:ascii="Times New Roman" w:hAnsi="Times New Roman"/>
        </w:rPr>
        <w:t xml:space="preserve">al as to whether the </w:t>
      </w:r>
      <w:r w:rsidR="000C3B91" w:rsidRPr="006B5BB1">
        <w:rPr>
          <w:rFonts w:ascii="Times New Roman" w:hAnsi="Times New Roman"/>
        </w:rPr>
        <w:t xml:space="preserve">cases which developed the </w:t>
      </w:r>
      <w:r w:rsidR="000C3B91" w:rsidRPr="006B5BB1">
        <w:rPr>
          <w:rFonts w:ascii="Times New Roman" w:hAnsi="Times New Roman"/>
        </w:rPr>
        <w:lastRenderedPageBreak/>
        <w:t xml:space="preserve">defence at common law hold </w:t>
      </w:r>
      <w:r w:rsidR="00885202" w:rsidRPr="006B5BB1">
        <w:rPr>
          <w:rFonts w:ascii="Times New Roman" w:hAnsi="Times New Roman"/>
        </w:rPr>
        <w:t xml:space="preserve">that if the defence is made out there is </w:t>
      </w:r>
      <w:r w:rsidR="00F6056E" w:rsidRPr="006B5BB1">
        <w:rPr>
          <w:rFonts w:ascii="Times New Roman" w:hAnsi="Times New Roman"/>
        </w:rPr>
        <w:t xml:space="preserve">taken </w:t>
      </w:r>
      <w:r w:rsidR="00885202" w:rsidRPr="006B5BB1">
        <w:rPr>
          <w:rFonts w:ascii="Times New Roman" w:hAnsi="Times New Roman"/>
        </w:rPr>
        <w:t xml:space="preserve">to have been </w:t>
      </w:r>
      <w:r w:rsidR="00420B01" w:rsidRPr="006B5BB1">
        <w:rPr>
          <w:rFonts w:ascii="Times New Roman" w:hAnsi="Times New Roman"/>
        </w:rPr>
        <w:t xml:space="preserve">no </w:t>
      </w:r>
      <w:r w:rsidR="00885202" w:rsidRPr="006B5BB1">
        <w:rPr>
          <w:rFonts w:ascii="Times New Roman" w:hAnsi="Times New Roman"/>
        </w:rPr>
        <w:t>publication by a defendant</w:t>
      </w:r>
      <w:r w:rsidR="00F511D3" w:rsidRPr="006B5BB1">
        <w:rPr>
          <w:rStyle w:val="FootnoteReference"/>
          <w:rFonts w:ascii="Times New Roman" w:hAnsi="Times New Roman"/>
        </w:rPr>
        <w:footnoteReference w:id="14"/>
      </w:r>
      <w:r w:rsidR="00047112" w:rsidRPr="006B5BB1">
        <w:rPr>
          <w:rFonts w:ascii="Times New Roman" w:hAnsi="Times New Roman"/>
        </w:rPr>
        <w:t>. But as Meagher JA and Simpson A</w:t>
      </w:r>
      <w:r w:rsidR="00250299" w:rsidRPr="006B5BB1">
        <w:rPr>
          <w:rFonts w:ascii="Times New Roman" w:hAnsi="Times New Roman"/>
        </w:rPr>
        <w:t>-</w:t>
      </w:r>
      <w:r w:rsidR="00047112" w:rsidRPr="006B5BB1">
        <w:rPr>
          <w:rFonts w:ascii="Times New Roman" w:hAnsi="Times New Roman"/>
        </w:rPr>
        <w:t>JA observed</w:t>
      </w:r>
      <w:r w:rsidR="00F511D3" w:rsidRPr="006B5BB1">
        <w:rPr>
          <w:rStyle w:val="FootnoteReference"/>
          <w:rFonts w:ascii="Times New Roman" w:hAnsi="Times New Roman"/>
        </w:rPr>
        <w:footnoteReference w:id="15"/>
      </w:r>
      <w:r w:rsidR="003F5037" w:rsidRPr="006B5BB1">
        <w:rPr>
          <w:rFonts w:ascii="Times New Roman" w:hAnsi="Times New Roman"/>
        </w:rPr>
        <w:t xml:space="preserve">, </w:t>
      </w:r>
      <w:r w:rsidR="00420B01" w:rsidRPr="006B5BB1">
        <w:rPr>
          <w:rFonts w:ascii="Times New Roman" w:hAnsi="Times New Roman"/>
        </w:rPr>
        <w:t xml:space="preserve">such a </w:t>
      </w:r>
      <w:r w:rsidR="003F5037" w:rsidRPr="006B5BB1">
        <w:rPr>
          <w:rFonts w:ascii="Times New Roman" w:hAnsi="Times New Roman"/>
        </w:rPr>
        <w:t xml:space="preserve">question was not relevant because the appellants placed no reliance on the "never published" principle. </w:t>
      </w:r>
      <w:r w:rsidR="00420B01" w:rsidRPr="006B5BB1">
        <w:rPr>
          <w:rFonts w:ascii="Times New Roman" w:hAnsi="Times New Roman"/>
        </w:rPr>
        <w:t>It will be observed that t</w:t>
      </w:r>
      <w:r w:rsidR="003F5037" w:rsidRPr="006B5BB1">
        <w:rPr>
          <w:rFonts w:ascii="Times New Roman" w:hAnsi="Times New Roman"/>
        </w:rPr>
        <w:t xml:space="preserve">he position of the appellants has </w:t>
      </w:r>
      <w:r w:rsidR="00945B30" w:rsidRPr="006B5BB1">
        <w:rPr>
          <w:rFonts w:ascii="Times New Roman" w:hAnsi="Times New Roman"/>
        </w:rPr>
        <w:t xml:space="preserve">now </w:t>
      </w:r>
      <w:r w:rsidR="003F5037" w:rsidRPr="006B5BB1">
        <w:rPr>
          <w:rFonts w:ascii="Times New Roman" w:hAnsi="Times New Roman"/>
        </w:rPr>
        <w:t>changed.</w:t>
      </w:r>
    </w:p>
    <w:p w14:paraId="6B6EE919" w14:textId="77777777" w:rsidR="00F511D3" w:rsidRPr="006B5BB1" w:rsidRDefault="00F511D3" w:rsidP="006B5BB1">
      <w:pPr>
        <w:pStyle w:val="HeadingL1"/>
        <w:spacing w:after="260" w:line="280" w:lineRule="exact"/>
        <w:ind w:right="0"/>
        <w:jc w:val="both"/>
        <w:rPr>
          <w:rFonts w:ascii="Times New Roman" w:hAnsi="Times New Roman"/>
        </w:rPr>
      </w:pPr>
      <w:r w:rsidRPr="006B5BB1">
        <w:rPr>
          <w:rFonts w:ascii="Times New Roman" w:hAnsi="Times New Roman"/>
        </w:rPr>
        <w:t>The appellants' contentions</w:t>
      </w:r>
    </w:p>
    <w:p w14:paraId="0077A976" w14:textId="63355D70" w:rsidR="00FF71AE" w:rsidRPr="006B5BB1" w:rsidRDefault="002E5F29"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00FF71AE" w:rsidRPr="006B5BB1">
        <w:rPr>
          <w:rFonts w:ascii="Times New Roman" w:hAnsi="Times New Roman"/>
        </w:rPr>
        <w:t xml:space="preserve">The appellants now contend that the common law requires that the publication of defamatory matter be intentional. It is not sufficient that a defendant merely plays a passive instrumental role in the process of publication. To be a publisher a person must intend to communicate the matter complained of, which is to say the relevant words. This is said to follow from what was said by Isaacs J in </w:t>
      </w:r>
      <w:r w:rsidR="00FF71AE" w:rsidRPr="006B5BB1">
        <w:rPr>
          <w:rFonts w:ascii="Times New Roman" w:hAnsi="Times New Roman"/>
          <w:i/>
        </w:rPr>
        <w:t>Webb v Bloch</w:t>
      </w:r>
      <w:r w:rsidR="00F511D3" w:rsidRPr="006B5BB1">
        <w:rPr>
          <w:rStyle w:val="FootnoteReference"/>
          <w:rFonts w:ascii="Times New Roman" w:hAnsi="Times New Roman"/>
        </w:rPr>
        <w:footnoteReference w:id="16"/>
      </w:r>
      <w:r w:rsidR="00FF71AE" w:rsidRPr="006B5BB1">
        <w:rPr>
          <w:rFonts w:ascii="Times New Roman" w:hAnsi="Times New Roman"/>
        </w:rPr>
        <w:t xml:space="preserve"> and to accord with the holding in </w:t>
      </w:r>
      <w:r w:rsidR="00FF71AE" w:rsidRPr="006B5BB1">
        <w:rPr>
          <w:rFonts w:ascii="Times New Roman" w:hAnsi="Times New Roman"/>
          <w:i/>
        </w:rPr>
        <w:t>Trkulja v Google</w:t>
      </w:r>
      <w:r w:rsidR="00250299" w:rsidRPr="006B5BB1">
        <w:rPr>
          <w:rFonts w:ascii="Times New Roman" w:hAnsi="Times New Roman"/>
          <w:i/>
        </w:rPr>
        <w:t xml:space="preserve"> LLC</w:t>
      </w:r>
      <w:r w:rsidR="00F511D3" w:rsidRPr="006B5BB1">
        <w:rPr>
          <w:rStyle w:val="FootnoteReference"/>
          <w:rFonts w:ascii="Times New Roman" w:hAnsi="Times New Roman"/>
        </w:rPr>
        <w:footnoteReference w:id="17"/>
      </w:r>
      <w:r w:rsidR="00FF71AE" w:rsidRPr="006B5BB1">
        <w:rPr>
          <w:rFonts w:ascii="Times New Roman" w:hAnsi="Times New Roman"/>
        </w:rPr>
        <w:t xml:space="preserve">, that Google's intentional participation in the communication of the defamatory matter </w:t>
      </w:r>
      <w:r w:rsidR="00391454" w:rsidRPr="006B5BB1">
        <w:rPr>
          <w:rFonts w:ascii="Times New Roman" w:hAnsi="Times New Roman"/>
        </w:rPr>
        <w:t>supported</w:t>
      </w:r>
      <w:r w:rsidR="00FF71AE" w:rsidRPr="006B5BB1">
        <w:rPr>
          <w:rFonts w:ascii="Times New Roman" w:hAnsi="Times New Roman"/>
        </w:rPr>
        <w:t xml:space="preserve"> a finding of publication</w:t>
      </w:r>
      <w:r w:rsidR="00DA5A12" w:rsidRPr="006B5BB1">
        <w:rPr>
          <w:rFonts w:ascii="Times New Roman" w:hAnsi="Times New Roman"/>
        </w:rPr>
        <w:t>.</w:t>
      </w:r>
    </w:p>
    <w:p w14:paraId="09ACC0FA" w14:textId="5F918219"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As mentioned earlier in these reasons, the appellants do not rely on the statutory defence of innocent dissemination as providing an answer to whether they are publishers of the alleged defamatory material. However, they submit that the cases which concern the common law defence of innocent dissemination, commencing with </w:t>
      </w:r>
      <w:r w:rsidRPr="006B5BB1">
        <w:rPr>
          <w:rFonts w:ascii="Times New Roman" w:hAnsi="Times New Roman"/>
          <w:i/>
        </w:rPr>
        <w:t>Emmens v Pottle</w:t>
      </w:r>
      <w:r w:rsidR="00F511D3" w:rsidRPr="006B5BB1">
        <w:rPr>
          <w:rStyle w:val="FootnoteReference"/>
          <w:rFonts w:ascii="Times New Roman" w:hAnsi="Times New Roman"/>
        </w:rPr>
        <w:footnoteReference w:id="18"/>
      </w:r>
      <w:r w:rsidRPr="006B5BB1">
        <w:rPr>
          <w:rFonts w:ascii="Times New Roman" w:hAnsi="Times New Roman"/>
        </w:rPr>
        <w:t>, support a requirement of intention to publish defamatory matter</w:t>
      </w:r>
      <w:r w:rsidR="00DE7BA8" w:rsidRPr="006B5BB1">
        <w:rPr>
          <w:rFonts w:ascii="Times New Roman" w:hAnsi="Times New Roman"/>
        </w:rPr>
        <w:t xml:space="preserve">. </w:t>
      </w:r>
      <w:r w:rsidRPr="006B5BB1">
        <w:rPr>
          <w:rFonts w:ascii="Times New Roman" w:hAnsi="Times New Roman"/>
        </w:rPr>
        <w:t>They submit that the cases show that publication is more than mere dissemination. Publication is dissemination with an element of intention.</w:t>
      </w:r>
    </w:p>
    <w:p w14:paraId="4373F7A2" w14:textId="48FA043A"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The approach of the courts in these cases, the appellants say, is not to regard publication as having occurred and then excuse the defendant from liability if the defence is made out</w:t>
      </w:r>
      <w:r w:rsidR="00E552D7" w:rsidRPr="006B5BB1">
        <w:rPr>
          <w:rFonts w:ascii="Times New Roman" w:hAnsi="Times New Roman"/>
        </w:rPr>
        <w:t xml:space="preserve">. </w:t>
      </w:r>
      <w:r w:rsidRPr="006B5BB1">
        <w:rPr>
          <w:rFonts w:ascii="Times New Roman" w:hAnsi="Times New Roman"/>
        </w:rPr>
        <w:t>It is to allow the defendant to demonstrate that there was no publication</w:t>
      </w:r>
      <w:r w:rsidR="00E552D7" w:rsidRPr="006B5BB1">
        <w:rPr>
          <w:rFonts w:ascii="Times New Roman" w:hAnsi="Times New Roman"/>
        </w:rPr>
        <w:t xml:space="preserve">. </w:t>
      </w:r>
      <w:r w:rsidRPr="006B5BB1">
        <w:rPr>
          <w:rFonts w:ascii="Times New Roman" w:hAnsi="Times New Roman"/>
        </w:rPr>
        <w:t>The cases treat publication as an evidentiary presumption which is rebuttable on proof of the requirements of the defence, relevantly a lack of knowledge that the matter being communicated is defamatory</w:t>
      </w:r>
      <w:r w:rsidR="007F7572" w:rsidRPr="006B5BB1">
        <w:rPr>
          <w:rFonts w:ascii="Times New Roman" w:hAnsi="Times New Roman"/>
        </w:rPr>
        <w:t xml:space="preserve"> or </w:t>
      </w:r>
      <w:r w:rsidR="005510F3" w:rsidRPr="006B5BB1">
        <w:rPr>
          <w:rFonts w:ascii="Times New Roman" w:hAnsi="Times New Roman"/>
        </w:rPr>
        <w:t xml:space="preserve">a lack of </w:t>
      </w:r>
      <w:r w:rsidR="007F7572" w:rsidRPr="006B5BB1">
        <w:rPr>
          <w:rFonts w:ascii="Times New Roman" w:hAnsi="Times New Roman"/>
        </w:rPr>
        <w:t xml:space="preserve">intention to communicate </w:t>
      </w:r>
      <w:r w:rsidR="00B83F79" w:rsidRPr="006B5BB1">
        <w:rPr>
          <w:rFonts w:ascii="Times New Roman" w:hAnsi="Times New Roman"/>
        </w:rPr>
        <w:t>it</w:t>
      </w:r>
      <w:r w:rsidRPr="006B5BB1">
        <w:rPr>
          <w:rFonts w:ascii="Times New Roman" w:hAnsi="Times New Roman"/>
        </w:rPr>
        <w:t>.</w:t>
      </w:r>
    </w:p>
    <w:p w14:paraId="52EFEBC3" w14:textId="3832144C"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lastRenderedPageBreak/>
        <w:tab/>
        <w:t xml:space="preserve">A focus on the intention of a putative publisher to communicate the matter complained </w:t>
      </w:r>
      <w:r w:rsidR="00067183" w:rsidRPr="006B5BB1">
        <w:rPr>
          <w:rFonts w:ascii="Times New Roman" w:hAnsi="Times New Roman"/>
        </w:rPr>
        <w:t xml:space="preserve">of </w:t>
      </w:r>
      <w:r w:rsidRPr="006B5BB1">
        <w:rPr>
          <w:rFonts w:ascii="Times New Roman" w:hAnsi="Times New Roman"/>
        </w:rPr>
        <w:t xml:space="preserve">is also said to explain the cases concerning whether occupiers are publishers of defamatory statements affixed to </w:t>
      </w:r>
      <w:r w:rsidR="008E6595" w:rsidRPr="006B5BB1">
        <w:rPr>
          <w:rFonts w:ascii="Times New Roman" w:hAnsi="Times New Roman"/>
        </w:rPr>
        <w:t xml:space="preserve">their </w:t>
      </w:r>
      <w:r w:rsidRPr="006B5BB1">
        <w:rPr>
          <w:rFonts w:ascii="Times New Roman" w:hAnsi="Times New Roman"/>
        </w:rPr>
        <w:t>premises or structures by unauthorised third parties, the appellants contend. These cases hold that</w:t>
      </w:r>
      <w:r w:rsidR="00D04D75" w:rsidRPr="006B5BB1">
        <w:rPr>
          <w:rFonts w:ascii="Times New Roman" w:hAnsi="Times New Roman"/>
        </w:rPr>
        <w:t>,</w:t>
      </w:r>
      <w:r w:rsidRPr="006B5BB1">
        <w:rPr>
          <w:rFonts w:ascii="Times New Roman" w:hAnsi="Times New Roman"/>
        </w:rPr>
        <w:t xml:space="preserve"> to be a publisher</w:t>
      </w:r>
      <w:r w:rsidR="00D04D75" w:rsidRPr="006B5BB1">
        <w:rPr>
          <w:rFonts w:ascii="Times New Roman" w:hAnsi="Times New Roman"/>
        </w:rPr>
        <w:t>,</w:t>
      </w:r>
      <w:r w:rsidRPr="006B5BB1">
        <w:rPr>
          <w:rFonts w:ascii="Times New Roman" w:hAnsi="Times New Roman"/>
        </w:rPr>
        <w:t xml:space="preserve"> an occupier must have consented to, approved</w:t>
      </w:r>
      <w:r w:rsidR="00310235" w:rsidRPr="006B5BB1">
        <w:rPr>
          <w:rFonts w:ascii="Times New Roman" w:hAnsi="Times New Roman"/>
        </w:rPr>
        <w:t xml:space="preserve"> of</w:t>
      </w:r>
      <w:r w:rsidRPr="006B5BB1">
        <w:rPr>
          <w:rFonts w:ascii="Times New Roman" w:hAnsi="Times New Roman"/>
        </w:rPr>
        <w:t>, adopted or promoted the continue</w:t>
      </w:r>
      <w:r w:rsidR="00640A57" w:rsidRPr="006B5BB1">
        <w:rPr>
          <w:rFonts w:ascii="Times New Roman" w:hAnsi="Times New Roman"/>
        </w:rPr>
        <w:t>d</w:t>
      </w:r>
      <w:r w:rsidRPr="006B5BB1">
        <w:rPr>
          <w:rFonts w:ascii="Times New Roman" w:hAnsi="Times New Roman"/>
        </w:rPr>
        <w:t xml:space="preserve"> presence of the statements</w:t>
      </w:r>
      <w:r w:rsidR="004B130B" w:rsidRPr="006B5BB1">
        <w:rPr>
          <w:rFonts w:ascii="Times New Roman" w:hAnsi="Times New Roman"/>
        </w:rPr>
        <w:t xml:space="preserve">, </w:t>
      </w:r>
      <w:r w:rsidR="00FA1311" w:rsidRPr="006B5BB1">
        <w:rPr>
          <w:rFonts w:ascii="Times New Roman" w:hAnsi="Times New Roman"/>
        </w:rPr>
        <w:t xml:space="preserve">such that it can be </w:t>
      </w:r>
      <w:r w:rsidR="00961A43" w:rsidRPr="006B5BB1">
        <w:rPr>
          <w:rFonts w:ascii="Times New Roman" w:hAnsi="Times New Roman"/>
        </w:rPr>
        <w:t>said</w:t>
      </w:r>
      <w:r w:rsidR="00FA1311" w:rsidRPr="006B5BB1">
        <w:rPr>
          <w:rFonts w:ascii="Times New Roman" w:hAnsi="Times New Roman"/>
        </w:rPr>
        <w:t xml:space="preserve"> </w:t>
      </w:r>
      <w:r w:rsidR="00961A43" w:rsidRPr="006B5BB1">
        <w:rPr>
          <w:rFonts w:ascii="Times New Roman" w:hAnsi="Times New Roman"/>
        </w:rPr>
        <w:t>the occupier</w:t>
      </w:r>
      <w:r w:rsidR="00FA1311" w:rsidRPr="006B5BB1">
        <w:rPr>
          <w:rFonts w:ascii="Times New Roman" w:hAnsi="Times New Roman"/>
        </w:rPr>
        <w:t xml:space="preserve"> accepted responsibility </w:t>
      </w:r>
      <w:r w:rsidR="002850C5" w:rsidRPr="006B5BB1">
        <w:rPr>
          <w:rFonts w:ascii="Times New Roman" w:hAnsi="Times New Roman"/>
        </w:rPr>
        <w:t xml:space="preserve">for </w:t>
      </w:r>
      <w:r w:rsidR="009854F9" w:rsidRPr="006B5BB1">
        <w:rPr>
          <w:rFonts w:ascii="Times New Roman" w:hAnsi="Times New Roman"/>
        </w:rPr>
        <w:t>the</w:t>
      </w:r>
      <w:r w:rsidR="00FD6679" w:rsidRPr="006B5BB1">
        <w:rPr>
          <w:rFonts w:ascii="Times New Roman" w:hAnsi="Times New Roman"/>
        </w:rPr>
        <w:t>ir presence</w:t>
      </w:r>
      <w:r w:rsidRPr="006B5BB1">
        <w:rPr>
          <w:rFonts w:ascii="Times New Roman" w:hAnsi="Times New Roman"/>
        </w:rPr>
        <w:t>. The question of publication is therefore determined by the courts by drawing an inference that the occupier intends to communicate the matter</w:t>
      </w:r>
      <w:r w:rsidR="00E552D7" w:rsidRPr="006B5BB1">
        <w:rPr>
          <w:rFonts w:ascii="Times New Roman" w:hAnsi="Times New Roman"/>
        </w:rPr>
        <w:t xml:space="preserve">, </w:t>
      </w:r>
      <w:r w:rsidRPr="006B5BB1">
        <w:rPr>
          <w:rFonts w:ascii="Times New Roman" w:hAnsi="Times New Roman"/>
        </w:rPr>
        <w:t xml:space="preserve">the appellants contend. No such deliberate act is present in these </w:t>
      </w:r>
      <w:r w:rsidR="00620B16" w:rsidRPr="006B5BB1">
        <w:rPr>
          <w:rFonts w:ascii="Times New Roman" w:hAnsi="Times New Roman"/>
        </w:rPr>
        <w:t xml:space="preserve">appeals </w:t>
      </w:r>
      <w:r w:rsidRPr="006B5BB1">
        <w:rPr>
          <w:rFonts w:ascii="Times New Roman" w:hAnsi="Times New Roman"/>
        </w:rPr>
        <w:t>which would permit an inference of intention on the part of the appellants to be drawn</w:t>
      </w:r>
      <w:r w:rsidR="00EB4C9C" w:rsidRPr="006B5BB1">
        <w:rPr>
          <w:rFonts w:ascii="Times New Roman" w:hAnsi="Times New Roman"/>
        </w:rPr>
        <w:t>, it is submitted</w:t>
      </w:r>
      <w:r w:rsidR="00E552D7" w:rsidRPr="006B5BB1">
        <w:rPr>
          <w:rFonts w:ascii="Times New Roman" w:hAnsi="Times New Roman"/>
        </w:rPr>
        <w:t>.</w:t>
      </w:r>
    </w:p>
    <w:p w14:paraId="59347B32" w14:textId="77777777"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The appellants' contentions are not supported by authority and cannot be accepted.</w:t>
      </w:r>
    </w:p>
    <w:p w14:paraId="536CA436" w14:textId="77777777" w:rsidR="00F511D3" w:rsidRPr="006B5BB1" w:rsidRDefault="00F511D3" w:rsidP="006B5BB1">
      <w:pPr>
        <w:pStyle w:val="HeadingL1"/>
        <w:spacing w:after="260" w:line="280" w:lineRule="exact"/>
        <w:ind w:right="0"/>
        <w:jc w:val="both"/>
        <w:rPr>
          <w:rFonts w:ascii="Times New Roman" w:hAnsi="Times New Roman"/>
        </w:rPr>
      </w:pPr>
      <w:r w:rsidRPr="006B5BB1">
        <w:rPr>
          <w:rFonts w:ascii="Times New Roman" w:hAnsi="Times New Roman"/>
        </w:rPr>
        <w:t>Publication and intention</w:t>
      </w:r>
    </w:p>
    <w:p w14:paraId="03AFCC9C" w14:textId="2B585312"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In the law of defamation</w:t>
      </w:r>
      <w:r w:rsidR="00DB0DC2" w:rsidRPr="006B5BB1">
        <w:rPr>
          <w:rFonts w:ascii="Times New Roman" w:hAnsi="Times New Roman"/>
        </w:rPr>
        <w:t>,</w:t>
      </w:r>
      <w:r w:rsidRPr="006B5BB1">
        <w:rPr>
          <w:rFonts w:ascii="Times New Roman" w:hAnsi="Times New Roman"/>
        </w:rPr>
        <w:t xml:space="preserve"> harm is understood to be occasioned to a person's reputation when a defamatory publication is made</w:t>
      </w:r>
      <w:r w:rsidR="00D80D60" w:rsidRPr="006B5BB1">
        <w:rPr>
          <w:rFonts w:ascii="Times New Roman" w:hAnsi="Times New Roman"/>
        </w:rPr>
        <w:t xml:space="preserve"> to a third party</w:t>
      </w:r>
      <w:r w:rsidRPr="006B5BB1">
        <w:rPr>
          <w:rFonts w:ascii="Times New Roman" w:hAnsi="Times New Roman"/>
        </w:rPr>
        <w:t xml:space="preserve">. Publication is the actionable wrong. In </w:t>
      </w:r>
      <w:r w:rsidRPr="006B5BB1">
        <w:rPr>
          <w:rFonts w:ascii="Times New Roman" w:hAnsi="Times New Roman"/>
          <w:i/>
        </w:rPr>
        <w:t>Dow Jones &amp; Co Inc v Gutnick</w:t>
      </w:r>
      <w:r w:rsidR="00F511D3" w:rsidRPr="006B5BB1">
        <w:rPr>
          <w:rStyle w:val="FootnoteReference"/>
          <w:rFonts w:ascii="Times New Roman" w:hAnsi="Times New Roman"/>
        </w:rPr>
        <w:footnoteReference w:id="19"/>
      </w:r>
      <w:r w:rsidRPr="006B5BB1">
        <w:rPr>
          <w:rFonts w:ascii="Times New Roman" w:hAnsi="Times New Roman"/>
        </w:rPr>
        <w:t>, publication was described as a bilateral act by which the publisher makes the defamatory material available and a third</w:t>
      </w:r>
      <w:r w:rsidR="00AE11C2" w:rsidRPr="006B5BB1">
        <w:rPr>
          <w:rFonts w:ascii="Times New Roman" w:hAnsi="Times New Roman"/>
        </w:rPr>
        <w:t xml:space="preserve"> </w:t>
      </w:r>
      <w:r w:rsidRPr="006B5BB1">
        <w:rPr>
          <w:rFonts w:ascii="Times New Roman" w:hAnsi="Times New Roman"/>
        </w:rPr>
        <w:t>party has it available for their comprehension. Publication may therefore be understood as the process by which a defamatory statement or imputation is conveyed</w:t>
      </w:r>
      <w:r w:rsidR="00F511D3" w:rsidRPr="006B5BB1">
        <w:rPr>
          <w:rStyle w:val="FootnoteReference"/>
          <w:rFonts w:ascii="Times New Roman" w:hAnsi="Times New Roman"/>
        </w:rPr>
        <w:footnoteReference w:id="20"/>
      </w:r>
      <w:r w:rsidRPr="006B5BB1">
        <w:rPr>
          <w:rFonts w:ascii="Times New Roman" w:hAnsi="Times New Roman"/>
        </w:rPr>
        <w:t>.</w:t>
      </w:r>
    </w:p>
    <w:p w14:paraId="0A492DC1" w14:textId="1C1A9CED"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In </w:t>
      </w:r>
      <w:r w:rsidRPr="006B5BB1">
        <w:rPr>
          <w:rFonts w:ascii="Times New Roman" w:hAnsi="Times New Roman"/>
          <w:i/>
        </w:rPr>
        <w:t>Trkulja v Google</w:t>
      </w:r>
      <w:r w:rsidR="00EF0896" w:rsidRPr="006B5BB1">
        <w:rPr>
          <w:rFonts w:ascii="Times New Roman" w:hAnsi="Times New Roman"/>
          <w:i/>
        </w:rPr>
        <w:t xml:space="preserve"> LLC</w:t>
      </w:r>
      <w:r w:rsidR="00F511D3" w:rsidRPr="006B5BB1">
        <w:rPr>
          <w:rStyle w:val="FootnoteReference"/>
          <w:rFonts w:ascii="Times New Roman" w:hAnsi="Times New Roman"/>
        </w:rPr>
        <w:footnoteReference w:id="21"/>
      </w:r>
      <w:r w:rsidRPr="006B5BB1">
        <w:rPr>
          <w:rFonts w:ascii="Times New Roman" w:hAnsi="Times New Roman"/>
        </w:rPr>
        <w:t xml:space="preserve">, it was said that "[i]n point of principle, the law as to publication is tolerably clear". The judgment of Isaacs J in </w:t>
      </w:r>
      <w:r w:rsidRPr="006B5BB1">
        <w:rPr>
          <w:rFonts w:ascii="Times New Roman" w:hAnsi="Times New Roman"/>
          <w:i/>
        </w:rPr>
        <w:t>Webb v Bloch</w:t>
      </w:r>
      <w:r w:rsidR="00F511D3" w:rsidRPr="006B5BB1">
        <w:rPr>
          <w:rStyle w:val="FootnoteReference"/>
          <w:rFonts w:ascii="Times New Roman" w:hAnsi="Times New Roman"/>
        </w:rPr>
        <w:footnoteReference w:id="22"/>
      </w:r>
      <w:r w:rsidRPr="006B5BB1">
        <w:rPr>
          <w:rFonts w:ascii="Times New Roman" w:hAnsi="Times New Roman"/>
        </w:rPr>
        <w:t xml:space="preserve"> was cited for </w:t>
      </w:r>
      <w:r w:rsidR="00332E96" w:rsidRPr="006B5BB1">
        <w:rPr>
          <w:rFonts w:ascii="Times New Roman" w:hAnsi="Times New Roman"/>
        </w:rPr>
        <w:t xml:space="preserve">that </w:t>
      </w:r>
      <w:r w:rsidRPr="006B5BB1">
        <w:rPr>
          <w:rFonts w:ascii="Times New Roman" w:hAnsi="Times New Roman"/>
        </w:rPr>
        <w:t xml:space="preserve">proposition. In that case, Isaacs J drew upon texts to identify who may be a publisher. </w:t>
      </w:r>
      <w:r w:rsidRPr="006B5BB1">
        <w:rPr>
          <w:rFonts w:ascii="Times New Roman" w:hAnsi="Times New Roman"/>
          <w:iCs/>
        </w:rPr>
        <w:t>Folkard</w:t>
      </w:r>
      <w:r w:rsidR="00F511D3" w:rsidRPr="006B5BB1">
        <w:rPr>
          <w:rStyle w:val="FootnoteReference"/>
          <w:rFonts w:ascii="Times New Roman" w:hAnsi="Times New Roman"/>
        </w:rPr>
        <w:footnoteReference w:id="23"/>
      </w:r>
      <w:r w:rsidRPr="006B5BB1">
        <w:rPr>
          <w:rFonts w:ascii="Times New Roman" w:hAnsi="Times New Roman"/>
        </w:rPr>
        <w:t xml:space="preserve"> described the word "published" as a technical term in the law of libel. It is used, he said:</w:t>
      </w:r>
    </w:p>
    <w:p w14:paraId="19CE7ABF" w14:textId="77777777" w:rsidR="006B5BB1" w:rsidRDefault="00FF71AE" w:rsidP="006B5BB1">
      <w:pPr>
        <w:pStyle w:val="leftright"/>
        <w:spacing w:before="0" w:after="260" w:line="280" w:lineRule="exact"/>
        <w:ind w:right="0"/>
        <w:jc w:val="both"/>
        <w:rPr>
          <w:rFonts w:ascii="Times New Roman" w:hAnsi="Times New Roman"/>
        </w:rPr>
      </w:pPr>
      <w:r w:rsidRPr="006B5BB1">
        <w:rPr>
          <w:rFonts w:ascii="Times New Roman" w:hAnsi="Times New Roman"/>
        </w:rPr>
        <w:lastRenderedPageBreak/>
        <w:t>"</w:t>
      </w:r>
      <w:r w:rsidRPr="006B5BB1">
        <w:rPr>
          <w:rFonts w:ascii="Times New Roman" w:hAnsi="Times New Roman"/>
          <w:i/>
        </w:rPr>
        <w:t>without reference to the precise degree</w:t>
      </w:r>
      <w:r w:rsidRPr="006B5BB1">
        <w:rPr>
          <w:rFonts w:ascii="Times New Roman" w:hAnsi="Times New Roman"/>
        </w:rPr>
        <w:t xml:space="preserve"> in which the defendant has been instrumental to such publication; since</w:t>
      </w:r>
      <w:r w:rsidR="00E11555" w:rsidRPr="006B5BB1">
        <w:rPr>
          <w:rFonts w:ascii="Times New Roman" w:hAnsi="Times New Roman"/>
        </w:rPr>
        <w:t>,</w:t>
      </w:r>
      <w:r w:rsidRPr="006B5BB1">
        <w:rPr>
          <w:rFonts w:ascii="Times New Roman" w:hAnsi="Times New Roman"/>
        </w:rPr>
        <w:t xml:space="preserve"> </w:t>
      </w:r>
      <w:r w:rsidRPr="006B5BB1">
        <w:rPr>
          <w:rFonts w:ascii="Times New Roman" w:hAnsi="Times New Roman"/>
          <w:i/>
          <w:iCs/>
        </w:rPr>
        <w:t xml:space="preserve">if </w:t>
      </w:r>
      <w:r w:rsidRPr="006B5BB1">
        <w:rPr>
          <w:rFonts w:ascii="Times New Roman" w:hAnsi="Times New Roman"/>
          <w:i/>
        </w:rPr>
        <w:t>he has intentionally lent his assistance to its existence for the purpose of being published</w:t>
      </w:r>
      <w:r w:rsidRPr="006B5BB1">
        <w:rPr>
          <w:rFonts w:ascii="Times New Roman" w:hAnsi="Times New Roman"/>
        </w:rPr>
        <w:t>, his instrumentality is evidence to show a publication by him"</w:t>
      </w:r>
      <w:r w:rsidR="00EF0896" w:rsidRPr="006B5BB1">
        <w:rPr>
          <w:rFonts w:ascii="Times New Roman" w:hAnsi="Times New Roman"/>
        </w:rPr>
        <w:t>.</w:t>
      </w:r>
    </w:p>
    <w:p w14:paraId="4500D5DB" w14:textId="38F49395"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Starkie</w:t>
      </w:r>
      <w:r w:rsidR="00F511D3" w:rsidRPr="006B5BB1">
        <w:rPr>
          <w:rStyle w:val="FootnoteReference"/>
          <w:rFonts w:ascii="Times New Roman" w:hAnsi="Times New Roman"/>
        </w:rPr>
        <w:footnoteReference w:id="24"/>
      </w:r>
      <w:r w:rsidRPr="006B5BB1">
        <w:rPr>
          <w:rFonts w:ascii="Times New Roman" w:hAnsi="Times New Roman"/>
        </w:rPr>
        <w:t xml:space="preserve"> said that all persons who:</w:t>
      </w:r>
    </w:p>
    <w:p w14:paraId="48825E67" w14:textId="77777777" w:rsidR="006B5BB1" w:rsidRDefault="00FF71AE" w:rsidP="006B5BB1">
      <w:pPr>
        <w:pStyle w:val="leftright"/>
        <w:spacing w:before="0" w:after="260" w:line="280" w:lineRule="exact"/>
        <w:ind w:right="0"/>
        <w:jc w:val="both"/>
        <w:rPr>
          <w:rFonts w:ascii="Times New Roman" w:hAnsi="Times New Roman"/>
        </w:rPr>
      </w:pPr>
      <w:r w:rsidRPr="006B5BB1">
        <w:rPr>
          <w:rFonts w:ascii="Times New Roman" w:hAnsi="Times New Roman"/>
        </w:rPr>
        <w:t>"</w:t>
      </w:r>
      <w:r w:rsidR="00867FDC" w:rsidRPr="006B5BB1">
        <w:rPr>
          <w:rFonts w:ascii="Times New Roman" w:hAnsi="Times New Roman"/>
        </w:rPr>
        <w:t xml:space="preserve">are in any degree accessory to the publication of a libel, and </w:t>
      </w:r>
      <w:r w:rsidRPr="006B5BB1">
        <w:rPr>
          <w:rFonts w:ascii="Times New Roman" w:hAnsi="Times New Roman"/>
        </w:rPr>
        <w:t xml:space="preserve">by any means whatever conduce to the publication, are to be considered as </w:t>
      </w:r>
      <w:r w:rsidRPr="006B5BB1">
        <w:rPr>
          <w:rFonts w:ascii="Times New Roman" w:hAnsi="Times New Roman"/>
          <w:i/>
        </w:rPr>
        <w:t>principals in the act of publication</w:t>
      </w:r>
      <w:r w:rsidRPr="006B5BB1">
        <w:rPr>
          <w:rFonts w:ascii="Times New Roman" w:hAnsi="Times New Roman"/>
        </w:rPr>
        <w:t>"</w:t>
      </w:r>
      <w:r w:rsidR="008E43AF" w:rsidRPr="006B5BB1">
        <w:rPr>
          <w:rFonts w:ascii="Times New Roman" w:hAnsi="Times New Roman"/>
        </w:rPr>
        <w:t>.</w:t>
      </w:r>
    </w:p>
    <w:p w14:paraId="0D3D9704" w14:textId="33C28558"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Part of the quotation from Folkard ("has intentionally lent his assistance to its existence for the purpose of being published") is relied on by the appellants as supporting their argument that for a person to be a publisher they must know of the relevant defamatory matter and intend to convey it</w:t>
      </w:r>
      <w:r w:rsidR="00F511D3" w:rsidRPr="006B5BB1">
        <w:rPr>
          <w:rFonts w:ascii="Times New Roman" w:hAnsi="Times New Roman"/>
        </w:rPr>
        <w:t>.</w:t>
      </w:r>
      <w:r w:rsidR="00560A64" w:rsidRPr="006B5BB1">
        <w:rPr>
          <w:rFonts w:ascii="Times New Roman" w:hAnsi="Times New Roman"/>
        </w:rPr>
        <w:t xml:space="preserve"> </w:t>
      </w:r>
      <w:r w:rsidRPr="006B5BB1">
        <w:rPr>
          <w:rFonts w:ascii="Times New Roman" w:hAnsi="Times New Roman"/>
        </w:rPr>
        <w:t>The argument is inconsistent with the common law rule relating to publication and</w:t>
      </w:r>
      <w:r w:rsidR="00E9549D" w:rsidRPr="006B5BB1">
        <w:rPr>
          <w:rFonts w:ascii="Times New Roman" w:hAnsi="Times New Roman"/>
        </w:rPr>
        <w:t>,</w:t>
      </w:r>
      <w:r w:rsidRPr="006B5BB1">
        <w:rPr>
          <w:rFonts w:ascii="Times New Roman" w:hAnsi="Times New Roman"/>
        </w:rPr>
        <w:t xml:space="preserve"> as shall be explained, it derives no support from what was said in </w:t>
      </w:r>
      <w:r w:rsidRPr="006B5BB1">
        <w:rPr>
          <w:rFonts w:ascii="Times New Roman" w:hAnsi="Times New Roman"/>
          <w:i/>
        </w:rPr>
        <w:t>Webb v Bloch</w:t>
      </w:r>
      <w:r w:rsidRPr="006B5BB1">
        <w:rPr>
          <w:rFonts w:ascii="Times New Roman" w:hAnsi="Times New Roman"/>
        </w:rPr>
        <w:t>.</w:t>
      </w:r>
    </w:p>
    <w:p w14:paraId="0ED73D10" w14:textId="6AB2B5BB"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An action for defamation does not require proof of fault. Defamation is a tort of strict liability</w:t>
      </w:r>
      <w:r w:rsidR="00E42386" w:rsidRPr="006B5BB1">
        <w:rPr>
          <w:rFonts w:ascii="Times New Roman" w:hAnsi="Times New Roman"/>
        </w:rPr>
        <w:t>,</w:t>
      </w:r>
      <w:r w:rsidRPr="006B5BB1">
        <w:rPr>
          <w:rFonts w:ascii="Times New Roman" w:hAnsi="Times New Roman"/>
        </w:rPr>
        <w:t xml:space="preserve"> in the sense that a defendant may be liable even though no injury to reputation was intended and the defendant acted with reasonable care</w:t>
      </w:r>
      <w:r w:rsidR="00F511D3" w:rsidRPr="006B5BB1">
        <w:rPr>
          <w:rStyle w:val="FootnoteReference"/>
          <w:rFonts w:ascii="Times New Roman" w:hAnsi="Times New Roman"/>
        </w:rPr>
        <w:footnoteReference w:id="25"/>
      </w:r>
      <w:r w:rsidRPr="006B5BB1">
        <w:rPr>
          <w:rFonts w:ascii="Times New Roman" w:hAnsi="Times New Roman"/>
        </w:rPr>
        <w:t>. The intention of the author of the defamatory matter is not relevant</w:t>
      </w:r>
      <w:r w:rsidR="00F511D3" w:rsidRPr="006B5BB1">
        <w:rPr>
          <w:rStyle w:val="FootnoteReference"/>
          <w:rFonts w:ascii="Times New Roman" w:hAnsi="Times New Roman"/>
        </w:rPr>
        <w:footnoteReference w:id="26"/>
      </w:r>
      <w:r w:rsidRPr="006B5BB1">
        <w:rPr>
          <w:rFonts w:ascii="Times New Roman" w:hAnsi="Times New Roman"/>
        </w:rPr>
        <w:t xml:space="preserve"> because the actionable wrong is the publication. It is often </w:t>
      </w:r>
      <w:r w:rsidR="00371634" w:rsidRPr="006B5BB1">
        <w:rPr>
          <w:rFonts w:ascii="Times New Roman" w:hAnsi="Times New Roman"/>
        </w:rPr>
        <w:t xml:space="preserve">persons </w:t>
      </w:r>
      <w:r w:rsidRPr="006B5BB1">
        <w:rPr>
          <w:rFonts w:ascii="Times New Roman" w:hAnsi="Times New Roman"/>
        </w:rPr>
        <w:t>other</w:t>
      </w:r>
      <w:r w:rsidR="00371634" w:rsidRPr="006B5BB1">
        <w:rPr>
          <w:rFonts w:ascii="Times New Roman" w:hAnsi="Times New Roman"/>
        </w:rPr>
        <w:t xml:space="preserve"> than the author</w:t>
      </w:r>
      <w:r w:rsidRPr="006B5BB1">
        <w:rPr>
          <w:rFonts w:ascii="Times New Roman" w:hAnsi="Times New Roman"/>
        </w:rPr>
        <w:t xml:space="preserve"> who are liable as publisher. A publisher's liability does not depend upon their knowledge of the defamatory matter which is being communicated or their intention to communicate it.</w:t>
      </w:r>
    </w:p>
    <w:p w14:paraId="724E42A9" w14:textId="35D8CBF8"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The liability of a person as a publisher "depends upon mere communication of the defamatory matter to a third person", Dixon J said</w:t>
      </w:r>
      <w:r w:rsidR="00F511D3" w:rsidRPr="006B5BB1">
        <w:rPr>
          <w:rStyle w:val="FootnoteReference"/>
          <w:rFonts w:ascii="Times New Roman" w:hAnsi="Times New Roman"/>
        </w:rPr>
        <w:footnoteReference w:id="27"/>
      </w:r>
      <w:r w:rsidRPr="006B5BB1">
        <w:rPr>
          <w:rFonts w:ascii="Times New Roman" w:hAnsi="Times New Roman"/>
        </w:rPr>
        <w:t xml:space="preserve"> in </w:t>
      </w:r>
      <w:r w:rsidRPr="006B5BB1">
        <w:rPr>
          <w:rFonts w:ascii="Times New Roman" w:hAnsi="Times New Roman"/>
          <w:i/>
        </w:rPr>
        <w:t>Lee v Wilson</w:t>
      </w:r>
      <w:r w:rsidR="00EF0896" w:rsidRPr="006B5BB1">
        <w:rPr>
          <w:rFonts w:ascii="Times New Roman" w:hAnsi="Times New Roman"/>
          <w:i/>
        </w:rPr>
        <w:t xml:space="preserve"> &amp; Mackinnon</w:t>
      </w:r>
      <w:r w:rsidRPr="006B5BB1">
        <w:rPr>
          <w:rFonts w:ascii="Times New Roman" w:hAnsi="Times New Roman"/>
        </w:rPr>
        <w:t xml:space="preserve">. No question as to the knowledge or intention of the publisher arises. His Honour said "[t]he communication may be quite unintentional, and the publisher may be unaware of the defamatory matter", but </w:t>
      </w:r>
      <w:r w:rsidR="002F114F" w:rsidRPr="006B5BB1">
        <w:rPr>
          <w:rFonts w:ascii="Times New Roman" w:hAnsi="Times New Roman"/>
        </w:rPr>
        <w:t xml:space="preserve">the </w:t>
      </w:r>
      <w:r w:rsidRPr="006B5BB1">
        <w:rPr>
          <w:rFonts w:ascii="Times New Roman" w:hAnsi="Times New Roman"/>
        </w:rPr>
        <w:t xml:space="preserve">person </w:t>
      </w:r>
      <w:r w:rsidRPr="006B5BB1">
        <w:rPr>
          <w:rFonts w:ascii="Times New Roman" w:hAnsi="Times New Roman"/>
        </w:rPr>
        <w:lastRenderedPageBreak/>
        <w:t xml:space="preserve">communicating </w:t>
      </w:r>
      <w:r w:rsidR="002F114F" w:rsidRPr="006B5BB1">
        <w:rPr>
          <w:rFonts w:ascii="Times New Roman" w:hAnsi="Times New Roman"/>
        </w:rPr>
        <w:t xml:space="preserve">the </w:t>
      </w:r>
      <w:r w:rsidRPr="006B5BB1">
        <w:rPr>
          <w:rFonts w:ascii="Times New Roman" w:hAnsi="Times New Roman"/>
        </w:rPr>
        <w:t xml:space="preserve">defamatory matter will </w:t>
      </w:r>
      <w:r w:rsidR="00B16329" w:rsidRPr="006B5BB1">
        <w:rPr>
          <w:rFonts w:ascii="Times New Roman" w:hAnsi="Times New Roman"/>
        </w:rPr>
        <w:t xml:space="preserve">nevertheless </w:t>
      </w:r>
      <w:r w:rsidRPr="006B5BB1">
        <w:rPr>
          <w:rFonts w:ascii="Times New Roman" w:hAnsi="Times New Roman"/>
        </w:rPr>
        <w:t>be liable. The exception identified by his Honour was the case of certain booksellers, news</w:t>
      </w:r>
      <w:r w:rsidR="00541FF9" w:rsidRPr="006B5BB1">
        <w:rPr>
          <w:rFonts w:ascii="Times New Roman" w:hAnsi="Times New Roman"/>
        </w:rPr>
        <w:t xml:space="preserve"> </w:t>
      </w:r>
      <w:r w:rsidRPr="006B5BB1">
        <w:rPr>
          <w:rFonts w:ascii="Times New Roman" w:hAnsi="Times New Roman"/>
        </w:rPr>
        <w:t>vendors and messengers, to which reference will later be made.</w:t>
      </w:r>
    </w:p>
    <w:p w14:paraId="3F6041E9" w14:textId="42AD9AF3"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appellants' argument that a person must intend to publish the defamatory matter gains no support from what was said in </w:t>
      </w:r>
      <w:r w:rsidRPr="006B5BB1">
        <w:rPr>
          <w:rFonts w:ascii="Times New Roman" w:hAnsi="Times New Roman"/>
          <w:i/>
        </w:rPr>
        <w:t>Trkulja v Google</w:t>
      </w:r>
      <w:r w:rsidR="00EF0896" w:rsidRPr="006B5BB1">
        <w:rPr>
          <w:rFonts w:ascii="Times New Roman" w:hAnsi="Times New Roman"/>
          <w:i/>
        </w:rPr>
        <w:t xml:space="preserve"> LLC</w:t>
      </w:r>
      <w:r w:rsidR="00F511D3" w:rsidRPr="006B5BB1">
        <w:rPr>
          <w:rStyle w:val="FootnoteReference"/>
          <w:rFonts w:ascii="Times New Roman" w:hAnsi="Times New Roman"/>
        </w:rPr>
        <w:footnoteReference w:id="28"/>
      </w:r>
      <w:r w:rsidRPr="006B5BB1">
        <w:rPr>
          <w:rFonts w:ascii="Times New Roman" w:hAnsi="Times New Roman"/>
        </w:rPr>
        <w:t>. On an application for summary dismissal of the plaintiff's claim of defamation</w:t>
      </w:r>
      <w:r w:rsidR="007B3071" w:rsidRPr="006B5BB1">
        <w:rPr>
          <w:rFonts w:ascii="Times New Roman" w:hAnsi="Times New Roman"/>
        </w:rPr>
        <w:t>,</w:t>
      </w:r>
      <w:r w:rsidRPr="006B5BB1">
        <w:rPr>
          <w:rFonts w:ascii="Times New Roman" w:hAnsi="Times New Roman"/>
        </w:rPr>
        <w:t xml:space="preserve"> the primary judge had held that it was strongly arguable that Google's "intentional </w:t>
      </w:r>
      <w:r w:rsidR="00EF0896" w:rsidRPr="006B5BB1">
        <w:rPr>
          <w:rFonts w:ascii="Times New Roman" w:hAnsi="Times New Roman"/>
        </w:rPr>
        <w:t>participation</w:t>
      </w:r>
      <w:r w:rsidRPr="006B5BB1">
        <w:rPr>
          <w:rFonts w:ascii="Times New Roman" w:hAnsi="Times New Roman"/>
        </w:rPr>
        <w:t>" in the communication of the alleged defamat</w:t>
      </w:r>
      <w:r w:rsidR="00B02ECE" w:rsidRPr="006B5BB1">
        <w:rPr>
          <w:rFonts w:ascii="Times New Roman" w:hAnsi="Times New Roman"/>
        </w:rPr>
        <w:t>ory</w:t>
      </w:r>
      <w:r w:rsidRPr="006B5BB1">
        <w:rPr>
          <w:rFonts w:ascii="Times New Roman" w:hAnsi="Times New Roman"/>
        </w:rPr>
        <w:t xml:space="preserve"> </w:t>
      </w:r>
      <w:r w:rsidR="00B02ECE" w:rsidRPr="006B5BB1">
        <w:rPr>
          <w:rFonts w:ascii="Times New Roman" w:hAnsi="Times New Roman"/>
        </w:rPr>
        <w:t xml:space="preserve">material </w:t>
      </w:r>
      <w:r w:rsidRPr="006B5BB1">
        <w:rPr>
          <w:rFonts w:ascii="Times New Roman" w:hAnsi="Times New Roman"/>
        </w:rPr>
        <w:t xml:space="preserve">to </w:t>
      </w:r>
      <w:r w:rsidR="00E55706" w:rsidRPr="006B5BB1">
        <w:rPr>
          <w:rFonts w:ascii="Times New Roman" w:hAnsi="Times New Roman"/>
        </w:rPr>
        <w:t xml:space="preserve">users of the </w:t>
      </w:r>
      <w:r w:rsidRPr="006B5BB1">
        <w:rPr>
          <w:rFonts w:ascii="Times New Roman" w:hAnsi="Times New Roman"/>
        </w:rPr>
        <w:t>Google search engine supported a finding that Google was a publisher</w:t>
      </w:r>
      <w:r w:rsidR="00F511D3" w:rsidRPr="006B5BB1">
        <w:rPr>
          <w:rStyle w:val="FootnoteReference"/>
          <w:rFonts w:ascii="Times New Roman" w:hAnsi="Times New Roman"/>
        </w:rPr>
        <w:footnoteReference w:id="29"/>
      </w:r>
      <w:r w:rsidRPr="006B5BB1">
        <w:rPr>
          <w:rFonts w:ascii="Times New Roman" w:hAnsi="Times New Roman"/>
        </w:rPr>
        <w:t>.</w:t>
      </w:r>
    </w:p>
    <w:p w14:paraId="6ACD4C80" w14:textId="4E4FEE3E"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This Court upheld that finding, but criticised the intermediate appellate court for proceeding to make a determinative finding as to publication</w:t>
      </w:r>
      <w:r w:rsidR="00F511D3" w:rsidRPr="006B5BB1">
        <w:rPr>
          <w:rStyle w:val="FootnoteReference"/>
          <w:rFonts w:ascii="Times New Roman" w:hAnsi="Times New Roman"/>
        </w:rPr>
        <w:footnoteReference w:id="30"/>
      </w:r>
      <w:r w:rsidRPr="006B5BB1">
        <w:rPr>
          <w:rFonts w:ascii="Times New Roman" w:hAnsi="Times New Roman"/>
        </w:rPr>
        <w:t xml:space="preserve">. The issue concerning publication required consideration </w:t>
      </w:r>
      <w:r w:rsidR="00DA231F" w:rsidRPr="006B5BB1">
        <w:rPr>
          <w:rFonts w:ascii="Times New Roman" w:hAnsi="Times New Roman"/>
        </w:rPr>
        <w:t xml:space="preserve">of </w:t>
      </w:r>
      <w:r w:rsidRPr="006B5BB1">
        <w:rPr>
          <w:rFonts w:ascii="Times New Roman" w:hAnsi="Times New Roman"/>
        </w:rPr>
        <w:t>"the nature and extent of Google's involvement in the compilation and publication of its search engine results", the Court said, and this could not be known with any certainty until after discovery</w:t>
      </w:r>
      <w:r w:rsidR="00F511D3" w:rsidRPr="006B5BB1">
        <w:rPr>
          <w:rStyle w:val="FootnoteReference"/>
          <w:rFonts w:ascii="Times New Roman" w:hAnsi="Times New Roman"/>
        </w:rPr>
        <w:footnoteReference w:id="31"/>
      </w:r>
      <w:r w:rsidRPr="006B5BB1">
        <w:rPr>
          <w:rFonts w:ascii="Times New Roman" w:hAnsi="Times New Roman"/>
        </w:rPr>
        <w:t xml:space="preserve">. Adopting the quotation in </w:t>
      </w:r>
      <w:r w:rsidRPr="006B5BB1">
        <w:rPr>
          <w:rFonts w:ascii="Times New Roman" w:hAnsi="Times New Roman"/>
          <w:i/>
        </w:rPr>
        <w:t>Webb v Bloch</w:t>
      </w:r>
      <w:r w:rsidRPr="006B5BB1">
        <w:rPr>
          <w:rFonts w:ascii="Times New Roman" w:hAnsi="Times New Roman"/>
        </w:rPr>
        <w:t xml:space="preserve"> from Folkard, the Court said that "all degrees of participation in the publication" of defamatory matter are publication</w:t>
      </w:r>
      <w:r w:rsidR="00F511D3" w:rsidRPr="006B5BB1">
        <w:rPr>
          <w:rStyle w:val="FootnoteReference"/>
          <w:rFonts w:ascii="Times New Roman" w:hAnsi="Times New Roman"/>
        </w:rPr>
        <w:footnoteReference w:id="32"/>
      </w:r>
      <w:r w:rsidRPr="006B5BB1">
        <w:rPr>
          <w:rFonts w:ascii="Times New Roman" w:hAnsi="Times New Roman"/>
        </w:rPr>
        <w:t xml:space="preserve">. Far from supporting the appellants' argument as to intention, </w:t>
      </w:r>
      <w:r w:rsidRPr="006B5BB1">
        <w:rPr>
          <w:rFonts w:ascii="Times New Roman" w:hAnsi="Times New Roman"/>
          <w:i/>
        </w:rPr>
        <w:t>Trkulja v Google</w:t>
      </w:r>
      <w:r w:rsidR="00EF0896" w:rsidRPr="006B5BB1">
        <w:rPr>
          <w:rFonts w:ascii="Times New Roman" w:hAnsi="Times New Roman"/>
          <w:i/>
        </w:rPr>
        <w:t xml:space="preserve"> LLC</w:t>
      </w:r>
      <w:r w:rsidRPr="006B5BB1">
        <w:rPr>
          <w:rFonts w:ascii="Times New Roman" w:hAnsi="Times New Roman"/>
        </w:rPr>
        <w:t xml:space="preserve"> confirms that the correct meaning of publication, which was given in </w:t>
      </w:r>
      <w:r w:rsidRPr="006B5BB1">
        <w:rPr>
          <w:rFonts w:ascii="Times New Roman" w:hAnsi="Times New Roman"/>
          <w:i/>
        </w:rPr>
        <w:t>Webb v Bloch</w:t>
      </w:r>
      <w:r w:rsidRPr="006B5BB1">
        <w:rPr>
          <w:rFonts w:ascii="Times New Roman" w:hAnsi="Times New Roman"/>
        </w:rPr>
        <w:t>, is that any act of participation in the communication of defamatory matter to a third party is sufficient to make a defendant a publisher.</w:t>
      </w:r>
    </w:p>
    <w:p w14:paraId="60FCC7EE" w14:textId="4FB8D5AC"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Putting to one side the exception created by the defence of innocent dissemination, the publication rule has always been understood to have a very wide operation. In </w:t>
      </w:r>
      <w:r w:rsidRPr="006B5BB1">
        <w:rPr>
          <w:rFonts w:ascii="Times New Roman" w:hAnsi="Times New Roman"/>
          <w:i/>
        </w:rPr>
        <w:t>Crookes v Newton</w:t>
      </w:r>
      <w:r w:rsidR="00F511D3" w:rsidRPr="006B5BB1">
        <w:rPr>
          <w:rStyle w:val="FootnoteReference"/>
          <w:rFonts w:ascii="Times New Roman" w:hAnsi="Times New Roman"/>
        </w:rPr>
        <w:footnoteReference w:id="33"/>
      </w:r>
      <w:r w:rsidRPr="006B5BB1">
        <w:rPr>
          <w:rFonts w:ascii="Times New Roman" w:hAnsi="Times New Roman"/>
        </w:rPr>
        <w:t>, a decision of the Supreme Court of Canada, Abella J remarked that "the breadth of activity captured by the traditional publication rule is vast". Her Honour gave as an example a case in which a printer's employee</w:t>
      </w:r>
      <w:r w:rsidR="00EF0896" w:rsidRPr="006B5BB1">
        <w:rPr>
          <w:rFonts w:ascii="Times New Roman" w:hAnsi="Times New Roman"/>
        </w:rPr>
        <w:t>,</w:t>
      </w:r>
      <w:r w:rsidRPr="006B5BB1">
        <w:rPr>
          <w:rFonts w:ascii="Times New Roman" w:hAnsi="Times New Roman"/>
        </w:rPr>
        <w:t xml:space="preserve"> whose only role in </w:t>
      </w:r>
      <w:r w:rsidR="00532E2A" w:rsidRPr="006B5BB1">
        <w:rPr>
          <w:rFonts w:ascii="Times New Roman" w:hAnsi="Times New Roman"/>
        </w:rPr>
        <w:t xml:space="preserve">a </w:t>
      </w:r>
      <w:r w:rsidRPr="006B5BB1">
        <w:rPr>
          <w:rFonts w:ascii="Times New Roman" w:hAnsi="Times New Roman"/>
        </w:rPr>
        <w:t xml:space="preserve">publication was to "clap down" the printing press, </w:t>
      </w:r>
      <w:r w:rsidRPr="006B5BB1">
        <w:rPr>
          <w:rFonts w:ascii="Times New Roman" w:hAnsi="Times New Roman"/>
        </w:rPr>
        <w:lastRenderedPageBreak/>
        <w:t>was held liable for the libels contained in the publication even though he was unaware of its contents</w:t>
      </w:r>
      <w:r w:rsidR="00F511D3" w:rsidRPr="006B5BB1">
        <w:rPr>
          <w:rStyle w:val="FootnoteReference"/>
          <w:rFonts w:ascii="Times New Roman" w:hAnsi="Times New Roman"/>
        </w:rPr>
        <w:footnoteReference w:id="34"/>
      </w:r>
      <w:r w:rsidRPr="006B5BB1">
        <w:rPr>
          <w:rFonts w:ascii="Times New Roman" w:hAnsi="Times New Roman"/>
        </w:rPr>
        <w:t>.</w:t>
      </w:r>
    </w:p>
    <w:p w14:paraId="5C8ED1FF" w14:textId="1F5FA1AB"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Consistently with </w:t>
      </w:r>
      <w:r w:rsidRPr="006B5BB1">
        <w:rPr>
          <w:rFonts w:ascii="Times New Roman" w:hAnsi="Times New Roman"/>
          <w:i/>
        </w:rPr>
        <w:t>Trkulja v Google</w:t>
      </w:r>
      <w:r w:rsidR="004F6E24" w:rsidRPr="006B5BB1">
        <w:rPr>
          <w:rFonts w:ascii="Times New Roman" w:hAnsi="Times New Roman"/>
          <w:i/>
        </w:rPr>
        <w:t xml:space="preserve"> LLC</w:t>
      </w:r>
      <w:r w:rsidRPr="006B5BB1">
        <w:rPr>
          <w:rFonts w:ascii="Times New Roman" w:hAnsi="Times New Roman"/>
        </w:rPr>
        <w:t xml:space="preserve"> and the publication rule, </w:t>
      </w:r>
      <w:r w:rsidRPr="006B5BB1">
        <w:rPr>
          <w:rFonts w:ascii="Times New Roman" w:hAnsi="Times New Roman"/>
          <w:i/>
          <w:iCs/>
        </w:rPr>
        <w:t>Webb</w:t>
      </w:r>
      <w:r w:rsidRPr="006B5BB1">
        <w:rPr>
          <w:rFonts w:ascii="Times New Roman" w:hAnsi="Times New Roman"/>
          <w:i/>
        </w:rPr>
        <w:t xml:space="preserve"> v Bloch</w:t>
      </w:r>
      <w:r w:rsidRPr="006B5BB1">
        <w:rPr>
          <w:rFonts w:ascii="Times New Roman" w:hAnsi="Times New Roman"/>
        </w:rPr>
        <w:t xml:space="preserve"> is to be understood to say that a person who has been instrumental in, or contributes to any extent to, the publication of defamatory matter is a publisher. All that is required is a voluntary act of participation in its communication.</w:t>
      </w:r>
    </w:p>
    <w:p w14:paraId="1E5B0D66" w14:textId="5FC95539"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True it is that that part of the quotation from Folkard on which the appellants rely ("</w:t>
      </w:r>
      <w:r w:rsidR="00AA41D3" w:rsidRPr="006B5BB1">
        <w:rPr>
          <w:rFonts w:ascii="Times New Roman" w:hAnsi="Times New Roman"/>
        </w:rPr>
        <w:t xml:space="preserve">has </w:t>
      </w:r>
      <w:r w:rsidRPr="006B5BB1">
        <w:rPr>
          <w:rFonts w:ascii="Times New Roman" w:hAnsi="Times New Roman"/>
        </w:rPr>
        <w:t>intentional</w:t>
      </w:r>
      <w:r w:rsidR="00E36B94" w:rsidRPr="006B5BB1">
        <w:rPr>
          <w:rFonts w:ascii="Times New Roman" w:hAnsi="Times New Roman"/>
        </w:rPr>
        <w:t>ly</w:t>
      </w:r>
      <w:r w:rsidRPr="006B5BB1">
        <w:rPr>
          <w:rFonts w:ascii="Times New Roman" w:hAnsi="Times New Roman"/>
        </w:rPr>
        <w:t xml:space="preserve"> </w:t>
      </w:r>
      <w:r w:rsidR="00AA41D3" w:rsidRPr="006B5BB1">
        <w:rPr>
          <w:rFonts w:ascii="Times New Roman" w:hAnsi="Times New Roman"/>
        </w:rPr>
        <w:t>lent</w:t>
      </w:r>
      <w:r w:rsidRPr="006B5BB1">
        <w:rPr>
          <w:rFonts w:ascii="Times New Roman" w:hAnsi="Times New Roman"/>
        </w:rPr>
        <w:t xml:space="preserve"> his assistance to its existence for the purpose of being published") refers to something other than a publication by distribution. That circumstance was apposite to the facts in </w:t>
      </w:r>
      <w:r w:rsidRPr="006B5BB1">
        <w:rPr>
          <w:rFonts w:ascii="Times New Roman" w:hAnsi="Times New Roman"/>
          <w:i/>
        </w:rPr>
        <w:t>Webb v Bloch</w:t>
      </w:r>
      <w:r w:rsidRPr="006B5BB1">
        <w:rPr>
          <w:rFonts w:ascii="Times New Roman" w:hAnsi="Times New Roman"/>
        </w:rPr>
        <w:t xml:space="preserve"> and the issue with which Isaacs J was dealing in the passages which preceded his discussion about publication. In </w:t>
      </w:r>
      <w:r w:rsidRPr="006B5BB1">
        <w:rPr>
          <w:rFonts w:ascii="Times New Roman" w:hAnsi="Times New Roman"/>
          <w:i/>
        </w:rPr>
        <w:t>Webb v Bloch</w:t>
      </w:r>
      <w:r w:rsidR="00BF2711" w:rsidRPr="006B5BB1">
        <w:rPr>
          <w:rFonts w:ascii="Times New Roman" w:hAnsi="Times New Roman"/>
          <w:iCs/>
        </w:rPr>
        <w:t>,</w:t>
      </w:r>
      <w:r w:rsidRPr="006B5BB1">
        <w:rPr>
          <w:rFonts w:ascii="Times New Roman" w:hAnsi="Times New Roman"/>
        </w:rPr>
        <w:t xml:space="preserve"> the solicitor enlisted by the defendants both composed the defamatory circular "for the purpose of publication" and subsequently "consciously distributed it", Isaacs J found</w:t>
      </w:r>
      <w:r w:rsidR="00F511D3" w:rsidRPr="006B5BB1">
        <w:rPr>
          <w:rStyle w:val="FootnoteReference"/>
          <w:rFonts w:ascii="Times New Roman" w:hAnsi="Times New Roman"/>
        </w:rPr>
        <w:footnoteReference w:id="35"/>
      </w:r>
      <w:r w:rsidRPr="006B5BB1">
        <w:rPr>
          <w:rFonts w:ascii="Times New Roman" w:hAnsi="Times New Roman"/>
        </w:rPr>
        <w:t xml:space="preserve">. The latter finding points </w:t>
      </w:r>
      <w:r w:rsidR="00321161" w:rsidRPr="006B5BB1">
        <w:rPr>
          <w:rFonts w:ascii="Times New Roman" w:hAnsi="Times New Roman"/>
        </w:rPr>
        <w:t xml:space="preserve">to the fact </w:t>
      </w:r>
      <w:r w:rsidRPr="006B5BB1">
        <w:rPr>
          <w:rFonts w:ascii="Times New Roman" w:hAnsi="Times New Roman"/>
        </w:rPr>
        <w:t>that it is the defendant's act of participation in publication which must be intentional, in the sense of being voluntary.</w:t>
      </w:r>
    </w:p>
    <w:p w14:paraId="261DB77B" w14:textId="5F242682"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Because the solicitor had participated from the outset, his publication of the libel was found by Isaacs J</w:t>
      </w:r>
      <w:r w:rsidR="00F511D3" w:rsidRPr="006B5BB1">
        <w:rPr>
          <w:rStyle w:val="FootnoteReference"/>
          <w:rFonts w:ascii="Times New Roman" w:hAnsi="Times New Roman"/>
        </w:rPr>
        <w:footnoteReference w:id="36"/>
      </w:r>
      <w:r w:rsidRPr="006B5BB1">
        <w:rPr>
          <w:rFonts w:ascii="Times New Roman" w:hAnsi="Times New Roman"/>
        </w:rPr>
        <w:t xml:space="preserve"> not to consist merely in the distribution of the circular which contained the libel. The conclusion which was then available was that the solicitor was not a subordinate, but rather a primary, publisher for the purposes of the defence of innocent dissemination.</w:t>
      </w:r>
    </w:p>
    <w:p w14:paraId="5D14B0B7" w14:textId="380C50A2"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Isaacs J in </w:t>
      </w:r>
      <w:r w:rsidRPr="006B5BB1">
        <w:rPr>
          <w:rFonts w:ascii="Times New Roman" w:hAnsi="Times New Roman"/>
          <w:i/>
        </w:rPr>
        <w:t>Webb v Bloch</w:t>
      </w:r>
      <w:r w:rsidRPr="006B5BB1">
        <w:rPr>
          <w:rFonts w:ascii="Times New Roman" w:hAnsi="Times New Roman"/>
        </w:rPr>
        <w:t xml:space="preserve"> may be understood to acknowledge that publication may involve acts of participation other than</w:t>
      </w:r>
      <w:r w:rsidR="008346AC" w:rsidRPr="006B5BB1">
        <w:rPr>
          <w:rFonts w:ascii="Times New Roman" w:hAnsi="Times New Roman"/>
        </w:rPr>
        <w:t>,</w:t>
      </w:r>
      <w:r w:rsidRPr="006B5BB1">
        <w:rPr>
          <w:rFonts w:ascii="Times New Roman" w:hAnsi="Times New Roman"/>
        </w:rPr>
        <w:t xml:space="preserve"> and which may precede</w:t>
      </w:r>
      <w:r w:rsidR="008346AC" w:rsidRPr="006B5BB1">
        <w:rPr>
          <w:rFonts w:ascii="Times New Roman" w:hAnsi="Times New Roman"/>
        </w:rPr>
        <w:t>,</w:t>
      </w:r>
      <w:r w:rsidRPr="006B5BB1">
        <w:rPr>
          <w:rFonts w:ascii="Times New Roman" w:hAnsi="Times New Roman"/>
        </w:rPr>
        <w:t xml:space="preserve"> the actual physical distribution of the defamatory material. </w:t>
      </w:r>
      <w:r w:rsidR="003D48BB" w:rsidRPr="006B5BB1">
        <w:rPr>
          <w:rFonts w:ascii="Times New Roman" w:hAnsi="Times New Roman"/>
        </w:rPr>
        <w:t xml:space="preserve">His Honour </w:t>
      </w:r>
      <w:r w:rsidRPr="006B5BB1">
        <w:rPr>
          <w:rFonts w:ascii="Times New Roman" w:hAnsi="Times New Roman"/>
        </w:rPr>
        <w:t>is not to be understood to say that a person must intend to communicate the material complained of as defamatory in order to be a publisher.</w:t>
      </w:r>
    </w:p>
    <w:p w14:paraId="58B9995C" w14:textId="77777777" w:rsidR="00F511D3" w:rsidRPr="006B5BB1" w:rsidRDefault="00F511D3" w:rsidP="006B5BB1">
      <w:pPr>
        <w:pStyle w:val="HeadingL1"/>
        <w:spacing w:after="260" w:line="280" w:lineRule="exact"/>
        <w:ind w:right="0"/>
        <w:jc w:val="both"/>
        <w:rPr>
          <w:rFonts w:ascii="Times New Roman" w:hAnsi="Times New Roman"/>
        </w:rPr>
      </w:pPr>
      <w:r w:rsidRPr="006B5BB1">
        <w:rPr>
          <w:rFonts w:ascii="Times New Roman" w:hAnsi="Times New Roman"/>
        </w:rPr>
        <w:lastRenderedPageBreak/>
        <w:t>Innocent dissemination</w:t>
      </w:r>
    </w:p>
    <w:p w14:paraId="1F6C2C88" w14:textId="737E4217"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As Ribeiro PJ observed in </w:t>
      </w:r>
      <w:r w:rsidRPr="006B5BB1">
        <w:rPr>
          <w:rFonts w:ascii="Times New Roman" w:hAnsi="Times New Roman"/>
          <w:i/>
        </w:rPr>
        <w:t>Oriental Press Group Ltd v Fevaworks Solutions Ltd</w:t>
      </w:r>
      <w:r w:rsidR="00F511D3" w:rsidRPr="006B5BB1">
        <w:rPr>
          <w:rStyle w:val="FootnoteReference"/>
          <w:rFonts w:ascii="Times New Roman" w:hAnsi="Times New Roman"/>
        </w:rPr>
        <w:footnoteReference w:id="37"/>
      </w:r>
      <w:r w:rsidRPr="006B5BB1">
        <w:rPr>
          <w:rFonts w:ascii="Times New Roman" w:hAnsi="Times New Roman"/>
        </w:rPr>
        <w:t>, "</w:t>
      </w:r>
      <w:r w:rsidR="00CF3BFA" w:rsidRPr="006B5BB1">
        <w:rPr>
          <w:rFonts w:ascii="Times New Roman" w:hAnsi="Times New Roman"/>
        </w:rPr>
        <w:t>[</w:t>
      </w:r>
      <w:r w:rsidRPr="006B5BB1">
        <w:rPr>
          <w:rFonts w:ascii="Times New Roman" w:hAnsi="Times New Roman"/>
        </w:rPr>
        <w:t>t</w:t>
      </w:r>
      <w:r w:rsidR="00CF3BFA" w:rsidRPr="006B5BB1">
        <w:rPr>
          <w:rFonts w:ascii="Times New Roman" w:hAnsi="Times New Roman"/>
        </w:rPr>
        <w:t>]</w:t>
      </w:r>
      <w:r w:rsidRPr="006B5BB1">
        <w:rPr>
          <w:rFonts w:ascii="Times New Roman" w:hAnsi="Times New Roman"/>
        </w:rPr>
        <w:t xml:space="preserve">he strictness of the publication rule plainly called for some relaxation". </w:t>
      </w:r>
      <w:r w:rsidRPr="006B5BB1">
        <w:rPr>
          <w:rFonts w:ascii="Times New Roman" w:hAnsi="Times New Roman"/>
          <w:i/>
        </w:rPr>
        <w:t>Emmens v Pottle</w:t>
      </w:r>
      <w:r w:rsidR="00F511D3" w:rsidRPr="006B5BB1">
        <w:rPr>
          <w:rStyle w:val="FootnoteReference"/>
          <w:rFonts w:ascii="Times New Roman" w:hAnsi="Times New Roman"/>
        </w:rPr>
        <w:footnoteReference w:id="38"/>
      </w:r>
      <w:r w:rsidRPr="006B5BB1">
        <w:rPr>
          <w:rFonts w:ascii="Times New Roman" w:hAnsi="Times New Roman"/>
        </w:rPr>
        <w:t xml:space="preserve"> is generally taken as the starting point of what came to be called the common law defence of innocent dissemination</w:t>
      </w:r>
      <w:r w:rsidR="00041415" w:rsidRPr="006B5BB1">
        <w:rPr>
          <w:rFonts w:ascii="Times New Roman" w:hAnsi="Times New Roman"/>
        </w:rPr>
        <w:t>,</w:t>
      </w:r>
      <w:r w:rsidRPr="006B5BB1">
        <w:rPr>
          <w:rFonts w:ascii="Times New Roman" w:hAnsi="Times New Roman"/>
        </w:rPr>
        <w:t xml:space="preserve"> which was developed by the courts to mitigate the harshness of the law relating to publication. </w:t>
      </w:r>
      <w:r w:rsidRPr="006B5BB1">
        <w:rPr>
          <w:rFonts w:ascii="Times New Roman" w:hAnsi="Times New Roman"/>
          <w:i/>
        </w:rPr>
        <w:t>Vizetelly v Mudie's Select Library Ltd</w:t>
      </w:r>
      <w:r w:rsidR="00F511D3" w:rsidRPr="006B5BB1">
        <w:rPr>
          <w:rStyle w:val="FootnoteReference"/>
          <w:rFonts w:ascii="Times New Roman" w:hAnsi="Times New Roman"/>
        </w:rPr>
        <w:footnoteReference w:id="39"/>
      </w:r>
      <w:r w:rsidRPr="006B5BB1">
        <w:rPr>
          <w:rFonts w:ascii="Times New Roman" w:hAnsi="Times New Roman"/>
        </w:rPr>
        <w:t xml:space="preserve"> took up the new "doctrine"</w:t>
      </w:r>
      <w:r w:rsidR="00F511D3" w:rsidRPr="006B5BB1">
        <w:rPr>
          <w:rStyle w:val="FootnoteReference"/>
          <w:rFonts w:ascii="Times New Roman" w:hAnsi="Times New Roman"/>
        </w:rPr>
        <w:footnoteReference w:id="40"/>
      </w:r>
      <w:r w:rsidRPr="006B5BB1">
        <w:rPr>
          <w:rFonts w:ascii="Times New Roman" w:hAnsi="Times New Roman"/>
        </w:rPr>
        <w:t>.</w:t>
      </w:r>
    </w:p>
    <w:p w14:paraId="13F51A7A" w14:textId="08DA1BFD"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Pr="006B5BB1">
        <w:rPr>
          <w:rFonts w:ascii="Times New Roman" w:hAnsi="Times New Roman"/>
          <w:i/>
        </w:rPr>
        <w:t>Emmens v Pottle</w:t>
      </w:r>
      <w:r w:rsidRPr="006B5BB1">
        <w:rPr>
          <w:rFonts w:ascii="Times New Roman" w:hAnsi="Times New Roman"/>
        </w:rPr>
        <w:t xml:space="preserve"> concerned person</w:t>
      </w:r>
      <w:r w:rsidR="00342BBE" w:rsidRPr="006B5BB1">
        <w:rPr>
          <w:rFonts w:ascii="Times New Roman" w:hAnsi="Times New Roman"/>
        </w:rPr>
        <w:t>s</w:t>
      </w:r>
      <w:r w:rsidRPr="006B5BB1">
        <w:rPr>
          <w:rFonts w:ascii="Times New Roman" w:hAnsi="Times New Roman"/>
        </w:rPr>
        <w:t xml:space="preserve"> in the business of selling newspapers. Lord Esher held</w:t>
      </w:r>
      <w:r w:rsidR="00F511D3" w:rsidRPr="006B5BB1">
        <w:rPr>
          <w:rStyle w:val="FootnoteReference"/>
          <w:rFonts w:ascii="Times New Roman" w:hAnsi="Times New Roman"/>
        </w:rPr>
        <w:footnoteReference w:id="41"/>
      </w:r>
      <w:r w:rsidRPr="006B5BB1">
        <w:rPr>
          <w:rFonts w:ascii="Times New Roman" w:hAnsi="Times New Roman"/>
        </w:rPr>
        <w:t xml:space="preserve"> that although such a person may be prima facie liable as a publisher, if they are able to show that they did not know that the newspaper was likely to contain a libel and their lack of knowledge was not the result of their own negligence they will not be liable for the libel</w:t>
      </w:r>
      <w:r w:rsidR="00F511D3" w:rsidRPr="006B5BB1">
        <w:rPr>
          <w:rStyle w:val="FootnoteReference"/>
          <w:rFonts w:ascii="Times New Roman" w:hAnsi="Times New Roman"/>
        </w:rPr>
        <w:footnoteReference w:id="42"/>
      </w:r>
      <w:r w:rsidRPr="006B5BB1">
        <w:rPr>
          <w:rFonts w:ascii="Times New Roman" w:hAnsi="Times New Roman"/>
        </w:rPr>
        <w:t>.</w:t>
      </w:r>
    </w:p>
    <w:p w14:paraId="3D056F38" w14:textId="7737571C"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Pr="006B5BB1">
        <w:rPr>
          <w:rFonts w:ascii="Times New Roman" w:hAnsi="Times New Roman"/>
          <w:i/>
        </w:rPr>
        <w:t xml:space="preserve">Vizetelly </w:t>
      </w:r>
      <w:r w:rsidRPr="006B5BB1">
        <w:rPr>
          <w:rFonts w:ascii="Times New Roman" w:hAnsi="Times New Roman"/>
        </w:rPr>
        <w:t xml:space="preserve">involved a circulating library. The "defence" </w:t>
      </w:r>
      <w:r w:rsidR="00B23190" w:rsidRPr="006B5BB1">
        <w:rPr>
          <w:rFonts w:ascii="Times New Roman" w:hAnsi="Times New Roman"/>
        </w:rPr>
        <w:t xml:space="preserve">also </w:t>
      </w:r>
      <w:r w:rsidRPr="006B5BB1">
        <w:rPr>
          <w:rFonts w:ascii="Times New Roman" w:hAnsi="Times New Roman"/>
        </w:rPr>
        <w:t>came to extend to persons who conducted the business of bookseller or messenger</w:t>
      </w:r>
      <w:r w:rsidR="00F511D3" w:rsidRPr="006B5BB1">
        <w:rPr>
          <w:rStyle w:val="FootnoteReference"/>
          <w:rFonts w:ascii="Times New Roman" w:hAnsi="Times New Roman"/>
        </w:rPr>
        <w:footnoteReference w:id="43"/>
      </w:r>
      <w:r w:rsidRPr="006B5BB1">
        <w:rPr>
          <w:rFonts w:ascii="Times New Roman" w:hAnsi="Times New Roman"/>
        </w:rPr>
        <w:t>. What they had in common was that they were mere distributors or disseminators. They were lesser or subordinate publishers, not primary publishers. The latter could not take advantage of the defence. The defence could be described as one special to distributors</w:t>
      </w:r>
      <w:r w:rsidR="00F511D3" w:rsidRPr="006B5BB1">
        <w:rPr>
          <w:rStyle w:val="FootnoteReference"/>
          <w:rFonts w:ascii="Times New Roman" w:hAnsi="Times New Roman"/>
        </w:rPr>
        <w:footnoteReference w:id="44"/>
      </w:r>
      <w:r w:rsidRPr="006B5BB1">
        <w:rPr>
          <w:rFonts w:ascii="Times New Roman" w:hAnsi="Times New Roman"/>
        </w:rPr>
        <w:t>.</w:t>
      </w:r>
    </w:p>
    <w:p w14:paraId="14889A54" w14:textId="1F58A290"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defence cannot be said to be rooted in principle. In </w:t>
      </w:r>
      <w:r w:rsidRPr="006B5BB1">
        <w:rPr>
          <w:rFonts w:ascii="Times New Roman" w:hAnsi="Times New Roman"/>
          <w:i/>
        </w:rPr>
        <w:t>Thompson v Australian Capital Television Pty Ltd</w:t>
      </w:r>
      <w:r w:rsidR="00F511D3" w:rsidRPr="006B5BB1">
        <w:rPr>
          <w:rStyle w:val="FootnoteReference"/>
          <w:rFonts w:ascii="Times New Roman" w:hAnsi="Times New Roman"/>
        </w:rPr>
        <w:footnoteReference w:id="45"/>
      </w:r>
      <w:r w:rsidRPr="006B5BB1">
        <w:rPr>
          <w:rFonts w:ascii="Times New Roman" w:hAnsi="Times New Roman"/>
        </w:rPr>
        <w:t xml:space="preserve">, its origins were described as "muddied". </w:t>
      </w:r>
      <w:r w:rsidRPr="006B5BB1">
        <w:rPr>
          <w:rFonts w:ascii="Times New Roman" w:hAnsi="Times New Roman"/>
        </w:rPr>
        <w:lastRenderedPageBreak/>
        <w:t xml:space="preserve">The decision in </w:t>
      </w:r>
      <w:r w:rsidRPr="006B5BB1">
        <w:rPr>
          <w:rFonts w:ascii="Times New Roman" w:hAnsi="Times New Roman"/>
          <w:i/>
        </w:rPr>
        <w:t>Emmens v Pottle</w:t>
      </w:r>
      <w:r w:rsidRPr="006B5BB1">
        <w:rPr>
          <w:rFonts w:ascii="Times New Roman" w:hAnsi="Times New Roman"/>
        </w:rPr>
        <w:t xml:space="preserve"> has been described as more pragmatic than principled</w:t>
      </w:r>
      <w:r w:rsidR="00F511D3" w:rsidRPr="006B5BB1">
        <w:rPr>
          <w:rStyle w:val="FootnoteReference"/>
          <w:rFonts w:ascii="Times New Roman" w:hAnsi="Times New Roman"/>
        </w:rPr>
        <w:footnoteReference w:id="46"/>
      </w:r>
      <w:r w:rsidRPr="006B5BB1">
        <w:rPr>
          <w:rFonts w:ascii="Times New Roman" w:hAnsi="Times New Roman"/>
        </w:rPr>
        <w:t xml:space="preserve">. Lord Esher appears to have been motivated by a concern that the common law would appear to be unjust and unreasonable if some such accommodation was not made by the courts. In </w:t>
      </w:r>
      <w:r w:rsidRPr="006B5BB1">
        <w:rPr>
          <w:rFonts w:ascii="Times New Roman" w:hAnsi="Times New Roman"/>
          <w:i/>
        </w:rPr>
        <w:t>Thompson</w:t>
      </w:r>
      <w:r w:rsidR="00F511D3" w:rsidRPr="006B5BB1">
        <w:rPr>
          <w:rStyle w:val="FootnoteReference"/>
          <w:rFonts w:ascii="Times New Roman" w:hAnsi="Times New Roman"/>
        </w:rPr>
        <w:footnoteReference w:id="47"/>
      </w:r>
      <w:r w:rsidRPr="006B5BB1">
        <w:rPr>
          <w:rFonts w:ascii="Times New Roman" w:hAnsi="Times New Roman"/>
        </w:rPr>
        <w:t>, it was said that his Lordship "rationalised rather than explained the decision".</w:t>
      </w:r>
    </w:p>
    <w:p w14:paraId="579539F8" w14:textId="3048DD78"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appellants' argument that </w:t>
      </w:r>
      <w:r w:rsidRPr="006B5BB1">
        <w:rPr>
          <w:rFonts w:ascii="Times New Roman" w:hAnsi="Times New Roman"/>
          <w:i/>
        </w:rPr>
        <w:t>Emmens v Pottle</w:t>
      </w:r>
      <w:r w:rsidRPr="006B5BB1">
        <w:rPr>
          <w:rFonts w:ascii="Times New Roman" w:hAnsi="Times New Roman"/>
        </w:rPr>
        <w:t xml:space="preserve"> and later cases treat publication as a mere rebuttable presumption relies on statements in </w:t>
      </w:r>
      <w:r w:rsidRPr="006B5BB1">
        <w:rPr>
          <w:rFonts w:ascii="Times New Roman" w:hAnsi="Times New Roman"/>
          <w:i/>
        </w:rPr>
        <w:t>Emmens v Pottle</w:t>
      </w:r>
      <w:r w:rsidRPr="006B5BB1">
        <w:rPr>
          <w:rFonts w:ascii="Times New Roman" w:hAnsi="Times New Roman"/>
        </w:rPr>
        <w:t xml:space="preserve"> and </w:t>
      </w:r>
      <w:r w:rsidRPr="006B5BB1">
        <w:rPr>
          <w:rFonts w:ascii="Times New Roman" w:hAnsi="Times New Roman"/>
          <w:i/>
        </w:rPr>
        <w:t>Vizetelly</w:t>
      </w:r>
      <w:r w:rsidRPr="006B5BB1">
        <w:rPr>
          <w:rFonts w:ascii="Times New Roman" w:hAnsi="Times New Roman"/>
        </w:rPr>
        <w:t xml:space="preserve"> concerning the </w:t>
      </w:r>
      <w:r w:rsidR="00ED26EC" w:rsidRPr="006B5BB1">
        <w:rPr>
          <w:rFonts w:ascii="Times New Roman" w:hAnsi="Times New Roman"/>
        </w:rPr>
        <w:t xml:space="preserve">relevant </w:t>
      </w:r>
      <w:r w:rsidRPr="006B5BB1">
        <w:rPr>
          <w:rFonts w:ascii="Times New Roman" w:hAnsi="Times New Roman"/>
        </w:rPr>
        <w:t xml:space="preserve">defendant's liability for publication. In </w:t>
      </w:r>
      <w:r w:rsidRPr="006B5BB1">
        <w:rPr>
          <w:rFonts w:ascii="Times New Roman" w:hAnsi="Times New Roman"/>
          <w:i/>
        </w:rPr>
        <w:t>Emmens v Pottle</w:t>
      </w:r>
      <w:r w:rsidR="00F511D3" w:rsidRPr="006B5BB1">
        <w:rPr>
          <w:rStyle w:val="FootnoteReference"/>
          <w:rFonts w:ascii="Times New Roman" w:hAnsi="Times New Roman"/>
        </w:rPr>
        <w:footnoteReference w:id="48"/>
      </w:r>
      <w:r w:rsidRPr="006B5BB1">
        <w:rPr>
          <w:rFonts w:ascii="Times New Roman" w:hAnsi="Times New Roman"/>
        </w:rPr>
        <w:t>, Lord Esher observed that the defendants were "prim</w:t>
      </w:r>
      <w:r w:rsidR="000B3A8B" w:rsidRPr="006B5BB1">
        <w:rPr>
          <w:rFonts w:ascii="Times New Roman" w:hAnsi="Times New Roman"/>
        </w:rPr>
        <w:t>â</w:t>
      </w:r>
      <w:r w:rsidRPr="006B5BB1">
        <w:rPr>
          <w:rFonts w:ascii="Times New Roman" w:hAnsi="Times New Roman"/>
        </w:rPr>
        <w:t xml:space="preserve"> facie liable" because "</w:t>
      </w:r>
      <w:r w:rsidR="007A1212" w:rsidRPr="006B5BB1">
        <w:rPr>
          <w:rFonts w:ascii="Times New Roman" w:hAnsi="Times New Roman"/>
        </w:rPr>
        <w:t>[</w:t>
      </w:r>
      <w:r w:rsidRPr="006B5BB1">
        <w:rPr>
          <w:rFonts w:ascii="Times New Roman" w:hAnsi="Times New Roman"/>
        </w:rPr>
        <w:t>t</w:t>
      </w:r>
      <w:r w:rsidR="007A1212" w:rsidRPr="006B5BB1">
        <w:rPr>
          <w:rFonts w:ascii="Times New Roman" w:hAnsi="Times New Roman"/>
        </w:rPr>
        <w:t>]</w:t>
      </w:r>
      <w:r w:rsidRPr="006B5BB1">
        <w:rPr>
          <w:rFonts w:ascii="Times New Roman" w:hAnsi="Times New Roman"/>
        </w:rPr>
        <w:t xml:space="preserve">hey have handed to other people a newspaper in which there is a libel </w:t>
      </w:r>
      <w:r w:rsidR="007A1212" w:rsidRPr="006B5BB1">
        <w:rPr>
          <w:rFonts w:ascii="Times New Roman" w:hAnsi="Times New Roman"/>
        </w:rPr>
        <w:t xml:space="preserve">on </w:t>
      </w:r>
      <w:r w:rsidRPr="006B5BB1">
        <w:rPr>
          <w:rFonts w:ascii="Times New Roman" w:hAnsi="Times New Roman"/>
        </w:rPr>
        <w:t xml:space="preserve">the plaintiff". In </w:t>
      </w:r>
      <w:r w:rsidRPr="006B5BB1">
        <w:rPr>
          <w:rFonts w:ascii="Times New Roman" w:hAnsi="Times New Roman"/>
          <w:i/>
        </w:rPr>
        <w:t>Vizetelly</w:t>
      </w:r>
      <w:r w:rsidRPr="006B5BB1">
        <w:rPr>
          <w:rFonts w:ascii="Times New Roman" w:hAnsi="Times New Roman"/>
        </w:rPr>
        <w:t>, A L Smith LJ</w:t>
      </w:r>
      <w:r w:rsidR="00F511D3" w:rsidRPr="006B5BB1">
        <w:rPr>
          <w:rStyle w:val="FootnoteReference"/>
          <w:rFonts w:ascii="Times New Roman" w:hAnsi="Times New Roman"/>
        </w:rPr>
        <w:footnoteReference w:id="49"/>
      </w:r>
      <w:r w:rsidRPr="006B5BB1">
        <w:rPr>
          <w:rFonts w:ascii="Times New Roman" w:hAnsi="Times New Roman"/>
        </w:rPr>
        <w:t xml:space="preserve"> said that</w:t>
      </w:r>
      <w:r w:rsidR="005408F2" w:rsidRPr="006B5BB1">
        <w:rPr>
          <w:rFonts w:ascii="Times New Roman" w:hAnsi="Times New Roman"/>
        </w:rPr>
        <w:t>,</w:t>
      </w:r>
      <w:r w:rsidRPr="006B5BB1">
        <w:rPr>
          <w:rFonts w:ascii="Times New Roman" w:hAnsi="Times New Roman"/>
        </w:rPr>
        <w:t xml:space="preserve"> the defendants having lent and sold copies of the book, "prim</w:t>
      </w:r>
      <w:r w:rsidR="000B3A8B" w:rsidRPr="006B5BB1">
        <w:rPr>
          <w:rFonts w:ascii="Times New Roman" w:hAnsi="Times New Roman"/>
        </w:rPr>
        <w:t>â</w:t>
      </w:r>
      <w:r w:rsidRPr="006B5BB1">
        <w:rPr>
          <w:rFonts w:ascii="Times New Roman" w:hAnsi="Times New Roman"/>
        </w:rPr>
        <w:t xml:space="preserve"> facie they published it".</w:t>
      </w:r>
    </w:p>
    <w:p w14:paraId="12DDB471" w14:textId="73131255"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These statements most clearly acknowledge the strictness of the publication rule in its operation. It is difficult to accept that by these words their Lordships intended to convert the rule to a rebuttable presumption of publication. Indeed the rule has continued to be regarded as operating strictly with respect to other publishers. The statements are better understood to say that but for the "defence" which the courts will now afford distributors, they would be liable as publishers. In </w:t>
      </w:r>
      <w:r w:rsidRPr="006B5BB1">
        <w:rPr>
          <w:rFonts w:ascii="Times New Roman" w:hAnsi="Times New Roman"/>
          <w:i/>
        </w:rPr>
        <w:t>Vizetelly</w:t>
      </w:r>
      <w:r w:rsidR="00F511D3" w:rsidRPr="006B5BB1">
        <w:rPr>
          <w:rStyle w:val="FootnoteReference"/>
          <w:rFonts w:ascii="Times New Roman" w:hAnsi="Times New Roman"/>
        </w:rPr>
        <w:footnoteReference w:id="50"/>
      </w:r>
      <w:r w:rsidRPr="006B5BB1">
        <w:rPr>
          <w:rFonts w:ascii="Times New Roman" w:hAnsi="Times New Roman"/>
        </w:rPr>
        <w:t>, A L Smith LJ, having observed that the defendants were "prim</w:t>
      </w:r>
      <w:r w:rsidR="000B3A8B" w:rsidRPr="006B5BB1">
        <w:rPr>
          <w:rFonts w:ascii="Times New Roman" w:hAnsi="Times New Roman"/>
        </w:rPr>
        <w:t>â</w:t>
      </w:r>
      <w:r w:rsidRPr="006B5BB1">
        <w:rPr>
          <w:rFonts w:ascii="Times New Roman" w:hAnsi="Times New Roman"/>
        </w:rPr>
        <w:t xml:space="preserve"> facie" publishers, enquired "[w]hat defence</w:t>
      </w:r>
      <w:r w:rsidR="00AC2FB7" w:rsidRPr="006B5BB1">
        <w:rPr>
          <w:rFonts w:ascii="Times New Roman" w:hAnsi="Times New Roman"/>
        </w:rPr>
        <w:t>, then,</w:t>
      </w:r>
      <w:r w:rsidRPr="006B5BB1">
        <w:rPr>
          <w:rFonts w:ascii="Times New Roman" w:hAnsi="Times New Roman"/>
        </w:rPr>
        <w:t xml:space="preserve"> </w:t>
      </w:r>
      <w:r w:rsidR="002601EB" w:rsidRPr="006B5BB1">
        <w:rPr>
          <w:rFonts w:ascii="Times New Roman" w:hAnsi="Times New Roman"/>
        </w:rPr>
        <w:t>have they</w:t>
      </w:r>
      <w:r w:rsidRPr="006B5BB1">
        <w:rPr>
          <w:rFonts w:ascii="Times New Roman" w:hAnsi="Times New Roman"/>
        </w:rPr>
        <w:t xml:space="preserve">?" and answered "[n]one, unless they </w:t>
      </w:r>
      <w:r w:rsidR="00AC2FB7" w:rsidRPr="006B5BB1">
        <w:rPr>
          <w:rFonts w:ascii="Times New Roman" w:hAnsi="Times New Roman"/>
        </w:rPr>
        <w:t xml:space="preserve">can </w:t>
      </w:r>
      <w:r w:rsidRPr="006B5BB1">
        <w:rPr>
          <w:rFonts w:ascii="Times New Roman" w:hAnsi="Times New Roman"/>
        </w:rPr>
        <w:t xml:space="preserve">bring themselves within the doctrine of </w:t>
      </w:r>
      <w:r w:rsidRPr="006B5BB1">
        <w:rPr>
          <w:rFonts w:ascii="Times New Roman" w:hAnsi="Times New Roman"/>
          <w:i/>
        </w:rPr>
        <w:t>Emmens v Pottle</w:t>
      </w:r>
      <w:r w:rsidRPr="006B5BB1">
        <w:rPr>
          <w:rFonts w:ascii="Times New Roman" w:hAnsi="Times New Roman"/>
        </w:rPr>
        <w:t>".</w:t>
      </w:r>
    </w:p>
    <w:p w14:paraId="5E600241" w14:textId="5F4E18D2"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appellants also rely on what was said in the cases as to what followed where the defence was made out. In </w:t>
      </w:r>
      <w:r w:rsidRPr="006B5BB1">
        <w:rPr>
          <w:rFonts w:ascii="Times New Roman" w:hAnsi="Times New Roman"/>
          <w:i/>
        </w:rPr>
        <w:t>Emmens v Pottle</w:t>
      </w:r>
      <w:r w:rsidR="00F511D3" w:rsidRPr="006B5BB1">
        <w:rPr>
          <w:rStyle w:val="FootnoteReference"/>
          <w:rFonts w:ascii="Times New Roman" w:hAnsi="Times New Roman"/>
        </w:rPr>
        <w:footnoteReference w:id="51"/>
      </w:r>
      <w:r w:rsidRPr="006B5BB1">
        <w:rPr>
          <w:rFonts w:ascii="Times New Roman" w:hAnsi="Times New Roman"/>
        </w:rPr>
        <w:t xml:space="preserve">, Lord Esher said that if the </w:t>
      </w:r>
      <w:r w:rsidR="005408F2" w:rsidRPr="006B5BB1">
        <w:rPr>
          <w:rFonts w:ascii="Times New Roman" w:hAnsi="Times New Roman"/>
        </w:rPr>
        <w:t xml:space="preserve">defendants </w:t>
      </w:r>
      <w:r w:rsidRPr="006B5BB1">
        <w:rPr>
          <w:rFonts w:ascii="Times New Roman" w:hAnsi="Times New Roman"/>
        </w:rPr>
        <w:t xml:space="preserve">proved the necessary facts, namely lack of knowledge and </w:t>
      </w:r>
      <w:r w:rsidR="00567DB3" w:rsidRPr="006B5BB1">
        <w:rPr>
          <w:rFonts w:ascii="Times New Roman" w:hAnsi="Times New Roman"/>
        </w:rPr>
        <w:t xml:space="preserve">absence of </w:t>
      </w:r>
      <w:r w:rsidRPr="006B5BB1">
        <w:rPr>
          <w:rFonts w:ascii="Times New Roman" w:hAnsi="Times New Roman"/>
        </w:rPr>
        <w:t xml:space="preserve">negligence, a conclusion might be reached that the defendants "did not publish the libel". His </w:t>
      </w:r>
      <w:r w:rsidR="00567DB3" w:rsidRPr="006B5BB1">
        <w:rPr>
          <w:rFonts w:ascii="Times New Roman" w:hAnsi="Times New Roman"/>
        </w:rPr>
        <w:t xml:space="preserve">Lordship </w:t>
      </w:r>
      <w:r w:rsidRPr="006B5BB1">
        <w:rPr>
          <w:rFonts w:ascii="Times New Roman" w:hAnsi="Times New Roman"/>
        </w:rPr>
        <w:t xml:space="preserve">appears also to have distinguished the defendants as mere </w:t>
      </w:r>
      <w:r w:rsidRPr="006B5BB1">
        <w:rPr>
          <w:rFonts w:ascii="Times New Roman" w:hAnsi="Times New Roman"/>
        </w:rPr>
        <w:lastRenderedPageBreak/>
        <w:t xml:space="preserve">"disseminators" who were innocent, in contradistinction to </w:t>
      </w:r>
      <w:r w:rsidR="0018583A" w:rsidRPr="006B5BB1">
        <w:rPr>
          <w:rFonts w:ascii="Times New Roman" w:hAnsi="Times New Roman"/>
        </w:rPr>
        <w:t>author</w:t>
      </w:r>
      <w:r w:rsidR="00684090" w:rsidRPr="006B5BB1">
        <w:rPr>
          <w:rFonts w:ascii="Times New Roman" w:hAnsi="Times New Roman"/>
        </w:rPr>
        <w:t>s</w:t>
      </w:r>
      <w:r w:rsidR="0018583A" w:rsidRPr="006B5BB1">
        <w:rPr>
          <w:rFonts w:ascii="Times New Roman" w:hAnsi="Times New Roman"/>
        </w:rPr>
        <w:t xml:space="preserve"> or </w:t>
      </w:r>
      <w:r w:rsidR="00BE10A6" w:rsidRPr="006B5BB1">
        <w:rPr>
          <w:rFonts w:ascii="Times New Roman" w:hAnsi="Times New Roman"/>
        </w:rPr>
        <w:t xml:space="preserve">other </w:t>
      </w:r>
      <w:r w:rsidR="0018583A" w:rsidRPr="006B5BB1">
        <w:rPr>
          <w:rFonts w:ascii="Times New Roman" w:hAnsi="Times New Roman"/>
        </w:rPr>
        <w:t>primary</w:t>
      </w:r>
      <w:r w:rsidR="00C03525" w:rsidRPr="006B5BB1">
        <w:rPr>
          <w:rFonts w:ascii="Times New Roman" w:hAnsi="Times New Roman"/>
        </w:rPr>
        <w:t xml:space="preserve"> </w:t>
      </w:r>
      <w:r w:rsidRPr="006B5BB1">
        <w:rPr>
          <w:rFonts w:ascii="Times New Roman" w:hAnsi="Times New Roman"/>
        </w:rPr>
        <w:t>publishers.</w:t>
      </w:r>
    </w:p>
    <w:p w14:paraId="24436217" w14:textId="618A649B"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In </w:t>
      </w:r>
      <w:r w:rsidRPr="006B5BB1">
        <w:rPr>
          <w:rFonts w:ascii="Times New Roman" w:hAnsi="Times New Roman"/>
          <w:i/>
        </w:rPr>
        <w:t>Vizetelly</w:t>
      </w:r>
      <w:r w:rsidR="00F511D3" w:rsidRPr="006B5BB1">
        <w:rPr>
          <w:rStyle w:val="FootnoteReference"/>
          <w:rFonts w:ascii="Times New Roman" w:hAnsi="Times New Roman"/>
        </w:rPr>
        <w:footnoteReference w:id="52"/>
      </w:r>
      <w:r w:rsidRPr="006B5BB1">
        <w:rPr>
          <w:rFonts w:ascii="Times New Roman" w:hAnsi="Times New Roman"/>
        </w:rPr>
        <w:t>, Romer LJ did not suggest that the defence resulted in there being no publication in fact or law. His Lordship said that on proof of no knowledge and negligence a defendant may "be held not to have published" the libel. This might suggest that the court would deem a defendant not to be a publisher and</w:t>
      </w:r>
      <w:r w:rsidR="009224AA" w:rsidRPr="006B5BB1">
        <w:rPr>
          <w:rFonts w:ascii="Times New Roman" w:hAnsi="Times New Roman"/>
        </w:rPr>
        <w:t>,</w:t>
      </w:r>
      <w:r w:rsidRPr="006B5BB1">
        <w:rPr>
          <w:rFonts w:ascii="Times New Roman" w:hAnsi="Times New Roman"/>
        </w:rPr>
        <w:t xml:space="preserve"> by that means</w:t>
      </w:r>
      <w:r w:rsidR="009224AA" w:rsidRPr="006B5BB1">
        <w:rPr>
          <w:rFonts w:ascii="Times New Roman" w:hAnsi="Times New Roman"/>
        </w:rPr>
        <w:t>,</w:t>
      </w:r>
      <w:r w:rsidRPr="006B5BB1">
        <w:rPr>
          <w:rFonts w:ascii="Times New Roman" w:hAnsi="Times New Roman"/>
        </w:rPr>
        <w:t xml:space="preserve"> absolve them from liability. Recent decisions in the courts of the United Kingdom appear to </w:t>
      </w:r>
      <w:r w:rsidR="0043758D" w:rsidRPr="006B5BB1">
        <w:rPr>
          <w:rFonts w:ascii="Times New Roman" w:hAnsi="Times New Roman"/>
        </w:rPr>
        <w:t xml:space="preserve">have </w:t>
      </w:r>
      <w:r w:rsidRPr="006B5BB1">
        <w:rPr>
          <w:rFonts w:ascii="Times New Roman" w:hAnsi="Times New Roman"/>
        </w:rPr>
        <w:t>proceed</w:t>
      </w:r>
      <w:r w:rsidR="0043758D" w:rsidRPr="006B5BB1">
        <w:rPr>
          <w:rFonts w:ascii="Times New Roman" w:hAnsi="Times New Roman"/>
        </w:rPr>
        <w:t>ed</w:t>
      </w:r>
      <w:r w:rsidRPr="006B5BB1">
        <w:rPr>
          <w:rFonts w:ascii="Times New Roman" w:hAnsi="Times New Roman"/>
        </w:rPr>
        <w:t xml:space="preserve"> on this basis</w:t>
      </w:r>
      <w:r w:rsidR="00F511D3" w:rsidRPr="006B5BB1">
        <w:rPr>
          <w:rStyle w:val="FootnoteReference"/>
          <w:rFonts w:ascii="Times New Roman" w:hAnsi="Times New Roman"/>
        </w:rPr>
        <w:footnoteReference w:id="53"/>
      </w:r>
      <w:r w:rsidRPr="006B5BB1">
        <w:rPr>
          <w:rFonts w:ascii="Times New Roman" w:hAnsi="Times New Roman"/>
        </w:rPr>
        <w:t>.</w:t>
      </w:r>
    </w:p>
    <w:p w14:paraId="4816C41A" w14:textId="538E9B6C"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It may be accepted that if a plea by a defendant of "no publication" were established</w:t>
      </w:r>
      <w:r w:rsidR="00F30D38" w:rsidRPr="006B5BB1">
        <w:rPr>
          <w:rFonts w:ascii="Times New Roman" w:hAnsi="Times New Roman"/>
        </w:rPr>
        <w:t>,</w:t>
      </w:r>
      <w:r w:rsidRPr="006B5BB1">
        <w:rPr>
          <w:rFonts w:ascii="Times New Roman" w:hAnsi="Times New Roman"/>
        </w:rPr>
        <w:t xml:space="preserve"> a plaintiff </w:t>
      </w:r>
      <w:r w:rsidR="0007018F" w:rsidRPr="006B5BB1">
        <w:rPr>
          <w:rFonts w:ascii="Times New Roman" w:hAnsi="Times New Roman"/>
        </w:rPr>
        <w:t xml:space="preserve">would </w:t>
      </w:r>
      <w:r w:rsidRPr="006B5BB1">
        <w:rPr>
          <w:rFonts w:ascii="Times New Roman" w:hAnsi="Times New Roman"/>
        </w:rPr>
        <w:t>fail to establish a cause of action</w:t>
      </w:r>
      <w:r w:rsidR="00F511D3" w:rsidRPr="006B5BB1">
        <w:rPr>
          <w:rStyle w:val="FootnoteReference"/>
          <w:rFonts w:ascii="Times New Roman" w:hAnsi="Times New Roman"/>
        </w:rPr>
        <w:footnoteReference w:id="54"/>
      </w:r>
      <w:r w:rsidRPr="006B5BB1">
        <w:rPr>
          <w:rFonts w:ascii="Times New Roman" w:hAnsi="Times New Roman"/>
        </w:rPr>
        <w:t>. However, in contending for the conclusion that there was no publication, the appellants do not rely upon the "defence" as explaining this result</w:t>
      </w:r>
      <w:r w:rsidR="00E552D7" w:rsidRPr="006B5BB1">
        <w:rPr>
          <w:rFonts w:ascii="Times New Roman" w:hAnsi="Times New Roman"/>
        </w:rPr>
        <w:t xml:space="preserve">. </w:t>
      </w:r>
      <w:r w:rsidRPr="006B5BB1">
        <w:rPr>
          <w:rFonts w:ascii="Times New Roman" w:hAnsi="Times New Roman"/>
        </w:rPr>
        <w:t>No mention of a "defence" was made in</w:t>
      </w:r>
      <w:r w:rsidR="00DE4C25" w:rsidRPr="006B5BB1">
        <w:rPr>
          <w:rFonts w:ascii="Times New Roman" w:hAnsi="Times New Roman"/>
        </w:rPr>
        <w:t xml:space="preserve"> the judgment</w:t>
      </w:r>
      <w:r w:rsidR="008533FD" w:rsidRPr="006B5BB1">
        <w:rPr>
          <w:rFonts w:ascii="Times New Roman" w:hAnsi="Times New Roman"/>
        </w:rPr>
        <w:t>s</w:t>
      </w:r>
      <w:r w:rsidR="00DE4C25" w:rsidRPr="006B5BB1">
        <w:rPr>
          <w:rFonts w:ascii="Times New Roman" w:hAnsi="Times New Roman"/>
        </w:rPr>
        <w:t xml:space="preserve"> </w:t>
      </w:r>
      <w:r w:rsidR="008533FD" w:rsidRPr="006B5BB1">
        <w:rPr>
          <w:rFonts w:ascii="Times New Roman" w:hAnsi="Times New Roman"/>
        </w:rPr>
        <w:t>in</w:t>
      </w:r>
      <w:r w:rsidRPr="006B5BB1">
        <w:rPr>
          <w:rFonts w:ascii="Times New Roman" w:hAnsi="Times New Roman"/>
        </w:rPr>
        <w:t xml:space="preserve"> </w:t>
      </w:r>
      <w:r w:rsidRPr="006B5BB1">
        <w:rPr>
          <w:rFonts w:ascii="Times New Roman" w:hAnsi="Times New Roman"/>
          <w:i/>
        </w:rPr>
        <w:t>Emmens v Pottle</w:t>
      </w:r>
      <w:r w:rsidRPr="006B5BB1">
        <w:rPr>
          <w:rFonts w:ascii="Times New Roman" w:hAnsi="Times New Roman"/>
        </w:rPr>
        <w:t>. The word has a number of meanings. It may simply mean the answer given to the plaintiff's claim, as the appellants point out. It is therefore unnecessary to consider historical questions of procedure further.</w:t>
      </w:r>
    </w:p>
    <w:p w14:paraId="2C6DF8AE" w14:textId="44CD2640"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appellants rely on the apparent acceptance by Dixon J in </w:t>
      </w:r>
      <w:r w:rsidRPr="006B5BB1">
        <w:rPr>
          <w:rFonts w:ascii="Times New Roman" w:hAnsi="Times New Roman"/>
          <w:i/>
        </w:rPr>
        <w:t>Lee v Wilson</w:t>
      </w:r>
      <w:r w:rsidR="00567DB3" w:rsidRPr="006B5BB1">
        <w:rPr>
          <w:rFonts w:ascii="Times New Roman" w:hAnsi="Times New Roman"/>
          <w:i/>
        </w:rPr>
        <w:t xml:space="preserve"> &amp; Mackinnon</w:t>
      </w:r>
      <w:r w:rsidR="00F511D3" w:rsidRPr="006B5BB1">
        <w:rPr>
          <w:rStyle w:val="FootnoteReference"/>
          <w:rFonts w:ascii="Times New Roman" w:hAnsi="Times New Roman"/>
        </w:rPr>
        <w:footnoteReference w:id="55"/>
      </w:r>
      <w:r w:rsidRPr="006B5BB1">
        <w:rPr>
          <w:rFonts w:ascii="Times New Roman" w:hAnsi="Times New Roman"/>
        </w:rPr>
        <w:t xml:space="preserve"> that the result of </w:t>
      </w:r>
      <w:r w:rsidR="00403EA4" w:rsidRPr="006B5BB1">
        <w:rPr>
          <w:rFonts w:ascii="Times New Roman" w:hAnsi="Times New Roman"/>
        </w:rPr>
        <w:t xml:space="preserve">establishing </w:t>
      </w:r>
      <w:r w:rsidRPr="006B5BB1">
        <w:rPr>
          <w:rFonts w:ascii="Times New Roman" w:hAnsi="Times New Roman"/>
        </w:rPr>
        <w:t xml:space="preserve">the defence is that there is no publication. His Honour did not refer to </w:t>
      </w:r>
      <w:r w:rsidRPr="006B5BB1">
        <w:rPr>
          <w:rFonts w:ascii="Times New Roman" w:hAnsi="Times New Roman"/>
          <w:i/>
        </w:rPr>
        <w:t>Emmens v Pottle</w:t>
      </w:r>
      <w:r w:rsidRPr="006B5BB1">
        <w:rPr>
          <w:rFonts w:ascii="Times New Roman" w:hAnsi="Times New Roman"/>
        </w:rPr>
        <w:t xml:space="preserve"> or to </w:t>
      </w:r>
      <w:r w:rsidRPr="006B5BB1">
        <w:rPr>
          <w:rFonts w:ascii="Times New Roman" w:hAnsi="Times New Roman"/>
          <w:i/>
        </w:rPr>
        <w:t>Vizetelly</w:t>
      </w:r>
      <w:r w:rsidRPr="006B5BB1">
        <w:rPr>
          <w:rFonts w:ascii="Times New Roman" w:hAnsi="Times New Roman"/>
        </w:rPr>
        <w:t>, but was no doubt conscious of them. He said that in cases involving booksellers, news vendors and the like</w:t>
      </w:r>
      <w:r w:rsidR="00E57C67" w:rsidRPr="006B5BB1">
        <w:rPr>
          <w:rFonts w:ascii="Times New Roman" w:hAnsi="Times New Roman"/>
        </w:rPr>
        <w:t>,</w:t>
      </w:r>
      <w:r w:rsidRPr="006B5BB1">
        <w:rPr>
          <w:rFonts w:ascii="Times New Roman" w:hAnsi="Times New Roman"/>
        </w:rPr>
        <w:t xml:space="preserve"> </w:t>
      </w:r>
      <w:r w:rsidR="005D25B5" w:rsidRPr="006B5BB1">
        <w:rPr>
          <w:rFonts w:ascii="Times New Roman" w:hAnsi="Times New Roman"/>
        </w:rPr>
        <w:t>who</w:t>
      </w:r>
      <w:r w:rsidR="00057327" w:rsidRPr="006B5BB1">
        <w:rPr>
          <w:rFonts w:ascii="Times New Roman" w:hAnsi="Times New Roman"/>
        </w:rPr>
        <w:t xml:space="preserve"> neither know nor suspect the defamatory content</w:t>
      </w:r>
      <w:r w:rsidR="00E57C67" w:rsidRPr="006B5BB1">
        <w:rPr>
          <w:rFonts w:ascii="Times New Roman" w:hAnsi="Times New Roman"/>
        </w:rPr>
        <w:t>,</w:t>
      </w:r>
      <w:r w:rsidR="00057327" w:rsidRPr="006B5BB1">
        <w:rPr>
          <w:rFonts w:ascii="Times New Roman" w:hAnsi="Times New Roman"/>
        </w:rPr>
        <w:t xml:space="preserve"> </w:t>
      </w:r>
      <w:r w:rsidRPr="006B5BB1">
        <w:rPr>
          <w:rFonts w:ascii="Times New Roman" w:hAnsi="Times New Roman"/>
        </w:rPr>
        <w:t xml:space="preserve">what would otherwise be publication "does not amount to publication of a libel". It must be accepted that his Honour repeated what had been said in the early cases. It is also necessary to observe that there was no issue in </w:t>
      </w:r>
      <w:r w:rsidRPr="006B5BB1">
        <w:rPr>
          <w:rFonts w:ascii="Times New Roman" w:hAnsi="Times New Roman"/>
          <w:i/>
        </w:rPr>
        <w:t>Lee v Wilson</w:t>
      </w:r>
      <w:r w:rsidR="00567DB3" w:rsidRPr="006B5BB1">
        <w:rPr>
          <w:rFonts w:ascii="Times New Roman" w:hAnsi="Times New Roman"/>
          <w:i/>
        </w:rPr>
        <w:t xml:space="preserve"> &amp; Mackinnon</w:t>
      </w:r>
      <w:r w:rsidRPr="006B5BB1">
        <w:rPr>
          <w:rFonts w:ascii="Times New Roman" w:hAnsi="Times New Roman"/>
          <w:i/>
        </w:rPr>
        <w:t xml:space="preserve"> </w:t>
      </w:r>
      <w:r w:rsidRPr="006B5BB1">
        <w:rPr>
          <w:rFonts w:ascii="Times New Roman" w:hAnsi="Times New Roman"/>
        </w:rPr>
        <w:t>as to the correctness of the statements in the early cases.</w:t>
      </w:r>
    </w:p>
    <w:p w14:paraId="11E9FFE2" w14:textId="061BEB53"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appellants also point to the repetition of Dixon J's words in </w:t>
      </w:r>
      <w:r w:rsidR="00A35546" w:rsidRPr="006B5BB1">
        <w:rPr>
          <w:rFonts w:ascii="Times New Roman" w:hAnsi="Times New Roman"/>
        </w:rPr>
        <w:t xml:space="preserve">a passage in </w:t>
      </w:r>
      <w:r w:rsidRPr="006B5BB1">
        <w:rPr>
          <w:rFonts w:ascii="Times New Roman" w:hAnsi="Times New Roman"/>
        </w:rPr>
        <w:t xml:space="preserve">the joint judgment in </w:t>
      </w:r>
      <w:r w:rsidRPr="006B5BB1">
        <w:rPr>
          <w:rFonts w:ascii="Times New Roman" w:hAnsi="Times New Roman"/>
          <w:i/>
        </w:rPr>
        <w:t>Dow Jones</w:t>
      </w:r>
      <w:r w:rsidR="00567DB3" w:rsidRPr="006B5BB1">
        <w:rPr>
          <w:rFonts w:ascii="Times New Roman" w:hAnsi="Times New Roman"/>
          <w:i/>
        </w:rPr>
        <w:t xml:space="preserve"> &amp; Co Inc</w:t>
      </w:r>
      <w:r w:rsidRPr="006B5BB1">
        <w:rPr>
          <w:rFonts w:ascii="Times New Roman" w:hAnsi="Times New Roman"/>
          <w:i/>
        </w:rPr>
        <w:t xml:space="preserve"> v Gutnick</w:t>
      </w:r>
      <w:r w:rsidR="00F511D3" w:rsidRPr="006B5BB1">
        <w:rPr>
          <w:rStyle w:val="FootnoteReference"/>
          <w:rFonts w:ascii="Times New Roman" w:hAnsi="Times New Roman"/>
        </w:rPr>
        <w:footnoteReference w:id="56"/>
      </w:r>
      <w:r w:rsidRPr="006B5BB1">
        <w:rPr>
          <w:rFonts w:ascii="Times New Roman" w:hAnsi="Times New Roman"/>
        </w:rPr>
        <w:t xml:space="preserve">. It needs to be borne in </w:t>
      </w:r>
      <w:r w:rsidRPr="006B5BB1">
        <w:rPr>
          <w:rFonts w:ascii="Times New Roman" w:hAnsi="Times New Roman"/>
        </w:rPr>
        <w:lastRenderedPageBreak/>
        <w:t xml:space="preserve">mind that that case involved choice of law considerations referable to the act of publication of a defamation. Their Honours stated in general terms how the tort of defamation is understood in Australia to make the point that a defendant needs to be able to identify by what law publication may be judged. Their Honours were not concerned with whether the effect of the defence of innocent dissemination might be stated more accurately. And their Honours did not refer </w:t>
      </w:r>
      <w:r w:rsidR="00185303" w:rsidRPr="006B5BB1">
        <w:rPr>
          <w:rFonts w:ascii="Times New Roman" w:hAnsi="Times New Roman"/>
        </w:rPr>
        <w:t xml:space="preserve">in that </w:t>
      </w:r>
      <w:r w:rsidR="00D465A6" w:rsidRPr="006B5BB1">
        <w:rPr>
          <w:rFonts w:ascii="Times New Roman" w:hAnsi="Times New Roman"/>
        </w:rPr>
        <w:t xml:space="preserve">passage </w:t>
      </w:r>
      <w:r w:rsidRPr="006B5BB1">
        <w:rPr>
          <w:rFonts w:ascii="Times New Roman" w:hAnsi="Times New Roman"/>
        </w:rPr>
        <w:t xml:space="preserve">to the earlier decision of this Court in </w:t>
      </w:r>
      <w:r w:rsidRPr="006B5BB1">
        <w:rPr>
          <w:rFonts w:ascii="Times New Roman" w:hAnsi="Times New Roman"/>
          <w:i/>
        </w:rPr>
        <w:t>Thompson</w:t>
      </w:r>
      <w:r w:rsidR="00F511D3" w:rsidRPr="006B5BB1">
        <w:rPr>
          <w:rStyle w:val="FootnoteReference"/>
          <w:rFonts w:ascii="Times New Roman" w:hAnsi="Times New Roman"/>
        </w:rPr>
        <w:footnoteReference w:id="57"/>
      </w:r>
      <w:r w:rsidRPr="006B5BB1">
        <w:rPr>
          <w:rFonts w:ascii="Times New Roman" w:hAnsi="Times New Roman"/>
        </w:rPr>
        <w:t>.</w:t>
      </w:r>
    </w:p>
    <w:p w14:paraId="590A3E51" w14:textId="3F405217"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In </w:t>
      </w:r>
      <w:r w:rsidRPr="006B5BB1">
        <w:rPr>
          <w:rFonts w:ascii="Times New Roman" w:hAnsi="Times New Roman"/>
          <w:i/>
        </w:rPr>
        <w:t>Thompson</w:t>
      </w:r>
      <w:r w:rsidR="00F511D3" w:rsidRPr="006B5BB1">
        <w:rPr>
          <w:rStyle w:val="FootnoteReference"/>
          <w:rFonts w:ascii="Times New Roman" w:hAnsi="Times New Roman"/>
        </w:rPr>
        <w:footnoteReference w:id="58"/>
      </w:r>
      <w:r w:rsidRPr="006B5BB1">
        <w:rPr>
          <w:rFonts w:ascii="Times New Roman" w:hAnsi="Times New Roman"/>
        </w:rPr>
        <w:t xml:space="preserve">, Brennan CJ, Dawson and Toohey JJ observed that the plea of "never published" has introduced a "measure of confusion". Their Honours then referred, with apparent approval, to what the authors of </w:t>
      </w:r>
      <w:r w:rsidRPr="006B5BB1">
        <w:rPr>
          <w:rFonts w:ascii="Times New Roman" w:hAnsi="Times New Roman"/>
          <w:i/>
          <w:iCs/>
        </w:rPr>
        <w:t xml:space="preserve">Duncan </w:t>
      </w:r>
      <w:r w:rsidR="00567DB3" w:rsidRPr="006B5BB1">
        <w:rPr>
          <w:rFonts w:ascii="Times New Roman" w:hAnsi="Times New Roman"/>
          <w:i/>
          <w:iCs/>
        </w:rPr>
        <w:t xml:space="preserve">and </w:t>
      </w:r>
      <w:r w:rsidRPr="006B5BB1">
        <w:rPr>
          <w:rFonts w:ascii="Times New Roman" w:hAnsi="Times New Roman"/>
          <w:i/>
          <w:iCs/>
        </w:rPr>
        <w:t>Neill on Defamation</w:t>
      </w:r>
      <w:r w:rsidRPr="006B5BB1">
        <w:rPr>
          <w:rFonts w:ascii="Times New Roman" w:hAnsi="Times New Roman"/>
        </w:rPr>
        <w:t xml:space="preserve"> had said</w:t>
      </w:r>
      <w:r w:rsidR="00F511D3" w:rsidRPr="006B5BB1">
        <w:rPr>
          <w:rStyle w:val="FootnoteReference"/>
          <w:rFonts w:ascii="Times New Roman" w:hAnsi="Times New Roman"/>
        </w:rPr>
        <w:footnoteReference w:id="59"/>
      </w:r>
      <w:r w:rsidRPr="006B5BB1">
        <w:rPr>
          <w:rFonts w:ascii="Times New Roman" w:hAnsi="Times New Roman"/>
        </w:rPr>
        <w:t>:</w:t>
      </w:r>
    </w:p>
    <w:p w14:paraId="5FC51DDF" w14:textId="77777777" w:rsidR="006B5BB1" w:rsidRDefault="00FF71AE" w:rsidP="006B5BB1">
      <w:pPr>
        <w:pStyle w:val="leftright"/>
        <w:spacing w:before="0" w:after="260" w:line="280" w:lineRule="exact"/>
        <w:ind w:right="0"/>
        <w:jc w:val="both"/>
        <w:rPr>
          <w:rFonts w:ascii="Times New Roman" w:hAnsi="Times New Roman"/>
        </w:rPr>
      </w:pPr>
      <w:r w:rsidRPr="006B5BB1">
        <w:rPr>
          <w:rFonts w:ascii="Times New Roman" w:hAnsi="Times New Roman"/>
        </w:rPr>
        <w:t xml:space="preserve">"It is submitted that it would be more accurate to say that any disseminator of a libel publishes the libel but, if he can establish the defence of innocent dissemination, he will not be responsible for </w:t>
      </w:r>
      <w:r w:rsidR="004970BE" w:rsidRPr="006B5BB1">
        <w:rPr>
          <w:rFonts w:ascii="Times New Roman" w:hAnsi="Times New Roman"/>
        </w:rPr>
        <w:t>that publication</w:t>
      </w:r>
      <w:r w:rsidRPr="006B5BB1">
        <w:rPr>
          <w:rFonts w:ascii="Times New Roman" w:hAnsi="Times New Roman"/>
        </w:rPr>
        <w:t>."</w:t>
      </w:r>
    </w:p>
    <w:p w14:paraId="7F309CEC" w14:textId="13989627"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Gummow J</w:t>
      </w:r>
      <w:r w:rsidR="00F511D3" w:rsidRPr="006B5BB1">
        <w:rPr>
          <w:rStyle w:val="FootnoteReference"/>
          <w:rFonts w:ascii="Times New Roman" w:hAnsi="Times New Roman"/>
        </w:rPr>
        <w:footnoteReference w:id="60"/>
      </w:r>
      <w:r w:rsidRPr="006B5BB1">
        <w:rPr>
          <w:rFonts w:ascii="Times New Roman" w:hAnsi="Times New Roman"/>
        </w:rPr>
        <w:t>, dealing with what his Honour described as the "so</w:t>
      </w:r>
      <w:r w:rsidRPr="006B5BB1">
        <w:rPr>
          <w:rFonts w:ascii="Times New Roman" w:hAnsi="Times New Roman"/>
        </w:rPr>
        <w:noBreakHyphen/>
        <w:t>called" defence</w:t>
      </w:r>
      <w:r w:rsidR="002C2B67" w:rsidRPr="006B5BB1">
        <w:rPr>
          <w:rFonts w:ascii="Times New Roman" w:hAnsi="Times New Roman"/>
        </w:rPr>
        <w:t>,</w:t>
      </w:r>
      <w:r w:rsidRPr="006B5BB1">
        <w:rPr>
          <w:rFonts w:ascii="Times New Roman" w:hAnsi="Times New Roman"/>
        </w:rPr>
        <w:t xml:space="preserve"> approved the statement of Sir Frederick Pollock</w:t>
      </w:r>
      <w:r w:rsidR="00F511D3" w:rsidRPr="006B5BB1">
        <w:rPr>
          <w:rStyle w:val="FootnoteReference"/>
          <w:rFonts w:ascii="Times New Roman" w:hAnsi="Times New Roman"/>
        </w:rPr>
        <w:footnoteReference w:id="61"/>
      </w:r>
      <w:r w:rsidRPr="006B5BB1">
        <w:rPr>
          <w:rFonts w:ascii="Times New Roman" w:hAnsi="Times New Roman"/>
        </w:rPr>
        <w:t xml:space="preserve"> that a person "is free from liability if he proves his ignorance".</w:t>
      </w:r>
    </w:p>
    <w:p w14:paraId="0701055F" w14:textId="63844CFB"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views expressed </w:t>
      </w:r>
      <w:r w:rsidR="00BC5A0D" w:rsidRPr="006B5BB1">
        <w:rPr>
          <w:rFonts w:ascii="Times New Roman" w:hAnsi="Times New Roman"/>
        </w:rPr>
        <w:t xml:space="preserve">by their Honours </w:t>
      </w:r>
      <w:r w:rsidRPr="006B5BB1">
        <w:rPr>
          <w:rFonts w:ascii="Times New Roman" w:hAnsi="Times New Roman"/>
        </w:rPr>
        <w:t xml:space="preserve">should be accepted as the explanation of what a successful "defence" of innocent dissemination achieves. It is not that publication is to be taken not to have occurred. In providing for the defence, the courts are to be understood simply to except from liability a defendant who would otherwise have been liable as a publisher. Such an approach was followed by the Hong Kong Court of Final Appeal in </w:t>
      </w:r>
      <w:r w:rsidRPr="006B5BB1">
        <w:rPr>
          <w:rFonts w:ascii="Times New Roman" w:hAnsi="Times New Roman"/>
          <w:i/>
        </w:rPr>
        <w:t>Oriental Press</w:t>
      </w:r>
      <w:r w:rsidR="00F511D3" w:rsidRPr="006B5BB1">
        <w:rPr>
          <w:rStyle w:val="FootnoteReference"/>
          <w:rFonts w:ascii="Times New Roman" w:hAnsi="Times New Roman"/>
        </w:rPr>
        <w:footnoteReference w:id="62"/>
      </w:r>
      <w:r w:rsidRPr="006B5BB1">
        <w:rPr>
          <w:rFonts w:ascii="Times New Roman" w:hAnsi="Times New Roman"/>
        </w:rPr>
        <w:t xml:space="preserve">. It accords with the fact that the common law continues to apply the rule of publication for </w:t>
      </w:r>
      <w:r w:rsidRPr="006B5BB1">
        <w:rPr>
          <w:rFonts w:ascii="Times New Roman" w:hAnsi="Times New Roman"/>
        </w:rPr>
        <w:lastRenderedPageBreak/>
        <w:t>publishers</w:t>
      </w:r>
      <w:r w:rsidR="007D6313" w:rsidRPr="006B5BB1">
        <w:rPr>
          <w:rFonts w:ascii="Times New Roman" w:hAnsi="Times New Roman"/>
        </w:rPr>
        <w:t>,</w:t>
      </w:r>
      <w:r w:rsidRPr="006B5BB1">
        <w:rPr>
          <w:rFonts w:ascii="Times New Roman" w:hAnsi="Times New Roman"/>
        </w:rPr>
        <w:t xml:space="preserve"> other than innocent distributors or disseminators</w:t>
      </w:r>
      <w:r w:rsidR="007D6313" w:rsidRPr="006B5BB1">
        <w:rPr>
          <w:rFonts w:ascii="Times New Roman" w:hAnsi="Times New Roman"/>
        </w:rPr>
        <w:t>,</w:t>
      </w:r>
      <w:r w:rsidRPr="006B5BB1">
        <w:rPr>
          <w:rFonts w:ascii="Times New Roman" w:hAnsi="Times New Roman"/>
        </w:rPr>
        <w:t xml:space="preserve"> who </w:t>
      </w:r>
      <w:r w:rsidR="007D6313" w:rsidRPr="006B5BB1">
        <w:rPr>
          <w:rFonts w:ascii="Times New Roman" w:hAnsi="Times New Roman"/>
        </w:rPr>
        <w:t xml:space="preserve">are </w:t>
      </w:r>
      <w:r w:rsidRPr="006B5BB1">
        <w:rPr>
          <w:rFonts w:ascii="Times New Roman" w:hAnsi="Times New Roman"/>
        </w:rPr>
        <w:t>not primary publishers.</w:t>
      </w:r>
    </w:p>
    <w:p w14:paraId="3CCAD73E" w14:textId="77777777" w:rsidR="00F511D3" w:rsidRPr="006B5BB1" w:rsidRDefault="00F511D3" w:rsidP="006B5BB1">
      <w:pPr>
        <w:pStyle w:val="HeadingL1"/>
        <w:spacing w:after="260" w:line="280" w:lineRule="exact"/>
        <w:ind w:right="0"/>
        <w:jc w:val="both"/>
        <w:rPr>
          <w:rFonts w:ascii="Times New Roman" w:hAnsi="Times New Roman"/>
          <w:i/>
          <w:iCs/>
        </w:rPr>
      </w:pPr>
      <w:r w:rsidRPr="006B5BB1">
        <w:rPr>
          <w:rFonts w:ascii="Times New Roman" w:hAnsi="Times New Roman"/>
          <w:i/>
          <w:iCs/>
        </w:rPr>
        <w:t>Byrne v Deane</w:t>
      </w:r>
    </w:p>
    <w:p w14:paraId="6D4A0EB8" w14:textId="5C27076A"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The other line of cases upon which the appellants rely commence</w:t>
      </w:r>
      <w:r w:rsidR="0035291A" w:rsidRPr="006B5BB1">
        <w:rPr>
          <w:rFonts w:ascii="Times New Roman" w:hAnsi="Times New Roman"/>
        </w:rPr>
        <w:t>s</w:t>
      </w:r>
      <w:r w:rsidRPr="006B5BB1">
        <w:rPr>
          <w:rFonts w:ascii="Times New Roman" w:hAnsi="Times New Roman"/>
        </w:rPr>
        <w:t xml:space="preserve"> with </w:t>
      </w:r>
      <w:r w:rsidRPr="006B5BB1">
        <w:rPr>
          <w:rFonts w:ascii="Times New Roman" w:hAnsi="Times New Roman"/>
          <w:i/>
        </w:rPr>
        <w:t>Byrne v Deane</w:t>
      </w:r>
      <w:r w:rsidR="00F511D3" w:rsidRPr="006B5BB1">
        <w:rPr>
          <w:rStyle w:val="FootnoteReference"/>
          <w:rFonts w:ascii="Times New Roman" w:hAnsi="Times New Roman"/>
          <w:iCs/>
        </w:rPr>
        <w:footnoteReference w:id="63"/>
      </w:r>
      <w:r w:rsidRPr="006B5BB1">
        <w:rPr>
          <w:rFonts w:ascii="Times New Roman" w:hAnsi="Times New Roman"/>
          <w:iCs/>
        </w:rPr>
        <w:t>.</w:t>
      </w:r>
      <w:r w:rsidRPr="006B5BB1">
        <w:rPr>
          <w:rFonts w:ascii="Times New Roman" w:hAnsi="Times New Roman"/>
        </w:rPr>
        <w:t xml:space="preserve"> The appellants seek to draw from cases of this kind that an occupier may become liable as a publisher of a defamatory statement affixed to the</w:t>
      </w:r>
      <w:r w:rsidR="001E0806" w:rsidRPr="006B5BB1">
        <w:rPr>
          <w:rFonts w:ascii="Times New Roman" w:hAnsi="Times New Roman"/>
        </w:rPr>
        <w:t>ir</w:t>
      </w:r>
      <w:r w:rsidRPr="006B5BB1">
        <w:rPr>
          <w:rFonts w:ascii="Times New Roman" w:hAnsi="Times New Roman"/>
        </w:rPr>
        <w:t xml:space="preserve"> premises if it may be inferred that they intended the publication to continue. Such an inference may be drawn where an occupier has consented to, adopted or approved the continuance of the publication.</w:t>
      </w:r>
    </w:p>
    <w:p w14:paraId="4D23A4B3" w14:textId="109DC9CB"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Pr="006B5BB1">
        <w:rPr>
          <w:rFonts w:ascii="Times New Roman" w:hAnsi="Times New Roman"/>
          <w:i/>
        </w:rPr>
        <w:t>Byrne v Deane</w:t>
      </w:r>
      <w:r w:rsidR="00F511D3" w:rsidRPr="006B5BB1">
        <w:rPr>
          <w:rStyle w:val="FootnoteReference"/>
          <w:rFonts w:ascii="Times New Roman" w:hAnsi="Times New Roman"/>
        </w:rPr>
        <w:footnoteReference w:id="64"/>
      </w:r>
      <w:r w:rsidRPr="006B5BB1">
        <w:rPr>
          <w:rFonts w:ascii="Times New Roman" w:hAnsi="Times New Roman"/>
        </w:rPr>
        <w:t xml:space="preserve"> concerned the placing of an alleged defamatory verse on the wall of a golf club. The rules of the club required the consent of the Secretary to the posting of any notice in the club premises. The words were held to be incapable of a defamatory meaning. Nevertheless</w:t>
      </w:r>
      <w:r w:rsidR="001E0806" w:rsidRPr="006B5BB1">
        <w:rPr>
          <w:rFonts w:ascii="Times New Roman" w:hAnsi="Times New Roman"/>
        </w:rPr>
        <w:t>,</w:t>
      </w:r>
      <w:r w:rsidRPr="006B5BB1">
        <w:rPr>
          <w:rFonts w:ascii="Times New Roman" w:hAnsi="Times New Roman"/>
        </w:rPr>
        <w:t xml:space="preserve"> some attention was directed by the Court of Appeal to the issue of publication.</w:t>
      </w:r>
    </w:p>
    <w:p w14:paraId="6B724A9B" w14:textId="431B94A2"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As Greene LJ pointed out</w:t>
      </w:r>
      <w:r w:rsidR="00F511D3" w:rsidRPr="006B5BB1">
        <w:rPr>
          <w:rStyle w:val="FootnoteReference"/>
          <w:rFonts w:ascii="Times New Roman" w:hAnsi="Times New Roman"/>
        </w:rPr>
        <w:footnoteReference w:id="65"/>
      </w:r>
      <w:r w:rsidRPr="006B5BB1">
        <w:rPr>
          <w:rFonts w:ascii="Times New Roman" w:hAnsi="Times New Roman"/>
        </w:rPr>
        <w:t xml:space="preserve">, publication is a question of fact which depends upon the circumstances of each case. A failure to remove defamatory material might amount to publication in some circumstances </w:t>
      </w:r>
      <w:r w:rsidR="00BC1EBE" w:rsidRPr="006B5BB1">
        <w:rPr>
          <w:rFonts w:ascii="Times New Roman" w:hAnsi="Times New Roman"/>
        </w:rPr>
        <w:t xml:space="preserve">but </w:t>
      </w:r>
      <w:r w:rsidRPr="006B5BB1">
        <w:rPr>
          <w:rFonts w:ascii="Times New Roman" w:hAnsi="Times New Roman"/>
        </w:rPr>
        <w:t>not in others. Sless</w:t>
      </w:r>
      <w:r w:rsidR="003553A4" w:rsidRPr="006B5BB1">
        <w:rPr>
          <w:rFonts w:ascii="Times New Roman" w:hAnsi="Times New Roman"/>
        </w:rPr>
        <w:t>e</w:t>
      </w:r>
      <w:r w:rsidRPr="006B5BB1">
        <w:rPr>
          <w:rFonts w:ascii="Times New Roman" w:hAnsi="Times New Roman"/>
        </w:rPr>
        <w:t>r LJ pointed to cases</w:t>
      </w:r>
      <w:r w:rsidR="00F511D3" w:rsidRPr="006B5BB1">
        <w:rPr>
          <w:rStyle w:val="FootnoteReference"/>
          <w:rFonts w:ascii="Times New Roman" w:hAnsi="Times New Roman"/>
        </w:rPr>
        <w:footnoteReference w:id="66"/>
      </w:r>
      <w:r w:rsidRPr="006B5BB1">
        <w:rPr>
          <w:rFonts w:ascii="Times New Roman" w:hAnsi="Times New Roman"/>
        </w:rPr>
        <w:t xml:space="preserve"> where persons who had taken no overt part in the publication of defamatory matter nevertheless adopt</w:t>
      </w:r>
      <w:r w:rsidR="00C56FB0" w:rsidRPr="006B5BB1">
        <w:rPr>
          <w:rFonts w:ascii="Times New Roman" w:hAnsi="Times New Roman"/>
        </w:rPr>
        <w:t>ed</w:t>
      </w:r>
      <w:r w:rsidRPr="006B5BB1">
        <w:rPr>
          <w:rFonts w:ascii="Times New Roman" w:hAnsi="Times New Roman"/>
        </w:rPr>
        <w:t xml:space="preserve"> and promote</w:t>
      </w:r>
      <w:r w:rsidR="00C56FB0" w:rsidRPr="006B5BB1">
        <w:rPr>
          <w:rFonts w:ascii="Times New Roman" w:hAnsi="Times New Roman"/>
        </w:rPr>
        <w:t>d</w:t>
      </w:r>
      <w:r w:rsidRPr="006B5BB1">
        <w:rPr>
          <w:rFonts w:ascii="Times New Roman" w:hAnsi="Times New Roman"/>
        </w:rPr>
        <w:t xml:space="preserve"> its reading so as to render themselves liable for its publication.</w:t>
      </w:r>
    </w:p>
    <w:p w14:paraId="0258116A" w14:textId="75E48F52" w:rsidR="004971F0"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r>
      <w:r w:rsidR="00275AD3" w:rsidRPr="006B5BB1">
        <w:rPr>
          <w:rFonts w:ascii="Times New Roman" w:hAnsi="Times New Roman"/>
        </w:rPr>
        <w:t xml:space="preserve">Greer and </w:t>
      </w:r>
      <w:r w:rsidR="00C64D5F" w:rsidRPr="006B5BB1">
        <w:rPr>
          <w:rFonts w:ascii="Times New Roman" w:hAnsi="Times New Roman"/>
        </w:rPr>
        <w:t xml:space="preserve">Greene </w:t>
      </w:r>
      <w:r w:rsidR="00275AD3" w:rsidRPr="006B5BB1">
        <w:rPr>
          <w:rFonts w:ascii="Times New Roman" w:hAnsi="Times New Roman"/>
        </w:rPr>
        <w:t>L</w:t>
      </w:r>
      <w:r w:rsidR="003D1C18" w:rsidRPr="006B5BB1">
        <w:rPr>
          <w:rFonts w:ascii="Times New Roman" w:hAnsi="Times New Roman"/>
        </w:rPr>
        <w:t>J</w:t>
      </w:r>
      <w:r w:rsidR="00275AD3" w:rsidRPr="006B5BB1">
        <w:rPr>
          <w:rFonts w:ascii="Times New Roman" w:hAnsi="Times New Roman"/>
        </w:rPr>
        <w:t>J</w:t>
      </w:r>
      <w:r w:rsidR="00C64D5F" w:rsidRPr="006B5BB1">
        <w:rPr>
          <w:rFonts w:ascii="Times New Roman" w:hAnsi="Times New Roman"/>
        </w:rPr>
        <w:t xml:space="preserve"> considered that there was evidence which tended to show that t</w:t>
      </w:r>
      <w:r w:rsidR="009D32FE" w:rsidRPr="006B5BB1">
        <w:rPr>
          <w:rFonts w:ascii="Times New Roman" w:hAnsi="Times New Roman"/>
        </w:rPr>
        <w:t xml:space="preserve">he actions of both defendants, as directors of the golf club, fell into this latter category. By electing to leave the alleged libel on the wall of the club, having had the power to remove it, they were taken to have consented to </w:t>
      </w:r>
      <w:r w:rsidR="0019729C" w:rsidRPr="006B5BB1">
        <w:rPr>
          <w:rFonts w:ascii="Times New Roman" w:hAnsi="Times New Roman"/>
        </w:rPr>
        <w:t>its continued publication to each member who saw it</w:t>
      </w:r>
      <w:r w:rsidR="00F511D3" w:rsidRPr="006B5BB1">
        <w:rPr>
          <w:rStyle w:val="FootnoteReference"/>
          <w:rFonts w:ascii="Times New Roman" w:hAnsi="Times New Roman"/>
        </w:rPr>
        <w:footnoteReference w:id="67"/>
      </w:r>
      <w:r w:rsidR="0019729C" w:rsidRPr="006B5BB1">
        <w:rPr>
          <w:rFonts w:ascii="Times New Roman" w:hAnsi="Times New Roman"/>
        </w:rPr>
        <w:t xml:space="preserve">. Slesser LJ on the other hand considered that the evidence only tended to show that the </w:t>
      </w:r>
      <w:r w:rsidR="00606007" w:rsidRPr="006B5BB1">
        <w:rPr>
          <w:rFonts w:ascii="Times New Roman" w:hAnsi="Times New Roman"/>
        </w:rPr>
        <w:t>Secretary</w:t>
      </w:r>
      <w:r w:rsidR="0019729C" w:rsidRPr="006B5BB1">
        <w:rPr>
          <w:rFonts w:ascii="Times New Roman" w:hAnsi="Times New Roman"/>
        </w:rPr>
        <w:t xml:space="preserve">, by failing to exercise her </w:t>
      </w:r>
      <w:r w:rsidR="0019729C" w:rsidRPr="006B5BB1">
        <w:rPr>
          <w:rFonts w:ascii="Times New Roman" w:hAnsi="Times New Roman"/>
        </w:rPr>
        <w:lastRenderedPageBreak/>
        <w:t xml:space="preserve">specific powers under the </w:t>
      </w:r>
      <w:r w:rsidR="001B7997" w:rsidRPr="006B5BB1">
        <w:rPr>
          <w:rFonts w:ascii="Times New Roman" w:hAnsi="Times New Roman"/>
        </w:rPr>
        <w:t xml:space="preserve">club rules, had promoted and associated herself </w:t>
      </w:r>
      <w:r w:rsidR="004971F0" w:rsidRPr="006B5BB1">
        <w:rPr>
          <w:rFonts w:ascii="Times New Roman" w:hAnsi="Times New Roman"/>
        </w:rPr>
        <w:t>with the continuance of the publication</w:t>
      </w:r>
      <w:r w:rsidR="00F511D3" w:rsidRPr="006B5BB1">
        <w:rPr>
          <w:rStyle w:val="FootnoteReference"/>
          <w:rFonts w:ascii="Times New Roman" w:hAnsi="Times New Roman"/>
        </w:rPr>
        <w:footnoteReference w:id="68"/>
      </w:r>
      <w:r w:rsidR="004971F0" w:rsidRPr="006B5BB1">
        <w:rPr>
          <w:rFonts w:ascii="Times New Roman" w:hAnsi="Times New Roman"/>
        </w:rPr>
        <w:t xml:space="preserve">. </w:t>
      </w:r>
    </w:p>
    <w:p w14:paraId="47D126F7" w14:textId="47573A8C"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Cases such as </w:t>
      </w:r>
      <w:r w:rsidRPr="006B5BB1">
        <w:rPr>
          <w:rFonts w:ascii="Times New Roman" w:hAnsi="Times New Roman"/>
          <w:i/>
        </w:rPr>
        <w:t>Byrne v Deane</w:t>
      </w:r>
      <w:r w:rsidR="00F511D3" w:rsidRPr="006B5BB1">
        <w:rPr>
          <w:rStyle w:val="FootnoteReference"/>
          <w:rFonts w:ascii="Times New Roman" w:hAnsi="Times New Roman"/>
        </w:rPr>
        <w:footnoteReference w:id="69"/>
      </w:r>
      <w:r w:rsidRPr="006B5BB1">
        <w:rPr>
          <w:rFonts w:ascii="Times New Roman" w:hAnsi="Times New Roman"/>
        </w:rPr>
        <w:t xml:space="preserve"> do not establish a different rule for publication, one based upon the intention of occupiers</w:t>
      </w:r>
      <w:r w:rsidR="004D4C30" w:rsidRPr="006B5BB1">
        <w:rPr>
          <w:rFonts w:ascii="Times New Roman" w:hAnsi="Times New Roman"/>
        </w:rPr>
        <w:t>,</w:t>
      </w:r>
      <w:r w:rsidRPr="006B5BB1">
        <w:rPr>
          <w:rFonts w:ascii="Times New Roman" w:hAnsi="Times New Roman"/>
        </w:rPr>
        <w:t xml:space="preserve"> as the appellants contend. They involve the application of the general rule of publication to a particular set of circumstances where a person who has not participated in the primary act of publication may nevertheless become a publisher. The time when the occupier becomes aware of the publication of the material marks the point from which the occupier's conduct or inaction is assessed to determine whether they can be said to have participated in the continuing publication. Cases of this kind are not useful to explain the involvement of others in publications in very different circumstances</w:t>
      </w:r>
      <w:r w:rsidR="00F511D3" w:rsidRPr="006B5BB1">
        <w:rPr>
          <w:rStyle w:val="FootnoteReference"/>
          <w:rFonts w:ascii="Times New Roman" w:hAnsi="Times New Roman"/>
        </w:rPr>
        <w:footnoteReference w:id="70"/>
      </w:r>
      <w:r w:rsidRPr="006B5BB1">
        <w:rPr>
          <w:rFonts w:ascii="Times New Roman" w:hAnsi="Times New Roman"/>
        </w:rPr>
        <w:t xml:space="preserve"> and are not of assistance in this case.</w:t>
      </w:r>
    </w:p>
    <w:p w14:paraId="2F26DAD1" w14:textId="77777777" w:rsidR="00F511D3" w:rsidRPr="006B5BB1" w:rsidRDefault="00F511D3" w:rsidP="006B5BB1">
      <w:pPr>
        <w:pStyle w:val="HeadingL1"/>
        <w:spacing w:after="260" w:line="280" w:lineRule="exact"/>
        <w:ind w:right="0"/>
        <w:jc w:val="both"/>
        <w:rPr>
          <w:rFonts w:ascii="Times New Roman" w:hAnsi="Times New Roman"/>
        </w:rPr>
      </w:pPr>
      <w:r w:rsidRPr="006B5BB1">
        <w:rPr>
          <w:rFonts w:ascii="Times New Roman" w:hAnsi="Times New Roman"/>
        </w:rPr>
        <w:t>Conclusion and orders</w:t>
      </w:r>
    </w:p>
    <w:p w14:paraId="7697045D" w14:textId="422782D9" w:rsidR="00FF71AE" w:rsidRPr="006B5BB1"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 xml:space="preserve">The Court of Appeal was correct to hold that the acts of the appellants in facilitating, encouraging and </w:t>
      </w:r>
      <w:r w:rsidR="003F40D8" w:rsidRPr="006B5BB1">
        <w:rPr>
          <w:rFonts w:ascii="Times New Roman" w:hAnsi="Times New Roman"/>
        </w:rPr>
        <w:t xml:space="preserve">thereby </w:t>
      </w:r>
      <w:r w:rsidRPr="006B5BB1">
        <w:rPr>
          <w:rFonts w:ascii="Times New Roman" w:hAnsi="Times New Roman"/>
        </w:rPr>
        <w:t xml:space="preserve">assisting the </w:t>
      </w:r>
      <w:r w:rsidR="008F3854" w:rsidRPr="006B5BB1">
        <w:rPr>
          <w:rFonts w:ascii="Times New Roman" w:hAnsi="Times New Roman"/>
        </w:rPr>
        <w:t xml:space="preserve">posting of </w:t>
      </w:r>
      <w:r w:rsidR="00F01F85" w:rsidRPr="006B5BB1">
        <w:rPr>
          <w:rFonts w:ascii="Times New Roman" w:hAnsi="Times New Roman"/>
        </w:rPr>
        <w:t>comments by</w:t>
      </w:r>
      <w:r w:rsidRPr="006B5BB1">
        <w:rPr>
          <w:rFonts w:ascii="Times New Roman" w:hAnsi="Times New Roman"/>
        </w:rPr>
        <w:t xml:space="preserve"> the </w:t>
      </w:r>
      <w:r w:rsidR="00E17ED5" w:rsidRPr="006B5BB1">
        <w:rPr>
          <w:rFonts w:ascii="Times New Roman" w:hAnsi="Times New Roman"/>
        </w:rPr>
        <w:t>third-</w:t>
      </w:r>
      <w:r w:rsidRPr="006B5BB1">
        <w:rPr>
          <w:rFonts w:ascii="Times New Roman" w:hAnsi="Times New Roman"/>
        </w:rPr>
        <w:t>party Facebook users rendered them publishers</w:t>
      </w:r>
      <w:r w:rsidR="008F3854" w:rsidRPr="006B5BB1">
        <w:rPr>
          <w:rFonts w:ascii="Times New Roman" w:hAnsi="Times New Roman"/>
        </w:rPr>
        <w:t xml:space="preserve"> of those comments</w:t>
      </w:r>
      <w:r w:rsidRPr="006B5BB1">
        <w:rPr>
          <w:rFonts w:ascii="Times New Roman" w:hAnsi="Times New Roman"/>
        </w:rPr>
        <w:t>.</w:t>
      </w:r>
    </w:p>
    <w:p w14:paraId="1081AB8C" w14:textId="77777777" w:rsidR="009F562D" w:rsidRDefault="00FF71AE" w:rsidP="006B5BB1">
      <w:pPr>
        <w:pStyle w:val="FixListStyle"/>
        <w:spacing w:after="260" w:line="280" w:lineRule="exact"/>
        <w:ind w:right="0"/>
        <w:jc w:val="both"/>
        <w:rPr>
          <w:rFonts w:ascii="Times New Roman" w:hAnsi="Times New Roman"/>
        </w:rPr>
      </w:pPr>
      <w:r w:rsidRPr="006B5BB1">
        <w:rPr>
          <w:rFonts w:ascii="Times New Roman" w:hAnsi="Times New Roman"/>
        </w:rPr>
        <w:tab/>
        <w:t>The appeals should be dismissed with costs.</w:t>
      </w:r>
    </w:p>
    <w:p w14:paraId="6B3E1270" w14:textId="77777777" w:rsidR="009F562D" w:rsidRDefault="009F562D" w:rsidP="006B5BB1">
      <w:pPr>
        <w:pStyle w:val="FixListStyle"/>
        <w:spacing w:after="260" w:line="280" w:lineRule="exact"/>
        <w:ind w:right="0"/>
        <w:jc w:val="both"/>
        <w:rPr>
          <w:rFonts w:ascii="Times New Roman" w:hAnsi="Times New Roman"/>
        </w:rPr>
        <w:sectPr w:rsidR="009F562D" w:rsidSect="001D318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D83637A" w14:textId="77777777" w:rsidR="009F562D" w:rsidRPr="00B77657" w:rsidRDefault="009F562D" w:rsidP="009F562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77657">
        <w:rPr>
          <w:rFonts w:ascii="Times New Roman" w:hAnsi="Times New Roman"/>
        </w:rPr>
        <w:lastRenderedPageBreak/>
        <w:t xml:space="preserve">GAGELER AND GORDON JJ.   The law of defamation in Australia illustrates the observation of Gleeson CJ in </w:t>
      </w:r>
      <w:r w:rsidRPr="00B77657">
        <w:rPr>
          <w:rFonts w:ascii="Times New Roman" w:hAnsi="Times New Roman"/>
          <w:i/>
        </w:rPr>
        <w:t>Brodie v Singleton Shire Council</w:t>
      </w:r>
      <w:r w:rsidRPr="00B77657">
        <w:rPr>
          <w:rStyle w:val="FootnoteReference"/>
          <w:rFonts w:ascii="Times New Roman" w:hAnsi="Times New Roman"/>
        </w:rPr>
        <w:footnoteReference w:id="71"/>
      </w:r>
      <w:r w:rsidRPr="00B77657">
        <w:rPr>
          <w:rFonts w:ascii="Times New Roman" w:hAnsi="Times New Roman"/>
          <w:i/>
        </w:rPr>
        <w:t xml:space="preserve"> </w:t>
      </w:r>
      <w:r w:rsidRPr="00B77657">
        <w:rPr>
          <w:rFonts w:ascii="Times New Roman" w:hAnsi="Times New Roman"/>
        </w:rPr>
        <w:t>that:</w:t>
      </w:r>
    </w:p>
    <w:p w14:paraId="348C42BF" w14:textId="77777777" w:rsidR="009F562D" w:rsidRDefault="009F562D" w:rsidP="00B77657">
      <w:pPr>
        <w:pStyle w:val="leftright"/>
        <w:spacing w:before="0" w:after="260" w:line="280" w:lineRule="exact"/>
        <w:ind w:right="0"/>
        <w:jc w:val="both"/>
        <w:rPr>
          <w:rFonts w:ascii="Times New Roman" w:hAnsi="Times New Roman"/>
        </w:rPr>
      </w:pPr>
      <w:r w:rsidRPr="00B77657">
        <w:rPr>
          <w:rFonts w:ascii="Times New Roman" w:hAnsi="Times New Roman"/>
        </w:rPr>
        <w:t>"Legislation and the common law are not separate and independent sources of law; the one the concern of parliaments, and the other the concern of courts. They exist in a symbiotic relationship."</w:t>
      </w:r>
    </w:p>
    <w:p w14:paraId="03E963F2" w14:textId="77777777" w:rsidR="009F562D" w:rsidRPr="00B77657" w:rsidRDefault="009F562D" w:rsidP="00B77657">
      <w:pPr>
        <w:pStyle w:val="NormalBody"/>
        <w:spacing w:after="260" w:line="280" w:lineRule="exact"/>
        <w:ind w:right="0"/>
        <w:jc w:val="both"/>
        <w:rPr>
          <w:rFonts w:ascii="Times New Roman" w:hAnsi="Times New Roman"/>
        </w:rPr>
      </w:pPr>
      <w:r w:rsidRPr="00B77657">
        <w:rPr>
          <w:rFonts w:ascii="Times New Roman" w:hAnsi="Times New Roman"/>
        </w:rPr>
        <w:t xml:space="preserve">The two sources of law have been intertwined since the </w:t>
      </w:r>
      <w:r w:rsidRPr="00B77657">
        <w:rPr>
          <w:rFonts w:ascii="Times New Roman" w:hAnsi="Times New Roman"/>
          <w:i/>
        </w:rPr>
        <w:t>Slander and Libel Act 1847</w:t>
      </w:r>
      <w:r w:rsidRPr="00B77657">
        <w:rPr>
          <w:rFonts w:ascii="Times New Roman" w:hAnsi="Times New Roman"/>
        </w:rPr>
        <w:t xml:space="preserve"> (NSW) first abolished the common law distinction between libel and slander in New South Wales. They became more intertwined with the enactment of the </w:t>
      </w:r>
      <w:r w:rsidRPr="00B77657">
        <w:rPr>
          <w:rFonts w:ascii="Times New Roman" w:hAnsi="Times New Roman"/>
          <w:i/>
        </w:rPr>
        <w:t>Defamation Act 2005</w:t>
      </w:r>
      <w:r w:rsidRPr="00B77657">
        <w:rPr>
          <w:rFonts w:ascii="Times New Roman" w:hAnsi="Times New Roman"/>
        </w:rPr>
        <w:t xml:space="preserve"> (NSW) and legislation in substantially identical form in each other State and Territory</w:t>
      </w:r>
      <w:r w:rsidRPr="00B77657">
        <w:rPr>
          <w:rStyle w:val="FootnoteReference"/>
          <w:rFonts w:ascii="Times New Roman" w:hAnsi="Times New Roman"/>
        </w:rPr>
        <w:footnoteReference w:id="72"/>
      </w:r>
      <w:r w:rsidRPr="00B77657">
        <w:rPr>
          <w:rFonts w:ascii="Times New Roman" w:hAnsi="Times New Roman"/>
        </w:rPr>
        <w:t>. That nationally uniform legislation is expressed "not [to] affect the operation of the general law in relation to the tort of defamation except to the extent that [it] provides otherwise"</w:t>
      </w:r>
      <w:r w:rsidRPr="00B77657">
        <w:rPr>
          <w:rStyle w:val="FootnoteReference"/>
          <w:rFonts w:ascii="Times New Roman" w:hAnsi="Times New Roman"/>
        </w:rPr>
        <w:footnoteReference w:id="73"/>
      </w:r>
      <w:r w:rsidRPr="00B77657">
        <w:rPr>
          <w:rFonts w:ascii="Times New Roman" w:hAnsi="Times New Roman"/>
        </w:rPr>
        <w:t xml:space="preserve"> and to have as an object "to promote uniform laws of defamation in Australia"</w:t>
      </w:r>
      <w:r w:rsidRPr="00B77657">
        <w:rPr>
          <w:rStyle w:val="FootnoteReference"/>
          <w:rFonts w:ascii="Times New Roman" w:hAnsi="Times New Roman"/>
        </w:rPr>
        <w:footnoteReference w:id="74"/>
      </w:r>
      <w:r w:rsidRPr="00B77657">
        <w:rPr>
          <w:rFonts w:ascii="Times New Roman" w:hAnsi="Times New Roman"/>
        </w:rPr>
        <w:t>. A task of the integrated Australian judiciary is to ensure that the nationally uniform statute law of defamation and the nationally uniform common law of defamation fit into a "coherent and interlocking whole"</w:t>
      </w:r>
      <w:r w:rsidRPr="00B77657">
        <w:rPr>
          <w:rStyle w:val="FootnoteReference"/>
          <w:rFonts w:ascii="Times New Roman" w:hAnsi="Times New Roman"/>
        </w:rPr>
        <w:footnoteReference w:id="75"/>
      </w:r>
      <w:r w:rsidRPr="00B77657">
        <w:rPr>
          <w:rFonts w:ascii="Times New Roman" w:hAnsi="Times New Roman"/>
        </w:rPr>
        <w:t xml:space="preserve">. </w:t>
      </w:r>
    </w:p>
    <w:p w14:paraId="2BABE420"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Subject to a range of potentially applicable statutory and common law defences, the tort of defamation is committed in Australia upon "the publication of defamatory matter of any kind"</w:t>
      </w:r>
      <w:r w:rsidRPr="00B77657">
        <w:rPr>
          <w:rStyle w:val="FootnoteReference"/>
          <w:rFonts w:ascii="Times New Roman" w:hAnsi="Times New Roman"/>
        </w:rPr>
        <w:footnoteReference w:id="76"/>
      </w:r>
      <w:r w:rsidRPr="00B77657">
        <w:rPr>
          <w:rFonts w:ascii="Times New Roman" w:hAnsi="Times New Roman"/>
        </w:rPr>
        <w:t xml:space="preserve">. "Matter" is legislatively defined to include "a program, report, advertisement or other thing communicated by means of </w:t>
      </w:r>
      <w:r w:rsidRPr="00B77657">
        <w:rPr>
          <w:rFonts w:ascii="Times New Roman" w:hAnsi="Times New Roman"/>
        </w:rPr>
        <w:lastRenderedPageBreak/>
        <w:t>television, radio, the Internet or any other form of electronic communication"</w:t>
      </w:r>
      <w:r w:rsidRPr="00B77657">
        <w:rPr>
          <w:rStyle w:val="FootnoteReference"/>
          <w:rFonts w:ascii="Times New Roman" w:hAnsi="Times New Roman"/>
        </w:rPr>
        <w:footnoteReference w:id="77"/>
      </w:r>
      <w:r w:rsidRPr="00B77657">
        <w:rPr>
          <w:rFonts w:ascii="Times New Roman" w:hAnsi="Times New Roman"/>
        </w:rPr>
        <w:t>. "Publication" is left to have its meaning at common law.</w:t>
      </w:r>
    </w:p>
    <w:p w14:paraId="7C5B75B7"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We agree with Kiefel CJ, Keane and Gleeson JJ that the Court of Appeal of the Supreme Court of New South Wales (Basten and Meagher JJA and Simpson</w:t>
      </w:r>
      <w:r>
        <w:rPr>
          <w:rFonts w:ascii="Times New Roman" w:hAnsi="Times New Roman"/>
        </w:rPr>
        <w:t> </w:t>
      </w:r>
      <w:r w:rsidRPr="00B77657">
        <w:rPr>
          <w:rFonts w:ascii="Times New Roman" w:hAnsi="Times New Roman"/>
        </w:rPr>
        <w:t>A</w:t>
      </w:r>
      <w:r>
        <w:rPr>
          <w:rFonts w:ascii="Times New Roman" w:hAnsi="Times New Roman"/>
        </w:rPr>
        <w:noBreakHyphen/>
      </w:r>
      <w:r w:rsidRPr="00B77657">
        <w:rPr>
          <w:rFonts w:ascii="Times New Roman" w:hAnsi="Times New Roman"/>
        </w:rPr>
        <w:t>JA)</w:t>
      </w:r>
      <w:r w:rsidRPr="00B77657">
        <w:rPr>
          <w:rStyle w:val="FootnoteReference"/>
          <w:rFonts w:ascii="Times New Roman" w:hAnsi="Times New Roman"/>
        </w:rPr>
        <w:footnoteReference w:id="78"/>
      </w:r>
      <w:r w:rsidRPr="00B77657">
        <w:rPr>
          <w:rFonts w:ascii="Times New Roman" w:hAnsi="Times New Roman"/>
        </w:rPr>
        <w:t xml:space="preserve"> properly concluded that the primary judge (Rothman J)</w:t>
      </w:r>
      <w:r w:rsidRPr="00B77657">
        <w:rPr>
          <w:rStyle w:val="FootnoteReference"/>
          <w:rFonts w:ascii="Times New Roman" w:hAnsi="Times New Roman"/>
        </w:rPr>
        <w:footnoteReference w:id="79"/>
      </w:r>
      <w:r w:rsidRPr="00B77657">
        <w:rPr>
          <w:rFonts w:ascii="Times New Roman" w:hAnsi="Times New Roman"/>
        </w:rPr>
        <w:t xml:space="preserve"> was right to answer questions reserved in defamation proceedings brought by the respondent to the effect that the appellant media companies were the publishers at common law of third-party comments posted on their public Facebook pages. To their Honours' reasons, we add the following observations.</w:t>
      </w:r>
    </w:p>
    <w:p w14:paraId="5BBFE25E" w14:textId="77777777" w:rsidR="009F562D" w:rsidRPr="00B77657" w:rsidRDefault="009F562D" w:rsidP="00B77657">
      <w:pPr>
        <w:pStyle w:val="HeadingL1"/>
        <w:spacing w:after="260" w:line="280" w:lineRule="exact"/>
        <w:ind w:right="0"/>
        <w:jc w:val="both"/>
        <w:rPr>
          <w:rFonts w:ascii="Times New Roman" w:hAnsi="Times New Roman"/>
        </w:rPr>
      </w:pPr>
      <w:r w:rsidRPr="00B77657">
        <w:rPr>
          <w:rFonts w:ascii="Times New Roman" w:hAnsi="Times New Roman"/>
        </w:rPr>
        <w:t>Publication and publishers at common law</w:t>
      </w:r>
    </w:p>
    <w:p w14:paraId="6B5C17C6"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Put succinctly by Cardozo CJ</w:t>
      </w:r>
      <w:r w:rsidRPr="00B77657">
        <w:rPr>
          <w:rStyle w:val="FootnoteReference"/>
          <w:rFonts w:ascii="Times New Roman" w:hAnsi="Times New Roman"/>
        </w:rPr>
        <w:footnoteReference w:id="80"/>
      </w:r>
      <w:r w:rsidRPr="00B77657">
        <w:rPr>
          <w:rFonts w:ascii="Times New Roman" w:hAnsi="Times New Roman"/>
        </w:rPr>
        <w:t>:</w:t>
      </w:r>
    </w:p>
    <w:p w14:paraId="4708E8C9" w14:textId="77777777" w:rsidR="009F562D" w:rsidRDefault="009F562D" w:rsidP="00B77657">
      <w:pPr>
        <w:pStyle w:val="leftright"/>
        <w:spacing w:before="0" w:after="260" w:line="280" w:lineRule="exact"/>
        <w:ind w:right="0"/>
        <w:jc w:val="both"/>
        <w:rPr>
          <w:rFonts w:ascii="Times New Roman" w:hAnsi="Times New Roman"/>
        </w:rPr>
      </w:pPr>
      <w:r w:rsidRPr="00B77657">
        <w:rPr>
          <w:rFonts w:ascii="Times New Roman" w:hAnsi="Times New Roman"/>
        </w:rPr>
        <w:tab/>
        <w:t>"In the law of defamation, 'publication' is a term of art ... A defamatory writing is not published if it is read by no one but the one defamed. Published, it is, however, as soon as read by any one else."</w:t>
      </w:r>
    </w:p>
    <w:p w14:paraId="3BD7498D"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Publication for the purpose of the tort of defamation has been emphasised in Australia to be "a bilateral act – in which the publisher makes [matter] available and a third party has [that matter] available for his or her comprehension"</w:t>
      </w:r>
      <w:r w:rsidRPr="00B77657">
        <w:rPr>
          <w:rStyle w:val="FootnoteReference"/>
          <w:rFonts w:ascii="Times New Roman" w:hAnsi="Times New Roman"/>
        </w:rPr>
        <w:footnoteReference w:id="81"/>
      </w:r>
      <w:r w:rsidRPr="00B77657">
        <w:rPr>
          <w:rFonts w:ascii="Times New Roman" w:hAnsi="Times New Roman"/>
        </w:rPr>
        <w:t>. Publication of matter by means of the Internet is accordingly complete when and where the matter is accessed by a third party in a comprehensible form.</w:t>
      </w:r>
    </w:p>
    <w:p w14:paraId="4D2D7A97"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Adopted in Australia in the decision of this Court in </w:t>
      </w:r>
      <w:r w:rsidRPr="00B77657">
        <w:rPr>
          <w:rFonts w:ascii="Times New Roman" w:hAnsi="Times New Roman"/>
          <w:i/>
        </w:rPr>
        <w:t>Webb v Bloch</w:t>
      </w:r>
      <w:r w:rsidRPr="00B77657">
        <w:rPr>
          <w:rStyle w:val="FootnoteReference"/>
          <w:rFonts w:ascii="Times New Roman" w:hAnsi="Times New Roman"/>
        </w:rPr>
        <w:footnoteReference w:id="82"/>
      </w:r>
      <w:r w:rsidRPr="00B77657">
        <w:rPr>
          <w:rFonts w:ascii="Times New Roman" w:hAnsi="Times New Roman"/>
        </w:rPr>
        <w:t xml:space="preserve">, and reconfirmed by the decision of this Court in </w:t>
      </w:r>
      <w:r w:rsidRPr="00B77657">
        <w:rPr>
          <w:rFonts w:ascii="Times New Roman" w:hAnsi="Times New Roman"/>
          <w:i/>
        </w:rPr>
        <w:t>Trkulja v Google LLC</w:t>
      </w:r>
      <w:r w:rsidRPr="00B77657">
        <w:rPr>
          <w:rStyle w:val="FootnoteReference"/>
          <w:rFonts w:ascii="Times New Roman" w:hAnsi="Times New Roman"/>
        </w:rPr>
        <w:footnoteReference w:id="83"/>
      </w:r>
      <w:r w:rsidRPr="00B77657">
        <w:rPr>
          <w:rFonts w:ascii="Times New Roman" w:hAnsi="Times New Roman"/>
        </w:rPr>
        <w:t xml:space="preserve">, has been the long-standing rule of the common law that every intentional participant in a process directed to making matter available for comprehension by a third party is </w:t>
      </w:r>
      <w:r w:rsidRPr="00B77657">
        <w:rPr>
          <w:rFonts w:ascii="Times New Roman" w:hAnsi="Times New Roman"/>
        </w:rPr>
        <w:lastRenderedPageBreak/>
        <w:t xml:space="preserve">a "publisher" of the matter upon the matter becoming available to be comprehended by the third party. The rule was captured in the reasons for judgment of Isaacs J in </w:t>
      </w:r>
      <w:r w:rsidRPr="00B77657">
        <w:rPr>
          <w:rFonts w:ascii="Times New Roman" w:hAnsi="Times New Roman"/>
          <w:i/>
        </w:rPr>
        <w:t>Webb v Bloch</w:t>
      </w:r>
      <w:r w:rsidRPr="00B77657">
        <w:rPr>
          <w:rFonts w:ascii="Times New Roman" w:hAnsi="Times New Roman"/>
        </w:rPr>
        <w:t xml:space="preserve"> through the combination of two quotations from a specialist textbook, drawing on English case law stretching back to the Jacobean period.  </w:t>
      </w:r>
    </w:p>
    <w:p w14:paraId="64C4E0EC"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One of the quotations was from a chapter dealing with publication of a criminal libel in an early edition of the textbook, published in 1830</w:t>
      </w:r>
      <w:r w:rsidRPr="00B77657">
        <w:rPr>
          <w:rStyle w:val="FootnoteReference"/>
          <w:rFonts w:ascii="Times New Roman" w:hAnsi="Times New Roman"/>
        </w:rPr>
        <w:footnoteReference w:id="84"/>
      </w:r>
      <w:r w:rsidRPr="00B77657">
        <w:rPr>
          <w:rFonts w:ascii="Times New Roman" w:hAnsi="Times New Roman"/>
        </w:rPr>
        <w:t>:</w:t>
      </w:r>
    </w:p>
    <w:p w14:paraId="6FF5B76A" w14:textId="77777777" w:rsidR="009F562D" w:rsidRDefault="009F562D" w:rsidP="00B77657">
      <w:pPr>
        <w:pStyle w:val="leftright"/>
        <w:spacing w:before="0" w:after="260" w:line="280" w:lineRule="exact"/>
        <w:ind w:right="0"/>
        <w:jc w:val="both"/>
        <w:rPr>
          <w:rFonts w:ascii="Times New Roman" w:hAnsi="Times New Roman"/>
        </w:rPr>
      </w:pPr>
      <w:r w:rsidRPr="00B77657">
        <w:rPr>
          <w:rFonts w:ascii="Times New Roman" w:hAnsi="Times New Roman"/>
        </w:rPr>
        <w:tab/>
        <w:t>"According to the general rule of law, it is clear that all who are in any degree accessory to the publication of a libel, and by any means whatever conduce to the publication, are to be considered as principals in the act of publication: thus if one suggest illegal matter, in order that another may write or print it, and that a third may publish it, all are equally amenable for the act of publication, when it has been so effected."</w:t>
      </w:r>
    </w:p>
    <w:p w14:paraId="408A5D1C"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The other of the quotations was from a chapter dealing with publication of a civil libel in a revised edition of the textbook, published in 1891</w:t>
      </w:r>
      <w:r w:rsidRPr="00B77657">
        <w:rPr>
          <w:rStyle w:val="FootnoteReference"/>
          <w:rFonts w:ascii="Times New Roman" w:hAnsi="Times New Roman"/>
        </w:rPr>
        <w:footnoteReference w:id="85"/>
      </w:r>
      <w:r w:rsidRPr="00B77657">
        <w:rPr>
          <w:rFonts w:ascii="Times New Roman" w:hAnsi="Times New Roman"/>
        </w:rPr>
        <w:t>:</w:t>
      </w:r>
    </w:p>
    <w:p w14:paraId="1722E1E7" w14:textId="77777777" w:rsidR="009F562D" w:rsidRDefault="009F562D" w:rsidP="00B77657">
      <w:pPr>
        <w:pStyle w:val="leftright"/>
        <w:spacing w:before="0" w:after="260" w:line="280" w:lineRule="exact"/>
        <w:ind w:right="0"/>
        <w:jc w:val="both"/>
        <w:rPr>
          <w:rFonts w:ascii="Times New Roman" w:hAnsi="Times New Roman"/>
        </w:rPr>
      </w:pPr>
      <w:r w:rsidRPr="00B77657">
        <w:rPr>
          <w:rFonts w:ascii="Times New Roman" w:hAnsi="Times New Roman"/>
        </w:rPr>
        <w:tab/>
        <w:t xml:space="preserve">"The term </w:t>
      </w:r>
      <w:r w:rsidRPr="00B77657">
        <w:rPr>
          <w:rFonts w:ascii="Times New Roman" w:hAnsi="Times New Roman"/>
          <w:i/>
        </w:rPr>
        <w:t>published</w:t>
      </w:r>
      <w:r w:rsidRPr="00B77657">
        <w:rPr>
          <w:rFonts w:ascii="Times New Roman" w:hAnsi="Times New Roman"/>
        </w:rPr>
        <w:t xml:space="preserve"> is the proper and technical term to be used in the case of libel, without reference to the precise degree in which the defendant has been instrumental to such publication; since, if he has intentionally lent his assistance to its existence for the purpose of being published, his instrumentality is evidence to show a publication by him".</w:t>
      </w:r>
    </w:p>
    <w:p w14:paraId="30410F85"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In the form stated in the first quotation</w:t>
      </w:r>
      <w:r w:rsidRPr="00B77657">
        <w:rPr>
          <w:rStyle w:val="FootnoteReference"/>
          <w:rFonts w:ascii="Times New Roman" w:hAnsi="Times New Roman"/>
        </w:rPr>
        <w:footnoteReference w:id="86"/>
      </w:r>
      <w:r w:rsidRPr="00B77657">
        <w:rPr>
          <w:rFonts w:ascii="Times New Roman" w:hAnsi="Times New Roman"/>
        </w:rPr>
        <w:t>, the rule might well have been explained as nothing more than a manifestation of the general rule of the common law that a secondary participant in a misdemeanour was liable as a principal given the refusal of the common law to "distinguish the different shades of guilt in petty misdemeanours"</w:t>
      </w:r>
      <w:r w:rsidRPr="00B77657">
        <w:rPr>
          <w:rStyle w:val="FootnoteReference"/>
          <w:rFonts w:ascii="Times New Roman" w:hAnsi="Times New Roman"/>
        </w:rPr>
        <w:footnoteReference w:id="87"/>
      </w:r>
      <w:r w:rsidRPr="00B77657">
        <w:rPr>
          <w:rFonts w:ascii="Times New Roman" w:hAnsi="Times New Roman"/>
        </w:rPr>
        <w:t>. In the form stated in the second quotation, however, the rule is appropriately identified as an exposition of the technical content of "publication" when used as a term of art to express an element of the tort of defamation.</w:t>
      </w:r>
    </w:p>
    <w:p w14:paraId="4AFD286C"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lastRenderedPageBreak/>
        <w:tab/>
        <w:t>The word "intentionally" within the second quotation should be understood to be directed at an intention to facilitate, or provide a platform for, communication of the allegedly defamatory matter. Enough for participation in a process that is in fact directed to making matter available for comprehension by a third party to be characterised as intentional is that the participation in the process is active and voluntary. That is irrespective of the degree of active and voluntary participation in the process. And it is irrespective of knowledge or intention on the part of the participant as to the defamatory content of the matter published.</w:t>
      </w:r>
    </w:p>
    <w:p w14:paraId="6D049F88"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As Dixon J said in </w:t>
      </w:r>
      <w:r w:rsidRPr="00B77657">
        <w:rPr>
          <w:rFonts w:ascii="Times New Roman" w:hAnsi="Times New Roman"/>
          <w:i/>
        </w:rPr>
        <w:t>Lee v Wilson &amp; Mackinnon</w:t>
      </w:r>
      <w:r w:rsidRPr="00B77657">
        <w:rPr>
          <w:rStyle w:val="FootnoteReference"/>
          <w:rFonts w:ascii="Times New Roman" w:hAnsi="Times New Roman"/>
        </w:rPr>
        <w:footnoteReference w:id="88"/>
      </w:r>
      <w:r w:rsidRPr="00B77657">
        <w:rPr>
          <w:rFonts w:ascii="Times New Roman" w:hAnsi="Times New Roman"/>
        </w:rPr>
        <w:t>:</w:t>
      </w:r>
    </w:p>
    <w:p w14:paraId="65691E9D" w14:textId="77777777" w:rsidR="009F562D" w:rsidRDefault="009F562D" w:rsidP="00B77657">
      <w:pPr>
        <w:pStyle w:val="leftright"/>
        <w:spacing w:before="0" w:after="260" w:line="280" w:lineRule="exact"/>
        <w:ind w:right="0"/>
        <w:jc w:val="both"/>
        <w:rPr>
          <w:rFonts w:ascii="Times New Roman" w:hAnsi="Times New Roman"/>
        </w:rPr>
      </w:pPr>
      <w:r w:rsidRPr="00B77657">
        <w:rPr>
          <w:rFonts w:ascii="Times New Roman" w:hAnsi="Times New Roman"/>
        </w:rPr>
        <w:t xml:space="preserve">"The cause of action consists in publication of the defamatory matter of and concerning the plaintiff. It might be thought, therefore, that, in any event, this warranted or required some investigation of the actual intention of the publisher. But his liability </w:t>
      </w:r>
      <w:r w:rsidRPr="00B77657">
        <w:rPr>
          <w:rFonts w:ascii="Times New Roman" w:hAnsi="Times New Roman"/>
          <w:i/>
        </w:rPr>
        <w:t>depends upon mere communication of the defamatory matter to a third person.</w:t>
      </w:r>
      <w:r w:rsidRPr="00B77657">
        <w:rPr>
          <w:rFonts w:ascii="Times New Roman" w:hAnsi="Times New Roman"/>
        </w:rPr>
        <w:t xml:space="preserve"> The communication [of the defamatory matter] may be quite unintentional, and the publisher may be </w:t>
      </w:r>
      <w:r w:rsidRPr="00B77657">
        <w:rPr>
          <w:rFonts w:ascii="Times New Roman" w:hAnsi="Times New Roman"/>
          <w:i/>
        </w:rPr>
        <w:t>unaware of the defamatory matter</w:t>
      </w:r>
      <w:r w:rsidRPr="00B77657">
        <w:rPr>
          <w:rFonts w:ascii="Times New Roman" w:hAnsi="Times New Roman"/>
        </w:rPr>
        <w:t xml:space="preserve">."  </w:t>
      </w:r>
    </w:p>
    <w:p w14:paraId="0CC850C5"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Adapting and adopting what was said with reference to </w:t>
      </w:r>
      <w:r w:rsidRPr="00B77657">
        <w:rPr>
          <w:rFonts w:ascii="Times New Roman" w:hAnsi="Times New Roman"/>
          <w:i/>
        </w:rPr>
        <w:t>Webb v Bloch</w:t>
      </w:r>
      <w:r w:rsidRPr="00B77657">
        <w:rPr>
          <w:rFonts w:ascii="Times New Roman" w:hAnsi="Times New Roman"/>
        </w:rPr>
        <w:t xml:space="preserve"> in the Court of Final Appeal of Hong Kong in </w:t>
      </w:r>
      <w:r w:rsidRPr="00B77657">
        <w:rPr>
          <w:rFonts w:ascii="Times New Roman" w:hAnsi="Times New Roman"/>
          <w:i/>
        </w:rPr>
        <w:t>Oriental Press Group Ltd v Fevaworks Solutions Ltd</w:t>
      </w:r>
      <w:r w:rsidRPr="00B77657">
        <w:rPr>
          <w:rStyle w:val="FootnoteReference"/>
          <w:rFonts w:ascii="Times New Roman" w:hAnsi="Times New Roman"/>
        </w:rPr>
        <w:footnoteReference w:id="89"/>
      </w:r>
      <w:r w:rsidRPr="00B77657">
        <w:rPr>
          <w:rFonts w:ascii="Times New Roman" w:hAnsi="Times New Roman"/>
          <w:i/>
        </w:rPr>
        <w:t xml:space="preserve"> </w:t>
      </w:r>
      <w:r w:rsidRPr="00B77657">
        <w:rPr>
          <w:rFonts w:ascii="Times New Roman" w:hAnsi="Times New Roman"/>
        </w:rPr>
        <w:t xml:space="preserve">by Ribeiro PJ (with whom other members of the Court including Gleeson NPJ agreed), a person is a publisher of defamatory matter if "by an act of any description" the person "intentionally assisted in the process" of communicating the matter containing content conveying the defamatory imputation to a third party, regardless of whether the person knows that the matter contains that content. </w:t>
      </w:r>
    </w:p>
    <w:p w14:paraId="7BCF3FF9"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The strictness of the common law rule is illustrated by </w:t>
      </w:r>
      <w:r w:rsidRPr="00B77657">
        <w:rPr>
          <w:rFonts w:ascii="Times New Roman" w:hAnsi="Times New Roman"/>
          <w:i/>
        </w:rPr>
        <w:t>Webb v Bloch</w:t>
      </w:r>
      <w:r w:rsidRPr="00B77657">
        <w:rPr>
          <w:rFonts w:ascii="Times New Roman" w:hAnsi="Times New Roman"/>
        </w:rPr>
        <w:t xml:space="preserve"> itself. There members of a committee who ratified a decision of another member to instruct a solicitor to prepare and send a circular were found each to have been a publisher of the circular prepared and sent out by the solicitor. That was despite some of them having been completely unaware of the contents of the circular. </w:t>
      </w:r>
    </w:p>
    <w:p w14:paraId="58D62C51"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Consistent with the strictness of the common law rule, as was observed in the Supreme Court of Canada in </w:t>
      </w:r>
      <w:r w:rsidRPr="00B77657">
        <w:rPr>
          <w:rFonts w:ascii="Times New Roman" w:hAnsi="Times New Roman"/>
          <w:i/>
        </w:rPr>
        <w:t>Crookes v Newton</w:t>
      </w:r>
      <w:r w:rsidRPr="00B77657">
        <w:rPr>
          <w:rStyle w:val="FootnoteReference"/>
          <w:rFonts w:ascii="Times New Roman" w:hAnsi="Times New Roman"/>
        </w:rPr>
        <w:footnoteReference w:id="90"/>
      </w:r>
      <w:r w:rsidRPr="00B77657">
        <w:rPr>
          <w:rFonts w:ascii="Times New Roman" w:hAnsi="Times New Roman"/>
          <w:i/>
        </w:rPr>
        <w:t xml:space="preserve"> </w:t>
      </w:r>
      <w:r w:rsidRPr="00B77657">
        <w:rPr>
          <w:rFonts w:ascii="Times New Roman" w:hAnsi="Times New Roman"/>
        </w:rPr>
        <w:t xml:space="preserve">by Abella J (with whom five other Justices concurred), "the breadth of activity captured by the traditional </w:t>
      </w:r>
      <w:r w:rsidRPr="00B77657">
        <w:rPr>
          <w:rFonts w:ascii="Times New Roman" w:hAnsi="Times New Roman"/>
        </w:rPr>
        <w:lastRenderedPageBreak/>
        <w:t>publication rule is vast". The breadth of the activity is perhaps best illustrated by reference to a series of early eighteenth century English cases, the reports of which were noted in both editions of the textbook</w:t>
      </w:r>
      <w:r w:rsidRPr="00B77657">
        <w:rPr>
          <w:rStyle w:val="FootnoteReference"/>
          <w:rFonts w:ascii="Times New Roman" w:hAnsi="Times New Roman"/>
        </w:rPr>
        <w:footnoteReference w:id="91"/>
      </w:r>
      <w:r w:rsidRPr="00B77657">
        <w:rPr>
          <w:rFonts w:ascii="Times New Roman" w:hAnsi="Times New Roman"/>
        </w:rPr>
        <w:t xml:space="preserve"> referred to in </w:t>
      </w:r>
      <w:r w:rsidRPr="00B77657">
        <w:rPr>
          <w:rFonts w:ascii="Times New Roman" w:hAnsi="Times New Roman"/>
          <w:i/>
        </w:rPr>
        <w:t>Webb v Bloch</w:t>
      </w:r>
      <w:r w:rsidRPr="00B77657">
        <w:rPr>
          <w:rStyle w:val="FootnoteReference"/>
          <w:rFonts w:ascii="Times New Roman" w:hAnsi="Times New Roman"/>
        </w:rPr>
        <w:footnoteReference w:id="92"/>
      </w:r>
      <w:r w:rsidRPr="00B77657">
        <w:rPr>
          <w:rFonts w:ascii="Times New Roman" w:hAnsi="Times New Roman"/>
        </w:rPr>
        <w:t>,</w:t>
      </w:r>
      <w:r w:rsidRPr="00B77657">
        <w:rPr>
          <w:rFonts w:ascii="Times New Roman" w:hAnsi="Times New Roman"/>
          <w:i/>
        </w:rPr>
        <w:t xml:space="preserve"> </w:t>
      </w:r>
      <w:r w:rsidRPr="00B77657">
        <w:rPr>
          <w:rFonts w:ascii="Times New Roman" w:hAnsi="Times New Roman"/>
        </w:rPr>
        <w:t>and one of which was singled out for mention by Abella J</w:t>
      </w:r>
      <w:r w:rsidRPr="00B77657">
        <w:rPr>
          <w:rStyle w:val="FootnoteReference"/>
          <w:rFonts w:ascii="Times New Roman" w:hAnsi="Times New Roman"/>
        </w:rPr>
        <w:footnoteReference w:id="93"/>
      </w:r>
      <w:r w:rsidRPr="00B77657">
        <w:rPr>
          <w:rFonts w:ascii="Times New Roman" w:hAnsi="Times New Roman"/>
          <w:i/>
        </w:rPr>
        <w:t xml:space="preserve">. </w:t>
      </w:r>
      <w:r w:rsidRPr="00B77657">
        <w:rPr>
          <w:rFonts w:ascii="Times New Roman" w:hAnsi="Times New Roman"/>
        </w:rPr>
        <w:t>The cases</w:t>
      </w:r>
      <w:r w:rsidRPr="00B77657">
        <w:rPr>
          <w:rFonts w:ascii="Times New Roman" w:hAnsi="Times New Roman"/>
          <w:i/>
        </w:rPr>
        <w:t xml:space="preserve"> </w:t>
      </w:r>
      <w:r w:rsidRPr="00B77657">
        <w:rPr>
          <w:rFonts w:ascii="Times New Roman" w:hAnsi="Times New Roman"/>
        </w:rPr>
        <w:t>concerned prosecutions for treasonable libel arising out of the publication in</w:t>
      </w:r>
      <w:r w:rsidRPr="00B77657">
        <w:rPr>
          <w:rFonts w:ascii="Times New Roman" w:hAnsi="Times New Roman"/>
          <w:i/>
        </w:rPr>
        <w:t xml:space="preserve"> </w:t>
      </w:r>
      <w:r w:rsidRPr="0095091F">
        <w:rPr>
          <w:rFonts w:ascii="Times New Roman" w:hAnsi="Times New Roman"/>
          <w:i/>
        </w:rPr>
        <w:t>Mist's Weekly Journal</w:t>
      </w:r>
      <w:r w:rsidRPr="00B77657">
        <w:rPr>
          <w:rFonts w:ascii="Times New Roman" w:hAnsi="Times New Roman"/>
        </w:rPr>
        <w:t xml:space="preserve"> of "The Persian Letter", in respect of which "it was shewn by proper averments and innuendos, that in a pretended piece of Persian history the king and several other members of the royal family had been libelled"</w:t>
      </w:r>
      <w:r w:rsidRPr="00B77657">
        <w:rPr>
          <w:rStyle w:val="FootnoteReference"/>
          <w:rFonts w:ascii="Times New Roman" w:hAnsi="Times New Roman"/>
        </w:rPr>
        <w:footnoteReference w:id="94"/>
      </w:r>
      <w:r w:rsidRPr="00B77657">
        <w:rPr>
          <w:rFonts w:ascii="Times New Roman" w:hAnsi="Times New Roman"/>
        </w:rPr>
        <w:t>. The prosecutions were tried before Raymond CJ in the Court of King's Bench. Convicted as a publisher was a servant to the printer, whose only involvement was to "clap down the press" with "few or no circumstances [being] offered of his knowing the import of the paper"</w:t>
      </w:r>
      <w:r w:rsidRPr="00B77657">
        <w:rPr>
          <w:rStyle w:val="FootnoteReference"/>
          <w:rFonts w:ascii="Times New Roman" w:hAnsi="Times New Roman"/>
        </w:rPr>
        <w:footnoteReference w:id="95"/>
      </w:r>
      <w:r w:rsidRPr="00B77657">
        <w:rPr>
          <w:rFonts w:ascii="Times New Roman" w:hAnsi="Times New Roman"/>
        </w:rPr>
        <w:t>. Convicted of printing, and escaping liability as a publisher only by reason of lack of evidence of publication of the pages printed, was a servant whose job as a compositor was limited to setting the type for printing the words in one of two columns on each page, another servant having the responsibility for setting the type for printing the words in the other column</w:t>
      </w:r>
      <w:r w:rsidRPr="00B77657">
        <w:rPr>
          <w:rStyle w:val="FootnoteReference"/>
          <w:rFonts w:ascii="Times New Roman" w:hAnsi="Times New Roman"/>
        </w:rPr>
        <w:footnoteReference w:id="96"/>
      </w:r>
      <w:r w:rsidRPr="00B77657">
        <w:rPr>
          <w:rFonts w:ascii="Times New Roman" w:hAnsi="Times New Roman"/>
        </w:rPr>
        <w:t>. Escaping conviction altogether, but only through the merciful intransigence of the jury and the eventual capitulation of the Attorney-General, was the keeper of a "pamphlet shop" who lived more than a mile away and who had been bedridden for some time</w:t>
      </w:r>
      <w:r w:rsidRPr="00B77657">
        <w:rPr>
          <w:rStyle w:val="FootnoteReference"/>
          <w:rFonts w:ascii="Times New Roman" w:hAnsi="Times New Roman"/>
        </w:rPr>
        <w:footnoteReference w:id="97"/>
      </w:r>
      <w:r w:rsidRPr="00B77657">
        <w:rPr>
          <w:rFonts w:ascii="Times New Roman" w:hAnsi="Times New Roman"/>
        </w:rPr>
        <w:t>. In response to a submission by her counsel that not "all those, through whose hands a libel goes, are publishers of it", Raymond CJ observed "that if a servant carries a libel for his master, he certainly is answerable for what he does, though he cannot so much as write or read"</w:t>
      </w:r>
      <w:r w:rsidRPr="00B77657">
        <w:rPr>
          <w:rStyle w:val="FootnoteReference"/>
          <w:rFonts w:ascii="Times New Roman" w:hAnsi="Times New Roman"/>
        </w:rPr>
        <w:footnoteReference w:id="98"/>
      </w:r>
      <w:r w:rsidRPr="00B77657">
        <w:rPr>
          <w:rFonts w:ascii="Times New Roman" w:hAnsi="Times New Roman"/>
        </w:rPr>
        <w:t xml:space="preserve">. </w:t>
      </w:r>
    </w:p>
    <w:p w14:paraId="2B6EF8D1"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Formulated in the age of print, the common law rule was not seen to require modification in order to deal with the advent of the telegraph or the telephone. </w:t>
      </w:r>
      <w:r w:rsidRPr="00B77657">
        <w:rPr>
          <w:rFonts w:ascii="Times New Roman" w:hAnsi="Times New Roman"/>
        </w:rPr>
        <w:lastRenderedPageBreak/>
        <w:t>When, in the late nineteenth century, an operator employed by a telegraph company at one place transmitted a customer's message to an operator employed by the same telegraph company at another place who then reduced the message to writing and delivered the message in print to the addressee, the telegraph company was as much a publisher of the printed message as was the customer</w:t>
      </w:r>
      <w:r w:rsidRPr="00B77657">
        <w:rPr>
          <w:rStyle w:val="FootnoteReference"/>
          <w:rFonts w:ascii="Times New Roman" w:hAnsi="Times New Roman"/>
        </w:rPr>
        <w:footnoteReference w:id="99"/>
      </w:r>
      <w:r w:rsidRPr="00B77657">
        <w:rPr>
          <w:rFonts w:ascii="Times New Roman" w:hAnsi="Times New Roman"/>
        </w:rPr>
        <w:t>. When, in the late twentieth century, one person communicated with another by telephone, the telephone company was not a publisher. The difference was that "a telegram [was] sent only through the direct participation of agents of the telegraph company whereas in the case of a modern-day telephone call the caller communicate[d] directly with the listener over the facilities of the telephone company, with no publication by the company itself"</w:t>
      </w:r>
      <w:r w:rsidRPr="00B77657">
        <w:rPr>
          <w:rStyle w:val="FootnoteReference"/>
          <w:rFonts w:ascii="Times New Roman" w:hAnsi="Times New Roman"/>
        </w:rPr>
        <w:footnoteReference w:id="100"/>
      </w:r>
      <w:r w:rsidRPr="00B77657">
        <w:rPr>
          <w:rFonts w:ascii="Times New Roman" w:hAnsi="Times New Roman"/>
        </w:rPr>
        <w:t>.</w:t>
      </w:r>
    </w:p>
    <w:p w14:paraId="5B4C3826"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Nor was the common law seen to require modification in order to deal with the advent of radio and television. Radio and television broadcasters were readily seen to be publishers of "all material broadcast or televised on [their] network, whether scripted or live" so as to be liable for defamatory matter contained in "a derogatory remark made by a contributor to a live studio discussion, or a banner or leaflet thrust before a television camera in a live transmission of a political meeting or demonstration".</w:t>
      </w:r>
      <w:r w:rsidRPr="00B77657" w:rsidDel="009A2C35">
        <w:rPr>
          <w:rFonts w:ascii="Times New Roman" w:hAnsi="Times New Roman"/>
        </w:rPr>
        <w:t xml:space="preserve"> </w:t>
      </w:r>
      <w:r w:rsidRPr="00B77657">
        <w:rPr>
          <w:rFonts w:ascii="Times New Roman" w:hAnsi="Times New Roman"/>
        </w:rPr>
        <w:t>Not "to the point" was that the broadcaster "[did] not itself make or adopt the defamatory statements": "by its broadcast it [had] published them"</w:t>
      </w:r>
      <w:bookmarkStart w:id="1" w:name="_Ref77761436"/>
      <w:r w:rsidRPr="00B77657">
        <w:rPr>
          <w:rStyle w:val="FootnoteReference"/>
          <w:rFonts w:ascii="Times New Roman" w:hAnsi="Times New Roman"/>
        </w:rPr>
        <w:footnoteReference w:id="101"/>
      </w:r>
      <w:bookmarkEnd w:id="1"/>
      <w:r w:rsidRPr="00B77657">
        <w:rPr>
          <w:rFonts w:ascii="Times New Roman" w:hAnsi="Times New Roman"/>
        </w:rPr>
        <w:t>.</w:t>
      </w:r>
    </w:p>
    <w:p w14:paraId="1612FBEC"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Accordingly, in </w:t>
      </w:r>
      <w:r w:rsidRPr="00B77657">
        <w:rPr>
          <w:rFonts w:ascii="Times New Roman" w:hAnsi="Times New Roman"/>
          <w:i/>
        </w:rPr>
        <w:t>Thompson v Australian Capital Television Pty Ltd</w:t>
      </w:r>
      <w:r w:rsidRPr="00B77657">
        <w:rPr>
          <w:rStyle w:val="FootnoteReference"/>
          <w:rFonts w:ascii="Times New Roman" w:hAnsi="Times New Roman"/>
        </w:rPr>
        <w:footnoteReference w:id="102"/>
      </w:r>
      <w:r w:rsidRPr="00B77657">
        <w:rPr>
          <w:rFonts w:ascii="Times New Roman" w:hAnsi="Times New Roman"/>
        </w:rPr>
        <w:t xml:space="preserve">, a television station which broadcast live to viewers in the Australian Capital Territory a current affairs program produced by another television station in Sydney was not doubted to be a publisher of defamatory statements made during a live interview on the program. The only relevant issue was whether it was entitled </w:t>
      </w:r>
      <w:r w:rsidRPr="00B77657">
        <w:rPr>
          <w:rFonts w:ascii="Times New Roman" w:hAnsi="Times New Roman"/>
        </w:rPr>
        <w:lastRenderedPageBreak/>
        <w:t xml:space="preserve">to the common law "defence" of "innocent dissemination" associated with </w:t>
      </w:r>
      <w:r w:rsidRPr="00B77657">
        <w:rPr>
          <w:rFonts w:ascii="Times New Roman" w:hAnsi="Times New Roman"/>
          <w:i/>
        </w:rPr>
        <w:t>Emmens v Pottle</w:t>
      </w:r>
      <w:r w:rsidRPr="00B77657">
        <w:rPr>
          <w:rStyle w:val="FootnoteReference"/>
          <w:rFonts w:ascii="Times New Roman" w:hAnsi="Times New Roman"/>
        </w:rPr>
        <w:footnoteReference w:id="103"/>
      </w:r>
      <w:r w:rsidRPr="00B77657">
        <w:rPr>
          <w:rFonts w:ascii="Times New Roman" w:hAnsi="Times New Roman"/>
        </w:rPr>
        <w:t>: it was not.</w:t>
      </w:r>
    </w:p>
    <w:p w14:paraId="715758B5"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Accepted by at least a majority in </w:t>
      </w:r>
      <w:r w:rsidRPr="00B77657">
        <w:rPr>
          <w:rFonts w:ascii="Times New Roman" w:hAnsi="Times New Roman"/>
          <w:i/>
        </w:rPr>
        <w:t>Thompson v Australian Capital Television Pty Ltd</w:t>
      </w:r>
      <w:r w:rsidRPr="00B77657">
        <w:rPr>
          <w:rStyle w:val="FootnoteReference"/>
          <w:rFonts w:ascii="Times New Roman" w:hAnsi="Times New Roman"/>
        </w:rPr>
        <w:footnoteReference w:id="104"/>
      </w:r>
      <w:r w:rsidRPr="00B77657">
        <w:rPr>
          <w:rFonts w:ascii="Times New Roman" w:hAnsi="Times New Roman"/>
          <w:i/>
        </w:rPr>
        <w:t xml:space="preserve"> </w:t>
      </w:r>
      <w:r w:rsidRPr="00B77657">
        <w:rPr>
          <w:rFonts w:ascii="Times New Roman" w:hAnsi="Times New Roman"/>
        </w:rPr>
        <w:t>was the proposition that innocent dissemination at common law constitutes a "defence" to an action in defamation, in the strictest sense of the meaning of "defence"</w:t>
      </w:r>
      <w:r w:rsidRPr="00B77657">
        <w:rPr>
          <w:rStyle w:val="FootnoteReference"/>
          <w:rFonts w:ascii="Times New Roman" w:hAnsi="Times New Roman"/>
        </w:rPr>
        <w:footnoteReference w:id="105"/>
      </w:r>
      <w:r w:rsidRPr="00B77657">
        <w:rPr>
          <w:rFonts w:ascii="Times New Roman" w:hAnsi="Times New Roman"/>
        </w:rPr>
        <w:t xml:space="preserve"> involving "confession" (meaning acceptance) of facts sufficient to establish the legal elements of the cause of action and "avoidance" (meaning negation or defeasance) of the legal effect of those facts upon proof of further facts establishing a justification or excuse, as distinct from involving the denial of facts sufficient to establish an element of the cause of action. Brennan</w:t>
      </w:r>
      <w:r>
        <w:rPr>
          <w:rFonts w:ascii="Times New Roman" w:hAnsi="Times New Roman"/>
        </w:rPr>
        <w:t> </w:t>
      </w:r>
      <w:r w:rsidRPr="00B77657">
        <w:rPr>
          <w:rFonts w:ascii="Times New Roman" w:hAnsi="Times New Roman"/>
        </w:rPr>
        <w:t>CJ, Dawson and Toohey JJ, who constituted a majority, in that respect singled out for approval</w:t>
      </w:r>
      <w:r w:rsidRPr="00B77657">
        <w:rPr>
          <w:rStyle w:val="FootnoteReference"/>
          <w:rFonts w:ascii="Times New Roman" w:hAnsi="Times New Roman"/>
        </w:rPr>
        <w:footnoteReference w:id="106"/>
      </w:r>
      <w:r w:rsidRPr="00B77657">
        <w:rPr>
          <w:rFonts w:ascii="Times New Roman" w:hAnsi="Times New Roman"/>
        </w:rPr>
        <w:t xml:space="preserve"> a comment, contained in the then current edition of a leading English textbook</w:t>
      </w:r>
      <w:r w:rsidRPr="00B77657">
        <w:rPr>
          <w:rStyle w:val="FootnoteReference"/>
          <w:rFonts w:ascii="Times New Roman" w:hAnsi="Times New Roman"/>
        </w:rPr>
        <w:footnoteReference w:id="107"/>
      </w:r>
      <w:r w:rsidRPr="00B77657">
        <w:rPr>
          <w:rFonts w:ascii="Times New Roman" w:hAnsi="Times New Roman"/>
        </w:rPr>
        <w:t xml:space="preserve">, on the statement of Lord Esher MR in </w:t>
      </w:r>
      <w:r w:rsidRPr="00B77657">
        <w:rPr>
          <w:rFonts w:ascii="Times New Roman" w:hAnsi="Times New Roman"/>
          <w:i/>
        </w:rPr>
        <w:t>Emmens v Pottle</w:t>
      </w:r>
      <w:r w:rsidRPr="00B77657">
        <w:rPr>
          <w:rFonts w:ascii="Times New Roman" w:hAnsi="Times New Roman"/>
        </w:rPr>
        <w:t xml:space="preserve"> that the innocent disseminators in that case "did not publish the libel"</w:t>
      </w:r>
      <w:r w:rsidRPr="00B77657">
        <w:rPr>
          <w:rStyle w:val="FootnoteReference"/>
          <w:rFonts w:ascii="Times New Roman" w:hAnsi="Times New Roman"/>
        </w:rPr>
        <w:footnoteReference w:id="108"/>
      </w:r>
      <w:r w:rsidRPr="00B77657">
        <w:rPr>
          <w:rFonts w:ascii="Times New Roman" w:hAnsi="Times New Roman"/>
        </w:rPr>
        <w:t xml:space="preserve">. The comment was to the effect that "it would be more accurate to say that any disseminator of a libel publishes the libel but, if he can establish the defence of innocent dissemination, he will not be responsible for that publication". </w:t>
      </w:r>
    </w:p>
    <w:p w14:paraId="3EF31F00"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On the strength of </w:t>
      </w:r>
      <w:r w:rsidRPr="00B77657">
        <w:rPr>
          <w:rFonts w:ascii="Times New Roman" w:hAnsi="Times New Roman"/>
          <w:i/>
        </w:rPr>
        <w:t>Thompson v Australian Capital Television Pty Ltd</w:t>
      </w:r>
      <w:r w:rsidRPr="00B77657">
        <w:rPr>
          <w:rFonts w:ascii="Times New Roman" w:hAnsi="Times New Roman"/>
        </w:rPr>
        <w:t xml:space="preserve">, those drafting the </w:t>
      </w:r>
      <w:r w:rsidRPr="00B77657">
        <w:rPr>
          <w:rFonts w:ascii="Times New Roman" w:hAnsi="Times New Roman"/>
          <w:i/>
        </w:rPr>
        <w:t>Defamation Act</w:t>
      </w:r>
      <w:r w:rsidRPr="00B77657">
        <w:rPr>
          <w:rFonts w:ascii="Times New Roman" w:hAnsi="Times New Roman"/>
        </w:rPr>
        <w:t xml:space="preserve"> and cognate legislation in other States and Territories proceeded on the understanding that an innocent disseminator is a publisher according to the common law of Australia</w:t>
      </w:r>
      <w:r w:rsidRPr="00B77657">
        <w:rPr>
          <w:rStyle w:val="FootnoteReference"/>
          <w:rFonts w:ascii="Times New Roman" w:hAnsi="Times New Roman"/>
        </w:rPr>
        <w:footnoteReference w:id="109"/>
      </w:r>
      <w:r w:rsidRPr="00B77657">
        <w:rPr>
          <w:rFonts w:ascii="Times New Roman" w:hAnsi="Times New Roman"/>
        </w:rPr>
        <w:t xml:space="preserve">. In common law principle, not to </w:t>
      </w:r>
      <w:r w:rsidRPr="00B77657">
        <w:rPr>
          <w:rFonts w:ascii="Times New Roman" w:hAnsi="Times New Roman"/>
        </w:rPr>
        <w:lastRenderedPageBreak/>
        <w:t xml:space="preserve">mention on the authority of this Court, that understanding was fundamentally sound. </w:t>
      </w:r>
    </w:p>
    <w:p w14:paraId="0FF91799"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Treating innocent dissemination as a defence to a cause of action in defamation rather than as a denial of the element of publication accords with the historical explanation of </w:t>
      </w:r>
      <w:r w:rsidRPr="00B77657">
        <w:rPr>
          <w:rFonts w:ascii="Times New Roman" w:hAnsi="Times New Roman"/>
          <w:i/>
        </w:rPr>
        <w:t>Emmens v Pottle</w:t>
      </w:r>
      <w:r w:rsidRPr="00B77657">
        <w:rPr>
          <w:rFonts w:ascii="Times New Roman" w:hAnsi="Times New Roman"/>
        </w:rPr>
        <w:t xml:space="preserve"> given by Vaughan Williams LJ in </w:t>
      </w:r>
      <w:r w:rsidRPr="00B77657">
        <w:rPr>
          <w:rFonts w:ascii="Times New Roman" w:hAnsi="Times New Roman"/>
          <w:i/>
        </w:rPr>
        <w:t>Vizetelly v Mudie's Select Library Ltd</w:t>
      </w:r>
      <w:r w:rsidRPr="00B77657">
        <w:rPr>
          <w:rStyle w:val="FootnoteReference"/>
          <w:rFonts w:ascii="Times New Roman" w:hAnsi="Times New Roman"/>
        </w:rPr>
        <w:footnoteReference w:id="110"/>
      </w:r>
      <w:r w:rsidRPr="00B77657">
        <w:rPr>
          <w:rFonts w:ascii="Times New Roman" w:hAnsi="Times New Roman"/>
        </w:rPr>
        <w:t xml:space="preserve">, to which Gummow J drew attention in his separate reasons for judgment in </w:t>
      </w:r>
      <w:r w:rsidRPr="00B77657">
        <w:rPr>
          <w:rFonts w:ascii="Times New Roman" w:hAnsi="Times New Roman"/>
          <w:i/>
        </w:rPr>
        <w:t>Thompson v Australian Capital Television Pty Ltd</w:t>
      </w:r>
      <w:r w:rsidRPr="00B77657">
        <w:rPr>
          <w:rStyle w:val="FootnoteReference"/>
          <w:rFonts w:ascii="Times New Roman" w:hAnsi="Times New Roman"/>
        </w:rPr>
        <w:footnoteReference w:id="111"/>
      </w:r>
      <w:r w:rsidRPr="00B77657">
        <w:rPr>
          <w:rFonts w:ascii="Times New Roman" w:hAnsi="Times New Roman"/>
        </w:rPr>
        <w:t>.</w:t>
      </w:r>
      <w:r w:rsidRPr="00B77657">
        <w:rPr>
          <w:rFonts w:ascii="Times New Roman" w:hAnsi="Times New Roman"/>
          <w:i/>
        </w:rPr>
        <w:t xml:space="preserve"> </w:t>
      </w:r>
    </w:p>
    <w:p w14:paraId="620AFED4"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The explanation requires that </w:t>
      </w:r>
      <w:r w:rsidRPr="00B77657">
        <w:rPr>
          <w:rFonts w:ascii="Times New Roman" w:hAnsi="Times New Roman"/>
          <w:i/>
        </w:rPr>
        <w:t>Emmens v Pottle</w:t>
      </w:r>
      <w:r w:rsidRPr="00B77657">
        <w:rPr>
          <w:rFonts w:ascii="Times New Roman" w:hAnsi="Times New Roman"/>
        </w:rPr>
        <w:t xml:space="preserve"> be understood against the background of the emergence of the tort of defamation out of the earlier action on the case for words over the course of the nineteenth century</w:t>
      </w:r>
      <w:r w:rsidRPr="00B77657">
        <w:rPr>
          <w:rStyle w:val="FootnoteReference"/>
          <w:rFonts w:ascii="Times New Roman" w:hAnsi="Times New Roman"/>
        </w:rPr>
        <w:footnoteReference w:id="112"/>
      </w:r>
      <w:r w:rsidRPr="00B77657">
        <w:rPr>
          <w:rFonts w:ascii="Times New Roman" w:hAnsi="Times New Roman"/>
        </w:rPr>
        <w:t xml:space="preserve">. Only in the early twentieth century did the tort ultimately appear, from </w:t>
      </w:r>
      <w:r w:rsidRPr="00B77657">
        <w:rPr>
          <w:rFonts w:ascii="Times New Roman" w:hAnsi="Times New Roman"/>
          <w:i/>
        </w:rPr>
        <w:t>E Hulton &amp; Co v Jones</w:t>
      </w:r>
      <w:r w:rsidRPr="00B77657">
        <w:rPr>
          <w:rStyle w:val="FootnoteReference"/>
          <w:rFonts w:ascii="Times New Roman" w:hAnsi="Times New Roman"/>
        </w:rPr>
        <w:footnoteReference w:id="113"/>
      </w:r>
      <w:r w:rsidRPr="00B77657">
        <w:rPr>
          <w:rFonts w:ascii="Times New Roman" w:hAnsi="Times New Roman"/>
        </w:rPr>
        <w:t xml:space="preserve"> as explained by Dixon J in </w:t>
      </w:r>
      <w:r w:rsidRPr="00B77657">
        <w:rPr>
          <w:rFonts w:ascii="Times New Roman" w:hAnsi="Times New Roman"/>
          <w:i/>
        </w:rPr>
        <w:t>Lee v Wilson &amp; Mackinnon</w:t>
      </w:r>
      <w:r w:rsidRPr="00B77657">
        <w:rPr>
          <w:rStyle w:val="FootnoteReference"/>
          <w:rFonts w:ascii="Times New Roman" w:hAnsi="Times New Roman"/>
        </w:rPr>
        <w:footnoteReference w:id="114"/>
      </w:r>
      <w:r w:rsidRPr="00B77657">
        <w:rPr>
          <w:rFonts w:ascii="Times New Roman" w:hAnsi="Times New Roman"/>
        </w:rPr>
        <w:t>, as a "tort of strict liability"</w:t>
      </w:r>
      <w:r w:rsidRPr="00B77657">
        <w:rPr>
          <w:rStyle w:val="FootnoteReference"/>
          <w:rFonts w:ascii="Times New Roman" w:hAnsi="Times New Roman"/>
        </w:rPr>
        <w:footnoteReference w:id="115"/>
      </w:r>
      <w:r w:rsidRPr="00B77657">
        <w:rPr>
          <w:rFonts w:ascii="Times New Roman" w:hAnsi="Times New Roman"/>
        </w:rPr>
        <w:t xml:space="preserve"> (in the sense that neither an intention to do harm nor negligence resulting in harm is necessary for liability</w:t>
      </w:r>
      <w:r w:rsidRPr="00B77657">
        <w:rPr>
          <w:rStyle w:val="FootnoteReference"/>
          <w:rFonts w:ascii="Times New Roman" w:hAnsi="Times New Roman"/>
        </w:rPr>
        <w:footnoteReference w:id="116"/>
      </w:r>
      <w:r w:rsidRPr="00B77657">
        <w:rPr>
          <w:rFonts w:ascii="Times New Roman" w:hAnsi="Times New Roman"/>
        </w:rPr>
        <w:t>) in which "liability depends upon mere communication of the defamatory matter to a third person" without need to "look for the publisher's actual intention" as to the meaning of the matter</w:t>
      </w:r>
      <w:r w:rsidRPr="00B77657">
        <w:rPr>
          <w:rStyle w:val="FootnoteReference"/>
          <w:rFonts w:ascii="Times New Roman" w:hAnsi="Times New Roman"/>
        </w:rPr>
        <w:footnoteReference w:id="117"/>
      </w:r>
      <w:r w:rsidRPr="00B77657">
        <w:rPr>
          <w:rFonts w:ascii="Times New Roman" w:hAnsi="Times New Roman"/>
        </w:rPr>
        <w:t xml:space="preserve">. </w:t>
      </w:r>
    </w:p>
    <w:p w14:paraId="5ADEF856"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r>
      <w:r w:rsidRPr="00B77657">
        <w:rPr>
          <w:rFonts w:ascii="Times New Roman" w:hAnsi="Times New Roman"/>
          <w:i/>
        </w:rPr>
        <w:t xml:space="preserve">Emmens v Pottle </w:t>
      </w:r>
      <w:r w:rsidRPr="00B77657">
        <w:rPr>
          <w:rFonts w:ascii="Times New Roman" w:hAnsi="Times New Roman"/>
        </w:rPr>
        <w:t>was decided at a stage in the evolution of the tort of defamation when the "gist" of a cause of action could still be said to be "malice" on the part of the defendant</w:t>
      </w:r>
      <w:r w:rsidRPr="00B77657">
        <w:rPr>
          <w:rStyle w:val="FootnoteReference"/>
          <w:rFonts w:ascii="Times New Roman" w:hAnsi="Times New Roman"/>
        </w:rPr>
        <w:footnoteReference w:id="118"/>
      </w:r>
      <w:r w:rsidRPr="00B77657">
        <w:rPr>
          <w:rFonts w:ascii="Times New Roman" w:hAnsi="Times New Roman"/>
        </w:rPr>
        <w:t xml:space="preserve">. The typical pleading of an action in libel alleged that the defendant "falsely and maliciously printed and published of the plaintiff ... </w:t>
      </w:r>
      <w:r w:rsidRPr="00B77657">
        <w:rPr>
          <w:rFonts w:ascii="Times New Roman" w:hAnsi="Times New Roman"/>
        </w:rPr>
        <w:lastRenderedPageBreak/>
        <w:t>the words following ..."</w:t>
      </w:r>
      <w:r w:rsidRPr="00B77657">
        <w:rPr>
          <w:rStyle w:val="FootnoteReference"/>
          <w:rFonts w:ascii="Times New Roman" w:hAnsi="Times New Roman"/>
        </w:rPr>
        <w:footnoteReference w:id="119"/>
      </w:r>
      <w:r w:rsidRPr="00B77657">
        <w:rPr>
          <w:rFonts w:ascii="Times New Roman" w:hAnsi="Times New Roman"/>
        </w:rPr>
        <w:t>. By that stage, however, "malice" had long since come to be understood not in the "popular sense" of meaning "ill will against a person" but in the "legal sense" of meaning "a wrongful act, done intentionally, without just cause or excuse"</w:t>
      </w:r>
      <w:r w:rsidRPr="00B77657">
        <w:rPr>
          <w:rStyle w:val="FootnoteReference"/>
          <w:rFonts w:ascii="Times New Roman" w:hAnsi="Times New Roman"/>
        </w:rPr>
        <w:footnoteReference w:id="120"/>
      </w:r>
      <w:r w:rsidRPr="00B77657">
        <w:rPr>
          <w:rFonts w:ascii="Times New Roman" w:hAnsi="Times New Roman"/>
        </w:rPr>
        <w:t>. On the basis that a defendant who published defamatory matter "must be considered, in point of law, to have intended the consequences resulting from that act"</w:t>
      </w:r>
      <w:r w:rsidRPr="00B77657">
        <w:rPr>
          <w:rStyle w:val="FootnoteReference"/>
          <w:rFonts w:ascii="Times New Roman" w:hAnsi="Times New Roman"/>
        </w:rPr>
        <w:footnoteReference w:id="121"/>
      </w:r>
      <w:r w:rsidRPr="00B77657">
        <w:rPr>
          <w:rFonts w:ascii="Times New Roman" w:hAnsi="Times New Roman"/>
        </w:rPr>
        <w:t xml:space="preserve">, malice on the part of the defendant was presumed as a matter of law from the tendency in fact of the matter published to defame the plaintiff. The legal presumption of malice prevailed unless rebutted through the defendant establishing a justification or excuse for the publication. </w:t>
      </w:r>
    </w:p>
    <w:p w14:paraId="36E9D59B"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The rules of pleading applicable to the proceeding in </w:t>
      </w:r>
      <w:r w:rsidRPr="00B77657">
        <w:rPr>
          <w:rFonts w:ascii="Times New Roman" w:hAnsi="Times New Roman"/>
          <w:i/>
        </w:rPr>
        <w:t>Emmens v Pottle</w:t>
      </w:r>
      <w:r w:rsidRPr="00B77657">
        <w:rPr>
          <w:rFonts w:ascii="Times New Roman" w:hAnsi="Times New Roman"/>
        </w:rPr>
        <w:t xml:space="preserve"> discouraged a defendant to an action in libel from simply pleading "denial of the several acts (or matters) complained of" by the plaintiff. The pleading rules instead encouraged a defendant who sought "to deny the fact of publication or the alleged reference to the plaintiff, to plead those denials specifically". They also had the effect that "a defendant in pleading a defence of privilege or justification must in general set out the facts on which [the defendant] relies to show that the publication was privileged or justified"</w:t>
      </w:r>
      <w:r w:rsidRPr="00B77657">
        <w:rPr>
          <w:rStyle w:val="FootnoteReference"/>
          <w:rFonts w:ascii="Times New Roman" w:hAnsi="Times New Roman"/>
        </w:rPr>
        <w:footnoteReference w:id="122"/>
      </w:r>
      <w:r w:rsidRPr="00B77657">
        <w:rPr>
          <w:rFonts w:ascii="Times New Roman" w:hAnsi="Times New Roman"/>
        </w:rPr>
        <w:t xml:space="preserve">. In </w:t>
      </w:r>
      <w:r w:rsidRPr="00B77657">
        <w:rPr>
          <w:rFonts w:ascii="Times New Roman" w:hAnsi="Times New Roman"/>
          <w:i/>
        </w:rPr>
        <w:t>Emmens v Pottle</w:t>
      </w:r>
      <w:r w:rsidRPr="00B77657">
        <w:rPr>
          <w:rFonts w:ascii="Times New Roman" w:hAnsi="Times New Roman"/>
        </w:rPr>
        <w:t>, the successful defendants took both of those pleading options: they denied publication and, "further and alternatively", they pleaded the facts ultimately held to have made them innocent disseminators. Those additionally pleaded facts were specifically found by a jury. Judgment was ordered to be entered for the defendants from which an appeal by the plaintiff in person was dismissed by the Court of Appeal for very brief reasons delivered extempore.</w:t>
      </w:r>
    </w:p>
    <w:p w14:paraId="43B47765"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The explanation of </w:t>
      </w:r>
      <w:r w:rsidRPr="00B77657">
        <w:rPr>
          <w:rFonts w:ascii="Times New Roman" w:hAnsi="Times New Roman"/>
          <w:i/>
        </w:rPr>
        <w:t>Emmens v Pottle</w:t>
      </w:r>
      <w:r w:rsidRPr="00B77657">
        <w:rPr>
          <w:rFonts w:ascii="Times New Roman" w:hAnsi="Times New Roman"/>
        </w:rPr>
        <w:t xml:space="preserve"> given by Vaughan Williams LJ in </w:t>
      </w:r>
      <w:r w:rsidRPr="00B77657">
        <w:rPr>
          <w:rFonts w:ascii="Times New Roman" w:hAnsi="Times New Roman"/>
          <w:i/>
        </w:rPr>
        <w:t>Vizetelly v Mudie's Select Library Ltd</w:t>
      </w:r>
      <w:r w:rsidRPr="00B77657">
        <w:rPr>
          <w:rFonts w:ascii="Times New Roman" w:hAnsi="Times New Roman"/>
        </w:rPr>
        <w:t xml:space="preserve"> is that the case is best understood as having been decided on the second of the pleaded grounds of the defence, not the first. What the case decided, so the explanation went, was that proof that a publication of defamatory matter occurred in circumstances of innocent dissemination, not unlike proof that a publication occurred in circumstances of qualified or absolute privilege, amounted to establishment by the defendant of a justification or excuse </w:t>
      </w:r>
      <w:r w:rsidRPr="00B77657">
        <w:rPr>
          <w:rFonts w:ascii="Times New Roman" w:hAnsi="Times New Roman"/>
        </w:rPr>
        <w:lastRenderedPageBreak/>
        <w:t xml:space="preserve">which operated to rebut the presumption of malice and thereby to negate the tortious liability of the defendant for the publication. Thus, it could be said, inelegantly but without logical contradiction, that what occurred in </w:t>
      </w:r>
      <w:r w:rsidRPr="00B77657">
        <w:rPr>
          <w:rFonts w:ascii="Times New Roman" w:hAnsi="Times New Roman"/>
          <w:i/>
        </w:rPr>
        <w:t>Emmens v Pottle</w:t>
      </w:r>
      <w:r w:rsidRPr="00B77657">
        <w:rPr>
          <w:rFonts w:ascii="Times New Roman" w:hAnsi="Times New Roman"/>
        </w:rPr>
        <w:t xml:space="preserve"> was a publication of defamatory matter that was nevertheless an "innocent publication of defamatory matter" and which was for that reason "not a publication within the meaning of the law of libel"</w:t>
      </w:r>
      <w:r w:rsidRPr="00B77657">
        <w:rPr>
          <w:rStyle w:val="FootnoteReference"/>
          <w:rFonts w:ascii="Times New Roman" w:hAnsi="Times New Roman"/>
        </w:rPr>
        <w:footnoteReference w:id="123"/>
      </w:r>
      <w:r w:rsidRPr="00B77657">
        <w:rPr>
          <w:rFonts w:ascii="Times New Roman" w:hAnsi="Times New Roman"/>
        </w:rPr>
        <w:t xml:space="preserve">. </w:t>
      </w:r>
    </w:p>
    <w:p w14:paraId="7D554098"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The explanation accords with the report of the charge to the jury in </w:t>
      </w:r>
      <w:r w:rsidRPr="00B77657">
        <w:rPr>
          <w:rFonts w:ascii="Times New Roman" w:hAnsi="Times New Roman"/>
          <w:i/>
        </w:rPr>
        <w:t>Day v Bream</w:t>
      </w:r>
      <w:r w:rsidRPr="00B77657">
        <w:rPr>
          <w:rStyle w:val="FootnoteReference"/>
          <w:rFonts w:ascii="Times New Roman" w:hAnsi="Times New Roman"/>
        </w:rPr>
        <w:footnoteReference w:id="124"/>
      </w:r>
      <w:r w:rsidRPr="00B77657">
        <w:rPr>
          <w:rFonts w:ascii="Times New Roman" w:hAnsi="Times New Roman"/>
        </w:rPr>
        <w:t xml:space="preserve">, to which Romer LJ alluded in </w:t>
      </w:r>
      <w:r w:rsidRPr="00B77657">
        <w:rPr>
          <w:rFonts w:ascii="Times New Roman" w:hAnsi="Times New Roman"/>
          <w:i/>
        </w:rPr>
        <w:t>Vizetelly v Mudie's Select Library Ltd</w:t>
      </w:r>
      <w:r w:rsidRPr="00B77657">
        <w:rPr>
          <w:rFonts w:ascii="Times New Roman" w:hAnsi="Times New Roman"/>
        </w:rPr>
        <w:t xml:space="preserve"> as a case of innocent dissemination</w:t>
      </w:r>
      <w:r w:rsidRPr="00B77657">
        <w:rPr>
          <w:rStyle w:val="FootnoteReference"/>
          <w:rFonts w:ascii="Times New Roman" w:hAnsi="Times New Roman"/>
        </w:rPr>
        <w:footnoteReference w:id="125"/>
      </w:r>
      <w:r w:rsidRPr="00B77657">
        <w:rPr>
          <w:rFonts w:ascii="Times New Roman" w:hAnsi="Times New Roman"/>
        </w:rPr>
        <w:t>. There the defendant was the porter at a coach office who delivered parcels of handbills defamatory of the plaintiff. The report of the case records that the trial judge</w:t>
      </w:r>
      <w:r w:rsidRPr="00B77657">
        <w:rPr>
          <w:rStyle w:val="FootnoteReference"/>
          <w:rFonts w:ascii="Times New Roman" w:hAnsi="Times New Roman"/>
        </w:rPr>
        <w:footnoteReference w:id="126"/>
      </w:r>
      <w:r w:rsidRPr="00B77657">
        <w:rPr>
          <w:rFonts w:ascii="Times New Roman" w:hAnsi="Times New Roman"/>
        </w:rPr>
        <w:t>:</w:t>
      </w:r>
    </w:p>
    <w:p w14:paraId="4A9BFE6E" w14:textId="77777777" w:rsidR="009F562D" w:rsidRDefault="009F562D" w:rsidP="00B77657">
      <w:pPr>
        <w:pStyle w:val="leftright"/>
        <w:spacing w:before="0" w:after="260" w:line="280" w:lineRule="exact"/>
        <w:ind w:right="0"/>
        <w:jc w:val="both"/>
        <w:rPr>
          <w:rFonts w:ascii="Times New Roman" w:hAnsi="Times New Roman"/>
        </w:rPr>
      </w:pPr>
      <w:r w:rsidRPr="00B77657">
        <w:rPr>
          <w:rFonts w:ascii="Times New Roman" w:hAnsi="Times New Roman"/>
        </w:rPr>
        <w:t xml:space="preserve">"left it to the jury to say whether the defendant delivered the parcels in the course of his business without any knowledge of their contents; if so, to find for him, observing that </w:t>
      </w:r>
      <w:r w:rsidRPr="00B77657">
        <w:rPr>
          <w:rFonts w:ascii="Times New Roman" w:hAnsi="Times New Roman"/>
          <w:i/>
        </w:rPr>
        <w:t>prima facie</w:t>
      </w:r>
      <w:r w:rsidRPr="00B77657">
        <w:rPr>
          <w:rFonts w:ascii="Times New Roman" w:hAnsi="Times New Roman"/>
        </w:rPr>
        <w:t xml:space="preserve"> he was answerable, inasmuch as he had in fact delivered and put into publication the libel complained of, and was therefore called upon to shew his ignorance of the contents".</w:t>
      </w:r>
    </w:p>
    <w:p w14:paraId="5D7C9B80"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Even by the middle of the twentieth century, it remained common practice for a plaintiff in a defamation action to plead that the defendant published the allegedly defamatory matter with malice. But the allegation of malice could be said by then to have been "little more than a pleader's flourish or a survival of older ways"</w:t>
      </w:r>
      <w:r w:rsidRPr="00B77657">
        <w:rPr>
          <w:rStyle w:val="FootnoteReference"/>
          <w:rFonts w:ascii="Times New Roman" w:hAnsi="Times New Roman"/>
        </w:rPr>
        <w:footnoteReference w:id="127"/>
      </w:r>
      <w:r w:rsidRPr="00B77657">
        <w:rPr>
          <w:rFonts w:ascii="Times New Roman" w:hAnsi="Times New Roman"/>
        </w:rPr>
        <w:t>, "intended as, if anything, an anticipatory rebuttal of every mode by which the defamatory matter might be sought to be 'protected, or justified, or excused by law'"</w:t>
      </w:r>
      <w:r w:rsidRPr="00B77657">
        <w:rPr>
          <w:rStyle w:val="FootnoteReference"/>
          <w:rFonts w:ascii="Times New Roman" w:hAnsi="Times New Roman"/>
        </w:rPr>
        <w:footnoteReference w:id="128"/>
      </w:r>
      <w:r w:rsidRPr="00B77657">
        <w:rPr>
          <w:rFonts w:ascii="Times New Roman" w:hAnsi="Times New Roman"/>
        </w:rPr>
        <w:t xml:space="preserve">. </w:t>
      </w:r>
    </w:p>
    <w:p w14:paraId="106659AA"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lastRenderedPageBreak/>
        <w:tab/>
        <w:t xml:space="preserve">Proof by the defendant of a justification or excuse, which when </w:t>
      </w:r>
      <w:r w:rsidRPr="00B77657">
        <w:rPr>
          <w:rFonts w:ascii="Times New Roman" w:hAnsi="Times New Roman"/>
          <w:i/>
        </w:rPr>
        <w:t xml:space="preserve">Emmens v Pottle </w:t>
      </w:r>
      <w:r w:rsidRPr="00B77657">
        <w:rPr>
          <w:rFonts w:ascii="Times New Roman" w:hAnsi="Times New Roman"/>
        </w:rPr>
        <w:t>was decided and for some time afterwards</w:t>
      </w:r>
      <w:r w:rsidRPr="00B77657">
        <w:rPr>
          <w:rStyle w:val="FootnoteReference"/>
          <w:rFonts w:ascii="Times New Roman" w:hAnsi="Times New Roman"/>
        </w:rPr>
        <w:footnoteReference w:id="129"/>
      </w:r>
      <w:r w:rsidRPr="00B77657">
        <w:rPr>
          <w:rFonts w:ascii="Times New Roman" w:hAnsi="Times New Roman"/>
        </w:rPr>
        <w:t xml:space="preserve"> might still have been thought to operate to defeat the tortious liability of the defendant by negativing the presumption of malice, had been freed through the development of the common law by the middle of the twentieth century to be understood to operate to defeat the tortious liability of the defendant for the defamatory publication directly. The common law of Australia had by then in that way evolved to reflect the approach taken in the late nineteenth century in Queensland by legislation</w:t>
      </w:r>
      <w:r w:rsidRPr="00B77657">
        <w:rPr>
          <w:rStyle w:val="FootnoteReference"/>
          <w:rFonts w:ascii="Times New Roman" w:hAnsi="Times New Roman"/>
        </w:rPr>
        <w:footnoteReference w:id="130"/>
      </w:r>
      <w:r w:rsidRPr="00B77657">
        <w:rPr>
          <w:rFonts w:ascii="Times New Roman" w:hAnsi="Times New Roman"/>
          <w:i/>
        </w:rPr>
        <w:t xml:space="preserve"> </w:t>
      </w:r>
      <w:r w:rsidRPr="00B77657">
        <w:rPr>
          <w:rFonts w:ascii="Times New Roman" w:hAnsi="Times New Roman"/>
        </w:rPr>
        <w:t>the effect of which was "to eliminate the element of malice ... and to substitute the principle that all defamation must be justified or excused"</w:t>
      </w:r>
      <w:r w:rsidRPr="00B77657">
        <w:rPr>
          <w:rStyle w:val="FootnoteReference"/>
          <w:rFonts w:ascii="Times New Roman" w:hAnsi="Times New Roman"/>
        </w:rPr>
        <w:footnoteReference w:id="131"/>
      </w:r>
      <w:r w:rsidRPr="00B77657">
        <w:rPr>
          <w:rFonts w:ascii="Times New Roman" w:hAnsi="Times New Roman"/>
        </w:rPr>
        <w:t xml:space="preserve">. Such was the position at common law when </w:t>
      </w:r>
      <w:r w:rsidRPr="00B77657">
        <w:rPr>
          <w:rFonts w:ascii="Times New Roman" w:hAnsi="Times New Roman"/>
          <w:i/>
        </w:rPr>
        <w:t>Thompson v Australian Capital Television Pty Ltd</w:t>
      </w:r>
      <w:r w:rsidRPr="00B77657">
        <w:rPr>
          <w:rFonts w:ascii="Times New Roman" w:hAnsi="Times New Roman"/>
        </w:rPr>
        <w:t xml:space="preserve"> was decided, and such is the position which the </w:t>
      </w:r>
      <w:r w:rsidRPr="00B77657">
        <w:rPr>
          <w:rFonts w:ascii="Times New Roman" w:hAnsi="Times New Roman"/>
          <w:i/>
        </w:rPr>
        <w:t xml:space="preserve">Defamation Act </w:t>
      </w:r>
      <w:r w:rsidRPr="00B77657">
        <w:rPr>
          <w:rFonts w:ascii="Times New Roman" w:hAnsi="Times New Roman"/>
        </w:rPr>
        <w:t>and cognate State and Territory legislation properly treat as the foundation for the legislative modifications they make to the common law.</w:t>
      </w:r>
    </w:p>
    <w:p w14:paraId="418A9245"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Further supporting that position is that, at least since </w:t>
      </w:r>
      <w:r w:rsidRPr="00B77657">
        <w:rPr>
          <w:rFonts w:ascii="Times New Roman" w:hAnsi="Times New Roman"/>
          <w:i/>
        </w:rPr>
        <w:t>Vizetelly v Mudie's Select Library Ltd</w:t>
      </w:r>
      <w:r w:rsidRPr="00B77657">
        <w:rPr>
          <w:rFonts w:ascii="Times New Roman" w:hAnsi="Times New Roman"/>
        </w:rPr>
        <w:t xml:space="preserve">, defendants relying on innocent dissemination have been liable in defamation unless they have succeeded in discharging the onus of proving innocent dissemination. Ribeiro PJ pointed out in </w:t>
      </w:r>
      <w:r w:rsidRPr="00B77657">
        <w:rPr>
          <w:rFonts w:ascii="Times New Roman" w:hAnsi="Times New Roman"/>
          <w:i/>
        </w:rPr>
        <w:t>Oriental Press Group Ltd v Fevaworks Solutions Ltd</w:t>
      </w:r>
      <w:r w:rsidRPr="00B77657">
        <w:rPr>
          <w:rStyle w:val="FootnoteReference"/>
          <w:rFonts w:ascii="Times New Roman" w:hAnsi="Times New Roman"/>
        </w:rPr>
        <w:footnoteReference w:id="132"/>
      </w:r>
      <w:r w:rsidRPr="00B77657">
        <w:rPr>
          <w:rFonts w:ascii="Times New Roman" w:hAnsi="Times New Roman"/>
        </w:rPr>
        <w:t xml:space="preserve"> that acceptance of that liability is alone sufficient to indicate that "they must in principle be publishers, albeit in a subordinate role, for otherwise they could not be held liable at all since a fundamental constituent of the tort would be missing". That logic is reflected in the distinction drawn at common law</w:t>
      </w:r>
      <w:r w:rsidRPr="00B77657" w:rsidDel="00472C5C">
        <w:rPr>
          <w:rFonts w:ascii="Times New Roman" w:hAnsi="Times New Roman"/>
        </w:rPr>
        <w:t xml:space="preserve"> </w:t>
      </w:r>
      <w:r w:rsidRPr="00B77657">
        <w:rPr>
          <w:rFonts w:ascii="Times New Roman" w:hAnsi="Times New Roman"/>
        </w:rPr>
        <w:t>and under statute</w:t>
      </w:r>
      <w:r w:rsidRPr="00B77657">
        <w:rPr>
          <w:rStyle w:val="FootnoteReference"/>
          <w:rFonts w:ascii="Times New Roman" w:hAnsi="Times New Roman"/>
        </w:rPr>
        <w:footnoteReference w:id="133"/>
      </w:r>
      <w:r w:rsidRPr="00B77657">
        <w:rPr>
          <w:rFonts w:ascii="Times New Roman" w:hAnsi="Times New Roman"/>
        </w:rPr>
        <w:t xml:space="preserve"> between "primary" publishers, who cannot rely on innocent dissemination, and "subordinate" or "secondary" publishers, who can.</w:t>
      </w:r>
    </w:p>
    <w:p w14:paraId="7C1A2DCA"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lastRenderedPageBreak/>
        <w:tab/>
        <w:t>Statements are to be found in reasons for judgment of this Court before</w:t>
      </w:r>
      <w:r w:rsidRPr="00B77657">
        <w:rPr>
          <w:rStyle w:val="FootnoteReference"/>
          <w:rFonts w:ascii="Times New Roman" w:hAnsi="Times New Roman"/>
        </w:rPr>
        <w:footnoteReference w:id="134"/>
      </w:r>
      <w:r w:rsidRPr="00B77657">
        <w:rPr>
          <w:rFonts w:ascii="Times New Roman" w:hAnsi="Times New Roman"/>
        </w:rPr>
        <w:t xml:space="preserve"> and after</w:t>
      </w:r>
      <w:r w:rsidRPr="00B77657">
        <w:rPr>
          <w:rStyle w:val="FootnoteReference"/>
          <w:rFonts w:ascii="Times New Roman" w:hAnsi="Times New Roman"/>
        </w:rPr>
        <w:footnoteReference w:id="135"/>
      </w:r>
      <w:r w:rsidRPr="00B77657">
        <w:rPr>
          <w:rFonts w:ascii="Times New Roman" w:hAnsi="Times New Roman"/>
        </w:rPr>
        <w:t xml:space="preserve"> </w:t>
      </w:r>
      <w:r w:rsidRPr="00B77657">
        <w:rPr>
          <w:rFonts w:ascii="Times New Roman" w:hAnsi="Times New Roman"/>
          <w:i/>
        </w:rPr>
        <w:t>Thompson v Australian Capital Television Pty Ltd</w:t>
      </w:r>
      <w:r w:rsidRPr="00B77657">
        <w:rPr>
          <w:rFonts w:ascii="Times New Roman" w:hAnsi="Times New Roman"/>
        </w:rPr>
        <w:t xml:space="preserve"> to the effect that </w:t>
      </w:r>
      <w:r w:rsidRPr="00B77657">
        <w:rPr>
          <w:rFonts w:ascii="Times New Roman" w:hAnsi="Times New Roman"/>
          <w:color w:val="000000"/>
          <w:shd w:val="clear" w:color="auto" w:fill="FFFFFF"/>
        </w:rPr>
        <w:t>a publication of defamatory matter shown by a defendant to have occurred in the ordinary course of the defendant's business in circumstances in which the defendant did not know or suspect and, using reasonable diligence, would not have known or suspected that the matter was defamatory "does not amount to publication of a libel". Those statements are best understood to refer to proof of innocent dissemination operating at common law to avoid tortious liability. Understood that way, the statements do not deny that the defendant was a publisher of the matter. The statements instead acknowledge that success by the</w:t>
      </w:r>
      <w:r w:rsidRPr="00B77657">
        <w:rPr>
          <w:rFonts w:ascii="Times New Roman" w:hAnsi="Times New Roman"/>
        </w:rPr>
        <w:t xml:space="preserve"> defendant in proving innocent dissemination amounts to success in establishing a justification or excuse for the publication, the legal effect of which is to avoid tortious liability for the publication.</w:t>
      </w:r>
    </w:p>
    <w:p w14:paraId="135B9E97"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The advent of the Internet has resulted in a "disaggregation" of the process of publication</w:t>
      </w:r>
      <w:r w:rsidRPr="00B77657">
        <w:rPr>
          <w:rStyle w:val="FootnoteReference"/>
          <w:rFonts w:ascii="Times New Roman" w:hAnsi="Times New Roman"/>
        </w:rPr>
        <w:footnoteReference w:id="136"/>
      </w:r>
      <w:r w:rsidRPr="00B77657">
        <w:rPr>
          <w:rFonts w:ascii="Times New Roman" w:hAnsi="Times New Roman"/>
        </w:rPr>
        <w:t xml:space="preserve"> and has facilitated a shift from "one-to-many" publication to "many-to-many" publication</w:t>
      </w:r>
      <w:r w:rsidRPr="00B77657">
        <w:rPr>
          <w:rStyle w:val="FootnoteReference"/>
          <w:rFonts w:ascii="Times New Roman" w:hAnsi="Times New Roman"/>
        </w:rPr>
        <w:footnoteReference w:id="137"/>
      </w:r>
      <w:r w:rsidRPr="00B77657">
        <w:rPr>
          <w:rFonts w:ascii="Times New Roman" w:hAnsi="Times New Roman"/>
        </w:rPr>
        <w:t xml:space="preserve">. That technological and sociological development has not been shown to warrant relaxation of the strictness of the common law rule associated with </w:t>
      </w:r>
      <w:r w:rsidRPr="00B77657">
        <w:rPr>
          <w:rFonts w:ascii="Times New Roman" w:hAnsi="Times New Roman"/>
          <w:i/>
        </w:rPr>
        <w:t>Webb v Bloch</w:t>
      </w:r>
      <w:r w:rsidRPr="00B77657">
        <w:rPr>
          <w:rFonts w:ascii="Times New Roman" w:hAnsi="Times New Roman"/>
        </w:rPr>
        <w:t>.</w:t>
      </w:r>
    </w:p>
    <w:p w14:paraId="3CDFB23D"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Application of the strict common law rule as to publication, as has been emphasised, has long captured within the meaning of "publisher" all persons who have intentionally assisted in the process of publication. It is unsurprising, therefore, that statements can be found in some cases describing a publisher's liability for defamatory matter as arising by reason of the person "assisting and </w:t>
      </w:r>
      <w:r w:rsidRPr="00B77657">
        <w:rPr>
          <w:rFonts w:ascii="Times New Roman" w:hAnsi="Times New Roman"/>
        </w:rPr>
        <w:lastRenderedPageBreak/>
        <w:t>encouraging" another to do an act</w:t>
      </w:r>
      <w:r w:rsidRPr="00B77657">
        <w:rPr>
          <w:rStyle w:val="FootnoteReference"/>
          <w:rFonts w:ascii="Times New Roman" w:hAnsi="Times New Roman"/>
        </w:rPr>
        <w:footnoteReference w:id="138"/>
      </w:r>
      <w:r w:rsidRPr="00B77657">
        <w:rPr>
          <w:rFonts w:ascii="Times New Roman" w:hAnsi="Times New Roman"/>
        </w:rPr>
        <w:t>, or that all those who contribute to publication of a libellous book are "joint tortfeasors in respect of the ultimate publication"</w:t>
      </w:r>
      <w:r w:rsidRPr="00B77657">
        <w:rPr>
          <w:rStyle w:val="FootnoteReference"/>
          <w:rFonts w:ascii="Times New Roman" w:hAnsi="Times New Roman"/>
        </w:rPr>
        <w:footnoteReference w:id="139"/>
      </w:r>
      <w:r w:rsidRPr="00B77657">
        <w:rPr>
          <w:rFonts w:ascii="Times New Roman" w:hAnsi="Times New Roman"/>
        </w:rPr>
        <w:t>.</w:t>
      </w:r>
    </w:p>
    <w:p w14:paraId="6CC5AE84"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Equally clear, however, is that the strictness of the common law rule ensures that all degrees of intentional participation in the process of publication constitute publication for the purposes of the law of defamation</w:t>
      </w:r>
      <w:r w:rsidRPr="00B77657">
        <w:rPr>
          <w:rStyle w:val="FootnoteReference"/>
          <w:rFonts w:ascii="Times New Roman" w:hAnsi="Times New Roman"/>
        </w:rPr>
        <w:footnoteReference w:id="140"/>
      </w:r>
      <w:r w:rsidRPr="00B77657">
        <w:rPr>
          <w:rFonts w:ascii="Times New Roman" w:hAnsi="Times New Roman"/>
        </w:rPr>
        <w:t>. Unlike other areas of tort law or criminal law, where "mere assistance" or "mere similarity of design" may be insufficient to establish liability of an assister as a principal</w:t>
      </w:r>
      <w:r w:rsidRPr="00B77657">
        <w:rPr>
          <w:rStyle w:val="FootnoteReference"/>
          <w:rFonts w:ascii="Times New Roman" w:hAnsi="Times New Roman"/>
        </w:rPr>
        <w:footnoteReference w:id="141"/>
      </w:r>
      <w:r w:rsidRPr="00B77657">
        <w:rPr>
          <w:rFonts w:ascii="Times New Roman" w:hAnsi="Times New Roman"/>
        </w:rPr>
        <w:t>, liability in defamation depends upon "mere communication" of the defamatory matter to a third person, provided the defendant intentionally participated to any degree in that process</w:t>
      </w:r>
      <w:r w:rsidRPr="00B77657">
        <w:rPr>
          <w:rStyle w:val="FootnoteReference"/>
          <w:rFonts w:ascii="Times New Roman" w:hAnsi="Times New Roman"/>
        </w:rPr>
        <w:footnoteReference w:id="142"/>
      </w:r>
      <w:r w:rsidRPr="00B77657">
        <w:rPr>
          <w:rFonts w:ascii="Times New Roman" w:hAnsi="Times New Roman"/>
        </w:rPr>
        <w:t>.</w:t>
      </w:r>
    </w:p>
    <w:p w14:paraId="76C4EE6B"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Two considerations strongly support maintenance of the strictness of the common law rule in Australia. The first is fidelity to the underlying concern of the common law of defamation to protect against damage to reputation, which should not be diminished as the threats to reputation are multiplied. The second is recognition that the balance that has been struck between freedom of communication by means of the Internet and protection of reputation is one that the Commonwealth Parliament (in enacting and maintaining the </w:t>
      </w:r>
      <w:r w:rsidRPr="00B77657">
        <w:rPr>
          <w:rFonts w:ascii="Times New Roman" w:hAnsi="Times New Roman"/>
          <w:i/>
        </w:rPr>
        <w:t>Broadcasting Services Act 1992</w:t>
      </w:r>
      <w:r w:rsidRPr="00B77657">
        <w:rPr>
          <w:rFonts w:ascii="Times New Roman" w:hAnsi="Times New Roman"/>
        </w:rPr>
        <w:t xml:space="preserve"> (Cth)</w:t>
      </w:r>
      <w:r w:rsidRPr="00B77657">
        <w:rPr>
          <w:rStyle w:val="FootnoteReference"/>
          <w:rFonts w:ascii="Times New Roman" w:hAnsi="Times New Roman"/>
        </w:rPr>
        <w:footnoteReference w:id="143"/>
      </w:r>
      <w:r w:rsidRPr="00B77657">
        <w:rPr>
          <w:rFonts w:ascii="Times New Roman" w:hAnsi="Times New Roman"/>
        </w:rPr>
        <w:t>) and that State Parliaments and Territory legislatures (in enacting and maintaining and providing for review of</w:t>
      </w:r>
      <w:r w:rsidRPr="00B77657">
        <w:rPr>
          <w:rStyle w:val="FootnoteReference"/>
          <w:rFonts w:ascii="Times New Roman" w:hAnsi="Times New Roman"/>
        </w:rPr>
        <w:footnoteReference w:id="144"/>
      </w:r>
      <w:r w:rsidRPr="00B77657">
        <w:rPr>
          <w:rFonts w:ascii="Times New Roman" w:hAnsi="Times New Roman"/>
        </w:rPr>
        <w:t xml:space="preserve"> the </w:t>
      </w:r>
      <w:r w:rsidRPr="00B77657">
        <w:rPr>
          <w:rFonts w:ascii="Times New Roman" w:hAnsi="Times New Roman"/>
          <w:i/>
        </w:rPr>
        <w:t>Defamation Act</w:t>
      </w:r>
      <w:r w:rsidRPr="00B77657">
        <w:rPr>
          <w:rFonts w:ascii="Times New Roman" w:hAnsi="Times New Roman"/>
        </w:rPr>
        <w:t xml:space="preserve"> and cognate legislation) have determined for the time being to be appropriate against the background of the stable application of common law principle.</w:t>
      </w:r>
    </w:p>
    <w:p w14:paraId="7BFB716F"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lastRenderedPageBreak/>
        <w:tab/>
        <w:t xml:space="preserve">Not unimportantly, continuing adherence to the strictness of the common law rule associated with </w:t>
      </w:r>
      <w:r w:rsidRPr="00B77657">
        <w:rPr>
          <w:rFonts w:ascii="Times New Roman" w:hAnsi="Times New Roman"/>
          <w:i/>
        </w:rPr>
        <w:t>Webb v Bloch</w:t>
      </w:r>
      <w:r w:rsidRPr="00B77657">
        <w:rPr>
          <w:rFonts w:ascii="Times New Roman" w:hAnsi="Times New Roman"/>
        </w:rPr>
        <w:t xml:space="preserve"> also results in substantial conformity of the common law of Australia to the approach taken to resolving novel issues concerning publication of defamatory matter by means of the Internet in strongly reasoned common law decisions both of the Supreme Court of Canada in </w:t>
      </w:r>
      <w:r w:rsidRPr="00B77657">
        <w:rPr>
          <w:rFonts w:ascii="Times New Roman" w:hAnsi="Times New Roman"/>
          <w:i/>
        </w:rPr>
        <w:t>Crookes v Newton</w:t>
      </w:r>
      <w:r w:rsidRPr="00B77657">
        <w:rPr>
          <w:rStyle w:val="FootnoteReference"/>
          <w:rFonts w:ascii="Times New Roman" w:hAnsi="Times New Roman"/>
        </w:rPr>
        <w:footnoteReference w:id="145"/>
      </w:r>
      <w:r w:rsidRPr="00B77657">
        <w:rPr>
          <w:rFonts w:ascii="Times New Roman" w:hAnsi="Times New Roman"/>
        </w:rPr>
        <w:t xml:space="preserve"> and of the Court of Final Appeal of Hong Kong in</w:t>
      </w:r>
      <w:r w:rsidRPr="00B77657">
        <w:rPr>
          <w:rFonts w:ascii="Times New Roman" w:hAnsi="Times New Roman"/>
          <w:i/>
        </w:rPr>
        <w:t xml:space="preserve"> Oriental Press Group Ltd v Fevaworks Solutions Ltd</w:t>
      </w:r>
      <w:r w:rsidRPr="00B77657">
        <w:rPr>
          <w:rStyle w:val="FootnoteReference"/>
          <w:rFonts w:ascii="Times New Roman" w:hAnsi="Times New Roman"/>
        </w:rPr>
        <w:footnoteReference w:id="146"/>
      </w:r>
      <w:r w:rsidRPr="00B77657">
        <w:rPr>
          <w:rFonts w:ascii="Times New Roman" w:hAnsi="Times New Roman"/>
        </w:rPr>
        <w:t>. To adapt an observation made by French</w:t>
      </w:r>
      <w:r>
        <w:rPr>
          <w:rFonts w:ascii="Times New Roman" w:hAnsi="Times New Roman"/>
        </w:rPr>
        <w:t> </w:t>
      </w:r>
      <w:r w:rsidRPr="00B77657">
        <w:rPr>
          <w:rFonts w:ascii="Times New Roman" w:hAnsi="Times New Roman"/>
        </w:rPr>
        <w:t xml:space="preserve">CJ in </w:t>
      </w:r>
      <w:r w:rsidRPr="00B77657">
        <w:rPr>
          <w:rFonts w:ascii="Times New Roman" w:hAnsi="Times New Roman"/>
          <w:i/>
        </w:rPr>
        <w:t>Paciocco v Australia &amp; New Zealand Banking Group Ltd</w:t>
      </w:r>
      <w:r w:rsidRPr="00B77657">
        <w:rPr>
          <w:rStyle w:val="FootnoteReference"/>
          <w:rFonts w:ascii="Times New Roman" w:hAnsi="Times New Roman"/>
        </w:rPr>
        <w:footnoteReference w:id="147"/>
      </w:r>
      <w:r w:rsidRPr="00B77657">
        <w:rPr>
          <w:rFonts w:ascii="Times New Roman" w:hAnsi="Times New Roman"/>
        </w:rPr>
        <w:t>, given that a strength of common law reasoning lies in its ability to assimilate and build upon collective experience, when grappling with the application of common law principles of tortious liability inherited from a common source to meet common challenges presented by emerging global phenomena, "</w:t>
      </w:r>
      <w:r w:rsidRPr="00B77657">
        <w:rPr>
          <w:rFonts w:ascii="Times New Roman" w:hAnsi="Times New Roman"/>
          <w:color w:val="000000"/>
          <w:shd w:val="clear" w:color="auto" w:fill="FFFFFF"/>
        </w:rPr>
        <w:t>convergence ... is preferable to divergence even if harmonisation is beyond reach".</w:t>
      </w:r>
    </w:p>
    <w:p w14:paraId="783BA52F" w14:textId="77777777" w:rsidR="009F562D" w:rsidRPr="00B77657" w:rsidRDefault="009F562D" w:rsidP="00B77657">
      <w:pPr>
        <w:pStyle w:val="HeadingL1"/>
        <w:spacing w:after="260" w:line="280" w:lineRule="exact"/>
        <w:ind w:right="0"/>
        <w:jc w:val="both"/>
        <w:rPr>
          <w:rFonts w:ascii="Times New Roman" w:hAnsi="Times New Roman"/>
        </w:rPr>
      </w:pPr>
      <w:r w:rsidRPr="00B77657">
        <w:rPr>
          <w:rFonts w:ascii="Times New Roman" w:hAnsi="Times New Roman"/>
        </w:rPr>
        <w:t>Overseas cases</w:t>
      </w:r>
    </w:p>
    <w:p w14:paraId="233CF1A4"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The appellants referred to several overseas decisions which they argued to contain reasoning supporting their contention that intention to publish defamatory matter is required for a person to be a publisher. None of those decisions assists them. </w:t>
      </w:r>
    </w:p>
    <w:p w14:paraId="740ED3E7"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r>
      <w:r w:rsidRPr="00B77657">
        <w:rPr>
          <w:rFonts w:ascii="Times New Roman" w:hAnsi="Times New Roman"/>
          <w:i/>
        </w:rPr>
        <w:t>Tamiz v Google Inc</w:t>
      </w:r>
      <w:r w:rsidRPr="00B77657">
        <w:rPr>
          <w:rStyle w:val="FootnoteReference"/>
          <w:rFonts w:ascii="Times New Roman" w:hAnsi="Times New Roman"/>
        </w:rPr>
        <w:footnoteReference w:id="148"/>
      </w:r>
      <w:r w:rsidRPr="00B77657">
        <w:rPr>
          <w:rFonts w:ascii="Times New Roman" w:hAnsi="Times New Roman"/>
        </w:rPr>
        <w:t xml:space="preserve"> was a decision of the Court of Appeal of England and Wales in which Google Inc was found not to have been the publisher at common law of allegedly defamatory comments posted anonymously on an independent blog created by an Internet user by means of its platform known as "Blogger.com". As Ribeiro PJ pointed out in </w:t>
      </w:r>
      <w:r w:rsidRPr="00B77657">
        <w:rPr>
          <w:rFonts w:ascii="Times New Roman" w:hAnsi="Times New Roman"/>
          <w:i/>
        </w:rPr>
        <w:t>Oriental Press Group Ltd v Fevaworks Solutions Ltd</w:t>
      </w:r>
      <w:r w:rsidRPr="00B77657">
        <w:rPr>
          <w:rStyle w:val="FootnoteReference"/>
          <w:rFonts w:ascii="Times New Roman" w:hAnsi="Times New Roman"/>
        </w:rPr>
        <w:footnoteReference w:id="149"/>
      </w:r>
      <w:r w:rsidRPr="00B77657">
        <w:rPr>
          <w:rFonts w:ascii="Times New Roman" w:hAnsi="Times New Roman"/>
        </w:rPr>
        <w:t>, the decision proceeded "on the basis that successful invocation of the defence of innocent dissemination results in the defendant being deemed not to have published at all". For reasons already stated, that process of reasoning does not reflect the common law of Australia.</w:t>
      </w:r>
    </w:p>
    <w:p w14:paraId="77E42F03"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i/>
        </w:rPr>
      </w:pPr>
      <w:r w:rsidRPr="00B77657">
        <w:rPr>
          <w:rFonts w:ascii="Times New Roman" w:hAnsi="Times New Roman"/>
        </w:rPr>
        <w:lastRenderedPageBreak/>
        <w:tab/>
      </w:r>
      <w:r w:rsidRPr="00B77657">
        <w:rPr>
          <w:rFonts w:ascii="Times New Roman" w:hAnsi="Times New Roman"/>
          <w:i/>
        </w:rPr>
        <w:t>Monir v Wood</w:t>
      </w:r>
      <w:r w:rsidRPr="00B77657">
        <w:rPr>
          <w:rStyle w:val="FootnoteReference"/>
          <w:rFonts w:ascii="Times New Roman" w:hAnsi="Times New Roman"/>
        </w:rPr>
        <w:footnoteReference w:id="150"/>
      </w:r>
      <w:r w:rsidRPr="00B77657">
        <w:rPr>
          <w:rFonts w:ascii="Times New Roman" w:hAnsi="Times New Roman"/>
        </w:rPr>
        <w:t xml:space="preserve"> was a subsequent decision of a single judge of the High Court of England and Wales in which it was noted with reference to an earlier decision of a single judge of that Court in </w:t>
      </w:r>
      <w:r w:rsidRPr="00B77657">
        <w:rPr>
          <w:rFonts w:ascii="Times New Roman" w:hAnsi="Times New Roman"/>
          <w:i/>
        </w:rPr>
        <w:t>Bunt v Tilley</w:t>
      </w:r>
      <w:r w:rsidRPr="00B77657">
        <w:rPr>
          <w:rStyle w:val="FootnoteReference"/>
          <w:rFonts w:ascii="Times New Roman" w:hAnsi="Times New Roman"/>
        </w:rPr>
        <w:footnoteReference w:id="151"/>
      </w:r>
      <w:r w:rsidRPr="00B77657">
        <w:rPr>
          <w:rFonts w:ascii="Times New Roman" w:hAnsi="Times New Roman"/>
          <w:i/>
        </w:rPr>
        <w:t xml:space="preserve"> </w:t>
      </w:r>
      <w:r w:rsidRPr="00B77657">
        <w:rPr>
          <w:rFonts w:ascii="Times New Roman" w:hAnsi="Times New Roman"/>
        </w:rPr>
        <w:t xml:space="preserve">that the parties did not dispute the proposition that "for a person to be held liable as a </w:t>
      </w:r>
      <w:r w:rsidRPr="00B77657">
        <w:rPr>
          <w:rFonts w:ascii="Times New Roman" w:hAnsi="Times New Roman"/>
          <w:i/>
        </w:rPr>
        <w:t>primary</w:t>
      </w:r>
      <w:r w:rsidRPr="00B77657">
        <w:rPr>
          <w:rFonts w:ascii="Times New Roman" w:hAnsi="Times New Roman"/>
        </w:rPr>
        <w:t xml:space="preserve"> publisher, s/he must be shown to have knowing involvement in the publication of the particular words". The appellants sought to unpack neither the meaning of the emphasised descriptor in the context of that case nor what might have been thought in the context of that case to be included in or excluded from the notion of "knowing involvement in the publication of the particular words". At least without considerably more analysis, invocation in argument of isolated statements of that kind does nothing to inform principled analysis.</w:t>
      </w:r>
    </w:p>
    <w:p w14:paraId="07EC8E17"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r>
      <w:r w:rsidRPr="00B77657">
        <w:rPr>
          <w:rFonts w:ascii="Times New Roman" w:hAnsi="Times New Roman"/>
          <w:i/>
        </w:rPr>
        <w:t>Murray v Wishart</w:t>
      </w:r>
      <w:r w:rsidRPr="00B77657">
        <w:rPr>
          <w:rStyle w:val="FootnoteReference"/>
          <w:rFonts w:ascii="Times New Roman" w:hAnsi="Times New Roman"/>
        </w:rPr>
        <w:footnoteReference w:id="152"/>
      </w:r>
      <w:r w:rsidRPr="00B77657">
        <w:rPr>
          <w:rFonts w:ascii="Times New Roman" w:hAnsi="Times New Roman"/>
        </w:rPr>
        <w:t xml:space="preserve"> was a decision in which the New Zealand Court of Appeal held that an individual Internet user who was the administrator of a private Facebook page and who had no "actual knowledge" of the contents of third-party comments posted on the page was not liable in defamation. The Court of Appeal proceeded without reference to </w:t>
      </w:r>
      <w:r w:rsidRPr="00B77657">
        <w:rPr>
          <w:rFonts w:ascii="Times New Roman" w:hAnsi="Times New Roman"/>
          <w:i/>
        </w:rPr>
        <w:t>Webb v Bloch</w:t>
      </w:r>
      <w:r w:rsidRPr="00B77657">
        <w:rPr>
          <w:rFonts w:ascii="Times New Roman" w:hAnsi="Times New Roman"/>
        </w:rPr>
        <w:t>, and indeed without analysis of what constitutes publication at common law. Rather, the starting point for its analysis was that the issue of publication was to be determined by "strained analogy" with previously decided cases</w:t>
      </w:r>
      <w:r w:rsidRPr="00B77657">
        <w:rPr>
          <w:rStyle w:val="FootnoteReference"/>
          <w:rFonts w:ascii="Times New Roman" w:hAnsi="Times New Roman"/>
        </w:rPr>
        <w:footnoteReference w:id="153"/>
      </w:r>
      <w:r w:rsidRPr="00B77657">
        <w:rPr>
          <w:rFonts w:ascii="Times New Roman" w:hAnsi="Times New Roman"/>
        </w:rPr>
        <w:t>. It appeared to assume that either actual or constructive knowledge of the defamatory content was necessary for publication</w:t>
      </w:r>
      <w:r w:rsidRPr="00B77657">
        <w:rPr>
          <w:rStyle w:val="FootnoteReference"/>
          <w:rFonts w:ascii="Times New Roman" w:hAnsi="Times New Roman"/>
        </w:rPr>
        <w:footnoteReference w:id="154"/>
      </w:r>
      <w:r w:rsidRPr="00B77657">
        <w:rPr>
          <w:rFonts w:ascii="Times New Roman" w:hAnsi="Times New Roman"/>
        </w:rPr>
        <w:t>. Its ultimate conclusion that "the actual knowledge test should be the only test to determine whether a Facebook page host is a publisher"</w:t>
      </w:r>
      <w:r w:rsidRPr="00B77657">
        <w:rPr>
          <w:rStyle w:val="FootnoteReference"/>
          <w:rFonts w:ascii="Times New Roman" w:hAnsi="Times New Roman"/>
        </w:rPr>
        <w:footnoteReference w:id="155"/>
      </w:r>
      <w:r w:rsidRPr="00B77657">
        <w:rPr>
          <w:rFonts w:ascii="Times New Roman" w:hAnsi="Times New Roman"/>
        </w:rPr>
        <w:t xml:space="preserve"> was reached having regard to the guarantee of freedom of expression in the </w:t>
      </w:r>
      <w:r w:rsidRPr="00B77657">
        <w:rPr>
          <w:rFonts w:ascii="Times New Roman" w:hAnsi="Times New Roman"/>
          <w:i/>
        </w:rPr>
        <w:t>New Zealand Bill of Rights Act 1990</w:t>
      </w:r>
      <w:r w:rsidRPr="00B77657">
        <w:rPr>
          <w:rFonts w:ascii="Times New Roman" w:hAnsi="Times New Roman"/>
        </w:rPr>
        <w:t xml:space="preserve"> (NZ). The reasoning does not reflect the common law of Australia. </w:t>
      </w:r>
    </w:p>
    <w:p w14:paraId="1913AF8C"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r>
      <w:r w:rsidRPr="00B77657">
        <w:rPr>
          <w:rFonts w:ascii="Times New Roman" w:hAnsi="Times New Roman"/>
          <w:i/>
        </w:rPr>
        <w:t>Crookes v Newton</w:t>
      </w:r>
      <w:r w:rsidRPr="00B77657">
        <w:rPr>
          <w:rFonts w:ascii="Times New Roman" w:hAnsi="Times New Roman"/>
        </w:rPr>
        <w:t xml:space="preserve"> was a decision of the Supreme Court of Canada which, as already noted, expounded the common law rule about publication in terms consistent with </w:t>
      </w:r>
      <w:r w:rsidRPr="00B77657">
        <w:rPr>
          <w:rFonts w:ascii="Times New Roman" w:hAnsi="Times New Roman"/>
          <w:i/>
        </w:rPr>
        <w:t>Webb v Bloch</w:t>
      </w:r>
      <w:r w:rsidRPr="00B77657">
        <w:rPr>
          <w:rStyle w:val="FootnoteReference"/>
          <w:rFonts w:ascii="Times New Roman" w:hAnsi="Times New Roman"/>
        </w:rPr>
        <w:footnoteReference w:id="156"/>
      </w:r>
      <w:r w:rsidRPr="00B77657">
        <w:rPr>
          <w:rFonts w:ascii="Times New Roman" w:hAnsi="Times New Roman"/>
        </w:rPr>
        <w:t xml:space="preserve">. The issue before the Supreme Court was whether </w:t>
      </w:r>
      <w:r w:rsidRPr="00B77657">
        <w:rPr>
          <w:rFonts w:ascii="Times New Roman" w:hAnsi="Times New Roman"/>
        </w:rPr>
        <w:lastRenderedPageBreak/>
        <w:t>the creation of a hyperlink in an article posted on a website, in and of itself, constituted publication of the content which an Internet user reading the article was able to access by clicking on the hyperlink. The Supreme Court found that a "mere" hyperlink did not engage the common law rule on the basis that the hyperlink was essentially a reference to other material rather than republication of that other material</w:t>
      </w:r>
      <w:r w:rsidRPr="00B77657">
        <w:rPr>
          <w:rStyle w:val="FootnoteReference"/>
          <w:rFonts w:ascii="Times New Roman" w:hAnsi="Times New Roman"/>
        </w:rPr>
        <w:footnoteReference w:id="157"/>
      </w:r>
      <w:r w:rsidRPr="00B77657">
        <w:rPr>
          <w:rFonts w:ascii="Times New Roman" w:hAnsi="Times New Roman"/>
        </w:rPr>
        <w:t xml:space="preserve">. The conduct of the appellants in the present case, like the conduct of the respondents in </w:t>
      </w:r>
      <w:r w:rsidRPr="00B77657">
        <w:rPr>
          <w:rFonts w:ascii="Times New Roman" w:hAnsi="Times New Roman"/>
          <w:i/>
        </w:rPr>
        <w:t>Oriental Press Group Ltd v Fevaworks Solutions Ltd</w:t>
      </w:r>
      <w:r w:rsidRPr="00B77657">
        <w:rPr>
          <w:rFonts w:ascii="Times New Roman" w:hAnsi="Times New Roman"/>
        </w:rPr>
        <w:t>, was of a wholly different character.</w:t>
      </w:r>
    </w:p>
    <w:p w14:paraId="23424143" w14:textId="77777777" w:rsidR="009F562D" w:rsidRPr="00B77657" w:rsidRDefault="009F562D" w:rsidP="00B77657">
      <w:pPr>
        <w:pStyle w:val="HeadingL1"/>
        <w:spacing w:after="260" w:line="280" w:lineRule="exact"/>
        <w:ind w:right="0"/>
        <w:jc w:val="both"/>
        <w:rPr>
          <w:rFonts w:ascii="Times New Roman" w:hAnsi="Times New Roman"/>
        </w:rPr>
      </w:pPr>
      <w:r w:rsidRPr="00B77657">
        <w:rPr>
          <w:rFonts w:ascii="Times New Roman" w:hAnsi="Times New Roman"/>
        </w:rPr>
        <w:t>The appellants as publishers</w:t>
      </w:r>
    </w:p>
    <w:p w14:paraId="3FCE720B"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In </w:t>
      </w:r>
      <w:r w:rsidRPr="00B77657">
        <w:rPr>
          <w:rFonts w:ascii="Times New Roman" w:hAnsi="Times New Roman"/>
          <w:i/>
        </w:rPr>
        <w:t>Oriental Press Group Ltd v Fevaworks Solutions Ltd</w:t>
      </w:r>
      <w:r w:rsidRPr="00B77657">
        <w:rPr>
          <w:rFonts w:ascii="Times New Roman" w:hAnsi="Times New Roman"/>
        </w:rPr>
        <w:t xml:space="preserve">, not unlike in </w:t>
      </w:r>
      <w:r w:rsidRPr="00B77657">
        <w:rPr>
          <w:rFonts w:ascii="Times New Roman" w:hAnsi="Times New Roman"/>
          <w:i/>
        </w:rPr>
        <w:t>Thompson v Australian Capital Television Pty Ltd</w:t>
      </w:r>
      <w:r w:rsidRPr="00B77657">
        <w:rPr>
          <w:rFonts w:ascii="Times New Roman" w:hAnsi="Times New Roman"/>
        </w:rPr>
        <w:t>, the issue was not as to publication but as to whether the common law defence of innocent dissemination was available to the respondents, who administered a website which hosted an Internet discussion forum on which users posted defamatory matter. Before turning to resolve that issue, Ribeiro PJ said of the respondents</w:t>
      </w:r>
      <w:r w:rsidRPr="00B77657">
        <w:rPr>
          <w:rStyle w:val="FootnoteReference"/>
          <w:rFonts w:ascii="Times New Roman" w:hAnsi="Times New Roman"/>
        </w:rPr>
        <w:footnoteReference w:id="158"/>
      </w:r>
      <w:r w:rsidRPr="00B77657">
        <w:rPr>
          <w:rFonts w:ascii="Times New Roman" w:hAnsi="Times New Roman"/>
        </w:rPr>
        <w:t>:</w:t>
      </w:r>
    </w:p>
    <w:p w14:paraId="6DF9ED81" w14:textId="77777777" w:rsidR="009F562D" w:rsidRDefault="009F562D" w:rsidP="00B77657">
      <w:pPr>
        <w:pStyle w:val="leftright"/>
        <w:spacing w:before="0" w:after="260" w:line="280" w:lineRule="exact"/>
        <w:ind w:right="0"/>
        <w:jc w:val="both"/>
        <w:rPr>
          <w:rFonts w:ascii="Times New Roman" w:hAnsi="Times New Roman"/>
        </w:rPr>
      </w:pPr>
      <w:r w:rsidRPr="00B77657">
        <w:rPr>
          <w:rFonts w:ascii="Times New Roman" w:hAnsi="Times New Roman"/>
        </w:rPr>
        <w:t>"They were certainly publishers of those postings (and do not seek to argue otherwise) since they provided the platform for their dissemination, but the respondents were not aware of their content and realistically, in a many-to-many context, did not have the ability or opportunity to prevent their dissemination, having learned of them only after they had already been published by their originators."</w:t>
      </w:r>
    </w:p>
    <w:p w14:paraId="28196214"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Except that the present appellants do "seek to argue otherwise", that description of the respondents in </w:t>
      </w:r>
      <w:r w:rsidRPr="00B77657">
        <w:rPr>
          <w:rFonts w:ascii="Times New Roman" w:hAnsi="Times New Roman"/>
          <w:i/>
        </w:rPr>
        <w:t>Oriental Press Group Ltd v Fevaworks Solutions Ltd</w:t>
      </w:r>
      <w:r w:rsidRPr="00B77657">
        <w:rPr>
          <w:rFonts w:ascii="Times New Roman" w:hAnsi="Times New Roman"/>
        </w:rPr>
        <w:t xml:space="preserve"> is an apt description of the present appellants. </w:t>
      </w:r>
    </w:p>
    <w:p w14:paraId="70D4689D"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Each appellant became a publisher of each comment posted on its public Facebook page by a Facebook user as and when that comment was accessed in a comprehensible form by another Facebook user. Each appellant became a publisher at that time by reason of its intentional participation in the process by which the posted comment had become available to be accessed by the other Facebook user. In each case, the intentional participation in that process was sufficiently constituted by the appellant, having contracted with Facebook for the creation and ongoing provision of its public Facebook page, posting content on the page the effect of which was automatically to give Facebook users the option (in addition to "Like" or "Share") to "Comment" on the content by posting a comment which (if not "filtered" so as to be automatically "hidden" if it contained </w:t>
      </w:r>
      <w:r w:rsidRPr="00B77657">
        <w:rPr>
          <w:rFonts w:ascii="Times New Roman" w:hAnsi="Times New Roman"/>
        </w:rPr>
        <w:lastRenderedPageBreak/>
        <w:t>"moderated words") was automatically accessible in a comprehensible form by other Facebook users.</w:t>
      </w:r>
    </w:p>
    <w:p w14:paraId="1FBE3697"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Not to the point of the appellants having been publishers is the fact that: the appellants had no control over the facility by which the Facebook service was provided to them and to Facebook users; the "Comment" function was a standard feature of the Facebook service which the appellants could not disable; it was not possible for them to delete all comments in advance; or they could have effectively "hidden" all comments posted by Facebook users only by applying an extremely long list of common words as "moderated words".</w:t>
      </w:r>
    </w:p>
    <w:p w14:paraId="5F40F387"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The primary judge found that over 15 million Australians are Facebook users</w:t>
      </w:r>
      <w:r w:rsidRPr="00B77657">
        <w:rPr>
          <w:rStyle w:val="FootnoteReference"/>
          <w:rFonts w:ascii="Times New Roman" w:hAnsi="Times New Roman"/>
        </w:rPr>
        <w:footnoteReference w:id="159"/>
      </w:r>
      <w:r w:rsidRPr="00B77657">
        <w:rPr>
          <w:rFonts w:ascii="Times New Roman" w:hAnsi="Times New Roman"/>
        </w:rPr>
        <w:t xml:space="preserve">. The appellants chose to operate public Facebook pages in order to engage commercially with that significant segment of the population. </w:t>
      </w:r>
    </w:p>
    <w:p w14:paraId="59CB767B"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The primary judge found that the "primary purpose" of the operation of each appellant's public Facebook page was "to optimise readership of the newspaper (whether hardcopy or digital) or broadcast and to optimise advertising revenue"</w:t>
      </w:r>
      <w:r w:rsidRPr="00B77657">
        <w:rPr>
          <w:rStyle w:val="FootnoteReference"/>
          <w:rFonts w:ascii="Times New Roman" w:hAnsi="Times New Roman"/>
        </w:rPr>
        <w:footnoteReference w:id="160"/>
      </w:r>
      <w:r w:rsidRPr="00B77657">
        <w:rPr>
          <w:rFonts w:ascii="Times New Roman" w:hAnsi="Times New Roman"/>
        </w:rPr>
        <w:t>. Each appellant "provided the forum for its publication and encouraged, for its own commercial purposes, the publication of comments"</w:t>
      </w:r>
      <w:r w:rsidRPr="00B77657">
        <w:rPr>
          <w:rStyle w:val="FootnoteReference"/>
          <w:rFonts w:ascii="Times New Roman" w:hAnsi="Times New Roman"/>
        </w:rPr>
        <w:footnoteReference w:id="161"/>
      </w:r>
      <w:r w:rsidRPr="00B77657">
        <w:rPr>
          <w:rFonts w:ascii="Times New Roman" w:hAnsi="Times New Roman"/>
        </w:rPr>
        <w:t>. Indeed, the primary judge found that</w:t>
      </w:r>
      <w:r w:rsidRPr="00B77657">
        <w:rPr>
          <w:rStyle w:val="FootnoteReference"/>
          <w:rFonts w:ascii="Times New Roman" w:hAnsi="Times New Roman"/>
        </w:rPr>
        <w:footnoteReference w:id="162"/>
      </w:r>
      <w:r w:rsidRPr="00B77657">
        <w:rPr>
          <w:rFonts w:ascii="Times New Roman" w:hAnsi="Times New Roman"/>
        </w:rPr>
        <w:t>:</w:t>
      </w:r>
    </w:p>
    <w:p w14:paraId="6D8D30DC" w14:textId="77777777" w:rsidR="009F562D" w:rsidRDefault="009F562D" w:rsidP="00B77657">
      <w:pPr>
        <w:pStyle w:val="leftright"/>
        <w:spacing w:before="0" w:after="260" w:line="280" w:lineRule="exact"/>
        <w:ind w:right="0"/>
        <w:jc w:val="both"/>
        <w:rPr>
          <w:rFonts w:ascii="Times New Roman" w:hAnsi="Times New Roman"/>
        </w:rPr>
      </w:pPr>
      <w:r w:rsidRPr="00B77657">
        <w:rPr>
          <w:rFonts w:ascii="Times New Roman" w:hAnsi="Times New Roman"/>
        </w:rPr>
        <w:t>"[t]he existence and number of comments ... from third-party users is an important (and, more probably than not, the most important) aspect of the public Facebook page, as it affects the Facebook algorithm and increases the profile of the Facebook page and the consequential popularity of the Facebook page, thereby increasing readership ... and augmenting advertising sales".</w:t>
      </w:r>
    </w:p>
    <w:p w14:paraId="5C986281"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Having regard to those findings, the appellants' attempt to portray themselves as passive and unwitting victims of Facebook's functionality has an air of unreality. Having taken action to secure the commercial benefit of the Facebook functionality, the appellants bear the legal consequences.</w:t>
      </w:r>
    </w:p>
    <w:p w14:paraId="5D07CEFF"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lastRenderedPageBreak/>
        <w:tab/>
        <w:t xml:space="preserve">The conduct of the appellants is accordingly distinguishable from "graffitied wall" cases, such as </w:t>
      </w:r>
      <w:r w:rsidRPr="00B77657">
        <w:rPr>
          <w:rFonts w:ascii="Times New Roman" w:hAnsi="Times New Roman"/>
          <w:i/>
        </w:rPr>
        <w:t>Byrne v Deane</w:t>
      </w:r>
      <w:r w:rsidRPr="00B77657">
        <w:rPr>
          <w:rStyle w:val="FootnoteReference"/>
          <w:rFonts w:ascii="Times New Roman" w:hAnsi="Times New Roman"/>
        </w:rPr>
        <w:footnoteReference w:id="163"/>
      </w:r>
      <w:r w:rsidRPr="00B77657">
        <w:rPr>
          <w:rFonts w:ascii="Times New Roman" w:hAnsi="Times New Roman"/>
          <w:i/>
        </w:rPr>
        <w:t xml:space="preserve"> </w:t>
      </w:r>
      <w:r w:rsidRPr="00B77657">
        <w:rPr>
          <w:rFonts w:ascii="Times New Roman" w:hAnsi="Times New Roman"/>
        </w:rPr>
        <w:t xml:space="preserve">and </w:t>
      </w:r>
      <w:r w:rsidRPr="00B77657">
        <w:rPr>
          <w:rFonts w:ascii="Times New Roman" w:hAnsi="Times New Roman"/>
          <w:i/>
        </w:rPr>
        <w:t>Urbanchich v Drummoyne Municipal Council</w:t>
      </w:r>
      <w:r w:rsidRPr="00B77657">
        <w:rPr>
          <w:rStyle w:val="FootnoteReference"/>
          <w:rFonts w:ascii="Times New Roman" w:hAnsi="Times New Roman"/>
        </w:rPr>
        <w:footnoteReference w:id="164"/>
      </w:r>
      <w:r w:rsidRPr="00B77657">
        <w:rPr>
          <w:rFonts w:ascii="Times New Roman" w:hAnsi="Times New Roman"/>
        </w:rPr>
        <w:t>, in which issues have been raised about whether an owner of a building or noticeboard on which a defamatory statement was initially wrongfully affixed by a third party subsequently "consented to, or approved of, or adopted, or promoted, or in some way ratified, the continued presence of that statement ... so that persons other than the plaintiff may continue to read it"</w:t>
      </w:r>
      <w:r w:rsidRPr="00B77657">
        <w:rPr>
          <w:rStyle w:val="FootnoteReference"/>
          <w:rFonts w:ascii="Times New Roman" w:hAnsi="Times New Roman"/>
        </w:rPr>
        <w:footnoteReference w:id="165"/>
      </w:r>
      <w:r w:rsidRPr="00B77657">
        <w:rPr>
          <w:rFonts w:ascii="Times New Roman" w:hAnsi="Times New Roman"/>
        </w:rPr>
        <w:t xml:space="preserve">. There is plainly a critical difference between that line of cases, involving defendants who have played </w:t>
      </w:r>
      <w:r w:rsidRPr="00B77657">
        <w:rPr>
          <w:rFonts w:ascii="Times New Roman" w:hAnsi="Times New Roman"/>
          <w:i/>
        </w:rPr>
        <w:t>no</w:t>
      </w:r>
      <w:r w:rsidRPr="00B77657">
        <w:rPr>
          <w:rFonts w:ascii="Times New Roman" w:hAnsi="Times New Roman"/>
        </w:rPr>
        <w:t xml:space="preserve"> role in the facilitation of publication prior to becoming aware of the defamatory matter, and the present case.</w:t>
      </w:r>
    </w:p>
    <w:p w14:paraId="0F9CE834"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 xml:space="preserve">Where, as here, the operator of an "electronic bulletin board" posts material with the intention that third parties will comment on the material posted, the operator cannot escape being a publisher of the comments of those third parties. The most appropriate analogy is with live television or talkback radio. As Brennan CJ, Dawson and Toohey JJ recognised in </w:t>
      </w:r>
      <w:r w:rsidRPr="00B77657">
        <w:rPr>
          <w:rFonts w:ascii="Times New Roman" w:hAnsi="Times New Roman"/>
          <w:i/>
        </w:rPr>
        <w:t>Thompson v Australian Capital Television Pty Ltd</w:t>
      </w:r>
      <w:r w:rsidRPr="00B77657">
        <w:rPr>
          <w:rFonts w:ascii="Times New Roman" w:hAnsi="Times New Roman"/>
        </w:rPr>
        <w:t>, in the context of a live to air broadcast of a television program being simultaneously aired by another network, "the nature of a live to air current affairs program carries a high risk of defamatory statements being made"</w:t>
      </w:r>
      <w:r w:rsidRPr="00B77657">
        <w:rPr>
          <w:rStyle w:val="FootnoteReference"/>
          <w:rFonts w:ascii="Times New Roman" w:hAnsi="Times New Roman"/>
        </w:rPr>
        <w:footnoteReference w:id="166"/>
      </w:r>
      <w:r w:rsidRPr="00B77657">
        <w:rPr>
          <w:rFonts w:ascii="Times New Roman" w:hAnsi="Times New Roman"/>
        </w:rPr>
        <w:t xml:space="preserve"> and such a program "by its nature would be likely to involve comments about persons"</w:t>
      </w:r>
      <w:r w:rsidRPr="00B77657">
        <w:rPr>
          <w:rStyle w:val="FootnoteReference"/>
          <w:rFonts w:ascii="Times New Roman" w:hAnsi="Times New Roman"/>
        </w:rPr>
        <w:footnoteReference w:id="167"/>
      </w:r>
      <w:r w:rsidRPr="00B77657">
        <w:rPr>
          <w:rFonts w:ascii="Times New Roman" w:hAnsi="Times New Roman"/>
        </w:rPr>
        <w:t xml:space="preserve">.  </w:t>
      </w:r>
    </w:p>
    <w:p w14:paraId="1184C505" w14:textId="77777777" w:rsidR="009F562D" w:rsidRPr="00B77657" w:rsidRDefault="009F562D" w:rsidP="009F562D">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In sum, each appellant intentionally took a platform provided by another entity, Facebook, created and administered a public Facebook page, and posted content on that page. The creation of the public Facebook page, and the posting of content on that page, encouraged and facilitated publication of comments from third parties. The appellants were thereby publishers of the third-party comments.</w:t>
      </w:r>
    </w:p>
    <w:p w14:paraId="2D871826" w14:textId="77777777" w:rsidR="009F562D" w:rsidRPr="00B77657" w:rsidRDefault="009F562D" w:rsidP="00B77657">
      <w:pPr>
        <w:pStyle w:val="HeadingL1"/>
        <w:spacing w:after="260" w:line="280" w:lineRule="exact"/>
        <w:ind w:right="0"/>
        <w:jc w:val="both"/>
        <w:rPr>
          <w:rFonts w:ascii="Times New Roman" w:hAnsi="Times New Roman"/>
        </w:rPr>
      </w:pPr>
      <w:r w:rsidRPr="00B77657">
        <w:rPr>
          <w:rFonts w:ascii="Times New Roman" w:hAnsi="Times New Roman"/>
        </w:rPr>
        <w:t>Conclusion</w:t>
      </w:r>
    </w:p>
    <w:p w14:paraId="155F2937" w14:textId="77777777" w:rsidR="0019155E" w:rsidRDefault="009F562D" w:rsidP="002E7067">
      <w:pPr>
        <w:pStyle w:val="FixListStyle"/>
        <w:numPr>
          <w:ilvl w:val="0"/>
          <w:numId w:val="18"/>
        </w:numPr>
        <w:spacing w:after="260" w:line="280" w:lineRule="exact"/>
        <w:ind w:left="0" w:right="0" w:hanging="720"/>
        <w:jc w:val="both"/>
        <w:rPr>
          <w:rFonts w:ascii="Times New Roman" w:hAnsi="Times New Roman"/>
        </w:rPr>
      </w:pPr>
      <w:r w:rsidRPr="00B77657">
        <w:rPr>
          <w:rFonts w:ascii="Times New Roman" w:hAnsi="Times New Roman"/>
        </w:rPr>
        <w:tab/>
        <w:t>The appeals should be dismissed with costs.</w:t>
      </w:r>
    </w:p>
    <w:p w14:paraId="2E98AB60" w14:textId="77777777" w:rsidR="0019155E" w:rsidRDefault="0019155E" w:rsidP="002E7067">
      <w:pPr>
        <w:pStyle w:val="FixListStyle"/>
        <w:numPr>
          <w:ilvl w:val="0"/>
          <w:numId w:val="18"/>
        </w:numPr>
        <w:spacing w:after="260" w:line="280" w:lineRule="exact"/>
        <w:ind w:left="0" w:right="0" w:hanging="720"/>
        <w:jc w:val="both"/>
        <w:rPr>
          <w:rFonts w:ascii="Times New Roman" w:hAnsi="Times New Roman"/>
        </w:rPr>
        <w:sectPr w:rsidR="0019155E" w:rsidSect="002E7067">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ABC48B0" w14:textId="77777777" w:rsidR="0019155E" w:rsidRPr="000D0631" w:rsidRDefault="0019155E" w:rsidP="000D0631">
      <w:pPr>
        <w:pStyle w:val="NormalBody"/>
        <w:tabs>
          <w:tab w:val="clear" w:pos="720"/>
          <w:tab w:val="left" w:pos="0"/>
        </w:tabs>
        <w:spacing w:after="260" w:line="280" w:lineRule="exact"/>
        <w:ind w:right="0"/>
        <w:jc w:val="both"/>
        <w:rPr>
          <w:rFonts w:ascii="Times New Roman" w:hAnsi="Times New Roman"/>
        </w:rPr>
      </w:pPr>
      <w:r w:rsidRPr="000D0631">
        <w:rPr>
          <w:rFonts w:ascii="Times New Roman" w:hAnsi="Times New Roman"/>
        </w:rPr>
        <w:lastRenderedPageBreak/>
        <w:t xml:space="preserve">EDELMAN J.   </w:t>
      </w:r>
    </w:p>
    <w:p w14:paraId="743D3E2F" w14:textId="77777777" w:rsidR="0019155E" w:rsidRPr="000D0631" w:rsidRDefault="0019155E" w:rsidP="000D0631">
      <w:pPr>
        <w:pStyle w:val="HeadingL1"/>
        <w:spacing w:after="260" w:line="280" w:lineRule="exact"/>
        <w:ind w:right="0"/>
        <w:jc w:val="both"/>
        <w:rPr>
          <w:rFonts w:ascii="Times New Roman" w:hAnsi="Times New Roman"/>
        </w:rPr>
      </w:pPr>
      <w:r w:rsidRPr="000D0631">
        <w:rPr>
          <w:rFonts w:ascii="Times New Roman" w:hAnsi="Times New Roman"/>
        </w:rPr>
        <w:t>Introduction</w:t>
      </w:r>
    </w:p>
    <w:p w14:paraId="6C877E64"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Nationwide News Pty Ltd, one of the appellants, posts news items and images to a public Facebook page that it manages. The news items include hyperlinks to stories on the website for </w:t>
      </w:r>
      <w:r w:rsidRPr="000D0631">
        <w:rPr>
          <w:rFonts w:ascii="Times New Roman" w:hAnsi="Times New Roman"/>
          <w:i/>
        </w:rPr>
        <w:t>The Australian</w:t>
      </w:r>
      <w:r w:rsidRPr="000D0631">
        <w:rPr>
          <w:rFonts w:ascii="Times New Roman" w:hAnsi="Times New Roman"/>
        </w:rPr>
        <w:t xml:space="preserve"> newspaper</w:t>
      </w:r>
      <w:r w:rsidRPr="000D0631">
        <w:rPr>
          <w:rStyle w:val="FootnoteReference"/>
          <w:rFonts w:ascii="Times New Roman" w:hAnsi="Times New Roman"/>
        </w:rPr>
        <w:footnoteReference w:id="168"/>
      </w:r>
      <w:r w:rsidRPr="000D0631">
        <w:rPr>
          <w:rFonts w:ascii="Times New Roman" w:hAnsi="Times New Roman"/>
        </w:rPr>
        <w:t>. At the relevant time, Facebook did not permit the creators of Facebook pages to prevent any Facebook user from exercising an automatic option to "comment" on the publicly posted and hyperlinked news story. Suppose that Nationwide News published a link on its Facebook page to a mundane story about weather patterns and that a reader posted, in the space reserved for "comments" on the story, a defamatory remark that a particular named person was a thief. The remark was entirely unrelated to the weather story. Suppose, also, that at the time the remark was posted, Nationwide News had no knowledge of the remark, little or no ability to prevent it being made, and a system that would remove the remark as soon as Nationwide News became aware of it.</w:t>
      </w:r>
    </w:p>
    <w:p w14:paraId="2508C322"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Is Nationwide News a publisher of such a defamatory remark, which it neither invited nor requested, which it manifested no intention to publish, of which it was unaware, and which it would have removed as soon as reasonably possible? This question concerns the scope of the requirement in the </w:t>
      </w:r>
      <w:r w:rsidRPr="000D0631">
        <w:rPr>
          <w:rFonts w:ascii="Times New Roman" w:hAnsi="Times New Roman"/>
          <w:i/>
          <w:iCs/>
        </w:rPr>
        <w:t>Defamation Act 2005</w:t>
      </w:r>
      <w:r w:rsidRPr="000D0631">
        <w:rPr>
          <w:rFonts w:ascii="Times New Roman" w:hAnsi="Times New Roman"/>
          <w:iCs/>
        </w:rPr>
        <w:t> </w:t>
      </w:r>
      <w:r w:rsidRPr="000D0631">
        <w:rPr>
          <w:rFonts w:ascii="Times New Roman" w:hAnsi="Times New Roman"/>
        </w:rPr>
        <w:t>(NSW), which reflects the common law in this respect, that a person must "publish" a statement to be liable for defamation.</w:t>
      </w:r>
    </w:p>
    <w:p w14:paraId="5C32AC1E"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question for determination on these appeals is expressed so broadly that it encompasses circumstances of this nature. Unlike the other members of this Court apart from Steward J, I do not accept that the appellants are publishers of such uninvited words written on their Facebook pages. It can be accepted that, in the circumstances of this case, Nationwide News intended that readers publish comments concerning the story it posted. But, in my respectful view, there is no meaningful sense in which it could be concluded that Nationwide News intended to publish remarks that were not, in any imaginable sense, a "comment" on the story. The remark described above would bear no more resemblance to invited "comments" on the posted story than defamatory graffiti on a commercial noticeboard would bear to invited notices on the commercial noticeboard. Neither satisfies the required intention for publication. Equally, the remark above would be no more an intended publication than a television broadcast which accidentally captures in the background an unknown stranger who, unbeknownst to the live presenter and camera operator, walks past wearing a t-shirt with a defamatory message or carrying a defamatory placard.</w:t>
      </w:r>
    </w:p>
    <w:p w14:paraId="1F01E0A7"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lastRenderedPageBreak/>
        <w:tab/>
        <w:t>I have had the considerable benefit of reading in draft the reasons of Steward J, which conclude that the parties to these appeals erred in their assumption that the appellants either were publishers of all third</w:t>
      </w:r>
      <w:r w:rsidRPr="000D0631">
        <w:rPr>
          <w:rFonts w:ascii="Times New Roman" w:hAnsi="Times New Roman"/>
        </w:rPr>
        <w:noBreakHyphen/>
        <w:t>party comments on their respective Facebook pages or were not publishers of any of them. I agree with that conclusion. Steward J's comprehensive treatment of the factual background to this case and the authorities permits me to express my reasons below in relation to two further matters only, which illustrate the lack of principle for the assumption of the parties and the lack of justification for the assumption in any of the authorities upon which the parties relied.</w:t>
      </w:r>
    </w:p>
    <w:p w14:paraId="261433C5" w14:textId="77777777" w:rsidR="0019155E" w:rsidRPr="000D0631" w:rsidRDefault="0019155E" w:rsidP="000D0631">
      <w:pPr>
        <w:pStyle w:val="HeadingL1"/>
        <w:spacing w:after="260" w:line="280" w:lineRule="exact"/>
        <w:ind w:right="0"/>
        <w:jc w:val="both"/>
        <w:rPr>
          <w:rFonts w:ascii="Times New Roman" w:hAnsi="Times New Roman"/>
        </w:rPr>
      </w:pPr>
      <w:r w:rsidRPr="000D0631">
        <w:rPr>
          <w:rFonts w:ascii="Times New Roman" w:hAnsi="Times New Roman"/>
        </w:rPr>
        <w:t>Intention to publish and strict liability in defamation</w:t>
      </w:r>
    </w:p>
    <w:p w14:paraId="7012E2E2" w14:textId="77777777" w:rsidR="0019155E" w:rsidRPr="000D0631" w:rsidRDefault="0019155E" w:rsidP="000D0631">
      <w:pPr>
        <w:pStyle w:val="HeadingL2"/>
        <w:spacing w:after="260" w:line="280" w:lineRule="exact"/>
        <w:ind w:right="0"/>
        <w:jc w:val="both"/>
        <w:rPr>
          <w:rFonts w:ascii="Times New Roman" w:hAnsi="Times New Roman"/>
        </w:rPr>
      </w:pPr>
      <w:r w:rsidRPr="000D0631">
        <w:rPr>
          <w:rFonts w:ascii="Times New Roman" w:hAnsi="Times New Roman"/>
        </w:rPr>
        <w:t>Intention and fault</w:t>
      </w:r>
    </w:p>
    <w:p w14:paraId="1F96DB89"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Defamation is a tort of strict liability. This means that it is actionable, subject to defences, without proof of fault. The defendant must intentionally perform an act of publishing a communication, which is of and concerning the plaintiff</w:t>
      </w:r>
      <w:r w:rsidRPr="000D0631">
        <w:rPr>
          <w:rStyle w:val="FootnoteReference"/>
          <w:rFonts w:ascii="Times New Roman" w:hAnsi="Times New Roman"/>
        </w:rPr>
        <w:footnoteReference w:id="169"/>
      </w:r>
      <w:r w:rsidRPr="000D0631">
        <w:rPr>
          <w:rFonts w:ascii="Times New Roman" w:hAnsi="Times New Roman"/>
        </w:rPr>
        <w:t xml:space="preserve"> and which is defamatory. Alternatively, if the defendant does not intentionally perform the act of publication then the defendant must assist in another's act of publication with a common intention to publish. In each case, the defendant must intend the act of publication. In each case, the relevant intention is an objective or manifested intention based upon the person's words or acts in the circumstances.</w:t>
      </w:r>
    </w:p>
    <w:p w14:paraId="7970CBBE"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act of "publication" by the defendant of words or other communications about the plaintiff has a specific meaning in the law of defamation. It means "mere communication ... to a third person"</w:t>
      </w:r>
      <w:r w:rsidRPr="000D0631">
        <w:rPr>
          <w:rStyle w:val="FootnoteReference"/>
          <w:rFonts w:ascii="Times New Roman" w:hAnsi="Times New Roman"/>
        </w:rPr>
        <w:footnoteReference w:id="170"/>
      </w:r>
      <w:r w:rsidRPr="000D0631">
        <w:rPr>
          <w:rFonts w:ascii="Times New Roman" w:hAnsi="Times New Roman"/>
        </w:rPr>
        <w:t xml:space="preserve"> or "making [the communication] known" to the third person</w:t>
      </w:r>
      <w:r w:rsidRPr="000D0631">
        <w:rPr>
          <w:rStyle w:val="FootnoteReference"/>
          <w:rFonts w:ascii="Times New Roman" w:hAnsi="Times New Roman"/>
        </w:rPr>
        <w:footnoteReference w:id="171"/>
      </w:r>
      <w:r w:rsidRPr="000D0631">
        <w:rPr>
          <w:rFonts w:ascii="Times New Roman" w:hAnsi="Times New Roman"/>
        </w:rPr>
        <w:t xml:space="preserve">. The act must also be accompanied by an objective or manifested intention to act. The defamatory </w:t>
      </w:r>
      <w:r w:rsidRPr="000D0631">
        <w:rPr>
          <w:rFonts w:ascii="Times New Roman" w:hAnsi="Times New Roman"/>
          <w:i/>
          <w:iCs/>
        </w:rPr>
        <w:t>content</w:t>
      </w:r>
      <w:r w:rsidRPr="000D0631">
        <w:rPr>
          <w:rFonts w:ascii="Times New Roman" w:hAnsi="Times New Roman"/>
        </w:rPr>
        <w:t xml:space="preserve"> of the communication "may be quite uninten[ded], and the publisher may be unaware of the defamatory matter"</w:t>
      </w:r>
      <w:r w:rsidRPr="000D0631">
        <w:rPr>
          <w:rStyle w:val="FootnoteReference"/>
          <w:rFonts w:ascii="Times New Roman" w:hAnsi="Times New Roman"/>
        </w:rPr>
        <w:footnoteReference w:id="172"/>
      </w:r>
      <w:r w:rsidRPr="000D0631">
        <w:rPr>
          <w:rFonts w:ascii="Times New Roman" w:hAnsi="Times New Roman"/>
        </w:rPr>
        <w:t xml:space="preserve"> but there must be a manifested intention to make a communication to a third party. It can sometimes be a difficult exercise to determine whether intention to communicate has been manifested by a defendant. One sufficient, though not </w:t>
      </w:r>
      <w:r w:rsidRPr="000D0631">
        <w:rPr>
          <w:rFonts w:ascii="Times New Roman" w:hAnsi="Times New Roman"/>
        </w:rPr>
        <w:lastRenderedPageBreak/>
        <w:t xml:space="preserve">necessary, indicator is, in the words of Abella J in </w:t>
      </w:r>
      <w:r w:rsidRPr="000D0631">
        <w:rPr>
          <w:rFonts w:ascii="Times New Roman" w:hAnsi="Times New Roman"/>
          <w:i/>
          <w:iCs/>
        </w:rPr>
        <w:t>Crookes v Newton</w:t>
      </w:r>
      <w:r w:rsidRPr="000D0631">
        <w:rPr>
          <w:rStyle w:val="FootnoteReference"/>
          <w:rFonts w:ascii="Times New Roman" w:hAnsi="Times New Roman"/>
        </w:rPr>
        <w:footnoteReference w:id="173"/>
      </w:r>
      <w:r w:rsidRPr="000D0631">
        <w:rPr>
          <w:rFonts w:ascii="Times New Roman" w:hAnsi="Times New Roman"/>
        </w:rPr>
        <w:t>,</w:t>
      </w:r>
      <w:r w:rsidRPr="000D0631">
        <w:rPr>
          <w:rFonts w:ascii="Times New Roman" w:hAnsi="Times New Roman"/>
          <w:i/>
          <w:iCs/>
        </w:rPr>
        <w:t xml:space="preserve"> </w:t>
      </w:r>
      <w:r w:rsidRPr="000D0631">
        <w:rPr>
          <w:rFonts w:ascii="Times New Roman" w:hAnsi="Times New Roman"/>
        </w:rPr>
        <w:t xml:space="preserve">"exerting </w:t>
      </w:r>
      <w:r w:rsidRPr="000D0631">
        <w:rPr>
          <w:rFonts w:ascii="Times New Roman" w:hAnsi="Times New Roman"/>
          <w:i/>
          <w:iCs/>
        </w:rPr>
        <w:t xml:space="preserve">control </w:t>
      </w:r>
      <w:r w:rsidRPr="000D0631">
        <w:rPr>
          <w:rFonts w:ascii="Times New Roman" w:hAnsi="Times New Roman"/>
        </w:rPr>
        <w:t>over the content".</w:t>
      </w:r>
    </w:p>
    <w:p w14:paraId="774521F8"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A bookstore owner or a newspaper vendor will generally be a publisher because, having chosen the book or newspaper to be sold and having made the sale, they have manifested an intention to make the communication to a third party even if they are not aware of its contents. On the other hand, the need for an objective intention to communicate to a third party means that a cashier in a bookstore will not be a publisher. Nor will a mere courier or postal worker who delivers a defamatory publication, or a person who mistakenly "delivers one paper instead of another"</w:t>
      </w:r>
      <w:r w:rsidRPr="000D0631">
        <w:rPr>
          <w:rStyle w:val="FootnoteReference"/>
          <w:rFonts w:ascii="Times New Roman" w:hAnsi="Times New Roman"/>
        </w:rPr>
        <w:footnoteReference w:id="174"/>
      </w:r>
      <w:r w:rsidRPr="000D0631">
        <w:rPr>
          <w:rFonts w:ascii="Times New Roman" w:hAnsi="Times New Roman"/>
        </w:rPr>
        <w:t>. This principle also explains why telephone companies and internet service providers who passively transmit have been held not to be publishers</w:t>
      </w:r>
      <w:r w:rsidRPr="000D0631">
        <w:rPr>
          <w:rStyle w:val="FootnoteReference"/>
          <w:rFonts w:ascii="Times New Roman" w:hAnsi="Times New Roman"/>
        </w:rPr>
        <w:footnoteReference w:id="175"/>
      </w:r>
      <w:r w:rsidRPr="000D0631">
        <w:rPr>
          <w:rFonts w:ascii="Times New Roman" w:hAnsi="Times New Roman"/>
        </w:rPr>
        <w:t>. And it explains why the passive deliverer of a spare newspaper to a librarian, who "never intended to publish", was held not to be a publisher, unlike "[a] printer and publisher [who] intends to publish"</w:t>
      </w:r>
      <w:r w:rsidRPr="000D0631">
        <w:rPr>
          <w:rStyle w:val="FootnoteReference"/>
          <w:rFonts w:ascii="Times New Roman" w:hAnsi="Times New Roman"/>
        </w:rPr>
        <w:footnoteReference w:id="176"/>
      </w:r>
      <w:r w:rsidRPr="000D0631">
        <w:rPr>
          <w:rFonts w:ascii="Times New Roman" w:hAnsi="Times New Roman"/>
        </w:rPr>
        <w:t>. In all of these instances of passive assistance, the basis for the conclusion is that there is no manifested intention to communicate any content.</w:t>
      </w:r>
    </w:p>
    <w:p w14:paraId="3235214E"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Of course, like distributors of books, television broadcasters have generally been held to be publishers of broadcast material, both scripted and live, irrespective of whether they are aware of the content of the broadcast. It suffices that they intend the communication, whatever its content. By contrast, it would be unprincipled if a television broadcaster – of, say, a weather programme – were found to be a publisher of material that was a "mere communication" that the broadcaster did not intend to publish. For instance, the example of a stranger who, unknown to the broadcaster, happened to be walking in the background with an entirely unrelated defamatory t-shirt or placard during a live public broadcast is a scenario in which the broadcaster would not be liable for defamation arising from </w:t>
      </w:r>
      <w:r w:rsidRPr="000D0631">
        <w:rPr>
          <w:rFonts w:ascii="Times New Roman" w:hAnsi="Times New Roman"/>
        </w:rPr>
        <w:lastRenderedPageBreak/>
        <w:t>such images, which the broadcaster did not "cho[o]se to present"</w:t>
      </w:r>
      <w:r w:rsidRPr="000D0631">
        <w:rPr>
          <w:rStyle w:val="FootnoteReference"/>
          <w:rFonts w:ascii="Times New Roman" w:hAnsi="Times New Roman"/>
        </w:rPr>
        <w:footnoteReference w:id="177"/>
      </w:r>
      <w:r w:rsidRPr="000D0631">
        <w:rPr>
          <w:rFonts w:ascii="Times New Roman" w:hAnsi="Times New Roman"/>
        </w:rPr>
        <w:t>, having "merely provide[d] a vehicle"</w:t>
      </w:r>
      <w:r w:rsidRPr="000D0631">
        <w:rPr>
          <w:rStyle w:val="FootnoteReference"/>
          <w:rFonts w:ascii="Times New Roman" w:hAnsi="Times New Roman"/>
        </w:rPr>
        <w:footnoteReference w:id="178"/>
      </w:r>
      <w:r w:rsidRPr="000D0631">
        <w:rPr>
          <w:rFonts w:ascii="Times New Roman" w:hAnsi="Times New Roman"/>
        </w:rPr>
        <w:t>.</w:t>
      </w:r>
    </w:p>
    <w:p w14:paraId="3B4B6AB4"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element of an intention to publish that is required is concerned with an intention to act rather than with any of the consequences of the act. It is not a requirement of fault. In this respect, the intention required for the tort of defamation is no different in principle from the intention required for the torts of conversion, public nuisance, or trespass. In none of these torts is there a requirement of fault. As Professor Stevens has explained</w:t>
      </w:r>
      <w:r w:rsidRPr="000D0631">
        <w:rPr>
          <w:rStyle w:val="FootnoteReference"/>
          <w:rFonts w:ascii="Times New Roman" w:hAnsi="Times New Roman"/>
        </w:rPr>
        <w:footnoteReference w:id="179"/>
      </w:r>
      <w:r w:rsidRPr="000D0631">
        <w:rPr>
          <w:rFonts w:ascii="Times New Roman" w:hAnsi="Times New Roman"/>
        </w:rPr>
        <w:t xml:space="preserve">, any intentional act of a person – whether it be destroying another's car, blocking the public highway, or walking on someone else's land – gives rise to prima facie liability as a tortfeasor even if the person was "wholly without fault" because they honestly and reasonably believed that the car was theirs, or honestly and reasonably believed that they had statutory authorisation to block the road, or honestly and reasonably believed that they had a right of way over the land crossed: "[i]t is unnecessary to show the intention to cause harm, or commit a wrong. ... [A]cting with the intention of exercising a liberty which [the defendant does] not have with respect to the claimant suffices." </w:t>
      </w:r>
    </w:p>
    <w:p w14:paraId="57494C2A" w14:textId="77777777" w:rsidR="0019155E" w:rsidRPr="000D0631" w:rsidRDefault="0019155E" w:rsidP="000D0631">
      <w:pPr>
        <w:pStyle w:val="HeadingL2"/>
        <w:spacing w:after="260" w:line="280" w:lineRule="exact"/>
        <w:ind w:right="0"/>
        <w:jc w:val="both"/>
        <w:rPr>
          <w:rFonts w:ascii="Times New Roman" w:hAnsi="Times New Roman"/>
        </w:rPr>
      </w:pPr>
      <w:r w:rsidRPr="000D0631">
        <w:rPr>
          <w:rFonts w:ascii="Times New Roman" w:hAnsi="Times New Roman"/>
        </w:rPr>
        <w:t>Fault in the publication element of the tort of defamation</w:t>
      </w:r>
    </w:p>
    <w:p w14:paraId="31FBB9C1"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The liability for the tort of defamation, subject to defences, did not always fit this modern picture of strict liability. Historically, the elements of the tort of defamation required fault in some circumstances. For instance, </w:t>
      </w:r>
      <w:r w:rsidRPr="000D0631">
        <w:rPr>
          <w:rFonts w:ascii="Times New Roman" w:hAnsi="Times New Roman"/>
          <w:iCs/>
        </w:rPr>
        <w:t>some early cases appeared to treat a requirement of malice as an element of fault, rebuttably presumed</w:t>
      </w:r>
      <w:r w:rsidRPr="000D0631">
        <w:rPr>
          <w:rStyle w:val="FootnoteReference"/>
          <w:rFonts w:ascii="Times New Roman" w:hAnsi="Times New Roman"/>
          <w:iCs/>
        </w:rPr>
        <w:footnoteReference w:id="180"/>
      </w:r>
      <w:r w:rsidRPr="000D0631">
        <w:rPr>
          <w:rFonts w:ascii="Times New Roman" w:hAnsi="Times New Roman"/>
          <w:iCs/>
        </w:rPr>
        <w:t>. But early in the 19th century that requirement of malice was replaced by an intention to perform the act. This shift occurred by reasoning that "[m]alice ... in its legal sense ... means a wrongful act, done intentionally, without just cause or excuse"</w:t>
      </w:r>
      <w:r w:rsidRPr="000D0631">
        <w:rPr>
          <w:rStyle w:val="FootnoteReference"/>
          <w:rFonts w:ascii="Times New Roman" w:hAnsi="Times New Roman"/>
          <w:iCs/>
        </w:rPr>
        <w:footnoteReference w:id="181"/>
      </w:r>
      <w:r w:rsidRPr="000D0631">
        <w:rPr>
          <w:rFonts w:ascii="Times New Roman" w:hAnsi="Times New Roman"/>
          <w:iCs/>
        </w:rPr>
        <w:t>.</w:t>
      </w:r>
    </w:p>
    <w:p w14:paraId="2111FA6E"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lastRenderedPageBreak/>
        <w:tab/>
        <w:t>Another instance in which fault was historically present in the elements of the tort of defamation was where the publication was by a person who was sometimes described as a secondary or subordinate publisher. A subordinate publisher was held not to have published the words if they could show that dissemination occurred "innocently". The circumstances of "innocent dissemination" were relied upon heavily by the appellants on these appeals. An essential step in the appellants' submission that the publication element of the tort of defamation would not be established if they did not intend to publish particular content was based upon the common law doctrine of innocent dissemination operating to negate an element of the tort, namely the requirement of publication. In order to show why the appellants' reliance upon innocent dissemination as negating an element of the requirement of publication is misplaced, it is necessary to explain the evolution away from the historical requirement of fault in the elements of defamation, which Sir William Holdsworth described as a "chapter of accidents"</w:t>
      </w:r>
      <w:r w:rsidRPr="000D0631">
        <w:rPr>
          <w:rStyle w:val="FootnoteReference"/>
          <w:rFonts w:ascii="Times New Roman" w:hAnsi="Times New Roman"/>
        </w:rPr>
        <w:footnoteReference w:id="182"/>
      </w:r>
      <w:r w:rsidRPr="000D0631">
        <w:rPr>
          <w:rFonts w:ascii="Times New Roman" w:hAnsi="Times New Roman"/>
        </w:rPr>
        <w:t>.</w:t>
      </w:r>
    </w:p>
    <w:p w14:paraId="49C11538"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doctrine concerning "innocent dissemination" evolved from negating the publication element of the tort of defamation to being an independent defence to the completed tort. In that evolved state, the tort of defamation became a tort of strict liability, albeit with a defence based on lack of fault in limited circumstances. In the pleading language for an action on the case of the Hilary Term Rules of 1834, the doctrine of innocent dissemination had moved from a matter that the defendant could rely upon as the general issue, namely a blanket denial of the elements of the action by a plea of not guilty</w:t>
      </w:r>
      <w:r w:rsidRPr="000D0631">
        <w:rPr>
          <w:rStyle w:val="FootnoteReference"/>
          <w:rFonts w:ascii="Times New Roman" w:hAnsi="Times New Roman"/>
        </w:rPr>
        <w:footnoteReference w:id="183"/>
      </w:r>
      <w:r w:rsidRPr="000D0631">
        <w:rPr>
          <w:rFonts w:ascii="Times New Roman" w:hAnsi="Times New Roman"/>
        </w:rPr>
        <w:t>, to a plea of specific justification by confession and avoidance, namely confession that the elements of the tort had been proved but avoidance of liability by an independent justification</w:t>
      </w:r>
      <w:r w:rsidRPr="000D0631">
        <w:rPr>
          <w:rStyle w:val="FootnoteReference"/>
          <w:rFonts w:ascii="Times New Roman" w:hAnsi="Times New Roman"/>
        </w:rPr>
        <w:footnoteReference w:id="184"/>
      </w:r>
      <w:r w:rsidRPr="000D0631">
        <w:rPr>
          <w:rFonts w:ascii="Times New Roman" w:hAnsi="Times New Roman"/>
        </w:rPr>
        <w:t>.</w:t>
      </w:r>
    </w:p>
    <w:p w14:paraId="0F57D538"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iCs/>
        </w:rPr>
        <w:tab/>
        <w:t xml:space="preserve">The treatment of the innocent dissemination doctrine as negating the element of publication was taken in the late 19th century decision </w:t>
      </w:r>
      <w:r w:rsidRPr="000D0631">
        <w:rPr>
          <w:rFonts w:ascii="Times New Roman" w:hAnsi="Times New Roman"/>
        </w:rPr>
        <w:t xml:space="preserve">of </w:t>
      </w:r>
      <w:r w:rsidRPr="000D0631">
        <w:rPr>
          <w:rFonts w:ascii="Times New Roman" w:hAnsi="Times New Roman"/>
          <w:i/>
        </w:rPr>
        <w:t>Emmens v Pottle</w:t>
      </w:r>
      <w:r w:rsidRPr="000D0631">
        <w:rPr>
          <w:rStyle w:val="FootnoteReference"/>
          <w:rFonts w:ascii="Times New Roman" w:hAnsi="Times New Roman"/>
        </w:rPr>
        <w:footnoteReference w:id="185"/>
      </w:r>
      <w:r w:rsidRPr="000D0631">
        <w:rPr>
          <w:rFonts w:ascii="Times New Roman" w:hAnsi="Times New Roman"/>
          <w:i/>
        </w:rPr>
        <w:t xml:space="preserve">. </w:t>
      </w:r>
      <w:r w:rsidRPr="000D0631">
        <w:rPr>
          <w:rFonts w:ascii="Times New Roman" w:hAnsi="Times New Roman"/>
          <w:iCs/>
        </w:rPr>
        <w:t xml:space="preserve">In that case, </w:t>
      </w:r>
      <w:r w:rsidRPr="000D0631">
        <w:rPr>
          <w:rFonts w:ascii="Times New Roman" w:hAnsi="Times New Roman"/>
        </w:rPr>
        <w:t>the Court of Appeal of England and Wales upheld a</w:t>
      </w:r>
      <w:r w:rsidRPr="000D0631">
        <w:rPr>
          <w:rFonts w:ascii="Times New Roman" w:hAnsi="Times New Roman"/>
          <w:iCs/>
        </w:rPr>
        <w:t xml:space="preserve"> jury </w:t>
      </w:r>
      <w:r w:rsidRPr="000D0631">
        <w:rPr>
          <w:rFonts w:ascii="Times New Roman" w:hAnsi="Times New Roman"/>
          <w:iCs/>
        </w:rPr>
        <w:lastRenderedPageBreak/>
        <w:t>verdict for the defendants, concluding that, although the printer of a newspaper would be liable, a vendor of a newspaper was not liable where the vendor could establish that they acted in the ordinary course of business, not knowing, and without reasonable basis to know, that the newspaper contained any libellous matter. Lord Esher MR, with whom Cotton LJ agreed, said that it would be "unreasonable and unjust" to hold the vendor liable</w:t>
      </w:r>
      <w:r w:rsidRPr="000D0631">
        <w:rPr>
          <w:rStyle w:val="FootnoteReference"/>
          <w:rFonts w:ascii="Times New Roman" w:hAnsi="Times New Roman"/>
          <w:iCs/>
        </w:rPr>
        <w:footnoteReference w:id="186"/>
      </w:r>
      <w:r w:rsidRPr="000D0631">
        <w:rPr>
          <w:rFonts w:ascii="Times New Roman" w:hAnsi="Times New Roman"/>
          <w:iCs/>
        </w:rPr>
        <w:t>. Bowen LJ also focused upon the "innocent" nature of the vendor</w:t>
      </w:r>
      <w:r w:rsidRPr="000D0631">
        <w:rPr>
          <w:rStyle w:val="FootnoteReference"/>
          <w:rFonts w:ascii="Times New Roman" w:hAnsi="Times New Roman"/>
          <w:iCs/>
        </w:rPr>
        <w:footnoteReference w:id="187"/>
      </w:r>
      <w:r w:rsidRPr="000D0631">
        <w:rPr>
          <w:rFonts w:ascii="Times New Roman" w:hAnsi="Times New Roman"/>
          <w:iCs/>
        </w:rPr>
        <w:t>. This unreasonableness or innocence was not expressed as a defence independent of the elements for defamation. It was said to negate the element of publication. Lord Esher MR said that the defence arises when the "facts [show] that they did not publish the libel"</w:t>
      </w:r>
      <w:r w:rsidRPr="000D0631">
        <w:rPr>
          <w:rStyle w:val="FootnoteReference"/>
          <w:rFonts w:ascii="Times New Roman" w:hAnsi="Times New Roman"/>
          <w:iCs/>
        </w:rPr>
        <w:footnoteReference w:id="188"/>
      </w:r>
      <w:r w:rsidRPr="000D0631">
        <w:rPr>
          <w:rFonts w:ascii="Times New Roman" w:hAnsi="Times New Roman"/>
          <w:iCs/>
        </w:rPr>
        <w:t>. His Lordship added: "If they had known what was in the paper ... they would have published the libel" but the findings of the jury that the defendants were innocent disseminators "make it clear that the defendants did not publish the libel"</w:t>
      </w:r>
      <w:r w:rsidRPr="000D0631">
        <w:rPr>
          <w:rStyle w:val="FootnoteReference"/>
          <w:rFonts w:ascii="Times New Roman" w:hAnsi="Times New Roman"/>
          <w:iCs/>
        </w:rPr>
        <w:footnoteReference w:id="189"/>
      </w:r>
      <w:r w:rsidRPr="000D0631">
        <w:rPr>
          <w:rFonts w:ascii="Times New Roman" w:hAnsi="Times New Roman"/>
          <w:iCs/>
        </w:rPr>
        <w:t>.</w:t>
      </w:r>
    </w:p>
    <w:p w14:paraId="379B90F2"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iCs/>
        </w:rPr>
        <w:tab/>
        <w:t xml:space="preserve">The decision in </w:t>
      </w:r>
      <w:r w:rsidRPr="000D0631">
        <w:rPr>
          <w:rFonts w:ascii="Times New Roman" w:hAnsi="Times New Roman"/>
          <w:i/>
        </w:rPr>
        <w:t xml:space="preserve">Emmens v Pottle </w:t>
      </w:r>
      <w:r w:rsidRPr="000D0631">
        <w:rPr>
          <w:rFonts w:ascii="Times New Roman" w:hAnsi="Times New Roman"/>
          <w:iCs/>
        </w:rPr>
        <w:t xml:space="preserve">was applied in </w:t>
      </w:r>
      <w:r w:rsidRPr="000D0631">
        <w:rPr>
          <w:rFonts w:ascii="Times New Roman" w:hAnsi="Times New Roman"/>
          <w:i/>
        </w:rPr>
        <w:t>Vizetelly v Mudie's Select Library Ltd</w:t>
      </w:r>
      <w:r w:rsidRPr="000D0631">
        <w:rPr>
          <w:rStyle w:val="FootnoteReference"/>
          <w:rFonts w:ascii="Times New Roman" w:hAnsi="Times New Roman"/>
          <w:iCs/>
        </w:rPr>
        <w:footnoteReference w:id="190"/>
      </w:r>
      <w:r w:rsidRPr="000D0631">
        <w:rPr>
          <w:rFonts w:ascii="Times New Roman" w:hAnsi="Times New Roman"/>
          <w:iCs/>
        </w:rPr>
        <w:t xml:space="preserve">, in which the defendants were held liable for circulating copies of a book containing a libel. A L Smith LJ explained that the negligence of the defendants had precluded their discovery that the book contained a libel, so the defendants did not "do what the defendants in </w:t>
      </w:r>
      <w:r w:rsidRPr="000D0631">
        <w:rPr>
          <w:rFonts w:ascii="Times New Roman" w:hAnsi="Times New Roman"/>
          <w:i/>
        </w:rPr>
        <w:t xml:space="preserve">Emmens v Pottle ... </w:t>
      </w:r>
      <w:r w:rsidRPr="000D0631">
        <w:rPr>
          <w:rFonts w:ascii="Times New Roman" w:hAnsi="Times New Roman"/>
          <w:iCs/>
        </w:rPr>
        <w:t>succeeded in doing, namely, prove that they did not publish the libel"</w:t>
      </w:r>
      <w:r w:rsidRPr="000D0631">
        <w:rPr>
          <w:rStyle w:val="FootnoteReference"/>
          <w:rFonts w:ascii="Times New Roman" w:hAnsi="Times New Roman"/>
          <w:iCs/>
        </w:rPr>
        <w:footnoteReference w:id="191"/>
      </w:r>
      <w:r w:rsidRPr="000D0631">
        <w:rPr>
          <w:rFonts w:ascii="Times New Roman" w:hAnsi="Times New Roman"/>
          <w:iCs/>
        </w:rPr>
        <w:t xml:space="preserve">. Vaughan Williams LJ agreed, adding that </w:t>
      </w:r>
      <w:r w:rsidRPr="000D0631">
        <w:rPr>
          <w:rFonts w:ascii="Times New Roman" w:hAnsi="Times New Roman"/>
          <w:i/>
        </w:rPr>
        <w:t xml:space="preserve">Emmens v Pottle </w:t>
      </w:r>
      <w:r w:rsidRPr="000D0631">
        <w:rPr>
          <w:rFonts w:ascii="Times New Roman" w:hAnsi="Times New Roman"/>
          <w:iCs/>
        </w:rPr>
        <w:t>had decided that innocent publication of a defamatory matter "is not a publication within the meaning of the law of libel"</w:t>
      </w:r>
      <w:r w:rsidRPr="000D0631">
        <w:rPr>
          <w:rStyle w:val="FootnoteReference"/>
          <w:rFonts w:ascii="Times New Roman" w:hAnsi="Times New Roman"/>
          <w:iCs/>
        </w:rPr>
        <w:footnoteReference w:id="192"/>
      </w:r>
      <w:r w:rsidRPr="000D0631">
        <w:rPr>
          <w:rFonts w:ascii="Times New Roman" w:hAnsi="Times New Roman"/>
          <w:iCs/>
        </w:rPr>
        <w:t>. Romer LJ also saw the doctrine as one that negated publication, saying that the courts, in endeavouring to mitigate the hardship of strict liability</w:t>
      </w:r>
      <w:r w:rsidRPr="000D0631">
        <w:rPr>
          <w:rFonts w:ascii="Times New Roman" w:hAnsi="Times New Roman"/>
        </w:rPr>
        <w:t>,</w:t>
      </w:r>
      <w:r w:rsidRPr="000D0631">
        <w:rPr>
          <w:rFonts w:ascii="Times New Roman" w:hAnsi="Times New Roman"/>
          <w:iCs/>
        </w:rPr>
        <w:t xml:space="preserve"> "have only been able to do so by holding that, under the circumstances of cases before them, there had been no publication of the libel by the defendant"</w:t>
      </w:r>
      <w:r w:rsidRPr="000D0631">
        <w:rPr>
          <w:rStyle w:val="FootnoteReference"/>
          <w:rFonts w:ascii="Times New Roman" w:hAnsi="Times New Roman"/>
          <w:iCs/>
        </w:rPr>
        <w:footnoteReference w:id="193"/>
      </w:r>
      <w:r w:rsidRPr="000D0631">
        <w:rPr>
          <w:rFonts w:ascii="Times New Roman" w:hAnsi="Times New Roman"/>
          <w:iCs/>
        </w:rPr>
        <w:t xml:space="preserve">. He described </w:t>
      </w:r>
      <w:r w:rsidRPr="000D0631">
        <w:rPr>
          <w:rFonts w:ascii="Times New Roman" w:hAnsi="Times New Roman"/>
          <w:i/>
        </w:rPr>
        <w:t xml:space="preserve">Emmens v </w:t>
      </w:r>
      <w:r w:rsidRPr="000D0631">
        <w:rPr>
          <w:rFonts w:ascii="Times New Roman" w:hAnsi="Times New Roman"/>
          <w:i/>
        </w:rPr>
        <w:lastRenderedPageBreak/>
        <w:t xml:space="preserve">Pottle </w:t>
      </w:r>
      <w:r w:rsidRPr="000D0631">
        <w:rPr>
          <w:rFonts w:ascii="Times New Roman" w:hAnsi="Times New Roman"/>
          <w:iCs/>
        </w:rPr>
        <w:t>as a case where "the result was that there was no publication"</w:t>
      </w:r>
      <w:r w:rsidRPr="000D0631">
        <w:rPr>
          <w:rStyle w:val="FootnoteReference"/>
          <w:rFonts w:ascii="Times New Roman" w:hAnsi="Times New Roman"/>
          <w:iCs/>
        </w:rPr>
        <w:footnoteReference w:id="194"/>
      </w:r>
      <w:r w:rsidRPr="000D0631">
        <w:rPr>
          <w:rFonts w:ascii="Times New Roman" w:hAnsi="Times New Roman"/>
          <w:iCs/>
        </w:rPr>
        <w:t>. The plea of innocent dissemination was a plea of "never published"</w:t>
      </w:r>
      <w:r w:rsidRPr="000D0631">
        <w:rPr>
          <w:rStyle w:val="FootnoteReference"/>
          <w:rFonts w:ascii="Times New Roman" w:hAnsi="Times New Roman"/>
          <w:iCs/>
        </w:rPr>
        <w:footnoteReference w:id="195"/>
      </w:r>
      <w:r w:rsidRPr="000D0631">
        <w:rPr>
          <w:rFonts w:ascii="Times New Roman" w:hAnsi="Times New Roman"/>
          <w:iCs/>
        </w:rPr>
        <w:t>.</w:t>
      </w:r>
    </w:p>
    <w:p w14:paraId="66147851"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In </w:t>
      </w:r>
      <w:r w:rsidRPr="000D0631">
        <w:rPr>
          <w:rFonts w:ascii="Times New Roman" w:hAnsi="Times New Roman"/>
          <w:i/>
        </w:rPr>
        <w:t>Vizetelly v Mudie's Select Library Ltd</w:t>
      </w:r>
      <w:r w:rsidRPr="000D0631">
        <w:rPr>
          <w:rStyle w:val="FootnoteReference"/>
          <w:rFonts w:ascii="Times New Roman" w:hAnsi="Times New Roman"/>
          <w:iCs/>
        </w:rPr>
        <w:footnoteReference w:id="196"/>
      </w:r>
      <w:r w:rsidRPr="000D0631">
        <w:rPr>
          <w:rFonts w:ascii="Times New Roman" w:hAnsi="Times New Roman"/>
          <w:iCs/>
        </w:rPr>
        <w:t xml:space="preserve">, whilst Romer LJ saw the result in </w:t>
      </w:r>
      <w:r w:rsidRPr="000D0631">
        <w:rPr>
          <w:rFonts w:ascii="Times New Roman" w:hAnsi="Times New Roman"/>
          <w:i/>
        </w:rPr>
        <w:t xml:space="preserve">Emmens v Pottle </w:t>
      </w:r>
      <w:r w:rsidRPr="000D0631">
        <w:rPr>
          <w:rFonts w:ascii="Times New Roman" w:hAnsi="Times New Roman"/>
          <w:iCs/>
        </w:rPr>
        <w:t>as working "substantial justice", he described the reasoning in the case</w:t>
      </w:r>
      <w:r w:rsidRPr="000D0631">
        <w:rPr>
          <w:rFonts w:ascii="Times New Roman" w:hAnsi="Times New Roman"/>
          <w:i/>
        </w:rPr>
        <w:t xml:space="preserve"> </w:t>
      </w:r>
      <w:r w:rsidRPr="000D0631">
        <w:rPr>
          <w:rFonts w:ascii="Times New Roman" w:hAnsi="Times New Roman"/>
          <w:iCs/>
        </w:rPr>
        <w:t>as not being "altogether satisfactory".</w:t>
      </w:r>
      <w:r w:rsidRPr="000D0631">
        <w:rPr>
          <w:rFonts w:ascii="Times New Roman" w:hAnsi="Times New Roman"/>
        </w:rPr>
        <w:t xml:space="preserve"> Similarly, Scrutton LJ said that it was "difficult to state exactly the principles" upon which the innocent dissemination doctrine led to a defendant's freedom from responsibility</w:t>
      </w:r>
      <w:r w:rsidRPr="000D0631">
        <w:rPr>
          <w:rStyle w:val="FootnoteReference"/>
          <w:rFonts w:ascii="Times New Roman" w:hAnsi="Times New Roman"/>
        </w:rPr>
        <w:footnoteReference w:id="197"/>
      </w:r>
      <w:r w:rsidRPr="000D0631">
        <w:rPr>
          <w:rFonts w:ascii="Times New Roman" w:hAnsi="Times New Roman"/>
        </w:rPr>
        <w:t xml:space="preserve">. The doctrine was unsatisfactory and unprincipled for two reasons. First, it is difficult to see why innocent dissemination should </w:t>
      </w:r>
      <w:r w:rsidRPr="000D0631">
        <w:rPr>
          <w:rFonts w:ascii="Times New Roman" w:hAnsi="Times New Roman"/>
          <w:iCs/>
        </w:rPr>
        <w:t>negate publication by defendants who played a subordinate part in disseminating the work</w:t>
      </w:r>
      <w:r w:rsidRPr="000D0631">
        <w:rPr>
          <w:rStyle w:val="FootnoteReference"/>
          <w:rFonts w:ascii="Times New Roman" w:hAnsi="Times New Roman"/>
          <w:iCs/>
        </w:rPr>
        <w:footnoteReference w:id="198"/>
      </w:r>
      <w:r w:rsidRPr="000D0631">
        <w:rPr>
          <w:rFonts w:ascii="Times New Roman" w:hAnsi="Times New Roman"/>
          <w:iCs/>
        </w:rPr>
        <w:t xml:space="preserve"> but not by defendants who were </w:t>
      </w:r>
      <w:r w:rsidRPr="000D0631">
        <w:rPr>
          <w:rFonts w:ascii="Times New Roman" w:hAnsi="Times New Roman"/>
        </w:rPr>
        <w:t>the "first or main publisher"</w:t>
      </w:r>
      <w:r w:rsidRPr="000D0631">
        <w:rPr>
          <w:rStyle w:val="FootnoteReference"/>
          <w:rFonts w:ascii="Times New Roman" w:hAnsi="Times New Roman"/>
        </w:rPr>
        <w:footnoteReference w:id="199"/>
      </w:r>
      <w:r w:rsidRPr="000D0631">
        <w:rPr>
          <w:rFonts w:ascii="Times New Roman" w:hAnsi="Times New Roman"/>
        </w:rPr>
        <w:t>. If innocence in dissemination were a matter that negated publication, then it should equally negate the act of publication by both primary and subordinate actors. Secondly, the notion that innocent dissemination negated publication involved a fiction that a subordinate distributor of defamatory material, who was ignorant of the defamatory content and could not have discovered it with reasonable care, did not have an intention to make or provide a communication to a third party.</w:t>
      </w:r>
    </w:p>
    <w:p w14:paraId="3A58A48D"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fiction that an absence of fault meant that a subordinate distributor did not intend to make a communication and hence did not "publish", even in circumstances where that intention was objectively apparent, was incompatible with any strict liability conception of the tort of defamation. The strict liability basis for defamation became firmly established by the "very new law"</w:t>
      </w:r>
      <w:r w:rsidRPr="000D0631">
        <w:rPr>
          <w:rStyle w:val="FootnoteReference"/>
          <w:rFonts w:ascii="Times New Roman" w:hAnsi="Times New Roman"/>
        </w:rPr>
        <w:footnoteReference w:id="200"/>
      </w:r>
      <w:r w:rsidRPr="000D0631">
        <w:rPr>
          <w:rFonts w:ascii="Times New Roman" w:hAnsi="Times New Roman"/>
        </w:rPr>
        <w:t xml:space="preserve"> in the decision of the Court of Appeal, and subsequently the House of Lords</w:t>
      </w:r>
      <w:r w:rsidRPr="000D0631">
        <w:rPr>
          <w:rStyle w:val="FootnoteReference"/>
          <w:rFonts w:ascii="Times New Roman" w:hAnsi="Times New Roman"/>
        </w:rPr>
        <w:footnoteReference w:id="201"/>
      </w:r>
      <w:r w:rsidRPr="000D0631">
        <w:rPr>
          <w:rFonts w:ascii="Times New Roman" w:hAnsi="Times New Roman"/>
        </w:rPr>
        <w:t xml:space="preserve">, in </w:t>
      </w:r>
      <w:r w:rsidRPr="000D0631">
        <w:rPr>
          <w:rFonts w:ascii="Times New Roman" w:hAnsi="Times New Roman"/>
          <w:i/>
          <w:iCs/>
        </w:rPr>
        <w:t xml:space="preserve">Jones </w:t>
      </w:r>
      <w:r w:rsidRPr="000D0631">
        <w:rPr>
          <w:rFonts w:ascii="Times New Roman" w:hAnsi="Times New Roman"/>
          <w:i/>
          <w:iCs/>
        </w:rPr>
        <w:lastRenderedPageBreak/>
        <w:t>v E Hulton &amp; Co</w:t>
      </w:r>
      <w:r w:rsidRPr="000D0631">
        <w:rPr>
          <w:rStyle w:val="FootnoteReference"/>
          <w:rFonts w:ascii="Times New Roman" w:hAnsi="Times New Roman"/>
          <w:iCs/>
        </w:rPr>
        <w:footnoteReference w:id="202"/>
      </w:r>
      <w:r w:rsidRPr="000D0631">
        <w:rPr>
          <w:rFonts w:ascii="Times New Roman" w:hAnsi="Times New Roman"/>
        </w:rPr>
        <w:t xml:space="preserve">. As Holmes J had earlier said in dissent in </w:t>
      </w:r>
      <w:r w:rsidRPr="000D0631">
        <w:rPr>
          <w:rFonts w:ascii="Times New Roman" w:hAnsi="Times New Roman"/>
          <w:i/>
        </w:rPr>
        <w:t>Hanson v Globe Newspaper Co</w:t>
      </w:r>
      <w:r w:rsidRPr="000D0631">
        <w:rPr>
          <w:rStyle w:val="FootnoteReference"/>
          <w:rFonts w:ascii="Times New Roman" w:hAnsi="Times New Roman"/>
        </w:rPr>
        <w:footnoteReference w:id="203"/>
      </w:r>
      <w:r w:rsidRPr="000D0631">
        <w:rPr>
          <w:rFonts w:ascii="Times New Roman" w:hAnsi="Times New Roman"/>
        </w:rPr>
        <w:t xml:space="preserve">, supporting the same strict liability conclusion that would later be reached in </w:t>
      </w:r>
      <w:r w:rsidRPr="000D0631">
        <w:rPr>
          <w:rFonts w:ascii="Times New Roman" w:hAnsi="Times New Roman"/>
          <w:i/>
        </w:rPr>
        <w:t>Jones v E Hulton &amp; Co</w:t>
      </w:r>
      <w:r w:rsidRPr="000D0631">
        <w:rPr>
          <w:rFonts w:ascii="Times New Roman" w:hAnsi="Times New Roman"/>
        </w:rPr>
        <w:t>, "[t]he law constantly is tending towards consistency of theory". In that trend towards consistency of theory, the recognition of defamation as a tort of strict liability meant that the notion of innocent dissemination needed a new justification to survive.</w:t>
      </w:r>
    </w:p>
    <w:p w14:paraId="75AD88FD" w14:textId="77777777" w:rsidR="0019155E" w:rsidRPr="000D0631" w:rsidRDefault="0019155E" w:rsidP="000D0631">
      <w:pPr>
        <w:pStyle w:val="HeadingL2"/>
        <w:spacing w:after="260" w:line="280" w:lineRule="exact"/>
        <w:ind w:right="0"/>
        <w:jc w:val="both"/>
        <w:rPr>
          <w:rFonts w:ascii="Times New Roman" w:hAnsi="Times New Roman"/>
        </w:rPr>
      </w:pPr>
      <w:r w:rsidRPr="000D0631">
        <w:rPr>
          <w:rFonts w:ascii="Times New Roman" w:hAnsi="Times New Roman"/>
        </w:rPr>
        <w:t>The shift from fault as an element of publication to an independent defence</w:t>
      </w:r>
    </w:p>
    <w:p w14:paraId="1D6D54F6"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Although many writers supported the innocent dissemination principle in </w:t>
      </w:r>
      <w:r w:rsidRPr="000D0631">
        <w:rPr>
          <w:rFonts w:ascii="Times New Roman" w:hAnsi="Times New Roman"/>
          <w:i/>
          <w:iCs/>
        </w:rPr>
        <w:t xml:space="preserve">Emmens v Pottle </w:t>
      </w:r>
      <w:r w:rsidRPr="000D0631">
        <w:rPr>
          <w:rFonts w:ascii="Times New Roman" w:hAnsi="Times New Roman"/>
        </w:rPr>
        <w:t>as one that negated the element of publication</w:t>
      </w:r>
      <w:r w:rsidRPr="000D0631">
        <w:rPr>
          <w:rStyle w:val="FootnoteReference"/>
          <w:rFonts w:ascii="Times New Roman" w:hAnsi="Times New Roman"/>
        </w:rPr>
        <w:footnoteReference w:id="204"/>
      </w:r>
      <w:r w:rsidRPr="000D0631">
        <w:rPr>
          <w:rFonts w:ascii="Times New Roman" w:hAnsi="Times New Roman"/>
        </w:rPr>
        <w:t xml:space="preserve">, some authors appeared to doubt whether the foundation of the innocent dissemination principle was a defendant's plea of an absence of a necessary element of the action rather than a defence in the true sense of confession and avoidance. In his first edition of </w:t>
      </w:r>
      <w:r w:rsidRPr="000D0631">
        <w:rPr>
          <w:rFonts w:ascii="Times New Roman" w:hAnsi="Times New Roman"/>
          <w:i/>
          <w:iCs/>
        </w:rPr>
        <w:t>The Law of Torts</w:t>
      </w:r>
      <w:r w:rsidRPr="000D0631">
        <w:rPr>
          <w:rFonts w:ascii="Times New Roman" w:hAnsi="Times New Roman"/>
        </w:rPr>
        <w:t xml:space="preserve">, published in 1887, although Pollock considered </w:t>
      </w:r>
      <w:r w:rsidRPr="000D0631">
        <w:rPr>
          <w:rFonts w:ascii="Times New Roman" w:hAnsi="Times New Roman"/>
          <w:i/>
        </w:rPr>
        <w:t xml:space="preserve">Emmens v Pottle </w:t>
      </w:r>
      <w:r w:rsidRPr="000D0631">
        <w:rPr>
          <w:rFonts w:ascii="Times New Roman" w:hAnsi="Times New Roman"/>
        </w:rPr>
        <w:t>in a section of his text entitled "What is publication"</w:t>
      </w:r>
      <w:r w:rsidRPr="000D0631">
        <w:rPr>
          <w:rStyle w:val="FootnoteReference"/>
          <w:rFonts w:ascii="Times New Roman" w:hAnsi="Times New Roman"/>
        </w:rPr>
        <w:footnoteReference w:id="205"/>
      </w:r>
      <w:r w:rsidRPr="000D0631">
        <w:rPr>
          <w:rFonts w:ascii="Times New Roman" w:hAnsi="Times New Roman"/>
        </w:rPr>
        <w:t>, he described the defence as one which created a "free[dom] from liability" rather than one which involved a lack of publication. Likewise, Clerk and Lindsell wrote of innocent dissemination as an "excuse"</w:t>
      </w:r>
      <w:r w:rsidRPr="000D0631">
        <w:rPr>
          <w:rStyle w:val="FootnoteReference"/>
          <w:rFonts w:ascii="Times New Roman" w:hAnsi="Times New Roman"/>
        </w:rPr>
        <w:footnoteReference w:id="206"/>
      </w:r>
      <w:r w:rsidRPr="000D0631">
        <w:rPr>
          <w:rFonts w:ascii="Times New Roman" w:hAnsi="Times New Roman"/>
        </w:rPr>
        <w:t>; Bigelow described it as an "immunity"</w:t>
      </w:r>
      <w:r w:rsidRPr="000D0631">
        <w:rPr>
          <w:rStyle w:val="FootnoteReference"/>
          <w:rFonts w:ascii="Times New Roman" w:hAnsi="Times New Roman"/>
        </w:rPr>
        <w:footnoteReference w:id="207"/>
      </w:r>
      <w:r w:rsidRPr="000D0631">
        <w:rPr>
          <w:rFonts w:ascii="Times New Roman" w:hAnsi="Times New Roman"/>
        </w:rPr>
        <w:t>; Brett and, initially, Gatley described it as establishing an absence of liability rather than an absence of publication</w:t>
      </w:r>
      <w:r w:rsidRPr="000D0631">
        <w:rPr>
          <w:rStyle w:val="FootnoteReference"/>
          <w:rFonts w:ascii="Times New Roman" w:hAnsi="Times New Roman"/>
        </w:rPr>
        <w:footnoteReference w:id="208"/>
      </w:r>
      <w:r w:rsidRPr="000D0631">
        <w:rPr>
          <w:rFonts w:ascii="Times New Roman" w:hAnsi="Times New Roman"/>
        </w:rPr>
        <w:t xml:space="preserve">. Even some of those, such as Odgers, who saw the </w:t>
      </w:r>
      <w:r w:rsidRPr="000D0631">
        <w:rPr>
          <w:rFonts w:ascii="Times New Roman" w:hAnsi="Times New Roman"/>
        </w:rPr>
        <w:lastRenderedPageBreak/>
        <w:t>doctrine as an element of the action referred to the fiction or "deeming" involved in the negation of publication</w:t>
      </w:r>
      <w:r w:rsidRPr="000D0631">
        <w:rPr>
          <w:rStyle w:val="FootnoteReference"/>
          <w:rFonts w:ascii="Times New Roman" w:hAnsi="Times New Roman"/>
        </w:rPr>
        <w:footnoteReference w:id="209"/>
      </w:r>
      <w:r w:rsidRPr="000D0631">
        <w:rPr>
          <w:rFonts w:ascii="Times New Roman" w:hAnsi="Times New Roman"/>
        </w:rPr>
        <w:t>.</w:t>
      </w:r>
    </w:p>
    <w:p w14:paraId="06612F5F"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By 1977, there was therefore some support for the proposition, articulated by Bridge LJ, that the disseminator of defamatory material is liable, subject to the defence of innocent dissemination</w:t>
      </w:r>
      <w:r w:rsidRPr="000D0631">
        <w:rPr>
          <w:rStyle w:val="FootnoteReference"/>
          <w:rFonts w:ascii="Times New Roman" w:hAnsi="Times New Roman"/>
        </w:rPr>
        <w:footnoteReference w:id="210"/>
      </w:r>
      <w:r w:rsidRPr="000D0631">
        <w:rPr>
          <w:rFonts w:ascii="Times New Roman" w:hAnsi="Times New Roman"/>
        </w:rPr>
        <w:t xml:space="preserve">. This treatment by Bridge LJ of innocent dissemination as a true defence to the completed elements of the tort of defamation was described in a footnote in an English text, referred to by Brennan CJ, Dawson and Toohey JJ in </w:t>
      </w:r>
      <w:r w:rsidRPr="000D0631">
        <w:rPr>
          <w:rFonts w:ascii="Times New Roman" w:hAnsi="Times New Roman"/>
          <w:i/>
          <w:iCs/>
        </w:rPr>
        <w:t>Thompson v Australian Capital Television Pty Ltd</w:t>
      </w:r>
      <w:r w:rsidRPr="000D0631">
        <w:rPr>
          <w:rStyle w:val="FootnoteReference"/>
          <w:rFonts w:ascii="Times New Roman" w:hAnsi="Times New Roman"/>
        </w:rPr>
        <w:footnoteReference w:id="211"/>
      </w:r>
      <w:r w:rsidRPr="000D0631">
        <w:rPr>
          <w:rFonts w:ascii="Times New Roman" w:hAnsi="Times New Roman"/>
        </w:rPr>
        <w:t>, as supporting the proposition that "it would be more accurate to say that any disseminator of a libel publishes the libel but, if he can establish the defence of innocent dissemination, he will not be responsible for that publication".</w:t>
      </w:r>
    </w:p>
    <w:p w14:paraId="5963065C"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Despite some academic support and strong hints of judicial support, no Australian case has yet conclusively recognised that the foundations of "innocent dissemination" have shifted from being a negation of the element of publication to becoming a true defence to the completed cause of action. In 1934, Dixon J was still describing the circumstances of innocent dissemination as negating "publication of a libel"</w:t>
      </w:r>
      <w:r w:rsidRPr="000D0631">
        <w:rPr>
          <w:rStyle w:val="FootnoteReference"/>
          <w:rFonts w:ascii="Times New Roman" w:hAnsi="Times New Roman"/>
        </w:rPr>
        <w:footnoteReference w:id="212"/>
      </w:r>
      <w:r w:rsidRPr="000D0631">
        <w:rPr>
          <w:rFonts w:ascii="Times New Roman" w:hAnsi="Times New Roman"/>
        </w:rPr>
        <w:t xml:space="preserve">. And the passing reference in the joint judgment of Brennan CJ, Dawson and Toohey JJ in </w:t>
      </w:r>
      <w:r w:rsidRPr="000D0631">
        <w:rPr>
          <w:rFonts w:ascii="Times New Roman" w:hAnsi="Times New Roman"/>
          <w:i/>
        </w:rPr>
        <w:t>Thompson v</w:t>
      </w:r>
      <w:r w:rsidRPr="000D0631">
        <w:rPr>
          <w:rFonts w:ascii="Times New Roman" w:hAnsi="Times New Roman"/>
          <w:i/>
          <w:iCs/>
        </w:rPr>
        <w:t xml:space="preserve"> Australian Capital Television Pty Ltd</w:t>
      </w:r>
      <w:r w:rsidRPr="000D0631">
        <w:rPr>
          <w:rFonts w:ascii="Times New Roman" w:hAnsi="Times New Roman"/>
          <w:iCs/>
        </w:rPr>
        <w:t>,</w:t>
      </w:r>
      <w:r w:rsidRPr="000D0631">
        <w:rPr>
          <w:rFonts w:ascii="Times New Roman" w:hAnsi="Times New Roman"/>
        </w:rPr>
        <w:t xml:space="preserve"> which was not endorsed by Gaudron J or Gummow J, who were the other two members of the Court in that appeal</w:t>
      </w:r>
      <w:r w:rsidRPr="000D0631">
        <w:rPr>
          <w:rStyle w:val="FootnoteReference"/>
          <w:rFonts w:ascii="Times New Roman" w:hAnsi="Times New Roman"/>
        </w:rPr>
        <w:footnoteReference w:id="213"/>
      </w:r>
      <w:r w:rsidRPr="000D0631">
        <w:rPr>
          <w:rFonts w:ascii="Times New Roman" w:hAnsi="Times New Roman"/>
        </w:rPr>
        <w:t>, was far from an endorsement of a wholesale shift in the foundations of innocent dissemination</w:t>
      </w:r>
      <w:r w:rsidRPr="000D0631">
        <w:rPr>
          <w:rStyle w:val="FootnoteReference"/>
          <w:rFonts w:ascii="Times New Roman" w:hAnsi="Times New Roman"/>
        </w:rPr>
        <w:footnoteReference w:id="214"/>
      </w:r>
      <w:r w:rsidRPr="000D0631">
        <w:rPr>
          <w:rFonts w:ascii="Times New Roman" w:hAnsi="Times New Roman"/>
        </w:rPr>
        <w:t>.</w:t>
      </w:r>
    </w:p>
    <w:p w14:paraId="46F7CFC3"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The step of reorienting innocent dissemination from being a negation of an element of the cause of action for defamation to being an independent defence </w:t>
      </w:r>
      <w:r w:rsidRPr="000D0631">
        <w:rPr>
          <w:rFonts w:ascii="Times New Roman" w:hAnsi="Times New Roman"/>
        </w:rPr>
        <w:lastRenderedPageBreak/>
        <w:t>should now be taken in Australia, as it has been taken in Hong Kong</w:t>
      </w:r>
      <w:r w:rsidRPr="000D0631">
        <w:rPr>
          <w:rStyle w:val="FootnoteReference"/>
          <w:rFonts w:ascii="Times New Roman" w:hAnsi="Times New Roman"/>
        </w:rPr>
        <w:footnoteReference w:id="215"/>
      </w:r>
      <w:r w:rsidRPr="000D0631">
        <w:rPr>
          <w:rFonts w:ascii="Times New Roman" w:hAnsi="Times New Roman"/>
        </w:rPr>
        <w:t>. The reason to take this step is not merely the need for consistency of theory. It is also required as a matter of coherence in statutory interpretation.</w:t>
      </w:r>
    </w:p>
    <w:p w14:paraId="2BEA4B9A"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Shortly after the decision in </w:t>
      </w:r>
      <w:r w:rsidRPr="000D0631">
        <w:rPr>
          <w:rFonts w:ascii="Times New Roman" w:hAnsi="Times New Roman"/>
          <w:i/>
          <w:iCs/>
        </w:rPr>
        <w:t>Emmens v Pottle</w:t>
      </w:r>
      <w:r w:rsidRPr="000D0631">
        <w:rPr>
          <w:rFonts w:ascii="Times New Roman" w:hAnsi="Times New Roman"/>
        </w:rPr>
        <w:t>, statutory provisions were introduced in Queensland</w:t>
      </w:r>
      <w:r w:rsidRPr="000D0631">
        <w:rPr>
          <w:rStyle w:val="FootnoteReference"/>
          <w:rFonts w:ascii="Times New Roman" w:hAnsi="Times New Roman"/>
        </w:rPr>
        <w:footnoteReference w:id="216"/>
      </w:r>
      <w:r w:rsidRPr="000D0631">
        <w:rPr>
          <w:rFonts w:ascii="Times New Roman" w:hAnsi="Times New Roman"/>
        </w:rPr>
        <w:t xml:space="preserve"> and Tasmania</w:t>
      </w:r>
      <w:r w:rsidRPr="000D0631">
        <w:rPr>
          <w:rStyle w:val="FootnoteReference"/>
          <w:rFonts w:ascii="Times New Roman" w:hAnsi="Times New Roman"/>
        </w:rPr>
        <w:footnoteReference w:id="217"/>
      </w:r>
      <w:r w:rsidRPr="000D0631">
        <w:rPr>
          <w:rFonts w:ascii="Times New Roman" w:hAnsi="Times New Roman"/>
        </w:rPr>
        <w:t xml:space="preserve">. The statutory provisions were expressed in broader terms than innocent dissemination at common law, exempting from liability sellers who disseminated defamatory material without knowledge that the material contained defamatory words. The foundation upon which these innocent dissemination provisions were recognised was not clear. The provisions were not expressed as either a negation of publication or a defence to the completed elements of defamation. From 1958, however, the </w:t>
      </w:r>
      <w:r w:rsidRPr="000D0631">
        <w:rPr>
          <w:rFonts w:ascii="Times New Roman" w:hAnsi="Times New Roman"/>
          <w:i/>
        </w:rPr>
        <w:t>Defamation Act 1958</w:t>
      </w:r>
      <w:r w:rsidRPr="000D0631">
        <w:rPr>
          <w:rFonts w:ascii="Times New Roman" w:hAnsi="Times New Roman"/>
        </w:rPr>
        <w:t> (NSW) treated innocent dissemination as a true defence. Section 10 provided that the "unlawful publication of defamatory matter is an actionable wrong". The modified innocent dissemination provisions were expressed as providing for a lack of criminal responsibility</w:t>
      </w:r>
      <w:r w:rsidRPr="000D0631">
        <w:rPr>
          <w:rStyle w:val="FootnoteReference"/>
          <w:rFonts w:ascii="Times New Roman" w:hAnsi="Times New Roman"/>
        </w:rPr>
        <w:footnoteReference w:id="218"/>
      </w:r>
      <w:r w:rsidRPr="000D0631">
        <w:rPr>
          <w:rFonts w:ascii="Times New Roman" w:hAnsi="Times New Roman"/>
        </w:rPr>
        <w:t>, a lack of liability</w:t>
      </w:r>
      <w:r w:rsidRPr="000D0631">
        <w:rPr>
          <w:rStyle w:val="FootnoteReference"/>
          <w:rFonts w:ascii="Times New Roman" w:hAnsi="Times New Roman"/>
        </w:rPr>
        <w:footnoteReference w:id="219"/>
      </w:r>
      <w:r w:rsidRPr="000D0631">
        <w:rPr>
          <w:rFonts w:ascii="Times New Roman" w:hAnsi="Times New Roman"/>
        </w:rPr>
        <w:t>, or a lack of responsibility</w:t>
      </w:r>
      <w:r w:rsidRPr="000D0631">
        <w:rPr>
          <w:rStyle w:val="FootnoteReference"/>
          <w:rFonts w:ascii="Times New Roman" w:hAnsi="Times New Roman"/>
        </w:rPr>
        <w:footnoteReference w:id="220"/>
      </w:r>
      <w:r w:rsidRPr="000D0631">
        <w:rPr>
          <w:rFonts w:ascii="Times New Roman" w:hAnsi="Times New Roman"/>
        </w:rPr>
        <w:t>. A New South Wales Law Reform Commission report in 1971 observed that the protection afforded to innocent sellers of defamatory matter in New South Wales had modified "the common law by relieving the defendant of the onus of showing that his ignorance of the defamatory nature of the matter complained of was not due to his negligence"</w:t>
      </w:r>
      <w:r w:rsidRPr="000D0631">
        <w:rPr>
          <w:rStyle w:val="FootnoteReference"/>
          <w:rFonts w:ascii="Times New Roman" w:hAnsi="Times New Roman"/>
        </w:rPr>
        <w:footnoteReference w:id="221"/>
      </w:r>
      <w:r w:rsidRPr="000D0631">
        <w:rPr>
          <w:rFonts w:ascii="Times New Roman" w:hAnsi="Times New Roman"/>
        </w:rPr>
        <w:t>. It also modified the common law by shifting the foundation of the defence from one which negated an element of the action to one that was a true, and independent, defence.</w:t>
      </w:r>
    </w:p>
    <w:p w14:paraId="56630BAA"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The </w:t>
      </w:r>
      <w:r w:rsidRPr="000D0631">
        <w:rPr>
          <w:rFonts w:ascii="Times New Roman" w:hAnsi="Times New Roman"/>
          <w:i/>
          <w:iCs/>
        </w:rPr>
        <w:t xml:space="preserve">Defamation Act 2005 </w:t>
      </w:r>
      <w:r w:rsidRPr="000D0631">
        <w:rPr>
          <w:rFonts w:ascii="Times New Roman" w:hAnsi="Times New Roman"/>
        </w:rPr>
        <w:t xml:space="preserve">provides in s 6(2) that the Act "does not affect the operation of the general law in relation to the tort of defamation except to the extent that this Act provides otherwise (whether expressly or by necessary </w:t>
      </w:r>
      <w:r w:rsidRPr="000D0631">
        <w:rPr>
          <w:rFonts w:ascii="Times New Roman" w:hAnsi="Times New Roman"/>
        </w:rPr>
        <w:lastRenderedPageBreak/>
        <w:t xml:space="preserve">implication)". Section 32 provides for the "Defence of innocent dissemination". That defence is expressed as, and intended as, a true defence, independent of the element of publication required for the completed tort. Against the background of statutory interference with and modification of the common law, the enactment of this defence in the </w:t>
      </w:r>
      <w:r w:rsidRPr="000D0631">
        <w:rPr>
          <w:rFonts w:ascii="Times New Roman" w:hAnsi="Times New Roman"/>
          <w:i/>
          <w:iCs/>
        </w:rPr>
        <w:t>Defamation Act 2005</w:t>
      </w:r>
      <w:r w:rsidRPr="000D0631">
        <w:rPr>
          <w:rFonts w:ascii="Times New Roman" w:hAnsi="Times New Roman"/>
          <w:iCs/>
        </w:rPr>
        <w:t xml:space="preserve"> </w:t>
      </w:r>
      <w:r w:rsidRPr="000D0631">
        <w:rPr>
          <w:rFonts w:ascii="Times New Roman" w:hAnsi="Times New Roman"/>
        </w:rPr>
        <w:t xml:space="preserve">replaced the common law plea of innocent dissemination, the foundation of which had been a negation of the publication element of defamation. As was observed in the Explanatory Note and Second Reading Speech for the Bill which introduced the </w:t>
      </w:r>
      <w:r w:rsidRPr="000D0631">
        <w:rPr>
          <w:rFonts w:ascii="Times New Roman" w:hAnsi="Times New Roman"/>
          <w:i/>
          <w:iCs/>
        </w:rPr>
        <w:t>Defamation Act 2005</w:t>
      </w:r>
      <w:r w:rsidRPr="000D0631">
        <w:rPr>
          <w:rFonts w:ascii="Times New Roman" w:hAnsi="Times New Roman"/>
        </w:rPr>
        <w:t>, the defence of innocent dissemination "largely" followed the general law</w:t>
      </w:r>
      <w:r w:rsidRPr="000D0631">
        <w:rPr>
          <w:rStyle w:val="FootnoteReference"/>
          <w:rFonts w:ascii="Times New Roman" w:hAnsi="Times New Roman"/>
        </w:rPr>
        <w:footnoteReference w:id="222"/>
      </w:r>
      <w:r w:rsidRPr="000D0631">
        <w:rPr>
          <w:rFonts w:ascii="Times New Roman" w:hAnsi="Times New Roman"/>
        </w:rPr>
        <w:t>. Yet it did so by rationalising the common law in a coherent way, removing innocent dissemination from its operation in negating an element of the cause of action and creating it as a separate and true defence. In this case, s 32 has been pleaded but the only question before this Court concerns the content of the element of publication required for the completed tort.</w:t>
      </w:r>
    </w:p>
    <w:p w14:paraId="30C365DB" w14:textId="77777777" w:rsidR="0019155E" w:rsidRPr="000D0631" w:rsidRDefault="0019155E" w:rsidP="000D0631">
      <w:pPr>
        <w:pStyle w:val="HeadingL1"/>
        <w:spacing w:after="260" w:line="280" w:lineRule="exact"/>
        <w:ind w:right="0"/>
        <w:jc w:val="both"/>
        <w:rPr>
          <w:rFonts w:ascii="Times New Roman" w:hAnsi="Times New Roman"/>
        </w:rPr>
      </w:pPr>
      <w:r w:rsidRPr="000D0631">
        <w:rPr>
          <w:rFonts w:ascii="Times New Roman" w:hAnsi="Times New Roman"/>
        </w:rPr>
        <w:t>Attribution by assistance with a common intention to publish</w:t>
      </w:r>
    </w:p>
    <w:p w14:paraId="53274804"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A defendant who does not perform any act of publication personally can still be liable for defamation on the basis of assisting another who performs the act of publication, provided that the defendant assists with a common intention to publish. Consistently with the general principles of the law of torts, assistance can be established by a minor act. A battery where the "one beats violently, and the other a little" involves a joint tort</w:t>
      </w:r>
      <w:r w:rsidRPr="000D0631">
        <w:rPr>
          <w:rStyle w:val="FootnoteReference"/>
          <w:rFonts w:ascii="Times New Roman" w:hAnsi="Times New Roman"/>
        </w:rPr>
        <w:footnoteReference w:id="223"/>
      </w:r>
      <w:r w:rsidRPr="000D0631">
        <w:rPr>
          <w:rFonts w:ascii="Times New Roman" w:hAnsi="Times New Roman"/>
        </w:rPr>
        <w:t>. And for the tort of defamation it has been held to be sufficient to constitute assistance in an act of publication for a servant of the printer "only to clap down the press"</w:t>
      </w:r>
      <w:r w:rsidRPr="000D0631">
        <w:rPr>
          <w:rStyle w:val="FootnoteReference"/>
          <w:rFonts w:ascii="Times New Roman" w:hAnsi="Times New Roman"/>
        </w:rPr>
        <w:footnoteReference w:id="224"/>
      </w:r>
      <w:r w:rsidRPr="000D0631">
        <w:rPr>
          <w:rFonts w:ascii="Times New Roman" w:hAnsi="Times New Roman"/>
        </w:rPr>
        <w:t>.</w:t>
      </w:r>
    </w:p>
    <w:p w14:paraId="2502A9E8"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However, throughout the law of torts and civil wrongdoing, mere assistance is not sufficient to establish liability of an assister as a principal. For instance, the mere manufacture and sale of equipment that assists in the infringement of intellectual property rights is not sufficient to make the manufacturer a principal in the commission of the copyright infringement</w:t>
      </w:r>
      <w:r w:rsidRPr="000D0631">
        <w:rPr>
          <w:rStyle w:val="FootnoteReference"/>
          <w:rFonts w:ascii="Times New Roman" w:hAnsi="Times New Roman"/>
        </w:rPr>
        <w:footnoteReference w:id="225"/>
      </w:r>
      <w:r w:rsidRPr="000D0631">
        <w:rPr>
          <w:rFonts w:ascii="Times New Roman" w:hAnsi="Times New Roman"/>
        </w:rPr>
        <w:t xml:space="preserve">. Even acts of assistance with knowledge of another's intention to infringe is insufficient: the "vendor must have made himself a party to the act of infringement" in order to be liable as a </w:t>
      </w:r>
      <w:r w:rsidRPr="000D0631">
        <w:rPr>
          <w:rFonts w:ascii="Times New Roman" w:hAnsi="Times New Roman"/>
        </w:rPr>
        <w:lastRenderedPageBreak/>
        <w:t>principal</w:t>
      </w:r>
      <w:r w:rsidRPr="000D0631">
        <w:rPr>
          <w:rStyle w:val="FootnoteReference"/>
          <w:rFonts w:ascii="Times New Roman" w:hAnsi="Times New Roman"/>
        </w:rPr>
        <w:footnoteReference w:id="226"/>
      </w:r>
      <w:r w:rsidRPr="000D0631">
        <w:rPr>
          <w:rFonts w:ascii="Times New Roman" w:hAnsi="Times New Roman"/>
        </w:rPr>
        <w:t>. Putting to one side instances of agency</w:t>
      </w:r>
      <w:r w:rsidRPr="000D0631">
        <w:rPr>
          <w:rStyle w:val="FootnoteReference"/>
          <w:rFonts w:ascii="Times New Roman" w:hAnsi="Times New Roman"/>
        </w:rPr>
        <w:footnoteReference w:id="227"/>
      </w:r>
      <w:r w:rsidRPr="000D0631">
        <w:rPr>
          <w:rFonts w:ascii="Times New Roman" w:hAnsi="Times New Roman"/>
        </w:rPr>
        <w:t xml:space="preserve">, in </w:t>
      </w:r>
      <w:r w:rsidRPr="000D0631">
        <w:rPr>
          <w:rFonts w:ascii="Times New Roman" w:hAnsi="Times New Roman"/>
          <w:i/>
          <w:iCs/>
        </w:rPr>
        <w:t>Credit Lyonnais Bank Nederland NV (now Generale Bank Nederland NV) v Export Credit Guarantee Department</w:t>
      </w:r>
      <w:r w:rsidRPr="000D0631">
        <w:rPr>
          <w:rStyle w:val="FootnoteReference"/>
          <w:rFonts w:ascii="Times New Roman" w:hAnsi="Times New Roman"/>
        </w:rPr>
        <w:footnoteReference w:id="228"/>
      </w:r>
      <w:r w:rsidRPr="000D0631">
        <w:rPr>
          <w:rFonts w:ascii="Times New Roman" w:hAnsi="Times New Roman"/>
          <w:i/>
          <w:iCs/>
        </w:rPr>
        <w:t xml:space="preserve"> </w:t>
      </w:r>
      <w:r w:rsidRPr="000D0631">
        <w:rPr>
          <w:rFonts w:ascii="Times New Roman" w:hAnsi="Times New Roman"/>
        </w:rPr>
        <w:t>Hobhouse LJ explained two other categories of case in which a person can make themself a party to the tort of another by assisting in the tort:</w:t>
      </w:r>
    </w:p>
    <w:p w14:paraId="723CE4B2" w14:textId="77777777" w:rsidR="0019155E" w:rsidRDefault="0019155E" w:rsidP="000D0631">
      <w:pPr>
        <w:pStyle w:val="LeftrightafterHC"/>
        <w:spacing w:before="0" w:after="260" w:line="280" w:lineRule="exact"/>
        <w:ind w:right="0"/>
        <w:jc w:val="both"/>
        <w:rPr>
          <w:rFonts w:ascii="Times New Roman" w:hAnsi="Times New Roman"/>
        </w:rPr>
      </w:pPr>
      <w:r w:rsidRPr="000D0631">
        <w:rPr>
          <w:rFonts w:ascii="Times New Roman" w:hAnsi="Times New Roman"/>
        </w:rPr>
        <w:t>"Mere assistance, even knowing assistance, does not suffice to make the 'secondary' party jointly liable as a joint tortfeasor with the primary party. What he does must go further. He must have conspired with the primary party or procured or induced his commission of the tort ... or he must have joined in the common design pursuant to which the tort was committed".</w:t>
      </w:r>
    </w:p>
    <w:p w14:paraId="251E8271"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Although Hobhouse LJ divided these instances of assistance into two categories – (i) conspiring, procuring, or inducing, and (ii) joining in a common design – those two categories substantially overlap. Both require acts of assistance or encouragement in the tort with a common intention or "design" to publish. Indeed, acts of conspiring, procuring, or inducing – or as Steward J more clearly expresses them, procuring, provoking, or conducing</w:t>
      </w:r>
      <w:r w:rsidRPr="000D0631">
        <w:rPr>
          <w:rStyle w:val="FootnoteReference"/>
          <w:rFonts w:ascii="Times New Roman" w:hAnsi="Times New Roman"/>
        </w:rPr>
        <w:footnoteReference w:id="229"/>
      </w:r>
      <w:r w:rsidRPr="000D0631">
        <w:rPr>
          <w:rFonts w:ascii="Times New Roman" w:hAnsi="Times New Roman"/>
        </w:rPr>
        <w:t xml:space="preserve"> – the publication are the obvious means of proving a common intention or design. At the higher level of generality, these categories are all concerned with assistance or encouragement </w:t>
      </w:r>
      <w:r w:rsidRPr="000D0631">
        <w:rPr>
          <w:rFonts w:ascii="Times New Roman" w:hAnsi="Times New Roman"/>
        </w:rPr>
        <w:lastRenderedPageBreak/>
        <w:t>pursuant to an "agreement or common design"</w:t>
      </w:r>
      <w:r w:rsidRPr="000D0631">
        <w:rPr>
          <w:rStyle w:val="FootnoteReference"/>
          <w:rFonts w:ascii="Times New Roman" w:hAnsi="Times New Roman"/>
        </w:rPr>
        <w:footnoteReference w:id="230"/>
      </w:r>
      <w:r w:rsidRPr="000D0631">
        <w:rPr>
          <w:rFonts w:ascii="Times New Roman" w:hAnsi="Times New Roman"/>
        </w:rPr>
        <w:t xml:space="preserve"> or acting "in concert" with the tortfeasor</w:t>
      </w:r>
      <w:r w:rsidRPr="000D0631">
        <w:rPr>
          <w:rStyle w:val="FootnoteReference"/>
          <w:rFonts w:ascii="Times New Roman" w:hAnsi="Times New Roman"/>
        </w:rPr>
        <w:footnoteReference w:id="231"/>
      </w:r>
      <w:r w:rsidRPr="000D0631">
        <w:rPr>
          <w:rFonts w:ascii="Times New Roman" w:hAnsi="Times New Roman"/>
        </w:rPr>
        <w:t>.</w:t>
      </w:r>
    </w:p>
    <w:p w14:paraId="1E7EF39B"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point is simply that like the criminal law</w:t>
      </w:r>
      <w:r w:rsidRPr="000D0631">
        <w:rPr>
          <w:rStyle w:val="FootnoteReference"/>
          <w:rFonts w:ascii="Times New Roman" w:hAnsi="Times New Roman"/>
        </w:rPr>
        <w:footnoteReference w:id="232"/>
      </w:r>
      <w:r w:rsidRPr="000D0631">
        <w:rPr>
          <w:rFonts w:ascii="Times New Roman" w:hAnsi="Times New Roman"/>
        </w:rPr>
        <w:t>, with which the roots of torts are "greatly intermingled"</w:t>
      </w:r>
      <w:r w:rsidRPr="000D0631">
        <w:rPr>
          <w:rStyle w:val="FootnoteReference"/>
          <w:rFonts w:ascii="Times New Roman" w:hAnsi="Times New Roman"/>
        </w:rPr>
        <w:footnoteReference w:id="233"/>
      </w:r>
      <w:r w:rsidRPr="000D0631">
        <w:rPr>
          <w:rFonts w:ascii="Times New Roman" w:hAnsi="Times New Roman"/>
        </w:rPr>
        <w:t>, where two or more people engage in tortious acts with a common design the acts of each are attributed to the other</w:t>
      </w:r>
      <w:r w:rsidRPr="000D0631">
        <w:rPr>
          <w:rStyle w:val="FootnoteReference"/>
          <w:rFonts w:ascii="Times New Roman" w:hAnsi="Times New Roman"/>
        </w:rPr>
        <w:footnoteReference w:id="234"/>
      </w:r>
      <w:r w:rsidRPr="000D0631">
        <w:rPr>
          <w:rFonts w:ascii="Times New Roman" w:hAnsi="Times New Roman"/>
        </w:rPr>
        <w:t xml:space="preserve">. As Scrutton LJ explained in </w:t>
      </w:r>
      <w:r w:rsidRPr="000D0631">
        <w:rPr>
          <w:rFonts w:ascii="Times New Roman" w:hAnsi="Times New Roman"/>
          <w:i/>
          <w:iCs/>
        </w:rPr>
        <w:t>The Koursk</w:t>
      </w:r>
      <w:r w:rsidRPr="000D0631">
        <w:rPr>
          <w:rStyle w:val="FootnoteReference"/>
          <w:rFonts w:ascii="Times New Roman" w:hAnsi="Times New Roman"/>
        </w:rPr>
        <w:footnoteReference w:id="235"/>
      </w:r>
      <w:r w:rsidRPr="000D0631">
        <w:rPr>
          <w:rFonts w:ascii="Times New Roman" w:hAnsi="Times New Roman"/>
        </w:rPr>
        <w:t>, "mere similarity of design on the part of independent actors, causing independent damage, is not enough; there must be concerted action to a common end". This is a general principle applicable to all torts and civil wrongs</w:t>
      </w:r>
      <w:r w:rsidRPr="000D0631">
        <w:rPr>
          <w:rStyle w:val="FootnoteReference"/>
          <w:rFonts w:ascii="Times New Roman" w:hAnsi="Times New Roman"/>
        </w:rPr>
        <w:footnoteReference w:id="236"/>
      </w:r>
      <w:r w:rsidRPr="000D0631">
        <w:rPr>
          <w:rFonts w:ascii="Times New Roman" w:hAnsi="Times New Roman"/>
        </w:rPr>
        <w:t>.</w:t>
      </w:r>
    </w:p>
    <w:p w14:paraId="075450E3"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same approach has naturally been taken in the law of defamation</w:t>
      </w:r>
      <w:r w:rsidRPr="000D0631">
        <w:rPr>
          <w:rStyle w:val="FootnoteReference"/>
          <w:rFonts w:ascii="Times New Roman" w:hAnsi="Times New Roman"/>
        </w:rPr>
        <w:footnoteReference w:id="237"/>
      </w:r>
      <w:r w:rsidRPr="000D0631">
        <w:rPr>
          <w:rFonts w:ascii="Times New Roman" w:hAnsi="Times New Roman"/>
        </w:rPr>
        <w:t xml:space="preserve">. Hence, if a defendant does not personally perform an act of publication, the act of </w:t>
      </w:r>
      <w:r w:rsidRPr="000D0631">
        <w:rPr>
          <w:rFonts w:ascii="Times New Roman" w:hAnsi="Times New Roman"/>
        </w:rPr>
        <w:lastRenderedPageBreak/>
        <w:t xml:space="preserve">publishing by another can be attributed to the defendant if the defendant has assisted the other with a common intention to publish. In </w:t>
      </w:r>
      <w:r w:rsidRPr="000D0631">
        <w:rPr>
          <w:rFonts w:ascii="Times New Roman" w:hAnsi="Times New Roman"/>
          <w:i/>
          <w:iCs/>
        </w:rPr>
        <w:t>Webb v Bloch</w:t>
      </w:r>
      <w:r w:rsidRPr="000D0631">
        <w:rPr>
          <w:rStyle w:val="FootnoteReference"/>
          <w:rFonts w:ascii="Times New Roman" w:hAnsi="Times New Roman"/>
        </w:rPr>
        <w:footnoteReference w:id="238"/>
      </w:r>
      <w:r w:rsidRPr="000D0631">
        <w:rPr>
          <w:rFonts w:ascii="Times New Roman" w:hAnsi="Times New Roman"/>
        </w:rPr>
        <w:t xml:space="preserve">, Isaacs J quoted a passage from </w:t>
      </w:r>
      <w:r w:rsidRPr="000D0631">
        <w:rPr>
          <w:rFonts w:ascii="Times New Roman" w:hAnsi="Times New Roman"/>
          <w:i/>
        </w:rPr>
        <w:t>R v Paine</w:t>
      </w:r>
      <w:r w:rsidRPr="000D0631">
        <w:rPr>
          <w:rStyle w:val="FootnoteReference"/>
          <w:rFonts w:ascii="Times New Roman" w:hAnsi="Times New Roman"/>
        </w:rPr>
        <w:footnoteReference w:id="239"/>
      </w:r>
      <w:r w:rsidRPr="000D0631">
        <w:rPr>
          <w:rFonts w:ascii="Times New Roman" w:hAnsi="Times New Roman"/>
        </w:rPr>
        <w:t>, which compared the principles for responsibility for assistance in publication for the purposes of the tort of defamation with the principles for responsibility for assistance in the offence of murder:</w:t>
      </w:r>
    </w:p>
    <w:p w14:paraId="48AFC432" w14:textId="77777777" w:rsidR="0019155E" w:rsidRDefault="0019155E" w:rsidP="000D0631">
      <w:pPr>
        <w:pStyle w:val="LeftrightafterHC"/>
        <w:spacing w:before="0" w:after="260" w:line="280" w:lineRule="exact"/>
        <w:ind w:right="0"/>
        <w:jc w:val="both"/>
        <w:rPr>
          <w:rFonts w:ascii="Times New Roman" w:hAnsi="Times New Roman"/>
        </w:rPr>
      </w:pPr>
      <w:r w:rsidRPr="000D0631">
        <w:rPr>
          <w:rFonts w:ascii="Times New Roman" w:hAnsi="Times New Roman"/>
        </w:rPr>
        <w:t xml:space="preserve">"If one repeat and another write a libel, and a third approve what is wrote, they are all makers of it; </w:t>
      </w:r>
      <w:r w:rsidRPr="000D0631">
        <w:rPr>
          <w:rFonts w:ascii="Times New Roman" w:hAnsi="Times New Roman"/>
          <w:i/>
          <w:iCs/>
        </w:rPr>
        <w:t>for all persons who concur, and show their assent or approbation to do an unlawful act, are guilty</w:t>
      </w:r>
      <w:r w:rsidRPr="000D0631">
        <w:rPr>
          <w:rFonts w:ascii="Times New Roman" w:hAnsi="Times New Roman"/>
        </w:rPr>
        <w:t>: so that murdering a man's reputation by a scandalous libel may be compared to murdering his person; for if several are assisting and encouraging a man in the act, though the stroke was given by one, yet all are guilty of homicide."</w:t>
      </w:r>
    </w:p>
    <w:p w14:paraId="1A0680B1"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application of this principle to defamation means that the same rules that apply to an author of a book also apply to a printer, who does not perform the act of communication but assists with a common intention to publish. As Glanville Williams said</w:t>
      </w:r>
      <w:r w:rsidRPr="000D0631">
        <w:rPr>
          <w:rStyle w:val="FootnoteReference"/>
          <w:rFonts w:ascii="Times New Roman" w:hAnsi="Times New Roman"/>
        </w:rPr>
        <w:footnoteReference w:id="240"/>
      </w:r>
      <w:r w:rsidRPr="000D0631">
        <w:rPr>
          <w:rFonts w:ascii="Times New Roman" w:hAnsi="Times New Roman"/>
        </w:rPr>
        <w:t xml:space="preserve"> in a passage cited with approval by Brennan CJ, Dawson and Toohey JJ in </w:t>
      </w:r>
      <w:r w:rsidRPr="000D0631">
        <w:rPr>
          <w:rFonts w:ascii="Times New Roman" w:hAnsi="Times New Roman"/>
          <w:i/>
          <w:iCs/>
        </w:rPr>
        <w:t>Thompson v Australian Capital Television Pty Ltd</w:t>
      </w:r>
      <w:r w:rsidRPr="000D0631">
        <w:rPr>
          <w:rStyle w:val="FootnoteReference"/>
          <w:rFonts w:ascii="Times New Roman" w:hAnsi="Times New Roman"/>
        </w:rPr>
        <w:footnoteReference w:id="241"/>
      </w:r>
      <w:r w:rsidRPr="000D0631">
        <w:rPr>
          <w:rFonts w:ascii="Times New Roman" w:hAnsi="Times New Roman"/>
        </w:rPr>
        <w:t>:</w:t>
      </w:r>
    </w:p>
    <w:p w14:paraId="0683C791" w14:textId="77777777" w:rsidR="0019155E" w:rsidRDefault="0019155E" w:rsidP="000D0631">
      <w:pPr>
        <w:pStyle w:val="LeftrightafterHC"/>
        <w:spacing w:before="0" w:after="260" w:line="280" w:lineRule="exact"/>
        <w:ind w:right="0"/>
        <w:jc w:val="both"/>
        <w:rPr>
          <w:rFonts w:ascii="Times New Roman" w:hAnsi="Times New Roman"/>
        </w:rPr>
      </w:pPr>
      <w:r w:rsidRPr="000D0631">
        <w:rPr>
          <w:rFonts w:ascii="Times New Roman" w:hAnsi="Times New Roman"/>
        </w:rPr>
        <w:t>"[I]f A and B jointly write a book which in fact defames C, they are joint tortfeasors whether they realised that the book was defamatory or not. So also it seems that the journalist, compositor, printer, publisher and distributor of a libellous periodical are joint tortfeasors, at any rate in respect of the ultimate publication, since they are engaged in the joint enterprise of distributing the periodical to the public."</w:t>
      </w:r>
    </w:p>
    <w:p w14:paraId="088BC12C"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The recognition that this general principle applies to the tort of defamation explains why the editors of </w:t>
      </w:r>
      <w:r w:rsidRPr="000D0631">
        <w:rPr>
          <w:rFonts w:ascii="Times New Roman" w:hAnsi="Times New Roman"/>
          <w:i/>
          <w:iCs/>
        </w:rPr>
        <w:t>Gatley on Libel and Slander</w:t>
      </w:r>
      <w:r w:rsidRPr="000D0631">
        <w:rPr>
          <w:rStyle w:val="FootnoteReference"/>
          <w:rFonts w:ascii="Times New Roman" w:hAnsi="Times New Roman"/>
        </w:rPr>
        <w:footnoteReference w:id="242"/>
      </w:r>
      <w:r w:rsidRPr="000D0631">
        <w:rPr>
          <w:rFonts w:ascii="Times New Roman" w:hAnsi="Times New Roman"/>
        </w:rPr>
        <w:t xml:space="preserve"> treat the liability of persons who procure or participate in publication of a libel as questions of a "general principle" that "all persons who concur, and show their assent or </w:t>
      </w:r>
      <w:r w:rsidRPr="000D0631">
        <w:rPr>
          <w:rFonts w:ascii="Times New Roman" w:hAnsi="Times New Roman"/>
        </w:rPr>
        <w:lastRenderedPageBreak/>
        <w:t>approbation to do an unlawful act, are guilty"</w:t>
      </w:r>
      <w:r w:rsidRPr="000D0631">
        <w:rPr>
          <w:rStyle w:val="FootnoteReference"/>
          <w:rFonts w:ascii="Times New Roman" w:hAnsi="Times New Roman"/>
        </w:rPr>
        <w:footnoteReference w:id="243"/>
      </w:r>
      <w:r w:rsidRPr="000D0631">
        <w:rPr>
          <w:rFonts w:ascii="Times New Roman" w:hAnsi="Times New Roman"/>
        </w:rPr>
        <w:t xml:space="preserve">, citing cases involving breach of confidence, misrepresentation, harassment, trespass, and conversion. It is why Dr Collins argued in earlier editions of </w:t>
      </w:r>
      <w:r w:rsidRPr="000D0631">
        <w:rPr>
          <w:rFonts w:ascii="Times New Roman" w:hAnsi="Times New Roman"/>
          <w:i/>
          <w:iCs/>
        </w:rPr>
        <w:t>The Law of Defamation and the Internet</w:t>
      </w:r>
      <w:r w:rsidRPr="000D0631">
        <w:rPr>
          <w:rFonts w:ascii="Times New Roman" w:hAnsi="Times New Roman"/>
        </w:rPr>
        <w:t xml:space="preserve"> that liability of procurers in defamation law should develop by reference to intellectual property cases concerned with the liability of persons who procure the commission of those wrongs</w:t>
      </w:r>
      <w:r w:rsidRPr="000D0631">
        <w:rPr>
          <w:rStyle w:val="FootnoteReference"/>
          <w:rFonts w:ascii="Times New Roman" w:hAnsi="Times New Roman"/>
        </w:rPr>
        <w:footnoteReference w:id="244"/>
      </w:r>
      <w:r w:rsidRPr="000D0631">
        <w:rPr>
          <w:rFonts w:ascii="Times New Roman" w:hAnsi="Times New Roman"/>
        </w:rPr>
        <w:t>.</w:t>
      </w:r>
      <w:r w:rsidRPr="000D0631">
        <w:rPr>
          <w:rFonts w:ascii="Times New Roman" w:hAnsi="Times New Roman"/>
          <w:i/>
          <w:iCs/>
        </w:rPr>
        <w:t xml:space="preserve"> </w:t>
      </w:r>
      <w:r w:rsidRPr="000D0631">
        <w:rPr>
          <w:rFonts w:ascii="Times New Roman" w:hAnsi="Times New Roman"/>
        </w:rPr>
        <w:t>And, it is why, as he observed in the latest edition, his prescient observation found favour in English cases</w:t>
      </w:r>
      <w:r w:rsidRPr="000D0631">
        <w:rPr>
          <w:rStyle w:val="FootnoteReference"/>
          <w:rFonts w:ascii="Times New Roman" w:hAnsi="Times New Roman"/>
        </w:rPr>
        <w:footnoteReference w:id="245"/>
      </w:r>
      <w:r w:rsidRPr="000D0631">
        <w:rPr>
          <w:rFonts w:ascii="Times New Roman" w:hAnsi="Times New Roman"/>
        </w:rPr>
        <w:t>.</w:t>
      </w:r>
    </w:p>
    <w:p w14:paraId="747E7100"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When, then, will a defendant such as the appellants be a publisher on the basis that they have assisted another with a common design or common intention to publish the communication with that other person? Ultimately, the question must be answered in the circumstances of the particular case. In some circumstances, reasonable minds might differ as to whether an objective common intention can be found. For instance, the Court of Appeal of England and Wales divided in holding (by majority) that one of the two proprietors of a golf club premises had a common intention to publish a notice on the wall of their premises when, after a period of time had expired, he abstained from taking action while knowing of the notice, which could easily have been removed</w:t>
      </w:r>
      <w:r w:rsidRPr="000D0631">
        <w:rPr>
          <w:rStyle w:val="FootnoteReference"/>
          <w:rFonts w:ascii="Times New Roman" w:hAnsi="Times New Roman"/>
        </w:rPr>
        <w:footnoteReference w:id="246"/>
      </w:r>
      <w:r w:rsidRPr="000D0631">
        <w:rPr>
          <w:rFonts w:ascii="Times New Roman" w:hAnsi="Times New Roman"/>
        </w:rPr>
        <w:t>. The proprietor's intention to publish was inferred from his consent "to [the notice's] publication to each member who saw it"</w:t>
      </w:r>
      <w:r w:rsidRPr="000D0631">
        <w:rPr>
          <w:rStyle w:val="FootnoteReference"/>
          <w:rFonts w:ascii="Times New Roman" w:hAnsi="Times New Roman"/>
        </w:rPr>
        <w:footnoteReference w:id="247"/>
      </w:r>
      <w:r w:rsidRPr="000D0631">
        <w:rPr>
          <w:rFonts w:ascii="Times New Roman" w:hAnsi="Times New Roman"/>
        </w:rPr>
        <w:t>. The decision was later treated as one where the conduct of both proprietors involved republication of the libel</w:t>
      </w:r>
      <w:r w:rsidRPr="000D0631">
        <w:rPr>
          <w:rStyle w:val="FootnoteReference"/>
          <w:rFonts w:ascii="Times New Roman" w:hAnsi="Times New Roman"/>
        </w:rPr>
        <w:footnoteReference w:id="248"/>
      </w:r>
      <w:r w:rsidRPr="000D0631">
        <w:rPr>
          <w:rFonts w:ascii="Times New Roman" w:hAnsi="Times New Roman"/>
        </w:rPr>
        <w:t xml:space="preserve"> by an inference that the publication had been adopted</w:t>
      </w:r>
      <w:r w:rsidRPr="000D0631">
        <w:rPr>
          <w:rStyle w:val="FootnoteReference"/>
          <w:rFonts w:ascii="Times New Roman" w:hAnsi="Times New Roman"/>
        </w:rPr>
        <w:footnoteReference w:id="249"/>
      </w:r>
      <w:r w:rsidRPr="000D0631">
        <w:rPr>
          <w:rFonts w:ascii="Times New Roman" w:hAnsi="Times New Roman"/>
        </w:rPr>
        <w:t>.</w:t>
      </w:r>
    </w:p>
    <w:p w14:paraId="31C1F9CC" w14:textId="77777777" w:rsidR="0019155E" w:rsidRPr="000D0631" w:rsidRDefault="0019155E" w:rsidP="000D0631">
      <w:pPr>
        <w:pStyle w:val="HeadingL1"/>
        <w:spacing w:after="260" w:line="280" w:lineRule="exact"/>
        <w:ind w:right="0"/>
        <w:jc w:val="both"/>
        <w:rPr>
          <w:rFonts w:ascii="Times New Roman" w:hAnsi="Times New Roman"/>
        </w:rPr>
      </w:pPr>
      <w:r w:rsidRPr="000D0631">
        <w:rPr>
          <w:rFonts w:ascii="Times New Roman" w:hAnsi="Times New Roman"/>
        </w:rPr>
        <w:lastRenderedPageBreak/>
        <w:t>The circumstances of this case</w:t>
      </w:r>
    </w:p>
    <w:p w14:paraId="7998D70E"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 electronic medium of social media would not have been foreseen by the late 19th century and 20th century judges who applied the basic principles of the law of torts to the law of defamation. But those basic principles should not be distorted in their application to new media. The basic principles with which the question in this case is concerned are those relating to the requirement of an intention to publish. Whilst innocent dissemination can now be seen as a true defence, rather than a negation of the element of publication, a defendant cannot be liable for publication unless they intentionally perform the act of publication or assist another in the act of publication with a common intention to publish.</w:t>
      </w:r>
    </w:p>
    <w:p w14:paraId="777F2D04"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It is just as true today as it was 150 years ago that, where a defendant requests another to publish a comment on a particular topic, the defendant will be liable for any defamation in the comment only to the extent that the publication was made "in pursuance of, and in accordance with, the request" and was not a departure from the request</w:t>
      </w:r>
      <w:r w:rsidRPr="000D0631">
        <w:rPr>
          <w:rStyle w:val="FootnoteReference"/>
          <w:rFonts w:ascii="Times New Roman" w:hAnsi="Times New Roman"/>
        </w:rPr>
        <w:footnoteReference w:id="250"/>
      </w:r>
      <w:r w:rsidRPr="000D0631">
        <w:rPr>
          <w:rFonts w:ascii="Times New Roman" w:hAnsi="Times New Roman"/>
        </w:rPr>
        <w:t>. So too, if a defendant requests another generally to write a comment that turns out to be libellous then the defendant will be liable for "any libel written in pursuance of his request"</w:t>
      </w:r>
      <w:r w:rsidRPr="000D0631">
        <w:rPr>
          <w:rStyle w:val="FootnoteReference"/>
          <w:rFonts w:ascii="Times New Roman" w:hAnsi="Times New Roman"/>
        </w:rPr>
        <w:footnoteReference w:id="251"/>
      </w:r>
      <w:r w:rsidRPr="000D0631">
        <w:rPr>
          <w:rFonts w:ascii="Times New Roman" w:hAnsi="Times New Roman"/>
        </w:rPr>
        <w:t>.</w:t>
      </w:r>
    </w:p>
    <w:p w14:paraId="64EEF93F"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In this case, the appellants assisted in the publication of third</w:t>
      </w:r>
      <w:r w:rsidRPr="000D0631">
        <w:rPr>
          <w:rFonts w:ascii="Times New Roman" w:hAnsi="Times New Roman"/>
        </w:rPr>
        <w:noBreakHyphen/>
        <w:t>party comments by creating their Facebook pages and posting news stories upon which third</w:t>
      </w:r>
      <w:r w:rsidRPr="000D0631">
        <w:rPr>
          <w:rFonts w:ascii="Times New Roman" w:hAnsi="Times New Roman"/>
        </w:rPr>
        <w:noBreakHyphen/>
        <w:t>party users could comment. However, by merely creating a page and posting a story with an invitation to comment on the story (an invitation which the appellants could not then disable), the appellants did not manifest any intention, nor any common purpose with the author of the comment, to publish words that are entirely unrelated to the posted story. Such unrelated words would not be in pursuance of, or in response to, the invitation.</w:t>
      </w:r>
    </w:p>
    <w:p w14:paraId="3EDCDD66"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In circumstances in which (i) the appellants desired to optimise the readership of their disseminated material and (ii) comments upon the appellants' posts were consistent with their commercial purposes, the appellants had manifested an intention or common purpose to publish third</w:t>
      </w:r>
      <w:r w:rsidRPr="000D0631">
        <w:rPr>
          <w:rFonts w:ascii="Times New Roman" w:hAnsi="Times New Roman"/>
        </w:rPr>
        <w:noBreakHyphen/>
        <w:t xml:space="preserve">party comments on their links to published stories. The nature of the story that is posted and the circumstances in which it is posted – including the commercial nature of the publisher, the public nature of the Facebook page, and the lack of any expressed restriction upon comments – might also permit a conclusion that the appellants manifested an intention to invite a wide range of comments connected to the subject matter of the story. Provided that a comment that is written in response to the invitation is genuinely a comment on the story, the appellants will be publishers </w:t>
      </w:r>
      <w:r w:rsidRPr="000D0631">
        <w:rPr>
          <w:rFonts w:ascii="Times New Roman" w:hAnsi="Times New Roman"/>
        </w:rPr>
        <w:lastRenderedPageBreak/>
        <w:t>of that comment, irrespective of whether the appellants knew of, or could have known of, the comment at the time it was published.</w:t>
      </w:r>
    </w:p>
    <w:p w14:paraId="3A266108"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To return to the example with which these reasons began, a third</w:t>
      </w:r>
      <w:r w:rsidRPr="000D0631">
        <w:rPr>
          <w:rFonts w:ascii="Times New Roman" w:hAnsi="Times New Roman"/>
        </w:rPr>
        <w:noBreakHyphen/>
        <w:t>party comment on a story about the weather that disparaged the competence of the author of the story to predict the weather patterns would be sufficiently connected to the story to fall within the common intention that it be published by Nationwide News. A random remark by a third party, entirely unconnected with the weather story, that a particular person is a thief would not fall within any manifest common intention. In between these examples there might be difficult questions concerning the existence of a common intention. But such difficult questions have existed across the whole of the law of torts for more than a century.</w:t>
      </w:r>
    </w:p>
    <w:p w14:paraId="6D65349D"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There is no basis in any of the evidence before the primary judge to conclude that by the (then mandatory) invitation to "comment" on their posted stories the appellants intended to publish remarks on anything and everything, however unrelated to the posted story. The "comment" button, which could not have been disabled, was not an invitation to third</w:t>
      </w:r>
      <w:r w:rsidRPr="000D0631">
        <w:rPr>
          <w:rFonts w:ascii="Times New Roman" w:hAnsi="Times New Roman"/>
        </w:rPr>
        <w:noBreakHyphen/>
        <w:t>party users to write any words about anything. The invitation to comment did not extend to third-party remarks whose connection with the subject matter of the posted story is so remote or tenuous that they could not meaningfully be described as a "comment" on the posted story. The appellants might have assisted in the author's act of publishing such remarks, but the appellants had no common purpose for the publication of such remarks, which were not, in any meaningful sense, "comments" on the posted story.</w:t>
      </w:r>
    </w:p>
    <w:p w14:paraId="5EA05A87" w14:textId="77777777"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Like Steward J, I would allow the appeals and answer the question stated in terms that are neither the universal negative answer proposed by the appellants nor the universal affirmative answer proposed by the respondent. There is also substantial overlap in our approaches. Indeed, as I have explained above, the concepts of procuring, provoking, and conducing publication, to which his Honour refers, involve assistance or encouragement with a common intention to publish. Depending on how broadly those concepts are applied, they may exhaust the universe of assistance with a common intention.</w:t>
      </w:r>
    </w:p>
    <w:p w14:paraId="48BDD1AC" w14:textId="25AEF7DA" w:rsidR="0019155E" w:rsidRPr="000D0631" w:rsidRDefault="0019155E" w:rsidP="0019155E">
      <w:pPr>
        <w:pStyle w:val="FixListStyle"/>
        <w:numPr>
          <w:ilvl w:val="0"/>
          <w:numId w:val="18"/>
        </w:numPr>
        <w:spacing w:after="260" w:line="280" w:lineRule="exact"/>
        <w:ind w:left="0" w:right="0" w:hanging="720"/>
        <w:jc w:val="both"/>
        <w:rPr>
          <w:rFonts w:ascii="Times New Roman" w:hAnsi="Times New Roman"/>
        </w:rPr>
      </w:pPr>
      <w:r w:rsidRPr="000D0631">
        <w:rPr>
          <w:rFonts w:ascii="Times New Roman" w:hAnsi="Times New Roman"/>
        </w:rPr>
        <w:tab/>
        <w:t xml:space="preserve">In each appeal, </w:t>
      </w:r>
      <w:r w:rsidR="00C30C89" w:rsidRPr="004F7BC5">
        <w:rPr>
          <w:rFonts w:ascii="Times New Roman" w:hAnsi="Times New Roman"/>
        </w:rPr>
        <w:t>I would allow the appeal</w:t>
      </w:r>
      <w:r w:rsidR="00395F9B">
        <w:rPr>
          <w:rFonts w:ascii="Times New Roman" w:hAnsi="Times New Roman"/>
        </w:rPr>
        <w:t xml:space="preserve"> in part</w:t>
      </w:r>
      <w:bookmarkStart w:id="3" w:name="_GoBack"/>
      <w:bookmarkEnd w:id="3"/>
      <w:r w:rsidR="00C30C89" w:rsidRPr="004F7BC5">
        <w:rPr>
          <w:rFonts w:ascii="Times New Roman" w:hAnsi="Times New Roman"/>
        </w:rPr>
        <w:t>, set aside paragraph 3 of the orders of the Court of Appeal of the Supreme Court of New South Wales and, in its place, order that</w:t>
      </w:r>
      <w:r w:rsidR="006C1E42">
        <w:rPr>
          <w:rFonts w:ascii="Times New Roman" w:hAnsi="Times New Roman"/>
        </w:rPr>
        <w:t>:</w:t>
      </w:r>
      <w:r w:rsidR="00C30C89" w:rsidRPr="004F7BC5">
        <w:rPr>
          <w:rFonts w:ascii="Times New Roman" w:hAnsi="Times New Roman"/>
        </w:rPr>
        <w:t xml:space="preserve"> the appeal be allowed and paragraph 1 of the orders of the Supreme Court of New South Wales be set aside and</w:t>
      </w:r>
      <w:r w:rsidR="00E61D8D">
        <w:rPr>
          <w:rFonts w:ascii="Times New Roman" w:hAnsi="Times New Roman"/>
        </w:rPr>
        <w:t>,</w:t>
      </w:r>
      <w:r w:rsidR="00C30C89" w:rsidRPr="004F7BC5">
        <w:rPr>
          <w:rFonts w:ascii="Times New Roman" w:hAnsi="Times New Roman"/>
        </w:rPr>
        <w:t xml:space="preserve"> in its place</w:t>
      </w:r>
      <w:r w:rsidR="00E61D8D">
        <w:rPr>
          <w:rFonts w:ascii="Times New Roman" w:hAnsi="Times New Roman"/>
        </w:rPr>
        <w:t>,</w:t>
      </w:r>
      <w:r w:rsidR="00C30C89" w:rsidRPr="004F7BC5">
        <w:rPr>
          <w:rFonts w:ascii="Times New Roman" w:hAnsi="Times New Roman"/>
        </w:rPr>
        <w:t xml:space="preserve"> it be ordered that the question be answered as follows</w:t>
      </w:r>
      <w:r w:rsidRPr="000D0631">
        <w:rPr>
          <w:rFonts w:ascii="Times New Roman" w:hAnsi="Times New Roman"/>
        </w:rPr>
        <w:t>:</w:t>
      </w:r>
    </w:p>
    <w:p w14:paraId="3823B054" w14:textId="77777777" w:rsidR="006F2200" w:rsidRDefault="0019155E" w:rsidP="00EB6E38">
      <w:pPr>
        <w:pStyle w:val="NormalBody"/>
        <w:spacing w:after="260" w:line="280" w:lineRule="exact"/>
        <w:ind w:left="720" w:right="0"/>
        <w:jc w:val="both"/>
        <w:rPr>
          <w:rFonts w:ascii="Times New Roman" w:hAnsi="Times New Roman"/>
        </w:rPr>
      </w:pPr>
      <w:r w:rsidRPr="000D0631">
        <w:rPr>
          <w:rFonts w:ascii="Times New Roman" w:hAnsi="Times New Roman"/>
        </w:rPr>
        <w:t>The plaintiff will establish the publication element of the cause of action for defamation against the defendant in respect of each of the Facebook comments by third-party users by establishing that the Facebook comment has a connection to the subject matter posted by the defendant that is more than remote or tenuous.</w:t>
      </w:r>
    </w:p>
    <w:p w14:paraId="777A2E64" w14:textId="77777777" w:rsidR="006F2200" w:rsidRDefault="006F2200" w:rsidP="00EB6E38">
      <w:pPr>
        <w:pStyle w:val="NormalBody"/>
        <w:spacing w:after="260" w:line="280" w:lineRule="exact"/>
        <w:ind w:left="720" w:right="0"/>
        <w:jc w:val="both"/>
        <w:rPr>
          <w:rFonts w:ascii="Times New Roman" w:hAnsi="Times New Roman"/>
        </w:rPr>
        <w:sectPr w:rsidR="006F2200" w:rsidSect="00595758">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pPr>
    </w:p>
    <w:p w14:paraId="54CCC1A3" w14:textId="77777777" w:rsidR="006F2200" w:rsidRPr="00A25CAF" w:rsidRDefault="006F2200" w:rsidP="006F220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25CAF">
        <w:rPr>
          <w:rFonts w:ascii="Times New Roman" w:hAnsi="Times New Roman"/>
        </w:rPr>
        <w:lastRenderedPageBreak/>
        <w:t>STEWARD J.   Fairfax Media Publications Pty Ltd ("Fairfax Media"), Nationwide News Pty Limited ("Nationwide News") and Australian News Channel Pty Ltd ("Australian News Channel") ("the appellants") have public Facebook pages onto which they make posts, normally by way of a comment, image or headline. Under each such post, a box automatically appears which offers three mechanisms of engagement: to "Like", "Comment" and/or "Share". Other Facebook users are thus given the opportunity to engage with the post by expressing approval (or disapproval) by using an emoji, or by commenting on or sharing the post. That opportunity is provided by Facebook's system, not the relevant Facebook page owner. The respondent claims that certain comments posted on the appellants' Facebook pages, by third</w:t>
      </w:r>
      <w:r w:rsidRPr="00A25CAF">
        <w:rPr>
          <w:rFonts w:ascii="Times New Roman" w:hAnsi="Times New Roman"/>
        </w:rPr>
        <w:noBreakHyphen/>
        <w:t xml:space="preserve">party Facebook users, defamed him. </w:t>
      </w:r>
    </w:p>
    <w:p w14:paraId="4E2D7117"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The ultimate issue for determination by this Court was posed as a separate question, namely, whether the respondent has established the publication element of the cause of action of defamation against the appellants in respect of each of the Facebook comments by third-party users</w:t>
      </w:r>
      <w:r>
        <w:rPr>
          <w:rFonts w:ascii="Times New Roman" w:hAnsi="Times New Roman"/>
        </w:rPr>
        <w:t>.</w:t>
      </w:r>
      <w:r w:rsidRPr="003E598B">
        <w:rPr>
          <w:rFonts w:ascii="Times New Roman" w:hAnsi="Times New Roman"/>
        </w:rPr>
        <w:t xml:space="preserve"> </w:t>
      </w:r>
      <w:r w:rsidRPr="00A25CAF">
        <w:rPr>
          <w:rFonts w:ascii="Times New Roman" w:hAnsi="Times New Roman"/>
        </w:rPr>
        <w:t>No party disputed that posting such comments constituted publication. Critically, the separate question assumed that the appellants were the publisher on their respective Facebook pages of either all third-party comments or none of them. For the reasons which follow, that assumption is incorrect.</w:t>
      </w:r>
    </w:p>
    <w:p w14:paraId="40586841" w14:textId="77777777" w:rsidR="006F2200" w:rsidRPr="00A25CAF" w:rsidRDefault="006F2200" w:rsidP="00A25CAF">
      <w:pPr>
        <w:pStyle w:val="HeadingL2"/>
        <w:spacing w:after="260" w:line="280" w:lineRule="exact"/>
        <w:ind w:right="0"/>
        <w:jc w:val="both"/>
        <w:rPr>
          <w:rFonts w:ascii="Times New Roman" w:hAnsi="Times New Roman"/>
          <w:b/>
          <w:i w:val="0"/>
        </w:rPr>
      </w:pPr>
      <w:r w:rsidRPr="00A25CAF">
        <w:rPr>
          <w:rFonts w:ascii="Times New Roman" w:hAnsi="Times New Roman"/>
          <w:b/>
          <w:i w:val="0"/>
        </w:rPr>
        <w:t xml:space="preserve">The competing contentions </w:t>
      </w:r>
    </w:p>
    <w:p w14:paraId="1AA46AD8"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The respondent submits that any degree of participation in the process of communicating defamatory material, however minor, makes that participant a publisher. He relies on eight facts in support of the conclusion that each appellant here was a publisher of the third</w:t>
      </w:r>
      <w:r w:rsidRPr="00A25CAF">
        <w:rPr>
          <w:rFonts w:ascii="Times New Roman" w:hAnsi="Times New Roman"/>
        </w:rPr>
        <w:noBreakHyphen/>
        <w:t>party Facebook user comments. First, they initiated their respective Facebook pages. Secondly, they appointed their own page administrators to administer and monitor their respective Facebook pages. Thirdly, they maintained those Facebook pages on an ongoing basis. Fourthly, they selectively posted content, being links to stories on their digital news websites. Fifthly, they posted in a context where Facebook systems automatically and compulsorily required them to permit third parties to engage and interact with those posts. Sixthly, by maximising the number of such interactions, they served their respective commercial and financial interests. Seventhly, and by reason of the foregoing, they facilitated and encouraged third</w:t>
      </w:r>
      <w:r w:rsidRPr="00A25CAF">
        <w:rPr>
          <w:rFonts w:ascii="Times New Roman" w:hAnsi="Times New Roman"/>
        </w:rPr>
        <w:noBreakHyphen/>
        <w:t>party Facebook users to respond to each post. Finally, the preceding facts took place in a context where all posts and Facebook user comments would be viewable by and visible to anyone who visited the appellants' Facebook pages.</w:t>
      </w:r>
    </w:p>
    <w:p w14:paraId="30A3A328"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No part of the respondent's case relies upon an ability or inability to delete or hide defamatory third</w:t>
      </w:r>
      <w:r w:rsidRPr="00A25CAF">
        <w:rPr>
          <w:rFonts w:ascii="Times New Roman" w:hAnsi="Times New Roman"/>
        </w:rPr>
        <w:noBreakHyphen/>
        <w:t>party comments after they have been made. His argument was that each appellant was a publisher of third</w:t>
      </w:r>
      <w:r w:rsidRPr="00A25CAF">
        <w:rPr>
          <w:rFonts w:ascii="Times New Roman" w:hAnsi="Times New Roman"/>
        </w:rPr>
        <w:noBreakHyphen/>
        <w:t>party comments from the moment they were posted.</w:t>
      </w:r>
    </w:p>
    <w:p w14:paraId="10B70256"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lastRenderedPageBreak/>
        <w:tab/>
        <w:t>The appellants contend that they were not the publishers of the relevant third</w:t>
      </w:r>
      <w:r w:rsidRPr="00A25CAF">
        <w:rPr>
          <w:rFonts w:ascii="Times New Roman" w:hAnsi="Times New Roman"/>
        </w:rPr>
        <w:noBreakHyphen/>
        <w:t xml:space="preserve">party comments because they did not intend to communicate their content. To be a publisher, it was said, there must be "knowing involvement" or "knowledge and control and inferred intention to directly engage" in the process of publication. No part of this test requires an intention to defame. But it does require an intention to publish the particular words; implicitly this requires knowledge of what is to be published. The appellants rely upon the following passage from </w:t>
      </w:r>
      <w:r w:rsidRPr="00A25CAF">
        <w:rPr>
          <w:rFonts w:ascii="Times New Roman" w:hAnsi="Times New Roman"/>
          <w:i/>
        </w:rPr>
        <w:t>Webb v Bloch</w:t>
      </w:r>
      <w:r w:rsidRPr="00A25CAF">
        <w:rPr>
          <w:rFonts w:ascii="Times New Roman" w:hAnsi="Times New Roman"/>
        </w:rPr>
        <w:t>, where Isaacs J described the act of publication in the following way</w:t>
      </w:r>
      <w:r w:rsidRPr="00A25CAF">
        <w:rPr>
          <w:rStyle w:val="FootnoteReference"/>
          <w:rFonts w:ascii="Times New Roman" w:hAnsi="Times New Roman"/>
        </w:rPr>
        <w:footnoteReference w:id="252"/>
      </w:r>
      <w:r w:rsidRPr="00A25CAF">
        <w:rPr>
          <w:rFonts w:ascii="Times New Roman" w:hAnsi="Times New Roman"/>
        </w:rPr>
        <w:t>:</w:t>
      </w:r>
    </w:p>
    <w:p w14:paraId="57E157AF" w14:textId="77777777" w:rsidR="006F2200" w:rsidRDefault="006F2200" w:rsidP="00A25CAF">
      <w:pPr>
        <w:pStyle w:val="LRIndentafterHC"/>
        <w:spacing w:before="0" w:after="260" w:line="280" w:lineRule="exact"/>
        <w:ind w:right="0"/>
        <w:jc w:val="both"/>
        <w:rPr>
          <w:rFonts w:ascii="Times New Roman" w:hAnsi="Times New Roman"/>
        </w:rPr>
      </w:pPr>
      <w:r w:rsidRPr="00A25CAF">
        <w:rPr>
          <w:rFonts w:ascii="Times New Roman" w:hAnsi="Times New Roman"/>
        </w:rPr>
        <w:t xml:space="preserve">"The meaning of 'publication' is well described in </w:t>
      </w:r>
      <w:r w:rsidRPr="00A25CAF">
        <w:rPr>
          <w:rFonts w:ascii="Times New Roman" w:hAnsi="Times New Roman"/>
          <w:i/>
        </w:rPr>
        <w:t xml:space="preserve">Folkard </w:t>
      </w:r>
      <w:r w:rsidRPr="00A25CAF">
        <w:rPr>
          <w:rFonts w:ascii="Times New Roman" w:hAnsi="Times New Roman"/>
        </w:rPr>
        <w:t>on</w:t>
      </w:r>
      <w:r w:rsidRPr="00A25CAF">
        <w:rPr>
          <w:rFonts w:ascii="Times New Roman" w:hAnsi="Times New Roman"/>
          <w:i/>
        </w:rPr>
        <w:t xml:space="preserve"> Slander and Libel</w:t>
      </w:r>
      <w:r w:rsidRPr="00A25CAF">
        <w:rPr>
          <w:rFonts w:ascii="Times New Roman" w:hAnsi="Times New Roman"/>
        </w:rPr>
        <w:t xml:space="preserve">, 5th ed (1891), at p 439, in these words: 'The term </w:t>
      </w:r>
      <w:r w:rsidRPr="00A25CAF">
        <w:rPr>
          <w:rFonts w:ascii="Times New Roman" w:hAnsi="Times New Roman"/>
          <w:i/>
        </w:rPr>
        <w:t>published</w:t>
      </w:r>
      <w:r w:rsidRPr="00A25CAF">
        <w:rPr>
          <w:rFonts w:ascii="Times New Roman" w:hAnsi="Times New Roman"/>
        </w:rPr>
        <w:t xml:space="preserve"> is the proper and technical term to be used in the case of libel, </w:t>
      </w:r>
      <w:r w:rsidRPr="00A25CAF">
        <w:rPr>
          <w:rFonts w:ascii="Times New Roman" w:hAnsi="Times New Roman"/>
          <w:i/>
        </w:rPr>
        <w:t>without reference to the precise degree</w:t>
      </w:r>
      <w:r w:rsidRPr="00A25CAF">
        <w:rPr>
          <w:rFonts w:ascii="Times New Roman" w:hAnsi="Times New Roman"/>
        </w:rPr>
        <w:t xml:space="preserve"> in which the defendant has been instrumental to such publication; since, </w:t>
      </w:r>
      <w:r w:rsidRPr="00A25CAF">
        <w:rPr>
          <w:rFonts w:ascii="Times New Roman" w:hAnsi="Times New Roman"/>
          <w:i/>
        </w:rPr>
        <w:t>if he has intentionally lent his assistance to its existence for the purpose of being published</w:t>
      </w:r>
      <w:r w:rsidRPr="00A25CAF">
        <w:rPr>
          <w:rFonts w:ascii="Times New Roman" w:hAnsi="Times New Roman"/>
        </w:rPr>
        <w:t>, his instrumentality is evidence to show a publication by him.'" (emphasis of Isaacs J)</w:t>
      </w:r>
    </w:p>
    <w:p w14:paraId="7AEDC87C"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In making the foregoing submission, the appellants highlighted a number of facts. They said that they have no capacity to remove or disable Facebook's automated box which invites public comment. They did not, and could not, have any prior knowledge of the content of resulting third</w:t>
      </w:r>
      <w:r w:rsidRPr="00A25CAF">
        <w:rPr>
          <w:rFonts w:ascii="Times New Roman" w:hAnsi="Times New Roman"/>
        </w:rPr>
        <w:noBreakHyphen/>
        <w:t>party comments. They claim to have a limited capacity to control the content of such comments. In that respect, the learned primary judge observed that the appellants have no ability to require third</w:t>
      </w:r>
      <w:r w:rsidRPr="00A25CAF">
        <w:rPr>
          <w:rFonts w:ascii="Times New Roman" w:hAnsi="Times New Roman"/>
        </w:rPr>
        <w:noBreakHyphen/>
        <w:t>party users to seek their approval prior to posting comments</w:t>
      </w:r>
      <w:r w:rsidRPr="00A25CAF">
        <w:rPr>
          <w:rStyle w:val="FootnoteReference"/>
          <w:rFonts w:ascii="Times New Roman" w:hAnsi="Times New Roman"/>
        </w:rPr>
        <w:footnoteReference w:id="253"/>
      </w:r>
      <w:r w:rsidRPr="00A25CAF">
        <w:rPr>
          <w:rFonts w:ascii="Times New Roman" w:hAnsi="Times New Roman"/>
        </w:rPr>
        <w:t>; nor could they delete or edit third</w:t>
      </w:r>
      <w:r w:rsidRPr="00A25CAF">
        <w:rPr>
          <w:rFonts w:ascii="Times New Roman" w:hAnsi="Times New Roman"/>
        </w:rPr>
        <w:noBreakHyphen/>
        <w:t>party comments before they were posted</w:t>
      </w:r>
      <w:r w:rsidRPr="00A25CAF">
        <w:rPr>
          <w:rStyle w:val="FootnoteReference"/>
          <w:rFonts w:ascii="Times New Roman" w:hAnsi="Times New Roman"/>
        </w:rPr>
        <w:footnoteReference w:id="254"/>
      </w:r>
      <w:r w:rsidRPr="00A25CAF">
        <w:rPr>
          <w:rFonts w:ascii="Times New Roman" w:hAnsi="Times New Roman"/>
        </w:rPr>
        <w:t>. To the extent that there was an automated Facebook mechanism to "hide" in advance third</w:t>
      </w:r>
      <w:r w:rsidRPr="00A25CAF">
        <w:rPr>
          <w:rFonts w:ascii="Times New Roman" w:hAnsi="Times New Roman"/>
        </w:rPr>
        <w:noBreakHyphen/>
        <w:t xml:space="preserve">party comments containing specified words (which could subsequently be "unhidden" and therefore be publicly viewable), such "hidden" comments could, at all times, be viewed by the third party's Facebook "friends". The appellants were also subject to Facebook's terms of use. They occasionally monitored some of the comments posted but considered it "onerous" or "impracticable" to monitor every comment. The appellants otherwise accepted that it was in their financial interests to seek high levels of engagement with Facebook users because the number of such visits </w:t>
      </w:r>
      <w:r w:rsidRPr="00A25CAF">
        <w:rPr>
          <w:rFonts w:ascii="Times New Roman" w:hAnsi="Times New Roman"/>
        </w:rPr>
        <w:lastRenderedPageBreak/>
        <w:t>is measured for the purpose of negotiating with potential advertisers. Thus, the primary judge observed that media organisations, including the appellants, are incentivised to make posts that are "noticeable and generate engagement"</w:t>
      </w:r>
      <w:r w:rsidRPr="00A25CAF">
        <w:rPr>
          <w:rStyle w:val="FootnoteReference"/>
          <w:rFonts w:ascii="Times New Roman" w:hAnsi="Times New Roman"/>
        </w:rPr>
        <w:footnoteReference w:id="255"/>
      </w:r>
      <w:r w:rsidRPr="00A25CAF">
        <w:rPr>
          <w:rFonts w:ascii="Times New Roman" w:hAnsi="Times New Roman"/>
        </w:rPr>
        <w:t>.</w:t>
      </w:r>
    </w:p>
    <w:p w14:paraId="0F313D2D"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The respondent contends that there is no requirement to demonstrate an intention to publish as an element in the tort of defamation. He maintains that it is a tort of strict liability and relies upon the following passage from the reasons of Dixon J in </w:t>
      </w:r>
      <w:r w:rsidRPr="00A25CAF">
        <w:rPr>
          <w:rFonts w:ascii="Times New Roman" w:hAnsi="Times New Roman"/>
          <w:i/>
        </w:rPr>
        <w:t>Lee v Wilson &amp; Mackinnon</w:t>
      </w:r>
      <w:r w:rsidRPr="00A25CAF">
        <w:rPr>
          <w:rStyle w:val="FootnoteReference"/>
          <w:rFonts w:ascii="Times New Roman" w:hAnsi="Times New Roman"/>
        </w:rPr>
        <w:footnoteReference w:id="256"/>
      </w:r>
      <w:r w:rsidRPr="00A25CAF">
        <w:rPr>
          <w:rFonts w:ascii="Times New Roman" w:hAnsi="Times New Roman"/>
        </w:rPr>
        <w:t>:</w:t>
      </w:r>
    </w:p>
    <w:p w14:paraId="6F04B233" w14:textId="77777777" w:rsidR="006F2200" w:rsidRDefault="006F2200" w:rsidP="00A25CAF">
      <w:pPr>
        <w:pStyle w:val="LeftrightafterHC"/>
        <w:spacing w:before="0" w:after="260" w:line="280" w:lineRule="exact"/>
        <w:ind w:right="0"/>
        <w:jc w:val="both"/>
        <w:rPr>
          <w:rFonts w:ascii="Times New Roman" w:hAnsi="Times New Roman"/>
        </w:rPr>
      </w:pPr>
      <w:r w:rsidRPr="00A25CAF">
        <w:rPr>
          <w:rFonts w:ascii="Times New Roman" w:hAnsi="Times New Roman"/>
        </w:rPr>
        <w:t>"The cause of action consists in publication of the defamatory matter of and concerning the plaintiff. It might be thought, therefore, that, in any event, this warranted or required some investigation of the actual intention of the publisher. But his liability depends upon mere communication of the defamatory matter to a third person. The communication may be quite unintentional, and the publisher may be unaware of the defamatory matter."</w:t>
      </w:r>
    </w:p>
    <w:p w14:paraId="223539FA"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The likelihood of an appellant's post resulting in defamatory or inappropriate third</w:t>
      </w:r>
      <w:r w:rsidRPr="00A25CAF">
        <w:rPr>
          <w:rFonts w:ascii="Times New Roman" w:hAnsi="Times New Roman"/>
        </w:rPr>
        <w:noBreakHyphen/>
        <w:t>party comment was the subject of cross</w:t>
      </w:r>
      <w:r w:rsidRPr="00A25CAF">
        <w:rPr>
          <w:rFonts w:ascii="Times New Roman" w:hAnsi="Times New Roman"/>
        </w:rPr>
        <w:noBreakHyphen/>
        <w:t>examination before the learned primary judge</w:t>
      </w:r>
      <w:r w:rsidRPr="00A25CAF">
        <w:rPr>
          <w:rStyle w:val="FootnoteReference"/>
          <w:rFonts w:ascii="Times New Roman" w:hAnsi="Times New Roman"/>
        </w:rPr>
        <w:footnoteReference w:id="257"/>
      </w:r>
      <w:r w:rsidRPr="00A25CAF">
        <w:rPr>
          <w:rFonts w:ascii="Times New Roman" w:hAnsi="Times New Roman"/>
        </w:rPr>
        <w:t>. The appellants agreed that "controversial comments could occasionally (although rarely) be excited by wholly innocuous postings"</w:t>
      </w:r>
      <w:r w:rsidRPr="00A25CAF">
        <w:rPr>
          <w:rStyle w:val="FootnoteReference"/>
          <w:rFonts w:ascii="Times New Roman" w:hAnsi="Times New Roman"/>
        </w:rPr>
        <w:footnoteReference w:id="258"/>
      </w:r>
      <w:r w:rsidRPr="00A25CAF">
        <w:rPr>
          <w:rFonts w:ascii="Times New Roman" w:hAnsi="Times New Roman"/>
        </w:rPr>
        <w:t>. In the case of Australian News Channel, it was found that it made no assessment of the likely reaction to its Facebook posts and that "nothing specific is done" for the risk of "intolerant and irresponsible" third</w:t>
      </w:r>
      <w:r w:rsidRPr="00A25CAF">
        <w:rPr>
          <w:rFonts w:ascii="Times New Roman" w:hAnsi="Times New Roman"/>
        </w:rPr>
        <w:noBreakHyphen/>
        <w:t>party comments</w:t>
      </w:r>
      <w:r w:rsidRPr="00A25CAF">
        <w:rPr>
          <w:rStyle w:val="FootnoteReference"/>
          <w:rFonts w:ascii="Times New Roman" w:hAnsi="Times New Roman"/>
        </w:rPr>
        <w:footnoteReference w:id="259"/>
      </w:r>
      <w:r w:rsidRPr="00A25CAF">
        <w:rPr>
          <w:rFonts w:ascii="Times New Roman" w:hAnsi="Times New Roman"/>
        </w:rPr>
        <w:t>. That company's primary purpose of posting was to interest readers and have them gain access to its digital publications of the news</w:t>
      </w:r>
      <w:r w:rsidRPr="00A25CAF">
        <w:rPr>
          <w:rStyle w:val="FootnoteReference"/>
          <w:rFonts w:ascii="Times New Roman" w:hAnsi="Times New Roman"/>
        </w:rPr>
        <w:footnoteReference w:id="260"/>
      </w:r>
      <w:r w:rsidRPr="00A25CAF">
        <w:rPr>
          <w:rFonts w:ascii="Times New Roman" w:hAnsi="Times New Roman"/>
        </w:rPr>
        <w:t>. In the case of one post about the respondent, Nationwide News accepted that the making of third</w:t>
      </w:r>
      <w:r w:rsidRPr="00A25CAF">
        <w:rPr>
          <w:rFonts w:ascii="Times New Roman" w:hAnsi="Times New Roman"/>
        </w:rPr>
        <w:noBreakHyphen/>
        <w:t xml:space="preserve">party defamatory comments </w:t>
      </w:r>
      <w:r w:rsidRPr="00A25CAF">
        <w:rPr>
          <w:rFonts w:ascii="Times New Roman" w:hAnsi="Times New Roman"/>
        </w:rPr>
        <w:lastRenderedPageBreak/>
        <w:t>in response was a "'thoroughly predictable' result"</w:t>
      </w:r>
      <w:r w:rsidRPr="00A25CAF">
        <w:rPr>
          <w:rStyle w:val="FootnoteReference"/>
          <w:rFonts w:ascii="Times New Roman" w:hAnsi="Times New Roman"/>
        </w:rPr>
        <w:footnoteReference w:id="261"/>
      </w:r>
      <w:r w:rsidRPr="00A25CAF">
        <w:rPr>
          <w:rFonts w:ascii="Times New Roman" w:hAnsi="Times New Roman"/>
        </w:rPr>
        <w:t>. In respect of another Facebook page administered by Nationwide News, it was agreed that a post concerning the respondent's story "was an emotive issue that could and did trigger very strong positions on both sides, including quite unreasonable positions"</w:t>
      </w:r>
      <w:r w:rsidRPr="00A25CAF">
        <w:rPr>
          <w:rStyle w:val="FootnoteReference"/>
          <w:rFonts w:ascii="Times New Roman" w:hAnsi="Times New Roman"/>
        </w:rPr>
        <w:footnoteReference w:id="262"/>
      </w:r>
      <w:r w:rsidRPr="00A25CAF">
        <w:rPr>
          <w:rFonts w:ascii="Times New Roman" w:hAnsi="Times New Roman"/>
        </w:rPr>
        <w:t>. Ultimately, the primary judge made, amongst others, the following unchallenged factual findings</w:t>
      </w:r>
      <w:r w:rsidRPr="00A25CAF">
        <w:rPr>
          <w:rStyle w:val="FootnoteReference"/>
          <w:rFonts w:ascii="Times New Roman" w:hAnsi="Times New Roman"/>
        </w:rPr>
        <w:footnoteReference w:id="263"/>
      </w:r>
      <w:r w:rsidRPr="00A25CAF">
        <w:rPr>
          <w:rFonts w:ascii="Times New Roman" w:hAnsi="Times New Roman"/>
        </w:rPr>
        <w:t>:</w:t>
      </w:r>
    </w:p>
    <w:p w14:paraId="6EFDF193" w14:textId="77777777" w:rsidR="006F2200" w:rsidRPr="00A25CAF" w:rsidRDefault="006F2200" w:rsidP="00A25CAF">
      <w:pPr>
        <w:pStyle w:val="LeftrightafterHC"/>
        <w:spacing w:before="0" w:after="260" w:line="280" w:lineRule="exact"/>
        <w:ind w:left="1440" w:right="0" w:hanging="720"/>
        <w:jc w:val="both"/>
        <w:rPr>
          <w:rFonts w:ascii="Times New Roman" w:hAnsi="Times New Roman"/>
        </w:rPr>
      </w:pPr>
      <w:r w:rsidRPr="00A25CAF">
        <w:rPr>
          <w:rFonts w:ascii="Times New Roman" w:hAnsi="Times New Roman"/>
        </w:rPr>
        <w:t>"(xi)</w:t>
      </w:r>
      <w:r w:rsidRPr="00A25CAF">
        <w:rPr>
          <w:rFonts w:ascii="Times New Roman" w:hAnsi="Times New Roman"/>
        </w:rPr>
        <w:tab/>
        <w:t>Certain initial posts by the media outlet would be expected to excite adverse comment about a person who is the subject of the post, including comment that is unreasonable, factually incorrect and damaging to the reputation of the person involved;</w:t>
      </w:r>
    </w:p>
    <w:p w14:paraId="1F2998BA" w14:textId="77777777" w:rsidR="006F2200" w:rsidRDefault="006F2200" w:rsidP="00A25CAF">
      <w:pPr>
        <w:pStyle w:val="leftright"/>
        <w:spacing w:before="0" w:after="260" w:line="280" w:lineRule="exact"/>
        <w:ind w:left="1440" w:right="0" w:hanging="720"/>
        <w:jc w:val="both"/>
        <w:rPr>
          <w:rFonts w:ascii="Times New Roman" w:hAnsi="Times New Roman"/>
        </w:rPr>
      </w:pPr>
      <w:r w:rsidRPr="00A25CAF">
        <w:rPr>
          <w:rFonts w:ascii="Times New Roman" w:hAnsi="Times New Roman"/>
        </w:rPr>
        <w:t>(xii)</w:t>
      </w:r>
      <w:r w:rsidRPr="00A25CAF">
        <w:rPr>
          <w:rFonts w:ascii="Times New Roman" w:hAnsi="Times New Roman"/>
        </w:rPr>
        <w:tab/>
        <w:t>The publications of these relevant original posts by the media companies (ie posts to which the comments alleged to be defamatory relate), if any assessment were to have been made (which it was not), would have been assessed as likely (ie more probably than not) to give rise to nasty and defamatory comments".</w:t>
      </w:r>
    </w:p>
    <w:p w14:paraId="19D4E905"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The reference to "[c]ertain initial posts" is, it would appear, only to those posts which would reasonably be expected to provoke defamatory comments. Plainly, not all of the appellants' posts fell into this category.</w:t>
      </w:r>
    </w:p>
    <w:p w14:paraId="17FC294E" w14:textId="77777777" w:rsidR="006F2200" w:rsidRPr="00A25CAF" w:rsidRDefault="006F2200" w:rsidP="00A25CAF">
      <w:pPr>
        <w:pStyle w:val="HeadingL2"/>
        <w:spacing w:after="260" w:line="280" w:lineRule="exact"/>
        <w:ind w:right="0"/>
        <w:jc w:val="both"/>
        <w:rPr>
          <w:rFonts w:ascii="Times New Roman" w:hAnsi="Times New Roman"/>
          <w:b/>
          <w:i w:val="0"/>
        </w:rPr>
      </w:pPr>
      <w:r w:rsidRPr="00A25CAF">
        <w:rPr>
          <w:rFonts w:ascii="Times New Roman" w:hAnsi="Times New Roman"/>
          <w:b/>
          <w:i w:val="0"/>
        </w:rPr>
        <w:t>Relevance of intention</w:t>
      </w:r>
    </w:p>
    <w:p w14:paraId="3FC94990"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Whilst it has been said that the tort of defamation is one of strict liability</w:t>
      </w:r>
      <w:r w:rsidRPr="00A25CAF">
        <w:rPr>
          <w:rStyle w:val="FootnoteReference"/>
          <w:rFonts w:ascii="Times New Roman" w:hAnsi="Times New Roman"/>
        </w:rPr>
        <w:footnoteReference w:id="264"/>
      </w:r>
      <w:r w:rsidRPr="00A25CAF">
        <w:rPr>
          <w:rFonts w:ascii="Times New Roman" w:hAnsi="Times New Roman"/>
        </w:rPr>
        <w:t>, concepts of knowledge and control, and attributed knowledge and control, have long intruded. Four examples illustrate that proposition.</w:t>
      </w:r>
    </w:p>
    <w:p w14:paraId="2817E3F1"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First, appreciating the harshness of the application of the tort to a subsidiary publisher, the common law of defamation has recognised, from at least 1885, the </w:t>
      </w:r>
      <w:r w:rsidRPr="00A25CAF">
        <w:rPr>
          <w:rFonts w:ascii="Times New Roman" w:hAnsi="Times New Roman"/>
        </w:rPr>
        <w:lastRenderedPageBreak/>
        <w:t>defence of innocent dissemination</w:t>
      </w:r>
      <w:r w:rsidRPr="00A25CAF">
        <w:rPr>
          <w:rStyle w:val="FootnoteReference"/>
          <w:rFonts w:ascii="Times New Roman" w:hAnsi="Times New Roman"/>
        </w:rPr>
        <w:footnoteReference w:id="265"/>
      </w:r>
      <w:r w:rsidRPr="00A25CAF">
        <w:rPr>
          <w:rFonts w:ascii="Times New Roman" w:hAnsi="Times New Roman"/>
        </w:rPr>
        <w:t>. This defence applies where a subsidiary publisher can show that they did not know, and by the exercise of reasonable care in all the circumstances</w:t>
      </w:r>
      <w:r w:rsidRPr="00A25CAF" w:rsidDel="004C0EDC">
        <w:rPr>
          <w:rFonts w:ascii="Times New Roman" w:hAnsi="Times New Roman"/>
        </w:rPr>
        <w:t xml:space="preserve"> </w:t>
      </w:r>
      <w:r w:rsidRPr="00A25CAF">
        <w:rPr>
          <w:rFonts w:ascii="Times New Roman" w:hAnsi="Times New Roman"/>
        </w:rPr>
        <w:t>could not have known, that the thing disseminated by them contained defamatory material</w:t>
      </w:r>
      <w:r w:rsidRPr="00A25CAF">
        <w:rPr>
          <w:rStyle w:val="FootnoteReference"/>
          <w:rFonts w:ascii="Times New Roman" w:hAnsi="Times New Roman"/>
        </w:rPr>
        <w:footnoteReference w:id="266"/>
      </w:r>
      <w:r w:rsidRPr="00A25CAF">
        <w:rPr>
          <w:rFonts w:ascii="Times New Roman" w:hAnsi="Times New Roman"/>
        </w:rPr>
        <w:t xml:space="preserve">. The defence is now found in s 32 of the </w:t>
      </w:r>
      <w:r w:rsidRPr="00A25CAF">
        <w:rPr>
          <w:rFonts w:ascii="Times New Roman" w:hAnsi="Times New Roman"/>
          <w:i/>
        </w:rPr>
        <w:t>Defamation Act 2005</w:t>
      </w:r>
      <w:r w:rsidRPr="00A25CAF">
        <w:rPr>
          <w:rFonts w:ascii="Times New Roman" w:hAnsi="Times New Roman"/>
        </w:rPr>
        <w:t xml:space="preserve"> (NSW).</w:t>
      </w:r>
    </w:p>
    <w:p w14:paraId="37906B18"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Secondly, issues of knowledge and control are also relevant in determining whether a person is a subsidiary publisher or subordinate distributor (being the term used in the </w:t>
      </w:r>
      <w:r w:rsidRPr="00A25CAF">
        <w:rPr>
          <w:rFonts w:ascii="Times New Roman" w:hAnsi="Times New Roman"/>
          <w:i/>
        </w:rPr>
        <w:t>Defamation Act</w:t>
      </w:r>
      <w:r w:rsidRPr="00A25CAF">
        <w:rPr>
          <w:rStyle w:val="FootnoteReference"/>
          <w:rFonts w:ascii="Times New Roman" w:hAnsi="Times New Roman"/>
        </w:rPr>
        <w:footnoteReference w:id="267"/>
      </w:r>
      <w:r w:rsidRPr="00A25CAF">
        <w:rPr>
          <w:rFonts w:ascii="Times New Roman" w:hAnsi="Times New Roman"/>
        </w:rPr>
        <w:t>), or a first or main distributor</w:t>
      </w:r>
      <w:r w:rsidRPr="00A25CAF">
        <w:rPr>
          <w:rStyle w:val="FootnoteReference"/>
          <w:rFonts w:ascii="Times New Roman" w:hAnsi="Times New Roman"/>
        </w:rPr>
        <w:footnoteReference w:id="268"/>
      </w:r>
      <w:r w:rsidRPr="00A25CAF">
        <w:rPr>
          <w:rFonts w:ascii="Times New Roman" w:hAnsi="Times New Roman"/>
        </w:rPr>
        <w:t xml:space="preserve">. In the case of the </w:t>
      </w:r>
      <w:r w:rsidRPr="00A25CAF">
        <w:rPr>
          <w:rFonts w:ascii="Times New Roman" w:hAnsi="Times New Roman"/>
          <w:i/>
        </w:rPr>
        <w:t>Defamation Act</w:t>
      </w:r>
      <w:r w:rsidRPr="00A25CAF">
        <w:rPr>
          <w:rFonts w:ascii="Times New Roman" w:hAnsi="Times New Roman"/>
        </w:rPr>
        <w:t>, part of the test for being a subordinate distributor is whether a person had "any capacity to exercise editorial control over the content" of what had been published</w:t>
      </w:r>
      <w:r w:rsidRPr="00A25CAF">
        <w:rPr>
          <w:rStyle w:val="FootnoteReference"/>
          <w:rFonts w:ascii="Times New Roman" w:hAnsi="Times New Roman"/>
        </w:rPr>
        <w:footnoteReference w:id="269"/>
      </w:r>
      <w:r w:rsidRPr="00A25CAF">
        <w:rPr>
          <w:rFonts w:ascii="Times New Roman" w:hAnsi="Times New Roman"/>
        </w:rPr>
        <w:t>. At common law, a person was a first or main publisher if she or he had sufficient knowledge and control over what was to be communicated</w:t>
      </w:r>
      <w:r w:rsidRPr="00A25CAF">
        <w:rPr>
          <w:rStyle w:val="FootnoteReference"/>
          <w:rFonts w:ascii="Times New Roman" w:hAnsi="Times New Roman"/>
        </w:rPr>
        <w:footnoteReference w:id="270"/>
      </w:r>
      <w:r w:rsidRPr="00A25CAF">
        <w:rPr>
          <w:rFonts w:ascii="Times New Roman" w:hAnsi="Times New Roman"/>
        </w:rPr>
        <w:t>. As Ribeiro PJ said in</w:t>
      </w:r>
      <w:r w:rsidRPr="00A25CAF">
        <w:rPr>
          <w:rFonts w:ascii="Times New Roman" w:hAnsi="Times New Roman"/>
          <w:i/>
        </w:rPr>
        <w:t xml:space="preserve"> Oriental Press Group Ltd v Fevaworks Solutions Ltd</w:t>
      </w:r>
      <w:r w:rsidRPr="00A25CAF">
        <w:rPr>
          <w:rFonts w:ascii="Times New Roman" w:hAnsi="Times New Roman"/>
        </w:rPr>
        <w:t>, a person will be a first or main publisher if</w:t>
      </w:r>
      <w:r w:rsidRPr="00A25CAF">
        <w:rPr>
          <w:rStyle w:val="FootnoteReference"/>
          <w:rFonts w:ascii="Times New Roman" w:hAnsi="Times New Roman"/>
        </w:rPr>
        <w:footnoteReference w:id="271"/>
      </w:r>
      <w:r w:rsidRPr="00A25CAF">
        <w:rPr>
          <w:rFonts w:ascii="Times New Roman" w:hAnsi="Times New Roman"/>
        </w:rPr>
        <w:t>:</w:t>
      </w:r>
    </w:p>
    <w:p w14:paraId="3A6949B1" w14:textId="77777777" w:rsidR="006F2200" w:rsidRDefault="006F2200" w:rsidP="00A25CAF">
      <w:pPr>
        <w:pStyle w:val="LeftrightafterHC"/>
        <w:spacing w:before="0" w:after="260" w:line="280" w:lineRule="exact"/>
        <w:ind w:right="0"/>
        <w:jc w:val="both"/>
        <w:rPr>
          <w:rFonts w:ascii="Times New Roman" w:hAnsi="Times New Roman"/>
        </w:rPr>
      </w:pPr>
      <w:r w:rsidRPr="00A25CAF">
        <w:rPr>
          <w:rFonts w:ascii="Times New Roman" w:hAnsi="Times New Roman"/>
        </w:rPr>
        <w:t xml:space="preserve">"(i) ... [she or he] knows or can easily acquire knowledge of the content of the article being published (although not necessarily of its defamatory nature as a matter of law); and (ii) ... [she or he] has a realistic ability to control publication of such content, in other words, editorial control </w:t>
      </w:r>
      <w:r w:rsidRPr="00A25CAF">
        <w:rPr>
          <w:rFonts w:ascii="Times New Roman" w:hAnsi="Times New Roman"/>
        </w:rPr>
        <w:lastRenderedPageBreak/>
        <w:t>involving the ability and opportunity to prevent publication of such content."</w:t>
      </w:r>
    </w:p>
    <w:p w14:paraId="743CDA33"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Thirdly, knowledge of the content of a defamatory communication is also relevant to the </w:t>
      </w:r>
      <w:r w:rsidRPr="00A25CAF">
        <w:rPr>
          <w:rFonts w:ascii="Times New Roman" w:hAnsi="Times New Roman"/>
          <w:i/>
        </w:rPr>
        <w:t>Byrne v Deane</w:t>
      </w:r>
      <w:r w:rsidRPr="00A25CAF">
        <w:rPr>
          <w:rStyle w:val="FootnoteReference"/>
          <w:rFonts w:ascii="Times New Roman" w:hAnsi="Times New Roman"/>
        </w:rPr>
        <w:footnoteReference w:id="272"/>
      </w:r>
      <w:r w:rsidRPr="00A25CAF">
        <w:rPr>
          <w:rFonts w:ascii="Times New Roman" w:hAnsi="Times New Roman"/>
        </w:rPr>
        <w:t xml:space="preserve"> line of cases. As Ribeiro PJ in </w:t>
      </w:r>
      <w:r w:rsidRPr="00A25CAF">
        <w:rPr>
          <w:rFonts w:ascii="Times New Roman" w:hAnsi="Times New Roman"/>
          <w:i/>
        </w:rPr>
        <w:t>Oriental Press</w:t>
      </w:r>
      <w:r w:rsidRPr="00A25CAF">
        <w:rPr>
          <w:rFonts w:ascii="Times New Roman" w:hAnsi="Times New Roman"/>
        </w:rPr>
        <w:t xml:space="preserve"> also observed, those cases are authority for the following propositions</w:t>
      </w:r>
      <w:r w:rsidRPr="00A25CAF">
        <w:rPr>
          <w:rStyle w:val="FootnoteReference"/>
          <w:rFonts w:ascii="Times New Roman" w:hAnsi="Times New Roman"/>
        </w:rPr>
        <w:footnoteReference w:id="273"/>
      </w:r>
      <w:r w:rsidRPr="00A25CAF">
        <w:rPr>
          <w:rFonts w:ascii="Times New Roman" w:hAnsi="Times New Roman"/>
        </w:rPr>
        <w:t>:</w:t>
      </w:r>
    </w:p>
    <w:p w14:paraId="5D8BBAA1" w14:textId="77777777" w:rsidR="006F2200" w:rsidRPr="00A25CAF" w:rsidRDefault="006F2200" w:rsidP="00A25CAF">
      <w:pPr>
        <w:pStyle w:val="LeftrightafterHC"/>
        <w:spacing w:before="0" w:after="260" w:line="280" w:lineRule="exact"/>
        <w:ind w:left="1440" w:right="0" w:hanging="720"/>
        <w:jc w:val="both"/>
        <w:rPr>
          <w:rFonts w:ascii="Times New Roman" w:hAnsi="Times New Roman"/>
        </w:rPr>
      </w:pPr>
      <w:r w:rsidRPr="00A25CAF">
        <w:rPr>
          <w:rFonts w:ascii="Times New Roman" w:hAnsi="Times New Roman"/>
        </w:rPr>
        <w:t>"(a)</w:t>
      </w:r>
      <w:r w:rsidRPr="00A25CAF">
        <w:rPr>
          <w:rFonts w:ascii="Times New Roman" w:hAnsi="Times New Roman"/>
        </w:rPr>
        <w:tab/>
        <w:t>Where a third person writes or affixes a statement defamatory of the plaintiff on the occupier's property without the occupier's knowledge, the occupier is not treated as a publisher of that statement prior to [her or his] becoming aware of it.</w:t>
      </w:r>
    </w:p>
    <w:p w14:paraId="5483A61A" w14:textId="77777777" w:rsidR="006F2200" w:rsidRPr="00A25CAF" w:rsidRDefault="006F2200" w:rsidP="00A25CAF">
      <w:pPr>
        <w:pStyle w:val="leftright"/>
        <w:spacing w:before="0" w:after="260" w:line="280" w:lineRule="exact"/>
        <w:ind w:left="1440" w:right="0" w:hanging="720"/>
        <w:jc w:val="both"/>
        <w:rPr>
          <w:rFonts w:ascii="Times New Roman" w:hAnsi="Times New Roman"/>
        </w:rPr>
      </w:pPr>
      <w:r w:rsidRPr="00A25CAF">
        <w:rPr>
          <w:rFonts w:ascii="Times New Roman" w:hAnsi="Times New Roman"/>
        </w:rPr>
        <w:t>(b)</w:t>
      </w:r>
      <w:r w:rsidRPr="00A25CAF">
        <w:rPr>
          <w:rFonts w:ascii="Times New Roman" w:hAnsi="Times New Roman"/>
        </w:rPr>
        <w:tab/>
        <w:t>Once the occupier discovers its existence, [she or he] may be treated as a publisher but only if, having the power to do so, [she or he] does not remove or obliterate the offending statement in circumstances which justify inferring as a matter of fact that by [her or his] inaction [she or he] has consented to or ratified its continued publication.</w:t>
      </w:r>
    </w:p>
    <w:p w14:paraId="598817B3" w14:textId="77777777" w:rsidR="006F2200" w:rsidRDefault="006F2200" w:rsidP="00A25CAF">
      <w:pPr>
        <w:pStyle w:val="leftright"/>
        <w:spacing w:before="0" w:after="260" w:line="280" w:lineRule="exact"/>
        <w:ind w:left="1440" w:right="0" w:hanging="720"/>
        <w:jc w:val="both"/>
        <w:rPr>
          <w:rFonts w:ascii="Times New Roman" w:hAnsi="Times New Roman"/>
        </w:rPr>
      </w:pPr>
      <w:r w:rsidRPr="00A25CAF">
        <w:rPr>
          <w:rFonts w:ascii="Times New Roman" w:hAnsi="Times New Roman"/>
        </w:rPr>
        <w:t>(c)</w:t>
      </w:r>
      <w:r w:rsidRPr="00A25CAF">
        <w:rPr>
          <w:rFonts w:ascii="Times New Roman" w:hAnsi="Times New Roman"/>
        </w:rPr>
        <w:tab/>
        <w:t>Where the occupier becomes aware of the libel but the circumstances show that removal or obliteration is very difficult or very expensive, the fact that the defamatory statement is not expunged may well not justify the inference that it remains in place with [her or his] approval."</w:t>
      </w:r>
    </w:p>
    <w:p w14:paraId="55020937"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i/>
        </w:rPr>
        <w:tab/>
      </w:r>
      <w:r w:rsidRPr="00A25CAF">
        <w:rPr>
          <w:rFonts w:ascii="Times New Roman" w:hAnsi="Times New Roman"/>
        </w:rPr>
        <w:t>Fourthly, a lack of control can be relevant in determining whether a person participated in the publication of third</w:t>
      </w:r>
      <w:r w:rsidRPr="00A25CAF">
        <w:rPr>
          <w:rFonts w:ascii="Times New Roman" w:hAnsi="Times New Roman"/>
        </w:rPr>
        <w:noBreakHyphen/>
        <w:t>party defamatory material.</w:t>
      </w:r>
      <w:r w:rsidRPr="00A25CAF">
        <w:rPr>
          <w:rFonts w:ascii="Times New Roman" w:hAnsi="Times New Roman"/>
          <w:i/>
        </w:rPr>
        <w:t xml:space="preserve"> Crookes v Newton</w:t>
      </w:r>
      <w:r w:rsidRPr="00A25CAF">
        <w:rPr>
          <w:rStyle w:val="FootnoteReference"/>
          <w:rFonts w:ascii="Times New Roman" w:hAnsi="Times New Roman"/>
        </w:rPr>
        <w:footnoteReference w:id="274"/>
      </w:r>
      <w:r w:rsidRPr="00A25CAF">
        <w:rPr>
          <w:rFonts w:ascii="Times New Roman" w:hAnsi="Times New Roman"/>
        </w:rPr>
        <w:t xml:space="preserve"> concerned Mr Newton's publication on his website of hyperlinks to third</w:t>
      </w:r>
      <w:r w:rsidRPr="00A25CAF">
        <w:rPr>
          <w:rFonts w:ascii="Times New Roman" w:hAnsi="Times New Roman"/>
        </w:rPr>
        <w:noBreakHyphen/>
        <w:t>party websites. Those other websites contained defamatory material concerning the appellants. The Supreme Court of Canada decided that Mr Newton had not published that defamatory material. His lack of control over the content of the other websites was important to the conclusion reached by the plurality. Abella J, delivering the judgment of Binnie, LeBel, Charron, Rothstein and Cromwell JJ and herself, reasoned that hyperlinks are just references and said</w:t>
      </w:r>
      <w:r w:rsidRPr="00A25CAF">
        <w:rPr>
          <w:rStyle w:val="FootnoteReference"/>
          <w:rFonts w:ascii="Times New Roman" w:hAnsi="Times New Roman"/>
        </w:rPr>
        <w:footnoteReference w:id="275"/>
      </w:r>
      <w:r w:rsidRPr="00A25CAF">
        <w:rPr>
          <w:rFonts w:ascii="Times New Roman" w:hAnsi="Times New Roman"/>
        </w:rPr>
        <w:t>:</w:t>
      </w:r>
    </w:p>
    <w:p w14:paraId="4A285EFE" w14:textId="77777777" w:rsidR="006F2200" w:rsidRDefault="006F2200" w:rsidP="00A25CAF">
      <w:pPr>
        <w:pStyle w:val="LRIndentafterHC"/>
        <w:spacing w:before="0" w:after="260" w:line="280" w:lineRule="exact"/>
        <w:ind w:right="0"/>
        <w:jc w:val="both"/>
        <w:rPr>
          <w:rFonts w:ascii="Times New Roman" w:hAnsi="Times New Roman"/>
        </w:rPr>
      </w:pPr>
      <w:r w:rsidRPr="00A25CAF">
        <w:rPr>
          <w:rFonts w:ascii="Times New Roman" w:hAnsi="Times New Roman"/>
        </w:rPr>
        <w:t xml:space="preserve">"A reference to other content is fundamentally different from other acts involved in publication. </w:t>
      </w:r>
      <w:r w:rsidRPr="00A25CAF">
        <w:rPr>
          <w:rFonts w:ascii="Times New Roman" w:hAnsi="Times New Roman"/>
          <w:i/>
        </w:rPr>
        <w:t xml:space="preserve">Referencing on its own does not involve </w:t>
      </w:r>
      <w:r w:rsidRPr="00A25CAF">
        <w:rPr>
          <w:rFonts w:ascii="Times New Roman" w:hAnsi="Times New Roman"/>
          <w:i/>
        </w:rPr>
        <w:lastRenderedPageBreak/>
        <w:t>exerting control over the content.</w:t>
      </w:r>
      <w:r w:rsidRPr="00A25CAF">
        <w:rPr>
          <w:rFonts w:ascii="Times New Roman" w:hAnsi="Times New Roman"/>
        </w:rPr>
        <w:t xml:space="preserve"> Communicating something is very different from merely communicating that something exists or where it exists. The former involves dissemination of the content, and suggests control over both the content and whether the content will reach an audience at all, while the latter does not. Even where the goal of the person referring to a defamatory publication is to expand that publication's audience, his or her participation is merely ancillary to that of the initial publisher: with or without the reference, the allegedly defamatory information has already been made available to the public by the initial publisher or publishers' acts.  These features of references distinguish them from acts in the publication process like creating or posting the defamatory publication, and from repetition." (emphasis added)</w:t>
      </w:r>
    </w:p>
    <w:p w14:paraId="09D11237"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The plurality was of the view that its conclusion accorded with the "dramatic transformation in the technology of communications"</w:t>
      </w:r>
      <w:r w:rsidRPr="00A25CAF">
        <w:rPr>
          <w:rStyle w:val="FootnoteReference"/>
          <w:rFonts w:ascii="Times New Roman" w:hAnsi="Times New Roman"/>
        </w:rPr>
        <w:footnoteReference w:id="276"/>
      </w:r>
      <w:r w:rsidRPr="00A25CAF">
        <w:rPr>
          <w:rFonts w:ascii="Times New Roman" w:hAnsi="Times New Roman"/>
        </w:rPr>
        <w:t>. And, further, it avoided a "potential 'chill' in how the Internet functions ... since primary article authors would unlikely want to risk liability for linking to another article over whose changeable content they have no control"</w:t>
      </w:r>
      <w:r w:rsidRPr="00A25CAF">
        <w:rPr>
          <w:rStyle w:val="FootnoteReference"/>
          <w:rFonts w:ascii="Times New Roman" w:hAnsi="Times New Roman"/>
        </w:rPr>
        <w:footnoteReference w:id="277"/>
      </w:r>
      <w:r w:rsidRPr="00A25CAF">
        <w:rPr>
          <w:rFonts w:ascii="Times New Roman" w:hAnsi="Times New Roman"/>
        </w:rPr>
        <w:t>.</w:t>
      </w:r>
    </w:p>
    <w:p w14:paraId="34B47696"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Deschamps J in </w:t>
      </w:r>
      <w:r w:rsidRPr="00A25CAF">
        <w:rPr>
          <w:rFonts w:ascii="Times New Roman" w:hAnsi="Times New Roman"/>
          <w:i/>
        </w:rPr>
        <w:t>Crookes</w:t>
      </w:r>
      <w:r w:rsidRPr="00A25CAF">
        <w:rPr>
          <w:rFonts w:ascii="Times New Roman" w:hAnsi="Times New Roman"/>
        </w:rPr>
        <w:t xml:space="preserve"> was of the view that publication requires "</w:t>
      </w:r>
      <w:r w:rsidRPr="00A25CAF">
        <w:rPr>
          <w:rFonts w:ascii="Times New Roman" w:hAnsi="Times New Roman"/>
          <w:i/>
        </w:rPr>
        <w:t>deliberate</w:t>
      </w:r>
      <w:r w:rsidRPr="00A25CAF">
        <w:rPr>
          <w:rFonts w:ascii="Times New Roman" w:hAnsi="Times New Roman"/>
        </w:rPr>
        <w:t xml:space="preserve"> acts"</w:t>
      </w:r>
      <w:r w:rsidRPr="00A25CAF">
        <w:rPr>
          <w:rStyle w:val="FootnoteReference"/>
          <w:rFonts w:ascii="Times New Roman" w:hAnsi="Times New Roman"/>
        </w:rPr>
        <w:footnoteReference w:id="278"/>
      </w:r>
      <w:r w:rsidRPr="00A25CAF">
        <w:rPr>
          <w:rFonts w:ascii="Times New Roman" w:hAnsi="Times New Roman"/>
        </w:rPr>
        <w:t>. This comes close to the case presented by the appellants here. Her Honour said</w:t>
      </w:r>
      <w:r w:rsidRPr="00A25CAF">
        <w:rPr>
          <w:rStyle w:val="FootnoteReference"/>
          <w:rFonts w:ascii="Times New Roman" w:hAnsi="Times New Roman"/>
        </w:rPr>
        <w:footnoteReference w:id="279"/>
      </w:r>
      <w:r w:rsidRPr="00A25CAF">
        <w:rPr>
          <w:rFonts w:ascii="Times New Roman" w:hAnsi="Times New Roman"/>
        </w:rPr>
        <w:t>:</w:t>
      </w:r>
    </w:p>
    <w:p w14:paraId="0A363196" w14:textId="77777777" w:rsidR="006F2200" w:rsidRDefault="006F2200" w:rsidP="00A25CAF">
      <w:pPr>
        <w:pStyle w:val="LRIndentafterHC"/>
        <w:spacing w:before="0" w:after="260" w:line="280" w:lineRule="exact"/>
        <w:ind w:right="0"/>
        <w:jc w:val="both"/>
        <w:rPr>
          <w:rFonts w:ascii="Times New Roman" w:hAnsi="Times New Roman"/>
        </w:rPr>
      </w:pPr>
      <w:r w:rsidRPr="00A25CAF">
        <w:rPr>
          <w:rFonts w:ascii="Times New Roman" w:hAnsi="Times New Roman"/>
        </w:rPr>
        <w:t xml:space="preserve">"It should be plain that not </w:t>
      </w:r>
      <w:r w:rsidRPr="00A25CAF">
        <w:rPr>
          <w:rFonts w:ascii="Times New Roman" w:hAnsi="Times New Roman"/>
          <w:i/>
        </w:rPr>
        <w:t>every</w:t>
      </w:r>
      <w:r w:rsidRPr="00A25CAF">
        <w:rPr>
          <w:rFonts w:ascii="Times New Roman" w:hAnsi="Times New Roman"/>
        </w:rPr>
        <w:t xml:space="preserve"> act that makes the defamatory information available to a third party in a comprehensible form might ultimately constitute publication. The plaintiff must show that the act is deliberate. This requires showing that the defendant played more than a passive instrumental role in making the information available." (emphasis in original)</w:t>
      </w:r>
    </w:p>
    <w:p w14:paraId="5C18F9D8"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In contrast, in </w:t>
      </w:r>
      <w:r w:rsidRPr="00A25CAF">
        <w:rPr>
          <w:rFonts w:ascii="Times New Roman" w:hAnsi="Times New Roman"/>
          <w:i/>
        </w:rPr>
        <w:t>Visscher v Maritime Union of Australia [No 6]</w:t>
      </w:r>
      <w:r w:rsidRPr="00A25CAF">
        <w:rPr>
          <w:rStyle w:val="FootnoteReference"/>
          <w:rFonts w:ascii="Times New Roman" w:hAnsi="Times New Roman"/>
        </w:rPr>
        <w:footnoteReference w:id="280"/>
      </w:r>
      <w:r w:rsidRPr="00A25CAF">
        <w:rPr>
          <w:rFonts w:ascii="Times New Roman" w:hAnsi="Times New Roman"/>
        </w:rPr>
        <w:t>, Beech</w:t>
      </w:r>
      <w:r w:rsidRPr="00A25CAF">
        <w:rPr>
          <w:rFonts w:ascii="Times New Roman" w:hAnsi="Times New Roman"/>
        </w:rPr>
        <w:noBreakHyphen/>
        <w:t xml:space="preserve">Jones J decided that the defendant Union was a publisher of defamatory </w:t>
      </w:r>
      <w:r w:rsidRPr="00A25CAF">
        <w:rPr>
          <w:rFonts w:ascii="Times New Roman" w:hAnsi="Times New Roman"/>
        </w:rPr>
        <w:lastRenderedPageBreak/>
        <w:t>material when it included on its website a hyperlink to a defamatory article. That hyperlink comprised these words: "READ FULL STORY". In the circumstances, it was found that the hyperlink amounted to an adoption or promotion of the defamatory material</w:t>
      </w:r>
      <w:r w:rsidRPr="00A25CAF">
        <w:rPr>
          <w:rStyle w:val="FootnoteReference"/>
          <w:rFonts w:ascii="Times New Roman" w:hAnsi="Times New Roman"/>
        </w:rPr>
        <w:footnoteReference w:id="281"/>
      </w:r>
      <w:r w:rsidRPr="00A25CAF">
        <w:rPr>
          <w:rFonts w:ascii="Times New Roman" w:hAnsi="Times New Roman"/>
        </w:rPr>
        <w:t xml:space="preserve">. </w:t>
      </w:r>
    </w:p>
    <w:p w14:paraId="4535AFB5"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The foregoing intrusions in the tort of defamation are inconsistent with the appellants' contended-for "intention" test; they exist precisely because there is otherwise no requirement that there be an intention to publish. Any such test is also inconsistent with the origins of the tort as one of strict liability. I agree with Kiefel CJ, Keane and Gleeson JJ that the appellants' contention should be rejected. </w:t>
      </w:r>
    </w:p>
    <w:p w14:paraId="37A27D3C" w14:textId="77777777" w:rsidR="006F2200" w:rsidRPr="00A25CAF" w:rsidRDefault="006F2200" w:rsidP="00A25CAF">
      <w:pPr>
        <w:pStyle w:val="HeadingL2"/>
        <w:spacing w:after="260" w:line="280" w:lineRule="exact"/>
        <w:ind w:right="0"/>
        <w:jc w:val="both"/>
        <w:rPr>
          <w:rFonts w:ascii="Times New Roman" w:hAnsi="Times New Roman"/>
          <w:b/>
          <w:i w:val="0"/>
        </w:rPr>
      </w:pPr>
      <w:r w:rsidRPr="00A25CAF">
        <w:rPr>
          <w:rFonts w:ascii="Times New Roman" w:hAnsi="Times New Roman"/>
          <w:b/>
          <w:i w:val="0"/>
        </w:rPr>
        <w:t>Did the appellants publish the third</w:t>
      </w:r>
      <w:r w:rsidRPr="00A25CAF">
        <w:rPr>
          <w:rFonts w:ascii="Times New Roman" w:hAnsi="Times New Roman"/>
          <w:b/>
          <w:i w:val="0"/>
        </w:rPr>
        <w:noBreakHyphen/>
        <w:t>party comments?</w:t>
      </w:r>
    </w:p>
    <w:p w14:paraId="6FAB2F66"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However, that is not the end of the matter. The respondent here, as already mentioned, emphasises that any degree of participation by a person in the act of conveying defamatory content, however minor, is sufficient to make that person a publisher. Nonetheless what constitutes participation in an act of publication, or in an act of making defamatory material "available for ... comprehension"</w:t>
      </w:r>
      <w:r w:rsidRPr="00A25CAF">
        <w:rPr>
          <w:rStyle w:val="FootnoteReference"/>
          <w:rFonts w:ascii="Times New Roman" w:hAnsi="Times New Roman"/>
        </w:rPr>
        <w:footnoteReference w:id="282"/>
      </w:r>
      <w:r w:rsidRPr="00A25CAF">
        <w:rPr>
          <w:rFonts w:ascii="Times New Roman" w:hAnsi="Times New Roman"/>
        </w:rPr>
        <w:t>, is ultimately a question of fact. Care should be taken to recognise that language invoked in a judgment to express such fact finding is not an expression of any legal test. Each case must turn on its own facts. In that respect, participation in an act of publication is a specific example, for the purposes of the tort of defamation, of the generic test of "common design" or "common intention" applicable to all joint tortfeasors, as helpfully explained and described in the reasons of Edelman J in this case. What follows is an application of that test to the particular facts of this case.</w:t>
      </w:r>
    </w:p>
    <w:p w14:paraId="15465CA2"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In the world of printing presses, it was easy to see who physically took part in the process of, for example, publication of a defamatory article in a newspaper. It included everyone involved in that process, from the author through to the newsvendor who sold the first paper to a third party. Thus, in </w:t>
      </w:r>
      <w:r w:rsidRPr="00A25CAF">
        <w:rPr>
          <w:rFonts w:ascii="Times New Roman" w:hAnsi="Times New Roman"/>
          <w:i/>
        </w:rPr>
        <w:t>Webb</w:t>
      </w:r>
      <w:r w:rsidRPr="00A25CAF">
        <w:rPr>
          <w:rFonts w:ascii="Times New Roman" w:hAnsi="Times New Roman"/>
        </w:rPr>
        <w:t>, Isaacs J was able to say the following</w:t>
      </w:r>
      <w:r w:rsidRPr="00A25CAF">
        <w:rPr>
          <w:rStyle w:val="FootnoteReference"/>
          <w:rFonts w:ascii="Times New Roman" w:hAnsi="Times New Roman"/>
        </w:rPr>
        <w:footnoteReference w:id="283"/>
      </w:r>
      <w:r w:rsidRPr="00A25CAF">
        <w:rPr>
          <w:rFonts w:ascii="Times New Roman" w:hAnsi="Times New Roman"/>
        </w:rPr>
        <w:t>:</w:t>
      </w:r>
    </w:p>
    <w:p w14:paraId="475C8100" w14:textId="77777777" w:rsidR="006F2200" w:rsidRDefault="006F2200" w:rsidP="00A25CAF">
      <w:pPr>
        <w:pStyle w:val="LeftrightafterHC"/>
        <w:spacing w:before="0" w:after="260" w:line="280" w:lineRule="exact"/>
        <w:ind w:right="0"/>
        <w:jc w:val="both"/>
        <w:rPr>
          <w:rFonts w:ascii="Times New Roman" w:hAnsi="Times New Roman"/>
        </w:rPr>
      </w:pPr>
      <w:r w:rsidRPr="00A25CAF">
        <w:rPr>
          <w:rFonts w:ascii="Times New Roman" w:hAnsi="Times New Roman"/>
        </w:rPr>
        <w:t xml:space="preserve">"In </w:t>
      </w:r>
      <w:r w:rsidRPr="00A25CAF">
        <w:rPr>
          <w:rFonts w:ascii="Times New Roman" w:hAnsi="Times New Roman"/>
          <w:i/>
        </w:rPr>
        <w:t>Parkes v Prescott</w:t>
      </w:r>
      <w:r w:rsidRPr="00A25CAF">
        <w:rPr>
          <w:rFonts w:ascii="Times New Roman" w:hAnsi="Times New Roman"/>
        </w:rPr>
        <w:t xml:space="preserve">[,] </w:t>
      </w:r>
      <w:r w:rsidRPr="00A25CAF">
        <w:rPr>
          <w:rFonts w:ascii="Times New Roman" w:hAnsi="Times New Roman"/>
          <w:i/>
        </w:rPr>
        <w:t>Giffard</w:t>
      </w:r>
      <w:r w:rsidRPr="00A25CAF">
        <w:rPr>
          <w:rFonts w:ascii="Times New Roman" w:hAnsi="Times New Roman"/>
        </w:rPr>
        <w:t xml:space="preserve"> QC quotes from the second edition of </w:t>
      </w:r>
      <w:r w:rsidRPr="00A25CAF">
        <w:rPr>
          <w:rFonts w:ascii="Times New Roman" w:hAnsi="Times New Roman"/>
          <w:i/>
        </w:rPr>
        <w:t>Starkie</w:t>
      </w:r>
      <w:r w:rsidRPr="00A25CAF">
        <w:rPr>
          <w:rFonts w:ascii="Times New Roman" w:hAnsi="Times New Roman"/>
        </w:rPr>
        <w:t xml:space="preserve">: 'All who are in any degree accessory to the publication of a libel, and by any means whatever conduce to the publication, are to be considered as </w:t>
      </w:r>
      <w:r w:rsidRPr="00A25CAF">
        <w:rPr>
          <w:rFonts w:ascii="Times New Roman" w:hAnsi="Times New Roman"/>
          <w:i/>
        </w:rPr>
        <w:t>principals in</w:t>
      </w:r>
      <w:r w:rsidRPr="00A25CAF">
        <w:rPr>
          <w:rFonts w:ascii="Times New Roman" w:hAnsi="Times New Roman"/>
        </w:rPr>
        <w:t xml:space="preserve"> </w:t>
      </w:r>
      <w:r w:rsidRPr="00A25CAF">
        <w:rPr>
          <w:rFonts w:ascii="Times New Roman" w:hAnsi="Times New Roman"/>
          <w:i/>
        </w:rPr>
        <w:t>the act of publication</w:t>
      </w:r>
      <w:r w:rsidRPr="00A25CAF">
        <w:rPr>
          <w:rFonts w:ascii="Times New Roman" w:hAnsi="Times New Roman"/>
        </w:rPr>
        <w:t xml:space="preserve">: thus if one </w:t>
      </w:r>
      <w:r w:rsidRPr="00A25CAF">
        <w:rPr>
          <w:rFonts w:ascii="Times New Roman" w:hAnsi="Times New Roman"/>
          <w:i/>
        </w:rPr>
        <w:t>suggest</w:t>
      </w:r>
      <w:r w:rsidRPr="00A25CAF">
        <w:rPr>
          <w:rFonts w:ascii="Times New Roman" w:hAnsi="Times New Roman"/>
        </w:rPr>
        <w:t xml:space="preserve"> illegal matter in </w:t>
      </w:r>
      <w:r w:rsidRPr="00A25CAF">
        <w:rPr>
          <w:rFonts w:ascii="Times New Roman" w:hAnsi="Times New Roman"/>
        </w:rPr>
        <w:lastRenderedPageBreak/>
        <w:t xml:space="preserve">order that another may write or print it, and that a third may publish it, all are equally amenable for the act of publication when it has been so effected.' In </w:t>
      </w:r>
      <w:r w:rsidRPr="00A25CAF">
        <w:rPr>
          <w:rFonts w:ascii="Times New Roman" w:hAnsi="Times New Roman"/>
          <w:i/>
        </w:rPr>
        <w:t>R v Paine</w:t>
      </w:r>
      <w:r w:rsidRPr="00A25CAF">
        <w:rPr>
          <w:rFonts w:ascii="Times New Roman" w:hAnsi="Times New Roman"/>
        </w:rPr>
        <w:t xml:space="preserve"> it is held: 'If one repeat and another write a libel, and a third approve what is wrote, they are all makers of it; </w:t>
      </w:r>
      <w:r w:rsidRPr="00A25CAF">
        <w:rPr>
          <w:rFonts w:ascii="Times New Roman" w:hAnsi="Times New Roman"/>
          <w:i/>
        </w:rPr>
        <w:t>for all persons who concur, and show their assent or approbation to do an unlawful act, are guilty</w:t>
      </w:r>
      <w:r w:rsidRPr="00A25CAF">
        <w:rPr>
          <w:rFonts w:ascii="Times New Roman" w:hAnsi="Times New Roman"/>
        </w:rPr>
        <w:t xml:space="preserve">: so that murdering a man's reputation by a scandalous libel may be compared to murdering his person; for if several are assisting and encouraging a man in the act, though the stroke was given by one, yet all are guilty of homicide.' A little later, in </w:t>
      </w:r>
      <w:r w:rsidRPr="00A25CAF">
        <w:rPr>
          <w:rFonts w:ascii="Times New Roman" w:hAnsi="Times New Roman"/>
          <w:i/>
        </w:rPr>
        <w:t>R v Drake</w:t>
      </w:r>
      <w:r w:rsidRPr="00A25CAF">
        <w:rPr>
          <w:rFonts w:ascii="Times New Roman" w:hAnsi="Times New Roman"/>
        </w:rPr>
        <w:t xml:space="preserve">, that law was reaffirmed. In </w:t>
      </w:r>
      <w:r w:rsidRPr="00A25CAF">
        <w:rPr>
          <w:rFonts w:ascii="Times New Roman" w:hAnsi="Times New Roman"/>
          <w:i/>
        </w:rPr>
        <w:t>The Queen v Cooper</w:t>
      </w:r>
      <w:r w:rsidRPr="00A25CAF">
        <w:rPr>
          <w:rFonts w:ascii="Times New Roman" w:hAnsi="Times New Roman"/>
        </w:rPr>
        <w:t xml:space="preserve"> Lord </w:t>
      </w:r>
      <w:r w:rsidRPr="00A25CAF">
        <w:rPr>
          <w:rFonts w:ascii="Times New Roman" w:hAnsi="Times New Roman"/>
          <w:i/>
        </w:rPr>
        <w:t>Denman</w:t>
      </w:r>
      <w:r w:rsidRPr="00A25CAF">
        <w:rPr>
          <w:rFonts w:ascii="Times New Roman" w:hAnsi="Times New Roman"/>
        </w:rPr>
        <w:t xml:space="preserve"> CJ said: 'If a man request another generally to write a libel, he must be answerable for any libel written in pursuance of his request:</w:t>
      </w:r>
      <w:r w:rsidRPr="00A25CAF">
        <w:rPr>
          <w:rFonts w:ascii="Times New Roman" w:hAnsi="Times New Roman"/>
          <w:i/>
        </w:rPr>
        <w:t xml:space="preserve"> he contributes to a misdemeanour and is therefore responsible as a principal</w:t>
      </w:r>
      <w:r w:rsidRPr="00A25CAF">
        <w:rPr>
          <w:rFonts w:ascii="Times New Roman" w:hAnsi="Times New Roman"/>
        </w:rPr>
        <w:t>.'" (emphasis of Isaacs J; footnotes omitted)</w:t>
      </w:r>
    </w:p>
    <w:p w14:paraId="42CDC826"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However, it may be more difficult to discern "participation" in a publication in the modern world of the Internet, which has replaced "one</w:t>
      </w:r>
      <w:r w:rsidRPr="00A25CAF">
        <w:rPr>
          <w:rFonts w:ascii="Times New Roman" w:hAnsi="Times New Roman"/>
        </w:rPr>
        <w:noBreakHyphen/>
        <w:t>to</w:t>
      </w:r>
      <w:r w:rsidRPr="00A25CAF">
        <w:rPr>
          <w:rFonts w:ascii="Times New Roman" w:hAnsi="Times New Roman"/>
        </w:rPr>
        <w:noBreakHyphen/>
        <w:t>many" communications with "many</w:t>
      </w:r>
      <w:r w:rsidRPr="00A25CAF">
        <w:rPr>
          <w:rFonts w:ascii="Times New Roman" w:hAnsi="Times New Roman"/>
        </w:rPr>
        <w:noBreakHyphen/>
        <w:t>to</w:t>
      </w:r>
      <w:r w:rsidRPr="00A25CAF">
        <w:rPr>
          <w:rFonts w:ascii="Times New Roman" w:hAnsi="Times New Roman"/>
        </w:rPr>
        <w:noBreakHyphen/>
        <w:t>many" communications</w:t>
      </w:r>
      <w:r w:rsidRPr="00A25CAF">
        <w:rPr>
          <w:rStyle w:val="FootnoteReference"/>
          <w:rFonts w:ascii="Times New Roman" w:hAnsi="Times New Roman"/>
        </w:rPr>
        <w:footnoteReference w:id="284"/>
      </w:r>
      <w:r w:rsidRPr="00A25CAF">
        <w:rPr>
          <w:rFonts w:ascii="Times New Roman" w:hAnsi="Times New Roman"/>
        </w:rPr>
        <w:t>. A key element of modern Internet "platforms", such as Facebook, is the provision of "widespread, democratized, access to media and encouraging participation"</w:t>
      </w:r>
      <w:r w:rsidRPr="00A25CAF">
        <w:rPr>
          <w:rStyle w:val="FootnoteReference"/>
          <w:rFonts w:ascii="Times New Roman" w:hAnsi="Times New Roman"/>
        </w:rPr>
        <w:footnoteReference w:id="285"/>
      </w:r>
      <w:r w:rsidRPr="00A25CAF">
        <w:rPr>
          <w:rFonts w:ascii="Times New Roman" w:hAnsi="Times New Roman"/>
        </w:rPr>
        <w:t>. The act of posting on a public Facebook page starts an electronic conversation, whether long or short, with potentially millions of other Facebook users. A public Facebook page is exposed to receiving potentially thousands of comments from around the world; a Facebook page owner has no actual means of controlling the contents of such comments</w:t>
      </w:r>
      <w:r w:rsidRPr="00A25CAF">
        <w:rPr>
          <w:rStyle w:val="FootnoteReference"/>
          <w:rFonts w:ascii="Times New Roman" w:hAnsi="Times New Roman"/>
        </w:rPr>
        <w:footnoteReference w:id="286"/>
      </w:r>
      <w:r w:rsidRPr="00A25CAF">
        <w:rPr>
          <w:rFonts w:ascii="Times New Roman" w:hAnsi="Times New Roman"/>
        </w:rPr>
        <w:t xml:space="preserve">. </w:t>
      </w:r>
    </w:p>
    <w:p w14:paraId="6B8429E7"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Two propositions are relevant to the determination of these appeals. First, a person does not participate in the communication or conveyance of defamatory material merely because, "but for" something they did, there would have been no such communication or conveyance. Whilst all publishers should, as it happens, satisfy such a "but for" test, that test is not of itself a sufficient means of identifying who participated in an act of publication</w:t>
      </w:r>
      <w:r w:rsidRPr="00A25CAF">
        <w:rPr>
          <w:rStyle w:val="FootnoteReference"/>
          <w:rFonts w:ascii="Times New Roman" w:hAnsi="Times New Roman"/>
        </w:rPr>
        <w:footnoteReference w:id="287"/>
      </w:r>
      <w:r w:rsidRPr="00A25CAF">
        <w:rPr>
          <w:rFonts w:ascii="Times New Roman" w:hAnsi="Times New Roman"/>
        </w:rPr>
        <w:t xml:space="preserve">. That explains why, for example, a </w:t>
      </w:r>
      <w:r w:rsidRPr="00A25CAF">
        <w:rPr>
          <w:rFonts w:ascii="Times New Roman" w:hAnsi="Times New Roman"/>
        </w:rPr>
        <w:lastRenderedPageBreak/>
        <w:t>telephone company was not the publisher of defamatory material when it leased recording equipment that permitted a person to record defamatory accusations, which could then be heard by third parties by dialling certain telephone numbers</w:t>
      </w:r>
      <w:r w:rsidRPr="00A25CAF">
        <w:rPr>
          <w:rStyle w:val="FootnoteReference"/>
          <w:rFonts w:ascii="Times New Roman" w:hAnsi="Times New Roman"/>
        </w:rPr>
        <w:footnoteReference w:id="288"/>
      </w:r>
      <w:r w:rsidRPr="00A25CAF">
        <w:rPr>
          <w:rFonts w:ascii="Times New Roman" w:hAnsi="Times New Roman"/>
        </w:rPr>
        <w:t>. It follows that not every facilitator of a communication or conveyance of defamatory material is necessarily a participant in its publication.</w:t>
      </w:r>
    </w:p>
    <w:p w14:paraId="4848636D"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Secondly, and consistently with the foregoing, it has emerged in more recent times that some acts that facilitate communication of defamatory material may be "so passive"</w:t>
      </w:r>
      <w:r w:rsidRPr="00A25CAF">
        <w:rPr>
          <w:rStyle w:val="FootnoteReference"/>
          <w:rFonts w:ascii="Times New Roman" w:hAnsi="Times New Roman"/>
        </w:rPr>
        <w:footnoteReference w:id="289"/>
      </w:r>
      <w:r w:rsidRPr="00A25CAF">
        <w:rPr>
          <w:rFonts w:ascii="Times New Roman" w:hAnsi="Times New Roman"/>
        </w:rPr>
        <w:t xml:space="preserve"> that they cannot constitute publication of that material. Thus, in </w:t>
      </w:r>
      <w:r w:rsidRPr="00A25CAF">
        <w:rPr>
          <w:rFonts w:ascii="Times New Roman" w:hAnsi="Times New Roman"/>
          <w:i/>
        </w:rPr>
        <w:t>Bunt v Tilley</w:t>
      </w:r>
      <w:r w:rsidRPr="00A25CAF">
        <w:rPr>
          <w:rStyle w:val="FootnoteReference"/>
          <w:rFonts w:ascii="Times New Roman" w:hAnsi="Times New Roman"/>
        </w:rPr>
        <w:footnoteReference w:id="290"/>
      </w:r>
      <w:r w:rsidRPr="00A25CAF">
        <w:rPr>
          <w:rFonts w:ascii="Times New Roman" w:hAnsi="Times New Roman"/>
        </w:rPr>
        <w:t>, internet service providers were not found to be the publishers of defamatory messages which had been posted on websites which used the services of those providers. Playing a merely "passive instrumental role"</w:t>
      </w:r>
      <w:r w:rsidRPr="00A25CAF">
        <w:rPr>
          <w:rStyle w:val="FootnoteReference"/>
          <w:rFonts w:ascii="Times New Roman" w:hAnsi="Times New Roman"/>
        </w:rPr>
        <w:footnoteReference w:id="291"/>
      </w:r>
      <w:r w:rsidRPr="00A25CAF">
        <w:rPr>
          <w:rFonts w:ascii="Times New Roman" w:hAnsi="Times New Roman"/>
        </w:rPr>
        <w:t xml:space="preserve"> did not constitute participation in publication of the messages. In </w:t>
      </w:r>
      <w:r w:rsidRPr="00A25CAF">
        <w:rPr>
          <w:rFonts w:ascii="Times New Roman" w:hAnsi="Times New Roman"/>
          <w:i/>
        </w:rPr>
        <w:t>Google Inc v Duffy</w:t>
      </w:r>
      <w:r w:rsidRPr="00A25CAF">
        <w:rPr>
          <w:rStyle w:val="FootnoteReference"/>
          <w:rFonts w:ascii="Times New Roman" w:hAnsi="Times New Roman"/>
        </w:rPr>
        <w:footnoteReference w:id="292"/>
      </w:r>
      <w:r w:rsidRPr="00A25CAF">
        <w:rPr>
          <w:rFonts w:ascii="Times New Roman" w:hAnsi="Times New Roman"/>
        </w:rPr>
        <w:t>, Kourakis CJ did not agree that an internet service provider was only a passive provider of a service, but otherwise accepted that such providers were not publishers because what they did was "too remote" from the act of publication. The Chief Justice said</w:t>
      </w:r>
      <w:r w:rsidRPr="00A25CAF">
        <w:rPr>
          <w:rStyle w:val="FootnoteReference"/>
          <w:rFonts w:ascii="Times New Roman" w:hAnsi="Times New Roman"/>
        </w:rPr>
        <w:footnoteReference w:id="293"/>
      </w:r>
      <w:r w:rsidRPr="00A25CAF">
        <w:rPr>
          <w:rFonts w:ascii="Times New Roman" w:hAnsi="Times New Roman"/>
        </w:rPr>
        <w:t>:</w:t>
      </w:r>
    </w:p>
    <w:p w14:paraId="1C1B24A4" w14:textId="77777777" w:rsidR="006F2200" w:rsidRDefault="006F2200" w:rsidP="00A25CAF">
      <w:pPr>
        <w:pStyle w:val="LRIndentafterHC"/>
        <w:spacing w:before="0" w:after="260" w:line="280" w:lineRule="exact"/>
        <w:ind w:right="0"/>
        <w:jc w:val="both"/>
        <w:rPr>
          <w:rFonts w:ascii="Times New Roman" w:hAnsi="Times New Roman"/>
        </w:rPr>
      </w:pPr>
      <w:r w:rsidRPr="00A25CAF">
        <w:rPr>
          <w:rFonts w:ascii="Times New Roman" w:hAnsi="Times New Roman"/>
        </w:rPr>
        <w:t xml:space="preserve">"The provision of an electronic protocol which allows a user access to the internet from his or her device plays no part in the selection of the particular information which is extracted from it. Moreover, an [internet service provider] has no practical capacity to control or limit the information obtained at the granular level needed to block particular statements or limit the information. The connection to the World Wide Web provided by [internet service providers] is too remote from the publication </w:t>
      </w:r>
      <w:r w:rsidRPr="00A25CAF">
        <w:rPr>
          <w:rFonts w:ascii="Times New Roman" w:hAnsi="Times New Roman"/>
        </w:rPr>
        <w:lastRenderedPageBreak/>
        <w:t>of written material on the computer screens of users to be a publication even as a secondary participant."</w:t>
      </w:r>
    </w:p>
    <w:p w14:paraId="58596B76"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In </w:t>
      </w:r>
      <w:r w:rsidRPr="00A25CAF">
        <w:rPr>
          <w:rFonts w:ascii="Times New Roman" w:hAnsi="Times New Roman"/>
          <w:i/>
          <w:iCs/>
        </w:rPr>
        <w:t>Metropolitan International Schools Ltd v Designtechnica Corpn</w:t>
      </w:r>
      <w:r w:rsidRPr="00A25CAF">
        <w:rPr>
          <w:rStyle w:val="FootnoteReference"/>
          <w:rFonts w:ascii="Times New Roman" w:hAnsi="Times New Roman"/>
          <w:iCs/>
        </w:rPr>
        <w:footnoteReference w:id="294"/>
      </w:r>
      <w:r w:rsidRPr="00A25CAF">
        <w:rPr>
          <w:rFonts w:ascii="Times New Roman" w:hAnsi="Times New Roman"/>
          <w:i/>
          <w:iCs/>
        </w:rPr>
        <w:t xml:space="preserve"> </w:t>
      </w:r>
      <w:r w:rsidRPr="00A25CAF">
        <w:rPr>
          <w:rFonts w:ascii="Times New Roman" w:hAnsi="Times New Roman"/>
          <w:iCs/>
        </w:rPr>
        <w:t>it was held that Google Inc was not a publisher when a search carried out by a user of its search engine resulted in the production of defamatory material. That was because the search was "performed automatically" without "human input"</w:t>
      </w:r>
      <w:r w:rsidRPr="00A25CAF">
        <w:rPr>
          <w:rStyle w:val="FootnoteReference"/>
          <w:rFonts w:ascii="Times New Roman" w:hAnsi="Times New Roman"/>
          <w:iCs/>
        </w:rPr>
        <w:footnoteReference w:id="295"/>
      </w:r>
      <w:r w:rsidRPr="00A25CAF">
        <w:rPr>
          <w:rFonts w:ascii="Times New Roman" w:hAnsi="Times New Roman"/>
          <w:iCs/>
        </w:rPr>
        <w:t xml:space="preserve">. A different view was expressed by Beach J in </w:t>
      </w:r>
      <w:r w:rsidRPr="00A25CAF">
        <w:rPr>
          <w:rFonts w:ascii="Times New Roman" w:hAnsi="Times New Roman"/>
          <w:i/>
          <w:iCs/>
        </w:rPr>
        <w:t>Trkulja v Google Inc LLC [No 5]</w:t>
      </w:r>
      <w:r w:rsidRPr="00A25CAF">
        <w:rPr>
          <w:rStyle w:val="FootnoteReference"/>
          <w:rFonts w:ascii="Times New Roman" w:hAnsi="Times New Roman"/>
          <w:iCs/>
        </w:rPr>
        <w:footnoteReference w:id="296"/>
      </w:r>
      <w:r w:rsidRPr="00A25CAF">
        <w:rPr>
          <w:rFonts w:ascii="Times New Roman" w:hAnsi="Times New Roman"/>
          <w:i/>
          <w:iCs/>
        </w:rPr>
        <w:t xml:space="preserve">. </w:t>
      </w:r>
      <w:r w:rsidRPr="00A25CAF">
        <w:rPr>
          <w:rFonts w:ascii="Times New Roman" w:hAnsi="Times New Roman"/>
          <w:iCs/>
        </w:rPr>
        <w:t>His Honour observed that internet search engines "operate precisely as intended by those who own them"</w:t>
      </w:r>
      <w:r w:rsidRPr="00A25CAF">
        <w:rPr>
          <w:rStyle w:val="FootnoteReference"/>
          <w:rFonts w:ascii="Times New Roman" w:hAnsi="Times New Roman"/>
          <w:iCs/>
        </w:rPr>
        <w:footnoteReference w:id="297"/>
      </w:r>
      <w:r w:rsidRPr="00A25CAF">
        <w:rPr>
          <w:rFonts w:ascii="Times New Roman" w:hAnsi="Times New Roman"/>
          <w:iCs/>
        </w:rPr>
        <w:t>. It was on this basis that Kourakis CJ doubted that Google Inc offered only a passive service in making its search engine available to users of the Internet</w:t>
      </w:r>
      <w:r w:rsidRPr="00A25CAF">
        <w:rPr>
          <w:rStyle w:val="FootnoteReference"/>
          <w:rFonts w:ascii="Times New Roman" w:hAnsi="Times New Roman"/>
          <w:iCs/>
        </w:rPr>
        <w:footnoteReference w:id="298"/>
      </w:r>
      <w:r w:rsidRPr="00A25CAF">
        <w:rPr>
          <w:rFonts w:ascii="Times New Roman" w:hAnsi="Times New Roman"/>
          <w:iCs/>
        </w:rPr>
        <w:t>. It has since been accepted by this Court that Beach J's observation is "strongly arguable"</w:t>
      </w:r>
      <w:r w:rsidRPr="00A25CAF">
        <w:rPr>
          <w:rStyle w:val="FootnoteReference"/>
          <w:rFonts w:ascii="Times New Roman" w:hAnsi="Times New Roman"/>
          <w:iCs/>
        </w:rPr>
        <w:footnoteReference w:id="299"/>
      </w:r>
      <w:r w:rsidRPr="00A25CAF">
        <w:rPr>
          <w:rFonts w:ascii="Times New Roman" w:hAnsi="Times New Roman"/>
          <w:iCs/>
        </w:rPr>
        <w:t>. This conclusion follows from the proximate causative link between the application of Google's search engine and the resulting publication of defamatory content in the search results. In this way, it can be seen that Google Inc is an actual conveyor of such content. That publication of such material is a "direct consequence"</w:t>
      </w:r>
      <w:r w:rsidRPr="00A25CAF">
        <w:rPr>
          <w:rStyle w:val="FootnoteReference"/>
          <w:rFonts w:ascii="Times New Roman" w:hAnsi="Times New Roman"/>
          <w:iCs/>
        </w:rPr>
        <w:footnoteReference w:id="300"/>
      </w:r>
      <w:r w:rsidRPr="00A25CAF">
        <w:rPr>
          <w:rFonts w:ascii="Times New Roman" w:hAnsi="Times New Roman"/>
          <w:iCs/>
        </w:rPr>
        <w:t xml:space="preserve"> of the application of the search engine. Accordingly, participation of this kind, in the means of communicating defamatory material, cannot be characterised as passive in nature.</w:t>
      </w:r>
    </w:p>
    <w:p w14:paraId="797C7D6F"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lastRenderedPageBreak/>
        <w:tab/>
        <w:t>In contrast to the position of an internet service provider</w:t>
      </w:r>
      <w:r w:rsidRPr="00A25CAF">
        <w:rPr>
          <w:rStyle w:val="FootnoteReference"/>
          <w:rFonts w:ascii="Times New Roman" w:hAnsi="Times New Roman"/>
        </w:rPr>
        <w:footnoteReference w:id="301"/>
      </w:r>
      <w:r w:rsidRPr="00A25CAF">
        <w:rPr>
          <w:rFonts w:ascii="Times New Roman" w:hAnsi="Times New Roman"/>
        </w:rPr>
        <w:t>, or to that of the person who publishes hyperlinks on a website</w:t>
      </w:r>
      <w:r w:rsidRPr="00A25CAF">
        <w:rPr>
          <w:rStyle w:val="FootnoteReference"/>
          <w:rFonts w:ascii="Times New Roman" w:hAnsi="Times New Roman"/>
        </w:rPr>
        <w:footnoteReference w:id="302"/>
      </w:r>
      <w:r w:rsidRPr="00A25CAF">
        <w:rPr>
          <w:rFonts w:ascii="Times New Roman" w:hAnsi="Times New Roman"/>
        </w:rPr>
        <w:t>, the providers, administrators and managers of a website, which hosted a popular Internet discussion forum, were found to be publishers of defamatory statements posted by third</w:t>
      </w:r>
      <w:r w:rsidRPr="00A25CAF">
        <w:rPr>
          <w:rFonts w:ascii="Times New Roman" w:hAnsi="Times New Roman"/>
        </w:rPr>
        <w:noBreakHyphen/>
        <w:t>party users of that forum</w:t>
      </w:r>
      <w:r w:rsidRPr="00A25CAF">
        <w:rPr>
          <w:rStyle w:val="FootnoteReference"/>
          <w:rFonts w:ascii="Times New Roman" w:hAnsi="Times New Roman"/>
        </w:rPr>
        <w:footnoteReference w:id="303"/>
      </w:r>
      <w:r w:rsidRPr="00A25CAF">
        <w:rPr>
          <w:rFonts w:ascii="Times New Roman" w:hAnsi="Times New Roman"/>
        </w:rPr>
        <w:t>. The owners of that forum were found to have "played an active role in encouraging and facilitating the multitude of Internet postings by members of their forum"</w:t>
      </w:r>
      <w:r w:rsidRPr="00A25CAF">
        <w:rPr>
          <w:rStyle w:val="FootnoteReference"/>
          <w:rFonts w:ascii="Times New Roman" w:hAnsi="Times New Roman"/>
        </w:rPr>
        <w:footnoteReference w:id="304"/>
      </w:r>
      <w:r w:rsidRPr="00A25CAF">
        <w:rPr>
          <w:rFonts w:ascii="Times New Roman" w:hAnsi="Times New Roman"/>
        </w:rPr>
        <w:t>. Those owners had designed the forum; they devised the rules for the forum and otherwise laid down the conditions for becoming a member and for making posts; they provided members with access to discussion threads developed on their forum; they employed administrators to monitor discussions and to delete posts that broke their rules; and they derived income from advertisements placed on their website</w:t>
      </w:r>
      <w:r w:rsidRPr="00A25CAF">
        <w:rPr>
          <w:rStyle w:val="FootnoteReference"/>
          <w:rFonts w:ascii="Times New Roman" w:hAnsi="Times New Roman"/>
        </w:rPr>
        <w:footnoteReference w:id="305"/>
      </w:r>
      <w:r w:rsidRPr="00A25CAF">
        <w:rPr>
          <w:rFonts w:ascii="Times New Roman" w:hAnsi="Times New Roman"/>
        </w:rPr>
        <w:t>. However, the Hong Kong Court of Final Appeal ultimately decided that the owners were subordinate, and not main or first, publishers of the third</w:t>
      </w:r>
      <w:r w:rsidRPr="00A25CAF">
        <w:rPr>
          <w:rFonts w:ascii="Times New Roman" w:hAnsi="Times New Roman"/>
        </w:rPr>
        <w:noBreakHyphen/>
        <w:t>party posts</w:t>
      </w:r>
      <w:r w:rsidRPr="00A25CAF">
        <w:rPr>
          <w:rStyle w:val="FootnoteReference"/>
          <w:rFonts w:ascii="Times New Roman" w:hAnsi="Times New Roman"/>
        </w:rPr>
        <w:footnoteReference w:id="306"/>
      </w:r>
      <w:r w:rsidRPr="00A25CAF">
        <w:rPr>
          <w:rFonts w:ascii="Times New Roman" w:hAnsi="Times New Roman"/>
        </w:rPr>
        <w:t xml:space="preserve">. </w:t>
      </w:r>
    </w:p>
    <w:p w14:paraId="37E4F6EC"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Returning to </w:t>
      </w:r>
      <w:r w:rsidRPr="00A25CAF">
        <w:rPr>
          <w:rFonts w:ascii="Times New Roman" w:hAnsi="Times New Roman"/>
          <w:i/>
        </w:rPr>
        <w:t>Duffy</w:t>
      </w:r>
      <w:r w:rsidRPr="00A25CAF">
        <w:rPr>
          <w:rFonts w:ascii="Times New Roman" w:hAnsi="Times New Roman"/>
        </w:rPr>
        <w:t>,</w:t>
      </w:r>
      <w:r w:rsidRPr="00A25CAF">
        <w:rPr>
          <w:rFonts w:ascii="Times New Roman" w:hAnsi="Times New Roman"/>
          <w:i/>
        </w:rPr>
        <w:t xml:space="preserve"> </w:t>
      </w:r>
      <w:r w:rsidRPr="00A25CAF">
        <w:rPr>
          <w:rFonts w:ascii="Times New Roman" w:hAnsi="Times New Roman"/>
        </w:rPr>
        <w:t>the issue before the Full Court of the Supreme Court of South Australia was whether Google Inc was a subsidiary publisher when its search engine was used and defamatory material was produced</w:t>
      </w:r>
      <w:r w:rsidRPr="00A25CAF">
        <w:rPr>
          <w:rStyle w:val="FootnoteReference"/>
          <w:rFonts w:ascii="Times New Roman" w:hAnsi="Times New Roman"/>
        </w:rPr>
        <w:footnoteReference w:id="307"/>
      </w:r>
      <w:r w:rsidRPr="00A25CAF">
        <w:rPr>
          <w:rFonts w:ascii="Times New Roman" w:hAnsi="Times New Roman"/>
        </w:rPr>
        <w:t>. Kourakis CJ correctly observed that a key issue is the extent to which an electronic program facilitates the production of defamatory material</w:t>
      </w:r>
      <w:r w:rsidRPr="00A25CAF">
        <w:rPr>
          <w:rStyle w:val="FootnoteReference"/>
          <w:rFonts w:ascii="Times New Roman" w:hAnsi="Times New Roman"/>
        </w:rPr>
        <w:footnoteReference w:id="308"/>
      </w:r>
      <w:r w:rsidRPr="00A25CAF">
        <w:rPr>
          <w:rFonts w:ascii="Times New Roman" w:hAnsi="Times New Roman"/>
        </w:rPr>
        <w:t xml:space="preserve">. Internet forum hosts, like the defendants in </w:t>
      </w:r>
      <w:r w:rsidRPr="00A25CAF">
        <w:rPr>
          <w:rFonts w:ascii="Times New Roman" w:hAnsi="Times New Roman"/>
          <w:i/>
        </w:rPr>
        <w:t>Oriental Press</w:t>
      </w:r>
      <w:r w:rsidRPr="00A25CAF">
        <w:rPr>
          <w:rFonts w:ascii="Times New Roman" w:hAnsi="Times New Roman"/>
        </w:rPr>
        <w:t>, have been held to be publishers of third</w:t>
      </w:r>
      <w:r w:rsidRPr="00A25CAF">
        <w:rPr>
          <w:rFonts w:ascii="Times New Roman" w:hAnsi="Times New Roman"/>
        </w:rPr>
        <w:noBreakHyphen/>
        <w:t xml:space="preserve">party material posted on their websites because of their greater involvement in procuring </w:t>
      </w:r>
      <w:r w:rsidRPr="00A25CAF">
        <w:rPr>
          <w:rFonts w:ascii="Times New Roman" w:hAnsi="Times New Roman"/>
        </w:rPr>
        <w:lastRenderedPageBreak/>
        <w:t>and controlling the making of such comments, thus evidencing the existence of a more direct connection between those hosts and those posts</w:t>
      </w:r>
      <w:r w:rsidRPr="00A25CAF">
        <w:rPr>
          <w:rStyle w:val="FootnoteReference"/>
          <w:rFonts w:ascii="Times New Roman" w:hAnsi="Times New Roman"/>
        </w:rPr>
        <w:footnoteReference w:id="309"/>
      </w:r>
      <w:r w:rsidRPr="00A25CAF">
        <w:rPr>
          <w:rFonts w:ascii="Times New Roman" w:hAnsi="Times New Roman"/>
        </w:rPr>
        <w:t>. His Honour explained that connection as follows</w:t>
      </w:r>
      <w:r w:rsidRPr="00A25CAF">
        <w:rPr>
          <w:rStyle w:val="FootnoteReference"/>
          <w:rFonts w:ascii="Times New Roman" w:hAnsi="Times New Roman"/>
        </w:rPr>
        <w:footnoteReference w:id="310"/>
      </w:r>
      <w:r w:rsidRPr="00A25CAF">
        <w:rPr>
          <w:rFonts w:ascii="Times New Roman" w:hAnsi="Times New Roman"/>
        </w:rPr>
        <w:t>:</w:t>
      </w:r>
    </w:p>
    <w:p w14:paraId="65E18F47" w14:textId="77777777" w:rsidR="006F2200" w:rsidRPr="00A25CAF" w:rsidRDefault="006F2200" w:rsidP="00A25CAF">
      <w:pPr>
        <w:pStyle w:val="LRIndentafterHC"/>
        <w:spacing w:before="0" w:after="260" w:line="280" w:lineRule="exact"/>
        <w:ind w:right="0"/>
        <w:jc w:val="both"/>
        <w:rPr>
          <w:rFonts w:ascii="Times New Roman" w:hAnsi="Times New Roman"/>
        </w:rPr>
      </w:pPr>
      <w:r w:rsidRPr="00A25CAF">
        <w:rPr>
          <w:rFonts w:ascii="Times New Roman" w:hAnsi="Times New Roman"/>
        </w:rPr>
        <w:t>"Webpage masters of internet forums or web</w:t>
      </w:r>
      <w:r w:rsidRPr="00A25CAF">
        <w:rPr>
          <w:rFonts w:ascii="Times New Roman" w:hAnsi="Times New Roman"/>
        </w:rPr>
        <w:noBreakHyphen/>
        <w:t>based bulletin sites which receive communications electronically but then make them readable in an organised manner by visitors to their webpages are in a very different position. Hosts of those webpages more closely facilitate the publication of material, on their sites because:</w:t>
      </w:r>
    </w:p>
    <w:p w14:paraId="194284F1" w14:textId="77777777" w:rsidR="006F2200" w:rsidRPr="00A25CAF" w:rsidRDefault="006F2200" w:rsidP="00A25CAF">
      <w:pPr>
        <w:pStyle w:val="LeftrightHanging"/>
        <w:spacing w:before="0" w:after="260" w:line="280" w:lineRule="exact"/>
        <w:ind w:right="0"/>
        <w:jc w:val="both"/>
        <w:rPr>
          <w:rFonts w:ascii="Times New Roman" w:hAnsi="Times New Roman"/>
        </w:rPr>
      </w:pPr>
      <w:r w:rsidRPr="00A25CAF">
        <w:rPr>
          <w:rFonts w:ascii="Times New Roman" w:hAnsi="Times New Roman"/>
        </w:rPr>
        <w:t>•</w:t>
      </w:r>
      <w:r w:rsidRPr="00A25CAF">
        <w:rPr>
          <w:rFonts w:ascii="Times New Roman" w:hAnsi="Times New Roman"/>
        </w:rPr>
        <w:tab/>
        <w:t>they invite communications on a particular subject matter (indeed, comment and discussion is the very purpose of such sites);</w:t>
      </w:r>
    </w:p>
    <w:p w14:paraId="27F2C57A" w14:textId="77777777" w:rsidR="006F2200" w:rsidRPr="00A25CAF" w:rsidRDefault="006F2200" w:rsidP="00A25CAF">
      <w:pPr>
        <w:pStyle w:val="LeftrightHanging"/>
        <w:spacing w:before="0" w:after="260" w:line="280" w:lineRule="exact"/>
        <w:ind w:right="0"/>
        <w:jc w:val="both"/>
        <w:rPr>
          <w:rFonts w:ascii="Times New Roman" w:hAnsi="Times New Roman"/>
        </w:rPr>
      </w:pPr>
      <w:r w:rsidRPr="00A25CAF">
        <w:rPr>
          <w:rFonts w:ascii="Times New Roman" w:hAnsi="Times New Roman"/>
        </w:rPr>
        <w:t>•</w:t>
      </w:r>
      <w:r w:rsidRPr="00A25CAF">
        <w:rPr>
          <w:rFonts w:ascii="Times New Roman" w:hAnsi="Times New Roman"/>
        </w:rPr>
        <w:tab/>
        <w:t>they have a greater capacity to read both by virtue of the form it is in and the more limited quantity of material they receive in comparison to the data for which telecommunications cable provider [sic] or an [internet service provider] is a conduit; and</w:t>
      </w:r>
    </w:p>
    <w:p w14:paraId="278EAE71" w14:textId="77777777" w:rsidR="006F2200" w:rsidRDefault="006F2200" w:rsidP="00A25CAF">
      <w:pPr>
        <w:pStyle w:val="LeftrightHanging"/>
        <w:spacing w:before="0" w:after="260" w:line="280" w:lineRule="exact"/>
        <w:ind w:right="0"/>
        <w:jc w:val="both"/>
        <w:rPr>
          <w:rFonts w:ascii="Times New Roman" w:hAnsi="Times New Roman"/>
        </w:rPr>
      </w:pPr>
      <w:r w:rsidRPr="00A25CAF">
        <w:rPr>
          <w:rFonts w:ascii="Times New Roman" w:hAnsi="Times New Roman"/>
        </w:rPr>
        <w:t>•</w:t>
      </w:r>
      <w:r w:rsidRPr="00A25CAF">
        <w:rPr>
          <w:rFonts w:ascii="Times New Roman" w:hAnsi="Times New Roman"/>
        </w:rPr>
        <w:tab/>
        <w:t>they have a practical capacity to control the content of their website."</w:t>
      </w:r>
    </w:p>
    <w:p w14:paraId="27C6E5B7"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A similar conclusion (expressed with some doubt) was reached by the Court of Appeal for England and Wales in </w:t>
      </w:r>
      <w:r w:rsidRPr="00A25CAF">
        <w:rPr>
          <w:rFonts w:ascii="Times New Roman" w:hAnsi="Times New Roman"/>
          <w:i/>
        </w:rPr>
        <w:t>Tamiz v Google Inc</w:t>
      </w:r>
      <w:r w:rsidRPr="00A25CAF">
        <w:rPr>
          <w:rStyle w:val="FootnoteReference"/>
          <w:rFonts w:ascii="Times New Roman" w:hAnsi="Times New Roman"/>
        </w:rPr>
        <w:footnoteReference w:id="311"/>
      </w:r>
      <w:r w:rsidRPr="00A25CAF">
        <w:rPr>
          <w:rFonts w:ascii="Times New Roman" w:hAnsi="Times New Roman"/>
        </w:rPr>
        <w:t xml:space="preserve"> in relation to defamatory material posted on a blog hosted on a blogging platform provided by Google Inc. The provision of this platform was said to be analogous to a noticeboard controlled by Google Inc. Richards LJ observed</w:t>
      </w:r>
      <w:r w:rsidRPr="00A25CAF">
        <w:rPr>
          <w:rStyle w:val="FootnoteReference"/>
          <w:rFonts w:ascii="Times New Roman" w:hAnsi="Times New Roman"/>
        </w:rPr>
        <w:footnoteReference w:id="312"/>
      </w:r>
      <w:r w:rsidRPr="00A25CAF">
        <w:rPr>
          <w:rFonts w:ascii="Times New Roman" w:hAnsi="Times New Roman"/>
        </w:rPr>
        <w:t>:</w:t>
      </w:r>
    </w:p>
    <w:p w14:paraId="14676DF5" w14:textId="77777777" w:rsidR="006F2200" w:rsidRDefault="006F2200" w:rsidP="00A25CAF">
      <w:pPr>
        <w:pStyle w:val="LeftrightafterHC"/>
        <w:spacing w:before="0" w:after="260" w:line="280" w:lineRule="exact"/>
        <w:ind w:right="0"/>
        <w:jc w:val="both"/>
        <w:rPr>
          <w:rFonts w:ascii="Times New Roman" w:hAnsi="Times New Roman"/>
        </w:rPr>
      </w:pPr>
      <w:r w:rsidRPr="00A25CAF">
        <w:rPr>
          <w:rFonts w:ascii="Times New Roman" w:hAnsi="Times New Roman"/>
        </w:rPr>
        <w:t xml:space="preserve">"The provision of a platform for the blogs is equivalent to the provision of a notice board; and Google Inc goes further than this by providing tools to help a blogger design the layout of his part of the notice board and by providing a service that enables a blogger to display advertisements alongside the notices on his part of the notice board. Most importantly, it makes the notice board available to bloggers on terms of its own choice and </w:t>
      </w:r>
      <w:r w:rsidRPr="00A25CAF">
        <w:rPr>
          <w:rFonts w:ascii="Times New Roman" w:hAnsi="Times New Roman"/>
        </w:rPr>
        <w:lastRenderedPageBreak/>
        <w:t>it can readily remove or block access to any notice that does not comply with those terms."</w:t>
      </w:r>
    </w:p>
    <w:p w14:paraId="5EF206A0"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But even then, and contrary to the reasons in </w:t>
      </w:r>
      <w:r w:rsidRPr="00A25CAF">
        <w:rPr>
          <w:rFonts w:ascii="Times New Roman" w:hAnsi="Times New Roman"/>
          <w:i/>
        </w:rPr>
        <w:t>Duffy</w:t>
      </w:r>
      <w:r w:rsidRPr="00A25CAF">
        <w:rPr>
          <w:rFonts w:ascii="Times New Roman" w:hAnsi="Times New Roman"/>
        </w:rPr>
        <w:t>, Richards LJ was not satisfied that Google Inc could be a secondary publisher of third</w:t>
      </w:r>
      <w:r w:rsidRPr="00A25CAF">
        <w:rPr>
          <w:rFonts w:ascii="Times New Roman" w:hAnsi="Times New Roman"/>
        </w:rPr>
        <w:noBreakHyphen/>
        <w:t xml:space="preserve">party defamatory material unless Google Inc had been notified of the presence of that material </w:t>
      </w:r>
      <w:r w:rsidRPr="00A25CAF">
        <w:rPr>
          <w:rFonts w:ascii="Times New Roman" w:hAnsi="Times New Roman"/>
          <w:i/>
        </w:rPr>
        <w:t>and</w:t>
      </w:r>
      <w:r w:rsidRPr="00A25CAF">
        <w:rPr>
          <w:rFonts w:ascii="Times New Roman" w:hAnsi="Times New Roman"/>
        </w:rPr>
        <w:t xml:space="preserve"> then failed to remove that material within a reasonable period of time</w:t>
      </w:r>
      <w:r w:rsidRPr="00A25CAF">
        <w:rPr>
          <w:rStyle w:val="FootnoteReference"/>
          <w:rFonts w:ascii="Times New Roman" w:hAnsi="Times New Roman"/>
        </w:rPr>
        <w:footnoteReference w:id="313"/>
      </w:r>
      <w:r w:rsidRPr="00A25CAF">
        <w:rPr>
          <w:rFonts w:ascii="Times New Roman" w:hAnsi="Times New Roman"/>
        </w:rPr>
        <w:t>. It is unnecessary to determine whether that conclusion is correct.</w:t>
      </w:r>
    </w:p>
    <w:p w14:paraId="05F511ED"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The foregoing cases suggest that concepts of passivity, control and prior knowledge of defamatory content may be relevant to a factual determination as to whether a person has participated in the publication of a third party's defamatory post or comment on Facebook. It will be difficult to conclude, as a factual proposition, that such a person has so participated if they could not practicably control the making of such a defamatory post, had no prior knowledge of the content of that post, and did no more than participate in an electronic conversation using Facebook. In other words, the mere act of posting by a Facebook page administrator is unlikely to justify, in and of itself, the factual conclusion that the administrator has thereby participated in the publication of all subsequent responses. More is needed to be a publisher.</w:t>
      </w:r>
    </w:p>
    <w:p w14:paraId="25BD76DC"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Relevantly here, different considerations arise if it can be said that the Facebook page administrator procured, provoked or conduced the defamatory third</w:t>
      </w:r>
      <w:r w:rsidRPr="00A25CAF">
        <w:rPr>
          <w:rFonts w:ascii="Times New Roman" w:hAnsi="Times New Roman"/>
        </w:rPr>
        <w:noBreakHyphen/>
        <w:t xml:space="preserve">party response as distinct from any generally responsive posts. In those circumstances, and consistently with the observations of Isaacs J in </w:t>
      </w:r>
      <w:r w:rsidRPr="00A25CAF">
        <w:rPr>
          <w:rFonts w:ascii="Times New Roman" w:hAnsi="Times New Roman"/>
          <w:i/>
        </w:rPr>
        <w:t>Webb</w:t>
      </w:r>
      <w:r w:rsidRPr="00A25CAF">
        <w:rPr>
          <w:rFonts w:ascii="Times New Roman" w:hAnsi="Times New Roman"/>
        </w:rPr>
        <w:t>, there will be a more direct causative relationship between the administrator's post and the resulting third</w:t>
      </w:r>
      <w:r w:rsidRPr="00A25CAF">
        <w:rPr>
          <w:rFonts w:ascii="Times New Roman" w:hAnsi="Times New Roman"/>
        </w:rPr>
        <w:noBreakHyphen/>
        <w:t>party defamatory comment. In such cases, a factual conclusion of participation in the publication of the defamatory comment is more likely to be justified. Such a conclusion involves no modification of the law, but is merely an expression of its application to the specific facts of this case.</w:t>
      </w:r>
    </w:p>
    <w:p w14:paraId="70858D84"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No doubt there are many ways in which a Facebook page owner might be found, on the facts of a given case, to be a publisher of third</w:t>
      </w:r>
      <w:r w:rsidRPr="00A25CAF">
        <w:rPr>
          <w:rFonts w:ascii="Times New Roman" w:hAnsi="Times New Roman"/>
        </w:rPr>
        <w:noBreakHyphen/>
        <w:t>party posts or comments. For example, in a different statutory context, the Federal Court of Australia has decided that a Facebook page owner was the publisher of third</w:t>
      </w:r>
      <w:r w:rsidRPr="00A25CAF">
        <w:rPr>
          <w:rFonts w:ascii="Times New Roman" w:hAnsi="Times New Roman"/>
        </w:rPr>
        <w:noBreakHyphen/>
        <w:t>party posts when it acquired knowledge of the posts and decided not to remove them</w:t>
      </w:r>
      <w:r w:rsidRPr="00A25CAF">
        <w:rPr>
          <w:rStyle w:val="FootnoteReference"/>
          <w:rFonts w:ascii="Times New Roman" w:hAnsi="Times New Roman"/>
        </w:rPr>
        <w:footnoteReference w:id="314"/>
      </w:r>
      <w:r w:rsidRPr="00A25CAF">
        <w:rPr>
          <w:rFonts w:ascii="Times New Roman" w:hAnsi="Times New Roman"/>
        </w:rPr>
        <w:t xml:space="preserve">. The Court applied the </w:t>
      </w:r>
      <w:r w:rsidRPr="00A25CAF">
        <w:rPr>
          <w:rFonts w:ascii="Times New Roman" w:hAnsi="Times New Roman"/>
          <w:i/>
        </w:rPr>
        <w:t>Byrne v Deane</w:t>
      </w:r>
      <w:r w:rsidRPr="00A25CAF">
        <w:rPr>
          <w:rFonts w:ascii="Times New Roman" w:hAnsi="Times New Roman"/>
        </w:rPr>
        <w:t xml:space="preserve"> line of cases.</w:t>
      </w:r>
    </w:p>
    <w:p w14:paraId="4E92F89D"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lastRenderedPageBreak/>
        <w:tab/>
        <w:t xml:space="preserve">The appellants here were not in the same position as the platform hosts in </w:t>
      </w:r>
      <w:r w:rsidRPr="00A25CAF">
        <w:rPr>
          <w:rFonts w:ascii="Times New Roman" w:hAnsi="Times New Roman"/>
          <w:i/>
        </w:rPr>
        <w:t xml:space="preserve">Oriental Press </w:t>
      </w:r>
      <w:r w:rsidRPr="00A25CAF">
        <w:rPr>
          <w:rFonts w:ascii="Times New Roman" w:hAnsi="Times New Roman"/>
        </w:rPr>
        <w:t xml:space="preserve">and </w:t>
      </w:r>
      <w:r w:rsidRPr="00A25CAF">
        <w:rPr>
          <w:rFonts w:ascii="Times New Roman" w:hAnsi="Times New Roman"/>
          <w:i/>
        </w:rPr>
        <w:t>Tamiz</w:t>
      </w:r>
      <w:r w:rsidRPr="00A25CAF">
        <w:rPr>
          <w:rFonts w:ascii="Times New Roman" w:hAnsi="Times New Roman"/>
        </w:rPr>
        <w:t xml:space="preserve">. That is because they were in the same position as all other public Facebook users. The appellants, to use the analogy from </w:t>
      </w:r>
      <w:r w:rsidRPr="00A25CAF">
        <w:rPr>
          <w:rFonts w:ascii="Times New Roman" w:hAnsi="Times New Roman"/>
          <w:i/>
        </w:rPr>
        <w:t>Tamiz</w:t>
      </w:r>
      <w:r w:rsidRPr="00A25CAF">
        <w:rPr>
          <w:rFonts w:ascii="Times New Roman" w:hAnsi="Times New Roman"/>
        </w:rPr>
        <w:t>, were users of Facebook's noticeboard and not their own noticeboard</w:t>
      </w:r>
      <w:r w:rsidRPr="00A25CAF">
        <w:rPr>
          <w:rStyle w:val="FootnoteReference"/>
          <w:rFonts w:ascii="Times New Roman" w:hAnsi="Times New Roman"/>
        </w:rPr>
        <w:footnoteReference w:id="315"/>
      </w:r>
      <w:r w:rsidRPr="00A25CAF">
        <w:rPr>
          <w:rFonts w:ascii="Times New Roman" w:hAnsi="Times New Roman"/>
        </w:rPr>
        <w:t>. They owned no electronic program that caused or facilitated the publication of third</w:t>
      </w:r>
      <w:r w:rsidRPr="00A25CAF">
        <w:rPr>
          <w:rFonts w:ascii="Times New Roman" w:hAnsi="Times New Roman"/>
        </w:rPr>
        <w:noBreakHyphen/>
        <w:t>party comments; Facebook owned that program. They were also not in the same position as Google; they did not convey the third-party comments. Instead, the appellants used a system devised, designed and controlled (to an extent) by Facebook itself, and were subject to Facebook's conditions of use like all other users. An aspect of Facebook's control was described by the primary judge as follows</w:t>
      </w:r>
      <w:r w:rsidRPr="00A25CAF">
        <w:rPr>
          <w:rStyle w:val="FootnoteReference"/>
          <w:rFonts w:ascii="Times New Roman" w:hAnsi="Times New Roman"/>
        </w:rPr>
        <w:footnoteReference w:id="316"/>
      </w:r>
      <w:r w:rsidRPr="00A25CAF">
        <w:rPr>
          <w:rFonts w:ascii="Times New Roman" w:hAnsi="Times New Roman"/>
        </w:rPr>
        <w:t>:</w:t>
      </w:r>
    </w:p>
    <w:p w14:paraId="77587C05" w14:textId="77777777" w:rsidR="006F2200" w:rsidRPr="00A25CAF" w:rsidRDefault="006F2200" w:rsidP="00A25CAF">
      <w:pPr>
        <w:pStyle w:val="LRIndentafterHC"/>
        <w:spacing w:before="0" w:after="260" w:line="280" w:lineRule="exact"/>
        <w:ind w:right="0"/>
        <w:jc w:val="both"/>
        <w:rPr>
          <w:rFonts w:ascii="Times New Roman" w:hAnsi="Times New Roman"/>
        </w:rPr>
      </w:pPr>
      <w:r w:rsidRPr="00A25CAF">
        <w:rPr>
          <w:rFonts w:ascii="Times New Roman" w:hAnsi="Times New Roman"/>
        </w:rPr>
        <w:t>"As is common knowledge, Facebook and other social media utilise algorithms that measure the relevance of articles and correlate the articles with the comment. In relation to Facebook pages (including public Facebook pages), the algorithm utilises, as one criterion, the incidence of persons gaining access to a particular comment or article. Mr Shelley detailed examples of how the outcome operates, albeit in circumstances where the algorithm itself is commercially sensitive and not available, even to experts.</w:t>
      </w:r>
    </w:p>
    <w:p w14:paraId="189AB59E" w14:textId="77777777" w:rsidR="006F2200" w:rsidRPr="00A25CAF" w:rsidRDefault="006F2200" w:rsidP="00A25CAF">
      <w:pPr>
        <w:pStyle w:val="LRIndent"/>
        <w:spacing w:before="0" w:after="260" w:line="280" w:lineRule="exact"/>
        <w:ind w:right="0"/>
        <w:jc w:val="both"/>
        <w:rPr>
          <w:rFonts w:ascii="Times New Roman" w:hAnsi="Times New Roman"/>
        </w:rPr>
      </w:pPr>
      <w:r w:rsidRPr="00A25CAF">
        <w:rPr>
          <w:rFonts w:ascii="Times New Roman" w:hAnsi="Times New Roman"/>
        </w:rPr>
        <w:t>Essentially, Facebook measures the number of persons who show interest in the content (by, for example, liking an article, or sharing an article, or making comment on an article) and assesses a 'genus' of the persons who show interest. It then publishes the article to all persons within that genus.</w:t>
      </w:r>
    </w:p>
    <w:p w14:paraId="02363429" w14:textId="77777777" w:rsidR="006F2200" w:rsidRDefault="006F2200" w:rsidP="00A25CAF">
      <w:pPr>
        <w:pStyle w:val="LRIndent"/>
        <w:spacing w:before="0" w:after="260" w:line="280" w:lineRule="exact"/>
        <w:ind w:right="0"/>
        <w:jc w:val="both"/>
        <w:rPr>
          <w:rFonts w:ascii="Times New Roman" w:hAnsi="Times New Roman"/>
        </w:rPr>
      </w:pPr>
      <w:r w:rsidRPr="00A25CAF">
        <w:rPr>
          <w:rFonts w:ascii="Times New Roman" w:hAnsi="Times New Roman"/>
        </w:rPr>
        <w:t>The same process occurs, for a public Facebook page of the kind with which the Court is here dealing in each of the three proceedings. Further, the content on Facebook may be searched and one could, if one were so minded, search for the plaintiff's name and the Facebook entries in relation to the plaintiff would be discovered."</w:t>
      </w:r>
    </w:p>
    <w:p w14:paraId="747BC07D"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Save in the case of posts that procure, provoke or conduce the making of defamatory responses, the appellants only facilitated the publication of the third</w:t>
      </w:r>
      <w:r w:rsidRPr="00A25CAF">
        <w:rPr>
          <w:rFonts w:ascii="Times New Roman" w:hAnsi="Times New Roman"/>
        </w:rPr>
        <w:noBreakHyphen/>
        <w:t xml:space="preserve">party comments in two ways: first, by creating their own Facebook pages; and secondly, by making their own posts. Neither, whether considered separately </w:t>
      </w:r>
      <w:r w:rsidRPr="00A25CAF">
        <w:rPr>
          <w:rFonts w:ascii="Times New Roman" w:hAnsi="Times New Roman"/>
        </w:rPr>
        <w:lastRenderedPageBreak/>
        <w:t xml:space="preserve">or cumulatively, made the appellants publishers of </w:t>
      </w:r>
      <w:r w:rsidRPr="00A25CAF">
        <w:rPr>
          <w:rFonts w:ascii="Times New Roman" w:hAnsi="Times New Roman"/>
          <w:i/>
        </w:rPr>
        <w:t>all</w:t>
      </w:r>
      <w:r w:rsidRPr="00A25CAF">
        <w:rPr>
          <w:rFonts w:ascii="Times New Roman" w:hAnsi="Times New Roman"/>
        </w:rPr>
        <w:t xml:space="preserve"> third</w:t>
      </w:r>
      <w:r w:rsidRPr="00A25CAF">
        <w:rPr>
          <w:rFonts w:ascii="Times New Roman" w:hAnsi="Times New Roman"/>
        </w:rPr>
        <w:noBreakHyphen/>
        <w:t>party comments made on their respective Facebook pages. The creation of a Facebook page gives the page administrator the ability to make posts, filter out words, control – to an extent</w:t>
      </w:r>
      <w:r>
        <w:rPr>
          <w:rFonts w:ascii="Times New Roman" w:hAnsi="Times New Roman"/>
        </w:rPr>
        <w:t> </w:t>
      </w:r>
      <w:r w:rsidRPr="00A25CAF">
        <w:rPr>
          <w:rFonts w:ascii="Times New Roman" w:hAnsi="Times New Roman"/>
        </w:rPr>
        <w:t>– third</w:t>
      </w:r>
      <w:r w:rsidRPr="00A25CAF">
        <w:rPr>
          <w:rFonts w:ascii="Times New Roman" w:hAnsi="Times New Roman"/>
        </w:rPr>
        <w:noBreakHyphen/>
        <w:t>party comments after they have been made (ie, by deleting or hiding posts or by banning other users), and irreversibly block, in advance, all comments. The subsequent ability to hide or control comments is not relevant to this case; as previously noted, the respondent does not contend that this is a case whereby the appellants have become publishers by reason of their failure to delete defamatory material within a reasonable time</w:t>
      </w:r>
      <w:r w:rsidRPr="00A25CAF">
        <w:rPr>
          <w:rStyle w:val="FootnoteReference"/>
          <w:rFonts w:ascii="Times New Roman" w:hAnsi="Times New Roman"/>
        </w:rPr>
        <w:footnoteReference w:id="317"/>
      </w:r>
      <w:r w:rsidRPr="00A25CAF">
        <w:rPr>
          <w:rFonts w:ascii="Times New Roman" w:hAnsi="Times New Roman"/>
        </w:rPr>
        <w:t xml:space="preserve">. The ability to block all comments in advance or filter out certain words with the effect of blocking comments caught by the filter in advance is also irrelevant. That is because these have the effect of preventing, rather than causing, publication.  </w:t>
      </w:r>
    </w:p>
    <w:p w14:paraId="4A947313"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This leaves the ability for the Facebook page administrator to make posts. Undoubtedly, these were made generally for the purpose of stimulating or inspiring the making of responsive comments by third parties. However, that of itself is not enough to permit the conclusion that the appellants participated, in some fashion, in the publication of those responses. This is not a case where it can be said that the appellants' conduct in every case of posting amounted to procuring, encouraging or conducing the posting of defamatory responses</w:t>
      </w:r>
      <w:r w:rsidRPr="00A25CAF">
        <w:rPr>
          <w:rStyle w:val="FootnoteReference"/>
          <w:rFonts w:ascii="Times New Roman" w:hAnsi="Times New Roman"/>
        </w:rPr>
        <w:footnoteReference w:id="318"/>
      </w:r>
      <w:r w:rsidRPr="00A25CAF">
        <w:rPr>
          <w:rFonts w:ascii="Times New Roman" w:hAnsi="Times New Roman"/>
        </w:rPr>
        <w:t>. Nor is this a case where, at the very moment of third</w:t>
      </w:r>
      <w:r w:rsidRPr="00A25CAF">
        <w:rPr>
          <w:rFonts w:ascii="Times New Roman" w:hAnsi="Times New Roman"/>
        </w:rPr>
        <w:noBreakHyphen/>
        <w:t xml:space="preserve">party posting, it could be said that the appellants assented to, or in some way adopted, the contents of such posts. Rather, Facebook here has provided a means to have a </w:t>
      </w:r>
      <w:r w:rsidRPr="00A25CAF" w:rsidDel="003F7F9D">
        <w:rPr>
          <w:rFonts w:ascii="Times New Roman" w:hAnsi="Times New Roman"/>
        </w:rPr>
        <w:t xml:space="preserve">public </w:t>
      </w:r>
      <w:r w:rsidRPr="00A25CAF">
        <w:rPr>
          <w:rFonts w:ascii="Times New Roman" w:hAnsi="Times New Roman"/>
        </w:rPr>
        <w:t>conversation, which takes place electronically, using its platform</w:t>
      </w:r>
      <w:r w:rsidRPr="00A25CAF" w:rsidDel="00003EE7">
        <w:rPr>
          <w:rFonts w:ascii="Times New Roman" w:hAnsi="Times New Roman"/>
        </w:rPr>
        <w:t>;</w:t>
      </w:r>
      <w:r w:rsidRPr="00A25CAF">
        <w:rPr>
          <w:rFonts w:ascii="Times New Roman" w:hAnsi="Times New Roman"/>
        </w:rPr>
        <w:t xml:space="preserve"> it is a public meeting that takes place on the Internet. The convenor of a public meeting, however, is not the publisher of another person's speech, unless she or he in some way contributed to its making or in some way assented to it</w:t>
      </w:r>
      <w:r w:rsidRPr="00A25CAF">
        <w:rPr>
          <w:rStyle w:val="FootnoteReference"/>
          <w:rFonts w:ascii="Times New Roman" w:hAnsi="Times New Roman"/>
        </w:rPr>
        <w:footnoteReference w:id="319"/>
      </w:r>
      <w:r w:rsidRPr="00A25CAF">
        <w:rPr>
          <w:rFonts w:ascii="Times New Roman" w:hAnsi="Times New Roman"/>
        </w:rPr>
        <w:t>. As the New Zealand Court of Appeal observed in a case concerning the publication of third</w:t>
      </w:r>
      <w:r w:rsidRPr="00A25CAF">
        <w:rPr>
          <w:rFonts w:ascii="Times New Roman" w:hAnsi="Times New Roman"/>
        </w:rPr>
        <w:noBreakHyphen/>
        <w:t>party comments on a person's Facebook page</w:t>
      </w:r>
      <w:r w:rsidRPr="00A25CAF">
        <w:rPr>
          <w:rStyle w:val="FootnoteReference"/>
          <w:rFonts w:ascii="Times New Roman" w:hAnsi="Times New Roman"/>
        </w:rPr>
        <w:footnoteReference w:id="320"/>
      </w:r>
      <w:r w:rsidRPr="00A25CAF">
        <w:rPr>
          <w:rFonts w:ascii="Times New Roman" w:hAnsi="Times New Roman"/>
        </w:rPr>
        <w:t>:</w:t>
      </w:r>
    </w:p>
    <w:p w14:paraId="3C0F6D74" w14:textId="77777777" w:rsidR="006F2200" w:rsidRPr="00A25CAF" w:rsidRDefault="006F2200" w:rsidP="00A25CAF">
      <w:pPr>
        <w:pStyle w:val="LeftrightafterHC"/>
        <w:spacing w:before="0" w:after="260" w:line="280" w:lineRule="exact"/>
        <w:ind w:right="0"/>
        <w:jc w:val="both"/>
        <w:rPr>
          <w:rFonts w:ascii="Times New Roman" w:hAnsi="Times New Roman"/>
        </w:rPr>
      </w:pPr>
      <w:r w:rsidRPr="00A25CAF">
        <w:rPr>
          <w:rFonts w:ascii="Times New Roman" w:hAnsi="Times New Roman"/>
        </w:rPr>
        <w:t xml:space="preserve">"[T]he most appropriate analogy in the present case is that of a public meeting. If Mr Murray had convened a public meeting on the subject of Mr Wishart's book, Mr Murray would have been liable for his own </w:t>
      </w:r>
      <w:r w:rsidRPr="00A25CAF">
        <w:rPr>
          <w:rFonts w:ascii="Times New Roman" w:hAnsi="Times New Roman"/>
        </w:rPr>
        <w:lastRenderedPageBreak/>
        <w:t>statements at the meeting but not for those of others who spoke at the meeting, unless he adopted others' statements himself. ... [T]his is a useful analogy because it incorporates a factor in the present case ... the fact that Mr Murray solicited third party comments about Mr Wishart's book. Speakers at a public meeting could be identified (and sued) if they made defamatory statements just as many contributors to the Facebook page could be. That is another common factor.</w:t>
      </w:r>
    </w:p>
    <w:p w14:paraId="36E6D4E8" w14:textId="77777777" w:rsidR="006F2200" w:rsidRPr="00A25CAF" w:rsidRDefault="006F2200" w:rsidP="00A25CAF">
      <w:pPr>
        <w:pStyle w:val="LRIndent"/>
        <w:spacing w:before="0" w:after="260" w:line="280" w:lineRule="exact"/>
        <w:ind w:right="0"/>
        <w:jc w:val="both"/>
        <w:rPr>
          <w:rFonts w:ascii="Times New Roman" w:hAnsi="Times New Roman"/>
        </w:rPr>
      </w:pPr>
      <w:r w:rsidRPr="00A25CAF">
        <w:rPr>
          <w:rFonts w:ascii="Times New Roman" w:hAnsi="Times New Roman"/>
        </w:rPr>
        <w:t>We acknowledge there are obvious differences between the present case and a public meeting. For example, statements at a meeting would be oral and therefore ephemeral unlike the written comments on the Facebook page.</w:t>
      </w:r>
    </w:p>
    <w:p w14:paraId="508292FC" w14:textId="77777777" w:rsidR="006F2200" w:rsidRDefault="006F2200" w:rsidP="00A25CAF">
      <w:pPr>
        <w:pStyle w:val="LRIndent"/>
        <w:spacing w:before="0" w:after="260" w:line="280" w:lineRule="exact"/>
        <w:ind w:right="0"/>
        <w:jc w:val="both"/>
        <w:rPr>
          <w:rFonts w:ascii="Times New Roman" w:hAnsi="Times New Roman"/>
        </w:rPr>
      </w:pPr>
      <w:r w:rsidRPr="00A25CAF">
        <w:rPr>
          <w:rFonts w:ascii="Times New Roman" w:hAnsi="Times New Roman"/>
        </w:rPr>
        <w:t>The public meeting analogy does illustrate a situation where even if a person incites defamation, he or she will not necessarily be liable for defamatory statements made by others. That is the case even if he or she ought to have known that defamatory comments could be made by those present at the meeting."</w:t>
      </w:r>
    </w:p>
    <w:p w14:paraId="3C4DAB0F"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It follows, and again save for those posts that procured, provoked or conduced defamatory responses, that the appellants' posts here</w:t>
      </w:r>
      <w:r w:rsidRPr="00A25CAF" w:rsidDel="007D3345">
        <w:rPr>
          <w:rFonts w:ascii="Times New Roman" w:hAnsi="Times New Roman"/>
        </w:rPr>
        <w:t xml:space="preserve"> </w:t>
      </w:r>
      <w:r w:rsidRPr="00A25CAF">
        <w:rPr>
          <w:rFonts w:ascii="Times New Roman" w:hAnsi="Times New Roman"/>
        </w:rPr>
        <w:t>were insufficiently connected to all the third-party comments made thereafter in response, to justify a conclusion that the appellants participated in their publication; the appellants' posts cannot be characterised as "instrumental"</w:t>
      </w:r>
      <w:r w:rsidRPr="00A25CAF">
        <w:rPr>
          <w:rStyle w:val="FootnoteReference"/>
          <w:rFonts w:ascii="Times New Roman" w:hAnsi="Times New Roman"/>
        </w:rPr>
        <w:footnoteReference w:id="321"/>
      </w:r>
      <w:r w:rsidRPr="00A25CAF">
        <w:rPr>
          <w:rFonts w:ascii="Times New Roman" w:hAnsi="Times New Roman"/>
        </w:rPr>
        <w:t xml:space="preserve"> in the bringing about of such publication. That overstates the role played by each of the appellants. The appellants' posts are just the commencement of an electronic conversation. They are no more "instrumental" in making "available" future comments, than the first third</w:t>
      </w:r>
      <w:r w:rsidRPr="00A25CAF">
        <w:rPr>
          <w:rFonts w:ascii="Times New Roman" w:hAnsi="Times New Roman"/>
        </w:rPr>
        <w:noBreakHyphen/>
        <w:t xml:space="preserve">party comment is "instrumental" to the subsequent appearance of all third-party comments then made in response to it. </w:t>
      </w:r>
    </w:p>
    <w:p w14:paraId="0AA82C4E"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In that respect, I respectfully disagree with the view of the learned primary judge. His Honour was of the view that "if an author of a comment, which is defamatory, were to post that comment on a public Facebook page, publication occurs by virtue of the fact that the owner of the public Facebook page allows access to the comment by the publication of the page and allows access by other third</w:t>
      </w:r>
      <w:r w:rsidRPr="00A25CAF">
        <w:rPr>
          <w:rFonts w:ascii="Times New Roman" w:hAnsi="Times New Roman"/>
        </w:rPr>
        <w:noBreakHyphen/>
        <w:t>party users to the comments on the page"</w:t>
      </w:r>
      <w:r w:rsidRPr="00A25CAF">
        <w:rPr>
          <w:rStyle w:val="FootnoteReference"/>
          <w:rFonts w:ascii="Times New Roman" w:hAnsi="Times New Roman"/>
        </w:rPr>
        <w:footnoteReference w:id="322"/>
      </w:r>
      <w:r w:rsidRPr="00A25CAF">
        <w:rPr>
          <w:rFonts w:ascii="Times New Roman" w:hAnsi="Times New Roman"/>
        </w:rPr>
        <w:t>. In the case of a public, but not a private, Facebook page, I accept that when a post takes place, in most cases it is in the hope of prompting some response. But, for the reasons already given, merely allowing third</w:t>
      </w:r>
      <w:r w:rsidRPr="00A25CAF">
        <w:rPr>
          <w:rFonts w:ascii="Times New Roman" w:hAnsi="Times New Roman"/>
        </w:rPr>
        <w:noBreakHyphen/>
        <w:t xml:space="preserve">party access to one's Facebook page is, of itself, insufficient to justify a factual conclusion that the Facebook page owner participated in the </w:t>
      </w:r>
      <w:r w:rsidRPr="00A25CAF">
        <w:rPr>
          <w:rFonts w:ascii="Times New Roman" w:hAnsi="Times New Roman"/>
        </w:rPr>
        <w:lastRenderedPageBreak/>
        <w:t>publication of all the third</w:t>
      </w:r>
      <w:r w:rsidRPr="00A25CAF">
        <w:rPr>
          <w:rFonts w:ascii="Times New Roman" w:hAnsi="Times New Roman"/>
        </w:rPr>
        <w:noBreakHyphen/>
        <w:t>party comments posted thereafter. Were it not so, all Facebook page owners, whether public or private, would be publishers of third</w:t>
      </w:r>
      <w:r w:rsidRPr="00A25CAF">
        <w:rPr>
          <w:rFonts w:ascii="Times New Roman" w:hAnsi="Times New Roman"/>
        </w:rPr>
        <w:noBreakHyphen/>
        <w:t>party comments posted on their Facebook pages, even those which were unwanted, unsolicited and entirely unpredicted. Indeed, it might extend to cases where a Facebook page is hacked and then has posted on it entirely unwelcome, uninvited and vile defamatory comments, whether by the hacker or in response to a post made by the hacker. It might also render Facebook itself, at common law, the publisher of all posts made on Facebook</w:t>
      </w:r>
      <w:r w:rsidRPr="00A25CAF">
        <w:rPr>
          <w:rStyle w:val="FootnoteReference"/>
          <w:rFonts w:ascii="Times New Roman" w:hAnsi="Times New Roman"/>
        </w:rPr>
        <w:footnoteReference w:id="323"/>
      </w:r>
      <w:r w:rsidRPr="00A25CAF">
        <w:rPr>
          <w:rFonts w:ascii="Times New Roman" w:hAnsi="Times New Roman"/>
        </w:rPr>
        <w:t>. It follows, and leaving aside cases in which a third</w:t>
      </w:r>
      <w:r w:rsidRPr="00A25CAF">
        <w:rPr>
          <w:rFonts w:ascii="Times New Roman" w:hAnsi="Times New Roman"/>
        </w:rPr>
        <w:noBreakHyphen/>
        <w:t>party comment is adopted by a Facebook page owner, that there must be something about the content, nature or circumstances of a Facebook post that justifies a conclusion that it has procured, provoked or conduced a defamatory third</w:t>
      </w:r>
      <w:r w:rsidRPr="00A25CAF">
        <w:rPr>
          <w:rFonts w:ascii="Times New Roman" w:hAnsi="Times New Roman"/>
        </w:rPr>
        <w:noBreakHyphen/>
        <w:t>party comment or comments, such as to make the owner the publisher of such comments.</w:t>
      </w:r>
    </w:p>
    <w:p w14:paraId="70B8553F"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Nothing otherwise turns upon the fact that each appellant, according to Facebook's Statement of Rights and Responsibilities, owned the content and information they posted on Facebook</w:t>
      </w:r>
      <w:r w:rsidRPr="00A25CAF">
        <w:rPr>
          <w:rStyle w:val="FootnoteReference"/>
          <w:rFonts w:ascii="Times New Roman" w:hAnsi="Times New Roman"/>
        </w:rPr>
        <w:footnoteReference w:id="324"/>
      </w:r>
      <w:r w:rsidRPr="00A25CAF">
        <w:rPr>
          <w:rFonts w:ascii="Times New Roman" w:hAnsi="Times New Roman"/>
        </w:rPr>
        <w:t>. Whatever ownership might mean in that context, it did not render the appellants publishers of third</w:t>
      </w:r>
      <w:r w:rsidRPr="00A25CAF">
        <w:rPr>
          <w:rFonts w:ascii="Times New Roman" w:hAnsi="Times New Roman"/>
        </w:rPr>
        <w:noBreakHyphen/>
        <w:t>party comments from the moment they were posted. Nor does the concept of "hosting" a Facebook page appear to have any significance. Each appellant engaged with Facebook in the same way as other Facebook users.</w:t>
      </w:r>
    </w:p>
    <w:p w14:paraId="6AAB3278"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The other matters relied upon by the respondent, as evidence of participation in the publication of the third</w:t>
      </w:r>
      <w:r w:rsidRPr="00A25CAF">
        <w:rPr>
          <w:rFonts w:ascii="Times New Roman" w:hAnsi="Times New Roman"/>
        </w:rPr>
        <w:noBreakHyphen/>
        <w:t>party comments, do not justify a contrary conclusion. The fact that the appellants' monitoring of third</w:t>
      </w:r>
      <w:r w:rsidRPr="00A25CAF">
        <w:rPr>
          <w:rFonts w:ascii="Times New Roman" w:hAnsi="Times New Roman"/>
        </w:rPr>
        <w:noBreakHyphen/>
        <w:t>party comments takes place after a comment has been made</w:t>
      </w:r>
      <w:r w:rsidRPr="00A25CAF">
        <w:rPr>
          <w:rStyle w:val="FootnoteReference"/>
          <w:rFonts w:ascii="Times New Roman" w:hAnsi="Times New Roman"/>
        </w:rPr>
        <w:footnoteReference w:id="325"/>
      </w:r>
      <w:r w:rsidRPr="00A25CAF">
        <w:rPr>
          <w:rFonts w:ascii="Times New Roman" w:hAnsi="Times New Roman"/>
        </w:rPr>
        <w:t xml:space="preserve">, means it can have no causative relationship with the act of posting. At most, that monitoring might lead </w:t>
      </w:r>
      <w:r w:rsidRPr="00A25CAF">
        <w:rPr>
          <w:rFonts w:ascii="Times New Roman" w:hAnsi="Times New Roman"/>
        </w:rPr>
        <w:lastRenderedPageBreak/>
        <w:t>to the deletion or hiding of a post, but only after it has been made</w:t>
      </w:r>
      <w:r w:rsidRPr="00A25CAF">
        <w:rPr>
          <w:rStyle w:val="FootnoteReference"/>
          <w:rFonts w:ascii="Times New Roman" w:hAnsi="Times New Roman"/>
        </w:rPr>
        <w:footnoteReference w:id="326"/>
      </w:r>
      <w:r w:rsidRPr="00A25CAF">
        <w:rPr>
          <w:rFonts w:ascii="Times New Roman" w:hAnsi="Times New Roman"/>
        </w:rPr>
        <w:t>. Nor does the fact that the appellants were pursuing their commercial and financial interests make any difference to the outcome here. The pursuit of such interests supplies a motive and increases the likelihood that each appellant will make posts that will lead to greater third</w:t>
      </w:r>
      <w:r w:rsidRPr="00A25CAF">
        <w:rPr>
          <w:rFonts w:ascii="Times New Roman" w:hAnsi="Times New Roman"/>
        </w:rPr>
        <w:noBreakHyphen/>
        <w:t>party engagement. But the issue as to whether the appellants are publishers of the third</w:t>
      </w:r>
      <w:r w:rsidRPr="00A25CAF">
        <w:rPr>
          <w:rFonts w:ascii="Times New Roman" w:hAnsi="Times New Roman"/>
        </w:rPr>
        <w:noBreakHyphen/>
        <w:t xml:space="preserve">party Facebook user comments cannot turn upon the number of posts made and does not, without more, bear upon the relationship between any given post and any given comment. </w:t>
      </w:r>
    </w:p>
    <w:p w14:paraId="44BC04AE"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However, different considerations would arise in relation to Facebook posts that are likely to provoke or procure adverse third</w:t>
      </w:r>
      <w:r w:rsidRPr="00A25CAF">
        <w:rPr>
          <w:rFonts w:ascii="Times New Roman" w:hAnsi="Times New Roman"/>
        </w:rPr>
        <w:noBreakHyphen/>
        <w:t xml:space="preserve">party comments. Where such posts in fact procure defamatory comments, the Facebook page owner will have participated in their publication. Thus, in </w:t>
      </w:r>
      <w:r w:rsidRPr="00A25CAF">
        <w:rPr>
          <w:rFonts w:ascii="Times New Roman" w:hAnsi="Times New Roman"/>
          <w:i/>
        </w:rPr>
        <w:t>Pritchard v Van Nes</w:t>
      </w:r>
      <w:r w:rsidRPr="00A25CAF">
        <w:rPr>
          <w:rFonts w:ascii="Times New Roman" w:hAnsi="Times New Roman"/>
        </w:rPr>
        <w:t>, by reason of the inflammatory and defamatory nature of Ms Van Nes' posts on her own Facebook page, and the particular circumstances of the case, it was found that she "ought to have anticipated" that further defamatory third</w:t>
      </w:r>
      <w:r w:rsidRPr="00A25CAF">
        <w:rPr>
          <w:rFonts w:ascii="Times New Roman" w:hAnsi="Times New Roman"/>
        </w:rPr>
        <w:noBreakHyphen/>
        <w:t>party comments would then be made</w:t>
      </w:r>
      <w:r w:rsidRPr="00A25CAF">
        <w:rPr>
          <w:rStyle w:val="FootnoteReference"/>
          <w:rFonts w:ascii="Times New Roman" w:hAnsi="Times New Roman"/>
        </w:rPr>
        <w:footnoteReference w:id="327"/>
      </w:r>
      <w:r w:rsidRPr="00A25CAF">
        <w:rPr>
          <w:rFonts w:ascii="Times New Roman" w:hAnsi="Times New Roman"/>
        </w:rPr>
        <w:t>. Ms Van Nes was thus the publisher of those comments.</w:t>
      </w:r>
    </w:p>
    <w:p w14:paraId="7C0C4DF1"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It will be a question of fact whether a given initial post has procured a third</w:t>
      </w:r>
      <w:r w:rsidRPr="00A25CAF">
        <w:rPr>
          <w:rFonts w:ascii="Times New Roman" w:hAnsi="Times New Roman"/>
        </w:rPr>
        <w:noBreakHyphen/>
        <w:t>party Facebook user to post a defamatory response. Here, the finding below was that only "certain" posts were potentially of this kind</w:t>
      </w:r>
      <w:r w:rsidRPr="00A25CAF">
        <w:rPr>
          <w:rStyle w:val="FootnoteReference"/>
          <w:rFonts w:ascii="Times New Roman" w:hAnsi="Times New Roman"/>
        </w:rPr>
        <w:footnoteReference w:id="328"/>
      </w:r>
      <w:r w:rsidRPr="00A25CAF">
        <w:rPr>
          <w:rFonts w:ascii="Times New Roman" w:hAnsi="Times New Roman"/>
        </w:rPr>
        <w:t>. The circumstances in which those posts were made were that they were both "expected"</w:t>
      </w:r>
      <w:r w:rsidRPr="00A25CAF">
        <w:rPr>
          <w:rFonts w:ascii="Times New Roman" w:hAnsi="Times New Roman"/>
          <w:b/>
          <w:sz w:val="24"/>
          <w:vertAlign w:val="superscript"/>
        </w:rPr>
        <w:footnoteReference w:id="329"/>
      </w:r>
      <w:r w:rsidRPr="00A25CAF">
        <w:rPr>
          <w:rFonts w:ascii="Times New Roman" w:hAnsi="Times New Roman"/>
        </w:rPr>
        <w:t xml:space="preserve"> and objectively "likely"</w:t>
      </w:r>
      <w:r w:rsidRPr="00A25CAF">
        <w:rPr>
          <w:rStyle w:val="FootnoteReference"/>
          <w:rFonts w:ascii="Times New Roman" w:hAnsi="Times New Roman"/>
        </w:rPr>
        <w:footnoteReference w:id="330"/>
      </w:r>
      <w:r w:rsidRPr="00A25CAF">
        <w:rPr>
          <w:rFonts w:ascii="Times New Roman" w:hAnsi="Times New Roman"/>
        </w:rPr>
        <w:t xml:space="preserve"> to give rise to adverse comments. They thus exhibited a sufficient connection with those comments to justify a finding that the appellants had procured, provoked or conduced their making and that each was thus a publisher of them. (Whether those comments are defamatory is a matter that is yet to be decided.) In that respect, leaving aside the finding made below about expectation, it was sufficient that it was objectively likely that the posts would lead to the making of third</w:t>
      </w:r>
      <w:r w:rsidRPr="00A25CAF">
        <w:rPr>
          <w:rFonts w:ascii="Times New Roman" w:hAnsi="Times New Roman"/>
        </w:rPr>
        <w:noBreakHyphen/>
        <w:t xml:space="preserve">party adverse comments. But otherwise, and on the facts as </w:t>
      </w:r>
      <w:r w:rsidRPr="00A25CAF">
        <w:rPr>
          <w:rFonts w:ascii="Times New Roman" w:hAnsi="Times New Roman"/>
        </w:rPr>
        <w:lastRenderedPageBreak/>
        <w:t xml:space="preserve">found in this case, the appellants were not the publishers of </w:t>
      </w:r>
      <w:r w:rsidRPr="00A25CAF">
        <w:rPr>
          <w:rFonts w:ascii="Times New Roman" w:hAnsi="Times New Roman"/>
          <w:i/>
        </w:rPr>
        <w:t>all</w:t>
      </w:r>
      <w:r w:rsidRPr="00A25CAF">
        <w:rPr>
          <w:rFonts w:ascii="Times New Roman" w:hAnsi="Times New Roman"/>
        </w:rPr>
        <w:t xml:space="preserve"> </w:t>
      </w:r>
      <w:r w:rsidRPr="00A25CAF">
        <w:rPr>
          <w:rFonts w:ascii="Times New Roman" w:hAnsi="Times New Roman"/>
          <w:i/>
        </w:rPr>
        <w:t>other</w:t>
      </w:r>
      <w:r w:rsidRPr="00A25CAF">
        <w:rPr>
          <w:rFonts w:ascii="Times New Roman" w:hAnsi="Times New Roman"/>
        </w:rPr>
        <w:t xml:space="preserve"> third</w:t>
      </w:r>
      <w:r w:rsidRPr="00A25CAF">
        <w:rPr>
          <w:rFonts w:ascii="Times New Roman" w:hAnsi="Times New Roman"/>
        </w:rPr>
        <w:noBreakHyphen/>
        <w:t>party comments made on their respective Facebook pages.</w:t>
      </w:r>
    </w:p>
    <w:p w14:paraId="7F17025E"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 xml:space="preserve">The foregoing position of the appellants may be contrasted with that of the defendant Channel 7 in </w:t>
      </w:r>
      <w:r w:rsidRPr="00A25CAF">
        <w:rPr>
          <w:rFonts w:ascii="Times New Roman" w:hAnsi="Times New Roman"/>
          <w:i/>
        </w:rPr>
        <w:t>Thompson v Australian Capital Television Pty Ltd</w:t>
      </w:r>
      <w:r w:rsidRPr="00A25CAF">
        <w:rPr>
          <w:rStyle w:val="FootnoteReference"/>
          <w:rFonts w:ascii="Times New Roman" w:hAnsi="Times New Roman"/>
        </w:rPr>
        <w:footnoteReference w:id="331"/>
      </w:r>
      <w:r w:rsidRPr="00A25CAF">
        <w:rPr>
          <w:rFonts w:ascii="Times New Roman" w:hAnsi="Times New Roman"/>
        </w:rPr>
        <w:t>. That case concerned the live transmission by Channel 7 in Canberra of a current affairs television program produced by Channel 9 in Sydney. The program was transmitted to Channel 7 by Channel 9. It included a live interview of a woman who made defamatory remarks about her father. Whilst Channel 7 had not produced the program, it was found that it had the ability to control and supervise the televised material</w:t>
      </w:r>
      <w:r w:rsidRPr="00A25CAF">
        <w:rPr>
          <w:rStyle w:val="FootnoteReference"/>
          <w:rFonts w:ascii="Times New Roman" w:hAnsi="Times New Roman"/>
        </w:rPr>
        <w:footnoteReference w:id="332"/>
      </w:r>
      <w:r w:rsidRPr="00A25CAF">
        <w:rPr>
          <w:rFonts w:ascii="Times New Roman" w:hAnsi="Times New Roman"/>
        </w:rPr>
        <w:t>. Channel 7 had also decided that the broadcast be "near instantaneous" in circumstances where "a live to air current affairs program carries a high risk of defamatory statements being made"</w:t>
      </w:r>
      <w:r w:rsidRPr="00A25CAF">
        <w:rPr>
          <w:rStyle w:val="FootnoteReference"/>
          <w:rFonts w:ascii="Times New Roman" w:hAnsi="Times New Roman"/>
        </w:rPr>
        <w:footnoteReference w:id="333"/>
      </w:r>
      <w:r w:rsidRPr="00A25CAF">
        <w:rPr>
          <w:rFonts w:ascii="Times New Roman" w:hAnsi="Times New Roman"/>
        </w:rPr>
        <w:t>. On those facts, this Court decided that Channel 7 was, together with Channel 9, a publisher of the defamatory remarks; the two broadcasters were joint tortfeasors because there had been "a concurrence in the act or acts causing damage"</w:t>
      </w:r>
      <w:r w:rsidRPr="00A25CAF">
        <w:rPr>
          <w:rStyle w:val="FootnoteReference"/>
          <w:rFonts w:ascii="Times New Roman" w:hAnsi="Times New Roman"/>
        </w:rPr>
        <w:footnoteReference w:id="334"/>
      </w:r>
      <w:r w:rsidRPr="00A25CAF">
        <w:rPr>
          <w:rFonts w:ascii="Times New Roman" w:hAnsi="Times New Roman"/>
        </w:rPr>
        <w:t>. The position of the appellants here is distinguishable for the following reasons. First, Channel 7 was the actual conveyer of the defamatory material by its act of broadcasting; in contrast, for the reasons already given, as users of Facebook, the appellants are not the actual conveyers of third</w:t>
      </w:r>
      <w:r w:rsidRPr="00A25CAF">
        <w:rPr>
          <w:rFonts w:ascii="Times New Roman" w:hAnsi="Times New Roman"/>
        </w:rPr>
        <w:noBreakHyphen/>
        <w:t>party comments posted to their respective Facebook pages. Secondly, the appellants did not possess the equivalent of Channel 7's capacity to "control and supervise" the publication of the material. Thirdly, save in the case of the "certain" posts described above, it cannot be said that using Facebook in the ordinary course necessarily carries with it "a high risk" of defamatory third</w:t>
      </w:r>
      <w:r w:rsidRPr="00A25CAF">
        <w:rPr>
          <w:rFonts w:ascii="Times New Roman" w:hAnsi="Times New Roman"/>
        </w:rPr>
        <w:noBreakHyphen/>
        <w:t>party comments being posted.</w:t>
      </w:r>
    </w:p>
    <w:p w14:paraId="30C2DF0A" w14:textId="77777777" w:rsidR="006F2200" w:rsidRPr="00A25CAF" w:rsidRDefault="006F2200" w:rsidP="006F2200">
      <w:pPr>
        <w:pStyle w:val="FixListStyle"/>
        <w:numPr>
          <w:ilvl w:val="0"/>
          <w:numId w:val="18"/>
        </w:numPr>
        <w:spacing w:after="260" w:line="280" w:lineRule="exact"/>
        <w:ind w:left="0" w:right="0" w:hanging="720"/>
        <w:jc w:val="both"/>
        <w:rPr>
          <w:rFonts w:ascii="Times New Roman" w:hAnsi="Times New Roman"/>
        </w:rPr>
      </w:pPr>
      <w:r w:rsidRPr="00A25CAF">
        <w:rPr>
          <w:rFonts w:ascii="Times New Roman" w:hAnsi="Times New Roman"/>
        </w:rPr>
        <w:tab/>
        <w:t>I would allow the appeals in part and would answer the question posed on the facts of this case as follows:</w:t>
      </w:r>
    </w:p>
    <w:p w14:paraId="344B59F7" w14:textId="37B8FFC3" w:rsidR="00291D1C" w:rsidRPr="002E7067" w:rsidRDefault="006F2200" w:rsidP="00EB6E38">
      <w:pPr>
        <w:pStyle w:val="NormalBody"/>
        <w:spacing w:after="260" w:line="280" w:lineRule="exact"/>
        <w:ind w:left="720" w:right="0"/>
        <w:jc w:val="both"/>
        <w:rPr>
          <w:rFonts w:ascii="Times New Roman" w:hAnsi="Times New Roman"/>
        </w:rPr>
      </w:pPr>
      <w:r w:rsidRPr="00A25CAF">
        <w:rPr>
          <w:rFonts w:ascii="Times New Roman" w:hAnsi="Times New Roman"/>
        </w:rPr>
        <w:t>The respondent will establish the publication element of the cause of action of defamation in relation to those third</w:t>
      </w:r>
      <w:r w:rsidRPr="00A25CAF">
        <w:rPr>
          <w:rFonts w:ascii="Times New Roman" w:hAnsi="Times New Roman"/>
        </w:rPr>
        <w:noBreakHyphen/>
        <w:t xml:space="preserve">party comments which had been </w:t>
      </w:r>
      <w:r w:rsidRPr="00A25CAF">
        <w:rPr>
          <w:rFonts w:ascii="Times New Roman" w:hAnsi="Times New Roman"/>
        </w:rPr>
        <w:lastRenderedPageBreak/>
        <w:t>procured, provoked or conduced by posts made by the appellants on their respective Facebook pages.</w:t>
      </w:r>
    </w:p>
    <w:sectPr w:rsidR="00291D1C" w:rsidRPr="002E7067" w:rsidSect="00B32D6C">
      <w:headerReference w:type="even" r:id="rId32"/>
      <w:headerReference w:type="default" r:id="rId33"/>
      <w:headerReference w:type="first" r:id="rId34"/>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969C7" w14:textId="77777777" w:rsidR="00066952" w:rsidRDefault="00066952">
      <w:pPr>
        <w:spacing w:line="240" w:lineRule="auto"/>
      </w:pPr>
      <w:r>
        <w:separator/>
      </w:r>
    </w:p>
  </w:endnote>
  <w:endnote w:type="continuationSeparator" w:id="0">
    <w:p w14:paraId="28DA4C5E" w14:textId="77777777" w:rsidR="00066952" w:rsidRDefault="00066952">
      <w:pPr>
        <w:spacing w:line="240" w:lineRule="auto"/>
      </w:pPr>
      <w:r>
        <w:continuationSeparator/>
      </w:r>
    </w:p>
  </w:endnote>
  <w:endnote w:type="continuationNotice" w:id="1">
    <w:p w14:paraId="63C96829" w14:textId="77777777" w:rsidR="00066952" w:rsidRDefault="000669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B78E" w14:textId="77777777" w:rsidR="001D318D" w:rsidRDefault="001D3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58F7" w14:textId="77777777" w:rsidR="001D318D" w:rsidRDefault="001D3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AA8CE" w14:textId="77777777" w:rsidR="001D318D" w:rsidRDefault="001D31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CAC9" w14:textId="77777777" w:rsidR="001D318D" w:rsidRDefault="001D31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CF95" w14:textId="77777777" w:rsidR="001D318D" w:rsidRDefault="001D31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6262" w14:textId="77777777" w:rsidR="001D318D" w:rsidRDefault="001D31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3407" w14:textId="77777777" w:rsidR="000D0631" w:rsidRDefault="000669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E02B" w14:textId="77777777" w:rsidR="000D0631" w:rsidRDefault="000669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4734" w14:textId="77777777" w:rsidR="000D0631" w:rsidRDefault="00066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C654" w14:textId="77777777" w:rsidR="00066952" w:rsidRPr="006B5BB1" w:rsidRDefault="00066952" w:rsidP="006B5BB1">
      <w:pPr>
        <w:pStyle w:val="Footer"/>
        <w:spacing w:before="120" w:after="20"/>
        <w:ind w:right="0"/>
        <w:rPr>
          <w:rFonts w:ascii="Times New Roman" w:hAnsi="Times New Roman"/>
        </w:rPr>
      </w:pPr>
      <w:r>
        <w:continuationSeparator/>
      </w:r>
    </w:p>
  </w:footnote>
  <w:footnote w:type="continuationSeparator" w:id="0">
    <w:p w14:paraId="0BAEB9C6" w14:textId="77777777" w:rsidR="00066952" w:rsidRPr="006B5BB1" w:rsidRDefault="00066952" w:rsidP="006B5BB1">
      <w:pPr>
        <w:pStyle w:val="Footer"/>
        <w:spacing w:before="120" w:after="20"/>
        <w:ind w:right="0"/>
        <w:rPr>
          <w:rFonts w:ascii="Times New Roman" w:hAnsi="Times New Roman"/>
        </w:rPr>
      </w:pPr>
      <w:r w:rsidRPr="006B5BB1">
        <w:rPr>
          <w:rFonts w:ascii="Times New Roman" w:hAnsi="Times New Roman"/>
        </w:rPr>
        <w:continuationSeparator/>
      </w:r>
    </w:p>
  </w:footnote>
  <w:footnote w:type="continuationNotice" w:id="1">
    <w:p w14:paraId="740BFAB6" w14:textId="77777777" w:rsidR="00066952" w:rsidRPr="002E7067" w:rsidRDefault="00066952">
      <w:pPr>
        <w:jc w:val="right"/>
        <w:rPr>
          <w:rFonts w:ascii="Times New Roman" w:hAnsi="Times New Roman"/>
          <w:sz w:val="24"/>
        </w:rPr>
      </w:pPr>
    </w:p>
  </w:footnote>
  <w:footnote w:id="2">
    <w:p w14:paraId="44941CC2" w14:textId="754A72C8"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Uniform Civil Procedure Rules 2005</w:t>
      </w:r>
      <w:r w:rsidRPr="006B5BB1">
        <w:rPr>
          <w:rFonts w:ascii="Times New Roman" w:hAnsi="Times New Roman"/>
          <w:iCs/>
          <w:sz w:val="24"/>
        </w:rPr>
        <w:t xml:space="preserve"> (NSW)</w:t>
      </w:r>
      <w:r w:rsidRPr="006B5BB1">
        <w:rPr>
          <w:rFonts w:ascii="Times New Roman" w:hAnsi="Times New Roman"/>
          <w:sz w:val="24"/>
        </w:rPr>
        <w:t>, r 28.2.</w:t>
      </w:r>
    </w:p>
  </w:footnote>
  <w:footnote w:id="3">
    <w:p w14:paraId="5E7B3A53" w14:textId="0A699111"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 xml:space="preserve">Voller v Nationwide News Pty Ltd </w:t>
      </w:r>
      <w:r w:rsidRPr="006B5BB1">
        <w:rPr>
          <w:rFonts w:ascii="Times New Roman" w:hAnsi="Times New Roman"/>
          <w:sz w:val="24"/>
        </w:rPr>
        <w:t>[2019] NSWSC 766.</w:t>
      </w:r>
    </w:p>
  </w:footnote>
  <w:footnote w:id="4">
    <w:p w14:paraId="2CDEC0BC" w14:textId="51126D92"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Fairfax Media Publications Pty Ltd v Voller</w:t>
      </w:r>
      <w:r w:rsidRPr="006B5BB1">
        <w:rPr>
          <w:rFonts w:ascii="Times New Roman" w:hAnsi="Times New Roman"/>
          <w:sz w:val="24"/>
        </w:rPr>
        <w:t xml:space="preserve"> (2020) 380 ALR 700.</w:t>
      </w:r>
    </w:p>
  </w:footnote>
  <w:footnote w:id="5">
    <w:p w14:paraId="35BEBCF2" w14:textId="17A3332F"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See, for example, s 8, s 32.</w:t>
      </w:r>
    </w:p>
  </w:footnote>
  <w:footnote w:id="6">
    <w:p w14:paraId="08C9B7D5" w14:textId="7409421E"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s 4.</w:t>
      </w:r>
    </w:p>
  </w:footnote>
  <w:footnote w:id="7">
    <w:p w14:paraId="59F891D4" w14:textId="11939740"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(1928) 41 CLR 331 at 363-364.</w:t>
      </w:r>
    </w:p>
  </w:footnote>
  <w:footnote w:id="8">
    <w:p w14:paraId="4F90C49B" w14:textId="73E15461"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 xml:space="preserve">Fairfax Media Publications Pty Ltd v Voller </w:t>
      </w:r>
      <w:r w:rsidRPr="006B5BB1">
        <w:rPr>
          <w:rFonts w:ascii="Times New Roman" w:hAnsi="Times New Roman"/>
          <w:sz w:val="24"/>
        </w:rPr>
        <w:t>(2020) 380 ALR 700 at 712 [45].</w:t>
      </w:r>
    </w:p>
  </w:footnote>
  <w:footnote w:id="9">
    <w:p w14:paraId="7B621AEA" w14:textId="1CE3D621"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Byrne v Deane</w:t>
      </w:r>
      <w:r w:rsidRPr="006B5BB1">
        <w:rPr>
          <w:rFonts w:ascii="Times New Roman" w:hAnsi="Times New Roman"/>
          <w:sz w:val="24"/>
        </w:rPr>
        <w:t xml:space="preserve"> [1937] 1 KB 818.</w:t>
      </w:r>
    </w:p>
  </w:footnote>
  <w:footnote w:id="10">
    <w:p w14:paraId="4097D20C" w14:textId="0F2C8C14"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Urbanchich v Drummoyne Municipal Council</w:t>
      </w:r>
      <w:r w:rsidRPr="006B5BB1">
        <w:rPr>
          <w:rFonts w:ascii="Times New Roman" w:hAnsi="Times New Roman"/>
          <w:sz w:val="24"/>
        </w:rPr>
        <w:t xml:space="preserve"> (1991) Aust Torts Reports ¶81-127.</w:t>
      </w:r>
    </w:p>
  </w:footnote>
  <w:footnote w:id="11">
    <w:p w14:paraId="5925A46E" w14:textId="49904661"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Oriental Press Group Ltd v Fevaworks Solutions Ltd</w:t>
      </w:r>
      <w:r w:rsidRPr="006B5BB1">
        <w:rPr>
          <w:rFonts w:ascii="Times New Roman" w:hAnsi="Times New Roman"/>
          <w:sz w:val="24"/>
        </w:rPr>
        <w:t xml:space="preserve"> (2013) 16 HKCFAR 366.</w:t>
      </w:r>
    </w:p>
  </w:footnote>
  <w:footnote w:id="12">
    <w:p w14:paraId="0A0E39E4" w14:textId="7FF09CC9"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Oriental Press Group Ltd v Fevaworks Solutions Ltd</w:t>
      </w:r>
      <w:r w:rsidRPr="006B5BB1">
        <w:rPr>
          <w:rFonts w:ascii="Times New Roman" w:hAnsi="Times New Roman"/>
          <w:sz w:val="24"/>
        </w:rPr>
        <w:t xml:space="preserve"> (2013) 16 HKCFAR 366 at 387 [51]-[52].</w:t>
      </w:r>
    </w:p>
  </w:footnote>
  <w:footnote w:id="13">
    <w:p w14:paraId="6837EA57" w14:textId="5D0ED153"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 xml:space="preserve">Fairfax Media Publications Pty Ltd v Voller </w:t>
      </w:r>
      <w:r w:rsidRPr="006B5BB1">
        <w:rPr>
          <w:rFonts w:ascii="Times New Roman" w:hAnsi="Times New Roman"/>
          <w:sz w:val="24"/>
        </w:rPr>
        <w:t>(2020) 380 ALR 700 at 712 [47], 724-725 [108]-[110].</w:t>
      </w:r>
    </w:p>
  </w:footnote>
  <w:footnote w:id="14">
    <w:p w14:paraId="49E4F1FB" w14:textId="7F83A3EC"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Including by reference to </w:t>
      </w:r>
      <w:r w:rsidRPr="006B5BB1">
        <w:rPr>
          <w:rFonts w:ascii="Times New Roman" w:hAnsi="Times New Roman"/>
          <w:i/>
          <w:sz w:val="24"/>
        </w:rPr>
        <w:t>Lee v Wilson &amp; Mackinnon</w:t>
      </w:r>
      <w:r w:rsidRPr="006B5BB1">
        <w:rPr>
          <w:rFonts w:ascii="Times New Roman" w:hAnsi="Times New Roman"/>
          <w:sz w:val="24"/>
        </w:rPr>
        <w:t xml:space="preserve"> (1934) 51 CLR 276 at 288 and </w:t>
      </w:r>
      <w:r w:rsidRPr="006B5BB1">
        <w:rPr>
          <w:rFonts w:ascii="Times New Roman" w:hAnsi="Times New Roman"/>
          <w:i/>
          <w:sz w:val="24"/>
        </w:rPr>
        <w:t>Thompson v Australian Capital Television Pty Ltd</w:t>
      </w:r>
      <w:r w:rsidRPr="006B5BB1">
        <w:rPr>
          <w:rFonts w:ascii="Times New Roman" w:hAnsi="Times New Roman"/>
          <w:sz w:val="24"/>
        </w:rPr>
        <w:t xml:space="preserve"> (1996) 186 CLR 574 at 585-586.</w:t>
      </w:r>
    </w:p>
  </w:footnote>
  <w:footnote w:id="15">
    <w:p w14:paraId="0D40E4C1" w14:textId="1FDF0CD6"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 xml:space="preserve">Fairfax Media Publications Pty Ltd v Voller </w:t>
      </w:r>
      <w:r w:rsidRPr="006B5BB1">
        <w:rPr>
          <w:rFonts w:ascii="Times New Roman" w:hAnsi="Times New Roman"/>
          <w:sz w:val="24"/>
        </w:rPr>
        <w:t>(2020) 380 ALR 700 at 721 [93].</w:t>
      </w:r>
    </w:p>
  </w:footnote>
  <w:footnote w:id="16">
    <w:p w14:paraId="1B35D5AB" w14:textId="59536A9D"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(1928) 41 CLR 331 at 363-364.</w:t>
      </w:r>
    </w:p>
  </w:footnote>
  <w:footnote w:id="17">
    <w:p w14:paraId="127F4EB7" w14:textId="4996A75B"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(2018) 263 CLR 149 at 163 [38].</w:t>
      </w:r>
    </w:p>
  </w:footnote>
  <w:footnote w:id="18">
    <w:p w14:paraId="4B75488F" w14:textId="3A20C84B"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(1885) 16 QBD 354.</w:t>
      </w:r>
    </w:p>
  </w:footnote>
  <w:footnote w:id="19">
    <w:p w14:paraId="7FDA23D4" w14:textId="58468EB2"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(2002) 210 CLR 575 at 600 [26].</w:t>
      </w:r>
    </w:p>
  </w:footnote>
  <w:footnote w:id="20">
    <w:p w14:paraId="72C0B4E9" w14:textId="230E9571"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Rolph, </w:t>
      </w:r>
      <w:r w:rsidRPr="006B5BB1">
        <w:rPr>
          <w:rFonts w:ascii="Times New Roman" w:hAnsi="Times New Roman"/>
          <w:i/>
          <w:iCs/>
          <w:sz w:val="24"/>
        </w:rPr>
        <w:t>Defamation Law</w:t>
      </w:r>
      <w:r w:rsidRPr="006B5BB1">
        <w:rPr>
          <w:rFonts w:ascii="Times New Roman" w:hAnsi="Times New Roman"/>
          <w:sz w:val="24"/>
        </w:rPr>
        <w:t xml:space="preserve"> (2016) at 140 [8.20].</w:t>
      </w:r>
    </w:p>
  </w:footnote>
  <w:footnote w:id="21">
    <w:p w14:paraId="305AA00B" w14:textId="72B3A0EB"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(2018) 263 CLR 149 at 163 [39].</w:t>
      </w:r>
    </w:p>
  </w:footnote>
  <w:footnote w:id="22">
    <w:p w14:paraId="273990E3" w14:textId="2CF381A8"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(1928) 41 CLR 331 at 363-364.</w:t>
      </w:r>
    </w:p>
  </w:footnote>
  <w:footnote w:id="23">
    <w:p w14:paraId="440301FF" w14:textId="6A6BAE4A"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Folkard, </w:t>
      </w:r>
      <w:r w:rsidRPr="006B5BB1">
        <w:rPr>
          <w:rFonts w:ascii="Times New Roman" w:hAnsi="Times New Roman"/>
          <w:i/>
          <w:iCs/>
          <w:sz w:val="24"/>
        </w:rPr>
        <w:t xml:space="preserve">The Law </w:t>
      </w:r>
      <w:r w:rsidRPr="006B5BB1">
        <w:rPr>
          <w:rFonts w:ascii="Times New Roman" w:hAnsi="Times New Roman"/>
          <w:i/>
          <w:sz w:val="24"/>
        </w:rPr>
        <w:t xml:space="preserve">of </w:t>
      </w:r>
      <w:r w:rsidRPr="006B5BB1">
        <w:rPr>
          <w:rFonts w:ascii="Times New Roman" w:hAnsi="Times New Roman"/>
          <w:i/>
          <w:iCs/>
          <w:sz w:val="24"/>
        </w:rPr>
        <w:t>Slander and Libel</w:t>
      </w:r>
      <w:r w:rsidRPr="006B5BB1">
        <w:rPr>
          <w:rFonts w:ascii="Times New Roman" w:hAnsi="Times New Roman"/>
          <w:sz w:val="24"/>
        </w:rPr>
        <w:t>, 5th ed (1891) at 439 (emphasis added by Isaacs J).</w:t>
      </w:r>
    </w:p>
  </w:footnote>
  <w:footnote w:id="24">
    <w:p w14:paraId="3F910C88" w14:textId="4AD21E73"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Starkie, </w:t>
      </w:r>
      <w:r w:rsidRPr="006B5BB1">
        <w:rPr>
          <w:rFonts w:ascii="Times New Roman" w:hAnsi="Times New Roman"/>
          <w:i/>
          <w:iCs/>
          <w:sz w:val="24"/>
        </w:rPr>
        <w:t>A Treatise on the Law of Slander and Libel</w:t>
      </w:r>
      <w:r w:rsidRPr="006B5BB1">
        <w:rPr>
          <w:rFonts w:ascii="Times New Roman" w:hAnsi="Times New Roman"/>
          <w:sz w:val="24"/>
        </w:rPr>
        <w:t>, 2nd ed (1830), vol II at 225 (emphasis added by Isaacs J).</w:t>
      </w:r>
    </w:p>
  </w:footnote>
  <w:footnote w:id="25">
    <w:p w14:paraId="49AE1870" w14:textId="6702E48A"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Dow Jones &amp; Co Inc v Gutnick</w:t>
      </w:r>
      <w:r w:rsidRPr="006B5BB1">
        <w:rPr>
          <w:rFonts w:ascii="Times New Roman" w:hAnsi="Times New Roman"/>
          <w:iCs/>
          <w:sz w:val="24"/>
        </w:rPr>
        <w:t xml:space="preserve"> </w:t>
      </w:r>
      <w:r w:rsidRPr="006B5BB1">
        <w:rPr>
          <w:rFonts w:ascii="Times New Roman" w:hAnsi="Times New Roman"/>
          <w:sz w:val="24"/>
        </w:rPr>
        <w:t xml:space="preserve">(2002) 210 CLR 575 at 600 [25], referring to </w:t>
      </w:r>
      <w:r w:rsidRPr="006B5BB1">
        <w:rPr>
          <w:rFonts w:ascii="Times New Roman" w:hAnsi="Times New Roman"/>
          <w:i/>
          <w:sz w:val="24"/>
        </w:rPr>
        <w:t>Lee v Wilson &amp; Mackinnon</w:t>
      </w:r>
      <w:r w:rsidRPr="006B5BB1">
        <w:rPr>
          <w:rFonts w:ascii="Times New Roman" w:hAnsi="Times New Roman"/>
          <w:sz w:val="24"/>
        </w:rPr>
        <w:t xml:space="preserve"> (1934) 51 CLR 276.</w:t>
      </w:r>
    </w:p>
  </w:footnote>
  <w:footnote w:id="26">
    <w:p w14:paraId="64F2C868" w14:textId="0FA63567"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Lee v Wilson &amp; Mackinnon</w:t>
      </w:r>
      <w:r w:rsidRPr="006B5BB1">
        <w:rPr>
          <w:rFonts w:ascii="Times New Roman" w:hAnsi="Times New Roman"/>
          <w:sz w:val="24"/>
        </w:rPr>
        <w:t xml:space="preserve"> (1934) 51 CLR 276 at 287 per Dixon J.</w:t>
      </w:r>
    </w:p>
  </w:footnote>
  <w:footnote w:id="27">
    <w:p w14:paraId="5915CBFF" w14:textId="3841EF43"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(1934) 51 CLR 276 at 288.</w:t>
      </w:r>
    </w:p>
  </w:footnote>
  <w:footnote w:id="28">
    <w:p w14:paraId="49A49EB4" w14:textId="0CD47B73"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(2018) 263 CLR 149 at 163 [38].</w:t>
      </w:r>
    </w:p>
  </w:footnote>
  <w:footnote w:id="29">
    <w:p w14:paraId="191E44F4" w14:textId="49A511F7"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(2018) 263 CLR 149 at 158 [25].</w:t>
      </w:r>
    </w:p>
  </w:footnote>
  <w:footnote w:id="30">
    <w:p w14:paraId="05482978" w14:textId="3947DC0C"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(2018) 263 CLR 149 at 163 [38].</w:t>
      </w:r>
    </w:p>
  </w:footnote>
  <w:footnote w:id="31">
    <w:p w14:paraId="662B9843" w14:textId="2DB953DA"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(2018) 263 CLR 149 at 164 [39].</w:t>
      </w:r>
    </w:p>
  </w:footnote>
  <w:footnote w:id="32">
    <w:p w14:paraId="6B73A693" w14:textId="75801BA9"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(2018) 263 CLR 149 at 164 [40].</w:t>
      </w:r>
    </w:p>
  </w:footnote>
  <w:footnote w:id="33">
    <w:p w14:paraId="7AD9B250" w14:textId="129F4BB1"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[2011] 3 SCR 269 at 281-282 [18].</w:t>
      </w:r>
    </w:p>
  </w:footnote>
  <w:footnote w:id="34">
    <w:p w14:paraId="00E9FFAE" w14:textId="463AB9B3"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 xml:space="preserve">R v Clerk </w:t>
      </w:r>
      <w:r w:rsidRPr="006B5BB1">
        <w:rPr>
          <w:rFonts w:ascii="Times New Roman" w:hAnsi="Times New Roman"/>
          <w:sz w:val="24"/>
        </w:rPr>
        <w:t>(1728) 1 Barn KB 304 [94 ER 207].</w:t>
      </w:r>
    </w:p>
  </w:footnote>
  <w:footnote w:id="35">
    <w:p w14:paraId="49D74BC4" w14:textId="51A31C41"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(1928) 41 CLR 331 at 363.</w:t>
      </w:r>
    </w:p>
  </w:footnote>
  <w:footnote w:id="36">
    <w:p w14:paraId="08E622B2" w14:textId="0F9DC4A6"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(1928) 41 CLR 331 at 363.</w:t>
      </w:r>
    </w:p>
  </w:footnote>
  <w:footnote w:id="37">
    <w:p w14:paraId="409C8AEA" w14:textId="44859CD4"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(2013) 16 HKCFAR 366 at 379 [24].</w:t>
      </w:r>
    </w:p>
  </w:footnote>
  <w:footnote w:id="38">
    <w:p w14:paraId="52C4F998" w14:textId="76815F0A"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(1885) 16 QBD 354.</w:t>
      </w:r>
    </w:p>
  </w:footnote>
  <w:footnote w:id="39">
    <w:p w14:paraId="0B1CDEDC" w14:textId="1B7C6412"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[1900] 2 QB 170.</w:t>
      </w:r>
    </w:p>
  </w:footnote>
  <w:footnote w:id="40">
    <w:p w14:paraId="4DBA600B" w14:textId="6C830B7F"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[1900] 2 QB 170 at 175 per A L Smith LJ.</w:t>
      </w:r>
    </w:p>
  </w:footnote>
  <w:footnote w:id="41">
    <w:p w14:paraId="38E11067" w14:textId="155E1D1F"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(1885) 16 QBD 354 at 356-357, Cotton LJ concurring. See also Bowen LJ at 358.</w:t>
      </w:r>
    </w:p>
  </w:footnote>
  <w:footnote w:id="42">
    <w:p w14:paraId="327067AB" w14:textId="45FEF9D3"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(1885) 16 QBD 354 at 357.</w:t>
      </w:r>
    </w:p>
  </w:footnote>
  <w:footnote w:id="43">
    <w:p w14:paraId="1D075351" w14:textId="05EBE4E8"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See </w:t>
      </w:r>
      <w:r w:rsidRPr="006B5BB1">
        <w:rPr>
          <w:rFonts w:ascii="Times New Roman" w:hAnsi="Times New Roman"/>
          <w:i/>
          <w:sz w:val="24"/>
        </w:rPr>
        <w:t>Lee v Wilson &amp; Mackinnon</w:t>
      </w:r>
      <w:r w:rsidRPr="006B5BB1">
        <w:rPr>
          <w:rFonts w:ascii="Times New Roman" w:hAnsi="Times New Roman"/>
          <w:sz w:val="24"/>
        </w:rPr>
        <w:t xml:space="preserve"> (1934) 51 CLR 276 at 288 per Dixon J.</w:t>
      </w:r>
    </w:p>
  </w:footnote>
  <w:footnote w:id="44">
    <w:p w14:paraId="2115B9BF" w14:textId="205167AA" w:rsidR="00F511D3" w:rsidRPr="006B5BB1" w:rsidRDefault="00F511D3" w:rsidP="006B5BB1">
      <w:pPr>
        <w:pStyle w:val="FootnoteText"/>
        <w:spacing w:line="280" w:lineRule="exact"/>
        <w:ind w:right="0"/>
        <w:jc w:val="both"/>
        <w:rPr>
          <w:rFonts w:ascii="Times New Roman" w:hAnsi="Times New Roman"/>
          <w:i/>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iCs/>
          <w:sz w:val="24"/>
        </w:rPr>
        <w:t>Gatley on Libel and Slander</w:t>
      </w:r>
      <w:r w:rsidRPr="006B5BB1">
        <w:rPr>
          <w:rFonts w:ascii="Times New Roman" w:hAnsi="Times New Roman"/>
          <w:sz w:val="24"/>
        </w:rPr>
        <w:t>, 12th ed (2013) at 227 [6.30].</w:t>
      </w:r>
    </w:p>
  </w:footnote>
  <w:footnote w:id="45">
    <w:p w14:paraId="72ACD594" w14:textId="73684694"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(1996) 186 CLR 574 at 586 per Brennan CJ, Dawson and Toohey JJ.</w:t>
      </w:r>
    </w:p>
  </w:footnote>
  <w:footnote w:id="46">
    <w:p w14:paraId="17C90B5F" w14:textId="2D622DD7"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Rolph, </w:t>
      </w:r>
      <w:r w:rsidRPr="006B5BB1">
        <w:rPr>
          <w:rFonts w:ascii="Times New Roman" w:hAnsi="Times New Roman"/>
          <w:i/>
          <w:iCs/>
          <w:sz w:val="24"/>
        </w:rPr>
        <w:t>Defamation Law</w:t>
      </w:r>
      <w:r w:rsidRPr="006B5BB1">
        <w:rPr>
          <w:rFonts w:ascii="Times New Roman" w:hAnsi="Times New Roman"/>
          <w:sz w:val="24"/>
        </w:rPr>
        <w:t xml:space="preserve"> (2016) at 292 [14.20].</w:t>
      </w:r>
    </w:p>
  </w:footnote>
  <w:footnote w:id="47">
    <w:p w14:paraId="26613A11" w14:textId="79A123ED"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(1996) 186 CLR 574 at 585 per Brennan CJ, Dawson and Toohey JJ.</w:t>
      </w:r>
    </w:p>
  </w:footnote>
  <w:footnote w:id="48">
    <w:p w14:paraId="471CF7C2" w14:textId="6C89ABB7"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(1885) 16 QBD 354 at 356-357.</w:t>
      </w:r>
    </w:p>
  </w:footnote>
  <w:footnote w:id="49">
    <w:p w14:paraId="766517C3" w14:textId="2D6A6AC4"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[1900] 2 QB 170 at 175.</w:t>
      </w:r>
    </w:p>
  </w:footnote>
  <w:footnote w:id="50">
    <w:p w14:paraId="3DB34C40" w14:textId="760AB1E4"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[1900] 2 QB 170 at 175.</w:t>
      </w:r>
    </w:p>
  </w:footnote>
  <w:footnote w:id="51">
    <w:p w14:paraId="521B20AE" w14:textId="1F729B96"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(1885) 16 QBD 354 at 357.</w:t>
      </w:r>
    </w:p>
  </w:footnote>
  <w:footnote w:id="52">
    <w:p w14:paraId="1C17B237" w14:textId="763F1356"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[1900] 2 QB 170 at 180.</w:t>
      </w:r>
    </w:p>
  </w:footnote>
  <w:footnote w:id="53">
    <w:p w14:paraId="154274AA" w14:textId="663C36E5"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 xml:space="preserve">Bunt v Tilley </w:t>
      </w:r>
      <w:r w:rsidRPr="006B5BB1">
        <w:rPr>
          <w:rFonts w:ascii="Times New Roman" w:hAnsi="Times New Roman"/>
          <w:sz w:val="24"/>
        </w:rPr>
        <w:t xml:space="preserve">[2007] 1 WLR 1243 at 1252 [36]; [2006] 3 All ER 336 at 345; </w:t>
      </w:r>
      <w:r w:rsidRPr="006B5BB1">
        <w:rPr>
          <w:rFonts w:ascii="Times New Roman" w:hAnsi="Times New Roman"/>
          <w:i/>
          <w:sz w:val="24"/>
        </w:rPr>
        <w:t>Tamiz v Google Inc</w:t>
      </w:r>
      <w:r w:rsidRPr="006B5BB1">
        <w:rPr>
          <w:rFonts w:ascii="Times New Roman" w:hAnsi="Times New Roman"/>
          <w:sz w:val="24"/>
        </w:rPr>
        <w:t xml:space="preserve"> [2013] 1 WLR 2151 at 2162 [26].</w:t>
      </w:r>
    </w:p>
  </w:footnote>
  <w:footnote w:id="54">
    <w:p w14:paraId="0F21F3CE" w14:textId="321F1B0B"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Rolph, </w:t>
      </w:r>
      <w:r w:rsidRPr="006B5BB1">
        <w:rPr>
          <w:rFonts w:ascii="Times New Roman" w:hAnsi="Times New Roman"/>
          <w:i/>
          <w:sz w:val="24"/>
        </w:rPr>
        <w:t>Defamation Law</w:t>
      </w:r>
      <w:r w:rsidRPr="006B5BB1">
        <w:rPr>
          <w:rFonts w:ascii="Times New Roman" w:hAnsi="Times New Roman"/>
          <w:sz w:val="24"/>
        </w:rPr>
        <w:t xml:space="preserve"> (2016) at 292 [14.20].</w:t>
      </w:r>
    </w:p>
  </w:footnote>
  <w:footnote w:id="55">
    <w:p w14:paraId="0D413953" w14:textId="3FF72F0D"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(1934) 51 CLR 276 at 288.</w:t>
      </w:r>
    </w:p>
  </w:footnote>
  <w:footnote w:id="56">
    <w:p w14:paraId="355CBB75" w14:textId="59DB116A"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(2002) 210 CLR 575 at 600 [25] per Gleeson CJ, McHugh, Gummow and Hayne JJ.</w:t>
      </w:r>
    </w:p>
  </w:footnote>
  <w:footnote w:id="57">
    <w:p w14:paraId="781F82DA" w14:textId="3C3E8084"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(1996) 186 CLR 574.</w:t>
      </w:r>
    </w:p>
  </w:footnote>
  <w:footnote w:id="58">
    <w:p w14:paraId="059E7823" w14:textId="7D7BB465"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(1996) 186 CLR 574 at 586, referring to </w:t>
      </w:r>
      <w:r w:rsidRPr="006B5BB1">
        <w:rPr>
          <w:rFonts w:ascii="Times New Roman" w:hAnsi="Times New Roman"/>
          <w:i/>
          <w:iCs/>
          <w:sz w:val="24"/>
        </w:rPr>
        <w:t>Gatley on Libel and Slander</w:t>
      </w:r>
      <w:r w:rsidRPr="006B5BB1">
        <w:rPr>
          <w:rFonts w:ascii="Times New Roman" w:hAnsi="Times New Roman"/>
          <w:sz w:val="24"/>
        </w:rPr>
        <w:t>, 8th ed (1981)</w:t>
      </w:r>
      <w:r w:rsidRPr="006B5BB1" w:rsidDel="00E11C8A">
        <w:rPr>
          <w:rFonts w:ascii="Times New Roman" w:hAnsi="Times New Roman"/>
          <w:sz w:val="24"/>
        </w:rPr>
        <w:t xml:space="preserve"> </w:t>
      </w:r>
      <w:r w:rsidRPr="006B5BB1">
        <w:rPr>
          <w:rFonts w:ascii="Times New Roman" w:hAnsi="Times New Roman"/>
          <w:sz w:val="24"/>
        </w:rPr>
        <w:t>at 113, fn 3.</w:t>
      </w:r>
    </w:p>
  </w:footnote>
  <w:footnote w:id="59">
    <w:p w14:paraId="219A04E3" w14:textId="51F05024"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iCs/>
          <w:sz w:val="24"/>
        </w:rPr>
        <w:t xml:space="preserve">Duncan </w:t>
      </w:r>
      <w:r w:rsidRPr="006B5BB1">
        <w:rPr>
          <w:rFonts w:ascii="Times New Roman" w:hAnsi="Times New Roman"/>
          <w:i/>
          <w:sz w:val="24"/>
        </w:rPr>
        <w:t>and</w:t>
      </w:r>
      <w:r w:rsidRPr="006B5BB1">
        <w:rPr>
          <w:rFonts w:ascii="Times New Roman" w:hAnsi="Times New Roman"/>
          <w:i/>
          <w:iCs/>
          <w:sz w:val="24"/>
        </w:rPr>
        <w:t xml:space="preserve"> Neill on Defamation</w:t>
      </w:r>
      <w:r w:rsidRPr="006B5BB1">
        <w:rPr>
          <w:rFonts w:ascii="Times New Roman" w:hAnsi="Times New Roman"/>
          <w:sz w:val="24"/>
        </w:rPr>
        <w:t>, 2nd ed (1983) at 110, fn 3.</w:t>
      </w:r>
    </w:p>
  </w:footnote>
  <w:footnote w:id="60">
    <w:p w14:paraId="0E1F0026" w14:textId="4D3F5A1E"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Thompson v Australian Capital Television Pty Ltd</w:t>
      </w:r>
      <w:r w:rsidRPr="006B5BB1">
        <w:rPr>
          <w:rFonts w:ascii="Times New Roman" w:hAnsi="Times New Roman"/>
          <w:sz w:val="24"/>
        </w:rPr>
        <w:t xml:space="preserve"> (1996) 186 CLR 574 at 618-619.</w:t>
      </w:r>
    </w:p>
  </w:footnote>
  <w:footnote w:id="61">
    <w:p w14:paraId="3832F667" w14:textId="60EC4C4B"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iCs/>
          <w:sz w:val="24"/>
        </w:rPr>
        <w:t>Pollock's Law of Torts</w:t>
      </w:r>
      <w:r w:rsidRPr="006B5BB1">
        <w:rPr>
          <w:rFonts w:ascii="Times New Roman" w:hAnsi="Times New Roman"/>
          <w:sz w:val="24"/>
        </w:rPr>
        <w:t>, 15th ed (1951) at 186.</w:t>
      </w:r>
    </w:p>
  </w:footnote>
  <w:footnote w:id="62">
    <w:p w14:paraId="658A2335" w14:textId="7544C9E7"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(2013) 16 HKCFAR 366 at 381 [31] per Ribeiro PJ (Ma CJ, Chan PJ and Gleeson NPJ agreeing), 409 [123], 410-411 [127], 412 [132] per Litton NPJ. </w:t>
      </w:r>
    </w:p>
  </w:footnote>
  <w:footnote w:id="63">
    <w:p w14:paraId="60545DAC" w14:textId="629A4B2B"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[1937] 1 KB 818.</w:t>
      </w:r>
    </w:p>
  </w:footnote>
  <w:footnote w:id="64">
    <w:p w14:paraId="10533B27" w14:textId="51010ADA"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[1937] 1 KB 818.</w:t>
      </w:r>
    </w:p>
  </w:footnote>
  <w:footnote w:id="65">
    <w:p w14:paraId="04020126" w14:textId="49070D57"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[1937] 1 KB 818 at 837-838.</w:t>
      </w:r>
    </w:p>
  </w:footnote>
  <w:footnote w:id="66">
    <w:p w14:paraId="1421F255" w14:textId="6BA03962"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Such as </w:t>
      </w:r>
      <w:r w:rsidRPr="006B5BB1">
        <w:rPr>
          <w:rFonts w:ascii="Times New Roman" w:hAnsi="Times New Roman"/>
          <w:i/>
          <w:sz w:val="24"/>
        </w:rPr>
        <w:t>Hird v Wood</w:t>
      </w:r>
      <w:r w:rsidRPr="006B5BB1">
        <w:rPr>
          <w:rFonts w:ascii="Times New Roman" w:hAnsi="Times New Roman"/>
          <w:sz w:val="24"/>
        </w:rPr>
        <w:t xml:space="preserve"> (1894) 38 Sol J 234: see [1937] 1 KB 818 at 834-835.</w:t>
      </w:r>
    </w:p>
  </w:footnote>
  <w:footnote w:id="67">
    <w:p w14:paraId="2991FBBF" w14:textId="752466D2"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[1937] 1 KB 818 at 830 per Greer LJ, 838 per Greene LJ.</w:t>
      </w:r>
    </w:p>
  </w:footnote>
  <w:footnote w:id="68">
    <w:p w14:paraId="5C5B2E4E" w14:textId="5CC46004"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[1937] 1 KB 818 at 835.</w:t>
      </w:r>
    </w:p>
  </w:footnote>
  <w:footnote w:id="69">
    <w:p w14:paraId="38573AFF" w14:textId="0F870A3A"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t xml:space="preserve">See also </w:t>
      </w:r>
      <w:r w:rsidRPr="006B5BB1">
        <w:rPr>
          <w:rFonts w:ascii="Times New Roman" w:hAnsi="Times New Roman"/>
          <w:i/>
          <w:sz w:val="24"/>
        </w:rPr>
        <w:t xml:space="preserve">Urbanchich v Drummoyne Municipal Council </w:t>
      </w:r>
      <w:r w:rsidRPr="006B5BB1">
        <w:rPr>
          <w:rFonts w:ascii="Times New Roman" w:hAnsi="Times New Roman"/>
          <w:sz w:val="24"/>
        </w:rPr>
        <w:t>(1991) Aust Torts Reports ¶81-127.</w:t>
      </w:r>
    </w:p>
  </w:footnote>
  <w:footnote w:id="70">
    <w:p w14:paraId="786DF934" w14:textId="28EB5B28" w:rsidR="00F511D3" w:rsidRPr="006B5BB1" w:rsidRDefault="00F511D3" w:rsidP="006B5BB1">
      <w:pPr>
        <w:pStyle w:val="FootnoteText"/>
        <w:spacing w:line="280" w:lineRule="exact"/>
        <w:ind w:right="0"/>
        <w:jc w:val="both"/>
        <w:rPr>
          <w:rFonts w:ascii="Times New Roman" w:hAnsi="Times New Roman"/>
          <w:sz w:val="24"/>
        </w:rPr>
      </w:pPr>
      <w:r w:rsidRPr="006B5BB1">
        <w:rPr>
          <w:rStyle w:val="FootnoteReference"/>
          <w:rFonts w:ascii="Times New Roman" w:hAnsi="Times New Roman"/>
          <w:sz w:val="22"/>
          <w:vertAlign w:val="baseline"/>
        </w:rPr>
        <w:footnoteRef/>
      </w:r>
      <w:r w:rsidRPr="006B5BB1">
        <w:rPr>
          <w:rFonts w:ascii="Times New Roman" w:hAnsi="Times New Roman"/>
          <w:sz w:val="24"/>
        </w:rPr>
        <w:t xml:space="preserve"> </w:t>
      </w:r>
      <w:r w:rsidRPr="006B5BB1">
        <w:rPr>
          <w:rFonts w:ascii="Times New Roman" w:hAnsi="Times New Roman"/>
          <w:sz w:val="24"/>
        </w:rPr>
        <w:tab/>
      </w:r>
      <w:r w:rsidRPr="006B5BB1">
        <w:rPr>
          <w:rFonts w:ascii="Times New Roman" w:hAnsi="Times New Roman"/>
          <w:i/>
          <w:sz w:val="24"/>
        </w:rPr>
        <w:t>Oriental Press Group Ltd v Fevaworks Solutions Ltd</w:t>
      </w:r>
      <w:r w:rsidRPr="006B5BB1">
        <w:rPr>
          <w:rFonts w:ascii="Times New Roman" w:hAnsi="Times New Roman"/>
          <w:sz w:val="24"/>
        </w:rPr>
        <w:t xml:space="preserve"> (2013) 16 HKCFAR 366</w:t>
      </w:r>
      <w:r w:rsidRPr="006B5BB1" w:rsidDel="00011C07">
        <w:rPr>
          <w:rFonts w:ascii="Times New Roman" w:hAnsi="Times New Roman"/>
          <w:i/>
          <w:sz w:val="24"/>
        </w:rPr>
        <w:t xml:space="preserve"> </w:t>
      </w:r>
      <w:r w:rsidRPr="006B5BB1">
        <w:rPr>
          <w:rFonts w:ascii="Times New Roman" w:hAnsi="Times New Roman"/>
          <w:sz w:val="24"/>
        </w:rPr>
        <w:t xml:space="preserve">(internet platform providers); </w:t>
      </w:r>
      <w:r w:rsidRPr="006B5BB1">
        <w:rPr>
          <w:rFonts w:ascii="Times New Roman" w:hAnsi="Times New Roman"/>
          <w:i/>
          <w:sz w:val="24"/>
        </w:rPr>
        <w:t>Murray v Wishart</w:t>
      </w:r>
      <w:r w:rsidRPr="006B5BB1">
        <w:rPr>
          <w:rFonts w:ascii="Times New Roman" w:hAnsi="Times New Roman"/>
          <w:sz w:val="24"/>
        </w:rPr>
        <w:t xml:space="preserve"> [2014] 3 NZLR 722 (hosts of a Facebook page). </w:t>
      </w:r>
    </w:p>
  </w:footnote>
  <w:footnote w:id="71">
    <w:p w14:paraId="14DAE7C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(2001) 206 CLR 512 at 532 [31].</w:t>
      </w:r>
    </w:p>
  </w:footnote>
  <w:footnote w:id="72">
    <w:p w14:paraId="2CFAEECD"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Defamation Act 2005</w:t>
      </w:r>
      <w:r w:rsidRPr="00B77657">
        <w:rPr>
          <w:rFonts w:ascii="Times New Roman" w:hAnsi="Times New Roman"/>
          <w:sz w:val="24"/>
        </w:rPr>
        <w:t xml:space="preserve"> (Qld); </w:t>
      </w:r>
      <w:r w:rsidRPr="00B77657">
        <w:rPr>
          <w:rFonts w:ascii="Times New Roman" w:hAnsi="Times New Roman"/>
          <w:i/>
          <w:sz w:val="24"/>
        </w:rPr>
        <w:t>Defamation Act 2005</w:t>
      </w:r>
      <w:r w:rsidRPr="00B77657">
        <w:rPr>
          <w:rFonts w:ascii="Times New Roman" w:hAnsi="Times New Roman"/>
          <w:sz w:val="24"/>
        </w:rPr>
        <w:t xml:space="preserve"> (SA); </w:t>
      </w:r>
      <w:r w:rsidRPr="00B77657">
        <w:rPr>
          <w:rFonts w:ascii="Times New Roman" w:hAnsi="Times New Roman"/>
          <w:i/>
          <w:sz w:val="24"/>
        </w:rPr>
        <w:t>Defamation Act 2005</w:t>
      </w:r>
      <w:r w:rsidRPr="00B77657">
        <w:rPr>
          <w:rFonts w:ascii="Times New Roman" w:hAnsi="Times New Roman"/>
          <w:sz w:val="24"/>
        </w:rPr>
        <w:t xml:space="preserve"> (Tas); </w:t>
      </w:r>
      <w:r w:rsidRPr="00B77657">
        <w:rPr>
          <w:rFonts w:ascii="Times New Roman" w:hAnsi="Times New Roman"/>
          <w:i/>
          <w:sz w:val="24"/>
        </w:rPr>
        <w:t>Defamation Act 2005</w:t>
      </w:r>
      <w:r w:rsidRPr="00B77657">
        <w:rPr>
          <w:rFonts w:ascii="Times New Roman" w:hAnsi="Times New Roman"/>
          <w:sz w:val="24"/>
        </w:rPr>
        <w:t xml:space="preserve"> (Vic); </w:t>
      </w:r>
      <w:r w:rsidRPr="00B77657">
        <w:rPr>
          <w:rFonts w:ascii="Times New Roman" w:hAnsi="Times New Roman"/>
          <w:i/>
          <w:sz w:val="24"/>
        </w:rPr>
        <w:t>Defamation Act 2005</w:t>
      </w:r>
      <w:r w:rsidRPr="00B77657">
        <w:rPr>
          <w:rFonts w:ascii="Times New Roman" w:hAnsi="Times New Roman"/>
          <w:sz w:val="24"/>
        </w:rPr>
        <w:t xml:space="preserve"> (WA); </w:t>
      </w:r>
      <w:r w:rsidRPr="00B77657">
        <w:rPr>
          <w:rFonts w:ascii="Times New Roman" w:hAnsi="Times New Roman"/>
          <w:i/>
          <w:sz w:val="24"/>
        </w:rPr>
        <w:t>Defamation Act 2006</w:t>
      </w:r>
      <w:r w:rsidRPr="00B77657">
        <w:rPr>
          <w:rFonts w:ascii="Times New Roman" w:hAnsi="Times New Roman"/>
          <w:sz w:val="24"/>
        </w:rPr>
        <w:t xml:space="preserve"> (NT); </w:t>
      </w:r>
      <w:r w:rsidRPr="00B77657">
        <w:rPr>
          <w:rFonts w:ascii="Times New Roman" w:hAnsi="Times New Roman"/>
          <w:i/>
          <w:sz w:val="24"/>
        </w:rPr>
        <w:t>Civil Law</w:t>
      </w:r>
      <w:r w:rsidRPr="00B77657">
        <w:rPr>
          <w:rFonts w:ascii="Times New Roman" w:hAnsi="Times New Roman"/>
          <w:sz w:val="24"/>
        </w:rPr>
        <w:t xml:space="preserve"> </w:t>
      </w:r>
      <w:r w:rsidRPr="00B77657">
        <w:rPr>
          <w:rFonts w:ascii="Times New Roman" w:hAnsi="Times New Roman"/>
          <w:i/>
          <w:sz w:val="24"/>
        </w:rPr>
        <w:t>(Wrongs)</w:t>
      </w:r>
      <w:r w:rsidRPr="00B77657">
        <w:rPr>
          <w:rFonts w:ascii="Times New Roman" w:hAnsi="Times New Roman"/>
          <w:sz w:val="24"/>
        </w:rPr>
        <w:t xml:space="preserve"> </w:t>
      </w:r>
      <w:r w:rsidRPr="00B77657">
        <w:rPr>
          <w:rFonts w:ascii="Times New Roman" w:hAnsi="Times New Roman"/>
          <w:i/>
          <w:sz w:val="24"/>
        </w:rPr>
        <w:t>Act 2002</w:t>
      </w:r>
      <w:r w:rsidRPr="00B77657">
        <w:rPr>
          <w:rFonts w:ascii="Times New Roman" w:hAnsi="Times New Roman"/>
          <w:sz w:val="24"/>
        </w:rPr>
        <w:t xml:space="preserve"> (ACT), Ch 9.</w:t>
      </w:r>
    </w:p>
  </w:footnote>
  <w:footnote w:id="73">
    <w:p w14:paraId="31A7EDB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eg, s 6(2) of the </w:t>
      </w:r>
      <w:r w:rsidRPr="00B77657">
        <w:rPr>
          <w:rFonts w:ascii="Times New Roman" w:hAnsi="Times New Roman"/>
          <w:i/>
          <w:sz w:val="24"/>
        </w:rPr>
        <w:t xml:space="preserve">Defamation Act 2005 </w:t>
      </w:r>
      <w:r w:rsidRPr="00B77657">
        <w:rPr>
          <w:rFonts w:ascii="Times New Roman" w:hAnsi="Times New Roman"/>
          <w:sz w:val="24"/>
        </w:rPr>
        <w:t>(NSW).</w:t>
      </w:r>
    </w:p>
  </w:footnote>
  <w:footnote w:id="74">
    <w:p w14:paraId="125744A6"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eg, Preamble to, and s 3(a) of, the </w:t>
      </w:r>
      <w:r w:rsidRPr="00B77657">
        <w:rPr>
          <w:rFonts w:ascii="Times New Roman" w:hAnsi="Times New Roman"/>
          <w:i/>
          <w:sz w:val="24"/>
        </w:rPr>
        <w:t xml:space="preserve">Defamation Act 2005 </w:t>
      </w:r>
      <w:r w:rsidRPr="00B77657">
        <w:rPr>
          <w:rFonts w:ascii="Times New Roman" w:hAnsi="Times New Roman"/>
          <w:sz w:val="24"/>
        </w:rPr>
        <w:t>(NSW).</w:t>
      </w:r>
    </w:p>
  </w:footnote>
  <w:footnote w:id="75">
    <w:p w14:paraId="38F14C80"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cf Leeming, </w:t>
      </w:r>
      <w:r w:rsidRPr="00B77657">
        <w:rPr>
          <w:rFonts w:ascii="Times New Roman" w:hAnsi="Times New Roman"/>
          <w:i/>
          <w:sz w:val="24"/>
        </w:rPr>
        <w:t>The Statutory Foundations of Negligence</w:t>
      </w:r>
      <w:r w:rsidRPr="00B77657">
        <w:rPr>
          <w:rFonts w:ascii="Times New Roman" w:hAnsi="Times New Roman"/>
          <w:sz w:val="24"/>
        </w:rPr>
        <w:t xml:space="preserve"> (2019) at 1, quoting Moses and Edgeworth, "Taking it Personally: Ebb and Flow in the Torrens System's In Personam Exception to Indefeasibility" (2013) 35 </w:t>
      </w:r>
      <w:r w:rsidRPr="00B77657">
        <w:rPr>
          <w:rFonts w:ascii="Times New Roman" w:hAnsi="Times New Roman"/>
          <w:i/>
          <w:sz w:val="24"/>
        </w:rPr>
        <w:t>Sydney Law Review</w:t>
      </w:r>
      <w:r w:rsidRPr="00B77657">
        <w:rPr>
          <w:rFonts w:ascii="Times New Roman" w:hAnsi="Times New Roman"/>
          <w:sz w:val="24"/>
        </w:rPr>
        <w:t xml:space="preserve"> 107 at 111.</w:t>
      </w:r>
    </w:p>
  </w:footnote>
  <w:footnote w:id="76">
    <w:p w14:paraId="1C10AD2F"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eg, s 7(2) of the </w:t>
      </w:r>
      <w:r w:rsidRPr="00B77657">
        <w:rPr>
          <w:rFonts w:ascii="Times New Roman" w:hAnsi="Times New Roman"/>
          <w:i/>
          <w:sz w:val="24"/>
        </w:rPr>
        <w:t xml:space="preserve">Defamation Act 2005 </w:t>
      </w:r>
      <w:r w:rsidRPr="00B77657">
        <w:rPr>
          <w:rFonts w:ascii="Times New Roman" w:hAnsi="Times New Roman"/>
          <w:sz w:val="24"/>
        </w:rPr>
        <w:t>(NSW)</w:t>
      </w:r>
      <w:r w:rsidRPr="00B77657">
        <w:rPr>
          <w:rFonts w:ascii="Times New Roman" w:hAnsi="Times New Roman"/>
          <w:i/>
          <w:sz w:val="24"/>
        </w:rPr>
        <w:t>.</w:t>
      </w:r>
    </w:p>
  </w:footnote>
  <w:footnote w:id="77">
    <w:p w14:paraId="46D0A004"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eg, s 4 of the </w:t>
      </w:r>
      <w:r w:rsidRPr="00B77657">
        <w:rPr>
          <w:rFonts w:ascii="Times New Roman" w:hAnsi="Times New Roman"/>
          <w:i/>
          <w:sz w:val="24"/>
        </w:rPr>
        <w:t xml:space="preserve">Defamation Act 2005 </w:t>
      </w:r>
      <w:r w:rsidRPr="00B77657">
        <w:rPr>
          <w:rFonts w:ascii="Times New Roman" w:hAnsi="Times New Roman"/>
          <w:sz w:val="24"/>
        </w:rPr>
        <w:t>(NSW)</w:t>
      </w:r>
      <w:r w:rsidRPr="00B77657">
        <w:rPr>
          <w:rFonts w:ascii="Times New Roman" w:hAnsi="Times New Roman"/>
          <w:i/>
          <w:sz w:val="24"/>
        </w:rPr>
        <w:t>.</w:t>
      </w:r>
    </w:p>
  </w:footnote>
  <w:footnote w:id="78">
    <w:p w14:paraId="4C979F48"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Fairfax Media Publications Pty Ltd v Voller</w:t>
      </w:r>
      <w:r w:rsidRPr="00B77657">
        <w:rPr>
          <w:rFonts w:ascii="Times New Roman" w:hAnsi="Times New Roman"/>
          <w:sz w:val="24"/>
        </w:rPr>
        <w:t xml:space="preserve"> (2020) 380 ALR 700.</w:t>
      </w:r>
    </w:p>
  </w:footnote>
  <w:footnote w:id="79">
    <w:p w14:paraId="6FC66139"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Voller v Nationwide News Pty Ltd</w:t>
      </w:r>
      <w:r w:rsidRPr="00B77657">
        <w:rPr>
          <w:rFonts w:ascii="Times New Roman" w:hAnsi="Times New Roman"/>
          <w:sz w:val="24"/>
        </w:rPr>
        <w:t xml:space="preserve"> [2019] NSWSC 766.</w:t>
      </w:r>
    </w:p>
  </w:footnote>
  <w:footnote w:id="80">
    <w:p w14:paraId="288CC045"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Ostrowe v Lee</w:t>
      </w:r>
      <w:r w:rsidRPr="00B77657">
        <w:rPr>
          <w:rFonts w:ascii="Times New Roman" w:hAnsi="Times New Roman"/>
          <w:sz w:val="24"/>
        </w:rPr>
        <w:t xml:space="preserve"> (1931) 175 NE 505 at 505.</w:t>
      </w:r>
    </w:p>
  </w:footnote>
  <w:footnote w:id="81">
    <w:p w14:paraId="3AB8D495"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Dow Jones &amp; Co Inc v Gutnick</w:t>
      </w:r>
      <w:r w:rsidRPr="00B77657">
        <w:rPr>
          <w:rFonts w:ascii="Times New Roman" w:hAnsi="Times New Roman"/>
          <w:sz w:val="24"/>
        </w:rPr>
        <w:t xml:space="preserve"> (2002) 210 CLR 575 at 600 [26]. </w:t>
      </w:r>
    </w:p>
  </w:footnote>
  <w:footnote w:id="82">
    <w:p w14:paraId="5FC036D6"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(1928) 41 CLR 331 at 363-364. </w:t>
      </w:r>
    </w:p>
  </w:footnote>
  <w:footnote w:id="83">
    <w:p w14:paraId="6C04A05B"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(2018) 263 CLR 149 at 164-165 [40].</w:t>
      </w:r>
    </w:p>
  </w:footnote>
  <w:footnote w:id="84">
    <w:p w14:paraId="0888C37D"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Starkie, </w:t>
      </w:r>
      <w:r w:rsidRPr="00B77657">
        <w:rPr>
          <w:rFonts w:ascii="Times New Roman" w:hAnsi="Times New Roman"/>
          <w:i/>
          <w:sz w:val="24"/>
        </w:rPr>
        <w:t>A Treatise on the Law of Slander and Libel</w:t>
      </w:r>
      <w:r w:rsidRPr="00B77657">
        <w:rPr>
          <w:rFonts w:ascii="Times New Roman" w:hAnsi="Times New Roman"/>
          <w:sz w:val="24"/>
        </w:rPr>
        <w:t xml:space="preserve">, 2nd ed (1830), vol II at 225, quoted in part in argument in </w:t>
      </w:r>
      <w:r w:rsidRPr="00B77657">
        <w:rPr>
          <w:rFonts w:ascii="Times New Roman" w:hAnsi="Times New Roman"/>
          <w:i/>
          <w:sz w:val="24"/>
        </w:rPr>
        <w:t>Parkes v Prescott</w:t>
      </w:r>
      <w:r w:rsidRPr="00B77657">
        <w:rPr>
          <w:rFonts w:ascii="Times New Roman" w:hAnsi="Times New Roman"/>
          <w:sz w:val="24"/>
        </w:rPr>
        <w:t xml:space="preserve"> (1869) LR 4 Ex 169 at 173-174.</w:t>
      </w:r>
    </w:p>
  </w:footnote>
  <w:footnote w:id="85">
    <w:p w14:paraId="01C052C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Folkard, </w:t>
      </w:r>
      <w:r w:rsidRPr="00B77657">
        <w:rPr>
          <w:rFonts w:ascii="Times New Roman" w:hAnsi="Times New Roman"/>
          <w:i/>
          <w:sz w:val="24"/>
        </w:rPr>
        <w:t>The Law of Slander and Libel</w:t>
      </w:r>
      <w:r w:rsidRPr="00B77657">
        <w:rPr>
          <w:rFonts w:ascii="Times New Roman" w:hAnsi="Times New Roman"/>
          <w:sz w:val="24"/>
        </w:rPr>
        <w:t>, 5th ed (1891) at 439 (emphasis in original).</w:t>
      </w:r>
    </w:p>
  </w:footnote>
  <w:footnote w:id="86">
    <w:p w14:paraId="4A3450E4"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also Folkard, </w:t>
      </w:r>
      <w:r w:rsidRPr="00B77657">
        <w:rPr>
          <w:rFonts w:ascii="Times New Roman" w:hAnsi="Times New Roman"/>
          <w:i/>
          <w:sz w:val="24"/>
        </w:rPr>
        <w:t>The Law of Slander and Libel</w:t>
      </w:r>
      <w:r w:rsidRPr="00B77657">
        <w:rPr>
          <w:rFonts w:ascii="Times New Roman" w:hAnsi="Times New Roman"/>
          <w:sz w:val="24"/>
        </w:rPr>
        <w:t>, 5th ed (1891) at 796.</w:t>
      </w:r>
    </w:p>
  </w:footnote>
  <w:footnote w:id="87">
    <w:p w14:paraId="5410284D"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Blackstone, </w:t>
      </w:r>
      <w:r w:rsidRPr="00B77657">
        <w:rPr>
          <w:rFonts w:ascii="Times New Roman" w:hAnsi="Times New Roman"/>
          <w:i/>
          <w:sz w:val="24"/>
        </w:rPr>
        <w:t>Commentaries on the Laws of England</w:t>
      </w:r>
      <w:r w:rsidRPr="00B77657">
        <w:rPr>
          <w:rFonts w:ascii="Times New Roman" w:hAnsi="Times New Roman"/>
          <w:sz w:val="24"/>
        </w:rPr>
        <w:t xml:space="preserve"> (1769), bk 4, ch 3 at 36. See generally </w:t>
      </w:r>
      <w:r w:rsidRPr="00B77657">
        <w:rPr>
          <w:rFonts w:ascii="Times New Roman" w:hAnsi="Times New Roman"/>
          <w:i/>
          <w:sz w:val="24"/>
        </w:rPr>
        <w:t>Giorgianni v The Queen</w:t>
      </w:r>
      <w:r w:rsidRPr="00B77657">
        <w:rPr>
          <w:rFonts w:ascii="Times New Roman" w:hAnsi="Times New Roman"/>
          <w:sz w:val="24"/>
        </w:rPr>
        <w:t xml:space="preserve"> (1985) 156 CLR 473 at 480-481, 490-493.</w:t>
      </w:r>
    </w:p>
  </w:footnote>
  <w:footnote w:id="88">
    <w:p w14:paraId="0AE6EAEB"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(1934) 51 CLR 276 at 288 (emphasis added).</w:t>
      </w:r>
    </w:p>
  </w:footnote>
  <w:footnote w:id="89">
    <w:p w14:paraId="57CEDDC9"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(2013) 16 HKCFAR 366 at 377 [19].</w:t>
      </w:r>
    </w:p>
  </w:footnote>
  <w:footnote w:id="90">
    <w:p w14:paraId="361F4C80"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[2011] 3 SCR 269 at 281-282 [18].</w:t>
      </w:r>
    </w:p>
  </w:footnote>
  <w:footnote w:id="91">
    <w:p w14:paraId="69C6943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Starkie, </w:t>
      </w:r>
      <w:r w:rsidRPr="00B77657">
        <w:rPr>
          <w:rFonts w:ascii="Times New Roman" w:hAnsi="Times New Roman"/>
          <w:i/>
          <w:sz w:val="24"/>
        </w:rPr>
        <w:t>A Treatise on the Law of Slander and Libel</w:t>
      </w:r>
      <w:r w:rsidRPr="00B77657">
        <w:rPr>
          <w:rFonts w:ascii="Times New Roman" w:hAnsi="Times New Roman"/>
          <w:sz w:val="24"/>
        </w:rPr>
        <w:t xml:space="preserve">, 2nd ed (1830), vol II at 188, 237-238, 341; Folkard, </w:t>
      </w:r>
      <w:r w:rsidRPr="00B77657">
        <w:rPr>
          <w:rFonts w:ascii="Times New Roman" w:hAnsi="Times New Roman"/>
          <w:i/>
          <w:sz w:val="24"/>
        </w:rPr>
        <w:t>The Law of Slander and Libel</w:t>
      </w:r>
      <w:r w:rsidRPr="00B77657">
        <w:rPr>
          <w:rFonts w:ascii="Times New Roman" w:hAnsi="Times New Roman"/>
          <w:sz w:val="24"/>
        </w:rPr>
        <w:t>, 5th ed (1891) at 830-831.</w:t>
      </w:r>
    </w:p>
  </w:footnote>
  <w:footnote w:id="92">
    <w:p w14:paraId="02316B16"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(1928) 41 CLR 331 at 363-364.</w:t>
      </w:r>
    </w:p>
  </w:footnote>
  <w:footnote w:id="93">
    <w:p w14:paraId="3CE5E1B1"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[2011] 3 SCR 269 at 282 [18].</w:t>
      </w:r>
    </w:p>
  </w:footnote>
  <w:footnote w:id="94">
    <w:p w14:paraId="5A100DB5"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Starkie, </w:t>
      </w:r>
      <w:r w:rsidRPr="00B77657">
        <w:rPr>
          <w:rFonts w:ascii="Times New Roman" w:hAnsi="Times New Roman"/>
          <w:i/>
          <w:sz w:val="24"/>
        </w:rPr>
        <w:t>A Treatise on the Law of Slander and Libel</w:t>
      </w:r>
      <w:r w:rsidRPr="00B77657">
        <w:rPr>
          <w:rFonts w:ascii="Times New Roman" w:hAnsi="Times New Roman"/>
          <w:sz w:val="24"/>
        </w:rPr>
        <w:t>, 2nd ed (1830), vol I at 419.</w:t>
      </w:r>
    </w:p>
  </w:footnote>
  <w:footnote w:id="95">
    <w:p w14:paraId="34EAB165"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R v Clerk</w:t>
      </w:r>
      <w:r w:rsidRPr="00B77657">
        <w:rPr>
          <w:rFonts w:ascii="Times New Roman" w:hAnsi="Times New Roman"/>
          <w:sz w:val="24"/>
        </w:rPr>
        <w:t xml:space="preserve"> (1728) 1 Barn KB 304 [94 ER 207].</w:t>
      </w:r>
    </w:p>
  </w:footnote>
  <w:footnote w:id="96">
    <w:p w14:paraId="2AA444F6"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R v Knell</w:t>
      </w:r>
      <w:r w:rsidRPr="00B77657">
        <w:rPr>
          <w:rFonts w:ascii="Times New Roman" w:hAnsi="Times New Roman"/>
          <w:sz w:val="24"/>
        </w:rPr>
        <w:t xml:space="preserve"> (1728) 1 Barn KB 305 [94 ER 207].</w:t>
      </w:r>
    </w:p>
  </w:footnote>
  <w:footnote w:id="97">
    <w:p w14:paraId="7AF65FF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R v Nutt</w:t>
      </w:r>
      <w:r w:rsidRPr="00B77657">
        <w:rPr>
          <w:rFonts w:ascii="Times New Roman" w:hAnsi="Times New Roman"/>
          <w:sz w:val="24"/>
        </w:rPr>
        <w:t xml:space="preserve"> (1728) 1 Barn KB 306 [94 ER 208].</w:t>
      </w:r>
    </w:p>
  </w:footnote>
  <w:footnote w:id="98">
    <w:p w14:paraId="58CC7553"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R v Nutt</w:t>
      </w:r>
      <w:r w:rsidRPr="00B77657">
        <w:rPr>
          <w:rFonts w:ascii="Times New Roman" w:hAnsi="Times New Roman"/>
          <w:sz w:val="24"/>
        </w:rPr>
        <w:t xml:space="preserve"> (1728) 1 Barn KB 306 at 306-307 [94 ER 208 at 208].</w:t>
      </w:r>
    </w:p>
  </w:footnote>
  <w:footnote w:id="99">
    <w:p w14:paraId="36BDCEE3"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eg, Lewis, </w:t>
      </w:r>
      <w:r w:rsidRPr="00B77657">
        <w:rPr>
          <w:rFonts w:ascii="Times New Roman" w:hAnsi="Times New Roman"/>
          <w:i/>
          <w:sz w:val="24"/>
        </w:rPr>
        <w:t>Gatley on Libel and Slander</w:t>
      </w:r>
      <w:r w:rsidRPr="00B77657">
        <w:rPr>
          <w:rFonts w:ascii="Times New Roman" w:hAnsi="Times New Roman"/>
          <w:sz w:val="24"/>
        </w:rPr>
        <w:t xml:space="preserve">, 8th ed (1981) at 104 [226], citing </w:t>
      </w:r>
      <w:r w:rsidRPr="00B77657">
        <w:rPr>
          <w:rFonts w:ascii="Times New Roman" w:hAnsi="Times New Roman"/>
          <w:i/>
          <w:sz w:val="24"/>
        </w:rPr>
        <w:t>Peterson v Western Union Telegraph Co</w:t>
      </w:r>
      <w:r w:rsidRPr="00B77657">
        <w:rPr>
          <w:rFonts w:ascii="Times New Roman" w:hAnsi="Times New Roman"/>
          <w:sz w:val="24"/>
        </w:rPr>
        <w:t xml:space="preserve"> (1898) 71 Am St R 461.</w:t>
      </w:r>
    </w:p>
  </w:footnote>
  <w:footnote w:id="100">
    <w:p w14:paraId="2AB6BD39"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Lunney v Prodigy Services Company</w:t>
      </w:r>
      <w:r w:rsidRPr="00B77657">
        <w:rPr>
          <w:rFonts w:ascii="Times New Roman" w:hAnsi="Times New Roman"/>
          <w:sz w:val="24"/>
        </w:rPr>
        <w:t xml:space="preserve"> (1998) 250 AD 2d 230 at 235 (cleaned up quote), referring to </w:t>
      </w:r>
      <w:r w:rsidRPr="00B77657">
        <w:rPr>
          <w:rFonts w:ascii="Times New Roman" w:hAnsi="Times New Roman"/>
          <w:i/>
          <w:sz w:val="24"/>
        </w:rPr>
        <w:t>Anderson v New York Telephone Company</w:t>
      </w:r>
      <w:r w:rsidRPr="00B77657">
        <w:rPr>
          <w:rFonts w:ascii="Times New Roman" w:hAnsi="Times New Roman"/>
          <w:sz w:val="24"/>
        </w:rPr>
        <w:t xml:space="preserve"> (1974) 35 NY 2d 746.</w:t>
      </w:r>
    </w:p>
  </w:footnote>
  <w:footnote w:id="101">
    <w:p w14:paraId="3F85F69E" w14:textId="77777777" w:rsidR="009F562D" w:rsidRPr="00B77657" w:rsidRDefault="009F562D" w:rsidP="00B77657">
      <w:pPr>
        <w:pStyle w:val="FootnoteText"/>
        <w:spacing w:line="280" w:lineRule="exact"/>
        <w:ind w:right="0"/>
        <w:jc w:val="both"/>
        <w:rPr>
          <w:rFonts w:ascii="Times New Roman" w:hAnsi="Times New Roman"/>
          <w:i/>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Mullis and Parkes (eds), </w:t>
      </w:r>
      <w:r w:rsidRPr="00B77657">
        <w:rPr>
          <w:rFonts w:ascii="Times New Roman" w:hAnsi="Times New Roman"/>
          <w:i/>
          <w:sz w:val="24"/>
        </w:rPr>
        <w:t>Gatley on Libel and Slander</w:t>
      </w:r>
      <w:r w:rsidRPr="00B77657">
        <w:rPr>
          <w:rFonts w:ascii="Times New Roman" w:hAnsi="Times New Roman"/>
          <w:sz w:val="24"/>
        </w:rPr>
        <w:t xml:space="preserve">, 12th ed (2013) at 216-217 [6.24], quoting United Kingdom, </w:t>
      </w:r>
      <w:r w:rsidRPr="00B77657">
        <w:rPr>
          <w:rFonts w:ascii="Times New Roman" w:hAnsi="Times New Roman"/>
          <w:i/>
          <w:sz w:val="24"/>
        </w:rPr>
        <w:t>Report of the Committee on Defamation</w:t>
      </w:r>
      <w:r w:rsidRPr="00B77657">
        <w:rPr>
          <w:rFonts w:ascii="Times New Roman" w:hAnsi="Times New Roman"/>
          <w:sz w:val="24"/>
        </w:rPr>
        <w:t xml:space="preserve"> (1975) Cmnd 5909 at 82 [298].</w:t>
      </w:r>
    </w:p>
  </w:footnote>
  <w:footnote w:id="102">
    <w:p w14:paraId="1152ED1C"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(1996) 186 CLR 574.</w:t>
      </w:r>
    </w:p>
  </w:footnote>
  <w:footnote w:id="103">
    <w:p w14:paraId="355EF941"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(1885) 16 QBD 354.</w:t>
      </w:r>
    </w:p>
  </w:footnote>
  <w:footnote w:id="104">
    <w:p w14:paraId="178D014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(1996) 186 CLR 574.</w:t>
      </w:r>
    </w:p>
  </w:footnote>
  <w:footnote w:id="105">
    <w:p w14:paraId="17774316"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w:t>
      </w:r>
      <w:r w:rsidRPr="00B77657">
        <w:rPr>
          <w:rFonts w:ascii="Times New Roman" w:hAnsi="Times New Roman"/>
          <w:i/>
          <w:sz w:val="24"/>
        </w:rPr>
        <w:t xml:space="preserve">Chakravarti v Advertiser Newspapers Ltd </w:t>
      </w:r>
      <w:r w:rsidRPr="00B77657">
        <w:rPr>
          <w:rFonts w:ascii="Times New Roman" w:hAnsi="Times New Roman"/>
          <w:sz w:val="24"/>
        </w:rPr>
        <w:t xml:space="preserve">(1998) 193 CLR 519 at 527-528 [8]; Perkins, </w:t>
      </w:r>
      <w:r w:rsidRPr="00B77657">
        <w:rPr>
          <w:rFonts w:ascii="Times New Roman" w:hAnsi="Times New Roman"/>
          <w:i/>
          <w:sz w:val="24"/>
        </w:rPr>
        <w:t>Chitty's Treatise on Pleading</w:t>
      </w:r>
      <w:r w:rsidRPr="00B77657">
        <w:rPr>
          <w:rFonts w:ascii="Times New Roman" w:hAnsi="Times New Roman"/>
          <w:sz w:val="24"/>
        </w:rPr>
        <w:t xml:space="preserve">, 16th American ed (1882), vol I at 551; Goudkamp, </w:t>
      </w:r>
      <w:r w:rsidRPr="00B77657">
        <w:rPr>
          <w:rFonts w:ascii="Times New Roman" w:hAnsi="Times New Roman"/>
          <w:i/>
          <w:sz w:val="24"/>
        </w:rPr>
        <w:t>Tort Law Defences</w:t>
      </w:r>
      <w:r w:rsidRPr="00B77657">
        <w:rPr>
          <w:rFonts w:ascii="Times New Roman" w:hAnsi="Times New Roman"/>
          <w:sz w:val="24"/>
        </w:rPr>
        <w:t xml:space="preserve"> (2013) at 2-3.</w:t>
      </w:r>
    </w:p>
  </w:footnote>
  <w:footnote w:id="106">
    <w:p w14:paraId="5555563E"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(1996) 186 CLR 574 at 586.</w:t>
      </w:r>
    </w:p>
  </w:footnote>
  <w:footnote w:id="107">
    <w:p w14:paraId="45DA6BA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Duncan and Neill on Defamation</w:t>
      </w:r>
      <w:r w:rsidRPr="00B77657">
        <w:rPr>
          <w:rFonts w:ascii="Times New Roman" w:hAnsi="Times New Roman"/>
          <w:sz w:val="24"/>
        </w:rPr>
        <w:t>, 2nd ed (1983) at 110, fn 3.</w:t>
      </w:r>
    </w:p>
  </w:footnote>
  <w:footnote w:id="108">
    <w:p w14:paraId="6760CB6B"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(1885) 16 QBD 354 at 357.</w:t>
      </w:r>
    </w:p>
  </w:footnote>
  <w:footnote w:id="109">
    <w:p w14:paraId="0768BB57" w14:textId="77777777" w:rsidR="009F562D" w:rsidRPr="00B77657" w:rsidRDefault="009F562D" w:rsidP="00B77657">
      <w:pPr>
        <w:pStyle w:val="FootnoteText"/>
        <w:tabs>
          <w:tab w:val="clear" w:pos="720"/>
          <w:tab w:val="clear" w:pos="1440"/>
          <w:tab w:val="clear" w:pos="2160"/>
          <w:tab w:val="clear" w:pos="2880"/>
          <w:tab w:val="clear" w:pos="3600"/>
          <w:tab w:val="clear" w:pos="4320"/>
          <w:tab w:val="clear" w:pos="5040"/>
          <w:tab w:val="clear" w:pos="5760"/>
          <w:tab w:val="clear" w:pos="6480"/>
          <w:tab w:val="clear" w:pos="7200"/>
          <w:tab w:val="left" w:pos="1080"/>
        </w:tabs>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eg, New South Wales, </w:t>
      </w:r>
      <w:r w:rsidRPr="00B77657">
        <w:rPr>
          <w:rFonts w:ascii="Times New Roman" w:hAnsi="Times New Roman"/>
          <w:i/>
          <w:sz w:val="24"/>
        </w:rPr>
        <w:t>Defamation Bill 2005</w:t>
      </w:r>
      <w:r w:rsidRPr="00B77657">
        <w:rPr>
          <w:rFonts w:ascii="Times New Roman" w:hAnsi="Times New Roman"/>
          <w:sz w:val="24"/>
        </w:rPr>
        <w:t>,</w:t>
      </w:r>
      <w:r w:rsidRPr="00B77657">
        <w:rPr>
          <w:rFonts w:ascii="Times New Roman" w:hAnsi="Times New Roman"/>
          <w:i/>
          <w:sz w:val="24"/>
        </w:rPr>
        <w:t xml:space="preserve"> </w:t>
      </w:r>
      <w:r w:rsidRPr="00B77657">
        <w:rPr>
          <w:rFonts w:ascii="Times New Roman" w:hAnsi="Times New Roman"/>
          <w:sz w:val="24"/>
        </w:rPr>
        <w:t xml:space="preserve">Explanatory Note at 15, cl 32; New South Wales, Legislative Assembly, </w:t>
      </w:r>
      <w:r w:rsidRPr="00B77657">
        <w:rPr>
          <w:rFonts w:ascii="Times New Roman" w:hAnsi="Times New Roman"/>
          <w:i/>
          <w:sz w:val="24"/>
        </w:rPr>
        <w:t xml:space="preserve">Parliamentary Debates </w:t>
      </w:r>
      <w:r w:rsidRPr="00B77657">
        <w:rPr>
          <w:rFonts w:ascii="Times New Roman" w:hAnsi="Times New Roman"/>
          <w:sz w:val="24"/>
        </w:rPr>
        <w:t>(Hansard), 13</w:t>
      </w:r>
      <w:r>
        <w:rPr>
          <w:rFonts w:ascii="Times New Roman" w:hAnsi="Times New Roman"/>
          <w:sz w:val="24"/>
        </w:rPr>
        <w:t> </w:t>
      </w:r>
      <w:r w:rsidRPr="00B77657">
        <w:rPr>
          <w:rFonts w:ascii="Times New Roman" w:hAnsi="Times New Roman"/>
          <w:sz w:val="24"/>
        </w:rPr>
        <w:t xml:space="preserve">September 2005 at 17640. </w:t>
      </w:r>
    </w:p>
  </w:footnote>
  <w:footnote w:id="110">
    <w:p w14:paraId="57E7A88F"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[1900] 2 QB 170 at 178.</w:t>
      </w:r>
    </w:p>
  </w:footnote>
  <w:footnote w:id="111">
    <w:p w14:paraId="6D3A5960"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(1996) 186 CLR 574 at 619.</w:t>
      </w:r>
    </w:p>
  </w:footnote>
  <w:footnote w:id="112">
    <w:p w14:paraId="7283B980"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Mitchell, </w:t>
      </w:r>
      <w:r w:rsidRPr="00B77657">
        <w:rPr>
          <w:rFonts w:ascii="Times New Roman" w:hAnsi="Times New Roman"/>
          <w:i/>
          <w:sz w:val="24"/>
        </w:rPr>
        <w:t>The Making of the Modern Law of Defamation</w:t>
      </w:r>
      <w:r w:rsidRPr="00B77657">
        <w:rPr>
          <w:rFonts w:ascii="Times New Roman" w:hAnsi="Times New Roman"/>
          <w:sz w:val="24"/>
        </w:rPr>
        <w:t xml:space="preserve"> (2005) at 101-144; Mitchell, </w:t>
      </w:r>
      <w:r w:rsidRPr="00B77657">
        <w:rPr>
          <w:rFonts w:ascii="Times New Roman" w:hAnsi="Times New Roman"/>
          <w:i/>
          <w:sz w:val="24"/>
        </w:rPr>
        <w:t>A History of Tort Law 1900-1950</w:t>
      </w:r>
      <w:r w:rsidRPr="00B77657">
        <w:rPr>
          <w:rFonts w:ascii="Times New Roman" w:hAnsi="Times New Roman"/>
          <w:sz w:val="24"/>
        </w:rPr>
        <w:t xml:space="preserve"> (2015) at 140-144.</w:t>
      </w:r>
    </w:p>
  </w:footnote>
  <w:footnote w:id="113">
    <w:p w14:paraId="427046A1"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[1910] AC 20.</w:t>
      </w:r>
    </w:p>
  </w:footnote>
  <w:footnote w:id="114">
    <w:p w14:paraId="68527450"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(1934) 51 CLR 276 at 287-292.</w:t>
      </w:r>
    </w:p>
  </w:footnote>
  <w:footnote w:id="115">
    <w:p w14:paraId="3E451B7F"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Dow Jones &amp; Co Inc v Gutnick</w:t>
      </w:r>
      <w:r w:rsidRPr="00B77657">
        <w:rPr>
          <w:rFonts w:ascii="Times New Roman" w:hAnsi="Times New Roman"/>
          <w:sz w:val="24"/>
        </w:rPr>
        <w:t xml:space="preserve"> (2002) 210 CLR 575 at 600 [25].</w:t>
      </w:r>
    </w:p>
  </w:footnote>
  <w:footnote w:id="116">
    <w:p w14:paraId="7C3CA954"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Benning v Wong</w:t>
      </w:r>
      <w:r w:rsidRPr="00B77657">
        <w:rPr>
          <w:rFonts w:ascii="Times New Roman" w:hAnsi="Times New Roman"/>
          <w:sz w:val="24"/>
        </w:rPr>
        <w:t xml:space="preserve"> (1969) 122 CLR 249 at 298-299.</w:t>
      </w:r>
    </w:p>
  </w:footnote>
  <w:footnote w:id="117">
    <w:p w14:paraId="3E3905AF"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(1934) 51 CLR 276 at 288.</w:t>
      </w:r>
    </w:p>
  </w:footnote>
  <w:footnote w:id="118">
    <w:p w14:paraId="2C9BE251"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Capital and Counties Bank v Henty</w:t>
      </w:r>
      <w:r w:rsidRPr="00B77657">
        <w:rPr>
          <w:rFonts w:ascii="Times New Roman" w:hAnsi="Times New Roman"/>
          <w:sz w:val="24"/>
        </w:rPr>
        <w:t xml:space="preserve"> (1882) 7 App Cas 741 at 767.</w:t>
      </w:r>
    </w:p>
  </w:footnote>
  <w:footnote w:id="119">
    <w:p w14:paraId="73460BCC"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Bullen and Leake's Precedents of Pleadings</w:t>
      </w:r>
      <w:r w:rsidRPr="00B77657">
        <w:rPr>
          <w:rFonts w:ascii="Times New Roman" w:hAnsi="Times New Roman"/>
          <w:sz w:val="24"/>
        </w:rPr>
        <w:t xml:space="preserve">, 4th ed, Pt I (1882) at 390. See also </w:t>
      </w:r>
      <w:r w:rsidRPr="00B77657">
        <w:rPr>
          <w:rFonts w:ascii="Times New Roman" w:hAnsi="Times New Roman"/>
          <w:i/>
          <w:sz w:val="24"/>
        </w:rPr>
        <w:t>Jones v E Hulton &amp; Co</w:t>
      </w:r>
      <w:r w:rsidRPr="00B77657">
        <w:rPr>
          <w:rFonts w:ascii="Times New Roman" w:hAnsi="Times New Roman"/>
          <w:sz w:val="24"/>
        </w:rPr>
        <w:t xml:space="preserve"> [1909] 2 KB 444 at 458, 477; </w:t>
      </w:r>
      <w:r w:rsidRPr="00B77657">
        <w:rPr>
          <w:rFonts w:ascii="Times New Roman" w:hAnsi="Times New Roman"/>
          <w:i/>
          <w:sz w:val="24"/>
        </w:rPr>
        <w:t>E Hulton &amp; Co v Jones</w:t>
      </w:r>
      <w:r w:rsidRPr="00B77657">
        <w:rPr>
          <w:rFonts w:ascii="Times New Roman" w:hAnsi="Times New Roman"/>
          <w:sz w:val="24"/>
        </w:rPr>
        <w:t xml:space="preserve"> [1910] AC 20 at 24.</w:t>
      </w:r>
    </w:p>
  </w:footnote>
  <w:footnote w:id="120">
    <w:p w14:paraId="613F9129"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Bromage v Prosser</w:t>
      </w:r>
      <w:r w:rsidRPr="00B77657">
        <w:rPr>
          <w:rFonts w:ascii="Times New Roman" w:hAnsi="Times New Roman"/>
          <w:sz w:val="24"/>
        </w:rPr>
        <w:t xml:space="preserve"> (1825) 4 B &amp; C 247 at 255 [107 ER 1051 at 1054].</w:t>
      </w:r>
    </w:p>
  </w:footnote>
  <w:footnote w:id="121">
    <w:p w14:paraId="5EB0BC11"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Fisher v Clement</w:t>
      </w:r>
      <w:r w:rsidRPr="00B77657">
        <w:rPr>
          <w:rFonts w:ascii="Times New Roman" w:hAnsi="Times New Roman"/>
          <w:sz w:val="24"/>
        </w:rPr>
        <w:t xml:space="preserve"> (1830) 10 B &amp; C 472 at 475 [109 ER 526 at 527]. See also </w:t>
      </w:r>
      <w:r w:rsidRPr="00B77657">
        <w:rPr>
          <w:rFonts w:ascii="Times New Roman" w:hAnsi="Times New Roman"/>
          <w:i/>
          <w:sz w:val="24"/>
        </w:rPr>
        <w:t>Haire v Wilson</w:t>
      </w:r>
      <w:r w:rsidRPr="00B77657">
        <w:rPr>
          <w:rFonts w:ascii="Times New Roman" w:hAnsi="Times New Roman"/>
          <w:sz w:val="24"/>
        </w:rPr>
        <w:t xml:space="preserve"> (1829) 9 B &amp; C 643 at 645 [109 ER 239 at 240].</w:t>
      </w:r>
    </w:p>
  </w:footnote>
  <w:footnote w:id="122">
    <w:p w14:paraId="3D2BC0C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Bullen and Leake's Precedents of Pleadings</w:t>
      </w:r>
      <w:r w:rsidRPr="00B77657">
        <w:rPr>
          <w:rFonts w:ascii="Times New Roman" w:hAnsi="Times New Roman"/>
          <w:sz w:val="24"/>
        </w:rPr>
        <w:t>, 4th ed, Pt II (1888) at 370-371, fn (b).</w:t>
      </w:r>
    </w:p>
  </w:footnote>
  <w:footnote w:id="123">
    <w:p w14:paraId="528F5BA6"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[1900] 2 QB 170 at 178.</w:t>
      </w:r>
    </w:p>
  </w:footnote>
  <w:footnote w:id="124">
    <w:p w14:paraId="60BBC279"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(1837) 2 M &amp; Rob 54 [174 ER 212].</w:t>
      </w:r>
    </w:p>
  </w:footnote>
  <w:footnote w:id="125">
    <w:p w14:paraId="1E208DA0"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[1900] 2 QB 170 at 179.</w:t>
      </w:r>
    </w:p>
  </w:footnote>
  <w:footnote w:id="126">
    <w:p w14:paraId="61E5FBA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(1837) 2 M &amp; Rob 54 at 56 [174 ER 212 at 212].</w:t>
      </w:r>
    </w:p>
  </w:footnote>
  <w:footnote w:id="127">
    <w:p w14:paraId="4EF42F4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Australian Consolidated Press Ltd v Uren</w:t>
      </w:r>
      <w:r w:rsidRPr="00B77657">
        <w:rPr>
          <w:rFonts w:ascii="Times New Roman" w:hAnsi="Times New Roman"/>
          <w:sz w:val="24"/>
        </w:rPr>
        <w:t xml:space="preserve"> (1966) 117 CLR 185 at 204.</w:t>
      </w:r>
    </w:p>
  </w:footnote>
  <w:footnote w:id="128">
    <w:p w14:paraId="08C68911"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Motel Holdings Ltd v The Bulletin Newspaper Co Pty Ltd</w:t>
      </w:r>
      <w:r w:rsidRPr="00B77657">
        <w:rPr>
          <w:rFonts w:ascii="Times New Roman" w:hAnsi="Times New Roman"/>
          <w:sz w:val="24"/>
        </w:rPr>
        <w:t xml:space="preserve"> [1963] SR (NSW) 208 at 212.</w:t>
      </w:r>
    </w:p>
  </w:footnote>
  <w:footnote w:id="129">
    <w:p w14:paraId="43851596"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eg, </w:t>
      </w:r>
      <w:r w:rsidRPr="00B77657">
        <w:rPr>
          <w:rFonts w:ascii="Times New Roman" w:hAnsi="Times New Roman"/>
          <w:i/>
          <w:sz w:val="24"/>
        </w:rPr>
        <w:t>Sun Life Assurance Co of Canada v W H Smith and Son Ltd</w:t>
      </w:r>
      <w:r w:rsidRPr="00B77657">
        <w:rPr>
          <w:rFonts w:ascii="Times New Roman" w:hAnsi="Times New Roman"/>
          <w:sz w:val="24"/>
        </w:rPr>
        <w:t xml:space="preserve"> (1933) 150 LT 211 at 214.</w:t>
      </w:r>
    </w:p>
  </w:footnote>
  <w:footnote w:id="130">
    <w:p w14:paraId="6399EF1C"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Defamation Law of Queensland 1889</w:t>
      </w:r>
      <w:r w:rsidRPr="00B77657">
        <w:rPr>
          <w:rFonts w:ascii="Times New Roman" w:hAnsi="Times New Roman"/>
          <w:sz w:val="24"/>
        </w:rPr>
        <w:t xml:space="preserve"> (Qld).</w:t>
      </w:r>
    </w:p>
  </w:footnote>
  <w:footnote w:id="131">
    <w:p w14:paraId="2376FA49"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Hall-Gibbs Mercantile Agency Ltd v Dun</w:t>
      </w:r>
      <w:r w:rsidRPr="00B77657">
        <w:rPr>
          <w:rFonts w:ascii="Times New Roman" w:hAnsi="Times New Roman"/>
          <w:sz w:val="24"/>
        </w:rPr>
        <w:t xml:space="preserve"> (1910) 12 CLR 84 at 90.</w:t>
      </w:r>
    </w:p>
  </w:footnote>
  <w:footnote w:id="132">
    <w:p w14:paraId="266C98B0"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(2013) 16 HKCFAR 366 at 381 [32].</w:t>
      </w:r>
    </w:p>
  </w:footnote>
  <w:footnote w:id="133">
    <w:p w14:paraId="2F2A6D6F"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This distinction is now reflected in the additional statutory defence of innocent dissemination: see eg, s 32(2) of the </w:t>
      </w:r>
      <w:r w:rsidRPr="00B77657">
        <w:rPr>
          <w:rFonts w:ascii="Times New Roman" w:hAnsi="Times New Roman"/>
          <w:i/>
          <w:sz w:val="24"/>
        </w:rPr>
        <w:t xml:space="preserve">Defamation Act 2005 </w:t>
      </w:r>
      <w:r w:rsidRPr="00B77657">
        <w:rPr>
          <w:rFonts w:ascii="Times New Roman" w:hAnsi="Times New Roman"/>
          <w:sz w:val="24"/>
        </w:rPr>
        <w:t>(NSW), definition of "subordinate distributor".</w:t>
      </w:r>
    </w:p>
  </w:footnote>
  <w:footnote w:id="134">
    <w:p w14:paraId="09B4F878"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Lee v Wilson &amp; Mackinnon</w:t>
      </w:r>
      <w:r w:rsidRPr="00B77657">
        <w:rPr>
          <w:rFonts w:ascii="Times New Roman" w:hAnsi="Times New Roman"/>
          <w:sz w:val="24"/>
        </w:rPr>
        <w:t xml:space="preserve"> (1934) 51 CLR 276 at 288.</w:t>
      </w:r>
    </w:p>
  </w:footnote>
  <w:footnote w:id="135">
    <w:p w14:paraId="7EACCF75"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Dow Jones &amp; Co Inc v Gutnick</w:t>
      </w:r>
      <w:r w:rsidRPr="00B77657">
        <w:rPr>
          <w:rFonts w:ascii="Times New Roman" w:hAnsi="Times New Roman"/>
          <w:sz w:val="24"/>
        </w:rPr>
        <w:t xml:space="preserve"> (2002) 210 CLR 575 at 600 [25].</w:t>
      </w:r>
    </w:p>
  </w:footnote>
  <w:footnote w:id="136">
    <w:p w14:paraId="469FC0B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Rolph, "Liability for the Publication of Third Party Comments: </w:t>
      </w:r>
      <w:r w:rsidRPr="00B77657">
        <w:rPr>
          <w:rFonts w:ascii="Times New Roman" w:hAnsi="Times New Roman"/>
          <w:i/>
          <w:sz w:val="24"/>
        </w:rPr>
        <w:t>Fairfax Media Publications Pty Ltd v Voller</w:t>
      </w:r>
      <w:r w:rsidRPr="00B77657">
        <w:rPr>
          <w:rFonts w:ascii="Times New Roman" w:hAnsi="Times New Roman"/>
          <w:sz w:val="24"/>
        </w:rPr>
        <w:t xml:space="preserve">" (2021) 43 </w:t>
      </w:r>
      <w:r w:rsidRPr="00B77657">
        <w:rPr>
          <w:rFonts w:ascii="Times New Roman" w:hAnsi="Times New Roman"/>
          <w:i/>
          <w:sz w:val="24"/>
        </w:rPr>
        <w:t>Sydney Law Review</w:t>
      </w:r>
      <w:r w:rsidRPr="00B77657">
        <w:rPr>
          <w:rFonts w:ascii="Times New Roman" w:hAnsi="Times New Roman"/>
          <w:sz w:val="24"/>
        </w:rPr>
        <w:t xml:space="preserve"> 225 at 239.</w:t>
      </w:r>
    </w:p>
  </w:footnote>
  <w:footnote w:id="137">
    <w:p w14:paraId="79B177E8"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Oriental Press Group Ltd v Fevaworks Solutions Ltd</w:t>
      </w:r>
      <w:r w:rsidRPr="00B77657">
        <w:rPr>
          <w:rFonts w:ascii="Times New Roman" w:hAnsi="Times New Roman"/>
          <w:sz w:val="24"/>
        </w:rPr>
        <w:t xml:space="preserve"> (2013) 16 HKCFAR 366 at 390 [59], quoting Balkin, paper prepared for the "Global Constitutionalism Seminar 2010", Yale Law School, adapted from Balkin, "Media Access: A Question of Design" (2008) 76 </w:t>
      </w:r>
      <w:r w:rsidRPr="00B77657">
        <w:rPr>
          <w:rFonts w:ascii="Times New Roman" w:hAnsi="Times New Roman"/>
          <w:i/>
          <w:sz w:val="24"/>
        </w:rPr>
        <w:t>George Washington Law Review</w:t>
      </w:r>
      <w:r w:rsidRPr="00B77657">
        <w:rPr>
          <w:rFonts w:ascii="Times New Roman" w:hAnsi="Times New Roman"/>
          <w:sz w:val="24"/>
        </w:rPr>
        <w:t xml:space="preserve"> 933.</w:t>
      </w:r>
    </w:p>
  </w:footnote>
  <w:footnote w:id="138">
    <w:p w14:paraId="28520568"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Webb v Bloch</w:t>
      </w:r>
      <w:r w:rsidRPr="00B77657">
        <w:rPr>
          <w:rFonts w:ascii="Times New Roman" w:hAnsi="Times New Roman"/>
          <w:sz w:val="24"/>
        </w:rPr>
        <w:t xml:space="preserve"> (1928) 41 CLR 331 at 364, quoting </w:t>
      </w:r>
      <w:r w:rsidRPr="00B77657">
        <w:rPr>
          <w:rFonts w:ascii="Times New Roman" w:hAnsi="Times New Roman"/>
          <w:i/>
          <w:sz w:val="24"/>
        </w:rPr>
        <w:t>R v Paine</w:t>
      </w:r>
      <w:r w:rsidRPr="00B77657">
        <w:rPr>
          <w:rFonts w:ascii="Times New Roman" w:hAnsi="Times New Roman"/>
          <w:sz w:val="24"/>
        </w:rPr>
        <w:t xml:space="preserve"> (1696) 5 Mod 163 at 167 [87 ER 584 at 587].</w:t>
      </w:r>
    </w:p>
  </w:footnote>
  <w:footnote w:id="139">
    <w:p w14:paraId="6DA61FA6"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Thompson v Australian Capital Television Pty Ltd</w:t>
      </w:r>
      <w:r w:rsidRPr="00B77657">
        <w:rPr>
          <w:rFonts w:ascii="Times New Roman" w:hAnsi="Times New Roman"/>
          <w:sz w:val="24"/>
        </w:rPr>
        <w:t xml:space="preserve"> (1996) 186 CLR 574 at 581.</w:t>
      </w:r>
    </w:p>
  </w:footnote>
  <w:footnote w:id="140">
    <w:p w14:paraId="19191E5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Webb v Bloch</w:t>
      </w:r>
      <w:r w:rsidRPr="00B77657">
        <w:rPr>
          <w:rFonts w:ascii="Times New Roman" w:hAnsi="Times New Roman"/>
          <w:sz w:val="24"/>
        </w:rPr>
        <w:t xml:space="preserve"> (1928) 41 CLR 331 at 363-364; </w:t>
      </w:r>
      <w:r w:rsidRPr="00B77657">
        <w:rPr>
          <w:rFonts w:ascii="Times New Roman" w:hAnsi="Times New Roman"/>
          <w:i/>
          <w:sz w:val="24"/>
        </w:rPr>
        <w:t>Trkulja v Google</w:t>
      </w:r>
      <w:r w:rsidRPr="00B77657">
        <w:rPr>
          <w:rFonts w:ascii="Times New Roman" w:hAnsi="Times New Roman"/>
          <w:sz w:val="24"/>
        </w:rPr>
        <w:t xml:space="preserve"> </w:t>
      </w:r>
      <w:r w:rsidRPr="00B77657">
        <w:rPr>
          <w:rFonts w:ascii="Times New Roman" w:hAnsi="Times New Roman"/>
          <w:i/>
          <w:sz w:val="24"/>
        </w:rPr>
        <w:t xml:space="preserve">LLC </w:t>
      </w:r>
      <w:r w:rsidRPr="00B77657">
        <w:rPr>
          <w:rFonts w:ascii="Times New Roman" w:hAnsi="Times New Roman"/>
          <w:sz w:val="24"/>
        </w:rPr>
        <w:t>(2018) 263 CLR 149 at 164 [40].</w:t>
      </w:r>
    </w:p>
  </w:footnote>
  <w:footnote w:id="141">
    <w:p w14:paraId="73ADACF8"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cf </w:t>
      </w:r>
      <w:r w:rsidRPr="00B77657">
        <w:rPr>
          <w:rFonts w:ascii="Times New Roman" w:hAnsi="Times New Roman"/>
          <w:i/>
          <w:sz w:val="24"/>
        </w:rPr>
        <w:t>Credit Lyonnais Bank Nederland NV</w:t>
      </w:r>
      <w:r w:rsidRPr="00B77657">
        <w:rPr>
          <w:rFonts w:ascii="Times New Roman" w:hAnsi="Times New Roman"/>
          <w:sz w:val="24"/>
        </w:rPr>
        <w:t xml:space="preserve"> </w:t>
      </w:r>
      <w:r w:rsidRPr="00B77657">
        <w:rPr>
          <w:rFonts w:ascii="Times New Roman" w:hAnsi="Times New Roman"/>
          <w:i/>
          <w:sz w:val="24"/>
        </w:rPr>
        <w:t>(now Generale Bank Nederland NV) v Export Credit Guarantee Department</w:t>
      </w:r>
      <w:r w:rsidRPr="00B77657">
        <w:rPr>
          <w:rFonts w:ascii="Times New Roman" w:hAnsi="Times New Roman"/>
          <w:sz w:val="24"/>
        </w:rPr>
        <w:t xml:space="preserve"> [1998] 1 Lloyd's Rep 19 at 45-46, quoting </w:t>
      </w:r>
      <w:r w:rsidRPr="00B77657">
        <w:rPr>
          <w:rFonts w:ascii="Times New Roman" w:hAnsi="Times New Roman"/>
          <w:i/>
          <w:sz w:val="24"/>
        </w:rPr>
        <w:t>The Koursk</w:t>
      </w:r>
      <w:r w:rsidRPr="00B77657">
        <w:rPr>
          <w:rFonts w:ascii="Times New Roman" w:hAnsi="Times New Roman"/>
          <w:sz w:val="24"/>
        </w:rPr>
        <w:t xml:space="preserve"> [1924] P 140 at 156. See also </w:t>
      </w:r>
      <w:r w:rsidRPr="00B77657">
        <w:rPr>
          <w:rFonts w:ascii="Times New Roman" w:hAnsi="Times New Roman"/>
          <w:i/>
          <w:sz w:val="24"/>
        </w:rPr>
        <w:t>IL v The Queen</w:t>
      </w:r>
      <w:r w:rsidRPr="00B77657">
        <w:rPr>
          <w:rFonts w:ascii="Times New Roman" w:hAnsi="Times New Roman"/>
          <w:sz w:val="24"/>
        </w:rPr>
        <w:t xml:space="preserve"> (2017) 262 CLR 268 at 282 [29].</w:t>
      </w:r>
    </w:p>
  </w:footnote>
  <w:footnote w:id="142">
    <w:p w14:paraId="68D19D3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Lee v Wilson &amp; Mackinnon</w:t>
      </w:r>
      <w:r w:rsidRPr="00B77657">
        <w:rPr>
          <w:rFonts w:ascii="Times New Roman" w:hAnsi="Times New Roman"/>
          <w:sz w:val="24"/>
        </w:rPr>
        <w:t xml:space="preserve"> (1934) 51 CLR 276 at 288.</w:t>
      </w:r>
    </w:p>
  </w:footnote>
  <w:footnote w:id="143">
    <w:p w14:paraId="4C89B314"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cl 91 of Sch 5 to the </w:t>
      </w:r>
      <w:r w:rsidRPr="00B77657">
        <w:rPr>
          <w:rFonts w:ascii="Times New Roman" w:hAnsi="Times New Roman"/>
          <w:i/>
          <w:sz w:val="24"/>
        </w:rPr>
        <w:t>Broadcasting Services Act</w:t>
      </w:r>
      <w:r w:rsidRPr="00B77657">
        <w:rPr>
          <w:rFonts w:ascii="Times New Roman" w:hAnsi="Times New Roman"/>
          <w:sz w:val="24"/>
        </w:rPr>
        <w:t>.</w:t>
      </w:r>
    </w:p>
  </w:footnote>
  <w:footnote w:id="144">
    <w:p w14:paraId="59A7ED84"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See s 49 of the </w:t>
      </w:r>
      <w:r w:rsidRPr="00B77657">
        <w:rPr>
          <w:rFonts w:ascii="Times New Roman" w:hAnsi="Times New Roman"/>
          <w:i/>
          <w:sz w:val="24"/>
        </w:rPr>
        <w:t xml:space="preserve">Defamation Act 2005 </w:t>
      </w:r>
      <w:r w:rsidRPr="00B77657">
        <w:rPr>
          <w:rFonts w:ascii="Times New Roman" w:hAnsi="Times New Roman"/>
          <w:sz w:val="24"/>
        </w:rPr>
        <w:t>(NSW).</w:t>
      </w:r>
    </w:p>
  </w:footnote>
  <w:footnote w:id="145">
    <w:p w14:paraId="1A4FC655"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[2011] 3 SCR 269 at 281-283 [16]-[20].</w:t>
      </w:r>
    </w:p>
  </w:footnote>
  <w:footnote w:id="146">
    <w:p w14:paraId="01787B82"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(2013) 16 HKCFAR 366 at 376-382 [16]-[33].</w:t>
      </w:r>
    </w:p>
  </w:footnote>
  <w:footnote w:id="147">
    <w:p w14:paraId="0626C86D"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(2016) 258 CLR 525 at 540 [10].</w:t>
      </w:r>
    </w:p>
  </w:footnote>
  <w:footnote w:id="148">
    <w:p w14:paraId="18E3B8CB"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[2013] 1 WLR 2151.</w:t>
      </w:r>
    </w:p>
  </w:footnote>
  <w:footnote w:id="149">
    <w:p w14:paraId="733515BF"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(2013) 16 HKCFAR 366 at 388 [53].</w:t>
      </w:r>
    </w:p>
  </w:footnote>
  <w:footnote w:id="150">
    <w:p w14:paraId="569044B1"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[2018] EWHC 3525 (QB) at [135] (emphasis in original). </w:t>
      </w:r>
    </w:p>
  </w:footnote>
  <w:footnote w:id="151">
    <w:p w14:paraId="77A8138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[2007] 1 WLR 1243 at 1249 [22]-[23]; [2006] 3 All ER 336 at 342.</w:t>
      </w:r>
    </w:p>
  </w:footnote>
  <w:footnote w:id="152">
    <w:p w14:paraId="06027BC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[2014] 3 NZLR 722 at 752 [144], 754 [155].</w:t>
      </w:r>
    </w:p>
  </w:footnote>
  <w:footnote w:id="153">
    <w:p w14:paraId="2853A22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[2014] 3 NZLR 722 at 745 [99].</w:t>
      </w:r>
    </w:p>
  </w:footnote>
  <w:footnote w:id="154">
    <w:p w14:paraId="2B80FE6D"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[2014] 3 NZLR 722 at 740 [81]-[82].</w:t>
      </w:r>
    </w:p>
  </w:footnote>
  <w:footnote w:id="155">
    <w:p w14:paraId="0EAD54EC"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[2014] 3 NZLR 722 at 752 [144]. </w:t>
      </w:r>
    </w:p>
  </w:footnote>
  <w:footnote w:id="156">
    <w:p w14:paraId="2A9F937D"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[2011] 3 SCR 269 at 281-283 [16]-[20].</w:t>
      </w:r>
    </w:p>
  </w:footnote>
  <w:footnote w:id="157">
    <w:p w14:paraId="46E9ED43"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[2011] 3 SCR 269 at 289 [36].</w:t>
      </w:r>
    </w:p>
  </w:footnote>
  <w:footnote w:id="158">
    <w:p w14:paraId="17400EC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(2013) 16 HKCFAR 366 at 399 [89].</w:t>
      </w:r>
    </w:p>
  </w:footnote>
  <w:footnote w:id="159">
    <w:p w14:paraId="0F8420FF"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Voller v Nationwide News Pty Ltd</w:t>
      </w:r>
      <w:r w:rsidRPr="00B77657">
        <w:rPr>
          <w:rFonts w:ascii="Times New Roman" w:hAnsi="Times New Roman"/>
          <w:sz w:val="24"/>
        </w:rPr>
        <w:t xml:space="preserve"> [2019] NSWSC 766 at [64]. </w:t>
      </w:r>
    </w:p>
  </w:footnote>
  <w:footnote w:id="160">
    <w:p w14:paraId="5AF2804C"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Voller v Nationwide News Pty Ltd</w:t>
      </w:r>
      <w:r w:rsidRPr="00B77657">
        <w:rPr>
          <w:rFonts w:ascii="Times New Roman" w:hAnsi="Times New Roman"/>
          <w:sz w:val="24"/>
        </w:rPr>
        <w:t xml:space="preserve"> [2019] NSWSC 766 at [209].</w:t>
      </w:r>
    </w:p>
  </w:footnote>
  <w:footnote w:id="161">
    <w:p w14:paraId="2430BD2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Voller v Nationwide News Pty Ltd</w:t>
      </w:r>
      <w:r w:rsidRPr="00B77657">
        <w:rPr>
          <w:rFonts w:ascii="Times New Roman" w:hAnsi="Times New Roman"/>
          <w:sz w:val="24"/>
        </w:rPr>
        <w:t xml:space="preserve"> [2019] NSWSC 766 at [224].</w:t>
      </w:r>
    </w:p>
  </w:footnote>
  <w:footnote w:id="162">
    <w:p w14:paraId="7CD536F7"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Voller v Nationwide News Pty Ltd</w:t>
      </w:r>
      <w:r w:rsidRPr="00B77657">
        <w:rPr>
          <w:rFonts w:ascii="Times New Roman" w:hAnsi="Times New Roman"/>
          <w:sz w:val="24"/>
        </w:rPr>
        <w:t xml:space="preserve"> [2019] NSWSC 766 at [90(xvii)].</w:t>
      </w:r>
    </w:p>
  </w:footnote>
  <w:footnote w:id="163">
    <w:p w14:paraId="1AAA8B9B"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[1937] 1 KB 818.</w:t>
      </w:r>
    </w:p>
  </w:footnote>
  <w:footnote w:id="164">
    <w:p w14:paraId="1BBA861D"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(1991) Aust Torts Reports ¶81-127.</w:t>
      </w:r>
    </w:p>
  </w:footnote>
  <w:footnote w:id="165">
    <w:p w14:paraId="5DB7C0FA"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r>
      <w:r w:rsidRPr="00B77657">
        <w:rPr>
          <w:rFonts w:ascii="Times New Roman" w:hAnsi="Times New Roman"/>
          <w:i/>
          <w:sz w:val="24"/>
        </w:rPr>
        <w:t>Urbanchich v Drummoyne Municipal Council</w:t>
      </w:r>
      <w:r w:rsidRPr="00B77657">
        <w:rPr>
          <w:rFonts w:ascii="Times New Roman" w:hAnsi="Times New Roman"/>
          <w:sz w:val="24"/>
        </w:rPr>
        <w:t xml:space="preserve"> (1991) Aust Torts Reports ¶81-127 at 69,193.</w:t>
      </w:r>
    </w:p>
  </w:footnote>
  <w:footnote w:id="166">
    <w:p w14:paraId="6D732ABB"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(1996) 186 CLR 574 at 590.</w:t>
      </w:r>
    </w:p>
  </w:footnote>
  <w:footnote w:id="167">
    <w:p w14:paraId="763B480F" w14:textId="77777777" w:rsidR="009F562D" w:rsidRPr="00B77657" w:rsidRDefault="009F562D" w:rsidP="00B77657">
      <w:pPr>
        <w:pStyle w:val="FootnoteText"/>
        <w:spacing w:line="280" w:lineRule="exact"/>
        <w:ind w:right="0"/>
        <w:jc w:val="both"/>
        <w:rPr>
          <w:rFonts w:ascii="Times New Roman" w:hAnsi="Times New Roman"/>
          <w:sz w:val="24"/>
        </w:rPr>
      </w:pPr>
      <w:r w:rsidRPr="00B77657">
        <w:rPr>
          <w:rStyle w:val="FootnoteReference"/>
          <w:rFonts w:ascii="Times New Roman" w:hAnsi="Times New Roman"/>
          <w:sz w:val="22"/>
          <w:vertAlign w:val="baseline"/>
        </w:rPr>
        <w:footnoteRef/>
      </w:r>
      <w:r w:rsidRPr="00B77657">
        <w:rPr>
          <w:rFonts w:ascii="Times New Roman" w:hAnsi="Times New Roman"/>
          <w:sz w:val="24"/>
        </w:rPr>
        <w:t xml:space="preserve"> </w:t>
      </w:r>
      <w:r w:rsidRPr="00B77657">
        <w:rPr>
          <w:rFonts w:ascii="Times New Roman" w:hAnsi="Times New Roman"/>
          <w:sz w:val="24"/>
        </w:rPr>
        <w:tab/>
        <w:t xml:space="preserve">(1996) 186 CLR 574 at 590, quoting </w:t>
      </w:r>
      <w:r w:rsidRPr="00B77657">
        <w:rPr>
          <w:rFonts w:ascii="Times New Roman" w:hAnsi="Times New Roman"/>
          <w:i/>
          <w:sz w:val="24"/>
        </w:rPr>
        <w:t>Thompson v Australian Capital Television Pty Ltd</w:t>
      </w:r>
      <w:r w:rsidRPr="00B77657">
        <w:rPr>
          <w:rFonts w:ascii="Times New Roman" w:hAnsi="Times New Roman"/>
          <w:sz w:val="24"/>
        </w:rPr>
        <w:t xml:space="preserve"> (1994) 54 FCR 513 at 520.</w:t>
      </w:r>
    </w:p>
  </w:footnote>
  <w:footnote w:id="168">
    <w:p w14:paraId="62E41E93"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sz w:val="24"/>
        </w:rPr>
        <w:t>Fairfax Media Publications Pty Ltd v Voller</w:t>
      </w:r>
      <w:r w:rsidRPr="000D0631">
        <w:rPr>
          <w:rFonts w:ascii="Times New Roman" w:hAnsi="Times New Roman"/>
          <w:sz w:val="24"/>
        </w:rPr>
        <w:t xml:space="preserve"> (2020) 380 ALR 700 at 719 [85].</w:t>
      </w:r>
    </w:p>
  </w:footnote>
  <w:footnote w:id="169">
    <w:p w14:paraId="6475CB36"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Lee v Wilson &amp; Mackinnon </w:t>
      </w:r>
      <w:r w:rsidRPr="000D0631">
        <w:rPr>
          <w:rFonts w:ascii="Times New Roman" w:hAnsi="Times New Roman"/>
          <w:sz w:val="24"/>
        </w:rPr>
        <w:t>(1934) 51 CLR 276 at 288.</w:t>
      </w:r>
    </w:p>
  </w:footnote>
  <w:footnote w:id="170">
    <w:p w14:paraId="1601C058"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Lee v Wilson &amp; Mackinnon </w:t>
      </w:r>
      <w:r w:rsidRPr="000D0631">
        <w:rPr>
          <w:rFonts w:ascii="Times New Roman" w:hAnsi="Times New Roman"/>
          <w:sz w:val="24"/>
        </w:rPr>
        <w:t>(1934) 51 CLR 276 at 288.</w:t>
      </w:r>
    </w:p>
  </w:footnote>
  <w:footnote w:id="171">
    <w:p w14:paraId="5C3CAEC2"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Pullman v Hill &amp; Co </w:t>
      </w:r>
      <w:r w:rsidRPr="000D0631">
        <w:rPr>
          <w:rFonts w:ascii="Times New Roman" w:hAnsi="Times New Roman"/>
          <w:sz w:val="24"/>
        </w:rPr>
        <w:t>[1891] 1 QB 524 at 527.</w:t>
      </w:r>
    </w:p>
  </w:footnote>
  <w:footnote w:id="172">
    <w:p w14:paraId="1F092A8F"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Lee v Wilson &amp; Mackinnon </w:t>
      </w:r>
      <w:r w:rsidRPr="000D0631">
        <w:rPr>
          <w:rFonts w:ascii="Times New Roman" w:hAnsi="Times New Roman"/>
          <w:sz w:val="24"/>
        </w:rPr>
        <w:t>(1934) 51 CLR 276 at 288.</w:t>
      </w:r>
    </w:p>
  </w:footnote>
  <w:footnote w:id="173">
    <w:p w14:paraId="3DB280DF"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[2011] 3 SCR 269 at 285 [26] (emphasis in original).</w:t>
      </w:r>
    </w:p>
  </w:footnote>
  <w:footnote w:id="174">
    <w:p w14:paraId="0406CB73"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R v Topham </w:t>
      </w:r>
      <w:r w:rsidRPr="000D0631">
        <w:rPr>
          <w:rFonts w:ascii="Times New Roman" w:hAnsi="Times New Roman"/>
          <w:sz w:val="24"/>
        </w:rPr>
        <w:t>(1791) 4 TR 126 at 127-128 [100 ER 931 at 932].</w:t>
      </w:r>
    </w:p>
  </w:footnote>
  <w:footnote w:id="175">
    <w:p w14:paraId="13B7A57D"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Anderson v New York Telephone Co </w:t>
      </w:r>
      <w:r w:rsidRPr="000D0631">
        <w:rPr>
          <w:rFonts w:ascii="Times New Roman" w:hAnsi="Times New Roman"/>
          <w:sz w:val="24"/>
        </w:rPr>
        <w:t xml:space="preserve">(1974) 35 NY 2d 746 at 750; </w:t>
      </w:r>
      <w:r w:rsidRPr="000D0631">
        <w:rPr>
          <w:rFonts w:ascii="Times New Roman" w:hAnsi="Times New Roman"/>
          <w:i/>
          <w:iCs/>
          <w:sz w:val="24"/>
        </w:rPr>
        <w:t xml:space="preserve">Bunt v Tilley </w:t>
      </w:r>
      <w:r w:rsidRPr="000D0631">
        <w:rPr>
          <w:rFonts w:ascii="Times New Roman" w:hAnsi="Times New Roman"/>
          <w:sz w:val="24"/>
        </w:rPr>
        <w:t>[2007] 1 WLR 1243 at 1252 [36]</w:t>
      </w:r>
      <w:r w:rsidRPr="000D0631">
        <w:rPr>
          <w:rFonts w:ascii="Times New Roman" w:hAnsi="Times New Roman"/>
          <w:sz w:val="24"/>
        </w:rPr>
        <w:noBreakHyphen/>
        <w:t xml:space="preserve">[37]; [2006] 3 All ER 336 at 345; </w:t>
      </w:r>
      <w:r w:rsidRPr="000D0631">
        <w:rPr>
          <w:rFonts w:ascii="Times New Roman" w:hAnsi="Times New Roman"/>
          <w:i/>
          <w:iCs/>
          <w:sz w:val="24"/>
        </w:rPr>
        <w:t xml:space="preserve">Crookes v Newton </w:t>
      </w:r>
      <w:r w:rsidRPr="000D0631">
        <w:rPr>
          <w:rFonts w:ascii="Times New Roman" w:hAnsi="Times New Roman"/>
          <w:sz w:val="24"/>
        </w:rPr>
        <w:t>[2011] 3 SCR 269 at 310 [89].</w:t>
      </w:r>
    </w:p>
  </w:footnote>
  <w:footnote w:id="176">
    <w:p w14:paraId="0754746C"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McLeod v St Aubyn </w:t>
      </w:r>
      <w:r w:rsidRPr="000D0631">
        <w:rPr>
          <w:rFonts w:ascii="Times New Roman" w:hAnsi="Times New Roman"/>
          <w:sz w:val="24"/>
        </w:rPr>
        <w:t>[1899] AC 549 at 562.</w:t>
      </w:r>
    </w:p>
  </w:footnote>
  <w:footnote w:id="177">
    <w:p w14:paraId="4E02F5B3"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Australian Broadcasting Corporation v Comalco Ltd </w:t>
      </w:r>
      <w:r w:rsidRPr="000D0631">
        <w:rPr>
          <w:rFonts w:ascii="Times New Roman" w:hAnsi="Times New Roman"/>
          <w:sz w:val="24"/>
        </w:rPr>
        <w:t>(1986) 12 FCR 510 at 521.</w:t>
      </w:r>
    </w:p>
  </w:footnote>
  <w:footnote w:id="178">
    <w:p w14:paraId="6298C325"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Buck v Jones </w:t>
      </w:r>
      <w:r w:rsidRPr="000D0631">
        <w:rPr>
          <w:rFonts w:ascii="Times New Roman" w:hAnsi="Times New Roman"/>
          <w:sz w:val="24"/>
        </w:rPr>
        <w:t>[2002] NSWCA 8 at [60].</w:t>
      </w:r>
    </w:p>
  </w:footnote>
  <w:footnote w:id="179">
    <w:p w14:paraId="19834A98"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Stevens, </w:t>
      </w:r>
      <w:r w:rsidRPr="000D0631">
        <w:rPr>
          <w:rFonts w:ascii="Times New Roman" w:hAnsi="Times New Roman"/>
          <w:i/>
          <w:iCs/>
          <w:sz w:val="24"/>
        </w:rPr>
        <w:t>Torts and Rights</w:t>
      </w:r>
      <w:r w:rsidRPr="000D0631">
        <w:rPr>
          <w:rFonts w:ascii="Times New Roman" w:hAnsi="Times New Roman"/>
          <w:sz w:val="24"/>
        </w:rPr>
        <w:t xml:space="preserve"> (2007) at 101.</w:t>
      </w:r>
    </w:p>
  </w:footnote>
  <w:footnote w:id="180">
    <w:p w14:paraId="5CD16F20"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Mitchell, </w:t>
      </w:r>
      <w:r w:rsidRPr="000D0631">
        <w:rPr>
          <w:rFonts w:ascii="Times New Roman" w:hAnsi="Times New Roman"/>
          <w:i/>
          <w:iCs/>
          <w:sz w:val="24"/>
        </w:rPr>
        <w:t xml:space="preserve">The Making of the Modern Law of Defamation </w:t>
      </w:r>
      <w:r w:rsidRPr="000D0631">
        <w:rPr>
          <w:rFonts w:ascii="Times New Roman" w:hAnsi="Times New Roman"/>
          <w:sz w:val="24"/>
        </w:rPr>
        <w:t xml:space="preserve">(2005) at 101-102, citing Starkie, </w:t>
      </w:r>
      <w:r w:rsidRPr="000D0631">
        <w:rPr>
          <w:rFonts w:ascii="Times New Roman" w:hAnsi="Times New Roman"/>
          <w:i/>
          <w:sz w:val="24"/>
        </w:rPr>
        <w:t xml:space="preserve">A Treatise on the </w:t>
      </w:r>
      <w:r w:rsidRPr="000D0631">
        <w:rPr>
          <w:rFonts w:ascii="Times New Roman" w:hAnsi="Times New Roman"/>
          <w:i/>
          <w:iCs/>
          <w:sz w:val="24"/>
        </w:rPr>
        <w:t xml:space="preserve">Law of Slander, Libel, Scandalum Magnatum, and False Rumours </w:t>
      </w:r>
      <w:r w:rsidRPr="000D0631">
        <w:rPr>
          <w:rFonts w:ascii="Times New Roman" w:hAnsi="Times New Roman"/>
          <w:sz w:val="24"/>
        </w:rPr>
        <w:t xml:space="preserve">(1813); </w:t>
      </w:r>
      <w:r w:rsidRPr="000D0631">
        <w:rPr>
          <w:rFonts w:ascii="Times New Roman" w:hAnsi="Times New Roman"/>
          <w:i/>
          <w:iCs/>
          <w:sz w:val="24"/>
        </w:rPr>
        <w:t xml:space="preserve">Vanspike v Cleyson </w:t>
      </w:r>
      <w:r w:rsidRPr="000D0631">
        <w:rPr>
          <w:rFonts w:ascii="Times New Roman" w:hAnsi="Times New Roman"/>
          <w:sz w:val="24"/>
        </w:rPr>
        <w:t xml:space="preserve">(1597) Cro Eliz 541 [78 ER 788]; </w:t>
      </w:r>
      <w:r w:rsidRPr="000D0631">
        <w:rPr>
          <w:rFonts w:ascii="Times New Roman" w:hAnsi="Times New Roman"/>
          <w:i/>
          <w:iCs/>
          <w:sz w:val="24"/>
        </w:rPr>
        <w:t xml:space="preserve">Crawford v Middleton </w:t>
      </w:r>
      <w:r w:rsidRPr="000D0631">
        <w:rPr>
          <w:rFonts w:ascii="Times New Roman" w:hAnsi="Times New Roman"/>
          <w:sz w:val="24"/>
        </w:rPr>
        <w:t xml:space="preserve">(1662) 1 Lev 82 [83 ER 308]; </w:t>
      </w:r>
      <w:r w:rsidRPr="000D0631">
        <w:rPr>
          <w:rFonts w:ascii="Times New Roman" w:hAnsi="Times New Roman"/>
          <w:i/>
          <w:iCs/>
          <w:sz w:val="24"/>
        </w:rPr>
        <w:t xml:space="preserve">Wilson v Stephenson </w:t>
      </w:r>
      <w:r w:rsidRPr="000D0631">
        <w:rPr>
          <w:rFonts w:ascii="Times New Roman" w:hAnsi="Times New Roman"/>
          <w:sz w:val="24"/>
        </w:rPr>
        <w:t xml:space="preserve">(1816) 2 Price 282 [146 ER 97]; </w:t>
      </w:r>
      <w:r w:rsidRPr="000D0631">
        <w:rPr>
          <w:rFonts w:ascii="Times New Roman" w:hAnsi="Times New Roman"/>
          <w:i/>
          <w:iCs/>
          <w:sz w:val="24"/>
        </w:rPr>
        <w:t xml:space="preserve">Bromage v Prosser </w:t>
      </w:r>
      <w:r w:rsidRPr="000D0631">
        <w:rPr>
          <w:rFonts w:ascii="Times New Roman" w:hAnsi="Times New Roman"/>
          <w:sz w:val="24"/>
        </w:rPr>
        <w:t>(1824) 1 Car &amp; P 475 [171 ER 1280].</w:t>
      </w:r>
    </w:p>
  </w:footnote>
  <w:footnote w:id="181">
    <w:p w14:paraId="69A10A85"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Bromage v Prosser </w:t>
      </w:r>
      <w:r w:rsidRPr="000D0631">
        <w:rPr>
          <w:rFonts w:ascii="Times New Roman" w:hAnsi="Times New Roman"/>
          <w:sz w:val="24"/>
        </w:rPr>
        <w:t>(1825) 4 B &amp; C 247 at 255 [107 ER 1051 at 1054].</w:t>
      </w:r>
    </w:p>
  </w:footnote>
  <w:footnote w:id="182">
    <w:p w14:paraId="621D7FBC"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Holdsworth, "A Chapter of Accidents in the Law of Libel" (1941) 57 </w:t>
      </w:r>
      <w:r w:rsidRPr="000D0631">
        <w:rPr>
          <w:rFonts w:ascii="Times New Roman" w:hAnsi="Times New Roman"/>
          <w:i/>
          <w:iCs/>
          <w:sz w:val="24"/>
        </w:rPr>
        <w:t xml:space="preserve">Law Quarterly Review </w:t>
      </w:r>
      <w:r w:rsidRPr="000D0631">
        <w:rPr>
          <w:rFonts w:ascii="Times New Roman" w:hAnsi="Times New Roman"/>
          <w:sz w:val="24"/>
        </w:rPr>
        <w:t>74.</w:t>
      </w:r>
    </w:p>
  </w:footnote>
  <w:footnote w:id="183">
    <w:p w14:paraId="20BA2CF6"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See Chitty,</w:t>
      </w:r>
      <w:r w:rsidRPr="000D0631">
        <w:rPr>
          <w:rFonts w:ascii="Times New Roman" w:hAnsi="Times New Roman"/>
          <w:i/>
          <w:iCs/>
          <w:sz w:val="24"/>
        </w:rPr>
        <w:t xml:space="preserve"> A Practical Treatise on Pleading: and on the Parties to Actions, and the Forms of Actions</w:t>
      </w:r>
      <w:r w:rsidRPr="000D0631">
        <w:rPr>
          <w:rFonts w:ascii="Times New Roman" w:hAnsi="Times New Roman"/>
          <w:sz w:val="24"/>
        </w:rPr>
        <w:t xml:space="preserve"> (1809), vol 1 at 487</w:t>
      </w:r>
      <w:r w:rsidRPr="000D0631">
        <w:rPr>
          <w:rFonts w:ascii="Times New Roman" w:hAnsi="Times New Roman"/>
          <w:sz w:val="24"/>
        </w:rPr>
        <w:noBreakHyphen/>
        <w:t xml:space="preserve">488. See also, generally, </w:t>
      </w:r>
      <w:r w:rsidRPr="000D0631">
        <w:rPr>
          <w:rFonts w:ascii="Times New Roman" w:hAnsi="Times New Roman"/>
          <w:i/>
          <w:iCs/>
          <w:sz w:val="24"/>
        </w:rPr>
        <w:t xml:space="preserve">Taverner v Little </w:t>
      </w:r>
      <w:r w:rsidRPr="000D0631">
        <w:rPr>
          <w:rFonts w:ascii="Times New Roman" w:hAnsi="Times New Roman"/>
          <w:sz w:val="24"/>
        </w:rPr>
        <w:t>(1839) 5 Bing (NC) 678 at 684</w:t>
      </w:r>
      <w:r w:rsidRPr="000D0631">
        <w:rPr>
          <w:rFonts w:ascii="Times New Roman" w:hAnsi="Times New Roman"/>
          <w:sz w:val="24"/>
        </w:rPr>
        <w:noBreakHyphen/>
        <w:t>686 [132 ER 1261 at 1264].</w:t>
      </w:r>
    </w:p>
  </w:footnote>
  <w:footnote w:id="184">
    <w:p w14:paraId="215B8ECB"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See Goudkamp, </w:t>
      </w:r>
      <w:r w:rsidRPr="000D0631">
        <w:rPr>
          <w:rFonts w:ascii="Times New Roman" w:hAnsi="Times New Roman"/>
          <w:i/>
          <w:iCs/>
          <w:sz w:val="24"/>
        </w:rPr>
        <w:t xml:space="preserve">Tort Law Defences </w:t>
      </w:r>
      <w:r w:rsidRPr="000D0631">
        <w:rPr>
          <w:rFonts w:ascii="Times New Roman" w:hAnsi="Times New Roman"/>
          <w:sz w:val="24"/>
        </w:rPr>
        <w:t xml:space="preserve">(2013) at 2, 7, 112. See also </w:t>
      </w:r>
      <w:r w:rsidRPr="000D0631">
        <w:rPr>
          <w:rFonts w:ascii="Times New Roman" w:hAnsi="Times New Roman"/>
          <w:i/>
          <w:iCs/>
          <w:sz w:val="24"/>
        </w:rPr>
        <w:t>Goldsbrough v John Fairfax &amp; Sons Ltd</w:t>
      </w:r>
      <w:r w:rsidRPr="000D0631">
        <w:rPr>
          <w:rFonts w:ascii="Times New Roman" w:hAnsi="Times New Roman"/>
          <w:sz w:val="24"/>
        </w:rPr>
        <w:t xml:space="preserve"> (1934) 34 SR (NSW) 524 at 531; Ibbetson, "Pleading Defences in Tort: The Historical Perspective", in Dyson, Goudkamp and Wilmot</w:t>
      </w:r>
      <w:r w:rsidRPr="000D0631">
        <w:rPr>
          <w:rFonts w:ascii="Times New Roman" w:hAnsi="Times New Roman"/>
          <w:sz w:val="24"/>
        </w:rPr>
        <w:noBreakHyphen/>
        <w:t xml:space="preserve">Smith (eds), </w:t>
      </w:r>
      <w:r w:rsidRPr="000D0631">
        <w:rPr>
          <w:rFonts w:ascii="Times New Roman" w:hAnsi="Times New Roman"/>
          <w:i/>
          <w:iCs/>
          <w:sz w:val="24"/>
        </w:rPr>
        <w:t xml:space="preserve">Defences in Tort </w:t>
      </w:r>
      <w:r w:rsidRPr="000D0631">
        <w:rPr>
          <w:rFonts w:ascii="Times New Roman" w:hAnsi="Times New Roman"/>
          <w:sz w:val="24"/>
        </w:rPr>
        <w:t>(2015) 25 at 29</w:t>
      </w:r>
      <w:r w:rsidRPr="000D0631">
        <w:rPr>
          <w:rFonts w:ascii="Times New Roman" w:hAnsi="Times New Roman"/>
          <w:sz w:val="24"/>
        </w:rPr>
        <w:noBreakHyphen/>
        <w:t>30.</w:t>
      </w:r>
    </w:p>
  </w:footnote>
  <w:footnote w:id="185">
    <w:p w14:paraId="5081C8C7"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(1885) 16 QBD 354.</w:t>
      </w:r>
    </w:p>
  </w:footnote>
  <w:footnote w:id="186">
    <w:p w14:paraId="1E005BA1"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(1885) 16 QBD 354 at 357-358.</w:t>
      </w:r>
    </w:p>
  </w:footnote>
  <w:footnote w:id="187">
    <w:p w14:paraId="0EC7E118"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(1885) 16 QBD 354 at 358.</w:t>
      </w:r>
    </w:p>
  </w:footnote>
  <w:footnote w:id="188">
    <w:p w14:paraId="251312A3"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(1885) 16 QBD 354 at 357.</w:t>
      </w:r>
    </w:p>
  </w:footnote>
  <w:footnote w:id="189">
    <w:p w14:paraId="67BEC48A"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(1885) 16 QBD 354 at 357.</w:t>
      </w:r>
    </w:p>
  </w:footnote>
  <w:footnote w:id="190">
    <w:p w14:paraId="1C86CD5C"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[1900] 2 QB 170.</w:t>
      </w:r>
    </w:p>
  </w:footnote>
  <w:footnote w:id="191">
    <w:p w14:paraId="7A80F31F"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[1900] 2 QB 170 at 177.</w:t>
      </w:r>
    </w:p>
  </w:footnote>
  <w:footnote w:id="192">
    <w:p w14:paraId="3FFBEF03"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[1900] 2 QB 170 at 178.</w:t>
      </w:r>
    </w:p>
  </w:footnote>
  <w:footnote w:id="193">
    <w:p w14:paraId="3F0D1E95"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[1900] 2 QB 170 at 179.</w:t>
      </w:r>
    </w:p>
  </w:footnote>
  <w:footnote w:id="194">
    <w:p w14:paraId="755B0175"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[1900] 2 QB 170 at 179.</w:t>
      </w:r>
    </w:p>
  </w:footnote>
  <w:footnote w:id="195">
    <w:p w14:paraId="3F53E2B6"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O'Sullivan and Brown, </w:t>
      </w:r>
      <w:r w:rsidRPr="000D0631">
        <w:rPr>
          <w:rFonts w:ascii="Times New Roman" w:hAnsi="Times New Roman"/>
          <w:i/>
          <w:sz w:val="24"/>
        </w:rPr>
        <w:t>The Law of Defamation</w:t>
      </w:r>
      <w:r w:rsidRPr="000D0631">
        <w:rPr>
          <w:rFonts w:ascii="Times New Roman" w:hAnsi="Times New Roman"/>
          <w:sz w:val="24"/>
        </w:rPr>
        <w:t xml:space="preserve"> (1958) at 39, fn 9.</w:t>
      </w:r>
    </w:p>
  </w:footnote>
  <w:footnote w:id="196">
    <w:p w14:paraId="102D27AD"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[1900] 2 QB 170 at 180.</w:t>
      </w:r>
    </w:p>
  </w:footnote>
  <w:footnote w:id="197">
    <w:p w14:paraId="2F57DD3C"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Bottomley v F W Woolworth and Co Ltd </w:t>
      </w:r>
      <w:r w:rsidRPr="000D0631">
        <w:rPr>
          <w:rFonts w:ascii="Times New Roman" w:hAnsi="Times New Roman"/>
          <w:sz w:val="24"/>
        </w:rPr>
        <w:t xml:space="preserve">(1932) 48 TLR 521 at 521. </w:t>
      </w:r>
    </w:p>
  </w:footnote>
  <w:footnote w:id="198">
    <w:p w14:paraId="58CF01EA"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Ridgway v Smith and Son </w:t>
      </w:r>
      <w:r w:rsidRPr="000D0631">
        <w:rPr>
          <w:rFonts w:ascii="Times New Roman" w:hAnsi="Times New Roman"/>
          <w:sz w:val="24"/>
        </w:rPr>
        <w:t xml:space="preserve">(1890) 6 TLR 275; </w:t>
      </w:r>
      <w:r w:rsidRPr="000D0631">
        <w:rPr>
          <w:rFonts w:ascii="Times New Roman" w:hAnsi="Times New Roman"/>
          <w:i/>
          <w:iCs/>
          <w:sz w:val="24"/>
        </w:rPr>
        <w:t>Mallon v W H Smith and Son</w:t>
      </w:r>
      <w:r w:rsidRPr="000D0631">
        <w:rPr>
          <w:rFonts w:ascii="Times New Roman" w:hAnsi="Times New Roman"/>
          <w:sz w:val="24"/>
        </w:rPr>
        <w:t xml:space="preserve"> (1893) 9 TLR 621; </w:t>
      </w:r>
      <w:r w:rsidRPr="000D0631">
        <w:rPr>
          <w:rFonts w:ascii="Times New Roman" w:hAnsi="Times New Roman"/>
          <w:i/>
          <w:iCs/>
          <w:sz w:val="24"/>
        </w:rPr>
        <w:t>Martin v Trustees of the British Museum and Thompson</w:t>
      </w:r>
      <w:r w:rsidRPr="000D0631">
        <w:rPr>
          <w:rFonts w:ascii="Times New Roman" w:hAnsi="Times New Roman"/>
          <w:iCs/>
          <w:sz w:val="24"/>
        </w:rPr>
        <w:t xml:space="preserve"> </w:t>
      </w:r>
      <w:r w:rsidRPr="000D0631">
        <w:rPr>
          <w:rFonts w:ascii="Times New Roman" w:hAnsi="Times New Roman"/>
          <w:sz w:val="24"/>
        </w:rPr>
        <w:t>(1894) 10 TLR 338.</w:t>
      </w:r>
    </w:p>
  </w:footnote>
  <w:footnote w:id="199">
    <w:p w14:paraId="188953EA"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sz w:val="24"/>
        </w:rPr>
        <w:t xml:space="preserve">Vizetelly v Mudie's Select Library Ltd </w:t>
      </w:r>
      <w:r w:rsidRPr="000D0631">
        <w:rPr>
          <w:rFonts w:ascii="Times New Roman" w:hAnsi="Times New Roman"/>
          <w:sz w:val="24"/>
        </w:rPr>
        <w:t>[1900] 2 QB 170 at 180.</w:t>
      </w:r>
    </w:p>
  </w:footnote>
  <w:footnote w:id="200">
    <w:p w14:paraId="6764ECAE"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Pollock, "Note" (1910) 26 </w:t>
      </w:r>
      <w:r w:rsidRPr="000D0631">
        <w:rPr>
          <w:rFonts w:ascii="Times New Roman" w:hAnsi="Times New Roman"/>
          <w:i/>
          <w:iCs/>
          <w:sz w:val="24"/>
        </w:rPr>
        <w:t xml:space="preserve">Law Quarterly Review </w:t>
      </w:r>
      <w:r w:rsidRPr="000D0631">
        <w:rPr>
          <w:rFonts w:ascii="Times New Roman" w:hAnsi="Times New Roman"/>
          <w:sz w:val="24"/>
        </w:rPr>
        <w:t>103 at 104.</w:t>
      </w:r>
    </w:p>
  </w:footnote>
  <w:footnote w:id="201">
    <w:p w14:paraId="25D8C3A7"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sz w:val="24"/>
        </w:rPr>
        <w:t>E Hulton &amp; Co v Jones</w:t>
      </w:r>
      <w:r w:rsidRPr="000D0631">
        <w:rPr>
          <w:rFonts w:ascii="Times New Roman" w:hAnsi="Times New Roman"/>
          <w:sz w:val="24"/>
        </w:rPr>
        <w:t xml:space="preserve"> [1910] AC 20.</w:t>
      </w:r>
    </w:p>
  </w:footnote>
  <w:footnote w:id="202">
    <w:p w14:paraId="07D69B7D"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ab/>
        <w:t>[1909] 2 KB 444.</w:t>
      </w:r>
    </w:p>
  </w:footnote>
  <w:footnote w:id="203">
    <w:p w14:paraId="4F17B844"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(1893) 159 Mass 293 at 302.</w:t>
      </w:r>
    </w:p>
  </w:footnote>
  <w:footnote w:id="204">
    <w:p w14:paraId="5C04E8D6"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Fraser, </w:t>
      </w:r>
      <w:r w:rsidRPr="000D0631">
        <w:rPr>
          <w:rFonts w:ascii="Times New Roman" w:hAnsi="Times New Roman"/>
          <w:i/>
          <w:sz w:val="24"/>
        </w:rPr>
        <w:t>The Law of Libel in its relation to the Press</w:t>
      </w:r>
      <w:r w:rsidRPr="000D0631">
        <w:rPr>
          <w:rFonts w:ascii="Times New Roman" w:hAnsi="Times New Roman"/>
          <w:sz w:val="24"/>
        </w:rPr>
        <w:t xml:space="preserve"> (1889) at 3; Ball, </w:t>
      </w:r>
      <w:r w:rsidRPr="000D0631">
        <w:rPr>
          <w:rFonts w:ascii="Times New Roman" w:hAnsi="Times New Roman"/>
          <w:i/>
          <w:sz w:val="24"/>
        </w:rPr>
        <w:t>The Law of Libel as affecting Newspapers and Journalists</w:t>
      </w:r>
      <w:r w:rsidRPr="000D0631">
        <w:rPr>
          <w:rFonts w:ascii="Times New Roman" w:hAnsi="Times New Roman"/>
          <w:sz w:val="24"/>
        </w:rPr>
        <w:t xml:space="preserve"> (1912) at 19-20; Bower, </w:t>
      </w:r>
      <w:r w:rsidRPr="000D0631">
        <w:rPr>
          <w:rFonts w:ascii="Times New Roman" w:hAnsi="Times New Roman"/>
          <w:i/>
          <w:sz w:val="24"/>
        </w:rPr>
        <w:t>A Code of the Law of Actionable Defamation</w:t>
      </w:r>
      <w:r w:rsidRPr="000D0631">
        <w:rPr>
          <w:rFonts w:ascii="Times New Roman" w:hAnsi="Times New Roman"/>
          <w:sz w:val="24"/>
        </w:rPr>
        <w:t xml:space="preserve">, 2nd ed (1923) at 260; Fachiri, </w:t>
      </w:r>
      <w:r w:rsidRPr="000D0631">
        <w:rPr>
          <w:rFonts w:ascii="Times New Roman" w:hAnsi="Times New Roman"/>
          <w:i/>
          <w:sz w:val="24"/>
        </w:rPr>
        <w:t>Principles and Practice of the Law of Libel and Slander</w:t>
      </w:r>
      <w:r w:rsidRPr="000D0631">
        <w:rPr>
          <w:rFonts w:ascii="Times New Roman" w:hAnsi="Times New Roman"/>
          <w:sz w:val="24"/>
        </w:rPr>
        <w:t>, 6th ed (1925) at 29</w:t>
      </w:r>
      <w:r w:rsidRPr="000D0631">
        <w:rPr>
          <w:rFonts w:ascii="Times New Roman" w:hAnsi="Times New Roman"/>
          <w:sz w:val="24"/>
        </w:rPr>
        <w:noBreakHyphen/>
        <w:t xml:space="preserve">31; O'Sullivan and Brown, </w:t>
      </w:r>
      <w:r w:rsidRPr="000D0631">
        <w:rPr>
          <w:rFonts w:ascii="Times New Roman" w:hAnsi="Times New Roman"/>
          <w:i/>
          <w:sz w:val="24"/>
        </w:rPr>
        <w:t>The Law of Defamation</w:t>
      </w:r>
      <w:r w:rsidRPr="000D0631">
        <w:rPr>
          <w:rFonts w:ascii="Times New Roman" w:hAnsi="Times New Roman"/>
          <w:sz w:val="24"/>
        </w:rPr>
        <w:t xml:space="preserve"> (1958) at 38.</w:t>
      </w:r>
    </w:p>
  </w:footnote>
  <w:footnote w:id="205">
    <w:p w14:paraId="4365354E"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Pollock, </w:t>
      </w:r>
      <w:r w:rsidRPr="000D0631">
        <w:rPr>
          <w:rFonts w:ascii="Times New Roman" w:hAnsi="Times New Roman"/>
          <w:i/>
          <w:iCs/>
          <w:sz w:val="24"/>
        </w:rPr>
        <w:t xml:space="preserve">The Law of Torts </w:t>
      </w:r>
      <w:r w:rsidRPr="000D0631">
        <w:rPr>
          <w:rFonts w:ascii="Times New Roman" w:hAnsi="Times New Roman"/>
          <w:sz w:val="24"/>
        </w:rPr>
        <w:t>(1887) at 214-215.</w:t>
      </w:r>
    </w:p>
  </w:footnote>
  <w:footnote w:id="206">
    <w:p w14:paraId="1CBAC9D4"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Clerk and Lindsell, </w:t>
      </w:r>
      <w:r w:rsidRPr="000D0631">
        <w:rPr>
          <w:rFonts w:ascii="Times New Roman" w:hAnsi="Times New Roman"/>
          <w:i/>
          <w:sz w:val="24"/>
        </w:rPr>
        <w:t xml:space="preserve">The Law of Torts </w:t>
      </w:r>
      <w:r w:rsidRPr="000D0631">
        <w:rPr>
          <w:rFonts w:ascii="Times New Roman" w:hAnsi="Times New Roman"/>
          <w:sz w:val="24"/>
        </w:rPr>
        <w:t>(1889) at 442.</w:t>
      </w:r>
    </w:p>
  </w:footnote>
  <w:footnote w:id="207">
    <w:p w14:paraId="44DD9159"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Bigelow, </w:t>
      </w:r>
      <w:r w:rsidRPr="000D0631">
        <w:rPr>
          <w:rFonts w:ascii="Times New Roman" w:hAnsi="Times New Roman"/>
          <w:i/>
          <w:iCs/>
          <w:sz w:val="24"/>
        </w:rPr>
        <w:t xml:space="preserve">Elements of the Law of </w:t>
      </w:r>
      <w:r w:rsidRPr="000D0631">
        <w:rPr>
          <w:rFonts w:ascii="Times New Roman" w:hAnsi="Times New Roman"/>
          <w:i/>
          <w:sz w:val="24"/>
        </w:rPr>
        <w:t>Torts</w:t>
      </w:r>
      <w:r w:rsidRPr="000D0631">
        <w:rPr>
          <w:rFonts w:ascii="Times New Roman" w:hAnsi="Times New Roman"/>
          <w:sz w:val="24"/>
        </w:rPr>
        <w:t>, 5th ed (1894) at 97</w:t>
      </w:r>
      <w:r w:rsidRPr="000D0631">
        <w:rPr>
          <w:rFonts w:ascii="Times New Roman" w:hAnsi="Times New Roman"/>
          <w:sz w:val="24"/>
        </w:rPr>
        <w:noBreakHyphen/>
        <w:t>98.</w:t>
      </w:r>
    </w:p>
  </w:footnote>
  <w:footnote w:id="208">
    <w:p w14:paraId="031DDA2E"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Brett, </w:t>
      </w:r>
      <w:r w:rsidRPr="000D0631">
        <w:rPr>
          <w:rFonts w:ascii="Times New Roman" w:hAnsi="Times New Roman"/>
          <w:i/>
          <w:sz w:val="24"/>
        </w:rPr>
        <w:t>Commentaries on the Present Laws of England</w:t>
      </w:r>
      <w:r w:rsidRPr="000D0631">
        <w:rPr>
          <w:rFonts w:ascii="Times New Roman" w:hAnsi="Times New Roman"/>
          <w:sz w:val="24"/>
        </w:rPr>
        <w:t xml:space="preserve"> (1890), vol 1 at 458; Gatley, </w:t>
      </w:r>
      <w:r w:rsidRPr="000D0631">
        <w:rPr>
          <w:rFonts w:ascii="Times New Roman" w:hAnsi="Times New Roman"/>
          <w:i/>
          <w:sz w:val="24"/>
        </w:rPr>
        <w:t xml:space="preserve">Law and Practice of Libel and Slander in a Civil Action with Precedents of Pleadings </w:t>
      </w:r>
      <w:r w:rsidRPr="000D0631">
        <w:rPr>
          <w:rFonts w:ascii="Times New Roman" w:hAnsi="Times New Roman"/>
          <w:sz w:val="24"/>
        </w:rPr>
        <w:t>(1924) at 94</w:t>
      </w:r>
      <w:r w:rsidRPr="000D0631">
        <w:rPr>
          <w:rFonts w:ascii="Times New Roman" w:hAnsi="Times New Roman"/>
          <w:sz w:val="24"/>
        </w:rPr>
        <w:noBreakHyphen/>
        <w:t>95.</w:t>
      </w:r>
    </w:p>
  </w:footnote>
  <w:footnote w:id="209">
    <w:p w14:paraId="2B47B7D5"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Odgers, </w:t>
      </w:r>
      <w:r w:rsidRPr="000D0631">
        <w:rPr>
          <w:rFonts w:ascii="Times New Roman" w:hAnsi="Times New Roman"/>
          <w:i/>
          <w:sz w:val="24"/>
        </w:rPr>
        <w:t>An Outline of the Law of Libel: Six Lectures Delivered in the Middle Temple Hall during Michaelmas Term, 1896</w:t>
      </w:r>
      <w:r w:rsidRPr="000D0631">
        <w:rPr>
          <w:rFonts w:ascii="Times New Roman" w:hAnsi="Times New Roman"/>
          <w:sz w:val="24"/>
        </w:rPr>
        <w:t xml:space="preserve"> (1897) at 207.</w:t>
      </w:r>
    </w:p>
  </w:footnote>
  <w:footnote w:id="210">
    <w:p w14:paraId="796424CB"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Goldsmith v Sperrings Ltd</w:t>
      </w:r>
      <w:r w:rsidRPr="000D0631">
        <w:rPr>
          <w:rFonts w:ascii="Times New Roman" w:hAnsi="Times New Roman"/>
          <w:sz w:val="24"/>
        </w:rPr>
        <w:t xml:space="preserve"> [1977] 1 WLR 478 at 505; [1977] 2 All ER 566 at 587.</w:t>
      </w:r>
    </w:p>
  </w:footnote>
  <w:footnote w:id="211">
    <w:p w14:paraId="11E47C5B" w14:textId="77777777" w:rsidR="0019155E" w:rsidRPr="000D0631" w:rsidRDefault="0019155E" w:rsidP="000D0631">
      <w:pPr>
        <w:pStyle w:val="FootnoteText"/>
        <w:spacing w:line="280" w:lineRule="exact"/>
        <w:ind w:right="0"/>
        <w:jc w:val="both"/>
        <w:rPr>
          <w:rFonts w:ascii="Times New Roman" w:hAnsi="Times New Roman"/>
          <w:i/>
          <w:iCs/>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(1996) 186 CLR 574 at 586, quoting </w:t>
      </w:r>
      <w:r w:rsidRPr="000D0631">
        <w:rPr>
          <w:rFonts w:ascii="Times New Roman" w:hAnsi="Times New Roman"/>
          <w:i/>
          <w:iCs/>
          <w:sz w:val="24"/>
        </w:rPr>
        <w:t>Duncan and Neill on Defamation</w:t>
      </w:r>
      <w:r w:rsidRPr="000D0631">
        <w:rPr>
          <w:rFonts w:ascii="Times New Roman" w:hAnsi="Times New Roman"/>
          <w:sz w:val="24"/>
        </w:rPr>
        <w:t xml:space="preserve">, 2nd ed (1983) at 110, fn 3. See also </w:t>
      </w:r>
      <w:r w:rsidRPr="000D0631">
        <w:rPr>
          <w:rFonts w:ascii="Times New Roman" w:hAnsi="Times New Roman"/>
          <w:i/>
          <w:iCs/>
          <w:sz w:val="24"/>
        </w:rPr>
        <w:t xml:space="preserve">Oriental Press Group Ltd v Fevaworks Solutions Ltd </w:t>
      </w:r>
      <w:r w:rsidRPr="000D0631">
        <w:rPr>
          <w:rFonts w:ascii="Times New Roman" w:hAnsi="Times New Roman"/>
          <w:sz w:val="24"/>
        </w:rPr>
        <w:t>(2013) 16 HKCFAR 366 at 381 [31].</w:t>
      </w:r>
    </w:p>
  </w:footnote>
  <w:footnote w:id="212">
    <w:p w14:paraId="0583653C"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Lee v Wilson &amp; Mackinnon </w:t>
      </w:r>
      <w:r w:rsidRPr="000D0631">
        <w:rPr>
          <w:rFonts w:ascii="Times New Roman" w:hAnsi="Times New Roman"/>
          <w:sz w:val="24"/>
        </w:rPr>
        <w:t>(1934) 51 CLR 276 at 288.</w:t>
      </w:r>
    </w:p>
  </w:footnote>
  <w:footnote w:id="213">
    <w:p w14:paraId="1CCF6ECA"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(1996) 186 CLR 574 at 594, 618.</w:t>
      </w:r>
    </w:p>
  </w:footnote>
  <w:footnote w:id="214">
    <w:p w14:paraId="5CD9F381"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Compare their Honours' statement that "an innocent subordinate disseminator does not intend to publish" at (1996) 186 CLR 574 at 588.</w:t>
      </w:r>
    </w:p>
  </w:footnote>
  <w:footnote w:id="215">
    <w:p w14:paraId="305F7794"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Oriental Press Group Ltd v Fevaworks Solutions Ltd </w:t>
      </w:r>
      <w:r w:rsidRPr="000D0631">
        <w:rPr>
          <w:rFonts w:ascii="Times New Roman" w:hAnsi="Times New Roman"/>
          <w:sz w:val="24"/>
        </w:rPr>
        <w:t>(2013) 16 HKCFAR 366 at 381 [31]-[32].</w:t>
      </w:r>
    </w:p>
  </w:footnote>
  <w:footnote w:id="216">
    <w:p w14:paraId="597B28D4"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Defamation Law of Queensland 1889</w:t>
      </w:r>
      <w:r w:rsidRPr="000D0631">
        <w:rPr>
          <w:rFonts w:ascii="Times New Roman" w:hAnsi="Times New Roman"/>
          <w:iCs/>
          <w:sz w:val="24"/>
        </w:rPr>
        <w:t> </w:t>
      </w:r>
      <w:r w:rsidRPr="000D0631">
        <w:rPr>
          <w:rFonts w:ascii="Times New Roman" w:hAnsi="Times New Roman"/>
          <w:sz w:val="24"/>
        </w:rPr>
        <w:t>(Qld) (53 Vict No 12), s 33 excepting from criminal responsibility only.</w:t>
      </w:r>
    </w:p>
  </w:footnote>
  <w:footnote w:id="217">
    <w:p w14:paraId="64DA3277"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Defamation Act 1895</w:t>
      </w:r>
      <w:r w:rsidRPr="000D0631">
        <w:rPr>
          <w:rFonts w:ascii="Times New Roman" w:hAnsi="Times New Roman"/>
          <w:iCs/>
          <w:sz w:val="24"/>
        </w:rPr>
        <w:t> </w:t>
      </w:r>
      <w:r w:rsidRPr="000D0631">
        <w:rPr>
          <w:rFonts w:ascii="Times New Roman" w:hAnsi="Times New Roman"/>
          <w:sz w:val="24"/>
        </w:rPr>
        <w:t>(Tas) (59 Vict No 11), ss 32, 33.</w:t>
      </w:r>
    </w:p>
  </w:footnote>
  <w:footnote w:id="218">
    <w:p w14:paraId="21CEFD30"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Defamation Act 1958</w:t>
      </w:r>
      <w:r w:rsidRPr="000D0631">
        <w:rPr>
          <w:rFonts w:ascii="Times New Roman" w:hAnsi="Times New Roman"/>
          <w:iCs/>
          <w:sz w:val="24"/>
        </w:rPr>
        <w:t> </w:t>
      </w:r>
      <w:r w:rsidRPr="000D0631">
        <w:rPr>
          <w:rFonts w:ascii="Times New Roman" w:hAnsi="Times New Roman"/>
          <w:sz w:val="24"/>
        </w:rPr>
        <w:t>(NSW), s 34.</w:t>
      </w:r>
    </w:p>
  </w:footnote>
  <w:footnote w:id="219">
    <w:p w14:paraId="1CD3DAE1"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Defamation Act 1958</w:t>
      </w:r>
      <w:r w:rsidRPr="000D0631">
        <w:rPr>
          <w:rFonts w:ascii="Times New Roman" w:hAnsi="Times New Roman"/>
          <w:iCs/>
          <w:sz w:val="24"/>
        </w:rPr>
        <w:t> </w:t>
      </w:r>
      <w:r w:rsidRPr="000D0631">
        <w:rPr>
          <w:rFonts w:ascii="Times New Roman" w:hAnsi="Times New Roman"/>
          <w:sz w:val="24"/>
        </w:rPr>
        <w:t>(NSW), s 35.</w:t>
      </w:r>
    </w:p>
  </w:footnote>
  <w:footnote w:id="220">
    <w:p w14:paraId="0680A54F"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Defamation Act 1958</w:t>
      </w:r>
      <w:r w:rsidRPr="000D0631">
        <w:rPr>
          <w:rFonts w:ascii="Times New Roman" w:hAnsi="Times New Roman"/>
          <w:iCs/>
          <w:sz w:val="24"/>
        </w:rPr>
        <w:t> </w:t>
      </w:r>
      <w:r w:rsidRPr="000D0631">
        <w:rPr>
          <w:rFonts w:ascii="Times New Roman" w:hAnsi="Times New Roman"/>
          <w:sz w:val="24"/>
        </w:rPr>
        <w:t>(NSW), s 36.</w:t>
      </w:r>
    </w:p>
  </w:footnote>
  <w:footnote w:id="221">
    <w:p w14:paraId="10528AB0"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New South Wales Law Reform Commission, </w:t>
      </w:r>
      <w:r w:rsidRPr="000D0631">
        <w:rPr>
          <w:rFonts w:ascii="Times New Roman" w:hAnsi="Times New Roman"/>
          <w:i/>
          <w:sz w:val="24"/>
        </w:rPr>
        <w:t>Defamation</w:t>
      </w:r>
      <w:r w:rsidRPr="000D0631">
        <w:rPr>
          <w:rFonts w:ascii="Times New Roman" w:hAnsi="Times New Roman"/>
          <w:sz w:val="24"/>
        </w:rPr>
        <w:t>,</w:t>
      </w:r>
      <w:r w:rsidRPr="000D0631">
        <w:rPr>
          <w:rFonts w:ascii="Times New Roman" w:hAnsi="Times New Roman"/>
          <w:i/>
          <w:sz w:val="24"/>
        </w:rPr>
        <w:t xml:space="preserve"> </w:t>
      </w:r>
      <w:r w:rsidRPr="000D0631">
        <w:rPr>
          <w:rFonts w:ascii="Times New Roman" w:hAnsi="Times New Roman"/>
          <w:sz w:val="24"/>
        </w:rPr>
        <w:t>Report 11</w:t>
      </w:r>
      <w:r w:rsidRPr="000D0631">
        <w:rPr>
          <w:rFonts w:ascii="Times New Roman" w:hAnsi="Times New Roman"/>
          <w:i/>
          <w:iCs/>
          <w:sz w:val="24"/>
        </w:rPr>
        <w:t xml:space="preserve"> </w:t>
      </w:r>
      <w:r w:rsidRPr="000D0631">
        <w:rPr>
          <w:rFonts w:ascii="Times New Roman" w:hAnsi="Times New Roman"/>
          <w:sz w:val="24"/>
        </w:rPr>
        <w:t>(1971), Appendix D at [309].</w:t>
      </w:r>
    </w:p>
  </w:footnote>
  <w:footnote w:id="222">
    <w:p w14:paraId="499F4440"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New South Wales, </w:t>
      </w:r>
      <w:r w:rsidRPr="000D0631">
        <w:rPr>
          <w:rFonts w:ascii="Times New Roman" w:hAnsi="Times New Roman"/>
          <w:i/>
          <w:iCs/>
          <w:sz w:val="24"/>
        </w:rPr>
        <w:t>Defamation Bill 2005</w:t>
      </w:r>
      <w:r w:rsidRPr="000D0631">
        <w:rPr>
          <w:rFonts w:ascii="Times New Roman" w:hAnsi="Times New Roman"/>
          <w:sz w:val="24"/>
        </w:rPr>
        <w:t xml:space="preserve">, Explanatory Note at 15; New South Wales, Legislative Assembly, </w:t>
      </w:r>
      <w:r w:rsidRPr="000D0631">
        <w:rPr>
          <w:rFonts w:ascii="Times New Roman" w:hAnsi="Times New Roman"/>
          <w:i/>
          <w:iCs/>
          <w:sz w:val="24"/>
        </w:rPr>
        <w:t xml:space="preserve">Parliamentary Debates </w:t>
      </w:r>
      <w:r w:rsidRPr="000D0631">
        <w:rPr>
          <w:rFonts w:ascii="Times New Roman" w:hAnsi="Times New Roman"/>
          <w:sz w:val="24"/>
        </w:rPr>
        <w:t>(Hansard), 13 September 2005 at 17640.</w:t>
      </w:r>
    </w:p>
  </w:footnote>
  <w:footnote w:id="223">
    <w:p w14:paraId="7E0A1B92"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Clark v Newsam </w:t>
      </w:r>
      <w:r w:rsidRPr="000D0631">
        <w:rPr>
          <w:rFonts w:ascii="Times New Roman" w:hAnsi="Times New Roman"/>
          <w:sz w:val="24"/>
        </w:rPr>
        <w:t>(1847) 1 Ex 131 at 140 [154 ER 55 at 59].</w:t>
      </w:r>
    </w:p>
  </w:footnote>
  <w:footnote w:id="224">
    <w:p w14:paraId="64D0A573"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R v Clerk </w:t>
      </w:r>
      <w:r w:rsidRPr="000D0631">
        <w:rPr>
          <w:rFonts w:ascii="Times New Roman" w:hAnsi="Times New Roman"/>
          <w:sz w:val="24"/>
        </w:rPr>
        <w:t>(1728) 1 Barn KB 304 at 304 [94 ER 207 at 207].</w:t>
      </w:r>
    </w:p>
  </w:footnote>
  <w:footnote w:id="225">
    <w:p w14:paraId="33681EE5"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See </w:t>
      </w:r>
      <w:r w:rsidRPr="000D0631">
        <w:rPr>
          <w:rFonts w:ascii="Times New Roman" w:hAnsi="Times New Roman"/>
          <w:i/>
          <w:sz w:val="24"/>
        </w:rPr>
        <w:t xml:space="preserve">CBS Songs Ltd v Amstrad Consumer Electronics Plc </w:t>
      </w:r>
      <w:r w:rsidRPr="000D0631">
        <w:rPr>
          <w:rFonts w:ascii="Times New Roman" w:hAnsi="Times New Roman"/>
          <w:sz w:val="24"/>
        </w:rPr>
        <w:t>[1988] AC 1013.</w:t>
      </w:r>
    </w:p>
  </w:footnote>
  <w:footnote w:id="226">
    <w:p w14:paraId="3C76032B" w14:textId="77777777" w:rsidR="0019155E" w:rsidRPr="000D0631" w:rsidRDefault="0019155E" w:rsidP="000D0631">
      <w:pPr>
        <w:pStyle w:val="FootnoteText"/>
        <w:spacing w:line="280" w:lineRule="exact"/>
        <w:ind w:right="0"/>
        <w:jc w:val="both"/>
        <w:rPr>
          <w:rFonts w:ascii="Times New Roman" w:hAnsi="Times New Roman"/>
          <w:i/>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Walker v Alemite Corporation </w:t>
      </w:r>
      <w:r w:rsidRPr="000D0631">
        <w:rPr>
          <w:rFonts w:ascii="Times New Roman" w:hAnsi="Times New Roman"/>
          <w:sz w:val="24"/>
        </w:rPr>
        <w:t>(1933) 49 CLR 643</w:t>
      </w:r>
      <w:r w:rsidRPr="000D0631">
        <w:rPr>
          <w:rFonts w:ascii="Times New Roman" w:hAnsi="Times New Roman"/>
          <w:i/>
          <w:iCs/>
          <w:sz w:val="24"/>
        </w:rPr>
        <w:t xml:space="preserve"> </w:t>
      </w:r>
      <w:r w:rsidRPr="000D0631">
        <w:rPr>
          <w:rFonts w:ascii="Times New Roman" w:hAnsi="Times New Roman"/>
          <w:sz w:val="24"/>
        </w:rPr>
        <w:t xml:space="preserve">at 658. See also </w:t>
      </w:r>
      <w:r w:rsidRPr="000D0631">
        <w:rPr>
          <w:rFonts w:ascii="Times New Roman" w:hAnsi="Times New Roman"/>
          <w:i/>
          <w:iCs/>
          <w:sz w:val="24"/>
        </w:rPr>
        <w:t>Townsend v Haworth</w:t>
      </w:r>
      <w:r w:rsidRPr="000D0631">
        <w:rPr>
          <w:rFonts w:ascii="Times New Roman" w:hAnsi="Times New Roman"/>
          <w:sz w:val="24"/>
        </w:rPr>
        <w:t xml:space="preserve"> (1875) 12 Ch D 831 (n); </w:t>
      </w:r>
      <w:r w:rsidRPr="000D0631">
        <w:rPr>
          <w:rFonts w:ascii="Times New Roman" w:hAnsi="Times New Roman"/>
          <w:i/>
          <w:sz w:val="24"/>
        </w:rPr>
        <w:t xml:space="preserve">Dunlop Pneumatic Tyre Co Ltd v David Moseley &amp; Sons Ltd </w:t>
      </w:r>
      <w:r w:rsidRPr="000D0631">
        <w:rPr>
          <w:rFonts w:ascii="Times New Roman" w:hAnsi="Times New Roman"/>
          <w:sz w:val="24"/>
        </w:rPr>
        <w:t xml:space="preserve">[1904] 1 Ch 612 at 616-617, 620; </w:t>
      </w:r>
      <w:r w:rsidRPr="000D0631">
        <w:rPr>
          <w:rFonts w:ascii="Times New Roman" w:hAnsi="Times New Roman"/>
          <w:i/>
          <w:sz w:val="24"/>
        </w:rPr>
        <w:t xml:space="preserve">Belegging-en Exploitatiemaatschappij Lavender BV v Witten Industrial Diamonds Ltd </w:t>
      </w:r>
      <w:r w:rsidRPr="000D0631">
        <w:rPr>
          <w:rFonts w:ascii="Times New Roman" w:hAnsi="Times New Roman"/>
          <w:sz w:val="24"/>
        </w:rPr>
        <w:t>[1979] FSR 59 at 64, 66</w:t>
      </w:r>
      <w:r w:rsidRPr="000D0631">
        <w:rPr>
          <w:rFonts w:ascii="Times New Roman" w:hAnsi="Times New Roman"/>
          <w:sz w:val="24"/>
        </w:rPr>
        <w:noBreakHyphen/>
        <w:t xml:space="preserve">67. See further </w:t>
      </w:r>
      <w:r w:rsidRPr="000D0631">
        <w:rPr>
          <w:rFonts w:ascii="Times New Roman" w:hAnsi="Times New Roman"/>
          <w:i/>
          <w:sz w:val="24"/>
        </w:rPr>
        <w:t xml:space="preserve">Unilever Plc v Gillette (UK) Ltd </w:t>
      </w:r>
      <w:r w:rsidRPr="000D0631">
        <w:rPr>
          <w:rFonts w:ascii="Times New Roman" w:hAnsi="Times New Roman"/>
          <w:sz w:val="24"/>
        </w:rPr>
        <w:t>[1989] RPC 583 at 608</w:t>
      </w:r>
      <w:r w:rsidRPr="000D0631">
        <w:rPr>
          <w:rFonts w:ascii="Times New Roman" w:hAnsi="Times New Roman"/>
          <w:sz w:val="24"/>
        </w:rPr>
        <w:noBreakHyphen/>
        <w:t xml:space="preserve">609; </w:t>
      </w:r>
      <w:r w:rsidRPr="000D0631">
        <w:rPr>
          <w:rFonts w:ascii="Times New Roman" w:hAnsi="Times New Roman"/>
          <w:i/>
          <w:sz w:val="24"/>
        </w:rPr>
        <w:t xml:space="preserve">Credit Lyonnais Bank Nederland NV (now Generale Bank Nederland NV) </w:t>
      </w:r>
      <w:r w:rsidRPr="000D0631" w:rsidDel="00126208">
        <w:rPr>
          <w:rFonts w:ascii="Times New Roman" w:hAnsi="Times New Roman"/>
          <w:i/>
          <w:sz w:val="24"/>
        </w:rPr>
        <w:t xml:space="preserve">v </w:t>
      </w:r>
      <w:r w:rsidRPr="000D0631">
        <w:rPr>
          <w:rFonts w:ascii="Times New Roman" w:hAnsi="Times New Roman"/>
          <w:i/>
          <w:sz w:val="24"/>
        </w:rPr>
        <w:t xml:space="preserve">Export Credit Guarantee Department </w:t>
      </w:r>
      <w:r w:rsidRPr="000D0631">
        <w:rPr>
          <w:rFonts w:ascii="Times New Roman" w:hAnsi="Times New Roman"/>
          <w:sz w:val="24"/>
        </w:rPr>
        <w:t xml:space="preserve">[1998] 1 Lloyd's Rep 19 at 35, 46, 47; </w:t>
      </w:r>
      <w:r w:rsidRPr="000D0631">
        <w:rPr>
          <w:rFonts w:ascii="Times New Roman" w:hAnsi="Times New Roman"/>
          <w:i/>
          <w:sz w:val="24"/>
        </w:rPr>
        <w:t xml:space="preserve">Fish &amp; Fish Ltd v Sea Shepherd UK </w:t>
      </w:r>
      <w:r w:rsidRPr="000D0631">
        <w:rPr>
          <w:rFonts w:ascii="Times New Roman" w:hAnsi="Times New Roman"/>
          <w:sz w:val="24"/>
        </w:rPr>
        <w:t>[2015] AC 1229 at 1239 [21]-[22], 1248 [55], 1249 [58].</w:t>
      </w:r>
    </w:p>
  </w:footnote>
  <w:footnote w:id="227">
    <w:p w14:paraId="16646982"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Cooley, </w:t>
      </w:r>
      <w:r w:rsidRPr="000D0631">
        <w:rPr>
          <w:rFonts w:ascii="Times New Roman" w:hAnsi="Times New Roman"/>
          <w:i/>
          <w:iCs/>
          <w:sz w:val="24"/>
        </w:rPr>
        <w:t>A Treatise on the Law of Torts or the Wrongs which arise Independent of Contract</w:t>
      </w:r>
      <w:r w:rsidRPr="000D0631">
        <w:rPr>
          <w:rFonts w:ascii="Times New Roman" w:hAnsi="Times New Roman"/>
          <w:sz w:val="24"/>
        </w:rPr>
        <w:t>,</w:t>
      </w:r>
      <w:r w:rsidRPr="000D0631">
        <w:rPr>
          <w:rFonts w:ascii="Times New Roman" w:hAnsi="Times New Roman"/>
          <w:i/>
          <w:iCs/>
          <w:sz w:val="24"/>
        </w:rPr>
        <w:t xml:space="preserve"> </w:t>
      </w:r>
      <w:r w:rsidRPr="000D0631">
        <w:rPr>
          <w:rFonts w:ascii="Times New Roman" w:hAnsi="Times New Roman"/>
          <w:sz w:val="24"/>
        </w:rPr>
        <w:t>2nd ed (1888) at 227</w:t>
      </w:r>
      <w:r w:rsidRPr="000D0631">
        <w:rPr>
          <w:rFonts w:ascii="Times New Roman" w:hAnsi="Times New Roman"/>
          <w:sz w:val="24"/>
        </w:rPr>
        <w:noBreakHyphen/>
        <w:t>228.</w:t>
      </w:r>
    </w:p>
  </w:footnote>
  <w:footnote w:id="228">
    <w:p w14:paraId="25304E62"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[1998] 1 Lloyd's Rep 19 at 46. See also </w:t>
      </w:r>
      <w:r w:rsidRPr="000D0631">
        <w:rPr>
          <w:rFonts w:ascii="Times New Roman" w:hAnsi="Times New Roman"/>
          <w:i/>
          <w:iCs/>
          <w:sz w:val="24"/>
        </w:rPr>
        <w:t>Douglas v Hello! Ltd [No 3]</w:t>
      </w:r>
      <w:r w:rsidRPr="000D0631">
        <w:rPr>
          <w:rFonts w:ascii="Times New Roman" w:hAnsi="Times New Roman"/>
          <w:iCs/>
          <w:sz w:val="24"/>
        </w:rPr>
        <w:t xml:space="preserve"> </w:t>
      </w:r>
      <w:r w:rsidRPr="000D0631">
        <w:rPr>
          <w:rFonts w:ascii="Times New Roman" w:hAnsi="Times New Roman"/>
          <w:sz w:val="24"/>
        </w:rPr>
        <w:t>[2003] EMLR 601 at 625 [70].</w:t>
      </w:r>
    </w:p>
  </w:footnote>
  <w:footnote w:id="229">
    <w:p w14:paraId="493BDB3F" w14:textId="77777777" w:rsidR="0019155E" w:rsidRPr="000D0631" w:rsidRDefault="0019155E" w:rsidP="000D0631">
      <w:pPr>
        <w:pStyle w:val="FootnoteText"/>
        <w:spacing w:line="280" w:lineRule="exact"/>
        <w:ind w:right="0"/>
        <w:jc w:val="both"/>
        <w:rPr>
          <w:rFonts w:ascii="Times New Roman" w:hAnsi="Times New Roman"/>
          <w:i/>
          <w:iCs/>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See also </w:t>
      </w:r>
      <w:r w:rsidRPr="000D0631">
        <w:rPr>
          <w:rFonts w:ascii="Times New Roman" w:hAnsi="Times New Roman"/>
          <w:i/>
          <w:iCs/>
          <w:sz w:val="24"/>
        </w:rPr>
        <w:t xml:space="preserve">Webb v Bloch </w:t>
      </w:r>
      <w:r w:rsidRPr="000D0631">
        <w:rPr>
          <w:rFonts w:ascii="Times New Roman" w:hAnsi="Times New Roman"/>
          <w:sz w:val="24"/>
        </w:rPr>
        <w:t xml:space="preserve">(1928) 41 CLR 331 at 364, quoting Giffard QC in argument in </w:t>
      </w:r>
      <w:r w:rsidRPr="000D0631">
        <w:rPr>
          <w:rFonts w:ascii="Times New Roman" w:hAnsi="Times New Roman"/>
          <w:i/>
          <w:iCs/>
          <w:sz w:val="24"/>
        </w:rPr>
        <w:t xml:space="preserve">Parkes v Prescott </w:t>
      </w:r>
      <w:r w:rsidRPr="000D0631">
        <w:rPr>
          <w:rFonts w:ascii="Times New Roman" w:hAnsi="Times New Roman"/>
          <w:sz w:val="24"/>
        </w:rPr>
        <w:t xml:space="preserve">(1869) LR 4 Exch 169 at 173, in turn quoting Starkie, </w:t>
      </w:r>
      <w:r w:rsidRPr="000D0631">
        <w:rPr>
          <w:rFonts w:ascii="Times New Roman" w:hAnsi="Times New Roman"/>
          <w:i/>
          <w:sz w:val="24"/>
        </w:rPr>
        <w:t>A Treatise on the Law of Slander and Libel</w:t>
      </w:r>
      <w:r w:rsidRPr="000D0631">
        <w:rPr>
          <w:rFonts w:ascii="Times New Roman" w:hAnsi="Times New Roman"/>
          <w:sz w:val="24"/>
        </w:rPr>
        <w:t>, 2nd ed (1830), vol 2 at 225.</w:t>
      </w:r>
    </w:p>
  </w:footnote>
  <w:footnote w:id="230">
    <w:p w14:paraId="1856CAF8"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Talacko v Talacko</w:t>
      </w:r>
      <w:r w:rsidRPr="000D0631">
        <w:rPr>
          <w:rFonts w:ascii="Times New Roman" w:hAnsi="Times New Roman"/>
          <w:iCs/>
          <w:sz w:val="24"/>
        </w:rPr>
        <w:t xml:space="preserve"> </w:t>
      </w:r>
      <w:r w:rsidRPr="000D0631">
        <w:rPr>
          <w:rFonts w:ascii="Times New Roman" w:hAnsi="Times New Roman"/>
          <w:sz w:val="24"/>
        </w:rPr>
        <w:t>(2021) 95 ALJR 417 at 423 [25]; 389 ALR 178 at 184.</w:t>
      </w:r>
    </w:p>
  </w:footnote>
  <w:footnote w:id="231">
    <w:p w14:paraId="54B53FB8"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Thompson v Australian Capital Television Pty Ltd</w:t>
      </w:r>
      <w:r w:rsidRPr="000D0631">
        <w:rPr>
          <w:rFonts w:ascii="Times New Roman" w:hAnsi="Times New Roman"/>
          <w:sz w:val="24"/>
        </w:rPr>
        <w:t xml:space="preserve"> (1996) 186 CLR 574 at 580</w:t>
      </w:r>
      <w:r w:rsidRPr="000D0631">
        <w:rPr>
          <w:rFonts w:ascii="Times New Roman" w:hAnsi="Times New Roman"/>
          <w:sz w:val="24"/>
        </w:rPr>
        <w:noBreakHyphen/>
        <w:t>581.</w:t>
      </w:r>
    </w:p>
  </w:footnote>
  <w:footnote w:id="232">
    <w:p w14:paraId="485A5574"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IL v The Queen </w:t>
      </w:r>
      <w:r w:rsidRPr="000D0631">
        <w:rPr>
          <w:rFonts w:ascii="Times New Roman" w:hAnsi="Times New Roman"/>
          <w:sz w:val="24"/>
        </w:rPr>
        <w:t>(2017) 262 CLR 268</w:t>
      </w:r>
      <w:r w:rsidRPr="000D0631">
        <w:rPr>
          <w:rFonts w:ascii="Times New Roman" w:hAnsi="Times New Roman"/>
          <w:i/>
          <w:iCs/>
          <w:sz w:val="24"/>
        </w:rPr>
        <w:t xml:space="preserve"> </w:t>
      </w:r>
      <w:r w:rsidRPr="000D0631">
        <w:rPr>
          <w:rFonts w:ascii="Times New Roman" w:hAnsi="Times New Roman"/>
          <w:sz w:val="24"/>
        </w:rPr>
        <w:t>at 282 [29].</w:t>
      </w:r>
    </w:p>
  </w:footnote>
  <w:footnote w:id="233">
    <w:p w14:paraId="4C8D144A"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Gray v Motor Accident Commission </w:t>
      </w:r>
      <w:r w:rsidRPr="000D0631">
        <w:rPr>
          <w:rFonts w:ascii="Times New Roman" w:hAnsi="Times New Roman"/>
          <w:sz w:val="24"/>
        </w:rPr>
        <w:t xml:space="preserve">(1998) 196 CLR 1 at 6 [11], quoting </w:t>
      </w:r>
      <w:r w:rsidRPr="000D0631">
        <w:rPr>
          <w:rFonts w:ascii="Times New Roman" w:hAnsi="Times New Roman"/>
          <w:i/>
          <w:iCs/>
          <w:sz w:val="24"/>
        </w:rPr>
        <w:t>Uren v John Fairfax &amp; Sons Pty Ltd</w:t>
      </w:r>
      <w:r w:rsidRPr="000D0631">
        <w:rPr>
          <w:rFonts w:ascii="Times New Roman" w:hAnsi="Times New Roman"/>
          <w:iCs/>
          <w:sz w:val="24"/>
        </w:rPr>
        <w:t xml:space="preserve"> </w:t>
      </w:r>
      <w:r w:rsidRPr="000D0631">
        <w:rPr>
          <w:rFonts w:ascii="Times New Roman" w:hAnsi="Times New Roman"/>
          <w:sz w:val="24"/>
        </w:rPr>
        <w:t>(1966) 117 CLR 118 at 149</w:t>
      </w:r>
      <w:r w:rsidRPr="000D0631">
        <w:rPr>
          <w:rFonts w:ascii="Times New Roman" w:hAnsi="Times New Roman"/>
          <w:sz w:val="24"/>
        </w:rPr>
        <w:noBreakHyphen/>
        <w:t>150.</w:t>
      </w:r>
    </w:p>
  </w:footnote>
  <w:footnote w:id="234">
    <w:p w14:paraId="5B5029DB"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See</w:t>
      </w:r>
      <w:r w:rsidRPr="000D0631">
        <w:rPr>
          <w:rFonts w:ascii="Times New Roman" w:hAnsi="Times New Roman"/>
          <w:i/>
          <w:iCs/>
          <w:sz w:val="24"/>
        </w:rPr>
        <w:t xml:space="preserve"> Thompson v Australian Capital Television Pty Ltd</w:t>
      </w:r>
      <w:r w:rsidRPr="000D0631">
        <w:rPr>
          <w:rFonts w:ascii="Times New Roman" w:hAnsi="Times New Roman"/>
          <w:sz w:val="24"/>
        </w:rPr>
        <w:t xml:space="preserve"> (1996) 186 CLR 574 at 601</w:t>
      </w:r>
      <w:r w:rsidRPr="000D0631">
        <w:rPr>
          <w:rFonts w:ascii="Times New Roman" w:hAnsi="Times New Roman"/>
          <w:sz w:val="24"/>
        </w:rPr>
        <w:noBreakHyphen/>
        <w:t xml:space="preserve">602, citing </w:t>
      </w:r>
      <w:r w:rsidRPr="000D0631">
        <w:rPr>
          <w:rFonts w:ascii="Times New Roman" w:hAnsi="Times New Roman"/>
          <w:i/>
          <w:iCs/>
          <w:sz w:val="24"/>
        </w:rPr>
        <w:t xml:space="preserve">CBS Songs Ltd </w:t>
      </w:r>
      <w:r w:rsidRPr="000D0631">
        <w:rPr>
          <w:rStyle w:val="cosearchterm"/>
          <w:rFonts w:ascii="Times New Roman" w:hAnsi="Times New Roman"/>
          <w:i/>
          <w:iCs/>
          <w:sz w:val="24"/>
        </w:rPr>
        <w:t>v</w:t>
      </w:r>
      <w:r w:rsidRPr="000D0631">
        <w:rPr>
          <w:rFonts w:ascii="Times New Roman" w:hAnsi="Times New Roman"/>
          <w:i/>
          <w:iCs/>
          <w:sz w:val="24"/>
        </w:rPr>
        <w:t xml:space="preserve"> Amstrad Consumer Electronics </w:t>
      </w:r>
      <w:r w:rsidRPr="000D0631">
        <w:rPr>
          <w:rFonts w:ascii="Times New Roman" w:hAnsi="Times New Roman"/>
          <w:i/>
          <w:sz w:val="24"/>
        </w:rPr>
        <w:t xml:space="preserve">Plc </w:t>
      </w:r>
      <w:r w:rsidRPr="000D0631">
        <w:rPr>
          <w:rFonts w:ascii="Times New Roman" w:hAnsi="Times New Roman"/>
          <w:sz w:val="24"/>
        </w:rPr>
        <w:t xml:space="preserve">[1988] AC 1013. See also </w:t>
      </w:r>
      <w:r w:rsidRPr="000D0631">
        <w:rPr>
          <w:rFonts w:ascii="Times New Roman" w:hAnsi="Times New Roman"/>
          <w:i/>
          <w:iCs/>
          <w:sz w:val="24"/>
        </w:rPr>
        <w:t xml:space="preserve">Credit Lyonnais Bank Nederland NV (now Generale Bank Nederland NV) </w:t>
      </w:r>
      <w:r w:rsidRPr="000D0631">
        <w:rPr>
          <w:rStyle w:val="cosearchterm"/>
          <w:rFonts w:ascii="Times New Roman" w:hAnsi="Times New Roman"/>
          <w:i/>
          <w:sz w:val="24"/>
        </w:rPr>
        <w:t>v</w:t>
      </w:r>
      <w:r w:rsidRPr="000D0631">
        <w:rPr>
          <w:rFonts w:ascii="Times New Roman" w:hAnsi="Times New Roman"/>
          <w:i/>
          <w:sz w:val="24"/>
        </w:rPr>
        <w:t xml:space="preserve"> Export Credit Guarantee Department </w:t>
      </w:r>
      <w:r w:rsidRPr="000D0631">
        <w:rPr>
          <w:rFonts w:ascii="Times New Roman" w:hAnsi="Times New Roman"/>
          <w:sz w:val="24"/>
        </w:rPr>
        <w:t xml:space="preserve">[1998] 1 Lloyd's Rep 19 at 46; </w:t>
      </w:r>
      <w:r w:rsidRPr="000D0631">
        <w:rPr>
          <w:rFonts w:ascii="Times New Roman" w:hAnsi="Times New Roman"/>
          <w:i/>
          <w:sz w:val="24"/>
        </w:rPr>
        <w:t xml:space="preserve">Vestergaard Frandsen A/S </w:t>
      </w:r>
      <w:r w:rsidRPr="000D0631">
        <w:rPr>
          <w:rStyle w:val="cosearchterm"/>
          <w:rFonts w:ascii="Times New Roman" w:hAnsi="Times New Roman"/>
          <w:i/>
          <w:sz w:val="24"/>
        </w:rPr>
        <w:t>v</w:t>
      </w:r>
      <w:r w:rsidRPr="000D0631">
        <w:rPr>
          <w:rFonts w:ascii="Times New Roman" w:hAnsi="Times New Roman"/>
          <w:i/>
          <w:sz w:val="24"/>
        </w:rPr>
        <w:t xml:space="preserve"> Bestnet Europe Ltd </w:t>
      </w:r>
      <w:r w:rsidRPr="000D0631">
        <w:rPr>
          <w:rFonts w:ascii="Times New Roman" w:hAnsi="Times New Roman"/>
          <w:sz w:val="24"/>
        </w:rPr>
        <w:t>[2013] 1 WLR 1556 at 1564</w:t>
      </w:r>
      <w:r w:rsidRPr="000D0631">
        <w:rPr>
          <w:rFonts w:ascii="Times New Roman" w:hAnsi="Times New Roman"/>
          <w:sz w:val="24"/>
        </w:rPr>
        <w:noBreakHyphen/>
        <w:t>1565 [34]</w:t>
      </w:r>
      <w:r w:rsidRPr="000D0631">
        <w:rPr>
          <w:rFonts w:ascii="Times New Roman" w:hAnsi="Times New Roman"/>
          <w:sz w:val="24"/>
        </w:rPr>
        <w:noBreakHyphen/>
        <w:t>[35]; [2013] 4 All ER 781 at 790</w:t>
      </w:r>
      <w:r w:rsidRPr="000D0631">
        <w:rPr>
          <w:rFonts w:ascii="Times New Roman" w:hAnsi="Times New Roman"/>
          <w:sz w:val="24"/>
        </w:rPr>
        <w:noBreakHyphen/>
        <w:t xml:space="preserve">791; </w:t>
      </w:r>
      <w:r w:rsidRPr="000D0631">
        <w:rPr>
          <w:rFonts w:ascii="Times New Roman" w:hAnsi="Times New Roman"/>
          <w:i/>
          <w:sz w:val="24"/>
        </w:rPr>
        <w:t>Fish &amp; Fish Ltd v Sea Shepherd UK</w:t>
      </w:r>
      <w:r w:rsidRPr="000D0631">
        <w:rPr>
          <w:rFonts w:ascii="Times New Roman" w:hAnsi="Times New Roman"/>
          <w:sz w:val="24"/>
        </w:rPr>
        <w:t xml:space="preserve"> [2015] AC 1229 at 1244 [40].</w:t>
      </w:r>
    </w:p>
  </w:footnote>
  <w:footnote w:id="235">
    <w:p w14:paraId="2D62A1A2"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[1924] P 140 at 156, applied in </w:t>
      </w:r>
      <w:r w:rsidRPr="000D0631">
        <w:rPr>
          <w:rFonts w:ascii="Times New Roman" w:hAnsi="Times New Roman"/>
          <w:i/>
          <w:sz w:val="24"/>
        </w:rPr>
        <w:t xml:space="preserve">Bourke v Jessop [No 3] </w:t>
      </w:r>
      <w:r w:rsidRPr="000D0631">
        <w:rPr>
          <w:rFonts w:ascii="Times New Roman" w:hAnsi="Times New Roman"/>
          <w:sz w:val="24"/>
        </w:rPr>
        <w:t>[1935] NZLR 246 at 259</w:t>
      </w:r>
      <w:r w:rsidRPr="000D0631">
        <w:rPr>
          <w:rFonts w:ascii="Times New Roman" w:hAnsi="Times New Roman"/>
          <w:sz w:val="24"/>
        </w:rPr>
        <w:noBreakHyphen/>
        <w:t xml:space="preserve">260; </w:t>
      </w:r>
      <w:r w:rsidRPr="000D0631">
        <w:rPr>
          <w:rFonts w:ascii="Times New Roman" w:hAnsi="Times New Roman"/>
          <w:i/>
          <w:sz w:val="24"/>
        </w:rPr>
        <w:t xml:space="preserve">Nilon v Bezzina </w:t>
      </w:r>
      <w:r w:rsidRPr="000D0631">
        <w:rPr>
          <w:rFonts w:ascii="Times New Roman" w:hAnsi="Times New Roman"/>
          <w:sz w:val="24"/>
        </w:rPr>
        <w:t xml:space="preserve">[1988] 2 Qd R 420 at 424; </w:t>
      </w:r>
      <w:r w:rsidRPr="000D0631">
        <w:rPr>
          <w:rFonts w:ascii="Times New Roman" w:hAnsi="Times New Roman"/>
          <w:i/>
          <w:sz w:val="24"/>
        </w:rPr>
        <w:t xml:space="preserve">Myer Stores Ltd v Soo </w:t>
      </w:r>
      <w:r w:rsidRPr="000D0631">
        <w:rPr>
          <w:rFonts w:ascii="Times New Roman" w:hAnsi="Times New Roman"/>
          <w:sz w:val="24"/>
        </w:rPr>
        <w:t xml:space="preserve">[1991] 2 VR 597 at 630. See also </w:t>
      </w:r>
      <w:r w:rsidRPr="000D0631">
        <w:rPr>
          <w:rFonts w:ascii="Times New Roman" w:hAnsi="Times New Roman"/>
          <w:i/>
          <w:sz w:val="24"/>
        </w:rPr>
        <w:t xml:space="preserve">Unilever Plc v Gillette (UK) Ltd </w:t>
      </w:r>
      <w:r w:rsidRPr="000D0631">
        <w:rPr>
          <w:rFonts w:ascii="Times New Roman" w:hAnsi="Times New Roman"/>
          <w:sz w:val="24"/>
        </w:rPr>
        <w:t>[1989] RPC 583 at 608</w:t>
      </w:r>
      <w:r w:rsidRPr="000D0631">
        <w:rPr>
          <w:rFonts w:ascii="Times New Roman" w:hAnsi="Times New Roman"/>
          <w:sz w:val="24"/>
        </w:rPr>
        <w:noBreakHyphen/>
        <w:t xml:space="preserve">609; </w:t>
      </w:r>
      <w:r w:rsidRPr="000D0631">
        <w:rPr>
          <w:rFonts w:ascii="Times New Roman" w:hAnsi="Times New Roman"/>
          <w:i/>
          <w:sz w:val="24"/>
        </w:rPr>
        <w:t>Thompson v Australian Capital Television Pty Ltd</w:t>
      </w:r>
      <w:r w:rsidRPr="000D0631">
        <w:rPr>
          <w:rFonts w:ascii="Times New Roman" w:hAnsi="Times New Roman"/>
          <w:sz w:val="24"/>
        </w:rPr>
        <w:t xml:space="preserve"> (1996) 186 CLR 574 at 580</w:t>
      </w:r>
      <w:r w:rsidRPr="000D0631">
        <w:rPr>
          <w:rFonts w:ascii="Times New Roman" w:hAnsi="Times New Roman"/>
          <w:sz w:val="24"/>
        </w:rPr>
        <w:noBreakHyphen/>
        <w:t xml:space="preserve">581, 602; </w:t>
      </w:r>
      <w:r w:rsidRPr="000D0631">
        <w:rPr>
          <w:rFonts w:ascii="Times New Roman" w:hAnsi="Times New Roman"/>
          <w:i/>
          <w:sz w:val="24"/>
        </w:rPr>
        <w:t xml:space="preserve">Fish &amp; Fish Ltd v Sea Shepherd UK </w:t>
      </w:r>
      <w:r w:rsidRPr="000D0631">
        <w:rPr>
          <w:rFonts w:ascii="Times New Roman" w:hAnsi="Times New Roman"/>
          <w:sz w:val="24"/>
        </w:rPr>
        <w:t>[2015] AC 1229 at 1242</w:t>
      </w:r>
      <w:r w:rsidRPr="000D0631">
        <w:rPr>
          <w:rFonts w:ascii="Times New Roman" w:hAnsi="Times New Roman"/>
          <w:sz w:val="24"/>
        </w:rPr>
        <w:noBreakHyphen/>
        <w:t>1243 [37].</w:t>
      </w:r>
    </w:p>
  </w:footnote>
  <w:footnote w:id="236">
    <w:p w14:paraId="3BDF8CFB" w14:textId="77777777" w:rsidR="0019155E" w:rsidRPr="000D0631" w:rsidRDefault="0019155E" w:rsidP="000D0631">
      <w:pPr>
        <w:pStyle w:val="FootnoteText"/>
        <w:spacing w:line="280" w:lineRule="exact"/>
        <w:ind w:right="0"/>
        <w:jc w:val="both"/>
        <w:rPr>
          <w:rFonts w:ascii="Times New Roman" w:hAnsi="Times New Roman"/>
          <w:i/>
          <w:iCs/>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American Law Institute, </w:t>
      </w:r>
      <w:r w:rsidRPr="000D0631">
        <w:rPr>
          <w:rFonts w:ascii="Times New Roman" w:hAnsi="Times New Roman"/>
          <w:i/>
          <w:iCs/>
          <w:sz w:val="24"/>
        </w:rPr>
        <w:t xml:space="preserve">Restatement (Second) of Torts </w:t>
      </w:r>
      <w:r w:rsidRPr="000D0631">
        <w:rPr>
          <w:rFonts w:ascii="Times New Roman" w:hAnsi="Times New Roman"/>
          <w:sz w:val="24"/>
        </w:rPr>
        <w:t>(1979) at 315-318 §876(a)</w:t>
      </w:r>
      <w:r w:rsidRPr="000D0631">
        <w:rPr>
          <w:rFonts w:ascii="Times New Roman" w:hAnsi="Times New Roman"/>
          <w:sz w:val="24"/>
        </w:rPr>
        <w:noBreakHyphen/>
        <w:t>(b).</w:t>
      </w:r>
    </w:p>
  </w:footnote>
  <w:footnote w:id="237">
    <w:p w14:paraId="0A305DD1"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Dar Al Arkan Real Estate Development Company v Al Refai </w:t>
      </w:r>
      <w:r w:rsidRPr="000D0631">
        <w:rPr>
          <w:rFonts w:ascii="Times New Roman" w:hAnsi="Times New Roman"/>
          <w:sz w:val="24"/>
        </w:rPr>
        <w:t>[2013] EWHC 1630 (Comm) at [30]. See also</w:t>
      </w:r>
      <w:r w:rsidRPr="000D0631">
        <w:rPr>
          <w:rFonts w:ascii="Times New Roman" w:hAnsi="Times New Roman"/>
          <w:sz w:val="24"/>
          <w:szCs w:val="20"/>
        </w:rPr>
        <w:t xml:space="preserve"> </w:t>
      </w:r>
      <w:r w:rsidRPr="000D0631">
        <w:rPr>
          <w:rFonts w:ascii="Times New Roman" w:hAnsi="Times New Roman"/>
          <w:sz w:val="24"/>
        </w:rPr>
        <w:t xml:space="preserve">Mullis and Parkes (eds), </w:t>
      </w:r>
      <w:r w:rsidRPr="000D0631">
        <w:rPr>
          <w:rFonts w:ascii="Times New Roman" w:hAnsi="Times New Roman"/>
          <w:i/>
          <w:iCs/>
          <w:sz w:val="24"/>
        </w:rPr>
        <w:t xml:space="preserve">Gatley on Libel and </w:t>
      </w:r>
      <w:r w:rsidRPr="000D0631">
        <w:rPr>
          <w:rFonts w:ascii="Times New Roman" w:hAnsi="Times New Roman"/>
          <w:i/>
          <w:sz w:val="24"/>
        </w:rPr>
        <w:t>Slander</w:t>
      </w:r>
      <w:r w:rsidRPr="000D0631">
        <w:rPr>
          <w:rFonts w:ascii="Times New Roman" w:hAnsi="Times New Roman"/>
          <w:sz w:val="24"/>
        </w:rPr>
        <w:t>, 12th ed (2013) at 200-201 [6.11].</w:t>
      </w:r>
      <w:bookmarkStart w:id="2" w:name="_Hlk77927259"/>
    </w:p>
    <w:bookmarkEnd w:id="2"/>
  </w:footnote>
  <w:footnote w:id="238">
    <w:p w14:paraId="7C8BCC3A"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(1928) 41 CLR 331 at 364 (emphasis of Isaacs J).</w:t>
      </w:r>
    </w:p>
  </w:footnote>
  <w:footnote w:id="239">
    <w:p w14:paraId="1A26BAD8"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(1696) 5 Mod 163 at 167 [87 ER 584 at 587].</w:t>
      </w:r>
    </w:p>
  </w:footnote>
  <w:footnote w:id="240">
    <w:p w14:paraId="5ADAA7FD"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Williams, </w:t>
      </w:r>
      <w:r w:rsidRPr="000D0631">
        <w:rPr>
          <w:rFonts w:ascii="Times New Roman" w:hAnsi="Times New Roman"/>
          <w:i/>
          <w:sz w:val="24"/>
        </w:rPr>
        <w:t>Joint Torts and Contributory Negligence</w:t>
      </w:r>
      <w:r w:rsidRPr="000D0631">
        <w:rPr>
          <w:rFonts w:ascii="Times New Roman" w:hAnsi="Times New Roman"/>
          <w:sz w:val="24"/>
        </w:rPr>
        <w:t xml:space="preserve"> (1951) at 10.</w:t>
      </w:r>
    </w:p>
  </w:footnote>
  <w:footnote w:id="241">
    <w:p w14:paraId="116B859B"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(1996) 186 CLR 574 at 581, fn 35.</w:t>
      </w:r>
    </w:p>
  </w:footnote>
  <w:footnote w:id="242">
    <w:p w14:paraId="64F145FA"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Mullis and Parkes (eds), </w:t>
      </w:r>
      <w:r w:rsidRPr="000D0631">
        <w:rPr>
          <w:rFonts w:ascii="Times New Roman" w:hAnsi="Times New Roman"/>
          <w:i/>
          <w:iCs/>
          <w:sz w:val="24"/>
        </w:rPr>
        <w:t xml:space="preserve">Gatley on Libel and </w:t>
      </w:r>
      <w:r w:rsidRPr="000D0631">
        <w:rPr>
          <w:rFonts w:ascii="Times New Roman" w:hAnsi="Times New Roman"/>
          <w:i/>
          <w:sz w:val="24"/>
        </w:rPr>
        <w:t>Slander</w:t>
      </w:r>
      <w:r w:rsidRPr="000D0631">
        <w:rPr>
          <w:rFonts w:ascii="Times New Roman" w:hAnsi="Times New Roman"/>
          <w:sz w:val="24"/>
        </w:rPr>
        <w:t>, 12th ed (2013) at 200-201 [6.11].</w:t>
      </w:r>
    </w:p>
  </w:footnote>
  <w:footnote w:id="243">
    <w:p w14:paraId="17166A47"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Quoting </w:t>
      </w:r>
      <w:r w:rsidRPr="000D0631">
        <w:rPr>
          <w:rFonts w:ascii="Times New Roman" w:hAnsi="Times New Roman"/>
          <w:i/>
          <w:iCs/>
          <w:sz w:val="24"/>
        </w:rPr>
        <w:t xml:space="preserve">R v Paine </w:t>
      </w:r>
      <w:r w:rsidRPr="000D0631">
        <w:rPr>
          <w:rFonts w:ascii="Times New Roman" w:hAnsi="Times New Roman"/>
          <w:sz w:val="24"/>
        </w:rPr>
        <w:t>(1696) 5 Mod 163 at 167 [87 ER 584 at 587].</w:t>
      </w:r>
    </w:p>
  </w:footnote>
  <w:footnote w:id="244">
    <w:p w14:paraId="51F7F331"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Collins, </w:t>
      </w:r>
      <w:r w:rsidRPr="000D0631">
        <w:rPr>
          <w:rFonts w:ascii="Times New Roman" w:hAnsi="Times New Roman"/>
          <w:i/>
          <w:sz w:val="24"/>
        </w:rPr>
        <w:t>The Law of Defamation and the Internet</w:t>
      </w:r>
      <w:r w:rsidRPr="000D0631">
        <w:rPr>
          <w:rFonts w:ascii="Times New Roman" w:hAnsi="Times New Roman"/>
          <w:sz w:val="24"/>
        </w:rPr>
        <w:t xml:space="preserve">, 1st ed (2001) at 173-174 [15.36]; Collins, </w:t>
      </w:r>
      <w:r w:rsidRPr="000D0631">
        <w:rPr>
          <w:rFonts w:ascii="Times New Roman" w:hAnsi="Times New Roman"/>
          <w:i/>
          <w:sz w:val="24"/>
        </w:rPr>
        <w:t>The Law of Defamation and the Internet</w:t>
      </w:r>
      <w:r w:rsidRPr="000D0631">
        <w:rPr>
          <w:rFonts w:ascii="Times New Roman" w:hAnsi="Times New Roman"/>
          <w:sz w:val="24"/>
        </w:rPr>
        <w:t>, 2nd ed (2005) at 199 [15.38].</w:t>
      </w:r>
    </w:p>
  </w:footnote>
  <w:footnote w:id="245">
    <w:p w14:paraId="303990FE"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 xml:space="preserve">Collins, </w:t>
      </w:r>
      <w:r w:rsidRPr="000D0631">
        <w:rPr>
          <w:rFonts w:ascii="Times New Roman" w:hAnsi="Times New Roman"/>
          <w:i/>
          <w:iCs/>
          <w:sz w:val="24"/>
        </w:rPr>
        <w:t>The Law of Defamation and the Internet</w:t>
      </w:r>
      <w:r w:rsidRPr="000D0631">
        <w:rPr>
          <w:rFonts w:ascii="Times New Roman" w:hAnsi="Times New Roman"/>
          <w:sz w:val="24"/>
        </w:rPr>
        <w:t xml:space="preserve">, 3rd ed (2010) at 106-107 [6.18], citing </w:t>
      </w:r>
      <w:r w:rsidRPr="000D0631">
        <w:rPr>
          <w:rFonts w:ascii="Times New Roman" w:hAnsi="Times New Roman"/>
          <w:i/>
          <w:iCs/>
          <w:sz w:val="24"/>
        </w:rPr>
        <w:t xml:space="preserve">Bunt v Tilley </w:t>
      </w:r>
      <w:r w:rsidRPr="000D0631">
        <w:rPr>
          <w:rFonts w:ascii="Times New Roman" w:hAnsi="Times New Roman"/>
          <w:iCs/>
          <w:sz w:val="24"/>
        </w:rPr>
        <w:t xml:space="preserve">[2007] 1 WLR 1243 at 1246 [10]; </w:t>
      </w:r>
      <w:r w:rsidRPr="000D0631">
        <w:rPr>
          <w:rFonts w:ascii="Times New Roman" w:hAnsi="Times New Roman"/>
          <w:sz w:val="24"/>
        </w:rPr>
        <w:t>[2006] 3 All ER 336 at 339</w:t>
      </w:r>
      <w:r w:rsidRPr="000D0631">
        <w:rPr>
          <w:rFonts w:ascii="Times New Roman" w:hAnsi="Times New Roman"/>
          <w:sz w:val="24"/>
        </w:rPr>
        <w:noBreakHyphen/>
        <w:t>340;</w:t>
      </w:r>
      <w:r w:rsidRPr="000D0631">
        <w:rPr>
          <w:rFonts w:ascii="Times New Roman" w:hAnsi="Times New Roman"/>
          <w:i/>
          <w:iCs/>
          <w:sz w:val="24"/>
        </w:rPr>
        <w:t xml:space="preserve"> Metropolitan International Schools Ltd v Designtechnica Corpn</w:t>
      </w:r>
      <w:r w:rsidRPr="000D0631">
        <w:rPr>
          <w:rFonts w:ascii="Times New Roman" w:hAnsi="Times New Roman"/>
          <w:sz w:val="24"/>
        </w:rPr>
        <w:t xml:space="preserve"> [2011] 1 WLR 1743 at 1752</w:t>
      </w:r>
      <w:r w:rsidRPr="000D0631">
        <w:rPr>
          <w:rFonts w:ascii="Times New Roman" w:hAnsi="Times New Roman"/>
          <w:sz w:val="24"/>
        </w:rPr>
        <w:noBreakHyphen/>
        <w:t>1753 [40]</w:t>
      </w:r>
      <w:r w:rsidRPr="000D0631">
        <w:rPr>
          <w:rFonts w:ascii="Times New Roman" w:hAnsi="Times New Roman"/>
          <w:sz w:val="24"/>
        </w:rPr>
        <w:noBreakHyphen/>
        <w:t>[41]; [2010] 3 All ER 548 at 557-558.</w:t>
      </w:r>
    </w:p>
  </w:footnote>
  <w:footnote w:id="246">
    <w:p w14:paraId="2B7C3338"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t>A second proprietor, who was also the secretary, was held to be liable by all members of the Court.</w:t>
      </w:r>
    </w:p>
  </w:footnote>
  <w:footnote w:id="247">
    <w:p w14:paraId="56C5C81B"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Byrne v Deane </w:t>
      </w:r>
      <w:r w:rsidRPr="000D0631">
        <w:rPr>
          <w:rFonts w:ascii="Times New Roman" w:hAnsi="Times New Roman"/>
          <w:sz w:val="24"/>
        </w:rPr>
        <w:t>[1937] 1 KB 818 at 838.</w:t>
      </w:r>
    </w:p>
  </w:footnote>
  <w:footnote w:id="248">
    <w:p w14:paraId="7C9A88B3"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Hellar v Bianco</w:t>
      </w:r>
      <w:r w:rsidRPr="000D0631">
        <w:rPr>
          <w:rFonts w:ascii="Times New Roman" w:hAnsi="Times New Roman"/>
          <w:sz w:val="24"/>
        </w:rPr>
        <w:t xml:space="preserve"> </w:t>
      </w:r>
      <w:r w:rsidRPr="000D0631">
        <w:rPr>
          <w:rFonts w:ascii="Times New Roman" w:hAnsi="Times New Roman"/>
          <w:iCs/>
          <w:sz w:val="24"/>
        </w:rPr>
        <w:t>(1952)</w:t>
      </w:r>
      <w:r w:rsidRPr="000D0631">
        <w:rPr>
          <w:rFonts w:ascii="Times New Roman" w:hAnsi="Times New Roman"/>
          <w:i/>
          <w:iCs/>
          <w:sz w:val="24"/>
        </w:rPr>
        <w:t xml:space="preserve"> </w:t>
      </w:r>
      <w:r w:rsidRPr="000D0631">
        <w:rPr>
          <w:rFonts w:ascii="Times New Roman" w:hAnsi="Times New Roman"/>
          <w:sz w:val="24"/>
        </w:rPr>
        <w:t>244 P 2d 757 at 759</w:t>
      </w:r>
      <w:r w:rsidRPr="000D0631">
        <w:rPr>
          <w:rFonts w:ascii="Times New Roman" w:hAnsi="Times New Roman"/>
          <w:sz w:val="24"/>
          <w:szCs w:val="18"/>
        </w:rPr>
        <w:t>.</w:t>
      </w:r>
    </w:p>
  </w:footnote>
  <w:footnote w:id="249">
    <w:p w14:paraId="4F7B3383"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Urbanchich v Drummoyne Municipal Council </w:t>
      </w:r>
      <w:r w:rsidRPr="000D0631">
        <w:rPr>
          <w:rFonts w:ascii="Times New Roman" w:hAnsi="Times New Roman"/>
          <w:sz w:val="24"/>
        </w:rPr>
        <w:t>(1991) Aust Torts Reports ¶81</w:t>
      </w:r>
      <w:r w:rsidRPr="000D0631">
        <w:rPr>
          <w:rFonts w:ascii="Times New Roman" w:hAnsi="Times New Roman"/>
          <w:sz w:val="24"/>
        </w:rPr>
        <w:noBreakHyphen/>
        <w:t xml:space="preserve">127 at 69,193; </w:t>
      </w:r>
      <w:r w:rsidRPr="000D0631">
        <w:rPr>
          <w:rFonts w:ascii="Times New Roman" w:hAnsi="Times New Roman"/>
          <w:i/>
          <w:iCs/>
          <w:sz w:val="24"/>
        </w:rPr>
        <w:t xml:space="preserve">Oriental Press Group Ltd v Fevaworks Solutions Ltd </w:t>
      </w:r>
      <w:r w:rsidRPr="000D0631">
        <w:rPr>
          <w:rFonts w:ascii="Times New Roman" w:hAnsi="Times New Roman"/>
          <w:sz w:val="24"/>
        </w:rPr>
        <w:t>(2013) 16 HKCFAR 366 at 384-386 [41]-[44].</w:t>
      </w:r>
    </w:p>
  </w:footnote>
  <w:footnote w:id="250">
    <w:p w14:paraId="4474056D"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Parkes v Prescott </w:t>
      </w:r>
      <w:r w:rsidRPr="000D0631">
        <w:rPr>
          <w:rFonts w:ascii="Times New Roman" w:hAnsi="Times New Roman"/>
          <w:sz w:val="24"/>
        </w:rPr>
        <w:t>(1869) LR 4 Exch 169 at 177.</w:t>
      </w:r>
    </w:p>
  </w:footnote>
  <w:footnote w:id="251">
    <w:p w14:paraId="32010276" w14:textId="77777777" w:rsidR="0019155E" w:rsidRPr="000D0631" w:rsidRDefault="0019155E" w:rsidP="000D0631">
      <w:pPr>
        <w:pStyle w:val="FootnoteText"/>
        <w:spacing w:line="280" w:lineRule="exact"/>
        <w:ind w:right="0"/>
        <w:jc w:val="both"/>
        <w:rPr>
          <w:rFonts w:ascii="Times New Roman" w:hAnsi="Times New Roman"/>
          <w:sz w:val="24"/>
        </w:rPr>
      </w:pPr>
      <w:r w:rsidRPr="000D0631">
        <w:rPr>
          <w:rStyle w:val="FootnoteReference"/>
          <w:rFonts w:ascii="Times New Roman" w:hAnsi="Times New Roman"/>
          <w:sz w:val="22"/>
          <w:vertAlign w:val="baseline"/>
        </w:rPr>
        <w:footnoteRef/>
      </w:r>
      <w:r w:rsidRPr="000D0631">
        <w:rPr>
          <w:rFonts w:ascii="Times New Roman" w:hAnsi="Times New Roman"/>
          <w:sz w:val="24"/>
        </w:rPr>
        <w:t xml:space="preserve"> </w:t>
      </w:r>
      <w:r w:rsidRPr="000D0631">
        <w:rPr>
          <w:rFonts w:ascii="Times New Roman" w:hAnsi="Times New Roman"/>
          <w:sz w:val="24"/>
        </w:rPr>
        <w:tab/>
      </w:r>
      <w:r w:rsidRPr="000D0631">
        <w:rPr>
          <w:rFonts w:ascii="Times New Roman" w:hAnsi="Times New Roman"/>
          <w:i/>
          <w:iCs/>
          <w:sz w:val="24"/>
        </w:rPr>
        <w:t xml:space="preserve">R v Cooper </w:t>
      </w:r>
      <w:r w:rsidRPr="000D0631">
        <w:rPr>
          <w:rFonts w:ascii="Times New Roman" w:hAnsi="Times New Roman"/>
          <w:sz w:val="24"/>
        </w:rPr>
        <w:t xml:space="preserve">(1846) 8 QB 533 at 536 [115 ER 976 at 977], quoted with approval in </w:t>
      </w:r>
      <w:r w:rsidRPr="000D0631">
        <w:rPr>
          <w:rFonts w:ascii="Times New Roman" w:hAnsi="Times New Roman"/>
          <w:i/>
          <w:iCs/>
          <w:sz w:val="24"/>
        </w:rPr>
        <w:t xml:space="preserve">Webb v Bloch </w:t>
      </w:r>
      <w:r w:rsidRPr="000D0631">
        <w:rPr>
          <w:rFonts w:ascii="Times New Roman" w:hAnsi="Times New Roman"/>
          <w:sz w:val="24"/>
        </w:rPr>
        <w:t>(1928) 41 CLR 331 at 364.</w:t>
      </w:r>
    </w:p>
  </w:footnote>
  <w:footnote w:id="252">
    <w:p w14:paraId="0FE5D2B4"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(1928) 41 CLR 331 at 363-364.</w:t>
      </w:r>
    </w:p>
  </w:footnote>
  <w:footnote w:id="253">
    <w:p w14:paraId="7ED1015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 xml:space="preserve">[2019] NSWSC 766 at [35] per Rothman J. </w:t>
      </w:r>
    </w:p>
  </w:footnote>
  <w:footnote w:id="254">
    <w:p w14:paraId="332DE237"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However, it was accepted that the appellants could, in advance, "block all comments on the public Facebook page", but the effect of this would be that "no comments could ever be made or seen and the process cannot be reversed": </w:t>
      </w:r>
      <w:r w:rsidRPr="00A25CAF">
        <w:rPr>
          <w:rFonts w:ascii="Times New Roman" w:hAnsi="Times New Roman"/>
          <w:i/>
          <w:sz w:val="24"/>
        </w:rPr>
        <w:t xml:space="preserve">Voller v Nationwide News Pty Ltd </w:t>
      </w:r>
      <w:r w:rsidRPr="00A25CAF">
        <w:rPr>
          <w:rFonts w:ascii="Times New Roman" w:hAnsi="Times New Roman"/>
          <w:sz w:val="24"/>
        </w:rPr>
        <w:t>[2019] NSWSC 766 at [29], [56], [90(iv)], [138] per Rothman J.</w:t>
      </w:r>
    </w:p>
  </w:footnote>
  <w:footnote w:id="255">
    <w:p w14:paraId="024C3006"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[14] per Rothman J.</w:t>
      </w:r>
    </w:p>
  </w:footnote>
  <w:footnote w:id="256">
    <w:p w14:paraId="3FDB1A11"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(1934) 51 CLR 276 at 288.</w:t>
      </w:r>
    </w:p>
  </w:footnote>
  <w:footnote w:id="257">
    <w:p w14:paraId="5383C762"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[59] per Rothman J.</w:t>
      </w:r>
    </w:p>
  </w:footnote>
  <w:footnote w:id="258">
    <w:p w14:paraId="0184D6D8"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[59] per Rothman J.</w:t>
      </w:r>
    </w:p>
  </w:footnote>
  <w:footnote w:id="259">
    <w:p w14:paraId="6032C095"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 xml:space="preserve">[2019] NSWSC 766 at [62], [64] per Rothman J. However, Australian News Channel did assess the risk associated with the content of particular stories on the persons featured as published on its digital news website: at [60]. </w:t>
      </w:r>
    </w:p>
  </w:footnote>
  <w:footnote w:id="260">
    <w:p w14:paraId="1613031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[60] per Rothman J. Evidence was also given of the same commercial purpose for Nationwide News and Fairfax Media: at [68], [79].</w:t>
      </w:r>
    </w:p>
  </w:footnote>
  <w:footnote w:id="261">
    <w:p w14:paraId="726ABBC2"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[76]</w:t>
      </w:r>
      <w:r w:rsidRPr="00A25CAF">
        <w:rPr>
          <w:rFonts w:ascii="Times New Roman" w:hAnsi="Times New Roman"/>
          <w:sz w:val="24"/>
        </w:rPr>
        <w:noBreakHyphen/>
        <w:t>[77] per Rothman J. Similarly, Australian News Channel accepted that one of its posts was "likely to provoke comments": at [61].</w:t>
      </w:r>
    </w:p>
  </w:footnote>
  <w:footnote w:id="262">
    <w:p w14:paraId="03B1EDF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[84] per Rothman J. </w:t>
      </w:r>
    </w:p>
  </w:footnote>
  <w:footnote w:id="263">
    <w:p w14:paraId="5C0343E5"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[90] per Rothman J.</w:t>
      </w:r>
    </w:p>
  </w:footnote>
  <w:footnote w:id="264">
    <w:p w14:paraId="04508B40"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See, eg, </w:t>
      </w:r>
      <w:r w:rsidRPr="00A25CAF">
        <w:rPr>
          <w:rFonts w:ascii="Times New Roman" w:hAnsi="Times New Roman"/>
          <w:i/>
          <w:sz w:val="24"/>
        </w:rPr>
        <w:t>Lee v Wilson &amp; Mackinnon</w:t>
      </w:r>
      <w:r w:rsidRPr="00A25CAF">
        <w:rPr>
          <w:rFonts w:ascii="Times New Roman" w:hAnsi="Times New Roman"/>
          <w:sz w:val="24"/>
        </w:rPr>
        <w:t xml:space="preserve"> (1934) 51 CLR 276 at 288 per Dixon J; </w:t>
      </w:r>
      <w:r w:rsidRPr="00A25CAF">
        <w:rPr>
          <w:rFonts w:ascii="Times New Roman" w:hAnsi="Times New Roman"/>
          <w:i/>
          <w:sz w:val="24"/>
        </w:rPr>
        <w:t xml:space="preserve">Dow Jones &amp; Co Inc v Gutnick </w:t>
      </w:r>
      <w:r w:rsidRPr="00A25CAF">
        <w:rPr>
          <w:rFonts w:ascii="Times New Roman" w:hAnsi="Times New Roman"/>
          <w:sz w:val="24"/>
        </w:rPr>
        <w:t xml:space="preserve">(2002) 210 CLR 575 at 600 [25] per Gleeson CJ, McHugh, Gummow and Hayne JJ. </w:t>
      </w:r>
    </w:p>
  </w:footnote>
  <w:footnote w:id="265">
    <w:p w14:paraId="20FACEAC"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Emmens v Pottle</w:t>
      </w:r>
      <w:r w:rsidRPr="00A25CAF">
        <w:rPr>
          <w:rFonts w:ascii="Times New Roman" w:hAnsi="Times New Roman"/>
          <w:sz w:val="24"/>
        </w:rPr>
        <w:t xml:space="preserve"> (1885) 16 QBD 354 at 357 per Lord Esher MR (Cotton LJ agreeing), 358 per Bowen LJ; </w:t>
      </w:r>
      <w:r w:rsidRPr="00A25CAF">
        <w:rPr>
          <w:rFonts w:ascii="Times New Roman" w:hAnsi="Times New Roman"/>
          <w:i/>
          <w:sz w:val="24"/>
        </w:rPr>
        <w:t xml:space="preserve">Vizetelly v Mudie's Select Library Ltd </w:t>
      </w:r>
      <w:r w:rsidRPr="00A25CAF">
        <w:rPr>
          <w:rFonts w:ascii="Times New Roman" w:hAnsi="Times New Roman"/>
          <w:sz w:val="24"/>
        </w:rPr>
        <w:t>[1900] 2 QB 170 at 176 per A L Smith LJ, 178 per Vaughan Williams LJ, 180 per Romer LJ.</w:t>
      </w:r>
    </w:p>
  </w:footnote>
  <w:footnote w:id="266">
    <w:p w14:paraId="50D76DB5"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(2013) 16 HKCFAR 366 at 380-381 [29] per Ribeiro PJ (Ma CJ, Chan PJ and Litton and Gleeson NPJJ agreeing).</w:t>
      </w:r>
    </w:p>
  </w:footnote>
  <w:footnote w:id="267">
    <w:p w14:paraId="73988EB2"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Defamation Act</w:t>
      </w:r>
      <w:r w:rsidRPr="00A25CAF">
        <w:rPr>
          <w:rFonts w:ascii="Times New Roman" w:hAnsi="Times New Roman"/>
          <w:sz w:val="24"/>
        </w:rPr>
        <w:t xml:space="preserve"> </w:t>
      </w:r>
      <w:r w:rsidRPr="00A25CAF">
        <w:rPr>
          <w:rFonts w:ascii="Times New Roman" w:hAnsi="Times New Roman"/>
          <w:i/>
          <w:sz w:val="24"/>
        </w:rPr>
        <w:t xml:space="preserve">2005 </w:t>
      </w:r>
      <w:r w:rsidRPr="00A25CAF">
        <w:rPr>
          <w:rFonts w:ascii="Times New Roman" w:hAnsi="Times New Roman"/>
          <w:sz w:val="24"/>
        </w:rPr>
        <w:t>(NSW), s 32(2).</w:t>
      </w:r>
    </w:p>
  </w:footnote>
  <w:footnote w:id="268">
    <w:p w14:paraId="3EA7299E"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See, eg, </w:t>
      </w:r>
      <w:r w:rsidRPr="00A25CAF">
        <w:rPr>
          <w:rFonts w:ascii="Times New Roman" w:hAnsi="Times New Roman"/>
          <w:i/>
          <w:sz w:val="24"/>
        </w:rPr>
        <w:t>Emmens v Pottle</w:t>
      </w:r>
      <w:r w:rsidRPr="00A25CAF">
        <w:rPr>
          <w:rFonts w:ascii="Times New Roman" w:hAnsi="Times New Roman"/>
          <w:sz w:val="24"/>
        </w:rPr>
        <w:t xml:space="preserve"> (1885) 16 QBD 354 at 357 per Lord Esher MR (Cotton LJ agreeing), 358 per Bowen LJ; </w:t>
      </w:r>
      <w:r w:rsidRPr="00A25CAF">
        <w:rPr>
          <w:rFonts w:ascii="Times New Roman" w:hAnsi="Times New Roman"/>
          <w:i/>
          <w:sz w:val="24"/>
        </w:rPr>
        <w:t xml:space="preserve">Byrne v Deane </w:t>
      </w:r>
      <w:r w:rsidRPr="00A25CAF">
        <w:rPr>
          <w:rFonts w:ascii="Times New Roman" w:hAnsi="Times New Roman"/>
          <w:sz w:val="24"/>
        </w:rPr>
        <w:t xml:space="preserve">[1937] 1 KB 818 at 830 per Greer LJ; </w:t>
      </w:r>
      <w:r w:rsidRPr="00A25CAF">
        <w:rPr>
          <w:rFonts w:ascii="Times New Roman" w:hAnsi="Times New Roman"/>
          <w:i/>
          <w:sz w:val="24"/>
        </w:rPr>
        <w:t xml:space="preserve">Dow Jones &amp; Co Inc v Gutnick </w:t>
      </w:r>
      <w:r w:rsidRPr="00A25CAF">
        <w:rPr>
          <w:rFonts w:ascii="Times New Roman" w:hAnsi="Times New Roman"/>
          <w:sz w:val="24"/>
        </w:rPr>
        <w:t xml:space="preserve">(2002) 210 CLR 575 at 651-652 [193] per Callinan J; </w:t>
      </w:r>
      <w:r w:rsidRPr="00A25CAF">
        <w:rPr>
          <w:rFonts w:ascii="Times New Roman" w:hAnsi="Times New Roman"/>
          <w:i/>
          <w:sz w:val="24"/>
        </w:rPr>
        <w:t xml:space="preserve">Oriental Press Group Ltd v Fevaworks Solutions Ltd </w:t>
      </w:r>
      <w:r w:rsidRPr="00A25CAF">
        <w:rPr>
          <w:rFonts w:ascii="Times New Roman" w:hAnsi="Times New Roman"/>
          <w:sz w:val="24"/>
        </w:rPr>
        <w:t>(2013) 16 HKCFAR 366 at 380 [29] per Ribeiro PJ (Ma CJ, Chan PJ and Litton and Gleeson NPJJ agreeing).</w:t>
      </w:r>
    </w:p>
  </w:footnote>
  <w:footnote w:id="269">
    <w:p w14:paraId="2DF45C0E"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Defamation Act</w:t>
      </w:r>
      <w:r w:rsidRPr="00A25CAF">
        <w:rPr>
          <w:rFonts w:ascii="Times New Roman" w:hAnsi="Times New Roman"/>
          <w:sz w:val="24"/>
        </w:rPr>
        <w:t xml:space="preserve"> </w:t>
      </w:r>
      <w:r w:rsidRPr="00A25CAF">
        <w:rPr>
          <w:rFonts w:ascii="Times New Roman" w:hAnsi="Times New Roman"/>
          <w:i/>
          <w:sz w:val="24"/>
        </w:rPr>
        <w:t xml:space="preserve">2005 </w:t>
      </w:r>
      <w:r w:rsidRPr="00A25CAF">
        <w:rPr>
          <w:rFonts w:ascii="Times New Roman" w:hAnsi="Times New Roman"/>
          <w:sz w:val="24"/>
        </w:rPr>
        <w:t>(NSW), s 32(2)(c).</w:t>
      </w:r>
    </w:p>
  </w:footnote>
  <w:footnote w:id="270">
    <w:p w14:paraId="127C4DC5"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See, eg, </w:t>
      </w:r>
      <w:r w:rsidRPr="00A25CAF">
        <w:rPr>
          <w:rFonts w:ascii="Times New Roman" w:hAnsi="Times New Roman"/>
          <w:i/>
          <w:sz w:val="24"/>
        </w:rPr>
        <w:t>Emmens v Pottle</w:t>
      </w:r>
      <w:r w:rsidRPr="00A25CAF">
        <w:rPr>
          <w:rFonts w:ascii="Times New Roman" w:hAnsi="Times New Roman"/>
          <w:sz w:val="24"/>
        </w:rPr>
        <w:t xml:space="preserve"> (1885) 16 QBD 354 at 357 per Lord Esher MR (Cotton LJ agreeing). </w:t>
      </w:r>
    </w:p>
  </w:footnote>
  <w:footnote w:id="271">
    <w:p w14:paraId="45C03963"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(2013) 16 HKCFAR 366 at 394-395 [76] (Ma CJ, Chan PJ and Litton and Gleeson NPJJ agreeing).</w:t>
      </w:r>
    </w:p>
  </w:footnote>
  <w:footnote w:id="272">
    <w:p w14:paraId="7A6654FE"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[1937] 1 KB 818. See, eg, </w:t>
      </w:r>
      <w:r w:rsidRPr="00A25CAF">
        <w:rPr>
          <w:rFonts w:ascii="Times New Roman" w:hAnsi="Times New Roman"/>
          <w:i/>
          <w:sz w:val="24"/>
        </w:rPr>
        <w:t>Urbanchich v Drummoyne Municipal Council</w:t>
      </w:r>
      <w:r w:rsidRPr="00A25CAF">
        <w:rPr>
          <w:rFonts w:ascii="Times New Roman" w:hAnsi="Times New Roman"/>
          <w:sz w:val="24"/>
        </w:rPr>
        <w:t xml:space="preserve"> (1991) Aust Torts Reports ¶81-127; </w:t>
      </w:r>
      <w:r w:rsidRPr="00A25CAF">
        <w:rPr>
          <w:rFonts w:ascii="Times New Roman" w:hAnsi="Times New Roman"/>
          <w:i/>
          <w:sz w:val="24"/>
        </w:rPr>
        <w:t>Bishop v New South Wales</w:t>
      </w:r>
      <w:r w:rsidRPr="00A25CAF">
        <w:rPr>
          <w:rFonts w:ascii="Times New Roman" w:hAnsi="Times New Roman"/>
          <w:sz w:val="24"/>
        </w:rPr>
        <w:t xml:space="preserve"> [2000] NSWSC 1042.</w:t>
      </w:r>
    </w:p>
  </w:footnote>
  <w:footnote w:id="273">
    <w:p w14:paraId="42D77FCC"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(2013) 16 HKCFAR 366 at 385-386 [44] (Ma CJ, Chan PJ and Litton and Gleeson NPJJ agreeing).</w:t>
      </w:r>
    </w:p>
  </w:footnote>
  <w:footnote w:id="274">
    <w:p w14:paraId="604E81C2"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[2011] 3 SCR 269.</w:t>
      </w:r>
    </w:p>
  </w:footnote>
  <w:footnote w:id="275">
    <w:p w14:paraId="3ED4E8B6"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Crookes v Newton </w:t>
      </w:r>
      <w:r w:rsidRPr="00A25CAF">
        <w:rPr>
          <w:rFonts w:ascii="Times New Roman" w:hAnsi="Times New Roman"/>
          <w:sz w:val="24"/>
        </w:rPr>
        <w:t>[2011] 3 SCR 269 at 285 [26].</w:t>
      </w:r>
    </w:p>
  </w:footnote>
  <w:footnote w:id="276">
    <w:p w14:paraId="08F063E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Crookes v Newton </w:t>
      </w:r>
      <w:r w:rsidRPr="00A25CAF">
        <w:rPr>
          <w:rFonts w:ascii="Times New Roman" w:hAnsi="Times New Roman"/>
          <w:sz w:val="24"/>
        </w:rPr>
        <w:t>[2011] 3 SCR 269 at 287 [33] per Abella J (on behalf of Binnie, LeBel, Charron, Rothstein and Cromwell JJ).</w:t>
      </w:r>
    </w:p>
  </w:footnote>
  <w:footnote w:id="277">
    <w:p w14:paraId="0935BAA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Crookes v Newton </w:t>
      </w:r>
      <w:r w:rsidRPr="00A25CAF">
        <w:rPr>
          <w:rFonts w:ascii="Times New Roman" w:hAnsi="Times New Roman"/>
          <w:sz w:val="24"/>
        </w:rPr>
        <w:t>[2011] 3 SCR 269 at 289 [36] per Abella J (on behalf of Binnie, LeBel, Charron, Rothstein and Cromwell JJ).</w:t>
      </w:r>
    </w:p>
  </w:footnote>
  <w:footnote w:id="278">
    <w:p w14:paraId="6D46B724"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Crookes v Newton </w:t>
      </w:r>
      <w:r w:rsidRPr="00A25CAF">
        <w:rPr>
          <w:rFonts w:ascii="Times New Roman" w:hAnsi="Times New Roman"/>
          <w:sz w:val="24"/>
        </w:rPr>
        <w:t>[2011] 3 SCR 269 at 297 [59] (emphasis in original).</w:t>
      </w:r>
    </w:p>
  </w:footnote>
  <w:footnote w:id="279">
    <w:p w14:paraId="4CECC06F"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Crookes v Newton </w:t>
      </w:r>
      <w:r w:rsidRPr="00A25CAF">
        <w:rPr>
          <w:rFonts w:ascii="Times New Roman" w:hAnsi="Times New Roman"/>
          <w:sz w:val="24"/>
        </w:rPr>
        <w:t>[2011] 3 SCR 269 at 311 [91].</w:t>
      </w:r>
    </w:p>
  </w:footnote>
  <w:footnote w:id="280">
    <w:p w14:paraId="319F52F1"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bookmarkStart w:id="4" w:name="_Hlk74229957"/>
      <w:r w:rsidRPr="00A25CAF">
        <w:rPr>
          <w:rFonts w:ascii="Times New Roman" w:hAnsi="Times New Roman"/>
          <w:sz w:val="24"/>
        </w:rPr>
        <w:t>(2014) 98 NSWLR 764</w:t>
      </w:r>
      <w:bookmarkEnd w:id="4"/>
      <w:r w:rsidRPr="00A25CAF">
        <w:rPr>
          <w:rFonts w:ascii="Times New Roman" w:hAnsi="Times New Roman"/>
          <w:sz w:val="24"/>
        </w:rPr>
        <w:t>.</w:t>
      </w:r>
    </w:p>
  </w:footnote>
  <w:footnote w:id="281">
    <w:p w14:paraId="483DC19D"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Visscher v Maritime Union of Australia</w:t>
      </w:r>
      <w:r w:rsidRPr="00A25CAF">
        <w:rPr>
          <w:rFonts w:ascii="Times New Roman" w:hAnsi="Times New Roman"/>
          <w:sz w:val="24"/>
        </w:rPr>
        <w:t xml:space="preserve"> </w:t>
      </w:r>
      <w:r w:rsidRPr="00A25CAF">
        <w:rPr>
          <w:rFonts w:ascii="Times New Roman" w:hAnsi="Times New Roman"/>
          <w:i/>
          <w:sz w:val="24"/>
        </w:rPr>
        <w:t>[No 6]</w:t>
      </w:r>
      <w:r w:rsidRPr="00A25CAF">
        <w:rPr>
          <w:rFonts w:ascii="Times New Roman" w:hAnsi="Times New Roman"/>
          <w:sz w:val="24"/>
        </w:rPr>
        <w:t xml:space="preserve"> (2014) 98 NSWLR 764 at 773 [30] per Beech</w:t>
      </w:r>
      <w:r w:rsidRPr="00A25CAF">
        <w:rPr>
          <w:rFonts w:ascii="Times New Roman" w:hAnsi="Times New Roman"/>
          <w:sz w:val="24"/>
        </w:rPr>
        <w:noBreakHyphen/>
        <w:t xml:space="preserve">Jones J. </w:t>
      </w:r>
    </w:p>
  </w:footnote>
  <w:footnote w:id="282">
    <w:p w14:paraId="04398A9E"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Dow Jones &amp; Co Inc v Gutnick </w:t>
      </w:r>
      <w:r w:rsidRPr="00A25CAF">
        <w:rPr>
          <w:rFonts w:ascii="Times New Roman" w:hAnsi="Times New Roman"/>
          <w:sz w:val="24"/>
        </w:rPr>
        <w:t>(2002) 210 CLR 575 at 600 [26] per Gleeson CJ, McHugh, Gummow and Hayne JJ.</w:t>
      </w:r>
    </w:p>
  </w:footnote>
  <w:footnote w:id="283">
    <w:p w14:paraId="2E877610"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Webb v Bloch </w:t>
      </w:r>
      <w:r w:rsidRPr="00A25CAF">
        <w:rPr>
          <w:rFonts w:ascii="Times New Roman" w:hAnsi="Times New Roman"/>
          <w:sz w:val="24"/>
        </w:rPr>
        <w:t>(1928) 41 CLR 331 at 364.</w:t>
      </w:r>
    </w:p>
  </w:footnote>
  <w:footnote w:id="284">
    <w:p w14:paraId="1DC9132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(2013) 16 HKCFAR 366 at 389-390 [58]-[59] per Ribeiro PJ (Ma CJ, Chan PJ and Litton and Gleeson NPJJ agreeing).</w:t>
      </w:r>
    </w:p>
  </w:footnote>
  <w:footnote w:id="285">
    <w:p w14:paraId="45F0F372"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 xml:space="preserve">(2013) 16 HKCFAR 366 at 390 [59] per Ribeiro PJ (Ma CJ, Chan PJ and Litton and Gleeson NPJJ agreeing). </w:t>
      </w:r>
    </w:p>
  </w:footnote>
  <w:footnote w:id="286">
    <w:p w14:paraId="47B8374D"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See [</w:t>
      </w:r>
      <w:r>
        <w:rPr>
          <w:rFonts w:ascii="Times New Roman" w:hAnsi="Times New Roman"/>
          <w:sz w:val="24"/>
        </w:rPr>
        <w:t>150</w:t>
      </w:r>
      <w:r w:rsidRPr="00A25CAF">
        <w:rPr>
          <w:rFonts w:ascii="Times New Roman" w:hAnsi="Times New Roman"/>
          <w:sz w:val="24"/>
        </w:rPr>
        <w:t>] above.</w:t>
      </w:r>
    </w:p>
  </w:footnote>
  <w:footnote w:id="287">
    <w:p w14:paraId="012E6B7B"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 xml:space="preserve">(2013) 16 HKCFAR 366 at 394 [73] per Ribeiro PJ (Ma CJ, Chan PJ and Litton and Gleeson NPJJ agreeing). See also, eg, </w:t>
      </w:r>
      <w:r w:rsidRPr="00A25CAF">
        <w:rPr>
          <w:rFonts w:ascii="Times New Roman" w:hAnsi="Times New Roman"/>
          <w:i/>
          <w:sz w:val="24"/>
        </w:rPr>
        <w:t xml:space="preserve">Crookes v Newton </w:t>
      </w:r>
      <w:r w:rsidRPr="00A25CAF">
        <w:rPr>
          <w:rFonts w:ascii="Times New Roman" w:hAnsi="Times New Roman"/>
          <w:sz w:val="24"/>
        </w:rPr>
        <w:t xml:space="preserve">[2011] 3 SCR 269 at 311 [91] per Deschamps J; </w:t>
      </w:r>
      <w:r w:rsidRPr="00A25CAF">
        <w:rPr>
          <w:rFonts w:ascii="Times New Roman" w:hAnsi="Times New Roman"/>
          <w:i/>
          <w:sz w:val="24"/>
        </w:rPr>
        <w:t xml:space="preserve">Tamiz v Google Inc </w:t>
      </w:r>
      <w:r w:rsidRPr="00A25CAF">
        <w:rPr>
          <w:rFonts w:ascii="Times New Roman" w:hAnsi="Times New Roman"/>
          <w:sz w:val="24"/>
        </w:rPr>
        <w:t xml:space="preserve">[2013] 1 WLR 2151 at 2167 [40] per Richards LJ (Lord Dyson MR and Sullivan LJ agreeing); </w:t>
      </w:r>
      <w:r w:rsidRPr="00A25CAF">
        <w:rPr>
          <w:rFonts w:ascii="Times New Roman" w:hAnsi="Times New Roman"/>
          <w:i/>
          <w:sz w:val="24"/>
        </w:rPr>
        <w:t xml:space="preserve">Google Inc v Duffy </w:t>
      </w:r>
      <w:r w:rsidRPr="00A25CAF">
        <w:rPr>
          <w:rFonts w:ascii="Times New Roman" w:hAnsi="Times New Roman"/>
          <w:sz w:val="24"/>
        </w:rPr>
        <w:t>(2017) 129 SASR 304 at 344 [136] per Kourakis CJ (Peek and Hinton JJ agreeing on this point).</w:t>
      </w:r>
    </w:p>
  </w:footnote>
  <w:footnote w:id="288">
    <w:p w14:paraId="6CDDED60"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Anderson v New York Telephone Company </w:t>
      </w:r>
      <w:r w:rsidRPr="00A25CAF">
        <w:rPr>
          <w:rFonts w:ascii="Times New Roman" w:hAnsi="Times New Roman"/>
          <w:sz w:val="24"/>
        </w:rPr>
        <w:t>(1974) 35 NY 2d 746.</w:t>
      </w:r>
    </w:p>
  </w:footnote>
  <w:footnote w:id="289">
    <w:p w14:paraId="18E875B6"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Crookes v Newton </w:t>
      </w:r>
      <w:r w:rsidRPr="00A25CAF">
        <w:rPr>
          <w:rFonts w:ascii="Times New Roman" w:hAnsi="Times New Roman"/>
          <w:sz w:val="24"/>
        </w:rPr>
        <w:t>[2011] 3 SCR 269 at 283 [21] per Abella J (on behalf of Binnie, LeBel, Charron, Rothstein and Cromwell JJ).</w:t>
      </w:r>
    </w:p>
  </w:footnote>
  <w:footnote w:id="290">
    <w:p w14:paraId="28F89379"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[2007] 1 WLR 1243; [2006] 3 All ER 336.</w:t>
      </w:r>
    </w:p>
  </w:footnote>
  <w:footnote w:id="291">
    <w:p w14:paraId="633E3FF4"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Bunt v Tilley </w:t>
      </w:r>
      <w:r w:rsidRPr="00A25CAF">
        <w:rPr>
          <w:rFonts w:ascii="Times New Roman" w:hAnsi="Times New Roman"/>
          <w:sz w:val="24"/>
        </w:rPr>
        <w:t>[2007] 1 WLR 1243 at 1249 [23] per Eady J; [2006] 3 All ER 336 at 342.</w:t>
      </w:r>
    </w:p>
  </w:footnote>
  <w:footnote w:id="292">
    <w:p w14:paraId="662859E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(2017) 129 SASR 304.</w:t>
      </w:r>
    </w:p>
  </w:footnote>
  <w:footnote w:id="293">
    <w:p w14:paraId="350E63E3"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Google Inc v Duffy</w:t>
      </w:r>
      <w:r w:rsidRPr="00A25CAF">
        <w:rPr>
          <w:rFonts w:ascii="Times New Roman" w:hAnsi="Times New Roman"/>
          <w:sz w:val="24"/>
        </w:rPr>
        <w:t xml:space="preserve"> (2017) 129 SASR 304 at 344 [139] (Peek and Hinton JJ agreeing).</w:t>
      </w:r>
    </w:p>
  </w:footnote>
  <w:footnote w:id="294">
    <w:p w14:paraId="041ADB4D"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[2011] 1 WLR 1743; [2010] 3 All ER 548. </w:t>
      </w:r>
    </w:p>
  </w:footnote>
  <w:footnote w:id="295">
    <w:p w14:paraId="155BD8A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Metropolitan International Schools Ltd v Designtechnica Corpn </w:t>
      </w:r>
      <w:r w:rsidRPr="00A25CAF">
        <w:rPr>
          <w:rFonts w:ascii="Times New Roman" w:hAnsi="Times New Roman"/>
          <w:sz w:val="24"/>
        </w:rPr>
        <w:t>[2011]</w:t>
      </w:r>
      <w:r w:rsidRPr="00A25CAF">
        <w:rPr>
          <w:rFonts w:ascii="Times New Roman" w:hAnsi="Times New Roman"/>
          <w:i/>
          <w:sz w:val="24"/>
        </w:rPr>
        <w:t xml:space="preserve"> </w:t>
      </w:r>
      <w:r w:rsidRPr="00A25CAF">
        <w:rPr>
          <w:rFonts w:ascii="Times New Roman" w:hAnsi="Times New Roman"/>
          <w:sz w:val="24"/>
        </w:rPr>
        <w:t>1 WLR 1743 at 1757 [50] per Eady J; [2010] 3 All ER 548 at 561.</w:t>
      </w:r>
    </w:p>
  </w:footnote>
  <w:footnote w:id="296">
    <w:p w14:paraId="7F93B45E"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[2012] VSC 533.</w:t>
      </w:r>
    </w:p>
  </w:footnote>
  <w:footnote w:id="297">
    <w:p w14:paraId="607B6658"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Trkulja v Google Inc LLC [No 5] </w:t>
      </w:r>
      <w:r w:rsidRPr="00A25CAF">
        <w:rPr>
          <w:rFonts w:ascii="Times New Roman" w:hAnsi="Times New Roman"/>
          <w:sz w:val="24"/>
        </w:rPr>
        <w:t xml:space="preserve">[2012] VSC 533 at [27]; cf </w:t>
      </w:r>
      <w:r w:rsidRPr="00A25CAF">
        <w:rPr>
          <w:rFonts w:ascii="Times New Roman" w:hAnsi="Times New Roman"/>
          <w:i/>
          <w:sz w:val="24"/>
        </w:rPr>
        <w:t>Rana v Google Australia Pty Ltd</w:t>
      </w:r>
      <w:r w:rsidRPr="00A25CAF">
        <w:rPr>
          <w:rFonts w:ascii="Times New Roman" w:hAnsi="Times New Roman"/>
          <w:sz w:val="24"/>
        </w:rPr>
        <w:t xml:space="preserve"> [2013] FCA 60. </w:t>
      </w:r>
    </w:p>
  </w:footnote>
  <w:footnote w:id="298">
    <w:p w14:paraId="791222E5"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Google Inc v Duffy</w:t>
      </w:r>
      <w:r w:rsidRPr="00A25CAF">
        <w:rPr>
          <w:rFonts w:ascii="Times New Roman" w:hAnsi="Times New Roman"/>
          <w:sz w:val="24"/>
        </w:rPr>
        <w:t xml:space="preserve"> (2017) 129 SASR 304 at 352 [155] (Peek and Hinton JJ agreeing on this point).</w:t>
      </w:r>
    </w:p>
  </w:footnote>
  <w:footnote w:id="299">
    <w:p w14:paraId="47D19EBB"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Trkulja v Google LLC</w:t>
      </w:r>
      <w:r w:rsidRPr="00A25CAF">
        <w:rPr>
          <w:rFonts w:ascii="Times New Roman" w:hAnsi="Times New Roman"/>
          <w:sz w:val="24"/>
        </w:rPr>
        <w:t xml:space="preserve"> (2018) 263 CLR 149 at 163 [38] per Kiefel CJ, Bell, Keane, Nettle and Gordon JJ. See also </w:t>
      </w:r>
      <w:r w:rsidRPr="00A25CAF">
        <w:rPr>
          <w:rFonts w:ascii="Times New Roman" w:hAnsi="Times New Roman"/>
          <w:i/>
          <w:sz w:val="24"/>
        </w:rPr>
        <w:t>Trkulja v Google Inc</w:t>
      </w:r>
      <w:r w:rsidRPr="00A25CAF">
        <w:rPr>
          <w:rFonts w:ascii="Times New Roman" w:hAnsi="Times New Roman"/>
          <w:sz w:val="24"/>
        </w:rPr>
        <w:t xml:space="preserve"> [2015] VSC 635 at [47] per McDonald J; cf </w:t>
      </w:r>
      <w:bookmarkStart w:id="5" w:name="_Hlk74124856"/>
      <w:r w:rsidRPr="00A25CAF">
        <w:rPr>
          <w:rFonts w:ascii="Times New Roman" w:hAnsi="Times New Roman"/>
          <w:i/>
          <w:sz w:val="24"/>
        </w:rPr>
        <w:t>Google LLC v Trkulja</w:t>
      </w:r>
      <w:r w:rsidRPr="00A25CAF">
        <w:rPr>
          <w:rFonts w:ascii="Times New Roman" w:hAnsi="Times New Roman"/>
          <w:sz w:val="24"/>
        </w:rPr>
        <w:t xml:space="preserve"> (2016) 342 ALR 504</w:t>
      </w:r>
      <w:bookmarkEnd w:id="5"/>
      <w:r w:rsidRPr="00A25CAF">
        <w:rPr>
          <w:rFonts w:ascii="Times New Roman" w:hAnsi="Times New Roman"/>
          <w:sz w:val="24"/>
        </w:rPr>
        <w:t xml:space="preserve"> at 590 [348] per Ashley, Ferguson and McLeish JJA</w:t>
      </w:r>
      <w:r w:rsidRPr="00A25CAF" w:rsidDel="00C004A6">
        <w:rPr>
          <w:rFonts w:ascii="Times New Roman" w:hAnsi="Times New Roman"/>
          <w:sz w:val="24"/>
        </w:rPr>
        <w:t>.</w:t>
      </w:r>
    </w:p>
  </w:footnote>
  <w:footnote w:id="300">
    <w:p w14:paraId="4FC3495E"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Trkulja v Google Inc</w:t>
      </w:r>
      <w:r w:rsidRPr="00A25CAF">
        <w:rPr>
          <w:rFonts w:ascii="Times New Roman" w:hAnsi="Times New Roman"/>
          <w:sz w:val="24"/>
        </w:rPr>
        <w:t xml:space="preserve"> [2015] VSC 635 at [45] per McDonald J.</w:t>
      </w:r>
    </w:p>
  </w:footnote>
  <w:footnote w:id="301">
    <w:p w14:paraId="11E28866" w14:textId="77777777" w:rsidR="006F2200" w:rsidRPr="00A25CAF" w:rsidRDefault="006F2200" w:rsidP="00A25CAF">
      <w:pPr>
        <w:pStyle w:val="FootnoteText"/>
        <w:spacing w:line="280" w:lineRule="exact"/>
        <w:ind w:right="0"/>
        <w:jc w:val="both"/>
        <w:rPr>
          <w:rFonts w:ascii="Times New Roman" w:hAnsi="Times New Roman"/>
          <w:i/>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See, eg, </w:t>
      </w:r>
      <w:r w:rsidRPr="00A25CAF">
        <w:rPr>
          <w:rFonts w:ascii="Times New Roman" w:hAnsi="Times New Roman"/>
          <w:i/>
          <w:sz w:val="24"/>
        </w:rPr>
        <w:t xml:space="preserve">Bunt v Tilley </w:t>
      </w:r>
      <w:r w:rsidRPr="00A25CAF">
        <w:rPr>
          <w:rFonts w:ascii="Times New Roman" w:hAnsi="Times New Roman"/>
          <w:sz w:val="24"/>
        </w:rPr>
        <w:t>[2007] 1 WLR 1243; [2006] 3 All ER 336.</w:t>
      </w:r>
    </w:p>
  </w:footnote>
  <w:footnote w:id="302">
    <w:p w14:paraId="3A975E16"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See, eg, </w:t>
      </w:r>
      <w:r w:rsidRPr="00A25CAF">
        <w:rPr>
          <w:rFonts w:ascii="Times New Roman" w:hAnsi="Times New Roman"/>
          <w:i/>
          <w:sz w:val="24"/>
        </w:rPr>
        <w:t xml:space="preserve">Crookes v Newton </w:t>
      </w:r>
      <w:r w:rsidRPr="00A25CAF">
        <w:rPr>
          <w:rFonts w:ascii="Times New Roman" w:hAnsi="Times New Roman"/>
          <w:sz w:val="24"/>
        </w:rPr>
        <w:t>[2011] 3 SCR 269.</w:t>
      </w:r>
    </w:p>
  </w:footnote>
  <w:footnote w:id="303">
    <w:p w14:paraId="5C015233"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(2013) 16 HKCFAR 366.</w:t>
      </w:r>
    </w:p>
  </w:footnote>
  <w:footnote w:id="304">
    <w:p w14:paraId="39BB510F"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 xml:space="preserve">(2013) 16 HKCFAR 366 at 387 [51] per Ribeiro PJ (Ma CJ, Chan PJ and Litton and Gleeson NPJJ agreeing). </w:t>
      </w:r>
    </w:p>
  </w:footnote>
  <w:footnote w:id="305">
    <w:p w14:paraId="622180D1"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(2013) 16 HKCFAR 366 at 387 [51] per Ribeiro PJ (Ma CJ, Chan PJ and Litton and Gleeson NPJJ agreeing).</w:t>
      </w:r>
    </w:p>
  </w:footnote>
  <w:footnote w:id="306">
    <w:p w14:paraId="3A57BFFF"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Oriental Press Group Ltd v Fevaworks Solutions Ltd </w:t>
      </w:r>
      <w:r w:rsidRPr="00A25CAF">
        <w:rPr>
          <w:rFonts w:ascii="Times New Roman" w:hAnsi="Times New Roman"/>
          <w:sz w:val="24"/>
        </w:rPr>
        <w:t>(2013) 16 HKCFAR 366 at 399 [89], 406 [113] per Ribeiro PJ (Ma CJ, Chan PJ and Litton and Gleeson NPJJ agreeing).</w:t>
      </w:r>
    </w:p>
  </w:footnote>
  <w:footnote w:id="307">
    <w:p w14:paraId="536D6CF5"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Google Inc v Duffy </w:t>
      </w:r>
      <w:r w:rsidRPr="00A25CAF">
        <w:rPr>
          <w:rFonts w:ascii="Times New Roman" w:hAnsi="Times New Roman"/>
          <w:sz w:val="24"/>
        </w:rPr>
        <w:t xml:space="preserve">(2017) 129 SASR 304 at 352 [158], 359 [184] per Kourakis CJ, 401 [354] per Peek J, 467 [597] per Hinton J. </w:t>
      </w:r>
    </w:p>
  </w:footnote>
  <w:footnote w:id="308">
    <w:p w14:paraId="27F9CC3F"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Google Inc v Duffy </w:t>
      </w:r>
      <w:r w:rsidRPr="00A25CAF">
        <w:rPr>
          <w:rFonts w:ascii="Times New Roman" w:hAnsi="Times New Roman"/>
          <w:sz w:val="24"/>
        </w:rPr>
        <w:t xml:space="preserve">(2017) 129 SASR 304 at 344-345 [140] (Peek and Hinton JJ agreeing on this point). </w:t>
      </w:r>
    </w:p>
  </w:footnote>
  <w:footnote w:id="309">
    <w:p w14:paraId="351D4D2D"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See, eg, </w:t>
      </w:r>
      <w:r w:rsidRPr="00A25CAF">
        <w:rPr>
          <w:rFonts w:ascii="Times New Roman" w:hAnsi="Times New Roman"/>
          <w:i/>
          <w:sz w:val="24"/>
        </w:rPr>
        <w:t xml:space="preserve">Godfrey v Demon Internet Ltd </w:t>
      </w:r>
      <w:r w:rsidRPr="00A25CAF">
        <w:rPr>
          <w:rFonts w:ascii="Times New Roman" w:hAnsi="Times New Roman"/>
          <w:sz w:val="24"/>
        </w:rPr>
        <w:t xml:space="preserve">[2001] QB 201; </w:t>
      </w:r>
      <w:r w:rsidRPr="00A25CAF">
        <w:rPr>
          <w:rFonts w:ascii="Times New Roman" w:hAnsi="Times New Roman"/>
          <w:i/>
          <w:sz w:val="24"/>
        </w:rPr>
        <w:t xml:space="preserve">Metropolitan International Schools Ltd v Designtechnica Corpn </w:t>
      </w:r>
      <w:r w:rsidRPr="00A25CAF">
        <w:rPr>
          <w:rFonts w:ascii="Times New Roman" w:hAnsi="Times New Roman"/>
          <w:sz w:val="24"/>
        </w:rPr>
        <w:t>[2011]</w:t>
      </w:r>
      <w:r w:rsidRPr="00A25CAF">
        <w:rPr>
          <w:rFonts w:ascii="Times New Roman" w:hAnsi="Times New Roman"/>
          <w:i/>
          <w:sz w:val="24"/>
        </w:rPr>
        <w:t xml:space="preserve"> </w:t>
      </w:r>
      <w:r w:rsidRPr="00A25CAF">
        <w:rPr>
          <w:rFonts w:ascii="Times New Roman" w:hAnsi="Times New Roman"/>
          <w:sz w:val="24"/>
        </w:rPr>
        <w:t>1 WLR 1743; [2010] 3 All ER 548.</w:t>
      </w:r>
    </w:p>
  </w:footnote>
  <w:footnote w:id="310">
    <w:p w14:paraId="40268B58"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Google Inc v Duffy </w:t>
      </w:r>
      <w:r w:rsidRPr="00A25CAF">
        <w:rPr>
          <w:rFonts w:ascii="Times New Roman" w:hAnsi="Times New Roman"/>
          <w:sz w:val="24"/>
        </w:rPr>
        <w:t>(2017) 129 SASR 304 at 345 [141] (Peek and Hinton JJ agreeing).</w:t>
      </w:r>
    </w:p>
  </w:footnote>
  <w:footnote w:id="311">
    <w:p w14:paraId="21BC7A33"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[2013] 1 WLR 2151.</w:t>
      </w:r>
    </w:p>
  </w:footnote>
  <w:footnote w:id="312">
    <w:p w14:paraId="56A8B817"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Tamiz v Google Inc</w:t>
      </w:r>
      <w:r w:rsidRPr="00A25CAF">
        <w:rPr>
          <w:rFonts w:ascii="Times New Roman" w:hAnsi="Times New Roman"/>
          <w:sz w:val="24"/>
        </w:rPr>
        <w:t xml:space="preserve"> [2013] 1 WLR 2151 at 2165 [33] (Lord Dyson MR and Sullivan LJ agreeing); cf </w:t>
      </w:r>
      <w:r w:rsidRPr="00A25CAF">
        <w:rPr>
          <w:rFonts w:ascii="Times New Roman" w:hAnsi="Times New Roman"/>
          <w:i/>
          <w:sz w:val="24"/>
        </w:rPr>
        <w:t>Google Inc v Duffy</w:t>
      </w:r>
      <w:r w:rsidRPr="00A25CAF">
        <w:rPr>
          <w:rFonts w:ascii="Times New Roman" w:hAnsi="Times New Roman"/>
          <w:sz w:val="24"/>
        </w:rPr>
        <w:t xml:space="preserve"> (2017) 129 SASR 304.</w:t>
      </w:r>
    </w:p>
  </w:footnote>
  <w:footnote w:id="313">
    <w:p w14:paraId="21AB21B9"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Tamiz v Google Inc</w:t>
      </w:r>
      <w:r w:rsidRPr="00A25CAF">
        <w:rPr>
          <w:rFonts w:ascii="Times New Roman" w:hAnsi="Times New Roman"/>
          <w:sz w:val="24"/>
        </w:rPr>
        <w:t xml:space="preserve"> [2013] 1 WLR 2151 at 2165-2166 [34]-[36] (Lord Dyson MR and Sullivan LJ agreeing).</w:t>
      </w:r>
    </w:p>
  </w:footnote>
  <w:footnote w:id="314">
    <w:p w14:paraId="3D39881B"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Australian Competition and Consumer Commission v Allergy Pathway Pty Ltd [No</w:t>
      </w:r>
      <w:r>
        <w:rPr>
          <w:rFonts w:ascii="Times New Roman" w:hAnsi="Times New Roman"/>
          <w:i/>
          <w:sz w:val="24"/>
        </w:rPr>
        <w:t> </w:t>
      </w:r>
      <w:r w:rsidRPr="00A25CAF">
        <w:rPr>
          <w:rFonts w:ascii="Times New Roman" w:hAnsi="Times New Roman"/>
          <w:i/>
          <w:sz w:val="24"/>
        </w:rPr>
        <w:t>2]</w:t>
      </w:r>
      <w:r w:rsidRPr="00A25CAF">
        <w:rPr>
          <w:rFonts w:ascii="Times New Roman" w:hAnsi="Times New Roman"/>
          <w:sz w:val="24"/>
        </w:rPr>
        <w:t xml:space="preserve"> (2011) 192 FCR 34 at 42 [33] per Finkelstein J.</w:t>
      </w:r>
    </w:p>
  </w:footnote>
  <w:footnote w:id="315">
    <w:p w14:paraId="63273BBD"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Tamiz v Google Inc</w:t>
      </w:r>
      <w:r w:rsidRPr="00A25CAF">
        <w:rPr>
          <w:rFonts w:ascii="Times New Roman" w:hAnsi="Times New Roman"/>
          <w:sz w:val="24"/>
        </w:rPr>
        <w:t xml:space="preserve"> [2013] 1 WLR 2151 at 2165 [33] per Richards LJ (Lord Dyson</w:t>
      </w:r>
      <w:r>
        <w:rPr>
          <w:rFonts w:ascii="Times New Roman" w:hAnsi="Times New Roman"/>
          <w:sz w:val="24"/>
        </w:rPr>
        <w:t> </w:t>
      </w:r>
      <w:r w:rsidRPr="00A25CAF">
        <w:rPr>
          <w:rFonts w:ascii="Times New Roman" w:hAnsi="Times New Roman"/>
          <w:sz w:val="24"/>
        </w:rPr>
        <w:t xml:space="preserve">MR and Sullivan LJ agreeing); cf </w:t>
      </w:r>
      <w:r w:rsidRPr="00A25CAF">
        <w:rPr>
          <w:rFonts w:ascii="Times New Roman" w:hAnsi="Times New Roman"/>
          <w:i/>
          <w:sz w:val="24"/>
        </w:rPr>
        <w:t xml:space="preserve">Oriental Press Group Ltd v Fevaworks Solutions Ltd </w:t>
      </w:r>
      <w:r w:rsidRPr="00A25CAF">
        <w:rPr>
          <w:rFonts w:ascii="Times New Roman" w:hAnsi="Times New Roman"/>
          <w:sz w:val="24"/>
        </w:rPr>
        <w:t>(2013) 16 HKCFAR 366 at 387-388 [53] per Ribeiro PJ (Ma CJ, Chan PJ and Litton and Gleeson NPJJ agreeing).</w:t>
      </w:r>
    </w:p>
  </w:footnote>
  <w:footnote w:id="316">
    <w:p w14:paraId="732BA9E2"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[16]</w:t>
      </w:r>
      <w:r w:rsidRPr="00A25CAF">
        <w:rPr>
          <w:rFonts w:ascii="Times New Roman" w:hAnsi="Times New Roman"/>
          <w:sz w:val="24"/>
        </w:rPr>
        <w:noBreakHyphen/>
        <w:t>[18].</w:t>
      </w:r>
    </w:p>
  </w:footnote>
  <w:footnote w:id="317">
    <w:p w14:paraId="6D213657" w14:textId="77777777" w:rsidR="006F2200" w:rsidRPr="00A25CAF" w:rsidRDefault="006F2200" w:rsidP="00A25CAF">
      <w:pPr>
        <w:pStyle w:val="FootnoteText"/>
        <w:spacing w:line="280" w:lineRule="exact"/>
        <w:ind w:right="0"/>
        <w:jc w:val="both"/>
        <w:rPr>
          <w:rFonts w:ascii="Times New Roman" w:hAnsi="Times New Roman"/>
          <w:i/>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cf </w:t>
      </w:r>
      <w:r w:rsidRPr="00A25CAF">
        <w:rPr>
          <w:rFonts w:ascii="Times New Roman" w:hAnsi="Times New Roman"/>
          <w:i/>
          <w:sz w:val="24"/>
        </w:rPr>
        <w:t>Byrne v Deane</w:t>
      </w:r>
      <w:r w:rsidRPr="00A25CAF">
        <w:rPr>
          <w:rFonts w:ascii="Times New Roman" w:hAnsi="Times New Roman"/>
          <w:sz w:val="24"/>
        </w:rPr>
        <w:t xml:space="preserve"> [1937] 1 KB 818 at 830 per Greer LJ. See also </w:t>
      </w:r>
      <w:r w:rsidRPr="00A25CAF">
        <w:rPr>
          <w:rFonts w:ascii="Times New Roman" w:hAnsi="Times New Roman"/>
          <w:i/>
          <w:sz w:val="24"/>
        </w:rPr>
        <w:t>Tamiz v Google Inc</w:t>
      </w:r>
      <w:r w:rsidRPr="00A25CAF">
        <w:rPr>
          <w:rFonts w:ascii="Times New Roman" w:hAnsi="Times New Roman"/>
          <w:sz w:val="24"/>
        </w:rPr>
        <w:t xml:space="preserve"> [2013] 1 WLR 2151 at 2165-2166 [33]-[36] per Richards LJ (Lord Dyson MR and Sullivan LJ agreeing).</w:t>
      </w:r>
    </w:p>
  </w:footnote>
  <w:footnote w:id="318">
    <w:p w14:paraId="2E2E8F88"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cf </w:t>
      </w:r>
      <w:r w:rsidRPr="00A25CAF">
        <w:rPr>
          <w:rFonts w:ascii="Times New Roman" w:hAnsi="Times New Roman"/>
          <w:i/>
          <w:sz w:val="24"/>
        </w:rPr>
        <w:t xml:space="preserve">Pritchard v Van Nes </w:t>
      </w:r>
      <w:r w:rsidRPr="00A25CAF">
        <w:rPr>
          <w:rFonts w:ascii="Times New Roman" w:hAnsi="Times New Roman"/>
          <w:sz w:val="24"/>
        </w:rPr>
        <w:t>2016 BCSC 686.</w:t>
      </w:r>
    </w:p>
  </w:footnote>
  <w:footnote w:id="319">
    <w:p w14:paraId="4B452BD9"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Murray v Wishart</w:t>
      </w:r>
      <w:r w:rsidRPr="00A25CAF">
        <w:rPr>
          <w:rFonts w:ascii="Times New Roman" w:hAnsi="Times New Roman"/>
          <w:sz w:val="24"/>
        </w:rPr>
        <w:t xml:space="preserve"> [2014] 3 NZLR 722 at 750 [132] per O'Regan P and Ellen France J (French J agreeing). </w:t>
      </w:r>
    </w:p>
  </w:footnote>
  <w:footnote w:id="320">
    <w:p w14:paraId="37AFFCB3"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Murray v Wishart</w:t>
      </w:r>
      <w:r w:rsidRPr="00A25CAF">
        <w:rPr>
          <w:rFonts w:ascii="Times New Roman" w:hAnsi="Times New Roman"/>
          <w:sz w:val="24"/>
        </w:rPr>
        <w:t xml:space="preserve"> [2014] 3 NZLR 722 at 750-751 [132]-[134] per O'Regan P and Ellen France J (French J agreeing).</w:t>
      </w:r>
    </w:p>
  </w:footnote>
  <w:footnote w:id="321">
    <w:p w14:paraId="757E22D6"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cf </w:t>
      </w:r>
      <w:r w:rsidRPr="00A25CAF">
        <w:rPr>
          <w:rFonts w:ascii="Times New Roman" w:hAnsi="Times New Roman"/>
          <w:i/>
          <w:sz w:val="24"/>
        </w:rPr>
        <w:t xml:space="preserve">Fairfax Media Publications Pty Ltd v Voller </w:t>
      </w:r>
      <w:r w:rsidRPr="00A25CAF">
        <w:rPr>
          <w:rFonts w:ascii="Times New Roman" w:hAnsi="Times New Roman"/>
          <w:sz w:val="24"/>
        </w:rPr>
        <w:t xml:space="preserve">(2020) 380 ALR 700 at 725 [111] per Meagher JA and Simpson A-JA. </w:t>
      </w:r>
    </w:p>
  </w:footnote>
  <w:footnote w:id="322">
    <w:p w14:paraId="030B5459"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 xml:space="preserve">[2019] NSWSC 766 at [106] per Rothman J. </w:t>
      </w:r>
    </w:p>
  </w:footnote>
  <w:footnote w:id="323">
    <w:p w14:paraId="64AF7D52"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 xml:space="preserve">Noting that this observation expresses no view on the applicability or otherwise of cl 91 of Sch 5 to the </w:t>
      </w:r>
      <w:r w:rsidRPr="00A25CAF">
        <w:rPr>
          <w:rFonts w:ascii="Times New Roman" w:hAnsi="Times New Roman"/>
          <w:i/>
          <w:sz w:val="24"/>
        </w:rPr>
        <w:t>Broadcasting Services Act 1992</w:t>
      </w:r>
      <w:r w:rsidRPr="00A25CAF">
        <w:rPr>
          <w:rFonts w:ascii="Times New Roman" w:hAnsi="Times New Roman"/>
          <w:sz w:val="24"/>
        </w:rPr>
        <w:t xml:space="preserve"> (Cth) to this case: cf </w:t>
      </w:r>
      <w:r w:rsidRPr="00A25CAF">
        <w:rPr>
          <w:rFonts w:ascii="Times New Roman" w:hAnsi="Times New Roman"/>
          <w:i/>
          <w:sz w:val="24"/>
        </w:rPr>
        <w:t xml:space="preserve">Fairfax Media Publications Pty Ltd v Voller </w:t>
      </w:r>
      <w:r w:rsidRPr="00A25CAF">
        <w:rPr>
          <w:rFonts w:ascii="Times New Roman" w:hAnsi="Times New Roman"/>
          <w:sz w:val="24"/>
        </w:rPr>
        <w:t>(2020) 380 ALR 700 at 716-717 [62]-[69] per Meagher JA and Simpson A-JA.</w:t>
      </w:r>
    </w:p>
  </w:footnote>
  <w:footnote w:id="324">
    <w:p w14:paraId="3B67AC53"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Fairfax Media Publications Pty Ltd v Voller </w:t>
      </w:r>
      <w:r w:rsidRPr="00A25CAF">
        <w:rPr>
          <w:rFonts w:ascii="Times New Roman" w:hAnsi="Times New Roman"/>
          <w:sz w:val="24"/>
        </w:rPr>
        <w:t>(2020) 380 ALR 700 at 719 [81] per Meagher JA and Simpson A-JA.</w:t>
      </w:r>
    </w:p>
  </w:footnote>
  <w:footnote w:id="325">
    <w:p w14:paraId="134ACE76"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However, to monitor every third</w:t>
      </w:r>
      <w:r w:rsidRPr="00A25CAF">
        <w:rPr>
          <w:rFonts w:ascii="Times New Roman" w:hAnsi="Times New Roman"/>
          <w:sz w:val="24"/>
        </w:rPr>
        <w:noBreakHyphen/>
        <w:t>party comment made in response was described as "physically impossible" and is necessarily made more difficult through the presence of "sub</w:t>
      </w:r>
      <w:r w:rsidRPr="00A25CAF">
        <w:rPr>
          <w:rFonts w:ascii="Times New Roman" w:hAnsi="Times New Roman"/>
          <w:sz w:val="24"/>
        </w:rPr>
        <w:noBreakHyphen/>
        <w:t>threads of comments" and because third</w:t>
      </w:r>
      <w:r w:rsidRPr="00A25CAF">
        <w:rPr>
          <w:rFonts w:ascii="Times New Roman" w:hAnsi="Times New Roman"/>
          <w:sz w:val="24"/>
        </w:rPr>
        <w:noBreakHyphen/>
        <w:t xml:space="preserve">party engagement can be delayed in the sense of it occurring "many days after the initial post by the Administrator": </w:t>
      </w:r>
      <w:r w:rsidRPr="00A25CAF">
        <w:rPr>
          <w:rFonts w:ascii="Times New Roman" w:hAnsi="Times New Roman"/>
          <w:i/>
          <w:sz w:val="24"/>
        </w:rPr>
        <w:t xml:space="preserve">Voller v Nationwide News Pty Ltd </w:t>
      </w:r>
      <w:r w:rsidRPr="00A25CAF">
        <w:rPr>
          <w:rFonts w:ascii="Times New Roman" w:hAnsi="Times New Roman"/>
          <w:sz w:val="24"/>
        </w:rPr>
        <w:t>[2019] NSWSC 766 at [39]</w:t>
      </w:r>
      <w:r w:rsidRPr="00A25CAF">
        <w:rPr>
          <w:rFonts w:ascii="Times New Roman" w:hAnsi="Times New Roman"/>
          <w:sz w:val="24"/>
        </w:rPr>
        <w:noBreakHyphen/>
        <w:t xml:space="preserve">[40] per Rothman J. </w:t>
      </w:r>
    </w:p>
  </w:footnote>
  <w:footnote w:id="326">
    <w:p w14:paraId="37DF4455"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Although it was conceded that the monitoring of third</w:t>
      </w:r>
      <w:r w:rsidRPr="00A25CAF">
        <w:rPr>
          <w:rFonts w:ascii="Times New Roman" w:hAnsi="Times New Roman"/>
          <w:sz w:val="24"/>
        </w:rPr>
        <w:noBreakHyphen/>
        <w:t>party comments can occur in advance (see [</w:t>
      </w:r>
      <w:r>
        <w:rPr>
          <w:rFonts w:ascii="Times New Roman" w:hAnsi="Times New Roman"/>
          <w:sz w:val="24"/>
        </w:rPr>
        <w:t>150</w:t>
      </w:r>
      <w:r w:rsidRPr="00A25CAF">
        <w:rPr>
          <w:rFonts w:ascii="Times New Roman" w:hAnsi="Times New Roman"/>
          <w:sz w:val="24"/>
        </w:rPr>
        <w:t xml:space="preserve">] above), this was not done by any of the appellants. In that respect, it was also said this "would require a disproportionate amount of effort to the number of occasions that users have been blocked or comments deleted or hidden": </w:t>
      </w:r>
      <w:r w:rsidRPr="00A25CAF">
        <w:rPr>
          <w:rFonts w:ascii="Times New Roman" w:hAnsi="Times New Roman"/>
          <w:i/>
          <w:sz w:val="24"/>
        </w:rPr>
        <w:t xml:space="preserve">Voller v Nationwide News Pty Ltd </w:t>
      </w:r>
      <w:r w:rsidRPr="00A25CAF">
        <w:rPr>
          <w:rFonts w:ascii="Times New Roman" w:hAnsi="Times New Roman"/>
          <w:sz w:val="24"/>
        </w:rPr>
        <w:t>[2019] NSWSC 766 at [54] per Rothman J.</w:t>
      </w:r>
    </w:p>
  </w:footnote>
  <w:footnote w:id="327">
    <w:p w14:paraId="0B4D44F4"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2016 BCSC 686 at [110]-[113] per Saunders J.</w:t>
      </w:r>
    </w:p>
  </w:footnote>
  <w:footnote w:id="328">
    <w:p w14:paraId="2E5AF07A"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[77], [90(xi)], [225] per Rothman J.</w:t>
      </w:r>
    </w:p>
  </w:footnote>
  <w:footnote w:id="329">
    <w:p w14:paraId="71C835C2"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[90(xi)] per Rothman J.</w:t>
      </w:r>
    </w:p>
  </w:footnote>
  <w:footnote w:id="330">
    <w:p w14:paraId="28C35195"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Voller v Nationwide News Pty Ltd </w:t>
      </w:r>
      <w:r w:rsidRPr="00A25CAF">
        <w:rPr>
          <w:rFonts w:ascii="Times New Roman" w:hAnsi="Times New Roman"/>
          <w:sz w:val="24"/>
        </w:rPr>
        <w:t>[2019] NSWSC 766 at [90(xii)] per Rothman J.</w:t>
      </w:r>
    </w:p>
  </w:footnote>
  <w:footnote w:id="331">
    <w:p w14:paraId="681D8F94"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t>(1996) 186 CLR 574.</w:t>
      </w:r>
    </w:p>
  </w:footnote>
  <w:footnote w:id="332">
    <w:p w14:paraId="511A016C"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Thompson v Australian Capital Television Pty Ltd </w:t>
      </w:r>
      <w:r w:rsidRPr="00A25CAF">
        <w:rPr>
          <w:rFonts w:ascii="Times New Roman" w:hAnsi="Times New Roman"/>
          <w:sz w:val="24"/>
        </w:rPr>
        <w:t>(1996) 186 CLR 574 at 589 per Brennan CJ, Dawson and Toohey JJ.</w:t>
      </w:r>
    </w:p>
  </w:footnote>
  <w:footnote w:id="333">
    <w:p w14:paraId="6DB57236"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Thompson v Australian Capital Television Pty Ltd </w:t>
      </w:r>
      <w:r w:rsidRPr="00A25CAF">
        <w:rPr>
          <w:rFonts w:ascii="Times New Roman" w:hAnsi="Times New Roman"/>
          <w:sz w:val="24"/>
        </w:rPr>
        <w:t>(1996) 186 CLR 574 at 590 per Brennan CJ, Dawson and Toohey JJ.</w:t>
      </w:r>
    </w:p>
  </w:footnote>
  <w:footnote w:id="334">
    <w:p w14:paraId="64EB639F" w14:textId="77777777" w:rsidR="006F2200" w:rsidRPr="00A25CAF" w:rsidRDefault="006F2200" w:rsidP="00A25CAF">
      <w:pPr>
        <w:pStyle w:val="FootnoteText"/>
        <w:spacing w:line="280" w:lineRule="exact"/>
        <w:ind w:right="0"/>
        <w:jc w:val="both"/>
        <w:rPr>
          <w:rFonts w:ascii="Times New Roman" w:hAnsi="Times New Roman"/>
          <w:sz w:val="24"/>
        </w:rPr>
      </w:pPr>
      <w:r w:rsidRPr="00A25CAF">
        <w:rPr>
          <w:rStyle w:val="FootnoteReference"/>
          <w:rFonts w:ascii="Times New Roman" w:hAnsi="Times New Roman"/>
          <w:sz w:val="22"/>
          <w:vertAlign w:val="baseline"/>
        </w:rPr>
        <w:footnoteRef/>
      </w:r>
      <w:r w:rsidRPr="00A25CAF">
        <w:rPr>
          <w:rFonts w:ascii="Times New Roman" w:hAnsi="Times New Roman"/>
          <w:sz w:val="24"/>
        </w:rPr>
        <w:t xml:space="preserve"> </w:t>
      </w:r>
      <w:r w:rsidRPr="00A25CAF">
        <w:rPr>
          <w:rFonts w:ascii="Times New Roman" w:hAnsi="Times New Roman"/>
          <w:sz w:val="24"/>
        </w:rPr>
        <w:tab/>
      </w:r>
      <w:r w:rsidRPr="00A25CAF">
        <w:rPr>
          <w:rFonts w:ascii="Times New Roman" w:hAnsi="Times New Roman"/>
          <w:i/>
          <w:sz w:val="24"/>
        </w:rPr>
        <w:t xml:space="preserve">Thompson v Australian Capital Television Pty Ltd </w:t>
      </w:r>
      <w:r w:rsidRPr="00A25CAF">
        <w:rPr>
          <w:rFonts w:ascii="Times New Roman" w:hAnsi="Times New Roman"/>
          <w:sz w:val="24"/>
        </w:rPr>
        <w:t xml:space="preserve">(1996) 186 CLR 574 at 580-581 per Brennan CJ, Dawson and Toohey JJ, quoting </w:t>
      </w:r>
      <w:r w:rsidRPr="00A25CAF">
        <w:rPr>
          <w:rFonts w:ascii="Times New Roman" w:hAnsi="Times New Roman"/>
          <w:i/>
          <w:sz w:val="24"/>
        </w:rPr>
        <w:t xml:space="preserve">The Koursk </w:t>
      </w:r>
      <w:r w:rsidRPr="00A25CAF">
        <w:rPr>
          <w:rFonts w:ascii="Times New Roman" w:hAnsi="Times New Roman"/>
          <w:sz w:val="24"/>
        </w:rPr>
        <w:t>[1924] P 140 at 159-160 per Sargant LJ.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09F4" w14:textId="77777777" w:rsidR="006B5BB1" w:rsidRPr="001D318D" w:rsidRDefault="006B5BB1" w:rsidP="001D31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36DD" w14:textId="77777777" w:rsidR="000D0631" w:rsidRDefault="007811D4" w:rsidP="000D063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7AEDBFDB" w14:textId="77777777" w:rsidR="000D0631" w:rsidRDefault="00066952" w:rsidP="000D0631">
    <w:pPr>
      <w:pStyle w:val="Header"/>
      <w:tabs>
        <w:tab w:val="clear" w:pos="4153"/>
        <w:tab w:val="clear" w:pos="8306"/>
        <w:tab w:val="right" w:pos="1304"/>
      </w:tabs>
      <w:spacing w:line="280" w:lineRule="exact"/>
      <w:ind w:firstLine="0"/>
      <w:rPr>
        <w:rFonts w:ascii="Times New Roman" w:hAnsi="Times New Roman"/>
        <w:i/>
        <w:sz w:val="22"/>
      </w:rPr>
    </w:pPr>
  </w:p>
  <w:p w14:paraId="0DE63344" w14:textId="77777777" w:rsidR="000D0631" w:rsidRDefault="007811D4" w:rsidP="000D063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349712C" w14:textId="77777777" w:rsidR="000D0631" w:rsidRPr="000D0631" w:rsidRDefault="00066952" w:rsidP="000D063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C13F" w14:textId="77777777" w:rsidR="000D0631" w:rsidRDefault="007811D4" w:rsidP="000D063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91B53B8" w14:textId="77777777" w:rsidR="000D0631" w:rsidRDefault="00066952" w:rsidP="000D0631">
    <w:pPr>
      <w:pStyle w:val="Header"/>
      <w:tabs>
        <w:tab w:val="clear" w:pos="4153"/>
        <w:tab w:val="clear" w:pos="8306"/>
        <w:tab w:val="left" w:pos="7200"/>
        <w:tab w:val="right" w:pos="8504"/>
      </w:tabs>
      <w:spacing w:line="280" w:lineRule="exact"/>
      <w:jc w:val="right"/>
      <w:rPr>
        <w:rFonts w:ascii="Times New Roman" w:hAnsi="Times New Roman"/>
        <w:i/>
        <w:sz w:val="22"/>
      </w:rPr>
    </w:pPr>
  </w:p>
  <w:p w14:paraId="08679EC7" w14:textId="77777777" w:rsidR="000D0631" w:rsidRDefault="007811D4" w:rsidP="000D063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42DF1C" w14:textId="77777777" w:rsidR="000D0631" w:rsidRPr="000D0631" w:rsidRDefault="00066952" w:rsidP="000D063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24461" w14:textId="77777777" w:rsidR="000D0631" w:rsidRDefault="00066952" w:rsidP="000D0631">
    <w:pPr>
      <w:pStyle w:val="Header"/>
      <w:tabs>
        <w:tab w:val="clear" w:pos="4153"/>
        <w:tab w:val="clear" w:pos="8306"/>
        <w:tab w:val="center" w:pos="1134"/>
      </w:tabs>
      <w:spacing w:line="280" w:lineRule="exact"/>
      <w:ind w:firstLine="0"/>
      <w:rPr>
        <w:rFonts w:ascii="Times New Roman" w:hAnsi="Times New Roman"/>
        <w:i/>
        <w:sz w:val="22"/>
      </w:rPr>
    </w:pPr>
  </w:p>
  <w:p w14:paraId="3A562790" w14:textId="77777777" w:rsidR="000D0631" w:rsidRDefault="00066952" w:rsidP="000D0631">
    <w:pPr>
      <w:pStyle w:val="Header"/>
      <w:tabs>
        <w:tab w:val="clear" w:pos="4153"/>
        <w:tab w:val="clear" w:pos="8306"/>
        <w:tab w:val="center" w:pos="1134"/>
      </w:tabs>
      <w:spacing w:line="280" w:lineRule="exact"/>
      <w:ind w:firstLine="0"/>
      <w:rPr>
        <w:rFonts w:ascii="Times New Roman" w:hAnsi="Times New Roman"/>
        <w:i/>
        <w:sz w:val="22"/>
      </w:rPr>
    </w:pPr>
  </w:p>
  <w:p w14:paraId="16388F7D" w14:textId="77777777" w:rsidR="000D0631" w:rsidRDefault="00066952" w:rsidP="000D0631">
    <w:pPr>
      <w:pStyle w:val="Header"/>
      <w:tabs>
        <w:tab w:val="clear" w:pos="4153"/>
        <w:tab w:val="clear" w:pos="8306"/>
        <w:tab w:val="center" w:pos="1134"/>
      </w:tabs>
      <w:spacing w:line="280" w:lineRule="exact"/>
      <w:ind w:firstLine="0"/>
      <w:rPr>
        <w:rFonts w:ascii="Times New Roman" w:hAnsi="Times New Roman"/>
        <w:i/>
        <w:sz w:val="22"/>
      </w:rPr>
    </w:pPr>
  </w:p>
  <w:p w14:paraId="12E56F87" w14:textId="77777777" w:rsidR="007B49C8" w:rsidRPr="000D0631" w:rsidRDefault="00066952" w:rsidP="000D0631">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BB15" w14:textId="77777777" w:rsidR="00A25CAF" w:rsidRDefault="007811D4" w:rsidP="00A25CA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E6AD2D2" w14:textId="77777777" w:rsidR="00A25CAF" w:rsidRDefault="00066952" w:rsidP="00A25CAF">
    <w:pPr>
      <w:pStyle w:val="Header"/>
      <w:tabs>
        <w:tab w:val="clear" w:pos="4153"/>
        <w:tab w:val="clear" w:pos="8306"/>
        <w:tab w:val="right" w:pos="1304"/>
      </w:tabs>
      <w:spacing w:line="280" w:lineRule="exact"/>
      <w:ind w:firstLine="0"/>
      <w:rPr>
        <w:rFonts w:ascii="Times New Roman" w:hAnsi="Times New Roman"/>
        <w:i/>
        <w:sz w:val="22"/>
      </w:rPr>
    </w:pPr>
  </w:p>
  <w:p w14:paraId="732692FC" w14:textId="77777777" w:rsidR="00A25CAF" w:rsidRDefault="007811D4" w:rsidP="00A25CA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9E1BF71" w14:textId="77777777" w:rsidR="00A25CAF" w:rsidRPr="00A25CAF" w:rsidRDefault="00066952" w:rsidP="00A25CA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D781" w14:textId="77777777" w:rsidR="00A25CAF" w:rsidRDefault="007811D4" w:rsidP="00A25CA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FA469A0" w14:textId="77777777" w:rsidR="00A25CAF" w:rsidRDefault="00066952" w:rsidP="00A25CAF">
    <w:pPr>
      <w:pStyle w:val="Header"/>
      <w:tabs>
        <w:tab w:val="clear" w:pos="4153"/>
        <w:tab w:val="clear" w:pos="8306"/>
        <w:tab w:val="left" w:pos="7200"/>
        <w:tab w:val="right" w:pos="8504"/>
      </w:tabs>
      <w:spacing w:line="280" w:lineRule="exact"/>
      <w:jc w:val="right"/>
      <w:rPr>
        <w:rFonts w:ascii="Times New Roman" w:hAnsi="Times New Roman"/>
        <w:i/>
        <w:sz w:val="22"/>
      </w:rPr>
    </w:pPr>
  </w:p>
  <w:p w14:paraId="5174D8F8" w14:textId="77777777" w:rsidR="00A25CAF" w:rsidRDefault="007811D4" w:rsidP="00A25CA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B484A1" w14:textId="77777777" w:rsidR="00A25CAF" w:rsidRPr="00A25CAF" w:rsidRDefault="00066952" w:rsidP="00A25CA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49D9" w14:textId="77777777" w:rsidR="00A25CAF" w:rsidRDefault="00066952" w:rsidP="00A25CAF">
    <w:pPr>
      <w:pStyle w:val="Header"/>
      <w:tabs>
        <w:tab w:val="clear" w:pos="4153"/>
        <w:tab w:val="clear" w:pos="8306"/>
        <w:tab w:val="center" w:pos="1134"/>
      </w:tabs>
      <w:spacing w:line="280" w:lineRule="exact"/>
      <w:ind w:firstLine="0"/>
      <w:rPr>
        <w:rFonts w:ascii="Times New Roman" w:hAnsi="Times New Roman"/>
        <w:i/>
        <w:sz w:val="22"/>
      </w:rPr>
    </w:pPr>
  </w:p>
  <w:p w14:paraId="6517B6C9" w14:textId="77777777" w:rsidR="00A25CAF" w:rsidRDefault="00066952" w:rsidP="00A25CAF">
    <w:pPr>
      <w:pStyle w:val="Header"/>
      <w:tabs>
        <w:tab w:val="clear" w:pos="4153"/>
        <w:tab w:val="clear" w:pos="8306"/>
        <w:tab w:val="center" w:pos="1134"/>
      </w:tabs>
      <w:spacing w:line="280" w:lineRule="exact"/>
      <w:ind w:firstLine="0"/>
      <w:rPr>
        <w:rFonts w:ascii="Times New Roman" w:hAnsi="Times New Roman"/>
        <w:i/>
        <w:sz w:val="22"/>
      </w:rPr>
    </w:pPr>
  </w:p>
  <w:p w14:paraId="59CC3C9F" w14:textId="77777777" w:rsidR="00A25CAF" w:rsidRDefault="00066952" w:rsidP="00A25CAF">
    <w:pPr>
      <w:pStyle w:val="Header"/>
      <w:tabs>
        <w:tab w:val="clear" w:pos="4153"/>
        <w:tab w:val="clear" w:pos="8306"/>
        <w:tab w:val="center" w:pos="1134"/>
      </w:tabs>
      <w:spacing w:line="280" w:lineRule="exact"/>
      <w:ind w:firstLine="0"/>
      <w:rPr>
        <w:rFonts w:ascii="Times New Roman" w:hAnsi="Times New Roman"/>
        <w:i/>
        <w:sz w:val="22"/>
      </w:rPr>
    </w:pPr>
  </w:p>
  <w:p w14:paraId="0B3E866B" w14:textId="77777777" w:rsidR="00041D61" w:rsidRPr="00A25CAF" w:rsidRDefault="00066952" w:rsidP="00A25CAF">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CE3F" w14:textId="05348DCD" w:rsidR="006B5BB1" w:rsidRPr="001D318D" w:rsidRDefault="001D318D" w:rsidP="001D318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395F9B">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395F9B">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30DC" w14:textId="17196DA2" w:rsidR="00F60193" w:rsidRPr="001D318D" w:rsidRDefault="00F60193" w:rsidP="001D31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1644" w14:textId="77777777" w:rsidR="001D318D" w:rsidRPr="006B5BB1" w:rsidRDefault="001D318D" w:rsidP="006B5BB1">
    <w:pPr>
      <w:pStyle w:val="Header"/>
      <w:tabs>
        <w:tab w:val="clear" w:pos="4153"/>
        <w:tab w:val="clear" w:pos="8306"/>
        <w:tab w:val="right" w:pos="1304"/>
      </w:tabs>
      <w:spacing w:line="280" w:lineRule="exact"/>
      <w:ind w:firstLine="0"/>
      <w:rPr>
        <w:rFonts w:ascii="Times New Roman" w:hAnsi="Times New Roman"/>
        <w:i/>
        <w:sz w:val="22"/>
      </w:rPr>
    </w:pPr>
    <w:r w:rsidRPr="006B5BB1">
      <w:rPr>
        <w:rFonts w:ascii="Times New Roman" w:hAnsi="Times New Roman"/>
        <w:i/>
        <w:sz w:val="22"/>
      </w:rPr>
      <w:t>Kiefel</w:t>
    </w:r>
    <w:r w:rsidRPr="006B5BB1">
      <w:rPr>
        <w:rFonts w:ascii="Times New Roman" w:hAnsi="Times New Roman"/>
        <w:i/>
        <w:sz w:val="22"/>
      </w:rPr>
      <w:tab/>
      <w:t>CJ</w:t>
    </w:r>
  </w:p>
  <w:p w14:paraId="181CF211" w14:textId="77777777" w:rsidR="001D318D" w:rsidRPr="006B5BB1" w:rsidRDefault="001D318D" w:rsidP="006B5BB1">
    <w:pPr>
      <w:pStyle w:val="Header"/>
      <w:tabs>
        <w:tab w:val="clear" w:pos="4153"/>
        <w:tab w:val="clear" w:pos="8306"/>
        <w:tab w:val="right" w:pos="1304"/>
      </w:tabs>
      <w:spacing w:line="280" w:lineRule="exact"/>
      <w:ind w:firstLine="0"/>
      <w:rPr>
        <w:rFonts w:ascii="Times New Roman" w:hAnsi="Times New Roman"/>
        <w:i/>
        <w:sz w:val="22"/>
      </w:rPr>
    </w:pPr>
    <w:r w:rsidRPr="006B5BB1">
      <w:rPr>
        <w:rFonts w:ascii="Times New Roman" w:hAnsi="Times New Roman"/>
        <w:i/>
        <w:sz w:val="22"/>
      </w:rPr>
      <w:t>Keane</w:t>
    </w:r>
    <w:r w:rsidRPr="006B5BB1">
      <w:rPr>
        <w:rFonts w:ascii="Times New Roman" w:hAnsi="Times New Roman"/>
        <w:i/>
        <w:sz w:val="22"/>
      </w:rPr>
      <w:tab/>
      <w:t>J</w:t>
    </w:r>
  </w:p>
  <w:p w14:paraId="297F34F8" w14:textId="77777777" w:rsidR="001D318D" w:rsidRDefault="001D318D" w:rsidP="006B5BB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01FC9D1" w14:textId="77777777" w:rsidR="001D318D" w:rsidRDefault="001D318D" w:rsidP="006B5BB1">
    <w:pPr>
      <w:pStyle w:val="Header"/>
      <w:tabs>
        <w:tab w:val="clear" w:pos="4153"/>
        <w:tab w:val="clear" w:pos="8306"/>
        <w:tab w:val="right" w:pos="1304"/>
      </w:tabs>
      <w:spacing w:line="280" w:lineRule="exact"/>
      <w:ind w:firstLine="0"/>
      <w:rPr>
        <w:rFonts w:ascii="Times New Roman" w:hAnsi="Times New Roman"/>
        <w:i/>
        <w:sz w:val="22"/>
      </w:rPr>
    </w:pPr>
  </w:p>
  <w:p w14:paraId="2E8E017D" w14:textId="77777777" w:rsidR="001D318D" w:rsidRDefault="001D318D" w:rsidP="006B5BB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8DBD27B" w14:textId="77777777" w:rsidR="001D318D" w:rsidRPr="006B5BB1" w:rsidRDefault="001D318D" w:rsidP="006B5BB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8465" w14:textId="77777777" w:rsidR="001D318D" w:rsidRPr="006B5BB1" w:rsidRDefault="001D318D" w:rsidP="006B5BB1">
    <w:pPr>
      <w:pStyle w:val="Header"/>
      <w:tabs>
        <w:tab w:val="clear" w:pos="4153"/>
        <w:tab w:val="clear" w:pos="8306"/>
        <w:tab w:val="left" w:pos="7200"/>
        <w:tab w:val="right" w:pos="8504"/>
      </w:tabs>
      <w:spacing w:line="280" w:lineRule="exact"/>
      <w:jc w:val="right"/>
      <w:rPr>
        <w:rFonts w:ascii="Times New Roman" w:hAnsi="Times New Roman"/>
        <w:i/>
        <w:sz w:val="22"/>
      </w:rPr>
    </w:pPr>
    <w:r w:rsidRPr="006B5BB1">
      <w:rPr>
        <w:rFonts w:ascii="Times New Roman" w:hAnsi="Times New Roman"/>
        <w:i/>
        <w:sz w:val="22"/>
      </w:rPr>
      <w:tab/>
      <w:t>Kiefel</w:t>
    </w:r>
    <w:r w:rsidRPr="006B5BB1">
      <w:rPr>
        <w:rFonts w:ascii="Times New Roman" w:hAnsi="Times New Roman"/>
        <w:i/>
        <w:sz w:val="22"/>
      </w:rPr>
      <w:tab/>
      <w:t>CJ</w:t>
    </w:r>
  </w:p>
  <w:p w14:paraId="5E0EF45A" w14:textId="77777777" w:rsidR="001D318D" w:rsidRPr="006B5BB1" w:rsidRDefault="001D318D" w:rsidP="006B5BB1">
    <w:pPr>
      <w:pStyle w:val="Header"/>
      <w:tabs>
        <w:tab w:val="clear" w:pos="4153"/>
        <w:tab w:val="clear" w:pos="8306"/>
        <w:tab w:val="left" w:pos="7200"/>
        <w:tab w:val="right" w:pos="8504"/>
      </w:tabs>
      <w:spacing w:line="280" w:lineRule="exact"/>
      <w:jc w:val="right"/>
      <w:rPr>
        <w:rFonts w:ascii="Times New Roman" w:hAnsi="Times New Roman"/>
        <w:i/>
        <w:sz w:val="22"/>
      </w:rPr>
    </w:pPr>
    <w:r w:rsidRPr="006B5BB1">
      <w:rPr>
        <w:rFonts w:ascii="Times New Roman" w:hAnsi="Times New Roman"/>
        <w:i/>
        <w:sz w:val="22"/>
      </w:rPr>
      <w:tab/>
      <w:t>Keane</w:t>
    </w:r>
    <w:r w:rsidRPr="006B5BB1">
      <w:rPr>
        <w:rFonts w:ascii="Times New Roman" w:hAnsi="Times New Roman"/>
        <w:i/>
        <w:sz w:val="22"/>
      </w:rPr>
      <w:tab/>
      <w:t>J</w:t>
    </w:r>
  </w:p>
  <w:p w14:paraId="7EC0FC7B" w14:textId="77777777" w:rsidR="001D318D" w:rsidRDefault="001D318D" w:rsidP="006B5BB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CA2E814" w14:textId="77777777" w:rsidR="001D318D" w:rsidRDefault="001D318D" w:rsidP="006B5BB1">
    <w:pPr>
      <w:pStyle w:val="Header"/>
      <w:tabs>
        <w:tab w:val="clear" w:pos="4153"/>
        <w:tab w:val="clear" w:pos="8306"/>
        <w:tab w:val="left" w:pos="7200"/>
        <w:tab w:val="right" w:pos="8504"/>
      </w:tabs>
      <w:spacing w:line="280" w:lineRule="exact"/>
      <w:jc w:val="right"/>
      <w:rPr>
        <w:rFonts w:ascii="Times New Roman" w:hAnsi="Times New Roman"/>
        <w:i/>
        <w:sz w:val="22"/>
      </w:rPr>
    </w:pPr>
  </w:p>
  <w:p w14:paraId="20AE289A" w14:textId="77777777" w:rsidR="001D318D" w:rsidRDefault="001D318D" w:rsidP="006B5BB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4584D8C" w14:textId="77777777" w:rsidR="001D318D" w:rsidRPr="006B5BB1" w:rsidRDefault="001D318D" w:rsidP="006B5BB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667A" w14:textId="77777777" w:rsidR="001D318D" w:rsidRDefault="001D318D" w:rsidP="006B5BB1">
    <w:pPr>
      <w:pStyle w:val="Header"/>
      <w:tabs>
        <w:tab w:val="clear" w:pos="4153"/>
        <w:tab w:val="clear" w:pos="8306"/>
        <w:tab w:val="center" w:pos="1134"/>
      </w:tabs>
      <w:spacing w:line="280" w:lineRule="exact"/>
      <w:ind w:firstLine="0"/>
      <w:rPr>
        <w:rFonts w:ascii="Times New Roman" w:hAnsi="Times New Roman"/>
        <w:i/>
        <w:sz w:val="22"/>
      </w:rPr>
    </w:pPr>
  </w:p>
  <w:p w14:paraId="52952465" w14:textId="77777777" w:rsidR="001D318D" w:rsidRDefault="001D318D" w:rsidP="006B5BB1">
    <w:pPr>
      <w:pStyle w:val="Header"/>
      <w:tabs>
        <w:tab w:val="clear" w:pos="4153"/>
        <w:tab w:val="clear" w:pos="8306"/>
        <w:tab w:val="center" w:pos="1134"/>
      </w:tabs>
      <w:spacing w:line="280" w:lineRule="exact"/>
      <w:ind w:firstLine="0"/>
      <w:rPr>
        <w:rFonts w:ascii="Times New Roman" w:hAnsi="Times New Roman"/>
        <w:i/>
        <w:sz w:val="22"/>
      </w:rPr>
    </w:pPr>
  </w:p>
  <w:p w14:paraId="3EA21ADF" w14:textId="77777777" w:rsidR="001D318D" w:rsidRDefault="001D318D" w:rsidP="006B5BB1">
    <w:pPr>
      <w:pStyle w:val="Header"/>
      <w:tabs>
        <w:tab w:val="clear" w:pos="4153"/>
        <w:tab w:val="clear" w:pos="8306"/>
        <w:tab w:val="center" w:pos="1134"/>
      </w:tabs>
      <w:spacing w:line="280" w:lineRule="exact"/>
      <w:ind w:firstLine="0"/>
      <w:rPr>
        <w:rFonts w:ascii="Times New Roman" w:hAnsi="Times New Roman"/>
        <w:i/>
        <w:sz w:val="22"/>
      </w:rPr>
    </w:pPr>
  </w:p>
  <w:p w14:paraId="6BEDB13B" w14:textId="77777777" w:rsidR="001D318D" w:rsidRDefault="001D318D" w:rsidP="006B5BB1">
    <w:pPr>
      <w:pStyle w:val="Header"/>
      <w:tabs>
        <w:tab w:val="clear" w:pos="4153"/>
        <w:tab w:val="clear" w:pos="8306"/>
        <w:tab w:val="center" w:pos="1134"/>
      </w:tabs>
      <w:spacing w:line="280" w:lineRule="exact"/>
      <w:ind w:firstLine="0"/>
      <w:rPr>
        <w:rFonts w:ascii="Times New Roman" w:hAnsi="Times New Roman"/>
        <w:i/>
        <w:sz w:val="22"/>
      </w:rPr>
    </w:pPr>
  </w:p>
  <w:p w14:paraId="18B50492" w14:textId="77777777" w:rsidR="001D318D" w:rsidRDefault="001D318D" w:rsidP="006B5BB1">
    <w:pPr>
      <w:pStyle w:val="Header"/>
      <w:tabs>
        <w:tab w:val="clear" w:pos="4153"/>
        <w:tab w:val="clear" w:pos="8306"/>
        <w:tab w:val="center" w:pos="1134"/>
      </w:tabs>
      <w:spacing w:line="280" w:lineRule="exact"/>
      <w:ind w:firstLine="0"/>
      <w:rPr>
        <w:rFonts w:ascii="Times New Roman" w:hAnsi="Times New Roman"/>
        <w:i/>
        <w:sz w:val="22"/>
      </w:rPr>
    </w:pPr>
  </w:p>
  <w:p w14:paraId="737D0A4F" w14:textId="77777777" w:rsidR="001D318D" w:rsidRPr="006B5BB1" w:rsidRDefault="001D318D" w:rsidP="006B5BB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58AA" w14:textId="77777777" w:rsidR="00B77657" w:rsidRPr="00B77657" w:rsidRDefault="007811D4" w:rsidP="00B77657">
    <w:pPr>
      <w:pStyle w:val="Header"/>
      <w:tabs>
        <w:tab w:val="clear" w:pos="4153"/>
        <w:tab w:val="clear" w:pos="8306"/>
        <w:tab w:val="right" w:pos="1304"/>
      </w:tabs>
      <w:spacing w:line="280" w:lineRule="exact"/>
      <w:ind w:firstLine="0"/>
      <w:rPr>
        <w:rFonts w:ascii="Times New Roman" w:hAnsi="Times New Roman"/>
        <w:i/>
        <w:sz w:val="22"/>
      </w:rPr>
    </w:pPr>
    <w:r w:rsidRPr="00B77657">
      <w:rPr>
        <w:rFonts w:ascii="Times New Roman" w:hAnsi="Times New Roman"/>
        <w:i/>
        <w:sz w:val="22"/>
      </w:rPr>
      <w:t>Gageler</w:t>
    </w:r>
    <w:r w:rsidRPr="00B77657">
      <w:rPr>
        <w:rFonts w:ascii="Times New Roman" w:hAnsi="Times New Roman"/>
        <w:i/>
        <w:sz w:val="22"/>
      </w:rPr>
      <w:tab/>
      <w:t>J</w:t>
    </w:r>
  </w:p>
  <w:p w14:paraId="017E5D49" w14:textId="77777777" w:rsidR="00B77657" w:rsidRDefault="007811D4" w:rsidP="00B7765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7CD5FBB" w14:textId="77777777" w:rsidR="00B77657" w:rsidRDefault="00066952" w:rsidP="00B77657">
    <w:pPr>
      <w:pStyle w:val="Header"/>
      <w:tabs>
        <w:tab w:val="clear" w:pos="4153"/>
        <w:tab w:val="clear" w:pos="8306"/>
        <w:tab w:val="right" w:pos="1304"/>
      </w:tabs>
      <w:spacing w:line="280" w:lineRule="exact"/>
      <w:ind w:firstLine="0"/>
      <w:rPr>
        <w:rFonts w:ascii="Times New Roman" w:hAnsi="Times New Roman"/>
        <w:i/>
        <w:sz w:val="22"/>
      </w:rPr>
    </w:pPr>
  </w:p>
  <w:p w14:paraId="4CDE7B33" w14:textId="77777777" w:rsidR="00B77657" w:rsidRDefault="007811D4" w:rsidP="00B7765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E2938E9" w14:textId="77777777" w:rsidR="00B77657" w:rsidRPr="00B77657" w:rsidRDefault="00066952" w:rsidP="00B7765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44D7" w14:textId="77777777" w:rsidR="00B77657" w:rsidRPr="00B77657" w:rsidRDefault="007811D4" w:rsidP="00B77657">
    <w:pPr>
      <w:pStyle w:val="Header"/>
      <w:tabs>
        <w:tab w:val="clear" w:pos="4153"/>
        <w:tab w:val="clear" w:pos="8306"/>
        <w:tab w:val="left" w:pos="7200"/>
        <w:tab w:val="right" w:pos="8504"/>
      </w:tabs>
      <w:spacing w:line="280" w:lineRule="exact"/>
      <w:jc w:val="right"/>
      <w:rPr>
        <w:rFonts w:ascii="Times New Roman" w:hAnsi="Times New Roman"/>
        <w:i/>
        <w:sz w:val="22"/>
      </w:rPr>
    </w:pPr>
    <w:r w:rsidRPr="00B77657">
      <w:rPr>
        <w:rFonts w:ascii="Times New Roman" w:hAnsi="Times New Roman"/>
        <w:i/>
        <w:sz w:val="22"/>
      </w:rPr>
      <w:tab/>
      <w:t>Gageler</w:t>
    </w:r>
    <w:r w:rsidRPr="00B77657">
      <w:rPr>
        <w:rFonts w:ascii="Times New Roman" w:hAnsi="Times New Roman"/>
        <w:i/>
        <w:sz w:val="22"/>
      </w:rPr>
      <w:tab/>
      <w:t>J</w:t>
    </w:r>
  </w:p>
  <w:p w14:paraId="10CECDAA" w14:textId="77777777" w:rsidR="00B77657" w:rsidRDefault="007811D4" w:rsidP="00B7765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68B4B943" w14:textId="77777777" w:rsidR="00B77657" w:rsidRDefault="00066952" w:rsidP="00B77657">
    <w:pPr>
      <w:pStyle w:val="Header"/>
      <w:tabs>
        <w:tab w:val="clear" w:pos="4153"/>
        <w:tab w:val="clear" w:pos="8306"/>
        <w:tab w:val="left" w:pos="7200"/>
        <w:tab w:val="right" w:pos="8504"/>
      </w:tabs>
      <w:spacing w:line="280" w:lineRule="exact"/>
      <w:jc w:val="right"/>
      <w:rPr>
        <w:rFonts w:ascii="Times New Roman" w:hAnsi="Times New Roman"/>
        <w:i/>
        <w:sz w:val="22"/>
      </w:rPr>
    </w:pPr>
  </w:p>
  <w:p w14:paraId="78343C9E" w14:textId="77777777" w:rsidR="00B77657" w:rsidRDefault="007811D4" w:rsidP="00B7765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7066E37" w14:textId="77777777" w:rsidR="00B77657" w:rsidRPr="00B77657" w:rsidRDefault="00066952" w:rsidP="00B7765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B947" w14:textId="77777777" w:rsidR="00B77657" w:rsidRDefault="00066952" w:rsidP="00B77657">
    <w:pPr>
      <w:pStyle w:val="Header"/>
      <w:tabs>
        <w:tab w:val="clear" w:pos="4153"/>
        <w:tab w:val="clear" w:pos="8306"/>
        <w:tab w:val="center" w:pos="1134"/>
      </w:tabs>
      <w:spacing w:line="280" w:lineRule="exact"/>
      <w:ind w:firstLine="0"/>
      <w:rPr>
        <w:rFonts w:ascii="Times New Roman" w:hAnsi="Times New Roman"/>
        <w:i/>
        <w:sz w:val="22"/>
      </w:rPr>
    </w:pPr>
  </w:p>
  <w:p w14:paraId="7332B6AD" w14:textId="77777777" w:rsidR="00B77657" w:rsidRDefault="00066952" w:rsidP="00B77657">
    <w:pPr>
      <w:pStyle w:val="Header"/>
      <w:tabs>
        <w:tab w:val="clear" w:pos="4153"/>
        <w:tab w:val="clear" w:pos="8306"/>
        <w:tab w:val="center" w:pos="1134"/>
      </w:tabs>
      <w:spacing w:line="280" w:lineRule="exact"/>
      <w:ind w:firstLine="0"/>
      <w:rPr>
        <w:rFonts w:ascii="Times New Roman" w:hAnsi="Times New Roman"/>
        <w:i/>
        <w:sz w:val="22"/>
      </w:rPr>
    </w:pPr>
  </w:p>
  <w:p w14:paraId="7B96FB89" w14:textId="77777777" w:rsidR="00B77657" w:rsidRDefault="00066952" w:rsidP="00B77657">
    <w:pPr>
      <w:pStyle w:val="Header"/>
      <w:tabs>
        <w:tab w:val="clear" w:pos="4153"/>
        <w:tab w:val="clear" w:pos="8306"/>
        <w:tab w:val="center" w:pos="1134"/>
      </w:tabs>
      <w:spacing w:line="280" w:lineRule="exact"/>
      <w:ind w:firstLine="0"/>
      <w:rPr>
        <w:rFonts w:ascii="Times New Roman" w:hAnsi="Times New Roman"/>
        <w:i/>
        <w:sz w:val="22"/>
      </w:rPr>
    </w:pPr>
  </w:p>
  <w:p w14:paraId="6A3CBE2A" w14:textId="77777777" w:rsidR="00B77657" w:rsidRDefault="00066952" w:rsidP="00B77657">
    <w:pPr>
      <w:pStyle w:val="Header"/>
      <w:tabs>
        <w:tab w:val="clear" w:pos="4153"/>
        <w:tab w:val="clear" w:pos="8306"/>
        <w:tab w:val="center" w:pos="1134"/>
      </w:tabs>
      <w:spacing w:line="280" w:lineRule="exact"/>
      <w:ind w:firstLine="0"/>
      <w:rPr>
        <w:rFonts w:ascii="Times New Roman" w:hAnsi="Times New Roman"/>
        <w:i/>
        <w:sz w:val="22"/>
      </w:rPr>
    </w:pPr>
  </w:p>
  <w:p w14:paraId="375833CA" w14:textId="77777777" w:rsidR="00375F7A" w:rsidRPr="00B77657" w:rsidRDefault="00066952" w:rsidP="00B7765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81"/>
    <w:rsid w:val="00000478"/>
    <w:rsid w:val="00000ACA"/>
    <w:rsid w:val="00001EEE"/>
    <w:rsid w:val="00002069"/>
    <w:rsid w:val="000020DC"/>
    <w:rsid w:val="00002CE6"/>
    <w:rsid w:val="0000316A"/>
    <w:rsid w:val="00003A48"/>
    <w:rsid w:val="00004062"/>
    <w:rsid w:val="000049B7"/>
    <w:rsid w:val="0000660A"/>
    <w:rsid w:val="00006B68"/>
    <w:rsid w:val="000071F5"/>
    <w:rsid w:val="000072D0"/>
    <w:rsid w:val="0001068F"/>
    <w:rsid w:val="00010C23"/>
    <w:rsid w:val="00011C07"/>
    <w:rsid w:val="000134FC"/>
    <w:rsid w:val="00013BF1"/>
    <w:rsid w:val="000149C7"/>
    <w:rsid w:val="00014B34"/>
    <w:rsid w:val="00015174"/>
    <w:rsid w:val="000158BB"/>
    <w:rsid w:val="000168C9"/>
    <w:rsid w:val="00016C20"/>
    <w:rsid w:val="00016DBB"/>
    <w:rsid w:val="0001705E"/>
    <w:rsid w:val="00017144"/>
    <w:rsid w:val="00020318"/>
    <w:rsid w:val="000217E3"/>
    <w:rsid w:val="00021851"/>
    <w:rsid w:val="000218CB"/>
    <w:rsid w:val="00021AF6"/>
    <w:rsid w:val="00022200"/>
    <w:rsid w:val="00022485"/>
    <w:rsid w:val="00022DAA"/>
    <w:rsid w:val="00023C19"/>
    <w:rsid w:val="00024AAA"/>
    <w:rsid w:val="00024BE8"/>
    <w:rsid w:val="000250AF"/>
    <w:rsid w:val="00025186"/>
    <w:rsid w:val="00025490"/>
    <w:rsid w:val="0002561E"/>
    <w:rsid w:val="00025C62"/>
    <w:rsid w:val="0002646E"/>
    <w:rsid w:val="000268E1"/>
    <w:rsid w:val="00027EB2"/>
    <w:rsid w:val="00030167"/>
    <w:rsid w:val="0003019C"/>
    <w:rsid w:val="00031F14"/>
    <w:rsid w:val="00031FEE"/>
    <w:rsid w:val="00032109"/>
    <w:rsid w:val="00032F4D"/>
    <w:rsid w:val="000341FF"/>
    <w:rsid w:val="0003575A"/>
    <w:rsid w:val="00035B9D"/>
    <w:rsid w:val="000360EB"/>
    <w:rsid w:val="00036B84"/>
    <w:rsid w:val="00036BD9"/>
    <w:rsid w:val="00036E4F"/>
    <w:rsid w:val="000370D3"/>
    <w:rsid w:val="0003761A"/>
    <w:rsid w:val="00037A5F"/>
    <w:rsid w:val="00037D87"/>
    <w:rsid w:val="000413C1"/>
    <w:rsid w:val="00041415"/>
    <w:rsid w:val="0004158B"/>
    <w:rsid w:val="000417BE"/>
    <w:rsid w:val="00042B57"/>
    <w:rsid w:val="00042E22"/>
    <w:rsid w:val="00042E25"/>
    <w:rsid w:val="0004340F"/>
    <w:rsid w:val="000439A9"/>
    <w:rsid w:val="00043D2C"/>
    <w:rsid w:val="0004449C"/>
    <w:rsid w:val="00046812"/>
    <w:rsid w:val="00047112"/>
    <w:rsid w:val="00050692"/>
    <w:rsid w:val="00050D21"/>
    <w:rsid w:val="00050D91"/>
    <w:rsid w:val="00052005"/>
    <w:rsid w:val="0005355F"/>
    <w:rsid w:val="00054CAF"/>
    <w:rsid w:val="00055ACD"/>
    <w:rsid w:val="00055EED"/>
    <w:rsid w:val="0005629B"/>
    <w:rsid w:val="00056F27"/>
    <w:rsid w:val="00057327"/>
    <w:rsid w:val="000573AF"/>
    <w:rsid w:val="0005751F"/>
    <w:rsid w:val="00057E29"/>
    <w:rsid w:val="0006045A"/>
    <w:rsid w:val="00061255"/>
    <w:rsid w:val="0006169E"/>
    <w:rsid w:val="00061990"/>
    <w:rsid w:val="0006258F"/>
    <w:rsid w:val="00062643"/>
    <w:rsid w:val="000626FD"/>
    <w:rsid w:val="00062922"/>
    <w:rsid w:val="000636C2"/>
    <w:rsid w:val="00063D32"/>
    <w:rsid w:val="0006432B"/>
    <w:rsid w:val="00064DD9"/>
    <w:rsid w:val="00064EF5"/>
    <w:rsid w:val="000653D4"/>
    <w:rsid w:val="00066952"/>
    <w:rsid w:val="00067183"/>
    <w:rsid w:val="00067192"/>
    <w:rsid w:val="00067369"/>
    <w:rsid w:val="0007018F"/>
    <w:rsid w:val="00070B27"/>
    <w:rsid w:val="00070D85"/>
    <w:rsid w:val="00071B70"/>
    <w:rsid w:val="00071C35"/>
    <w:rsid w:val="00071CD4"/>
    <w:rsid w:val="000722B3"/>
    <w:rsid w:val="00072BCF"/>
    <w:rsid w:val="00072D9E"/>
    <w:rsid w:val="0007302D"/>
    <w:rsid w:val="000741EF"/>
    <w:rsid w:val="00074883"/>
    <w:rsid w:val="00075DBD"/>
    <w:rsid w:val="00075DDA"/>
    <w:rsid w:val="00075F50"/>
    <w:rsid w:val="00076495"/>
    <w:rsid w:val="0007782C"/>
    <w:rsid w:val="00077B59"/>
    <w:rsid w:val="00080D77"/>
    <w:rsid w:val="000813BB"/>
    <w:rsid w:val="000814AC"/>
    <w:rsid w:val="0008180D"/>
    <w:rsid w:val="000826EE"/>
    <w:rsid w:val="0008309D"/>
    <w:rsid w:val="000835EC"/>
    <w:rsid w:val="0008362E"/>
    <w:rsid w:val="0008435D"/>
    <w:rsid w:val="00084B31"/>
    <w:rsid w:val="00084F9D"/>
    <w:rsid w:val="0008558C"/>
    <w:rsid w:val="00085738"/>
    <w:rsid w:val="00085970"/>
    <w:rsid w:val="00085F13"/>
    <w:rsid w:val="00086995"/>
    <w:rsid w:val="00086E7C"/>
    <w:rsid w:val="00087371"/>
    <w:rsid w:val="00090F6C"/>
    <w:rsid w:val="00091343"/>
    <w:rsid w:val="00091C9C"/>
    <w:rsid w:val="00091EC1"/>
    <w:rsid w:val="00093179"/>
    <w:rsid w:val="00093C15"/>
    <w:rsid w:val="00093DC7"/>
    <w:rsid w:val="00094E9D"/>
    <w:rsid w:val="0009681D"/>
    <w:rsid w:val="00096C86"/>
    <w:rsid w:val="000A079D"/>
    <w:rsid w:val="000A1A0C"/>
    <w:rsid w:val="000A1B48"/>
    <w:rsid w:val="000A1D6D"/>
    <w:rsid w:val="000A28D4"/>
    <w:rsid w:val="000A2EB4"/>
    <w:rsid w:val="000A3DA3"/>
    <w:rsid w:val="000A63C6"/>
    <w:rsid w:val="000A6642"/>
    <w:rsid w:val="000A6EBA"/>
    <w:rsid w:val="000B010E"/>
    <w:rsid w:val="000B21D4"/>
    <w:rsid w:val="000B3148"/>
    <w:rsid w:val="000B3A8B"/>
    <w:rsid w:val="000B4630"/>
    <w:rsid w:val="000B497F"/>
    <w:rsid w:val="000B6251"/>
    <w:rsid w:val="000B710D"/>
    <w:rsid w:val="000B7558"/>
    <w:rsid w:val="000C04DC"/>
    <w:rsid w:val="000C04E8"/>
    <w:rsid w:val="000C090C"/>
    <w:rsid w:val="000C0D98"/>
    <w:rsid w:val="000C21E8"/>
    <w:rsid w:val="000C2703"/>
    <w:rsid w:val="000C2CF0"/>
    <w:rsid w:val="000C3AF2"/>
    <w:rsid w:val="000C3B91"/>
    <w:rsid w:val="000C3F0A"/>
    <w:rsid w:val="000C478C"/>
    <w:rsid w:val="000C4C2F"/>
    <w:rsid w:val="000C4FE7"/>
    <w:rsid w:val="000C5B7F"/>
    <w:rsid w:val="000C6D39"/>
    <w:rsid w:val="000D25E6"/>
    <w:rsid w:val="000D2F56"/>
    <w:rsid w:val="000D342D"/>
    <w:rsid w:val="000D34B1"/>
    <w:rsid w:val="000D3F3F"/>
    <w:rsid w:val="000D4BF6"/>
    <w:rsid w:val="000D56AE"/>
    <w:rsid w:val="000D5772"/>
    <w:rsid w:val="000D6109"/>
    <w:rsid w:val="000E0112"/>
    <w:rsid w:val="000E0E15"/>
    <w:rsid w:val="000E19BF"/>
    <w:rsid w:val="000E27E3"/>
    <w:rsid w:val="000E377C"/>
    <w:rsid w:val="000E3839"/>
    <w:rsid w:val="000E55FE"/>
    <w:rsid w:val="000E5C4C"/>
    <w:rsid w:val="000E65F7"/>
    <w:rsid w:val="000E6E94"/>
    <w:rsid w:val="000E7AF6"/>
    <w:rsid w:val="000F049D"/>
    <w:rsid w:val="000F0949"/>
    <w:rsid w:val="000F1345"/>
    <w:rsid w:val="000F1BAD"/>
    <w:rsid w:val="000F28A5"/>
    <w:rsid w:val="000F5BE8"/>
    <w:rsid w:val="000F65A7"/>
    <w:rsid w:val="000F7192"/>
    <w:rsid w:val="001001B9"/>
    <w:rsid w:val="00102254"/>
    <w:rsid w:val="00102291"/>
    <w:rsid w:val="00102347"/>
    <w:rsid w:val="00102B62"/>
    <w:rsid w:val="00103CA1"/>
    <w:rsid w:val="00104117"/>
    <w:rsid w:val="001049C2"/>
    <w:rsid w:val="00104D85"/>
    <w:rsid w:val="00105C5D"/>
    <w:rsid w:val="0010605A"/>
    <w:rsid w:val="001065D0"/>
    <w:rsid w:val="0010702C"/>
    <w:rsid w:val="0010740B"/>
    <w:rsid w:val="00110481"/>
    <w:rsid w:val="00110970"/>
    <w:rsid w:val="001112B5"/>
    <w:rsid w:val="00111568"/>
    <w:rsid w:val="001120C0"/>
    <w:rsid w:val="0011296B"/>
    <w:rsid w:val="00113E71"/>
    <w:rsid w:val="001142AA"/>
    <w:rsid w:val="001150BF"/>
    <w:rsid w:val="00115CA8"/>
    <w:rsid w:val="00115EB0"/>
    <w:rsid w:val="001166A5"/>
    <w:rsid w:val="001168F2"/>
    <w:rsid w:val="001200E9"/>
    <w:rsid w:val="00120207"/>
    <w:rsid w:val="0012028B"/>
    <w:rsid w:val="001203F1"/>
    <w:rsid w:val="00122422"/>
    <w:rsid w:val="0012301B"/>
    <w:rsid w:val="001236E6"/>
    <w:rsid w:val="00123C1B"/>
    <w:rsid w:val="00124514"/>
    <w:rsid w:val="001254A5"/>
    <w:rsid w:val="00125DFF"/>
    <w:rsid w:val="00125E3C"/>
    <w:rsid w:val="001273A0"/>
    <w:rsid w:val="00127EEB"/>
    <w:rsid w:val="00131F93"/>
    <w:rsid w:val="00132FAD"/>
    <w:rsid w:val="00133CCE"/>
    <w:rsid w:val="00133E7E"/>
    <w:rsid w:val="00133EDB"/>
    <w:rsid w:val="0013456F"/>
    <w:rsid w:val="001347AA"/>
    <w:rsid w:val="00134B32"/>
    <w:rsid w:val="001352AD"/>
    <w:rsid w:val="00135BB8"/>
    <w:rsid w:val="00135E2F"/>
    <w:rsid w:val="0013775B"/>
    <w:rsid w:val="0013777F"/>
    <w:rsid w:val="0014066A"/>
    <w:rsid w:val="0014091E"/>
    <w:rsid w:val="001416C3"/>
    <w:rsid w:val="00142072"/>
    <w:rsid w:val="001427E2"/>
    <w:rsid w:val="00142E42"/>
    <w:rsid w:val="00142ED0"/>
    <w:rsid w:val="00142F86"/>
    <w:rsid w:val="00142F90"/>
    <w:rsid w:val="00143294"/>
    <w:rsid w:val="001432C8"/>
    <w:rsid w:val="00143CF3"/>
    <w:rsid w:val="00143FCB"/>
    <w:rsid w:val="00144489"/>
    <w:rsid w:val="00144C84"/>
    <w:rsid w:val="001450CE"/>
    <w:rsid w:val="00145627"/>
    <w:rsid w:val="00145E9F"/>
    <w:rsid w:val="00146A41"/>
    <w:rsid w:val="00146C16"/>
    <w:rsid w:val="00147699"/>
    <w:rsid w:val="0015049B"/>
    <w:rsid w:val="001510CC"/>
    <w:rsid w:val="00151679"/>
    <w:rsid w:val="00151D82"/>
    <w:rsid w:val="00152B09"/>
    <w:rsid w:val="00152DF1"/>
    <w:rsid w:val="0015318E"/>
    <w:rsid w:val="001541C3"/>
    <w:rsid w:val="00154B3C"/>
    <w:rsid w:val="00154C2B"/>
    <w:rsid w:val="00154ED8"/>
    <w:rsid w:val="00155C8A"/>
    <w:rsid w:val="00156596"/>
    <w:rsid w:val="00156B2A"/>
    <w:rsid w:val="001574EE"/>
    <w:rsid w:val="00160922"/>
    <w:rsid w:val="00160F27"/>
    <w:rsid w:val="00162220"/>
    <w:rsid w:val="001622AC"/>
    <w:rsid w:val="00162402"/>
    <w:rsid w:val="00163906"/>
    <w:rsid w:val="00163D92"/>
    <w:rsid w:val="00164144"/>
    <w:rsid w:val="00164B1A"/>
    <w:rsid w:val="00165072"/>
    <w:rsid w:val="001652E1"/>
    <w:rsid w:val="001664F5"/>
    <w:rsid w:val="00166CA8"/>
    <w:rsid w:val="00166D6A"/>
    <w:rsid w:val="001676FA"/>
    <w:rsid w:val="001708D0"/>
    <w:rsid w:val="00171416"/>
    <w:rsid w:val="001715A0"/>
    <w:rsid w:val="001715C3"/>
    <w:rsid w:val="001721CD"/>
    <w:rsid w:val="00172634"/>
    <w:rsid w:val="00172ADE"/>
    <w:rsid w:val="0017473B"/>
    <w:rsid w:val="00174C3E"/>
    <w:rsid w:val="00174FC8"/>
    <w:rsid w:val="0017512F"/>
    <w:rsid w:val="00175703"/>
    <w:rsid w:val="001758DE"/>
    <w:rsid w:val="00175DD3"/>
    <w:rsid w:val="00175F22"/>
    <w:rsid w:val="00176D25"/>
    <w:rsid w:val="00180ACD"/>
    <w:rsid w:val="001810BB"/>
    <w:rsid w:val="00182E6B"/>
    <w:rsid w:val="00182F3D"/>
    <w:rsid w:val="0018316B"/>
    <w:rsid w:val="0018342E"/>
    <w:rsid w:val="00183FB6"/>
    <w:rsid w:val="001840C2"/>
    <w:rsid w:val="00184B46"/>
    <w:rsid w:val="00185303"/>
    <w:rsid w:val="0018562F"/>
    <w:rsid w:val="0018583A"/>
    <w:rsid w:val="00185939"/>
    <w:rsid w:val="001862C0"/>
    <w:rsid w:val="001876F6"/>
    <w:rsid w:val="00187701"/>
    <w:rsid w:val="00190331"/>
    <w:rsid w:val="00190D41"/>
    <w:rsid w:val="00191300"/>
    <w:rsid w:val="0019155E"/>
    <w:rsid w:val="00191E23"/>
    <w:rsid w:val="001953B1"/>
    <w:rsid w:val="001963C0"/>
    <w:rsid w:val="001971A8"/>
    <w:rsid w:val="0019729C"/>
    <w:rsid w:val="00197956"/>
    <w:rsid w:val="00197A74"/>
    <w:rsid w:val="001A19F6"/>
    <w:rsid w:val="001A23E8"/>
    <w:rsid w:val="001A2506"/>
    <w:rsid w:val="001A321D"/>
    <w:rsid w:val="001A36C1"/>
    <w:rsid w:val="001A446E"/>
    <w:rsid w:val="001A4CE5"/>
    <w:rsid w:val="001A7B92"/>
    <w:rsid w:val="001B0ABE"/>
    <w:rsid w:val="001B17A8"/>
    <w:rsid w:val="001B29BA"/>
    <w:rsid w:val="001B33B6"/>
    <w:rsid w:val="001B41B6"/>
    <w:rsid w:val="001B4320"/>
    <w:rsid w:val="001B44B8"/>
    <w:rsid w:val="001B46D7"/>
    <w:rsid w:val="001B5575"/>
    <w:rsid w:val="001B5D3F"/>
    <w:rsid w:val="001B60DA"/>
    <w:rsid w:val="001B63C6"/>
    <w:rsid w:val="001B63CA"/>
    <w:rsid w:val="001B66F5"/>
    <w:rsid w:val="001B6A52"/>
    <w:rsid w:val="001B6F41"/>
    <w:rsid w:val="001B7997"/>
    <w:rsid w:val="001C08B7"/>
    <w:rsid w:val="001C1C0F"/>
    <w:rsid w:val="001C419C"/>
    <w:rsid w:val="001C4244"/>
    <w:rsid w:val="001C48D4"/>
    <w:rsid w:val="001C519F"/>
    <w:rsid w:val="001C544F"/>
    <w:rsid w:val="001C674B"/>
    <w:rsid w:val="001C7354"/>
    <w:rsid w:val="001C7623"/>
    <w:rsid w:val="001C7C93"/>
    <w:rsid w:val="001D22D5"/>
    <w:rsid w:val="001D2399"/>
    <w:rsid w:val="001D318D"/>
    <w:rsid w:val="001D36CD"/>
    <w:rsid w:val="001D3A32"/>
    <w:rsid w:val="001D3E44"/>
    <w:rsid w:val="001D3F92"/>
    <w:rsid w:val="001D4F49"/>
    <w:rsid w:val="001D5238"/>
    <w:rsid w:val="001D7418"/>
    <w:rsid w:val="001D77C4"/>
    <w:rsid w:val="001D7982"/>
    <w:rsid w:val="001E0806"/>
    <w:rsid w:val="001E17C1"/>
    <w:rsid w:val="001E1D3D"/>
    <w:rsid w:val="001E1EAD"/>
    <w:rsid w:val="001E2B07"/>
    <w:rsid w:val="001E31E2"/>
    <w:rsid w:val="001E43BD"/>
    <w:rsid w:val="001E47D1"/>
    <w:rsid w:val="001E4D3A"/>
    <w:rsid w:val="001E6A64"/>
    <w:rsid w:val="001E6B93"/>
    <w:rsid w:val="001E75C5"/>
    <w:rsid w:val="001F0455"/>
    <w:rsid w:val="001F0B45"/>
    <w:rsid w:val="001F1DCE"/>
    <w:rsid w:val="001F246A"/>
    <w:rsid w:val="001F3F2A"/>
    <w:rsid w:val="001F4E3F"/>
    <w:rsid w:val="001F68D7"/>
    <w:rsid w:val="001F69C2"/>
    <w:rsid w:val="001F77B4"/>
    <w:rsid w:val="001F7B34"/>
    <w:rsid w:val="002017DC"/>
    <w:rsid w:val="00202076"/>
    <w:rsid w:val="00203348"/>
    <w:rsid w:val="00203BCE"/>
    <w:rsid w:val="00203D26"/>
    <w:rsid w:val="00203EA9"/>
    <w:rsid w:val="002048D1"/>
    <w:rsid w:val="002049DC"/>
    <w:rsid w:val="00204E56"/>
    <w:rsid w:val="00205224"/>
    <w:rsid w:val="002062A1"/>
    <w:rsid w:val="002074CB"/>
    <w:rsid w:val="00207834"/>
    <w:rsid w:val="002079CB"/>
    <w:rsid w:val="00207C75"/>
    <w:rsid w:val="00207EF2"/>
    <w:rsid w:val="002105B7"/>
    <w:rsid w:val="0021096E"/>
    <w:rsid w:val="00210DE8"/>
    <w:rsid w:val="00211D73"/>
    <w:rsid w:val="00212A3E"/>
    <w:rsid w:val="00213405"/>
    <w:rsid w:val="002139D2"/>
    <w:rsid w:val="00213E0E"/>
    <w:rsid w:val="00214BF2"/>
    <w:rsid w:val="00215A7F"/>
    <w:rsid w:val="00216522"/>
    <w:rsid w:val="00220258"/>
    <w:rsid w:val="00221542"/>
    <w:rsid w:val="00221D19"/>
    <w:rsid w:val="00222C44"/>
    <w:rsid w:val="00223519"/>
    <w:rsid w:val="0022395B"/>
    <w:rsid w:val="002255BC"/>
    <w:rsid w:val="0022666B"/>
    <w:rsid w:val="00226EEC"/>
    <w:rsid w:val="0022734D"/>
    <w:rsid w:val="002313D1"/>
    <w:rsid w:val="00232897"/>
    <w:rsid w:val="00234302"/>
    <w:rsid w:val="0023443B"/>
    <w:rsid w:val="0023447F"/>
    <w:rsid w:val="002350B3"/>
    <w:rsid w:val="00235730"/>
    <w:rsid w:val="00236091"/>
    <w:rsid w:val="0023781D"/>
    <w:rsid w:val="0023798E"/>
    <w:rsid w:val="002379A9"/>
    <w:rsid w:val="00240600"/>
    <w:rsid w:val="0024096C"/>
    <w:rsid w:val="00240DE8"/>
    <w:rsid w:val="00242976"/>
    <w:rsid w:val="00242B16"/>
    <w:rsid w:val="00242EE4"/>
    <w:rsid w:val="00243691"/>
    <w:rsid w:val="0024462E"/>
    <w:rsid w:val="00244C3B"/>
    <w:rsid w:val="00245C64"/>
    <w:rsid w:val="0024708F"/>
    <w:rsid w:val="002474FA"/>
    <w:rsid w:val="00250132"/>
    <w:rsid w:val="00250299"/>
    <w:rsid w:val="00250AE9"/>
    <w:rsid w:val="00251ED1"/>
    <w:rsid w:val="00253493"/>
    <w:rsid w:val="002536FB"/>
    <w:rsid w:val="0025464B"/>
    <w:rsid w:val="00255B50"/>
    <w:rsid w:val="00256920"/>
    <w:rsid w:val="002569A9"/>
    <w:rsid w:val="00256EAE"/>
    <w:rsid w:val="00256F2C"/>
    <w:rsid w:val="00257873"/>
    <w:rsid w:val="00257AFB"/>
    <w:rsid w:val="00257EB7"/>
    <w:rsid w:val="002600A0"/>
    <w:rsid w:val="002601EB"/>
    <w:rsid w:val="00260F19"/>
    <w:rsid w:val="00261762"/>
    <w:rsid w:val="0026293D"/>
    <w:rsid w:val="00262B6B"/>
    <w:rsid w:val="002649D9"/>
    <w:rsid w:val="00264DB3"/>
    <w:rsid w:val="00265982"/>
    <w:rsid w:val="00265FAD"/>
    <w:rsid w:val="00266AC2"/>
    <w:rsid w:val="00270154"/>
    <w:rsid w:val="0027091F"/>
    <w:rsid w:val="00271F70"/>
    <w:rsid w:val="002738C9"/>
    <w:rsid w:val="00274087"/>
    <w:rsid w:val="0027408B"/>
    <w:rsid w:val="0027409D"/>
    <w:rsid w:val="0027475C"/>
    <w:rsid w:val="00274A08"/>
    <w:rsid w:val="00274EA9"/>
    <w:rsid w:val="00275AD3"/>
    <w:rsid w:val="00276256"/>
    <w:rsid w:val="00276B2A"/>
    <w:rsid w:val="00276B56"/>
    <w:rsid w:val="00276C74"/>
    <w:rsid w:val="00277BD6"/>
    <w:rsid w:val="002809DB"/>
    <w:rsid w:val="00280F46"/>
    <w:rsid w:val="002811B3"/>
    <w:rsid w:val="002819FD"/>
    <w:rsid w:val="00281B7B"/>
    <w:rsid w:val="002820A0"/>
    <w:rsid w:val="0028330E"/>
    <w:rsid w:val="00283C0D"/>
    <w:rsid w:val="00284148"/>
    <w:rsid w:val="002842C0"/>
    <w:rsid w:val="0028494F"/>
    <w:rsid w:val="00284E57"/>
    <w:rsid w:val="00284FE3"/>
    <w:rsid w:val="002850C5"/>
    <w:rsid w:val="0028583A"/>
    <w:rsid w:val="00286B54"/>
    <w:rsid w:val="00287368"/>
    <w:rsid w:val="00287873"/>
    <w:rsid w:val="0029019B"/>
    <w:rsid w:val="00290273"/>
    <w:rsid w:val="00291073"/>
    <w:rsid w:val="002916CC"/>
    <w:rsid w:val="00291D1C"/>
    <w:rsid w:val="00292392"/>
    <w:rsid w:val="00292669"/>
    <w:rsid w:val="0029278C"/>
    <w:rsid w:val="00292C49"/>
    <w:rsid w:val="00292E65"/>
    <w:rsid w:val="00293415"/>
    <w:rsid w:val="0029356A"/>
    <w:rsid w:val="00293FAF"/>
    <w:rsid w:val="00294112"/>
    <w:rsid w:val="0029697C"/>
    <w:rsid w:val="00296A4A"/>
    <w:rsid w:val="00296EB5"/>
    <w:rsid w:val="002979F1"/>
    <w:rsid w:val="00297C5A"/>
    <w:rsid w:val="002A0195"/>
    <w:rsid w:val="002A0202"/>
    <w:rsid w:val="002A1381"/>
    <w:rsid w:val="002A13E1"/>
    <w:rsid w:val="002A1D46"/>
    <w:rsid w:val="002A2544"/>
    <w:rsid w:val="002A2FB5"/>
    <w:rsid w:val="002A3248"/>
    <w:rsid w:val="002A4082"/>
    <w:rsid w:val="002A450B"/>
    <w:rsid w:val="002A4C25"/>
    <w:rsid w:val="002A5926"/>
    <w:rsid w:val="002A6397"/>
    <w:rsid w:val="002A6507"/>
    <w:rsid w:val="002A74F9"/>
    <w:rsid w:val="002B0846"/>
    <w:rsid w:val="002B0C42"/>
    <w:rsid w:val="002B1304"/>
    <w:rsid w:val="002B28F9"/>
    <w:rsid w:val="002B337E"/>
    <w:rsid w:val="002B3516"/>
    <w:rsid w:val="002B420A"/>
    <w:rsid w:val="002B4577"/>
    <w:rsid w:val="002B4590"/>
    <w:rsid w:val="002B5E64"/>
    <w:rsid w:val="002B628D"/>
    <w:rsid w:val="002B68B4"/>
    <w:rsid w:val="002B7D39"/>
    <w:rsid w:val="002B7F81"/>
    <w:rsid w:val="002C161A"/>
    <w:rsid w:val="002C177A"/>
    <w:rsid w:val="002C285D"/>
    <w:rsid w:val="002C2B67"/>
    <w:rsid w:val="002C2BA3"/>
    <w:rsid w:val="002C2D10"/>
    <w:rsid w:val="002C308F"/>
    <w:rsid w:val="002C3D99"/>
    <w:rsid w:val="002C3DF1"/>
    <w:rsid w:val="002C4044"/>
    <w:rsid w:val="002C5981"/>
    <w:rsid w:val="002C5ECD"/>
    <w:rsid w:val="002C76CD"/>
    <w:rsid w:val="002C7E2B"/>
    <w:rsid w:val="002D00D9"/>
    <w:rsid w:val="002D0410"/>
    <w:rsid w:val="002D04A3"/>
    <w:rsid w:val="002D0620"/>
    <w:rsid w:val="002D0647"/>
    <w:rsid w:val="002D0899"/>
    <w:rsid w:val="002D12C0"/>
    <w:rsid w:val="002D1553"/>
    <w:rsid w:val="002D1707"/>
    <w:rsid w:val="002D17E2"/>
    <w:rsid w:val="002D1900"/>
    <w:rsid w:val="002D1F5D"/>
    <w:rsid w:val="002D3279"/>
    <w:rsid w:val="002D386C"/>
    <w:rsid w:val="002D3F5B"/>
    <w:rsid w:val="002D4EDB"/>
    <w:rsid w:val="002D5032"/>
    <w:rsid w:val="002D51A0"/>
    <w:rsid w:val="002D6CD3"/>
    <w:rsid w:val="002E0EC8"/>
    <w:rsid w:val="002E2586"/>
    <w:rsid w:val="002E278F"/>
    <w:rsid w:val="002E3222"/>
    <w:rsid w:val="002E352D"/>
    <w:rsid w:val="002E3877"/>
    <w:rsid w:val="002E3B4D"/>
    <w:rsid w:val="002E5F29"/>
    <w:rsid w:val="002E6326"/>
    <w:rsid w:val="002E7067"/>
    <w:rsid w:val="002F0522"/>
    <w:rsid w:val="002F0734"/>
    <w:rsid w:val="002F114F"/>
    <w:rsid w:val="002F155F"/>
    <w:rsid w:val="002F1ABA"/>
    <w:rsid w:val="002F4998"/>
    <w:rsid w:val="002F652A"/>
    <w:rsid w:val="002F754F"/>
    <w:rsid w:val="0030115E"/>
    <w:rsid w:val="0030146D"/>
    <w:rsid w:val="00301975"/>
    <w:rsid w:val="00302AF7"/>
    <w:rsid w:val="003034E0"/>
    <w:rsid w:val="003046B9"/>
    <w:rsid w:val="00304DF7"/>
    <w:rsid w:val="0030542C"/>
    <w:rsid w:val="00305E23"/>
    <w:rsid w:val="00306368"/>
    <w:rsid w:val="00310235"/>
    <w:rsid w:val="00310418"/>
    <w:rsid w:val="00312FFC"/>
    <w:rsid w:val="003137CA"/>
    <w:rsid w:val="00313A00"/>
    <w:rsid w:val="00313C3D"/>
    <w:rsid w:val="00314506"/>
    <w:rsid w:val="003150BF"/>
    <w:rsid w:val="003150CE"/>
    <w:rsid w:val="003151AD"/>
    <w:rsid w:val="00315357"/>
    <w:rsid w:val="0031553A"/>
    <w:rsid w:val="00315651"/>
    <w:rsid w:val="00315E92"/>
    <w:rsid w:val="00315ED7"/>
    <w:rsid w:val="00316882"/>
    <w:rsid w:val="00316B59"/>
    <w:rsid w:val="0031709A"/>
    <w:rsid w:val="003172CB"/>
    <w:rsid w:val="0031737C"/>
    <w:rsid w:val="00317D21"/>
    <w:rsid w:val="00320C4E"/>
    <w:rsid w:val="00320D5C"/>
    <w:rsid w:val="00321161"/>
    <w:rsid w:val="003211A1"/>
    <w:rsid w:val="00322046"/>
    <w:rsid w:val="00323333"/>
    <w:rsid w:val="0032350D"/>
    <w:rsid w:val="00323947"/>
    <w:rsid w:val="00323B9E"/>
    <w:rsid w:val="00323BC2"/>
    <w:rsid w:val="00323ECC"/>
    <w:rsid w:val="003268A4"/>
    <w:rsid w:val="00326CEA"/>
    <w:rsid w:val="00330804"/>
    <w:rsid w:val="00331DA5"/>
    <w:rsid w:val="0033203D"/>
    <w:rsid w:val="0033226F"/>
    <w:rsid w:val="00332373"/>
    <w:rsid w:val="00332777"/>
    <w:rsid w:val="00332DCE"/>
    <w:rsid w:val="00332E96"/>
    <w:rsid w:val="00333E1F"/>
    <w:rsid w:val="00333EC0"/>
    <w:rsid w:val="00334A6B"/>
    <w:rsid w:val="00334E9C"/>
    <w:rsid w:val="00335D2F"/>
    <w:rsid w:val="003366B2"/>
    <w:rsid w:val="00340066"/>
    <w:rsid w:val="00340592"/>
    <w:rsid w:val="00340D16"/>
    <w:rsid w:val="00342402"/>
    <w:rsid w:val="0034288B"/>
    <w:rsid w:val="00342A52"/>
    <w:rsid w:val="00342B7A"/>
    <w:rsid w:val="00342BBE"/>
    <w:rsid w:val="0034332B"/>
    <w:rsid w:val="00343556"/>
    <w:rsid w:val="00344D66"/>
    <w:rsid w:val="003451F0"/>
    <w:rsid w:val="0034569A"/>
    <w:rsid w:val="0034640A"/>
    <w:rsid w:val="0034681C"/>
    <w:rsid w:val="00346B71"/>
    <w:rsid w:val="00347167"/>
    <w:rsid w:val="003475F9"/>
    <w:rsid w:val="003478C9"/>
    <w:rsid w:val="00350762"/>
    <w:rsid w:val="00350818"/>
    <w:rsid w:val="0035291A"/>
    <w:rsid w:val="00352DF2"/>
    <w:rsid w:val="00352F9E"/>
    <w:rsid w:val="00353B7C"/>
    <w:rsid w:val="003551E8"/>
    <w:rsid w:val="003553A4"/>
    <w:rsid w:val="003556DE"/>
    <w:rsid w:val="00355C5A"/>
    <w:rsid w:val="00355E4E"/>
    <w:rsid w:val="003563AC"/>
    <w:rsid w:val="00356444"/>
    <w:rsid w:val="003566E2"/>
    <w:rsid w:val="00356FC9"/>
    <w:rsid w:val="003600A8"/>
    <w:rsid w:val="00362F76"/>
    <w:rsid w:val="00363165"/>
    <w:rsid w:val="00364A11"/>
    <w:rsid w:val="00365B2A"/>
    <w:rsid w:val="00366524"/>
    <w:rsid w:val="00366796"/>
    <w:rsid w:val="0036721E"/>
    <w:rsid w:val="00367BF5"/>
    <w:rsid w:val="00367D1B"/>
    <w:rsid w:val="0037055D"/>
    <w:rsid w:val="003705E2"/>
    <w:rsid w:val="00370A78"/>
    <w:rsid w:val="00371634"/>
    <w:rsid w:val="00371A2B"/>
    <w:rsid w:val="00372715"/>
    <w:rsid w:val="00372A06"/>
    <w:rsid w:val="00372E08"/>
    <w:rsid w:val="003734E5"/>
    <w:rsid w:val="003739A2"/>
    <w:rsid w:val="003739EE"/>
    <w:rsid w:val="00373E58"/>
    <w:rsid w:val="003741EA"/>
    <w:rsid w:val="00374775"/>
    <w:rsid w:val="00374D84"/>
    <w:rsid w:val="00374FD2"/>
    <w:rsid w:val="00376073"/>
    <w:rsid w:val="00376990"/>
    <w:rsid w:val="00377452"/>
    <w:rsid w:val="00380014"/>
    <w:rsid w:val="00381223"/>
    <w:rsid w:val="00381849"/>
    <w:rsid w:val="0038198F"/>
    <w:rsid w:val="003823A0"/>
    <w:rsid w:val="0038265F"/>
    <w:rsid w:val="00382A38"/>
    <w:rsid w:val="00382D0B"/>
    <w:rsid w:val="00383174"/>
    <w:rsid w:val="00383DFE"/>
    <w:rsid w:val="00383EA9"/>
    <w:rsid w:val="003840A7"/>
    <w:rsid w:val="003848DE"/>
    <w:rsid w:val="00384F36"/>
    <w:rsid w:val="00385271"/>
    <w:rsid w:val="00385630"/>
    <w:rsid w:val="0038640E"/>
    <w:rsid w:val="00386FCA"/>
    <w:rsid w:val="0038704C"/>
    <w:rsid w:val="003872F8"/>
    <w:rsid w:val="00387F04"/>
    <w:rsid w:val="00391454"/>
    <w:rsid w:val="00391B5E"/>
    <w:rsid w:val="0039226E"/>
    <w:rsid w:val="00392CC8"/>
    <w:rsid w:val="00392DA9"/>
    <w:rsid w:val="003937BC"/>
    <w:rsid w:val="00394000"/>
    <w:rsid w:val="00395387"/>
    <w:rsid w:val="00395F9B"/>
    <w:rsid w:val="0039616A"/>
    <w:rsid w:val="0039703B"/>
    <w:rsid w:val="003972A4"/>
    <w:rsid w:val="003A0538"/>
    <w:rsid w:val="003A0DED"/>
    <w:rsid w:val="003A1205"/>
    <w:rsid w:val="003A1B7A"/>
    <w:rsid w:val="003A2017"/>
    <w:rsid w:val="003A2068"/>
    <w:rsid w:val="003A2BF6"/>
    <w:rsid w:val="003A39CB"/>
    <w:rsid w:val="003A4373"/>
    <w:rsid w:val="003A48CC"/>
    <w:rsid w:val="003A4E2B"/>
    <w:rsid w:val="003A6CB9"/>
    <w:rsid w:val="003A6CE6"/>
    <w:rsid w:val="003A72EF"/>
    <w:rsid w:val="003A7660"/>
    <w:rsid w:val="003A77E4"/>
    <w:rsid w:val="003A7A42"/>
    <w:rsid w:val="003B1030"/>
    <w:rsid w:val="003B32BA"/>
    <w:rsid w:val="003B4669"/>
    <w:rsid w:val="003B4EED"/>
    <w:rsid w:val="003B61BC"/>
    <w:rsid w:val="003B6213"/>
    <w:rsid w:val="003B64CC"/>
    <w:rsid w:val="003B6B2C"/>
    <w:rsid w:val="003B73FD"/>
    <w:rsid w:val="003C0074"/>
    <w:rsid w:val="003C04FC"/>
    <w:rsid w:val="003C0D3F"/>
    <w:rsid w:val="003C171A"/>
    <w:rsid w:val="003C236F"/>
    <w:rsid w:val="003C266A"/>
    <w:rsid w:val="003C33CD"/>
    <w:rsid w:val="003C4779"/>
    <w:rsid w:val="003C5109"/>
    <w:rsid w:val="003C602A"/>
    <w:rsid w:val="003C6690"/>
    <w:rsid w:val="003C7093"/>
    <w:rsid w:val="003C7B5B"/>
    <w:rsid w:val="003D102A"/>
    <w:rsid w:val="003D1759"/>
    <w:rsid w:val="003D1896"/>
    <w:rsid w:val="003D1C18"/>
    <w:rsid w:val="003D1F70"/>
    <w:rsid w:val="003D3B14"/>
    <w:rsid w:val="003D46AF"/>
    <w:rsid w:val="003D48BB"/>
    <w:rsid w:val="003D599F"/>
    <w:rsid w:val="003D62F7"/>
    <w:rsid w:val="003D69D5"/>
    <w:rsid w:val="003D6A17"/>
    <w:rsid w:val="003D7126"/>
    <w:rsid w:val="003D73C9"/>
    <w:rsid w:val="003D76B1"/>
    <w:rsid w:val="003D775A"/>
    <w:rsid w:val="003E04EF"/>
    <w:rsid w:val="003E0CC0"/>
    <w:rsid w:val="003E1035"/>
    <w:rsid w:val="003E1451"/>
    <w:rsid w:val="003E17F2"/>
    <w:rsid w:val="003E19F7"/>
    <w:rsid w:val="003E1EB2"/>
    <w:rsid w:val="003E28B1"/>
    <w:rsid w:val="003E3B7C"/>
    <w:rsid w:val="003E402F"/>
    <w:rsid w:val="003E492C"/>
    <w:rsid w:val="003E4CBD"/>
    <w:rsid w:val="003E5145"/>
    <w:rsid w:val="003E693A"/>
    <w:rsid w:val="003E710D"/>
    <w:rsid w:val="003E76DF"/>
    <w:rsid w:val="003E7A9C"/>
    <w:rsid w:val="003F03D0"/>
    <w:rsid w:val="003F0BB8"/>
    <w:rsid w:val="003F2F9F"/>
    <w:rsid w:val="003F31B1"/>
    <w:rsid w:val="003F328F"/>
    <w:rsid w:val="003F3FCD"/>
    <w:rsid w:val="003F40D8"/>
    <w:rsid w:val="003F5037"/>
    <w:rsid w:val="003F531A"/>
    <w:rsid w:val="003F5908"/>
    <w:rsid w:val="003F5B9A"/>
    <w:rsid w:val="003F6038"/>
    <w:rsid w:val="003F7C9E"/>
    <w:rsid w:val="00401052"/>
    <w:rsid w:val="00401A45"/>
    <w:rsid w:val="0040204F"/>
    <w:rsid w:val="004025E8"/>
    <w:rsid w:val="00402768"/>
    <w:rsid w:val="004028FF"/>
    <w:rsid w:val="00402FCC"/>
    <w:rsid w:val="00403E01"/>
    <w:rsid w:val="00403EA4"/>
    <w:rsid w:val="00404C36"/>
    <w:rsid w:val="00404FF1"/>
    <w:rsid w:val="00405010"/>
    <w:rsid w:val="00405384"/>
    <w:rsid w:val="00406F38"/>
    <w:rsid w:val="004100A0"/>
    <w:rsid w:val="004107CA"/>
    <w:rsid w:val="00410873"/>
    <w:rsid w:val="00410C13"/>
    <w:rsid w:val="004111BC"/>
    <w:rsid w:val="004114CB"/>
    <w:rsid w:val="00411768"/>
    <w:rsid w:val="004125F4"/>
    <w:rsid w:val="004126D4"/>
    <w:rsid w:val="004132AC"/>
    <w:rsid w:val="00413BE5"/>
    <w:rsid w:val="00414580"/>
    <w:rsid w:val="00414703"/>
    <w:rsid w:val="00415D2B"/>
    <w:rsid w:val="0041632C"/>
    <w:rsid w:val="004163CC"/>
    <w:rsid w:val="00416C0A"/>
    <w:rsid w:val="00417153"/>
    <w:rsid w:val="00417A1E"/>
    <w:rsid w:val="00420B01"/>
    <w:rsid w:val="00421941"/>
    <w:rsid w:val="00421E18"/>
    <w:rsid w:val="0042289C"/>
    <w:rsid w:val="00422A1A"/>
    <w:rsid w:val="00423FFB"/>
    <w:rsid w:val="004244F8"/>
    <w:rsid w:val="00424DE2"/>
    <w:rsid w:val="0042588F"/>
    <w:rsid w:val="00425ABF"/>
    <w:rsid w:val="00426007"/>
    <w:rsid w:val="004273FC"/>
    <w:rsid w:val="00431636"/>
    <w:rsid w:val="00432528"/>
    <w:rsid w:val="00432836"/>
    <w:rsid w:val="00432EBF"/>
    <w:rsid w:val="00434A4C"/>
    <w:rsid w:val="00435765"/>
    <w:rsid w:val="004365B7"/>
    <w:rsid w:val="00436D0E"/>
    <w:rsid w:val="004373D1"/>
    <w:rsid w:val="00437413"/>
    <w:rsid w:val="0043758D"/>
    <w:rsid w:val="0043778D"/>
    <w:rsid w:val="004400F8"/>
    <w:rsid w:val="004403D7"/>
    <w:rsid w:val="00443CD4"/>
    <w:rsid w:val="004448A3"/>
    <w:rsid w:val="004454C2"/>
    <w:rsid w:val="00445EAC"/>
    <w:rsid w:val="00446162"/>
    <w:rsid w:val="00447347"/>
    <w:rsid w:val="00447757"/>
    <w:rsid w:val="00447F33"/>
    <w:rsid w:val="004500D9"/>
    <w:rsid w:val="00450A27"/>
    <w:rsid w:val="00450A2B"/>
    <w:rsid w:val="00450D69"/>
    <w:rsid w:val="00451EC2"/>
    <w:rsid w:val="00452094"/>
    <w:rsid w:val="004528A7"/>
    <w:rsid w:val="00452E7A"/>
    <w:rsid w:val="00453357"/>
    <w:rsid w:val="004540C9"/>
    <w:rsid w:val="00455C52"/>
    <w:rsid w:val="004563A4"/>
    <w:rsid w:val="004572DD"/>
    <w:rsid w:val="00457EE9"/>
    <w:rsid w:val="00460AD8"/>
    <w:rsid w:val="00460BD8"/>
    <w:rsid w:val="00460E31"/>
    <w:rsid w:val="00462045"/>
    <w:rsid w:val="00463357"/>
    <w:rsid w:val="004637F4"/>
    <w:rsid w:val="00463A04"/>
    <w:rsid w:val="0046431C"/>
    <w:rsid w:val="00465255"/>
    <w:rsid w:val="00467B2A"/>
    <w:rsid w:val="0047312E"/>
    <w:rsid w:val="00473718"/>
    <w:rsid w:val="00473869"/>
    <w:rsid w:val="00473899"/>
    <w:rsid w:val="0047410E"/>
    <w:rsid w:val="004743EE"/>
    <w:rsid w:val="00475968"/>
    <w:rsid w:val="004767DE"/>
    <w:rsid w:val="004770D9"/>
    <w:rsid w:val="0048054A"/>
    <w:rsid w:val="004809E8"/>
    <w:rsid w:val="00481264"/>
    <w:rsid w:val="004818E8"/>
    <w:rsid w:val="00482E44"/>
    <w:rsid w:val="00482F67"/>
    <w:rsid w:val="00483006"/>
    <w:rsid w:val="00483FE7"/>
    <w:rsid w:val="0048421D"/>
    <w:rsid w:val="00484915"/>
    <w:rsid w:val="00484EEA"/>
    <w:rsid w:val="00485961"/>
    <w:rsid w:val="004861A3"/>
    <w:rsid w:val="00486A88"/>
    <w:rsid w:val="00486D80"/>
    <w:rsid w:val="00487387"/>
    <w:rsid w:val="004919FD"/>
    <w:rsid w:val="0049347F"/>
    <w:rsid w:val="00493D19"/>
    <w:rsid w:val="004954AE"/>
    <w:rsid w:val="0049642D"/>
    <w:rsid w:val="00496D21"/>
    <w:rsid w:val="004970BE"/>
    <w:rsid w:val="004971F0"/>
    <w:rsid w:val="004974FE"/>
    <w:rsid w:val="00497E06"/>
    <w:rsid w:val="004A0730"/>
    <w:rsid w:val="004A09BF"/>
    <w:rsid w:val="004A11AF"/>
    <w:rsid w:val="004A1317"/>
    <w:rsid w:val="004A132C"/>
    <w:rsid w:val="004A19AF"/>
    <w:rsid w:val="004A2816"/>
    <w:rsid w:val="004A46FA"/>
    <w:rsid w:val="004A5C91"/>
    <w:rsid w:val="004A5F61"/>
    <w:rsid w:val="004A7B95"/>
    <w:rsid w:val="004B02E1"/>
    <w:rsid w:val="004B09D1"/>
    <w:rsid w:val="004B0BDC"/>
    <w:rsid w:val="004B130B"/>
    <w:rsid w:val="004B1617"/>
    <w:rsid w:val="004B1F72"/>
    <w:rsid w:val="004B26D9"/>
    <w:rsid w:val="004B2868"/>
    <w:rsid w:val="004B28BD"/>
    <w:rsid w:val="004B2C5E"/>
    <w:rsid w:val="004B40DE"/>
    <w:rsid w:val="004B5B7E"/>
    <w:rsid w:val="004B6C10"/>
    <w:rsid w:val="004B70AF"/>
    <w:rsid w:val="004B7184"/>
    <w:rsid w:val="004B774B"/>
    <w:rsid w:val="004C0485"/>
    <w:rsid w:val="004C1016"/>
    <w:rsid w:val="004C1756"/>
    <w:rsid w:val="004C1B7A"/>
    <w:rsid w:val="004C2044"/>
    <w:rsid w:val="004C31F3"/>
    <w:rsid w:val="004C32F6"/>
    <w:rsid w:val="004C38AA"/>
    <w:rsid w:val="004C4192"/>
    <w:rsid w:val="004C4629"/>
    <w:rsid w:val="004C4B71"/>
    <w:rsid w:val="004C54E1"/>
    <w:rsid w:val="004C7067"/>
    <w:rsid w:val="004D083B"/>
    <w:rsid w:val="004D087E"/>
    <w:rsid w:val="004D1086"/>
    <w:rsid w:val="004D180F"/>
    <w:rsid w:val="004D19DB"/>
    <w:rsid w:val="004D1D38"/>
    <w:rsid w:val="004D1E88"/>
    <w:rsid w:val="004D2A5D"/>
    <w:rsid w:val="004D2EDF"/>
    <w:rsid w:val="004D353B"/>
    <w:rsid w:val="004D3C69"/>
    <w:rsid w:val="004D3CD7"/>
    <w:rsid w:val="004D4C30"/>
    <w:rsid w:val="004D4CE2"/>
    <w:rsid w:val="004D58DE"/>
    <w:rsid w:val="004D5A1C"/>
    <w:rsid w:val="004D5CA4"/>
    <w:rsid w:val="004D63E2"/>
    <w:rsid w:val="004E16D4"/>
    <w:rsid w:val="004E21A7"/>
    <w:rsid w:val="004E2F57"/>
    <w:rsid w:val="004E3F30"/>
    <w:rsid w:val="004E46F8"/>
    <w:rsid w:val="004E50C8"/>
    <w:rsid w:val="004E5364"/>
    <w:rsid w:val="004E560F"/>
    <w:rsid w:val="004E653E"/>
    <w:rsid w:val="004E65F5"/>
    <w:rsid w:val="004E6D2D"/>
    <w:rsid w:val="004E7574"/>
    <w:rsid w:val="004F0BE2"/>
    <w:rsid w:val="004F10EB"/>
    <w:rsid w:val="004F19BD"/>
    <w:rsid w:val="004F2D77"/>
    <w:rsid w:val="004F2FD8"/>
    <w:rsid w:val="004F3E28"/>
    <w:rsid w:val="004F621F"/>
    <w:rsid w:val="004F6E24"/>
    <w:rsid w:val="0050091B"/>
    <w:rsid w:val="00501FEE"/>
    <w:rsid w:val="00502448"/>
    <w:rsid w:val="00502A80"/>
    <w:rsid w:val="00502EAE"/>
    <w:rsid w:val="00503A1B"/>
    <w:rsid w:val="005041E9"/>
    <w:rsid w:val="00504512"/>
    <w:rsid w:val="0050500F"/>
    <w:rsid w:val="00505279"/>
    <w:rsid w:val="00505EB3"/>
    <w:rsid w:val="00505FEC"/>
    <w:rsid w:val="005063E1"/>
    <w:rsid w:val="00506606"/>
    <w:rsid w:val="00507352"/>
    <w:rsid w:val="00507CC5"/>
    <w:rsid w:val="005118F7"/>
    <w:rsid w:val="00512C34"/>
    <w:rsid w:val="0051322B"/>
    <w:rsid w:val="00513AFE"/>
    <w:rsid w:val="00513D3D"/>
    <w:rsid w:val="0051498A"/>
    <w:rsid w:val="00516BBB"/>
    <w:rsid w:val="005204DB"/>
    <w:rsid w:val="00522AC1"/>
    <w:rsid w:val="00523786"/>
    <w:rsid w:val="00523E83"/>
    <w:rsid w:val="005248BB"/>
    <w:rsid w:val="0052597B"/>
    <w:rsid w:val="00525A42"/>
    <w:rsid w:val="005264C6"/>
    <w:rsid w:val="0052650C"/>
    <w:rsid w:val="00526BF8"/>
    <w:rsid w:val="00527FAF"/>
    <w:rsid w:val="005308A5"/>
    <w:rsid w:val="005314E9"/>
    <w:rsid w:val="00531723"/>
    <w:rsid w:val="005318A4"/>
    <w:rsid w:val="005324EE"/>
    <w:rsid w:val="0053275E"/>
    <w:rsid w:val="00532E2A"/>
    <w:rsid w:val="0053324F"/>
    <w:rsid w:val="0053416C"/>
    <w:rsid w:val="005354CD"/>
    <w:rsid w:val="005357BA"/>
    <w:rsid w:val="00535ADC"/>
    <w:rsid w:val="00536622"/>
    <w:rsid w:val="00536941"/>
    <w:rsid w:val="00537AA1"/>
    <w:rsid w:val="005408F2"/>
    <w:rsid w:val="00540CAF"/>
    <w:rsid w:val="00540FE2"/>
    <w:rsid w:val="0054110D"/>
    <w:rsid w:val="005415C0"/>
    <w:rsid w:val="00541EF9"/>
    <w:rsid w:val="00541FF9"/>
    <w:rsid w:val="00542F46"/>
    <w:rsid w:val="005431CF"/>
    <w:rsid w:val="00543A52"/>
    <w:rsid w:val="00543D0A"/>
    <w:rsid w:val="00543FAC"/>
    <w:rsid w:val="0054472F"/>
    <w:rsid w:val="00544800"/>
    <w:rsid w:val="005454F3"/>
    <w:rsid w:val="00545589"/>
    <w:rsid w:val="005455E5"/>
    <w:rsid w:val="00545610"/>
    <w:rsid w:val="005457B3"/>
    <w:rsid w:val="00546218"/>
    <w:rsid w:val="0054681B"/>
    <w:rsid w:val="0054695F"/>
    <w:rsid w:val="0054779A"/>
    <w:rsid w:val="00547BA1"/>
    <w:rsid w:val="005504D7"/>
    <w:rsid w:val="005510F3"/>
    <w:rsid w:val="00553149"/>
    <w:rsid w:val="005548B4"/>
    <w:rsid w:val="00555097"/>
    <w:rsid w:val="00556101"/>
    <w:rsid w:val="00557CB1"/>
    <w:rsid w:val="00557E6F"/>
    <w:rsid w:val="0056091E"/>
    <w:rsid w:val="00560A64"/>
    <w:rsid w:val="00560C2E"/>
    <w:rsid w:val="0056130A"/>
    <w:rsid w:val="00561371"/>
    <w:rsid w:val="00561602"/>
    <w:rsid w:val="0056172D"/>
    <w:rsid w:val="00563424"/>
    <w:rsid w:val="005635D9"/>
    <w:rsid w:val="005635F3"/>
    <w:rsid w:val="00563AE4"/>
    <w:rsid w:val="0056411C"/>
    <w:rsid w:val="00564D73"/>
    <w:rsid w:val="00564F2A"/>
    <w:rsid w:val="00565291"/>
    <w:rsid w:val="00565B4C"/>
    <w:rsid w:val="005663FF"/>
    <w:rsid w:val="005665BF"/>
    <w:rsid w:val="00567177"/>
    <w:rsid w:val="005675D1"/>
    <w:rsid w:val="00567719"/>
    <w:rsid w:val="005677E5"/>
    <w:rsid w:val="00567DB3"/>
    <w:rsid w:val="00570C0F"/>
    <w:rsid w:val="00570D24"/>
    <w:rsid w:val="0057202E"/>
    <w:rsid w:val="005730F2"/>
    <w:rsid w:val="00574029"/>
    <w:rsid w:val="00574C1A"/>
    <w:rsid w:val="00574C4A"/>
    <w:rsid w:val="00574DE9"/>
    <w:rsid w:val="00576F55"/>
    <w:rsid w:val="0057720C"/>
    <w:rsid w:val="00580869"/>
    <w:rsid w:val="00580EEB"/>
    <w:rsid w:val="00580FCF"/>
    <w:rsid w:val="005810DC"/>
    <w:rsid w:val="00581C58"/>
    <w:rsid w:val="00582BC7"/>
    <w:rsid w:val="00583673"/>
    <w:rsid w:val="00583D08"/>
    <w:rsid w:val="00584436"/>
    <w:rsid w:val="00584BBC"/>
    <w:rsid w:val="00585AA6"/>
    <w:rsid w:val="00585D51"/>
    <w:rsid w:val="00587435"/>
    <w:rsid w:val="00587BE7"/>
    <w:rsid w:val="00587CBC"/>
    <w:rsid w:val="00590D7B"/>
    <w:rsid w:val="005915EF"/>
    <w:rsid w:val="0059166F"/>
    <w:rsid w:val="0059174A"/>
    <w:rsid w:val="00591DAE"/>
    <w:rsid w:val="00592752"/>
    <w:rsid w:val="00593B1B"/>
    <w:rsid w:val="005949DF"/>
    <w:rsid w:val="00595D78"/>
    <w:rsid w:val="00595DF1"/>
    <w:rsid w:val="00595E4C"/>
    <w:rsid w:val="00596524"/>
    <w:rsid w:val="00596666"/>
    <w:rsid w:val="00597D35"/>
    <w:rsid w:val="005A02AE"/>
    <w:rsid w:val="005A02C2"/>
    <w:rsid w:val="005A10FA"/>
    <w:rsid w:val="005A19E1"/>
    <w:rsid w:val="005A1FEE"/>
    <w:rsid w:val="005A2AF7"/>
    <w:rsid w:val="005A3371"/>
    <w:rsid w:val="005A3899"/>
    <w:rsid w:val="005A3F75"/>
    <w:rsid w:val="005A400C"/>
    <w:rsid w:val="005A4A36"/>
    <w:rsid w:val="005A4C8D"/>
    <w:rsid w:val="005A5B8B"/>
    <w:rsid w:val="005A6B9A"/>
    <w:rsid w:val="005A6D6D"/>
    <w:rsid w:val="005A7264"/>
    <w:rsid w:val="005A79E3"/>
    <w:rsid w:val="005B0389"/>
    <w:rsid w:val="005B0B40"/>
    <w:rsid w:val="005B1601"/>
    <w:rsid w:val="005B35ED"/>
    <w:rsid w:val="005B4310"/>
    <w:rsid w:val="005B4517"/>
    <w:rsid w:val="005B4CFC"/>
    <w:rsid w:val="005B4E93"/>
    <w:rsid w:val="005B52B5"/>
    <w:rsid w:val="005B58B0"/>
    <w:rsid w:val="005B5BC9"/>
    <w:rsid w:val="005B77FE"/>
    <w:rsid w:val="005B7D58"/>
    <w:rsid w:val="005C0298"/>
    <w:rsid w:val="005C0769"/>
    <w:rsid w:val="005C141D"/>
    <w:rsid w:val="005C28DF"/>
    <w:rsid w:val="005C2A8E"/>
    <w:rsid w:val="005C33DA"/>
    <w:rsid w:val="005C360A"/>
    <w:rsid w:val="005C3890"/>
    <w:rsid w:val="005C394A"/>
    <w:rsid w:val="005C4CA6"/>
    <w:rsid w:val="005C5469"/>
    <w:rsid w:val="005C5637"/>
    <w:rsid w:val="005C6CBD"/>
    <w:rsid w:val="005C7D30"/>
    <w:rsid w:val="005D0779"/>
    <w:rsid w:val="005D08F2"/>
    <w:rsid w:val="005D1847"/>
    <w:rsid w:val="005D221C"/>
    <w:rsid w:val="005D25B5"/>
    <w:rsid w:val="005D28F1"/>
    <w:rsid w:val="005D2A43"/>
    <w:rsid w:val="005D4CBD"/>
    <w:rsid w:val="005D5A32"/>
    <w:rsid w:val="005D6EA0"/>
    <w:rsid w:val="005E0406"/>
    <w:rsid w:val="005E1086"/>
    <w:rsid w:val="005E258F"/>
    <w:rsid w:val="005E2A80"/>
    <w:rsid w:val="005E2E2F"/>
    <w:rsid w:val="005E42A3"/>
    <w:rsid w:val="005E463A"/>
    <w:rsid w:val="005E513C"/>
    <w:rsid w:val="005E53B2"/>
    <w:rsid w:val="005E5A03"/>
    <w:rsid w:val="005E6F4A"/>
    <w:rsid w:val="005E7B36"/>
    <w:rsid w:val="005E7BA2"/>
    <w:rsid w:val="005E7D7F"/>
    <w:rsid w:val="005F020F"/>
    <w:rsid w:val="005F02E6"/>
    <w:rsid w:val="005F10F1"/>
    <w:rsid w:val="005F1911"/>
    <w:rsid w:val="005F1C69"/>
    <w:rsid w:val="005F2986"/>
    <w:rsid w:val="005F2CBA"/>
    <w:rsid w:val="005F3216"/>
    <w:rsid w:val="005F37A7"/>
    <w:rsid w:val="005F4486"/>
    <w:rsid w:val="005F45DF"/>
    <w:rsid w:val="005F4AB7"/>
    <w:rsid w:val="005F4DFE"/>
    <w:rsid w:val="005F4EF9"/>
    <w:rsid w:val="005F5227"/>
    <w:rsid w:val="005F5298"/>
    <w:rsid w:val="005F67A9"/>
    <w:rsid w:val="00600810"/>
    <w:rsid w:val="006015AE"/>
    <w:rsid w:val="006015B0"/>
    <w:rsid w:val="006017B1"/>
    <w:rsid w:val="00602859"/>
    <w:rsid w:val="00603F15"/>
    <w:rsid w:val="00604BA9"/>
    <w:rsid w:val="00606007"/>
    <w:rsid w:val="0060685F"/>
    <w:rsid w:val="00607066"/>
    <w:rsid w:val="00607197"/>
    <w:rsid w:val="00607A16"/>
    <w:rsid w:val="00607B63"/>
    <w:rsid w:val="006109F8"/>
    <w:rsid w:val="006120BA"/>
    <w:rsid w:val="00612DE0"/>
    <w:rsid w:val="006132C7"/>
    <w:rsid w:val="00613769"/>
    <w:rsid w:val="006147EA"/>
    <w:rsid w:val="0061512E"/>
    <w:rsid w:val="00617808"/>
    <w:rsid w:val="00620B16"/>
    <w:rsid w:val="006218E5"/>
    <w:rsid w:val="00623075"/>
    <w:rsid w:val="006232CD"/>
    <w:rsid w:val="00623568"/>
    <w:rsid w:val="0062372D"/>
    <w:rsid w:val="00623910"/>
    <w:rsid w:val="00624A27"/>
    <w:rsid w:val="00624D74"/>
    <w:rsid w:val="00624E97"/>
    <w:rsid w:val="0062578D"/>
    <w:rsid w:val="006258C5"/>
    <w:rsid w:val="0062714B"/>
    <w:rsid w:val="0062716D"/>
    <w:rsid w:val="00627AF2"/>
    <w:rsid w:val="00630042"/>
    <w:rsid w:val="006308CE"/>
    <w:rsid w:val="00631543"/>
    <w:rsid w:val="00632EE8"/>
    <w:rsid w:val="00632F94"/>
    <w:rsid w:val="006331BB"/>
    <w:rsid w:val="00633C4F"/>
    <w:rsid w:val="00634973"/>
    <w:rsid w:val="00635F91"/>
    <w:rsid w:val="0063632F"/>
    <w:rsid w:val="00637C08"/>
    <w:rsid w:val="00640A57"/>
    <w:rsid w:val="00641432"/>
    <w:rsid w:val="00643E2A"/>
    <w:rsid w:val="00645BA2"/>
    <w:rsid w:val="00645DB5"/>
    <w:rsid w:val="00647169"/>
    <w:rsid w:val="00650AF9"/>
    <w:rsid w:val="00650C56"/>
    <w:rsid w:val="006521C1"/>
    <w:rsid w:val="0065274C"/>
    <w:rsid w:val="00652858"/>
    <w:rsid w:val="00652B53"/>
    <w:rsid w:val="006535E5"/>
    <w:rsid w:val="00654451"/>
    <w:rsid w:val="006545AB"/>
    <w:rsid w:val="006558DC"/>
    <w:rsid w:val="0065634D"/>
    <w:rsid w:val="00656763"/>
    <w:rsid w:val="00656B27"/>
    <w:rsid w:val="006576B4"/>
    <w:rsid w:val="00657E0F"/>
    <w:rsid w:val="00657F8B"/>
    <w:rsid w:val="00660056"/>
    <w:rsid w:val="00660401"/>
    <w:rsid w:val="0066054B"/>
    <w:rsid w:val="00660872"/>
    <w:rsid w:val="00660CB1"/>
    <w:rsid w:val="0066160F"/>
    <w:rsid w:val="006618FC"/>
    <w:rsid w:val="00661B31"/>
    <w:rsid w:val="0066284B"/>
    <w:rsid w:val="00662F94"/>
    <w:rsid w:val="00663229"/>
    <w:rsid w:val="00663D00"/>
    <w:rsid w:val="00663E86"/>
    <w:rsid w:val="00664349"/>
    <w:rsid w:val="006651C6"/>
    <w:rsid w:val="006667DF"/>
    <w:rsid w:val="00670529"/>
    <w:rsid w:val="006708E7"/>
    <w:rsid w:val="00671B7E"/>
    <w:rsid w:val="00672A28"/>
    <w:rsid w:val="00672CAF"/>
    <w:rsid w:val="00673502"/>
    <w:rsid w:val="00673B52"/>
    <w:rsid w:val="00674BC4"/>
    <w:rsid w:val="00674C9E"/>
    <w:rsid w:val="006767BC"/>
    <w:rsid w:val="00676823"/>
    <w:rsid w:val="00680945"/>
    <w:rsid w:val="006810CD"/>
    <w:rsid w:val="00681D75"/>
    <w:rsid w:val="0068218F"/>
    <w:rsid w:val="0068242E"/>
    <w:rsid w:val="0068270C"/>
    <w:rsid w:val="00682BE2"/>
    <w:rsid w:val="00683260"/>
    <w:rsid w:val="00683BDD"/>
    <w:rsid w:val="00683E6B"/>
    <w:rsid w:val="00684090"/>
    <w:rsid w:val="006845BB"/>
    <w:rsid w:val="0068472E"/>
    <w:rsid w:val="00684BAF"/>
    <w:rsid w:val="00685CEC"/>
    <w:rsid w:val="0068749E"/>
    <w:rsid w:val="00687536"/>
    <w:rsid w:val="00691679"/>
    <w:rsid w:val="006921D7"/>
    <w:rsid w:val="00692962"/>
    <w:rsid w:val="006929BC"/>
    <w:rsid w:val="00692B63"/>
    <w:rsid w:val="00695C32"/>
    <w:rsid w:val="00695D92"/>
    <w:rsid w:val="00696316"/>
    <w:rsid w:val="0069651E"/>
    <w:rsid w:val="00696EBB"/>
    <w:rsid w:val="006A108D"/>
    <w:rsid w:val="006A1470"/>
    <w:rsid w:val="006A160F"/>
    <w:rsid w:val="006A16A8"/>
    <w:rsid w:val="006A1BCA"/>
    <w:rsid w:val="006A1D52"/>
    <w:rsid w:val="006A1F10"/>
    <w:rsid w:val="006A23F3"/>
    <w:rsid w:val="006A29F0"/>
    <w:rsid w:val="006A2AA8"/>
    <w:rsid w:val="006A3560"/>
    <w:rsid w:val="006A4A7A"/>
    <w:rsid w:val="006A4D4E"/>
    <w:rsid w:val="006A531C"/>
    <w:rsid w:val="006A5C1A"/>
    <w:rsid w:val="006A5C74"/>
    <w:rsid w:val="006A66CE"/>
    <w:rsid w:val="006A69E8"/>
    <w:rsid w:val="006A7322"/>
    <w:rsid w:val="006A742C"/>
    <w:rsid w:val="006A765D"/>
    <w:rsid w:val="006B02EC"/>
    <w:rsid w:val="006B0524"/>
    <w:rsid w:val="006B076E"/>
    <w:rsid w:val="006B1665"/>
    <w:rsid w:val="006B1D8F"/>
    <w:rsid w:val="006B2436"/>
    <w:rsid w:val="006B2735"/>
    <w:rsid w:val="006B38F2"/>
    <w:rsid w:val="006B3BC5"/>
    <w:rsid w:val="006B48D0"/>
    <w:rsid w:val="006B4F05"/>
    <w:rsid w:val="006B5BB1"/>
    <w:rsid w:val="006B630A"/>
    <w:rsid w:val="006B6489"/>
    <w:rsid w:val="006B6A42"/>
    <w:rsid w:val="006C0800"/>
    <w:rsid w:val="006C1577"/>
    <w:rsid w:val="006C1E42"/>
    <w:rsid w:val="006C2F74"/>
    <w:rsid w:val="006C3106"/>
    <w:rsid w:val="006C4981"/>
    <w:rsid w:val="006C54D5"/>
    <w:rsid w:val="006C583D"/>
    <w:rsid w:val="006C5ACD"/>
    <w:rsid w:val="006C6300"/>
    <w:rsid w:val="006C631E"/>
    <w:rsid w:val="006C77CE"/>
    <w:rsid w:val="006D0625"/>
    <w:rsid w:val="006D123C"/>
    <w:rsid w:val="006D14F8"/>
    <w:rsid w:val="006D1544"/>
    <w:rsid w:val="006D1C8C"/>
    <w:rsid w:val="006D1D18"/>
    <w:rsid w:val="006D1D7B"/>
    <w:rsid w:val="006D3209"/>
    <w:rsid w:val="006D36B7"/>
    <w:rsid w:val="006D3A49"/>
    <w:rsid w:val="006D3EB4"/>
    <w:rsid w:val="006D3EB8"/>
    <w:rsid w:val="006D467C"/>
    <w:rsid w:val="006D48EF"/>
    <w:rsid w:val="006D5D36"/>
    <w:rsid w:val="006D650A"/>
    <w:rsid w:val="006D685A"/>
    <w:rsid w:val="006E16F1"/>
    <w:rsid w:val="006E1F90"/>
    <w:rsid w:val="006E2319"/>
    <w:rsid w:val="006E359B"/>
    <w:rsid w:val="006E35E3"/>
    <w:rsid w:val="006E4C86"/>
    <w:rsid w:val="006E5889"/>
    <w:rsid w:val="006E6C6A"/>
    <w:rsid w:val="006E75BF"/>
    <w:rsid w:val="006E7855"/>
    <w:rsid w:val="006F09B5"/>
    <w:rsid w:val="006F0D47"/>
    <w:rsid w:val="006F1349"/>
    <w:rsid w:val="006F201F"/>
    <w:rsid w:val="006F20CA"/>
    <w:rsid w:val="006F2200"/>
    <w:rsid w:val="006F2C03"/>
    <w:rsid w:val="006F3F41"/>
    <w:rsid w:val="006F48B3"/>
    <w:rsid w:val="006F48B8"/>
    <w:rsid w:val="006F503B"/>
    <w:rsid w:val="006F5469"/>
    <w:rsid w:val="006F553C"/>
    <w:rsid w:val="006F5924"/>
    <w:rsid w:val="006F600B"/>
    <w:rsid w:val="006F617F"/>
    <w:rsid w:val="006F6258"/>
    <w:rsid w:val="006F6560"/>
    <w:rsid w:val="006F65E1"/>
    <w:rsid w:val="006F7F8E"/>
    <w:rsid w:val="00701552"/>
    <w:rsid w:val="007020CE"/>
    <w:rsid w:val="00704FDE"/>
    <w:rsid w:val="00705448"/>
    <w:rsid w:val="00705A6F"/>
    <w:rsid w:val="00706F67"/>
    <w:rsid w:val="00707B9C"/>
    <w:rsid w:val="0071058B"/>
    <w:rsid w:val="00710CFD"/>
    <w:rsid w:val="007115E6"/>
    <w:rsid w:val="007122EC"/>
    <w:rsid w:val="007126B2"/>
    <w:rsid w:val="00713054"/>
    <w:rsid w:val="00714182"/>
    <w:rsid w:val="00714270"/>
    <w:rsid w:val="00714504"/>
    <w:rsid w:val="007148FA"/>
    <w:rsid w:val="00715AEE"/>
    <w:rsid w:val="00716149"/>
    <w:rsid w:val="00716555"/>
    <w:rsid w:val="0071667F"/>
    <w:rsid w:val="0071742A"/>
    <w:rsid w:val="0072099D"/>
    <w:rsid w:val="00720E36"/>
    <w:rsid w:val="00721949"/>
    <w:rsid w:val="00721A5D"/>
    <w:rsid w:val="00722712"/>
    <w:rsid w:val="007229E3"/>
    <w:rsid w:val="00722CEC"/>
    <w:rsid w:val="00723E57"/>
    <w:rsid w:val="007245FD"/>
    <w:rsid w:val="00724B95"/>
    <w:rsid w:val="00724E16"/>
    <w:rsid w:val="00725DE3"/>
    <w:rsid w:val="00725F20"/>
    <w:rsid w:val="007264E2"/>
    <w:rsid w:val="007267F8"/>
    <w:rsid w:val="00727C8A"/>
    <w:rsid w:val="00727F99"/>
    <w:rsid w:val="00730E8F"/>
    <w:rsid w:val="00731D48"/>
    <w:rsid w:val="00732582"/>
    <w:rsid w:val="00732D1E"/>
    <w:rsid w:val="00733E74"/>
    <w:rsid w:val="007341C6"/>
    <w:rsid w:val="00734484"/>
    <w:rsid w:val="00734FEA"/>
    <w:rsid w:val="0073553E"/>
    <w:rsid w:val="0073565F"/>
    <w:rsid w:val="007373C0"/>
    <w:rsid w:val="0073757A"/>
    <w:rsid w:val="00740087"/>
    <w:rsid w:val="007401B0"/>
    <w:rsid w:val="0074076F"/>
    <w:rsid w:val="0074078B"/>
    <w:rsid w:val="00740C91"/>
    <w:rsid w:val="007411CC"/>
    <w:rsid w:val="00742076"/>
    <w:rsid w:val="007424F7"/>
    <w:rsid w:val="00742FAE"/>
    <w:rsid w:val="00744F72"/>
    <w:rsid w:val="00745136"/>
    <w:rsid w:val="00745A15"/>
    <w:rsid w:val="00745DD2"/>
    <w:rsid w:val="00745E90"/>
    <w:rsid w:val="007461DB"/>
    <w:rsid w:val="0074661F"/>
    <w:rsid w:val="00746C76"/>
    <w:rsid w:val="0075055A"/>
    <w:rsid w:val="007506C1"/>
    <w:rsid w:val="00751354"/>
    <w:rsid w:val="00751D2C"/>
    <w:rsid w:val="00752D8B"/>
    <w:rsid w:val="0075361A"/>
    <w:rsid w:val="00755052"/>
    <w:rsid w:val="00755D11"/>
    <w:rsid w:val="00756909"/>
    <w:rsid w:val="007574D5"/>
    <w:rsid w:val="007576F1"/>
    <w:rsid w:val="0075781E"/>
    <w:rsid w:val="00757C1C"/>
    <w:rsid w:val="00757EE2"/>
    <w:rsid w:val="0076022D"/>
    <w:rsid w:val="007604C1"/>
    <w:rsid w:val="00760740"/>
    <w:rsid w:val="00760D10"/>
    <w:rsid w:val="00761077"/>
    <w:rsid w:val="007618CE"/>
    <w:rsid w:val="00761A8D"/>
    <w:rsid w:val="00761B86"/>
    <w:rsid w:val="00761D87"/>
    <w:rsid w:val="00761DAF"/>
    <w:rsid w:val="00762108"/>
    <w:rsid w:val="00762B56"/>
    <w:rsid w:val="007636C3"/>
    <w:rsid w:val="00763CA5"/>
    <w:rsid w:val="00763F35"/>
    <w:rsid w:val="0076438A"/>
    <w:rsid w:val="007645F4"/>
    <w:rsid w:val="00764BC5"/>
    <w:rsid w:val="00765148"/>
    <w:rsid w:val="00765F18"/>
    <w:rsid w:val="00766E88"/>
    <w:rsid w:val="00770E38"/>
    <w:rsid w:val="00771340"/>
    <w:rsid w:val="00771CD5"/>
    <w:rsid w:val="00771E96"/>
    <w:rsid w:val="00772974"/>
    <w:rsid w:val="00773161"/>
    <w:rsid w:val="007751DE"/>
    <w:rsid w:val="00775323"/>
    <w:rsid w:val="00776592"/>
    <w:rsid w:val="00776E1B"/>
    <w:rsid w:val="0077741A"/>
    <w:rsid w:val="00777E81"/>
    <w:rsid w:val="00780F0D"/>
    <w:rsid w:val="00781029"/>
    <w:rsid w:val="007811D4"/>
    <w:rsid w:val="0078133D"/>
    <w:rsid w:val="00781865"/>
    <w:rsid w:val="007819C6"/>
    <w:rsid w:val="00781E34"/>
    <w:rsid w:val="00782617"/>
    <w:rsid w:val="0078264E"/>
    <w:rsid w:val="00782A9A"/>
    <w:rsid w:val="007835BC"/>
    <w:rsid w:val="00783828"/>
    <w:rsid w:val="007849DC"/>
    <w:rsid w:val="00785785"/>
    <w:rsid w:val="007863CE"/>
    <w:rsid w:val="007865C5"/>
    <w:rsid w:val="0078670D"/>
    <w:rsid w:val="00787694"/>
    <w:rsid w:val="0078791B"/>
    <w:rsid w:val="00791334"/>
    <w:rsid w:val="00791DED"/>
    <w:rsid w:val="00791E28"/>
    <w:rsid w:val="00791F44"/>
    <w:rsid w:val="00792AA8"/>
    <w:rsid w:val="00792D46"/>
    <w:rsid w:val="007937D9"/>
    <w:rsid w:val="00793AAE"/>
    <w:rsid w:val="00793BCB"/>
    <w:rsid w:val="00794972"/>
    <w:rsid w:val="0079554B"/>
    <w:rsid w:val="007962A5"/>
    <w:rsid w:val="00796EE7"/>
    <w:rsid w:val="00797022"/>
    <w:rsid w:val="007A0EED"/>
    <w:rsid w:val="007A1212"/>
    <w:rsid w:val="007A1660"/>
    <w:rsid w:val="007A307E"/>
    <w:rsid w:val="007A3ABE"/>
    <w:rsid w:val="007A3F5B"/>
    <w:rsid w:val="007A4080"/>
    <w:rsid w:val="007A4CB0"/>
    <w:rsid w:val="007A5B52"/>
    <w:rsid w:val="007A6054"/>
    <w:rsid w:val="007A62C3"/>
    <w:rsid w:val="007A79F2"/>
    <w:rsid w:val="007B06FF"/>
    <w:rsid w:val="007B0B35"/>
    <w:rsid w:val="007B0C3B"/>
    <w:rsid w:val="007B115C"/>
    <w:rsid w:val="007B304F"/>
    <w:rsid w:val="007B3071"/>
    <w:rsid w:val="007B3A58"/>
    <w:rsid w:val="007B4102"/>
    <w:rsid w:val="007B41B8"/>
    <w:rsid w:val="007B5640"/>
    <w:rsid w:val="007B57E6"/>
    <w:rsid w:val="007B62E6"/>
    <w:rsid w:val="007B651A"/>
    <w:rsid w:val="007B65A7"/>
    <w:rsid w:val="007B65EE"/>
    <w:rsid w:val="007B6648"/>
    <w:rsid w:val="007B6669"/>
    <w:rsid w:val="007C055A"/>
    <w:rsid w:val="007C186E"/>
    <w:rsid w:val="007C19B7"/>
    <w:rsid w:val="007C1FAE"/>
    <w:rsid w:val="007C311B"/>
    <w:rsid w:val="007C3606"/>
    <w:rsid w:val="007C467C"/>
    <w:rsid w:val="007C506B"/>
    <w:rsid w:val="007C6901"/>
    <w:rsid w:val="007C6C86"/>
    <w:rsid w:val="007C797A"/>
    <w:rsid w:val="007D0986"/>
    <w:rsid w:val="007D158C"/>
    <w:rsid w:val="007D1C2C"/>
    <w:rsid w:val="007D2D92"/>
    <w:rsid w:val="007D3B88"/>
    <w:rsid w:val="007D5307"/>
    <w:rsid w:val="007D59A7"/>
    <w:rsid w:val="007D5EBB"/>
    <w:rsid w:val="007D6313"/>
    <w:rsid w:val="007D693C"/>
    <w:rsid w:val="007D698B"/>
    <w:rsid w:val="007D7732"/>
    <w:rsid w:val="007D7BB6"/>
    <w:rsid w:val="007E12F8"/>
    <w:rsid w:val="007E2EFD"/>
    <w:rsid w:val="007E3015"/>
    <w:rsid w:val="007E3B12"/>
    <w:rsid w:val="007E4818"/>
    <w:rsid w:val="007E4BC2"/>
    <w:rsid w:val="007E57B2"/>
    <w:rsid w:val="007E598A"/>
    <w:rsid w:val="007E5D35"/>
    <w:rsid w:val="007F0CD5"/>
    <w:rsid w:val="007F1C33"/>
    <w:rsid w:val="007F38DC"/>
    <w:rsid w:val="007F3CBC"/>
    <w:rsid w:val="007F4955"/>
    <w:rsid w:val="007F52A6"/>
    <w:rsid w:val="007F5789"/>
    <w:rsid w:val="007F5CB4"/>
    <w:rsid w:val="007F68DA"/>
    <w:rsid w:val="007F6FAE"/>
    <w:rsid w:val="007F7572"/>
    <w:rsid w:val="007F777B"/>
    <w:rsid w:val="00800205"/>
    <w:rsid w:val="008004E7"/>
    <w:rsid w:val="00800516"/>
    <w:rsid w:val="00800BF9"/>
    <w:rsid w:val="0080276C"/>
    <w:rsid w:val="00804DC2"/>
    <w:rsid w:val="00804DFE"/>
    <w:rsid w:val="0080581F"/>
    <w:rsid w:val="008060C8"/>
    <w:rsid w:val="008064E8"/>
    <w:rsid w:val="0080693C"/>
    <w:rsid w:val="008074ED"/>
    <w:rsid w:val="0081057D"/>
    <w:rsid w:val="00810F5C"/>
    <w:rsid w:val="00811CA6"/>
    <w:rsid w:val="00812383"/>
    <w:rsid w:val="00812723"/>
    <w:rsid w:val="00812DC4"/>
    <w:rsid w:val="0081381A"/>
    <w:rsid w:val="00813BC1"/>
    <w:rsid w:val="008146C3"/>
    <w:rsid w:val="008147EC"/>
    <w:rsid w:val="008149C5"/>
    <w:rsid w:val="00814A6A"/>
    <w:rsid w:val="00814B5E"/>
    <w:rsid w:val="00814ED4"/>
    <w:rsid w:val="008152E3"/>
    <w:rsid w:val="0081557C"/>
    <w:rsid w:val="008159B1"/>
    <w:rsid w:val="00815DBD"/>
    <w:rsid w:val="00817B93"/>
    <w:rsid w:val="00817D9B"/>
    <w:rsid w:val="00817E4E"/>
    <w:rsid w:val="00820282"/>
    <w:rsid w:val="008203ED"/>
    <w:rsid w:val="008207BD"/>
    <w:rsid w:val="0082117F"/>
    <w:rsid w:val="008216EF"/>
    <w:rsid w:val="00821DFC"/>
    <w:rsid w:val="00821FE4"/>
    <w:rsid w:val="00822DAC"/>
    <w:rsid w:val="0082352F"/>
    <w:rsid w:val="00823E70"/>
    <w:rsid w:val="008240EA"/>
    <w:rsid w:val="00825A22"/>
    <w:rsid w:val="0082606D"/>
    <w:rsid w:val="0082619C"/>
    <w:rsid w:val="00826796"/>
    <w:rsid w:val="00826B9F"/>
    <w:rsid w:val="00826C1D"/>
    <w:rsid w:val="00826CC0"/>
    <w:rsid w:val="00826F21"/>
    <w:rsid w:val="0082727F"/>
    <w:rsid w:val="00827F25"/>
    <w:rsid w:val="00831A0D"/>
    <w:rsid w:val="008327A8"/>
    <w:rsid w:val="008346AC"/>
    <w:rsid w:val="0083552B"/>
    <w:rsid w:val="00835ECC"/>
    <w:rsid w:val="00836304"/>
    <w:rsid w:val="00836651"/>
    <w:rsid w:val="00836AD2"/>
    <w:rsid w:val="008374B5"/>
    <w:rsid w:val="008375CC"/>
    <w:rsid w:val="008404F0"/>
    <w:rsid w:val="008415CC"/>
    <w:rsid w:val="00842862"/>
    <w:rsid w:val="00844890"/>
    <w:rsid w:val="0084492C"/>
    <w:rsid w:val="0084494B"/>
    <w:rsid w:val="00844A4B"/>
    <w:rsid w:val="00845199"/>
    <w:rsid w:val="00847DFE"/>
    <w:rsid w:val="00851111"/>
    <w:rsid w:val="00851759"/>
    <w:rsid w:val="00851C6A"/>
    <w:rsid w:val="00852546"/>
    <w:rsid w:val="008525CF"/>
    <w:rsid w:val="008533FD"/>
    <w:rsid w:val="008542CC"/>
    <w:rsid w:val="00856ECD"/>
    <w:rsid w:val="00860121"/>
    <w:rsid w:val="00860973"/>
    <w:rsid w:val="00860B77"/>
    <w:rsid w:val="00861245"/>
    <w:rsid w:val="0086183E"/>
    <w:rsid w:val="00862379"/>
    <w:rsid w:val="00862832"/>
    <w:rsid w:val="00862E02"/>
    <w:rsid w:val="00863D19"/>
    <w:rsid w:val="00863EE2"/>
    <w:rsid w:val="008648B5"/>
    <w:rsid w:val="00864EF1"/>
    <w:rsid w:val="0086641A"/>
    <w:rsid w:val="008665C9"/>
    <w:rsid w:val="00867F68"/>
    <w:rsid w:val="00867FDC"/>
    <w:rsid w:val="008727FD"/>
    <w:rsid w:val="00872CFE"/>
    <w:rsid w:val="00872DB4"/>
    <w:rsid w:val="008737D3"/>
    <w:rsid w:val="0087428C"/>
    <w:rsid w:val="0087461E"/>
    <w:rsid w:val="00874D0C"/>
    <w:rsid w:val="00877CBF"/>
    <w:rsid w:val="00877DC2"/>
    <w:rsid w:val="008814E0"/>
    <w:rsid w:val="008818ED"/>
    <w:rsid w:val="00881B2D"/>
    <w:rsid w:val="00882423"/>
    <w:rsid w:val="00882BD0"/>
    <w:rsid w:val="00882D53"/>
    <w:rsid w:val="008833D9"/>
    <w:rsid w:val="00883437"/>
    <w:rsid w:val="008834C5"/>
    <w:rsid w:val="00883C24"/>
    <w:rsid w:val="00885202"/>
    <w:rsid w:val="008853F8"/>
    <w:rsid w:val="008866A2"/>
    <w:rsid w:val="00886E54"/>
    <w:rsid w:val="0088726F"/>
    <w:rsid w:val="00887F00"/>
    <w:rsid w:val="00887F49"/>
    <w:rsid w:val="00891280"/>
    <w:rsid w:val="00891BCD"/>
    <w:rsid w:val="00891D4C"/>
    <w:rsid w:val="00894A98"/>
    <w:rsid w:val="00894B98"/>
    <w:rsid w:val="008953BD"/>
    <w:rsid w:val="008956C5"/>
    <w:rsid w:val="00896045"/>
    <w:rsid w:val="00897A29"/>
    <w:rsid w:val="008A0846"/>
    <w:rsid w:val="008A0B1A"/>
    <w:rsid w:val="008A0F99"/>
    <w:rsid w:val="008A1F37"/>
    <w:rsid w:val="008A22C8"/>
    <w:rsid w:val="008A242C"/>
    <w:rsid w:val="008A281F"/>
    <w:rsid w:val="008A2B3E"/>
    <w:rsid w:val="008A3305"/>
    <w:rsid w:val="008A4628"/>
    <w:rsid w:val="008A4B54"/>
    <w:rsid w:val="008A5553"/>
    <w:rsid w:val="008A5802"/>
    <w:rsid w:val="008A5F48"/>
    <w:rsid w:val="008A66B4"/>
    <w:rsid w:val="008A76DC"/>
    <w:rsid w:val="008B02FF"/>
    <w:rsid w:val="008B06C4"/>
    <w:rsid w:val="008B06D3"/>
    <w:rsid w:val="008B1DC8"/>
    <w:rsid w:val="008B2C85"/>
    <w:rsid w:val="008B3A04"/>
    <w:rsid w:val="008B47CB"/>
    <w:rsid w:val="008B6A6C"/>
    <w:rsid w:val="008B6C83"/>
    <w:rsid w:val="008B6E9F"/>
    <w:rsid w:val="008B73EB"/>
    <w:rsid w:val="008B7FA0"/>
    <w:rsid w:val="008C0B8C"/>
    <w:rsid w:val="008C0DFA"/>
    <w:rsid w:val="008C15BB"/>
    <w:rsid w:val="008C1B52"/>
    <w:rsid w:val="008C1CF7"/>
    <w:rsid w:val="008C22EF"/>
    <w:rsid w:val="008C28E5"/>
    <w:rsid w:val="008C31D1"/>
    <w:rsid w:val="008C36DD"/>
    <w:rsid w:val="008C3DB1"/>
    <w:rsid w:val="008C42C0"/>
    <w:rsid w:val="008C4E5F"/>
    <w:rsid w:val="008C51F4"/>
    <w:rsid w:val="008C549E"/>
    <w:rsid w:val="008C5E67"/>
    <w:rsid w:val="008C6C82"/>
    <w:rsid w:val="008C6FA5"/>
    <w:rsid w:val="008C6FB2"/>
    <w:rsid w:val="008C70DD"/>
    <w:rsid w:val="008C7873"/>
    <w:rsid w:val="008D15F7"/>
    <w:rsid w:val="008D1FDE"/>
    <w:rsid w:val="008D351D"/>
    <w:rsid w:val="008D36DD"/>
    <w:rsid w:val="008D3A56"/>
    <w:rsid w:val="008D3AE2"/>
    <w:rsid w:val="008D4C82"/>
    <w:rsid w:val="008D6ACA"/>
    <w:rsid w:val="008E1281"/>
    <w:rsid w:val="008E1C45"/>
    <w:rsid w:val="008E234C"/>
    <w:rsid w:val="008E242E"/>
    <w:rsid w:val="008E27BB"/>
    <w:rsid w:val="008E318A"/>
    <w:rsid w:val="008E3245"/>
    <w:rsid w:val="008E43AF"/>
    <w:rsid w:val="008E647B"/>
    <w:rsid w:val="008E6595"/>
    <w:rsid w:val="008E73CB"/>
    <w:rsid w:val="008E753F"/>
    <w:rsid w:val="008E7B61"/>
    <w:rsid w:val="008F02F2"/>
    <w:rsid w:val="008F0B05"/>
    <w:rsid w:val="008F17A7"/>
    <w:rsid w:val="008F2418"/>
    <w:rsid w:val="008F2615"/>
    <w:rsid w:val="008F32DC"/>
    <w:rsid w:val="008F3359"/>
    <w:rsid w:val="008F3854"/>
    <w:rsid w:val="008F3AE2"/>
    <w:rsid w:val="008F4597"/>
    <w:rsid w:val="008F4DF6"/>
    <w:rsid w:val="008F53A4"/>
    <w:rsid w:val="008F5415"/>
    <w:rsid w:val="008F5C4B"/>
    <w:rsid w:val="008F6221"/>
    <w:rsid w:val="008F722B"/>
    <w:rsid w:val="008F777B"/>
    <w:rsid w:val="008F7CCE"/>
    <w:rsid w:val="009019A6"/>
    <w:rsid w:val="00902D8A"/>
    <w:rsid w:val="00904266"/>
    <w:rsid w:val="00905659"/>
    <w:rsid w:val="009064E2"/>
    <w:rsid w:val="00906698"/>
    <w:rsid w:val="009077C7"/>
    <w:rsid w:val="00907935"/>
    <w:rsid w:val="009114A2"/>
    <w:rsid w:val="0091220E"/>
    <w:rsid w:val="00913851"/>
    <w:rsid w:val="00913FBE"/>
    <w:rsid w:val="0091465A"/>
    <w:rsid w:val="0091550F"/>
    <w:rsid w:val="00915713"/>
    <w:rsid w:val="00915B3C"/>
    <w:rsid w:val="00917FCF"/>
    <w:rsid w:val="00920216"/>
    <w:rsid w:val="00920463"/>
    <w:rsid w:val="00920B39"/>
    <w:rsid w:val="00921A57"/>
    <w:rsid w:val="00921DE1"/>
    <w:rsid w:val="009224AA"/>
    <w:rsid w:val="009227E4"/>
    <w:rsid w:val="009231E5"/>
    <w:rsid w:val="009238C7"/>
    <w:rsid w:val="00923D3E"/>
    <w:rsid w:val="00923D68"/>
    <w:rsid w:val="009245CA"/>
    <w:rsid w:val="00924F11"/>
    <w:rsid w:val="009266B2"/>
    <w:rsid w:val="00926E4D"/>
    <w:rsid w:val="00927110"/>
    <w:rsid w:val="009304F0"/>
    <w:rsid w:val="00930EAB"/>
    <w:rsid w:val="00932326"/>
    <w:rsid w:val="0093352D"/>
    <w:rsid w:val="00934261"/>
    <w:rsid w:val="0093534B"/>
    <w:rsid w:val="00936ECE"/>
    <w:rsid w:val="00936FFC"/>
    <w:rsid w:val="00937424"/>
    <w:rsid w:val="009376FF"/>
    <w:rsid w:val="00937B79"/>
    <w:rsid w:val="00940185"/>
    <w:rsid w:val="009403A1"/>
    <w:rsid w:val="00940BCD"/>
    <w:rsid w:val="00941279"/>
    <w:rsid w:val="0094141B"/>
    <w:rsid w:val="00941602"/>
    <w:rsid w:val="009425EC"/>
    <w:rsid w:val="00942A2C"/>
    <w:rsid w:val="00942C2D"/>
    <w:rsid w:val="0094397F"/>
    <w:rsid w:val="009448E7"/>
    <w:rsid w:val="00944999"/>
    <w:rsid w:val="009451EE"/>
    <w:rsid w:val="00945B30"/>
    <w:rsid w:val="009462D5"/>
    <w:rsid w:val="009521EF"/>
    <w:rsid w:val="009521FA"/>
    <w:rsid w:val="0095319B"/>
    <w:rsid w:val="0095332B"/>
    <w:rsid w:val="00953E8A"/>
    <w:rsid w:val="0095456C"/>
    <w:rsid w:val="009547B3"/>
    <w:rsid w:val="00954C5E"/>
    <w:rsid w:val="00954D3B"/>
    <w:rsid w:val="00956036"/>
    <w:rsid w:val="00956905"/>
    <w:rsid w:val="00956C5A"/>
    <w:rsid w:val="009575A0"/>
    <w:rsid w:val="00957C9C"/>
    <w:rsid w:val="009605E4"/>
    <w:rsid w:val="009614C6"/>
    <w:rsid w:val="00961A43"/>
    <w:rsid w:val="0096209A"/>
    <w:rsid w:val="00962ACC"/>
    <w:rsid w:val="00962BFB"/>
    <w:rsid w:val="00962E1C"/>
    <w:rsid w:val="0096349D"/>
    <w:rsid w:val="009638E3"/>
    <w:rsid w:val="0096396F"/>
    <w:rsid w:val="00963DB7"/>
    <w:rsid w:val="0096427B"/>
    <w:rsid w:val="00964555"/>
    <w:rsid w:val="009645E0"/>
    <w:rsid w:val="00964841"/>
    <w:rsid w:val="00964954"/>
    <w:rsid w:val="009659D3"/>
    <w:rsid w:val="00966457"/>
    <w:rsid w:val="00966492"/>
    <w:rsid w:val="00966D47"/>
    <w:rsid w:val="00966DEC"/>
    <w:rsid w:val="0096727A"/>
    <w:rsid w:val="0096798E"/>
    <w:rsid w:val="00972332"/>
    <w:rsid w:val="00974BBC"/>
    <w:rsid w:val="009755F6"/>
    <w:rsid w:val="009766AA"/>
    <w:rsid w:val="0097673B"/>
    <w:rsid w:val="009769EC"/>
    <w:rsid w:val="00976BE6"/>
    <w:rsid w:val="00981049"/>
    <w:rsid w:val="009828B7"/>
    <w:rsid w:val="00982904"/>
    <w:rsid w:val="00983268"/>
    <w:rsid w:val="00983B44"/>
    <w:rsid w:val="00983B5B"/>
    <w:rsid w:val="00983F00"/>
    <w:rsid w:val="009852CA"/>
    <w:rsid w:val="009854F9"/>
    <w:rsid w:val="00986F78"/>
    <w:rsid w:val="00987C2C"/>
    <w:rsid w:val="00987C7D"/>
    <w:rsid w:val="00990380"/>
    <w:rsid w:val="009903D8"/>
    <w:rsid w:val="00990DB4"/>
    <w:rsid w:val="009913B5"/>
    <w:rsid w:val="00991493"/>
    <w:rsid w:val="009915A5"/>
    <w:rsid w:val="00991764"/>
    <w:rsid w:val="009917B7"/>
    <w:rsid w:val="00991841"/>
    <w:rsid w:val="0099186A"/>
    <w:rsid w:val="009921DB"/>
    <w:rsid w:val="009921FC"/>
    <w:rsid w:val="00992293"/>
    <w:rsid w:val="00992394"/>
    <w:rsid w:val="009924F6"/>
    <w:rsid w:val="00992E44"/>
    <w:rsid w:val="00993EC7"/>
    <w:rsid w:val="009940EF"/>
    <w:rsid w:val="00994A8D"/>
    <w:rsid w:val="00994BA4"/>
    <w:rsid w:val="00994D06"/>
    <w:rsid w:val="0099501F"/>
    <w:rsid w:val="009959A1"/>
    <w:rsid w:val="00995FC9"/>
    <w:rsid w:val="00996C49"/>
    <w:rsid w:val="00997112"/>
    <w:rsid w:val="0099722B"/>
    <w:rsid w:val="00997CF0"/>
    <w:rsid w:val="009A00A9"/>
    <w:rsid w:val="009A0BBC"/>
    <w:rsid w:val="009A0D4F"/>
    <w:rsid w:val="009A183C"/>
    <w:rsid w:val="009A219F"/>
    <w:rsid w:val="009A3C73"/>
    <w:rsid w:val="009A40CF"/>
    <w:rsid w:val="009A5102"/>
    <w:rsid w:val="009A52A6"/>
    <w:rsid w:val="009A55BF"/>
    <w:rsid w:val="009A5AFD"/>
    <w:rsid w:val="009A6EFD"/>
    <w:rsid w:val="009A7D62"/>
    <w:rsid w:val="009B039F"/>
    <w:rsid w:val="009B0459"/>
    <w:rsid w:val="009B1104"/>
    <w:rsid w:val="009B1B18"/>
    <w:rsid w:val="009B39DC"/>
    <w:rsid w:val="009B4534"/>
    <w:rsid w:val="009B478B"/>
    <w:rsid w:val="009B491E"/>
    <w:rsid w:val="009B4ADC"/>
    <w:rsid w:val="009B61E7"/>
    <w:rsid w:val="009B69EC"/>
    <w:rsid w:val="009B6ECC"/>
    <w:rsid w:val="009C06FA"/>
    <w:rsid w:val="009C0DF1"/>
    <w:rsid w:val="009C23AA"/>
    <w:rsid w:val="009C2C36"/>
    <w:rsid w:val="009C3F65"/>
    <w:rsid w:val="009C41B3"/>
    <w:rsid w:val="009C478B"/>
    <w:rsid w:val="009C5264"/>
    <w:rsid w:val="009C585D"/>
    <w:rsid w:val="009C664B"/>
    <w:rsid w:val="009C6E72"/>
    <w:rsid w:val="009C6F17"/>
    <w:rsid w:val="009D005A"/>
    <w:rsid w:val="009D13F7"/>
    <w:rsid w:val="009D2007"/>
    <w:rsid w:val="009D30C1"/>
    <w:rsid w:val="009D32FE"/>
    <w:rsid w:val="009D3C3F"/>
    <w:rsid w:val="009D4D67"/>
    <w:rsid w:val="009D4F8D"/>
    <w:rsid w:val="009D525B"/>
    <w:rsid w:val="009D635B"/>
    <w:rsid w:val="009D66DC"/>
    <w:rsid w:val="009D71E6"/>
    <w:rsid w:val="009D73A0"/>
    <w:rsid w:val="009D7F6F"/>
    <w:rsid w:val="009E0393"/>
    <w:rsid w:val="009E07D3"/>
    <w:rsid w:val="009E0A60"/>
    <w:rsid w:val="009E0DF8"/>
    <w:rsid w:val="009E12B1"/>
    <w:rsid w:val="009E1EA3"/>
    <w:rsid w:val="009E441B"/>
    <w:rsid w:val="009E4FC7"/>
    <w:rsid w:val="009E5053"/>
    <w:rsid w:val="009E5174"/>
    <w:rsid w:val="009E6065"/>
    <w:rsid w:val="009E62AC"/>
    <w:rsid w:val="009E6BCF"/>
    <w:rsid w:val="009E75A5"/>
    <w:rsid w:val="009F06F2"/>
    <w:rsid w:val="009F078D"/>
    <w:rsid w:val="009F0B6B"/>
    <w:rsid w:val="009F0E2A"/>
    <w:rsid w:val="009F1244"/>
    <w:rsid w:val="009F2641"/>
    <w:rsid w:val="009F2C44"/>
    <w:rsid w:val="009F2F98"/>
    <w:rsid w:val="009F3B1D"/>
    <w:rsid w:val="009F562D"/>
    <w:rsid w:val="009F577D"/>
    <w:rsid w:val="009F58BD"/>
    <w:rsid w:val="009F635E"/>
    <w:rsid w:val="009F752B"/>
    <w:rsid w:val="00A00736"/>
    <w:rsid w:val="00A02103"/>
    <w:rsid w:val="00A0286F"/>
    <w:rsid w:val="00A02C5D"/>
    <w:rsid w:val="00A03F81"/>
    <w:rsid w:val="00A04A20"/>
    <w:rsid w:val="00A05487"/>
    <w:rsid w:val="00A10187"/>
    <w:rsid w:val="00A10F50"/>
    <w:rsid w:val="00A126D9"/>
    <w:rsid w:val="00A12D1C"/>
    <w:rsid w:val="00A131D6"/>
    <w:rsid w:val="00A1396E"/>
    <w:rsid w:val="00A13AE9"/>
    <w:rsid w:val="00A140D3"/>
    <w:rsid w:val="00A1446B"/>
    <w:rsid w:val="00A1448E"/>
    <w:rsid w:val="00A15040"/>
    <w:rsid w:val="00A167F2"/>
    <w:rsid w:val="00A17825"/>
    <w:rsid w:val="00A17EFE"/>
    <w:rsid w:val="00A208AD"/>
    <w:rsid w:val="00A20946"/>
    <w:rsid w:val="00A20A1E"/>
    <w:rsid w:val="00A20C78"/>
    <w:rsid w:val="00A21782"/>
    <w:rsid w:val="00A2199A"/>
    <w:rsid w:val="00A22FA7"/>
    <w:rsid w:val="00A2312E"/>
    <w:rsid w:val="00A24323"/>
    <w:rsid w:val="00A247DF"/>
    <w:rsid w:val="00A2512C"/>
    <w:rsid w:val="00A2515B"/>
    <w:rsid w:val="00A2588E"/>
    <w:rsid w:val="00A25941"/>
    <w:rsid w:val="00A25B00"/>
    <w:rsid w:val="00A26023"/>
    <w:rsid w:val="00A26EDF"/>
    <w:rsid w:val="00A308CD"/>
    <w:rsid w:val="00A30A68"/>
    <w:rsid w:val="00A30C20"/>
    <w:rsid w:val="00A31128"/>
    <w:rsid w:val="00A312C1"/>
    <w:rsid w:val="00A323A6"/>
    <w:rsid w:val="00A339FA"/>
    <w:rsid w:val="00A34789"/>
    <w:rsid w:val="00A349E5"/>
    <w:rsid w:val="00A34DF4"/>
    <w:rsid w:val="00A35546"/>
    <w:rsid w:val="00A35FF8"/>
    <w:rsid w:val="00A3630E"/>
    <w:rsid w:val="00A364D9"/>
    <w:rsid w:val="00A372A8"/>
    <w:rsid w:val="00A37BB8"/>
    <w:rsid w:val="00A40451"/>
    <w:rsid w:val="00A40BF0"/>
    <w:rsid w:val="00A41376"/>
    <w:rsid w:val="00A41FF8"/>
    <w:rsid w:val="00A42D87"/>
    <w:rsid w:val="00A43E66"/>
    <w:rsid w:val="00A4452E"/>
    <w:rsid w:val="00A44BD3"/>
    <w:rsid w:val="00A4521D"/>
    <w:rsid w:val="00A45FAC"/>
    <w:rsid w:val="00A46259"/>
    <w:rsid w:val="00A46D6F"/>
    <w:rsid w:val="00A51026"/>
    <w:rsid w:val="00A51E79"/>
    <w:rsid w:val="00A51F0A"/>
    <w:rsid w:val="00A53FBB"/>
    <w:rsid w:val="00A54EF2"/>
    <w:rsid w:val="00A5519F"/>
    <w:rsid w:val="00A559E0"/>
    <w:rsid w:val="00A55D48"/>
    <w:rsid w:val="00A56E5A"/>
    <w:rsid w:val="00A5702A"/>
    <w:rsid w:val="00A575D9"/>
    <w:rsid w:val="00A57BEB"/>
    <w:rsid w:val="00A60AE9"/>
    <w:rsid w:val="00A610A8"/>
    <w:rsid w:val="00A61673"/>
    <w:rsid w:val="00A61A1D"/>
    <w:rsid w:val="00A6245A"/>
    <w:rsid w:val="00A63048"/>
    <w:rsid w:val="00A643FE"/>
    <w:rsid w:val="00A64926"/>
    <w:rsid w:val="00A655FB"/>
    <w:rsid w:val="00A65C42"/>
    <w:rsid w:val="00A665CF"/>
    <w:rsid w:val="00A668E8"/>
    <w:rsid w:val="00A67423"/>
    <w:rsid w:val="00A67519"/>
    <w:rsid w:val="00A67CA7"/>
    <w:rsid w:val="00A70234"/>
    <w:rsid w:val="00A704AC"/>
    <w:rsid w:val="00A704EA"/>
    <w:rsid w:val="00A705EC"/>
    <w:rsid w:val="00A70E5D"/>
    <w:rsid w:val="00A72092"/>
    <w:rsid w:val="00A7289B"/>
    <w:rsid w:val="00A72B9A"/>
    <w:rsid w:val="00A73989"/>
    <w:rsid w:val="00A74FAD"/>
    <w:rsid w:val="00A75BE9"/>
    <w:rsid w:val="00A75D7C"/>
    <w:rsid w:val="00A75F45"/>
    <w:rsid w:val="00A7634E"/>
    <w:rsid w:val="00A76689"/>
    <w:rsid w:val="00A7692A"/>
    <w:rsid w:val="00A7752F"/>
    <w:rsid w:val="00A82434"/>
    <w:rsid w:val="00A85372"/>
    <w:rsid w:val="00A85BCB"/>
    <w:rsid w:val="00A85C35"/>
    <w:rsid w:val="00A85E71"/>
    <w:rsid w:val="00A900B5"/>
    <w:rsid w:val="00A90B22"/>
    <w:rsid w:val="00A90BC0"/>
    <w:rsid w:val="00A91989"/>
    <w:rsid w:val="00A91F7D"/>
    <w:rsid w:val="00A92061"/>
    <w:rsid w:val="00A92249"/>
    <w:rsid w:val="00A941AA"/>
    <w:rsid w:val="00A94249"/>
    <w:rsid w:val="00A94361"/>
    <w:rsid w:val="00A94BC9"/>
    <w:rsid w:val="00A958C6"/>
    <w:rsid w:val="00A959BC"/>
    <w:rsid w:val="00AA0239"/>
    <w:rsid w:val="00AA0599"/>
    <w:rsid w:val="00AA18A6"/>
    <w:rsid w:val="00AA213E"/>
    <w:rsid w:val="00AA2AAD"/>
    <w:rsid w:val="00AA2B3A"/>
    <w:rsid w:val="00AA2D9D"/>
    <w:rsid w:val="00AA2F2F"/>
    <w:rsid w:val="00AA35AA"/>
    <w:rsid w:val="00AA3C60"/>
    <w:rsid w:val="00AA41D3"/>
    <w:rsid w:val="00AA44E6"/>
    <w:rsid w:val="00AA47E4"/>
    <w:rsid w:val="00AA4D2B"/>
    <w:rsid w:val="00AA602D"/>
    <w:rsid w:val="00AA6160"/>
    <w:rsid w:val="00AA6B31"/>
    <w:rsid w:val="00AA6EB3"/>
    <w:rsid w:val="00AB0C8D"/>
    <w:rsid w:val="00AB258A"/>
    <w:rsid w:val="00AB2FF4"/>
    <w:rsid w:val="00AB3D3A"/>
    <w:rsid w:val="00AB5085"/>
    <w:rsid w:val="00AB5A34"/>
    <w:rsid w:val="00AB5F9C"/>
    <w:rsid w:val="00AB6083"/>
    <w:rsid w:val="00AB6159"/>
    <w:rsid w:val="00AB6BA7"/>
    <w:rsid w:val="00AC0857"/>
    <w:rsid w:val="00AC0F74"/>
    <w:rsid w:val="00AC1232"/>
    <w:rsid w:val="00AC1AD6"/>
    <w:rsid w:val="00AC1C7E"/>
    <w:rsid w:val="00AC2A50"/>
    <w:rsid w:val="00AC2BC1"/>
    <w:rsid w:val="00AC2FB7"/>
    <w:rsid w:val="00AC3100"/>
    <w:rsid w:val="00AC3C8F"/>
    <w:rsid w:val="00AC4051"/>
    <w:rsid w:val="00AC47F0"/>
    <w:rsid w:val="00AC54B5"/>
    <w:rsid w:val="00AC5639"/>
    <w:rsid w:val="00AC5EBD"/>
    <w:rsid w:val="00AC660C"/>
    <w:rsid w:val="00AC7860"/>
    <w:rsid w:val="00AC7F87"/>
    <w:rsid w:val="00AD052F"/>
    <w:rsid w:val="00AD08FD"/>
    <w:rsid w:val="00AD09D4"/>
    <w:rsid w:val="00AD1448"/>
    <w:rsid w:val="00AD21C5"/>
    <w:rsid w:val="00AD40EE"/>
    <w:rsid w:val="00AD589C"/>
    <w:rsid w:val="00AD64DF"/>
    <w:rsid w:val="00AD651D"/>
    <w:rsid w:val="00AD6E6C"/>
    <w:rsid w:val="00AD740E"/>
    <w:rsid w:val="00AD773E"/>
    <w:rsid w:val="00AD7FB1"/>
    <w:rsid w:val="00AE1025"/>
    <w:rsid w:val="00AE11C2"/>
    <w:rsid w:val="00AE1B39"/>
    <w:rsid w:val="00AE1E2E"/>
    <w:rsid w:val="00AE26A9"/>
    <w:rsid w:val="00AE3494"/>
    <w:rsid w:val="00AE3F03"/>
    <w:rsid w:val="00AE49BC"/>
    <w:rsid w:val="00AE64F0"/>
    <w:rsid w:val="00AE7543"/>
    <w:rsid w:val="00AE7DAD"/>
    <w:rsid w:val="00AF16AC"/>
    <w:rsid w:val="00AF190C"/>
    <w:rsid w:val="00AF202B"/>
    <w:rsid w:val="00AF23C8"/>
    <w:rsid w:val="00AF2AE2"/>
    <w:rsid w:val="00AF5979"/>
    <w:rsid w:val="00B01828"/>
    <w:rsid w:val="00B02ECE"/>
    <w:rsid w:val="00B0377E"/>
    <w:rsid w:val="00B0447B"/>
    <w:rsid w:val="00B04A8C"/>
    <w:rsid w:val="00B0594F"/>
    <w:rsid w:val="00B071DD"/>
    <w:rsid w:val="00B07B95"/>
    <w:rsid w:val="00B07BA9"/>
    <w:rsid w:val="00B07C90"/>
    <w:rsid w:val="00B10055"/>
    <w:rsid w:val="00B10E54"/>
    <w:rsid w:val="00B10EC4"/>
    <w:rsid w:val="00B1141E"/>
    <w:rsid w:val="00B11BF5"/>
    <w:rsid w:val="00B11CFE"/>
    <w:rsid w:val="00B11FA8"/>
    <w:rsid w:val="00B120D4"/>
    <w:rsid w:val="00B1237F"/>
    <w:rsid w:val="00B1278B"/>
    <w:rsid w:val="00B127FD"/>
    <w:rsid w:val="00B138E7"/>
    <w:rsid w:val="00B13F95"/>
    <w:rsid w:val="00B16329"/>
    <w:rsid w:val="00B167A2"/>
    <w:rsid w:val="00B16BDA"/>
    <w:rsid w:val="00B17295"/>
    <w:rsid w:val="00B1738D"/>
    <w:rsid w:val="00B175B8"/>
    <w:rsid w:val="00B1778C"/>
    <w:rsid w:val="00B17CC1"/>
    <w:rsid w:val="00B2088A"/>
    <w:rsid w:val="00B20D8F"/>
    <w:rsid w:val="00B211D0"/>
    <w:rsid w:val="00B215F5"/>
    <w:rsid w:val="00B21847"/>
    <w:rsid w:val="00B21FB3"/>
    <w:rsid w:val="00B22139"/>
    <w:rsid w:val="00B22FBD"/>
    <w:rsid w:val="00B23190"/>
    <w:rsid w:val="00B23A8D"/>
    <w:rsid w:val="00B24415"/>
    <w:rsid w:val="00B24809"/>
    <w:rsid w:val="00B24E0C"/>
    <w:rsid w:val="00B25144"/>
    <w:rsid w:val="00B25BDB"/>
    <w:rsid w:val="00B25BDC"/>
    <w:rsid w:val="00B26A46"/>
    <w:rsid w:val="00B26BAA"/>
    <w:rsid w:val="00B27A54"/>
    <w:rsid w:val="00B30783"/>
    <w:rsid w:val="00B30B3B"/>
    <w:rsid w:val="00B315BA"/>
    <w:rsid w:val="00B31A79"/>
    <w:rsid w:val="00B357B3"/>
    <w:rsid w:val="00B35FA5"/>
    <w:rsid w:val="00B3624C"/>
    <w:rsid w:val="00B36276"/>
    <w:rsid w:val="00B366B2"/>
    <w:rsid w:val="00B36F9E"/>
    <w:rsid w:val="00B408D9"/>
    <w:rsid w:val="00B40C7E"/>
    <w:rsid w:val="00B415F8"/>
    <w:rsid w:val="00B4163E"/>
    <w:rsid w:val="00B41F0F"/>
    <w:rsid w:val="00B42049"/>
    <w:rsid w:val="00B42560"/>
    <w:rsid w:val="00B42BC3"/>
    <w:rsid w:val="00B4340F"/>
    <w:rsid w:val="00B43B4C"/>
    <w:rsid w:val="00B44BA8"/>
    <w:rsid w:val="00B451AC"/>
    <w:rsid w:val="00B455AA"/>
    <w:rsid w:val="00B45778"/>
    <w:rsid w:val="00B457A1"/>
    <w:rsid w:val="00B4624E"/>
    <w:rsid w:val="00B4630F"/>
    <w:rsid w:val="00B464B1"/>
    <w:rsid w:val="00B470F4"/>
    <w:rsid w:val="00B47A4A"/>
    <w:rsid w:val="00B47B99"/>
    <w:rsid w:val="00B506F2"/>
    <w:rsid w:val="00B510E3"/>
    <w:rsid w:val="00B521AC"/>
    <w:rsid w:val="00B522AC"/>
    <w:rsid w:val="00B52702"/>
    <w:rsid w:val="00B5398A"/>
    <w:rsid w:val="00B5498D"/>
    <w:rsid w:val="00B54A83"/>
    <w:rsid w:val="00B5501D"/>
    <w:rsid w:val="00B560C6"/>
    <w:rsid w:val="00B569BB"/>
    <w:rsid w:val="00B606C0"/>
    <w:rsid w:val="00B6151E"/>
    <w:rsid w:val="00B6164E"/>
    <w:rsid w:val="00B6181F"/>
    <w:rsid w:val="00B619C0"/>
    <w:rsid w:val="00B63375"/>
    <w:rsid w:val="00B63B60"/>
    <w:rsid w:val="00B63C4C"/>
    <w:rsid w:val="00B64962"/>
    <w:rsid w:val="00B64B69"/>
    <w:rsid w:val="00B64C31"/>
    <w:rsid w:val="00B64FCB"/>
    <w:rsid w:val="00B65A01"/>
    <w:rsid w:val="00B65B55"/>
    <w:rsid w:val="00B66452"/>
    <w:rsid w:val="00B666D2"/>
    <w:rsid w:val="00B66B2F"/>
    <w:rsid w:val="00B67397"/>
    <w:rsid w:val="00B6766C"/>
    <w:rsid w:val="00B676EC"/>
    <w:rsid w:val="00B70082"/>
    <w:rsid w:val="00B7016C"/>
    <w:rsid w:val="00B7039B"/>
    <w:rsid w:val="00B70671"/>
    <w:rsid w:val="00B721D9"/>
    <w:rsid w:val="00B74AC1"/>
    <w:rsid w:val="00B74D1E"/>
    <w:rsid w:val="00B76A18"/>
    <w:rsid w:val="00B76A2B"/>
    <w:rsid w:val="00B76C78"/>
    <w:rsid w:val="00B76DCB"/>
    <w:rsid w:val="00B80B9E"/>
    <w:rsid w:val="00B8199F"/>
    <w:rsid w:val="00B826B3"/>
    <w:rsid w:val="00B82F8C"/>
    <w:rsid w:val="00B833F6"/>
    <w:rsid w:val="00B83637"/>
    <w:rsid w:val="00B83D3F"/>
    <w:rsid w:val="00B83F79"/>
    <w:rsid w:val="00B84C1E"/>
    <w:rsid w:val="00B84C6C"/>
    <w:rsid w:val="00B87BF7"/>
    <w:rsid w:val="00B90252"/>
    <w:rsid w:val="00B907DC"/>
    <w:rsid w:val="00B91AA8"/>
    <w:rsid w:val="00B92687"/>
    <w:rsid w:val="00B93B1F"/>
    <w:rsid w:val="00B93D09"/>
    <w:rsid w:val="00B93F12"/>
    <w:rsid w:val="00B94248"/>
    <w:rsid w:val="00B942A1"/>
    <w:rsid w:val="00B94889"/>
    <w:rsid w:val="00B94996"/>
    <w:rsid w:val="00B94A89"/>
    <w:rsid w:val="00B94B4F"/>
    <w:rsid w:val="00B95CDD"/>
    <w:rsid w:val="00B976F6"/>
    <w:rsid w:val="00B97C9C"/>
    <w:rsid w:val="00B97F7E"/>
    <w:rsid w:val="00B97F8F"/>
    <w:rsid w:val="00BA0B5A"/>
    <w:rsid w:val="00BA17DC"/>
    <w:rsid w:val="00BA1DD1"/>
    <w:rsid w:val="00BA295D"/>
    <w:rsid w:val="00BA2BCD"/>
    <w:rsid w:val="00BA2C97"/>
    <w:rsid w:val="00BA45DE"/>
    <w:rsid w:val="00BA4F84"/>
    <w:rsid w:val="00BA5F41"/>
    <w:rsid w:val="00BA7385"/>
    <w:rsid w:val="00BB00BF"/>
    <w:rsid w:val="00BB187C"/>
    <w:rsid w:val="00BB296B"/>
    <w:rsid w:val="00BB3622"/>
    <w:rsid w:val="00BB3899"/>
    <w:rsid w:val="00BB3C35"/>
    <w:rsid w:val="00BB4960"/>
    <w:rsid w:val="00BB4D43"/>
    <w:rsid w:val="00BB553F"/>
    <w:rsid w:val="00BB5639"/>
    <w:rsid w:val="00BB58A9"/>
    <w:rsid w:val="00BB682C"/>
    <w:rsid w:val="00BB7AC5"/>
    <w:rsid w:val="00BB7CA9"/>
    <w:rsid w:val="00BB7FAB"/>
    <w:rsid w:val="00BC11AA"/>
    <w:rsid w:val="00BC1EBE"/>
    <w:rsid w:val="00BC236B"/>
    <w:rsid w:val="00BC2BB4"/>
    <w:rsid w:val="00BC3074"/>
    <w:rsid w:val="00BC3144"/>
    <w:rsid w:val="00BC33A9"/>
    <w:rsid w:val="00BC3E91"/>
    <w:rsid w:val="00BC5A0D"/>
    <w:rsid w:val="00BC65D9"/>
    <w:rsid w:val="00BC67ED"/>
    <w:rsid w:val="00BC7C52"/>
    <w:rsid w:val="00BD0A8B"/>
    <w:rsid w:val="00BD0CF6"/>
    <w:rsid w:val="00BD1471"/>
    <w:rsid w:val="00BD14C5"/>
    <w:rsid w:val="00BD196A"/>
    <w:rsid w:val="00BD2081"/>
    <w:rsid w:val="00BD2311"/>
    <w:rsid w:val="00BD37A2"/>
    <w:rsid w:val="00BD6262"/>
    <w:rsid w:val="00BE0279"/>
    <w:rsid w:val="00BE0C1E"/>
    <w:rsid w:val="00BE0E73"/>
    <w:rsid w:val="00BE10A6"/>
    <w:rsid w:val="00BE38C0"/>
    <w:rsid w:val="00BE3CA1"/>
    <w:rsid w:val="00BE4387"/>
    <w:rsid w:val="00BE4560"/>
    <w:rsid w:val="00BE4C42"/>
    <w:rsid w:val="00BE4C48"/>
    <w:rsid w:val="00BE5017"/>
    <w:rsid w:val="00BE61C1"/>
    <w:rsid w:val="00BE64AF"/>
    <w:rsid w:val="00BE6717"/>
    <w:rsid w:val="00BE7694"/>
    <w:rsid w:val="00BE7814"/>
    <w:rsid w:val="00BE79A2"/>
    <w:rsid w:val="00BF0381"/>
    <w:rsid w:val="00BF078A"/>
    <w:rsid w:val="00BF0B51"/>
    <w:rsid w:val="00BF0BC8"/>
    <w:rsid w:val="00BF1C5F"/>
    <w:rsid w:val="00BF2711"/>
    <w:rsid w:val="00BF2866"/>
    <w:rsid w:val="00BF39BD"/>
    <w:rsid w:val="00BF412C"/>
    <w:rsid w:val="00BF505F"/>
    <w:rsid w:val="00BF541A"/>
    <w:rsid w:val="00BF6CA2"/>
    <w:rsid w:val="00BF6E7B"/>
    <w:rsid w:val="00BF7AD6"/>
    <w:rsid w:val="00C0052F"/>
    <w:rsid w:val="00C00D60"/>
    <w:rsid w:val="00C00DB9"/>
    <w:rsid w:val="00C01021"/>
    <w:rsid w:val="00C01088"/>
    <w:rsid w:val="00C0141F"/>
    <w:rsid w:val="00C0154F"/>
    <w:rsid w:val="00C018F3"/>
    <w:rsid w:val="00C0208D"/>
    <w:rsid w:val="00C023F5"/>
    <w:rsid w:val="00C02AE1"/>
    <w:rsid w:val="00C03167"/>
    <w:rsid w:val="00C03525"/>
    <w:rsid w:val="00C043CD"/>
    <w:rsid w:val="00C048AF"/>
    <w:rsid w:val="00C05F36"/>
    <w:rsid w:val="00C077E0"/>
    <w:rsid w:val="00C07DE6"/>
    <w:rsid w:val="00C07E4F"/>
    <w:rsid w:val="00C11352"/>
    <w:rsid w:val="00C11779"/>
    <w:rsid w:val="00C11E9C"/>
    <w:rsid w:val="00C1219D"/>
    <w:rsid w:val="00C12639"/>
    <w:rsid w:val="00C133ED"/>
    <w:rsid w:val="00C13C25"/>
    <w:rsid w:val="00C154B5"/>
    <w:rsid w:val="00C1662E"/>
    <w:rsid w:val="00C167B4"/>
    <w:rsid w:val="00C17872"/>
    <w:rsid w:val="00C205E9"/>
    <w:rsid w:val="00C212FC"/>
    <w:rsid w:val="00C21AE8"/>
    <w:rsid w:val="00C21CA6"/>
    <w:rsid w:val="00C22E5E"/>
    <w:rsid w:val="00C22E66"/>
    <w:rsid w:val="00C237F3"/>
    <w:rsid w:val="00C23F48"/>
    <w:rsid w:val="00C2456C"/>
    <w:rsid w:val="00C24C70"/>
    <w:rsid w:val="00C24CBB"/>
    <w:rsid w:val="00C25CFD"/>
    <w:rsid w:val="00C262BD"/>
    <w:rsid w:val="00C27757"/>
    <w:rsid w:val="00C27782"/>
    <w:rsid w:val="00C278A4"/>
    <w:rsid w:val="00C3009B"/>
    <w:rsid w:val="00C306D7"/>
    <w:rsid w:val="00C30C89"/>
    <w:rsid w:val="00C30DF1"/>
    <w:rsid w:val="00C310C2"/>
    <w:rsid w:val="00C3359C"/>
    <w:rsid w:val="00C337F3"/>
    <w:rsid w:val="00C33C15"/>
    <w:rsid w:val="00C33D74"/>
    <w:rsid w:val="00C35377"/>
    <w:rsid w:val="00C36525"/>
    <w:rsid w:val="00C36C5F"/>
    <w:rsid w:val="00C37581"/>
    <w:rsid w:val="00C40EB3"/>
    <w:rsid w:val="00C41041"/>
    <w:rsid w:val="00C41BD9"/>
    <w:rsid w:val="00C420F3"/>
    <w:rsid w:val="00C42B5F"/>
    <w:rsid w:val="00C42E4F"/>
    <w:rsid w:val="00C434FD"/>
    <w:rsid w:val="00C4453F"/>
    <w:rsid w:val="00C45742"/>
    <w:rsid w:val="00C462D5"/>
    <w:rsid w:val="00C46BA2"/>
    <w:rsid w:val="00C46CEF"/>
    <w:rsid w:val="00C472CC"/>
    <w:rsid w:val="00C47711"/>
    <w:rsid w:val="00C47AC7"/>
    <w:rsid w:val="00C47CCE"/>
    <w:rsid w:val="00C5192E"/>
    <w:rsid w:val="00C51D42"/>
    <w:rsid w:val="00C52182"/>
    <w:rsid w:val="00C52312"/>
    <w:rsid w:val="00C5235D"/>
    <w:rsid w:val="00C52DE6"/>
    <w:rsid w:val="00C53A8D"/>
    <w:rsid w:val="00C555AE"/>
    <w:rsid w:val="00C56082"/>
    <w:rsid w:val="00C5628A"/>
    <w:rsid w:val="00C566AC"/>
    <w:rsid w:val="00C56B35"/>
    <w:rsid w:val="00C56FB0"/>
    <w:rsid w:val="00C5777A"/>
    <w:rsid w:val="00C57886"/>
    <w:rsid w:val="00C6016B"/>
    <w:rsid w:val="00C605B5"/>
    <w:rsid w:val="00C6290A"/>
    <w:rsid w:val="00C631AB"/>
    <w:rsid w:val="00C634A7"/>
    <w:rsid w:val="00C6364A"/>
    <w:rsid w:val="00C638D7"/>
    <w:rsid w:val="00C638DF"/>
    <w:rsid w:val="00C64013"/>
    <w:rsid w:val="00C644B5"/>
    <w:rsid w:val="00C64720"/>
    <w:rsid w:val="00C64D5F"/>
    <w:rsid w:val="00C65161"/>
    <w:rsid w:val="00C6517F"/>
    <w:rsid w:val="00C65B45"/>
    <w:rsid w:val="00C65CA4"/>
    <w:rsid w:val="00C66A0C"/>
    <w:rsid w:val="00C66FAD"/>
    <w:rsid w:val="00C674DF"/>
    <w:rsid w:val="00C67659"/>
    <w:rsid w:val="00C678B7"/>
    <w:rsid w:val="00C67BA6"/>
    <w:rsid w:val="00C70375"/>
    <w:rsid w:val="00C70DA3"/>
    <w:rsid w:val="00C7184B"/>
    <w:rsid w:val="00C71920"/>
    <w:rsid w:val="00C721C6"/>
    <w:rsid w:val="00C72A63"/>
    <w:rsid w:val="00C72AA2"/>
    <w:rsid w:val="00C74031"/>
    <w:rsid w:val="00C7441E"/>
    <w:rsid w:val="00C763F0"/>
    <w:rsid w:val="00C76868"/>
    <w:rsid w:val="00C80AE4"/>
    <w:rsid w:val="00C829B6"/>
    <w:rsid w:val="00C82EEB"/>
    <w:rsid w:val="00C8493A"/>
    <w:rsid w:val="00C857F1"/>
    <w:rsid w:val="00C85A9F"/>
    <w:rsid w:val="00C85C3C"/>
    <w:rsid w:val="00C85DC1"/>
    <w:rsid w:val="00C861D4"/>
    <w:rsid w:val="00C86477"/>
    <w:rsid w:val="00C8715C"/>
    <w:rsid w:val="00C871C4"/>
    <w:rsid w:val="00C910FC"/>
    <w:rsid w:val="00C91317"/>
    <w:rsid w:val="00C91F80"/>
    <w:rsid w:val="00C92331"/>
    <w:rsid w:val="00C93E55"/>
    <w:rsid w:val="00C94492"/>
    <w:rsid w:val="00C948A9"/>
    <w:rsid w:val="00C9630D"/>
    <w:rsid w:val="00C96CB3"/>
    <w:rsid w:val="00C9706A"/>
    <w:rsid w:val="00C9731F"/>
    <w:rsid w:val="00CA023A"/>
    <w:rsid w:val="00CA0B8D"/>
    <w:rsid w:val="00CA0EC2"/>
    <w:rsid w:val="00CA1006"/>
    <w:rsid w:val="00CA1130"/>
    <w:rsid w:val="00CA1ACE"/>
    <w:rsid w:val="00CA1F91"/>
    <w:rsid w:val="00CA2150"/>
    <w:rsid w:val="00CA3058"/>
    <w:rsid w:val="00CA415F"/>
    <w:rsid w:val="00CA435A"/>
    <w:rsid w:val="00CA4DFA"/>
    <w:rsid w:val="00CA531A"/>
    <w:rsid w:val="00CA5E8E"/>
    <w:rsid w:val="00CA5EA7"/>
    <w:rsid w:val="00CA67AA"/>
    <w:rsid w:val="00CA6C9F"/>
    <w:rsid w:val="00CA76A5"/>
    <w:rsid w:val="00CB026C"/>
    <w:rsid w:val="00CB2C14"/>
    <w:rsid w:val="00CB2CDC"/>
    <w:rsid w:val="00CB2DF7"/>
    <w:rsid w:val="00CB2E2A"/>
    <w:rsid w:val="00CB45EB"/>
    <w:rsid w:val="00CB46FA"/>
    <w:rsid w:val="00CB5A49"/>
    <w:rsid w:val="00CB5C15"/>
    <w:rsid w:val="00CB650A"/>
    <w:rsid w:val="00CB678B"/>
    <w:rsid w:val="00CC006D"/>
    <w:rsid w:val="00CC03F9"/>
    <w:rsid w:val="00CC0DCF"/>
    <w:rsid w:val="00CC1228"/>
    <w:rsid w:val="00CC1311"/>
    <w:rsid w:val="00CC1A21"/>
    <w:rsid w:val="00CC32C4"/>
    <w:rsid w:val="00CC4C41"/>
    <w:rsid w:val="00CC55A2"/>
    <w:rsid w:val="00CC5A3B"/>
    <w:rsid w:val="00CC629C"/>
    <w:rsid w:val="00CC66DE"/>
    <w:rsid w:val="00CC6CED"/>
    <w:rsid w:val="00CC7081"/>
    <w:rsid w:val="00CC7C0C"/>
    <w:rsid w:val="00CD012A"/>
    <w:rsid w:val="00CD0CDA"/>
    <w:rsid w:val="00CD1B8B"/>
    <w:rsid w:val="00CD1BE1"/>
    <w:rsid w:val="00CD2256"/>
    <w:rsid w:val="00CD2EB5"/>
    <w:rsid w:val="00CD3428"/>
    <w:rsid w:val="00CD3CCA"/>
    <w:rsid w:val="00CD50A1"/>
    <w:rsid w:val="00CD522F"/>
    <w:rsid w:val="00CD7051"/>
    <w:rsid w:val="00CD75E3"/>
    <w:rsid w:val="00CD7CCC"/>
    <w:rsid w:val="00CE0F54"/>
    <w:rsid w:val="00CE1813"/>
    <w:rsid w:val="00CE1833"/>
    <w:rsid w:val="00CE2627"/>
    <w:rsid w:val="00CE272C"/>
    <w:rsid w:val="00CE29BB"/>
    <w:rsid w:val="00CE2EB2"/>
    <w:rsid w:val="00CE4931"/>
    <w:rsid w:val="00CE525D"/>
    <w:rsid w:val="00CE5C99"/>
    <w:rsid w:val="00CE62F4"/>
    <w:rsid w:val="00CE6CDD"/>
    <w:rsid w:val="00CE6D8B"/>
    <w:rsid w:val="00CE6D8C"/>
    <w:rsid w:val="00CE7541"/>
    <w:rsid w:val="00CF1197"/>
    <w:rsid w:val="00CF14C7"/>
    <w:rsid w:val="00CF17D0"/>
    <w:rsid w:val="00CF23EE"/>
    <w:rsid w:val="00CF25DD"/>
    <w:rsid w:val="00CF2EB8"/>
    <w:rsid w:val="00CF3BFA"/>
    <w:rsid w:val="00CF4B68"/>
    <w:rsid w:val="00CF5310"/>
    <w:rsid w:val="00CF56C1"/>
    <w:rsid w:val="00CF649D"/>
    <w:rsid w:val="00D002BC"/>
    <w:rsid w:val="00D00BCC"/>
    <w:rsid w:val="00D00D69"/>
    <w:rsid w:val="00D011B8"/>
    <w:rsid w:val="00D03214"/>
    <w:rsid w:val="00D04D75"/>
    <w:rsid w:val="00D05363"/>
    <w:rsid w:val="00D05CB9"/>
    <w:rsid w:val="00D06683"/>
    <w:rsid w:val="00D06CEF"/>
    <w:rsid w:val="00D06E0A"/>
    <w:rsid w:val="00D10BC5"/>
    <w:rsid w:val="00D10E6F"/>
    <w:rsid w:val="00D11357"/>
    <w:rsid w:val="00D11EB7"/>
    <w:rsid w:val="00D126F7"/>
    <w:rsid w:val="00D129F5"/>
    <w:rsid w:val="00D12ED9"/>
    <w:rsid w:val="00D133D0"/>
    <w:rsid w:val="00D13F97"/>
    <w:rsid w:val="00D141DD"/>
    <w:rsid w:val="00D145A1"/>
    <w:rsid w:val="00D1494A"/>
    <w:rsid w:val="00D15701"/>
    <w:rsid w:val="00D16F0E"/>
    <w:rsid w:val="00D16F79"/>
    <w:rsid w:val="00D20C82"/>
    <w:rsid w:val="00D20D98"/>
    <w:rsid w:val="00D216A6"/>
    <w:rsid w:val="00D21887"/>
    <w:rsid w:val="00D235A1"/>
    <w:rsid w:val="00D2445E"/>
    <w:rsid w:val="00D24FA1"/>
    <w:rsid w:val="00D252B0"/>
    <w:rsid w:val="00D25D3F"/>
    <w:rsid w:val="00D266DE"/>
    <w:rsid w:val="00D27923"/>
    <w:rsid w:val="00D30009"/>
    <w:rsid w:val="00D3047D"/>
    <w:rsid w:val="00D305EC"/>
    <w:rsid w:val="00D30692"/>
    <w:rsid w:val="00D31689"/>
    <w:rsid w:val="00D347CD"/>
    <w:rsid w:val="00D34B3A"/>
    <w:rsid w:val="00D34C04"/>
    <w:rsid w:val="00D355E8"/>
    <w:rsid w:val="00D3598C"/>
    <w:rsid w:val="00D359A5"/>
    <w:rsid w:val="00D35EF9"/>
    <w:rsid w:val="00D3602A"/>
    <w:rsid w:val="00D372CA"/>
    <w:rsid w:val="00D40EA2"/>
    <w:rsid w:val="00D418F9"/>
    <w:rsid w:val="00D423AE"/>
    <w:rsid w:val="00D43DD6"/>
    <w:rsid w:val="00D45426"/>
    <w:rsid w:val="00D45769"/>
    <w:rsid w:val="00D45D6B"/>
    <w:rsid w:val="00D465A6"/>
    <w:rsid w:val="00D465B4"/>
    <w:rsid w:val="00D47217"/>
    <w:rsid w:val="00D47764"/>
    <w:rsid w:val="00D502BC"/>
    <w:rsid w:val="00D51ABF"/>
    <w:rsid w:val="00D51C2C"/>
    <w:rsid w:val="00D51EB7"/>
    <w:rsid w:val="00D523B3"/>
    <w:rsid w:val="00D5298C"/>
    <w:rsid w:val="00D52A44"/>
    <w:rsid w:val="00D533B7"/>
    <w:rsid w:val="00D54971"/>
    <w:rsid w:val="00D553F8"/>
    <w:rsid w:val="00D55A36"/>
    <w:rsid w:val="00D5689A"/>
    <w:rsid w:val="00D56A0A"/>
    <w:rsid w:val="00D56A1F"/>
    <w:rsid w:val="00D56B42"/>
    <w:rsid w:val="00D57072"/>
    <w:rsid w:val="00D60069"/>
    <w:rsid w:val="00D60ED9"/>
    <w:rsid w:val="00D61249"/>
    <w:rsid w:val="00D61314"/>
    <w:rsid w:val="00D61578"/>
    <w:rsid w:val="00D61AE5"/>
    <w:rsid w:val="00D63A8A"/>
    <w:rsid w:val="00D64636"/>
    <w:rsid w:val="00D64D14"/>
    <w:rsid w:val="00D668E4"/>
    <w:rsid w:val="00D670F6"/>
    <w:rsid w:val="00D67466"/>
    <w:rsid w:val="00D7047B"/>
    <w:rsid w:val="00D7085E"/>
    <w:rsid w:val="00D71649"/>
    <w:rsid w:val="00D718E1"/>
    <w:rsid w:val="00D71F60"/>
    <w:rsid w:val="00D724DF"/>
    <w:rsid w:val="00D729A9"/>
    <w:rsid w:val="00D741F4"/>
    <w:rsid w:val="00D74FEC"/>
    <w:rsid w:val="00D75101"/>
    <w:rsid w:val="00D75505"/>
    <w:rsid w:val="00D76695"/>
    <w:rsid w:val="00D76772"/>
    <w:rsid w:val="00D77DAB"/>
    <w:rsid w:val="00D802FD"/>
    <w:rsid w:val="00D80D60"/>
    <w:rsid w:val="00D81C8A"/>
    <w:rsid w:val="00D8228F"/>
    <w:rsid w:val="00D82B1C"/>
    <w:rsid w:val="00D82DD1"/>
    <w:rsid w:val="00D835BB"/>
    <w:rsid w:val="00D83CB1"/>
    <w:rsid w:val="00D8583F"/>
    <w:rsid w:val="00D86238"/>
    <w:rsid w:val="00D862DA"/>
    <w:rsid w:val="00D8640C"/>
    <w:rsid w:val="00D86456"/>
    <w:rsid w:val="00D868BB"/>
    <w:rsid w:val="00D86BFA"/>
    <w:rsid w:val="00D870BD"/>
    <w:rsid w:val="00D87CAD"/>
    <w:rsid w:val="00D9030F"/>
    <w:rsid w:val="00D90ED8"/>
    <w:rsid w:val="00D91E5B"/>
    <w:rsid w:val="00D938B6"/>
    <w:rsid w:val="00D95A1F"/>
    <w:rsid w:val="00D9615C"/>
    <w:rsid w:val="00DA231F"/>
    <w:rsid w:val="00DA2500"/>
    <w:rsid w:val="00DA31F7"/>
    <w:rsid w:val="00DA3D7B"/>
    <w:rsid w:val="00DA53D2"/>
    <w:rsid w:val="00DA5A12"/>
    <w:rsid w:val="00DA5D04"/>
    <w:rsid w:val="00DA62CC"/>
    <w:rsid w:val="00DA6721"/>
    <w:rsid w:val="00DA7189"/>
    <w:rsid w:val="00DA7370"/>
    <w:rsid w:val="00DB0DC2"/>
    <w:rsid w:val="00DB107B"/>
    <w:rsid w:val="00DB1190"/>
    <w:rsid w:val="00DB1E06"/>
    <w:rsid w:val="00DB25A0"/>
    <w:rsid w:val="00DB3EBE"/>
    <w:rsid w:val="00DB4594"/>
    <w:rsid w:val="00DB45B7"/>
    <w:rsid w:val="00DB48A9"/>
    <w:rsid w:val="00DB4AA3"/>
    <w:rsid w:val="00DB4EC9"/>
    <w:rsid w:val="00DB4EE3"/>
    <w:rsid w:val="00DB56FB"/>
    <w:rsid w:val="00DB573E"/>
    <w:rsid w:val="00DB626A"/>
    <w:rsid w:val="00DB68FF"/>
    <w:rsid w:val="00DB7230"/>
    <w:rsid w:val="00DB767D"/>
    <w:rsid w:val="00DC0B91"/>
    <w:rsid w:val="00DC0F97"/>
    <w:rsid w:val="00DC1DD4"/>
    <w:rsid w:val="00DC2A7F"/>
    <w:rsid w:val="00DC32BA"/>
    <w:rsid w:val="00DC34EF"/>
    <w:rsid w:val="00DC3DC9"/>
    <w:rsid w:val="00DC42AC"/>
    <w:rsid w:val="00DC4709"/>
    <w:rsid w:val="00DC486A"/>
    <w:rsid w:val="00DC4899"/>
    <w:rsid w:val="00DC48FF"/>
    <w:rsid w:val="00DC5B44"/>
    <w:rsid w:val="00DC5FD8"/>
    <w:rsid w:val="00DC6A9C"/>
    <w:rsid w:val="00DC7565"/>
    <w:rsid w:val="00DC7D73"/>
    <w:rsid w:val="00DD02E6"/>
    <w:rsid w:val="00DD02F4"/>
    <w:rsid w:val="00DD0B60"/>
    <w:rsid w:val="00DD0C1D"/>
    <w:rsid w:val="00DD220A"/>
    <w:rsid w:val="00DD242D"/>
    <w:rsid w:val="00DD28C2"/>
    <w:rsid w:val="00DD2B49"/>
    <w:rsid w:val="00DD33A6"/>
    <w:rsid w:val="00DD45BA"/>
    <w:rsid w:val="00DD5729"/>
    <w:rsid w:val="00DD6452"/>
    <w:rsid w:val="00DD6537"/>
    <w:rsid w:val="00DD6667"/>
    <w:rsid w:val="00DD691C"/>
    <w:rsid w:val="00DD74A2"/>
    <w:rsid w:val="00DE0727"/>
    <w:rsid w:val="00DE0F69"/>
    <w:rsid w:val="00DE1342"/>
    <w:rsid w:val="00DE1773"/>
    <w:rsid w:val="00DE1FFF"/>
    <w:rsid w:val="00DE370C"/>
    <w:rsid w:val="00DE383B"/>
    <w:rsid w:val="00DE3F7E"/>
    <w:rsid w:val="00DE4751"/>
    <w:rsid w:val="00DE49BE"/>
    <w:rsid w:val="00DE4ACC"/>
    <w:rsid w:val="00DE4C25"/>
    <w:rsid w:val="00DE538D"/>
    <w:rsid w:val="00DE6576"/>
    <w:rsid w:val="00DE65AC"/>
    <w:rsid w:val="00DE7BA8"/>
    <w:rsid w:val="00DE7D8E"/>
    <w:rsid w:val="00DF09A1"/>
    <w:rsid w:val="00DF1890"/>
    <w:rsid w:val="00DF2721"/>
    <w:rsid w:val="00DF44ED"/>
    <w:rsid w:val="00DF4614"/>
    <w:rsid w:val="00DF4CD0"/>
    <w:rsid w:val="00DF6D10"/>
    <w:rsid w:val="00DF7452"/>
    <w:rsid w:val="00DF7B25"/>
    <w:rsid w:val="00E00B67"/>
    <w:rsid w:val="00E00FD0"/>
    <w:rsid w:val="00E01717"/>
    <w:rsid w:val="00E01C18"/>
    <w:rsid w:val="00E02900"/>
    <w:rsid w:val="00E02E7A"/>
    <w:rsid w:val="00E04C9A"/>
    <w:rsid w:val="00E05968"/>
    <w:rsid w:val="00E05C6E"/>
    <w:rsid w:val="00E05FC4"/>
    <w:rsid w:val="00E069B5"/>
    <w:rsid w:val="00E06B55"/>
    <w:rsid w:val="00E07195"/>
    <w:rsid w:val="00E0796A"/>
    <w:rsid w:val="00E1019A"/>
    <w:rsid w:val="00E11555"/>
    <w:rsid w:val="00E11C8A"/>
    <w:rsid w:val="00E135A1"/>
    <w:rsid w:val="00E1472C"/>
    <w:rsid w:val="00E1496E"/>
    <w:rsid w:val="00E1540E"/>
    <w:rsid w:val="00E1675E"/>
    <w:rsid w:val="00E16B90"/>
    <w:rsid w:val="00E16EF1"/>
    <w:rsid w:val="00E174A8"/>
    <w:rsid w:val="00E177A0"/>
    <w:rsid w:val="00E17ED5"/>
    <w:rsid w:val="00E17F63"/>
    <w:rsid w:val="00E17FF3"/>
    <w:rsid w:val="00E20375"/>
    <w:rsid w:val="00E21427"/>
    <w:rsid w:val="00E214B4"/>
    <w:rsid w:val="00E21622"/>
    <w:rsid w:val="00E2169D"/>
    <w:rsid w:val="00E21B3D"/>
    <w:rsid w:val="00E2217B"/>
    <w:rsid w:val="00E221FD"/>
    <w:rsid w:val="00E235CC"/>
    <w:rsid w:val="00E24C4B"/>
    <w:rsid w:val="00E25C80"/>
    <w:rsid w:val="00E25EFE"/>
    <w:rsid w:val="00E26C7D"/>
    <w:rsid w:val="00E26F07"/>
    <w:rsid w:val="00E279AA"/>
    <w:rsid w:val="00E3246E"/>
    <w:rsid w:val="00E355F3"/>
    <w:rsid w:val="00E3690C"/>
    <w:rsid w:val="00E36B94"/>
    <w:rsid w:val="00E40842"/>
    <w:rsid w:val="00E41A5D"/>
    <w:rsid w:val="00E42386"/>
    <w:rsid w:val="00E43055"/>
    <w:rsid w:val="00E437E7"/>
    <w:rsid w:val="00E43C06"/>
    <w:rsid w:val="00E43ECB"/>
    <w:rsid w:val="00E449B1"/>
    <w:rsid w:val="00E45F57"/>
    <w:rsid w:val="00E463BE"/>
    <w:rsid w:val="00E47B31"/>
    <w:rsid w:val="00E501F7"/>
    <w:rsid w:val="00E50574"/>
    <w:rsid w:val="00E5082D"/>
    <w:rsid w:val="00E50DBC"/>
    <w:rsid w:val="00E51D4C"/>
    <w:rsid w:val="00E53C51"/>
    <w:rsid w:val="00E5433D"/>
    <w:rsid w:val="00E54895"/>
    <w:rsid w:val="00E54EEA"/>
    <w:rsid w:val="00E550B4"/>
    <w:rsid w:val="00E552D7"/>
    <w:rsid w:val="00E55706"/>
    <w:rsid w:val="00E56730"/>
    <w:rsid w:val="00E5688C"/>
    <w:rsid w:val="00E574A9"/>
    <w:rsid w:val="00E57595"/>
    <w:rsid w:val="00E57C67"/>
    <w:rsid w:val="00E6032A"/>
    <w:rsid w:val="00E60D98"/>
    <w:rsid w:val="00E61355"/>
    <w:rsid w:val="00E613BC"/>
    <w:rsid w:val="00E61D8D"/>
    <w:rsid w:val="00E61F1E"/>
    <w:rsid w:val="00E622F6"/>
    <w:rsid w:val="00E65915"/>
    <w:rsid w:val="00E660E1"/>
    <w:rsid w:val="00E66861"/>
    <w:rsid w:val="00E66E21"/>
    <w:rsid w:val="00E67063"/>
    <w:rsid w:val="00E702C3"/>
    <w:rsid w:val="00E7030E"/>
    <w:rsid w:val="00E70F38"/>
    <w:rsid w:val="00E710FC"/>
    <w:rsid w:val="00E71915"/>
    <w:rsid w:val="00E71C49"/>
    <w:rsid w:val="00E7239E"/>
    <w:rsid w:val="00E724B7"/>
    <w:rsid w:val="00E7256D"/>
    <w:rsid w:val="00E7297C"/>
    <w:rsid w:val="00E74400"/>
    <w:rsid w:val="00E75962"/>
    <w:rsid w:val="00E75F0E"/>
    <w:rsid w:val="00E76C71"/>
    <w:rsid w:val="00E76CEF"/>
    <w:rsid w:val="00E770B8"/>
    <w:rsid w:val="00E7735E"/>
    <w:rsid w:val="00E778B5"/>
    <w:rsid w:val="00E77D4E"/>
    <w:rsid w:val="00E80916"/>
    <w:rsid w:val="00E80B7A"/>
    <w:rsid w:val="00E81053"/>
    <w:rsid w:val="00E810F4"/>
    <w:rsid w:val="00E8133C"/>
    <w:rsid w:val="00E81476"/>
    <w:rsid w:val="00E81B15"/>
    <w:rsid w:val="00E829BE"/>
    <w:rsid w:val="00E840DF"/>
    <w:rsid w:val="00E84B82"/>
    <w:rsid w:val="00E84D00"/>
    <w:rsid w:val="00E8560F"/>
    <w:rsid w:val="00E8577B"/>
    <w:rsid w:val="00E8593A"/>
    <w:rsid w:val="00E864A4"/>
    <w:rsid w:val="00E8780A"/>
    <w:rsid w:val="00E87D8F"/>
    <w:rsid w:val="00E90529"/>
    <w:rsid w:val="00E90D32"/>
    <w:rsid w:val="00E9154B"/>
    <w:rsid w:val="00E91875"/>
    <w:rsid w:val="00E920FB"/>
    <w:rsid w:val="00E92D15"/>
    <w:rsid w:val="00E94B91"/>
    <w:rsid w:val="00E94F09"/>
    <w:rsid w:val="00E95282"/>
    <w:rsid w:val="00E9549D"/>
    <w:rsid w:val="00E957FC"/>
    <w:rsid w:val="00E96123"/>
    <w:rsid w:val="00EA0289"/>
    <w:rsid w:val="00EA166C"/>
    <w:rsid w:val="00EA24B1"/>
    <w:rsid w:val="00EA4476"/>
    <w:rsid w:val="00EA60DE"/>
    <w:rsid w:val="00EA7859"/>
    <w:rsid w:val="00EB11D1"/>
    <w:rsid w:val="00EB181B"/>
    <w:rsid w:val="00EB1958"/>
    <w:rsid w:val="00EB1CA4"/>
    <w:rsid w:val="00EB2144"/>
    <w:rsid w:val="00EB2DEA"/>
    <w:rsid w:val="00EB3FEB"/>
    <w:rsid w:val="00EB4388"/>
    <w:rsid w:val="00EB44E2"/>
    <w:rsid w:val="00EB492D"/>
    <w:rsid w:val="00EB4ADE"/>
    <w:rsid w:val="00EB4C9C"/>
    <w:rsid w:val="00EB5158"/>
    <w:rsid w:val="00EB53BD"/>
    <w:rsid w:val="00EB65FC"/>
    <w:rsid w:val="00EB6E38"/>
    <w:rsid w:val="00EB779A"/>
    <w:rsid w:val="00EB7944"/>
    <w:rsid w:val="00EB7A0F"/>
    <w:rsid w:val="00EC016A"/>
    <w:rsid w:val="00EC058E"/>
    <w:rsid w:val="00EC0ACA"/>
    <w:rsid w:val="00EC153A"/>
    <w:rsid w:val="00EC188D"/>
    <w:rsid w:val="00EC2A33"/>
    <w:rsid w:val="00EC31E6"/>
    <w:rsid w:val="00EC341C"/>
    <w:rsid w:val="00EC37C2"/>
    <w:rsid w:val="00EC41B4"/>
    <w:rsid w:val="00EC4C5C"/>
    <w:rsid w:val="00EC6015"/>
    <w:rsid w:val="00EC6CB5"/>
    <w:rsid w:val="00EC7137"/>
    <w:rsid w:val="00ED0F2E"/>
    <w:rsid w:val="00ED1657"/>
    <w:rsid w:val="00ED26EC"/>
    <w:rsid w:val="00ED28FF"/>
    <w:rsid w:val="00ED34C9"/>
    <w:rsid w:val="00ED44D2"/>
    <w:rsid w:val="00ED4CA5"/>
    <w:rsid w:val="00ED5637"/>
    <w:rsid w:val="00ED5860"/>
    <w:rsid w:val="00ED6618"/>
    <w:rsid w:val="00ED6BDC"/>
    <w:rsid w:val="00EE0A5C"/>
    <w:rsid w:val="00EE0E43"/>
    <w:rsid w:val="00EE130B"/>
    <w:rsid w:val="00EE2387"/>
    <w:rsid w:val="00EE460B"/>
    <w:rsid w:val="00EE656A"/>
    <w:rsid w:val="00EE71C9"/>
    <w:rsid w:val="00EE7672"/>
    <w:rsid w:val="00EF037E"/>
    <w:rsid w:val="00EF0896"/>
    <w:rsid w:val="00EF13B4"/>
    <w:rsid w:val="00EF1934"/>
    <w:rsid w:val="00EF26C4"/>
    <w:rsid w:val="00EF2C00"/>
    <w:rsid w:val="00EF2CA3"/>
    <w:rsid w:val="00EF2F2E"/>
    <w:rsid w:val="00EF3089"/>
    <w:rsid w:val="00EF352D"/>
    <w:rsid w:val="00EF4AEE"/>
    <w:rsid w:val="00EF6265"/>
    <w:rsid w:val="00EF6E41"/>
    <w:rsid w:val="00EF7EF2"/>
    <w:rsid w:val="00F019AD"/>
    <w:rsid w:val="00F01B1B"/>
    <w:rsid w:val="00F01F85"/>
    <w:rsid w:val="00F0208A"/>
    <w:rsid w:val="00F0210E"/>
    <w:rsid w:val="00F03944"/>
    <w:rsid w:val="00F03F3B"/>
    <w:rsid w:val="00F04332"/>
    <w:rsid w:val="00F04853"/>
    <w:rsid w:val="00F04FAC"/>
    <w:rsid w:val="00F07244"/>
    <w:rsid w:val="00F07468"/>
    <w:rsid w:val="00F07A58"/>
    <w:rsid w:val="00F100E9"/>
    <w:rsid w:val="00F11DDC"/>
    <w:rsid w:val="00F11F0C"/>
    <w:rsid w:val="00F1302B"/>
    <w:rsid w:val="00F13F76"/>
    <w:rsid w:val="00F14F2E"/>
    <w:rsid w:val="00F157C6"/>
    <w:rsid w:val="00F15E5C"/>
    <w:rsid w:val="00F15E79"/>
    <w:rsid w:val="00F16414"/>
    <w:rsid w:val="00F16F0C"/>
    <w:rsid w:val="00F17744"/>
    <w:rsid w:val="00F2042A"/>
    <w:rsid w:val="00F2043E"/>
    <w:rsid w:val="00F2176B"/>
    <w:rsid w:val="00F21972"/>
    <w:rsid w:val="00F21BA8"/>
    <w:rsid w:val="00F22A60"/>
    <w:rsid w:val="00F22D82"/>
    <w:rsid w:val="00F23A8E"/>
    <w:rsid w:val="00F24EAD"/>
    <w:rsid w:val="00F2589F"/>
    <w:rsid w:val="00F25F5E"/>
    <w:rsid w:val="00F26B52"/>
    <w:rsid w:val="00F26D40"/>
    <w:rsid w:val="00F27D9B"/>
    <w:rsid w:val="00F30D38"/>
    <w:rsid w:val="00F32628"/>
    <w:rsid w:val="00F335CF"/>
    <w:rsid w:val="00F340B6"/>
    <w:rsid w:val="00F345C6"/>
    <w:rsid w:val="00F35253"/>
    <w:rsid w:val="00F35528"/>
    <w:rsid w:val="00F3557D"/>
    <w:rsid w:val="00F35B0E"/>
    <w:rsid w:val="00F35B91"/>
    <w:rsid w:val="00F35E02"/>
    <w:rsid w:val="00F35F40"/>
    <w:rsid w:val="00F361B7"/>
    <w:rsid w:val="00F36B4C"/>
    <w:rsid w:val="00F37C2F"/>
    <w:rsid w:val="00F40BAE"/>
    <w:rsid w:val="00F40BFC"/>
    <w:rsid w:val="00F419FB"/>
    <w:rsid w:val="00F41B8B"/>
    <w:rsid w:val="00F43C13"/>
    <w:rsid w:val="00F43FF9"/>
    <w:rsid w:val="00F440D7"/>
    <w:rsid w:val="00F4427B"/>
    <w:rsid w:val="00F44776"/>
    <w:rsid w:val="00F44E82"/>
    <w:rsid w:val="00F456DC"/>
    <w:rsid w:val="00F45E50"/>
    <w:rsid w:val="00F47981"/>
    <w:rsid w:val="00F502AF"/>
    <w:rsid w:val="00F509F4"/>
    <w:rsid w:val="00F511D3"/>
    <w:rsid w:val="00F52F93"/>
    <w:rsid w:val="00F531ED"/>
    <w:rsid w:val="00F54608"/>
    <w:rsid w:val="00F551DC"/>
    <w:rsid w:val="00F552F2"/>
    <w:rsid w:val="00F55881"/>
    <w:rsid w:val="00F55E52"/>
    <w:rsid w:val="00F56A19"/>
    <w:rsid w:val="00F56AF8"/>
    <w:rsid w:val="00F57DA7"/>
    <w:rsid w:val="00F57EF0"/>
    <w:rsid w:val="00F60193"/>
    <w:rsid w:val="00F6056E"/>
    <w:rsid w:val="00F60C6A"/>
    <w:rsid w:val="00F60FD8"/>
    <w:rsid w:val="00F62545"/>
    <w:rsid w:val="00F627E2"/>
    <w:rsid w:val="00F62EBD"/>
    <w:rsid w:val="00F63274"/>
    <w:rsid w:val="00F6469F"/>
    <w:rsid w:val="00F649D4"/>
    <w:rsid w:val="00F64C91"/>
    <w:rsid w:val="00F65676"/>
    <w:rsid w:val="00F66363"/>
    <w:rsid w:val="00F66DFC"/>
    <w:rsid w:val="00F70139"/>
    <w:rsid w:val="00F7140A"/>
    <w:rsid w:val="00F71520"/>
    <w:rsid w:val="00F7304D"/>
    <w:rsid w:val="00F7590F"/>
    <w:rsid w:val="00F75FE2"/>
    <w:rsid w:val="00F772CC"/>
    <w:rsid w:val="00F806E3"/>
    <w:rsid w:val="00F8174D"/>
    <w:rsid w:val="00F818A2"/>
    <w:rsid w:val="00F82FDD"/>
    <w:rsid w:val="00F84EFF"/>
    <w:rsid w:val="00F85168"/>
    <w:rsid w:val="00F8528B"/>
    <w:rsid w:val="00F8569E"/>
    <w:rsid w:val="00F85A14"/>
    <w:rsid w:val="00F87EEF"/>
    <w:rsid w:val="00F90EB0"/>
    <w:rsid w:val="00F91390"/>
    <w:rsid w:val="00F913C6"/>
    <w:rsid w:val="00F926E7"/>
    <w:rsid w:val="00F936C9"/>
    <w:rsid w:val="00F94864"/>
    <w:rsid w:val="00F949F2"/>
    <w:rsid w:val="00F95BDD"/>
    <w:rsid w:val="00F968CE"/>
    <w:rsid w:val="00F97409"/>
    <w:rsid w:val="00F97567"/>
    <w:rsid w:val="00FA02EE"/>
    <w:rsid w:val="00FA0AF4"/>
    <w:rsid w:val="00FA0D9D"/>
    <w:rsid w:val="00FA1060"/>
    <w:rsid w:val="00FA1311"/>
    <w:rsid w:val="00FA1441"/>
    <w:rsid w:val="00FA1609"/>
    <w:rsid w:val="00FA2E38"/>
    <w:rsid w:val="00FA339C"/>
    <w:rsid w:val="00FA33A6"/>
    <w:rsid w:val="00FA41E0"/>
    <w:rsid w:val="00FA44C9"/>
    <w:rsid w:val="00FA5DD8"/>
    <w:rsid w:val="00FA6230"/>
    <w:rsid w:val="00FA6953"/>
    <w:rsid w:val="00FA7B80"/>
    <w:rsid w:val="00FB0B18"/>
    <w:rsid w:val="00FB18E0"/>
    <w:rsid w:val="00FB2579"/>
    <w:rsid w:val="00FB28A6"/>
    <w:rsid w:val="00FB2AC4"/>
    <w:rsid w:val="00FB2ACA"/>
    <w:rsid w:val="00FB30A3"/>
    <w:rsid w:val="00FB3F62"/>
    <w:rsid w:val="00FB460F"/>
    <w:rsid w:val="00FB52A8"/>
    <w:rsid w:val="00FB55CA"/>
    <w:rsid w:val="00FB5670"/>
    <w:rsid w:val="00FB5752"/>
    <w:rsid w:val="00FB597B"/>
    <w:rsid w:val="00FB5EC4"/>
    <w:rsid w:val="00FB673E"/>
    <w:rsid w:val="00FB6BC3"/>
    <w:rsid w:val="00FB753B"/>
    <w:rsid w:val="00FB7D01"/>
    <w:rsid w:val="00FC0399"/>
    <w:rsid w:val="00FC0EB4"/>
    <w:rsid w:val="00FC238D"/>
    <w:rsid w:val="00FC30C1"/>
    <w:rsid w:val="00FC377B"/>
    <w:rsid w:val="00FC3C07"/>
    <w:rsid w:val="00FC3D57"/>
    <w:rsid w:val="00FC3EB4"/>
    <w:rsid w:val="00FC3F99"/>
    <w:rsid w:val="00FC51B8"/>
    <w:rsid w:val="00FC51FF"/>
    <w:rsid w:val="00FC5F6F"/>
    <w:rsid w:val="00FC5FD1"/>
    <w:rsid w:val="00FC6635"/>
    <w:rsid w:val="00FC6C2D"/>
    <w:rsid w:val="00FC6EFF"/>
    <w:rsid w:val="00FC736E"/>
    <w:rsid w:val="00FD07CD"/>
    <w:rsid w:val="00FD0B85"/>
    <w:rsid w:val="00FD16AB"/>
    <w:rsid w:val="00FD1D75"/>
    <w:rsid w:val="00FD28FD"/>
    <w:rsid w:val="00FD2E3A"/>
    <w:rsid w:val="00FD3454"/>
    <w:rsid w:val="00FD38DC"/>
    <w:rsid w:val="00FD436F"/>
    <w:rsid w:val="00FD6457"/>
    <w:rsid w:val="00FD6679"/>
    <w:rsid w:val="00FD6847"/>
    <w:rsid w:val="00FD755E"/>
    <w:rsid w:val="00FD7CD3"/>
    <w:rsid w:val="00FE1FA9"/>
    <w:rsid w:val="00FE2256"/>
    <w:rsid w:val="00FE3B8A"/>
    <w:rsid w:val="00FE44C5"/>
    <w:rsid w:val="00FE4859"/>
    <w:rsid w:val="00FF047A"/>
    <w:rsid w:val="00FF0BA6"/>
    <w:rsid w:val="00FF0BF1"/>
    <w:rsid w:val="00FF0CDE"/>
    <w:rsid w:val="00FF1021"/>
    <w:rsid w:val="00FF141F"/>
    <w:rsid w:val="00FF2909"/>
    <w:rsid w:val="00FF2C98"/>
    <w:rsid w:val="00FF30E7"/>
    <w:rsid w:val="00FF406D"/>
    <w:rsid w:val="00FF5ADD"/>
    <w:rsid w:val="00FF5C02"/>
    <w:rsid w:val="00FF5CE3"/>
    <w:rsid w:val="00FF6A58"/>
    <w:rsid w:val="00FF6D62"/>
    <w:rsid w:val="00FF6FBB"/>
    <w:rsid w:val="00FF710E"/>
    <w:rsid w:val="00FF71AE"/>
    <w:rsid w:val="00FF7719"/>
    <w:rsid w:val="00FF7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9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51498A"/>
    <w:rPr>
      <w:b/>
      <w:sz w:val="24"/>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5E2E2F"/>
    <w:rPr>
      <w:sz w:val="16"/>
      <w:szCs w:val="16"/>
    </w:rPr>
  </w:style>
  <w:style w:type="paragraph" w:styleId="CommentText">
    <w:name w:val="annotation text"/>
    <w:basedOn w:val="Normal"/>
    <w:link w:val="CommentTextChar"/>
    <w:uiPriority w:val="99"/>
    <w:unhideWhenUsed/>
    <w:locked/>
    <w:rsid w:val="005E2E2F"/>
    <w:pPr>
      <w:spacing w:line="240" w:lineRule="auto"/>
    </w:pPr>
    <w:rPr>
      <w:sz w:val="20"/>
      <w:szCs w:val="20"/>
    </w:rPr>
  </w:style>
  <w:style w:type="character" w:customStyle="1" w:styleId="CommentTextChar">
    <w:name w:val="Comment Text Char"/>
    <w:basedOn w:val="DefaultParagraphFont"/>
    <w:link w:val="CommentText"/>
    <w:uiPriority w:val="99"/>
    <w:rsid w:val="005E2E2F"/>
    <w:rPr>
      <w:sz w:val="20"/>
      <w:szCs w:val="20"/>
    </w:rPr>
  </w:style>
  <w:style w:type="paragraph" w:styleId="CommentSubject">
    <w:name w:val="annotation subject"/>
    <w:basedOn w:val="CommentText"/>
    <w:next w:val="CommentText"/>
    <w:link w:val="CommentSubjectChar"/>
    <w:uiPriority w:val="99"/>
    <w:semiHidden/>
    <w:unhideWhenUsed/>
    <w:locked/>
    <w:rsid w:val="005E2E2F"/>
    <w:rPr>
      <w:b/>
      <w:bCs/>
    </w:rPr>
  </w:style>
  <w:style w:type="character" w:customStyle="1" w:styleId="CommentSubjectChar">
    <w:name w:val="Comment Subject Char"/>
    <w:basedOn w:val="CommentTextChar"/>
    <w:link w:val="CommentSubject"/>
    <w:uiPriority w:val="99"/>
    <w:semiHidden/>
    <w:rsid w:val="005E2E2F"/>
    <w:rPr>
      <w:b/>
      <w:bCs/>
      <w:sz w:val="20"/>
      <w:szCs w:val="20"/>
    </w:rPr>
  </w:style>
  <w:style w:type="paragraph" w:styleId="Revision">
    <w:name w:val="Revision"/>
    <w:hidden/>
    <w:uiPriority w:val="99"/>
    <w:semiHidden/>
    <w:rsid w:val="00D670F6"/>
  </w:style>
  <w:style w:type="paragraph" w:customStyle="1" w:styleId="Default">
    <w:name w:val="Default"/>
    <w:rsid w:val="004500D9"/>
    <w:pPr>
      <w:autoSpaceDE w:val="0"/>
      <w:autoSpaceDN w:val="0"/>
      <w:adjustRightInd w:val="0"/>
    </w:pPr>
    <w:rPr>
      <w:rFonts w:ascii="Times New Roman" w:hAnsi="Times New Roman"/>
      <w:color w:val="000000"/>
      <w:sz w:val="24"/>
      <w:szCs w:val="24"/>
    </w:rPr>
  </w:style>
  <w:style w:type="character" w:customStyle="1" w:styleId="FootnoteTextChar">
    <w:name w:val="Footnote Text Char"/>
    <w:basedOn w:val="DefaultParagraphFont"/>
    <w:link w:val="FootnoteText"/>
    <w:uiPriority w:val="53"/>
    <w:rsid w:val="009F562D"/>
  </w:style>
  <w:style w:type="character" w:customStyle="1" w:styleId="cosearchterm">
    <w:name w:val="co_searchterm"/>
    <w:basedOn w:val="DefaultParagraphFont"/>
    <w:rsid w:val="0019155E"/>
  </w:style>
  <w:style w:type="paragraph" w:customStyle="1" w:styleId="Body">
    <w:name w:val="Body"/>
    <w:basedOn w:val="Normal"/>
    <w:qFormat/>
    <w:rsid w:val="003D102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D102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D102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D102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D102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D102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E713-C49D-48C2-92E2-B18EF4351885}">
  <ds:schemaRefs>
    <ds:schemaRef ds:uri="http://schemas.microsoft.com/sharepoint/v3/contenttype/forms"/>
  </ds:schemaRefs>
</ds:datastoreItem>
</file>

<file path=customXml/itemProps2.xml><?xml version="1.0" encoding="utf-8"?>
<ds:datastoreItem xmlns:ds="http://schemas.openxmlformats.org/officeDocument/2006/customXml" ds:itemID="{CDBC8B74-8873-40D7-8992-1A42CE616D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B7BD35-B4B7-49EF-A7F7-63FA652D6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903BD-F406-40C8-A05A-2F337E52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77</Pages>
  <Words>20688</Words>
  <Characters>117928</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2021-09-06T01:09:00Z</dcterms:created>
  <dcterms:modified xsi:type="dcterms:W3CDTF">2021-09-07T23:46:00Z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EDELMAN J 05</vt:lpwstr>
  </property>
  <property fmtid="{D5CDD505-2E9C-101B-9397-08002B2CF9AE}" pid="3" name="Judge03">
    <vt:lpwstr>KEANE J 03</vt:lpwstr>
  </property>
  <property fmtid="{D5CDD505-2E9C-101B-9397-08002B2CF9AE}" pid="4" name="ContentTypeId">
    <vt:lpwstr>0x0101001F32D2EC4F8DE44A8C0C478B82839881</vt:lpwstr>
  </property>
  <property fmtid="{D5CDD505-2E9C-101B-9397-08002B2CF9AE}" pid="5" name="Judge06">
    <vt:lpwstr>STEWARD J 06</vt:lpwstr>
  </property>
  <property fmtid="{D5CDD505-2E9C-101B-9397-08002B2CF9AE}" pid="6" name="Judge01">
    <vt:lpwstr>KIEFEL CJ 01</vt:lpwstr>
  </property>
  <property fmtid="{D5CDD505-2E9C-101B-9397-08002B2CF9AE}" pid="7" name="Judge04">
    <vt:lpwstr>GORDON J 04</vt:lpwstr>
  </property>
  <property fmtid="{D5CDD505-2E9C-101B-9397-08002B2CF9AE}" pid="8" name="Judge07">
    <vt:lpwstr>GLEESON J 07</vt:lpwstr>
  </property>
  <property fmtid="{D5CDD505-2E9C-101B-9397-08002B2CF9AE}" pid="9" name="Judge02">
    <vt:lpwstr>GAGELER J 02</vt:lpwstr>
  </property>
</Properties>
</file>