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19079" w14:textId="77777777" w:rsidR="00D7222E" w:rsidRPr="00704FF8" w:rsidRDefault="00D7222E" w:rsidP="00704FF8">
      <w:pPr>
        <w:pStyle w:val="OrdersTopLine"/>
      </w:pPr>
      <w:r w:rsidRPr="00704FF8">
        <w:t>HIGH COURT OF AUSTRALIA</w:t>
      </w:r>
    </w:p>
    <w:p w14:paraId="66007275" w14:textId="77777777" w:rsidR="00D7222E" w:rsidRPr="00704FF8" w:rsidRDefault="00D7222E" w:rsidP="00704FF8">
      <w:pPr>
        <w:pStyle w:val="OrderCentre"/>
      </w:pPr>
    </w:p>
    <w:p w14:paraId="3A33E020" w14:textId="77777777" w:rsidR="00D7222E" w:rsidRPr="00704FF8" w:rsidRDefault="00D7222E" w:rsidP="00704FF8">
      <w:pPr>
        <w:pStyle w:val="OrderCentre"/>
      </w:pPr>
      <w:r w:rsidRPr="00704FF8">
        <w:t>KIEFEL CJ</w:t>
      </w:r>
      <w:r>
        <w:t>,</w:t>
      </w:r>
    </w:p>
    <w:p w14:paraId="7329FB7F" w14:textId="77777777" w:rsidR="00D7222E" w:rsidRPr="00704FF8" w:rsidRDefault="00D7222E" w:rsidP="00704FF8">
      <w:pPr>
        <w:pStyle w:val="OrderCentre"/>
      </w:pPr>
      <w:r w:rsidRPr="00704FF8">
        <w:t>BELL, GAGELER, KEANE</w:t>
      </w:r>
      <w:r>
        <w:t xml:space="preserve"> </w:t>
      </w:r>
      <w:r w:rsidRPr="00704FF8">
        <w:t>AND GORDON JJ</w:t>
      </w:r>
    </w:p>
    <w:p w14:paraId="2CA2291B" w14:textId="77777777" w:rsidR="00D7222E" w:rsidRPr="00427F3A" w:rsidRDefault="00D7222E" w:rsidP="00EE5374">
      <w:pPr>
        <w:pStyle w:val="Centre"/>
        <w:rPr>
          <w:lang w:val="en-AU"/>
        </w:rPr>
      </w:pPr>
    </w:p>
    <w:p w14:paraId="640FAEEC" w14:textId="77777777" w:rsidR="00D7222E" w:rsidRPr="00704FF8" w:rsidRDefault="00D7222E" w:rsidP="00704FF8">
      <w:pPr>
        <w:pStyle w:val="OrdersCenteredBorder"/>
      </w:pPr>
    </w:p>
    <w:p w14:paraId="48B683D4" w14:textId="77777777" w:rsidR="00D7222E" w:rsidRPr="00704FF8" w:rsidRDefault="00D7222E" w:rsidP="0032341F">
      <w:pPr>
        <w:pStyle w:val="OrdersBodyHeading"/>
      </w:pPr>
    </w:p>
    <w:p w14:paraId="1CEC2BAB" w14:textId="77777777" w:rsidR="00D7222E" w:rsidRDefault="00D7222E" w:rsidP="002D4F5E">
      <w:pPr>
        <w:pStyle w:val="OrdersPartyName"/>
        <w:ind w:right="-1"/>
        <w:jc w:val="left"/>
      </w:pPr>
      <w:r w:rsidRPr="002D4F5E">
        <w:t>WESTPAC SECURITIES ADMINISTRATION LTD</w:t>
      </w:r>
      <w:r>
        <w:t xml:space="preserve"> </w:t>
      </w:r>
    </w:p>
    <w:p w14:paraId="2B53F5D2" w14:textId="77777777" w:rsidR="00D7222E" w:rsidRPr="0032341F" w:rsidRDefault="00D7222E" w:rsidP="002D4F5E">
      <w:pPr>
        <w:pStyle w:val="OrdersPartyName"/>
        <w:ind w:right="-1"/>
        <w:jc w:val="left"/>
      </w:pPr>
      <w:r w:rsidRPr="002D4F5E">
        <w:t>&amp; ANOR</w:t>
      </w:r>
      <w:r w:rsidRPr="0032341F">
        <w:tab/>
        <w:t>APPELLANT</w:t>
      </w:r>
      <w:r>
        <w:t>S</w:t>
      </w:r>
    </w:p>
    <w:p w14:paraId="4F0A43B1" w14:textId="77777777" w:rsidR="00D7222E" w:rsidRPr="0032341F" w:rsidRDefault="00D7222E" w:rsidP="009362E8">
      <w:pPr>
        <w:pStyle w:val="OrdersPartyName"/>
        <w:ind w:right="-1"/>
      </w:pPr>
    </w:p>
    <w:p w14:paraId="57D3C54D" w14:textId="77777777" w:rsidR="00D7222E" w:rsidRPr="0032341F" w:rsidRDefault="00D7222E" w:rsidP="009362E8">
      <w:pPr>
        <w:pStyle w:val="OrdersPartyName"/>
        <w:ind w:right="-1"/>
      </w:pPr>
      <w:r w:rsidRPr="0032341F">
        <w:t>AND</w:t>
      </w:r>
    </w:p>
    <w:p w14:paraId="7244F94E" w14:textId="77777777" w:rsidR="00D7222E" w:rsidRPr="0032341F" w:rsidRDefault="00D7222E" w:rsidP="009362E8">
      <w:pPr>
        <w:pStyle w:val="OrdersPartyName"/>
        <w:ind w:right="-1"/>
      </w:pPr>
    </w:p>
    <w:p w14:paraId="5B1D1979" w14:textId="77777777" w:rsidR="00D7222E" w:rsidRDefault="00D7222E" w:rsidP="002D4F5E">
      <w:pPr>
        <w:pStyle w:val="OrdersPartyName"/>
        <w:ind w:right="-1"/>
        <w:jc w:val="left"/>
      </w:pPr>
      <w:r w:rsidRPr="002D4F5E">
        <w:t xml:space="preserve">AUSTRALIAN SECURITIES AND INVESTMENTS </w:t>
      </w:r>
    </w:p>
    <w:p w14:paraId="066725C8" w14:textId="77777777" w:rsidR="00D7222E" w:rsidRPr="0032341F" w:rsidRDefault="00D7222E" w:rsidP="002D4F5E">
      <w:pPr>
        <w:pStyle w:val="OrdersPartyName"/>
        <w:ind w:right="-1"/>
        <w:jc w:val="left"/>
      </w:pPr>
      <w:r w:rsidRPr="002D4F5E">
        <w:t>COMMISSION</w:t>
      </w:r>
      <w:r w:rsidRPr="0032341F">
        <w:tab/>
        <w:t>RESPONDENT</w:t>
      </w:r>
    </w:p>
    <w:p w14:paraId="3E210F92" w14:textId="77777777" w:rsidR="00D7222E" w:rsidRPr="00427F3A" w:rsidRDefault="00D7222E" w:rsidP="00AF0A5E">
      <w:pPr>
        <w:pStyle w:val="BodyHeading"/>
      </w:pPr>
    </w:p>
    <w:p w14:paraId="155F2A6F" w14:textId="77777777" w:rsidR="00D7222E" w:rsidRPr="00427F3A" w:rsidRDefault="00D7222E" w:rsidP="00BE0A6C">
      <w:pPr>
        <w:pStyle w:val="BodyHeading"/>
      </w:pPr>
    </w:p>
    <w:p w14:paraId="7EEBA85B" w14:textId="77777777" w:rsidR="00D7222E" w:rsidRPr="00427F3A" w:rsidRDefault="00D7222E" w:rsidP="00EE5374">
      <w:pPr>
        <w:pStyle w:val="CentreItalics"/>
      </w:pPr>
      <w:r w:rsidRPr="002D4F5E">
        <w:t>Westpac Securities Administration Ltd v Australian Securities and Investments Commission</w:t>
      </w:r>
    </w:p>
    <w:p w14:paraId="31A6A891" w14:textId="77777777" w:rsidR="00D7222E" w:rsidRPr="00427F3A" w:rsidRDefault="00D7222E" w:rsidP="00E90E4F">
      <w:pPr>
        <w:pStyle w:val="OrdersCentre"/>
      </w:pPr>
      <w:r>
        <w:t>[2021</w:t>
      </w:r>
      <w:r w:rsidRPr="00427F3A">
        <w:t xml:space="preserve">] HCA </w:t>
      </w:r>
      <w:r>
        <w:t>3</w:t>
      </w:r>
    </w:p>
    <w:p w14:paraId="619D7FBE" w14:textId="77777777" w:rsidR="00D7222E" w:rsidRDefault="00D7222E" w:rsidP="00E90E4F">
      <w:pPr>
        <w:pStyle w:val="OrdersCentreItalics"/>
      </w:pPr>
      <w:r>
        <w:t>Date of Hearing:</w:t>
      </w:r>
      <w:r w:rsidRPr="00B16222">
        <w:t xml:space="preserve"> 7 </w:t>
      </w:r>
      <w:r>
        <w:t>&amp;</w:t>
      </w:r>
      <w:r w:rsidRPr="00B16222">
        <w:t xml:space="preserve"> 8 October 2020</w:t>
      </w:r>
    </w:p>
    <w:p w14:paraId="723A7749" w14:textId="77777777" w:rsidR="00D7222E" w:rsidRPr="00427F3A" w:rsidRDefault="00D7222E" w:rsidP="00E90E4F">
      <w:pPr>
        <w:pStyle w:val="OrdersCentreItalics"/>
      </w:pPr>
      <w:r>
        <w:t>Date of Judgment: 3 February 2021</w:t>
      </w:r>
    </w:p>
    <w:p w14:paraId="47FF0E80" w14:textId="77777777" w:rsidR="00D7222E" w:rsidRDefault="00D7222E" w:rsidP="00E90E4F">
      <w:pPr>
        <w:pStyle w:val="OrdersCentre"/>
      </w:pPr>
      <w:r w:rsidRPr="00B16222">
        <w:t>S69/2020</w:t>
      </w:r>
    </w:p>
    <w:p w14:paraId="1EDC1C65" w14:textId="77777777" w:rsidR="00D7222E" w:rsidRPr="00427F3A" w:rsidRDefault="00D7222E" w:rsidP="00E90E4F">
      <w:pPr>
        <w:pStyle w:val="OrdersCentre"/>
      </w:pPr>
    </w:p>
    <w:p w14:paraId="7D3A04A3" w14:textId="77777777" w:rsidR="00D7222E" w:rsidRPr="00BE0A6C" w:rsidRDefault="00D7222E" w:rsidP="00E90E4F">
      <w:pPr>
        <w:pStyle w:val="OrderCentreBold"/>
      </w:pPr>
      <w:r w:rsidRPr="00BE0A6C">
        <w:t>ORDER</w:t>
      </w:r>
    </w:p>
    <w:p w14:paraId="35D0D907" w14:textId="77777777" w:rsidR="00D7222E" w:rsidRPr="00427F3A" w:rsidRDefault="00D7222E" w:rsidP="00736C52">
      <w:pPr>
        <w:pStyle w:val="Centre"/>
        <w:rPr>
          <w:lang w:val="en-AU"/>
        </w:rPr>
      </w:pPr>
    </w:p>
    <w:p w14:paraId="2822A61B" w14:textId="77777777" w:rsidR="00D7222E" w:rsidRPr="00994DE3" w:rsidRDefault="00D7222E" w:rsidP="00B74C89">
      <w:pPr>
        <w:pStyle w:val="OrdersText"/>
        <w:rPr>
          <w:b/>
        </w:rPr>
      </w:pPr>
      <w:r>
        <w:t xml:space="preserve">Appeal dismissed with costs. </w:t>
      </w:r>
    </w:p>
    <w:p w14:paraId="544B1500" w14:textId="77777777" w:rsidR="00D7222E" w:rsidRDefault="00D7222E" w:rsidP="00EE5374">
      <w:pPr>
        <w:pStyle w:val="Body"/>
      </w:pPr>
    </w:p>
    <w:p w14:paraId="5F718DDF" w14:textId="77777777" w:rsidR="00D7222E" w:rsidRPr="00427F3A" w:rsidRDefault="00D7222E" w:rsidP="00EE5374">
      <w:pPr>
        <w:pStyle w:val="Body"/>
      </w:pPr>
    </w:p>
    <w:p w14:paraId="225C7AEE" w14:textId="77777777" w:rsidR="00D7222E" w:rsidRPr="00427F3A" w:rsidRDefault="00D7222E" w:rsidP="0032341F">
      <w:pPr>
        <w:pStyle w:val="OrdersBody"/>
      </w:pPr>
      <w:r w:rsidRPr="00427F3A">
        <w:t>On appeal from the</w:t>
      </w:r>
      <w:r>
        <w:t xml:space="preserve"> </w:t>
      </w:r>
      <w:r w:rsidRPr="00B16222">
        <w:t>Federal Court of Australia</w:t>
      </w:r>
    </w:p>
    <w:p w14:paraId="50E4CAE9" w14:textId="77777777" w:rsidR="00D7222E" w:rsidRDefault="00D7222E" w:rsidP="00EE5374">
      <w:pPr>
        <w:pStyle w:val="Body"/>
      </w:pPr>
    </w:p>
    <w:p w14:paraId="74492D4D" w14:textId="77777777" w:rsidR="00D7222E" w:rsidRPr="00427F3A" w:rsidRDefault="00D7222E" w:rsidP="00EE5374">
      <w:pPr>
        <w:pStyle w:val="Body"/>
      </w:pPr>
    </w:p>
    <w:p w14:paraId="365BC8F3" w14:textId="77777777" w:rsidR="00D7222E" w:rsidRPr="002D4F5E" w:rsidRDefault="00D7222E" w:rsidP="00E90E4F">
      <w:pPr>
        <w:pStyle w:val="OrdersBodyHeading"/>
      </w:pPr>
      <w:r w:rsidRPr="002D4F5E">
        <w:t>Representation</w:t>
      </w:r>
    </w:p>
    <w:p w14:paraId="7A38F45B" w14:textId="77777777" w:rsidR="00D7222E" w:rsidRPr="002D4F5E" w:rsidRDefault="00D7222E" w:rsidP="00EE5374">
      <w:pPr>
        <w:pStyle w:val="Body"/>
      </w:pPr>
    </w:p>
    <w:p w14:paraId="76033E57" w14:textId="77777777" w:rsidR="00D7222E" w:rsidRPr="002D4F5E" w:rsidRDefault="00D7222E" w:rsidP="00E90E4F">
      <w:pPr>
        <w:pStyle w:val="OrdersBody"/>
      </w:pPr>
      <w:r w:rsidRPr="002D4F5E">
        <w:t>R G McHugh SC with J R Williams SC and E R Doyle-</w:t>
      </w:r>
      <w:proofErr w:type="spellStart"/>
      <w:r w:rsidRPr="002D4F5E">
        <w:t>Markwick</w:t>
      </w:r>
      <w:proofErr w:type="spellEnd"/>
      <w:r w:rsidRPr="002D4F5E">
        <w:t xml:space="preserve"> for the appellants (instructed by </w:t>
      </w:r>
      <w:proofErr w:type="spellStart"/>
      <w:r w:rsidRPr="002D4F5E">
        <w:t>Allens</w:t>
      </w:r>
      <w:proofErr w:type="spellEnd"/>
      <w:r w:rsidRPr="002D4F5E">
        <w:t>)</w:t>
      </w:r>
    </w:p>
    <w:p w14:paraId="757B9666" w14:textId="77777777" w:rsidR="00D7222E" w:rsidRPr="002D4F5E" w:rsidRDefault="00D7222E" w:rsidP="001B3C97">
      <w:pPr>
        <w:pStyle w:val="Body"/>
      </w:pPr>
    </w:p>
    <w:p w14:paraId="2145BE91" w14:textId="77777777" w:rsidR="00D7222E" w:rsidRPr="002D4F5E" w:rsidRDefault="00D7222E" w:rsidP="00E90E4F">
      <w:pPr>
        <w:pStyle w:val="OrdersBody"/>
      </w:pPr>
      <w:r w:rsidRPr="002D4F5E">
        <w:t>A J L Bannon SC with J G Renwick</w:t>
      </w:r>
      <w:r w:rsidRPr="00FA1E3F">
        <w:t xml:space="preserve"> </w:t>
      </w:r>
      <w:r w:rsidRPr="002D4F5E">
        <w:t>SC</w:t>
      </w:r>
      <w:r>
        <w:t>,</w:t>
      </w:r>
      <w:r w:rsidRPr="002D4F5E">
        <w:t xml:space="preserve"> T J Kane and M S </w:t>
      </w:r>
      <w:proofErr w:type="spellStart"/>
      <w:r w:rsidRPr="002D4F5E">
        <w:t>Kalyk</w:t>
      </w:r>
      <w:proofErr w:type="spellEnd"/>
      <w:r w:rsidRPr="002D4F5E">
        <w:t xml:space="preserve"> for the respondent (instructed by Australian Securities and Investments Commission)</w:t>
      </w:r>
    </w:p>
    <w:p w14:paraId="0BAC8FBB" w14:textId="77777777" w:rsidR="00D7222E" w:rsidRPr="00427F3A" w:rsidRDefault="00D7222E" w:rsidP="00EE5374">
      <w:pPr>
        <w:pStyle w:val="Body"/>
      </w:pPr>
    </w:p>
    <w:p w14:paraId="76129E3F" w14:textId="77777777" w:rsidR="00D7222E" w:rsidRPr="00427F3A" w:rsidRDefault="00D7222E" w:rsidP="00F9713B">
      <w:pPr>
        <w:pStyle w:val="Notice"/>
        <w:rPr>
          <w:lang w:val="en-AU"/>
        </w:rPr>
      </w:pPr>
      <w:r w:rsidRPr="00427F3A">
        <w:rPr>
          <w:lang w:val="en-AU"/>
        </w:rPr>
        <w:t>Notice:  This copy of the Court's Reasons for Judgment is subject to formal revision prior to publication in the Commonwealth Law Reports.</w:t>
      </w:r>
    </w:p>
    <w:p w14:paraId="7F184673" w14:textId="627FAD32" w:rsidR="00D7222E" w:rsidRDefault="00D722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382F000" w14:textId="77777777" w:rsidR="00D7222E" w:rsidRDefault="00D722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7222E" w:rsidSect="00D7222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68842B15" w14:textId="77777777" w:rsidR="00D7222E" w:rsidRDefault="00D7222E" w:rsidP="001649CA">
      <w:pPr>
        <w:pStyle w:val="CatchwordsBold"/>
      </w:pPr>
      <w:r w:rsidRPr="00B9489E">
        <w:lastRenderedPageBreak/>
        <w:t>CATCHWORDS</w:t>
      </w:r>
    </w:p>
    <w:p w14:paraId="3175BBB1" w14:textId="77777777" w:rsidR="00D7222E" w:rsidRPr="00B9489E" w:rsidRDefault="00D7222E" w:rsidP="001649CA">
      <w:pPr>
        <w:pStyle w:val="CatchwordsBold"/>
      </w:pPr>
    </w:p>
    <w:p w14:paraId="0CAE40D5" w14:textId="77777777" w:rsidR="00D7222E" w:rsidRPr="00B9489E" w:rsidRDefault="00D7222E" w:rsidP="001649CA">
      <w:pPr>
        <w:pStyle w:val="CatchwordsBold"/>
      </w:pPr>
      <w:r>
        <w:t>Westpac Securities Administration Ltd v Australian Securities and Investments Commission</w:t>
      </w:r>
    </w:p>
    <w:p w14:paraId="13F9E274" w14:textId="77777777" w:rsidR="00D7222E" w:rsidRPr="00B9489E" w:rsidRDefault="00D7222E" w:rsidP="00562CAB">
      <w:pPr>
        <w:pStyle w:val="Default"/>
      </w:pPr>
    </w:p>
    <w:p w14:paraId="74714305" w14:textId="77777777" w:rsidR="00D7222E" w:rsidRDefault="00D7222E" w:rsidP="00D7222E">
      <w:pPr>
        <w:pStyle w:val="CatchwordsText"/>
      </w:pPr>
      <w:r>
        <w:t xml:space="preserve">Corporations </w:t>
      </w:r>
      <w:r w:rsidRPr="00B9489E">
        <w:t>–</w:t>
      </w:r>
      <w:r>
        <w:t xml:space="preserve"> Financial services </w:t>
      </w:r>
      <w:r w:rsidRPr="00B9489E">
        <w:t>–</w:t>
      </w:r>
      <w:r>
        <w:t> Where appellants had contacted members of superannuation funds of which they are trustees, advising each to accept offer to roll over their external superannuation accounts into their account with appellants </w:t>
      </w:r>
      <w:r w:rsidRPr="00B9489E">
        <w:t>–</w:t>
      </w:r>
      <w:r>
        <w:t xml:space="preserve"> Where s </w:t>
      </w:r>
      <w:r w:rsidRPr="001F12E2">
        <w:t xml:space="preserve">766B(3)(b) </w:t>
      </w:r>
      <w:r w:rsidRPr="00FC6A34">
        <w:t xml:space="preserve">of </w:t>
      </w:r>
      <w:r w:rsidRPr="00866C94">
        <w:rPr>
          <w:i/>
        </w:rPr>
        <w:t xml:space="preserve">Corporations Act 2001 </w:t>
      </w:r>
      <w:r w:rsidRPr="001F12E2">
        <w:t>(</w:t>
      </w:r>
      <w:r w:rsidRPr="00FC6A34">
        <w:t>Cth)</w:t>
      </w:r>
      <w:r>
        <w:t xml:space="preserve"> </w:t>
      </w:r>
      <w:r w:rsidRPr="001F12E2">
        <w:t xml:space="preserve">defines "personal advice" to include </w:t>
      </w:r>
      <w:r>
        <w:t>"f</w:t>
      </w:r>
      <w:r w:rsidRPr="001F12E2">
        <w:t>inancial product advice</w:t>
      </w:r>
      <w:r>
        <w:t>"</w:t>
      </w:r>
      <w:r w:rsidRPr="001F12E2">
        <w:t xml:space="preserve"> given or directed to person in circumstances where a reasonable person might expect provider to have considered one or more of </w:t>
      </w:r>
      <w:r>
        <w:t xml:space="preserve">that </w:t>
      </w:r>
      <w:r w:rsidRPr="001F12E2">
        <w:t>person's objectives, financial situation and needs</w:t>
      </w:r>
      <w:r>
        <w:t xml:space="preserve"> </w:t>
      </w:r>
      <w:r w:rsidRPr="00B9489E">
        <w:t>–</w:t>
      </w:r>
      <w:r>
        <w:t xml:space="preserve"> W</w:t>
      </w:r>
      <w:r w:rsidRPr="00FC6A34">
        <w:t>hether financial product advice given by appellants</w:t>
      </w:r>
      <w:r>
        <w:t xml:space="preserve"> to members</w:t>
      </w:r>
      <w:r w:rsidRPr="00FC6A34">
        <w:t xml:space="preserve"> personal advice within meaning of s 766B(3)(b)</w:t>
      </w:r>
      <w:r>
        <w:t>.</w:t>
      </w:r>
    </w:p>
    <w:p w14:paraId="38251093" w14:textId="77777777" w:rsidR="00D7222E" w:rsidRDefault="00D7222E" w:rsidP="00D7222E">
      <w:pPr>
        <w:pStyle w:val="CatchwordsText"/>
      </w:pPr>
    </w:p>
    <w:p w14:paraId="00F9B7B0" w14:textId="77777777" w:rsidR="00D7222E" w:rsidRDefault="00D7222E" w:rsidP="00D7222E">
      <w:pPr>
        <w:pStyle w:val="CatchwordsText"/>
      </w:pPr>
      <w:r w:rsidRPr="00B9489E">
        <w:t>Words and phrases –</w:t>
      </w:r>
      <w:r>
        <w:t xml:space="preserve"> "consideration", "considered", "financial adviser", "financial product advice", "general advice", "one or more of the person's objectives, financial situation and needs", "personal advice", "social proofing", "superannuation", "superannuation fund".</w:t>
      </w:r>
    </w:p>
    <w:p w14:paraId="07089E14" w14:textId="77777777" w:rsidR="00D7222E" w:rsidRPr="00B9489E" w:rsidRDefault="00D7222E" w:rsidP="00D7222E">
      <w:pPr>
        <w:pStyle w:val="CatchwordsText"/>
      </w:pPr>
    </w:p>
    <w:p w14:paraId="70A50F26" w14:textId="77777777" w:rsidR="00D7222E" w:rsidRPr="00CC19AB" w:rsidRDefault="00D7222E" w:rsidP="00D7222E">
      <w:pPr>
        <w:pStyle w:val="CatchwordsText"/>
      </w:pPr>
      <w:r>
        <w:rPr>
          <w:i/>
        </w:rPr>
        <w:t xml:space="preserve">Corporations Act 2001 </w:t>
      </w:r>
      <w:r>
        <w:t>(Cth), ss 766B(3), 766B(4), 949A(2)(a).</w:t>
      </w:r>
    </w:p>
    <w:p w14:paraId="07431EC1" w14:textId="77777777" w:rsidR="00D7222E" w:rsidRDefault="00D7222E" w:rsidP="00D7222E">
      <w:pPr>
        <w:pStyle w:val="CatchwordsText"/>
      </w:pPr>
    </w:p>
    <w:p w14:paraId="34FF8A3C" w14:textId="77777777" w:rsidR="00D7222E" w:rsidRDefault="00D7222E" w:rsidP="001649CA">
      <w:pPr>
        <w:pStyle w:val="CatchwordsText"/>
      </w:pPr>
    </w:p>
    <w:p w14:paraId="1922430F" w14:textId="07397D27" w:rsidR="00D7222E" w:rsidRDefault="00D7222E" w:rsidP="00D722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C18B893" w14:textId="5764902A" w:rsidR="00D7222E" w:rsidRDefault="00D722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7FB7C97" w14:textId="15E784D3" w:rsidR="00D7222E" w:rsidRDefault="00D722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6DDF4F91" w14:textId="77777777" w:rsidR="00D7222E" w:rsidRDefault="00D7222E" w:rsidP="00514C1E">
      <w:pPr>
        <w:pStyle w:val="FixListStyle"/>
        <w:tabs>
          <w:tab w:val="clear" w:pos="720"/>
          <w:tab w:val="left" w:pos="0"/>
        </w:tabs>
        <w:spacing w:after="260" w:line="280" w:lineRule="exact"/>
        <w:ind w:right="0"/>
        <w:jc w:val="both"/>
        <w:rPr>
          <w:rFonts w:ascii="Times New Roman" w:hAnsi="Times New Roman"/>
        </w:rPr>
        <w:sectPr w:rsidR="00D7222E" w:rsidSect="00D7222E">
          <w:pgSz w:w="11907" w:h="16839" w:code="9"/>
          <w:pgMar w:top="1440" w:right="1701" w:bottom="1984" w:left="1701" w:header="720" w:footer="720" w:gutter="0"/>
          <w:pgNumType w:start="1"/>
          <w:cols w:space="720"/>
          <w:titlePg/>
          <w:docGrid w:linePitch="354"/>
        </w:sectPr>
      </w:pPr>
    </w:p>
    <w:p w14:paraId="58A743E8" w14:textId="4BAB20DB" w:rsidR="00663D00" w:rsidRPr="00514C1E" w:rsidRDefault="00514C1E" w:rsidP="00514C1E">
      <w:pPr>
        <w:pStyle w:val="FixListStyle"/>
        <w:tabs>
          <w:tab w:val="clear" w:pos="720"/>
          <w:tab w:val="left" w:pos="0"/>
        </w:tabs>
        <w:spacing w:after="260" w:line="280" w:lineRule="exact"/>
        <w:ind w:right="0"/>
        <w:jc w:val="both"/>
        <w:rPr>
          <w:rFonts w:ascii="Times New Roman" w:hAnsi="Times New Roman"/>
        </w:rPr>
      </w:pPr>
      <w:r w:rsidRPr="00514C1E">
        <w:rPr>
          <w:rFonts w:ascii="Times New Roman" w:hAnsi="Times New Roman"/>
        </w:rPr>
        <w:lastRenderedPageBreak/>
        <w:t xml:space="preserve">KIEFEL CJ, BELL, GAGELER AND KEANE JJ.   </w:t>
      </w:r>
      <w:r w:rsidR="00F276C8" w:rsidRPr="00514C1E">
        <w:rPr>
          <w:rFonts w:ascii="Times New Roman" w:hAnsi="Times New Roman"/>
        </w:rPr>
        <w:t>We</w:t>
      </w:r>
      <w:r w:rsidR="00630FCC" w:rsidRPr="00514C1E">
        <w:rPr>
          <w:rFonts w:ascii="Times New Roman" w:hAnsi="Times New Roman"/>
        </w:rPr>
        <w:t xml:space="preserve"> agree with Gordon J</w:t>
      </w:r>
      <w:r w:rsidR="008B4F14" w:rsidRPr="00514C1E">
        <w:rPr>
          <w:rFonts w:ascii="Times New Roman" w:hAnsi="Times New Roman"/>
        </w:rPr>
        <w:t xml:space="preserve"> that the appeal should be dismissed with costs.</w:t>
      </w:r>
      <w:r w:rsidR="00F8534D" w:rsidRPr="00514C1E">
        <w:rPr>
          <w:rFonts w:ascii="Times New Roman" w:hAnsi="Times New Roman"/>
        </w:rPr>
        <w:t xml:space="preserve"> Gratefully </w:t>
      </w:r>
      <w:r w:rsidR="0021439F" w:rsidRPr="00514C1E">
        <w:rPr>
          <w:rFonts w:ascii="Times New Roman" w:hAnsi="Times New Roman"/>
        </w:rPr>
        <w:t>a</w:t>
      </w:r>
      <w:r w:rsidR="002318C4" w:rsidRPr="00514C1E">
        <w:rPr>
          <w:rFonts w:ascii="Times New Roman" w:hAnsi="Times New Roman"/>
        </w:rPr>
        <w:t>ccepting</w:t>
      </w:r>
      <w:r w:rsidR="0021439F" w:rsidRPr="00514C1E">
        <w:rPr>
          <w:rFonts w:ascii="Times New Roman" w:hAnsi="Times New Roman"/>
        </w:rPr>
        <w:t xml:space="preserve"> </w:t>
      </w:r>
      <w:r w:rsidR="00F8534D" w:rsidRPr="00514C1E">
        <w:rPr>
          <w:rFonts w:ascii="Times New Roman" w:hAnsi="Times New Roman"/>
        </w:rPr>
        <w:t xml:space="preserve">her Honour's summary of the </w:t>
      </w:r>
      <w:r w:rsidR="0086083D" w:rsidRPr="00514C1E">
        <w:rPr>
          <w:rFonts w:ascii="Times New Roman" w:hAnsi="Times New Roman"/>
        </w:rPr>
        <w:t xml:space="preserve">facts, </w:t>
      </w:r>
      <w:r w:rsidR="00F8534D" w:rsidRPr="00514C1E">
        <w:rPr>
          <w:rFonts w:ascii="Times New Roman" w:hAnsi="Times New Roman"/>
        </w:rPr>
        <w:t xml:space="preserve">issues and arguments in the case, </w:t>
      </w:r>
      <w:r w:rsidR="00F276C8" w:rsidRPr="00514C1E">
        <w:rPr>
          <w:rFonts w:ascii="Times New Roman" w:hAnsi="Times New Roman"/>
        </w:rPr>
        <w:t>we</w:t>
      </w:r>
      <w:r w:rsidR="00F8534D" w:rsidRPr="00514C1E">
        <w:rPr>
          <w:rFonts w:ascii="Times New Roman" w:hAnsi="Times New Roman"/>
        </w:rPr>
        <w:t xml:space="preserve"> proceed to state </w:t>
      </w:r>
      <w:r w:rsidR="00D3164E" w:rsidRPr="00514C1E">
        <w:rPr>
          <w:rFonts w:ascii="Times New Roman" w:hAnsi="Times New Roman"/>
        </w:rPr>
        <w:t>our</w:t>
      </w:r>
      <w:r w:rsidR="00F8534D" w:rsidRPr="00514C1E">
        <w:rPr>
          <w:rFonts w:ascii="Times New Roman" w:hAnsi="Times New Roman"/>
        </w:rPr>
        <w:t xml:space="preserve"> </w:t>
      </w:r>
      <w:r w:rsidR="0086083D" w:rsidRPr="00514C1E">
        <w:rPr>
          <w:rFonts w:ascii="Times New Roman" w:hAnsi="Times New Roman"/>
        </w:rPr>
        <w:t>reasons for concluding that the appeal should be dismissed</w:t>
      </w:r>
      <w:r w:rsidR="00C62BB0" w:rsidRPr="007B719E">
        <w:rPr>
          <w:rStyle w:val="FootnoteReference"/>
          <w:rFonts w:ascii="Times New Roman" w:hAnsi="Times New Roman"/>
          <w:sz w:val="24"/>
        </w:rPr>
        <w:footnoteReference w:id="2"/>
      </w:r>
      <w:r w:rsidR="0060361A" w:rsidRPr="00514C1E">
        <w:rPr>
          <w:rFonts w:ascii="Times New Roman" w:hAnsi="Times New Roman"/>
        </w:rPr>
        <w:t>.</w:t>
      </w:r>
    </w:p>
    <w:p w14:paraId="20F8252C" w14:textId="487F6A6D" w:rsidR="00206E02" w:rsidRPr="00514C1E" w:rsidRDefault="00206E02" w:rsidP="00514C1E">
      <w:pPr>
        <w:pStyle w:val="FixListStyle"/>
        <w:spacing w:after="260" w:line="280" w:lineRule="exact"/>
        <w:ind w:right="0"/>
        <w:jc w:val="both"/>
        <w:rPr>
          <w:rFonts w:ascii="Times New Roman" w:hAnsi="Times New Roman"/>
        </w:rPr>
      </w:pPr>
      <w:r w:rsidRPr="00514C1E">
        <w:rPr>
          <w:rFonts w:ascii="Times New Roman" w:hAnsi="Times New Roman"/>
        </w:rPr>
        <w:tab/>
        <w:t>Section 766B</w:t>
      </w:r>
      <w:r w:rsidR="005950CE" w:rsidRPr="00514C1E">
        <w:rPr>
          <w:rFonts w:ascii="Times New Roman" w:hAnsi="Times New Roman"/>
        </w:rPr>
        <w:t xml:space="preserve">(3)(b) of the </w:t>
      </w:r>
      <w:r w:rsidR="0060361A" w:rsidRPr="00514C1E">
        <w:rPr>
          <w:rFonts w:ascii="Times New Roman" w:hAnsi="Times New Roman"/>
          <w:i/>
        </w:rPr>
        <w:t xml:space="preserve">Corporations </w:t>
      </w:r>
      <w:r w:rsidR="005950CE" w:rsidRPr="00514C1E">
        <w:rPr>
          <w:rFonts w:ascii="Times New Roman" w:hAnsi="Times New Roman"/>
          <w:i/>
        </w:rPr>
        <w:t xml:space="preserve">Act </w:t>
      </w:r>
      <w:r w:rsidR="0060361A" w:rsidRPr="00514C1E">
        <w:rPr>
          <w:rFonts w:ascii="Times New Roman" w:hAnsi="Times New Roman"/>
          <w:i/>
        </w:rPr>
        <w:t>2001</w:t>
      </w:r>
      <w:r w:rsidR="0060361A" w:rsidRPr="00514C1E">
        <w:rPr>
          <w:rFonts w:ascii="Times New Roman" w:hAnsi="Times New Roman"/>
        </w:rPr>
        <w:t xml:space="preserve"> (Cth) </w:t>
      </w:r>
      <w:r w:rsidR="005950CE" w:rsidRPr="00514C1E">
        <w:rPr>
          <w:rFonts w:ascii="Times New Roman" w:hAnsi="Times New Roman"/>
        </w:rPr>
        <w:t xml:space="preserve">defines "personal advice" </w:t>
      </w:r>
      <w:r w:rsidR="005F7E37" w:rsidRPr="00514C1E">
        <w:rPr>
          <w:rFonts w:ascii="Times New Roman" w:hAnsi="Times New Roman"/>
        </w:rPr>
        <w:t xml:space="preserve">so as to include </w:t>
      </w:r>
      <w:r w:rsidR="005950CE" w:rsidRPr="00514C1E">
        <w:rPr>
          <w:rFonts w:ascii="Times New Roman" w:hAnsi="Times New Roman"/>
        </w:rPr>
        <w:t>"financial product advice" given or directed to a person in circumstances where a reasonable person might expect the provider to have considered one or more of the person's objectives, financial sit</w:t>
      </w:r>
      <w:r w:rsidR="00B85158" w:rsidRPr="00514C1E">
        <w:rPr>
          <w:rFonts w:ascii="Times New Roman" w:hAnsi="Times New Roman"/>
        </w:rPr>
        <w:t>u</w:t>
      </w:r>
      <w:r w:rsidR="005950CE" w:rsidRPr="00514C1E">
        <w:rPr>
          <w:rFonts w:ascii="Times New Roman" w:hAnsi="Times New Roman"/>
        </w:rPr>
        <w:t xml:space="preserve">ation and needs. Section 766B(4) defines "general advice" as financial product </w:t>
      </w:r>
      <w:r w:rsidR="00BC4BAA" w:rsidRPr="00514C1E">
        <w:rPr>
          <w:rFonts w:ascii="Times New Roman" w:hAnsi="Times New Roman"/>
        </w:rPr>
        <w:t xml:space="preserve">advice </w:t>
      </w:r>
      <w:r w:rsidR="005950CE" w:rsidRPr="00514C1E">
        <w:rPr>
          <w:rFonts w:ascii="Times New Roman" w:hAnsi="Times New Roman"/>
        </w:rPr>
        <w:t>that is not person</w:t>
      </w:r>
      <w:r w:rsidR="00BC4BAA" w:rsidRPr="00514C1E">
        <w:rPr>
          <w:rFonts w:ascii="Times New Roman" w:hAnsi="Times New Roman"/>
        </w:rPr>
        <w:t>al</w:t>
      </w:r>
      <w:r w:rsidR="005950CE" w:rsidRPr="00514C1E">
        <w:rPr>
          <w:rFonts w:ascii="Times New Roman" w:hAnsi="Times New Roman"/>
        </w:rPr>
        <w:t xml:space="preserve"> advice</w:t>
      </w:r>
      <w:r w:rsidR="00BC4BAA" w:rsidRPr="00514C1E">
        <w:rPr>
          <w:rFonts w:ascii="Times New Roman" w:hAnsi="Times New Roman"/>
        </w:rPr>
        <w:t>.</w:t>
      </w:r>
      <w:r w:rsidR="00887C71" w:rsidRPr="00514C1E">
        <w:rPr>
          <w:rFonts w:ascii="Times New Roman" w:hAnsi="Times New Roman"/>
        </w:rPr>
        <w:t xml:space="preserve"> The division of the </w:t>
      </w:r>
      <w:r w:rsidR="00E40C6F" w:rsidRPr="00514C1E">
        <w:rPr>
          <w:rFonts w:ascii="Times New Roman" w:hAnsi="Times New Roman"/>
        </w:rPr>
        <w:t xml:space="preserve">universe of financial product advice into "personal advice" and "general advice" serves to </w:t>
      </w:r>
      <w:r w:rsidR="005F7E37" w:rsidRPr="00514C1E">
        <w:rPr>
          <w:rFonts w:ascii="Times New Roman" w:hAnsi="Times New Roman"/>
        </w:rPr>
        <w:t>organise</w:t>
      </w:r>
      <w:r w:rsidR="00E40C6F" w:rsidRPr="00514C1E">
        <w:rPr>
          <w:rFonts w:ascii="Times New Roman" w:hAnsi="Times New Roman"/>
        </w:rPr>
        <w:t xml:space="preserve"> the o</w:t>
      </w:r>
      <w:r w:rsidR="0089749D" w:rsidRPr="00514C1E">
        <w:rPr>
          <w:rFonts w:ascii="Times New Roman" w:hAnsi="Times New Roman"/>
        </w:rPr>
        <w:t>b</w:t>
      </w:r>
      <w:r w:rsidR="00E40C6F" w:rsidRPr="00514C1E">
        <w:rPr>
          <w:rFonts w:ascii="Times New Roman" w:hAnsi="Times New Roman"/>
        </w:rPr>
        <w:t>ligations owed</w:t>
      </w:r>
      <w:r w:rsidR="0089749D" w:rsidRPr="00514C1E">
        <w:rPr>
          <w:rFonts w:ascii="Times New Roman" w:hAnsi="Times New Roman"/>
        </w:rPr>
        <w:t xml:space="preserve"> </w:t>
      </w:r>
      <w:r w:rsidR="00E40C6F" w:rsidRPr="00514C1E">
        <w:rPr>
          <w:rFonts w:ascii="Times New Roman" w:hAnsi="Times New Roman"/>
        </w:rPr>
        <w:t xml:space="preserve">by </w:t>
      </w:r>
      <w:r w:rsidR="007E45DF" w:rsidRPr="00514C1E">
        <w:rPr>
          <w:rFonts w:ascii="Times New Roman" w:hAnsi="Times New Roman"/>
        </w:rPr>
        <w:t>a</w:t>
      </w:r>
      <w:r w:rsidR="00E40C6F" w:rsidRPr="00514C1E">
        <w:rPr>
          <w:rFonts w:ascii="Times New Roman" w:hAnsi="Times New Roman"/>
        </w:rPr>
        <w:t xml:space="preserve"> financial product adviser to </w:t>
      </w:r>
      <w:r w:rsidR="007E45DF" w:rsidRPr="00514C1E">
        <w:rPr>
          <w:rFonts w:ascii="Times New Roman" w:hAnsi="Times New Roman"/>
        </w:rPr>
        <w:t>a</w:t>
      </w:r>
      <w:r w:rsidR="00E40C6F" w:rsidRPr="00514C1E">
        <w:rPr>
          <w:rFonts w:ascii="Times New Roman" w:hAnsi="Times New Roman"/>
        </w:rPr>
        <w:t xml:space="preserve"> retai</w:t>
      </w:r>
      <w:r w:rsidR="00112F39" w:rsidRPr="00514C1E">
        <w:rPr>
          <w:rFonts w:ascii="Times New Roman" w:hAnsi="Times New Roman"/>
        </w:rPr>
        <w:t>l</w:t>
      </w:r>
      <w:r w:rsidR="00E40C6F" w:rsidRPr="00514C1E">
        <w:rPr>
          <w:rFonts w:ascii="Times New Roman" w:hAnsi="Times New Roman"/>
        </w:rPr>
        <w:t xml:space="preserve"> client, with more onerous obl</w:t>
      </w:r>
      <w:r w:rsidR="00112F39" w:rsidRPr="00514C1E">
        <w:rPr>
          <w:rFonts w:ascii="Times New Roman" w:hAnsi="Times New Roman"/>
        </w:rPr>
        <w:t>i</w:t>
      </w:r>
      <w:r w:rsidR="00E40C6F" w:rsidRPr="00514C1E">
        <w:rPr>
          <w:rFonts w:ascii="Times New Roman" w:hAnsi="Times New Roman"/>
        </w:rPr>
        <w:t xml:space="preserve">gations being </w:t>
      </w:r>
      <w:r w:rsidR="00691D9F" w:rsidRPr="00514C1E">
        <w:rPr>
          <w:rFonts w:ascii="Times New Roman" w:hAnsi="Times New Roman"/>
        </w:rPr>
        <w:t xml:space="preserve">imposed upon the adviser </w:t>
      </w:r>
      <w:r w:rsidR="001B4BED" w:rsidRPr="00514C1E">
        <w:rPr>
          <w:rFonts w:ascii="Times New Roman" w:hAnsi="Times New Roman"/>
        </w:rPr>
        <w:t>where the circumstances are apt to suggest to the client that the financial product</w:t>
      </w:r>
      <w:r w:rsidR="004871F1" w:rsidRPr="00514C1E">
        <w:rPr>
          <w:rFonts w:ascii="Times New Roman" w:hAnsi="Times New Roman"/>
        </w:rPr>
        <w:t>,</w:t>
      </w:r>
      <w:r w:rsidR="001B4BED" w:rsidRPr="00514C1E">
        <w:rPr>
          <w:rFonts w:ascii="Times New Roman" w:hAnsi="Times New Roman"/>
        </w:rPr>
        <w:t xml:space="preserve"> the subject of the advice</w:t>
      </w:r>
      <w:r w:rsidR="004871F1" w:rsidRPr="00514C1E">
        <w:rPr>
          <w:rFonts w:ascii="Times New Roman" w:hAnsi="Times New Roman"/>
        </w:rPr>
        <w:t>,</w:t>
      </w:r>
      <w:r w:rsidR="00B85158" w:rsidRPr="00514C1E">
        <w:rPr>
          <w:rFonts w:ascii="Times New Roman" w:hAnsi="Times New Roman"/>
        </w:rPr>
        <w:t xml:space="preserve"> is appropriate to the </w:t>
      </w:r>
      <w:r w:rsidR="001F4170" w:rsidRPr="00514C1E">
        <w:rPr>
          <w:rFonts w:ascii="Times New Roman" w:hAnsi="Times New Roman"/>
        </w:rPr>
        <w:t>particular</w:t>
      </w:r>
      <w:r w:rsidR="00B85158" w:rsidRPr="00514C1E">
        <w:rPr>
          <w:rFonts w:ascii="Times New Roman" w:hAnsi="Times New Roman"/>
        </w:rPr>
        <w:t xml:space="preserve"> circumst</w:t>
      </w:r>
      <w:r w:rsidR="001F4170" w:rsidRPr="00514C1E">
        <w:rPr>
          <w:rFonts w:ascii="Times New Roman" w:hAnsi="Times New Roman"/>
        </w:rPr>
        <w:t>ances</w:t>
      </w:r>
      <w:r w:rsidR="00B85158" w:rsidRPr="00514C1E">
        <w:rPr>
          <w:rFonts w:ascii="Times New Roman" w:hAnsi="Times New Roman"/>
        </w:rPr>
        <w:t xml:space="preserve"> of the individual client.</w:t>
      </w:r>
    </w:p>
    <w:p w14:paraId="25EED6B3" w14:textId="29C3BBA0" w:rsidR="00494E2F" w:rsidRPr="00514C1E" w:rsidRDefault="00494E2F" w:rsidP="00514C1E">
      <w:pPr>
        <w:pStyle w:val="HeadingL1"/>
        <w:spacing w:after="260" w:line="280" w:lineRule="exact"/>
        <w:ind w:right="0"/>
        <w:jc w:val="both"/>
        <w:rPr>
          <w:rFonts w:ascii="Times New Roman" w:hAnsi="Times New Roman"/>
        </w:rPr>
      </w:pPr>
      <w:r w:rsidRPr="00514C1E">
        <w:rPr>
          <w:rFonts w:ascii="Times New Roman" w:hAnsi="Times New Roman"/>
        </w:rPr>
        <w:t>The phone calls: what a reasonable person might have expected</w:t>
      </w:r>
    </w:p>
    <w:p w14:paraId="3C3FDDE9" w14:textId="66150618" w:rsidR="00F8534D" w:rsidRPr="00514C1E" w:rsidRDefault="00494E2F"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340745" w:rsidRPr="00514C1E">
        <w:rPr>
          <w:rFonts w:ascii="Times New Roman" w:hAnsi="Times New Roman"/>
        </w:rPr>
        <w:t xml:space="preserve">On the hearing of the appeal in this Court, it was common ground between the parties that the </w:t>
      </w:r>
      <w:r w:rsidR="00A81DF1" w:rsidRPr="00514C1E">
        <w:rPr>
          <w:rFonts w:ascii="Times New Roman" w:hAnsi="Times New Roman"/>
        </w:rPr>
        <w:t xml:space="preserve">question posed by </w:t>
      </w:r>
      <w:r w:rsidR="00E44E38" w:rsidRPr="00514C1E">
        <w:rPr>
          <w:rFonts w:ascii="Times New Roman" w:hAnsi="Times New Roman"/>
        </w:rPr>
        <w:t>s 766B(3)(b)</w:t>
      </w:r>
      <w:r w:rsidR="00340745" w:rsidRPr="00514C1E">
        <w:rPr>
          <w:rFonts w:ascii="Times New Roman" w:hAnsi="Times New Roman"/>
        </w:rPr>
        <w:t xml:space="preserve"> was whether </w:t>
      </w:r>
      <w:r w:rsidR="001F4118" w:rsidRPr="00514C1E">
        <w:rPr>
          <w:rFonts w:ascii="Times New Roman" w:hAnsi="Times New Roman"/>
        </w:rPr>
        <w:t xml:space="preserve">a reasonable </w:t>
      </w:r>
      <w:r w:rsidR="001A1BF0" w:rsidRPr="00514C1E">
        <w:rPr>
          <w:rFonts w:ascii="Times New Roman" w:hAnsi="Times New Roman"/>
        </w:rPr>
        <w:t xml:space="preserve">member </w:t>
      </w:r>
      <w:r w:rsidR="001F4118" w:rsidRPr="00514C1E">
        <w:rPr>
          <w:rFonts w:ascii="Times New Roman" w:hAnsi="Times New Roman"/>
        </w:rPr>
        <w:t xml:space="preserve">might expect that Westpac had </w:t>
      </w:r>
      <w:r w:rsidR="001F4118" w:rsidRPr="00514C1E">
        <w:rPr>
          <w:rFonts w:ascii="Times New Roman" w:hAnsi="Times New Roman"/>
          <w:i/>
          <w:iCs/>
        </w:rPr>
        <w:t xml:space="preserve">in fact </w:t>
      </w:r>
      <w:r w:rsidR="001F4118" w:rsidRPr="00514C1E">
        <w:rPr>
          <w:rFonts w:ascii="Times New Roman" w:hAnsi="Times New Roman"/>
        </w:rPr>
        <w:t xml:space="preserve">considered </w:t>
      </w:r>
      <w:r w:rsidR="004B4978" w:rsidRPr="00514C1E">
        <w:rPr>
          <w:rFonts w:ascii="Times New Roman" w:hAnsi="Times New Roman"/>
        </w:rPr>
        <w:t>one or more of the member's objectives</w:t>
      </w:r>
      <w:r w:rsidR="001F4118" w:rsidRPr="00514C1E">
        <w:rPr>
          <w:rFonts w:ascii="Times New Roman" w:hAnsi="Times New Roman"/>
        </w:rPr>
        <w:t xml:space="preserve">, financial situation </w:t>
      </w:r>
      <w:r w:rsidR="009F4BAC" w:rsidRPr="00514C1E">
        <w:rPr>
          <w:rFonts w:ascii="Times New Roman" w:hAnsi="Times New Roman"/>
        </w:rPr>
        <w:t>and</w:t>
      </w:r>
      <w:r w:rsidR="001F4118" w:rsidRPr="00514C1E">
        <w:rPr>
          <w:rFonts w:ascii="Times New Roman" w:hAnsi="Times New Roman"/>
        </w:rPr>
        <w:t xml:space="preserve"> needs and not whether the </w:t>
      </w:r>
      <w:r w:rsidR="002D6409" w:rsidRPr="00514C1E">
        <w:rPr>
          <w:rFonts w:ascii="Times New Roman" w:hAnsi="Times New Roman"/>
        </w:rPr>
        <w:t>member</w:t>
      </w:r>
      <w:r w:rsidR="001F4118" w:rsidRPr="00514C1E">
        <w:rPr>
          <w:rFonts w:ascii="Times New Roman" w:hAnsi="Times New Roman"/>
        </w:rPr>
        <w:t xml:space="preserve"> might expect that Westpac </w:t>
      </w:r>
      <w:r w:rsidR="001F4118" w:rsidRPr="00514C1E">
        <w:rPr>
          <w:rFonts w:ascii="Times New Roman" w:hAnsi="Times New Roman"/>
          <w:i/>
          <w:iCs/>
        </w:rPr>
        <w:t xml:space="preserve">should have </w:t>
      </w:r>
      <w:r w:rsidR="001F4118" w:rsidRPr="00514C1E">
        <w:rPr>
          <w:rFonts w:ascii="Times New Roman" w:hAnsi="Times New Roman"/>
        </w:rPr>
        <w:t>considered those circumstances</w:t>
      </w:r>
      <w:r w:rsidR="00C14712" w:rsidRPr="00514C1E">
        <w:rPr>
          <w:rFonts w:ascii="Times New Roman" w:hAnsi="Times New Roman"/>
        </w:rPr>
        <w:t>.</w:t>
      </w:r>
    </w:p>
    <w:p w14:paraId="54C5C9CF" w14:textId="731C8736" w:rsidR="000F2976" w:rsidRPr="00514C1E" w:rsidRDefault="008B17C9" w:rsidP="00514C1E">
      <w:pPr>
        <w:pStyle w:val="FixListStyle"/>
        <w:spacing w:after="260" w:line="280" w:lineRule="exact"/>
        <w:ind w:right="0"/>
        <w:jc w:val="both"/>
        <w:rPr>
          <w:rFonts w:ascii="Times New Roman" w:hAnsi="Times New Roman"/>
        </w:rPr>
      </w:pPr>
      <w:r w:rsidRPr="00514C1E">
        <w:rPr>
          <w:rFonts w:ascii="Times New Roman" w:hAnsi="Times New Roman"/>
        </w:rPr>
        <w:tab/>
        <w:t>Westpac submitted that the Full Court erred in importing a normative element into its understanding of the effect of s 766B(3)</w:t>
      </w:r>
      <w:r w:rsidR="008122A9" w:rsidRPr="00514C1E">
        <w:rPr>
          <w:rFonts w:ascii="Times New Roman" w:hAnsi="Times New Roman"/>
        </w:rPr>
        <w:t>(b)</w:t>
      </w:r>
      <w:r w:rsidRPr="00514C1E">
        <w:rPr>
          <w:rFonts w:ascii="Times New Roman" w:hAnsi="Times New Roman"/>
        </w:rPr>
        <w:t xml:space="preserve">. ASIC urged that the Full Court's reasoning did not involve a normative judgment as to whether Westpac should have considered each </w:t>
      </w:r>
      <w:r w:rsidR="00C14712" w:rsidRPr="00514C1E">
        <w:rPr>
          <w:rFonts w:ascii="Times New Roman" w:hAnsi="Times New Roman"/>
        </w:rPr>
        <w:t xml:space="preserve">member's </w:t>
      </w:r>
      <w:r w:rsidRPr="00514C1E">
        <w:rPr>
          <w:rFonts w:ascii="Times New Roman" w:hAnsi="Times New Roman"/>
        </w:rPr>
        <w:t xml:space="preserve">particular financial circumstances before recommending acceptance of </w:t>
      </w:r>
      <w:r w:rsidR="00C85CDE" w:rsidRPr="00514C1E">
        <w:rPr>
          <w:rFonts w:ascii="Times New Roman" w:hAnsi="Times New Roman"/>
        </w:rPr>
        <w:t>its</w:t>
      </w:r>
      <w:r w:rsidRPr="00514C1E">
        <w:rPr>
          <w:rFonts w:ascii="Times New Roman" w:hAnsi="Times New Roman"/>
        </w:rPr>
        <w:t xml:space="preserve"> roll</w:t>
      </w:r>
      <w:r w:rsidRPr="00514C1E">
        <w:rPr>
          <w:rFonts w:ascii="Times New Roman" w:hAnsi="Times New Roman"/>
        </w:rPr>
        <w:noBreakHyphen/>
        <w:t>over service</w:t>
      </w:r>
      <w:r w:rsidR="004D3E28" w:rsidRPr="00514C1E">
        <w:rPr>
          <w:rFonts w:ascii="Times New Roman" w:hAnsi="Times New Roman"/>
        </w:rPr>
        <w:t>.</w:t>
      </w:r>
      <w:r w:rsidRPr="00514C1E">
        <w:rPr>
          <w:rFonts w:ascii="Times New Roman" w:hAnsi="Times New Roman"/>
        </w:rPr>
        <w:t xml:space="preserve"> It may be accepted that, at some points in the reasoning of members of the Full Court, there are suggestions that a normative approach was </w:t>
      </w:r>
      <w:r w:rsidR="00826B41" w:rsidRPr="00514C1E">
        <w:rPr>
          <w:rFonts w:ascii="Times New Roman" w:hAnsi="Times New Roman"/>
        </w:rPr>
        <w:t xml:space="preserve">being </w:t>
      </w:r>
      <w:r w:rsidRPr="00514C1E">
        <w:rPr>
          <w:rFonts w:ascii="Times New Roman" w:hAnsi="Times New Roman"/>
        </w:rPr>
        <w:t>applied by reference to an expectation as to how a service provider</w:t>
      </w:r>
      <w:r w:rsidR="00AA3F7C" w:rsidRPr="00514C1E">
        <w:rPr>
          <w:rFonts w:ascii="Times New Roman" w:hAnsi="Times New Roman"/>
        </w:rPr>
        <w:t>,</w:t>
      </w:r>
      <w:r w:rsidRPr="00514C1E">
        <w:rPr>
          <w:rFonts w:ascii="Times New Roman" w:hAnsi="Times New Roman"/>
        </w:rPr>
        <w:t xml:space="preserve"> such as Westpac</w:t>
      </w:r>
      <w:r w:rsidR="00AA3F7C" w:rsidRPr="00514C1E">
        <w:rPr>
          <w:rFonts w:ascii="Times New Roman" w:hAnsi="Times New Roman"/>
        </w:rPr>
        <w:t>,</w:t>
      </w:r>
      <w:r w:rsidRPr="00514C1E">
        <w:rPr>
          <w:rFonts w:ascii="Times New Roman" w:hAnsi="Times New Roman"/>
        </w:rPr>
        <w:t xml:space="preserve"> in an existing relationship with a </w:t>
      </w:r>
      <w:r w:rsidR="004D3E28" w:rsidRPr="00514C1E">
        <w:rPr>
          <w:rFonts w:ascii="Times New Roman" w:hAnsi="Times New Roman"/>
        </w:rPr>
        <w:t>member</w:t>
      </w:r>
      <w:r w:rsidRPr="00514C1E">
        <w:rPr>
          <w:rFonts w:ascii="Times New Roman" w:hAnsi="Times New Roman"/>
        </w:rPr>
        <w:t xml:space="preserve"> </w:t>
      </w:r>
      <w:r w:rsidRPr="00514C1E">
        <w:rPr>
          <w:rFonts w:ascii="Times New Roman" w:hAnsi="Times New Roman"/>
          <w:i/>
          <w:iCs/>
        </w:rPr>
        <w:t>should</w:t>
      </w:r>
      <w:r w:rsidRPr="00514C1E">
        <w:rPr>
          <w:rFonts w:ascii="Times New Roman" w:hAnsi="Times New Roman"/>
        </w:rPr>
        <w:t xml:space="preserve"> properly conduct itself in making investment recommendations of </w:t>
      </w:r>
      <w:r w:rsidRPr="00514C1E">
        <w:rPr>
          <w:rFonts w:ascii="Times New Roman" w:hAnsi="Times New Roman"/>
        </w:rPr>
        <w:lastRenderedPageBreak/>
        <w:t xml:space="preserve">significance to the </w:t>
      </w:r>
      <w:r w:rsidR="00E2646A" w:rsidRPr="00514C1E">
        <w:rPr>
          <w:rFonts w:ascii="Times New Roman" w:hAnsi="Times New Roman"/>
        </w:rPr>
        <w:t>member</w:t>
      </w:r>
      <w:r w:rsidR="00347CFD" w:rsidRPr="00F63708">
        <w:rPr>
          <w:rStyle w:val="FootnoteReference"/>
          <w:rFonts w:ascii="Times New Roman" w:hAnsi="Times New Roman"/>
          <w:sz w:val="24"/>
        </w:rPr>
        <w:footnoteReference w:id="3"/>
      </w:r>
      <w:r w:rsidRPr="00514C1E">
        <w:rPr>
          <w:rFonts w:ascii="Times New Roman" w:hAnsi="Times New Roman"/>
        </w:rPr>
        <w:t xml:space="preserve">. That said, ASIC did not seek to support such an approach in argument in this Court. </w:t>
      </w:r>
    </w:p>
    <w:p w14:paraId="7BA658D7" w14:textId="1777B288" w:rsidR="008B17C9" w:rsidRPr="00514C1E" w:rsidRDefault="000F2976"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343211" w:rsidRPr="00514C1E">
        <w:rPr>
          <w:rFonts w:ascii="Times New Roman" w:hAnsi="Times New Roman"/>
        </w:rPr>
        <w:t xml:space="preserve">On the undisputed facts of the case, a reasonable person in the position of each of the </w:t>
      </w:r>
      <w:r w:rsidR="00E2646A" w:rsidRPr="00514C1E">
        <w:rPr>
          <w:rFonts w:ascii="Times New Roman" w:hAnsi="Times New Roman"/>
        </w:rPr>
        <w:t xml:space="preserve">members </w:t>
      </w:r>
      <w:r w:rsidR="00343211" w:rsidRPr="00514C1E">
        <w:rPr>
          <w:rFonts w:ascii="Times New Roman" w:hAnsi="Times New Roman"/>
        </w:rPr>
        <w:t xml:space="preserve">called by Westpac might expect Westpac, in recommending that the </w:t>
      </w:r>
      <w:r w:rsidR="00315B96" w:rsidRPr="00514C1E">
        <w:rPr>
          <w:rFonts w:ascii="Times New Roman" w:hAnsi="Times New Roman"/>
        </w:rPr>
        <w:t>member</w:t>
      </w:r>
      <w:r w:rsidR="00343211" w:rsidRPr="00514C1E">
        <w:rPr>
          <w:rFonts w:ascii="Times New Roman" w:hAnsi="Times New Roman"/>
        </w:rPr>
        <w:t xml:space="preserve"> accept Westpac's offer to procure the roll</w:t>
      </w:r>
      <w:r w:rsidR="00343211" w:rsidRPr="00514C1E">
        <w:rPr>
          <w:rFonts w:ascii="Times New Roman" w:hAnsi="Times New Roman"/>
        </w:rPr>
        <w:noBreakHyphen/>
        <w:t xml:space="preserve">over of the </w:t>
      </w:r>
      <w:r w:rsidR="00315B96" w:rsidRPr="00514C1E">
        <w:rPr>
          <w:rFonts w:ascii="Times New Roman" w:hAnsi="Times New Roman"/>
        </w:rPr>
        <w:t>member</w:t>
      </w:r>
      <w:r w:rsidR="00343211" w:rsidRPr="00514C1E">
        <w:rPr>
          <w:rFonts w:ascii="Times New Roman" w:hAnsi="Times New Roman"/>
        </w:rPr>
        <w:t xml:space="preserve">'s external superannuation accounts into </w:t>
      </w:r>
      <w:r w:rsidR="00E10DE7" w:rsidRPr="00514C1E">
        <w:rPr>
          <w:rFonts w:ascii="Times New Roman" w:hAnsi="Times New Roman"/>
        </w:rPr>
        <w:t>the member's BT account</w:t>
      </w:r>
      <w:r w:rsidR="00343211" w:rsidRPr="00514C1E">
        <w:rPr>
          <w:rFonts w:ascii="Times New Roman" w:hAnsi="Times New Roman"/>
        </w:rPr>
        <w:t xml:space="preserve">, to have considered one or more of </w:t>
      </w:r>
      <w:r w:rsidR="00D8591D" w:rsidRPr="00514C1E">
        <w:rPr>
          <w:rFonts w:ascii="Times New Roman" w:hAnsi="Times New Roman"/>
        </w:rPr>
        <w:t xml:space="preserve">the member's </w:t>
      </w:r>
      <w:r w:rsidR="00343211" w:rsidRPr="00514C1E">
        <w:rPr>
          <w:rFonts w:ascii="Times New Roman" w:hAnsi="Times New Roman"/>
        </w:rPr>
        <w:t xml:space="preserve">objectives, financial situation </w:t>
      </w:r>
      <w:r w:rsidR="002F3DC3" w:rsidRPr="00514C1E">
        <w:rPr>
          <w:rFonts w:ascii="Times New Roman" w:hAnsi="Times New Roman"/>
        </w:rPr>
        <w:t>and</w:t>
      </w:r>
      <w:r w:rsidR="00343211" w:rsidRPr="00514C1E">
        <w:rPr>
          <w:rFonts w:ascii="Times New Roman" w:hAnsi="Times New Roman"/>
        </w:rPr>
        <w:t xml:space="preserve"> needs. </w:t>
      </w:r>
      <w:r w:rsidR="008B17C9" w:rsidRPr="00514C1E">
        <w:rPr>
          <w:rFonts w:ascii="Times New Roman" w:hAnsi="Times New Roman"/>
        </w:rPr>
        <w:t xml:space="preserve">Given that </w:t>
      </w:r>
      <w:r w:rsidR="00D8591D" w:rsidRPr="00514C1E">
        <w:rPr>
          <w:rFonts w:ascii="Times New Roman" w:hAnsi="Times New Roman"/>
        </w:rPr>
        <w:t xml:space="preserve">the appeal </w:t>
      </w:r>
      <w:r w:rsidR="008B17C9" w:rsidRPr="00514C1E">
        <w:rPr>
          <w:rFonts w:ascii="Times New Roman" w:hAnsi="Times New Roman"/>
        </w:rPr>
        <w:t xml:space="preserve">must fail </w:t>
      </w:r>
      <w:r w:rsidR="0005357C" w:rsidRPr="00514C1E">
        <w:rPr>
          <w:rFonts w:ascii="Times New Roman" w:hAnsi="Times New Roman"/>
        </w:rPr>
        <w:t>on that basis</w:t>
      </w:r>
      <w:r w:rsidR="008B17C9" w:rsidRPr="00514C1E">
        <w:rPr>
          <w:rFonts w:ascii="Times New Roman" w:hAnsi="Times New Roman"/>
        </w:rPr>
        <w:t xml:space="preserve">, it is </w:t>
      </w:r>
      <w:r w:rsidR="00645E8B" w:rsidRPr="00514C1E">
        <w:rPr>
          <w:rFonts w:ascii="Times New Roman" w:hAnsi="Times New Roman"/>
        </w:rPr>
        <w:t>neither</w:t>
      </w:r>
      <w:r w:rsidR="008B17C9" w:rsidRPr="00514C1E">
        <w:rPr>
          <w:rFonts w:ascii="Times New Roman" w:hAnsi="Times New Roman"/>
        </w:rPr>
        <w:t xml:space="preserve"> necessary nor appropriate to express a concluded opinion as to </w:t>
      </w:r>
      <w:r w:rsidR="00645E8B" w:rsidRPr="00514C1E">
        <w:rPr>
          <w:rFonts w:ascii="Times New Roman" w:hAnsi="Times New Roman"/>
        </w:rPr>
        <w:t>the correctness of the approach taken by the members of the Full Court.</w:t>
      </w:r>
      <w:r w:rsidR="008B17C9" w:rsidRPr="00514C1E">
        <w:rPr>
          <w:rFonts w:ascii="Times New Roman" w:hAnsi="Times New Roman"/>
        </w:rPr>
        <w:t xml:space="preserve"> </w:t>
      </w:r>
    </w:p>
    <w:p w14:paraId="460DC6FE" w14:textId="275CE253" w:rsidR="00BF5080" w:rsidRPr="00514C1E" w:rsidRDefault="008B17C9"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005513" w:rsidRPr="00514C1E">
        <w:rPr>
          <w:rFonts w:ascii="Times New Roman" w:hAnsi="Times New Roman"/>
        </w:rPr>
        <w:t>Westpac accepted the findings of both the primary judge and the Full Court that in the</w:t>
      </w:r>
      <w:r w:rsidR="00B1663C" w:rsidRPr="00514C1E">
        <w:rPr>
          <w:rFonts w:ascii="Times New Roman" w:hAnsi="Times New Roman"/>
        </w:rPr>
        <w:t xml:space="preserve"> personal </w:t>
      </w:r>
      <w:r w:rsidR="00005513" w:rsidRPr="00514C1E">
        <w:rPr>
          <w:rFonts w:ascii="Times New Roman" w:hAnsi="Times New Roman"/>
        </w:rPr>
        <w:t xml:space="preserve">phone calls made by Westpac to </w:t>
      </w:r>
      <w:r w:rsidR="00B31D57" w:rsidRPr="00514C1E">
        <w:rPr>
          <w:rFonts w:ascii="Times New Roman" w:hAnsi="Times New Roman"/>
        </w:rPr>
        <w:t>the members</w:t>
      </w:r>
      <w:r w:rsidR="00005513" w:rsidRPr="00514C1E">
        <w:rPr>
          <w:rFonts w:ascii="Times New Roman" w:hAnsi="Times New Roman"/>
        </w:rPr>
        <w:t xml:space="preserve">, the Westpac callers </w:t>
      </w:r>
      <w:r w:rsidR="0065780C" w:rsidRPr="00514C1E">
        <w:rPr>
          <w:rFonts w:ascii="Times New Roman" w:hAnsi="Times New Roman"/>
        </w:rPr>
        <w:t xml:space="preserve">impliedly </w:t>
      </w:r>
      <w:r w:rsidR="00005513" w:rsidRPr="00514C1E">
        <w:rPr>
          <w:rFonts w:ascii="Times New Roman" w:hAnsi="Times New Roman"/>
        </w:rPr>
        <w:t xml:space="preserve">recommended that </w:t>
      </w:r>
      <w:r w:rsidR="006912E4" w:rsidRPr="00514C1E">
        <w:rPr>
          <w:rFonts w:ascii="Times New Roman" w:hAnsi="Times New Roman"/>
        </w:rPr>
        <w:t>each member</w:t>
      </w:r>
      <w:r w:rsidR="00005513" w:rsidRPr="00514C1E">
        <w:rPr>
          <w:rFonts w:ascii="Times New Roman" w:hAnsi="Times New Roman"/>
        </w:rPr>
        <w:t xml:space="preserve"> roll</w:t>
      </w:r>
      <w:r w:rsidR="00E02DEB" w:rsidRPr="00514C1E">
        <w:rPr>
          <w:rFonts w:ascii="Times New Roman" w:hAnsi="Times New Roman"/>
        </w:rPr>
        <w:t xml:space="preserve"> </w:t>
      </w:r>
      <w:r w:rsidR="00005513" w:rsidRPr="00514C1E">
        <w:rPr>
          <w:rFonts w:ascii="Times New Roman" w:hAnsi="Times New Roman"/>
        </w:rPr>
        <w:t xml:space="preserve">over </w:t>
      </w:r>
      <w:r w:rsidR="000F6ED9" w:rsidRPr="00514C1E">
        <w:rPr>
          <w:rFonts w:ascii="Times New Roman" w:hAnsi="Times New Roman"/>
        </w:rPr>
        <w:t xml:space="preserve">his or her </w:t>
      </w:r>
      <w:r w:rsidR="00005513" w:rsidRPr="00514C1E">
        <w:rPr>
          <w:rFonts w:ascii="Times New Roman" w:hAnsi="Times New Roman"/>
        </w:rPr>
        <w:t xml:space="preserve">external superannuation funds </w:t>
      </w:r>
      <w:r w:rsidR="008C398F" w:rsidRPr="00514C1E">
        <w:rPr>
          <w:rFonts w:ascii="Times New Roman" w:hAnsi="Times New Roman"/>
        </w:rPr>
        <w:t xml:space="preserve">into </w:t>
      </w:r>
      <w:r w:rsidR="00A63F21" w:rsidRPr="00514C1E">
        <w:rPr>
          <w:rFonts w:ascii="Times New Roman" w:hAnsi="Times New Roman"/>
        </w:rPr>
        <w:t>a</w:t>
      </w:r>
      <w:r w:rsidR="00005513" w:rsidRPr="00514C1E">
        <w:rPr>
          <w:rFonts w:ascii="Times New Roman" w:hAnsi="Times New Roman"/>
        </w:rPr>
        <w:t xml:space="preserve"> </w:t>
      </w:r>
      <w:r w:rsidR="00C055B2" w:rsidRPr="00514C1E">
        <w:rPr>
          <w:rFonts w:ascii="Times New Roman" w:hAnsi="Times New Roman"/>
        </w:rPr>
        <w:t>BT</w:t>
      </w:r>
      <w:r w:rsidR="00005513" w:rsidRPr="00514C1E">
        <w:rPr>
          <w:rFonts w:ascii="Times New Roman" w:hAnsi="Times New Roman"/>
        </w:rPr>
        <w:t xml:space="preserve"> account</w:t>
      </w:r>
      <w:r w:rsidR="00005513" w:rsidRPr="00F63708">
        <w:rPr>
          <w:rStyle w:val="FootnoteReference"/>
          <w:rFonts w:ascii="Times New Roman" w:hAnsi="Times New Roman"/>
          <w:sz w:val="24"/>
        </w:rPr>
        <w:footnoteReference w:id="4"/>
      </w:r>
      <w:r w:rsidR="00005513" w:rsidRPr="00514C1E">
        <w:rPr>
          <w:rFonts w:ascii="Times New Roman" w:hAnsi="Times New Roman"/>
        </w:rPr>
        <w:t>.</w:t>
      </w:r>
      <w:r w:rsidR="00F22831" w:rsidRPr="00514C1E">
        <w:rPr>
          <w:rFonts w:ascii="Times New Roman" w:hAnsi="Times New Roman"/>
        </w:rPr>
        <w:t xml:space="preserve"> </w:t>
      </w:r>
      <w:r w:rsidR="003D4F4A" w:rsidRPr="00514C1E">
        <w:rPr>
          <w:rFonts w:ascii="Times New Roman" w:hAnsi="Times New Roman"/>
        </w:rPr>
        <w:t xml:space="preserve">The primary judge found that Westpac made this recommendation in the course of personal phone calls </w:t>
      </w:r>
      <w:r w:rsidR="00BB014D" w:rsidRPr="00514C1E">
        <w:rPr>
          <w:rFonts w:ascii="Times New Roman" w:hAnsi="Times New Roman"/>
        </w:rPr>
        <w:t xml:space="preserve">to </w:t>
      </w:r>
      <w:r w:rsidR="00191055" w:rsidRPr="00514C1E">
        <w:rPr>
          <w:rFonts w:ascii="Times New Roman" w:hAnsi="Times New Roman"/>
        </w:rPr>
        <w:t xml:space="preserve">each of </w:t>
      </w:r>
      <w:r w:rsidR="00B91574" w:rsidRPr="00514C1E">
        <w:rPr>
          <w:rFonts w:ascii="Times New Roman" w:hAnsi="Times New Roman"/>
        </w:rPr>
        <w:t xml:space="preserve">the </w:t>
      </w:r>
      <w:r w:rsidR="00BB014D" w:rsidRPr="00514C1E">
        <w:rPr>
          <w:rFonts w:ascii="Times New Roman" w:hAnsi="Times New Roman"/>
        </w:rPr>
        <w:t>members, with whom Westpac had a pre</w:t>
      </w:r>
      <w:r w:rsidR="00BB014D" w:rsidRPr="00514C1E">
        <w:rPr>
          <w:rFonts w:ascii="Times New Roman" w:hAnsi="Times New Roman"/>
        </w:rPr>
        <w:noBreakHyphen/>
        <w:t xml:space="preserve">existing relationship. Westpac's representatives framed the calls as helpful "courtesy calls", advising </w:t>
      </w:r>
      <w:r w:rsidR="00DD2227" w:rsidRPr="00514C1E">
        <w:rPr>
          <w:rFonts w:ascii="Times New Roman" w:hAnsi="Times New Roman"/>
        </w:rPr>
        <w:t xml:space="preserve">each </w:t>
      </w:r>
      <w:r w:rsidR="00BB014D" w:rsidRPr="00514C1E">
        <w:rPr>
          <w:rFonts w:ascii="Times New Roman" w:hAnsi="Times New Roman"/>
        </w:rPr>
        <w:t>member of the availability of the roll</w:t>
      </w:r>
      <w:r w:rsidR="00BB014D" w:rsidRPr="00514C1E">
        <w:rPr>
          <w:rFonts w:ascii="Times New Roman" w:hAnsi="Times New Roman"/>
        </w:rPr>
        <w:noBreakHyphen/>
        <w:t>over service</w:t>
      </w:r>
      <w:r w:rsidR="00DB46FD" w:rsidRPr="00514C1E">
        <w:rPr>
          <w:rFonts w:ascii="Times New Roman" w:hAnsi="Times New Roman"/>
        </w:rPr>
        <w:t xml:space="preserve">. This service was presented as an obvious and uncontroversial course of action for </w:t>
      </w:r>
      <w:r w:rsidR="00CE72C3" w:rsidRPr="00514C1E">
        <w:rPr>
          <w:rFonts w:ascii="Times New Roman" w:hAnsi="Times New Roman"/>
        </w:rPr>
        <w:t xml:space="preserve">each </w:t>
      </w:r>
      <w:r w:rsidR="00DB46FD" w:rsidRPr="00514C1E">
        <w:rPr>
          <w:rFonts w:ascii="Times New Roman" w:hAnsi="Times New Roman"/>
        </w:rPr>
        <w:t xml:space="preserve">particular member in respect of his or her BT </w:t>
      </w:r>
      <w:r w:rsidR="003A6A38" w:rsidRPr="00514C1E">
        <w:rPr>
          <w:rFonts w:ascii="Times New Roman" w:hAnsi="Times New Roman"/>
        </w:rPr>
        <w:t>account, having regard to the member's objectives discussed during the call</w:t>
      </w:r>
      <w:r w:rsidRPr="00F63708">
        <w:rPr>
          <w:rStyle w:val="FootnoteReference"/>
          <w:rFonts w:ascii="Times New Roman" w:hAnsi="Times New Roman"/>
          <w:sz w:val="24"/>
        </w:rPr>
        <w:footnoteReference w:id="5"/>
      </w:r>
      <w:r w:rsidRPr="00514C1E">
        <w:rPr>
          <w:rFonts w:ascii="Times New Roman" w:hAnsi="Times New Roman"/>
        </w:rPr>
        <w:t xml:space="preserve">. </w:t>
      </w:r>
    </w:p>
    <w:p w14:paraId="37AB2A2A" w14:textId="6D8018E5" w:rsidR="008B17C9" w:rsidRPr="00514C1E" w:rsidRDefault="00BF5080"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8B17C9" w:rsidRPr="00514C1E">
        <w:rPr>
          <w:rFonts w:ascii="Times New Roman" w:hAnsi="Times New Roman"/>
        </w:rPr>
        <w:t xml:space="preserve">The primary judge was dissuaded from reaching the conclusion </w:t>
      </w:r>
      <w:r w:rsidR="00AB3F40" w:rsidRPr="00514C1E">
        <w:rPr>
          <w:rFonts w:ascii="Times New Roman" w:hAnsi="Times New Roman"/>
        </w:rPr>
        <w:t xml:space="preserve">that Westpac gave personal advice on the basis of </w:t>
      </w:r>
      <w:r w:rsidR="008B17C9" w:rsidRPr="00514C1E">
        <w:rPr>
          <w:rFonts w:ascii="Times New Roman" w:hAnsi="Times New Roman"/>
        </w:rPr>
        <w:t xml:space="preserve">three broad considerations. </w:t>
      </w:r>
      <w:r w:rsidR="007274B9" w:rsidRPr="00514C1E">
        <w:rPr>
          <w:rFonts w:ascii="Times New Roman" w:hAnsi="Times New Roman"/>
        </w:rPr>
        <w:t>The</w:t>
      </w:r>
      <w:r w:rsidR="009B342A" w:rsidRPr="00514C1E">
        <w:rPr>
          <w:rFonts w:ascii="Times New Roman" w:hAnsi="Times New Roman"/>
        </w:rPr>
        <w:t xml:space="preserve"> first consideration </w:t>
      </w:r>
      <w:r w:rsidR="00A47349" w:rsidRPr="00514C1E">
        <w:rPr>
          <w:rFonts w:ascii="Times New Roman" w:hAnsi="Times New Roman"/>
        </w:rPr>
        <w:t>was that t</w:t>
      </w:r>
      <w:r w:rsidR="008B17C9" w:rsidRPr="00514C1E">
        <w:rPr>
          <w:rFonts w:ascii="Times New Roman" w:hAnsi="Times New Roman"/>
        </w:rPr>
        <w:t>he calls began with a disclaimer that "everything discussed today is general in nature</w:t>
      </w:r>
      <w:r w:rsidR="00232DC1" w:rsidRPr="00514C1E">
        <w:rPr>
          <w:rFonts w:ascii="Times New Roman" w:hAnsi="Times New Roman"/>
        </w:rPr>
        <w:t>,</w:t>
      </w:r>
      <w:r w:rsidR="008B17C9" w:rsidRPr="00514C1E">
        <w:rPr>
          <w:rFonts w:ascii="Times New Roman" w:hAnsi="Times New Roman"/>
        </w:rPr>
        <w:t xml:space="preserve"> it won't take into account your personal financial </w:t>
      </w:r>
      <w:r w:rsidR="008B17C9" w:rsidRPr="00514C1E">
        <w:rPr>
          <w:rFonts w:ascii="Times New Roman" w:hAnsi="Times New Roman"/>
        </w:rPr>
        <w:lastRenderedPageBreak/>
        <w:t>needs"</w:t>
      </w:r>
      <w:r w:rsidR="008B17C9" w:rsidRPr="00F63708">
        <w:rPr>
          <w:rStyle w:val="FootnoteReference"/>
          <w:rFonts w:ascii="Times New Roman" w:hAnsi="Times New Roman"/>
          <w:sz w:val="24"/>
        </w:rPr>
        <w:footnoteReference w:id="6"/>
      </w:r>
      <w:r w:rsidR="00A47349" w:rsidRPr="00514C1E">
        <w:rPr>
          <w:rFonts w:ascii="Times New Roman" w:hAnsi="Times New Roman"/>
        </w:rPr>
        <w:t>. Secondly</w:t>
      </w:r>
      <w:r w:rsidR="008B17C9" w:rsidRPr="00514C1E">
        <w:rPr>
          <w:rFonts w:ascii="Times New Roman" w:hAnsi="Times New Roman"/>
        </w:rPr>
        <w:t>, the advice was offered free of charge</w:t>
      </w:r>
      <w:r w:rsidR="0024096B" w:rsidRPr="00F63708">
        <w:rPr>
          <w:rStyle w:val="FootnoteReference"/>
          <w:rFonts w:ascii="Times New Roman" w:hAnsi="Times New Roman"/>
          <w:sz w:val="24"/>
        </w:rPr>
        <w:footnoteReference w:id="7"/>
      </w:r>
      <w:r w:rsidR="00942CA4" w:rsidRPr="00514C1E">
        <w:rPr>
          <w:rFonts w:ascii="Times New Roman" w:hAnsi="Times New Roman"/>
        </w:rPr>
        <w:t>. Thirdly,</w:t>
      </w:r>
      <w:r w:rsidR="008B17C9" w:rsidRPr="00514C1E">
        <w:rPr>
          <w:rFonts w:ascii="Times New Roman" w:hAnsi="Times New Roman"/>
        </w:rPr>
        <w:t xml:space="preserve"> the callers revealed a lack of knowledge about the </w:t>
      </w:r>
      <w:r w:rsidR="0051217F" w:rsidRPr="00514C1E">
        <w:rPr>
          <w:rFonts w:ascii="Times New Roman" w:hAnsi="Times New Roman"/>
        </w:rPr>
        <w:t>member's</w:t>
      </w:r>
      <w:r w:rsidR="008B17C9" w:rsidRPr="00514C1E">
        <w:rPr>
          <w:rFonts w:ascii="Times New Roman" w:hAnsi="Times New Roman"/>
        </w:rPr>
        <w:t xml:space="preserve"> financial situation that was inconsistent with a capacity to consider </w:t>
      </w:r>
      <w:r w:rsidR="00C57B47" w:rsidRPr="00514C1E">
        <w:rPr>
          <w:rFonts w:ascii="Times New Roman" w:hAnsi="Times New Roman"/>
        </w:rPr>
        <w:t xml:space="preserve">one or more of </w:t>
      </w:r>
      <w:r w:rsidR="008B17C9" w:rsidRPr="00514C1E">
        <w:rPr>
          <w:rFonts w:ascii="Times New Roman" w:hAnsi="Times New Roman"/>
        </w:rPr>
        <w:t xml:space="preserve">the </w:t>
      </w:r>
      <w:r w:rsidR="00567102" w:rsidRPr="00514C1E">
        <w:rPr>
          <w:rFonts w:ascii="Times New Roman" w:hAnsi="Times New Roman"/>
        </w:rPr>
        <w:t xml:space="preserve">member's </w:t>
      </w:r>
      <w:r w:rsidR="008B17C9" w:rsidRPr="00514C1E">
        <w:rPr>
          <w:rFonts w:ascii="Times New Roman" w:hAnsi="Times New Roman"/>
        </w:rPr>
        <w:t>objectives and financial situation</w:t>
      </w:r>
      <w:r w:rsidR="008B17C9" w:rsidRPr="00F63708">
        <w:rPr>
          <w:rStyle w:val="FootnoteReference"/>
          <w:rFonts w:ascii="Times New Roman" w:hAnsi="Times New Roman"/>
          <w:sz w:val="24"/>
        </w:rPr>
        <w:footnoteReference w:id="8"/>
      </w:r>
      <w:r w:rsidR="008B17C9" w:rsidRPr="00514C1E">
        <w:rPr>
          <w:rFonts w:ascii="Times New Roman" w:hAnsi="Times New Roman"/>
        </w:rPr>
        <w:t>. The primary judge erred in being swayed by these considerations.</w:t>
      </w:r>
      <w:r w:rsidR="00942CA4" w:rsidRPr="00514C1E">
        <w:rPr>
          <w:rFonts w:ascii="Times New Roman" w:hAnsi="Times New Roman"/>
        </w:rPr>
        <w:t xml:space="preserve"> Each may be dealt with briefly.</w:t>
      </w:r>
    </w:p>
    <w:p w14:paraId="3C7D630D" w14:textId="72755244" w:rsidR="008B17C9" w:rsidRPr="00514C1E" w:rsidRDefault="008B17C9"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AB3F40" w:rsidRPr="00514C1E">
        <w:rPr>
          <w:rFonts w:ascii="Times New Roman" w:hAnsi="Times New Roman"/>
        </w:rPr>
        <w:t xml:space="preserve">As to the first consideration, </w:t>
      </w:r>
      <w:r w:rsidR="00D5073C" w:rsidRPr="00514C1E">
        <w:rPr>
          <w:rFonts w:ascii="Times New Roman" w:hAnsi="Times New Roman"/>
        </w:rPr>
        <w:t>each</w:t>
      </w:r>
      <w:r w:rsidR="000333D3" w:rsidRPr="00514C1E">
        <w:rPr>
          <w:rFonts w:ascii="Times New Roman" w:hAnsi="Times New Roman"/>
        </w:rPr>
        <w:t xml:space="preserve"> phone call was a personal communication to a </w:t>
      </w:r>
      <w:r w:rsidR="00D5073C" w:rsidRPr="00514C1E">
        <w:rPr>
          <w:rFonts w:ascii="Times New Roman" w:hAnsi="Times New Roman"/>
        </w:rPr>
        <w:t>member</w:t>
      </w:r>
      <w:r w:rsidR="004B010B" w:rsidRPr="00514C1E">
        <w:rPr>
          <w:rFonts w:ascii="Times New Roman" w:hAnsi="Times New Roman"/>
        </w:rPr>
        <w:t xml:space="preserve">; it specifically </w:t>
      </w:r>
      <w:r w:rsidR="0062011F" w:rsidRPr="00514C1E">
        <w:rPr>
          <w:rFonts w:ascii="Times New Roman" w:hAnsi="Times New Roman"/>
        </w:rPr>
        <w:t xml:space="preserve">related </w:t>
      </w:r>
      <w:r w:rsidR="000333D3" w:rsidRPr="00514C1E">
        <w:rPr>
          <w:rFonts w:ascii="Times New Roman" w:hAnsi="Times New Roman"/>
        </w:rPr>
        <w:t xml:space="preserve">to the </w:t>
      </w:r>
      <w:r w:rsidR="00D5073C" w:rsidRPr="00514C1E">
        <w:rPr>
          <w:rFonts w:ascii="Times New Roman" w:hAnsi="Times New Roman"/>
        </w:rPr>
        <w:t>member's</w:t>
      </w:r>
      <w:r w:rsidR="000333D3" w:rsidRPr="00514C1E">
        <w:rPr>
          <w:rFonts w:ascii="Times New Roman" w:hAnsi="Times New Roman"/>
        </w:rPr>
        <w:t xml:space="preserve"> personal financial situation</w:t>
      </w:r>
      <w:r w:rsidR="0062011F" w:rsidRPr="00514C1E">
        <w:rPr>
          <w:rFonts w:ascii="Times New Roman" w:hAnsi="Times New Roman"/>
        </w:rPr>
        <w:t xml:space="preserve"> in relation to his or her superannuation</w:t>
      </w:r>
      <w:r w:rsidR="000333D3" w:rsidRPr="00514C1E">
        <w:rPr>
          <w:rFonts w:ascii="Times New Roman" w:hAnsi="Times New Roman"/>
        </w:rPr>
        <w:t xml:space="preserve">. The disclaimer with which each phone call commenced was not apt to alter </w:t>
      </w:r>
      <w:r w:rsidR="003133EE" w:rsidRPr="00514C1E">
        <w:rPr>
          <w:rFonts w:ascii="Times New Roman" w:hAnsi="Times New Roman"/>
        </w:rPr>
        <w:t xml:space="preserve">either </w:t>
      </w:r>
      <w:r w:rsidR="000333D3" w:rsidRPr="00514C1E">
        <w:rPr>
          <w:rFonts w:ascii="Times New Roman" w:hAnsi="Times New Roman"/>
        </w:rPr>
        <w:t xml:space="preserve">the character of the recommendation in each case as advice specifically about the </w:t>
      </w:r>
      <w:r w:rsidR="008D3A32" w:rsidRPr="00514C1E">
        <w:rPr>
          <w:rFonts w:ascii="Times New Roman" w:hAnsi="Times New Roman"/>
        </w:rPr>
        <w:t>member's</w:t>
      </w:r>
      <w:r w:rsidR="000333D3" w:rsidRPr="00514C1E">
        <w:rPr>
          <w:rFonts w:ascii="Times New Roman" w:hAnsi="Times New Roman"/>
        </w:rPr>
        <w:t xml:space="preserve"> situation</w:t>
      </w:r>
      <w:r w:rsidR="003133EE" w:rsidRPr="00514C1E">
        <w:rPr>
          <w:rFonts w:ascii="Times New Roman" w:hAnsi="Times New Roman"/>
        </w:rPr>
        <w:t>, or the expectation as to the quality of the advice that the phone call was apt to engender in the</w:t>
      </w:r>
      <w:r w:rsidR="00BD2F87" w:rsidRPr="00514C1E">
        <w:rPr>
          <w:rFonts w:ascii="Times New Roman" w:hAnsi="Times New Roman"/>
        </w:rPr>
        <w:t xml:space="preserve"> member</w:t>
      </w:r>
      <w:r w:rsidR="000333D3" w:rsidRPr="00514C1E">
        <w:rPr>
          <w:rFonts w:ascii="Times New Roman" w:hAnsi="Times New Roman"/>
        </w:rPr>
        <w:t xml:space="preserve">. </w:t>
      </w:r>
      <w:r w:rsidR="00D87566" w:rsidRPr="00514C1E">
        <w:rPr>
          <w:rFonts w:ascii="Times New Roman" w:hAnsi="Times New Roman"/>
        </w:rPr>
        <w:t>I</w:t>
      </w:r>
      <w:r w:rsidRPr="00514C1E">
        <w:rPr>
          <w:rFonts w:ascii="Times New Roman" w:hAnsi="Times New Roman"/>
        </w:rPr>
        <w:t xml:space="preserve">mmediately after the disclaimer, the </w:t>
      </w:r>
      <w:r w:rsidR="00232338" w:rsidRPr="00514C1E">
        <w:rPr>
          <w:rFonts w:ascii="Times New Roman" w:hAnsi="Times New Roman"/>
        </w:rPr>
        <w:t xml:space="preserve">Westpac </w:t>
      </w:r>
      <w:r w:rsidRPr="00514C1E">
        <w:rPr>
          <w:rFonts w:ascii="Times New Roman" w:hAnsi="Times New Roman"/>
        </w:rPr>
        <w:t>caller</w:t>
      </w:r>
      <w:r w:rsidR="00BD2F87" w:rsidRPr="00514C1E">
        <w:rPr>
          <w:rFonts w:ascii="Times New Roman" w:hAnsi="Times New Roman"/>
        </w:rPr>
        <w:t>s</w:t>
      </w:r>
      <w:r w:rsidRPr="00514C1E">
        <w:rPr>
          <w:rFonts w:ascii="Times New Roman" w:hAnsi="Times New Roman"/>
        </w:rPr>
        <w:t xml:space="preserve"> set about, and succeeded in, eliciting from </w:t>
      </w:r>
      <w:r w:rsidR="00D9150A" w:rsidRPr="00514C1E">
        <w:rPr>
          <w:rFonts w:ascii="Times New Roman" w:hAnsi="Times New Roman"/>
        </w:rPr>
        <w:t xml:space="preserve">each member </w:t>
      </w:r>
      <w:r w:rsidRPr="00514C1E">
        <w:rPr>
          <w:rFonts w:ascii="Times New Roman" w:hAnsi="Times New Roman"/>
        </w:rPr>
        <w:t xml:space="preserve">a statement of the </w:t>
      </w:r>
      <w:r w:rsidR="00D9150A" w:rsidRPr="00514C1E">
        <w:rPr>
          <w:rFonts w:ascii="Times New Roman" w:hAnsi="Times New Roman"/>
        </w:rPr>
        <w:t>member</w:t>
      </w:r>
      <w:r w:rsidRPr="00514C1E">
        <w:rPr>
          <w:rFonts w:ascii="Times New Roman" w:hAnsi="Times New Roman"/>
        </w:rPr>
        <w:t>'s objectives insofar as they were germane to</w:t>
      </w:r>
      <w:r w:rsidR="00232338" w:rsidRPr="00514C1E">
        <w:rPr>
          <w:rFonts w:ascii="Times New Roman" w:hAnsi="Times New Roman"/>
        </w:rPr>
        <w:t xml:space="preserve"> the decision as to</w:t>
      </w:r>
      <w:r w:rsidRPr="00514C1E">
        <w:rPr>
          <w:rFonts w:ascii="Times New Roman" w:hAnsi="Times New Roman"/>
        </w:rPr>
        <w:t xml:space="preserve"> whether it was in </w:t>
      </w:r>
      <w:r w:rsidR="00D9150A" w:rsidRPr="00514C1E">
        <w:rPr>
          <w:rFonts w:ascii="Times New Roman" w:hAnsi="Times New Roman"/>
        </w:rPr>
        <w:t>each member's</w:t>
      </w:r>
      <w:r w:rsidRPr="00514C1E">
        <w:rPr>
          <w:rFonts w:ascii="Times New Roman" w:hAnsi="Times New Roman"/>
        </w:rPr>
        <w:t xml:space="preserve"> best interests to roll</w:t>
      </w:r>
      <w:r w:rsidR="00071C56" w:rsidRPr="00514C1E">
        <w:rPr>
          <w:rFonts w:ascii="Times New Roman" w:hAnsi="Times New Roman"/>
        </w:rPr>
        <w:t xml:space="preserve"> </w:t>
      </w:r>
      <w:r w:rsidR="00443A58" w:rsidRPr="00514C1E">
        <w:rPr>
          <w:rFonts w:ascii="Times New Roman" w:hAnsi="Times New Roman"/>
        </w:rPr>
        <w:t xml:space="preserve">over </w:t>
      </w:r>
      <w:r w:rsidRPr="00514C1E">
        <w:rPr>
          <w:rFonts w:ascii="Times New Roman" w:hAnsi="Times New Roman"/>
        </w:rPr>
        <w:t xml:space="preserve">external superannuation accounts into his or her </w:t>
      </w:r>
      <w:r w:rsidR="00443A58" w:rsidRPr="00514C1E">
        <w:rPr>
          <w:rFonts w:ascii="Times New Roman" w:hAnsi="Times New Roman"/>
        </w:rPr>
        <w:t xml:space="preserve">BT </w:t>
      </w:r>
      <w:r w:rsidRPr="00514C1E">
        <w:rPr>
          <w:rFonts w:ascii="Times New Roman" w:hAnsi="Times New Roman"/>
        </w:rPr>
        <w:t>account</w:t>
      </w:r>
      <w:r w:rsidR="00443A58" w:rsidRPr="00514C1E">
        <w:rPr>
          <w:rFonts w:ascii="Times New Roman" w:hAnsi="Times New Roman"/>
        </w:rPr>
        <w:t>.</w:t>
      </w:r>
      <w:r w:rsidRPr="00514C1E">
        <w:rPr>
          <w:rFonts w:ascii="Times New Roman" w:hAnsi="Times New Roman"/>
        </w:rPr>
        <w:t xml:space="preserve"> Having elicited from </w:t>
      </w:r>
      <w:r w:rsidR="0048232A" w:rsidRPr="00514C1E">
        <w:rPr>
          <w:rFonts w:ascii="Times New Roman" w:hAnsi="Times New Roman"/>
        </w:rPr>
        <w:t xml:space="preserve">each member </w:t>
      </w:r>
      <w:r w:rsidRPr="00514C1E">
        <w:rPr>
          <w:rFonts w:ascii="Times New Roman" w:hAnsi="Times New Roman"/>
        </w:rPr>
        <w:t xml:space="preserve">an indication of </w:t>
      </w:r>
      <w:r w:rsidR="00E449CA" w:rsidRPr="00514C1E">
        <w:rPr>
          <w:rFonts w:ascii="Times New Roman" w:hAnsi="Times New Roman"/>
        </w:rPr>
        <w:t>his or her personal objectives of</w:t>
      </w:r>
      <w:r w:rsidR="004C4931" w:rsidRPr="00514C1E">
        <w:rPr>
          <w:rFonts w:ascii="Times New Roman" w:hAnsi="Times New Roman"/>
        </w:rPr>
        <w:t xml:space="preserve"> </w:t>
      </w:r>
      <w:r w:rsidR="003F21A3" w:rsidRPr="00514C1E">
        <w:rPr>
          <w:rFonts w:ascii="Times New Roman" w:hAnsi="Times New Roman"/>
        </w:rPr>
        <w:t>"</w:t>
      </w:r>
      <w:r w:rsidRPr="00514C1E">
        <w:rPr>
          <w:rFonts w:ascii="Times New Roman" w:hAnsi="Times New Roman"/>
        </w:rPr>
        <w:t>saving on fees" and "improving the manageability" of superannuation by consolidating accounts</w:t>
      </w:r>
      <w:r w:rsidRPr="00F63708">
        <w:rPr>
          <w:rStyle w:val="FootnoteReference"/>
          <w:rFonts w:ascii="Times New Roman" w:hAnsi="Times New Roman"/>
          <w:sz w:val="24"/>
        </w:rPr>
        <w:footnoteReference w:id="9"/>
      </w:r>
      <w:r w:rsidRPr="00514C1E">
        <w:rPr>
          <w:rFonts w:ascii="Times New Roman" w:hAnsi="Times New Roman"/>
        </w:rPr>
        <w:t>, the Westpac caller</w:t>
      </w:r>
      <w:r w:rsidR="004C4931" w:rsidRPr="00514C1E">
        <w:rPr>
          <w:rFonts w:ascii="Times New Roman" w:hAnsi="Times New Roman"/>
        </w:rPr>
        <w:t>s</w:t>
      </w:r>
      <w:r w:rsidRPr="00514C1E">
        <w:rPr>
          <w:rFonts w:ascii="Times New Roman" w:hAnsi="Times New Roman"/>
        </w:rPr>
        <w:t xml:space="preserve"> deployed the social proofing </w:t>
      </w:r>
      <w:r w:rsidR="004C5046" w:rsidRPr="00514C1E">
        <w:rPr>
          <w:rFonts w:ascii="Times New Roman" w:hAnsi="Times New Roman"/>
        </w:rPr>
        <w:t xml:space="preserve">technique </w:t>
      </w:r>
      <w:r w:rsidR="00324CFD" w:rsidRPr="00514C1E">
        <w:rPr>
          <w:rFonts w:ascii="Times New Roman" w:hAnsi="Times New Roman"/>
        </w:rPr>
        <w:t>to confirm the validity of the expressed objectives</w:t>
      </w:r>
      <w:r w:rsidR="00FF5E87" w:rsidRPr="00514C1E">
        <w:rPr>
          <w:rFonts w:ascii="Times New Roman" w:hAnsi="Times New Roman"/>
        </w:rPr>
        <w:t>.</w:t>
      </w:r>
      <w:r w:rsidR="000C3D17" w:rsidRPr="00514C1E">
        <w:rPr>
          <w:rFonts w:ascii="Times New Roman" w:hAnsi="Times New Roman"/>
        </w:rPr>
        <w:t xml:space="preserve"> For example, Westpac's caller confirmed to member</w:t>
      </w:r>
      <w:r w:rsidR="00786507" w:rsidRPr="00514C1E">
        <w:rPr>
          <w:rFonts w:ascii="Times New Roman" w:hAnsi="Times New Roman"/>
        </w:rPr>
        <w:t> </w:t>
      </w:r>
      <w:r w:rsidR="000C3D17" w:rsidRPr="00514C1E">
        <w:rPr>
          <w:rFonts w:ascii="Times New Roman" w:hAnsi="Times New Roman"/>
        </w:rPr>
        <w:t>1 that saving on fees and manageability are the "two</w:t>
      </w:r>
      <w:r w:rsidRPr="00514C1E">
        <w:rPr>
          <w:rFonts w:ascii="Times New Roman" w:hAnsi="Times New Roman"/>
        </w:rPr>
        <w:t xml:space="preserve"> main reasons our clients do like to bring their supers together</w:t>
      </w:r>
      <w:r w:rsidR="00D26381" w:rsidRPr="00514C1E">
        <w:rPr>
          <w:rFonts w:ascii="Times New Roman" w:hAnsi="Times New Roman"/>
        </w:rPr>
        <w:t xml:space="preserve">" </w:t>
      </w:r>
      <w:r w:rsidR="008B68DA" w:rsidRPr="00514C1E">
        <w:rPr>
          <w:rFonts w:ascii="Times New Roman" w:hAnsi="Times New Roman"/>
        </w:rPr>
        <w:t>and that doing so "</w:t>
      </w:r>
      <w:r w:rsidRPr="00514C1E">
        <w:rPr>
          <w:rFonts w:ascii="Times New Roman" w:hAnsi="Times New Roman"/>
        </w:rPr>
        <w:t>does make a lot more sense from a management point of view, for sure". The Westpac call</w:t>
      </w:r>
      <w:r w:rsidR="008B68DA" w:rsidRPr="00514C1E">
        <w:rPr>
          <w:rFonts w:ascii="Times New Roman" w:hAnsi="Times New Roman"/>
        </w:rPr>
        <w:t>er</w:t>
      </w:r>
      <w:r w:rsidRPr="00514C1E">
        <w:rPr>
          <w:rFonts w:ascii="Times New Roman" w:hAnsi="Times New Roman"/>
        </w:rPr>
        <w:t xml:space="preserve"> then proceeded to say</w:t>
      </w:r>
      <w:r w:rsidR="008B68DA" w:rsidRPr="00514C1E">
        <w:rPr>
          <w:rFonts w:ascii="Times New Roman" w:hAnsi="Times New Roman"/>
        </w:rPr>
        <w:t xml:space="preserve"> to member</w:t>
      </w:r>
      <w:r w:rsidR="00786507" w:rsidRPr="00514C1E">
        <w:rPr>
          <w:rFonts w:ascii="Times New Roman" w:hAnsi="Times New Roman"/>
        </w:rPr>
        <w:t> </w:t>
      </w:r>
      <w:r w:rsidR="008B68DA" w:rsidRPr="00514C1E">
        <w:rPr>
          <w:rFonts w:ascii="Times New Roman" w:hAnsi="Times New Roman"/>
        </w:rPr>
        <w:t>1</w:t>
      </w:r>
      <w:r w:rsidRPr="00F63708">
        <w:rPr>
          <w:rStyle w:val="FootnoteReference"/>
          <w:rFonts w:ascii="Times New Roman" w:hAnsi="Times New Roman"/>
          <w:sz w:val="24"/>
        </w:rPr>
        <w:footnoteReference w:id="10"/>
      </w:r>
      <w:r w:rsidRPr="00514C1E">
        <w:rPr>
          <w:rFonts w:ascii="Times New Roman" w:hAnsi="Times New Roman"/>
        </w:rPr>
        <w:t>:</w:t>
      </w:r>
    </w:p>
    <w:p w14:paraId="57428140" w14:textId="77777777" w:rsidR="00514C1E" w:rsidRDefault="008B17C9" w:rsidP="00514C1E">
      <w:pPr>
        <w:pStyle w:val="LeftrightafterHC"/>
        <w:spacing w:before="0" w:after="260" w:line="280" w:lineRule="exact"/>
        <w:ind w:right="0"/>
        <w:jc w:val="both"/>
        <w:rPr>
          <w:rFonts w:ascii="Times New Roman" w:hAnsi="Times New Roman"/>
        </w:rPr>
      </w:pPr>
      <w:r w:rsidRPr="00514C1E">
        <w:rPr>
          <w:rFonts w:ascii="Times New Roman" w:hAnsi="Times New Roman"/>
        </w:rPr>
        <w:t>"Now</w:t>
      </w:r>
      <w:r w:rsidR="00BA3447" w:rsidRPr="00514C1E">
        <w:rPr>
          <w:rFonts w:ascii="Times New Roman" w:hAnsi="Times New Roman"/>
        </w:rPr>
        <w:t>,</w:t>
      </w:r>
      <w:r w:rsidRPr="00514C1E">
        <w:rPr>
          <w:rFonts w:ascii="Times New Roman" w:hAnsi="Times New Roman"/>
        </w:rPr>
        <w:t xml:space="preserve"> what we can do is we can go through your superannuation search results and we can actually help you bring them </w:t>
      </w:r>
      <w:r w:rsidR="00BA3447" w:rsidRPr="00514C1E">
        <w:rPr>
          <w:rFonts w:ascii="Times New Roman" w:hAnsi="Times New Roman"/>
        </w:rPr>
        <w:t>al</w:t>
      </w:r>
      <w:r w:rsidRPr="00514C1E">
        <w:rPr>
          <w:rFonts w:ascii="Times New Roman" w:hAnsi="Times New Roman"/>
        </w:rPr>
        <w:t>together over the phone now, the only thing we'll need from you today to do that is your tax file number."</w:t>
      </w:r>
    </w:p>
    <w:p w14:paraId="70ADDC23" w14:textId="21C680A8" w:rsidR="008B17C9" w:rsidRPr="00514C1E" w:rsidRDefault="008B17C9"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6244F9" w:rsidRPr="00514C1E">
        <w:rPr>
          <w:rFonts w:ascii="Times New Roman" w:hAnsi="Times New Roman"/>
        </w:rPr>
        <w:t xml:space="preserve">As to the second consideration, </w:t>
      </w:r>
      <w:r w:rsidR="00786507" w:rsidRPr="00514C1E">
        <w:rPr>
          <w:rFonts w:ascii="Times New Roman" w:hAnsi="Times New Roman"/>
        </w:rPr>
        <w:t>t</w:t>
      </w:r>
      <w:r w:rsidRPr="00514C1E">
        <w:rPr>
          <w:rFonts w:ascii="Times New Roman" w:hAnsi="Times New Roman"/>
        </w:rPr>
        <w:t xml:space="preserve">he circumstance that the </w:t>
      </w:r>
      <w:r w:rsidR="00786507" w:rsidRPr="00514C1E">
        <w:rPr>
          <w:rFonts w:ascii="Times New Roman" w:hAnsi="Times New Roman"/>
        </w:rPr>
        <w:t>superannuation roll</w:t>
      </w:r>
      <w:r w:rsidR="00786507" w:rsidRPr="00514C1E">
        <w:rPr>
          <w:rFonts w:ascii="Times New Roman" w:hAnsi="Times New Roman"/>
        </w:rPr>
        <w:noBreakHyphen/>
        <w:t xml:space="preserve">over </w:t>
      </w:r>
      <w:r w:rsidRPr="00514C1E">
        <w:rPr>
          <w:rFonts w:ascii="Times New Roman" w:hAnsi="Times New Roman"/>
        </w:rPr>
        <w:t xml:space="preserve">service was offered "free of charge" was </w:t>
      </w:r>
      <w:r w:rsidR="00B61F53" w:rsidRPr="00514C1E">
        <w:rPr>
          <w:rFonts w:ascii="Times New Roman" w:hAnsi="Times New Roman"/>
        </w:rPr>
        <w:t xml:space="preserve">at best neutral in relation to the reasonable expectations of a </w:t>
      </w:r>
      <w:r w:rsidR="00805615" w:rsidRPr="00514C1E">
        <w:rPr>
          <w:rFonts w:ascii="Times New Roman" w:hAnsi="Times New Roman"/>
        </w:rPr>
        <w:t>member</w:t>
      </w:r>
      <w:r w:rsidR="00B61F53" w:rsidRPr="00514C1E">
        <w:rPr>
          <w:rFonts w:ascii="Times New Roman" w:hAnsi="Times New Roman"/>
        </w:rPr>
        <w:t xml:space="preserve"> approached in this way by his or her financial </w:t>
      </w:r>
      <w:r w:rsidR="00B61F53" w:rsidRPr="00514C1E">
        <w:rPr>
          <w:rFonts w:ascii="Times New Roman" w:hAnsi="Times New Roman"/>
        </w:rPr>
        <w:lastRenderedPageBreak/>
        <w:t>service provider</w:t>
      </w:r>
      <w:r w:rsidR="00727553" w:rsidRPr="00514C1E">
        <w:rPr>
          <w:rFonts w:ascii="Times New Roman" w:hAnsi="Times New Roman"/>
        </w:rPr>
        <w:t>, to whom he or she already paid fees for financial services related to super</w:t>
      </w:r>
      <w:r w:rsidR="00B013E0" w:rsidRPr="00514C1E">
        <w:rPr>
          <w:rFonts w:ascii="Times New Roman" w:hAnsi="Times New Roman"/>
        </w:rPr>
        <w:t>annuation</w:t>
      </w:r>
      <w:r w:rsidR="00B61F53" w:rsidRPr="00514C1E">
        <w:rPr>
          <w:rFonts w:ascii="Times New Roman" w:hAnsi="Times New Roman"/>
        </w:rPr>
        <w:t>.</w:t>
      </w:r>
      <w:r w:rsidRPr="00514C1E">
        <w:rPr>
          <w:rFonts w:ascii="Times New Roman" w:hAnsi="Times New Roman"/>
        </w:rPr>
        <w:t xml:space="preserve"> Westpac's interest in bringing more funds under its management </w:t>
      </w:r>
      <w:r w:rsidR="003B436C" w:rsidRPr="00514C1E">
        <w:rPr>
          <w:rFonts w:ascii="Times New Roman" w:hAnsi="Times New Roman"/>
        </w:rPr>
        <w:t xml:space="preserve">to obtain fees </w:t>
      </w:r>
      <w:r w:rsidR="00FD42D4" w:rsidRPr="00514C1E">
        <w:rPr>
          <w:rFonts w:ascii="Times New Roman" w:hAnsi="Times New Roman"/>
        </w:rPr>
        <w:t xml:space="preserve">was </w:t>
      </w:r>
      <w:r w:rsidR="00767DAC" w:rsidRPr="00514C1E">
        <w:rPr>
          <w:rFonts w:ascii="Times New Roman" w:hAnsi="Times New Roman"/>
        </w:rPr>
        <w:t xml:space="preserve">also </w:t>
      </w:r>
      <w:r w:rsidR="00FD42D4" w:rsidRPr="00514C1E">
        <w:rPr>
          <w:rFonts w:ascii="Times New Roman" w:hAnsi="Times New Roman"/>
        </w:rPr>
        <w:t>both real and</w:t>
      </w:r>
      <w:r w:rsidR="003B436C" w:rsidRPr="00514C1E">
        <w:rPr>
          <w:rFonts w:ascii="Times New Roman" w:hAnsi="Times New Roman"/>
        </w:rPr>
        <w:t xml:space="preserve"> </w:t>
      </w:r>
      <w:r w:rsidRPr="00514C1E">
        <w:rPr>
          <w:rFonts w:ascii="Times New Roman" w:hAnsi="Times New Roman"/>
        </w:rPr>
        <w:t>obvious</w:t>
      </w:r>
      <w:r w:rsidR="0010622D" w:rsidRPr="00514C1E">
        <w:rPr>
          <w:rFonts w:ascii="Times New Roman" w:hAnsi="Times New Roman"/>
        </w:rPr>
        <w:t>:</w:t>
      </w:r>
      <w:r w:rsidRPr="00514C1E">
        <w:rPr>
          <w:rFonts w:ascii="Times New Roman" w:hAnsi="Times New Roman"/>
        </w:rPr>
        <w:t xml:space="preserve"> </w:t>
      </w:r>
      <w:r w:rsidR="0010622D" w:rsidRPr="00514C1E">
        <w:rPr>
          <w:rFonts w:ascii="Times New Roman" w:hAnsi="Times New Roman"/>
        </w:rPr>
        <w:t>i</w:t>
      </w:r>
      <w:r w:rsidRPr="00514C1E">
        <w:rPr>
          <w:rFonts w:ascii="Times New Roman" w:hAnsi="Times New Roman"/>
        </w:rPr>
        <w:t xml:space="preserve">t was the raison d'être of </w:t>
      </w:r>
      <w:r w:rsidR="00C37A28" w:rsidRPr="00514C1E">
        <w:rPr>
          <w:rFonts w:ascii="Times New Roman" w:hAnsi="Times New Roman"/>
        </w:rPr>
        <w:t>Westpac's</w:t>
      </w:r>
      <w:r w:rsidRPr="00514C1E">
        <w:rPr>
          <w:rFonts w:ascii="Times New Roman" w:hAnsi="Times New Roman"/>
        </w:rPr>
        <w:t xml:space="preserve"> phone call</w:t>
      </w:r>
      <w:r w:rsidR="003B436C" w:rsidRPr="00514C1E">
        <w:rPr>
          <w:rFonts w:ascii="Times New Roman" w:hAnsi="Times New Roman"/>
        </w:rPr>
        <w:t>s</w:t>
      </w:r>
      <w:r w:rsidRPr="00514C1E">
        <w:rPr>
          <w:rFonts w:ascii="Times New Roman" w:hAnsi="Times New Roman"/>
        </w:rPr>
        <w:t xml:space="preserve"> </w:t>
      </w:r>
      <w:r w:rsidR="00C37A28" w:rsidRPr="00514C1E">
        <w:rPr>
          <w:rFonts w:ascii="Times New Roman" w:hAnsi="Times New Roman"/>
        </w:rPr>
        <w:t>to</w:t>
      </w:r>
      <w:r w:rsidRPr="00514C1E">
        <w:rPr>
          <w:rFonts w:ascii="Times New Roman" w:hAnsi="Times New Roman"/>
        </w:rPr>
        <w:t xml:space="preserve"> the </w:t>
      </w:r>
      <w:r w:rsidR="003B436C" w:rsidRPr="00514C1E">
        <w:rPr>
          <w:rFonts w:ascii="Times New Roman" w:hAnsi="Times New Roman"/>
        </w:rPr>
        <w:t xml:space="preserve">members. In these circumstances, a reasonable person in </w:t>
      </w:r>
      <w:r w:rsidR="006244F9" w:rsidRPr="00514C1E">
        <w:rPr>
          <w:rFonts w:ascii="Times New Roman" w:hAnsi="Times New Roman"/>
        </w:rPr>
        <w:t xml:space="preserve">a member's position </w:t>
      </w:r>
      <w:r w:rsidR="00E37E4A" w:rsidRPr="00514C1E">
        <w:rPr>
          <w:rFonts w:ascii="Times New Roman" w:hAnsi="Times New Roman"/>
        </w:rPr>
        <w:t>might well have</w:t>
      </w:r>
      <w:r w:rsidR="00AE16C1" w:rsidRPr="00514C1E">
        <w:rPr>
          <w:rFonts w:ascii="Times New Roman" w:hAnsi="Times New Roman"/>
        </w:rPr>
        <w:t xml:space="preserve"> </w:t>
      </w:r>
      <w:r w:rsidR="00E37E4A" w:rsidRPr="00514C1E">
        <w:rPr>
          <w:rFonts w:ascii="Times New Roman" w:hAnsi="Times New Roman"/>
        </w:rPr>
        <w:t xml:space="preserve">seen the </w:t>
      </w:r>
      <w:r w:rsidR="00075CD4" w:rsidRPr="00514C1E">
        <w:rPr>
          <w:rFonts w:ascii="Times New Roman" w:hAnsi="Times New Roman"/>
        </w:rPr>
        <w:t xml:space="preserve">benefit to Westpac of </w:t>
      </w:r>
      <w:r w:rsidR="00E37E4A" w:rsidRPr="00514C1E">
        <w:rPr>
          <w:rFonts w:ascii="Times New Roman" w:hAnsi="Times New Roman"/>
        </w:rPr>
        <w:t>provision of the roll</w:t>
      </w:r>
      <w:r w:rsidR="00E37E4A" w:rsidRPr="00514C1E">
        <w:rPr>
          <w:rFonts w:ascii="Times New Roman" w:hAnsi="Times New Roman"/>
        </w:rPr>
        <w:noBreakHyphen/>
        <w:t xml:space="preserve">over service as attributable either to fees already paid </w:t>
      </w:r>
      <w:r w:rsidR="00042543" w:rsidRPr="00514C1E">
        <w:rPr>
          <w:rFonts w:ascii="Times New Roman" w:hAnsi="Times New Roman"/>
        </w:rPr>
        <w:t xml:space="preserve">by </w:t>
      </w:r>
      <w:r w:rsidR="0051769D" w:rsidRPr="00514C1E">
        <w:rPr>
          <w:rFonts w:ascii="Times New Roman" w:hAnsi="Times New Roman"/>
        </w:rPr>
        <w:t>the</w:t>
      </w:r>
      <w:r w:rsidR="00042543" w:rsidRPr="00514C1E">
        <w:rPr>
          <w:rFonts w:ascii="Times New Roman" w:hAnsi="Times New Roman"/>
        </w:rPr>
        <w:t xml:space="preserve"> member </w:t>
      </w:r>
      <w:r w:rsidR="00E37E4A" w:rsidRPr="00514C1E">
        <w:rPr>
          <w:rFonts w:ascii="Times New Roman" w:hAnsi="Times New Roman"/>
        </w:rPr>
        <w:t xml:space="preserve">or to </w:t>
      </w:r>
      <w:r w:rsidR="00042543" w:rsidRPr="00514C1E">
        <w:rPr>
          <w:rFonts w:ascii="Times New Roman" w:hAnsi="Times New Roman"/>
        </w:rPr>
        <w:t xml:space="preserve">Westpac's </w:t>
      </w:r>
      <w:r w:rsidR="00E37E4A" w:rsidRPr="00514C1E">
        <w:rPr>
          <w:rFonts w:ascii="Times New Roman" w:hAnsi="Times New Roman"/>
        </w:rPr>
        <w:t>business development.</w:t>
      </w:r>
    </w:p>
    <w:p w14:paraId="58E31B2E" w14:textId="74B10A50" w:rsidR="008B17C9" w:rsidRPr="00514C1E" w:rsidRDefault="008B17C9"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810CD0" w:rsidRPr="00514C1E">
        <w:rPr>
          <w:rFonts w:ascii="Times New Roman" w:hAnsi="Times New Roman"/>
        </w:rPr>
        <w:t xml:space="preserve">As to the third consideration, </w:t>
      </w:r>
      <w:r w:rsidR="0033572D" w:rsidRPr="00514C1E">
        <w:rPr>
          <w:rFonts w:ascii="Times New Roman" w:hAnsi="Times New Roman"/>
        </w:rPr>
        <w:t xml:space="preserve">the </w:t>
      </w:r>
      <w:r w:rsidRPr="00514C1E">
        <w:rPr>
          <w:rFonts w:ascii="Times New Roman" w:hAnsi="Times New Roman"/>
        </w:rPr>
        <w:t xml:space="preserve">circumstance that the Westpac callers </w:t>
      </w:r>
      <w:r w:rsidR="0033572D" w:rsidRPr="00514C1E">
        <w:rPr>
          <w:rFonts w:ascii="Times New Roman" w:hAnsi="Times New Roman"/>
        </w:rPr>
        <w:t xml:space="preserve">at times </w:t>
      </w:r>
      <w:r w:rsidRPr="00514C1E">
        <w:rPr>
          <w:rFonts w:ascii="Times New Roman" w:hAnsi="Times New Roman"/>
        </w:rPr>
        <w:t xml:space="preserve">revealed a lack of comprehensive knowledge of the </w:t>
      </w:r>
      <w:r w:rsidR="0033572D" w:rsidRPr="00514C1E">
        <w:rPr>
          <w:rFonts w:ascii="Times New Roman" w:hAnsi="Times New Roman"/>
        </w:rPr>
        <w:t>member</w:t>
      </w:r>
      <w:r w:rsidR="000A563E" w:rsidRPr="00514C1E">
        <w:rPr>
          <w:rFonts w:ascii="Times New Roman" w:hAnsi="Times New Roman"/>
        </w:rPr>
        <w:t>s'</w:t>
      </w:r>
      <w:r w:rsidRPr="00514C1E">
        <w:rPr>
          <w:rFonts w:ascii="Times New Roman" w:hAnsi="Times New Roman"/>
        </w:rPr>
        <w:t xml:space="preserve"> financial </w:t>
      </w:r>
      <w:r w:rsidR="009A4E7D" w:rsidRPr="00514C1E">
        <w:rPr>
          <w:rFonts w:ascii="Times New Roman" w:hAnsi="Times New Roman"/>
        </w:rPr>
        <w:t xml:space="preserve">affairs </w:t>
      </w:r>
      <w:r w:rsidRPr="00514C1E">
        <w:rPr>
          <w:rFonts w:ascii="Times New Roman" w:hAnsi="Times New Roman"/>
        </w:rPr>
        <w:t xml:space="preserve">was </w:t>
      </w:r>
      <w:r w:rsidR="00BC46B2" w:rsidRPr="00514C1E">
        <w:rPr>
          <w:rFonts w:ascii="Times New Roman" w:hAnsi="Times New Roman"/>
        </w:rPr>
        <w:t>not</w:t>
      </w:r>
      <w:r w:rsidRPr="00514C1E">
        <w:rPr>
          <w:rFonts w:ascii="Times New Roman" w:hAnsi="Times New Roman"/>
        </w:rPr>
        <w:t xml:space="preserve"> inconsistent with </w:t>
      </w:r>
      <w:r w:rsidR="00B71093" w:rsidRPr="00514C1E">
        <w:rPr>
          <w:rFonts w:ascii="Times New Roman" w:hAnsi="Times New Roman"/>
        </w:rPr>
        <w:t xml:space="preserve">an expectation that the </w:t>
      </w:r>
      <w:r w:rsidR="000A563E" w:rsidRPr="00514C1E">
        <w:rPr>
          <w:rFonts w:ascii="Times New Roman" w:hAnsi="Times New Roman"/>
        </w:rPr>
        <w:t>members</w:t>
      </w:r>
      <w:r w:rsidR="00CF0FC2" w:rsidRPr="00514C1E">
        <w:rPr>
          <w:rFonts w:ascii="Times New Roman" w:hAnsi="Times New Roman"/>
        </w:rPr>
        <w:t>'</w:t>
      </w:r>
      <w:r w:rsidR="00B71093" w:rsidRPr="00514C1E">
        <w:rPr>
          <w:rFonts w:ascii="Times New Roman" w:hAnsi="Times New Roman"/>
        </w:rPr>
        <w:t xml:space="preserve"> objectives were </w:t>
      </w:r>
      <w:r w:rsidR="00B329F8" w:rsidRPr="00514C1E">
        <w:rPr>
          <w:rFonts w:ascii="Times New Roman" w:hAnsi="Times New Roman"/>
        </w:rPr>
        <w:t>t</w:t>
      </w:r>
      <w:r w:rsidR="00B71093" w:rsidRPr="00514C1E">
        <w:rPr>
          <w:rFonts w:ascii="Times New Roman" w:hAnsi="Times New Roman"/>
        </w:rPr>
        <w:t xml:space="preserve">aken into account by Westpac in recommending </w:t>
      </w:r>
      <w:r w:rsidR="00CF0FC2" w:rsidRPr="00514C1E">
        <w:rPr>
          <w:rFonts w:ascii="Times New Roman" w:hAnsi="Times New Roman"/>
        </w:rPr>
        <w:t xml:space="preserve">acceptance </w:t>
      </w:r>
      <w:r w:rsidR="00B71093" w:rsidRPr="00514C1E">
        <w:rPr>
          <w:rFonts w:ascii="Times New Roman" w:hAnsi="Times New Roman"/>
        </w:rPr>
        <w:t>of its roll</w:t>
      </w:r>
      <w:r w:rsidR="00B71093" w:rsidRPr="00514C1E">
        <w:rPr>
          <w:rFonts w:ascii="Times New Roman" w:hAnsi="Times New Roman"/>
        </w:rPr>
        <w:noBreakHyphen/>
        <w:t>over service.</w:t>
      </w:r>
      <w:r w:rsidR="00B329F8" w:rsidRPr="00514C1E">
        <w:rPr>
          <w:rFonts w:ascii="Times New Roman" w:hAnsi="Times New Roman"/>
        </w:rPr>
        <w:t xml:space="preserve"> </w:t>
      </w:r>
      <w:r w:rsidR="002176F0" w:rsidRPr="00514C1E">
        <w:rPr>
          <w:rFonts w:ascii="Times New Roman" w:hAnsi="Times New Roman"/>
        </w:rPr>
        <w:t xml:space="preserve">Nothing in the text or context of s 766B(3) conveys any suggestion that advice is personal advice for the purposes of the regulatory scheme of the Act only if it is comprehensive of the totality of the objectives, financial situation </w:t>
      </w:r>
      <w:r w:rsidR="003B1EAA" w:rsidRPr="00514C1E">
        <w:rPr>
          <w:rFonts w:ascii="Times New Roman" w:hAnsi="Times New Roman"/>
        </w:rPr>
        <w:t xml:space="preserve">and </w:t>
      </w:r>
      <w:r w:rsidR="002176F0" w:rsidRPr="00514C1E">
        <w:rPr>
          <w:rFonts w:ascii="Times New Roman" w:hAnsi="Times New Roman"/>
        </w:rPr>
        <w:t xml:space="preserve">needs of the client. </w:t>
      </w:r>
      <w:r w:rsidR="008A3EFE" w:rsidRPr="00514C1E">
        <w:rPr>
          <w:rFonts w:ascii="Times New Roman" w:hAnsi="Times New Roman"/>
        </w:rPr>
        <w:t xml:space="preserve">Indeed, to the contrary, s 766B(3) expressly provides that personal advice has been given where "the provider of the advice has considered </w:t>
      </w:r>
      <w:r w:rsidR="008A3EFE" w:rsidRPr="00514C1E">
        <w:rPr>
          <w:rFonts w:ascii="Times New Roman" w:hAnsi="Times New Roman"/>
          <w:i/>
          <w:iCs/>
        </w:rPr>
        <w:t xml:space="preserve">one </w:t>
      </w:r>
      <w:r w:rsidR="006A40A2" w:rsidRPr="00514C1E">
        <w:rPr>
          <w:rFonts w:ascii="Times New Roman" w:hAnsi="Times New Roman"/>
          <w:i/>
          <w:iCs/>
        </w:rPr>
        <w:t xml:space="preserve">or more </w:t>
      </w:r>
      <w:r w:rsidR="006A40A2" w:rsidRPr="00514C1E">
        <w:rPr>
          <w:rFonts w:ascii="Times New Roman" w:hAnsi="Times New Roman"/>
        </w:rPr>
        <w:t>of the person's objectives, financial situation and needs"</w:t>
      </w:r>
      <w:r w:rsidR="00F029F4" w:rsidRPr="00514C1E">
        <w:rPr>
          <w:rFonts w:ascii="Times New Roman" w:hAnsi="Times New Roman"/>
        </w:rPr>
        <w:t>;</w:t>
      </w:r>
      <w:r w:rsidR="006A40A2" w:rsidRPr="00514C1E">
        <w:rPr>
          <w:rFonts w:ascii="Times New Roman" w:hAnsi="Times New Roman"/>
        </w:rPr>
        <w:t xml:space="preserve"> it does not provide that the provider must have considered </w:t>
      </w:r>
      <w:r w:rsidR="006A40A2" w:rsidRPr="00514C1E">
        <w:rPr>
          <w:rFonts w:ascii="Times New Roman" w:hAnsi="Times New Roman"/>
          <w:i/>
          <w:iCs/>
        </w:rPr>
        <w:t xml:space="preserve">all </w:t>
      </w:r>
      <w:r w:rsidR="006A40A2" w:rsidRPr="00514C1E">
        <w:rPr>
          <w:rFonts w:ascii="Times New Roman" w:hAnsi="Times New Roman"/>
        </w:rPr>
        <w:t xml:space="preserve">of those matters </w:t>
      </w:r>
      <w:r w:rsidR="00880B86" w:rsidRPr="00514C1E">
        <w:rPr>
          <w:rFonts w:ascii="Times New Roman" w:hAnsi="Times New Roman"/>
        </w:rPr>
        <w:t>(emphasis added).</w:t>
      </w:r>
      <w:r w:rsidR="00CB3F3D" w:rsidRPr="00514C1E">
        <w:rPr>
          <w:rFonts w:ascii="Times New Roman" w:hAnsi="Times New Roman"/>
        </w:rPr>
        <w:t xml:space="preserve"> </w:t>
      </w:r>
      <w:r w:rsidR="00075CD4" w:rsidRPr="00514C1E">
        <w:rPr>
          <w:rFonts w:ascii="Times New Roman" w:hAnsi="Times New Roman"/>
        </w:rPr>
        <w:t xml:space="preserve">In addition, as a matter of fact, </w:t>
      </w:r>
      <w:r w:rsidR="001B12A1" w:rsidRPr="00514C1E">
        <w:rPr>
          <w:rFonts w:ascii="Times New Roman" w:hAnsi="Times New Roman"/>
        </w:rPr>
        <w:t>t</w:t>
      </w:r>
      <w:r w:rsidRPr="00514C1E">
        <w:rPr>
          <w:rFonts w:ascii="Times New Roman" w:hAnsi="Times New Roman"/>
        </w:rPr>
        <w:t>he social proofing technique</w:t>
      </w:r>
      <w:r w:rsidR="003905C6" w:rsidRPr="00514C1E">
        <w:rPr>
          <w:rFonts w:ascii="Times New Roman" w:hAnsi="Times New Roman"/>
        </w:rPr>
        <w:t xml:space="preserve"> </w:t>
      </w:r>
      <w:r w:rsidRPr="00514C1E">
        <w:rPr>
          <w:rFonts w:ascii="Times New Roman" w:hAnsi="Times New Roman"/>
        </w:rPr>
        <w:t>used by the Westpac caller</w:t>
      </w:r>
      <w:r w:rsidR="003722B3" w:rsidRPr="00514C1E">
        <w:rPr>
          <w:rFonts w:ascii="Times New Roman" w:hAnsi="Times New Roman"/>
        </w:rPr>
        <w:t>s</w:t>
      </w:r>
      <w:r w:rsidRPr="00514C1E">
        <w:rPr>
          <w:rFonts w:ascii="Times New Roman" w:hAnsi="Times New Roman"/>
        </w:rPr>
        <w:t xml:space="preserve"> </w:t>
      </w:r>
      <w:r w:rsidR="00940BFE" w:rsidRPr="00514C1E">
        <w:rPr>
          <w:rFonts w:ascii="Times New Roman" w:hAnsi="Times New Roman"/>
        </w:rPr>
        <w:t>confirmed</w:t>
      </w:r>
      <w:r w:rsidRPr="00514C1E">
        <w:rPr>
          <w:rFonts w:ascii="Times New Roman" w:hAnsi="Times New Roman"/>
        </w:rPr>
        <w:t xml:space="preserve"> to </w:t>
      </w:r>
      <w:r w:rsidR="003722B3" w:rsidRPr="00514C1E">
        <w:rPr>
          <w:rFonts w:ascii="Times New Roman" w:hAnsi="Times New Roman"/>
        </w:rPr>
        <w:t xml:space="preserve">each member </w:t>
      </w:r>
      <w:r w:rsidRPr="00514C1E">
        <w:rPr>
          <w:rFonts w:ascii="Times New Roman" w:hAnsi="Times New Roman"/>
        </w:rPr>
        <w:t xml:space="preserve">that Westpac was familiar with objectives identified by </w:t>
      </w:r>
      <w:r w:rsidR="00F174EA" w:rsidRPr="00514C1E">
        <w:rPr>
          <w:rFonts w:ascii="Times New Roman" w:hAnsi="Times New Roman"/>
        </w:rPr>
        <w:t xml:space="preserve">each member </w:t>
      </w:r>
      <w:r w:rsidR="00BB65F8" w:rsidRPr="00514C1E">
        <w:rPr>
          <w:rFonts w:ascii="Times New Roman" w:hAnsi="Times New Roman"/>
        </w:rPr>
        <w:t>as a matter of conventional wisdom</w:t>
      </w:r>
      <w:r w:rsidRPr="00514C1E">
        <w:rPr>
          <w:rFonts w:ascii="Times New Roman" w:hAnsi="Times New Roman"/>
        </w:rPr>
        <w:t xml:space="preserve">. </w:t>
      </w:r>
      <w:r w:rsidR="00336E4D" w:rsidRPr="00514C1E">
        <w:rPr>
          <w:rFonts w:ascii="Times New Roman" w:hAnsi="Times New Roman"/>
        </w:rPr>
        <w:t xml:space="preserve">In this factual context, each member </w:t>
      </w:r>
      <w:r w:rsidR="00591D4C" w:rsidRPr="00514C1E">
        <w:rPr>
          <w:rFonts w:ascii="Times New Roman" w:hAnsi="Times New Roman"/>
        </w:rPr>
        <w:t xml:space="preserve">might reasonably think </w:t>
      </w:r>
      <w:r w:rsidR="00336E4D" w:rsidRPr="00514C1E">
        <w:rPr>
          <w:rFonts w:ascii="Times New Roman" w:hAnsi="Times New Roman"/>
        </w:rPr>
        <w:t xml:space="preserve">that Westpac considered that </w:t>
      </w:r>
      <w:r w:rsidR="002B5ECB" w:rsidRPr="00514C1E">
        <w:rPr>
          <w:rFonts w:ascii="Times New Roman" w:hAnsi="Times New Roman"/>
        </w:rPr>
        <w:t xml:space="preserve">acceptance </w:t>
      </w:r>
      <w:r w:rsidR="00336E4D" w:rsidRPr="00514C1E">
        <w:rPr>
          <w:rFonts w:ascii="Times New Roman" w:hAnsi="Times New Roman"/>
        </w:rPr>
        <w:t>of the roll</w:t>
      </w:r>
      <w:r w:rsidR="00336E4D" w:rsidRPr="00514C1E">
        <w:rPr>
          <w:rFonts w:ascii="Times New Roman" w:hAnsi="Times New Roman"/>
        </w:rPr>
        <w:noBreakHyphen/>
        <w:t xml:space="preserve">over service </w:t>
      </w:r>
      <w:r w:rsidR="002B5ECB" w:rsidRPr="00514C1E">
        <w:rPr>
          <w:rFonts w:ascii="Times New Roman" w:hAnsi="Times New Roman"/>
        </w:rPr>
        <w:t xml:space="preserve">was apt </w:t>
      </w:r>
      <w:r w:rsidR="00336E4D" w:rsidRPr="00514C1E">
        <w:rPr>
          <w:rFonts w:ascii="Times New Roman" w:hAnsi="Times New Roman"/>
        </w:rPr>
        <w:t xml:space="preserve">to realise the objectives </w:t>
      </w:r>
      <w:r w:rsidR="002B5ECB" w:rsidRPr="00514C1E">
        <w:rPr>
          <w:rFonts w:ascii="Times New Roman" w:hAnsi="Times New Roman"/>
        </w:rPr>
        <w:t xml:space="preserve">the member </w:t>
      </w:r>
      <w:r w:rsidR="00336E4D" w:rsidRPr="00514C1E">
        <w:rPr>
          <w:rFonts w:ascii="Times New Roman" w:hAnsi="Times New Roman"/>
        </w:rPr>
        <w:t>had stated</w:t>
      </w:r>
      <w:r w:rsidR="002B5ECB" w:rsidRPr="00514C1E">
        <w:rPr>
          <w:rFonts w:ascii="Times New Roman" w:hAnsi="Times New Roman"/>
        </w:rPr>
        <w:t>, and that this</w:t>
      </w:r>
      <w:r w:rsidR="00336E4D" w:rsidRPr="00514C1E">
        <w:rPr>
          <w:rFonts w:ascii="Times New Roman" w:hAnsi="Times New Roman"/>
        </w:rPr>
        <w:t xml:space="preserve"> justified acceptance </w:t>
      </w:r>
      <w:r w:rsidR="00DE31CF" w:rsidRPr="00514C1E">
        <w:rPr>
          <w:rFonts w:ascii="Times New Roman" w:hAnsi="Times New Roman"/>
        </w:rPr>
        <w:t>of the offer of the roll</w:t>
      </w:r>
      <w:r w:rsidR="00DE31CF" w:rsidRPr="00514C1E">
        <w:rPr>
          <w:rFonts w:ascii="Times New Roman" w:hAnsi="Times New Roman"/>
        </w:rPr>
        <w:noBreakHyphen/>
        <w:t xml:space="preserve">over service </w:t>
      </w:r>
      <w:r w:rsidR="00336E4D" w:rsidRPr="00514C1E">
        <w:rPr>
          <w:rFonts w:ascii="Times New Roman" w:hAnsi="Times New Roman"/>
        </w:rPr>
        <w:t xml:space="preserve">regardless of what more comprehensive </w:t>
      </w:r>
      <w:r w:rsidR="00587643" w:rsidRPr="00514C1E">
        <w:rPr>
          <w:rFonts w:ascii="Times New Roman" w:hAnsi="Times New Roman"/>
        </w:rPr>
        <w:t xml:space="preserve">consideration of </w:t>
      </w:r>
      <w:r w:rsidR="00336E4D" w:rsidRPr="00514C1E">
        <w:rPr>
          <w:rFonts w:ascii="Times New Roman" w:hAnsi="Times New Roman"/>
        </w:rPr>
        <w:t>his or her financial situation might reveal</w:t>
      </w:r>
      <w:r w:rsidR="00CD22C5" w:rsidRPr="00514C1E">
        <w:rPr>
          <w:rFonts w:ascii="Times New Roman" w:hAnsi="Times New Roman"/>
        </w:rPr>
        <w:t>.</w:t>
      </w:r>
    </w:p>
    <w:p w14:paraId="0FBC9F00" w14:textId="7BEEA165" w:rsidR="00966AD4" w:rsidRPr="00514C1E" w:rsidRDefault="0069365A"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7A4316" w:rsidRPr="00514C1E">
        <w:rPr>
          <w:rFonts w:ascii="Times New Roman" w:hAnsi="Times New Roman"/>
        </w:rPr>
        <w:t>Westpac argued</w:t>
      </w:r>
      <w:r w:rsidR="00881D2F" w:rsidRPr="00514C1E">
        <w:rPr>
          <w:rFonts w:ascii="Times New Roman" w:hAnsi="Times New Roman"/>
        </w:rPr>
        <w:t xml:space="preserve"> in this Court that the </w:t>
      </w:r>
      <w:r w:rsidR="00976B41" w:rsidRPr="00514C1E">
        <w:rPr>
          <w:rFonts w:ascii="Times New Roman" w:hAnsi="Times New Roman"/>
        </w:rPr>
        <w:t xml:space="preserve">members' </w:t>
      </w:r>
      <w:r w:rsidR="00881D2F" w:rsidRPr="00514C1E">
        <w:rPr>
          <w:rFonts w:ascii="Times New Roman" w:hAnsi="Times New Roman"/>
        </w:rPr>
        <w:t xml:space="preserve">objectives identified and discussed in the phone calls were "highly generic and </w:t>
      </w:r>
      <w:r w:rsidR="00B71A44" w:rsidRPr="00514C1E">
        <w:rPr>
          <w:rFonts w:ascii="Times New Roman" w:hAnsi="Times New Roman"/>
        </w:rPr>
        <w:t xml:space="preserve">... </w:t>
      </w:r>
      <w:r w:rsidR="00881D2F" w:rsidRPr="00514C1E">
        <w:rPr>
          <w:rFonts w:ascii="Times New Roman" w:hAnsi="Times New Roman"/>
        </w:rPr>
        <w:t>obviously correct"</w:t>
      </w:r>
      <w:r w:rsidR="00976B41" w:rsidRPr="00514C1E">
        <w:rPr>
          <w:rFonts w:ascii="Times New Roman" w:hAnsi="Times New Roman"/>
        </w:rPr>
        <w:t xml:space="preserve"> and that, for that reason, financial product advice that took </w:t>
      </w:r>
      <w:r w:rsidR="00880B86" w:rsidRPr="00514C1E">
        <w:rPr>
          <w:rFonts w:ascii="Times New Roman" w:hAnsi="Times New Roman"/>
        </w:rPr>
        <w:t>those objectives</w:t>
      </w:r>
      <w:r w:rsidR="00976B41" w:rsidRPr="00514C1E">
        <w:rPr>
          <w:rFonts w:ascii="Times New Roman" w:hAnsi="Times New Roman"/>
        </w:rPr>
        <w:t xml:space="preserve"> into account was not apt to give rise to an expectation that </w:t>
      </w:r>
      <w:r w:rsidR="00FD7B98" w:rsidRPr="00514C1E">
        <w:rPr>
          <w:rFonts w:ascii="Times New Roman" w:hAnsi="Times New Roman"/>
        </w:rPr>
        <w:t>the advice</w:t>
      </w:r>
      <w:r w:rsidR="00976B41" w:rsidRPr="00514C1E">
        <w:rPr>
          <w:rFonts w:ascii="Times New Roman" w:hAnsi="Times New Roman"/>
        </w:rPr>
        <w:t xml:space="preserve"> was based on one or more of the personal objectives, financial situation and needs of any of the members</w:t>
      </w:r>
      <w:r w:rsidR="00BC1B12" w:rsidRPr="00514C1E">
        <w:rPr>
          <w:rFonts w:ascii="Times New Roman" w:hAnsi="Times New Roman"/>
        </w:rPr>
        <w:t xml:space="preserve">. </w:t>
      </w:r>
      <w:r w:rsidR="00F73F82" w:rsidRPr="00514C1E">
        <w:rPr>
          <w:rFonts w:ascii="Times New Roman" w:hAnsi="Times New Roman"/>
        </w:rPr>
        <w:t>But this argument seeks impermissibly to gloss</w:t>
      </w:r>
      <w:r w:rsidR="00612B1B" w:rsidRPr="00514C1E">
        <w:rPr>
          <w:rFonts w:ascii="Times New Roman" w:hAnsi="Times New Roman"/>
        </w:rPr>
        <w:t xml:space="preserve"> the language of the statute. </w:t>
      </w:r>
      <w:r w:rsidR="00207A69" w:rsidRPr="00514C1E">
        <w:rPr>
          <w:rFonts w:ascii="Times New Roman" w:hAnsi="Times New Roman"/>
        </w:rPr>
        <w:t xml:space="preserve">Objectives do not cease to be personal objectives merely because those objectives are such as to be generally applicable to all or most </w:t>
      </w:r>
      <w:r w:rsidR="00B71A44" w:rsidRPr="00514C1E">
        <w:rPr>
          <w:rFonts w:ascii="Times New Roman" w:hAnsi="Times New Roman"/>
        </w:rPr>
        <w:t xml:space="preserve">persons </w:t>
      </w:r>
      <w:r w:rsidR="00207A69" w:rsidRPr="00514C1E">
        <w:rPr>
          <w:rFonts w:ascii="Times New Roman" w:hAnsi="Times New Roman"/>
        </w:rPr>
        <w:t xml:space="preserve">in the position of the </w:t>
      </w:r>
      <w:r w:rsidR="004D35E9" w:rsidRPr="00514C1E">
        <w:rPr>
          <w:rFonts w:ascii="Times New Roman" w:hAnsi="Times New Roman"/>
        </w:rPr>
        <w:t xml:space="preserve">client </w:t>
      </w:r>
      <w:r w:rsidR="00207A69" w:rsidRPr="00514C1E">
        <w:rPr>
          <w:rFonts w:ascii="Times New Roman" w:hAnsi="Times New Roman"/>
        </w:rPr>
        <w:t xml:space="preserve">as well </w:t>
      </w:r>
      <w:r w:rsidR="00DE5DFB" w:rsidRPr="00514C1E">
        <w:rPr>
          <w:rFonts w:ascii="Times New Roman" w:hAnsi="Times New Roman"/>
        </w:rPr>
        <w:t>as to the particular</w:t>
      </w:r>
      <w:r w:rsidR="005E445C" w:rsidRPr="00514C1E">
        <w:rPr>
          <w:rFonts w:ascii="Times New Roman" w:hAnsi="Times New Roman"/>
        </w:rPr>
        <w:t xml:space="preserve"> client</w:t>
      </w:r>
      <w:r w:rsidR="00DE5DFB" w:rsidRPr="00514C1E">
        <w:rPr>
          <w:rFonts w:ascii="Times New Roman" w:hAnsi="Times New Roman"/>
        </w:rPr>
        <w:t xml:space="preserve">. It follows that advice </w:t>
      </w:r>
      <w:r w:rsidRPr="00514C1E">
        <w:rPr>
          <w:rFonts w:ascii="Times New Roman" w:hAnsi="Times New Roman"/>
        </w:rPr>
        <w:t>which is</w:t>
      </w:r>
      <w:r w:rsidR="00612B1B" w:rsidRPr="00514C1E">
        <w:rPr>
          <w:rFonts w:ascii="Times New Roman" w:hAnsi="Times New Roman"/>
        </w:rPr>
        <w:t xml:space="preserve"> </w:t>
      </w:r>
      <w:r w:rsidR="0064701B" w:rsidRPr="00514C1E">
        <w:rPr>
          <w:rFonts w:ascii="Times New Roman" w:hAnsi="Times New Roman"/>
        </w:rPr>
        <w:t xml:space="preserve">personal advice </w:t>
      </w:r>
      <w:r w:rsidR="00612B1B" w:rsidRPr="00514C1E">
        <w:rPr>
          <w:rFonts w:ascii="Times New Roman" w:hAnsi="Times New Roman"/>
        </w:rPr>
        <w:t xml:space="preserve">within </w:t>
      </w:r>
      <w:r w:rsidR="00670F79" w:rsidRPr="00514C1E">
        <w:rPr>
          <w:rFonts w:ascii="Times New Roman" w:hAnsi="Times New Roman"/>
        </w:rPr>
        <w:t>s </w:t>
      </w:r>
      <w:r w:rsidR="001C349E" w:rsidRPr="00514C1E">
        <w:rPr>
          <w:rFonts w:ascii="Times New Roman" w:hAnsi="Times New Roman"/>
        </w:rPr>
        <w:t>766B(3)(b)</w:t>
      </w:r>
      <w:r w:rsidR="000741F2" w:rsidRPr="00514C1E">
        <w:rPr>
          <w:rFonts w:ascii="Times New Roman" w:hAnsi="Times New Roman"/>
        </w:rPr>
        <w:t xml:space="preserve"> </w:t>
      </w:r>
      <w:r w:rsidRPr="00514C1E">
        <w:rPr>
          <w:rFonts w:ascii="Times New Roman" w:hAnsi="Times New Roman"/>
        </w:rPr>
        <w:t xml:space="preserve">does not cease to be </w:t>
      </w:r>
      <w:r w:rsidR="005D4709" w:rsidRPr="00514C1E">
        <w:rPr>
          <w:rFonts w:ascii="Times New Roman" w:hAnsi="Times New Roman"/>
        </w:rPr>
        <w:t xml:space="preserve">so </w:t>
      </w:r>
      <w:r w:rsidRPr="00514C1E">
        <w:rPr>
          <w:rFonts w:ascii="Times New Roman" w:hAnsi="Times New Roman"/>
        </w:rPr>
        <w:t xml:space="preserve">because </w:t>
      </w:r>
      <w:r w:rsidR="000741F2" w:rsidRPr="00514C1E">
        <w:rPr>
          <w:rFonts w:ascii="Times New Roman" w:hAnsi="Times New Roman"/>
        </w:rPr>
        <w:t xml:space="preserve">the </w:t>
      </w:r>
      <w:r w:rsidRPr="00514C1E">
        <w:rPr>
          <w:rFonts w:ascii="Times New Roman" w:hAnsi="Times New Roman"/>
        </w:rPr>
        <w:t xml:space="preserve">content </w:t>
      </w:r>
      <w:r w:rsidR="000741F2" w:rsidRPr="00514C1E">
        <w:rPr>
          <w:rFonts w:ascii="Times New Roman" w:hAnsi="Times New Roman"/>
        </w:rPr>
        <w:t xml:space="preserve">of that advice </w:t>
      </w:r>
      <w:r w:rsidRPr="00514C1E">
        <w:rPr>
          <w:rFonts w:ascii="Times New Roman" w:hAnsi="Times New Roman"/>
        </w:rPr>
        <w:t xml:space="preserve">is such as to be generally </w:t>
      </w:r>
      <w:r w:rsidR="00FF067F" w:rsidRPr="00514C1E">
        <w:rPr>
          <w:rFonts w:ascii="Times New Roman" w:hAnsi="Times New Roman"/>
        </w:rPr>
        <w:t xml:space="preserve">applicable to all or most </w:t>
      </w:r>
      <w:r w:rsidR="00242CBC" w:rsidRPr="00514C1E">
        <w:rPr>
          <w:rFonts w:ascii="Times New Roman" w:hAnsi="Times New Roman"/>
        </w:rPr>
        <w:t xml:space="preserve">persons in the position of the </w:t>
      </w:r>
      <w:r w:rsidR="00C6769C" w:rsidRPr="00514C1E">
        <w:rPr>
          <w:rFonts w:ascii="Times New Roman" w:hAnsi="Times New Roman"/>
        </w:rPr>
        <w:t xml:space="preserve">client </w:t>
      </w:r>
      <w:r w:rsidR="005A403D" w:rsidRPr="00514C1E">
        <w:rPr>
          <w:rFonts w:ascii="Times New Roman" w:hAnsi="Times New Roman"/>
        </w:rPr>
        <w:t>as well as to</w:t>
      </w:r>
      <w:r w:rsidR="003C2BA2" w:rsidRPr="00514C1E">
        <w:rPr>
          <w:rFonts w:ascii="Times New Roman" w:hAnsi="Times New Roman"/>
        </w:rPr>
        <w:t xml:space="preserve"> the particular</w:t>
      </w:r>
      <w:r w:rsidR="00FF067F" w:rsidRPr="00514C1E">
        <w:rPr>
          <w:rFonts w:ascii="Times New Roman" w:hAnsi="Times New Roman"/>
        </w:rPr>
        <w:t xml:space="preserve"> </w:t>
      </w:r>
      <w:r w:rsidR="00D537E7" w:rsidRPr="00514C1E">
        <w:rPr>
          <w:rFonts w:ascii="Times New Roman" w:hAnsi="Times New Roman"/>
        </w:rPr>
        <w:t>client.</w:t>
      </w:r>
      <w:r w:rsidR="00966AD4" w:rsidRPr="00514C1E">
        <w:rPr>
          <w:rFonts w:ascii="Times New Roman" w:hAnsi="Times New Roman"/>
        </w:rPr>
        <w:t xml:space="preserve"> </w:t>
      </w:r>
    </w:p>
    <w:p w14:paraId="76AB7C7C" w14:textId="7EBC2640" w:rsidR="009052ED" w:rsidRPr="00514C1E" w:rsidRDefault="00966AD4"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DF2A71" w:rsidRPr="00514C1E">
        <w:rPr>
          <w:rFonts w:ascii="Times New Roman" w:hAnsi="Times New Roman"/>
        </w:rPr>
        <w:t>The</w:t>
      </w:r>
      <w:r w:rsidR="004B2AC7" w:rsidRPr="00514C1E">
        <w:rPr>
          <w:rFonts w:ascii="Times New Roman" w:hAnsi="Times New Roman"/>
        </w:rPr>
        <w:t xml:space="preserve"> social proofing technique deployed by Westpac served to confirm</w:t>
      </w:r>
      <w:r w:rsidR="00BC631D" w:rsidRPr="00514C1E">
        <w:rPr>
          <w:rFonts w:ascii="Times New Roman" w:hAnsi="Times New Roman"/>
        </w:rPr>
        <w:t>,</w:t>
      </w:r>
      <w:r w:rsidR="004B2AC7" w:rsidRPr="00514C1E">
        <w:rPr>
          <w:rFonts w:ascii="Times New Roman" w:hAnsi="Times New Roman"/>
        </w:rPr>
        <w:t xml:space="preserve"> </w:t>
      </w:r>
      <w:r w:rsidR="000A42EB" w:rsidRPr="00514C1E">
        <w:rPr>
          <w:rFonts w:ascii="Times New Roman" w:hAnsi="Times New Roman"/>
        </w:rPr>
        <w:t>by reference to the common experience of like</w:t>
      </w:r>
      <w:r w:rsidR="000A42EB" w:rsidRPr="00514C1E">
        <w:rPr>
          <w:rFonts w:ascii="Times New Roman" w:hAnsi="Times New Roman"/>
        </w:rPr>
        <w:noBreakHyphen/>
        <w:t xml:space="preserve">placed others, </w:t>
      </w:r>
      <w:r w:rsidR="004B2AC7" w:rsidRPr="00514C1E">
        <w:rPr>
          <w:rFonts w:ascii="Times New Roman" w:hAnsi="Times New Roman"/>
        </w:rPr>
        <w:t xml:space="preserve">that consolidation of </w:t>
      </w:r>
      <w:r w:rsidR="00D537E7" w:rsidRPr="00514C1E">
        <w:rPr>
          <w:rFonts w:ascii="Times New Roman" w:hAnsi="Times New Roman"/>
        </w:rPr>
        <w:lastRenderedPageBreak/>
        <w:t xml:space="preserve">each </w:t>
      </w:r>
      <w:r w:rsidR="004B2AC7" w:rsidRPr="00514C1E">
        <w:rPr>
          <w:rFonts w:ascii="Times New Roman" w:hAnsi="Times New Roman"/>
        </w:rPr>
        <w:t xml:space="preserve">particular </w:t>
      </w:r>
      <w:r w:rsidR="000A42EB" w:rsidRPr="00514C1E">
        <w:rPr>
          <w:rFonts w:ascii="Times New Roman" w:hAnsi="Times New Roman"/>
        </w:rPr>
        <w:t>member</w:t>
      </w:r>
      <w:r w:rsidR="002C6358" w:rsidRPr="00514C1E">
        <w:rPr>
          <w:rFonts w:ascii="Times New Roman" w:hAnsi="Times New Roman"/>
        </w:rPr>
        <w:t>'s</w:t>
      </w:r>
      <w:r w:rsidR="004B2AC7" w:rsidRPr="00514C1E">
        <w:rPr>
          <w:rFonts w:ascii="Times New Roman" w:hAnsi="Times New Roman"/>
        </w:rPr>
        <w:t xml:space="preserve"> external superannuation accounts was appropriate to </w:t>
      </w:r>
      <w:r w:rsidR="002C6358" w:rsidRPr="00514C1E">
        <w:rPr>
          <w:rFonts w:ascii="Times New Roman" w:hAnsi="Times New Roman"/>
        </w:rPr>
        <w:t>achieve that member's personal objectives of reducing fees and improving manageability.</w:t>
      </w:r>
      <w:r w:rsidR="004B2AC7" w:rsidRPr="00514C1E">
        <w:rPr>
          <w:rFonts w:ascii="Times New Roman" w:hAnsi="Times New Roman"/>
        </w:rPr>
        <w:t xml:space="preserve"> Those very objectives had been identified by the discussion which the Westpac caller elicited in the phone call itself as matters of concern pertaining to that particular</w:t>
      </w:r>
      <w:r w:rsidR="00F21A53" w:rsidRPr="00514C1E">
        <w:rPr>
          <w:rFonts w:ascii="Times New Roman" w:hAnsi="Times New Roman"/>
        </w:rPr>
        <w:t xml:space="preserve"> member</w:t>
      </w:r>
      <w:r w:rsidR="004B2AC7" w:rsidRPr="00514C1E">
        <w:rPr>
          <w:rFonts w:ascii="Times New Roman" w:hAnsi="Times New Roman"/>
        </w:rPr>
        <w:t>.</w:t>
      </w:r>
      <w:r w:rsidR="00AC4858" w:rsidRPr="00514C1E">
        <w:rPr>
          <w:rFonts w:ascii="Times New Roman" w:hAnsi="Times New Roman"/>
        </w:rPr>
        <w:t xml:space="preserve"> By segueing into an offer to effect the roll</w:t>
      </w:r>
      <w:r w:rsidR="00E07629" w:rsidRPr="00514C1E">
        <w:rPr>
          <w:rFonts w:ascii="Times New Roman" w:hAnsi="Times New Roman"/>
        </w:rPr>
        <w:noBreakHyphen/>
      </w:r>
      <w:r w:rsidR="00AC4858" w:rsidRPr="00514C1E">
        <w:rPr>
          <w:rFonts w:ascii="Times New Roman" w:hAnsi="Times New Roman"/>
        </w:rPr>
        <w:t xml:space="preserve">over, Westpac's callers implicitly recommended that each member accept the offer </w:t>
      </w:r>
      <w:r w:rsidR="00AA1B72" w:rsidRPr="00514C1E">
        <w:rPr>
          <w:rFonts w:ascii="Times New Roman" w:hAnsi="Times New Roman"/>
        </w:rPr>
        <w:t>there and then</w:t>
      </w:r>
      <w:r w:rsidR="00AC4858" w:rsidRPr="00514C1E">
        <w:rPr>
          <w:rFonts w:ascii="Times New Roman" w:hAnsi="Times New Roman"/>
        </w:rPr>
        <w:t xml:space="preserve"> on the </w:t>
      </w:r>
      <w:r w:rsidR="00ED1A37" w:rsidRPr="00514C1E">
        <w:rPr>
          <w:rFonts w:ascii="Times New Roman" w:hAnsi="Times New Roman"/>
        </w:rPr>
        <w:t xml:space="preserve">evident </w:t>
      </w:r>
      <w:r w:rsidR="00AC4858" w:rsidRPr="00514C1E">
        <w:rPr>
          <w:rFonts w:ascii="Times New Roman" w:hAnsi="Times New Roman"/>
        </w:rPr>
        <w:t xml:space="preserve">footing that his or her interests were being served without any need for further consideration of his or her </w:t>
      </w:r>
      <w:r w:rsidR="00E07629" w:rsidRPr="00514C1E">
        <w:rPr>
          <w:rFonts w:ascii="Times New Roman" w:hAnsi="Times New Roman"/>
        </w:rPr>
        <w:t xml:space="preserve">other </w:t>
      </w:r>
      <w:r w:rsidR="00AC4858" w:rsidRPr="00514C1E">
        <w:rPr>
          <w:rFonts w:ascii="Times New Roman" w:hAnsi="Times New Roman"/>
        </w:rPr>
        <w:t xml:space="preserve">objectives, </w:t>
      </w:r>
      <w:r w:rsidR="007646F2" w:rsidRPr="00514C1E">
        <w:rPr>
          <w:rFonts w:ascii="Times New Roman" w:hAnsi="Times New Roman"/>
        </w:rPr>
        <w:t xml:space="preserve">financial </w:t>
      </w:r>
      <w:r w:rsidR="00AC4858" w:rsidRPr="00514C1E">
        <w:rPr>
          <w:rFonts w:ascii="Times New Roman" w:hAnsi="Times New Roman"/>
        </w:rPr>
        <w:t>situation or needs.</w:t>
      </w:r>
      <w:r w:rsidRPr="00514C1E">
        <w:rPr>
          <w:rFonts w:ascii="Times New Roman" w:hAnsi="Times New Roman"/>
        </w:rPr>
        <w:t xml:space="preserve"> </w:t>
      </w:r>
      <w:r w:rsidR="00157B64" w:rsidRPr="00514C1E">
        <w:rPr>
          <w:rFonts w:ascii="Times New Roman" w:hAnsi="Times New Roman"/>
        </w:rPr>
        <w:t>It is well recognised that "many persons will only absorb the general thrust" of such marketing ploys</w:t>
      </w:r>
      <w:r w:rsidR="00157B64" w:rsidRPr="00F63708">
        <w:rPr>
          <w:rStyle w:val="FootnoteReference"/>
          <w:rFonts w:ascii="Times New Roman" w:hAnsi="Times New Roman"/>
          <w:sz w:val="24"/>
        </w:rPr>
        <w:footnoteReference w:id="11"/>
      </w:r>
      <w:r w:rsidR="00157B64" w:rsidRPr="00514C1E">
        <w:rPr>
          <w:rFonts w:ascii="Times New Roman" w:hAnsi="Times New Roman"/>
        </w:rPr>
        <w:t>.</w:t>
      </w:r>
      <w:r w:rsidR="00186C8D" w:rsidRPr="00514C1E">
        <w:rPr>
          <w:rFonts w:ascii="Times New Roman" w:hAnsi="Times New Roman"/>
        </w:rPr>
        <w:t xml:space="preserve"> </w:t>
      </w:r>
      <w:r w:rsidR="00047B6F" w:rsidRPr="00514C1E">
        <w:rPr>
          <w:rFonts w:ascii="Times New Roman" w:hAnsi="Times New Roman"/>
        </w:rPr>
        <w:t xml:space="preserve">Westpac knew its business and </w:t>
      </w:r>
      <w:r w:rsidR="00503FFA" w:rsidRPr="00514C1E">
        <w:rPr>
          <w:rFonts w:ascii="Times New Roman" w:hAnsi="Times New Roman"/>
        </w:rPr>
        <w:t xml:space="preserve">had reason to be </w:t>
      </w:r>
      <w:r w:rsidR="00047B6F" w:rsidRPr="00514C1E">
        <w:rPr>
          <w:rFonts w:ascii="Times New Roman" w:hAnsi="Times New Roman"/>
        </w:rPr>
        <w:t>confident that its marketing techniques were likely to be effective</w:t>
      </w:r>
      <w:r w:rsidR="00047B6F" w:rsidRPr="00F63708">
        <w:rPr>
          <w:rStyle w:val="FootnoteReference"/>
          <w:rFonts w:ascii="Times New Roman" w:hAnsi="Times New Roman"/>
          <w:sz w:val="24"/>
        </w:rPr>
        <w:footnoteReference w:id="12"/>
      </w:r>
      <w:r w:rsidR="00047B6F" w:rsidRPr="00514C1E">
        <w:rPr>
          <w:rFonts w:ascii="Times New Roman" w:hAnsi="Times New Roman"/>
        </w:rPr>
        <w:t xml:space="preserve">. </w:t>
      </w:r>
    </w:p>
    <w:p w14:paraId="31681D30" w14:textId="131450A0" w:rsidR="0069365A" w:rsidRPr="00514C1E" w:rsidRDefault="009052ED"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047B6F" w:rsidRPr="00514C1E">
        <w:rPr>
          <w:rFonts w:ascii="Times New Roman" w:hAnsi="Times New Roman"/>
        </w:rPr>
        <w:t xml:space="preserve">Each member might reasonably </w:t>
      </w:r>
      <w:r w:rsidR="00F52878" w:rsidRPr="00514C1E">
        <w:rPr>
          <w:rFonts w:ascii="Times New Roman" w:hAnsi="Times New Roman"/>
        </w:rPr>
        <w:t>have expected</w:t>
      </w:r>
      <w:r w:rsidR="00047B6F" w:rsidRPr="00514C1E">
        <w:rPr>
          <w:rFonts w:ascii="Times New Roman" w:hAnsi="Times New Roman"/>
        </w:rPr>
        <w:t xml:space="preserve"> that, given the nature of Westpac's business and its experience and expertise in relation to financial matters like superannuation, Westpac had taken the objectives </w:t>
      </w:r>
      <w:r w:rsidR="000F2A8E" w:rsidRPr="00514C1E">
        <w:rPr>
          <w:rFonts w:ascii="Times New Roman" w:hAnsi="Times New Roman"/>
        </w:rPr>
        <w:t xml:space="preserve">it </w:t>
      </w:r>
      <w:r w:rsidR="00047B6F" w:rsidRPr="00514C1E">
        <w:rPr>
          <w:rFonts w:ascii="Times New Roman" w:hAnsi="Times New Roman"/>
        </w:rPr>
        <w:t xml:space="preserve">had elicited </w:t>
      </w:r>
      <w:r w:rsidR="00413456" w:rsidRPr="00514C1E">
        <w:rPr>
          <w:rFonts w:ascii="Times New Roman" w:hAnsi="Times New Roman"/>
        </w:rPr>
        <w:t xml:space="preserve">from the member </w:t>
      </w:r>
      <w:r w:rsidR="00047B6F" w:rsidRPr="00514C1E">
        <w:rPr>
          <w:rFonts w:ascii="Times New Roman" w:hAnsi="Times New Roman"/>
        </w:rPr>
        <w:t>into account in recommending the roll</w:t>
      </w:r>
      <w:r w:rsidR="00047B6F" w:rsidRPr="00514C1E">
        <w:rPr>
          <w:rFonts w:ascii="Times New Roman" w:hAnsi="Times New Roman"/>
        </w:rPr>
        <w:noBreakHyphen/>
        <w:t xml:space="preserve">over service. </w:t>
      </w:r>
      <w:r w:rsidR="00966AD4" w:rsidRPr="00514C1E">
        <w:rPr>
          <w:rFonts w:ascii="Times New Roman" w:hAnsi="Times New Roman"/>
        </w:rPr>
        <w:t>That is consistent with the recommendation of the service being presented to each member as a "no brainer" having regard to the manifest benefits to each member to be expected from rolling</w:t>
      </w:r>
      <w:r w:rsidR="00644454" w:rsidRPr="00514C1E">
        <w:rPr>
          <w:rFonts w:ascii="Times New Roman" w:hAnsi="Times New Roman"/>
        </w:rPr>
        <w:t xml:space="preserve"> </w:t>
      </w:r>
      <w:r w:rsidR="00966AD4" w:rsidRPr="00514C1E">
        <w:rPr>
          <w:rFonts w:ascii="Times New Roman" w:hAnsi="Times New Roman"/>
        </w:rPr>
        <w:t xml:space="preserve">over into a single Westpac account. Given that Westpac's marketing was apt to create precisely that impression, it can hardly complain that it succeeded. Nor can it sensibly </w:t>
      </w:r>
      <w:r w:rsidR="000D3028" w:rsidRPr="00514C1E">
        <w:rPr>
          <w:rFonts w:ascii="Times New Roman" w:hAnsi="Times New Roman"/>
        </w:rPr>
        <w:t>be suggested</w:t>
      </w:r>
      <w:r w:rsidR="00966AD4" w:rsidRPr="00514C1E">
        <w:rPr>
          <w:rFonts w:ascii="Times New Roman" w:hAnsi="Times New Roman"/>
        </w:rPr>
        <w:t xml:space="preserve"> that the impression so created</w:t>
      </w:r>
      <w:r w:rsidR="0052152C" w:rsidRPr="00514C1E">
        <w:rPr>
          <w:rFonts w:ascii="Times New Roman" w:hAnsi="Times New Roman"/>
        </w:rPr>
        <w:t xml:space="preserve"> </w:t>
      </w:r>
      <w:r w:rsidR="000F2A8E" w:rsidRPr="00514C1E">
        <w:rPr>
          <w:rFonts w:ascii="Times New Roman" w:hAnsi="Times New Roman"/>
        </w:rPr>
        <w:t xml:space="preserve">did not reasonably include </w:t>
      </w:r>
      <w:r w:rsidR="006D3874" w:rsidRPr="00514C1E">
        <w:rPr>
          <w:rFonts w:ascii="Times New Roman" w:hAnsi="Times New Roman"/>
        </w:rPr>
        <w:t xml:space="preserve">an </w:t>
      </w:r>
      <w:r w:rsidR="00966AD4" w:rsidRPr="00514C1E">
        <w:rPr>
          <w:rFonts w:ascii="Times New Roman" w:hAnsi="Times New Roman"/>
        </w:rPr>
        <w:t>expectation on the part of the member that the recommendation was appropriate for him or her as an individual</w:t>
      </w:r>
      <w:r w:rsidR="001F4D08" w:rsidRPr="00514C1E">
        <w:rPr>
          <w:rFonts w:ascii="Times New Roman" w:hAnsi="Times New Roman"/>
        </w:rPr>
        <w:t>.</w:t>
      </w:r>
    </w:p>
    <w:p w14:paraId="786DE766" w14:textId="04945B92" w:rsidR="002E0709" w:rsidRPr="00514C1E" w:rsidRDefault="002E0709" w:rsidP="00514C1E">
      <w:pPr>
        <w:pStyle w:val="HeadingL1"/>
        <w:spacing w:after="260" w:line="280" w:lineRule="exact"/>
        <w:ind w:right="0"/>
        <w:jc w:val="both"/>
        <w:rPr>
          <w:rFonts w:ascii="Times New Roman" w:hAnsi="Times New Roman"/>
        </w:rPr>
      </w:pPr>
      <w:r w:rsidRPr="00514C1E">
        <w:rPr>
          <w:rFonts w:ascii="Times New Roman" w:hAnsi="Times New Roman"/>
        </w:rPr>
        <w:t>"Considered"</w:t>
      </w:r>
    </w:p>
    <w:p w14:paraId="535000FE" w14:textId="7C3C960F" w:rsidR="00C635B8" w:rsidRPr="00514C1E" w:rsidRDefault="00032363"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C635B8" w:rsidRPr="00514C1E">
        <w:rPr>
          <w:rFonts w:ascii="Times New Roman" w:hAnsi="Times New Roman"/>
        </w:rPr>
        <w:t>Westpac argued that "considered" in s 766B(3) refers to an active process of evaluation and reflection, and that the Full Court erred in adopting an "undemanding"</w:t>
      </w:r>
      <w:r w:rsidR="00270408" w:rsidRPr="00514C1E">
        <w:rPr>
          <w:rFonts w:ascii="Times New Roman" w:hAnsi="Times New Roman"/>
        </w:rPr>
        <w:t xml:space="preserve"> understanding of "considered"</w:t>
      </w:r>
      <w:r w:rsidR="00DF5ABF" w:rsidRPr="00514C1E">
        <w:rPr>
          <w:rFonts w:ascii="Times New Roman" w:hAnsi="Times New Roman"/>
        </w:rPr>
        <w:t>. That argument should be rejected. Westpac's argument once again</w:t>
      </w:r>
      <w:r w:rsidR="004437F6" w:rsidRPr="00514C1E">
        <w:rPr>
          <w:rFonts w:ascii="Times New Roman" w:hAnsi="Times New Roman"/>
        </w:rPr>
        <w:t xml:space="preserve"> glosses the statutory language, and does so in a way that renders its application less certain, while, at the same time, blurring its protective operation.</w:t>
      </w:r>
    </w:p>
    <w:p w14:paraId="25E673AD" w14:textId="14D6BB39" w:rsidR="00921743" w:rsidRPr="00514C1E" w:rsidRDefault="00C635B8" w:rsidP="00514C1E">
      <w:pPr>
        <w:pStyle w:val="FixListStyle"/>
        <w:spacing w:after="260" w:line="280" w:lineRule="exact"/>
        <w:ind w:right="0"/>
        <w:jc w:val="both"/>
        <w:rPr>
          <w:rFonts w:ascii="Times New Roman" w:hAnsi="Times New Roman"/>
        </w:rPr>
      </w:pPr>
      <w:r w:rsidRPr="00514C1E">
        <w:rPr>
          <w:rFonts w:ascii="Times New Roman" w:hAnsi="Times New Roman"/>
        </w:rPr>
        <w:lastRenderedPageBreak/>
        <w:tab/>
      </w:r>
      <w:r w:rsidR="00BB286D" w:rsidRPr="00514C1E">
        <w:rPr>
          <w:rFonts w:ascii="Times New Roman" w:hAnsi="Times New Roman"/>
        </w:rPr>
        <w:t>In the context of</w:t>
      </w:r>
      <w:r w:rsidR="008C3F72" w:rsidRPr="00514C1E">
        <w:rPr>
          <w:rFonts w:ascii="Times New Roman" w:hAnsi="Times New Roman"/>
        </w:rPr>
        <w:t xml:space="preserve"> the</w:t>
      </w:r>
      <w:r w:rsidR="00BB286D" w:rsidRPr="00514C1E">
        <w:rPr>
          <w:rFonts w:ascii="Times New Roman" w:hAnsi="Times New Roman"/>
        </w:rPr>
        <w:t xml:space="preserve"> consumer protection provisions of Ch 7 of the </w:t>
      </w:r>
      <w:r w:rsidR="00BB286D" w:rsidRPr="00514C1E">
        <w:rPr>
          <w:rFonts w:ascii="Times New Roman" w:hAnsi="Times New Roman"/>
          <w:iCs/>
        </w:rPr>
        <w:t>Act</w:t>
      </w:r>
      <w:r w:rsidR="00BB286D" w:rsidRPr="00514C1E">
        <w:rPr>
          <w:rFonts w:ascii="Times New Roman" w:hAnsi="Times New Roman"/>
        </w:rPr>
        <w:t xml:space="preserve">, "considered" </w:t>
      </w:r>
      <w:r w:rsidR="00370F93" w:rsidRPr="00514C1E">
        <w:rPr>
          <w:rFonts w:ascii="Times New Roman" w:hAnsi="Times New Roman"/>
        </w:rPr>
        <w:t xml:space="preserve">in s 766B(3) </w:t>
      </w:r>
      <w:r w:rsidR="00BB286D" w:rsidRPr="00514C1E">
        <w:rPr>
          <w:rFonts w:ascii="Times New Roman" w:hAnsi="Times New Roman"/>
        </w:rPr>
        <w:t>should be understood as meaning "took account of</w:t>
      </w:r>
      <w:r w:rsidR="00D01F3C" w:rsidRPr="00514C1E">
        <w:rPr>
          <w:rFonts w:ascii="Times New Roman" w:hAnsi="Times New Roman"/>
        </w:rPr>
        <w:t>"</w:t>
      </w:r>
      <w:r w:rsidR="00992F1E" w:rsidRPr="00F63708">
        <w:rPr>
          <w:rStyle w:val="FootnoteReference"/>
          <w:rFonts w:ascii="Times New Roman" w:hAnsi="Times New Roman"/>
          <w:sz w:val="24"/>
        </w:rPr>
        <w:footnoteReference w:id="13"/>
      </w:r>
      <w:r w:rsidR="00D01F3C" w:rsidRPr="00514C1E">
        <w:rPr>
          <w:rFonts w:ascii="Times New Roman" w:hAnsi="Times New Roman"/>
        </w:rPr>
        <w:t>.</w:t>
      </w:r>
      <w:r w:rsidR="00921743" w:rsidRPr="00514C1E">
        <w:rPr>
          <w:rFonts w:ascii="Times New Roman" w:hAnsi="Times New Roman"/>
        </w:rPr>
        <w:t xml:space="preserve"> </w:t>
      </w:r>
      <w:r w:rsidR="005C74FE" w:rsidRPr="00514C1E">
        <w:rPr>
          <w:rFonts w:ascii="Times New Roman" w:hAnsi="Times New Roman"/>
        </w:rPr>
        <w:t>So</w:t>
      </w:r>
      <w:r w:rsidR="00921743" w:rsidRPr="00514C1E">
        <w:rPr>
          <w:rFonts w:ascii="Times New Roman" w:hAnsi="Times New Roman"/>
        </w:rPr>
        <w:t xml:space="preserve"> much is confirmed by its broader statutory context. Section 949A, which appears in </w:t>
      </w:r>
      <w:proofErr w:type="spellStart"/>
      <w:r w:rsidR="00921743" w:rsidRPr="00514C1E">
        <w:rPr>
          <w:rFonts w:ascii="Times New Roman" w:hAnsi="Times New Roman"/>
        </w:rPr>
        <w:t>Div</w:t>
      </w:r>
      <w:proofErr w:type="spellEnd"/>
      <w:r w:rsidR="00921743" w:rsidRPr="00514C1E">
        <w:rPr>
          <w:rFonts w:ascii="Times New Roman" w:hAnsi="Times New Roman"/>
        </w:rPr>
        <w:t> 4 of Pt 7.7 of the Act, is concerned with the regulation of the provision of general advice. Section 949A(2)(a) states:</w:t>
      </w:r>
    </w:p>
    <w:p w14:paraId="14F085D2" w14:textId="3CEA3944" w:rsidR="00921743" w:rsidRPr="00514C1E" w:rsidRDefault="00921743" w:rsidP="00514C1E">
      <w:pPr>
        <w:pStyle w:val="LeftrightafterHC"/>
        <w:spacing w:before="0" w:after="260" w:line="280" w:lineRule="exact"/>
        <w:ind w:right="0"/>
        <w:jc w:val="both"/>
        <w:rPr>
          <w:rFonts w:ascii="Times New Roman" w:hAnsi="Times New Roman"/>
        </w:rPr>
      </w:pPr>
      <w:r w:rsidRPr="00514C1E">
        <w:rPr>
          <w:rFonts w:ascii="Times New Roman" w:hAnsi="Times New Roman"/>
        </w:rPr>
        <w:t>"The providing entity must</w:t>
      </w:r>
      <w:r w:rsidR="0052152C" w:rsidRPr="00514C1E">
        <w:rPr>
          <w:rFonts w:ascii="Times New Roman" w:hAnsi="Times New Roman"/>
        </w:rPr>
        <w:t>,</w:t>
      </w:r>
      <w:r w:rsidRPr="00514C1E">
        <w:rPr>
          <w:rFonts w:ascii="Times New Roman" w:hAnsi="Times New Roman"/>
        </w:rPr>
        <w:t xml:space="preserve"> in accordance with subsection (3), warn the client that:</w:t>
      </w:r>
    </w:p>
    <w:p w14:paraId="75AE1870" w14:textId="77777777" w:rsidR="00514C1E" w:rsidRDefault="00921743" w:rsidP="00514C1E">
      <w:pPr>
        <w:pStyle w:val="leftright"/>
        <w:spacing w:before="0" w:after="260" w:line="280" w:lineRule="exact"/>
        <w:ind w:left="1440" w:right="0" w:hanging="720"/>
        <w:jc w:val="both"/>
        <w:rPr>
          <w:rFonts w:ascii="Times New Roman" w:hAnsi="Times New Roman"/>
        </w:rPr>
      </w:pPr>
      <w:r w:rsidRPr="00514C1E">
        <w:rPr>
          <w:rFonts w:ascii="Times New Roman" w:hAnsi="Times New Roman"/>
        </w:rPr>
        <w:t>(a)</w:t>
      </w:r>
      <w:r w:rsidRPr="00514C1E">
        <w:rPr>
          <w:rFonts w:ascii="Times New Roman" w:hAnsi="Times New Roman"/>
        </w:rPr>
        <w:tab/>
        <w:t>the advice has been prepared without taking account of the client's objectives, financial situation or needs</w:t>
      </w:r>
      <w:r w:rsidR="0039058B" w:rsidRPr="00514C1E">
        <w:rPr>
          <w:rFonts w:ascii="Times New Roman" w:hAnsi="Times New Roman"/>
        </w:rPr>
        <w:t>".</w:t>
      </w:r>
    </w:p>
    <w:p w14:paraId="70A5AE0E" w14:textId="159AFB79" w:rsidR="00FD41C3" w:rsidRPr="00514C1E" w:rsidRDefault="00921743"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783B79" w:rsidRPr="00514C1E">
        <w:rPr>
          <w:rFonts w:ascii="Times New Roman" w:hAnsi="Times New Roman"/>
        </w:rPr>
        <w:t xml:space="preserve">It is </w:t>
      </w:r>
      <w:r w:rsidRPr="00514C1E">
        <w:rPr>
          <w:rFonts w:ascii="Times New Roman" w:hAnsi="Times New Roman"/>
        </w:rPr>
        <w:t xml:space="preserve">significant that s 949A was introduced into the Act by the </w:t>
      </w:r>
      <w:r w:rsidRPr="00514C1E">
        <w:rPr>
          <w:rFonts w:ascii="Times New Roman" w:hAnsi="Times New Roman"/>
          <w:i/>
          <w:iCs/>
        </w:rPr>
        <w:t>Financial Services Reform Act 2001</w:t>
      </w:r>
      <w:r w:rsidRPr="00514C1E">
        <w:rPr>
          <w:rFonts w:ascii="Times New Roman" w:hAnsi="Times New Roman"/>
        </w:rPr>
        <w:t xml:space="preserve"> (Cth) at the same time as s 766B was enacted. The terms of s 949A(2)(a) can be seen as a </w:t>
      </w:r>
      <w:r w:rsidR="000762A0" w:rsidRPr="00514C1E">
        <w:rPr>
          <w:rFonts w:ascii="Times New Roman" w:hAnsi="Times New Roman"/>
        </w:rPr>
        <w:t xml:space="preserve">deliberate </w:t>
      </w:r>
      <w:r w:rsidRPr="00514C1E">
        <w:rPr>
          <w:rFonts w:ascii="Times New Roman" w:hAnsi="Times New Roman"/>
        </w:rPr>
        <w:t>counterpoint to what is described in s 766B(3)</w:t>
      </w:r>
      <w:r w:rsidR="00C045C4" w:rsidRPr="00514C1E">
        <w:rPr>
          <w:rFonts w:ascii="Times New Roman" w:hAnsi="Times New Roman"/>
        </w:rPr>
        <w:t>,</w:t>
      </w:r>
      <w:r w:rsidRPr="00514C1E">
        <w:rPr>
          <w:rFonts w:ascii="Times New Roman" w:hAnsi="Times New Roman"/>
        </w:rPr>
        <w:t xml:space="preserve"> with the antonym of "considered" being "without taking account of".</w:t>
      </w:r>
      <w:r w:rsidR="00C12ABA" w:rsidRPr="00514C1E">
        <w:rPr>
          <w:rFonts w:ascii="Times New Roman" w:hAnsi="Times New Roman"/>
        </w:rPr>
        <w:t xml:space="preserve"> </w:t>
      </w:r>
    </w:p>
    <w:p w14:paraId="62D4FA3A" w14:textId="0CD92864" w:rsidR="00BB286D" w:rsidRPr="00514C1E" w:rsidRDefault="00FD41C3"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D01F3C" w:rsidRPr="00514C1E">
        <w:rPr>
          <w:rFonts w:ascii="Times New Roman" w:hAnsi="Times New Roman"/>
        </w:rPr>
        <w:t xml:space="preserve">There is </w:t>
      </w:r>
      <w:r w:rsidR="00DA5A0B" w:rsidRPr="00514C1E">
        <w:rPr>
          <w:rFonts w:ascii="Times New Roman" w:hAnsi="Times New Roman"/>
        </w:rPr>
        <w:t xml:space="preserve">therefore </w:t>
      </w:r>
      <w:r w:rsidR="00D01F3C" w:rsidRPr="00514C1E">
        <w:rPr>
          <w:rFonts w:ascii="Times New Roman" w:hAnsi="Times New Roman"/>
        </w:rPr>
        <w:t>no basis</w:t>
      </w:r>
      <w:r w:rsidR="000B4C57" w:rsidRPr="00514C1E">
        <w:rPr>
          <w:rFonts w:ascii="Times New Roman" w:hAnsi="Times New Roman"/>
        </w:rPr>
        <w:t xml:space="preserve"> in the text </w:t>
      </w:r>
      <w:r w:rsidR="0039058B" w:rsidRPr="00514C1E">
        <w:rPr>
          <w:rFonts w:ascii="Times New Roman" w:hAnsi="Times New Roman"/>
        </w:rPr>
        <w:t>of s 766B(3)</w:t>
      </w:r>
      <w:r w:rsidR="00E87373" w:rsidRPr="00514C1E">
        <w:rPr>
          <w:rFonts w:ascii="Times New Roman" w:hAnsi="Times New Roman"/>
        </w:rPr>
        <w:t>,</w:t>
      </w:r>
      <w:r w:rsidR="0039058B" w:rsidRPr="00514C1E">
        <w:rPr>
          <w:rFonts w:ascii="Times New Roman" w:hAnsi="Times New Roman"/>
        </w:rPr>
        <w:t xml:space="preserve"> or the context in which it appears</w:t>
      </w:r>
      <w:r w:rsidR="00E87373" w:rsidRPr="00514C1E">
        <w:rPr>
          <w:rFonts w:ascii="Times New Roman" w:hAnsi="Times New Roman"/>
        </w:rPr>
        <w:t xml:space="preserve">, </w:t>
      </w:r>
      <w:r w:rsidR="00D01F3C" w:rsidRPr="00514C1E">
        <w:rPr>
          <w:rFonts w:ascii="Times New Roman" w:hAnsi="Times New Roman"/>
        </w:rPr>
        <w:t xml:space="preserve">to read the word "considered" as importing a requirement of an active and comprehensive process of evaluation. Such a gloss upon </w:t>
      </w:r>
      <w:r w:rsidR="00621144" w:rsidRPr="00514C1E">
        <w:rPr>
          <w:rFonts w:ascii="Times New Roman" w:hAnsi="Times New Roman"/>
        </w:rPr>
        <w:t>"considered" would impermissibly</w:t>
      </w:r>
      <w:r w:rsidR="0038242E" w:rsidRPr="00514C1E">
        <w:rPr>
          <w:rFonts w:ascii="Times New Roman" w:hAnsi="Times New Roman"/>
        </w:rPr>
        <w:t xml:space="preserve"> </w:t>
      </w:r>
      <w:r w:rsidR="00BF0BFE" w:rsidRPr="00514C1E">
        <w:rPr>
          <w:rFonts w:ascii="Times New Roman" w:hAnsi="Times New Roman"/>
        </w:rPr>
        <w:t>narrow the</w:t>
      </w:r>
      <w:r w:rsidR="00366AF0" w:rsidRPr="00514C1E">
        <w:rPr>
          <w:rFonts w:ascii="Times New Roman" w:hAnsi="Times New Roman"/>
        </w:rPr>
        <w:t xml:space="preserve"> scope of a provision </w:t>
      </w:r>
      <w:r w:rsidR="0038242E" w:rsidRPr="00514C1E">
        <w:rPr>
          <w:rFonts w:ascii="Times New Roman" w:hAnsi="Times New Roman"/>
        </w:rPr>
        <w:t>intended to protect consumers</w:t>
      </w:r>
      <w:r w:rsidR="008F4C13" w:rsidRPr="00514C1E">
        <w:rPr>
          <w:rFonts w:ascii="Times New Roman" w:hAnsi="Times New Roman"/>
        </w:rPr>
        <w:t xml:space="preserve"> while</w:t>
      </w:r>
      <w:r w:rsidR="00BD3A6D" w:rsidRPr="00514C1E">
        <w:rPr>
          <w:rFonts w:ascii="Times New Roman" w:hAnsi="Times New Roman"/>
        </w:rPr>
        <w:t xml:space="preserve"> at the same time adding a layer of uncertainty to its operation.</w:t>
      </w:r>
    </w:p>
    <w:p w14:paraId="046361B6" w14:textId="6060C88B" w:rsidR="00A4515C" w:rsidRPr="00514C1E" w:rsidRDefault="00022981" w:rsidP="00514C1E">
      <w:pPr>
        <w:pStyle w:val="FixListStyle"/>
        <w:spacing w:after="260" w:line="280" w:lineRule="exact"/>
        <w:ind w:right="0"/>
        <w:jc w:val="both"/>
        <w:rPr>
          <w:rFonts w:ascii="Times New Roman" w:hAnsi="Times New Roman"/>
        </w:rPr>
      </w:pPr>
      <w:r w:rsidRPr="00514C1E">
        <w:rPr>
          <w:rFonts w:ascii="Times New Roman" w:hAnsi="Times New Roman"/>
        </w:rPr>
        <w:tab/>
        <w:t>The recommendation by the Westpac caller to proceed to roll</w:t>
      </w:r>
      <w:r w:rsidR="000A7DF4" w:rsidRPr="00514C1E">
        <w:rPr>
          <w:rFonts w:ascii="Times New Roman" w:hAnsi="Times New Roman"/>
        </w:rPr>
        <w:t xml:space="preserve"> </w:t>
      </w:r>
      <w:r w:rsidRPr="00514C1E">
        <w:rPr>
          <w:rFonts w:ascii="Times New Roman" w:hAnsi="Times New Roman"/>
        </w:rPr>
        <w:t xml:space="preserve">over </w:t>
      </w:r>
      <w:r w:rsidR="00D32C4C" w:rsidRPr="00514C1E">
        <w:rPr>
          <w:rFonts w:ascii="Times New Roman" w:hAnsi="Times New Roman"/>
        </w:rPr>
        <w:t xml:space="preserve">each member's </w:t>
      </w:r>
      <w:r w:rsidRPr="00514C1E">
        <w:rPr>
          <w:rFonts w:ascii="Times New Roman" w:hAnsi="Times New Roman"/>
        </w:rPr>
        <w:t>external accounts without further ado was put forward</w:t>
      </w:r>
      <w:r w:rsidR="004125D7" w:rsidRPr="00514C1E">
        <w:rPr>
          <w:rFonts w:ascii="Times New Roman" w:hAnsi="Times New Roman"/>
        </w:rPr>
        <w:t xml:space="preserve"> </w:t>
      </w:r>
      <w:r w:rsidR="00D73B5C" w:rsidRPr="00514C1E">
        <w:rPr>
          <w:rFonts w:ascii="Times New Roman" w:hAnsi="Times New Roman"/>
        </w:rPr>
        <w:t>in a manner productive of an expectation</w:t>
      </w:r>
      <w:r w:rsidRPr="00514C1E">
        <w:rPr>
          <w:rFonts w:ascii="Times New Roman" w:hAnsi="Times New Roman"/>
        </w:rPr>
        <w:t xml:space="preserve"> that </w:t>
      </w:r>
      <w:r w:rsidR="00E546AE" w:rsidRPr="00514C1E">
        <w:rPr>
          <w:rFonts w:ascii="Times New Roman" w:hAnsi="Times New Roman"/>
        </w:rPr>
        <w:t>each member's objectives of saving fees and improving manageability were taken into account or</w:t>
      </w:r>
      <w:r w:rsidR="000A7DF4" w:rsidRPr="00514C1E">
        <w:rPr>
          <w:rFonts w:ascii="Times New Roman" w:hAnsi="Times New Roman"/>
        </w:rPr>
        <w:t>,</w:t>
      </w:r>
      <w:r w:rsidR="00E546AE" w:rsidRPr="00514C1E">
        <w:rPr>
          <w:rFonts w:ascii="Times New Roman" w:hAnsi="Times New Roman"/>
        </w:rPr>
        <w:t xml:space="preserve"> in the words of s 766B(3)</w:t>
      </w:r>
      <w:r w:rsidR="00D73B5C" w:rsidRPr="00514C1E">
        <w:rPr>
          <w:rFonts w:ascii="Times New Roman" w:hAnsi="Times New Roman"/>
        </w:rPr>
        <w:t>(b)</w:t>
      </w:r>
      <w:r w:rsidR="00E546AE" w:rsidRPr="00514C1E">
        <w:rPr>
          <w:rFonts w:ascii="Times New Roman" w:hAnsi="Times New Roman"/>
        </w:rPr>
        <w:t>, "considered</w:t>
      </w:r>
      <w:r w:rsidR="006251AE" w:rsidRPr="00514C1E">
        <w:rPr>
          <w:rFonts w:ascii="Times New Roman" w:hAnsi="Times New Roman"/>
        </w:rPr>
        <w:t xml:space="preserve">". The social proofing technique deployed by Westpac was calculated to create that impression. That there was no mention of contraindicative factors such as fee penalties or loss of insurance </w:t>
      </w:r>
      <w:r w:rsidR="00D619C3" w:rsidRPr="00514C1E">
        <w:rPr>
          <w:rFonts w:ascii="Times New Roman" w:hAnsi="Times New Roman"/>
        </w:rPr>
        <w:t xml:space="preserve">is not inconsistent with the </w:t>
      </w:r>
      <w:r w:rsidR="001515B8" w:rsidRPr="00514C1E">
        <w:rPr>
          <w:rFonts w:ascii="Times New Roman" w:hAnsi="Times New Roman"/>
        </w:rPr>
        <w:t xml:space="preserve">proposition that each member's personal </w:t>
      </w:r>
      <w:r w:rsidR="006251AE" w:rsidRPr="00514C1E">
        <w:rPr>
          <w:rFonts w:ascii="Times New Roman" w:hAnsi="Times New Roman"/>
        </w:rPr>
        <w:t>objectives which were articulated were taken into account by Westpac.</w:t>
      </w:r>
    </w:p>
    <w:p w14:paraId="44A45CF8" w14:textId="7BFA5A74" w:rsidR="00C238F0" w:rsidRPr="00514C1E" w:rsidRDefault="00C238F0" w:rsidP="00514C1E">
      <w:pPr>
        <w:pStyle w:val="HeadingL1"/>
        <w:spacing w:after="260" w:line="280" w:lineRule="exact"/>
        <w:ind w:right="0"/>
        <w:jc w:val="both"/>
        <w:rPr>
          <w:rFonts w:ascii="Times New Roman" w:hAnsi="Times New Roman"/>
        </w:rPr>
      </w:pPr>
      <w:r w:rsidRPr="00514C1E">
        <w:rPr>
          <w:rFonts w:ascii="Times New Roman" w:hAnsi="Times New Roman"/>
        </w:rPr>
        <w:t xml:space="preserve">"One or more of the person's objectives, financial situation </w:t>
      </w:r>
      <w:r w:rsidR="00A06BB1" w:rsidRPr="00514C1E">
        <w:rPr>
          <w:rFonts w:ascii="Times New Roman" w:hAnsi="Times New Roman"/>
        </w:rPr>
        <w:t>and</w:t>
      </w:r>
      <w:r w:rsidRPr="00514C1E">
        <w:rPr>
          <w:rFonts w:ascii="Times New Roman" w:hAnsi="Times New Roman"/>
        </w:rPr>
        <w:t xml:space="preserve"> needs"</w:t>
      </w:r>
    </w:p>
    <w:p w14:paraId="3058D4AF" w14:textId="17301FBC" w:rsidR="004405A2" w:rsidRPr="00514C1E" w:rsidRDefault="00133CB0"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E25260" w:rsidRPr="00514C1E">
        <w:rPr>
          <w:rFonts w:ascii="Times New Roman" w:hAnsi="Times New Roman"/>
        </w:rPr>
        <w:t>Westpac argued that the words "one or more of the person's objectives, financial situation and needs" refer to categories, so that s 766B(3)(b)</w:t>
      </w:r>
      <w:r w:rsidR="009153AD" w:rsidRPr="00514C1E">
        <w:rPr>
          <w:rFonts w:ascii="Times New Roman" w:hAnsi="Times New Roman"/>
        </w:rPr>
        <w:t xml:space="preserve"> is engaged only where a reasonable person might expect that the provider of advice has </w:t>
      </w:r>
      <w:r w:rsidR="009153AD" w:rsidRPr="00514C1E">
        <w:rPr>
          <w:rFonts w:ascii="Times New Roman" w:hAnsi="Times New Roman"/>
        </w:rPr>
        <w:lastRenderedPageBreak/>
        <w:t xml:space="preserve">considered so </w:t>
      </w:r>
      <w:r w:rsidR="00436BBF" w:rsidRPr="00514C1E">
        <w:rPr>
          <w:rFonts w:ascii="Times New Roman" w:hAnsi="Times New Roman"/>
        </w:rPr>
        <w:t>much of each category as is relevant to the subject matter of the advice</w:t>
      </w:r>
      <w:r w:rsidR="008801EB" w:rsidRPr="00514C1E">
        <w:rPr>
          <w:rFonts w:ascii="Times New Roman" w:hAnsi="Times New Roman"/>
        </w:rPr>
        <w:t>.</w:t>
      </w:r>
      <w:r w:rsidR="00C46D6B" w:rsidRPr="00514C1E">
        <w:rPr>
          <w:rFonts w:ascii="Times New Roman" w:hAnsi="Times New Roman"/>
        </w:rPr>
        <w:t xml:space="preserve"> That contention should be rejected. Once again, Westpac</w:t>
      </w:r>
      <w:r w:rsidR="001B796E" w:rsidRPr="00514C1E">
        <w:rPr>
          <w:rFonts w:ascii="Times New Roman" w:hAnsi="Times New Roman"/>
        </w:rPr>
        <w:t xml:space="preserve"> seeks to gloss the language of the legislation so as to </w:t>
      </w:r>
      <w:r w:rsidR="00DE33FC" w:rsidRPr="00514C1E">
        <w:rPr>
          <w:rFonts w:ascii="Times New Roman" w:hAnsi="Times New Roman"/>
        </w:rPr>
        <w:t>reduce its protective</w:t>
      </w:r>
      <w:r w:rsidR="00211A8D" w:rsidRPr="00514C1E">
        <w:rPr>
          <w:rFonts w:ascii="Times New Roman" w:hAnsi="Times New Roman"/>
        </w:rPr>
        <w:t xml:space="preserve"> scope</w:t>
      </w:r>
      <w:r w:rsidR="00DE33FC" w:rsidRPr="00514C1E">
        <w:rPr>
          <w:rFonts w:ascii="Times New Roman" w:hAnsi="Times New Roman"/>
        </w:rPr>
        <w:t>.</w:t>
      </w:r>
    </w:p>
    <w:p w14:paraId="50B69870" w14:textId="16CE876C" w:rsidR="000315B2" w:rsidRPr="00514C1E" w:rsidRDefault="004405A2"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580B6C" w:rsidRPr="00514C1E">
        <w:rPr>
          <w:rFonts w:ascii="Times New Roman" w:hAnsi="Times New Roman"/>
        </w:rPr>
        <w:t>The primary judge and the Full Court</w:t>
      </w:r>
      <w:r w:rsidR="00685AEB" w:rsidRPr="00514C1E">
        <w:rPr>
          <w:rFonts w:ascii="Times New Roman" w:hAnsi="Times New Roman"/>
        </w:rPr>
        <w:t xml:space="preserve"> rightly</w:t>
      </w:r>
      <w:r w:rsidR="00F82C64" w:rsidRPr="00514C1E">
        <w:rPr>
          <w:rFonts w:ascii="Times New Roman" w:hAnsi="Times New Roman"/>
        </w:rPr>
        <w:t xml:space="preserve"> </w:t>
      </w:r>
      <w:r w:rsidR="00580B6C" w:rsidRPr="00514C1E">
        <w:rPr>
          <w:rFonts w:ascii="Times New Roman" w:hAnsi="Times New Roman"/>
        </w:rPr>
        <w:t>held that s 766B(3)(b) contemplate</w:t>
      </w:r>
      <w:r w:rsidR="00F4358E" w:rsidRPr="00514C1E">
        <w:rPr>
          <w:rFonts w:ascii="Times New Roman" w:hAnsi="Times New Roman"/>
        </w:rPr>
        <w:t xml:space="preserve">s consideration of </w:t>
      </w:r>
      <w:r w:rsidR="00F82C64" w:rsidRPr="00514C1E">
        <w:rPr>
          <w:rFonts w:ascii="Times New Roman" w:hAnsi="Times New Roman"/>
        </w:rPr>
        <w:t>a</w:t>
      </w:r>
      <w:r w:rsidR="00F4358E" w:rsidRPr="00514C1E">
        <w:rPr>
          <w:rFonts w:ascii="Times New Roman" w:hAnsi="Times New Roman"/>
        </w:rPr>
        <w:t xml:space="preserve">t least </w:t>
      </w:r>
      <w:r w:rsidR="003D289C" w:rsidRPr="00514C1E">
        <w:rPr>
          <w:rFonts w:ascii="Times New Roman" w:hAnsi="Times New Roman"/>
        </w:rPr>
        <w:t xml:space="preserve">one </w:t>
      </w:r>
      <w:r w:rsidR="00F4358E" w:rsidRPr="00514C1E">
        <w:rPr>
          <w:rFonts w:ascii="Times New Roman" w:hAnsi="Times New Roman"/>
        </w:rPr>
        <w:t>aspect of the client's objectives, financ</w:t>
      </w:r>
      <w:r w:rsidR="00F82C64" w:rsidRPr="00514C1E">
        <w:rPr>
          <w:rFonts w:ascii="Times New Roman" w:hAnsi="Times New Roman"/>
        </w:rPr>
        <w:t>ial</w:t>
      </w:r>
      <w:r w:rsidR="00F4358E" w:rsidRPr="00514C1E">
        <w:rPr>
          <w:rFonts w:ascii="Times New Roman" w:hAnsi="Times New Roman"/>
        </w:rPr>
        <w:t xml:space="preserve"> situation</w:t>
      </w:r>
      <w:r w:rsidR="00F82C64" w:rsidRPr="00514C1E">
        <w:rPr>
          <w:rFonts w:ascii="Times New Roman" w:hAnsi="Times New Roman"/>
        </w:rPr>
        <w:t xml:space="preserve"> </w:t>
      </w:r>
      <w:r w:rsidR="00F4358E" w:rsidRPr="00514C1E">
        <w:rPr>
          <w:rFonts w:ascii="Times New Roman" w:hAnsi="Times New Roman"/>
        </w:rPr>
        <w:t>or needs</w:t>
      </w:r>
      <w:r w:rsidR="00F4358E" w:rsidRPr="00F63708">
        <w:rPr>
          <w:rStyle w:val="FootnoteReference"/>
          <w:rFonts w:ascii="Times New Roman" w:hAnsi="Times New Roman"/>
          <w:sz w:val="24"/>
        </w:rPr>
        <w:footnoteReference w:id="14"/>
      </w:r>
      <w:r w:rsidR="005A680C" w:rsidRPr="00514C1E">
        <w:rPr>
          <w:rFonts w:ascii="Times New Roman" w:hAnsi="Times New Roman"/>
        </w:rPr>
        <w:t xml:space="preserve">. </w:t>
      </w:r>
      <w:r w:rsidR="0027637C" w:rsidRPr="00514C1E">
        <w:rPr>
          <w:rFonts w:ascii="Times New Roman" w:hAnsi="Times New Roman"/>
        </w:rPr>
        <w:t xml:space="preserve">The ordinary and natural </w:t>
      </w:r>
      <w:r w:rsidR="002F2C25" w:rsidRPr="00514C1E">
        <w:rPr>
          <w:rFonts w:ascii="Times New Roman" w:hAnsi="Times New Roman"/>
        </w:rPr>
        <w:t xml:space="preserve">meaning </w:t>
      </w:r>
      <w:r w:rsidR="0027637C" w:rsidRPr="00514C1E">
        <w:rPr>
          <w:rFonts w:ascii="Times New Roman" w:hAnsi="Times New Roman"/>
        </w:rPr>
        <w:t xml:space="preserve">of the terms of s 766B(3) is readily applicable to a situation in which the issue for decision by the client is </w:t>
      </w:r>
      <w:r w:rsidR="005F2070" w:rsidRPr="00514C1E">
        <w:rPr>
          <w:rFonts w:ascii="Times New Roman" w:hAnsi="Times New Roman"/>
        </w:rPr>
        <w:t xml:space="preserve">focused upon </w:t>
      </w:r>
      <w:r w:rsidR="0027637C" w:rsidRPr="00514C1E">
        <w:rPr>
          <w:rFonts w:ascii="Times New Roman" w:hAnsi="Times New Roman"/>
        </w:rPr>
        <w:t xml:space="preserve">one aspect of his or her financial affairs. The scope of advice reasonably germane to the resolution of that issue may be expected by both adviser and client to encompass only so much of the client's objectives, financial situation or needs as is </w:t>
      </w:r>
      <w:r w:rsidR="00A61C7D" w:rsidRPr="00514C1E">
        <w:rPr>
          <w:rFonts w:ascii="Times New Roman" w:hAnsi="Times New Roman"/>
        </w:rPr>
        <w:t xml:space="preserve">relevant to </w:t>
      </w:r>
      <w:r w:rsidR="0027637C" w:rsidRPr="00514C1E">
        <w:rPr>
          <w:rFonts w:ascii="Times New Roman" w:hAnsi="Times New Roman"/>
        </w:rPr>
        <w:t>its satisfactory resolution.</w:t>
      </w:r>
    </w:p>
    <w:p w14:paraId="31409735" w14:textId="4E6D0BCD" w:rsidR="005A680C" w:rsidRPr="00514C1E" w:rsidRDefault="000315B2" w:rsidP="00514C1E">
      <w:pPr>
        <w:pStyle w:val="FixListStyle"/>
        <w:spacing w:after="260" w:line="280" w:lineRule="exact"/>
        <w:ind w:right="0"/>
        <w:jc w:val="both"/>
        <w:rPr>
          <w:rFonts w:ascii="Times New Roman" w:hAnsi="Times New Roman"/>
        </w:rPr>
      </w:pPr>
      <w:r w:rsidRPr="00514C1E">
        <w:rPr>
          <w:rFonts w:ascii="Times New Roman" w:hAnsi="Times New Roman"/>
        </w:rPr>
        <w:tab/>
      </w:r>
      <w:r w:rsidR="00F00CCA" w:rsidRPr="00514C1E">
        <w:rPr>
          <w:rFonts w:ascii="Times New Roman" w:hAnsi="Times New Roman"/>
        </w:rPr>
        <w:t xml:space="preserve">The application of the </w:t>
      </w:r>
      <w:r w:rsidR="005A680C" w:rsidRPr="00514C1E">
        <w:rPr>
          <w:rFonts w:ascii="Times New Roman" w:hAnsi="Times New Roman"/>
        </w:rPr>
        <w:t xml:space="preserve">ordinary and natural </w:t>
      </w:r>
      <w:r w:rsidR="00153CF3" w:rsidRPr="00514C1E">
        <w:rPr>
          <w:rFonts w:ascii="Times New Roman" w:hAnsi="Times New Roman"/>
        </w:rPr>
        <w:t>meaning</w:t>
      </w:r>
      <w:r w:rsidR="005A680C" w:rsidRPr="00514C1E">
        <w:rPr>
          <w:rFonts w:ascii="Times New Roman" w:hAnsi="Times New Roman"/>
        </w:rPr>
        <w:t xml:space="preserve"> of the text of s 766B(3)(b)</w:t>
      </w:r>
      <w:r w:rsidR="003D289C" w:rsidRPr="00514C1E">
        <w:rPr>
          <w:rFonts w:ascii="Times New Roman" w:hAnsi="Times New Roman"/>
        </w:rPr>
        <w:t xml:space="preserve"> </w:t>
      </w:r>
      <w:r w:rsidR="00D336EE" w:rsidRPr="00514C1E">
        <w:rPr>
          <w:rFonts w:ascii="Times New Roman" w:hAnsi="Times New Roman"/>
        </w:rPr>
        <w:t>is confirmed by</w:t>
      </w:r>
      <w:r w:rsidR="005A680C" w:rsidRPr="00514C1E">
        <w:rPr>
          <w:rFonts w:ascii="Times New Roman" w:hAnsi="Times New Roman"/>
        </w:rPr>
        <w:t xml:space="preserve"> the </w:t>
      </w:r>
      <w:r w:rsidR="00E77634" w:rsidRPr="00514C1E">
        <w:rPr>
          <w:rFonts w:ascii="Times New Roman" w:hAnsi="Times New Roman"/>
        </w:rPr>
        <w:t>S</w:t>
      </w:r>
      <w:r w:rsidR="005A680C" w:rsidRPr="00514C1E">
        <w:rPr>
          <w:rFonts w:ascii="Times New Roman" w:hAnsi="Times New Roman"/>
        </w:rPr>
        <w:t>upplementary Explanatory Memora</w:t>
      </w:r>
      <w:r w:rsidR="00AB60E1" w:rsidRPr="00514C1E">
        <w:rPr>
          <w:rFonts w:ascii="Times New Roman" w:hAnsi="Times New Roman"/>
        </w:rPr>
        <w:t>n</w:t>
      </w:r>
      <w:r w:rsidR="005A680C" w:rsidRPr="00514C1E">
        <w:rPr>
          <w:rFonts w:ascii="Times New Roman" w:hAnsi="Times New Roman"/>
        </w:rPr>
        <w:t>dum to th</w:t>
      </w:r>
      <w:r w:rsidR="00AB60E1" w:rsidRPr="00514C1E">
        <w:rPr>
          <w:rFonts w:ascii="Times New Roman" w:hAnsi="Times New Roman"/>
        </w:rPr>
        <w:t>e</w:t>
      </w:r>
      <w:r w:rsidR="005A680C" w:rsidRPr="00514C1E">
        <w:rPr>
          <w:rFonts w:ascii="Times New Roman" w:hAnsi="Times New Roman"/>
        </w:rPr>
        <w:t xml:space="preserve"> </w:t>
      </w:r>
      <w:r w:rsidR="005A680C" w:rsidRPr="00514C1E">
        <w:rPr>
          <w:rFonts w:ascii="Times New Roman" w:hAnsi="Times New Roman"/>
          <w:i/>
          <w:iCs/>
        </w:rPr>
        <w:t>Financial Services Reform Bill 20</w:t>
      </w:r>
      <w:r w:rsidR="00FF2B12" w:rsidRPr="00514C1E">
        <w:rPr>
          <w:rFonts w:ascii="Times New Roman" w:hAnsi="Times New Roman"/>
          <w:i/>
          <w:iCs/>
        </w:rPr>
        <w:t>0</w:t>
      </w:r>
      <w:r w:rsidR="005A680C" w:rsidRPr="00514C1E">
        <w:rPr>
          <w:rFonts w:ascii="Times New Roman" w:hAnsi="Times New Roman"/>
          <w:i/>
          <w:iCs/>
        </w:rPr>
        <w:t>1</w:t>
      </w:r>
      <w:r w:rsidR="005A680C" w:rsidRPr="00514C1E">
        <w:rPr>
          <w:rFonts w:ascii="Times New Roman" w:hAnsi="Times New Roman"/>
        </w:rPr>
        <w:t xml:space="preserve"> (Cth)</w:t>
      </w:r>
      <w:r w:rsidR="003776DD" w:rsidRPr="00514C1E">
        <w:rPr>
          <w:rFonts w:ascii="Times New Roman" w:hAnsi="Times New Roman"/>
        </w:rPr>
        <w:t>,</w:t>
      </w:r>
      <w:r w:rsidR="005A680C" w:rsidRPr="00514C1E">
        <w:rPr>
          <w:rFonts w:ascii="Times New Roman" w:hAnsi="Times New Roman"/>
        </w:rPr>
        <w:t xml:space="preserve"> which included the following </w:t>
      </w:r>
      <w:r w:rsidR="00E77634" w:rsidRPr="00514C1E">
        <w:rPr>
          <w:rFonts w:ascii="Times New Roman" w:hAnsi="Times New Roman"/>
        </w:rPr>
        <w:t xml:space="preserve">statement </w:t>
      </w:r>
      <w:r w:rsidR="005A680C" w:rsidRPr="00514C1E">
        <w:rPr>
          <w:rFonts w:ascii="Times New Roman" w:hAnsi="Times New Roman"/>
        </w:rPr>
        <w:t>in relation to the prov</w:t>
      </w:r>
      <w:r w:rsidR="00AB60E1" w:rsidRPr="00514C1E">
        <w:rPr>
          <w:rFonts w:ascii="Times New Roman" w:hAnsi="Times New Roman"/>
        </w:rPr>
        <w:t>i</w:t>
      </w:r>
      <w:r w:rsidR="005A680C" w:rsidRPr="00514C1E">
        <w:rPr>
          <w:rFonts w:ascii="Times New Roman" w:hAnsi="Times New Roman"/>
        </w:rPr>
        <w:t>sion that became</w:t>
      </w:r>
      <w:r w:rsidR="00355D29" w:rsidRPr="00514C1E">
        <w:rPr>
          <w:rFonts w:ascii="Times New Roman" w:hAnsi="Times New Roman"/>
        </w:rPr>
        <w:t xml:space="preserve"> s 766B(3)</w:t>
      </w:r>
      <w:r w:rsidR="00B13344" w:rsidRPr="00F63708">
        <w:rPr>
          <w:rStyle w:val="FootnoteReference"/>
          <w:rFonts w:ascii="Times New Roman" w:hAnsi="Times New Roman"/>
          <w:sz w:val="24"/>
        </w:rPr>
        <w:footnoteReference w:id="15"/>
      </w:r>
      <w:r w:rsidR="00355D29" w:rsidRPr="00514C1E">
        <w:rPr>
          <w:rFonts w:ascii="Times New Roman" w:hAnsi="Times New Roman"/>
        </w:rPr>
        <w:t>:</w:t>
      </w:r>
    </w:p>
    <w:p w14:paraId="345BE7B2" w14:textId="77777777" w:rsidR="00514C1E" w:rsidRDefault="00B13344" w:rsidP="00514C1E">
      <w:pPr>
        <w:pStyle w:val="LeftrightafterHC"/>
        <w:spacing w:before="0" w:after="260" w:line="280" w:lineRule="exact"/>
        <w:ind w:right="0"/>
        <w:jc w:val="both"/>
        <w:rPr>
          <w:rFonts w:ascii="Times New Roman" w:hAnsi="Times New Roman"/>
        </w:rPr>
      </w:pPr>
      <w:r w:rsidRPr="00514C1E">
        <w:rPr>
          <w:rFonts w:ascii="Times New Roman" w:hAnsi="Times New Roman"/>
        </w:rPr>
        <w:tab/>
      </w:r>
      <w:r w:rsidR="00355D29" w:rsidRPr="00514C1E">
        <w:rPr>
          <w:rFonts w:ascii="Times New Roman" w:hAnsi="Times New Roman"/>
        </w:rPr>
        <w:t>"As subsection 766B(3) is currently drafted, a financial services provider could recommend a financial product or class of financ</w:t>
      </w:r>
      <w:r w:rsidR="00AB60E1" w:rsidRPr="00514C1E">
        <w:rPr>
          <w:rFonts w:ascii="Times New Roman" w:hAnsi="Times New Roman"/>
        </w:rPr>
        <w:t>ial</w:t>
      </w:r>
      <w:r w:rsidR="00355D29" w:rsidRPr="00514C1E">
        <w:rPr>
          <w:rFonts w:ascii="Times New Roman" w:hAnsi="Times New Roman"/>
        </w:rPr>
        <w:t xml:space="preserve"> product as being appropriate to a retail client's individual needs and</w:t>
      </w:r>
      <w:r w:rsidR="00AB60E1" w:rsidRPr="00514C1E">
        <w:rPr>
          <w:rFonts w:ascii="Times New Roman" w:hAnsi="Times New Roman"/>
        </w:rPr>
        <w:t xml:space="preserve"> </w:t>
      </w:r>
      <w:r w:rsidR="00355D29" w:rsidRPr="00514C1E">
        <w:rPr>
          <w:rFonts w:ascii="Times New Roman" w:hAnsi="Times New Roman"/>
        </w:rPr>
        <w:t>objectives, but avoid the requirements of proposed Divisions 3 or 5 of Part 7.7 because they had not consider</w:t>
      </w:r>
      <w:r w:rsidR="00AB60E1" w:rsidRPr="00514C1E">
        <w:rPr>
          <w:rFonts w:ascii="Times New Roman" w:hAnsi="Times New Roman"/>
        </w:rPr>
        <w:t>ed</w:t>
      </w:r>
      <w:r w:rsidR="00355D29" w:rsidRPr="00514C1E">
        <w:rPr>
          <w:rFonts w:ascii="Times New Roman" w:hAnsi="Times New Roman"/>
        </w:rPr>
        <w:t xml:space="preserve"> the client's financial situation."</w:t>
      </w:r>
    </w:p>
    <w:p w14:paraId="082F8106" w14:textId="531DABFD" w:rsidR="00193625" w:rsidRPr="00514C1E" w:rsidRDefault="00193625" w:rsidP="00514C1E">
      <w:pPr>
        <w:pStyle w:val="HeadingL1"/>
        <w:spacing w:after="260" w:line="280" w:lineRule="exact"/>
        <w:ind w:right="0"/>
        <w:jc w:val="both"/>
        <w:rPr>
          <w:rFonts w:ascii="Times New Roman" w:hAnsi="Times New Roman"/>
        </w:rPr>
      </w:pPr>
      <w:r w:rsidRPr="00514C1E">
        <w:rPr>
          <w:rFonts w:ascii="Times New Roman" w:hAnsi="Times New Roman"/>
        </w:rPr>
        <w:t>Conclusion</w:t>
      </w:r>
    </w:p>
    <w:p w14:paraId="6B7CEA9E" w14:textId="77777777" w:rsidR="00CE4077" w:rsidRDefault="008823F7" w:rsidP="00514C1E">
      <w:pPr>
        <w:pStyle w:val="FixListStyle"/>
        <w:spacing w:after="260" w:line="280" w:lineRule="exact"/>
        <w:ind w:right="0"/>
        <w:jc w:val="both"/>
        <w:rPr>
          <w:rFonts w:ascii="Times New Roman" w:hAnsi="Times New Roman"/>
        </w:rPr>
      </w:pPr>
      <w:r w:rsidRPr="00514C1E">
        <w:rPr>
          <w:rFonts w:ascii="Times New Roman" w:hAnsi="Times New Roman"/>
        </w:rPr>
        <w:tab/>
        <w:t xml:space="preserve">For these reasons, </w:t>
      </w:r>
      <w:r w:rsidR="00F276C8" w:rsidRPr="00514C1E">
        <w:rPr>
          <w:rFonts w:ascii="Times New Roman" w:hAnsi="Times New Roman"/>
        </w:rPr>
        <w:t>we</w:t>
      </w:r>
      <w:r w:rsidRPr="00514C1E">
        <w:rPr>
          <w:rFonts w:ascii="Times New Roman" w:hAnsi="Times New Roman"/>
        </w:rPr>
        <w:t xml:space="preserve"> agree with the orders proposed by Gordon J.</w:t>
      </w:r>
    </w:p>
    <w:p w14:paraId="3A8CBD87" w14:textId="77777777" w:rsidR="00CE4077" w:rsidRDefault="00CE4077" w:rsidP="00514C1E">
      <w:pPr>
        <w:pStyle w:val="FixListStyle"/>
        <w:spacing w:after="260" w:line="280" w:lineRule="exact"/>
        <w:ind w:right="0"/>
        <w:jc w:val="both"/>
        <w:rPr>
          <w:rFonts w:ascii="Times New Roman" w:hAnsi="Times New Roman"/>
        </w:rPr>
        <w:sectPr w:rsidR="00CE4077" w:rsidSect="00D7222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30180C5" w14:textId="77777777" w:rsidR="00CE4077" w:rsidRPr="00A17FD4" w:rsidRDefault="00CE4077" w:rsidP="00CE407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17FD4">
        <w:rPr>
          <w:rFonts w:ascii="Times New Roman" w:hAnsi="Times New Roman"/>
        </w:rPr>
        <w:lastRenderedPageBreak/>
        <w:t xml:space="preserve">GORDON J.   Each of Westpac Securities Administration Ltd ("WSAL") and BT Funds Management Ltd ("BTFM") (collectively, "Westpac") held an Australian Financial Services Licence ("AFSL") granted under the </w:t>
      </w:r>
      <w:r w:rsidRPr="00A17FD4">
        <w:rPr>
          <w:rFonts w:ascii="Times New Roman" w:hAnsi="Times New Roman"/>
          <w:i/>
        </w:rPr>
        <w:t xml:space="preserve">Corporations Act 2001 </w:t>
      </w:r>
      <w:r w:rsidRPr="00A17FD4">
        <w:rPr>
          <w:rFonts w:ascii="Times New Roman" w:hAnsi="Times New Roman"/>
        </w:rPr>
        <w:t>(Cth)</w:t>
      </w:r>
      <w:r w:rsidRPr="00A17FD4">
        <w:rPr>
          <w:rStyle w:val="FootnoteReference"/>
          <w:rFonts w:ascii="Times New Roman" w:hAnsi="Times New Roman"/>
          <w:sz w:val="24"/>
        </w:rPr>
        <w:footnoteReference w:id="16"/>
      </w:r>
      <w:r w:rsidRPr="00A17FD4">
        <w:rPr>
          <w:rFonts w:ascii="Times New Roman" w:hAnsi="Times New Roman"/>
        </w:rPr>
        <w:t xml:space="preserve"> authorising them, as persons carrying on a financial services business in Australia</w:t>
      </w:r>
      <w:r w:rsidRPr="00A17FD4">
        <w:rPr>
          <w:rStyle w:val="FootnoteReference"/>
          <w:rFonts w:ascii="Times New Roman" w:hAnsi="Times New Roman"/>
          <w:sz w:val="24"/>
        </w:rPr>
        <w:footnoteReference w:id="17"/>
      </w:r>
      <w:r w:rsidRPr="00A17FD4">
        <w:rPr>
          <w:rFonts w:ascii="Times New Roman" w:hAnsi="Times New Roman"/>
        </w:rPr>
        <w:t>, to provide financial services including some financial product advice</w:t>
      </w:r>
      <w:r w:rsidRPr="00A17FD4">
        <w:rPr>
          <w:rStyle w:val="FootnoteReference"/>
          <w:rFonts w:ascii="Times New Roman" w:hAnsi="Times New Roman"/>
          <w:sz w:val="24"/>
        </w:rPr>
        <w:footnoteReference w:id="18"/>
      </w:r>
      <w:r w:rsidRPr="00A17FD4">
        <w:rPr>
          <w:rFonts w:ascii="Times New Roman" w:hAnsi="Times New Roman"/>
        </w:rPr>
        <w:t xml:space="preserve">. </w:t>
      </w:r>
    </w:p>
    <w:p w14:paraId="1BB5EDA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WSAL issued a superannuation product, the BT Business Super Account, part of the Westpac </w:t>
      </w:r>
      <w:proofErr w:type="spellStart"/>
      <w:r w:rsidRPr="00A17FD4">
        <w:rPr>
          <w:rFonts w:ascii="Times New Roman" w:hAnsi="Times New Roman"/>
        </w:rPr>
        <w:t>MasterTrust</w:t>
      </w:r>
      <w:proofErr w:type="spellEnd"/>
      <w:r w:rsidRPr="00A17FD4">
        <w:rPr>
          <w:rFonts w:ascii="Times New Roman" w:hAnsi="Times New Roman"/>
        </w:rPr>
        <w:t xml:space="preserve"> – Superannuation Division ("BT Business Account Fund"), of which WSAL is trustee. BTFM issued a superannuation product, the BT Lifetime Super – Employer Plan Account, part of the Retirement Wrap ("BT Lifetime Account Fund")</w:t>
      </w:r>
      <w:r w:rsidRPr="00A17FD4">
        <w:rPr>
          <w:rStyle w:val="FootnoteReference"/>
          <w:rFonts w:ascii="Times New Roman" w:hAnsi="Times New Roman"/>
          <w:sz w:val="24"/>
        </w:rPr>
        <w:footnoteReference w:id="19"/>
      </w:r>
      <w:r w:rsidRPr="00A17FD4">
        <w:rPr>
          <w:rFonts w:ascii="Times New Roman" w:hAnsi="Times New Roman"/>
        </w:rPr>
        <w:t>, of which BTFM is trustee. Membership in either Fund is a "financial product"</w:t>
      </w:r>
      <w:r w:rsidRPr="00A17FD4">
        <w:rPr>
          <w:rStyle w:val="FootnoteReference"/>
          <w:rFonts w:ascii="Times New Roman" w:hAnsi="Times New Roman"/>
          <w:sz w:val="24"/>
        </w:rPr>
        <w:footnoteReference w:id="20"/>
      </w:r>
      <w:r w:rsidRPr="00A17FD4">
        <w:rPr>
          <w:rFonts w:ascii="Times New Roman" w:hAnsi="Times New Roman"/>
        </w:rPr>
        <w:t>.</w:t>
      </w:r>
    </w:p>
    <w:p w14:paraId="2D6A91F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Westpac contacted existing members</w:t>
      </w:r>
      <w:r w:rsidRPr="00A17FD4">
        <w:rPr>
          <w:rStyle w:val="FootnoteReference"/>
          <w:rFonts w:ascii="Times New Roman" w:hAnsi="Times New Roman"/>
          <w:sz w:val="24"/>
        </w:rPr>
        <w:footnoteReference w:id="21"/>
      </w:r>
      <w:r w:rsidRPr="00A17FD4">
        <w:rPr>
          <w:rFonts w:ascii="Times New Roman" w:hAnsi="Times New Roman"/>
        </w:rPr>
        <w:t xml:space="preserve"> of the Funds to encourage them to roll over external superannuation accounts into their pre</w:t>
      </w:r>
      <w:r w:rsidRPr="00A17FD4">
        <w:rPr>
          <w:rFonts w:ascii="Times New Roman" w:hAnsi="Times New Roman"/>
        </w:rPr>
        <w:noBreakHyphen/>
        <w:t>existing Westpac superannuation accounts (collectively, the "BT accounts"). There was no dispute, in this Court, that when Westpac made a telephone call or calls to each member,</w:t>
      </w:r>
      <w:r w:rsidRPr="00A17FD4" w:rsidDel="00EC753E">
        <w:rPr>
          <w:rFonts w:ascii="Times New Roman" w:hAnsi="Times New Roman"/>
        </w:rPr>
        <w:t xml:space="preserve"> </w:t>
      </w:r>
      <w:r w:rsidRPr="00A17FD4">
        <w:rPr>
          <w:rFonts w:ascii="Times New Roman" w:hAnsi="Times New Roman"/>
        </w:rPr>
        <w:lastRenderedPageBreak/>
        <w:t>it provided financial product advice</w:t>
      </w:r>
      <w:r w:rsidRPr="00A17FD4">
        <w:rPr>
          <w:rStyle w:val="FootnoteReference"/>
          <w:rFonts w:ascii="Times New Roman" w:hAnsi="Times New Roman"/>
          <w:sz w:val="24"/>
        </w:rPr>
        <w:footnoteReference w:id="22"/>
      </w:r>
      <w:r w:rsidRPr="00A17FD4">
        <w:rPr>
          <w:rFonts w:ascii="Times New Roman" w:hAnsi="Times New Roman"/>
        </w:rPr>
        <w:t xml:space="preserve"> to that member in relation to a financial product (namely, membership in one of the Funds), that the advice was intended to influence that member in making a decision in relation to the Fund, and that the advice comprised an implied recommendation that that member "should roll over their external accounts into their BT account or, in other words, they should accept the rollover service".</w:t>
      </w:r>
    </w:p>
    <w:p w14:paraId="6C6E34A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In relation to superannuation products, including membership in either Fund, neither WSAL nor BTFM was authorised, under its AFSL, to provide "financial product advice" which was personal advice</w:t>
      </w:r>
      <w:r w:rsidRPr="00A17FD4">
        <w:rPr>
          <w:rStyle w:val="FootnoteReference"/>
          <w:rFonts w:ascii="Times New Roman" w:hAnsi="Times New Roman"/>
          <w:sz w:val="24"/>
        </w:rPr>
        <w:footnoteReference w:id="23"/>
      </w:r>
      <w:r w:rsidRPr="00A17FD4">
        <w:rPr>
          <w:rFonts w:ascii="Times New Roman" w:hAnsi="Times New Roman"/>
        </w:rPr>
        <w:t xml:space="preserve"> within the meaning of s 766B of the </w:t>
      </w:r>
      <w:r w:rsidRPr="00A17FD4">
        <w:rPr>
          <w:rFonts w:ascii="Times New Roman" w:hAnsi="Times New Roman"/>
          <w:i/>
        </w:rPr>
        <w:t>Corporations Act</w:t>
      </w:r>
      <w:r w:rsidRPr="00A17FD4">
        <w:rPr>
          <w:rFonts w:ascii="Times New Roman" w:hAnsi="Times New Roman"/>
        </w:rPr>
        <w:t xml:space="preserve">. The term "personal advice", relevantly, is defined in s 766B(3) of the </w:t>
      </w:r>
      <w:r w:rsidRPr="00A17FD4">
        <w:rPr>
          <w:rFonts w:ascii="Times New Roman" w:hAnsi="Times New Roman"/>
          <w:i/>
        </w:rPr>
        <w:t>Corporations Act</w:t>
      </w:r>
      <w:r w:rsidRPr="00A17FD4">
        <w:rPr>
          <w:rFonts w:ascii="Times New Roman" w:hAnsi="Times New Roman"/>
        </w:rPr>
        <w:t xml:space="preserve"> as:</w:t>
      </w:r>
    </w:p>
    <w:p w14:paraId="5AE5C90C" w14:textId="77777777" w:rsidR="00CE4077" w:rsidRPr="00A17FD4" w:rsidRDefault="00CE4077" w:rsidP="00A17FD4">
      <w:pPr>
        <w:pStyle w:val="leftright"/>
        <w:keepNext/>
        <w:spacing w:before="0" w:after="260" w:line="280" w:lineRule="exact"/>
        <w:ind w:right="0"/>
        <w:jc w:val="both"/>
        <w:rPr>
          <w:rFonts w:ascii="Times New Roman" w:hAnsi="Times New Roman"/>
        </w:rPr>
      </w:pPr>
      <w:r w:rsidRPr="00A17FD4">
        <w:rPr>
          <w:rFonts w:ascii="Times New Roman" w:hAnsi="Times New Roman"/>
        </w:rPr>
        <w:t xml:space="preserve">"financial product advice that is </w:t>
      </w:r>
      <w:r w:rsidRPr="00A17FD4">
        <w:rPr>
          <w:rFonts w:ascii="Times New Roman" w:hAnsi="Times New Roman"/>
          <w:i/>
        </w:rPr>
        <w:t>given or directed to a person</w:t>
      </w:r>
      <w:r w:rsidRPr="00A17FD4">
        <w:rPr>
          <w:rFonts w:ascii="Times New Roman" w:hAnsi="Times New Roman"/>
        </w:rPr>
        <w:t xml:space="preserve"> (including by electronic means) </w:t>
      </w:r>
      <w:r w:rsidRPr="00A17FD4">
        <w:rPr>
          <w:rFonts w:ascii="Times New Roman" w:hAnsi="Times New Roman"/>
          <w:i/>
        </w:rPr>
        <w:t>in circumstances where</w:t>
      </w:r>
      <w:r w:rsidRPr="00A17FD4">
        <w:rPr>
          <w:rFonts w:ascii="Times New Roman" w:hAnsi="Times New Roman"/>
        </w:rPr>
        <w:t>:</w:t>
      </w:r>
    </w:p>
    <w:p w14:paraId="3C5EB2FE"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w:t>
      </w:r>
      <w:r w:rsidRPr="00A17FD4">
        <w:rPr>
          <w:rFonts w:ascii="Times New Roman" w:hAnsi="Times New Roman"/>
        </w:rPr>
        <w:tab/>
        <w:t xml:space="preserve">the provider of the advice has considered one or more of the </w:t>
      </w:r>
      <w:r w:rsidRPr="00A17FD4">
        <w:rPr>
          <w:rFonts w:ascii="Times New Roman" w:hAnsi="Times New Roman"/>
          <w:i/>
        </w:rPr>
        <w:t>person's objectives, financial situation and needs</w:t>
      </w:r>
      <w:r w:rsidRPr="00A17FD4">
        <w:rPr>
          <w:rFonts w:ascii="Times New Roman" w:hAnsi="Times New Roman"/>
        </w:rPr>
        <w:t xml:space="preserve"> ...; or</w:t>
      </w:r>
    </w:p>
    <w:p w14:paraId="180587C1"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(b)</w:t>
      </w:r>
      <w:r w:rsidRPr="00A17FD4">
        <w:rPr>
          <w:rFonts w:ascii="Times New Roman" w:hAnsi="Times New Roman"/>
        </w:rPr>
        <w:tab/>
        <w:t>a reasonable person might expect the provider to have considered one or more of those matters." (emphasis added)</w:t>
      </w:r>
    </w:p>
    <w:p w14:paraId="2735A38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issue in this appeal is whether the financial product advice Westpac gave members was personal advice within the meaning of s 766B(3)(b). Was the advice given or directed to the member in circumstances where a reasonable person </w:t>
      </w:r>
      <w:r w:rsidRPr="00A17FD4">
        <w:rPr>
          <w:rFonts w:ascii="Times New Roman" w:hAnsi="Times New Roman"/>
          <w:i/>
        </w:rPr>
        <w:t>might</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xml:space="preserve"> that Westpac had considered one or more of the member's objectives, financial situation and needs? The resolution of that issue necessitates first construing s 766B(3) of the </w:t>
      </w:r>
      <w:r w:rsidRPr="00A17FD4">
        <w:rPr>
          <w:rFonts w:ascii="Times New Roman" w:hAnsi="Times New Roman"/>
          <w:i/>
        </w:rPr>
        <w:t xml:space="preserve">Corporations Act </w:t>
      </w:r>
      <w:r w:rsidRPr="00A17FD4">
        <w:rPr>
          <w:rFonts w:ascii="Times New Roman" w:hAnsi="Times New Roman"/>
        </w:rPr>
        <w:t>and then, as s 766B(3) directs, considering the circumstances in which the financial product advice was "given or directed" to the person, in this case, the member. As the Full Court of the Federal Court of Australia unanimously held, the answer to the issue is "yes". The appeal should be dismissed with costs.</w:t>
      </w:r>
    </w:p>
    <w:p w14:paraId="4FD000AF"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Statutory framework</w:t>
      </w:r>
    </w:p>
    <w:p w14:paraId="79B716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Chapter 7 of the </w:t>
      </w:r>
      <w:r w:rsidRPr="00A17FD4">
        <w:rPr>
          <w:rFonts w:ascii="Times New Roman" w:hAnsi="Times New Roman"/>
          <w:i/>
        </w:rPr>
        <w:t>Corporations Act</w:t>
      </w:r>
      <w:r w:rsidRPr="00A17FD4">
        <w:rPr>
          <w:rFonts w:ascii="Times New Roman" w:hAnsi="Times New Roman"/>
        </w:rPr>
        <w:t>, headed "Financial services and markets", was introduced in 2001</w:t>
      </w:r>
      <w:r w:rsidRPr="00A17FD4">
        <w:rPr>
          <w:rStyle w:val="FootnoteReference"/>
          <w:rFonts w:ascii="Times New Roman" w:hAnsi="Times New Roman"/>
          <w:sz w:val="24"/>
        </w:rPr>
        <w:footnoteReference w:id="24"/>
      </w:r>
      <w:r w:rsidRPr="00A17FD4">
        <w:rPr>
          <w:rFonts w:ascii="Times New Roman" w:hAnsi="Times New Roman"/>
        </w:rPr>
        <w:t xml:space="preserve">. It was designed, in part, to introduce a single </w:t>
      </w:r>
      <w:r w:rsidRPr="00A17FD4">
        <w:rPr>
          <w:rFonts w:ascii="Times New Roman" w:hAnsi="Times New Roman"/>
        </w:rPr>
        <w:lastRenderedPageBreak/>
        <w:t>licensing regime applicable to all persons providing financial services to ease the administrative burden on financial service providers, who previously were required to obtain multiple licences</w:t>
      </w:r>
      <w:r w:rsidRPr="00A17FD4">
        <w:rPr>
          <w:rStyle w:val="FootnoteReference"/>
          <w:rFonts w:ascii="Times New Roman" w:hAnsi="Times New Roman"/>
          <w:sz w:val="24"/>
        </w:rPr>
        <w:footnoteReference w:id="25"/>
      </w:r>
      <w:r w:rsidRPr="00A17FD4">
        <w:rPr>
          <w:rFonts w:ascii="Times New Roman" w:hAnsi="Times New Roman"/>
        </w:rPr>
        <w:t>. But it was also intended to benefit consumers, who previously could not "be certain that the conduct of the financial service provider [met] minimum standards"</w:t>
      </w:r>
      <w:r w:rsidRPr="00A17FD4">
        <w:rPr>
          <w:rStyle w:val="FootnoteReference"/>
          <w:rFonts w:ascii="Times New Roman" w:hAnsi="Times New Roman"/>
          <w:sz w:val="24"/>
        </w:rPr>
        <w:footnoteReference w:id="26"/>
      </w:r>
      <w:r w:rsidRPr="00A17FD4">
        <w:rPr>
          <w:rFonts w:ascii="Times New Roman" w:hAnsi="Times New Roman"/>
        </w:rPr>
        <w:t xml:space="preserve">. </w:t>
      </w:r>
    </w:p>
    <w:p w14:paraId="7FEF157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Thus, the object of Ch 7 includes to promote</w:t>
      </w:r>
      <w:r w:rsidRPr="00A17FD4">
        <w:rPr>
          <w:rStyle w:val="FootnoteReference"/>
          <w:rFonts w:ascii="Times New Roman" w:hAnsi="Times New Roman"/>
          <w:sz w:val="24"/>
        </w:rPr>
        <w:footnoteReference w:id="27"/>
      </w:r>
      <w:r w:rsidRPr="00A17FD4">
        <w:rPr>
          <w:rFonts w:ascii="Times New Roman" w:hAnsi="Times New Roman"/>
        </w:rPr>
        <w:t>:</w:t>
      </w:r>
    </w:p>
    <w:p w14:paraId="12184071"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w:t>
      </w:r>
      <w:r w:rsidRPr="00A17FD4">
        <w:rPr>
          <w:rFonts w:ascii="Times New Roman" w:hAnsi="Times New Roman"/>
        </w:rPr>
        <w:tab/>
        <w:t>confident and informed decision making by consumers of financial products and services while facilitating efficiency, flexibility and innovation in the provision of those products and services; and</w:t>
      </w:r>
    </w:p>
    <w:p w14:paraId="476CF569"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(b)</w:t>
      </w:r>
      <w:r w:rsidRPr="00A17FD4">
        <w:rPr>
          <w:rFonts w:ascii="Times New Roman" w:hAnsi="Times New Roman"/>
        </w:rPr>
        <w:tab/>
        <w:t>fairness, honesty and professionalism by those who provide financial services ..."</w:t>
      </w:r>
    </w:p>
    <w:p w14:paraId="3A0F862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Part 7.1 (like much else in the </w:t>
      </w:r>
      <w:r w:rsidRPr="00A17FD4">
        <w:rPr>
          <w:rFonts w:ascii="Times New Roman" w:hAnsi="Times New Roman"/>
          <w:i/>
        </w:rPr>
        <w:t>Corporations Act</w:t>
      </w:r>
      <w:r w:rsidRPr="00A17FD4">
        <w:rPr>
          <w:rFonts w:ascii="Times New Roman" w:hAnsi="Times New Roman"/>
        </w:rPr>
        <w:t>)</w:t>
      </w:r>
      <w:r w:rsidRPr="00A17FD4">
        <w:rPr>
          <w:rFonts w:ascii="Times New Roman" w:hAnsi="Times New Roman"/>
          <w:i/>
        </w:rPr>
        <w:t xml:space="preserve"> </w:t>
      </w:r>
      <w:r w:rsidRPr="00A17FD4">
        <w:rPr>
          <w:rFonts w:ascii="Times New Roman" w:hAnsi="Times New Roman"/>
        </w:rPr>
        <w:t>proceeds by defining key concepts – here "financial service", "financial product advice", "personal advice", "general advice" and "retail client". These defined terms are then used in ways that build one on the other and it is, therefore, necessary to set out several definitions. Division 4 of Pt 7.1, headed "When does a person provide a financial service?", contains s 766A(1), which relevantly provides:</w:t>
      </w:r>
    </w:p>
    <w:p w14:paraId="00995052" w14:textId="77777777" w:rsidR="00CE4077" w:rsidRPr="00A17FD4"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 xml:space="preserve">"For the purposes of this Chapter ... a person provides a </w:t>
      </w:r>
      <w:r w:rsidRPr="00A17FD4">
        <w:rPr>
          <w:rFonts w:ascii="Times New Roman" w:hAnsi="Times New Roman"/>
          <w:b/>
          <w:i/>
        </w:rPr>
        <w:t>financial service</w:t>
      </w:r>
      <w:r w:rsidRPr="00A17FD4">
        <w:rPr>
          <w:rFonts w:ascii="Times New Roman" w:hAnsi="Times New Roman"/>
        </w:rPr>
        <w:t xml:space="preserve"> if they:</w:t>
      </w:r>
    </w:p>
    <w:p w14:paraId="14AB1356"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w:t>
      </w:r>
      <w:r w:rsidRPr="00A17FD4">
        <w:rPr>
          <w:rFonts w:ascii="Times New Roman" w:hAnsi="Times New Roman"/>
        </w:rPr>
        <w:tab/>
        <w:t>provide financial product advice (see section 766B); or</w:t>
      </w:r>
    </w:p>
    <w:p w14:paraId="021190E8" w14:textId="77777777" w:rsidR="00CE4077" w:rsidRPr="00A17FD4"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(b)</w:t>
      </w:r>
      <w:r w:rsidRPr="00A17FD4">
        <w:rPr>
          <w:rFonts w:ascii="Times New Roman" w:hAnsi="Times New Roman"/>
        </w:rPr>
        <w:tab/>
        <w:t>deal in a financial product (see section 766C); or</w:t>
      </w:r>
    </w:p>
    <w:p w14:paraId="76F0B7E8"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(c)</w:t>
      </w:r>
      <w:r w:rsidRPr="00A17FD4">
        <w:rPr>
          <w:rFonts w:ascii="Times New Roman" w:hAnsi="Times New Roman"/>
        </w:rPr>
        <w:tab/>
        <w:t>make a market for a financial product (see section 766D); or</w:t>
      </w:r>
    </w:p>
    <w:p w14:paraId="0BCC3A82" w14:textId="77777777" w:rsidR="00CE4077" w:rsidRPr="00A17FD4"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(d)</w:t>
      </w:r>
      <w:r w:rsidRPr="00A17FD4">
        <w:rPr>
          <w:rFonts w:ascii="Times New Roman" w:hAnsi="Times New Roman"/>
        </w:rPr>
        <w:tab/>
        <w:t>operate a registered scheme; or</w:t>
      </w:r>
    </w:p>
    <w:p w14:paraId="34ED395C"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(e)</w:t>
      </w:r>
      <w:r w:rsidRPr="00A17FD4">
        <w:rPr>
          <w:rFonts w:ascii="Times New Roman" w:hAnsi="Times New Roman"/>
        </w:rPr>
        <w:tab/>
        <w:t>provide a custodial or depository service (see section 766E); or</w:t>
      </w:r>
    </w:p>
    <w:p w14:paraId="0BBE57BD"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(f)</w:t>
      </w:r>
      <w:r w:rsidRPr="00A17FD4">
        <w:rPr>
          <w:rFonts w:ascii="Times New Roman" w:hAnsi="Times New Roman"/>
        </w:rPr>
        <w:tab/>
        <w:t>engage in conduct of a kind prescribed by regulations made for the purposes of this paragraph."</w:t>
      </w:r>
    </w:p>
    <w:p w14:paraId="2038B4EB"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lastRenderedPageBreak/>
        <w:tab/>
        <w:t>This appeal is concerned with s 766A(1)(a) – "financial product advice" –defined in s 766B(1), for the purposes of Ch 7, to mean:</w:t>
      </w:r>
    </w:p>
    <w:p w14:paraId="3A816B3F" w14:textId="77777777" w:rsidR="00CE4077" w:rsidRPr="00A17FD4"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"a recommendation or a statement of opinion, or a report of either of those things, that:</w:t>
      </w:r>
    </w:p>
    <w:p w14:paraId="11FC1B7E"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w:t>
      </w:r>
      <w:r w:rsidRPr="00A17FD4">
        <w:rPr>
          <w:rFonts w:ascii="Times New Roman" w:hAnsi="Times New Roman"/>
        </w:rPr>
        <w:tab/>
        <w:t>is intended to influence a person or persons in making a decision in relation to a particular financial product or class of financial products, or an interest in a particular financial product or class of financial products; or</w:t>
      </w:r>
    </w:p>
    <w:p w14:paraId="0FB76ED1"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(b)</w:t>
      </w:r>
      <w:r w:rsidRPr="00A17FD4">
        <w:rPr>
          <w:rFonts w:ascii="Times New Roman" w:hAnsi="Times New Roman"/>
        </w:rPr>
        <w:tab/>
        <w:t>could reasonably be regarded as being intended to have such an influence."</w:t>
      </w:r>
    </w:p>
    <w:p w14:paraId="0B230AB1"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Section 766B(2) records that there are "2 types of financial product advice: personal advice and general advice". </w:t>
      </w:r>
      <w:bookmarkStart w:id="2" w:name="_Hlk51571977"/>
      <w:r w:rsidRPr="00A17FD4">
        <w:rPr>
          <w:rFonts w:ascii="Times New Roman" w:hAnsi="Times New Roman"/>
        </w:rPr>
        <w:t>The term "personal advice" is defined in s 766B(3), which has been set out earlier</w:t>
      </w:r>
      <w:r w:rsidRPr="00A17FD4">
        <w:rPr>
          <w:rStyle w:val="FootnoteReference"/>
          <w:rFonts w:ascii="Times New Roman" w:hAnsi="Times New Roman"/>
          <w:sz w:val="24"/>
        </w:rPr>
        <w:footnoteReference w:id="28"/>
      </w:r>
      <w:r w:rsidRPr="00A17FD4">
        <w:rPr>
          <w:rFonts w:ascii="Times New Roman" w:hAnsi="Times New Roman"/>
        </w:rPr>
        <w:t xml:space="preserve">. </w:t>
      </w:r>
      <w:bookmarkEnd w:id="2"/>
      <w:r w:rsidRPr="00A17FD4">
        <w:rPr>
          <w:rFonts w:ascii="Times New Roman" w:hAnsi="Times New Roman"/>
        </w:rPr>
        <w:t>General advice is defined as "financial</w:t>
      </w:r>
      <w:r>
        <w:rPr>
          <w:rFonts w:ascii="Times New Roman" w:hAnsi="Times New Roman"/>
        </w:rPr>
        <w:t> </w:t>
      </w:r>
      <w:r w:rsidRPr="00A17FD4">
        <w:rPr>
          <w:rFonts w:ascii="Times New Roman" w:hAnsi="Times New Roman"/>
        </w:rPr>
        <w:t>product advice that is not personal advice"</w:t>
      </w:r>
      <w:r w:rsidRPr="00A17FD4">
        <w:rPr>
          <w:rStyle w:val="FootnoteReference"/>
          <w:rFonts w:ascii="Times New Roman" w:hAnsi="Times New Roman"/>
          <w:sz w:val="24"/>
        </w:rPr>
        <w:footnoteReference w:id="29"/>
      </w:r>
      <w:r w:rsidRPr="00A17FD4">
        <w:rPr>
          <w:rFonts w:ascii="Times New Roman" w:hAnsi="Times New Roman"/>
        </w:rPr>
        <w:t xml:space="preserve">. </w:t>
      </w:r>
    </w:p>
    <w:p w14:paraId="5A5DD5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One aspect of the drafting history of s 766B(3) is to be observed. As initially drafted, s 766B(3) referred only to the "objectives, financial situation and needs" of a person</w:t>
      </w:r>
      <w:r w:rsidRPr="00A17FD4">
        <w:rPr>
          <w:rStyle w:val="FootnoteReference"/>
          <w:rFonts w:ascii="Times New Roman" w:hAnsi="Times New Roman"/>
          <w:sz w:val="24"/>
        </w:rPr>
        <w:footnoteReference w:id="30"/>
      </w:r>
      <w:r w:rsidRPr="00A17FD4">
        <w:rPr>
          <w:rFonts w:ascii="Times New Roman" w:hAnsi="Times New Roman"/>
        </w:rPr>
        <w:t>. The phrase "one or more of" was inserted prior to its enactment</w:t>
      </w:r>
      <w:r w:rsidRPr="00A17FD4">
        <w:rPr>
          <w:rStyle w:val="FootnoteReference"/>
          <w:rFonts w:ascii="Times New Roman" w:hAnsi="Times New Roman"/>
          <w:sz w:val="24"/>
        </w:rPr>
        <w:footnoteReference w:id="31"/>
      </w:r>
      <w:r w:rsidRPr="00A17FD4">
        <w:rPr>
          <w:rFonts w:ascii="Times New Roman" w:hAnsi="Times New Roman"/>
        </w:rPr>
        <w:t>:</w:t>
      </w:r>
    </w:p>
    <w:p w14:paraId="5CDC5D70" w14:textId="77777777" w:rsidR="00CE4077" w:rsidRPr="00A17FD4"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"to ensure that a financial services provider will be subject to the requirements of proposed Division[] 3 ... of Part 7.7 (including the requirement to provide a [Statement of Advice]) when advising a retail client that a particular financial product (o[r] class of financial products) is</w:t>
      </w:r>
      <w:r>
        <w:rPr>
          <w:rFonts w:ascii="Times New Roman" w:hAnsi="Times New Roman"/>
        </w:rPr>
        <w:t> </w:t>
      </w:r>
      <w:r w:rsidRPr="00A17FD4">
        <w:rPr>
          <w:rFonts w:ascii="Times New Roman" w:hAnsi="Times New Roman"/>
        </w:rPr>
        <w:t>appropriate to them as an individual.</w:t>
      </w:r>
    </w:p>
    <w:p w14:paraId="0CF985FB" w14:textId="77777777" w:rsidR="00CE4077"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 xml:space="preserve">As subsection 766B(3) is currently drafted, a financial services provider could recommend a financial product or class of financial product as being appropriate to a retail client's individual needs and objectives, but avoid the </w:t>
      </w:r>
      <w:r w:rsidRPr="00A17FD4">
        <w:rPr>
          <w:rFonts w:ascii="Times New Roman" w:hAnsi="Times New Roman"/>
        </w:rPr>
        <w:lastRenderedPageBreak/>
        <w:t>requirements of proposed Division[] 3 ... of Part 7.7 because they had not considered the client's financial situation."</w:t>
      </w:r>
    </w:p>
    <w:p w14:paraId="5B959E1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It is also to be observed that Ch 7 draws a distinction between retail and other clients</w:t>
      </w:r>
      <w:r w:rsidRPr="00A17FD4">
        <w:rPr>
          <w:rStyle w:val="FootnoteReference"/>
          <w:rFonts w:ascii="Times New Roman" w:hAnsi="Times New Roman"/>
          <w:sz w:val="24"/>
        </w:rPr>
        <w:footnoteReference w:id="32"/>
      </w:r>
      <w:r w:rsidRPr="00A17FD4">
        <w:rPr>
          <w:rFonts w:ascii="Times New Roman" w:hAnsi="Times New Roman"/>
        </w:rPr>
        <w:t>. The consumer protection provisions</w:t>
      </w:r>
      <w:r w:rsidRPr="00A17FD4">
        <w:rPr>
          <w:rStyle w:val="FootnoteReference"/>
          <w:rFonts w:ascii="Times New Roman" w:hAnsi="Times New Roman"/>
          <w:sz w:val="24"/>
        </w:rPr>
        <w:footnoteReference w:id="33"/>
      </w:r>
      <w:r w:rsidRPr="00A17FD4">
        <w:rPr>
          <w:rFonts w:ascii="Times New Roman" w:hAnsi="Times New Roman"/>
        </w:rPr>
        <w:t xml:space="preserve"> apply only to retail clients; this recognises that other clients "do not require the same level of protection, as</w:t>
      </w:r>
      <w:r>
        <w:rPr>
          <w:rFonts w:ascii="Times New Roman" w:hAnsi="Times New Roman"/>
        </w:rPr>
        <w:t> </w:t>
      </w:r>
      <w:r w:rsidRPr="00A17FD4">
        <w:rPr>
          <w:rFonts w:ascii="Times New Roman" w:hAnsi="Times New Roman"/>
        </w:rPr>
        <w:t>they are better informed and better able to assess the risks involved in financial transactions"</w:t>
      </w:r>
      <w:r w:rsidRPr="00A17FD4">
        <w:rPr>
          <w:rStyle w:val="FootnoteReference"/>
          <w:rFonts w:ascii="Times New Roman" w:hAnsi="Times New Roman"/>
          <w:sz w:val="24"/>
        </w:rPr>
        <w:footnoteReference w:id="34"/>
      </w:r>
      <w:r w:rsidRPr="00A17FD4">
        <w:rPr>
          <w:rFonts w:ascii="Times New Roman" w:hAnsi="Times New Roman"/>
        </w:rPr>
        <w:t>. Where, however, the relevant financial product is a superannuation product (as it was here), Ch 7 provides that the person will always be a retail client</w:t>
      </w:r>
      <w:r w:rsidRPr="00A17FD4">
        <w:rPr>
          <w:rStyle w:val="FootnoteReference"/>
          <w:rFonts w:ascii="Times New Roman" w:hAnsi="Times New Roman"/>
          <w:sz w:val="24"/>
        </w:rPr>
        <w:footnoteReference w:id="35"/>
      </w:r>
      <w:r w:rsidRPr="00A17FD4">
        <w:rPr>
          <w:rFonts w:ascii="Times New Roman" w:hAnsi="Times New Roman"/>
        </w:rPr>
        <w:t>. The Revised Explanatory Memorandum explained that legislative decision in these terms</w:t>
      </w:r>
      <w:r w:rsidRPr="00A17FD4">
        <w:rPr>
          <w:rStyle w:val="FootnoteReference"/>
          <w:rFonts w:ascii="Times New Roman" w:hAnsi="Times New Roman"/>
          <w:sz w:val="24"/>
        </w:rPr>
        <w:footnoteReference w:id="36"/>
      </w:r>
      <w:r w:rsidRPr="00A17FD4">
        <w:rPr>
          <w:rFonts w:ascii="Times New Roman" w:hAnsi="Times New Roman"/>
        </w:rPr>
        <w:t>:</w:t>
      </w:r>
    </w:p>
    <w:p w14:paraId="15DDA847" w14:textId="77777777" w:rsidR="00CE4077" w:rsidRDefault="00CE4077" w:rsidP="00A17FD4">
      <w:pPr>
        <w:pStyle w:val="leftright"/>
        <w:spacing w:before="0" w:after="260" w:line="280" w:lineRule="exact"/>
        <w:ind w:right="0"/>
        <w:jc w:val="both"/>
        <w:rPr>
          <w:rFonts w:ascii="Times New Roman" w:hAnsi="Times New Roman"/>
        </w:rPr>
      </w:pPr>
      <w:r w:rsidRPr="00A17FD4">
        <w:rPr>
          <w:rFonts w:ascii="Times New Roman" w:hAnsi="Times New Roman"/>
        </w:rPr>
        <w:t>"This will ensure that disclosure is given to all persons in relation to superannuation ... products. This is consistent with the long term nature and complexity of such products and will ensure the integrity of the regime in a choice of</w:t>
      </w:r>
      <w:r w:rsidRPr="00A17FD4" w:rsidDel="005B1DEE">
        <w:rPr>
          <w:rFonts w:ascii="Times New Roman" w:hAnsi="Times New Roman"/>
        </w:rPr>
        <w:t xml:space="preserve"> </w:t>
      </w:r>
      <w:r w:rsidRPr="00A17FD4">
        <w:rPr>
          <w:rFonts w:ascii="Times New Roman" w:hAnsi="Times New Roman"/>
        </w:rPr>
        <w:t xml:space="preserve">superannuation fund environment." </w:t>
      </w:r>
    </w:p>
    <w:p w14:paraId="738D64D0" w14:textId="77777777" w:rsidR="00CE4077" w:rsidRPr="00A17FD4" w:rsidRDefault="00CE4077" w:rsidP="00A17FD4">
      <w:pPr>
        <w:pStyle w:val="HeadingL2"/>
        <w:spacing w:after="260" w:line="280" w:lineRule="exact"/>
        <w:ind w:right="0"/>
        <w:jc w:val="both"/>
        <w:rPr>
          <w:rFonts w:ascii="Times New Roman" w:hAnsi="Times New Roman"/>
        </w:rPr>
      </w:pPr>
      <w:r w:rsidRPr="00A17FD4">
        <w:rPr>
          <w:rFonts w:ascii="Times New Roman" w:hAnsi="Times New Roman"/>
        </w:rPr>
        <w:t>Financial services licences</w:t>
      </w:r>
    </w:p>
    <w:p w14:paraId="1261622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Part 7.6 of Ch 7 governs the licensing of providers of financial services. Section 911A(1), within </w:t>
      </w:r>
      <w:proofErr w:type="spellStart"/>
      <w:r w:rsidRPr="00A17FD4">
        <w:rPr>
          <w:rFonts w:ascii="Times New Roman" w:hAnsi="Times New Roman"/>
        </w:rPr>
        <w:t>Div</w:t>
      </w:r>
      <w:proofErr w:type="spellEnd"/>
      <w:r w:rsidRPr="00A17FD4">
        <w:rPr>
          <w:rFonts w:ascii="Times New Roman" w:hAnsi="Times New Roman"/>
        </w:rPr>
        <w:t xml:space="preserve"> 2 of Pt 7.6, relevantly provides that "a person who carries on a financial services business ... must hold an [AFSL] covering the provision of the financial services". As stated earlier, each of WSAL and BTFM was a holder of an AFSL granted under s 913B of the </w:t>
      </w:r>
      <w:r w:rsidRPr="00A17FD4">
        <w:rPr>
          <w:rFonts w:ascii="Times New Roman" w:hAnsi="Times New Roman"/>
          <w:i/>
        </w:rPr>
        <w:t xml:space="preserve">Corporations Act </w:t>
      </w:r>
      <w:r w:rsidRPr="00A17FD4">
        <w:rPr>
          <w:rFonts w:ascii="Times New Roman" w:hAnsi="Times New Roman"/>
        </w:rPr>
        <w:t>authorising them, as persons carrying on a financial services business in Australia within the meaning of s 911D, to provide financial services. Under</w:t>
      </w:r>
      <w:r w:rsidRPr="00A17FD4" w:rsidDel="00716D95">
        <w:rPr>
          <w:rFonts w:ascii="Times New Roman" w:hAnsi="Times New Roman"/>
        </w:rPr>
        <w:t xml:space="preserve"> </w:t>
      </w:r>
      <w:r w:rsidRPr="00A17FD4">
        <w:rPr>
          <w:rFonts w:ascii="Times New Roman" w:hAnsi="Times New Roman"/>
        </w:rPr>
        <w:t xml:space="preserve">their respective AFSLs, they were authorised to provide financial product advice but they were </w:t>
      </w:r>
      <w:r w:rsidRPr="00A17FD4">
        <w:rPr>
          <w:rFonts w:ascii="Times New Roman" w:hAnsi="Times New Roman"/>
          <w:i/>
        </w:rPr>
        <w:t>not</w:t>
      </w:r>
      <w:r w:rsidRPr="00A17FD4">
        <w:rPr>
          <w:rFonts w:ascii="Times New Roman" w:hAnsi="Times New Roman"/>
        </w:rPr>
        <w:t xml:space="preserve"> authorised to provide personal advice within the meaning of s 766B(3). </w:t>
      </w:r>
    </w:p>
    <w:p w14:paraId="3CFFE6F6"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obligations of financial services licensees are addressed in </w:t>
      </w:r>
      <w:proofErr w:type="spellStart"/>
      <w:r w:rsidRPr="00A17FD4">
        <w:rPr>
          <w:rFonts w:ascii="Times New Roman" w:hAnsi="Times New Roman"/>
        </w:rPr>
        <w:t>Div</w:t>
      </w:r>
      <w:proofErr w:type="spellEnd"/>
      <w:r w:rsidRPr="00A17FD4">
        <w:rPr>
          <w:rFonts w:ascii="Times New Roman" w:hAnsi="Times New Roman"/>
        </w:rPr>
        <w:t> 3. Section 912A(1) relevantly provides that a financial services licensee must:</w:t>
      </w:r>
    </w:p>
    <w:p w14:paraId="404C2EF4"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lastRenderedPageBreak/>
        <w:t>"(a)</w:t>
      </w:r>
      <w:r w:rsidRPr="00A17FD4">
        <w:rPr>
          <w:rFonts w:ascii="Times New Roman" w:hAnsi="Times New Roman"/>
        </w:rPr>
        <w:tab/>
        <w:t>do all things necessary to ensure that the financial services covered by the licence are provided efficiently, honestly and fairly; and</w:t>
      </w:r>
    </w:p>
    <w:p w14:paraId="45B21A56"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(aa)</w:t>
      </w:r>
      <w:r w:rsidRPr="00A17FD4">
        <w:rPr>
          <w:rFonts w:ascii="Times New Roman" w:hAnsi="Times New Roman"/>
        </w:rPr>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14:paraId="5CA92AF5"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 xml:space="preserve">(b) </w:t>
      </w:r>
      <w:r w:rsidRPr="00A17FD4">
        <w:rPr>
          <w:rFonts w:ascii="Times New Roman" w:hAnsi="Times New Roman"/>
        </w:rPr>
        <w:tab/>
        <w:t>comply with the conditions on the licence; and</w:t>
      </w:r>
    </w:p>
    <w:p w14:paraId="60E1F169"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(c)</w:t>
      </w:r>
      <w:r w:rsidRPr="00A17FD4">
        <w:rPr>
          <w:rFonts w:ascii="Times New Roman" w:hAnsi="Times New Roman"/>
        </w:rPr>
        <w:tab/>
        <w:t>comply with the financial services laws ..."</w:t>
      </w:r>
    </w:p>
    <w:p w14:paraId="56F74560" w14:textId="77777777" w:rsidR="00CE4077" w:rsidRPr="00A17FD4" w:rsidRDefault="00CE4077" w:rsidP="00A17FD4">
      <w:pPr>
        <w:pStyle w:val="NormalBody"/>
        <w:spacing w:after="260" w:line="280" w:lineRule="exact"/>
        <w:ind w:right="0"/>
        <w:jc w:val="both"/>
        <w:rPr>
          <w:rFonts w:ascii="Times New Roman" w:hAnsi="Times New Roman"/>
        </w:rPr>
      </w:pPr>
      <w:r w:rsidRPr="00A17FD4">
        <w:rPr>
          <w:rFonts w:ascii="Times New Roman" w:hAnsi="Times New Roman"/>
        </w:rPr>
        <w:t>Westpac accepted that if the advice it provided was personal advice, Westpac not only breached the conditions of the AFSLs and the financial services laws, but also failed to do all things necessary to ensure that the financial services covered by the AFSLs were provided efficiently, honestly and fairly within the meaning of s 912A(1).</w:t>
      </w:r>
    </w:p>
    <w:p w14:paraId="672D53DB" w14:textId="77777777" w:rsidR="00CE4077" w:rsidRPr="00A17FD4" w:rsidRDefault="00CE4077" w:rsidP="00A17FD4">
      <w:pPr>
        <w:pStyle w:val="HeadingL2"/>
        <w:spacing w:after="260" w:line="280" w:lineRule="exact"/>
        <w:ind w:right="0"/>
        <w:jc w:val="both"/>
        <w:rPr>
          <w:rFonts w:ascii="Times New Roman" w:hAnsi="Times New Roman"/>
        </w:rPr>
      </w:pPr>
      <w:r w:rsidRPr="00A17FD4">
        <w:rPr>
          <w:rFonts w:ascii="Times New Roman" w:hAnsi="Times New Roman"/>
        </w:rPr>
        <w:t>Financial services obligations</w:t>
      </w:r>
    </w:p>
    <w:p w14:paraId="50F6EC8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Part 7.7 of Ch 7 imposes on financial services licensees disclosure obligations which differ depending on whether general advice or personal advice is being provided. </w:t>
      </w:r>
    </w:p>
    <w:p w14:paraId="2BDD9798"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Divisions 3 and 4 of Pt 7.7, respectively, provide for different financial services obligations to apply when a licensee is providing personal advice and general advice. The main additional requirement applicable to the provision of personal advice is for a written Statement of Advice ("SOA") to be given</w:t>
      </w:r>
      <w:r w:rsidRPr="00A17FD4">
        <w:rPr>
          <w:rStyle w:val="FootnoteReference"/>
          <w:rFonts w:ascii="Times New Roman" w:hAnsi="Times New Roman"/>
          <w:sz w:val="24"/>
        </w:rPr>
        <w:footnoteReference w:id="37"/>
      </w:r>
      <w:r w:rsidRPr="00A17FD4">
        <w:rPr>
          <w:rFonts w:ascii="Times New Roman" w:hAnsi="Times New Roman"/>
        </w:rPr>
        <w:t>. The</w:t>
      </w:r>
      <w:r>
        <w:rPr>
          <w:rFonts w:ascii="Times New Roman" w:hAnsi="Times New Roman"/>
        </w:rPr>
        <w:t> </w:t>
      </w:r>
      <w:r w:rsidRPr="00A17FD4">
        <w:rPr>
          <w:rFonts w:ascii="Times New Roman" w:hAnsi="Times New Roman"/>
        </w:rPr>
        <w:t>content of a SOA</w:t>
      </w:r>
      <w:r w:rsidRPr="00A17FD4" w:rsidDel="009A1F1E">
        <w:rPr>
          <w:rFonts w:ascii="Times New Roman" w:hAnsi="Times New Roman"/>
        </w:rPr>
        <w:t xml:space="preserve"> </w:t>
      </w:r>
      <w:r w:rsidRPr="00A17FD4">
        <w:rPr>
          <w:rFonts w:ascii="Times New Roman" w:hAnsi="Times New Roman"/>
        </w:rPr>
        <w:t>is prescribed</w:t>
      </w:r>
      <w:r w:rsidRPr="00A17FD4">
        <w:rPr>
          <w:rStyle w:val="FootnoteReference"/>
          <w:rFonts w:ascii="Times New Roman" w:hAnsi="Times New Roman"/>
          <w:sz w:val="24"/>
        </w:rPr>
        <w:footnoteReference w:id="38"/>
      </w:r>
      <w:r w:rsidRPr="00A17FD4">
        <w:rPr>
          <w:rFonts w:ascii="Times New Roman" w:hAnsi="Times New Roman"/>
        </w:rPr>
        <w:t xml:space="preserve"> and, subject to exceptions not presently relevant, must include, among other things: a statement setting out the advice; information about the basis on which the advice is or was given; and a statement setting out the name and contact details of the providing entity</w:t>
      </w:r>
      <w:r w:rsidRPr="00A17FD4">
        <w:rPr>
          <w:rStyle w:val="FootnoteReference"/>
          <w:rFonts w:ascii="Times New Roman" w:hAnsi="Times New Roman"/>
          <w:sz w:val="24"/>
        </w:rPr>
        <w:footnoteReference w:id="39"/>
      </w:r>
      <w:r w:rsidRPr="00A17FD4">
        <w:rPr>
          <w:rFonts w:ascii="Times New Roman" w:hAnsi="Times New Roman"/>
        </w:rPr>
        <w:t>. It was found by the Full Court, and was not contested in this Court, that if Westpac provided financial product advice that was personal advice, it breached s 946A because it failed to give the members a SOA.</w:t>
      </w:r>
    </w:p>
    <w:p w14:paraId="6F0D68C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lastRenderedPageBreak/>
        <w:tab/>
        <w:t>For general advice, the requirements are understandably less onerous. The main "[o]</w:t>
      </w:r>
      <w:proofErr w:type="spellStart"/>
      <w:r w:rsidRPr="00A17FD4">
        <w:rPr>
          <w:rFonts w:ascii="Times New Roman" w:hAnsi="Times New Roman"/>
        </w:rPr>
        <w:t>ther</w:t>
      </w:r>
      <w:proofErr w:type="spellEnd"/>
      <w:r w:rsidRPr="00A17FD4">
        <w:rPr>
          <w:rFonts w:ascii="Times New Roman" w:hAnsi="Times New Roman"/>
        </w:rPr>
        <w:t xml:space="preserve"> disclosure" requirement</w:t>
      </w:r>
      <w:r w:rsidRPr="00A17FD4">
        <w:rPr>
          <w:rStyle w:val="FootnoteReference"/>
          <w:rFonts w:ascii="Times New Roman" w:hAnsi="Times New Roman"/>
          <w:sz w:val="24"/>
        </w:rPr>
        <w:footnoteReference w:id="40"/>
      </w:r>
      <w:r w:rsidRPr="00A17FD4">
        <w:rPr>
          <w:rFonts w:ascii="Times New Roman" w:hAnsi="Times New Roman"/>
        </w:rPr>
        <w:t>, which applies any time general advice is provided to a retail client</w:t>
      </w:r>
      <w:r w:rsidRPr="00A17FD4">
        <w:rPr>
          <w:rStyle w:val="FootnoteReference"/>
          <w:rFonts w:ascii="Times New Roman" w:hAnsi="Times New Roman"/>
          <w:sz w:val="24"/>
        </w:rPr>
        <w:footnoteReference w:id="41"/>
      </w:r>
      <w:r w:rsidRPr="00A17FD4">
        <w:rPr>
          <w:rFonts w:ascii="Times New Roman" w:hAnsi="Times New Roman"/>
        </w:rPr>
        <w:t>, is that the client is provided with a general advice warning by the providing entity at the same time as the advice is</w:t>
      </w:r>
      <w:r w:rsidRPr="00A17FD4" w:rsidDel="00441930">
        <w:rPr>
          <w:rFonts w:ascii="Times New Roman" w:hAnsi="Times New Roman"/>
        </w:rPr>
        <w:t xml:space="preserve"> </w:t>
      </w:r>
      <w:r w:rsidRPr="00A17FD4">
        <w:rPr>
          <w:rFonts w:ascii="Times New Roman" w:hAnsi="Times New Roman"/>
        </w:rPr>
        <w:t>provided and by the same means</w:t>
      </w:r>
      <w:r w:rsidRPr="00A17FD4">
        <w:rPr>
          <w:rStyle w:val="FootnoteReference"/>
          <w:rFonts w:ascii="Times New Roman" w:hAnsi="Times New Roman"/>
          <w:sz w:val="24"/>
        </w:rPr>
        <w:footnoteReference w:id="42"/>
      </w:r>
      <w:r w:rsidRPr="00A17FD4">
        <w:rPr>
          <w:rFonts w:ascii="Times New Roman" w:hAnsi="Times New Roman"/>
        </w:rPr>
        <w:t>. Under s 949A(2), that general advice warning must relevantly state that:</w:t>
      </w:r>
    </w:p>
    <w:p w14:paraId="707A5E5B"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"(a)</w:t>
      </w:r>
      <w:r w:rsidRPr="00A17FD4">
        <w:rPr>
          <w:rFonts w:ascii="Times New Roman" w:hAnsi="Times New Roman"/>
        </w:rPr>
        <w:tab/>
        <w:t>the advice has been prepared without taking account of the client's objectives, financial situation or needs; and</w:t>
      </w:r>
    </w:p>
    <w:p w14:paraId="2182B9D4"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(b)</w:t>
      </w:r>
      <w:r w:rsidRPr="00A17FD4">
        <w:rPr>
          <w:rFonts w:ascii="Times New Roman" w:hAnsi="Times New Roman"/>
        </w:rPr>
        <w:tab/>
        <w:t>because of that, the client should, before acting on the advice, consider the appropriateness of the advice, having regard to the client's objectives, financial situation and needs ..."</w:t>
      </w:r>
    </w:p>
    <w:p w14:paraId="2F1FBBBB" w14:textId="77777777" w:rsidR="00CE4077" w:rsidRPr="00A17FD4" w:rsidRDefault="00CE4077" w:rsidP="00A17FD4">
      <w:pPr>
        <w:pStyle w:val="NormalBody"/>
        <w:spacing w:after="260" w:line="280" w:lineRule="exact"/>
        <w:ind w:right="0"/>
        <w:jc w:val="both"/>
        <w:rPr>
          <w:rFonts w:ascii="Times New Roman" w:hAnsi="Times New Roman"/>
        </w:rPr>
      </w:pPr>
      <w:r w:rsidRPr="00A17FD4">
        <w:rPr>
          <w:rFonts w:ascii="Times New Roman" w:hAnsi="Times New Roman"/>
        </w:rPr>
        <w:t>Pursuant to s 951B(1)(a) and (c), the Australian Securities and Investments Commission ("ASIC") published an exemption</w:t>
      </w:r>
      <w:r w:rsidRPr="00A17FD4">
        <w:rPr>
          <w:rStyle w:val="FootnoteReference"/>
          <w:rFonts w:ascii="Times New Roman" w:hAnsi="Times New Roman"/>
          <w:sz w:val="24"/>
        </w:rPr>
        <w:footnoteReference w:id="43"/>
      </w:r>
      <w:r w:rsidRPr="00A17FD4">
        <w:rPr>
          <w:rFonts w:ascii="Times New Roman" w:hAnsi="Times New Roman"/>
        </w:rPr>
        <w:t xml:space="preserve"> in relation to oral advice, which</w:t>
      </w:r>
      <w:r>
        <w:rPr>
          <w:rFonts w:ascii="Times New Roman" w:hAnsi="Times New Roman"/>
        </w:rPr>
        <w:t> </w:t>
      </w:r>
      <w:r w:rsidRPr="00A17FD4">
        <w:rPr>
          <w:rFonts w:ascii="Times New Roman" w:hAnsi="Times New Roman"/>
        </w:rPr>
        <w:t>required the provider to orally warn any client provided with oral advice only that the advice is general and that the advice may not be appropriate for the client. ASIC did not contend that Westpac failed to comply with s 949A(2) or the exemption.</w:t>
      </w:r>
    </w:p>
    <w:p w14:paraId="6F71B3DF"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In 2012, substantial changes were made to the regulation of personal financial advice by the Future of Financial Advice or "</w:t>
      </w:r>
      <w:proofErr w:type="spellStart"/>
      <w:r w:rsidRPr="00A17FD4">
        <w:rPr>
          <w:rFonts w:ascii="Times New Roman" w:hAnsi="Times New Roman"/>
        </w:rPr>
        <w:t>FoFA</w:t>
      </w:r>
      <w:proofErr w:type="spellEnd"/>
      <w:r w:rsidRPr="00A17FD4">
        <w:rPr>
          <w:rFonts w:ascii="Times New Roman" w:hAnsi="Times New Roman"/>
        </w:rPr>
        <w:t>" reforms</w:t>
      </w:r>
      <w:r w:rsidRPr="00A17FD4">
        <w:rPr>
          <w:rStyle w:val="FootnoteReference"/>
          <w:rFonts w:ascii="Times New Roman" w:hAnsi="Times New Roman"/>
          <w:sz w:val="24"/>
        </w:rPr>
        <w:footnoteReference w:id="44"/>
      </w:r>
      <w:r w:rsidRPr="00A17FD4">
        <w:rPr>
          <w:rFonts w:ascii="Times New Roman" w:hAnsi="Times New Roman"/>
        </w:rPr>
        <w:t>. Their</w:t>
      </w:r>
      <w:r>
        <w:rPr>
          <w:rFonts w:ascii="Times New Roman" w:hAnsi="Times New Roman"/>
        </w:rPr>
        <w:t> </w:t>
      </w:r>
      <w:r w:rsidRPr="00A17FD4">
        <w:rPr>
          <w:rFonts w:ascii="Times New Roman" w:hAnsi="Times New Roman"/>
        </w:rPr>
        <w:t>objective was to "improve the quality of financial advice while building trust and confidence in the financial advice industry through enhanced standards which align the interests of the adviser with the client and reduce conflicts of interest"</w:t>
      </w:r>
      <w:r w:rsidRPr="00A17FD4">
        <w:rPr>
          <w:rStyle w:val="FootnoteReference"/>
          <w:rFonts w:ascii="Times New Roman" w:hAnsi="Times New Roman"/>
          <w:sz w:val="24"/>
        </w:rPr>
        <w:footnoteReference w:id="45"/>
      </w:r>
      <w:r w:rsidRPr="00A17FD4">
        <w:rPr>
          <w:rFonts w:ascii="Times New Roman" w:hAnsi="Times New Roman"/>
        </w:rPr>
        <w:t xml:space="preserve">. </w:t>
      </w:r>
      <w:r w:rsidRPr="00A17FD4">
        <w:rPr>
          <w:rFonts w:ascii="Times New Roman" w:hAnsi="Times New Roman"/>
        </w:rPr>
        <w:lastRenderedPageBreak/>
        <w:t xml:space="preserve">One reform was to insert Pt 7.7A into Ch 7 of the </w:t>
      </w:r>
      <w:r w:rsidRPr="00A17FD4">
        <w:rPr>
          <w:rFonts w:ascii="Times New Roman" w:hAnsi="Times New Roman"/>
          <w:i/>
        </w:rPr>
        <w:t>Corporations Act</w:t>
      </w:r>
      <w:r w:rsidRPr="00A17FD4">
        <w:rPr>
          <w:rStyle w:val="FootnoteReference"/>
          <w:rFonts w:ascii="Times New Roman" w:hAnsi="Times New Roman"/>
          <w:sz w:val="24"/>
        </w:rPr>
        <w:footnoteReference w:id="46"/>
      </w:r>
      <w:r w:rsidRPr="00A17FD4">
        <w:rPr>
          <w:rFonts w:ascii="Times New Roman" w:hAnsi="Times New Roman"/>
        </w:rPr>
        <w:t xml:space="preserve">. Part 7.7A requires providers of </w:t>
      </w:r>
      <w:r w:rsidRPr="00A17FD4">
        <w:rPr>
          <w:rFonts w:ascii="Times New Roman" w:hAnsi="Times New Roman"/>
          <w:i/>
        </w:rPr>
        <w:t>personal advice</w:t>
      </w:r>
      <w:r w:rsidRPr="00A17FD4">
        <w:rPr>
          <w:rFonts w:ascii="Times New Roman" w:hAnsi="Times New Roman"/>
        </w:rPr>
        <w:t xml:space="preserve"> to retail clients</w:t>
      </w:r>
      <w:r w:rsidRPr="00A17FD4">
        <w:rPr>
          <w:rStyle w:val="FootnoteReference"/>
          <w:rFonts w:ascii="Times New Roman" w:hAnsi="Times New Roman"/>
          <w:sz w:val="24"/>
        </w:rPr>
        <w:footnoteReference w:id="47"/>
      </w:r>
      <w:r w:rsidRPr="00A17FD4">
        <w:rPr>
          <w:rFonts w:ascii="Times New Roman" w:hAnsi="Times New Roman"/>
        </w:rPr>
        <w:t xml:space="preserve"> to "act in the best interests of the client in relation to the advice"</w:t>
      </w:r>
      <w:r w:rsidRPr="00A17FD4">
        <w:rPr>
          <w:rStyle w:val="FootnoteReference"/>
          <w:rFonts w:ascii="Times New Roman" w:hAnsi="Times New Roman"/>
          <w:sz w:val="24"/>
        </w:rPr>
        <w:footnoteReference w:id="48"/>
      </w:r>
      <w:r w:rsidRPr="00A17FD4">
        <w:rPr>
          <w:rFonts w:ascii="Times New Roman" w:hAnsi="Times New Roman"/>
        </w:rPr>
        <w:t xml:space="preserve"> and to give priority to the interests of the client</w:t>
      </w:r>
      <w:r w:rsidRPr="00A17FD4">
        <w:rPr>
          <w:rStyle w:val="FootnoteReference"/>
          <w:rFonts w:ascii="Times New Roman" w:hAnsi="Times New Roman"/>
          <w:sz w:val="24"/>
        </w:rPr>
        <w:footnoteReference w:id="49"/>
      </w:r>
      <w:r w:rsidRPr="00A17FD4">
        <w:rPr>
          <w:rFonts w:ascii="Times New Roman" w:hAnsi="Times New Roman"/>
        </w:rPr>
        <w:t xml:space="preserve">. </w:t>
      </w:r>
    </w:p>
    <w:p w14:paraId="780E6207"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It was found below, and was not contested in this Court, that if</w:t>
      </w:r>
      <w:r w:rsidRPr="00A17FD4" w:rsidDel="00733560">
        <w:rPr>
          <w:rFonts w:ascii="Times New Roman" w:hAnsi="Times New Roman"/>
        </w:rPr>
        <w:t xml:space="preserve"> </w:t>
      </w:r>
      <w:r w:rsidRPr="00A17FD4">
        <w:rPr>
          <w:rFonts w:ascii="Times New Roman" w:hAnsi="Times New Roman"/>
        </w:rPr>
        <w:t>Westpac provided personal advice to the members it breached s 961B(1)</w:t>
      </w:r>
      <w:r w:rsidRPr="00A17FD4" w:rsidDel="00BD04E8">
        <w:rPr>
          <w:rFonts w:ascii="Times New Roman" w:hAnsi="Times New Roman"/>
        </w:rPr>
        <w:t xml:space="preserve"> </w:t>
      </w:r>
      <w:r w:rsidRPr="00A17FD4">
        <w:rPr>
          <w:rFonts w:ascii="Times New Roman" w:hAnsi="Times New Roman"/>
        </w:rPr>
        <w:t xml:space="preserve">because it failed to act in the best interests of those members in providing that financial product advice, and thereby contravened s 961K(2), a civil penalty provision. </w:t>
      </w:r>
    </w:p>
    <w:p w14:paraId="5AD395A9"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Facts and background</w:t>
      </w:r>
    </w:p>
    <w:p w14:paraId="02215CA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 circumstances in which Westpac provided the advice may be stated briefly. Westpac conducted a campaign to encourage existing members to roll over superannuation accounts held with other entities into their BT account. The objective of the campaign was to increase Westpac's funds under management. As a result of the campaign, Westpac increased its funds under management by almost $650 million between 1 January 2013 and 16 September 2016.</w:t>
      </w:r>
    </w:p>
    <w:p w14:paraId="54EB0CA3"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campaign was carried out by Westpac's Super Activation Team, comprised of employees of Westpac (or a company within the Westpac group of companies). At all relevant times, these employees were acting as agents of WSAL or BTFM for the purposes of s 769B of the </w:t>
      </w:r>
      <w:r w:rsidRPr="00A17FD4">
        <w:rPr>
          <w:rFonts w:ascii="Times New Roman" w:hAnsi="Times New Roman"/>
          <w:i/>
        </w:rPr>
        <w:t xml:space="preserve">Corporations Act </w:t>
      </w:r>
      <w:r w:rsidRPr="00A17FD4">
        <w:rPr>
          <w:rFonts w:ascii="Times New Roman" w:hAnsi="Times New Roman"/>
        </w:rPr>
        <w:t xml:space="preserve">within the scope of their actual or apparent authority, and were acting as representatives of WSAL or BTFM within the meaning of ss 910A and 960 of the </w:t>
      </w:r>
      <w:r w:rsidRPr="00A17FD4" w:rsidDel="00FF4969">
        <w:rPr>
          <w:rFonts w:ascii="Times New Roman" w:hAnsi="Times New Roman"/>
          <w:i/>
        </w:rPr>
        <w:t xml:space="preserve">Corporations </w:t>
      </w:r>
      <w:r w:rsidRPr="00A17FD4">
        <w:rPr>
          <w:rFonts w:ascii="Times New Roman" w:hAnsi="Times New Roman"/>
          <w:i/>
        </w:rPr>
        <w:t>Act</w:t>
      </w:r>
      <w:r w:rsidRPr="00A17FD4">
        <w:rPr>
          <w:rFonts w:ascii="Times New Roman" w:hAnsi="Times New Roman"/>
        </w:rPr>
        <w:t>. This</w:t>
      </w:r>
      <w:r>
        <w:rPr>
          <w:rFonts w:ascii="Times New Roman" w:hAnsi="Times New Roman"/>
        </w:rPr>
        <w:t> </w:t>
      </w:r>
      <w:r w:rsidRPr="00A17FD4">
        <w:rPr>
          <w:rFonts w:ascii="Times New Roman" w:hAnsi="Times New Roman"/>
        </w:rPr>
        <w:t xml:space="preserve">appeal concerns the interactions between those employees and 14 existing members of the BT Business Account Fund or the BT Lifetime Account Fund. </w:t>
      </w:r>
    </w:p>
    <w:p w14:paraId="5850B0FE"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Each</w:t>
      </w:r>
      <w:r w:rsidRPr="00A17FD4" w:rsidDel="00A477A0">
        <w:rPr>
          <w:rFonts w:ascii="Times New Roman" w:hAnsi="Times New Roman"/>
        </w:rPr>
        <w:t xml:space="preserve"> </w:t>
      </w:r>
      <w:r w:rsidRPr="00A17FD4">
        <w:rPr>
          <w:rFonts w:ascii="Times New Roman" w:hAnsi="Times New Roman"/>
        </w:rPr>
        <w:t xml:space="preserve">member was sent written communications by which Westpac offered to search for any external superannuation accounts they had, offered to roll over such accounts into their BT account, and sought to influence the member to take </w:t>
      </w:r>
      <w:r w:rsidRPr="00A17FD4">
        <w:rPr>
          <w:rFonts w:ascii="Times New Roman" w:hAnsi="Times New Roman"/>
        </w:rPr>
        <w:lastRenderedPageBreak/>
        <w:t xml:space="preserve">up those offers. For example, one type of letter, which was sent to each member, included: statements to the effect that "if you combine your super into one account, you could save on administration fees and enjoy the convenience of having all your super in one place"; a link to Westpac's website to enable the member to ask Westpac to undertake a search to locate amounts held in external accounts; a rollover form that the member could complete and return to take up Westpac's rollover service; and a statement that, if the member had a financial adviser, Westpac recommended that the member speak to that adviser for personal advice tailored to their specific objectives, financial situation and needs. In most, but not all, cases, the members accessed Westpac's website and requested that a search be conducted to locate amounts held in external accounts. In some cases, the members were then sent a further letter which set out the results of the requested superannuation search. </w:t>
      </w:r>
    </w:p>
    <w:p w14:paraId="2AA2E0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Each member then received at least one telephone call from an adviser in the Super Activation Team. Although the calls varied, the appeal was conducted primarily by reference to the transcript of two calls conducted on one day with member 1</w:t>
      </w:r>
      <w:r w:rsidRPr="00A17FD4">
        <w:rPr>
          <w:rStyle w:val="FootnoteReference"/>
          <w:rFonts w:ascii="Times New Roman" w:hAnsi="Times New Roman"/>
          <w:sz w:val="24"/>
        </w:rPr>
        <w:footnoteReference w:id="50"/>
      </w:r>
      <w:r w:rsidRPr="00A17FD4">
        <w:rPr>
          <w:rFonts w:ascii="Times New Roman" w:hAnsi="Times New Roman"/>
        </w:rPr>
        <w:t>. The primary features of the calls</w:t>
      </w:r>
      <w:r w:rsidRPr="00A17FD4" w:rsidDel="002336F9">
        <w:rPr>
          <w:rFonts w:ascii="Times New Roman" w:hAnsi="Times New Roman"/>
        </w:rPr>
        <w:t xml:space="preserve"> </w:t>
      </w:r>
      <w:r w:rsidRPr="00A17FD4">
        <w:rPr>
          <w:rFonts w:ascii="Times New Roman" w:hAnsi="Times New Roman"/>
        </w:rPr>
        <w:t>were as follows. The member</w:t>
      </w:r>
      <w:r w:rsidRPr="00A17FD4" w:rsidDel="008C1A58">
        <w:rPr>
          <w:rFonts w:ascii="Times New Roman" w:hAnsi="Times New Roman"/>
        </w:rPr>
        <w:t xml:space="preserve"> </w:t>
      </w:r>
      <w:r w:rsidRPr="00A17FD4">
        <w:rPr>
          <w:rFonts w:ascii="Times New Roman" w:hAnsi="Times New Roman"/>
        </w:rPr>
        <w:t>was given a warning that everything discussed on the call would be general in nature and would not take into account their personal financial needs. The adviser then said that they were calling in order to help the member and this was reinforced by the adviser asking what the member saw as the main benefits of consolidating their superannuation funds, the</w:t>
      </w:r>
      <w:r w:rsidRPr="00A17FD4" w:rsidDel="00A06E83">
        <w:rPr>
          <w:rFonts w:ascii="Times New Roman" w:hAnsi="Times New Roman"/>
        </w:rPr>
        <w:t xml:space="preserve"> </w:t>
      </w:r>
      <w:r w:rsidRPr="00A17FD4">
        <w:rPr>
          <w:rFonts w:ascii="Times New Roman" w:hAnsi="Times New Roman"/>
        </w:rPr>
        <w:t>adviser affirming the member's reasons to consolidate their superannuation through the use of "social proofing" language, by which the member was told that their objectives, beliefs or reasons were commonly held, and</w:t>
      </w:r>
      <w:r>
        <w:rPr>
          <w:rFonts w:ascii="Times New Roman" w:hAnsi="Times New Roman"/>
        </w:rPr>
        <w:t> </w:t>
      </w:r>
      <w:r w:rsidRPr="00A17FD4">
        <w:rPr>
          <w:rFonts w:ascii="Times New Roman" w:hAnsi="Times New Roman"/>
        </w:rPr>
        <w:t xml:space="preserve">the adviser ultimately offering to help effect the consolidation of the member's external superannuation accounts into their BT account. </w:t>
      </w:r>
    </w:p>
    <w:p w14:paraId="459350D4"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Westpac accepted, for the first time in this Court, that when it called the 14 members, it gave advice to those members and that the advice was "financial</w:t>
      </w:r>
      <w:r>
        <w:rPr>
          <w:rFonts w:ascii="Times New Roman" w:hAnsi="Times New Roman"/>
        </w:rPr>
        <w:t> </w:t>
      </w:r>
      <w:r w:rsidRPr="00A17FD4">
        <w:rPr>
          <w:rFonts w:ascii="Times New Roman" w:hAnsi="Times New Roman"/>
        </w:rPr>
        <w:t xml:space="preserve">product advice" within the meaning of s 766B(1), the gateway to s 766B(3). The financial product advice, as found by the primary judge, was that each of the 14 members "received a 'recommendation' that they should roll over their external accounts into their BT account or, in other words, they should accept the rollover service" ("the recommendation"). </w:t>
      </w:r>
    </w:p>
    <w:p w14:paraId="3F909D06"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 primary judge also found that "statements of opinion" were made during the calls which fell into the following categories:</w:t>
      </w:r>
    </w:p>
    <w:p w14:paraId="29E4B803"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lastRenderedPageBreak/>
        <w:t>"(1)</w:t>
      </w:r>
      <w:r w:rsidRPr="00A17FD4">
        <w:rPr>
          <w:rFonts w:ascii="Times New Roman" w:hAnsi="Times New Roman"/>
        </w:rPr>
        <w:tab/>
        <w:t>Statements to the effect that, by rolling over external accounts into the [member's] BT account, the [member] could or may (but not would, except in the case of [one member]) save on fees.</w:t>
      </w:r>
    </w:p>
    <w:p w14:paraId="467413D8"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(2)</w:t>
      </w:r>
      <w:r w:rsidRPr="00A17FD4">
        <w:rPr>
          <w:rFonts w:ascii="Times New Roman" w:hAnsi="Times New Roman"/>
        </w:rPr>
        <w:tab/>
        <w:t>Statements to the effect that, by rolling over external accounts into the [member's] BT account, the [member] would improve the 'manageability' of their superannuation.</w:t>
      </w:r>
    </w:p>
    <w:p w14:paraId="6E2A2D9E" w14:textId="77777777" w:rsidR="00CE4077" w:rsidRPr="00A17FD4"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(3)</w:t>
      </w:r>
      <w:r w:rsidRPr="00A17FD4">
        <w:rPr>
          <w:rFonts w:ascii="Times New Roman" w:hAnsi="Times New Roman"/>
        </w:rPr>
        <w:tab/>
        <w:t>Statements to the effect that a rollover into the [member's] BT</w:t>
      </w:r>
      <w:r>
        <w:rPr>
          <w:rFonts w:ascii="Times New Roman" w:hAnsi="Times New Roman"/>
        </w:rPr>
        <w:t> </w:t>
      </w:r>
      <w:r w:rsidRPr="00A17FD4">
        <w:rPr>
          <w:rFonts w:ascii="Times New Roman" w:hAnsi="Times New Roman"/>
        </w:rPr>
        <w:t>account would be beneficial to the [member] because, for</w:t>
      </w:r>
      <w:r>
        <w:rPr>
          <w:rFonts w:ascii="Times New Roman" w:hAnsi="Times New Roman"/>
        </w:rPr>
        <w:t> </w:t>
      </w:r>
      <w:r w:rsidRPr="00A17FD4">
        <w:rPr>
          <w:rFonts w:ascii="Times New Roman" w:hAnsi="Times New Roman"/>
        </w:rPr>
        <w:t xml:space="preserve">example, it would be beneficial to pay only one set of fees or because there would be unspecified benefits. </w:t>
      </w:r>
    </w:p>
    <w:p w14:paraId="6324F2AB" w14:textId="77777777" w:rsidR="00CE4077" w:rsidRDefault="00CE4077" w:rsidP="00A17FD4">
      <w:pPr>
        <w:pStyle w:val="leftright"/>
        <w:spacing w:before="0" w:after="260" w:line="280" w:lineRule="exact"/>
        <w:ind w:left="1440" w:right="0" w:hanging="720"/>
        <w:jc w:val="both"/>
        <w:rPr>
          <w:rFonts w:ascii="Times New Roman" w:hAnsi="Times New Roman"/>
        </w:rPr>
      </w:pPr>
      <w:r w:rsidRPr="00A17FD4">
        <w:rPr>
          <w:rFonts w:ascii="Times New Roman" w:hAnsi="Times New Roman"/>
        </w:rPr>
        <w:t>(4)</w:t>
      </w:r>
      <w:r w:rsidRPr="00A17FD4">
        <w:rPr>
          <w:rFonts w:ascii="Times New Roman" w:hAnsi="Times New Roman"/>
        </w:rPr>
        <w:tab/>
        <w:t>Statements to the effect that, by rolling over external accounts into the [member's] BT account, the [member] could get a better return on their superannuation or could improve the performance of their superannuation."</w:t>
      </w:r>
    </w:p>
    <w:p w14:paraId="1B7E7618"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Her Honour observed that "[s]</w:t>
      </w:r>
      <w:proofErr w:type="spellStart"/>
      <w:r w:rsidRPr="00A17FD4">
        <w:rPr>
          <w:rFonts w:ascii="Times New Roman" w:hAnsi="Times New Roman"/>
        </w:rPr>
        <w:t>ummarised</w:t>
      </w:r>
      <w:proofErr w:type="spellEnd"/>
      <w:r w:rsidRPr="00A17FD4">
        <w:rPr>
          <w:rFonts w:ascii="Times New Roman" w:hAnsi="Times New Roman"/>
        </w:rPr>
        <w:t xml:space="preserve"> in this way, it is obvious that the 'statements of opinion' each support the implied recommendation to accept the rollover service and, therefore, the [advisers'] intentions in making the recommendations and the statements of opinions were relevantly similar". After</w:t>
      </w:r>
      <w:r>
        <w:rPr>
          <w:rFonts w:ascii="Times New Roman" w:hAnsi="Times New Roman"/>
        </w:rPr>
        <w:t> </w:t>
      </w:r>
      <w:r w:rsidRPr="00A17FD4">
        <w:rPr>
          <w:rFonts w:ascii="Times New Roman" w:hAnsi="Times New Roman"/>
        </w:rPr>
        <w:t>addressing the balance of s 766B(1), the primary judge concluded that "each</w:t>
      </w:r>
      <w:r>
        <w:rPr>
          <w:rFonts w:ascii="Times New Roman" w:hAnsi="Times New Roman"/>
        </w:rPr>
        <w:t> </w:t>
      </w:r>
      <w:r w:rsidRPr="00A17FD4">
        <w:rPr>
          <w:rFonts w:ascii="Times New Roman" w:hAnsi="Times New Roman"/>
        </w:rPr>
        <w:t xml:space="preserve">of the 'recommendations' and 'statements of opinion' that ... were made constituted 'financial product advice' within the meaning of s 766B(1) of the Act". </w:t>
      </w:r>
    </w:p>
    <w:p w14:paraId="5D8546BE"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There may have been some division of opinion in the Full Court about whether what was said by the advisers included statements of opinion which could be regarded as personal advice. For the purposes of this appeal, however, it is sufficient to observe that financial product advice is a recommendation </w:t>
      </w:r>
      <w:r w:rsidRPr="00A17FD4">
        <w:rPr>
          <w:rFonts w:ascii="Times New Roman" w:hAnsi="Times New Roman"/>
          <w:i/>
        </w:rPr>
        <w:t xml:space="preserve">or </w:t>
      </w:r>
      <w:r w:rsidRPr="00A17FD4">
        <w:rPr>
          <w:rFonts w:ascii="Times New Roman" w:hAnsi="Times New Roman"/>
        </w:rPr>
        <w:t>a statement of opinion</w:t>
      </w:r>
      <w:r w:rsidRPr="00A17FD4">
        <w:rPr>
          <w:rStyle w:val="FootnoteReference"/>
          <w:rFonts w:ascii="Times New Roman" w:hAnsi="Times New Roman"/>
          <w:sz w:val="24"/>
        </w:rPr>
        <w:footnoteReference w:id="51"/>
      </w:r>
      <w:r w:rsidRPr="00A17FD4">
        <w:rPr>
          <w:rFonts w:ascii="Times New Roman" w:hAnsi="Times New Roman"/>
        </w:rPr>
        <w:t>. And in this Court, as explained, there was no dispute that when Westpac called each member, it provided financial product advice</w:t>
      </w:r>
      <w:r w:rsidRPr="00A17FD4">
        <w:rPr>
          <w:rStyle w:val="FootnoteReference"/>
          <w:rFonts w:ascii="Times New Roman" w:hAnsi="Times New Roman"/>
          <w:sz w:val="24"/>
        </w:rPr>
        <w:footnoteReference w:id="52"/>
      </w:r>
      <w:r w:rsidRPr="00A17FD4">
        <w:rPr>
          <w:rFonts w:ascii="Times New Roman" w:hAnsi="Times New Roman"/>
        </w:rPr>
        <w:t xml:space="preserve"> to that member in relation to a financial product (namely, membership in one of the Funds), that the advice was intended to influence that member in making a decision in relation to the Fund, and that the advice comprised an implied recommendation that that member "should roll over their external accounts into their BT account or, in other words, they should accept the rollover service". </w:t>
      </w:r>
    </w:p>
    <w:p w14:paraId="5CF7C09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issue is whether, contrary to the terms of the AFSLs, that financial product advice was personal advice within the meaning of s 766B(3)(b) because </w:t>
      </w:r>
      <w:r w:rsidRPr="00A17FD4">
        <w:rPr>
          <w:rFonts w:ascii="Times New Roman" w:hAnsi="Times New Roman"/>
        </w:rPr>
        <w:lastRenderedPageBreak/>
        <w:t xml:space="preserve">the advice was given or directed to the member in circumstances where a reasonable person </w:t>
      </w:r>
      <w:r w:rsidRPr="00A17FD4">
        <w:rPr>
          <w:rFonts w:ascii="Times New Roman" w:hAnsi="Times New Roman"/>
          <w:i/>
        </w:rPr>
        <w:t>might</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xml:space="preserve"> Westpac to have considered one or more of the member's objectives, financial situation and needs. </w:t>
      </w:r>
    </w:p>
    <w:p w14:paraId="27A3307A"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Westpac's submissions</w:t>
      </w:r>
    </w:p>
    <w:p w14:paraId="3A877BD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Westpac submitted that the Full Court erred in its construction of the reasonable person test in s 766B(3)(b) by asking whether a reasonable person might expect that the adviser should have considered one or more of the recipient's objectives, financial situation and needs, rather than asking whether a reasonable person might expect that the adviser had in fact considered such matters. Westpac</w:t>
      </w:r>
      <w:r>
        <w:rPr>
          <w:rFonts w:ascii="Times New Roman" w:hAnsi="Times New Roman"/>
        </w:rPr>
        <w:t> </w:t>
      </w:r>
      <w:r w:rsidRPr="00A17FD4">
        <w:rPr>
          <w:rFonts w:ascii="Times New Roman" w:hAnsi="Times New Roman"/>
        </w:rPr>
        <w:t xml:space="preserve">contended that the Full Court introduced a "normative element" into the inquiry under s 766B(3)(b) by assuming what a reasonable person might expect the adviser </w:t>
      </w:r>
      <w:r w:rsidRPr="00A17FD4">
        <w:rPr>
          <w:rFonts w:ascii="Times New Roman" w:hAnsi="Times New Roman"/>
          <w:i/>
        </w:rPr>
        <w:t xml:space="preserve">should </w:t>
      </w:r>
      <w:r w:rsidRPr="00A17FD4">
        <w:rPr>
          <w:rFonts w:ascii="Times New Roman" w:hAnsi="Times New Roman"/>
        </w:rPr>
        <w:t>have considered if acting in the recipient's best interests, instead</w:t>
      </w:r>
      <w:r>
        <w:rPr>
          <w:rFonts w:ascii="Times New Roman" w:hAnsi="Times New Roman"/>
        </w:rPr>
        <w:t> </w:t>
      </w:r>
      <w:r w:rsidRPr="00A17FD4">
        <w:rPr>
          <w:rFonts w:ascii="Times New Roman" w:hAnsi="Times New Roman"/>
        </w:rPr>
        <w:t xml:space="preserve">of asking what a reasonable person might expect the adviser </w:t>
      </w:r>
      <w:r w:rsidRPr="00A17FD4">
        <w:rPr>
          <w:rFonts w:ascii="Times New Roman" w:hAnsi="Times New Roman"/>
          <w:i/>
        </w:rPr>
        <w:t>actually</w:t>
      </w:r>
      <w:r w:rsidRPr="00A17FD4">
        <w:rPr>
          <w:rFonts w:ascii="Times New Roman" w:hAnsi="Times New Roman"/>
        </w:rPr>
        <w:t xml:space="preserve"> to have considered. Put in different terms, Westpac argued that the Full Court erred by proceeding on a two-stage assumption: that an adviser in Westpac's position should act in its members' best interests, and that a member's best interests can only be served through the provision of personal advice. </w:t>
      </w:r>
    </w:p>
    <w:p w14:paraId="7AA6671A"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Westpac further submitted that the Full Court should have held that, properly construed, the reasonable person test in s 766B(3)(b) was not satisfied where a reasonable person would know that Westpac was not in a position to have considered the members' stated objectives of "saving on fees" and "manageability" because Westpac did not have knowledge of the members' personal circumstances that would be needed to give consideration to those objectives.</w:t>
      </w:r>
    </w:p>
    <w:p w14:paraId="5CCE50A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Finally, Westpac submitted that the Full Court erred in finding that, on the proper construction of s 766B(3), the words "one or more of the person's objectives, financial situation and needs" refer to something less than what Westpac described as the minimum irreducible objectives, financial situation or needs of the recipient that would reasonably be considered relevant to the subject matter of the advice in question</w:t>
      </w:r>
      <w:r w:rsidRPr="00A17FD4">
        <w:rPr>
          <w:rStyle w:val="FootnoteReference"/>
          <w:rFonts w:ascii="Times New Roman" w:hAnsi="Times New Roman"/>
          <w:sz w:val="24"/>
        </w:rPr>
        <w:footnoteReference w:id="53"/>
      </w:r>
      <w:r w:rsidRPr="00A17FD4">
        <w:rPr>
          <w:rFonts w:ascii="Times New Roman" w:hAnsi="Times New Roman"/>
        </w:rPr>
        <w:t xml:space="preserve">. </w:t>
      </w:r>
    </w:p>
    <w:p w14:paraId="71F8C20C"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Construction of s 766B(3)(b)</w:t>
      </w:r>
    </w:p>
    <w:p w14:paraId="6F394D14"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Section 766B(3) is to be read as a whole and given its ordinary meaning, in</w:t>
      </w:r>
      <w:r>
        <w:rPr>
          <w:rFonts w:ascii="Times New Roman" w:hAnsi="Times New Roman"/>
        </w:rPr>
        <w:t> </w:t>
      </w:r>
      <w:r w:rsidRPr="00A17FD4">
        <w:rPr>
          <w:rFonts w:ascii="Times New Roman" w:hAnsi="Times New Roman"/>
        </w:rPr>
        <w:t>light of its context and purpose</w:t>
      </w:r>
      <w:r w:rsidRPr="00A17FD4">
        <w:rPr>
          <w:rStyle w:val="FootnoteReference"/>
          <w:rFonts w:ascii="Times New Roman" w:hAnsi="Times New Roman"/>
          <w:sz w:val="24"/>
        </w:rPr>
        <w:footnoteReference w:id="54"/>
      </w:r>
      <w:r w:rsidRPr="00A17FD4">
        <w:rPr>
          <w:rFonts w:ascii="Times New Roman" w:hAnsi="Times New Roman"/>
        </w:rPr>
        <w:t xml:space="preserve">. It is not to be dissected into separate words or </w:t>
      </w:r>
      <w:r w:rsidRPr="00A17FD4">
        <w:rPr>
          <w:rFonts w:ascii="Times New Roman" w:hAnsi="Times New Roman"/>
        </w:rPr>
        <w:lastRenderedPageBreak/>
        <w:t>phrases, the meanings of which are then amalgamated into some composite meaning</w:t>
      </w:r>
      <w:r w:rsidRPr="00A17FD4">
        <w:rPr>
          <w:rStyle w:val="FootnoteReference"/>
          <w:rFonts w:ascii="Times New Roman" w:hAnsi="Times New Roman"/>
          <w:sz w:val="24"/>
        </w:rPr>
        <w:footnoteReference w:id="55"/>
      </w:r>
      <w:r w:rsidRPr="00A17FD4">
        <w:rPr>
          <w:rFonts w:ascii="Times New Roman" w:hAnsi="Times New Roman"/>
        </w:rPr>
        <w:t xml:space="preserve">. </w:t>
      </w:r>
    </w:p>
    <w:p w14:paraId="044EE8E3"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As has been observed, the gateway to s 766B(3) is "financial product advice", relevantly defined in s 766B(1) as a recommendation or statement of opinion that is intended to influence a person in making a decision in relation to a particular financial product or class of financial products, or could reasonably be regarded as being intended to have such an influence. Here, the particular financial product was membership in one of the Funds. The advice was given in telephone calls. The substance of the advice included a "recommendation" that each member "should roll over their external accounts into their BT account or, in other words, they should accept the rollover service". And, it is common ground that the provider, Westpac, gave that financial product advice – the recommendation – with</w:t>
      </w:r>
      <w:r>
        <w:rPr>
          <w:rFonts w:ascii="Times New Roman" w:hAnsi="Times New Roman"/>
        </w:rPr>
        <w:t> </w:t>
      </w:r>
      <w:r w:rsidRPr="00A17FD4">
        <w:rPr>
          <w:rFonts w:ascii="Times New Roman" w:hAnsi="Times New Roman"/>
        </w:rPr>
        <w:t>the intention to influence the member to accept the rollover service offered by Westpac and to roll over their external accounts into their BT account. It is also common ground that the advisers, the callers, had not in fact considered one or more of the person's objectives, financial situation and needs within s 766B(3)(a).</w:t>
      </w:r>
    </w:p>
    <w:p w14:paraId="6249003D"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question then is whether, for the purposes of s 766B(3)(b), the financial product advice (comprising the recommendation) was given or directed to the member in circumstances where a reasonable person </w:t>
      </w:r>
      <w:r w:rsidRPr="00A17FD4">
        <w:rPr>
          <w:rFonts w:ascii="Times New Roman" w:hAnsi="Times New Roman"/>
          <w:i/>
        </w:rPr>
        <w:t>might</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xml:space="preserve"> Westpac to have considered one or more of the person's objectives, financial situation and needs. </w:t>
      </w:r>
    </w:p>
    <w:p w14:paraId="259B11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In answering that question, several features of s 766B(3)(b) are significant. First, it poses an objective test, assessed at the time the financial product advice was given and having regard to the circumstances in which that advice was given. It refers to a reasonable person's expectation, being a reasonable person standing in the shoes of the person receiving the advice. It falls for consideration where financial product advice, intended (or reasonably regarded as being intended) to</w:t>
      </w:r>
      <w:r>
        <w:rPr>
          <w:rFonts w:ascii="Times New Roman" w:hAnsi="Times New Roman"/>
        </w:rPr>
        <w:t> </w:t>
      </w:r>
      <w:r w:rsidRPr="00A17FD4">
        <w:rPr>
          <w:rFonts w:ascii="Times New Roman" w:hAnsi="Times New Roman"/>
        </w:rPr>
        <w:t xml:space="preserve">influence a person in making a decision about a particular financial product or class of financial products, has been given or directed to a person and it is to be assessed having regard to the circumstances in which that advice was given or directed. </w:t>
      </w:r>
    </w:p>
    <w:p w14:paraId="490315A9"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lastRenderedPageBreak/>
        <w:tab/>
        <w:t xml:space="preserve">Second, s 766B(3)(b) refers to things which a reasonable person </w:t>
      </w:r>
      <w:r w:rsidRPr="00A17FD4">
        <w:rPr>
          <w:rFonts w:ascii="Times New Roman" w:hAnsi="Times New Roman"/>
          <w:i/>
        </w:rPr>
        <w:t>might</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xml:space="preserve">, which has a wider meaning than things which a reasonable person </w:t>
      </w:r>
      <w:r w:rsidRPr="00A17FD4">
        <w:rPr>
          <w:rFonts w:ascii="Times New Roman" w:hAnsi="Times New Roman"/>
          <w:i/>
        </w:rPr>
        <w:t>would</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The standard is one of reasonable possibility, not reasonable probability</w:t>
      </w:r>
      <w:r w:rsidRPr="00A17FD4">
        <w:rPr>
          <w:rStyle w:val="FootnoteReference"/>
          <w:rFonts w:ascii="Times New Roman" w:hAnsi="Times New Roman"/>
          <w:sz w:val="24"/>
        </w:rPr>
        <w:footnoteReference w:id="56"/>
      </w:r>
      <w:r w:rsidRPr="00A17FD4">
        <w:rPr>
          <w:rFonts w:ascii="Times New Roman" w:hAnsi="Times New Roman"/>
        </w:rPr>
        <w:t xml:space="preserve">. </w:t>
      </w:r>
    </w:p>
    <w:p w14:paraId="1662C41F"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Third, the phrase "to have considered" bears its ordinary meaning. Section 766B(3)(b) picks up the meaning of "the person's objectives, financial</w:t>
      </w:r>
      <w:r>
        <w:rPr>
          <w:rFonts w:ascii="Times New Roman" w:hAnsi="Times New Roman"/>
        </w:rPr>
        <w:t> </w:t>
      </w:r>
      <w:r w:rsidRPr="00A17FD4">
        <w:rPr>
          <w:rFonts w:ascii="Times New Roman" w:hAnsi="Times New Roman"/>
        </w:rPr>
        <w:t>situation and needs" in s 766B(3)(a) by referring to "those matters". Section 766B(3)(b) therefore captures circumstances where a reasonable person might expect the provider to have taken into account, had regard to, or given attention to, one or more of the person's objectives, financial situation and needs.</w:t>
      </w:r>
    </w:p>
    <w:p w14:paraId="660A96ED"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It follows that Westpac's submission that the word "considered" refers to the adviser </w:t>
      </w:r>
      <w:r w:rsidRPr="00A17FD4">
        <w:rPr>
          <w:rFonts w:ascii="Times New Roman" w:hAnsi="Times New Roman"/>
          <w:i/>
        </w:rPr>
        <w:t>actually</w:t>
      </w:r>
      <w:r w:rsidRPr="00A17FD4">
        <w:rPr>
          <w:rFonts w:ascii="Times New Roman" w:hAnsi="Times New Roman"/>
        </w:rPr>
        <w:t xml:space="preserve"> taking the recipient's personal circumstances into account – by</w:t>
      </w:r>
      <w:r>
        <w:rPr>
          <w:rFonts w:ascii="Times New Roman" w:hAnsi="Times New Roman"/>
        </w:rPr>
        <w:t> </w:t>
      </w:r>
      <w:r w:rsidRPr="00A17FD4">
        <w:rPr>
          <w:rFonts w:ascii="Times New Roman" w:hAnsi="Times New Roman"/>
        </w:rPr>
        <w:t>evaluating them for the purpose of providing the advice in question so that there is a nexus (in fact or by reasonable apprehension) between the adviser's consideration of the personal circumstances and the advice provided – must be rejected. Read in context, "considered" cannot be given the meaning Westpac submitted.</w:t>
      </w:r>
    </w:p>
    <w:p w14:paraId="3F4CEEBE"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Fourth, the words "one or more of", when used in s 766B(3)(a) and (b), convey that s 766B(3) applies where an adviser has considered (or might be expected to have considered) one or more (but not necessarily all) of a person's objectives, financial situation and needs. As has been explained, the words "one or more of" were added during the drafting process</w:t>
      </w:r>
      <w:r w:rsidRPr="00A17FD4">
        <w:rPr>
          <w:rStyle w:val="FootnoteReference"/>
          <w:rFonts w:ascii="Times New Roman" w:hAnsi="Times New Roman"/>
          <w:sz w:val="24"/>
        </w:rPr>
        <w:footnoteReference w:id="57"/>
      </w:r>
      <w:r w:rsidRPr="00A17FD4">
        <w:rPr>
          <w:rFonts w:ascii="Times New Roman" w:hAnsi="Times New Roman"/>
        </w:rPr>
        <w:t>. The inclusion of "one or more of" in s 766B(3) conveys that advisers cannot avoid the disclosure and conduct obligations</w:t>
      </w:r>
      <w:r w:rsidRPr="00A17FD4">
        <w:rPr>
          <w:rStyle w:val="FootnoteReference"/>
          <w:rFonts w:ascii="Times New Roman" w:hAnsi="Times New Roman"/>
          <w:sz w:val="24"/>
        </w:rPr>
        <w:footnoteReference w:id="58"/>
      </w:r>
      <w:r w:rsidRPr="00A17FD4">
        <w:rPr>
          <w:rFonts w:ascii="Times New Roman" w:hAnsi="Times New Roman"/>
        </w:rPr>
        <w:t xml:space="preserve"> which attach to the provision of personal advice simply by failing to consider one or more of the matters referred to in the provision. The contrary conclusion – that s 766B(3)(a) and (b) do not apply unless an adviser considers all or the whole of a person's objectives, financial situation and needs – would be unworkable legally and practically. A person may fail to provide complete information to an adviser, whether by way of oversight or otherwise. That is why s 961B(2)(c) recognises that an adviser will meet the duty to act in a client's best interests when providing personal advice</w:t>
      </w:r>
      <w:r w:rsidRPr="00A17FD4">
        <w:rPr>
          <w:rStyle w:val="FootnoteReference"/>
          <w:rFonts w:ascii="Times New Roman" w:hAnsi="Times New Roman"/>
          <w:sz w:val="24"/>
        </w:rPr>
        <w:footnoteReference w:id="59"/>
      </w:r>
      <w:r w:rsidRPr="00A17FD4">
        <w:rPr>
          <w:rFonts w:ascii="Times New Roman" w:hAnsi="Times New Roman"/>
        </w:rPr>
        <w:t xml:space="preserve"> where, among other things, the adviser makes </w:t>
      </w:r>
      <w:r w:rsidRPr="00A17FD4">
        <w:rPr>
          <w:rFonts w:ascii="Times New Roman" w:hAnsi="Times New Roman"/>
          <w:i/>
        </w:rPr>
        <w:t>reasonable inquiries</w:t>
      </w:r>
      <w:r w:rsidRPr="00A17FD4">
        <w:rPr>
          <w:rFonts w:ascii="Times New Roman" w:hAnsi="Times New Roman"/>
        </w:rPr>
        <w:t xml:space="preserve"> to obtain complete and accurate information. </w:t>
      </w:r>
    </w:p>
    <w:p w14:paraId="056FD767"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Thus, Westpac's further submission that it was incapable of considering the personal objectives of each member in circumstances where, among others, </w:t>
      </w:r>
      <w:r w:rsidRPr="00A17FD4">
        <w:rPr>
          <w:rFonts w:ascii="Times New Roman" w:hAnsi="Times New Roman"/>
        </w:rPr>
        <w:lastRenderedPageBreak/>
        <w:t>the</w:t>
      </w:r>
      <w:r>
        <w:rPr>
          <w:rFonts w:ascii="Times New Roman" w:hAnsi="Times New Roman"/>
        </w:rPr>
        <w:t> </w:t>
      </w:r>
      <w:r w:rsidRPr="00A17FD4">
        <w:rPr>
          <w:rFonts w:ascii="Times New Roman" w:hAnsi="Times New Roman"/>
        </w:rPr>
        <w:t>member had not provided information about the fees charged on their external superannuation accounts, or any particular management issues with those external accounts, is also rejected. It is contrary to the text and purpose of s 766B(3)(b) and</w:t>
      </w:r>
      <w:r>
        <w:rPr>
          <w:rFonts w:ascii="Times New Roman" w:hAnsi="Times New Roman"/>
        </w:rPr>
        <w:t> </w:t>
      </w:r>
      <w:r w:rsidRPr="00A17FD4">
        <w:rPr>
          <w:rFonts w:ascii="Times New Roman" w:hAnsi="Times New Roman"/>
        </w:rPr>
        <w:t xml:space="preserve">unworkable. </w:t>
      </w:r>
    </w:p>
    <w:p w14:paraId="2EA73EDF"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Fifth, the phrase "objectives, financial situation and needs" bears its ordinary meaning. As the primary judge held, and as has not been disputed, an</w:t>
      </w:r>
      <w:r>
        <w:rPr>
          <w:rFonts w:ascii="Times New Roman" w:hAnsi="Times New Roman"/>
        </w:rPr>
        <w:t> </w:t>
      </w:r>
      <w:r w:rsidRPr="00A17FD4">
        <w:rPr>
          <w:rFonts w:ascii="Times New Roman" w:hAnsi="Times New Roman"/>
        </w:rPr>
        <w:t>objective is an end towards which efforts are directed, a situation is a state of affairs or combination of circumstances and a need is a case or instance in which some necessity or want exists. And the relevant objectives, financial situation and needs referred to must be "the person's". They must be personal. That follows linguistically from the words of the provision, including the fact that this kind of advice is described as "personal advice", and it is also implicit from the obligations that arise in connection with the giving of personal advice</w:t>
      </w:r>
      <w:r w:rsidRPr="00A17FD4">
        <w:rPr>
          <w:rStyle w:val="FootnoteReference"/>
          <w:rFonts w:ascii="Times New Roman" w:hAnsi="Times New Roman"/>
          <w:sz w:val="24"/>
        </w:rPr>
        <w:footnoteReference w:id="60"/>
      </w:r>
      <w:r w:rsidRPr="00A17FD4">
        <w:rPr>
          <w:rFonts w:ascii="Times New Roman" w:hAnsi="Times New Roman"/>
        </w:rPr>
        <w:t xml:space="preserve">. Those obligations would be unnecessary and nonsensical if the only relevant matters to be considered were universal or generic, and not personal. </w:t>
      </w:r>
    </w:p>
    <w:p w14:paraId="6123AA2E"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r>
      <w:r w:rsidRPr="00A17FD4" w:rsidDel="009416F5">
        <w:rPr>
          <w:rFonts w:ascii="Times New Roman" w:hAnsi="Times New Roman"/>
        </w:rPr>
        <w:t>As to purpose,</w:t>
      </w:r>
      <w:r w:rsidRPr="00A17FD4">
        <w:rPr>
          <w:rFonts w:ascii="Times New Roman" w:hAnsi="Times New Roman"/>
        </w:rPr>
        <w:t xml:space="preserve"> the purpose of Ch 7 of the </w:t>
      </w:r>
      <w:r w:rsidRPr="00A17FD4">
        <w:rPr>
          <w:rFonts w:ascii="Times New Roman" w:hAnsi="Times New Roman"/>
          <w:i/>
        </w:rPr>
        <w:t xml:space="preserve">Corporations Act </w:t>
      </w:r>
      <w:r w:rsidRPr="00A17FD4">
        <w:rPr>
          <w:rFonts w:ascii="Times New Roman" w:hAnsi="Times New Roman"/>
        </w:rPr>
        <w:t>is, relevantly, to promote "confident and informed decision making by consumers of financial products and services while facilitating efficiency, flexibility and innovation in the provision of those products and services"</w:t>
      </w:r>
      <w:r w:rsidRPr="00A17FD4">
        <w:rPr>
          <w:rStyle w:val="FootnoteReference"/>
          <w:rFonts w:ascii="Times New Roman" w:hAnsi="Times New Roman"/>
          <w:sz w:val="24"/>
        </w:rPr>
        <w:footnoteReference w:id="61"/>
      </w:r>
      <w:r w:rsidRPr="00A17FD4">
        <w:rPr>
          <w:rFonts w:ascii="Times New Roman" w:hAnsi="Times New Roman"/>
        </w:rPr>
        <w:t xml:space="preserve"> and "fairness, honesty and professionalism by those who provide financial services"</w:t>
      </w:r>
      <w:r w:rsidRPr="00A17FD4">
        <w:rPr>
          <w:rStyle w:val="FootnoteReference"/>
          <w:rFonts w:ascii="Times New Roman" w:hAnsi="Times New Roman"/>
          <w:sz w:val="24"/>
        </w:rPr>
        <w:footnoteReference w:id="62"/>
      </w:r>
      <w:r w:rsidRPr="00A17FD4">
        <w:rPr>
          <w:rFonts w:ascii="Times New Roman" w:hAnsi="Times New Roman"/>
        </w:rPr>
        <w:t>. Consistent with, and reinforced by, that purpose and the wider statutory context, s 766B(3) is</w:t>
      </w:r>
      <w:r>
        <w:rPr>
          <w:rFonts w:ascii="Times New Roman" w:hAnsi="Times New Roman"/>
        </w:rPr>
        <w:t> </w:t>
      </w:r>
      <w:r w:rsidRPr="00A17FD4">
        <w:rPr>
          <w:rFonts w:ascii="Times New Roman" w:hAnsi="Times New Roman"/>
        </w:rPr>
        <w:t xml:space="preserve">directed to the protection of the retail client, who is often without the skills, knowledge or information to make informed decisions. </w:t>
      </w:r>
    </w:p>
    <w:p w14:paraId="30449741"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 specific purpose of para (b) is clear. Section 766B(3)(b) focuses on what a reasonable person would expect "the provider" – not the retail client</w:t>
      </w:r>
      <w:r w:rsidRPr="00A17FD4" w:rsidDel="00563D6B">
        <w:rPr>
          <w:rFonts w:ascii="Times New Roman" w:hAnsi="Times New Roman"/>
          <w:sz w:val="24"/>
          <w:vertAlign w:val="superscript"/>
        </w:rPr>
        <w:t xml:space="preserve"> </w:t>
      </w:r>
      <w:r w:rsidRPr="00A17FD4">
        <w:rPr>
          <w:rFonts w:ascii="Times New Roman" w:hAnsi="Times New Roman"/>
        </w:rPr>
        <w:t>– to</w:t>
      </w:r>
      <w:r>
        <w:rPr>
          <w:rFonts w:ascii="Times New Roman" w:hAnsi="Times New Roman"/>
        </w:rPr>
        <w:t> </w:t>
      </w:r>
      <w:r w:rsidRPr="00A17FD4">
        <w:rPr>
          <w:rFonts w:ascii="Times New Roman" w:hAnsi="Times New Roman"/>
        </w:rPr>
        <w:t>have done. It is a consumer protection provision in which the notion of "considered" includes not only circumstances involving a certain type, level or duration of consideration (as where there is an opportunity for active, mature, intellectual reflection over time) but also where an adviser provides a prompt or immediate response. It thus ensures that advisers cannot avoid the disclosure and conduct obligations</w:t>
      </w:r>
      <w:r w:rsidRPr="00A17FD4">
        <w:rPr>
          <w:rStyle w:val="FootnoteReference"/>
          <w:rFonts w:ascii="Times New Roman" w:hAnsi="Times New Roman"/>
          <w:sz w:val="24"/>
        </w:rPr>
        <w:footnoteReference w:id="63"/>
      </w:r>
      <w:r w:rsidRPr="00A17FD4">
        <w:rPr>
          <w:rFonts w:ascii="Times New Roman" w:hAnsi="Times New Roman"/>
        </w:rPr>
        <w:t xml:space="preserve"> which attach to the provision of personal advice simply by failing to consider one or more of the person's objectives, financial situation and needs. </w:t>
      </w:r>
    </w:p>
    <w:p w14:paraId="526B6B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lastRenderedPageBreak/>
        <w:tab/>
        <w:t>These conclusions deny Westpac's contention that s 766B(3) does not apply unless an adviser (in fact or by reasonable apprehension) considers what it described as the minimum irreducible personal circumstances of the member relevant to the subject matter of the advice in question. It may be accepted that a member who has told a superannuation provider only that they want to save on fees and make their superannuation more manageable would not expect their tax position, the returns and investment profile of their other accounts, their insurance position and their retirement objectives to have been taken into account. However, advice can be personal advice within the meaning of s 766B(3) if, for example, a</w:t>
      </w:r>
      <w:r>
        <w:rPr>
          <w:rFonts w:ascii="Times New Roman" w:hAnsi="Times New Roman"/>
        </w:rPr>
        <w:t> </w:t>
      </w:r>
      <w:r w:rsidRPr="00A17FD4">
        <w:rPr>
          <w:rFonts w:ascii="Times New Roman" w:hAnsi="Times New Roman"/>
        </w:rPr>
        <w:t xml:space="preserve">person's objectives of saving on fees and making superannuation more manageable are taken into account or might be expected to be taken into account. Whether or not other aspects of their financial situation and needs were considered would not alter that conclusion. </w:t>
      </w:r>
    </w:p>
    <w:p w14:paraId="7E0FE973"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Section 766B(3) is engaged if an adviser (in fact or by reasonable apprehension) considers at least an aspect of one of the three categories – namely,</w:t>
      </w:r>
      <w:r>
        <w:rPr>
          <w:rFonts w:ascii="Times New Roman" w:hAnsi="Times New Roman"/>
        </w:rPr>
        <w:t> </w:t>
      </w:r>
      <w:r w:rsidRPr="00A17FD4">
        <w:rPr>
          <w:rFonts w:ascii="Times New Roman" w:hAnsi="Times New Roman"/>
        </w:rPr>
        <w:t>a</w:t>
      </w:r>
      <w:r>
        <w:rPr>
          <w:rFonts w:ascii="Times New Roman" w:hAnsi="Times New Roman"/>
        </w:rPr>
        <w:t> </w:t>
      </w:r>
      <w:r w:rsidRPr="00A17FD4">
        <w:rPr>
          <w:rFonts w:ascii="Times New Roman" w:hAnsi="Times New Roman"/>
        </w:rPr>
        <w:t xml:space="preserve">person's objectives, financial situation or needs – and whether that has occurred will be a fact specific inquiry. Here, Westpac elicited aspects of the members' objectives as part of the effort to persuade them to transfer their external superannuation accounts into their BT account. </w:t>
      </w:r>
    </w:p>
    <w:p w14:paraId="437BD3CB"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It remains to deal with Westpac's further contentions that the Full Court disagreed on the touchstone for determining what aspects of, or to what degree, a</w:t>
      </w:r>
      <w:r>
        <w:rPr>
          <w:rFonts w:ascii="Times New Roman" w:hAnsi="Times New Roman"/>
        </w:rPr>
        <w:t> </w:t>
      </w:r>
      <w:r w:rsidRPr="00A17FD4">
        <w:rPr>
          <w:rFonts w:ascii="Times New Roman" w:hAnsi="Times New Roman"/>
        </w:rPr>
        <w:t>person's objectives, financial situation or needs must be taken into account and that the Full Court erred in introducing what counsel described as a "normative</w:t>
      </w:r>
      <w:r>
        <w:rPr>
          <w:rFonts w:ascii="Times New Roman" w:hAnsi="Times New Roman"/>
        </w:rPr>
        <w:t> </w:t>
      </w:r>
      <w:r w:rsidRPr="00A17FD4">
        <w:rPr>
          <w:rFonts w:ascii="Times New Roman" w:hAnsi="Times New Roman"/>
        </w:rPr>
        <w:t xml:space="preserve">element" into the inquiry under s 766B(3)(b). </w:t>
      </w:r>
    </w:p>
    <w:p w14:paraId="0078E5B2"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As to the first of those contentions, as Allsop CJ rightly said, "[t]he</w:t>
      </w:r>
      <w:r>
        <w:rPr>
          <w:rFonts w:ascii="Times New Roman" w:hAnsi="Times New Roman"/>
        </w:rPr>
        <w:t> </w:t>
      </w:r>
      <w:r w:rsidRPr="00A17FD4">
        <w:rPr>
          <w:rFonts w:ascii="Times New Roman" w:hAnsi="Times New Roman"/>
        </w:rPr>
        <w:t>surrounding circumstances, including the nature, content and context of the communication or exchange, will provide the answer to the question whether the provider has considered, or whether a reasonable person might expect the provider to have considered, any one or more of those subjects". The reasons of the other judges are not to any different effect. In short, there was no disagreement.</w:t>
      </w:r>
    </w:p>
    <w:p w14:paraId="3910941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As to the second contention, Westpac submitted that the Full Court</w:t>
      </w:r>
      <w:r w:rsidRPr="00A17FD4" w:rsidDel="00C022A6">
        <w:rPr>
          <w:rFonts w:ascii="Times New Roman" w:hAnsi="Times New Roman"/>
        </w:rPr>
        <w:t xml:space="preserve"> </w:t>
      </w:r>
      <w:r w:rsidRPr="00A17FD4">
        <w:rPr>
          <w:rFonts w:ascii="Times New Roman" w:hAnsi="Times New Roman"/>
        </w:rPr>
        <w:t>introduced a "normative element" into the inquiry under s 766B(3)(b) by</w:t>
      </w:r>
      <w:r>
        <w:rPr>
          <w:rFonts w:ascii="Times New Roman" w:hAnsi="Times New Roman"/>
        </w:rPr>
        <w:t> </w:t>
      </w:r>
      <w:r w:rsidRPr="00A17FD4">
        <w:rPr>
          <w:rFonts w:ascii="Times New Roman" w:hAnsi="Times New Roman"/>
        </w:rPr>
        <w:t xml:space="preserve">proceeding on a two-stage assumption that an adviser in Westpac's position </w:t>
      </w:r>
      <w:r w:rsidRPr="00A17FD4">
        <w:rPr>
          <w:rFonts w:ascii="Times New Roman" w:hAnsi="Times New Roman"/>
          <w:i/>
        </w:rPr>
        <w:t>should</w:t>
      </w:r>
      <w:r w:rsidRPr="00A17FD4">
        <w:rPr>
          <w:rFonts w:ascii="Times New Roman" w:hAnsi="Times New Roman"/>
        </w:rPr>
        <w:t xml:space="preserve"> act in its members' best interests, and that a member's best interests can </w:t>
      </w:r>
      <w:r w:rsidRPr="00A17FD4">
        <w:rPr>
          <w:rFonts w:ascii="Times New Roman" w:hAnsi="Times New Roman"/>
          <w:i/>
        </w:rPr>
        <w:t>only</w:t>
      </w:r>
      <w:r w:rsidRPr="00A17FD4">
        <w:rPr>
          <w:rFonts w:ascii="Times New Roman" w:hAnsi="Times New Roman"/>
        </w:rPr>
        <w:t xml:space="preserve"> be served through the provision of personal advice. Westpac's submission is not correct. The submission elides two different ideas – what Westpac </w:t>
      </w:r>
      <w:r w:rsidRPr="00A17FD4">
        <w:rPr>
          <w:rFonts w:ascii="Times New Roman" w:hAnsi="Times New Roman"/>
          <w:i/>
        </w:rPr>
        <w:t>should</w:t>
      </w:r>
      <w:r w:rsidRPr="00A17FD4">
        <w:rPr>
          <w:rFonts w:ascii="Times New Roman" w:hAnsi="Times New Roman"/>
        </w:rPr>
        <w:t xml:space="preserve"> have done, with what a reasonable person standing in the shoes of the member </w:t>
      </w:r>
      <w:r w:rsidRPr="00A17FD4">
        <w:rPr>
          <w:rFonts w:ascii="Times New Roman" w:hAnsi="Times New Roman"/>
          <w:i/>
        </w:rPr>
        <w:t xml:space="preserve">might expect </w:t>
      </w:r>
      <w:r w:rsidRPr="00A17FD4">
        <w:rPr>
          <w:rFonts w:ascii="Times New Roman" w:hAnsi="Times New Roman"/>
        </w:rPr>
        <w:t xml:space="preserve">Westpac to have done. What a reasonable person standing in the shoes of the member </w:t>
      </w:r>
      <w:r w:rsidRPr="00A17FD4">
        <w:rPr>
          <w:rFonts w:ascii="Times New Roman" w:hAnsi="Times New Roman"/>
          <w:i/>
        </w:rPr>
        <w:t xml:space="preserve">might expect </w:t>
      </w:r>
      <w:r w:rsidRPr="00A17FD4">
        <w:rPr>
          <w:rFonts w:ascii="Times New Roman" w:hAnsi="Times New Roman"/>
        </w:rPr>
        <w:t>must be</w:t>
      </w:r>
      <w:r w:rsidRPr="00A17FD4">
        <w:rPr>
          <w:rFonts w:ascii="Times New Roman" w:hAnsi="Times New Roman"/>
          <w:i/>
        </w:rPr>
        <w:t xml:space="preserve"> </w:t>
      </w:r>
      <w:r w:rsidRPr="00A17FD4">
        <w:rPr>
          <w:rFonts w:ascii="Times New Roman" w:hAnsi="Times New Roman"/>
        </w:rPr>
        <w:t>found (as the section requires) by having regard to all the circumstances. But observing that regard must be had to all the circumstances does not add some additional normative element to the inquiry. And</w:t>
      </w:r>
      <w:r>
        <w:rPr>
          <w:rFonts w:ascii="Times New Roman" w:hAnsi="Times New Roman"/>
        </w:rPr>
        <w:t> </w:t>
      </w:r>
      <w:r w:rsidRPr="00A17FD4">
        <w:rPr>
          <w:rFonts w:ascii="Times New Roman" w:hAnsi="Times New Roman"/>
        </w:rPr>
        <w:t xml:space="preserve">the Full Court did not proceed in that manner. To the contrary, each member </w:t>
      </w:r>
      <w:r w:rsidRPr="00A17FD4">
        <w:rPr>
          <w:rFonts w:ascii="Times New Roman" w:hAnsi="Times New Roman"/>
        </w:rPr>
        <w:lastRenderedPageBreak/>
        <w:t xml:space="preserve">of the Full Court focused on the calls in their context and applied the statutory test, being what a reasonable person standing in the shoes of the member </w:t>
      </w:r>
      <w:r w:rsidRPr="00A17FD4">
        <w:rPr>
          <w:rFonts w:ascii="Times New Roman" w:hAnsi="Times New Roman"/>
          <w:i/>
        </w:rPr>
        <w:t>might</w:t>
      </w:r>
      <w:r w:rsidRPr="00A17FD4">
        <w:rPr>
          <w:rFonts w:ascii="Times New Roman" w:hAnsi="Times New Roman"/>
        </w:rPr>
        <w:t xml:space="preserve"> </w:t>
      </w:r>
      <w:r w:rsidRPr="00A17FD4">
        <w:rPr>
          <w:rFonts w:ascii="Times New Roman" w:hAnsi="Times New Roman"/>
          <w:i/>
        </w:rPr>
        <w:t>expect</w:t>
      </w:r>
      <w:r w:rsidRPr="00A17FD4">
        <w:rPr>
          <w:rFonts w:ascii="Times New Roman" w:hAnsi="Times New Roman"/>
        </w:rPr>
        <w:t xml:space="preserve"> that Westpac considered; and the matters relied on by their Honours in applying the statutory test were all matters which could legitimately be considered. </w:t>
      </w:r>
    </w:p>
    <w:p w14:paraId="4C0CFEB5"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Certainly, the Full Court took into account factors such as</w:t>
      </w:r>
      <w:r w:rsidRPr="00A17FD4" w:rsidDel="003D7906">
        <w:rPr>
          <w:rFonts w:ascii="Times New Roman" w:hAnsi="Times New Roman"/>
        </w:rPr>
        <w:t xml:space="preserve"> </w:t>
      </w:r>
      <w:r w:rsidRPr="00A17FD4">
        <w:rPr>
          <w:rFonts w:ascii="Times New Roman" w:hAnsi="Times New Roman"/>
        </w:rPr>
        <w:t>the pre-existing relationship between Westpac and each member, that the calls were about superannuation, and that the purpose of the calls was to help the member. But the matters mentioned were not taken as "premises" or "assumptions". Nor were they added as some new elements ("normative" or otherwise) which were read into, or</w:t>
      </w:r>
      <w:r>
        <w:rPr>
          <w:rFonts w:ascii="Times New Roman" w:hAnsi="Times New Roman"/>
        </w:rPr>
        <w:t> </w:t>
      </w:r>
      <w:r w:rsidRPr="00A17FD4">
        <w:rPr>
          <w:rFonts w:ascii="Times New Roman" w:hAnsi="Times New Roman"/>
        </w:rPr>
        <w:t xml:space="preserve">placed as a gloss on, the statute. Each was and remains simply a circumstance that arises from the application of s 766B to the facts of the case and informed the conclusion that the advice given was personal advice. That conclusion was correct. </w:t>
      </w:r>
    </w:p>
    <w:p w14:paraId="29944357"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Westpac gave personal advice within the meaning of s 766B(3)(b)</w:t>
      </w:r>
    </w:p>
    <w:p w14:paraId="37E8356D"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Westpac gave financial product advice to each member which was intended to influence them</w:t>
      </w:r>
      <w:r w:rsidRPr="00A17FD4" w:rsidDel="00BA79F3">
        <w:rPr>
          <w:rFonts w:ascii="Times New Roman" w:hAnsi="Times New Roman"/>
        </w:rPr>
        <w:t xml:space="preserve"> </w:t>
      </w:r>
      <w:r w:rsidRPr="00A17FD4">
        <w:rPr>
          <w:rFonts w:ascii="Times New Roman" w:hAnsi="Times New Roman"/>
        </w:rPr>
        <w:t>in making a decision in relation to a particular financial product, namely, membership in one of the Funds, in circumstances where a reasonable person might expect Westpac to have considered one or more of the member's objectives, financial situation and needs. The subject matter of the advice, the</w:t>
      </w:r>
      <w:r>
        <w:rPr>
          <w:rFonts w:ascii="Times New Roman" w:hAnsi="Times New Roman"/>
        </w:rPr>
        <w:t> </w:t>
      </w:r>
      <w:r w:rsidRPr="00A17FD4">
        <w:rPr>
          <w:rFonts w:ascii="Times New Roman" w:hAnsi="Times New Roman"/>
        </w:rPr>
        <w:t xml:space="preserve">nature of the relationship between Westpac and its members, the purpose and tenor of the calls, </w:t>
      </w:r>
      <w:r>
        <w:rPr>
          <w:rFonts w:ascii="Times New Roman" w:hAnsi="Times New Roman"/>
        </w:rPr>
        <w:t xml:space="preserve">and </w:t>
      </w:r>
      <w:r w:rsidRPr="00A17FD4">
        <w:rPr>
          <w:rFonts w:ascii="Times New Roman" w:hAnsi="Times New Roman"/>
        </w:rPr>
        <w:t xml:space="preserve">the members' objectives, together with the form, content and context of the financial product advice seen in light of a number of other considerations, compel the conclusion that the financial product advice was personal advice within the meaning of s 766B(3)(b). </w:t>
      </w:r>
    </w:p>
    <w:p w14:paraId="625661C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subject matter of the financial product advice concerned the consolidation of multiple superannuation accounts, a significant financial decision. </w:t>
      </w:r>
    </w:p>
    <w:p w14:paraId="26F0E3B6"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There was a pre-existing relationship between each member and Westpac. Westpac already held some of the member's superannuation and each member had entrusted those funds to Westpac. The pre-existing relationship was one of trustee and beneficiary</w:t>
      </w:r>
      <w:r w:rsidRPr="00A17FD4">
        <w:rPr>
          <w:rStyle w:val="FootnoteReference"/>
          <w:rFonts w:ascii="Times New Roman" w:hAnsi="Times New Roman"/>
          <w:sz w:val="24"/>
        </w:rPr>
        <w:footnoteReference w:id="64"/>
      </w:r>
      <w:r w:rsidRPr="00A17FD4">
        <w:rPr>
          <w:rFonts w:ascii="Times New Roman" w:hAnsi="Times New Roman"/>
        </w:rPr>
        <w:t xml:space="preserve">. A reasonable person might expect that the adviser would be acting in the member's best interests, including by considering one or more of their objectives, financial situation or needs before giving financial product advice. Contrary to the findings of the primary judge, the fact that the specific adviser from the Super Activation Team who made the call had no previous relationship with the member, or was not provided with information by the member prior to the call, does not detract from that conclusion. In circumstances where the advisers were representatives of Westpac, a reasonable person would expect the adviser to be </w:t>
      </w:r>
      <w:r w:rsidRPr="00A17FD4">
        <w:rPr>
          <w:rFonts w:ascii="Times New Roman" w:hAnsi="Times New Roman"/>
        </w:rPr>
        <w:lastRenderedPageBreak/>
        <w:t xml:space="preserve">continuing the pre-existing relationship as a representative of Westpac, and to have access to all of the member's relevant information known to Westpac. </w:t>
      </w:r>
    </w:p>
    <w:p w14:paraId="025C723F"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 tone and tenor of the calls had a repeated emphasis on helping and assisting the member in relation to their superannuation. The expressed purpose of the calls was to assist the members with their superannuation. For example, member 1's adviser said: "it was just a quick courtesy call regarding your BT Superannuation account, we've just had some superannuation search results ... [W]</w:t>
      </w:r>
      <w:proofErr w:type="spellStart"/>
      <w:r w:rsidRPr="00A17FD4">
        <w:rPr>
          <w:rFonts w:ascii="Times New Roman" w:hAnsi="Times New Roman"/>
        </w:rPr>
        <w:t>e've</w:t>
      </w:r>
      <w:proofErr w:type="spellEnd"/>
      <w:r w:rsidRPr="00A17FD4">
        <w:rPr>
          <w:rFonts w:ascii="Times New Roman" w:hAnsi="Times New Roman"/>
        </w:rPr>
        <w:t xml:space="preserve"> got some results here we'd like to help you bring them over to your account to potentially save you on fees ... Now, before we get started can I ask you a few quick questions so I can help you." </w:t>
      </w:r>
    </w:p>
    <w:p w14:paraId="2F97860C"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The</w:t>
      </w:r>
      <w:r w:rsidRPr="00A17FD4" w:rsidDel="0046198F">
        <w:rPr>
          <w:rFonts w:ascii="Times New Roman" w:hAnsi="Times New Roman"/>
        </w:rPr>
        <w:t xml:space="preserve"> </w:t>
      </w:r>
      <w:r w:rsidRPr="00A17FD4">
        <w:rPr>
          <w:rFonts w:ascii="Times New Roman" w:hAnsi="Times New Roman"/>
        </w:rPr>
        <w:t xml:space="preserve">members were then asked about their objectives. For example, member 1 was asked: "So what was the main reason you asked us to look for your </w:t>
      </w:r>
      <w:proofErr w:type="spellStart"/>
      <w:r w:rsidRPr="00A17FD4">
        <w:rPr>
          <w:rFonts w:ascii="Times New Roman" w:hAnsi="Times New Roman"/>
        </w:rPr>
        <w:t>superannuations</w:t>
      </w:r>
      <w:proofErr w:type="spellEnd"/>
      <w:r w:rsidRPr="00A17FD4">
        <w:rPr>
          <w:rFonts w:ascii="Times New Roman" w:hAnsi="Times New Roman"/>
        </w:rPr>
        <w:t xml:space="preserve"> ... and what did you see as the main benefits of bringing them altogether to the one place?". In response, the members conveyed their financial objectives, which included: to maximise the performance, in terms of financial return, of the member's overall superannuation; to minimise the fees payable in respect of the member's overall superannuation; and to assist with management of the member's superannuation. These were personal objectives within the meaning of s 766B(3). </w:t>
      </w:r>
    </w:p>
    <w:p w14:paraId="62FE45D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Given the members were asked about their personal objectives, a reasonable person might expect that the objectives articulated were relevant to, and would be considered by Westpac in, the provision of any subsequent financial product advice. This expectation would not likely be undermined by the fact that the members' objectives were elicited during the course of the calls. Westpac's prior correspondence to members offering to search for and roll over their external superannuation accounts into their BT account</w:t>
      </w:r>
      <w:r w:rsidRPr="00A17FD4">
        <w:rPr>
          <w:rStyle w:val="FootnoteReference"/>
          <w:rFonts w:ascii="Times New Roman" w:hAnsi="Times New Roman"/>
          <w:sz w:val="24"/>
        </w:rPr>
        <w:footnoteReference w:id="65"/>
      </w:r>
      <w:r w:rsidRPr="00A17FD4">
        <w:rPr>
          <w:rFonts w:ascii="Times New Roman" w:hAnsi="Times New Roman"/>
        </w:rPr>
        <w:t xml:space="preserve"> had set the scene for these calls. And the personal objectives that the advisers elicited from, and which were provided</w:t>
      </w:r>
      <w:r w:rsidRPr="00A17FD4" w:rsidDel="00156BB7">
        <w:rPr>
          <w:rFonts w:ascii="Times New Roman" w:hAnsi="Times New Roman"/>
        </w:rPr>
        <w:t xml:space="preserve"> </w:t>
      </w:r>
      <w:r w:rsidRPr="00A17FD4">
        <w:rPr>
          <w:rFonts w:ascii="Times New Roman" w:hAnsi="Times New Roman"/>
        </w:rPr>
        <w:t xml:space="preserve">by, the members were said by the advisers to be ones which were common to most of Westpac's members. In other words, the members' objectives were familiar to the advisers. For example, after member 1 explained why they wanted Westpac to look for their superannuation accounts, the adviser responded that "manageability and also the saving on the fees ... are the two main reasons our clients do like to bring their supers together". In these circumstances, a reasonable person might expect that the adviser would be able to consider the member's objectives in a short time, and would have taken additional time, if necessary, before providing personal advice. </w:t>
      </w:r>
    </w:p>
    <w:p w14:paraId="4FC92A08"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members were given a general advice warning. By that warning, the advisers expressly stated that they would not take into account the members' personal circumstances. So, for example, member 1's adviser said: "I do need to </w:t>
      </w:r>
      <w:r w:rsidRPr="00A17FD4">
        <w:rPr>
          <w:rFonts w:ascii="Times New Roman" w:hAnsi="Times New Roman"/>
        </w:rPr>
        <w:lastRenderedPageBreak/>
        <w:t xml:space="preserve">let you know ... everything discussed today is general in nature, it won't take into account your personal financial needs". But the significance of the general advice warning must be assessed in light of </w:t>
      </w:r>
      <w:r w:rsidRPr="00A17FD4">
        <w:rPr>
          <w:rFonts w:ascii="Times New Roman" w:hAnsi="Times New Roman"/>
          <w:i/>
        </w:rPr>
        <w:t>all</w:t>
      </w:r>
      <w:r w:rsidRPr="00A17FD4">
        <w:rPr>
          <w:rFonts w:ascii="Times New Roman" w:hAnsi="Times New Roman"/>
        </w:rPr>
        <w:t xml:space="preserve"> the circumstances. The general advice warning was given only once, at the beginning of the telephone conversation. Members were subsequently asked directly about their personal objectives. Members were not encouraged to seek personal advice before deciding whether to accept the rollover service. </w:t>
      </w:r>
    </w:p>
    <w:p w14:paraId="735E5D34"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The financial product advice was provided without charge. Where financial product advice is provided without charge, a reasonable person may be less likely to think that the advice would be given taking into account the member's objectives, financial situation and needs. Here, however, the position was qualified by two features of the calls. First, there was a pre-existing relationship between the members and Westpac under which the members paid annual fees to Westpac. While those fees were not said to be for services including the provision of personal advice, it is nonetheless the case that the members would likely have made payments over time to Westpac for financial services related to superannuation. Second, it might have been apparent to a reasonable person that the recommended rollover was in Westpac's interests, because it would increase Westpac's total funds under management. A reasonable person might expect that where Westpac is acting, in part, in its own interests, a fee for the provision of personal advice is less likely to be required. </w:t>
      </w:r>
    </w:p>
    <w:p w14:paraId="062A8E1A"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In some cases, the adviser revealed a lack of knowledge about the member's financial situation. For example, questions asked by member 1's adviser revealed that the adviser did not know the amount of funds held in member 1's external accounts or the duration of member 1's employment with previous employers. This</w:t>
      </w:r>
      <w:r>
        <w:rPr>
          <w:rFonts w:ascii="Times New Roman" w:hAnsi="Times New Roman"/>
        </w:rPr>
        <w:t> </w:t>
      </w:r>
      <w:r w:rsidRPr="00A17FD4">
        <w:rPr>
          <w:rFonts w:ascii="Times New Roman" w:hAnsi="Times New Roman"/>
        </w:rPr>
        <w:t>might suggest to a reasonable person that the adviser had not taken the whole or all aspects of the member's financial situation into account in providing the financial product advice. But that cannot detract from the fact that, on the calls, the</w:t>
      </w:r>
      <w:r>
        <w:rPr>
          <w:rFonts w:ascii="Times New Roman" w:hAnsi="Times New Roman"/>
        </w:rPr>
        <w:t> </w:t>
      </w:r>
      <w:r w:rsidRPr="00A17FD4">
        <w:rPr>
          <w:rFonts w:ascii="Times New Roman" w:hAnsi="Times New Roman"/>
        </w:rPr>
        <w:t>adviser elicited the member's personal objectives, and, having been told what they were, the adviser then confirmed that the member's stated objectives were relevant and in common with other members. Personal advice only requires that the adviser has considered, or a reasonable person might expect them to have considered, "one or more of" a person's objectives, financial situation or needs and that is what occurred on these calls.</w:t>
      </w:r>
    </w:p>
    <w:p w14:paraId="299A38D0"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Section 766B(3)(b) is concerned with the circumstances of the retail client. Here, those circumstances included the form, content and context of the financial product advice given to the members that they should roll over their external superannuation accounts into their BT account. As O'Bryan J observed, where a provider of advice urges the recipient to follow a particular course of action, there</w:t>
      </w:r>
      <w:r>
        <w:rPr>
          <w:rFonts w:ascii="Times New Roman" w:hAnsi="Times New Roman"/>
        </w:rPr>
        <w:t> </w:t>
      </w:r>
      <w:r w:rsidRPr="00A17FD4">
        <w:rPr>
          <w:rFonts w:ascii="Times New Roman" w:hAnsi="Times New Roman"/>
        </w:rPr>
        <w:t xml:space="preserve">is a greater likelihood that a reasonable person might expect the adviser to have considered the recipient's personal circumstances. This observation applies with particular force in the present case, where: the course of action concerns a subject matter of significance to most members (being the consolidation of </w:t>
      </w:r>
      <w:r w:rsidRPr="00A17FD4">
        <w:rPr>
          <w:rFonts w:ascii="Times New Roman" w:hAnsi="Times New Roman"/>
        </w:rPr>
        <w:lastRenderedPageBreak/>
        <w:t>multiple superannuation accounts); there is a pre-existing relationship of dependence between the adviser and the member (that of trustee and beneficiary); the adviser elicited the member's objectives; and once having been told them, the</w:t>
      </w:r>
      <w:r>
        <w:rPr>
          <w:rFonts w:ascii="Times New Roman" w:hAnsi="Times New Roman"/>
        </w:rPr>
        <w:t> </w:t>
      </w:r>
      <w:r w:rsidRPr="00A17FD4">
        <w:rPr>
          <w:rFonts w:ascii="Times New Roman" w:hAnsi="Times New Roman"/>
        </w:rPr>
        <w:t xml:space="preserve">adviser confirmed those personal objectives through the use of social proofing as being common and relevant objectives. As has been said, those circumstances </w:t>
      </w:r>
      <w:r>
        <w:rPr>
          <w:rFonts w:ascii="Times New Roman" w:hAnsi="Times New Roman"/>
        </w:rPr>
        <w:t xml:space="preserve">would have </w:t>
      </w:r>
      <w:r w:rsidRPr="00A17FD4">
        <w:rPr>
          <w:rFonts w:ascii="Times New Roman" w:hAnsi="Times New Roman"/>
        </w:rPr>
        <w:t xml:space="preserve">conveyed to a reasonable person not only that those personal objectives were considered, but that no other matters needed to be taken into account and no other advice was required before the member made a decision to accept the recommendation and roll over their external superannuation accounts. </w:t>
      </w:r>
    </w:p>
    <w:p w14:paraId="1C825456"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In the course of argument, Westpac referred to the advice that might be given in respect of other kinds of financial products, such as securities traded on a licensed market. Those references are not to the point for at least two reasons. First, advice about those products is subject to the specific provisions in </w:t>
      </w:r>
      <w:proofErr w:type="spellStart"/>
      <w:r w:rsidRPr="00A17FD4">
        <w:rPr>
          <w:rFonts w:ascii="Times New Roman" w:hAnsi="Times New Roman"/>
        </w:rPr>
        <w:t>Subdiv</w:t>
      </w:r>
      <w:proofErr w:type="spellEnd"/>
      <w:r w:rsidRPr="00A17FD4">
        <w:rPr>
          <w:rFonts w:ascii="Times New Roman" w:hAnsi="Times New Roman"/>
        </w:rPr>
        <w:t xml:space="preserve"> C of </w:t>
      </w:r>
      <w:proofErr w:type="spellStart"/>
      <w:r w:rsidRPr="00A17FD4">
        <w:rPr>
          <w:rFonts w:ascii="Times New Roman" w:hAnsi="Times New Roman"/>
        </w:rPr>
        <w:t>Div</w:t>
      </w:r>
      <w:proofErr w:type="spellEnd"/>
      <w:r w:rsidRPr="00A17FD4">
        <w:rPr>
          <w:rFonts w:ascii="Times New Roman" w:hAnsi="Times New Roman"/>
        </w:rPr>
        <w:t> 3 of Pt 7.7 of Ch 7 including, in particular, ss 946A and 946B. Second, as</w:t>
      </w:r>
      <w:r>
        <w:rPr>
          <w:rFonts w:ascii="Times New Roman" w:hAnsi="Times New Roman"/>
        </w:rPr>
        <w:t> </w:t>
      </w:r>
      <w:r w:rsidRPr="00A17FD4">
        <w:rPr>
          <w:rFonts w:ascii="Times New Roman" w:hAnsi="Times New Roman"/>
        </w:rPr>
        <w:t>has been observed</w:t>
      </w:r>
      <w:r w:rsidRPr="00A17FD4">
        <w:rPr>
          <w:rStyle w:val="FootnoteReference"/>
          <w:rFonts w:ascii="Times New Roman" w:hAnsi="Times New Roman"/>
          <w:sz w:val="24"/>
        </w:rPr>
        <w:footnoteReference w:id="66"/>
      </w:r>
      <w:r w:rsidRPr="00A17FD4">
        <w:rPr>
          <w:rFonts w:ascii="Times New Roman" w:hAnsi="Times New Roman"/>
        </w:rPr>
        <w:t xml:space="preserve">, superannuation products are recognised as a distinct and different kind of product and treated separately. </w:t>
      </w:r>
    </w:p>
    <w:p w14:paraId="4EEA39BD" w14:textId="77777777" w:rsidR="00CE4077" w:rsidRPr="00A17FD4" w:rsidRDefault="00CE4077" w:rsidP="00A17FD4">
      <w:pPr>
        <w:pStyle w:val="HeadingL1"/>
        <w:spacing w:after="260" w:line="280" w:lineRule="exact"/>
        <w:ind w:right="0"/>
        <w:jc w:val="both"/>
        <w:rPr>
          <w:rFonts w:ascii="Times New Roman" w:hAnsi="Times New Roman"/>
        </w:rPr>
      </w:pPr>
      <w:r w:rsidRPr="00A17FD4">
        <w:rPr>
          <w:rFonts w:ascii="Times New Roman" w:hAnsi="Times New Roman"/>
        </w:rPr>
        <w:t>Conclusion and orders</w:t>
      </w:r>
    </w:p>
    <w:p w14:paraId="0AB5E0FA" w14:textId="77777777" w:rsidR="00CE4077" w:rsidRPr="00A17FD4" w:rsidRDefault="00CE4077" w:rsidP="00CE4077">
      <w:pPr>
        <w:pStyle w:val="FixListStyle"/>
        <w:numPr>
          <w:ilvl w:val="0"/>
          <w:numId w:val="18"/>
        </w:numPr>
        <w:spacing w:after="260" w:line="280" w:lineRule="exact"/>
        <w:ind w:left="0" w:right="0" w:hanging="720"/>
        <w:jc w:val="both"/>
        <w:rPr>
          <w:rFonts w:ascii="Times New Roman" w:hAnsi="Times New Roman"/>
        </w:rPr>
      </w:pPr>
      <w:r w:rsidRPr="00A17FD4">
        <w:rPr>
          <w:rFonts w:ascii="Times New Roman" w:hAnsi="Times New Roman"/>
        </w:rPr>
        <w:tab/>
        <w:t xml:space="preserve">For these reasons, in all of the circumstances, the financial product advice Westpac gave to the members was personal advice within the meaning of s 766B(3)(b) of the </w:t>
      </w:r>
      <w:r w:rsidRPr="00A17FD4">
        <w:rPr>
          <w:rFonts w:ascii="Times New Roman" w:hAnsi="Times New Roman"/>
          <w:i/>
        </w:rPr>
        <w:t>Corporations Act</w:t>
      </w:r>
      <w:r w:rsidRPr="00A17FD4">
        <w:rPr>
          <w:rFonts w:ascii="Times New Roman" w:hAnsi="Times New Roman"/>
        </w:rPr>
        <w:t>. The appeal should be dismissed with costs.</w:t>
      </w:r>
    </w:p>
    <w:p w14:paraId="28D7CCFE" w14:textId="77777777" w:rsidR="00CE4077" w:rsidRDefault="00CE4077" w:rsidP="00CE4077">
      <w:pPr>
        <w:pStyle w:val="FixListStyle"/>
        <w:numPr>
          <w:ilvl w:val="0"/>
          <w:numId w:val="0"/>
        </w:numPr>
        <w:spacing w:after="260" w:line="280" w:lineRule="exact"/>
        <w:ind w:right="0"/>
        <w:jc w:val="both"/>
        <w:rPr>
          <w:rFonts w:ascii="Times New Roman" w:hAnsi="Times New Roman"/>
        </w:rPr>
        <w:sectPr w:rsidR="00CE4077" w:rsidSect="00CE4077">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9366ED0" w14:textId="647CF535" w:rsidR="00193625" w:rsidRPr="00514C1E" w:rsidRDefault="00193625" w:rsidP="00CE4077">
      <w:pPr>
        <w:pStyle w:val="FixListStyle"/>
        <w:numPr>
          <w:ilvl w:val="0"/>
          <w:numId w:val="0"/>
        </w:numPr>
        <w:spacing w:after="260" w:line="280" w:lineRule="exact"/>
        <w:ind w:right="0"/>
        <w:jc w:val="both"/>
        <w:rPr>
          <w:rFonts w:ascii="Times New Roman" w:hAnsi="Times New Roman"/>
        </w:rPr>
      </w:pPr>
    </w:p>
    <w:sectPr w:rsidR="00193625" w:rsidRPr="00514C1E" w:rsidSect="00CE4077">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FB8BB" w14:textId="77777777" w:rsidR="00B717C9" w:rsidRDefault="00B717C9">
      <w:pPr>
        <w:spacing w:line="240" w:lineRule="auto"/>
      </w:pPr>
      <w:r>
        <w:separator/>
      </w:r>
    </w:p>
  </w:endnote>
  <w:endnote w:type="continuationSeparator" w:id="0">
    <w:p w14:paraId="783B53B3" w14:textId="77777777" w:rsidR="00B717C9" w:rsidRDefault="00B717C9">
      <w:pPr>
        <w:spacing w:line="240" w:lineRule="auto"/>
      </w:pPr>
      <w:r>
        <w:continuationSeparator/>
      </w:r>
    </w:p>
  </w:endnote>
  <w:endnote w:type="continuationNotice" w:id="1">
    <w:p w14:paraId="023055CF" w14:textId="77777777" w:rsidR="00B717C9" w:rsidRDefault="00B717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C12D" w14:textId="77777777" w:rsidR="00D7222E" w:rsidRDefault="00D72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609F" w14:textId="77777777" w:rsidR="00D7222E" w:rsidRDefault="00D72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BB04" w14:textId="77777777" w:rsidR="00D7222E" w:rsidRDefault="00D72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A98D3" w14:textId="77777777" w:rsidR="00D7222E" w:rsidRDefault="00D722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FC0A" w14:textId="77777777" w:rsidR="00D7222E" w:rsidRDefault="00D722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400F" w14:textId="77777777" w:rsidR="00D7222E" w:rsidRDefault="00D7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F131" w14:textId="77777777" w:rsidR="00B717C9" w:rsidRPr="00514C1E" w:rsidRDefault="00B717C9" w:rsidP="00514C1E">
      <w:pPr>
        <w:pStyle w:val="Footer"/>
        <w:spacing w:before="120" w:after="20"/>
        <w:ind w:right="0"/>
        <w:rPr>
          <w:rFonts w:ascii="Times New Roman" w:hAnsi="Times New Roman"/>
        </w:rPr>
      </w:pPr>
      <w:r>
        <w:continuationSeparator/>
      </w:r>
    </w:p>
  </w:footnote>
  <w:footnote w:type="continuationSeparator" w:id="0">
    <w:p w14:paraId="07ADCEA2" w14:textId="77777777" w:rsidR="00B717C9" w:rsidRPr="00514C1E" w:rsidRDefault="00B717C9" w:rsidP="00514C1E">
      <w:pPr>
        <w:pStyle w:val="Footer"/>
        <w:spacing w:before="120" w:after="20"/>
        <w:ind w:right="0"/>
        <w:rPr>
          <w:rFonts w:ascii="Times New Roman" w:hAnsi="Times New Roman"/>
        </w:rPr>
      </w:pPr>
      <w:r w:rsidRPr="00514C1E">
        <w:rPr>
          <w:rFonts w:ascii="Times New Roman" w:hAnsi="Times New Roman"/>
        </w:rPr>
        <w:continuationSeparator/>
      </w:r>
    </w:p>
  </w:footnote>
  <w:footnote w:type="continuationNotice" w:id="1">
    <w:p w14:paraId="7EEEDB29" w14:textId="77777777" w:rsidR="00B717C9" w:rsidRPr="00CE4077" w:rsidRDefault="00B717C9">
      <w:pPr>
        <w:jc w:val="right"/>
        <w:rPr>
          <w:rFonts w:ascii="Times New Roman" w:hAnsi="Times New Roman"/>
          <w:sz w:val="24"/>
        </w:rPr>
      </w:pPr>
    </w:p>
  </w:footnote>
  <w:footnote w:id="2">
    <w:p w14:paraId="69AF24F7" w14:textId="5D476EEF" w:rsidR="00C62BB0" w:rsidRPr="00514C1E" w:rsidRDefault="00C62BB0"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t>These reasons adopt the abbreviations used by Gordon J and will repeat matters stated in her Honour's reasons only to the extent necess</w:t>
      </w:r>
      <w:r w:rsidR="004321BD" w:rsidRPr="00514C1E">
        <w:rPr>
          <w:rFonts w:ascii="Times New Roman" w:hAnsi="Times New Roman"/>
          <w:sz w:val="24"/>
        </w:rPr>
        <w:t>a</w:t>
      </w:r>
      <w:r w:rsidRPr="00514C1E">
        <w:rPr>
          <w:rFonts w:ascii="Times New Roman" w:hAnsi="Times New Roman"/>
          <w:sz w:val="24"/>
        </w:rPr>
        <w:t xml:space="preserve">ry </w:t>
      </w:r>
      <w:r w:rsidR="00787544" w:rsidRPr="00514C1E">
        <w:rPr>
          <w:rFonts w:ascii="Times New Roman" w:hAnsi="Times New Roman"/>
          <w:sz w:val="24"/>
        </w:rPr>
        <w:t>to understand</w:t>
      </w:r>
      <w:r w:rsidR="004321BD" w:rsidRPr="00514C1E">
        <w:rPr>
          <w:rFonts w:ascii="Times New Roman" w:hAnsi="Times New Roman"/>
          <w:sz w:val="24"/>
        </w:rPr>
        <w:t xml:space="preserve"> </w:t>
      </w:r>
      <w:r w:rsidR="00DB6DAB" w:rsidRPr="00514C1E">
        <w:rPr>
          <w:rFonts w:ascii="Times New Roman" w:hAnsi="Times New Roman"/>
          <w:sz w:val="24"/>
        </w:rPr>
        <w:t>our</w:t>
      </w:r>
      <w:r w:rsidR="004321BD" w:rsidRPr="00514C1E">
        <w:rPr>
          <w:rFonts w:ascii="Times New Roman" w:hAnsi="Times New Roman"/>
          <w:sz w:val="24"/>
        </w:rPr>
        <w:t xml:space="preserve"> reasons.</w:t>
      </w:r>
    </w:p>
  </w:footnote>
  <w:footnote w:id="3">
    <w:p w14:paraId="6A9B7ADF" w14:textId="113DBAAF" w:rsidR="00347CFD" w:rsidRPr="00514C1E" w:rsidRDefault="00347CFD"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Pr="00514C1E">
        <w:rPr>
          <w:rFonts w:ascii="Times New Roman" w:hAnsi="Times New Roman"/>
          <w:i/>
          <w:iCs/>
          <w:sz w:val="24"/>
        </w:rPr>
        <w:t>A</w:t>
      </w:r>
      <w:r w:rsidR="00F97D3D" w:rsidRPr="00514C1E">
        <w:rPr>
          <w:rFonts w:ascii="Times New Roman" w:hAnsi="Times New Roman"/>
          <w:i/>
          <w:iCs/>
          <w:sz w:val="24"/>
        </w:rPr>
        <w:t xml:space="preserve">ustralian Securities and Investments Commission v Westpac Securities Administration Ltd </w:t>
      </w:r>
      <w:r w:rsidR="00677A7D" w:rsidRPr="00514C1E">
        <w:rPr>
          <w:rFonts w:ascii="Times New Roman" w:hAnsi="Times New Roman"/>
          <w:sz w:val="24"/>
        </w:rPr>
        <w:t>(2019)</w:t>
      </w:r>
      <w:r w:rsidR="00EA406C" w:rsidRPr="00514C1E">
        <w:rPr>
          <w:rFonts w:ascii="Times New Roman" w:hAnsi="Times New Roman"/>
          <w:sz w:val="24"/>
        </w:rPr>
        <w:t xml:space="preserve"> 272 FCR 170 </w:t>
      </w:r>
      <w:r w:rsidR="000D336A" w:rsidRPr="00514C1E">
        <w:rPr>
          <w:rFonts w:ascii="Times New Roman" w:hAnsi="Times New Roman"/>
          <w:sz w:val="24"/>
        </w:rPr>
        <w:t>("</w:t>
      </w:r>
      <w:r w:rsidR="000D336A" w:rsidRPr="00514C1E">
        <w:rPr>
          <w:rFonts w:ascii="Times New Roman" w:hAnsi="Times New Roman"/>
          <w:i/>
          <w:iCs/>
          <w:sz w:val="24"/>
        </w:rPr>
        <w:t>ASIC v Westpac</w:t>
      </w:r>
      <w:r w:rsidR="000D336A" w:rsidRPr="00514C1E">
        <w:rPr>
          <w:rFonts w:ascii="Times New Roman" w:hAnsi="Times New Roman"/>
          <w:sz w:val="24"/>
        </w:rPr>
        <w:t xml:space="preserve">") </w:t>
      </w:r>
      <w:r w:rsidR="00EA406C" w:rsidRPr="00514C1E">
        <w:rPr>
          <w:rFonts w:ascii="Times New Roman" w:hAnsi="Times New Roman"/>
          <w:sz w:val="24"/>
        </w:rPr>
        <w:t>at</w:t>
      </w:r>
      <w:r w:rsidR="00CA32EE" w:rsidRPr="00514C1E">
        <w:rPr>
          <w:rFonts w:ascii="Times New Roman" w:hAnsi="Times New Roman"/>
          <w:sz w:val="24"/>
        </w:rPr>
        <w:t> </w:t>
      </w:r>
      <w:r w:rsidR="00EA406C" w:rsidRPr="00514C1E">
        <w:rPr>
          <w:rFonts w:ascii="Times New Roman" w:hAnsi="Times New Roman"/>
          <w:sz w:val="24"/>
        </w:rPr>
        <w:t>197 [77], 198 [80], 232 [266]</w:t>
      </w:r>
      <w:r w:rsidR="00EA406C" w:rsidRPr="00514C1E">
        <w:rPr>
          <w:rFonts w:ascii="Times New Roman" w:hAnsi="Times New Roman"/>
          <w:sz w:val="24"/>
        </w:rPr>
        <w:noBreakHyphen/>
        <w:t>[271], 235 [278], 260</w:t>
      </w:r>
      <w:r w:rsidR="00EA406C" w:rsidRPr="00514C1E">
        <w:rPr>
          <w:rFonts w:ascii="Times New Roman" w:hAnsi="Times New Roman"/>
          <w:sz w:val="24"/>
        </w:rPr>
        <w:noBreakHyphen/>
        <w:t>261 [388]</w:t>
      </w:r>
      <w:r w:rsidR="00EA406C" w:rsidRPr="00514C1E">
        <w:rPr>
          <w:rFonts w:ascii="Times New Roman" w:hAnsi="Times New Roman"/>
          <w:sz w:val="24"/>
        </w:rPr>
        <w:noBreakHyphen/>
      </w:r>
      <w:r w:rsidR="00360B4E" w:rsidRPr="00514C1E">
        <w:rPr>
          <w:rFonts w:ascii="Times New Roman" w:hAnsi="Times New Roman"/>
          <w:sz w:val="24"/>
        </w:rPr>
        <w:t>[392], 261</w:t>
      </w:r>
      <w:r w:rsidR="00360B4E" w:rsidRPr="00514C1E">
        <w:rPr>
          <w:rFonts w:ascii="Times New Roman" w:hAnsi="Times New Roman"/>
          <w:sz w:val="24"/>
        </w:rPr>
        <w:noBreakHyphen/>
        <w:t>262 [396]</w:t>
      </w:r>
      <w:r w:rsidR="00360B4E" w:rsidRPr="00514C1E">
        <w:rPr>
          <w:rFonts w:ascii="Times New Roman" w:hAnsi="Times New Roman"/>
          <w:sz w:val="24"/>
        </w:rPr>
        <w:noBreakHyphen/>
        <w:t>[397</w:t>
      </w:r>
      <w:r w:rsidR="006B5001" w:rsidRPr="00514C1E">
        <w:rPr>
          <w:rFonts w:ascii="Times New Roman" w:hAnsi="Times New Roman"/>
          <w:sz w:val="24"/>
        </w:rPr>
        <w:t>].</w:t>
      </w:r>
    </w:p>
  </w:footnote>
  <w:footnote w:id="4">
    <w:p w14:paraId="1D6424B5" w14:textId="3A730E50" w:rsidR="00005513" w:rsidRPr="00514C1E" w:rsidRDefault="00005513"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0D336A" w:rsidRPr="00514C1E">
        <w:rPr>
          <w:rFonts w:ascii="Times New Roman" w:hAnsi="Times New Roman"/>
          <w:i/>
          <w:iCs/>
          <w:sz w:val="24"/>
        </w:rPr>
        <w:t>Re </w:t>
      </w:r>
      <w:r w:rsidR="004D541C" w:rsidRPr="00514C1E">
        <w:rPr>
          <w:rFonts w:ascii="Times New Roman" w:hAnsi="Times New Roman"/>
          <w:i/>
          <w:iCs/>
          <w:sz w:val="24"/>
        </w:rPr>
        <w:t xml:space="preserve">Westpac </w:t>
      </w:r>
      <w:r w:rsidR="00CD3AC0" w:rsidRPr="00514C1E">
        <w:rPr>
          <w:rFonts w:ascii="Times New Roman" w:hAnsi="Times New Roman"/>
          <w:i/>
          <w:iCs/>
          <w:sz w:val="24"/>
        </w:rPr>
        <w:t>Securities Administration Ltd</w:t>
      </w:r>
      <w:r w:rsidRPr="00514C1E">
        <w:rPr>
          <w:rFonts w:ascii="Times New Roman" w:hAnsi="Times New Roman"/>
          <w:sz w:val="24"/>
        </w:rPr>
        <w:t xml:space="preserve"> (201</w:t>
      </w:r>
      <w:r w:rsidR="000206DE">
        <w:rPr>
          <w:rFonts w:ascii="Times New Roman" w:hAnsi="Times New Roman"/>
          <w:sz w:val="24"/>
        </w:rPr>
        <w:t>8</w:t>
      </w:r>
      <w:r w:rsidRPr="00514C1E">
        <w:rPr>
          <w:rFonts w:ascii="Times New Roman" w:hAnsi="Times New Roman"/>
          <w:sz w:val="24"/>
        </w:rPr>
        <w:t>)</w:t>
      </w:r>
      <w:r w:rsidR="007C5678" w:rsidRPr="00514C1E">
        <w:rPr>
          <w:rFonts w:ascii="Times New Roman" w:hAnsi="Times New Roman"/>
          <w:sz w:val="24"/>
        </w:rPr>
        <w:t xml:space="preserve"> </w:t>
      </w:r>
      <w:r w:rsidRPr="00514C1E">
        <w:rPr>
          <w:rFonts w:ascii="Times New Roman" w:hAnsi="Times New Roman"/>
          <w:sz w:val="24"/>
        </w:rPr>
        <w:t>133</w:t>
      </w:r>
      <w:r w:rsidR="007C5678" w:rsidRPr="00514C1E">
        <w:rPr>
          <w:rFonts w:ascii="Times New Roman" w:hAnsi="Times New Roman"/>
          <w:sz w:val="24"/>
        </w:rPr>
        <w:t xml:space="preserve"> </w:t>
      </w:r>
      <w:r w:rsidRPr="00514C1E">
        <w:rPr>
          <w:rFonts w:ascii="Times New Roman" w:hAnsi="Times New Roman"/>
          <w:sz w:val="24"/>
        </w:rPr>
        <w:t>ACSR 1</w:t>
      </w:r>
      <w:r w:rsidR="001E5100" w:rsidRPr="00514C1E">
        <w:rPr>
          <w:rFonts w:ascii="Times New Roman" w:hAnsi="Times New Roman"/>
          <w:sz w:val="24"/>
        </w:rPr>
        <w:t xml:space="preserve"> ("</w:t>
      </w:r>
      <w:r w:rsidR="000D336A" w:rsidRPr="00514C1E">
        <w:rPr>
          <w:rFonts w:ascii="Times New Roman" w:hAnsi="Times New Roman"/>
          <w:i/>
          <w:iCs/>
          <w:sz w:val="24"/>
        </w:rPr>
        <w:t>Re </w:t>
      </w:r>
      <w:r w:rsidR="00EA6C9F" w:rsidRPr="00514C1E">
        <w:rPr>
          <w:rFonts w:ascii="Times New Roman" w:hAnsi="Times New Roman"/>
          <w:i/>
          <w:iCs/>
          <w:sz w:val="24"/>
        </w:rPr>
        <w:t>Westpac</w:t>
      </w:r>
      <w:r w:rsidR="00EA6C9F" w:rsidRPr="00514C1E">
        <w:rPr>
          <w:rFonts w:ascii="Times New Roman" w:hAnsi="Times New Roman"/>
          <w:sz w:val="24"/>
        </w:rPr>
        <w:t>")</w:t>
      </w:r>
      <w:r w:rsidRPr="00514C1E">
        <w:rPr>
          <w:rFonts w:ascii="Times New Roman" w:hAnsi="Times New Roman"/>
          <w:sz w:val="24"/>
        </w:rPr>
        <w:t xml:space="preserve"> </w:t>
      </w:r>
      <w:r w:rsidR="0063194E" w:rsidRPr="00514C1E">
        <w:rPr>
          <w:rFonts w:ascii="Times New Roman" w:hAnsi="Times New Roman"/>
          <w:sz w:val="24"/>
        </w:rPr>
        <w:t>at </w:t>
      </w:r>
      <w:r w:rsidR="006E25B7" w:rsidRPr="00514C1E">
        <w:rPr>
          <w:rFonts w:ascii="Times New Roman" w:hAnsi="Times New Roman"/>
          <w:sz w:val="24"/>
        </w:rPr>
        <w:t>6</w:t>
      </w:r>
      <w:r w:rsidR="00055E21" w:rsidRPr="00514C1E">
        <w:rPr>
          <w:rFonts w:ascii="Times New Roman" w:hAnsi="Times New Roman"/>
          <w:sz w:val="24"/>
        </w:rPr>
        <w:t>5</w:t>
      </w:r>
      <w:r w:rsidR="006E25B7" w:rsidRPr="00514C1E">
        <w:rPr>
          <w:rFonts w:ascii="Times New Roman" w:hAnsi="Times New Roman"/>
          <w:sz w:val="24"/>
        </w:rPr>
        <w:t>-6</w:t>
      </w:r>
      <w:r w:rsidR="00055E21" w:rsidRPr="00514C1E">
        <w:rPr>
          <w:rFonts w:ascii="Times New Roman" w:hAnsi="Times New Roman"/>
          <w:sz w:val="24"/>
        </w:rPr>
        <w:t>6</w:t>
      </w:r>
      <w:r w:rsidR="001E5100" w:rsidRPr="00514C1E">
        <w:rPr>
          <w:rFonts w:ascii="Times New Roman" w:hAnsi="Times New Roman"/>
          <w:sz w:val="24"/>
        </w:rPr>
        <w:t> </w:t>
      </w:r>
      <w:r w:rsidRPr="00514C1E">
        <w:rPr>
          <w:rFonts w:ascii="Times New Roman" w:hAnsi="Times New Roman"/>
          <w:sz w:val="24"/>
        </w:rPr>
        <w:t>[272]</w:t>
      </w:r>
      <w:r w:rsidRPr="00514C1E">
        <w:rPr>
          <w:rFonts w:ascii="Times New Roman" w:hAnsi="Times New Roman"/>
          <w:sz w:val="24"/>
        </w:rPr>
        <w:noBreakHyphen/>
        <w:t xml:space="preserve">[274], </w:t>
      </w:r>
      <w:r w:rsidR="002E6CAA" w:rsidRPr="00514C1E">
        <w:rPr>
          <w:rFonts w:ascii="Times New Roman" w:hAnsi="Times New Roman"/>
          <w:sz w:val="24"/>
        </w:rPr>
        <w:t>66 </w:t>
      </w:r>
      <w:r w:rsidRPr="00514C1E">
        <w:rPr>
          <w:rFonts w:ascii="Times New Roman" w:hAnsi="Times New Roman"/>
          <w:sz w:val="24"/>
        </w:rPr>
        <w:t>[277]</w:t>
      </w:r>
      <w:r w:rsidRPr="00514C1E">
        <w:rPr>
          <w:rFonts w:ascii="Times New Roman" w:hAnsi="Times New Roman"/>
          <w:sz w:val="24"/>
        </w:rPr>
        <w:noBreakHyphen/>
        <w:t>[278],</w:t>
      </w:r>
      <w:r w:rsidR="00C11425" w:rsidRPr="00514C1E">
        <w:rPr>
          <w:rFonts w:ascii="Times New Roman" w:hAnsi="Times New Roman"/>
          <w:sz w:val="24"/>
        </w:rPr>
        <w:t xml:space="preserve"> </w:t>
      </w:r>
      <w:r w:rsidR="00B37C8F" w:rsidRPr="00514C1E">
        <w:rPr>
          <w:rFonts w:ascii="Times New Roman" w:hAnsi="Times New Roman"/>
          <w:sz w:val="24"/>
        </w:rPr>
        <w:t>78</w:t>
      </w:r>
      <w:r w:rsidR="00C11425" w:rsidRPr="00514C1E">
        <w:rPr>
          <w:rFonts w:ascii="Times New Roman" w:hAnsi="Times New Roman"/>
          <w:sz w:val="24"/>
        </w:rPr>
        <w:t> </w:t>
      </w:r>
      <w:r w:rsidRPr="00514C1E">
        <w:rPr>
          <w:rFonts w:ascii="Times New Roman" w:hAnsi="Times New Roman"/>
          <w:sz w:val="24"/>
        </w:rPr>
        <w:t>[366],</w:t>
      </w:r>
      <w:r w:rsidR="00C11425" w:rsidRPr="00514C1E">
        <w:rPr>
          <w:rFonts w:ascii="Times New Roman" w:hAnsi="Times New Roman"/>
          <w:sz w:val="24"/>
        </w:rPr>
        <w:t xml:space="preserve"> 79 </w:t>
      </w:r>
      <w:r w:rsidRPr="00514C1E">
        <w:rPr>
          <w:rFonts w:ascii="Times New Roman" w:hAnsi="Times New Roman"/>
          <w:sz w:val="24"/>
        </w:rPr>
        <w:t>[369]</w:t>
      </w:r>
      <w:r w:rsidRPr="00514C1E">
        <w:rPr>
          <w:rFonts w:ascii="Times New Roman" w:hAnsi="Times New Roman"/>
          <w:sz w:val="24"/>
        </w:rPr>
        <w:noBreakHyphen/>
        <w:t>[372];</w:t>
      </w:r>
      <w:r w:rsidR="00103332" w:rsidRPr="00514C1E">
        <w:rPr>
          <w:rFonts w:ascii="Times New Roman" w:hAnsi="Times New Roman"/>
          <w:sz w:val="24"/>
        </w:rPr>
        <w:t xml:space="preserve"> </w:t>
      </w:r>
      <w:r w:rsidR="00103332" w:rsidRPr="00514C1E">
        <w:rPr>
          <w:rFonts w:ascii="Times New Roman" w:hAnsi="Times New Roman"/>
          <w:i/>
          <w:iCs/>
          <w:sz w:val="24"/>
        </w:rPr>
        <w:t xml:space="preserve">ASIC v Westpac </w:t>
      </w:r>
      <w:r w:rsidR="00103332" w:rsidRPr="00514C1E">
        <w:rPr>
          <w:rFonts w:ascii="Times New Roman" w:hAnsi="Times New Roman"/>
          <w:sz w:val="24"/>
        </w:rPr>
        <w:t>(2019)</w:t>
      </w:r>
      <w:r w:rsidR="00160E71" w:rsidRPr="00514C1E">
        <w:rPr>
          <w:rFonts w:ascii="Times New Roman" w:hAnsi="Times New Roman"/>
          <w:sz w:val="24"/>
        </w:rPr>
        <w:t xml:space="preserve"> 272 FCR 170 at</w:t>
      </w:r>
      <w:r w:rsidR="00700426" w:rsidRPr="00514C1E">
        <w:rPr>
          <w:rFonts w:ascii="Times New Roman" w:hAnsi="Times New Roman"/>
          <w:sz w:val="24"/>
        </w:rPr>
        <w:t> </w:t>
      </w:r>
      <w:r w:rsidR="00160E71" w:rsidRPr="00514C1E">
        <w:rPr>
          <w:rFonts w:ascii="Times New Roman" w:hAnsi="Times New Roman"/>
          <w:sz w:val="24"/>
        </w:rPr>
        <w:t>196</w:t>
      </w:r>
      <w:r w:rsidR="00160E71" w:rsidRPr="00514C1E">
        <w:rPr>
          <w:rFonts w:ascii="Times New Roman" w:hAnsi="Times New Roman"/>
          <w:sz w:val="24"/>
        </w:rPr>
        <w:noBreakHyphen/>
        <w:t>19</w:t>
      </w:r>
      <w:r w:rsidR="00541CDF" w:rsidRPr="00514C1E">
        <w:rPr>
          <w:rFonts w:ascii="Times New Roman" w:hAnsi="Times New Roman"/>
          <w:sz w:val="24"/>
        </w:rPr>
        <w:t>8</w:t>
      </w:r>
      <w:r w:rsidR="00160E71" w:rsidRPr="00514C1E">
        <w:rPr>
          <w:rFonts w:ascii="Times New Roman" w:hAnsi="Times New Roman"/>
          <w:sz w:val="24"/>
        </w:rPr>
        <w:t> [76</w:t>
      </w:r>
      <w:r w:rsidR="00AD5B8C" w:rsidRPr="00514C1E">
        <w:rPr>
          <w:rFonts w:ascii="Times New Roman" w:hAnsi="Times New Roman"/>
          <w:sz w:val="24"/>
        </w:rPr>
        <w:t>]</w:t>
      </w:r>
      <w:r w:rsidR="00160E71" w:rsidRPr="00514C1E">
        <w:rPr>
          <w:rFonts w:ascii="Times New Roman" w:hAnsi="Times New Roman"/>
          <w:sz w:val="24"/>
        </w:rPr>
        <w:noBreakHyphen/>
        <w:t>[80], 232</w:t>
      </w:r>
      <w:r w:rsidR="00160E71" w:rsidRPr="00514C1E">
        <w:rPr>
          <w:rFonts w:ascii="Times New Roman" w:hAnsi="Times New Roman"/>
          <w:sz w:val="24"/>
        </w:rPr>
        <w:noBreakHyphen/>
        <w:t>233 [268</w:t>
      </w:r>
      <w:r w:rsidR="00755E66" w:rsidRPr="00514C1E">
        <w:rPr>
          <w:rFonts w:ascii="Times New Roman" w:hAnsi="Times New Roman"/>
          <w:sz w:val="24"/>
        </w:rPr>
        <w:t>]</w:t>
      </w:r>
      <w:r w:rsidR="00160E71" w:rsidRPr="00514C1E">
        <w:rPr>
          <w:rFonts w:ascii="Times New Roman" w:hAnsi="Times New Roman"/>
          <w:sz w:val="24"/>
        </w:rPr>
        <w:noBreakHyphen/>
        <w:t>[274], 260</w:t>
      </w:r>
      <w:r w:rsidR="00160E71" w:rsidRPr="00514C1E">
        <w:rPr>
          <w:rFonts w:ascii="Times New Roman" w:hAnsi="Times New Roman"/>
          <w:sz w:val="24"/>
        </w:rPr>
        <w:noBreakHyphen/>
        <w:t>261 [392</w:t>
      </w:r>
      <w:r w:rsidR="001E4130" w:rsidRPr="00514C1E">
        <w:rPr>
          <w:rFonts w:ascii="Times New Roman" w:hAnsi="Times New Roman"/>
          <w:sz w:val="24"/>
        </w:rPr>
        <w:t>].</w:t>
      </w:r>
    </w:p>
  </w:footnote>
  <w:footnote w:id="5">
    <w:p w14:paraId="7D75C137" w14:textId="6AC7AA09" w:rsidR="008B17C9" w:rsidRPr="00514C1E" w:rsidRDefault="008B17C9"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AD5B8C" w:rsidRPr="00514C1E">
        <w:rPr>
          <w:rFonts w:ascii="Times New Roman" w:hAnsi="Times New Roman"/>
          <w:i/>
          <w:iCs/>
          <w:sz w:val="24"/>
        </w:rPr>
        <w:t>Re </w:t>
      </w:r>
      <w:r w:rsidRPr="00514C1E">
        <w:rPr>
          <w:rFonts w:ascii="Times New Roman" w:hAnsi="Times New Roman"/>
          <w:i/>
          <w:iCs/>
          <w:sz w:val="24"/>
        </w:rPr>
        <w:t>Westpac</w:t>
      </w:r>
      <w:r w:rsidRPr="00514C1E">
        <w:rPr>
          <w:rFonts w:ascii="Times New Roman" w:hAnsi="Times New Roman"/>
          <w:sz w:val="24"/>
        </w:rPr>
        <w:t xml:space="preserve"> (201</w:t>
      </w:r>
      <w:r w:rsidR="000206DE">
        <w:rPr>
          <w:rFonts w:ascii="Times New Roman" w:hAnsi="Times New Roman"/>
          <w:sz w:val="24"/>
        </w:rPr>
        <w:t>8</w:t>
      </w:r>
      <w:r w:rsidRPr="00514C1E">
        <w:rPr>
          <w:rFonts w:ascii="Times New Roman" w:hAnsi="Times New Roman"/>
          <w:sz w:val="24"/>
        </w:rPr>
        <w:t>) 133 ACSR</w:t>
      </w:r>
      <w:r w:rsidR="00836E27" w:rsidRPr="00514C1E">
        <w:rPr>
          <w:rFonts w:ascii="Times New Roman" w:hAnsi="Times New Roman"/>
          <w:sz w:val="24"/>
        </w:rPr>
        <w:t xml:space="preserve"> 1</w:t>
      </w:r>
      <w:r w:rsidRPr="00514C1E">
        <w:rPr>
          <w:rFonts w:ascii="Times New Roman" w:hAnsi="Times New Roman"/>
          <w:sz w:val="24"/>
        </w:rPr>
        <w:t xml:space="preserve"> at</w:t>
      </w:r>
      <w:r w:rsidR="001F13F0" w:rsidRPr="00514C1E">
        <w:rPr>
          <w:rFonts w:ascii="Times New Roman" w:hAnsi="Times New Roman"/>
          <w:sz w:val="24"/>
        </w:rPr>
        <w:t> 84</w:t>
      </w:r>
      <w:r w:rsidRPr="00514C1E">
        <w:rPr>
          <w:rFonts w:ascii="Times New Roman" w:hAnsi="Times New Roman"/>
          <w:sz w:val="24"/>
        </w:rPr>
        <w:t> [395].</w:t>
      </w:r>
    </w:p>
  </w:footnote>
  <w:footnote w:id="6">
    <w:p w14:paraId="29824980" w14:textId="241CD65D" w:rsidR="008B17C9" w:rsidRPr="00514C1E" w:rsidRDefault="008B17C9"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AD5B8C" w:rsidRPr="00514C1E">
        <w:rPr>
          <w:rFonts w:ascii="Times New Roman" w:hAnsi="Times New Roman"/>
          <w:i/>
          <w:iCs/>
          <w:sz w:val="24"/>
        </w:rPr>
        <w:t>Re </w:t>
      </w:r>
      <w:r w:rsidRPr="00514C1E">
        <w:rPr>
          <w:rFonts w:ascii="Times New Roman" w:hAnsi="Times New Roman"/>
          <w:i/>
          <w:iCs/>
          <w:sz w:val="24"/>
        </w:rPr>
        <w:t>Westpac</w:t>
      </w:r>
      <w:r w:rsidRPr="00514C1E">
        <w:rPr>
          <w:rFonts w:ascii="Times New Roman" w:hAnsi="Times New Roman"/>
          <w:sz w:val="24"/>
        </w:rPr>
        <w:t xml:space="preserve"> (201</w:t>
      </w:r>
      <w:r w:rsidR="000206DE">
        <w:rPr>
          <w:rFonts w:ascii="Times New Roman" w:hAnsi="Times New Roman"/>
          <w:sz w:val="24"/>
        </w:rPr>
        <w:t>8</w:t>
      </w:r>
      <w:r w:rsidRPr="00514C1E">
        <w:rPr>
          <w:rFonts w:ascii="Times New Roman" w:hAnsi="Times New Roman"/>
          <w:sz w:val="24"/>
        </w:rPr>
        <w:t xml:space="preserve">) 133 ACSR </w:t>
      </w:r>
      <w:r w:rsidR="00836E27" w:rsidRPr="00514C1E">
        <w:rPr>
          <w:rFonts w:ascii="Times New Roman" w:hAnsi="Times New Roman"/>
          <w:sz w:val="24"/>
        </w:rPr>
        <w:t xml:space="preserve">1 </w:t>
      </w:r>
      <w:r w:rsidRPr="00514C1E">
        <w:rPr>
          <w:rFonts w:ascii="Times New Roman" w:hAnsi="Times New Roman"/>
          <w:sz w:val="24"/>
        </w:rPr>
        <w:t>at</w:t>
      </w:r>
      <w:r w:rsidR="00EC7C21" w:rsidRPr="00514C1E">
        <w:rPr>
          <w:rFonts w:ascii="Times New Roman" w:hAnsi="Times New Roman"/>
          <w:sz w:val="24"/>
        </w:rPr>
        <w:t> </w:t>
      </w:r>
      <w:r w:rsidR="00B93104" w:rsidRPr="00514C1E">
        <w:rPr>
          <w:rFonts w:ascii="Times New Roman" w:hAnsi="Times New Roman"/>
          <w:sz w:val="24"/>
        </w:rPr>
        <w:t>36</w:t>
      </w:r>
      <w:r w:rsidR="00B93104" w:rsidRPr="00514C1E">
        <w:rPr>
          <w:rFonts w:ascii="Times New Roman" w:hAnsi="Times New Roman"/>
          <w:sz w:val="24"/>
        </w:rPr>
        <w:noBreakHyphen/>
        <w:t>37 </w:t>
      </w:r>
      <w:r w:rsidRPr="00514C1E">
        <w:rPr>
          <w:rFonts w:ascii="Times New Roman" w:hAnsi="Times New Roman"/>
          <w:sz w:val="24"/>
        </w:rPr>
        <w:t xml:space="preserve">[148], </w:t>
      </w:r>
      <w:r w:rsidR="00B80812" w:rsidRPr="00514C1E">
        <w:rPr>
          <w:rFonts w:ascii="Times New Roman" w:hAnsi="Times New Roman"/>
          <w:sz w:val="24"/>
        </w:rPr>
        <w:t>38 </w:t>
      </w:r>
      <w:r w:rsidRPr="00514C1E">
        <w:rPr>
          <w:rFonts w:ascii="Times New Roman" w:hAnsi="Times New Roman"/>
          <w:sz w:val="24"/>
        </w:rPr>
        <w:t>[158]</w:t>
      </w:r>
      <w:r w:rsidR="000C48B0" w:rsidRPr="00514C1E">
        <w:rPr>
          <w:rFonts w:ascii="Times New Roman" w:hAnsi="Times New Roman"/>
          <w:sz w:val="24"/>
        </w:rPr>
        <w:t xml:space="preserve">, </w:t>
      </w:r>
      <w:r w:rsidR="00B80812" w:rsidRPr="00514C1E">
        <w:rPr>
          <w:rFonts w:ascii="Times New Roman" w:hAnsi="Times New Roman"/>
          <w:sz w:val="24"/>
        </w:rPr>
        <w:t>83 </w:t>
      </w:r>
      <w:r w:rsidR="000C48B0" w:rsidRPr="00514C1E">
        <w:rPr>
          <w:rFonts w:ascii="Times New Roman" w:hAnsi="Times New Roman"/>
          <w:sz w:val="24"/>
        </w:rPr>
        <w:t>[394]</w:t>
      </w:r>
      <w:r w:rsidRPr="00514C1E">
        <w:rPr>
          <w:rFonts w:ascii="Times New Roman" w:hAnsi="Times New Roman"/>
          <w:sz w:val="24"/>
        </w:rPr>
        <w:t>.</w:t>
      </w:r>
    </w:p>
  </w:footnote>
  <w:footnote w:id="7">
    <w:p w14:paraId="10F6AC40" w14:textId="39751809" w:rsidR="0024096B" w:rsidRPr="00514C1E" w:rsidRDefault="0024096B"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AD5B8C" w:rsidRPr="00514C1E">
        <w:rPr>
          <w:rFonts w:ascii="Times New Roman" w:hAnsi="Times New Roman"/>
          <w:i/>
          <w:sz w:val="24"/>
        </w:rPr>
        <w:t>Re </w:t>
      </w:r>
      <w:r w:rsidRPr="00514C1E">
        <w:rPr>
          <w:rFonts w:ascii="Times New Roman" w:hAnsi="Times New Roman"/>
          <w:i/>
          <w:sz w:val="24"/>
        </w:rPr>
        <w:t>Westpac</w:t>
      </w:r>
      <w:r w:rsidR="00AF144E" w:rsidRPr="00514C1E">
        <w:rPr>
          <w:rFonts w:ascii="Times New Roman" w:hAnsi="Times New Roman"/>
          <w:sz w:val="24"/>
        </w:rPr>
        <w:t xml:space="preserve"> (201</w:t>
      </w:r>
      <w:r w:rsidR="000206DE">
        <w:rPr>
          <w:rFonts w:ascii="Times New Roman" w:hAnsi="Times New Roman"/>
          <w:sz w:val="24"/>
        </w:rPr>
        <w:t>8</w:t>
      </w:r>
      <w:r w:rsidR="00AF144E" w:rsidRPr="00514C1E">
        <w:rPr>
          <w:rFonts w:ascii="Times New Roman" w:hAnsi="Times New Roman"/>
          <w:sz w:val="24"/>
        </w:rPr>
        <w:t>) 133 ACSR 1 at</w:t>
      </w:r>
      <w:r w:rsidR="00EC7C21" w:rsidRPr="00514C1E">
        <w:rPr>
          <w:rFonts w:ascii="Times New Roman" w:hAnsi="Times New Roman"/>
          <w:sz w:val="24"/>
        </w:rPr>
        <w:t> </w:t>
      </w:r>
      <w:r w:rsidR="00F5198C" w:rsidRPr="00514C1E">
        <w:rPr>
          <w:rFonts w:ascii="Times New Roman" w:hAnsi="Times New Roman"/>
          <w:sz w:val="24"/>
        </w:rPr>
        <w:t>83</w:t>
      </w:r>
      <w:r w:rsidR="008B00C2" w:rsidRPr="00514C1E">
        <w:rPr>
          <w:rFonts w:ascii="Times New Roman" w:hAnsi="Times New Roman"/>
          <w:sz w:val="24"/>
        </w:rPr>
        <w:t> </w:t>
      </w:r>
      <w:r w:rsidR="00AF144E" w:rsidRPr="00514C1E">
        <w:rPr>
          <w:rFonts w:ascii="Times New Roman" w:hAnsi="Times New Roman"/>
          <w:sz w:val="24"/>
        </w:rPr>
        <w:t>[394].</w:t>
      </w:r>
    </w:p>
  </w:footnote>
  <w:footnote w:id="8">
    <w:p w14:paraId="064A8A59" w14:textId="00206915" w:rsidR="008B17C9" w:rsidRPr="00514C1E" w:rsidRDefault="008B17C9"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AD5B8C" w:rsidRPr="00514C1E">
        <w:rPr>
          <w:rFonts w:ascii="Times New Roman" w:hAnsi="Times New Roman"/>
          <w:i/>
          <w:iCs/>
          <w:sz w:val="24"/>
        </w:rPr>
        <w:t>Re </w:t>
      </w:r>
      <w:r w:rsidRPr="00514C1E">
        <w:rPr>
          <w:rFonts w:ascii="Times New Roman" w:hAnsi="Times New Roman"/>
          <w:i/>
          <w:iCs/>
          <w:sz w:val="24"/>
        </w:rPr>
        <w:t>Westpac</w:t>
      </w:r>
      <w:r w:rsidR="000A0A48" w:rsidRPr="00514C1E">
        <w:rPr>
          <w:rFonts w:ascii="Times New Roman" w:hAnsi="Times New Roman"/>
          <w:sz w:val="24"/>
        </w:rPr>
        <w:t xml:space="preserve"> (201</w:t>
      </w:r>
      <w:r w:rsidR="000206DE">
        <w:rPr>
          <w:rFonts w:ascii="Times New Roman" w:hAnsi="Times New Roman"/>
          <w:sz w:val="24"/>
        </w:rPr>
        <w:t>8</w:t>
      </w:r>
      <w:r w:rsidR="000A0A48" w:rsidRPr="00514C1E">
        <w:rPr>
          <w:rFonts w:ascii="Times New Roman" w:hAnsi="Times New Roman"/>
          <w:sz w:val="24"/>
        </w:rPr>
        <w:t>) 133 ACSR 1</w:t>
      </w:r>
      <w:r w:rsidR="006E2AD7" w:rsidRPr="00514C1E">
        <w:rPr>
          <w:rFonts w:ascii="Times New Roman" w:hAnsi="Times New Roman"/>
          <w:sz w:val="24"/>
        </w:rPr>
        <w:t xml:space="preserve"> </w:t>
      </w:r>
      <w:r w:rsidRPr="00514C1E">
        <w:rPr>
          <w:rFonts w:ascii="Times New Roman" w:hAnsi="Times New Roman"/>
          <w:sz w:val="24"/>
        </w:rPr>
        <w:t>at</w:t>
      </w:r>
      <w:r w:rsidR="00EC7C21" w:rsidRPr="00514C1E">
        <w:rPr>
          <w:rFonts w:ascii="Times New Roman" w:hAnsi="Times New Roman"/>
          <w:sz w:val="24"/>
        </w:rPr>
        <w:t> </w:t>
      </w:r>
      <w:r w:rsidR="009619DA" w:rsidRPr="00514C1E">
        <w:rPr>
          <w:rFonts w:ascii="Times New Roman" w:hAnsi="Times New Roman"/>
          <w:sz w:val="24"/>
        </w:rPr>
        <w:t>8</w:t>
      </w:r>
      <w:r w:rsidR="006E2AD7" w:rsidRPr="00514C1E">
        <w:rPr>
          <w:rFonts w:ascii="Times New Roman" w:hAnsi="Times New Roman"/>
          <w:sz w:val="24"/>
        </w:rPr>
        <w:t>3 </w:t>
      </w:r>
      <w:r w:rsidRPr="00514C1E">
        <w:rPr>
          <w:rFonts w:ascii="Times New Roman" w:hAnsi="Times New Roman"/>
          <w:sz w:val="24"/>
        </w:rPr>
        <w:t>[394].</w:t>
      </w:r>
    </w:p>
  </w:footnote>
  <w:footnote w:id="9">
    <w:p w14:paraId="74AA1973" w14:textId="28172273" w:rsidR="008B17C9" w:rsidRPr="00514C1E" w:rsidRDefault="008B17C9"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4D776A" w:rsidRPr="00514C1E">
        <w:rPr>
          <w:rFonts w:ascii="Times New Roman" w:hAnsi="Times New Roman"/>
          <w:i/>
          <w:iCs/>
          <w:sz w:val="24"/>
        </w:rPr>
        <w:t>Re </w:t>
      </w:r>
      <w:r w:rsidRPr="00514C1E">
        <w:rPr>
          <w:rFonts w:ascii="Times New Roman" w:hAnsi="Times New Roman"/>
          <w:i/>
          <w:iCs/>
          <w:sz w:val="24"/>
        </w:rPr>
        <w:t xml:space="preserve">Westpac </w:t>
      </w:r>
      <w:r w:rsidRPr="00514C1E">
        <w:rPr>
          <w:rFonts w:ascii="Times New Roman" w:hAnsi="Times New Roman"/>
          <w:sz w:val="24"/>
        </w:rPr>
        <w:t>(201</w:t>
      </w:r>
      <w:r w:rsidR="000206DE">
        <w:rPr>
          <w:rFonts w:ascii="Times New Roman" w:hAnsi="Times New Roman"/>
          <w:sz w:val="24"/>
        </w:rPr>
        <w:t>8</w:t>
      </w:r>
      <w:r w:rsidRPr="00514C1E">
        <w:rPr>
          <w:rFonts w:ascii="Times New Roman" w:hAnsi="Times New Roman"/>
          <w:sz w:val="24"/>
        </w:rPr>
        <w:t>) 133 ACSR</w:t>
      </w:r>
      <w:r w:rsidR="00D9711E" w:rsidRPr="00514C1E">
        <w:rPr>
          <w:rFonts w:ascii="Times New Roman" w:hAnsi="Times New Roman"/>
          <w:sz w:val="24"/>
        </w:rPr>
        <w:t> </w:t>
      </w:r>
      <w:r w:rsidR="002C4DD2" w:rsidRPr="00514C1E">
        <w:rPr>
          <w:rFonts w:ascii="Times New Roman" w:hAnsi="Times New Roman"/>
          <w:sz w:val="24"/>
        </w:rPr>
        <w:t>1</w:t>
      </w:r>
      <w:r w:rsidR="004D776A" w:rsidRPr="00514C1E">
        <w:rPr>
          <w:rFonts w:ascii="Times New Roman" w:hAnsi="Times New Roman"/>
          <w:sz w:val="24"/>
        </w:rPr>
        <w:t xml:space="preserve"> </w:t>
      </w:r>
      <w:r w:rsidRPr="00514C1E">
        <w:rPr>
          <w:rFonts w:ascii="Times New Roman" w:hAnsi="Times New Roman"/>
          <w:sz w:val="24"/>
        </w:rPr>
        <w:t>at </w:t>
      </w:r>
      <w:r w:rsidR="0021786F" w:rsidRPr="00514C1E">
        <w:rPr>
          <w:rFonts w:ascii="Times New Roman" w:hAnsi="Times New Roman"/>
          <w:sz w:val="24"/>
        </w:rPr>
        <w:t>80</w:t>
      </w:r>
      <w:r w:rsidR="0021786F" w:rsidRPr="00514C1E">
        <w:rPr>
          <w:rFonts w:ascii="Times New Roman" w:hAnsi="Times New Roman"/>
          <w:sz w:val="24"/>
        </w:rPr>
        <w:noBreakHyphen/>
        <w:t>81 </w:t>
      </w:r>
      <w:r w:rsidRPr="00514C1E">
        <w:rPr>
          <w:rFonts w:ascii="Times New Roman" w:hAnsi="Times New Roman"/>
          <w:sz w:val="24"/>
        </w:rPr>
        <w:t>[380]</w:t>
      </w:r>
      <w:r w:rsidRPr="00514C1E">
        <w:rPr>
          <w:rFonts w:ascii="Times New Roman" w:hAnsi="Times New Roman"/>
          <w:sz w:val="24"/>
        </w:rPr>
        <w:noBreakHyphen/>
        <w:t>[382</w:t>
      </w:r>
      <w:r w:rsidR="00836E27" w:rsidRPr="00514C1E">
        <w:rPr>
          <w:rFonts w:ascii="Times New Roman" w:hAnsi="Times New Roman"/>
          <w:sz w:val="24"/>
        </w:rPr>
        <w:t>]</w:t>
      </w:r>
      <w:r w:rsidRPr="00514C1E">
        <w:rPr>
          <w:rFonts w:ascii="Times New Roman" w:hAnsi="Times New Roman"/>
          <w:sz w:val="24"/>
        </w:rPr>
        <w:t>.</w:t>
      </w:r>
    </w:p>
  </w:footnote>
  <w:footnote w:id="10">
    <w:p w14:paraId="3C9F358E" w14:textId="5599B2EB" w:rsidR="008B17C9" w:rsidRPr="00514C1E" w:rsidRDefault="008B17C9"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4D776A" w:rsidRPr="00514C1E">
        <w:rPr>
          <w:rFonts w:ascii="Times New Roman" w:hAnsi="Times New Roman"/>
          <w:i/>
          <w:iCs/>
          <w:sz w:val="24"/>
        </w:rPr>
        <w:t>Re </w:t>
      </w:r>
      <w:r w:rsidRPr="00514C1E">
        <w:rPr>
          <w:rFonts w:ascii="Times New Roman" w:hAnsi="Times New Roman"/>
          <w:i/>
          <w:iCs/>
          <w:sz w:val="24"/>
        </w:rPr>
        <w:t>Westpac</w:t>
      </w:r>
      <w:r w:rsidRPr="00514C1E">
        <w:rPr>
          <w:rFonts w:ascii="Times New Roman" w:hAnsi="Times New Roman"/>
          <w:sz w:val="24"/>
        </w:rPr>
        <w:t xml:space="preserve"> (201</w:t>
      </w:r>
      <w:r w:rsidR="000206DE">
        <w:rPr>
          <w:rFonts w:ascii="Times New Roman" w:hAnsi="Times New Roman"/>
          <w:sz w:val="24"/>
        </w:rPr>
        <w:t>8</w:t>
      </w:r>
      <w:r w:rsidRPr="00514C1E">
        <w:rPr>
          <w:rFonts w:ascii="Times New Roman" w:hAnsi="Times New Roman"/>
          <w:sz w:val="24"/>
        </w:rPr>
        <w:t>) 133 ACSR</w:t>
      </w:r>
      <w:r w:rsidR="00EC7C21" w:rsidRPr="00514C1E">
        <w:rPr>
          <w:rFonts w:ascii="Times New Roman" w:hAnsi="Times New Roman"/>
          <w:sz w:val="24"/>
        </w:rPr>
        <w:t> </w:t>
      </w:r>
      <w:r w:rsidR="00D9711E" w:rsidRPr="00514C1E">
        <w:rPr>
          <w:rFonts w:ascii="Times New Roman" w:hAnsi="Times New Roman"/>
          <w:sz w:val="24"/>
        </w:rPr>
        <w:t>1</w:t>
      </w:r>
      <w:r w:rsidRPr="00514C1E">
        <w:rPr>
          <w:rFonts w:ascii="Times New Roman" w:hAnsi="Times New Roman"/>
          <w:sz w:val="24"/>
        </w:rPr>
        <w:t xml:space="preserve"> at </w:t>
      </w:r>
      <w:r w:rsidR="0021786F" w:rsidRPr="00514C1E">
        <w:rPr>
          <w:rFonts w:ascii="Times New Roman" w:hAnsi="Times New Roman"/>
          <w:sz w:val="24"/>
        </w:rPr>
        <w:t>38 </w:t>
      </w:r>
      <w:r w:rsidRPr="00514C1E">
        <w:rPr>
          <w:rFonts w:ascii="Times New Roman" w:hAnsi="Times New Roman"/>
          <w:sz w:val="24"/>
        </w:rPr>
        <w:t>[158]</w:t>
      </w:r>
      <w:r w:rsidR="005C521A" w:rsidRPr="00514C1E">
        <w:rPr>
          <w:rFonts w:ascii="Times New Roman" w:hAnsi="Times New Roman"/>
          <w:sz w:val="24"/>
        </w:rPr>
        <w:t>.</w:t>
      </w:r>
    </w:p>
  </w:footnote>
  <w:footnote w:id="11">
    <w:p w14:paraId="52740A13" w14:textId="77777777" w:rsidR="00157B64" w:rsidRPr="00514C1E" w:rsidRDefault="00157B64"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Pr="00514C1E">
        <w:rPr>
          <w:rFonts w:ascii="Times New Roman" w:hAnsi="Times New Roman"/>
          <w:i/>
          <w:iCs/>
          <w:sz w:val="24"/>
        </w:rPr>
        <w:t>Australian Competition and Consumer Commission v TPG Internet Pty Ltd</w:t>
      </w:r>
      <w:r w:rsidRPr="00514C1E">
        <w:rPr>
          <w:rFonts w:ascii="Times New Roman" w:hAnsi="Times New Roman"/>
          <w:sz w:val="24"/>
        </w:rPr>
        <w:t xml:space="preserve"> (2013) 250 CLR 640 at 654</w:t>
      </w:r>
      <w:r w:rsidRPr="00514C1E">
        <w:rPr>
          <w:rFonts w:ascii="Times New Roman" w:hAnsi="Times New Roman"/>
          <w:sz w:val="24"/>
        </w:rPr>
        <w:noBreakHyphen/>
        <w:t>655 [47]</w:t>
      </w:r>
      <w:r w:rsidRPr="00514C1E">
        <w:rPr>
          <w:rFonts w:ascii="Times New Roman" w:hAnsi="Times New Roman"/>
          <w:sz w:val="24"/>
        </w:rPr>
        <w:noBreakHyphen/>
        <w:t>[48].</w:t>
      </w:r>
    </w:p>
  </w:footnote>
  <w:footnote w:id="12">
    <w:p w14:paraId="07DB5E61" w14:textId="5400B395" w:rsidR="00047B6F" w:rsidRPr="00514C1E" w:rsidRDefault="00047B6F"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Pr="00514C1E">
        <w:rPr>
          <w:rFonts w:ascii="Times New Roman" w:hAnsi="Times New Roman"/>
          <w:i/>
          <w:iCs/>
          <w:sz w:val="24"/>
        </w:rPr>
        <w:t>Australian Competition and Consumer Commission v TPG Internet Pty Ltd</w:t>
      </w:r>
      <w:r w:rsidRPr="00514C1E">
        <w:rPr>
          <w:rFonts w:ascii="Times New Roman" w:hAnsi="Times New Roman"/>
          <w:sz w:val="24"/>
        </w:rPr>
        <w:t xml:space="preserve"> (2013) 250 CLR 640 at 657 [55]</w:t>
      </w:r>
      <w:r w:rsidRPr="00514C1E">
        <w:rPr>
          <w:rFonts w:ascii="Times New Roman" w:hAnsi="Times New Roman"/>
          <w:sz w:val="24"/>
        </w:rPr>
        <w:noBreakHyphen/>
        <w:t xml:space="preserve">[56]; </w:t>
      </w:r>
      <w:r w:rsidRPr="00514C1E">
        <w:rPr>
          <w:rFonts w:ascii="Times New Roman" w:hAnsi="Times New Roman"/>
          <w:i/>
          <w:iCs/>
          <w:sz w:val="24"/>
        </w:rPr>
        <w:t>Gould v </w:t>
      </w:r>
      <w:proofErr w:type="spellStart"/>
      <w:r w:rsidRPr="00514C1E">
        <w:rPr>
          <w:rFonts w:ascii="Times New Roman" w:hAnsi="Times New Roman"/>
          <w:i/>
          <w:iCs/>
          <w:sz w:val="24"/>
        </w:rPr>
        <w:t>Vaggelas</w:t>
      </w:r>
      <w:proofErr w:type="spellEnd"/>
      <w:r w:rsidRPr="00514C1E">
        <w:rPr>
          <w:rFonts w:ascii="Times New Roman" w:hAnsi="Times New Roman"/>
          <w:sz w:val="24"/>
        </w:rPr>
        <w:t xml:space="preserve"> (1984) 157 CLR 215 at 219, 237</w:t>
      </w:r>
      <w:r w:rsidRPr="00514C1E">
        <w:rPr>
          <w:rFonts w:ascii="Times New Roman" w:hAnsi="Times New Roman"/>
          <w:sz w:val="24"/>
        </w:rPr>
        <w:noBreakHyphen/>
        <w:t>238, 250</w:t>
      </w:r>
      <w:r w:rsidRPr="00514C1E">
        <w:rPr>
          <w:rFonts w:ascii="Times New Roman" w:hAnsi="Times New Roman"/>
          <w:sz w:val="24"/>
        </w:rPr>
        <w:noBreakHyphen/>
        <w:t>252, 262.</w:t>
      </w:r>
    </w:p>
  </w:footnote>
  <w:footnote w:id="13">
    <w:p w14:paraId="4F9453BF" w14:textId="39F6430E" w:rsidR="00992F1E" w:rsidRPr="00514C1E" w:rsidRDefault="00992F1E"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t xml:space="preserve">See </w:t>
      </w:r>
      <w:r w:rsidRPr="00514C1E">
        <w:rPr>
          <w:rFonts w:ascii="Times New Roman" w:hAnsi="Times New Roman"/>
          <w:i/>
          <w:iCs/>
          <w:sz w:val="24"/>
        </w:rPr>
        <w:t xml:space="preserve">ASIC v Westpac </w:t>
      </w:r>
      <w:r w:rsidRPr="00514C1E">
        <w:rPr>
          <w:rFonts w:ascii="Times New Roman" w:hAnsi="Times New Roman"/>
          <w:sz w:val="24"/>
        </w:rPr>
        <w:t xml:space="preserve">(2019) </w:t>
      </w:r>
      <w:r w:rsidR="006F29BC" w:rsidRPr="00514C1E">
        <w:rPr>
          <w:rFonts w:ascii="Times New Roman" w:hAnsi="Times New Roman"/>
          <w:sz w:val="24"/>
        </w:rPr>
        <w:t>272 FCR 170 at</w:t>
      </w:r>
      <w:r w:rsidR="00EC7C21" w:rsidRPr="00514C1E">
        <w:rPr>
          <w:rFonts w:ascii="Times New Roman" w:hAnsi="Times New Roman"/>
          <w:sz w:val="24"/>
        </w:rPr>
        <w:t> </w:t>
      </w:r>
      <w:r w:rsidR="006F29BC" w:rsidRPr="00514C1E">
        <w:rPr>
          <w:rFonts w:ascii="Times New Roman" w:hAnsi="Times New Roman"/>
          <w:sz w:val="24"/>
        </w:rPr>
        <w:t>179</w:t>
      </w:r>
      <w:r w:rsidR="006F29BC" w:rsidRPr="00514C1E">
        <w:rPr>
          <w:rFonts w:ascii="Times New Roman" w:hAnsi="Times New Roman"/>
          <w:sz w:val="24"/>
        </w:rPr>
        <w:noBreakHyphen/>
        <w:t>180 [25], 227 [247], 256</w:t>
      </w:r>
      <w:r w:rsidR="006F29BC" w:rsidRPr="00514C1E">
        <w:rPr>
          <w:rFonts w:ascii="Times New Roman" w:hAnsi="Times New Roman"/>
          <w:sz w:val="24"/>
        </w:rPr>
        <w:noBreakHyphen/>
        <w:t>257 [373]</w:t>
      </w:r>
      <w:r w:rsidR="006F29BC" w:rsidRPr="00514C1E">
        <w:rPr>
          <w:rFonts w:ascii="Times New Roman" w:hAnsi="Times New Roman"/>
          <w:sz w:val="24"/>
        </w:rPr>
        <w:noBreakHyphen/>
        <w:t>[375].</w:t>
      </w:r>
    </w:p>
  </w:footnote>
  <w:footnote w:id="14">
    <w:p w14:paraId="28C1E8CB" w14:textId="1BBA4630" w:rsidR="00F4358E" w:rsidRPr="00514C1E" w:rsidRDefault="00F4358E" w:rsidP="00514C1E">
      <w:pPr>
        <w:pStyle w:val="FootnoteText"/>
        <w:spacing w:line="280" w:lineRule="exact"/>
        <w:ind w:right="0"/>
        <w:jc w:val="both"/>
        <w:rPr>
          <w:rFonts w:ascii="Times New Roman" w:hAnsi="Times New Roman"/>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r>
      <w:r w:rsidR="00A06BB1" w:rsidRPr="00514C1E">
        <w:rPr>
          <w:rFonts w:ascii="Times New Roman" w:hAnsi="Times New Roman"/>
          <w:i/>
          <w:iCs/>
          <w:sz w:val="24"/>
        </w:rPr>
        <w:t>Re </w:t>
      </w:r>
      <w:r w:rsidRPr="00514C1E">
        <w:rPr>
          <w:rFonts w:ascii="Times New Roman" w:hAnsi="Times New Roman"/>
          <w:i/>
          <w:iCs/>
          <w:sz w:val="24"/>
        </w:rPr>
        <w:t>Westpac</w:t>
      </w:r>
      <w:r w:rsidRPr="00514C1E">
        <w:rPr>
          <w:rFonts w:ascii="Times New Roman" w:hAnsi="Times New Roman"/>
          <w:sz w:val="24"/>
        </w:rPr>
        <w:t xml:space="preserve"> </w:t>
      </w:r>
      <w:r w:rsidRPr="00514C1E">
        <w:rPr>
          <w:rFonts w:ascii="Times New Roman" w:hAnsi="Times New Roman"/>
          <w:sz w:val="24"/>
        </w:rPr>
        <w:t>(201</w:t>
      </w:r>
      <w:r w:rsidR="000206DE">
        <w:rPr>
          <w:rFonts w:ascii="Times New Roman" w:hAnsi="Times New Roman"/>
          <w:sz w:val="24"/>
        </w:rPr>
        <w:t>8</w:t>
      </w:r>
      <w:bookmarkStart w:id="0" w:name="_GoBack"/>
      <w:bookmarkEnd w:id="0"/>
      <w:r w:rsidRPr="00514C1E">
        <w:rPr>
          <w:rFonts w:ascii="Times New Roman" w:hAnsi="Times New Roman"/>
          <w:sz w:val="24"/>
        </w:rPr>
        <w:t>) 1</w:t>
      </w:r>
      <w:r w:rsidR="00A06BB1" w:rsidRPr="00514C1E">
        <w:rPr>
          <w:rFonts w:ascii="Times New Roman" w:hAnsi="Times New Roman"/>
          <w:sz w:val="24"/>
        </w:rPr>
        <w:t>3</w:t>
      </w:r>
      <w:r w:rsidRPr="00514C1E">
        <w:rPr>
          <w:rFonts w:ascii="Times New Roman" w:hAnsi="Times New Roman"/>
          <w:sz w:val="24"/>
        </w:rPr>
        <w:t>3 ACSR 1 at</w:t>
      </w:r>
      <w:r w:rsidR="00682BAA" w:rsidRPr="00514C1E">
        <w:rPr>
          <w:rFonts w:ascii="Times New Roman" w:hAnsi="Times New Roman"/>
          <w:sz w:val="24"/>
        </w:rPr>
        <w:t> </w:t>
      </w:r>
      <w:r w:rsidR="0058713E" w:rsidRPr="00514C1E">
        <w:rPr>
          <w:rFonts w:ascii="Times New Roman" w:hAnsi="Times New Roman"/>
          <w:sz w:val="24"/>
        </w:rPr>
        <w:t>30</w:t>
      </w:r>
      <w:r w:rsidR="0058713E" w:rsidRPr="00514C1E">
        <w:rPr>
          <w:rFonts w:ascii="Times New Roman" w:hAnsi="Times New Roman"/>
          <w:sz w:val="24"/>
        </w:rPr>
        <w:noBreakHyphen/>
        <w:t>32 </w:t>
      </w:r>
      <w:r w:rsidRPr="00514C1E">
        <w:rPr>
          <w:rFonts w:ascii="Times New Roman" w:hAnsi="Times New Roman"/>
          <w:sz w:val="24"/>
        </w:rPr>
        <w:t>[111]</w:t>
      </w:r>
      <w:r w:rsidRPr="00514C1E">
        <w:rPr>
          <w:rFonts w:ascii="Times New Roman" w:hAnsi="Times New Roman"/>
          <w:sz w:val="24"/>
        </w:rPr>
        <w:noBreakHyphen/>
        <w:t>[119]</w:t>
      </w:r>
      <w:r w:rsidR="00A22DD9" w:rsidRPr="00514C1E">
        <w:rPr>
          <w:rFonts w:ascii="Times New Roman" w:hAnsi="Times New Roman"/>
          <w:sz w:val="24"/>
        </w:rPr>
        <w:t xml:space="preserve">; </w:t>
      </w:r>
      <w:r w:rsidR="00A22DD9" w:rsidRPr="00514C1E">
        <w:rPr>
          <w:rFonts w:ascii="Times New Roman" w:hAnsi="Times New Roman"/>
          <w:i/>
          <w:iCs/>
          <w:sz w:val="24"/>
        </w:rPr>
        <w:t>ASIC v Westpac</w:t>
      </w:r>
      <w:r w:rsidR="00A22DD9" w:rsidRPr="00514C1E">
        <w:rPr>
          <w:rFonts w:ascii="Times New Roman" w:hAnsi="Times New Roman"/>
          <w:sz w:val="24"/>
        </w:rPr>
        <w:t xml:space="preserve"> </w:t>
      </w:r>
      <w:r w:rsidR="00426286" w:rsidRPr="00514C1E">
        <w:rPr>
          <w:rFonts w:ascii="Times New Roman" w:hAnsi="Times New Roman"/>
          <w:sz w:val="24"/>
        </w:rPr>
        <w:t>(2019</w:t>
      </w:r>
      <w:r w:rsidR="00D900B7" w:rsidRPr="00514C1E">
        <w:rPr>
          <w:rFonts w:ascii="Times New Roman" w:hAnsi="Times New Roman"/>
          <w:sz w:val="24"/>
        </w:rPr>
        <w:t>) 272 FCR 170 at 180</w:t>
      </w:r>
      <w:r w:rsidR="00D900B7" w:rsidRPr="00514C1E">
        <w:rPr>
          <w:rFonts w:ascii="Times New Roman" w:hAnsi="Times New Roman"/>
          <w:sz w:val="24"/>
        </w:rPr>
        <w:noBreakHyphen/>
        <w:t>18</w:t>
      </w:r>
      <w:r w:rsidR="00081A61" w:rsidRPr="00514C1E">
        <w:rPr>
          <w:rFonts w:ascii="Times New Roman" w:hAnsi="Times New Roman"/>
          <w:sz w:val="24"/>
        </w:rPr>
        <w:t xml:space="preserve">1 </w:t>
      </w:r>
      <w:r w:rsidR="00D900B7" w:rsidRPr="00514C1E">
        <w:rPr>
          <w:rFonts w:ascii="Times New Roman" w:hAnsi="Times New Roman"/>
          <w:sz w:val="24"/>
        </w:rPr>
        <w:t>[27]</w:t>
      </w:r>
      <w:r w:rsidR="00D900B7" w:rsidRPr="00514C1E">
        <w:rPr>
          <w:rFonts w:ascii="Times New Roman" w:hAnsi="Times New Roman"/>
          <w:sz w:val="24"/>
        </w:rPr>
        <w:noBreakHyphen/>
      </w:r>
      <w:r w:rsidR="00081A61" w:rsidRPr="00514C1E">
        <w:rPr>
          <w:rFonts w:ascii="Times New Roman" w:hAnsi="Times New Roman"/>
          <w:sz w:val="24"/>
        </w:rPr>
        <w:t>[29]</w:t>
      </w:r>
      <w:r w:rsidR="00CE5F0B" w:rsidRPr="00514C1E">
        <w:rPr>
          <w:rFonts w:ascii="Times New Roman" w:hAnsi="Times New Roman"/>
          <w:sz w:val="24"/>
        </w:rPr>
        <w:t>, 227</w:t>
      </w:r>
      <w:r w:rsidR="008D4097" w:rsidRPr="00514C1E">
        <w:rPr>
          <w:rFonts w:ascii="Times New Roman" w:hAnsi="Times New Roman"/>
          <w:sz w:val="24"/>
        </w:rPr>
        <w:noBreakHyphen/>
        <w:t>2</w:t>
      </w:r>
      <w:r w:rsidR="00FF2B12" w:rsidRPr="00514C1E">
        <w:rPr>
          <w:rFonts w:ascii="Times New Roman" w:hAnsi="Times New Roman"/>
          <w:sz w:val="24"/>
        </w:rPr>
        <w:t>30</w:t>
      </w:r>
      <w:r w:rsidR="008D4097" w:rsidRPr="00514C1E">
        <w:rPr>
          <w:rFonts w:ascii="Times New Roman" w:hAnsi="Times New Roman"/>
          <w:sz w:val="24"/>
        </w:rPr>
        <w:t> [249]</w:t>
      </w:r>
      <w:r w:rsidR="008D4097" w:rsidRPr="00514C1E">
        <w:rPr>
          <w:rFonts w:ascii="Times New Roman" w:hAnsi="Times New Roman"/>
          <w:sz w:val="24"/>
        </w:rPr>
        <w:noBreakHyphen/>
        <w:t>[257], 254</w:t>
      </w:r>
      <w:r w:rsidR="00D02CE6" w:rsidRPr="00514C1E">
        <w:rPr>
          <w:rFonts w:ascii="Times New Roman" w:hAnsi="Times New Roman"/>
          <w:sz w:val="24"/>
        </w:rPr>
        <w:noBreakHyphen/>
        <w:t>256 [365]</w:t>
      </w:r>
      <w:r w:rsidR="00D02CE6" w:rsidRPr="00514C1E">
        <w:rPr>
          <w:rFonts w:ascii="Times New Roman" w:hAnsi="Times New Roman"/>
          <w:sz w:val="24"/>
        </w:rPr>
        <w:noBreakHyphen/>
        <w:t>[372].</w:t>
      </w:r>
    </w:p>
  </w:footnote>
  <w:footnote w:id="15">
    <w:p w14:paraId="4015535A" w14:textId="78DA4102" w:rsidR="00B13344" w:rsidRPr="00514C1E" w:rsidRDefault="00B13344" w:rsidP="00514C1E">
      <w:pPr>
        <w:pStyle w:val="FootnoteText"/>
        <w:spacing w:line="280" w:lineRule="exact"/>
        <w:ind w:right="0"/>
        <w:jc w:val="both"/>
        <w:rPr>
          <w:rFonts w:ascii="Times New Roman" w:hAnsi="Times New Roman"/>
          <w:caps/>
          <w:sz w:val="24"/>
        </w:rPr>
      </w:pPr>
      <w:r w:rsidRPr="00514C1E">
        <w:rPr>
          <w:rStyle w:val="FootnoteReference"/>
          <w:rFonts w:ascii="Times New Roman" w:hAnsi="Times New Roman"/>
          <w:sz w:val="22"/>
          <w:vertAlign w:val="baseline"/>
        </w:rPr>
        <w:footnoteRef/>
      </w:r>
      <w:r w:rsidRPr="00514C1E">
        <w:rPr>
          <w:rFonts w:ascii="Times New Roman" w:hAnsi="Times New Roman"/>
          <w:sz w:val="24"/>
        </w:rPr>
        <w:t xml:space="preserve"> </w:t>
      </w:r>
      <w:r w:rsidRPr="00514C1E">
        <w:rPr>
          <w:rFonts w:ascii="Times New Roman" w:hAnsi="Times New Roman"/>
          <w:sz w:val="24"/>
        </w:rPr>
        <w:tab/>
        <w:t xml:space="preserve">Australia, Senate, </w:t>
      </w:r>
      <w:r w:rsidRPr="00514C1E">
        <w:rPr>
          <w:rFonts w:ascii="Times New Roman" w:hAnsi="Times New Roman"/>
          <w:i/>
          <w:iCs/>
          <w:sz w:val="24"/>
        </w:rPr>
        <w:t>Financial Services Reform Bill 20</w:t>
      </w:r>
      <w:r w:rsidR="00FF2B12" w:rsidRPr="00514C1E">
        <w:rPr>
          <w:rFonts w:ascii="Times New Roman" w:hAnsi="Times New Roman"/>
          <w:i/>
          <w:iCs/>
          <w:sz w:val="24"/>
        </w:rPr>
        <w:t>0</w:t>
      </w:r>
      <w:r w:rsidRPr="00514C1E">
        <w:rPr>
          <w:rFonts w:ascii="Times New Roman" w:hAnsi="Times New Roman"/>
          <w:i/>
          <w:iCs/>
          <w:sz w:val="24"/>
        </w:rPr>
        <w:t>1</w:t>
      </w:r>
      <w:r w:rsidRPr="00514C1E">
        <w:rPr>
          <w:rFonts w:ascii="Times New Roman" w:hAnsi="Times New Roman"/>
          <w:sz w:val="24"/>
        </w:rPr>
        <w:t>,</w:t>
      </w:r>
      <w:r w:rsidRPr="00514C1E">
        <w:rPr>
          <w:rFonts w:ascii="Times New Roman" w:hAnsi="Times New Roman"/>
          <w:i/>
          <w:iCs/>
          <w:sz w:val="24"/>
        </w:rPr>
        <w:t xml:space="preserve"> </w:t>
      </w:r>
      <w:r w:rsidRPr="00514C1E">
        <w:rPr>
          <w:rFonts w:ascii="Times New Roman" w:hAnsi="Times New Roman"/>
          <w:sz w:val="24"/>
        </w:rPr>
        <w:t>Supplementary Explanatory Memorandum at 5 [3.23].</w:t>
      </w:r>
    </w:p>
  </w:footnote>
  <w:footnote w:id="16">
    <w:p w14:paraId="7E849E13"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913B.</w:t>
      </w:r>
    </w:p>
  </w:footnote>
  <w:footnote w:id="17">
    <w:p w14:paraId="40B1352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911D.</w:t>
      </w:r>
    </w:p>
  </w:footnote>
  <w:footnote w:id="18">
    <w:p w14:paraId="695071D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ss 766A and 766B.</w:t>
      </w:r>
    </w:p>
  </w:footnote>
  <w:footnote w:id="19">
    <w:p w14:paraId="4E2BC45B"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Each Fund is a "superannuation entity" within the meaning of s 10(1) of the </w:t>
      </w:r>
      <w:r w:rsidRPr="00A17FD4">
        <w:rPr>
          <w:rFonts w:ascii="Times New Roman" w:hAnsi="Times New Roman"/>
          <w:i/>
          <w:sz w:val="24"/>
        </w:rPr>
        <w:t xml:space="preserve">Superannuation Industry (Supervision) Act 1993 </w:t>
      </w:r>
      <w:r w:rsidRPr="00A17FD4">
        <w:rPr>
          <w:rFonts w:ascii="Times New Roman" w:hAnsi="Times New Roman"/>
          <w:sz w:val="24"/>
        </w:rPr>
        <w:t>(Cth) ("the SIS Act"), namely,</w:t>
      </w:r>
      <w:r>
        <w:rPr>
          <w:rFonts w:ascii="Times New Roman" w:hAnsi="Times New Roman"/>
          <w:sz w:val="24"/>
        </w:rPr>
        <w:t> </w:t>
      </w:r>
      <w:r w:rsidRPr="00A17FD4">
        <w:rPr>
          <w:rFonts w:ascii="Times New Roman" w:hAnsi="Times New Roman"/>
          <w:sz w:val="24"/>
        </w:rPr>
        <w:t>a</w:t>
      </w:r>
      <w:r>
        <w:rPr>
          <w:rFonts w:ascii="Times New Roman" w:hAnsi="Times New Roman"/>
          <w:sz w:val="24"/>
        </w:rPr>
        <w:t> </w:t>
      </w:r>
      <w:r w:rsidRPr="00A17FD4">
        <w:rPr>
          <w:rFonts w:ascii="Times New Roman" w:hAnsi="Times New Roman"/>
          <w:sz w:val="24"/>
        </w:rPr>
        <w:t>"regulated superannuation fund" for the purposes of ss 10(1) and 19 of the SIS Act.</w:t>
      </w:r>
    </w:p>
  </w:footnote>
  <w:footnote w:id="20">
    <w:p w14:paraId="0018B7F2"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Within the meaning of </w:t>
      </w:r>
      <w:proofErr w:type="spellStart"/>
      <w:r w:rsidRPr="00A17FD4">
        <w:rPr>
          <w:rFonts w:ascii="Times New Roman" w:hAnsi="Times New Roman"/>
          <w:sz w:val="24"/>
        </w:rPr>
        <w:t>Div</w:t>
      </w:r>
      <w:proofErr w:type="spellEnd"/>
      <w:r w:rsidRPr="00A17FD4">
        <w:rPr>
          <w:rFonts w:ascii="Times New Roman" w:hAnsi="Times New Roman"/>
          <w:sz w:val="24"/>
        </w:rPr>
        <w:t xml:space="preserve"> 3 of Pt 7.1 of Ch 7 of the </w:t>
      </w:r>
      <w:r w:rsidRPr="00A17FD4">
        <w:rPr>
          <w:rFonts w:ascii="Times New Roman" w:hAnsi="Times New Roman"/>
          <w:i/>
          <w:sz w:val="24"/>
        </w:rPr>
        <w:t>Corporations Act</w:t>
      </w:r>
      <w:r w:rsidRPr="00A17FD4">
        <w:rPr>
          <w:rFonts w:ascii="Times New Roman" w:hAnsi="Times New Roman"/>
          <w:sz w:val="24"/>
        </w:rPr>
        <w:t>, by reason of s 764A(1)(g) (namely, a "superannuation interest" within the meaning of s 10(1) of the SIS Act). Section 10(1) of the SIS Act relevantly provides that "</w:t>
      </w:r>
      <w:r w:rsidRPr="00A17FD4">
        <w:rPr>
          <w:rFonts w:ascii="Times New Roman" w:hAnsi="Times New Roman"/>
          <w:b/>
          <w:i/>
          <w:sz w:val="24"/>
        </w:rPr>
        <w:t>beneficiary</w:t>
      </w:r>
      <w:r w:rsidRPr="00A17FD4">
        <w:rPr>
          <w:rFonts w:ascii="Times New Roman" w:hAnsi="Times New Roman"/>
          <w:sz w:val="24"/>
        </w:rPr>
        <w:t>, in</w:t>
      </w:r>
      <w:r>
        <w:rPr>
          <w:rFonts w:ascii="Times New Roman" w:hAnsi="Times New Roman"/>
          <w:sz w:val="24"/>
        </w:rPr>
        <w:t> </w:t>
      </w:r>
      <w:r w:rsidRPr="00A17FD4">
        <w:rPr>
          <w:rFonts w:ascii="Times New Roman" w:hAnsi="Times New Roman"/>
          <w:sz w:val="24"/>
        </w:rPr>
        <w:t>relation to a fund, scheme or trust, means a person (whether described in the governing rules as a member, a depositor or otherwise) who has a beneficial interest in the fund, scheme or trust and includes, in relation to a superannuation fund, a</w:t>
      </w:r>
      <w:r>
        <w:rPr>
          <w:rFonts w:ascii="Times New Roman" w:hAnsi="Times New Roman"/>
          <w:sz w:val="24"/>
        </w:rPr>
        <w:t> </w:t>
      </w:r>
      <w:r w:rsidRPr="00A17FD4">
        <w:rPr>
          <w:rFonts w:ascii="Times New Roman" w:hAnsi="Times New Roman"/>
          <w:sz w:val="24"/>
        </w:rPr>
        <w:t>member of the fund despite the express references in this Act to members of such funds".</w:t>
      </w:r>
    </w:p>
  </w:footnote>
  <w:footnote w:id="21">
    <w:p w14:paraId="4F556D12"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The members were referred to in the decisions below </w:t>
      </w:r>
      <w:r w:rsidRPr="00A17FD4">
        <w:rPr>
          <w:rFonts w:ascii="Times New Roman" w:hAnsi="Times New Roman"/>
          <w:sz w:val="24"/>
          <w:szCs w:val="18"/>
        </w:rPr>
        <w:t>variously as "clients", "customers" and "members".</w:t>
      </w:r>
    </w:p>
  </w:footnote>
  <w:footnote w:id="22">
    <w:p w14:paraId="1B462130"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In the course of doing so, Westpac was providing a "financial service" within the meaning of s 766A(1)(a) of the </w:t>
      </w:r>
      <w:r w:rsidRPr="00A17FD4">
        <w:rPr>
          <w:rFonts w:ascii="Times New Roman" w:hAnsi="Times New Roman"/>
          <w:i/>
          <w:sz w:val="24"/>
        </w:rPr>
        <w:t>Corporations Act</w:t>
      </w:r>
      <w:r w:rsidRPr="00A17FD4">
        <w:rPr>
          <w:rFonts w:ascii="Times New Roman" w:hAnsi="Times New Roman"/>
          <w:sz w:val="24"/>
        </w:rPr>
        <w:t xml:space="preserve">. </w:t>
      </w:r>
    </w:p>
  </w:footnote>
  <w:footnote w:id="23">
    <w:p w14:paraId="6C73E0C9"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766B(3).</w:t>
      </w:r>
    </w:p>
  </w:footnote>
  <w:footnote w:id="24">
    <w:p w14:paraId="3483819F"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Financial Services Reform Act 2001</w:t>
      </w:r>
      <w:r w:rsidRPr="00A17FD4">
        <w:rPr>
          <w:rFonts w:ascii="Times New Roman" w:hAnsi="Times New Roman"/>
          <w:sz w:val="24"/>
        </w:rPr>
        <w:t xml:space="preserve"> (Cth), Sch 1, item 1.</w:t>
      </w:r>
    </w:p>
  </w:footnote>
  <w:footnote w:id="25">
    <w:p w14:paraId="34107B51"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Financial Services Reform Bill 2001</w:t>
      </w:r>
      <w:r w:rsidRPr="00A17FD4">
        <w:rPr>
          <w:rFonts w:ascii="Times New Roman" w:hAnsi="Times New Roman"/>
          <w:sz w:val="24"/>
        </w:rPr>
        <w:t>, Revised Explanatory Memorandum at 1 [1.4]-[1.5], 11 [2.39].</w:t>
      </w:r>
    </w:p>
  </w:footnote>
  <w:footnote w:id="26">
    <w:p w14:paraId="7757A1FF"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bookmarkStart w:id="1" w:name="_Hlk51857795"/>
      <w:r w:rsidRPr="00A17FD4">
        <w:rPr>
          <w:rFonts w:ascii="Times New Roman" w:hAnsi="Times New Roman"/>
          <w:sz w:val="24"/>
        </w:rPr>
        <w:t xml:space="preserve">Australia, Senate, </w:t>
      </w:r>
      <w:r w:rsidRPr="00A17FD4">
        <w:rPr>
          <w:rFonts w:ascii="Times New Roman" w:hAnsi="Times New Roman"/>
          <w:i/>
          <w:sz w:val="24"/>
        </w:rPr>
        <w:t>Financial Services Reform Bill 2001</w:t>
      </w:r>
      <w:r w:rsidRPr="00A17FD4">
        <w:rPr>
          <w:rFonts w:ascii="Times New Roman" w:hAnsi="Times New Roman"/>
          <w:sz w:val="24"/>
        </w:rPr>
        <w:t xml:space="preserve">, Revised Explanatory Memorandum at 11 </w:t>
      </w:r>
      <w:r w:rsidRPr="00A17FD4" w:rsidDel="003E6535">
        <w:rPr>
          <w:rFonts w:ascii="Times New Roman" w:hAnsi="Times New Roman"/>
          <w:sz w:val="24"/>
        </w:rPr>
        <w:t>[2.</w:t>
      </w:r>
      <w:r w:rsidRPr="00A17FD4">
        <w:rPr>
          <w:rFonts w:ascii="Times New Roman" w:hAnsi="Times New Roman"/>
          <w:sz w:val="24"/>
        </w:rPr>
        <w:t>40]; see also 1 [1.5].</w:t>
      </w:r>
      <w:bookmarkEnd w:id="1"/>
    </w:p>
  </w:footnote>
  <w:footnote w:id="27">
    <w:p w14:paraId="77EEB017"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760A.</w:t>
      </w:r>
    </w:p>
  </w:footnote>
  <w:footnote w:id="28">
    <w:p w14:paraId="1AE65752"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26</w:t>
      </w:r>
      <w:r w:rsidRPr="00A17FD4">
        <w:rPr>
          <w:rFonts w:ascii="Times New Roman" w:hAnsi="Times New Roman"/>
          <w:sz w:val="24"/>
        </w:rPr>
        <w:t>] above.</w:t>
      </w:r>
    </w:p>
  </w:footnote>
  <w:footnote w:id="29">
    <w:p w14:paraId="11B0AD19"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766B(4).</w:t>
      </w:r>
    </w:p>
  </w:footnote>
  <w:footnote w:id="30">
    <w:p w14:paraId="41ED566C"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Financial Services Reform Bill 2001</w:t>
      </w:r>
      <w:r w:rsidRPr="00A17FD4">
        <w:rPr>
          <w:rFonts w:ascii="Times New Roman" w:hAnsi="Times New Roman"/>
          <w:sz w:val="24"/>
        </w:rPr>
        <w:t>, Supplementary Explanatory Memorandum at 5 [3.20].</w:t>
      </w:r>
    </w:p>
  </w:footnote>
  <w:footnote w:id="31">
    <w:p w14:paraId="49194BDE"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Financial Services Reform Bill 2001</w:t>
      </w:r>
      <w:r w:rsidRPr="00A17FD4">
        <w:rPr>
          <w:rFonts w:ascii="Times New Roman" w:hAnsi="Times New Roman"/>
          <w:sz w:val="24"/>
        </w:rPr>
        <w:t>, Supplementary Explanatory Memorandum at 5 [3.22]</w:t>
      </w:r>
      <w:r w:rsidRPr="00A17FD4">
        <w:rPr>
          <w:rFonts w:ascii="Times New Roman" w:hAnsi="Times New Roman"/>
          <w:sz w:val="24"/>
        </w:rPr>
        <w:noBreakHyphen/>
        <w:t>[3.23].</w:t>
      </w:r>
    </w:p>
  </w:footnote>
  <w:footnote w:id="32">
    <w:p w14:paraId="6A806D4C"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Described in s 761G(4) as "wholesale clients" and in s 761GA as "sophisticated investors". See also Australia, Senate, </w:t>
      </w:r>
      <w:r w:rsidRPr="00A17FD4">
        <w:rPr>
          <w:rFonts w:ascii="Times New Roman" w:hAnsi="Times New Roman"/>
          <w:i/>
          <w:sz w:val="24"/>
        </w:rPr>
        <w:t>Financial Services Reform Bill 2001</w:t>
      </w:r>
      <w:r w:rsidRPr="00A17FD4">
        <w:rPr>
          <w:rFonts w:ascii="Times New Roman" w:hAnsi="Times New Roman"/>
          <w:sz w:val="24"/>
        </w:rPr>
        <w:t>, Revised Explanatory Memorandum at 8-9 [2.26]-[2.28].</w:t>
      </w:r>
    </w:p>
  </w:footnote>
  <w:footnote w:id="33">
    <w:p w14:paraId="5BEDDACB"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See, </w:t>
      </w:r>
      <w:proofErr w:type="spellStart"/>
      <w:r w:rsidRPr="00A17FD4">
        <w:rPr>
          <w:rFonts w:ascii="Times New Roman" w:hAnsi="Times New Roman"/>
          <w:sz w:val="24"/>
        </w:rPr>
        <w:t>eg</w:t>
      </w:r>
      <w:proofErr w:type="spellEnd"/>
      <w:r w:rsidRPr="00A17FD4">
        <w:rPr>
          <w:rFonts w:ascii="Times New Roman" w:hAnsi="Times New Roman"/>
          <w:sz w:val="24"/>
        </w:rPr>
        <w:t xml:space="preserve">, </w:t>
      </w:r>
      <w:r w:rsidRPr="00A17FD4">
        <w:rPr>
          <w:rFonts w:ascii="Times New Roman" w:hAnsi="Times New Roman"/>
          <w:i/>
          <w:sz w:val="24"/>
        </w:rPr>
        <w:t>Corporations Act</w:t>
      </w:r>
      <w:r w:rsidRPr="00A17FD4">
        <w:rPr>
          <w:rFonts w:ascii="Times New Roman" w:hAnsi="Times New Roman"/>
          <w:sz w:val="24"/>
        </w:rPr>
        <w:t>, ss 941A, 941B, 946A, 949A, 961B, 961G, 961J.</w:t>
      </w:r>
    </w:p>
  </w:footnote>
  <w:footnote w:id="34">
    <w:p w14:paraId="4EEF83F3"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Financial Services Reform Bill 2001</w:t>
      </w:r>
      <w:r w:rsidRPr="00A17FD4">
        <w:rPr>
          <w:rFonts w:ascii="Times New Roman" w:hAnsi="Times New Roman"/>
          <w:sz w:val="24"/>
        </w:rPr>
        <w:t>, Revised Explanatory Memorandum at 8 [2.25].</w:t>
      </w:r>
    </w:p>
  </w:footnote>
  <w:footnote w:id="35">
    <w:p w14:paraId="55A5D1D3"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ss 761G(1), 761G(6)(a), 761GA(b).</w:t>
      </w:r>
    </w:p>
  </w:footnote>
  <w:footnote w:id="36">
    <w:p w14:paraId="556F6F9B"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Financial Services Reform Bill 2001</w:t>
      </w:r>
      <w:r w:rsidRPr="00A17FD4">
        <w:rPr>
          <w:rFonts w:ascii="Times New Roman" w:hAnsi="Times New Roman"/>
          <w:sz w:val="24"/>
        </w:rPr>
        <w:t>, Revised Explanatory Memorandum at 9 [2.27].</w:t>
      </w:r>
    </w:p>
  </w:footnote>
  <w:footnote w:id="37">
    <w:p w14:paraId="2F1972FD"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946A.</w:t>
      </w:r>
    </w:p>
  </w:footnote>
  <w:footnote w:id="38">
    <w:p w14:paraId="7E5D1A0A"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xml:space="preserve">, Pt 7.7, </w:t>
      </w:r>
      <w:proofErr w:type="spellStart"/>
      <w:r w:rsidRPr="00A17FD4">
        <w:rPr>
          <w:rFonts w:ascii="Times New Roman" w:hAnsi="Times New Roman"/>
          <w:sz w:val="24"/>
        </w:rPr>
        <w:t>Div</w:t>
      </w:r>
      <w:proofErr w:type="spellEnd"/>
      <w:r w:rsidRPr="00A17FD4">
        <w:rPr>
          <w:rFonts w:ascii="Times New Roman" w:hAnsi="Times New Roman"/>
          <w:sz w:val="24"/>
        </w:rPr>
        <w:t xml:space="preserve"> 3, </w:t>
      </w:r>
      <w:proofErr w:type="spellStart"/>
      <w:r w:rsidRPr="00A17FD4">
        <w:rPr>
          <w:rFonts w:ascii="Times New Roman" w:hAnsi="Times New Roman"/>
          <w:sz w:val="24"/>
        </w:rPr>
        <w:t>Subdiv</w:t>
      </w:r>
      <w:proofErr w:type="spellEnd"/>
      <w:r w:rsidRPr="00A17FD4">
        <w:rPr>
          <w:rFonts w:ascii="Times New Roman" w:hAnsi="Times New Roman"/>
          <w:sz w:val="24"/>
        </w:rPr>
        <w:t xml:space="preserve"> D.</w:t>
      </w:r>
    </w:p>
  </w:footnote>
  <w:footnote w:id="39">
    <w:p w14:paraId="54BCF26F"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947B(2).</w:t>
      </w:r>
    </w:p>
  </w:footnote>
  <w:footnote w:id="40">
    <w:p w14:paraId="6FAD6F7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xml:space="preserve">, Pt 7.7, </w:t>
      </w:r>
      <w:proofErr w:type="spellStart"/>
      <w:r w:rsidRPr="00A17FD4">
        <w:rPr>
          <w:rFonts w:ascii="Times New Roman" w:hAnsi="Times New Roman"/>
          <w:sz w:val="24"/>
        </w:rPr>
        <w:t>Div</w:t>
      </w:r>
      <w:proofErr w:type="spellEnd"/>
      <w:r w:rsidRPr="00A17FD4">
        <w:rPr>
          <w:rFonts w:ascii="Times New Roman" w:hAnsi="Times New Roman"/>
          <w:sz w:val="24"/>
        </w:rPr>
        <w:t xml:space="preserve"> 4.</w:t>
      </w:r>
    </w:p>
  </w:footnote>
  <w:footnote w:id="41">
    <w:p w14:paraId="6B999AE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xml:space="preserve">, s 949A(1). It applies subject to regulations made for the purposes of the paragraph: </w:t>
      </w:r>
      <w:r w:rsidRPr="00A17FD4">
        <w:rPr>
          <w:rFonts w:ascii="Times New Roman" w:hAnsi="Times New Roman"/>
          <w:i/>
          <w:sz w:val="24"/>
        </w:rPr>
        <w:t>Corporations Act</w:t>
      </w:r>
      <w:r w:rsidRPr="00A17FD4">
        <w:rPr>
          <w:rFonts w:ascii="Times New Roman" w:hAnsi="Times New Roman"/>
          <w:sz w:val="24"/>
        </w:rPr>
        <w:t>, s 949A(1)(c).</w:t>
      </w:r>
    </w:p>
  </w:footnote>
  <w:footnote w:id="42">
    <w:p w14:paraId="7ED81070"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949A(2) and (3).</w:t>
      </w:r>
    </w:p>
  </w:footnote>
  <w:footnote w:id="43">
    <w:p w14:paraId="41FBA361"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ASIC Class Order [CO 05/1195] at [4(b</w:t>
      </w:r>
      <w:r w:rsidRPr="00A17FD4" w:rsidDel="00F21E46">
        <w:rPr>
          <w:rFonts w:ascii="Times New Roman" w:hAnsi="Times New Roman"/>
          <w:sz w:val="24"/>
        </w:rPr>
        <w:t>)</w:t>
      </w:r>
      <w:r w:rsidRPr="00A17FD4">
        <w:rPr>
          <w:rFonts w:ascii="Times New Roman" w:hAnsi="Times New Roman"/>
          <w:sz w:val="24"/>
        </w:rPr>
        <w:t>].</w:t>
      </w:r>
    </w:p>
  </w:footnote>
  <w:footnote w:id="44">
    <w:p w14:paraId="6DB7A278"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 xml:space="preserve">Corporations Amendment (Future of Financial Advice) Act 2012 </w:t>
      </w:r>
      <w:r w:rsidRPr="00A17FD4">
        <w:rPr>
          <w:rFonts w:ascii="Times New Roman" w:hAnsi="Times New Roman"/>
          <w:sz w:val="24"/>
        </w:rPr>
        <w:t xml:space="preserve">(Cth); </w:t>
      </w:r>
      <w:r w:rsidRPr="00A17FD4">
        <w:rPr>
          <w:rFonts w:ascii="Times New Roman" w:hAnsi="Times New Roman"/>
          <w:i/>
          <w:sz w:val="24"/>
        </w:rPr>
        <w:t>Corporations Amendment (Further Future of Financial Advice Measures) Act 2012</w:t>
      </w:r>
      <w:r w:rsidRPr="00A17FD4">
        <w:rPr>
          <w:rFonts w:ascii="Times New Roman" w:hAnsi="Times New Roman"/>
          <w:sz w:val="24"/>
        </w:rPr>
        <w:t xml:space="preserve"> (Cth).</w:t>
      </w:r>
    </w:p>
  </w:footnote>
  <w:footnote w:id="45">
    <w:p w14:paraId="38E0B47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Australia, Senate, </w:t>
      </w:r>
      <w:r w:rsidRPr="00A17FD4">
        <w:rPr>
          <w:rFonts w:ascii="Times New Roman" w:hAnsi="Times New Roman"/>
          <w:i/>
          <w:sz w:val="24"/>
        </w:rPr>
        <w:t>Corporations Amendment (Further Future of Financial Advice Measures) Bill 2012</w:t>
      </w:r>
      <w:r w:rsidRPr="00A17FD4">
        <w:rPr>
          <w:rFonts w:ascii="Times New Roman" w:hAnsi="Times New Roman"/>
          <w:sz w:val="24"/>
        </w:rPr>
        <w:t xml:space="preserve">, Revised Explanatory Memorandum at 3. See also Australia, Senate, </w:t>
      </w:r>
      <w:r w:rsidRPr="00A17FD4">
        <w:rPr>
          <w:rFonts w:ascii="Times New Roman" w:hAnsi="Times New Roman"/>
          <w:i/>
          <w:sz w:val="24"/>
        </w:rPr>
        <w:t>Corporations Amendment (Future of Financial Advice) Bill 2012</w:t>
      </w:r>
      <w:r w:rsidRPr="00A17FD4">
        <w:rPr>
          <w:rFonts w:ascii="Times New Roman" w:hAnsi="Times New Roman"/>
          <w:sz w:val="24"/>
        </w:rPr>
        <w:t>, Revised</w:t>
      </w:r>
      <w:r>
        <w:rPr>
          <w:rFonts w:ascii="Times New Roman" w:hAnsi="Times New Roman"/>
          <w:sz w:val="24"/>
        </w:rPr>
        <w:t> </w:t>
      </w:r>
      <w:r w:rsidRPr="00A17FD4">
        <w:rPr>
          <w:rFonts w:ascii="Times New Roman" w:hAnsi="Times New Roman"/>
          <w:sz w:val="24"/>
        </w:rPr>
        <w:t>Explanatory Memorandum at 3</w:t>
      </w:r>
      <w:r w:rsidRPr="00A17FD4" w:rsidDel="005F2805">
        <w:rPr>
          <w:rFonts w:ascii="Times New Roman" w:hAnsi="Times New Roman"/>
          <w:sz w:val="24"/>
        </w:rPr>
        <w:t>.</w:t>
      </w:r>
    </w:p>
  </w:footnote>
  <w:footnote w:id="46">
    <w:p w14:paraId="1F779E7C"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 xml:space="preserve">Corporations Amendment (Future of Financial Advice) Act 2012 </w:t>
      </w:r>
      <w:r w:rsidRPr="00A17FD4">
        <w:rPr>
          <w:rFonts w:ascii="Times New Roman" w:hAnsi="Times New Roman"/>
          <w:sz w:val="24"/>
        </w:rPr>
        <w:t>(Cth), Sch 1, item</w:t>
      </w:r>
      <w:r>
        <w:rPr>
          <w:rFonts w:ascii="Times New Roman" w:hAnsi="Times New Roman"/>
          <w:sz w:val="24"/>
        </w:rPr>
        <w:t> </w:t>
      </w:r>
      <w:r w:rsidRPr="00A17FD4">
        <w:rPr>
          <w:rFonts w:ascii="Times New Roman" w:hAnsi="Times New Roman"/>
          <w:sz w:val="24"/>
        </w:rPr>
        <w:t xml:space="preserve">10. </w:t>
      </w:r>
    </w:p>
  </w:footnote>
  <w:footnote w:id="47">
    <w:p w14:paraId="4B07B471"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961(1).</w:t>
      </w:r>
    </w:p>
  </w:footnote>
  <w:footnote w:id="48">
    <w:p w14:paraId="01A2322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961B(1). Section 961G requires that the advice provided be appropriate to the client.</w:t>
      </w:r>
    </w:p>
  </w:footnote>
  <w:footnote w:id="49">
    <w:p w14:paraId="466A2F72"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xml:space="preserve">, s 961J. For the purposes of Pt 7.7A, "advice" refers to personal advice, "client" refers to a retail client, and "provider" refers to the individual who is to provide the advice to the client: </w:t>
      </w:r>
      <w:r w:rsidRPr="00A17FD4">
        <w:rPr>
          <w:rFonts w:ascii="Times New Roman" w:hAnsi="Times New Roman"/>
          <w:i/>
          <w:sz w:val="24"/>
        </w:rPr>
        <w:t>Corporations Act</w:t>
      </w:r>
      <w:r w:rsidRPr="00A17FD4">
        <w:rPr>
          <w:rFonts w:ascii="Times New Roman" w:hAnsi="Times New Roman"/>
          <w:sz w:val="24"/>
        </w:rPr>
        <w:t>, s 961(1) and (2).</w:t>
      </w:r>
      <w:r w:rsidRPr="00A17FD4">
        <w:rPr>
          <w:rFonts w:ascii="Times New Roman" w:hAnsi="Times New Roman"/>
          <w:i/>
          <w:sz w:val="24"/>
        </w:rPr>
        <w:t xml:space="preserve"> </w:t>
      </w:r>
      <w:r w:rsidRPr="00A17FD4">
        <w:rPr>
          <w:rFonts w:ascii="Times New Roman" w:hAnsi="Times New Roman"/>
          <w:sz w:val="24"/>
        </w:rPr>
        <w:t xml:space="preserve">See also Australia, Senate, </w:t>
      </w:r>
      <w:r w:rsidRPr="00A17FD4">
        <w:rPr>
          <w:rFonts w:ascii="Times New Roman" w:hAnsi="Times New Roman"/>
          <w:i/>
          <w:sz w:val="24"/>
        </w:rPr>
        <w:t>Corporations Amendment (Further Future of Financial Advice Measures) Bill 2012</w:t>
      </w:r>
      <w:r w:rsidRPr="00A17FD4">
        <w:rPr>
          <w:rFonts w:ascii="Times New Roman" w:hAnsi="Times New Roman"/>
          <w:sz w:val="24"/>
        </w:rPr>
        <w:t>, Revised Explanatory Memorandum at 5 [1.1].</w:t>
      </w:r>
    </w:p>
  </w:footnote>
  <w:footnote w:id="50">
    <w:p w14:paraId="72AB143C"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A transcript of relevant parts of each call was annexed to the reasons of the Full Court: </w:t>
      </w:r>
      <w:r w:rsidRPr="00A17FD4">
        <w:rPr>
          <w:rFonts w:ascii="Times New Roman" w:hAnsi="Times New Roman"/>
          <w:i/>
          <w:sz w:val="24"/>
        </w:rPr>
        <w:t xml:space="preserve">Australian Securities and Investments Commission v Westpac Securities Administration Ltd </w:t>
      </w:r>
      <w:r w:rsidRPr="00A17FD4">
        <w:rPr>
          <w:rFonts w:ascii="Times New Roman" w:hAnsi="Times New Roman"/>
          <w:sz w:val="24"/>
        </w:rPr>
        <w:t>(2019) 272 FCR 170 at 269-289.</w:t>
      </w:r>
    </w:p>
  </w:footnote>
  <w:footnote w:id="51">
    <w:p w14:paraId="283435B6"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766B(1).</w:t>
      </w:r>
    </w:p>
  </w:footnote>
  <w:footnote w:id="52">
    <w:p w14:paraId="75FD60F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In the course of doing so, Westpac was providing a "financial service" within the meaning of s 766A(1)(a) of the </w:t>
      </w:r>
      <w:r w:rsidRPr="00A17FD4">
        <w:rPr>
          <w:rFonts w:ascii="Times New Roman" w:hAnsi="Times New Roman"/>
          <w:i/>
          <w:sz w:val="24"/>
        </w:rPr>
        <w:t>Corporations Act</w:t>
      </w:r>
      <w:r w:rsidRPr="00A17FD4">
        <w:rPr>
          <w:rFonts w:ascii="Times New Roman" w:hAnsi="Times New Roman"/>
          <w:sz w:val="24"/>
        </w:rPr>
        <w:t xml:space="preserve">. </w:t>
      </w:r>
    </w:p>
  </w:footnote>
  <w:footnote w:id="53">
    <w:p w14:paraId="147D68AE"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961B(2)(b)(ii).</w:t>
      </w:r>
    </w:p>
  </w:footnote>
  <w:footnote w:id="54">
    <w:p w14:paraId="2A258E63"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 xml:space="preserve">Project Blue Sky Inc v Australian Broadcasting Authority </w:t>
      </w:r>
      <w:r w:rsidRPr="00A17FD4">
        <w:rPr>
          <w:rFonts w:ascii="Times New Roman" w:hAnsi="Times New Roman"/>
          <w:sz w:val="24"/>
        </w:rPr>
        <w:t xml:space="preserve">(1998) 194 CLR 355 at 381 [69]; </w:t>
      </w:r>
      <w:r w:rsidRPr="00A17FD4">
        <w:rPr>
          <w:rFonts w:ascii="Times New Roman" w:hAnsi="Times New Roman"/>
          <w:i/>
          <w:sz w:val="24"/>
        </w:rPr>
        <w:t>Alcan (NT) Alumina Pty Ltd v Commissioner of Territory Revenue</w:t>
      </w:r>
      <w:r w:rsidRPr="00A17FD4">
        <w:rPr>
          <w:rFonts w:ascii="Times New Roman" w:hAnsi="Times New Roman"/>
          <w:sz w:val="24"/>
        </w:rPr>
        <w:t xml:space="preserve"> (2009) 239 CLR 27 at 31 [4], 46-47 [47]; </w:t>
      </w:r>
      <w:r w:rsidRPr="00A17FD4">
        <w:rPr>
          <w:rFonts w:ascii="Times New Roman" w:hAnsi="Times New Roman"/>
          <w:i/>
          <w:sz w:val="24"/>
        </w:rPr>
        <w:t>Federal Commissioner of Taxation v Consolidated Media Holdings Ltd</w:t>
      </w:r>
      <w:r w:rsidRPr="00A17FD4">
        <w:rPr>
          <w:rFonts w:ascii="Times New Roman" w:hAnsi="Times New Roman"/>
          <w:sz w:val="24"/>
        </w:rPr>
        <w:t xml:space="preserve"> (2012) 250 CLR 503 at 519 [39]; </w:t>
      </w:r>
      <w:r w:rsidRPr="00A17FD4">
        <w:rPr>
          <w:rFonts w:ascii="Times New Roman" w:hAnsi="Times New Roman"/>
          <w:i/>
          <w:sz w:val="24"/>
        </w:rPr>
        <w:t>SZTAL v Minister for Immigration and Border Protection</w:t>
      </w:r>
      <w:r w:rsidRPr="00A17FD4">
        <w:rPr>
          <w:rFonts w:ascii="Times New Roman" w:hAnsi="Times New Roman"/>
          <w:sz w:val="24"/>
        </w:rPr>
        <w:t xml:space="preserve"> (2017) 262 CLR 362 at 368 [14].</w:t>
      </w:r>
    </w:p>
  </w:footnote>
  <w:footnote w:id="55">
    <w:p w14:paraId="7DD44820"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See </w:t>
      </w:r>
      <w:r w:rsidRPr="00A17FD4">
        <w:rPr>
          <w:rFonts w:ascii="Times New Roman" w:hAnsi="Times New Roman"/>
          <w:i/>
          <w:sz w:val="24"/>
        </w:rPr>
        <w:t xml:space="preserve">Project Blue Sky </w:t>
      </w:r>
      <w:r w:rsidRPr="00A17FD4">
        <w:rPr>
          <w:rFonts w:ascii="Times New Roman" w:hAnsi="Times New Roman"/>
          <w:sz w:val="24"/>
        </w:rPr>
        <w:t xml:space="preserve">(1998) 194 CLR 355 at 381 [69], 382 [71]; </w:t>
      </w:r>
      <w:r w:rsidRPr="00A17FD4">
        <w:rPr>
          <w:rFonts w:ascii="Times New Roman" w:hAnsi="Times New Roman"/>
          <w:i/>
          <w:sz w:val="24"/>
        </w:rPr>
        <w:t xml:space="preserve">Certain Lloyd's Underwriters v Cross </w:t>
      </w:r>
      <w:r w:rsidRPr="00A17FD4">
        <w:rPr>
          <w:rFonts w:ascii="Times New Roman" w:hAnsi="Times New Roman"/>
          <w:sz w:val="24"/>
        </w:rPr>
        <w:t>(2012) 248 CLR 378 at 391 [29].</w:t>
      </w:r>
    </w:p>
  </w:footnote>
  <w:footnote w:id="56">
    <w:p w14:paraId="53DFDD7F"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 xml:space="preserve">Westpac </w:t>
      </w:r>
      <w:r w:rsidRPr="00A17FD4">
        <w:rPr>
          <w:rFonts w:ascii="Times New Roman" w:hAnsi="Times New Roman"/>
          <w:sz w:val="24"/>
        </w:rPr>
        <w:t>(2019) 272 FCR 170 at 232 [267].</w:t>
      </w:r>
    </w:p>
  </w:footnote>
  <w:footnote w:id="57">
    <w:p w14:paraId="4E41444D"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33</w:t>
      </w:r>
      <w:r w:rsidRPr="00A17FD4">
        <w:rPr>
          <w:rFonts w:ascii="Times New Roman" w:hAnsi="Times New Roman"/>
          <w:sz w:val="24"/>
        </w:rPr>
        <w:t>] above.</w:t>
      </w:r>
    </w:p>
  </w:footnote>
  <w:footnote w:id="58">
    <w:p w14:paraId="38E61EC8"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37</w:t>
      </w:r>
      <w:r w:rsidRPr="00A17FD4">
        <w:rPr>
          <w:rFonts w:ascii="Times New Roman" w:hAnsi="Times New Roman"/>
          <w:sz w:val="24"/>
        </w:rPr>
        <w:t>]-[</w:t>
      </w:r>
      <w:r>
        <w:rPr>
          <w:rFonts w:ascii="Times New Roman" w:hAnsi="Times New Roman"/>
          <w:sz w:val="24"/>
        </w:rPr>
        <w:t>40</w:t>
      </w:r>
      <w:r w:rsidRPr="00A17FD4">
        <w:rPr>
          <w:rFonts w:ascii="Times New Roman" w:hAnsi="Times New Roman"/>
          <w:sz w:val="24"/>
        </w:rPr>
        <w:t>] above.</w:t>
      </w:r>
    </w:p>
  </w:footnote>
  <w:footnote w:id="59">
    <w:p w14:paraId="6F37AC3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961B(1).</w:t>
      </w:r>
    </w:p>
  </w:footnote>
  <w:footnote w:id="60">
    <w:p w14:paraId="45D64705"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37</w:t>
      </w:r>
      <w:r w:rsidRPr="00A17FD4">
        <w:rPr>
          <w:rFonts w:ascii="Times New Roman" w:hAnsi="Times New Roman"/>
          <w:sz w:val="24"/>
        </w:rPr>
        <w:t>]-[</w:t>
      </w:r>
      <w:r>
        <w:rPr>
          <w:rFonts w:ascii="Times New Roman" w:hAnsi="Times New Roman"/>
          <w:sz w:val="24"/>
        </w:rPr>
        <w:t>40</w:t>
      </w:r>
      <w:r w:rsidRPr="00A17FD4">
        <w:rPr>
          <w:rFonts w:ascii="Times New Roman" w:hAnsi="Times New Roman"/>
          <w:sz w:val="24"/>
        </w:rPr>
        <w:t xml:space="preserve">] above. </w:t>
      </w:r>
    </w:p>
  </w:footnote>
  <w:footnote w:id="61">
    <w:p w14:paraId="486F55AB"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760A(a).</w:t>
      </w:r>
    </w:p>
  </w:footnote>
  <w:footnote w:id="62">
    <w:p w14:paraId="72366C91"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r>
      <w:r w:rsidRPr="00A17FD4">
        <w:rPr>
          <w:rFonts w:ascii="Times New Roman" w:hAnsi="Times New Roman"/>
          <w:i/>
          <w:sz w:val="24"/>
        </w:rPr>
        <w:t>Corporations Act</w:t>
      </w:r>
      <w:r w:rsidRPr="00A17FD4">
        <w:rPr>
          <w:rFonts w:ascii="Times New Roman" w:hAnsi="Times New Roman"/>
          <w:sz w:val="24"/>
        </w:rPr>
        <w:t>, s 760A(b).</w:t>
      </w:r>
    </w:p>
  </w:footnote>
  <w:footnote w:id="63">
    <w:p w14:paraId="2CEFE2A6"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See, </w:t>
      </w:r>
      <w:proofErr w:type="spellStart"/>
      <w:r w:rsidRPr="00A17FD4">
        <w:rPr>
          <w:rFonts w:ascii="Times New Roman" w:hAnsi="Times New Roman"/>
          <w:sz w:val="24"/>
        </w:rPr>
        <w:t>eg</w:t>
      </w:r>
      <w:proofErr w:type="spellEnd"/>
      <w:r w:rsidRPr="00A17FD4">
        <w:rPr>
          <w:rFonts w:ascii="Times New Roman" w:hAnsi="Times New Roman"/>
          <w:sz w:val="24"/>
        </w:rPr>
        <w:t xml:space="preserve">, </w:t>
      </w:r>
      <w:r w:rsidRPr="00A17FD4">
        <w:rPr>
          <w:rFonts w:ascii="Times New Roman" w:hAnsi="Times New Roman"/>
          <w:i/>
          <w:sz w:val="24"/>
        </w:rPr>
        <w:t>Corporations Act</w:t>
      </w:r>
      <w:r w:rsidRPr="00A17FD4">
        <w:rPr>
          <w:rFonts w:ascii="Times New Roman" w:hAnsi="Times New Roman"/>
          <w:sz w:val="24"/>
        </w:rPr>
        <w:t>, ss 946A, 961B, 961G, 961J.</w:t>
      </w:r>
    </w:p>
  </w:footnote>
  <w:footnote w:id="64">
    <w:p w14:paraId="09D6CA68"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 xml:space="preserve">Westpac was required under s 52(2)(c) of the SIS Act to perform its duties and exercise its powers in the best interests of the beneficiaries. </w:t>
      </w:r>
    </w:p>
  </w:footnote>
  <w:footnote w:id="65">
    <w:p w14:paraId="101FB1EE"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44</w:t>
      </w:r>
      <w:r w:rsidRPr="00A17FD4">
        <w:rPr>
          <w:rFonts w:ascii="Times New Roman" w:hAnsi="Times New Roman"/>
          <w:sz w:val="24"/>
        </w:rPr>
        <w:t>] above.</w:t>
      </w:r>
    </w:p>
  </w:footnote>
  <w:footnote w:id="66">
    <w:p w14:paraId="2AF9A924" w14:textId="77777777" w:rsidR="00CE4077" w:rsidRPr="00A17FD4" w:rsidRDefault="00CE4077" w:rsidP="00A17FD4">
      <w:pPr>
        <w:pStyle w:val="FootnoteText"/>
        <w:spacing w:line="280" w:lineRule="exact"/>
        <w:ind w:right="0"/>
        <w:jc w:val="both"/>
        <w:rPr>
          <w:rFonts w:ascii="Times New Roman" w:hAnsi="Times New Roman"/>
          <w:sz w:val="24"/>
        </w:rPr>
      </w:pPr>
      <w:r w:rsidRPr="00A17FD4">
        <w:rPr>
          <w:rStyle w:val="FootnoteReference"/>
          <w:rFonts w:ascii="Times New Roman" w:hAnsi="Times New Roman"/>
          <w:sz w:val="22"/>
          <w:vertAlign w:val="baseline"/>
        </w:rPr>
        <w:footnoteRef/>
      </w:r>
      <w:r w:rsidRPr="00A17FD4">
        <w:rPr>
          <w:rFonts w:ascii="Times New Roman" w:hAnsi="Times New Roman"/>
          <w:sz w:val="24"/>
        </w:rPr>
        <w:t xml:space="preserve"> </w:t>
      </w:r>
      <w:r w:rsidRPr="00A17FD4">
        <w:rPr>
          <w:rFonts w:ascii="Times New Roman" w:hAnsi="Times New Roman"/>
          <w:sz w:val="24"/>
        </w:rPr>
        <w:tab/>
        <w:t>See [</w:t>
      </w:r>
      <w:r>
        <w:rPr>
          <w:rFonts w:ascii="Times New Roman" w:hAnsi="Times New Roman"/>
          <w:sz w:val="24"/>
        </w:rPr>
        <w:t>34</w:t>
      </w:r>
      <w:r w:rsidRPr="00A17FD4">
        <w:rPr>
          <w:rFonts w:ascii="Times New Roman" w:hAnsi="Times New Roman"/>
          <w:sz w:val="24"/>
        </w:rPr>
        <w:t>]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1652" w14:textId="77777777" w:rsidR="00514C1E" w:rsidRPr="00D7222E" w:rsidRDefault="00514C1E" w:rsidP="00D722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8377" w14:textId="77777777" w:rsidR="00CE4077" w:rsidRPr="00A17FD4" w:rsidRDefault="00CE4077" w:rsidP="00A17FD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98A4" w14:textId="2A643CDD" w:rsidR="00514C1E" w:rsidRPr="00D7222E" w:rsidRDefault="00D7222E" w:rsidP="00D7222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F2EE" w14:textId="711499E3" w:rsidR="00F276C8" w:rsidRPr="00D7222E" w:rsidRDefault="00F276C8" w:rsidP="00D72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26BE" w14:textId="77777777" w:rsidR="00D7222E" w:rsidRPr="00514C1E" w:rsidRDefault="00D7222E" w:rsidP="00514C1E">
    <w:pPr>
      <w:pStyle w:val="Header"/>
      <w:tabs>
        <w:tab w:val="clear" w:pos="4153"/>
        <w:tab w:val="clear" w:pos="8306"/>
        <w:tab w:val="right" w:pos="1304"/>
      </w:tabs>
      <w:spacing w:line="280" w:lineRule="exact"/>
      <w:ind w:firstLine="0"/>
      <w:rPr>
        <w:rFonts w:ascii="Times New Roman" w:hAnsi="Times New Roman"/>
        <w:i/>
        <w:sz w:val="22"/>
      </w:rPr>
    </w:pPr>
    <w:r w:rsidRPr="00514C1E">
      <w:rPr>
        <w:rFonts w:ascii="Times New Roman" w:hAnsi="Times New Roman"/>
        <w:i/>
        <w:sz w:val="22"/>
      </w:rPr>
      <w:t>Kiefel</w:t>
    </w:r>
    <w:r w:rsidRPr="00514C1E">
      <w:rPr>
        <w:rFonts w:ascii="Times New Roman" w:hAnsi="Times New Roman"/>
        <w:i/>
        <w:sz w:val="22"/>
      </w:rPr>
      <w:tab/>
      <w:t>CJ</w:t>
    </w:r>
  </w:p>
  <w:p w14:paraId="32B6EB4A" w14:textId="77777777" w:rsidR="00D7222E" w:rsidRPr="00514C1E" w:rsidRDefault="00D7222E" w:rsidP="00514C1E">
    <w:pPr>
      <w:pStyle w:val="Header"/>
      <w:tabs>
        <w:tab w:val="clear" w:pos="4153"/>
        <w:tab w:val="clear" w:pos="8306"/>
        <w:tab w:val="right" w:pos="1304"/>
      </w:tabs>
      <w:spacing w:line="280" w:lineRule="exact"/>
      <w:ind w:firstLine="0"/>
      <w:rPr>
        <w:rFonts w:ascii="Times New Roman" w:hAnsi="Times New Roman"/>
        <w:i/>
        <w:sz w:val="22"/>
      </w:rPr>
    </w:pPr>
    <w:r w:rsidRPr="00514C1E">
      <w:rPr>
        <w:rFonts w:ascii="Times New Roman" w:hAnsi="Times New Roman"/>
        <w:i/>
        <w:sz w:val="22"/>
      </w:rPr>
      <w:t>Bell</w:t>
    </w:r>
    <w:r w:rsidRPr="00514C1E">
      <w:rPr>
        <w:rFonts w:ascii="Times New Roman" w:hAnsi="Times New Roman"/>
        <w:i/>
        <w:sz w:val="22"/>
      </w:rPr>
      <w:tab/>
      <w:t>J</w:t>
    </w:r>
  </w:p>
  <w:p w14:paraId="2E6D4C6D" w14:textId="77777777" w:rsidR="00D7222E" w:rsidRPr="00514C1E" w:rsidRDefault="00D7222E" w:rsidP="00514C1E">
    <w:pPr>
      <w:pStyle w:val="Header"/>
      <w:tabs>
        <w:tab w:val="clear" w:pos="4153"/>
        <w:tab w:val="clear" w:pos="8306"/>
        <w:tab w:val="right" w:pos="1304"/>
      </w:tabs>
      <w:spacing w:line="280" w:lineRule="exact"/>
      <w:ind w:firstLine="0"/>
      <w:rPr>
        <w:rFonts w:ascii="Times New Roman" w:hAnsi="Times New Roman"/>
        <w:i/>
        <w:sz w:val="22"/>
      </w:rPr>
    </w:pPr>
    <w:r w:rsidRPr="00514C1E">
      <w:rPr>
        <w:rFonts w:ascii="Times New Roman" w:hAnsi="Times New Roman"/>
        <w:i/>
        <w:sz w:val="22"/>
      </w:rPr>
      <w:t>Gageler</w:t>
    </w:r>
    <w:r w:rsidRPr="00514C1E">
      <w:rPr>
        <w:rFonts w:ascii="Times New Roman" w:hAnsi="Times New Roman"/>
        <w:i/>
        <w:sz w:val="22"/>
      </w:rPr>
      <w:tab/>
      <w:t>J</w:t>
    </w:r>
  </w:p>
  <w:p w14:paraId="3219C392" w14:textId="77777777" w:rsidR="00D7222E" w:rsidRDefault="00D7222E" w:rsidP="00514C1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217086F1" w14:textId="77777777" w:rsidR="00D7222E" w:rsidRDefault="00D7222E" w:rsidP="00514C1E">
    <w:pPr>
      <w:pStyle w:val="Header"/>
      <w:tabs>
        <w:tab w:val="clear" w:pos="4153"/>
        <w:tab w:val="clear" w:pos="8306"/>
        <w:tab w:val="right" w:pos="1304"/>
      </w:tabs>
      <w:spacing w:line="280" w:lineRule="exact"/>
      <w:ind w:firstLine="0"/>
      <w:rPr>
        <w:rFonts w:ascii="Times New Roman" w:hAnsi="Times New Roman"/>
        <w:i/>
        <w:sz w:val="22"/>
      </w:rPr>
    </w:pPr>
  </w:p>
  <w:p w14:paraId="74F5894A" w14:textId="77777777" w:rsidR="00D7222E" w:rsidRDefault="00D7222E" w:rsidP="00514C1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A0CF80" w14:textId="77777777" w:rsidR="00D7222E" w:rsidRPr="00514C1E" w:rsidRDefault="00D7222E" w:rsidP="00514C1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9158" w14:textId="77777777" w:rsidR="00D7222E" w:rsidRPr="00514C1E" w:rsidRDefault="00D7222E" w:rsidP="00514C1E">
    <w:pPr>
      <w:pStyle w:val="Header"/>
      <w:tabs>
        <w:tab w:val="clear" w:pos="4153"/>
        <w:tab w:val="clear" w:pos="8306"/>
        <w:tab w:val="left" w:pos="7200"/>
        <w:tab w:val="right" w:pos="8504"/>
      </w:tabs>
      <w:spacing w:line="280" w:lineRule="exact"/>
      <w:jc w:val="right"/>
      <w:rPr>
        <w:rFonts w:ascii="Times New Roman" w:hAnsi="Times New Roman"/>
        <w:i/>
        <w:sz w:val="22"/>
      </w:rPr>
    </w:pPr>
    <w:r w:rsidRPr="00514C1E">
      <w:rPr>
        <w:rFonts w:ascii="Times New Roman" w:hAnsi="Times New Roman"/>
        <w:i/>
        <w:sz w:val="22"/>
      </w:rPr>
      <w:tab/>
      <w:t>Kiefel</w:t>
    </w:r>
    <w:r w:rsidRPr="00514C1E">
      <w:rPr>
        <w:rFonts w:ascii="Times New Roman" w:hAnsi="Times New Roman"/>
        <w:i/>
        <w:sz w:val="22"/>
      </w:rPr>
      <w:tab/>
      <w:t>CJ</w:t>
    </w:r>
  </w:p>
  <w:p w14:paraId="3ABFD54E" w14:textId="77777777" w:rsidR="00D7222E" w:rsidRPr="00514C1E" w:rsidRDefault="00D7222E" w:rsidP="00514C1E">
    <w:pPr>
      <w:pStyle w:val="Header"/>
      <w:tabs>
        <w:tab w:val="clear" w:pos="4153"/>
        <w:tab w:val="clear" w:pos="8306"/>
        <w:tab w:val="left" w:pos="7200"/>
        <w:tab w:val="right" w:pos="8504"/>
      </w:tabs>
      <w:spacing w:line="280" w:lineRule="exact"/>
      <w:jc w:val="right"/>
      <w:rPr>
        <w:rFonts w:ascii="Times New Roman" w:hAnsi="Times New Roman"/>
        <w:i/>
        <w:sz w:val="22"/>
      </w:rPr>
    </w:pPr>
    <w:r w:rsidRPr="00514C1E">
      <w:rPr>
        <w:rFonts w:ascii="Times New Roman" w:hAnsi="Times New Roman"/>
        <w:i/>
        <w:sz w:val="22"/>
      </w:rPr>
      <w:tab/>
      <w:t>Bell</w:t>
    </w:r>
    <w:r w:rsidRPr="00514C1E">
      <w:rPr>
        <w:rFonts w:ascii="Times New Roman" w:hAnsi="Times New Roman"/>
        <w:i/>
        <w:sz w:val="22"/>
      </w:rPr>
      <w:tab/>
      <w:t>J</w:t>
    </w:r>
  </w:p>
  <w:p w14:paraId="6C66E03C" w14:textId="77777777" w:rsidR="00D7222E" w:rsidRPr="00514C1E" w:rsidRDefault="00D7222E" w:rsidP="00514C1E">
    <w:pPr>
      <w:pStyle w:val="Header"/>
      <w:tabs>
        <w:tab w:val="clear" w:pos="4153"/>
        <w:tab w:val="clear" w:pos="8306"/>
        <w:tab w:val="left" w:pos="7200"/>
        <w:tab w:val="right" w:pos="8504"/>
      </w:tabs>
      <w:spacing w:line="280" w:lineRule="exact"/>
      <w:jc w:val="right"/>
      <w:rPr>
        <w:rFonts w:ascii="Times New Roman" w:hAnsi="Times New Roman"/>
        <w:i/>
        <w:sz w:val="22"/>
      </w:rPr>
    </w:pPr>
    <w:r w:rsidRPr="00514C1E">
      <w:rPr>
        <w:rFonts w:ascii="Times New Roman" w:hAnsi="Times New Roman"/>
        <w:i/>
        <w:sz w:val="22"/>
      </w:rPr>
      <w:tab/>
      <w:t>Gageler</w:t>
    </w:r>
    <w:r w:rsidRPr="00514C1E">
      <w:rPr>
        <w:rFonts w:ascii="Times New Roman" w:hAnsi="Times New Roman"/>
        <w:i/>
        <w:sz w:val="22"/>
      </w:rPr>
      <w:tab/>
      <w:t>J</w:t>
    </w:r>
  </w:p>
  <w:p w14:paraId="41B541E7" w14:textId="77777777" w:rsidR="00D7222E" w:rsidRDefault="00D7222E" w:rsidP="00514C1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61AE082B" w14:textId="77777777" w:rsidR="00D7222E" w:rsidRDefault="00D7222E" w:rsidP="00514C1E">
    <w:pPr>
      <w:pStyle w:val="Header"/>
      <w:tabs>
        <w:tab w:val="clear" w:pos="4153"/>
        <w:tab w:val="clear" w:pos="8306"/>
        <w:tab w:val="left" w:pos="7200"/>
        <w:tab w:val="right" w:pos="8504"/>
      </w:tabs>
      <w:spacing w:line="280" w:lineRule="exact"/>
      <w:jc w:val="right"/>
      <w:rPr>
        <w:rFonts w:ascii="Times New Roman" w:hAnsi="Times New Roman"/>
        <w:i/>
        <w:sz w:val="22"/>
      </w:rPr>
    </w:pPr>
  </w:p>
  <w:p w14:paraId="6C7C3DDF" w14:textId="77777777" w:rsidR="00D7222E" w:rsidRDefault="00D7222E" w:rsidP="00514C1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5E958F" w14:textId="77777777" w:rsidR="00D7222E" w:rsidRPr="00514C1E" w:rsidRDefault="00D7222E" w:rsidP="00514C1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262D"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5F0181AF"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57D901A5"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3B21066F"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7D00B4F3"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1F2ACC4F" w14:textId="77777777" w:rsidR="00D7222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p w14:paraId="47ECBA41" w14:textId="77777777" w:rsidR="00D7222E" w:rsidRPr="00514C1E" w:rsidRDefault="00D7222E" w:rsidP="00514C1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8DF7" w14:textId="77777777" w:rsidR="00A17FD4" w:rsidRDefault="00CE4077" w:rsidP="00A17FD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498505EF" w14:textId="77777777" w:rsidR="00A17FD4" w:rsidRDefault="001A7049" w:rsidP="00A17FD4">
    <w:pPr>
      <w:pStyle w:val="Header"/>
      <w:tabs>
        <w:tab w:val="clear" w:pos="4153"/>
        <w:tab w:val="clear" w:pos="8306"/>
        <w:tab w:val="right" w:pos="1304"/>
      </w:tabs>
      <w:spacing w:line="280" w:lineRule="exact"/>
      <w:ind w:firstLine="0"/>
      <w:rPr>
        <w:rFonts w:ascii="Times New Roman" w:hAnsi="Times New Roman"/>
        <w:i/>
        <w:sz w:val="22"/>
      </w:rPr>
    </w:pPr>
  </w:p>
  <w:p w14:paraId="0F418D6D" w14:textId="77777777" w:rsidR="00A17FD4" w:rsidRDefault="00CE4077" w:rsidP="00A17FD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DB3BC7" w14:textId="77777777" w:rsidR="00A17FD4" w:rsidRPr="00A17FD4" w:rsidRDefault="001A7049" w:rsidP="00A17FD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B5FA" w14:textId="77777777" w:rsidR="00A17FD4" w:rsidRDefault="00CE4077" w:rsidP="00A17FD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AB30CF0" w14:textId="77777777" w:rsidR="00A17FD4" w:rsidRDefault="001A7049" w:rsidP="00A17FD4">
    <w:pPr>
      <w:pStyle w:val="Header"/>
      <w:tabs>
        <w:tab w:val="clear" w:pos="4153"/>
        <w:tab w:val="clear" w:pos="8306"/>
        <w:tab w:val="left" w:pos="7200"/>
        <w:tab w:val="right" w:pos="8504"/>
      </w:tabs>
      <w:spacing w:line="280" w:lineRule="exact"/>
      <w:jc w:val="right"/>
      <w:rPr>
        <w:rFonts w:ascii="Times New Roman" w:hAnsi="Times New Roman"/>
        <w:i/>
        <w:sz w:val="22"/>
      </w:rPr>
    </w:pPr>
  </w:p>
  <w:p w14:paraId="52043A37" w14:textId="77777777" w:rsidR="00A17FD4" w:rsidRDefault="00CE4077" w:rsidP="00A17FD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3A2075" w14:textId="77777777" w:rsidR="00A17FD4" w:rsidRPr="00A17FD4" w:rsidRDefault="001A7049" w:rsidP="00A17FD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B86C" w14:textId="77777777" w:rsidR="00A17FD4" w:rsidRDefault="001A7049" w:rsidP="00A17FD4">
    <w:pPr>
      <w:pStyle w:val="Header"/>
      <w:tabs>
        <w:tab w:val="clear" w:pos="4153"/>
        <w:tab w:val="clear" w:pos="8306"/>
        <w:tab w:val="center" w:pos="1134"/>
      </w:tabs>
      <w:spacing w:line="280" w:lineRule="exact"/>
      <w:ind w:firstLine="0"/>
      <w:rPr>
        <w:rFonts w:ascii="Times New Roman" w:hAnsi="Times New Roman"/>
        <w:i/>
        <w:sz w:val="22"/>
      </w:rPr>
    </w:pPr>
  </w:p>
  <w:p w14:paraId="1ECEF35C" w14:textId="77777777" w:rsidR="00A17FD4" w:rsidRDefault="001A7049" w:rsidP="00A17FD4">
    <w:pPr>
      <w:pStyle w:val="Header"/>
      <w:tabs>
        <w:tab w:val="clear" w:pos="4153"/>
        <w:tab w:val="clear" w:pos="8306"/>
        <w:tab w:val="center" w:pos="1134"/>
      </w:tabs>
      <w:spacing w:line="280" w:lineRule="exact"/>
      <w:ind w:firstLine="0"/>
      <w:rPr>
        <w:rFonts w:ascii="Times New Roman" w:hAnsi="Times New Roman"/>
        <w:i/>
        <w:sz w:val="22"/>
      </w:rPr>
    </w:pPr>
  </w:p>
  <w:p w14:paraId="045AC806" w14:textId="77777777" w:rsidR="00A17FD4" w:rsidRDefault="001A7049" w:rsidP="00A17FD4">
    <w:pPr>
      <w:pStyle w:val="Header"/>
      <w:tabs>
        <w:tab w:val="clear" w:pos="4153"/>
        <w:tab w:val="clear" w:pos="8306"/>
        <w:tab w:val="center" w:pos="1134"/>
      </w:tabs>
      <w:spacing w:line="280" w:lineRule="exact"/>
      <w:ind w:firstLine="0"/>
      <w:rPr>
        <w:rFonts w:ascii="Times New Roman" w:hAnsi="Times New Roman"/>
        <w:i/>
        <w:sz w:val="22"/>
      </w:rPr>
    </w:pPr>
  </w:p>
  <w:p w14:paraId="29B8391E" w14:textId="77777777" w:rsidR="007C7E91" w:rsidRPr="00A17FD4" w:rsidRDefault="001A7049" w:rsidP="00A17FD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EA3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82"/>
    <w:rsid w:val="00002069"/>
    <w:rsid w:val="00002294"/>
    <w:rsid w:val="00002CE6"/>
    <w:rsid w:val="0000316A"/>
    <w:rsid w:val="00003BF9"/>
    <w:rsid w:val="000049B7"/>
    <w:rsid w:val="000053F7"/>
    <w:rsid w:val="00005513"/>
    <w:rsid w:val="0001318B"/>
    <w:rsid w:val="00014B34"/>
    <w:rsid w:val="000153CA"/>
    <w:rsid w:val="000168C9"/>
    <w:rsid w:val="00016C20"/>
    <w:rsid w:val="00016DBB"/>
    <w:rsid w:val="00017144"/>
    <w:rsid w:val="000206DE"/>
    <w:rsid w:val="00022981"/>
    <w:rsid w:val="000250AF"/>
    <w:rsid w:val="00025490"/>
    <w:rsid w:val="0002561E"/>
    <w:rsid w:val="000268E1"/>
    <w:rsid w:val="00030FA4"/>
    <w:rsid w:val="000315B2"/>
    <w:rsid w:val="00032363"/>
    <w:rsid w:val="000333D3"/>
    <w:rsid w:val="0003575A"/>
    <w:rsid w:val="000360EB"/>
    <w:rsid w:val="00037A5F"/>
    <w:rsid w:val="00037D87"/>
    <w:rsid w:val="00042543"/>
    <w:rsid w:val="00042591"/>
    <w:rsid w:val="00043D2C"/>
    <w:rsid w:val="00046812"/>
    <w:rsid w:val="00047B6F"/>
    <w:rsid w:val="00053040"/>
    <w:rsid w:val="0005357C"/>
    <w:rsid w:val="00054C46"/>
    <w:rsid w:val="00055ACD"/>
    <w:rsid w:val="00055E21"/>
    <w:rsid w:val="00056F27"/>
    <w:rsid w:val="00057203"/>
    <w:rsid w:val="000573AF"/>
    <w:rsid w:val="0006169E"/>
    <w:rsid w:val="000626FD"/>
    <w:rsid w:val="0006432B"/>
    <w:rsid w:val="000653D4"/>
    <w:rsid w:val="00066C04"/>
    <w:rsid w:val="00071C35"/>
    <w:rsid w:val="00071C56"/>
    <w:rsid w:val="000741F2"/>
    <w:rsid w:val="00075CD4"/>
    <w:rsid w:val="00075F50"/>
    <w:rsid w:val="000762A0"/>
    <w:rsid w:val="00080D77"/>
    <w:rsid w:val="00081A61"/>
    <w:rsid w:val="000824DE"/>
    <w:rsid w:val="0008435D"/>
    <w:rsid w:val="0008558C"/>
    <w:rsid w:val="00085BC0"/>
    <w:rsid w:val="00085F13"/>
    <w:rsid w:val="00093A56"/>
    <w:rsid w:val="0009516E"/>
    <w:rsid w:val="000A0A48"/>
    <w:rsid w:val="000A28D4"/>
    <w:rsid w:val="000A2EB4"/>
    <w:rsid w:val="000A42EB"/>
    <w:rsid w:val="000A563E"/>
    <w:rsid w:val="000A63C6"/>
    <w:rsid w:val="000A7DF4"/>
    <w:rsid w:val="000B1202"/>
    <w:rsid w:val="000B4630"/>
    <w:rsid w:val="000B497F"/>
    <w:rsid w:val="000B4C57"/>
    <w:rsid w:val="000B6C22"/>
    <w:rsid w:val="000B6FAC"/>
    <w:rsid w:val="000B710D"/>
    <w:rsid w:val="000B7558"/>
    <w:rsid w:val="000C04DC"/>
    <w:rsid w:val="000C0D98"/>
    <w:rsid w:val="000C342A"/>
    <w:rsid w:val="000C3D17"/>
    <w:rsid w:val="000C48B0"/>
    <w:rsid w:val="000D21DE"/>
    <w:rsid w:val="000D25E6"/>
    <w:rsid w:val="000D3028"/>
    <w:rsid w:val="000D336A"/>
    <w:rsid w:val="000D3FCA"/>
    <w:rsid w:val="000E65F7"/>
    <w:rsid w:val="000F0855"/>
    <w:rsid w:val="000F1345"/>
    <w:rsid w:val="000F17D0"/>
    <w:rsid w:val="000F2976"/>
    <w:rsid w:val="000F2A8E"/>
    <w:rsid w:val="000F3381"/>
    <w:rsid w:val="000F6ED9"/>
    <w:rsid w:val="001001B9"/>
    <w:rsid w:val="00101601"/>
    <w:rsid w:val="00102254"/>
    <w:rsid w:val="00103332"/>
    <w:rsid w:val="00103D69"/>
    <w:rsid w:val="0010622D"/>
    <w:rsid w:val="0010702C"/>
    <w:rsid w:val="0010760E"/>
    <w:rsid w:val="00107815"/>
    <w:rsid w:val="00110970"/>
    <w:rsid w:val="00111568"/>
    <w:rsid w:val="001120C0"/>
    <w:rsid w:val="00112F39"/>
    <w:rsid w:val="001150BF"/>
    <w:rsid w:val="0011573E"/>
    <w:rsid w:val="00115EB0"/>
    <w:rsid w:val="001168F2"/>
    <w:rsid w:val="00120207"/>
    <w:rsid w:val="00123C1B"/>
    <w:rsid w:val="00125E3C"/>
    <w:rsid w:val="00133CB0"/>
    <w:rsid w:val="00133D97"/>
    <w:rsid w:val="00133E7E"/>
    <w:rsid w:val="0013456F"/>
    <w:rsid w:val="00140717"/>
    <w:rsid w:val="00142072"/>
    <w:rsid w:val="00143FCB"/>
    <w:rsid w:val="00145627"/>
    <w:rsid w:val="00145B75"/>
    <w:rsid w:val="00145E14"/>
    <w:rsid w:val="00146A41"/>
    <w:rsid w:val="001515B8"/>
    <w:rsid w:val="00151679"/>
    <w:rsid w:val="001529C7"/>
    <w:rsid w:val="0015318E"/>
    <w:rsid w:val="00153CF3"/>
    <w:rsid w:val="00157B64"/>
    <w:rsid w:val="00160E71"/>
    <w:rsid w:val="001638F2"/>
    <w:rsid w:val="00163D92"/>
    <w:rsid w:val="00164144"/>
    <w:rsid w:val="00170459"/>
    <w:rsid w:val="00172ADE"/>
    <w:rsid w:val="001749CB"/>
    <w:rsid w:val="00175703"/>
    <w:rsid w:val="001758DE"/>
    <w:rsid w:val="00176D25"/>
    <w:rsid w:val="00176E3F"/>
    <w:rsid w:val="0018342E"/>
    <w:rsid w:val="001840C2"/>
    <w:rsid w:val="00184B46"/>
    <w:rsid w:val="00185939"/>
    <w:rsid w:val="00186C8D"/>
    <w:rsid w:val="00187101"/>
    <w:rsid w:val="001876F6"/>
    <w:rsid w:val="00190687"/>
    <w:rsid w:val="00191055"/>
    <w:rsid w:val="00193625"/>
    <w:rsid w:val="00194FE3"/>
    <w:rsid w:val="001953B1"/>
    <w:rsid w:val="001963C0"/>
    <w:rsid w:val="00196E92"/>
    <w:rsid w:val="00197956"/>
    <w:rsid w:val="001A1BF0"/>
    <w:rsid w:val="001A446E"/>
    <w:rsid w:val="001A4879"/>
    <w:rsid w:val="001A4AB0"/>
    <w:rsid w:val="001A5FE0"/>
    <w:rsid w:val="001B12A1"/>
    <w:rsid w:val="001B17A8"/>
    <w:rsid w:val="001B4BED"/>
    <w:rsid w:val="001B63C6"/>
    <w:rsid w:val="001B646D"/>
    <w:rsid w:val="001B64B7"/>
    <w:rsid w:val="001B796E"/>
    <w:rsid w:val="001C2657"/>
    <w:rsid w:val="001C349E"/>
    <w:rsid w:val="001C3661"/>
    <w:rsid w:val="001C48D4"/>
    <w:rsid w:val="001C7C93"/>
    <w:rsid w:val="001D36CD"/>
    <w:rsid w:val="001D4F49"/>
    <w:rsid w:val="001D7982"/>
    <w:rsid w:val="001E1D3D"/>
    <w:rsid w:val="001E4130"/>
    <w:rsid w:val="001E47D1"/>
    <w:rsid w:val="001E5100"/>
    <w:rsid w:val="001E6A64"/>
    <w:rsid w:val="001E75C5"/>
    <w:rsid w:val="001E7D28"/>
    <w:rsid w:val="001F13F0"/>
    <w:rsid w:val="001F1CDA"/>
    <w:rsid w:val="001F3F2A"/>
    <w:rsid w:val="001F4118"/>
    <w:rsid w:val="001F4170"/>
    <w:rsid w:val="001F4D08"/>
    <w:rsid w:val="001F63D0"/>
    <w:rsid w:val="001F69C2"/>
    <w:rsid w:val="001F7FA4"/>
    <w:rsid w:val="00200076"/>
    <w:rsid w:val="002048D1"/>
    <w:rsid w:val="00206E02"/>
    <w:rsid w:val="002079CB"/>
    <w:rsid w:val="00207A69"/>
    <w:rsid w:val="0021096E"/>
    <w:rsid w:val="00210DE8"/>
    <w:rsid w:val="00210E00"/>
    <w:rsid w:val="00211A8D"/>
    <w:rsid w:val="00211D73"/>
    <w:rsid w:val="00212A3E"/>
    <w:rsid w:val="002130AF"/>
    <w:rsid w:val="0021439F"/>
    <w:rsid w:val="00214BF2"/>
    <w:rsid w:val="00215A7F"/>
    <w:rsid w:val="00216522"/>
    <w:rsid w:val="002176F0"/>
    <w:rsid w:val="0021786F"/>
    <w:rsid w:val="00221D19"/>
    <w:rsid w:val="00223BED"/>
    <w:rsid w:val="0022666B"/>
    <w:rsid w:val="0022734D"/>
    <w:rsid w:val="00227D88"/>
    <w:rsid w:val="002318C4"/>
    <w:rsid w:val="00232338"/>
    <w:rsid w:val="00232DC1"/>
    <w:rsid w:val="0023447F"/>
    <w:rsid w:val="002350B3"/>
    <w:rsid w:val="0023798E"/>
    <w:rsid w:val="0024096B"/>
    <w:rsid w:val="00242CBC"/>
    <w:rsid w:val="00242EE4"/>
    <w:rsid w:val="00243155"/>
    <w:rsid w:val="0024462E"/>
    <w:rsid w:val="00246C26"/>
    <w:rsid w:val="002474FA"/>
    <w:rsid w:val="00250FD9"/>
    <w:rsid w:val="00252C01"/>
    <w:rsid w:val="00253493"/>
    <w:rsid w:val="00257AFB"/>
    <w:rsid w:val="00260305"/>
    <w:rsid w:val="0026293D"/>
    <w:rsid w:val="00265982"/>
    <w:rsid w:val="00270154"/>
    <w:rsid w:val="00270408"/>
    <w:rsid w:val="00271F70"/>
    <w:rsid w:val="0027408B"/>
    <w:rsid w:val="0027637C"/>
    <w:rsid w:val="00276B56"/>
    <w:rsid w:val="00280F46"/>
    <w:rsid w:val="002819FD"/>
    <w:rsid w:val="0028583A"/>
    <w:rsid w:val="00287368"/>
    <w:rsid w:val="00287873"/>
    <w:rsid w:val="002916CC"/>
    <w:rsid w:val="0029278C"/>
    <w:rsid w:val="00292E65"/>
    <w:rsid w:val="0029697C"/>
    <w:rsid w:val="002979F1"/>
    <w:rsid w:val="002A13E1"/>
    <w:rsid w:val="002A3248"/>
    <w:rsid w:val="002A4AD9"/>
    <w:rsid w:val="002B0846"/>
    <w:rsid w:val="002B1304"/>
    <w:rsid w:val="002B5ECB"/>
    <w:rsid w:val="002B6F49"/>
    <w:rsid w:val="002C35D6"/>
    <w:rsid w:val="002C4DD2"/>
    <w:rsid w:val="002C5981"/>
    <w:rsid w:val="002C6358"/>
    <w:rsid w:val="002D0410"/>
    <w:rsid w:val="002D0899"/>
    <w:rsid w:val="002D1707"/>
    <w:rsid w:val="002D17E2"/>
    <w:rsid w:val="002D2EBD"/>
    <w:rsid w:val="002D3F5B"/>
    <w:rsid w:val="002D5673"/>
    <w:rsid w:val="002D6409"/>
    <w:rsid w:val="002D6993"/>
    <w:rsid w:val="002D7919"/>
    <w:rsid w:val="002E0709"/>
    <w:rsid w:val="002E0EC8"/>
    <w:rsid w:val="002E278F"/>
    <w:rsid w:val="002E3535"/>
    <w:rsid w:val="002E379C"/>
    <w:rsid w:val="002E3B4D"/>
    <w:rsid w:val="002E6CAA"/>
    <w:rsid w:val="002F0522"/>
    <w:rsid w:val="002F0734"/>
    <w:rsid w:val="002F0CAC"/>
    <w:rsid w:val="002F2C25"/>
    <w:rsid w:val="002F3DC3"/>
    <w:rsid w:val="002F5A26"/>
    <w:rsid w:val="00300037"/>
    <w:rsid w:val="00301975"/>
    <w:rsid w:val="0030542C"/>
    <w:rsid w:val="00310418"/>
    <w:rsid w:val="00311C97"/>
    <w:rsid w:val="00312FFC"/>
    <w:rsid w:val="003133EE"/>
    <w:rsid w:val="003150BF"/>
    <w:rsid w:val="003150CE"/>
    <w:rsid w:val="00315B63"/>
    <w:rsid w:val="00315B96"/>
    <w:rsid w:val="00315E92"/>
    <w:rsid w:val="00323B9E"/>
    <w:rsid w:val="00324CFD"/>
    <w:rsid w:val="00330804"/>
    <w:rsid w:val="00330EA5"/>
    <w:rsid w:val="00334A6B"/>
    <w:rsid w:val="003355B3"/>
    <w:rsid w:val="0033572D"/>
    <w:rsid w:val="003366B2"/>
    <w:rsid w:val="00336E4D"/>
    <w:rsid w:val="00340066"/>
    <w:rsid w:val="00340745"/>
    <w:rsid w:val="0034288B"/>
    <w:rsid w:val="00343211"/>
    <w:rsid w:val="0034332B"/>
    <w:rsid w:val="00343380"/>
    <w:rsid w:val="00345A3D"/>
    <w:rsid w:val="0034681C"/>
    <w:rsid w:val="00347CFD"/>
    <w:rsid w:val="003519E1"/>
    <w:rsid w:val="00353990"/>
    <w:rsid w:val="00355D29"/>
    <w:rsid w:val="003600A8"/>
    <w:rsid w:val="00360440"/>
    <w:rsid w:val="00360B4E"/>
    <w:rsid w:val="00361A4B"/>
    <w:rsid w:val="00365F46"/>
    <w:rsid w:val="00366524"/>
    <w:rsid w:val="00366AF0"/>
    <w:rsid w:val="003673A2"/>
    <w:rsid w:val="00370F93"/>
    <w:rsid w:val="003722B3"/>
    <w:rsid w:val="00373E58"/>
    <w:rsid w:val="00376073"/>
    <w:rsid w:val="0037704B"/>
    <w:rsid w:val="00377452"/>
    <w:rsid w:val="003776DD"/>
    <w:rsid w:val="00381223"/>
    <w:rsid w:val="00381849"/>
    <w:rsid w:val="0038242E"/>
    <w:rsid w:val="00384F36"/>
    <w:rsid w:val="00385271"/>
    <w:rsid w:val="00386931"/>
    <w:rsid w:val="0039058B"/>
    <w:rsid w:val="003905C6"/>
    <w:rsid w:val="0039226E"/>
    <w:rsid w:val="00392CC8"/>
    <w:rsid w:val="003A2017"/>
    <w:rsid w:val="003A48CC"/>
    <w:rsid w:val="003A6A38"/>
    <w:rsid w:val="003A72EF"/>
    <w:rsid w:val="003B1EAA"/>
    <w:rsid w:val="003B34E4"/>
    <w:rsid w:val="003B436C"/>
    <w:rsid w:val="003B4EED"/>
    <w:rsid w:val="003B6B2C"/>
    <w:rsid w:val="003C266A"/>
    <w:rsid w:val="003C2BA2"/>
    <w:rsid w:val="003C5048"/>
    <w:rsid w:val="003C602A"/>
    <w:rsid w:val="003D00B4"/>
    <w:rsid w:val="003D1759"/>
    <w:rsid w:val="003D1896"/>
    <w:rsid w:val="003D289C"/>
    <w:rsid w:val="003D3B14"/>
    <w:rsid w:val="003D4F4A"/>
    <w:rsid w:val="003D62F7"/>
    <w:rsid w:val="003E1035"/>
    <w:rsid w:val="003E17F2"/>
    <w:rsid w:val="003E19F7"/>
    <w:rsid w:val="003E1EB2"/>
    <w:rsid w:val="003E31B0"/>
    <w:rsid w:val="003E338E"/>
    <w:rsid w:val="003E492C"/>
    <w:rsid w:val="003E710D"/>
    <w:rsid w:val="003E7A9C"/>
    <w:rsid w:val="003F21A3"/>
    <w:rsid w:val="003F328F"/>
    <w:rsid w:val="003F531A"/>
    <w:rsid w:val="003F7C9E"/>
    <w:rsid w:val="004025E8"/>
    <w:rsid w:val="00402768"/>
    <w:rsid w:val="00404C36"/>
    <w:rsid w:val="00406F38"/>
    <w:rsid w:val="004073EC"/>
    <w:rsid w:val="004107CA"/>
    <w:rsid w:val="004111BC"/>
    <w:rsid w:val="004111E1"/>
    <w:rsid w:val="004114CB"/>
    <w:rsid w:val="004125D7"/>
    <w:rsid w:val="004125F4"/>
    <w:rsid w:val="00412644"/>
    <w:rsid w:val="004126D4"/>
    <w:rsid w:val="00413456"/>
    <w:rsid w:val="00414703"/>
    <w:rsid w:val="00414A7D"/>
    <w:rsid w:val="00415D2B"/>
    <w:rsid w:val="00416C0A"/>
    <w:rsid w:val="00421941"/>
    <w:rsid w:val="00424DE2"/>
    <w:rsid w:val="00426286"/>
    <w:rsid w:val="004321BD"/>
    <w:rsid w:val="00432528"/>
    <w:rsid w:val="00432836"/>
    <w:rsid w:val="0043332E"/>
    <w:rsid w:val="004360D0"/>
    <w:rsid w:val="00436BBF"/>
    <w:rsid w:val="004373D1"/>
    <w:rsid w:val="0043778D"/>
    <w:rsid w:val="004405A2"/>
    <w:rsid w:val="00441151"/>
    <w:rsid w:val="00442BB2"/>
    <w:rsid w:val="004437F6"/>
    <w:rsid w:val="00443A58"/>
    <w:rsid w:val="00444FFD"/>
    <w:rsid w:val="004454C2"/>
    <w:rsid w:val="00447347"/>
    <w:rsid w:val="00447F33"/>
    <w:rsid w:val="00450A27"/>
    <w:rsid w:val="00451EC2"/>
    <w:rsid w:val="00463357"/>
    <w:rsid w:val="00463A04"/>
    <w:rsid w:val="004640DC"/>
    <w:rsid w:val="00465255"/>
    <w:rsid w:val="0046580A"/>
    <w:rsid w:val="0046782A"/>
    <w:rsid w:val="00473718"/>
    <w:rsid w:val="00473869"/>
    <w:rsid w:val="0047410E"/>
    <w:rsid w:val="0048054A"/>
    <w:rsid w:val="004807D4"/>
    <w:rsid w:val="004818E8"/>
    <w:rsid w:val="0048232A"/>
    <w:rsid w:val="004823A7"/>
    <w:rsid w:val="00482A66"/>
    <w:rsid w:val="00482F67"/>
    <w:rsid w:val="00483006"/>
    <w:rsid w:val="00484915"/>
    <w:rsid w:val="00485961"/>
    <w:rsid w:val="004871F1"/>
    <w:rsid w:val="00487387"/>
    <w:rsid w:val="004919FD"/>
    <w:rsid w:val="00494E2F"/>
    <w:rsid w:val="004A132C"/>
    <w:rsid w:val="004A16D9"/>
    <w:rsid w:val="004A6DB9"/>
    <w:rsid w:val="004B010B"/>
    <w:rsid w:val="004B1D51"/>
    <w:rsid w:val="004B26D9"/>
    <w:rsid w:val="004B2AC7"/>
    <w:rsid w:val="004B2C5E"/>
    <w:rsid w:val="004B4978"/>
    <w:rsid w:val="004B774B"/>
    <w:rsid w:val="004C0AAF"/>
    <w:rsid w:val="004C4629"/>
    <w:rsid w:val="004C4931"/>
    <w:rsid w:val="004C4B71"/>
    <w:rsid w:val="004C5046"/>
    <w:rsid w:val="004C6C17"/>
    <w:rsid w:val="004D087E"/>
    <w:rsid w:val="004D19DB"/>
    <w:rsid w:val="004D1E88"/>
    <w:rsid w:val="004D35E9"/>
    <w:rsid w:val="004D3CD7"/>
    <w:rsid w:val="004D3E28"/>
    <w:rsid w:val="004D541C"/>
    <w:rsid w:val="004D58DE"/>
    <w:rsid w:val="004D63E2"/>
    <w:rsid w:val="004D776A"/>
    <w:rsid w:val="004E3F30"/>
    <w:rsid w:val="004E46F8"/>
    <w:rsid w:val="004E50C8"/>
    <w:rsid w:val="004E653E"/>
    <w:rsid w:val="004E65F5"/>
    <w:rsid w:val="004E78BF"/>
    <w:rsid w:val="004E7EC4"/>
    <w:rsid w:val="004F2D77"/>
    <w:rsid w:val="004F3E28"/>
    <w:rsid w:val="004F621F"/>
    <w:rsid w:val="004F6E2E"/>
    <w:rsid w:val="004F7C1A"/>
    <w:rsid w:val="00500882"/>
    <w:rsid w:val="00502EAE"/>
    <w:rsid w:val="00503A1B"/>
    <w:rsid w:val="00503FFA"/>
    <w:rsid w:val="0050500F"/>
    <w:rsid w:val="00505279"/>
    <w:rsid w:val="005063E1"/>
    <w:rsid w:val="00507CC5"/>
    <w:rsid w:val="0051217F"/>
    <w:rsid w:val="00514C1E"/>
    <w:rsid w:val="00516BBB"/>
    <w:rsid w:val="0051769D"/>
    <w:rsid w:val="00520FA2"/>
    <w:rsid w:val="0052152C"/>
    <w:rsid w:val="00523255"/>
    <w:rsid w:val="00523E83"/>
    <w:rsid w:val="005248BB"/>
    <w:rsid w:val="00525CE2"/>
    <w:rsid w:val="005308A5"/>
    <w:rsid w:val="005314E9"/>
    <w:rsid w:val="00531723"/>
    <w:rsid w:val="0053275E"/>
    <w:rsid w:val="00540124"/>
    <w:rsid w:val="00541CDF"/>
    <w:rsid w:val="00541EF9"/>
    <w:rsid w:val="005431CF"/>
    <w:rsid w:val="00543D0A"/>
    <w:rsid w:val="005454F3"/>
    <w:rsid w:val="005455E5"/>
    <w:rsid w:val="0054681B"/>
    <w:rsid w:val="0054779A"/>
    <w:rsid w:val="00547BA1"/>
    <w:rsid w:val="00553C04"/>
    <w:rsid w:val="00557CB1"/>
    <w:rsid w:val="0056038D"/>
    <w:rsid w:val="0056091E"/>
    <w:rsid w:val="00561371"/>
    <w:rsid w:val="0056172D"/>
    <w:rsid w:val="00561FCD"/>
    <w:rsid w:val="005635F3"/>
    <w:rsid w:val="0056411C"/>
    <w:rsid w:val="00565B4C"/>
    <w:rsid w:val="005663FF"/>
    <w:rsid w:val="00567102"/>
    <w:rsid w:val="005677E5"/>
    <w:rsid w:val="00570D24"/>
    <w:rsid w:val="0057300A"/>
    <w:rsid w:val="00574C1A"/>
    <w:rsid w:val="00575BE2"/>
    <w:rsid w:val="00580B6C"/>
    <w:rsid w:val="00580EEB"/>
    <w:rsid w:val="00580FCF"/>
    <w:rsid w:val="00583673"/>
    <w:rsid w:val="00583D08"/>
    <w:rsid w:val="0058713E"/>
    <w:rsid w:val="00587643"/>
    <w:rsid w:val="00587BE7"/>
    <w:rsid w:val="00587CBC"/>
    <w:rsid w:val="00591D4C"/>
    <w:rsid w:val="005950CE"/>
    <w:rsid w:val="00595DF1"/>
    <w:rsid w:val="00596524"/>
    <w:rsid w:val="00597D35"/>
    <w:rsid w:val="005A3D82"/>
    <w:rsid w:val="005A403D"/>
    <w:rsid w:val="005A4A36"/>
    <w:rsid w:val="005A680C"/>
    <w:rsid w:val="005A6D6D"/>
    <w:rsid w:val="005A7264"/>
    <w:rsid w:val="005B1601"/>
    <w:rsid w:val="005B3FC8"/>
    <w:rsid w:val="005B4CFC"/>
    <w:rsid w:val="005B58B0"/>
    <w:rsid w:val="005B664E"/>
    <w:rsid w:val="005B6852"/>
    <w:rsid w:val="005C0298"/>
    <w:rsid w:val="005C0769"/>
    <w:rsid w:val="005C2652"/>
    <w:rsid w:val="005C360A"/>
    <w:rsid w:val="005C521A"/>
    <w:rsid w:val="005C74FE"/>
    <w:rsid w:val="005D221C"/>
    <w:rsid w:val="005D2A43"/>
    <w:rsid w:val="005D4709"/>
    <w:rsid w:val="005D6EA0"/>
    <w:rsid w:val="005E445C"/>
    <w:rsid w:val="005E7B36"/>
    <w:rsid w:val="005F02E6"/>
    <w:rsid w:val="005F10F1"/>
    <w:rsid w:val="005F1911"/>
    <w:rsid w:val="005F2070"/>
    <w:rsid w:val="005F2AB1"/>
    <w:rsid w:val="005F2CBA"/>
    <w:rsid w:val="005F3216"/>
    <w:rsid w:val="005F4DFE"/>
    <w:rsid w:val="005F4EF9"/>
    <w:rsid w:val="005F7E37"/>
    <w:rsid w:val="006015AE"/>
    <w:rsid w:val="006017B1"/>
    <w:rsid w:val="0060361A"/>
    <w:rsid w:val="0060685F"/>
    <w:rsid w:val="00607066"/>
    <w:rsid w:val="00607197"/>
    <w:rsid w:val="00607A16"/>
    <w:rsid w:val="006109F8"/>
    <w:rsid w:val="00612B1B"/>
    <w:rsid w:val="006147EA"/>
    <w:rsid w:val="00616006"/>
    <w:rsid w:val="0062011F"/>
    <w:rsid w:val="00620C62"/>
    <w:rsid w:val="00621144"/>
    <w:rsid w:val="00623075"/>
    <w:rsid w:val="00623910"/>
    <w:rsid w:val="006244F9"/>
    <w:rsid w:val="00624A27"/>
    <w:rsid w:val="00624D74"/>
    <w:rsid w:val="006251AE"/>
    <w:rsid w:val="0062716D"/>
    <w:rsid w:val="00627AF2"/>
    <w:rsid w:val="00630FCC"/>
    <w:rsid w:val="0063194E"/>
    <w:rsid w:val="00632F94"/>
    <w:rsid w:val="0063632F"/>
    <w:rsid w:val="00644454"/>
    <w:rsid w:val="00645B7C"/>
    <w:rsid w:val="00645E8B"/>
    <w:rsid w:val="0064674F"/>
    <w:rsid w:val="0064701B"/>
    <w:rsid w:val="00650C56"/>
    <w:rsid w:val="00652858"/>
    <w:rsid w:val="00654BFC"/>
    <w:rsid w:val="006557BE"/>
    <w:rsid w:val="006558DC"/>
    <w:rsid w:val="00656B27"/>
    <w:rsid w:val="0065780C"/>
    <w:rsid w:val="00657F8B"/>
    <w:rsid w:val="00660401"/>
    <w:rsid w:val="006614C7"/>
    <w:rsid w:val="006618FC"/>
    <w:rsid w:val="0066241C"/>
    <w:rsid w:val="00663D00"/>
    <w:rsid w:val="00663E86"/>
    <w:rsid w:val="00670F79"/>
    <w:rsid w:val="00671B7E"/>
    <w:rsid w:val="006767BC"/>
    <w:rsid w:val="00677A7D"/>
    <w:rsid w:val="00677FFD"/>
    <w:rsid w:val="00681D75"/>
    <w:rsid w:val="0068242E"/>
    <w:rsid w:val="00682BAA"/>
    <w:rsid w:val="00682F55"/>
    <w:rsid w:val="00684BAF"/>
    <w:rsid w:val="00685AEB"/>
    <w:rsid w:val="006866C4"/>
    <w:rsid w:val="006912E4"/>
    <w:rsid w:val="00691D9F"/>
    <w:rsid w:val="00692356"/>
    <w:rsid w:val="00692F7F"/>
    <w:rsid w:val="0069365A"/>
    <w:rsid w:val="00696EBB"/>
    <w:rsid w:val="006A1DD9"/>
    <w:rsid w:val="006A1F10"/>
    <w:rsid w:val="006A40A2"/>
    <w:rsid w:val="006A4D4E"/>
    <w:rsid w:val="006B2500"/>
    <w:rsid w:val="006B5001"/>
    <w:rsid w:val="006B630A"/>
    <w:rsid w:val="006B6A77"/>
    <w:rsid w:val="006C00A8"/>
    <w:rsid w:val="006C1577"/>
    <w:rsid w:val="006C42B5"/>
    <w:rsid w:val="006C5ACD"/>
    <w:rsid w:val="006C6300"/>
    <w:rsid w:val="006D1544"/>
    <w:rsid w:val="006D36B7"/>
    <w:rsid w:val="006D3874"/>
    <w:rsid w:val="006D3A49"/>
    <w:rsid w:val="006E16F1"/>
    <w:rsid w:val="006E2595"/>
    <w:rsid w:val="006E25B7"/>
    <w:rsid w:val="006E2AD7"/>
    <w:rsid w:val="006E359B"/>
    <w:rsid w:val="006E75BF"/>
    <w:rsid w:val="006F09B5"/>
    <w:rsid w:val="006F1349"/>
    <w:rsid w:val="006F201F"/>
    <w:rsid w:val="006F29BC"/>
    <w:rsid w:val="006F2C03"/>
    <w:rsid w:val="006F38F2"/>
    <w:rsid w:val="006F48B3"/>
    <w:rsid w:val="006F48B8"/>
    <w:rsid w:val="006F553C"/>
    <w:rsid w:val="006F6258"/>
    <w:rsid w:val="006F65E1"/>
    <w:rsid w:val="006F7F8E"/>
    <w:rsid w:val="00700426"/>
    <w:rsid w:val="00701552"/>
    <w:rsid w:val="00702514"/>
    <w:rsid w:val="00704FDE"/>
    <w:rsid w:val="00705448"/>
    <w:rsid w:val="007122EC"/>
    <w:rsid w:val="00712EB7"/>
    <w:rsid w:val="00713AE3"/>
    <w:rsid w:val="00714504"/>
    <w:rsid w:val="0071742A"/>
    <w:rsid w:val="00721C07"/>
    <w:rsid w:val="0072267E"/>
    <w:rsid w:val="00725975"/>
    <w:rsid w:val="007274B9"/>
    <w:rsid w:val="00727553"/>
    <w:rsid w:val="007309AE"/>
    <w:rsid w:val="00730E8F"/>
    <w:rsid w:val="00731D48"/>
    <w:rsid w:val="00734484"/>
    <w:rsid w:val="00742076"/>
    <w:rsid w:val="00745136"/>
    <w:rsid w:val="00745A15"/>
    <w:rsid w:val="00745DD2"/>
    <w:rsid w:val="00751354"/>
    <w:rsid w:val="007543D5"/>
    <w:rsid w:val="00754933"/>
    <w:rsid w:val="00755E66"/>
    <w:rsid w:val="00756909"/>
    <w:rsid w:val="0076061E"/>
    <w:rsid w:val="00760D10"/>
    <w:rsid w:val="00761F36"/>
    <w:rsid w:val="00762108"/>
    <w:rsid w:val="007646F2"/>
    <w:rsid w:val="00766E33"/>
    <w:rsid w:val="00767DAC"/>
    <w:rsid w:val="00770E38"/>
    <w:rsid w:val="007751DE"/>
    <w:rsid w:val="00775A27"/>
    <w:rsid w:val="00776C44"/>
    <w:rsid w:val="0078133D"/>
    <w:rsid w:val="00781E34"/>
    <w:rsid w:val="007833D0"/>
    <w:rsid w:val="00783B79"/>
    <w:rsid w:val="00785785"/>
    <w:rsid w:val="00786507"/>
    <w:rsid w:val="00787544"/>
    <w:rsid w:val="0079001D"/>
    <w:rsid w:val="00790B35"/>
    <w:rsid w:val="00791DED"/>
    <w:rsid w:val="00792AA8"/>
    <w:rsid w:val="007933F5"/>
    <w:rsid w:val="00793AAE"/>
    <w:rsid w:val="00794972"/>
    <w:rsid w:val="00796EE7"/>
    <w:rsid w:val="00797022"/>
    <w:rsid w:val="007A3ABE"/>
    <w:rsid w:val="007A4316"/>
    <w:rsid w:val="007A4CB0"/>
    <w:rsid w:val="007A5B52"/>
    <w:rsid w:val="007A62C3"/>
    <w:rsid w:val="007B4102"/>
    <w:rsid w:val="007B651A"/>
    <w:rsid w:val="007B6648"/>
    <w:rsid w:val="007B6669"/>
    <w:rsid w:val="007B719E"/>
    <w:rsid w:val="007C311B"/>
    <w:rsid w:val="007C506B"/>
    <w:rsid w:val="007C5511"/>
    <w:rsid w:val="007C5678"/>
    <w:rsid w:val="007C6B59"/>
    <w:rsid w:val="007D0986"/>
    <w:rsid w:val="007D59A7"/>
    <w:rsid w:val="007D698B"/>
    <w:rsid w:val="007D707C"/>
    <w:rsid w:val="007D7BB6"/>
    <w:rsid w:val="007E3361"/>
    <w:rsid w:val="007E45DF"/>
    <w:rsid w:val="007E5D35"/>
    <w:rsid w:val="007F52A6"/>
    <w:rsid w:val="007F5789"/>
    <w:rsid w:val="007F591A"/>
    <w:rsid w:val="007F68DA"/>
    <w:rsid w:val="007F794B"/>
    <w:rsid w:val="008004E7"/>
    <w:rsid w:val="00800A14"/>
    <w:rsid w:val="0080276C"/>
    <w:rsid w:val="00803EB3"/>
    <w:rsid w:val="00805615"/>
    <w:rsid w:val="008060C8"/>
    <w:rsid w:val="00806A70"/>
    <w:rsid w:val="00810CD0"/>
    <w:rsid w:val="00810F5C"/>
    <w:rsid w:val="008122A9"/>
    <w:rsid w:val="00812723"/>
    <w:rsid w:val="00814A6A"/>
    <w:rsid w:val="00814ED4"/>
    <w:rsid w:val="008152E3"/>
    <w:rsid w:val="0081557C"/>
    <w:rsid w:val="008159B1"/>
    <w:rsid w:val="00820282"/>
    <w:rsid w:val="0082117F"/>
    <w:rsid w:val="00825150"/>
    <w:rsid w:val="0082619C"/>
    <w:rsid w:val="00826B41"/>
    <w:rsid w:val="008279CE"/>
    <w:rsid w:val="00831A0D"/>
    <w:rsid w:val="00835479"/>
    <w:rsid w:val="00835982"/>
    <w:rsid w:val="00836AD2"/>
    <w:rsid w:val="00836C23"/>
    <w:rsid w:val="00836E27"/>
    <w:rsid w:val="008375CC"/>
    <w:rsid w:val="008415CC"/>
    <w:rsid w:val="00842862"/>
    <w:rsid w:val="00842F47"/>
    <w:rsid w:val="00845199"/>
    <w:rsid w:val="00847DFE"/>
    <w:rsid w:val="00851111"/>
    <w:rsid w:val="00852024"/>
    <w:rsid w:val="008525CF"/>
    <w:rsid w:val="008542CC"/>
    <w:rsid w:val="00854F58"/>
    <w:rsid w:val="00857A21"/>
    <w:rsid w:val="0086083D"/>
    <w:rsid w:val="00860973"/>
    <w:rsid w:val="00860B77"/>
    <w:rsid w:val="0086183E"/>
    <w:rsid w:val="00863678"/>
    <w:rsid w:val="0086489C"/>
    <w:rsid w:val="008648B5"/>
    <w:rsid w:val="0086641A"/>
    <w:rsid w:val="00867F68"/>
    <w:rsid w:val="00872C84"/>
    <w:rsid w:val="008737D3"/>
    <w:rsid w:val="00877CBF"/>
    <w:rsid w:val="008801EB"/>
    <w:rsid w:val="00880B86"/>
    <w:rsid w:val="00881D2F"/>
    <w:rsid w:val="008823F7"/>
    <w:rsid w:val="00882D53"/>
    <w:rsid w:val="00883437"/>
    <w:rsid w:val="008834C5"/>
    <w:rsid w:val="00883C24"/>
    <w:rsid w:val="008853F8"/>
    <w:rsid w:val="0088752E"/>
    <w:rsid w:val="00887C71"/>
    <w:rsid w:val="008953BD"/>
    <w:rsid w:val="0089749D"/>
    <w:rsid w:val="008A0A85"/>
    <w:rsid w:val="008A3EFE"/>
    <w:rsid w:val="008A4628"/>
    <w:rsid w:val="008B00C2"/>
    <w:rsid w:val="008B00F6"/>
    <w:rsid w:val="008B17C9"/>
    <w:rsid w:val="008B29FE"/>
    <w:rsid w:val="008B47CB"/>
    <w:rsid w:val="008B4F14"/>
    <w:rsid w:val="008B68DA"/>
    <w:rsid w:val="008B6A6C"/>
    <w:rsid w:val="008B6D28"/>
    <w:rsid w:val="008C138A"/>
    <w:rsid w:val="008C15BB"/>
    <w:rsid w:val="008C28C2"/>
    <w:rsid w:val="008C28E5"/>
    <w:rsid w:val="008C316B"/>
    <w:rsid w:val="008C398F"/>
    <w:rsid w:val="008C3ED2"/>
    <w:rsid w:val="008C3F72"/>
    <w:rsid w:val="008C4E5F"/>
    <w:rsid w:val="008C6C82"/>
    <w:rsid w:val="008D15F7"/>
    <w:rsid w:val="008D1FDE"/>
    <w:rsid w:val="008D2D6F"/>
    <w:rsid w:val="008D351D"/>
    <w:rsid w:val="008D3A32"/>
    <w:rsid w:val="008D4097"/>
    <w:rsid w:val="008E04C0"/>
    <w:rsid w:val="008E1C45"/>
    <w:rsid w:val="008E1DF8"/>
    <w:rsid w:val="008E1EDE"/>
    <w:rsid w:val="008E242E"/>
    <w:rsid w:val="008E27B3"/>
    <w:rsid w:val="008E5981"/>
    <w:rsid w:val="008E647B"/>
    <w:rsid w:val="008E6FDA"/>
    <w:rsid w:val="008E7B61"/>
    <w:rsid w:val="008F3AE2"/>
    <w:rsid w:val="008F4C13"/>
    <w:rsid w:val="008F6221"/>
    <w:rsid w:val="008F722B"/>
    <w:rsid w:val="008F777B"/>
    <w:rsid w:val="008F77A8"/>
    <w:rsid w:val="008F7CCE"/>
    <w:rsid w:val="009052ED"/>
    <w:rsid w:val="00906165"/>
    <w:rsid w:val="009064E2"/>
    <w:rsid w:val="009077C7"/>
    <w:rsid w:val="00911FB5"/>
    <w:rsid w:val="0091220E"/>
    <w:rsid w:val="0091465A"/>
    <w:rsid w:val="009153AD"/>
    <w:rsid w:val="00920216"/>
    <w:rsid w:val="00920463"/>
    <w:rsid w:val="00921743"/>
    <w:rsid w:val="009231E5"/>
    <w:rsid w:val="009238C7"/>
    <w:rsid w:val="00923D68"/>
    <w:rsid w:val="009245CA"/>
    <w:rsid w:val="00926E4D"/>
    <w:rsid w:val="0093295F"/>
    <w:rsid w:val="0093352D"/>
    <w:rsid w:val="00940185"/>
    <w:rsid w:val="00940BCD"/>
    <w:rsid w:val="00940BFE"/>
    <w:rsid w:val="00941279"/>
    <w:rsid w:val="00942CA4"/>
    <w:rsid w:val="00944DB9"/>
    <w:rsid w:val="009462D5"/>
    <w:rsid w:val="0095456C"/>
    <w:rsid w:val="009547B3"/>
    <w:rsid w:val="00954ED9"/>
    <w:rsid w:val="00956905"/>
    <w:rsid w:val="009614C6"/>
    <w:rsid w:val="009619DA"/>
    <w:rsid w:val="00961C03"/>
    <w:rsid w:val="00962BFB"/>
    <w:rsid w:val="00962E1C"/>
    <w:rsid w:val="0096349D"/>
    <w:rsid w:val="00964954"/>
    <w:rsid w:val="00965359"/>
    <w:rsid w:val="00965A45"/>
    <w:rsid w:val="00965D55"/>
    <w:rsid w:val="00966AD4"/>
    <w:rsid w:val="00966DEC"/>
    <w:rsid w:val="009704C8"/>
    <w:rsid w:val="0097673B"/>
    <w:rsid w:val="00976B41"/>
    <w:rsid w:val="00984C6D"/>
    <w:rsid w:val="00990380"/>
    <w:rsid w:val="009921DB"/>
    <w:rsid w:val="009923E1"/>
    <w:rsid w:val="00992F1E"/>
    <w:rsid w:val="009940EF"/>
    <w:rsid w:val="00994A8D"/>
    <w:rsid w:val="00994D06"/>
    <w:rsid w:val="00997CF0"/>
    <w:rsid w:val="009A033A"/>
    <w:rsid w:val="009A0BBC"/>
    <w:rsid w:val="009A3D36"/>
    <w:rsid w:val="009A4E7D"/>
    <w:rsid w:val="009A5AFD"/>
    <w:rsid w:val="009A6EFD"/>
    <w:rsid w:val="009B342A"/>
    <w:rsid w:val="009B39DC"/>
    <w:rsid w:val="009B61E7"/>
    <w:rsid w:val="009C03FA"/>
    <w:rsid w:val="009C37E4"/>
    <w:rsid w:val="009C484A"/>
    <w:rsid w:val="009C6E72"/>
    <w:rsid w:val="009D3C3F"/>
    <w:rsid w:val="009D4D67"/>
    <w:rsid w:val="009D5277"/>
    <w:rsid w:val="009D5504"/>
    <w:rsid w:val="009D635B"/>
    <w:rsid w:val="009D66DC"/>
    <w:rsid w:val="009D7F6F"/>
    <w:rsid w:val="009E0393"/>
    <w:rsid w:val="009E07D3"/>
    <w:rsid w:val="009F06F2"/>
    <w:rsid w:val="009F16F6"/>
    <w:rsid w:val="009F4BAC"/>
    <w:rsid w:val="009F635E"/>
    <w:rsid w:val="009F6BCB"/>
    <w:rsid w:val="00A02C5D"/>
    <w:rsid w:val="00A06BB1"/>
    <w:rsid w:val="00A10670"/>
    <w:rsid w:val="00A11734"/>
    <w:rsid w:val="00A1446B"/>
    <w:rsid w:val="00A167F2"/>
    <w:rsid w:val="00A17EFE"/>
    <w:rsid w:val="00A20C78"/>
    <w:rsid w:val="00A22DD9"/>
    <w:rsid w:val="00A2312E"/>
    <w:rsid w:val="00A24323"/>
    <w:rsid w:val="00A2512C"/>
    <w:rsid w:val="00A2515B"/>
    <w:rsid w:val="00A2588E"/>
    <w:rsid w:val="00A26EDF"/>
    <w:rsid w:val="00A34789"/>
    <w:rsid w:val="00A3630E"/>
    <w:rsid w:val="00A37BB8"/>
    <w:rsid w:val="00A41FF8"/>
    <w:rsid w:val="00A42D87"/>
    <w:rsid w:val="00A44BD3"/>
    <w:rsid w:val="00A4515C"/>
    <w:rsid w:val="00A4521D"/>
    <w:rsid w:val="00A46D6F"/>
    <w:rsid w:val="00A47349"/>
    <w:rsid w:val="00A51F0A"/>
    <w:rsid w:val="00A54783"/>
    <w:rsid w:val="00A54EF2"/>
    <w:rsid w:val="00A55D48"/>
    <w:rsid w:val="00A57BEB"/>
    <w:rsid w:val="00A61673"/>
    <w:rsid w:val="00A61AED"/>
    <w:rsid w:val="00A61C7D"/>
    <w:rsid w:val="00A63F21"/>
    <w:rsid w:val="00A64926"/>
    <w:rsid w:val="00A665CF"/>
    <w:rsid w:val="00A67CA7"/>
    <w:rsid w:val="00A761AB"/>
    <w:rsid w:val="00A7752F"/>
    <w:rsid w:val="00A809E7"/>
    <w:rsid w:val="00A81DF1"/>
    <w:rsid w:val="00A85C35"/>
    <w:rsid w:val="00A915A4"/>
    <w:rsid w:val="00A92061"/>
    <w:rsid w:val="00A93D46"/>
    <w:rsid w:val="00A94249"/>
    <w:rsid w:val="00A94BC9"/>
    <w:rsid w:val="00A959BC"/>
    <w:rsid w:val="00A978F8"/>
    <w:rsid w:val="00AA150D"/>
    <w:rsid w:val="00AA1B72"/>
    <w:rsid w:val="00AA2D86"/>
    <w:rsid w:val="00AA3C60"/>
    <w:rsid w:val="00AA3F7C"/>
    <w:rsid w:val="00AB2FF4"/>
    <w:rsid w:val="00AB3AB6"/>
    <w:rsid w:val="00AB3F40"/>
    <w:rsid w:val="00AB5F9C"/>
    <w:rsid w:val="00AB60E1"/>
    <w:rsid w:val="00AC1722"/>
    <w:rsid w:val="00AC1AD6"/>
    <w:rsid w:val="00AC4858"/>
    <w:rsid w:val="00AC6BDE"/>
    <w:rsid w:val="00AC6EE2"/>
    <w:rsid w:val="00AC7FA5"/>
    <w:rsid w:val="00AD5B8C"/>
    <w:rsid w:val="00AD64DF"/>
    <w:rsid w:val="00AE1025"/>
    <w:rsid w:val="00AE16C1"/>
    <w:rsid w:val="00AE3F03"/>
    <w:rsid w:val="00AE64F0"/>
    <w:rsid w:val="00AE6612"/>
    <w:rsid w:val="00AF144E"/>
    <w:rsid w:val="00AF23C8"/>
    <w:rsid w:val="00AF2AE2"/>
    <w:rsid w:val="00AF50F9"/>
    <w:rsid w:val="00AF5609"/>
    <w:rsid w:val="00AF75F0"/>
    <w:rsid w:val="00B013E0"/>
    <w:rsid w:val="00B0377E"/>
    <w:rsid w:val="00B06E21"/>
    <w:rsid w:val="00B07BA9"/>
    <w:rsid w:val="00B10055"/>
    <w:rsid w:val="00B1141E"/>
    <w:rsid w:val="00B1278B"/>
    <w:rsid w:val="00B13344"/>
    <w:rsid w:val="00B1663C"/>
    <w:rsid w:val="00B17295"/>
    <w:rsid w:val="00B215F5"/>
    <w:rsid w:val="00B27A54"/>
    <w:rsid w:val="00B30783"/>
    <w:rsid w:val="00B31D57"/>
    <w:rsid w:val="00B329F8"/>
    <w:rsid w:val="00B375C3"/>
    <w:rsid w:val="00B37C8F"/>
    <w:rsid w:val="00B405C2"/>
    <w:rsid w:val="00B41F0F"/>
    <w:rsid w:val="00B42484"/>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557AD"/>
    <w:rsid w:val="00B601A1"/>
    <w:rsid w:val="00B6151E"/>
    <w:rsid w:val="00B61F53"/>
    <w:rsid w:val="00B64962"/>
    <w:rsid w:val="00B676EC"/>
    <w:rsid w:val="00B7016C"/>
    <w:rsid w:val="00B7039B"/>
    <w:rsid w:val="00B71093"/>
    <w:rsid w:val="00B717C9"/>
    <w:rsid w:val="00B71A44"/>
    <w:rsid w:val="00B722A6"/>
    <w:rsid w:val="00B74887"/>
    <w:rsid w:val="00B74D1E"/>
    <w:rsid w:val="00B76A18"/>
    <w:rsid w:val="00B80812"/>
    <w:rsid w:val="00B84C6C"/>
    <w:rsid w:val="00B85158"/>
    <w:rsid w:val="00B86A26"/>
    <w:rsid w:val="00B91574"/>
    <w:rsid w:val="00B92687"/>
    <w:rsid w:val="00B93104"/>
    <w:rsid w:val="00B94248"/>
    <w:rsid w:val="00B942A1"/>
    <w:rsid w:val="00B94B4F"/>
    <w:rsid w:val="00B9525E"/>
    <w:rsid w:val="00B976F6"/>
    <w:rsid w:val="00BA2339"/>
    <w:rsid w:val="00BA3447"/>
    <w:rsid w:val="00BA5F41"/>
    <w:rsid w:val="00BA7385"/>
    <w:rsid w:val="00BB014D"/>
    <w:rsid w:val="00BB0B2C"/>
    <w:rsid w:val="00BB187C"/>
    <w:rsid w:val="00BB286D"/>
    <w:rsid w:val="00BB296B"/>
    <w:rsid w:val="00BB2F30"/>
    <w:rsid w:val="00BB3141"/>
    <w:rsid w:val="00BB3622"/>
    <w:rsid w:val="00BB65F8"/>
    <w:rsid w:val="00BB682C"/>
    <w:rsid w:val="00BB7CA9"/>
    <w:rsid w:val="00BC1B12"/>
    <w:rsid w:val="00BC236B"/>
    <w:rsid w:val="00BC2BB4"/>
    <w:rsid w:val="00BC46B2"/>
    <w:rsid w:val="00BC4BAA"/>
    <w:rsid w:val="00BC631D"/>
    <w:rsid w:val="00BC65D9"/>
    <w:rsid w:val="00BC7C52"/>
    <w:rsid w:val="00BD0CF6"/>
    <w:rsid w:val="00BD14C5"/>
    <w:rsid w:val="00BD174F"/>
    <w:rsid w:val="00BD196A"/>
    <w:rsid w:val="00BD2081"/>
    <w:rsid w:val="00BD2311"/>
    <w:rsid w:val="00BD2F87"/>
    <w:rsid w:val="00BD3A6D"/>
    <w:rsid w:val="00BD6262"/>
    <w:rsid w:val="00BE4893"/>
    <w:rsid w:val="00BE4C48"/>
    <w:rsid w:val="00BE61C1"/>
    <w:rsid w:val="00BE64AF"/>
    <w:rsid w:val="00BE6717"/>
    <w:rsid w:val="00BF0381"/>
    <w:rsid w:val="00BF0BFE"/>
    <w:rsid w:val="00BF2D88"/>
    <w:rsid w:val="00BF3645"/>
    <w:rsid w:val="00BF3782"/>
    <w:rsid w:val="00BF5080"/>
    <w:rsid w:val="00BF6E7B"/>
    <w:rsid w:val="00C00559"/>
    <w:rsid w:val="00C01021"/>
    <w:rsid w:val="00C0141F"/>
    <w:rsid w:val="00C02FB3"/>
    <w:rsid w:val="00C040BC"/>
    <w:rsid w:val="00C045C4"/>
    <w:rsid w:val="00C048AF"/>
    <w:rsid w:val="00C055B2"/>
    <w:rsid w:val="00C06EB1"/>
    <w:rsid w:val="00C077E0"/>
    <w:rsid w:val="00C07DE6"/>
    <w:rsid w:val="00C11425"/>
    <w:rsid w:val="00C12ABA"/>
    <w:rsid w:val="00C14712"/>
    <w:rsid w:val="00C14C95"/>
    <w:rsid w:val="00C154B5"/>
    <w:rsid w:val="00C17872"/>
    <w:rsid w:val="00C205E9"/>
    <w:rsid w:val="00C212FC"/>
    <w:rsid w:val="00C238F0"/>
    <w:rsid w:val="00C23F48"/>
    <w:rsid w:val="00C262BD"/>
    <w:rsid w:val="00C310C2"/>
    <w:rsid w:val="00C33708"/>
    <w:rsid w:val="00C36525"/>
    <w:rsid w:val="00C36DB9"/>
    <w:rsid w:val="00C37A28"/>
    <w:rsid w:val="00C4098F"/>
    <w:rsid w:val="00C40EB3"/>
    <w:rsid w:val="00C41BD9"/>
    <w:rsid w:val="00C4312B"/>
    <w:rsid w:val="00C434FD"/>
    <w:rsid w:val="00C46D6B"/>
    <w:rsid w:val="00C47AC7"/>
    <w:rsid w:val="00C5192E"/>
    <w:rsid w:val="00C527D3"/>
    <w:rsid w:val="00C52DE6"/>
    <w:rsid w:val="00C57B47"/>
    <w:rsid w:val="00C57F71"/>
    <w:rsid w:val="00C6016B"/>
    <w:rsid w:val="00C6062F"/>
    <w:rsid w:val="00C62BB0"/>
    <w:rsid w:val="00C634A7"/>
    <w:rsid w:val="00C635B8"/>
    <w:rsid w:val="00C638D7"/>
    <w:rsid w:val="00C64720"/>
    <w:rsid w:val="00C6517F"/>
    <w:rsid w:val="00C6769C"/>
    <w:rsid w:val="00C67BA6"/>
    <w:rsid w:val="00C70DA3"/>
    <w:rsid w:val="00C71920"/>
    <w:rsid w:val="00C72A63"/>
    <w:rsid w:val="00C80AE4"/>
    <w:rsid w:val="00C8142E"/>
    <w:rsid w:val="00C85CDE"/>
    <w:rsid w:val="00C871C4"/>
    <w:rsid w:val="00CA1130"/>
    <w:rsid w:val="00CA32EE"/>
    <w:rsid w:val="00CA415F"/>
    <w:rsid w:val="00CA5EA7"/>
    <w:rsid w:val="00CB026C"/>
    <w:rsid w:val="00CB2371"/>
    <w:rsid w:val="00CB2C14"/>
    <w:rsid w:val="00CB3F3D"/>
    <w:rsid w:val="00CB4F42"/>
    <w:rsid w:val="00CB5A49"/>
    <w:rsid w:val="00CB5C15"/>
    <w:rsid w:val="00CB678B"/>
    <w:rsid w:val="00CC1228"/>
    <w:rsid w:val="00CC1A21"/>
    <w:rsid w:val="00CC34E2"/>
    <w:rsid w:val="00CC66DE"/>
    <w:rsid w:val="00CC7C0C"/>
    <w:rsid w:val="00CD22C5"/>
    <w:rsid w:val="00CD34CB"/>
    <w:rsid w:val="00CD3AC0"/>
    <w:rsid w:val="00CD5B25"/>
    <w:rsid w:val="00CD5F73"/>
    <w:rsid w:val="00CD75E3"/>
    <w:rsid w:val="00CE2627"/>
    <w:rsid w:val="00CE2EB2"/>
    <w:rsid w:val="00CE4077"/>
    <w:rsid w:val="00CE525D"/>
    <w:rsid w:val="00CE5C99"/>
    <w:rsid w:val="00CE5F0B"/>
    <w:rsid w:val="00CE72C3"/>
    <w:rsid w:val="00CE7A52"/>
    <w:rsid w:val="00CF0FC2"/>
    <w:rsid w:val="00CF23EE"/>
    <w:rsid w:val="00CF62AE"/>
    <w:rsid w:val="00D019BE"/>
    <w:rsid w:val="00D01F3C"/>
    <w:rsid w:val="00D02CE6"/>
    <w:rsid w:val="00D11357"/>
    <w:rsid w:val="00D126F7"/>
    <w:rsid w:val="00D129F5"/>
    <w:rsid w:val="00D12ED9"/>
    <w:rsid w:val="00D141DD"/>
    <w:rsid w:val="00D1494A"/>
    <w:rsid w:val="00D17D86"/>
    <w:rsid w:val="00D21887"/>
    <w:rsid w:val="00D26381"/>
    <w:rsid w:val="00D266DE"/>
    <w:rsid w:val="00D306D9"/>
    <w:rsid w:val="00D3164E"/>
    <w:rsid w:val="00D31689"/>
    <w:rsid w:val="00D325A9"/>
    <w:rsid w:val="00D32C4C"/>
    <w:rsid w:val="00D336EE"/>
    <w:rsid w:val="00D343D7"/>
    <w:rsid w:val="00D35538"/>
    <w:rsid w:val="00D355E8"/>
    <w:rsid w:val="00D43DD6"/>
    <w:rsid w:val="00D5073C"/>
    <w:rsid w:val="00D51C2C"/>
    <w:rsid w:val="00D537E7"/>
    <w:rsid w:val="00D53998"/>
    <w:rsid w:val="00D55A36"/>
    <w:rsid w:val="00D5689A"/>
    <w:rsid w:val="00D57072"/>
    <w:rsid w:val="00D61249"/>
    <w:rsid w:val="00D619C3"/>
    <w:rsid w:val="00D61AE5"/>
    <w:rsid w:val="00D61EE6"/>
    <w:rsid w:val="00D64636"/>
    <w:rsid w:val="00D668E4"/>
    <w:rsid w:val="00D67466"/>
    <w:rsid w:val="00D7047B"/>
    <w:rsid w:val="00D7222E"/>
    <w:rsid w:val="00D729A9"/>
    <w:rsid w:val="00D73B5C"/>
    <w:rsid w:val="00D741F4"/>
    <w:rsid w:val="00D74FEC"/>
    <w:rsid w:val="00D75505"/>
    <w:rsid w:val="00D76695"/>
    <w:rsid w:val="00D77DAB"/>
    <w:rsid w:val="00D8070D"/>
    <w:rsid w:val="00D8228F"/>
    <w:rsid w:val="00D8344F"/>
    <w:rsid w:val="00D83CB1"/>
    <w:rsid w:val="00D8522C"/>
    <w:rsid w:val="00D8591D"/>
    <w:rsid w:val="00D862DA"/>
    <w:rsid w:val="00D8640C"/>
    <w:rsid w:val="00D86456"/>
    <w:rsid w:val="00D870BD"/>
    <w:rsid w:val="00D87566"/>
    <w:rsid w:val="00D87B9C"/>
    <w:rsid w:val="00D900B7"/>
    <w:rsid w:val="00D90ED8"/>
    <w:rsid w:val="00D9150A"/>
    <w:rsid w:val="00D91660"/>
    <w:rsid w:val="00D9711E"/>
    <w:rsid w:val="00DA2423"/>
    <w:rsid w:val="00DA3D7B"/>
    <w:rsid w:val="00DA5A0B"/>
    <w:rsid w:val="00DA6721"/>
    <w:rsid w:val="00DA7189"/>
    <w:rsid w:val="00DA7370"/>
    <w:rsid w:val="00DB1190"/>
    <w:rsid w:val="00DB4594"/>
    <w:rsid w:val="00DB46FD"/>
    <w:rsid w:val="00DB4AA3"/>
    <w:rsid w:val="00DB68FF"/>
    <w:rsid w:val="00DB6DAB"/>
    <w:rsid w:val="00DB7230"/>
    <w:rsid w:val="00DC0A4E"/>
    <w:rsid w:val="00DC32BA"/>
    <w:rsid w:val="00DC5E8F"/>
    <w:rsid w:val="00DC5FD8"/>
    <w:rsid w:val="00DD1180"/>
    <w:rsid w:val="00DD2227"/>
    <w:rsid w:val="00DD6026"/>
    <w:rsid w:val="00DD6537"/>
    <w:rsid w:val="00DD6667"/>
    <w:rsid w:val="00DD74A2"/>
    <w:rsid w:val="00DE2082"/>
    <w:rsid w:val="00DE31CF"/>
    <w:rsid w:val="00DE33FC"/>
    <w:rsid w:val="00DE383B"/>
    <w:rsid w:val="00DE49BE"/>
    <w:rsid w:val="00DE5B23"/>
    <w:rsid w:val="00DE5DFB"/>
    <w:rsid w:val="00DE5E13"/>
    <w:rsid w:val="00DE6576"/>
    <w:rsid w:val="00DE6D3C"/>
    <w:rsid w:val="00DE76C8"/>
    <w:rsid w:val="00DE78FC"/>
    <w:rsid w:val="00DF2A71"/>
    <w:rsid w:val="00DF4614"/>
    <w:rsid w:val="00DF5ABF"/>
    <w:rsid w:val="00DF6D10"/>
    <w:rsid w:val="00DF7B25"/>
    <w:rsid w:val="00E00B67"/>
    <w:rsid w:val="00E02DEB"/>
    <w:rsid w:val="00E07629"/>
    <w:rsid w:val="00E10DE7"/>
    <w:rsid w:val="00E135A1"/>
    <w:rsid w:val="00E1496E"/>
    <w:rsid w:val="00E15C9F"/>
    <w:rsid w:val="00E1637C"/>
    <w:rsid w:val="00E16EF1"/>
    <w:rsid w:val="00E177A0"/>
    <w:rsid w:val="00E17F63"/>
    <w:rsid w:val="00E25260"/>
    <w:rsid w:val="00E2646A"/>
    <w:rsid w:val="00E338CC"/>
    <w:rsid w:val="00E36D29"/>
    <w:rsid w:val="00E37E4A"/>
    <w:rsid w:val="00E40C6F"/>
    <w:rsid w:val="00E43C06"/>
    <w:rsid w:val="00E449B1"/>
    <w:rsid w:val="00E449CA"/>
    <w:rsid w:val="00E44E38"/>
    <w:rsid w:val="00E47B31"/>
    <w:rsid w:val="00E501F7"/>
    <w:rsid w:val="00E5082D"/>
    <w:rsid w:val="00E54365"/>
    <w:rsid w:val="00E546AE"/>
    <w:rsid w:val="00E574A9"/>
    <w:rsid w:val="00E61355"/>
    <w:rsid w:val="00E613BC"/>
    <w:rsid w:val="00E61F1E"/>
    <w:rsid w:val="00E630B5"/>
    <w:rsid w:val="00E66861"/>
    <w:rsid w:val="00E66E21"/>
    <w:rsid w:val="00E67063"/>
    <w:rsid w:val="00E70F38"/>
    <w:rsid w:val="00E710FC"/>
    <w:rsid w:val="00E71915"/>
    <w:rsid w:val="00E77634"/>
    <w:rsid w:val="00E8047E"/>
    <w:rsid w:val="00E80916"/>
    <w:rsid w:val="00E81D3E"/>
    <w:rsid w:val="00E840DF"/>
    <w:rsid w:val="00E8560F"/>
    <w:rsid w:val="00E87373"/>
    <w:rsid w:val="00E8780A"/>
    <w:rsid w:val="00E957FC"/>
    <w:rsid w:val="00EA0289"/>
    <w:rsid w:val="00EA406C"/>
    <w:rsid w:val="00EA5101"/>
    <w:rsid w:val="00EA6C9F"/>
    <w:rsid w:val="00EB11D1"/>
    <w:rsid w:val="00EB181B"/>
    <w:rsid w:val="00EB1CA4"/>
    <w:rsid w:val="00EB2DEA"/>
    <w:rsid w:val="00EC341C"/>
    <w:rsid w:val="00EC459F"/>
    <w:rsid w:val="00EC7C21"/>
    <w:rsid w:val="00ED0673"/>
    <w:rsid w:val="00ED1657"/>
    <w:rsid w:val="00ED1A37"/>
    <w:rsid w:val="00ED5637"/>
    <w:rsid w:val="00ED6618"/>
    <w:rsid w:val="00EE4BE4"/>
    <w:rsid w:val="00EE6A27"/>
    <w:rsid w:val="00EE71C9"/>
    <w:rsid w:val="00EF352D"/>
    <w:rsid w:val="00EF4AEE"/>
    <w:rsid w:val="00EF5C0A"/>
    <w:rsid w:val="00EF6E41"/>
    <w:rsid w:val="00F00CCA"/>
    <w:rsid w:val="00F029F4"/>
    <w:rsid w:val="00F03F3B"/>
    <w:rsid w:val="00F07468"/>
    <w:rsid w:val="00F11DDC"/>
    <w:rsid w:val="00F12530"/>
    <w:rsid w:val="00F1302B"/>
    <w:rsid w:val="00F13F76"/>
    <w:rsid w:val="00F168D5"/>
    <w:rsid w:val="00F16EE4"/>
    <w:rsid w:val="00F174EA"/>
    <w:rsid w:val="00F2176B"/>
    <w:rsid w:val="00F21A53"/>
    <w:rsid w:val="00F22831"/>
    <w:rsid w:val="00F22D82"/>
    <w:rsid w:val="00F23A8E"/>
    <w:rsid w:val="00F26D40"/>
    <w:rsid w:val="00F276C8"/>
    <w:rsid w:val="00F340B6"/>
    <w:rsid w:val="00F361B7"/>
    <w:rsid w:val="00F40BAE"/>
    <w:rsid w:val="00F4358E"/>
    <w:rsid w:val="00F47F19"/>
    <w:rsid w:val="00F5043B"/>
    <w:rsid w:val="00F5198C"/>
    <w:rsid w:val="00F52878"/>
    <w:rsid w:val="00F52F93"/>
    <w:rsid w:val="00F531ED"/>
    <w:rsid w:val="00F54608"/>
    <w:rsid w:val="00F552F2"/>
    <w:rsid w:val="00F55E52"/>
    <w:rsid w:val="00F57EF0"/>
    <w:rsid w:val="00F627E2"/>
    <w:rsid w:val="00F63708"/>
    <w:rsid w:val="00F6561D"/>
    <w:rsid w:val="00F66DFC"/>
    <w:rsid w:val="00F71520"/>
    <w:rsid w:val="00F72041"/>
    <w:rsid w:val="00F73F82"/>
    <w:rsid w:val="00F7590F"/>
    <w:rsid w:val="00F75FE2"/>
    <w:rsid w:val="00F772CC"/>
    <w:rsid w:val="00F82C64"/>
    <w:rsid w:val="00F8363E"/>
    <w:rsid w:val="00F8534D"/>
    <w:rsid w:val="00F8569E"/>
    <w:rsid w:val="00F85A14"/>
    <w:rsid w:val="00F85B51"/>
    <w:rsid w:val="00F868E9"/>
    <w:rsid w:val="00F90EB0"/>
    <w:rsid w:val="00F913C6"/>
    <w:rsid w:val="00F91F09"/>
    <w:rsid w:val="00F94390"/>
    <w:rsid w:val="00F94864"/>
    <w:rsid w:val="00F95BDD"/>
    <w:rsid w:val="00F97D3D"/>
    <w:rsid w:val="00FA02EE"/>
    <w:rsid w:val="00FA33A6"/>
    <w:rsid w:val="00FA62F0"/>
    <w:rsid w:val="00FB0B18"/>
    <w:rsid w:val="00FB139D"/>
    <w:rsid w:val="00FB2ACA"/>
    <w:rsid w:val="00FB673E"/>
    <w:rsid w:val="00FB753B"/>
    <w:rsid w:val="00FC3BD7"/>
    <w:rsid w:val="00FC3D57"/>
    <w:rsid w:val="00FC3EB4"/>
    <w:rsid w:val="00FC51B8"/>
    <w:rsid w:val="00FC5FD1"/>
    <w:rsid w:val="00FC6C2D"/>
    <w:rsid w:val="00FD16AB"/>
    <w:rsid w:val="00FD2E3A"/>
    <w:rsid w:val="00FD38DC"/>
    <w:rsid w:val="00FD41C3"/>
    <w:rsid w:val="00FD42D4"/>
    <w:rsid w:val="00FD6457"/>
    <w:rsid w:val="00FD755E"/>
    <w:rsid w:val="00FD7681"/>
    <w:rsid w:val="00FD7B98"/>
    <w:rsid w:val="00FD7CD3"/>
    <w:rsid w:val="00FE44C5"/>
    <w:rsid w:val="00FF067F"/>
    <w:rsid w:val="00FF1021"/>
    <w:rsid w:val="00FF141F"/>
    <w:rsid w:val="00FF2B12"/>
    <w:rsid w:val="00FF406D"/>
    <w:rsid w:val="00FF5984"/>
    <w:rsid w:val="00FF5CE3"/>
    <w:rsid w:val="00FF5E87"/>
    <w:rsid w:val="00FF7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D2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locked/>
    <w:pPr>
      <w:spacing w:after="240" w:line="240" w:lineRule="exact"/>
      <w:ind w:left="510" w:hanging="510"/>
    </w:pPr>
  </w:style>
  <w:style w:type="character" w:styleId="FootnoteReference">
    <w:name w:val="footnote reference"/>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customStyle="1" w:styleId="FootnoteTextChar">
    <w:name w:val="Footnote Text Char"/>
    <w:basedOn w:val="DefaultParagraphFont"/>
    <w:link w:val="FootnoteText"/>
    <w:rsid w:val="00047B6F"/>
  </w:style>
  <w:style w:type="paragraph" w:customStyle="1" w:styleId="NoNorm">
    <w:name w:val="No Norm"/>
    <w:basedOn w:val="Normal"/>
    <w:qFormat/>
    <w:rsid w:val="00CE4077"/>
    <w:pPr>
      <w:tabs>
        <w:tab w:val="clear" w:pos="720"/>
        <w:tab w:val="clear" w:pos="1440"/>
        <w:tab w:val="left" w:pos="709"/>
      </w:tabs>
      <w:spacing w:before="120" w:line="360" w:lineRule="auto"/>
      <w:ind w:left="720" w:hanging="720"/>
      <w:jc w:val="both"/>
    </w:pPr>
    <w:rPr>
      <w:rFonts w:ascii="Arial" w:hAnsi="Arial" w:cs="Arial"/>
      <w:sz w:val="22"/>
      <w:szCs w:val="22"/>
    </w:rPr>
  </w:style>
  <w:style w:type="paragraph" w:styleId="Quote">
    <w:name w:val="Quote"/>
    <w:basedOn w:val="Normal"/>
    <w:next w:val="NoNorm"/>
    <w:link w:val="QuoteChar"/>
    <w:uiPriority w:val="29"/>
    <w:qFormat/>
    <w:locked/>
    <w:rsid w:val="00CE4077"/>
    <w:pPr>
      <w:tabs>
        <w:tab w:val="clear" w:pos="720"/>
        <w:tab w:val="clear" w:pos="1440"/>
        <w:tab w:val="left" w:pos="1276"/>
      </w:tabs>
      <w:spacing w:before="120" w:after="240" w:line="276" w:lineRule="auto"/>
      <w:ind w:left="1276" w:right="566" w:firstLine="0"/>
      <w:jc w:val="both"/>
    </w:pPr>
    <w:rPr>
      <w:rFonts w:ascii="Arial" w:hAnsi="Arial" w:cs="Arial"/>
      <w:sz w:val="21"/>
      <w:szCs w:val="22"/>
    </w:rPr>
  </w:style>
  <w:style w:type="character" w:customStyle="1" w:styleId="QuoteChar">
    <w:name w:val="Quote Char"/>
    <w:basedOn w:val="DefaultParagraphFont"/>
    <w:link w:val="Quote"/>
    <w:uiPriority w:val="29"/>
    <w:rsid w:val="00CE4077"/>
    <w:rPr>
      <w:rFonts w:ascii="Arial" w:hAnsi="Arial" w:cs="Arial"/>
      <w:sz w:val="21"/>
      <w:szCs w:val="22"/>
    </w:rPr>
  </w:style>
  <w:style w:type="paragraph" w:customStyle="1" w:styleId="Noindentnormal">
    <w:name w:val="No indent normal"/>
    <w:basedOn w:val="NoNorm"/>
    <w:qFormat/>
    <w:rsid w:val="00CE4077"/>
    <w:pPr>
      <w:tabs>
        <w:tab w:val="clear" w:pos="2160"/>
        <w:tab w:val="left" w:pos="1418"/>
      </w:tabs>
      <w:ind w:left="1418" w:hanging="709"/>
    </w:pPr>
  </w:style>
  <w:style w:type="paragraph" w:customStyle="1" w:styleId="Indentlista">
    <w:name w:val="Indent list a)"/>
    <w:basedOn w:val="Noindentnormal"/>
    <w:qFormat/>
    <w:rsid w:val="00CE4077"/>
    <w:pPr>
      <w:tabs>
        <w:tab w:val="left" w:pos="2268"/>
      </w:tabs>
      <w:spacing w:before="60"/>
      <w:ind w:left="2268" w:hanging="567"/>
    </w:pPr>
  </w:style>
  <w:style w:type="paragraph" w:styleId="ListBullet5">
    <w:name w:val="List Bullet 5"/>
    <w:basedOn w:val="Normal"/>
    <w:uiPriority w:val="99"/>
    <w:unhideWhenUsed/>
    <w:locked/>
    <w:rsid w:val="00CE4077"/>
    <w:pPr>
      <w:tabs>
        <w:tab w:val="clear" w:pos="720"/>
        <w:tab w:val="num" w:pos="1492"/>
      </w:tabs>
      <w:spacing w:before="120" w:line="312" w:lineRule="auto"/>
      <w:ind w:left="1492" w:hanging="360"/>
      <w:contextualSpacing/>
      <w:jc w:val="both"/>
    </w:pPr>
    <w:rPr>
      <w:rFonts w:ascii="Arial" w:hAnsi="Arial" w:cs="Arial"/>
      <w:sz w:val="22"/>
      <w:szCs w:val="22"/>
    </w:rPr>
  </w:style>
  <w:style w:type="character" w:styleId="CommentReference">
    <w:name w:val="annotation reference"/>
    <w:basedOn w:val="DefaultParagraphFont"/>
    <w:uiPriority w:val="99"/>
    <w:semiHidden/>
    <w:unhideWhenUsed/>
    <w:locked/>
    <w:rsid w:val="00CE4077"/>
    <w:rPr>
      <w:sz w:val="16"/>
      <w:szCs w:val="16"/>
    </w:rPr>
  </w:style>
  <w:style w:type="paragraph" w:styleId="CommentText">
    <w:name w:val="annotation text"/>
    <w:basedOn w:val="Normal"/>
    <w:link w:val="CommentTextChar"/>
    <w:uiPriority w:val="99"/>
    <w:unhideWhenUsed/>
    <w:locked/>
    <w:rsid w:val="00CE4077"/>
    <w:pPr>
      <w:spacing w:line="240" w:lineRule="auto"/>
    </w:pPr>
    <w:rPr>
      <w:sz w:val="20"/>
      <w:szCs w:val="20"/>
    </w:rPr>
  </w:style>
  <w:style w:type="character" w:customStyle="1" w:styleId="CommentTextChar">
    <w:name w:val="Comment Text Char"/>
    <w:basedOn w:val="DefaultParagraphFont"/>
    <w:link w:val="CommentText"/>
    <w:uiPriority w:val="99"/>
    <w:rsid w:val="00CE4077"/>
    <w:rPr>
      <w:sz w:val="20"/>
      <w:szCs w:val="20"/>
    </w:rPr>
  </w:style>
  <w:style w:type="paragraph" w:styleId="CommentSubject">
    <w:name w:val="annotation subject"/>
    <w:basedOn w:val="CommentText"/>
    <w:next w:val="CommentText"/>
    <w:link w:val="CommentSubjectChar"/>
    <w:uiPriority w:val="99"/>
    <w:semiHidden/>
    <w:unhideWhenUsed/>
    <w:locked/>
    <w:rsid w:val="00CE4077"/>
    <w:rPr>
      <w:b/>
      <w:bCs/>
    </w:rPr>
  </w:style>
  <w:style w:type="character" w:customStyle="1" w:styleId="CommentSubjectChar">
    <w:name w:val="Comment Subject Char"/>
    <w:basedOn w:val="CommentTextChar"/>
    <w:link w:val="CommentSubject"/>
    <w:uiPriority w:val="99"/>
    <w:semiHidden/>
    <w:rsid w:val="00CE4077"/>
    <w:rPr>
      <w:b/>
      <w:bCs/>
      <w:sz w:val="20"/>
      <w:szCs w:val="20"/>
    </w:rPr>
  </w:style>
  <w:style w:type="paragraph" w:styleId="Revision">
    <w:name w:val="Revision"/>
    <w:hidden/>
    <w:uiPriority w:val="99"/>
    <w:semiHidden/>
    <w:rsid w:val="00CE4077"/>
  </w:style>
  <w:style w:type="paragraph" w:customStyle="1" w:styleId="Body">
    <w:name w:val="Body"/>
    <w:basedOn w:val="Normal"/>
    <w:qFormat/>
    <w:rsid w:val="00D722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722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7222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7222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7222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7222E"/>
    <w:pPr>
      <w:jc w:val="center"/>
    </w:pPr>
    <w:rPr>
      <w:rFonts w:ascii="Times New Roman" w:hAnsi="Times New Roman"/>
      <w:bCs/>
      <w:szCs w:val="20"/>
      <w:lang w:val="en-GB"/>
    </w:rPr>
  </w:style>
  <w:style w:type="paragraph" w:customStyle="1" w:styleId="Default">
    <w:name w:val="Default"/>
    <w:rsid w:val="00D7222E"/>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78CC136-3D24-4A2B-88F2-12DEA209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3cc3f26d-d9cc-46f3-89c7-f1482de8c8f1"/>
    <ds:schemaRef ds:uri="http://schemas.microsoft.com/office/infopath/2007/PartnerControls"/>
    <ds:schemaRef ds:uri="cbc5b7fd-636f-49ec-b8cc-eb8a3f2ba19e"/>
    <ds:schemaRef ds:uri="http://purl.org/dc/terms/"/>
  </ds:schemaRefs>
</ds:datastoreItem>
</file>

<file path=customXml/itemProps4.xml><?xml version="1.0" encoding="utf-8"?>
<ds:datastoreItem xmlns:ds="http://schemas.openxmlformats.org/officeDocument/2006/customXml" ds:itemID="{4046D2B3-83D0-449E-9E44-850CD501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9522</Words>
  <Characters>49645</Characters>
  <Application>Microsoft Office Word</Application>
  <DocSecurity>0</DocSecurity>
  <Lines>413</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2021-02-01T03:30:00Z</dcterms:created>
  <dcterms:modified xsi:type="dcterms:W3CDTF">2021-10-20T23:24:00Z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NETTLE J 05</vt:lpwstr>
  </property>
  <property fmtid="{D5CDD505-2E9C-101B-9397-08002B2CF9AE}" pid="7" name="Judge06">
    <vt:lpwstr>GORDON J 06</vt:lpwstr>
  </property>
  <property fmtid="{D5CDD505-2E9C-101B-9397-08002B2CF9AE}" pid="8" name="Judge07">
    <vt:lpwstr>EDELMAN J 07</vt:lpwstr>
  </property>
  <property fmtid="{D5CDD505-2E9C-101B-9397-08002B2CF9AE}" pid="9" name="ContentTypeId">
    <vt:lpwstr>0x0101001F32D2EC4F8DE44A8C0C478B82839881</vt:lpwstr>
  </property>
</Properties>
</file>